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E898" w14:textId="206578FF" w:rsidR="009122BE" w:rsidRPr="00110464" w:rsidRDefault="009122BE" w:rsidP="006F6B36">
      <w:pPr>
        <w:adjustRightInd w:val="0"/>
        <w:snapToGrid w:val="0"/>
        <w:spacing w:line="360" w:lineRule="auto"/>
        <w:rPr>
          <w:rFonts w:ascii="Book Antiqua" w:eastAsia="Times New Roman" w:hAnsi="Book Antiqua" w:cs="宋体"/>
          <w:b/>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110464">
        <w:rPr>
          <w:rFonts w:ascii="Book Antiqua" w:eastAsia="Times New Roman" w:hAnsi="Book Antiqua" w:cs="宋体"/>
          <w:b/>
          <w:color w:val="000000"/>
          <w:sz w:val="24"/>
          <w:szCs w:val="24"/>
        </w:rPr>
        <w:t xml:space="preserve">Name of Journal: </w:t>
      </w:r>
      <w:r w:rsidR="00BA1E1D" w:rsidRPr="00110464">
        <w:rPr>
          <w:rFonts w:ascii="Book Antiqua" w:hAnsi="Book Antiqua"/>
          <w:b/>
          <w:i/>
          <w:iCs/>
          <w:sz w:val="24"/>
          <w:szCs w:val="24"/>
        </w:rPr>
        <w:t>World Journal of Gastroenterology</w:t>
      </w:r>
    </w:p>
    <w:p w14:paraId="2899E52A" w14:textId="5A6D18F6" w:rsidR="009122BE" w:rsidRPr="00110464" w:rsidRDefault="009122BE" w:rsidP="006F6B36">
      <w:pPr>
        <w:adjustRightInd w:val="0"/>
        <w:snapToGrid w:val="0"/>
        <w:spacing w:line="360" w:lineRule="auto"/>
        <w:rPr>
          <w:rFonts w:ascii="Book Antiqua" w:hAnsi="Book Antiqua" w:cs="Arial"/>
          <w:b/>
          <w:color w:val="000000"/>
          <w:sz w:val="24"/>
          <w:szCs w:val="24"/>
          <w:lang w:val="en" w:eastAsia="zh-CN"/>
        </w:rPr>
      </w:pPr>
      <w:bookmarkStart w:id="8" w:name="_Hlk5632321"/>
      <w:r w:rsidRPr="00110464">
        <w:rPr>
          <w:rFonts w:ascii="Book Antiqua" w:eastAsia="Times New Roman" w:hAnsi="Book Antiqua"/>
          <w:b/>
          <w:bCs/>
          <w:color w:val="222222"/>
          <w:sz w:val="24"/>
          <w:szCs w:val="24"/>
        </w:rPr>
        <w:t>Manuscript NO</w:t>
      </w:r>
      <w:r w:rsidRPr="00110464">
        <w:rPr>
          <w:rFonts w:ascii="Book Antiqua" w:hAnsi="Book Antiqua" w:cs="Arial"/>
          <w:b/>
          <w:color w:val="000000"/>
          <w:sz w:val="24"/>
          <w:szCs w:val="24"/>
          <w:lang w:val="en"/>
        </w:rPr>
        <w:t xml:space="preserve">: </w:t>
      </w:r>
      <w:r w:rsidR="00BA1E1D" w:rsidRPr="00110464">
        <w:rPr>
          <w:rFonts w:ascii="Book Antiqua" w:hAnsi="Book Antiqua" w:cs="Arial"/>
          <w:b/>
          <w:color w:val="000000"/>
          <w:sz w:val="24"/>
          <w:szCs w:val="24"/>
          <w:lang w:val="en"/>
        </w:rPr>
        <w:t>47913</w:t>
      </w:r>
    </w:p>
    <w:bookmarkEnd w:id="8"/>
    <w:p w14:paraId="32F93CD9" w14:textId="70F1A39C" w:rsidR="009122BE" w:rsidRPr="00110464" w:rsidRDefault="009122BE" w:rsidP="006F6B36">
      <w:pPr>
        <w:snapToGrid w:val="0"/>
        <w:spacing w:line="360" w:lineRule="auto"/>
        <w:rPr>
          <w:rFonts w:ascii="Book Antiqua" w:hAnsi="Book Antiqua"/>
          <w:b/>
          <w:sz w:val="24"/>
          <w:szCs w:val="24"/>
          <w:lang w:eastAsia="zh-CN"/>
        </w:rPr>
      </w:pPr>
      <w:r w:rsidRPr="00110464">
        <w:rPr>
          <w:rFonts w:ascii="Book Antiqua" w:hAnsi="Book Antiqua"/>
          <w:b/>
          <w:color w:val="000000"/>
          <w:sz w:val="24"/>
          <w:szCs w:val="24"/>
          <w:shd w:val="clear" w:color="auto" w:fill="FFFFFF"/>
        </w:rPr>
        <w:t>Manuscript Type</w:t>
      </w:r>
      <w:r w:rsidRPr="00110464">
        <w:rPr>
          <w:rFonts w:ascii="Book Antiqua" w:hAnsi="Book Antiqua"/>
          <w:b/>
          <w:color w:val="000000"/>
          <w:sz w:val="24"/>
          <w:szCs w:val="24"/>
        </w:rPr>
        <w:t>:</w:t>
      </w:r>
      <w:bookmarkEnd w:id="0"/>
      <w:bookmarkEnd w:id="1"/>
      <w:bookmarkEnd w:id="2"/>
      <w:bookmarkEnd w:id="3"/>
      <w:bookmarkEnd w:id="4"/>
      <w:bookmarkEnd w:id="5"/>
      <w:bookmarkEnd w:id="6"/>
      <w:bookmarkEnd w:id="7"/>
      <w:r w:rsidR="00BA1E1D" w:rsidRPr="00110464">
        <w:rPr>
          <w:rFonts w:ascii="Book Antiqua" w:hAnsi="Book Antiqua"/>
          <w:b/>
          <w:color w:val="000000"/>
          <w:sz w:val="24"/>
          <w:szCs w:val="24"/>
        </w:rPr>
        <w:t xml:space="preserve"> ORIGINAL ARTICLE</w:t>
      </w:r>
    </w:p>
    <w:p w14:paraId="1EA01A57" w14:textId="77777777" w:rsidR="009122BE" w:rsidRPr="00110464" w:rsidRDefault="009122BE" w:rsidP="006F6B36">
      <w:pPr>
        <w:pStyle w:val="Default"/>
        <w:snapToGrid w:val="0"/>
        <w:spacing w:line="360" w:lineRule="auto"/>
        <w:jc w:val="both"/>
        <w:rPr>
          <w:b/>
          <w:bCs/>
        </w:rPr>
      </w:pPr>
    </w:p>
    <w:p w14:paraId="7D6C24D4" w14:textId="4170471D" w:rsidR="002336AF" w:rsidRPr="00110464" w:rsidRDefault="00BA1E1D" w:rsidP="006F6B36">
      <w:pPr>
        <w:snapToGrid w:val="0"/>
        <w:spacing w:line="360" w:lineRule="auto"/>
        <w:rPr>
          <w:rFonts w:ascii="Book Antiqua" w:eastAsiaTheme="minorHAnsi" w:hAnsi="Book Antiqua" w:cstheme="majorHAnsi"/>
          <w:b/>
          <w:i/>
          <w:sz w:val="24"/>
          <w:szCs w:val="24"/>
        </w:rPr>
      </w:pPr>
      <w:r w:rsidRPr="00110464">
        <w:rPr>
          <w:rFonts w:ascii="Book Antiqua" w:hAnsi="Book Antiqua"/>
          <w:b/>
          <w:i/>
          <w:sz w:val="24"/>
          <w:szCs w:val="24"/>
        </w:rPr>
        <w:t>Retrospective Study</w:t>
      </w:r>
    </w:p>
    <w:p w14:paraId="38CDD2A0" w14:textId="456022F4" w:rsidR="00D4398F" w:rsidRPr="00110464" w:rsidRDefault="00BA05A7" w:rsidP="006F6B36">
      <w:pPr>
        <w:snapToGrid w:val="0"/>
        <w:spacing w:line="360" w:lineRule="auto"/>
        <w:rPr>
          <w:rFonts w:ascii="Book Antiqua" w:eastAsiaTheme="minorHAnsi" w:hAnsi="Book Antiqua" w:cstheme="majorHAnsi"/>
          <w:b/>
          <w:sz w:val="24"/>
          <w:szCs w:val="24"/>
        </w:rPr>
      </w:pPr>
      <w:bookmarkStart w:id="9" w:name="_Hlk4227500"/>
      <w:r w:rsidRPr="00110464">
        <w:rPr>
          <w:rFonts w:ascii="Book Antiqua" w:eastAsiaTheme="minorHAnsi" w:hAnsi="Book Antiqua" w:cstheme="majorHAnsi"/>
          <w:b/>
          <w:sz w:val="24"/>
          <w:szCs w:val="24"/>
        </w:rPr>
        <w:t>Clinical characteristics of</w:t>
      </w:r>
      <w:r w:rsidR="00D4398F" w:rsidRPr="00110464">
        <w:rPr>
          <w:rFonts w:ascii="Book Antiqua" w:eastAsiaTheme="minorHAnsi" w:hAnsi="Book Antiqua" w:cstheme="majorHAnsi"/>
          <w:b/>
          <w:sz w:val="24"/>
          <w:szCs w:val="24"/>
        </w:rPr>
        <w:t xml:space="preserve"> </w:t>
      </w:r>
      <w:r w:rsidR="001D7099" w:rsidRPr="00110464">
        <w:rPr>
          <w:rFonts w:ascii="Book Antiqua" w:eastAsiaTheme="minorHAnsi" w:hAnsi="Book Antiqua" w:cstheme="majorHAnsi"/>
          <w:b/>
          <w:sz w:val="24"/>
          <w:szCs w:val="24"/>
        </w:rPr>
        <w:t xml:space="preserve">young </w:t>
      </w:r>
      <w:r w:rsidR="00D4398F" w:rsidRPr="00110464">
        <w:rPr>
          <w:rFonts w:ascii="Book Antiqua" w:eastAsiaTheme="minorHAnsi" w:hAnsi="Book Antiqua" w:cstheme="majorHAnsi"/>
          <w:b/>
          <w:sz w:val="24"/>
          <w:szCs w:val="24"/>
        </w:rPr>
        <w:t xml:space="preserve">patients with early Barrett’s neoplasia </w:t>
      </w:r>
    </w:p>
    <w:bookmarkEnd w:id="9"/>
    <w:p w14:paraId="4B161679" w14:textId="77777777" w:rsidR="002336AF" w:rsidRPr="00110464" w:rsidRDefault="002336AF" w:rsidP="006F6B36">
      <w:pPr>
        <w:snapToGrid w:val="0"/>
        <w:spacing w:line="360" w:lineRule="auto"/>
        <w:rPr>
          <w:rFonts w:ascii="Book Antiqua" w:eastAsiaTheme="minorHAnsi" w:hAnsi="Book Antiqua" w:cstheme="majorHAnsi"/>
          <w:sz w:val="24"/>
          <w:szCs w:val="24"/>
        </w:rPr>
      </w:pPr>
    </w:p>
    <w:p w14:paraId="2968EB56" w14:textId="77777777" w:rsidR="00357075" w:rsidRPr="00110464" w:rsidRDefault="00357075" w:rsidP="006F6B36">
      <w:pPr>
        <w:snapToGrid w:val="0"/>
        <w:spacing w:line="360" w:lineRule="auto"/>
        <w:rPr>
          <w:rFonts w:ascii="Book Antiqua" w:eastAsiaTheme="minorHAnsi" w:hAnsi="Book Antiqua" w:cstheme="majorHAnsi"/>
          <w:sz w:val="24"/>
          <w:szCs w:val="24"/>
        </w:rPr>
      </w:pPr>
      <w:r w:rsidRPr="00110464">
        <w:rPr>
          <w:rFonts w:ascii="Book Antiqua" w:eastAsiaTheme="minorHAnsi" w:hAnsi="Book Antiqua" w:cstheme="majorHAnsi"/>
          <w:sz w:val="24"/>
          <w:szCs w:val="24"/>
        </w:rPr>
        <w:t xml:space="preserve">Iwaya Y </w:t>
      </w:r>
      <w:r w:rsidRPr="00110464">
        <w:rPr>
          <w:rFonts w:ascii="Book Antiqua" w:eastAsiaTheme="minorHAnsi" w:hAnsi="Book Antiqua" w:cstheme="majorHAnsi"/>
          <w:i/>
          <w:sz w:val="24"/>
          <w:szCs w:val="24"/>
        </w:rPr>
        <w:t>et al</w:t>
      </w:r>
      <w:r w:rsidRPr="00110464">
        <w:rPr>
          <w:rFonts w:ascii="Book Antiqua" w:eastAsiaTheme="minorHAnsi" w:hAnsi="Book Antiqua" w:cstheme="majorHAnsi"/>
          <w:sz w:val="24"/>
          <w:szCs w:val="24"/>
        </w:rPr>
        <w:t xml:space="preserve">. </w:t>
      </w:r>
      <w:bookmarkStart w:id="10" w:name="OLE_LINK82"/>
      <w:bookmarkStart w:id="11" w:name="OLE_LINK83"/>
      <w:r w:rsidR="00FE2ABA" w:rsidRPr="00110464">
        <w:rPr>
          <w:rFonts w:ascii="Book Antiqua" w:hAnsi="Book Antiqua" w:cstheme="majorHAnsi"/>
          <w:sz w:val="24"/>
          <w:szCs w:val="24"/>
          <w:lang w:val="es-ES"/>
        </w:rPr>
        <w:t>Early Barrett’s neoplasia in young patients</w:t>
      </w:r>
      <w:bookmarkEnd w:id="10"/>
      <w:bookmarkEnd w:id="11"/>
    </w:p>
    <w:p w14:paraId="391911BE" w14:textId="77777777" w:rsidR="00357075" w:rsidRPr="00110464" w:rsidRDefault="00357075" w:rsidP="006F6B36">
      <w:pPr>
        <w:snapToGrid w:val="0"/>
        <w:spacing w:line="360" w:lineRule="auto"/>
        <w:rPr>
          <w:rFonts w:ascii="Book Antiqua" w:eastAsiaTheme="minorHAnsi" w:hAnsi="Book Antiqua" w:cstheme="majorHAnsi"/>
          <w:sz w:val="24"/>
          <w:szCs w:val="24"/>
        </w:rPr>
      </w:pPr>
    </w:p>
    <w:p w14:paraId="11CA7527" w14:textId="38DF589E"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eastAsiaTheme="minorHAnsi" w:hAnsi="Book Antiqua" w:cstheme="majorHAnsi"/>
          <w:sz w:val="24"/>
          <w:szCs w:val="24"/>
        </w:rPr>
        <w:t xml:space="preserve">Yugo </w:t>
      </w:r>
      <w:proofErr w:type="spellStart"/>
      <w:r w:rsidRPr="00110464">
        <w:rPr>
          <w:rFonts w:ascii="Book Antiqua" w:eastAsiaTheme="minorHAnsi" w:hAnsi="Book Antiqua" w:cstheme="majorHAnsi"/>
          <w:sz w:val="24"/>
          <w:szCs w:val="24"/>
        </w:rPr>
        <w:t>Iwaya</w:t>
      </w:r>
      <w:proofErr w:type="spellEnd"/>
      <w:r w:rsidRPr="00110464">
        <w:rPr>
          <w:rFonts w:ascii="Book Antiqua" w:eastAsiaTheme="minorHAnsi" w:hAnsi="Book Antiqua" w:cstheme="majorHAnsi"/>
          <w:sz w:val="24"/>
          <w:szCs w:val="24"/>
        </w:rPr>
        <w:t xml:space="preserve">, </w:t>
      </w:r>
      <w:proofErr w:type="spellStart"/>
      <w:r w:rsidRPr="00110464">
        <w:rPr>
          <w:rFonts w:ascii="Book Antiqua" w:eastAsiaTheme="minorHAnsi" w:hAnsi="Book Antiqua" w:cstheme="majorHAnsi"/>
          <w:sz w:val="24"/>
          <w:szCs w:val="24"/>
        </w:rPr>
        <w:t>Yuto</w:t>
      </w:r>
      <w:proofErr w:type="spellEnd"/>
      <w:r w:rsidRPr="00110464">
        <w:rPr>
          <w:rFonts w:ascii="Book Antiqua" w:eastAsiaTheme="minorHAnsi" w:hAnsi="Book Antiqua" w:cstheme="majorHAnsi"/>
          <w:sz w:val="24"/>
          <w:szCs w:val="24"/>
        </w:rPr>
        <w:t xml:space="preserve"> </w:t>
      </w:r>
      <w:proofErr w:type="spellStart"/>
      <w:r w:rsidRPr="00110464">
        <w:rPr>
          <w:rFonts w:ascii="Book Antiqua" w:eastAsiaTheme="minorHAnsi" w:hAnsi="Book Antiqua" w:cstheme="majorHAnsi"/>
          <w:sz w:val="24"/>
          <w:szCs w:val="24"/>
        </w:rPr>
        <w:t>Shimamura</w:t>
      </w:r>
      <w:proofErr w:type="spellEnd"/>
      <w:r w:rsidRPr="00110464">
        <w:rPr>
          <w:rFonts w:ascii="Book Antiqua" w:eastAsiaTheme="minorHAnsi" w:hAnsi="Book Antiqua" w:cstheme="majorHAnsi"/>
          <w:sz w:val="24"/>
          <w:szCs w:val="24"/>
        </w:rPr>
        <w:t>,</w:t>
      </w:r>
      <w:r w:rsidRPr="00110464">
        <w:rPr>
          <w:rFonts w:ascii="Book Antiqua" w:hAnsi="Book Antiqua" w:cstheme="majorHAnsi"/>
          <w:sz w:val="24"/>
          <w:szCs w:val="24"/>
        </w:rPr>
        <w:t xml:space="preserve"> Kenichi </w:t>
      </w:r>
      <w:proofErr w:type="spellStart"/>
      <w:r w:rsidRPr="00110464">
        <w:rPr>
          <w:rFonts w:ascii="Book Antiqua" w:hAnsi="Book Antiqua" w:cstheme="majorHAnsi"/>
          <w:sz w:val="24"/>
          <w:szCs w:val="24"/>
        </w:rPr>
        <w:t>Goda</w:t>
      </w:r>
      <w:proofErr w:type="spellEnd"/>
      <w:r w:rsidRPr="00110464">
        <w:rPr>
          <w:rFonts w:ascii="Book Antiqua" w:hAnsi="Book Antiqua" w:cstheme="majorHAnsi"/>
          <w:sz w:val="24"/>
          <w:szCs w:val="24"/>
        </w:rPr>
        <w:t>,</w:t>
      </w:r>
      <w:r w:rsidRPr="00110464">
        <w:rPr>
          <w:rFonts w:ascii="Book Antiqua" w:eastAsiaTheme="minorHAnsi" w:hAnsi="Book Antiqua" w:cstheme="majorHAnsi"/>
          <w:sz w:val="24"/>
          <w:szCs w:val="24"/>
        </w:rPr>
        <w:t xml:space="preserve"> Enrique Rodríguez de Santiago,</w:t>
      </w:r>
      <w:r w:rsidRPr="00110464">
        <w:rPr>
          <w:rFonts w:ascii="Book Antiqua" w:hAnsi="Book Antiqua" w:cstheme="majorHAnsi"/>
          <w:sz w:val="24"/>
          <w:szCs w:val="24"/>
        </w:rPr>
        <w:t xml:space="preserve"> J</w:t>
      </w:r>
      <w:r w:rsidR="00445FE2" w:rsidRPr="00110464">
        <w:rPr>
          <w:rFonts w:ascii="Book Antiqua" w:hAnsi="Book Antiqua" w:cstheme="majorHAnsi"/>
          <w:sz w:val="24"/>
          <w:szCs w:val="24"/>
        </w:rPr>
        <w:t>ohn</w:t>
      </w:r>
      <w:r w:rsidRPr="00110464">
        <w:rPr>
          <w:rFonts w:ascii="Book Antiqua" w:hAnsi="Book Antiqua" w:cstheme="majorHAnsi"/>
          <w:sz w:val="24"/>
          <w:szCs w:val="24"/>
        </w:rPr>
        <w:t xml:space="preserve"> Gerard </w:t>
      </w:r>
      <w:proofErr w:type="spellStart"/>
      <w:r w:rsidRPr="00110464">
        <w:rPr>
          <w:rFonts w:ascii="Book Antiqua" w:hAnsi="Book Antiqua" w:cstheme="majorHAnsi"/>
          <w:sz w:val="24"/>
          <w:szCs w:val="24"/>
        </w:rPr>
        <w:t>Coneys</w:t>
      </w:r>
      <w:proofErr w:type="spellEnd"/>
      <w:r w:rsidRPr="00110464">
        <w:rPr>
          <w:rFonts w:ascii="Book Antiqua" w:hAnsi="Book Antiqua" w:cstheme="majorHAnsi"/>
          <w:sz w:val="24"/>
          <w:szCs w:val="24"/>
        </w:rPr>
        <w:t>,</w:t>
      </w:r>
      <w:r w:rsidRPr="00110464">
        <w:rPr>
          <w:rFonts w:ascii="Book Antiqua" w:eastAsiaTheme="minorHAnsi" w:hAnsi="Book Antiqua" w:cstheme="majorHAnsi"/>
          <w:sz w:val="24"/>
          <w:szCs w:val="24"/>
        </w:rPr>
        <w:t xml:space="preserve"> Jeffrey </w:t>
      </w:r>
      <w:r w:rsidR="00BA1E1D" w:rsidRPr="00110464">
        <w:rPr>
          <w:rFonts w:ascii="Book Antiqua" w:eastAsiaTheme="minorHAnsi" w:hAnsi="Book Antiqua" w:cstheme="majorHAnsi"/>
          <w:sz w:val="24"/>
          <w:szCs w:val="24"/>
        </w:rPr>
        <w:t xml:space="preserve">D </w:t>
      </w:r>
      <w:proofErr w:type="spellStart"/>
      <w:r w:rsidRPr="00110464">
        <w:rPr>
          <w:rFonts w:ascii="Book Antiqua" w:eastAsiaTheme="minorHAnsi" w:hAnsi="Book Antiqua" w:cstheme="majorHAnsi"/>
          <w:sz w:val="24"/>
          <w:szCs w:val="24"/>
        </w:rPr>
        <w:t>Mosko</w:t>
      </w:r>
      <w:proofErr w:type="spellEnd"/>
      <w:r w:rsidRPr="00110464">
        <w:rPr>
          <w:rFonts w:ascii="Book Antiqua" w:eastAsiaTheme="minorHAnsi" w:hAnsi="Book Antiqua" w:cstheme="majorHAnsi"/>
          <w:sz w:val="24"/>
          <w:szCs w:val="24"/>
        </w:rPr>
        <w:t xml:space="preserve">, Gabor </w:t>
      </w:r>
      <w:proofErr w:type="spellStart"/>
      <w:r w:rsidRPr="00110464">
        <w:rPr>
          <w:rFonts w:ascii="Book Antiqua" w:eastAsiaTheme="minorHAnsi" w:hAnsi="Book Antiqua" w:cstheme="majorHAnsi"/>
          <w:sz w:val="24"/>
          <w:szCs w:val="24"/>
        </w:rPr>
        <w:t>Kandel</w:t>
      </w:r>
      <w:proofErr w:type="spellEnd"/>
      <w:r w:rsidRPr="00110464">
        <w:rPr>
          <w:rFonts w:ascii="Book Antiqua" w:eastAsiaTheme="minorHAnsi" w:hAnsi="Book Antiqua" w:cstheme="majorHAnsi"/>
          <w:sz w:val="24"/>
          <w:szCs w:val="24"/>
        </w:rPr>
        <w:t xml:space="preserve">, Paul </w:t>
      </w:r>
      <w:proofErr w:type="spellStart"/>
      <w:r w:rsidRPr="00110464">
        <w:rPr>
          <w:rFonts w:ascii="Book Antiqua" w:eastAsiaTheme="minorHAnsi" w:hAnsi="Book Antiqua" w:cstheme="majorHAnsi"/>
          <w:sz w:val="24"/>
          <w:szCs w:val="24"/>
        </w:rPr>
        <w:t>Kortan</w:t>
      </w:r>
      <w:proofErr w:type="spellEnd"/>
      <w:r w:rsidRPr="00110464">
        <w:rPr>
          <w:rFonts w:ascii="Book Antiqua" w:eastAsiaTheme="minorHAnsi" w:hAnsi="Book Antiqua" w:cstheme="majorHAnsi"/>
          <w:sz w:val="24"/>
          <w:szCs w:val="24"/>
        </w:rPr>
        <w:t xml:space="preserve">, Gary May, Norman </w:t>
      </w:r>
      <w:proofErr w:type="spellStart"/>
      <w:r w:rsidRPr="00110464">
        <w:rPr>
          <w:rFonts w:ascii="Book Antiqua" w:eastAsiaTheme="minorHAnsi" w:hAnsi="Book Antiqua" w:cstheme="majorHAnsi"/>
          <w:sz w:val="24"/>
          <w:szCs w:val="24"/>
        </w:rPr>
        <w:t>Marcon</w:t>
      </w:r>
      <w:proofErr w:type="spellEnd"/>
      <w:r w:rsidRPr="00110464">
        <w:rPr>
          <w:rFonts w:ascii="Book Antiqua" w:hAnsi="Book Antiqua" w:cstheme="majorHAnsi"/>
          <w:sz w:val="24"/>
          <w:szCs w:val="24"/>
        </w:rPr>
        <w:t xml:space="preserve">, </w:t>
      </w:r>
      <w:r w:rsidRPr="00110464">
        <w:rPr>
          <w:rFonts w:ascii="Book Antiqua" w:eastAsiaTheme="minorHAnsi" w:hAnsi="Book Antiqua" w:cstheme="majorHAnsi"/>
          <w:sz w:val="24"/>
          <w:szCs w:val="24"/>
        </w:rPr>
        <w:t>Christopher</w:t>
      </w:r>
      <w:r w:rsidR="00A73027" w:rsidRPr="00110464">
        <w:rPr>
          <w:rFonts w:ascii="Book Antiqua" w:eastAsiaTheme="minorHAnsi" w:hAnsi="Book Antiqua" w:cstheme="majorHAnsi"/>
          <w:sz w:val="24"/>
          <w:szCs w:val="24"/>
        </w:rPr>
        <w:t xml:space="preserve"> </w:t>
      </w:r>
      <w:proofErr w:type="spellStart"/>
      <w:r w:rsidRPr="00110464">
        <w:rPr>
          <w:rFonts w:ascii="Book Antiqua" w:eastAsiaTheme="minorHAnsi" w:hAnsi="Book Antiqua" w:cstheme="majorHAnsi"/>
          <w:sz w:val="24"/>
          <w:szCs w:val="24"/>
        </w:rPr>
        <w:t>Teshima</w:t>
      </w:r>
      <w:proofErr w:type="spellEnd"/>
    </w:p>
    <w:p w14:paraId="1EFD0574" w14:textId="77777777" w:rsidR="00D4398F" w:rsidRPr="00110464" w:rsidRDefault="00D4398F" w:rsidP="006F6B36">
      <w:pPr>
        <w:snapToGrid w:val="0"/>
        <w:spacing w:line="360" w:lineRule="auto"/>
        <w:rPr>
          <w:rFonts w:ascii="Book Antiqua" w:hAnsi="Book Antiqua" w:cstheme="majorHAnsi"/>
          <w:sz w:val="24"/>
          <w:szCs w:val="24"/>
        </w:rPr>
      </w:pPr>
    </w:p>
    <w:p w14:paraId="6BC6F407" w14:textId="67EE5C0D" w:rsidR="00D4398F" w:rsidRPr="00110464" w:rsidRDefault="00445FE2" w:rsidP="006F6B36">
      <w:pPr>
        <w:snapToGrid w:val="0"/>
        <w:spacing w:line="360" w:lineRule="auto"/>
        <w:rPr>
          <w:rFonts w:ascii="Book Antiqua" w:eastAsiaTheme="minorHAnsi" w:hAnsi="Book Antiqua" w:cstheme="majorHAnsi"/>
          <w:sz w:val="24"/>
          <w:szCs w:val="24"/>
        </w:rPr>
      </w:pPr>
      <w:r w:rsidRPr="00110464">
        <w:rPr>
          <w:rFonts w:ascii="Book Antiqua" w:eastAsiaTheme="minorHAnsi" w:hAnsi="Book Antiqua" w:cstheme="majorHAnsi"/>
          <w:b/>
          <w:sz w:val="24"/>
          <w:szCs w:val="24"/>
        </w:rPr>
        <w:t xml:space="preserve">Yugo </w:t>
      </w:r>
      <w:proofErr w:type="spellStart"/>
      <w:r w:rsidRPr="00110464">
        <w:rPr>
          <w:rFonts w:ascii="Book Antiqua" w:eastAsiaTheme="minorHAnsi" w:hAnsi="Book Antiqua" w:cstheme="majorHAnsi"/>
          <w:b/>
          <w:sz w:val="24"/>
          <w:szCs w:val="24"/>
        </w:rPr>
        <w:t>Iwaya</w:t>
      </w:r>
      <w:proofErr w:type="spellEnd"/>
      <w:r w:rsidRPr="00110464">
        <w:rPr>
          <w:rFonts w:ascii="Book Antiqua" w:eastAsiaTheme="minorHAnsi" w:hAnsi="Book Antiqua" w:cstheme="majorHAnsi"/>
          <w:b/>
          <w:sz w:val="24"/>
          <w:szCs w:val="24"/>
        </w:rPr>
        <w:t xml:space="preserve">, </w:t>
      </w:r>
      <w:proofErr w:type="spellStart"/>
      <w:r w:rsidRPr="00110464">
        <w:rPr>
          <w:rFonts w:ascii="Book Antiqua" w:eastAsiaTheme="minorHAnsi" w:hAnsi="Book Antiqua" w:cstheme="majorHAnsi"/>
          <w:b/>
          <w:sz w:val="24"/>
          <w:szCs w:val="24"/>
        </w:rPr>
        <w:t>Yuto</w:t>
      </w:r>
      <w:proofErr w:type="spellEnd"/>
      <w:r w:rsidRPr="00110464">
        <w:rPr>
          <w:rFonts w:ascii="Book Antiqua" w:eastAsiaTheme="minorHAnsi" w:hAnsi="Book Antiqua" w:cstheme="majorHAnsi"/>
          <w:b/>
          <w:sz w:val="24"/>
          <w:szCs w:val="24"/>
        </w:rPr>
        <w:t xml:space="preserve"> </w:t>
      </w:r>
      <w:proofErr w:type="spellStart"/>
      <w:r w:rsidRPr="00110464">
        <w:rPr>
          <w:rFonts w:ascii="Book Antiqua" w:eastAsiaTheme="minorHAnsi" w:hAnsi="Book Antiqua" w:cstheme="majorHAnsi"/>
          <w:b/>
          <w:sz w:val="24"/>
          <w:szCs w:val="24"/>
        </w:rPr>
        <w:t>Shimamura</w:t>
      </w:r>
      <w:proofErr w:type="spellEnd"/>
      <w:r w:rsidRPr="00110464">
        <w:rPr>
          <w:rFonts w:ascii="Book Antiqua" w:eastAsiaTheme="minorHAnsi" w:hAnsi="Book Antiqua" w:cstheme="majorHAnsi"/>
          <w:b/>
          <w:sz w:val="24"/>
          <w:szCs w:val="24"/>
        </w:rPr>
        <w:t>,</w:t>
      </w:r>
      <w:r w:rsidRPr="00110464">
        <w:rPr>
          <w:rFonts w:ascii="Book Antiqua" w:hAnsi="Book Antiqua" w:cstheme="majorHAnsi"/>
          <w:b/>
          <w:sz w:val="24"/>
          <w:szCs w:val="24"/>
        </w:rPr>
        <w:t xml:space="preserve"> John Gerard </w:t>
      </w:r>
      <w:proofErr w:type="spellStart"/>
      <w:r w:rsidRPr="00110464">
        <w:rPr>
          <w:rFonts w:ascii="Book Antiqua" w:hAnsi="Book Antiqua" w:cstheme="majorHAnsi"/>
          <w:b/>
          <w:sz w:val="24"/>
          <w:szCs w:val="24"/>
        </w:rPr>
        <w:t>Coneys</w:t>
      </w:r>
      <w:proofErr w:type="spellEnd"/>
      <w:r w:rsidRPr="00110464">
        <w:rPr>
          <w:rFonts w:ascii="Book Antiqua" w:hAnsi="Book Antiqua" w:cstheme="majorHAnsi"/>
          <w:b/>
          <w:sz w:val="24"/>
          <w:szCs w:val="24"/>
        </w:rPr>
        <w:t>,</w:t>
      </w:r>
      <w:r w:rsidRPr="00110464">
        <w:rPr>
          <w:rFonts w:ascii="Book Antiqua" w:eastAsiaTheme="minorHAnsi" w:hAnsi="Book Antiqua" w:cstheme="majorHAnsi"/>
          <w:b/>
          <w:sz w:val="24"/>
          <w:szCs w:val="24"/>
        </w:rPr>
        <w:t xml:space="preserve"> Jeffrey </w:t>
      </w:r>
      <w:r w:rsidR="00BA1E1D" w:rsidRPr="00110464">
        <w:rPr>
          <w:rFonts w:ascii="Book Antiqua" w:eastAsiaTheme="minorHAnsi" w:hAnsi="Book Antiqua" w:cstheme="majorHAnsi"/>
          <w:b/>
          <w:sz w:val="24"/>
          <w:szCs w:val="24"/>
        </w:rPr>
        <w:t xml:space="preserve">D </w:t>
      </w:r>
      <w:proofErr w:type="spellStart"/>
      <w:r w:rsidRPr="00110464">
        <w:rPr>
          <w:rFonts w:ascii="Book Antiqua" w:eastAsiaTheme="minorHAnsi" w:hAnsi="Book Antiqua" w:cstheme="majorHAnsi"/>
          <w:b/>
          <w:sz w:val="24"/>
          <w:szCs w:val="24"/>
        </w:rPr>
        <w:t>Mosko</w:t>
      </w:r>
      <w:proofErr w:type="spellEnd"/>
      <w:r w:rsidRPr="00110464">
        <w:rPr>
          <w:rFonts w:ascii="Book Antiqua" w:eastAsiaTheme="minorHAnsi" w:hAnsi="Book Antiqua" w:cstheme="majorHAnsi"/>
          <w:b/>
          <w:sz w:val="24"/>
          <w:szCs w:val="24"/>
        </w:rPr>
        <w:t xml:space="preserve">, Gabor </w:t>
      </w:r>
      <w:proofErr w:type="spellStart"/>
      <w:r w:rsidRPr="00110464">
        <w:rPr>
          <w:rFonts w:ascii="Book Antiqua" w:eastAsiaTheme="minorHAnsi" w:hAnsi="Book Antiqua" w:cstheme="majorHAnsi"/>
          <w:b/>
          <w:sz w:val="24"/>
          <w:szCs w:val="24"/>
        </w:rPr>
        <w:t>Kandel</w:t>
      </w:r>
      <w:proofErr w:type="spellEnd"/>
      <w:r w:rsidRPr="00110464">
        <w:rPr>
          <w:rFonts w:ascii="Book Antiqua" w:eastAsiaTheme="minorHAnsi" w:hAnsi="Book Antiqua" w:cstheme="majorHAnsi"/>
          <w:b/>
          <w:sz w:val="24"/>
          <w:szCs w:val="24"/>
        </w:rPr>
        <w:t>, Paul</w:t>
      </w:r>
      <w:r w:rsidR="00A73027" w:rsidRPr="00110464">
        <w:rPr>
          <w:rFonts w:ascii="Book Antiqua" w:eastAsiaTheme="minorHAnsi" w:hAnsi="Book Antiqua" w:cstheme="majorHAnsi"/>
          <w:b/>
          <w:sz w:val="24"/>
          <w:szCs w:val="24"/>
        </w:rPr>
        <w:t xml:space="preserve"> </w:t>
      </w:r>
      <w:proofErr w:type="spellStart"/>
      <w:r w:rsidRPr="00110464">
        <w:rPr>
          <w:rFonts w:ascii="Book Antiqua" w:eastAsiaTheme="minorHAnsi" w:hAnsi="Book Antiqua" w:cstheme="majorHAnsi"/>
          <w:b/>
          <w:sz w:val="24"/>
          <w:szCs w:val="24"/>
        </w:rPr>
        <w:t>Kortan</w:t>
      </w:r>
      <w:proofErr w:type="spellEnd"/>
      <w:r w:rsidRPr="00110464">
        <w:rPr>
          <w:rFonts w:ascii="Book Antiqua" w:eastAsiaTheme="minorHAnsi" w:hAnsi="Book Antiqua" w:cstheme="majorHAnsi"/>
          <w:b/>
          <w:sz w:val="24"/>
          <w:szCs w:val="24"/>
        </w:rPr>
        <w:t xml:space="preserve">, Gary May, Norman </w:t>
      </w:r>
      <w:proofErr w:type="spellStart"/>
      <w:r w:rsidRPr="00110464">
        <w:rPr>
          <w:rFonts w:ascii="Book Antiqua" w:eastAsiaTheme="minorHAnsi" w:hAnsi="Book Antiqua" w:cstheme="majorHAnsi"/>
          <w:b/>
          <w:sz w:val="24"/>
          <w:szCs w:val="24"/>
        </w:rPr>
        <w:t>Marcon</w:t>
      </w:r>
      <w:proofErr w:type="spellEnd"/>
      <w:r w:rsidRPr="00110464">
        <w:rPr>
          <w:rFonts w:ascii="Book Antiqua" w:hAnsi="Book Antiqua" w:cstheme="majorHAnsi"/>
          <w:b/>
          <w:sz w:val="24"/>
          <w:szCs w:val="24"/>
        </w:rPr>
        <w:t xml:space="preserve">, </w:t>
      </w:r>
      <w:r w:rsidRPr="00110464">
        <w:rPr>
          <w:rFonts w:ascii="Book Antiqua" w:eastAsiaTheme="minorHAnsi" w:hAnsi="Book Antiqua" w:cstheme="majorHAnsi"/>
          <w:b/>
          <w:sz w:val="24"/>
          <w:szCs w:val="24"/>
        </w:rPr>
        <w:t xml:space="preserve">Christopher </w:t>
      </w:r>
      <w:proofErr w:type="spellStart"/>
      <w:r w:rsidRPr="00110464">
        <w:rPr>
          <w:rFonts w:ascii="Book Antiqua" w:eastAsiaTheme="minorHAnsi" w:hAnsi="Book Antiqua" w:cstheme="majorHAnsi"/>
          <w:b/>
          <w:sz w:val="24"/>
          <w:szCs w:val="24"/>
        </w:rPr>
        <w:t>Teshima</w:t>
      </w:r>
      <w:proofErr w:type="spellEnd"/>
      <w:r w:rsidRPr="00110464">
        <w:rPr>
          <w:rFonts w:ascii="Book Antiqua" w:hAnsi="Book Antiqua" w:cstheme="majorHAnsi"/>
          <w:b/>
          <w:sz w:val="24"/>
          <w:szCs w:val="24"/>
        </w:rPr>
        <w:t xml:space="preserve">, </w:t>
      </w:r>
      <w:r w:rsidR="00D4398F" w:rsidRPr="00110464">
        <w:rPr>
          <w:rFonts w:ascii="Book Antiqua" w:eastAsiaTheme="minorHAnsi" w:hAnsi="Book Antiqua" w:cstheme="majorHAnsi"/>
          <w:sz w:val="24"/>
          <w:szCs w:val="24"/>
        </w:rPr>
        <w:t>Advanced Therapeutic Endoscopy Centre, St Michael’s Hospital, University of Toronto, Toronto</w:t>
      </w:r>
      <w:r w:rsidR="0053718E" w:rsidRPr="00110464">
        <w:rPr>
          <w:rFonts w:ascii="Book Antiqua" w:eastAsiaTheme="minorHAnsi" w:hAnsi="Book Antiqua" w:cstheme="majorHAnsi"/>
          <w:sz w:val="24"/>
          <w:szCs w:val="24"/>
        </w:rPr>
        <w:t xml:space="preserve"> M5B 1W8</w:t>
      </w:r>
      <w:r w:rsidR="00D4398F" w:rsidRPr="00110464">
        <w:rPr>
          <w:rFonts w:ascii="Book Antiqua" w:eastAsiaTheme="minorHAnsi" w:hAnsi="Book Antiqua" w:cstheme="majorHAnsi"/>
          <w:sz w:val="24"/>
          <w:szCs w:val="24"/>
        </w:rPr>
        <w:t xml:space="preserve">, </w:t>
      </w:r>
      <w:r w:rsidR="0053718E" w:rsidRPr="00110464">
        <w:rPr>
          <w:rFonts w:ascii="Book Antiqua" w:eastAsiaTheme="minorHAnsi" w:hAnsi="Book Antiqua" w:cstheme="majorHAnsi"/>
          <w:sz w:val="24"/>
          <w:szCs w:val="24"/>
        </w:rPr>
        <w:t>Ontario</w:t>
      </w:r>
      <w:r w:rsidRPr="00110464">
        <w:rPr>
          <w:rFonts w:ascii="Book Antiqua" w:eastAsiaTheme="minorHAnsi" w:hAnsi="Book Antiqua" w:cstheme="majorHAnsi"/>
          <w:sz w:val="24"/>
          <w:szCs w:val="24"/>
        </w:rPr>
        <w:t xml:space="preserve">, </w:t>
      </w:r>
      <w:r w:rsidR="00D4398F" w:rsidRPr="00110464">
        <w:rPr>
          <w:rFonts w:ascii="Book Antiqua" w:eastAsiaTheme="minorHAnsi" w:hAnsi="Book Antiqua" w:cstheme="majorHAnsi"/>
          <w:sz w:val="24"/>
          <w:szCs w:val="24"/>
        </w:rPr>
        <w:t>Canada</w:t>
      </w:r>
    </w:p>
    <w:p w14:paraId="4A8C95EC" w14:textId="77777777" w:rsidR="009122BE" w:rsidRPr="00110464" w:rsidRDefault="009122BE" w:rsidP="006F6B36">
      <w:pPr>
        <w:snapToGrid w:val="0"/>
        <w:spacing w:line="360" w:lineRule="auto"/>
        <w:rPr>
          <w:rFonts w:ascii="Book Antiqua" w:eastAsiaTheme="minorHAnsi" w:hAnsi="Book Antiqua" w:cstheme="majorHAnsi"/>
          <w:sz w:val="24"/>
          <w:szCs w:val="24"/>
        </w:rPr>
      </w:pPr>
    </w:p>
    <w:p w14:paraId="0E604F6F" w14:textId="5E1B04F3" w:rsidR="00D4398F" w:rsidRPr="00110464" w:rsidRDefault="00445FE2" w:rsidP="006F6B36">
      <w:pPr>
        <w:snapToGrid w:val="0"/>
        <w:spacing w:line="360" w:lineRule="auto"/>
        <w:rPr>
          <w:rFonts w:ascii="Book Antiqua" w:hAnsi="Book Antiqua" w:cstheme="majorHAnsi"/>
          <w:sz w:val="24"/>
          <w:szCs w:val="24"/>
        </w:rPr>
      </w:pPr>
      <w:r w:rsidRPr="00110464">
        <w:rPr>
          <w:rFonts w:ascii="Book Antiqua" w:hAnsi="Book Antiqua" w:cstheme="majorHAnsi"/>
          <w:b/>
          <w:sz w:val="24"/>
          <w:szCs w:val="24"/>
        </w:rPr>
        <w:t xml:space="preserve">Kenichi </w:t>
      </w:r>
      <w:proofErr w:type="spellStart"/>
      <w:r w:rsidRPr="00110464">
        <w:rPr>
          <w:rFonts w:ascii="Book Antiqua" w:hAnsi="Book Antiqua" w:cstheme="majorHAnsi"/>
          <w:b/>
          <w:sz w:val="24"/>
          <w:szCs w:val="24"/>
        </w:rPr>
        <w:t>Goda</w:t>
      </w:r>
      <w:proofErr w:type="spellEnd"/>
      <w:r w:rsidRPr="00110464">
        <w:rPr>
          <w:rFonts w:ascii="Book Antiqua" w:hAnsi="Book Antiqua" w:cstheme="majorHAnsi"/>
          <w:sz w:val="24"/>
          <w:szCs w:val="24"/>
        </w:rPr>
        <w:t xml:space="preserve">, </w:t>
      </w:r>
      <w:r w:rsidR="00D4398F" w:rsidRPr="00110464">
        <w:rPr>
          <w:rFonts w:ascii="Book Antiqua" w:hAnsi="Book Antiqua" w:cstheme="majorHAnsi"/>
          <w:sz w:val="24"/>
          <w:szCs w:val="24"/>
        </w:rPr>
        <w:t xml:space="preserve">Department of Gastroenterology, </w:t>
      </w:r>
      <w:proofErr w:type="spellStart"/>
      <w:r w:rsidR="00D4398F" w:rsidRPr="00110464">
        <w:rPr>
          <w:rFonts w:ascii="Book Antiqua" w:hAnsi="Book Antiqua" w:cstheme="majorHAnsi"/>
          <w:sz w:val="24"/>
          <w:szCs w:val="24"/>
        </w:rPr>
        <w:t>Dokkyo</w:t>
      </w:r>
      <w:proofErr w:type="spellEnd"/>
      <w:r w:rsidR="00D4398F" w:rsidRPr="00110464">
        <w:rPr>
          <w:rFonts w:ascii="Book Antiqua" w:hAnsi="Book Antiqua" w:cstheme="majorHAnsi"/>
          <w:sz w:val="24"/>
          <w:szCs w:val="24"/>
        </w:rPr>
        <w:t xml:space="preserve"> Medical University, Tochigi</w:t>
      </w:r>
      <w:r w:rsidR="00BA1E1D" w:rsidRPr="00110464">
        <w:rPr>
          <w:rFonts w:ascii="Book Antiqua" w:hAnsi="Book Antiqua" w:cstheme="majorHAnsi"/>
          <w:sz w:val="24"/>
          <w:szCs w:val="24"/>
        </w:rPr>
        <w:t xml:space="preserve"> 321-0293</w:t>
      </w:r>
      <w:r w:rsidR="00D4398F" w:rsidRPr="00110464">
        <w:rPr>
          <w:rFonts w:ascii="Book Antiqua" w:hAnsi="Book Antiqua" w:cstheme="majorHAnsi"/>
          <w:sz w:val="24"/>
          <w:szCs w:val="24"/>
        </w:rPr>
        <w:t>, Japan</w:t>
      </w:r>
    </w:p>
    <w:p w14:paraId="1FD420DB" w14:textId="77777777" w:rsidR="009122BE" w:rsidRPr="00110464" w:rsidRDefault="009122BE" w:rsidP="006F6B36">
      <w:pPr>
        <w:snapToGrid w:val="0"/>
        <w:spacing w:line="360" w:lineRule="auto"/>
        <w:rPr>
          <w:rFonts w:ascii="Book Antiqua" w:hAnsi="Book Antiqua" w:cstheme="majorHAnsi"/>
          <w:sz w:val="24"/>
          <w:szCs w:val="24"/>
        </w:rPr>
      </w:pPr>
    </w:p>
    <w:p w14:paraId="27FD28A2" w14:textId="2225656F" w:rsidR="00FE2ABA" w:rsidRPr="00110464" w:rsidRDefault="00FE2ABA" w:rsidP="006F6B36">
      <w:pPr>
        <w:snapToGrid w:val="0"/>
        <w:spacing w:line="360" w:lineRule="auto"/>
        <w:rPr>
          <w:rFonts w:ascii="Book Antiqua" w:hAnsi="Book Antiqua" w:cstheme="majorHAnsi"/>
          <w:b/>
          <w:sz w:val="24"/>
          <w:szCs w:val="24"/>
          <w:lang w:val="es-ES"/>
        </w:rPr>
      </w:pPr>
      <w:r w:rsidRPr="00110464">
        <w:rPr>
          <w:rFonts w:ascii="Book Antiqua" w:eastAsiaTheme="minorHAnsi" w:hAnsi="Book Antiqua" w:cstheme="majorHAnsi"/>
          <w:b/>
          <w:sz w:val="24"/>
          <w:szCs w:val="24"/>
        </w:rPr>
        <w:t>Enrique Rodríguez de Santiago</w:t>
      </w:r>
      <w:r w:rsidRPr="00110464">
        <w:rPr>
          <w:rFonts w:ascii="Book Antiqua" w:eastAsiaTheme="minorHAnsi" w:hAnsi="Book Antiqua" w:cstheme="majorHAnsi"/>
          <w:sz w:val="24"/>
          <w:szCs w:val="24"/>
        </w:rPr>
        <w:t xml:space="preserve">, </w:t>
      </w:r>
      <w:r w:rsidR="0053718E" w:rsidRPr="00110464">
        <w:rPr>
          <w:rFonts w:ascii="Book Antiqua" w:eastAsiaTheme="minorHAnsi" w:hAnsi="Book Antiqua" w:cstheme="majorHAnsi"/>
          <w:sz w:val="24"/>
          <w:szCs w:val="24"/>
        </w:rPr>
        <w:t xml:space="preserve">Department of Gastroenterology, Ramón y </w:t>
      </w:r>
      <w:proofErr w:type="spellStart"/>
      <w:r w:rsidR="0053718E" w:rsidRPr="00110464">
        <w:rPr>
          <w:rFonts w:ascii="Book Antiqua" w:eastAsiaTheme="minorHAnsi" w:hAnsi="Book Antiqua" w:cstheme="majorHAnsi"/>
          <w:sz w:val="24"/>
          <w:szCs w:val="24"/>
        </w:rPr>
        <w:t>Cajal</w:t>
      </w:r>
      <w:proofErr w:type="spellEnd"/>
      <w:r w:rsidR="0053718E" w:rsidRPr="00110464">
        <w:rPr>
          <w:rFonts w:ascii="Book Antiqua" w:eastAsiaTheme="minorHAnsi" w:hAnsi="Book Antiqua" w:cstheme="majorHAnsi"/>
          <w:sz w:val="24"/>
          <w:szCs w:val="24"/>
        </w:rPr>
        <w:t xml:space="preserve"> university hospital, </w:t>
      </w:r>
      <w:r w:rsidRPr="00110464">
        <w:rPr>
          <w:rFonts w:ascii="Book Antiqua" w:hAnsi="Book Antiqua" w:cs="Times New Roman"/>
          <w:color w:val="000000" w:themeColor="text1"/>
          <w:kern w:val="0"/>
          <w:sz w:val="24"/>
          <w:szCs w:val="24"/>
          <w:lang w:val="es-ES"/>
        </w:rPr>
        <w:t>Madrid</w:t>
      </w:r>
      <w:r w:rsidR="0053718E" w:rsidRPr="00110464">
        <w:rPr>
          <w:rFonts w:ascii="Book Antiqua" w:hAnsi="Book Antiqua" w:cs="Times New Roman"/>
          <w:color w:val="000000" w:themeColor="text1"/>
          <w:kern w:val="0"/>
          <w:sz w:val="24"/>
          <w:szCs w:val="24"/>
          <w:lang w:val="es-ES"/>
        </w:rPr>
        <w:t xml:space="preserve"> 28034</w:t>
      </w:r>
      <w:r w:rsidRPr="00110464">
        <w:rPr>
          <w:rFonts w:ascii="Book Antiqua" w:hAnsi="Book Antiqua" w:cs="Times New Roman"/>
          <w:color w:val="000000" w:themeColor="text1"/>
          <w:kern w:val="0"/>
          <w:sz w:val="24"/>
          <w:szCs w:val="24"/>
          <w:lang w:val="es-ES"/>
        </w:rPr>
        <w:t>, Spain</w:t>
      </w:r>
    </w:p>
    <w:p w14:paraId="360C95BC" w14:textId="77777777" w:rsidR="00FE2ABA" w:rsidRPr="00110464" w:rsidRDefault="00FE2ABA" w:rsidP="006F6B36">
      <w:pPr>
        <w:snapToGrid w:val="0"/>
        <w:spacing w:line="360" w:lineRule="auto"/>
        <w:rPr>
          <w:rFonts w:ascii="Book Antiqua" w:hAnsi="Book Antiqua" w:cstheme="majorHAnsi"/>
          <w:b/>
          <w:sz w:val="24"/>
          <w:szCs w:val="24"/>
          <w:lang w:val="es-ES"/>
        </w:rPr>
      </w:pPr>
    </w:p>
    <w:p w14:paraId="1BD920B2" w14:textId="4BAAA4EE" w:rsidR="00FE2ABA" w:rsidRPr="00110464" w:rsidRDefault="008A31E3" w:rsidP="006F6B36">
      <w:pPr>
        <w:snapToGrid w:val="0"/>
        <w:spacing w:line="360" w:lineRule="auto"/>
        <w:rPr>
          <w:rFonts w:ascii="Book Antiqua" w:hAnsi="Book Antiqua" w:cstheme="majorHAnsi"/>
          <w:sz w:val="24"/>
          <w:szCs w:val="24"/>
          <w:lang w:val="es-ES"/>
        </w:rPr>
      </w:pPr>
      <w:r w:rsidRPr="00110464">
        <w:rPr>
          <w:rFonts w:ascii="Book Antiqua" w:eastAsia="MS PMincho" w:hAnsi="Book Antiqua" w:cs="Times New Roman"/>
          <w:b/>
          <w:bCs/>
          <w:color w:val="333333"/>
          <w:sz w:val="24"/>
          <w:szCs w:val="24"/>
          <w:shd w:val="clear" w:color="auto" w:fill="FFFFFF"/>
        </w:rPr>
        <w:t>ORCID number</w:t>
      </w:r>
      <w:r w:rsidRPr="00110464">
        <w:rPr>
          <w:rFonts w:ascii="Book Antiqua" w:eastAsia="MS PMincho" w:hAnsi="Book Antiqua" w:cs="Times New Roman"/>
          <w:b/>
          <w:bCs/>
          <w:color w:val="000000"/>
          <w:sz w:val="24"/>
          <w:szCs w:val="24"/>
          <w:lang w:val="en-GB"/>
        </w:rPr>
        <w:t xml:space="preserve">: </w:t>
      </w:r>
      <w:r w:rsidR="00FE2ABA" w:rsidRPr="00110464">
        <w:rPr>
          <w:rFonts w:ascii="Book Antiqua" w:hAnsi="Book Antiqua" w:cstheme="majorHAnsi"/>
          <w:sz w:val="24"/>
          <w:szCs w:val="24"/>
          <w:lang w:val="es-ES"/>
        </w:rPr>
        <w:t>Yugo Iwaya (0000-0002-2269-0132)</w:t>
      </w:r>
      <w:r w:rsidRPr="00110464">
        <w:rPr>
          <w:rFonts w:ascii="Book Antiqua" w:hAnsi="Book Antiqua" w:cstheme="majorHAnsi"/>
          <w:sz w:val="24"/>
          <w:szCs w:val="24"/>
          <w:lang w:val="es-ES"/>
        </w:rPr>
        <w:t>;</w:t>
      </w:r>
      <w:r w:rsidR="00FE2ABA" w:rsidRPr="00110464">
        <w:rPr>
          <w:rFonts w:ascii="Book Antiqua" w:hAnsi="Book Antiqua" w:cstheme="majorHAnsi"/>
          <w:sz w:val="24"/>
          <w:szCs w:val="24"/>
          <w:lang w:val="es-ES"/>
        </w:rPr>
        <w:t xml:space="preserve"> Yuto Shimamura (0000-0002-3831-8327)</w:t>
      </w:r>
      <w:r w:rsidRPr="00110464">
        <w:rPr>
          <w:rFonts w:ascii="Book Antiqua" w:hAnsi="Book Antiqua" w:cstheme="majorHAnsi"/>
          <w:sz w:val="24"/>
          <w:szCs w:val="24"/>
          <w:lang w:val="es-ES"/>
        </w:rPr>
        <w:t>;</w:t>
      </w:r>
      <w:r w:rsidR="00FE2ABA" w:rsidRPr="00110464">
        <w:rPr>
          <w:rFonts w:ascii="Book Antiqua" w:hAnsi="Book Antiqua" w:cstheme="majorHAnsi"/>
          <w:sz w:val="24"/>
          <w:szCs w:val="24"/>
          <w:lang w:val="es-ES"/>
        </w:rPr>
        <w:t xml:space="preserve"> </w:t>
      </w:r>
      <w:r w:rsidR="00FE2ABA" w:rsidRPr="00110464">
        <w:rPr>
          <w:rFonts w:ascii="Book Antiqua" w:hAnsi="Book Antiqua" w:cstheme="majorHAnsi"/>
          <w:sz w:val="24"/>
          <w:szCs w:val="24"/>
        </w:rPr>
        <w:t xml:space="preserve">Kenichi </w:t>
      </w:r>
      <w:proofErr w:type="spellStart"/>
      <w:r w:rsidR="00FE2ABA" w:rsidRPr="00110464">
        <w:rPr>
          <w:rFonts w:ascii="Book Antiqua" w:hAnsi="Book Antiqua" w:cstheme="majorHAnsi"/>
          <w:sz w:val="24"/>
          <w:szCs w:val="24"/>
        </w:rPr>
        <w:t>Goda</w:t>
      </w:r>
      <w:proofErr w:type="spellEnd"/>
      <w:r w:rsidR="00A73027" w:rsidRPr="00110464">
        <w:rPr>
          <w:rFonts w:ascii="Book Antiqua" w:hAnsi="Book Antiqua" w:cstheme="majorHAnsi"/>
          <w:sz w:val="24"/>
          <w:szCs w:val="24"/>
        </w:rPr>
        <w:t xml:space="preserve"> (0000-0002-0350-3151)</w:t>
      </w:r>
      <w:r w:rsidRPr="00110464">
        <w:rPr>
          <w:rFonts w:ascii="Book Antiqua" w:hAnsi="Book Antiqua" w:cstheme="majorHAnsi"/>
          <w:sz w:val="24"/>
          <w:szCs w:val="24"/>
        </w:rPr>
        <w:t xml:space="preserve">; </w:t>
      </w:r>
      <w:r w:rsidR="00FE2ABA" w:rsidRPr="00110464">
        <w:rPr>
          <w:rFonts w:ascii="Book Antiqua" w:eastAsiaTheme="minorHAnsi" w:hAnsi="Book Antiqua" w:cstheme="majorHAnsi"/>
          <w:sz w:val="24"/>
          <w:szCs w:val="24"/>
        </w:rPr>
        <w:t>Enrique Rodríguez de Santiago</w:t>
      </w:r>
      <w:r w:rsidR="00A73027" w:rsidRPr="00110464">
        <w:rPr>
          <w:rFonts w:ascii="Book Antiqua" w:eastAsiaTheme="minorHAnsi" w:hAnsi="Book Antiqua" w:cstheme="majorHAnsi"/>
          <w:sz w:val="24"/>
          <w:szCs w:val="24"/>
        </w:rPr>
        <w:t xml:space="preserve"> (0000-0002-2852-6042)</w:t>
      </w:r>
      <w:r w:rsidRPr="00110464">
        <w:rPr>
          <w:rFonts w:ascii="Book Antiqua" w:eastAsiaTheme="minorHAnsi" w:hAnsi="Book Antiqua" w:cstheme="majorHAnsi"/>
          <w:sz w:val="24"/>
          <w:szCs w:val="24"/>
        </w:rPr>
        <w:t>;</w:t>
      </w:r>
      <w:r w:rsidR="00FE2ABA" w:rsidRPr="00110464">
        <w:rPr>
          <w:rFonts w:ascii="Book Antiqua" w:hAnsi="Book Antiqua" w:cstheme="majorHAnsi"/>
          <w:sz w:val="24"/>
          <w:szCs w:val="24"/>
        </w:rPr>
        <w:t xml:space="preserve"> John Gerard </w:t>
      </w:r>
      <w:proofErr w:type="spellStart"/>
      <w:r w:rsidR="00FE2ABA" w:rsidRPr="00110464">
        <w:rPr>
          <w:rFonts w:ascii="Book Antiqua" w:hAnsi="Book Antiqua" w:cstheme="majorHAnsi"/>
          <w:sz w:val="24"/>
          <w:szCs w:val="24"/>
        </w:rPr>
        <w:t>Coneys</w:t>
      </w:r>
      <w:proofErr w:type="spellEnd"/>
      <w:r w:rsidR="00A73027" w:rsidRPr="00110464">
        <w:rPr>
          <w:rFonts w:ascii="Book Antiqua" w:hAnsi="Book Antiqua" w:cstheme="majorHAnsi"/>
          <w:sz w:val="24"/>
          <w:szCs w:val="24"/>
        </w:rPr>
        <w:t xml:space="preserve"> (0000-0002-6245-0125)</w:t>
      </w:r>
      <w:r w:rsidRPr="00110464">
        <w:rPr>
          <w:rFonts w:ascii="Book Antiqua" w:hAnsi="Book Antiqua" w:cstheme="majorHAnsi"/>
          <w:sz w:val="24"/>
          <w:szCs w:val="24"/>
        </w:rPr>
        <w:t>;</w:t>
      </w:r>
      <w:r w:rsidR="00FE2ABA" w:rsidRPr="00110464">
        <w:rPr>
          <w:rFonts w:ascii="Book Antiqua" w:eastAsiaTheme="minorHAnsi" w:hAnsi="Book Antiqua" w:cstheme="majorHAnsi"/>
          <w:sz w:val="24"/>
          <w:szCs w:val="24"/>
        </w:rPr>
        <w:t xml:space="preserve"> Jeffrey</w:t>
      </w:r>
      <w:r w:rsidR="00A73027" w:rsidRPr="00110464">
        <w:rPr>
          <w:rFonts w:ascii="Book Antiqua" w:eastAsiaTheme="minorHAnsi" w:hAnsi="Book Antiqua" w:cstheme="majorHAnsi"/>
          <w:sz w:val="24"/>
          <w:szCs w:val="24"/>
        </w:rPr>
        <w:t xml:space="preserve"> </w:t>
      </w:r>
      <w:r w:rsidRPr="00110464">
        <w:rPr>
          <w:rFonts w:ascii="Book Antiqua" w:eastAsiaTheme="minorHAnsi" w:hAnsi="Book Antiqua" w:cstheme="majorHAnsi"/>
          <w:sz w:val="24"/>
          <w:szCs w:val="24"/>
        </w:rPr>
        <w:t xml:space="preserve">D </w:t>
      </w:r>
      <w:proofErr w:type="spellStart"/>
      <w:r w:rsidR="00FE2ABA" w:rsidRPr="00110464">
        <w:rPr>
          <w:rFonts w:ascii="Book Antiqua" w:eastAsiaTheme="minorHAnsi" w:hAnsi="Book Antiqua" w:cstheme="majorHAnsi"/>
          <w:sz w:val="24"/>
          <w:szCs w:val="24"/>
        </w:rPr>
        <w:t>Mosko</w:t>
      </w:r>
      <w:proofErr w:type="spellEnd"/>
      <w:r w:rsidR="00A73027" w:rsidRPr="00110464">
        <w:rPr>
          <w:rFonts w:ascii="Book Antiqua" w:eastAsiaTheme="minorHAnsi" w:hAnsi="Book Antiqua" w:cstheme="majorHAnsi"/>
          <w:sz w:val="24"/>
          <w:szCs w:val="24"/>
        </w:rPr>
        <w:t xml:space="preserve"> (0000-0003-2983-524X)</w:t>
      </w:r>
      <w:r w:rsidRPr="00110464">
        <w:rPr>
          <w:rFonts w:ascii="Book Antiqua" w:eastAsiaTheme="minorHAnsi" w:hAnsi="Book Antiqua" w:cstheme="majorHAnsi"/>
          <w:sz w:val="24"/>
          <w:szCs w:val="24"/>
        </w:rPr>
        <w:t>;</w:t>
      </w:r>
      <w:r w:rsidR="00FE2ABA" w:rsidRPr="00110464">
        <w:rPr>
          <w:rFonts w:ascii="Book Antiqua" w:eastAsiaTheme="minorHAnsi" w:hAnsi="Book Antiqua" w:cstheme="majorHAnsi"/>
          <w:sz w:val="24"/>
          <w:szCs w:val="24"/>
        </w:rPr>
        <w:t xml:space="preserve"> Gabor </w:t>
      </w:r>
      <w:proofErr w:type="spellStart"/>
      <w:r w:rsidR="00FE2ABA" w:rsidRPr="00110464">
        <w:rPr>
          <w:rFonts w:ascii="Book Antiqua" w:eastAsiaTheme="minorHAnsi" w:hAnsi="Book Antiqua" w:cstheme="majorHAnsi"/>
          <w:sz w:val="24"/>
          <w:szCs w:val="24"/>
        </w:rPr>
        <w:t>Kandel</w:t>
      </w:r>
      <w:proofErr w:type="spellEnd"/>
      <w:r w:rsidR="00A73027" w:rsidRPr="00110464">
        <w:rPr>
          <w:rFonts w:ascii="Book Antiqua" w:eastAsiaTheme="minorHAnsi" w:hAnsi="Book Antiqua" w:cstheme="majorHAnsi"/>
          <w:sz w:val="24"/>
          <w:szCs w:val="24"/>
        </w:rPr>
        <w:t xml:space="preserve"> (0000-0003-0016-338X)</w:t>
      </w:r>
      <w:r w:rsidRPr="00110464">
        <w:rPr>
          <w:rFonts w:ascii="Book Antiqua" w:eastAsiaTheme="minorHAnsi" w:hAnsi="Book Antiqua" w:cstheme="majorHAnsi"/>
          <w:sz w:val="24"/>
          <w:szCs w:val="24"/>
        </w:rPr>
        <w:t>;</w:t>
      </w:r>
      <w:r w:rsidR="00FE2ABA" w:rsidRPr="00110464">
        <w:rPr>
          <w:rFonts w:ascii="Book Antiqua" w:eastAsiaTheme="minorHAnsi" w:hAnsi="Book Antiqua" w:cstheme="majorHAnsi"/>
          <w:sz w:val="24"/>
          <w:szCs w:val="24"/>
        </w:rPr>
        <w:t xml:space="preserve"> Paul</w:t>
      </w:r>
      <w:r w:rsidR="00A73027" w:rsidRPr="00110464">
        <w:rPr>
          <w:rFonts w:ascii="Book Antiqua" w:eastAsiaTheme="minorHAnsi" w:hAnsi="Book Antiqua" w:cstheme="majorHAnsi"/>
          <w:sz w:val="24"/>
          <w:szCs w:val="24"/>
        </w:rPr>
        <w:t xml:space="preserve"> </w:t>
      </w:r>
      <w:proofErr w:type="spellStart"/>
      <w:r w:rsidR="00FE2ABA" w:rsidRPr="00110464">
        <w:rPr>
          <w:rFonts w:ascii="Book Antiqua" w:eastAsiaTheme="minorHAnsi" w:hAnsi="Book Antiqua" w:cstheme="majorHAnsi"/>
          <w:sz w:val="24"/>
          <w:szCs w:val="24"/>
        </w:rPr>
        <w:t>Kortan</w:t>
      </w:r>
      <w:proofErr w:type="spellEnd"/>
      <w:r w:rsidR="00A73027" w:rsidRPr="00110464">
        <w:rPr>
          <w:rFonts w:ascii="Book Antiqua" w:eastAsiaTheme="minorHAnsi" w:hAnsi="Book Antiqua" w:cstheme="majorHAnsi"/>
          <w:sz w:val="24"/>
          <w:szCs w:val="24"/>
        </w:rPr>
        <w:t xml:space="preserve"> (0000-0001-8586-3005)</w:t>
      </w:r>
      <w:r w:rsidRPr="00110464">
        <w:rPr>
          <w:rFonts w:ascii="Book Antiqua" w:eastAsiaTheme="minorHAnsi" w:hAnsi="Book Antiqua" w:cstheme="majorHAnsi"/>
          <w:sz w:val="24"/>
          <w:szCs w:val="24"/>
        </w:rPr>
        <w:t>;</w:t>
      </w:r>
      <w:r w:rsidR="00FE2ABA" w:rsidRPr="00110464">
        <w:rPr>
          <w:rFonts w:ascii="Book Antiqua" w:eastAsiaTheme="minorHAnsi" w:hAnsi="Book Antiqua" w:cstheme="majorHAnsi"/>
          <w:sz w:val="24"/>
          <w:szCs w:val="24"/>
        </w:rPr>
        <w:t xml:space="preserve"> Gary</w:t>
      </w:r>
      <w:r w:rsidR="00A73027" w:rsidRPr="00110464">
        <w:rPr>
          <w:rFonts w:ascii="Book Antiqua" w:eastAsiaTheme="minorHAnsi" w:hAnsi="Book Antiqua" w:cstheme="majorHAnsi"/>
          <w:sz w:val="24"/>
          <w:szCs w:val="24"/>
        </w:rPr>
        <w:t xml:space="preserve"> </w:t>
      </w:r>
      <w:r w:rsidR="00FE2ABA" w:rsidRPr="00110464">
        <w:rPr>
          <w:rFonts w:ascii="Book Antiqua" w:eastAsiaTheme="minorHAnsi" w:hAnsi="Book Antiqua" w:cstheme="majorHAnsi"/>
          <w:sz w:val="24"/>
          <w:szCs w:val="24"/>
        </w:rPr>
        <w:t>May</w:t>
      </w:r>
      <w:r w:rsidR="00A73027" w:rsidRPr="00110464">
        <w:rPr>
          <w:rFonts w:ascii="Book Antiqua" w:eastAsiaTheme="minorHAnsi" w:hAnsi="Book Antiqua" w:cstheme="majorHAnsi"/>
          <w:sz w:val="24"/>
          <w:szCs w:val="24"/>
        </w:rPr>
        <w:t xml:space="preserve"> (0000-0001-5589-6420)</w:t>
      </w:r>
      <w:r w:rsidRPr="00110464">
        <w:rPr>
          <w:rFonts w:ascii="Book Antiqua" w:eastAsiaTheme="minorHAnsi" w:hAnsi="Book Antiqua" w:cstheme="majorHAnsi"/>
          <w:sz w:val="24"/>
          <w:szCs w:val="24"/>
        </w:rPr>
        <w:t>;</w:t>
      </w:r>
      <w:r w:rsidR="00FE2ABA" w:rsidRPr="00110464">
        <w:rPr>
          <w:rFonts w:ascii="Book Antiqua" w:eastAsiaTheme="minorHAnsi" w:hAnsi="Book Antiqua" w:cstheme="majorHAnsi"/>
          <w:sz w:val="24"/>
          <w:szCs w:val="24"/>
        </w:rPr>
        <w:t xml:space="preserve"> Norman </w:t>
      </w:r>
      <w:proofErr w:type="spellStart"/>
      <w:r w:rsidR="00FE2ABA" w:rsidRPr="00110464">
        <w:rPr>
          <w:rFonts w:ascii="Book Antiqua" w:eastAsiaTheme="minorHAnsi" w:hAnsi="Book Antiqua" w:cstheme="majorHAnsi"/>
          <w:sz w:val="24"/>
          <w:szCs w:val="24"/>
        </w:rPr>
        <w:t>Marcon</w:t>
      </w:r>
      <w:proofErr w:type="spellEnd"/>
      <w:r w:rsidR="00A73027" w:rsidRPr="00110464">
        <w:rPr>
          <w:rFonts w:ascii="Book Antiqua" w:eastAsiaTheme="minorHAnsi" w:hAnsi="Book Antiqua" w:cstheme="majorHAnsi"/>
          <w:sz w:val="24"/>
          <w:szCs w:val="24"/>
        </w:rPr>
        <w:t xml:space="preserve"> (0000-0003-2799-7982)</w:t>
      </w:r>
      <w:r w:rsidRPr="00110464">
        <w:rPr>
          <w:rFonts w:ascii="Book Antiqua" w:hAnsi="Book Antiqua" w:cstheme="majorHAnsi"/>
          <w:sz w:val="24"/>
          <w:szCs w:val="24"/>
        </w:rPr>
        <w:t>;</w:t>
      </w:r>
      <w:r w:rsidR="00E56548" w:rsidRPr="00110464">
        <w:rPr>
          <w:rFonts w:ascii="Book Antiqua" w:hAnsi="Book Antiqua" w:cstheme="majorHAnsi"/>
          <w:sz w:val="24"/>
          <w:szCs w:val="24"/>
        </w:rPr>
        <w:t xml:space="preserve"> </w:t>
      </w:r>
      <w:r w:rsidR="00FE2ABA" w:rsidRPr="00110464">
        <w:rPr>
          <w:rFonts w:ascii="Book Antiqua" w:eastAsiaTheme="minorHAnsi" w:hAnsi="Book Antiqua" w:cstheme="majorHAnsi"/>
          <w:sz w:val="24"/>
          <w:szCs w:val="24"/>
        </w:rPr>
        <w:t>Christopher</w:t>
      </w:r>
      <w:r w:rsidR="00A73027" w:rsidRPr="00110464">
        <w:rPr>
          <w:rFonts w:ascii="Book Antiqua" w:eastAsiaTheme="minorHAnsi" w:hAnsi="Book Antiqua" w:cstheme="majorHAnsi"/>
          <w:sz w:val="24"/>
          <w:szCs w:val="24"/>
        </w:rPr>
        <w:t xml:space="preserve"> </w:t>
      </w:r>
      <w:proofErr w:type="spellStart"/>
      <w:r w:rsidR="00FE2ABA" w:rsidRPr="00110464">
        <w:rPr>
          <w:rFonts w:ascii="Book Antiqua" w:eastAsiaTheme="minorHAnsi" w:hAnsi="Book Antiqua" w:cstheme="majorHAnsi"/>
          <w:sz w:val="24"/>
          <w:szCs w:val="24"/>
        </w:rPr>
        <w:t>Teshima</w:t>
      </w:r>
      <w:proofErr w:type="spellEnd"/>
      <w:r w:rsidR="00A73027" w:rsidRPr="00110464">
        <w:rPr>
          <w:rFonts w:ascii="Book Antiqua" w:eastAsiaTheme="minorHAnsi" w:hAnsi="Book Antiqua" w:cstheme="majorHAnsi"/>
          <w:sz w:val="24"/>
          <w:szCs w:val="24"/>
        </w:rPr>
        <w:t xml:space="preserve"> (0000-0002-5525-8565)</w:t>
      </w:r>
      <w:r w:rsidR="00FE2ABA" w:rsidRPr="00110464">
        <w:rPr>
          <w:rFonts w:ascii="Book Antiqua" w:hAnsi="Book Antiqua" w:cstheme="majorHAnsi"/>
          <w:sz w:val="24"/>
          <w:szCs w:val="24"/>
        </w:rPr>
        <w:t>.</w:t>
      </w:r>
    </w:p>
    <w:p w14:paraId="73C80682" w14:textId="77777777" w:rsidR="00FE2ABA" w:rsidRPr="00110464" w:rsidRDefault="00FE2ABA" w:rsidP="006F6B36">
      <w:pPr>
        <w:snapToGrid w:val="0"/>
        <w:spacing w:line="360" w:lineRule="auto"/>
        <w:rPr>
          <w:rFonts w:ascii="Book Antiqua" w:hAnsi="Book Antiqua" w:cstheme="majorHAnsi"/>
          <w:b/>
          <w:sz w:val="24"/>
          <w:szCs w:val="24"/>
          <w:lang w:val="es-ES"/>
        </w:rPr>
      </w:pPr>
    </w:p>
    <w:p w14:paraId="4F302A49" w14:textId="4DFB5841" w:rsidR="008A31E3" w:rsidRPr="00110464" w:rsidRDefault="008A31E3" w:rsidP="006F6B36">
      <w:pPr>
        <w:snapToGrid w:val="0"/>
        <w:spacing w:line="360" w:lineRule="auto"/>
        <w:rPr>
          <w:rFonts w:ascii="Book Antiqua" w:hAnsi="Book Antiqua" w:cstheme="majorHAnsi"/>
          <w:sz w:val="24"/>
          <w:szCs w:val="24"/>
        </w:rPr>
      </w:pPr>
      <w:r w:rsidRPr="00110464">
        <w:rPr>
          <w:rFonts w:ascii="Book Antiqua" w:hAnsi="Book Antiqua" w:cstheme="majorHAnsi"/>
          <w:b/>
          <w:bCs/>
          <w:sz w:val="24"/>
          <w:szCs w:val="24"/>
        </w:rPr>
        <w:lastRenderedPageBreak/>
        <w:t xml:space="preserve">Author contributions: </w:t>
      </w:r>
      <w:r w:rsidRPr="00110464">
        <w:rPr>
          <w:rFonts w:ascii="Book Antiqua" w:hAnsi="Book Antiqua" w:cstheme="majorHAnsi"/>
          <w:sz w:val="24"/>
          <w:szCs w:val="24"/>
          <w:lang w:val="es-ES"/>
        </w:rPr>
        <w:t>All authors helped to perform the research</w:t>
      </w:r>
      <w:r w:rsidRPr="00110464">
        <w:rPr>
          <w:rFonts w:ascii="Book Antiqua" w:eastAsiaTheme="minorHAnsi" w:hAnsi="Book Antiqua" w:cstheme="majorHAnsi"/>
          <w:sz w:val="24"/>
          <w:szCs w:val="24"/>
        </w:rPr>
        <w:t xml:space="preserve">; </w:t>
      </w:r>
      <w:proofErr w:type="spellStart"/>
      <w:r w:rsidRPr="00110464">
        <w:rPr>
          <w:rFonts w:ascii="Book Antiqua" w:eastAsiaTheme="minorHAnsi" w:hAnsi="Book Antiqua" w:cstheme="majorHAnsi"/>
          <w:sz w:val="24"/>
          <w:szCs w:val="24"/>
        </w:rPr>
        <w:t>Iwaya</w:t>
      </w:r>
      <w:proofErr w:type="spellEnd"/>
      <w:r w:rsidRPr="00110464">
        <w:rPr>
          <w:rFonts w:ascii="Book Antiqua" w:eastAsiaTheme="minorHAnsi" w:hAnsi="Book Antiqua" w:cstheme="majorHAnsi"/>
          <w:sz w:val="24"/>
          <w:szCs w:val="24"/>
        </w:rPr>
        <w:t xml:space="preserve"> Y, </w:t>
      </w:r>
      <w:proofErr w:type="spellStart"/>
      <w:r w:rsidRPr="00110464">
        <w:rPr>
          <w:rFonts w:ascii="Book Antiqua" w:eastAsiaTheme="minorHAnsi" w:hAnsi="Book Antiqua" w:cstheme="majorHAnsi"/>
          <w:sz w:val="24"/>
          <w:szCs w:val="24"/>
        </w:rPr>
        <w:t>Shimamura</w:t>
      </w:r>
      <w:proofErr w:type="spellEnd"/>
      <w:r w:rsidRPr="00110464">
        <w:rPr>
          <w:rFonts w:ascii="Book Antiqua" w:eastAsiaTheme="minorHAnsi" w:hAnsi="Book Antiqua" w:cstheme="majorHAnsi"/>
          <w:sz w:val="24"/>
          <w:szCs w:val="24"/>
        </w:rPr>
        <w:t xml:space="preserve"> Y, </w:t>
      </w:r>
      <w:proofErr w:type="spellStart"/>
      <w:r w:rsidRPr="00110464">
        <w:rPr>
          <w:rFonts w:ascii="Book Antiqua" w:hAnsi="Book Antiqua" w:cstheme="majorHAnsi"/>
          <w:sz w:val="24"/>
          <w:szCs w:val="24"/>
        </w:rPr>
        <w:t>Goda</w:t>
      </w:r>
      <w:proofErr w:type="spellEnd"/>
      <w:r w:rsidRPr="00110464">
        <w:rPr>
          <w:rFonts w:ascii="Book Antiqua" w:hAnsi="Book Antiqua" w:cstheme="majorHAnsi"/>
          <w:sz w:val="24"/>
          <w:szCs w:val="24"/>
        </w:rPr>
        <w:t xml:space="preserve"> K, </w:t>
      </w:r>
      <w:proofErr w:type="spellStart"/>
      <w:r w:rsidRPr="00110464">
        <w:rPr>
          <w:rFonts w:ascii="Book Antiqua" w:hAnsi="Book Antiqua" w:cstheme="majorHAnsi"/>
          <w:sz w:val="24"/>
          <w:szCs w:val="24"/>
        </w:rPr>
        <w:t>Coneys</w:t>
      </w:r>
      <w:proofErr w:type="spellEnd"/>
      <w:r w:rsidRPr="00110464">
        <w:rPr>
          <w:rFonts w:ascii="Book Antiqua" w:hAnsi="Book Antiqua" w:cstheme="majorHAnsi"/>
          <w:sz w:val="24"/>
          <w:szCs w:val="24"/>
        </w:rPr>
        <w:t xml:space="preserve"> JG, </w:t>
      </w:r>
      <w:proofErr w:type="spellStart"/>
      <w:r w:rsidRPr="00110464">
        <w:rPr>
          <w:rFonts w:ascii="Book Antiqua" w:eastAsiaTheme="minorHAnsi" w:hAnsi="Book Antiqua" w:cstheme="majorHAnsi"/>
          <w:sz w:val="24"/>
          <w:szCs w:val="24"/>
        </w:rPr>
        <w:t>Mosko</w:t>
      </w:r>
      <w:proofErr w:type="spellEnd"/>
      <w:r w:rsidRPr="00110464">
        <w:rPr>
          <w:rFonts w:ascii="Book Antiqua" w:eastAsiaTheme="minorHAnsi" w:hAnsi="Book Antiqua" w:cstheme="majorHAnsi"/>
          <w:sz w:val="24"/>
          <w:szCs w:val="24"/>
        </w:rPr>
        <w:t xml:space="preserve"> JD, </w:t>
      </w:r>
      <w:proofErr w:type="spellStart"/>
      <w:r w:rsidRPr="00110464">
        <w:rPr>
          <w:rFonts w:ascii="Book Antiqua" w:eastAsiaTheme="minorHAnsi" w:hAnsi="Book Antiqua" w:cstheme="majorHAnsi"/>
          <w:sz w:val="24"/>
          <w:szCs w:val="24"/>
        </w:rPr>
        <w:t>Kandel</w:t>
      </w:r>
      <w:proofErr w:type="spellEnd"/>
      <w:r w:rsidRPr="00110464">
        <w:rPr>
          <w:rFonts w:ascii="Book Antiqua" w:eastAsiaTheme="minorHAnsi" w:hAnsi="Book Antiqua" w:cstheme="majorHAnsi"/>
          <w:sz w:val="24"/>
          <w:szCs w:val="24"/>
        </w:rPr>
        <w:t xml:space="preserve"> G, </w:t>
      </w:r>
      <w:proofErr w:type="spellStart"/>
      <w:r w:rsidRPr="00110464">
        <w:rPr>
          <w:rFonts w:ascii="Book Antiqua" w:eastAsiaTheme="minorHAnsi" w:hAnsi="Book Antiqua" w:cstheme="majorHAnsi"/>
          <w:sz w:val="24"/>
          <w:szCs w:val="24"/>
        </w:rPr>
        <w:t>Kortan</w:t>
      </w:r>
      <w:proofErr w:type="spellEnd"/>
      <w:r w:rsidRPr="00110464">
        <w:rPr>
          <w:rFonts w:ascii="Book Antiqua" w:eastAsiaTheme="minorHAnsi" w:hAnsi="Book Antiqua" w:cstheme="majorHAnsi"/>
          <w:sz w:val="24"/>
          <w:szCs w:val="24"/>
        </w:rPr>
        <w:t xml:space="preserve"> P, May G, </w:t>
      </w:r>
      <w:proofErr w:type="spellStart"/>
      <w:r w:rsidRPr="00110464">
        <w:rPr>
          <w:rFonts w:ascii="Book Antiqua" w:eastAsiaTheme="minorHAnsi" w:hAnsi="Book Antiqua" w:cstheme="majorHAnsi"/>
          <w:sz w:val="24"/>
          <w:szCs w:val="24"/>
        </w:rPr>
        <w:t>Marcon</w:t>
      </w:r>
      <w:proofErr w:type="spellEnd"/>
      <w:r w:rsidRPr="00110464">
        <w:rPr>
          <w:rFonts w:ascii="Book Antiqua" w:eastAsiaTheme="minorHAnsi" w:hAnsi="Book Antiqua" w:cstheme="majorHAnsi"/>
          <w:sz w:val="24"/>
          <w:szCs w:val="24"/>
        </w:rPr>
        <w:t xml:space="preserve"> N</w:t>
      </w:r>
      <w:r w:rsidR="00DC583F" w:rsidRPr="00110464">
        <w:rPr>
          <w:rFonts w:ascii="Book Antiqua" w:eastAsiaTheme="minorHAnsi" w:hAnsi="Book Antiqua" w:cstheme="majorHAnsi"/>
          <w:sz w:val="24"/>
          <w:szCs w:val="24"/>
        </w:rPr>
        <w:t xml:space="preserve"> </w:t>
      </w:r>
      <w:r w:rsidRPr="00110464">
        <w:rPr>
          <w:rFonts w:ascii="Book Antiqua" w:eastAsiaTheme="minorHAnsi" w:hAnsi="Book Antiqua" w:cstheme="majorHAnsi"/>
          <w:sz w:val="24"/>
          <w:szCs w:val="24"/>
        </w:rPr>
        <w:t xml:space="preserve">and </w:t>
      </w:r>
      <w:proofErr w:type="spellStart"/>
      <w:r w:rsidRPr="00110464">
        <w:rPr>
          <w:rFonts w:ascii="Book Antiqua" w:eastAsiaTheme="minorHAnsi" w:hAnsi="Book Antiqua" w:cstheme="majorHAnsi"/>
          <w:sz w:val="24"/>
          <w:szCs w:val="24"/>
        </w:rPr>
        <w:t>Teshima</w:t>
      </w:r>
      <w:proofErr w:type="spellEnd"/>
      <w:r w:rsidRPr="00110464">
        <w:rPr>
          <w:rFonts w:ascii="Book Antiqua" w:hAnsi="Book Antiqua" w:cstheme="majorHAnsi"/>
          <w:sz w:val="24"/>
          <w:szCs w:val="24"/>
        </w:rPr>
        <w:t xml:space="preserve"> C contribution to writing the manuscript; </w:t>
      </w:r>
      <w:proofErr w:type="spellStart"/>
      <w:r w:rsidRPr="00110464">
        <w:rPr>
          <w:rFonts w:ascii="Book Antiqua" w:eastAsiaTheme="minorHAnsi" w:hAnsi="Book Antiqua" w:cstheme="majorHAnsi"/>
          <w:sz w:val="24"/>
          <w:szCs w:val="24"/>
        </w:rPr>
        <w:t>Shimamura</w:t>
      </w:r>
      <w:proofErr w:type="spellEnd"/>
      <w:r w:rsidRPr="00110464">
        <w:rPr>
          <w:rFonts w:ascii="Book Antiqua" w:eastAsiaTheme="minorHAnsi" w:hAnsi="Book Antiqua" w:cstheme="majorHAnsi"/>
          <w:sz w:val="24"/>
          <w:szCs w:val="24"/>
        </w:rPr>
        <w:t xml:space="preserve"> Y,</w:t>
      </w:r>
      <w:r w:rsidRPr="00110464">
        <w:rPr>
          <w:rFonts w:ascii="Book Antiqua" w:hAnsi="Book Antiqua" w:cstheme="majorHAnsi"/>
          <w:sz w:val="24"/>
          <w:szCs w:val="24"/>
        </w:rPr>
        <w:t xml:space="preserve"> </w:t>
      </w:r>
      <w:proofErr w:type="spellStart"/>
      <w:r w:rsidRPr="00110464">
        <w:rPr>
          <w:rFonts w:ascii="Book Antiqua" w:hAnsi="Book Antiqua" w:cstheme="majorHAnsi"/>
          <w:sz w:val="24"/>
          <w:szCs w:val="24"/>
        </w:rPr>
        <w:t>Goda</w:t>
      </w:r>
      <w:proofErr w:type="spellEnd"/>
      <w:r w:rsidRPr="00110464">
        <w:rPr>
          <w:rFonts w:ascii="Book Antiqua" w:hAnsi="Book Antiqua" w:cstheme="majorHAnsi"/>
          <w:sz w:val="24"/>
          <w:szCs w:val="24"/>
        </w:rPr>
        <w:t xml:space="preserve"> K,</w:t>
      </w:r>
      <w:r w:rsidRPr="00110464">
        <w:rPr>
          <w:rFonts w:ascii="Book Antiqua" w:eastAsiaTheme="minorHAnsi" w:hAnsi="Book Antiqua" w:cstheme="majorHAnsi"/>
          <w:sz w:val="24"/>
          <w:szCs w:val="24"/>
        </w:rPr>
        <w:t xml:space="preserve"> de Santiago ER</w:t>
      </w:r>
      <w:r w:rsidR="007F5481" w:rsidRPr="00110464">
        <w:rPr>
          <w:rFonts w:ascii="Book Antiqua" w:eastAsiaTheme="minorHAnsi" w:hAnsi="Book Antiqua" w:cstheme="majorHAnsi"/>
          <w:sz w:val="24"/>
          <w:szCs w:val="24"/>
        </w:rPr>
        <w:t xml:space="preserve"> </w:t>
      </w:r>
      <w:r w:rsidRPr="00110464">
        <w:rPr>
          <w:rFonts w:ascii="Book Antiqua" w:eastAsiaTheme="minorHAnsi" w:hAnsi="Book Antiqua" w:cstheme="majorHAnsi"/>
          <w:sz w:val="24"/>
          <w:szCs w:val="24"/>
        </w:rPr>
        <w:t xml:space="preserve">and </w:t>
      </w:r>
      <w:proofErr w:type="spellStart"/>
      <w:r w:rsidRPr="00110464">
        <w:rPr>
          <w:rFonts w:ascii="Book Antiqua" w:eastAsiaTheme="minorHAnsi" w:hAnsi="Book Antiqua" w:cstheme="majorHAnsi"/>
          <w:sz w:val="24"/>
          <w:szCs w:val="24"/>
        </w:rPr>
        <w:t>Teshima</w:t>
      </w:r>
      <w:proofErr w:type="spellEnd"/>
      <w:r w:rsidRPr="00110464">
        <w:rPr>
          <w:rFonts w:ascii="Book Antiqua" w:hAnsi="Book Antiqua" w:cstheme="majorHAnsi"/>
          <w:sz w:val="24"/>
          <w:szCs w:val="24"/>
        </w:rPr>
        <w:t xml:space="preserve"> C contribution to drafting conception and design; </w:t>
      </w:r>
      <w:proofErr w:type="spellStart"/>
      <w:r w:rsidRPr="00110464">
        <w:rPr>
          <w:rFonts w:ascii="Book Antiqua" w:eastAsiaTheme="minorHAnsi" w:hAnsi="Book Antiqua" w:cstheme="majorHAnsi"/>
          <w:sz w:val="24"/>
          <w:szCs w:val="24"/>
        </w:rPr>
        <w:t>Iwaya</w:t>
      </w:r>
      <w:proofErr w:type="spellEnd"/>
      <w:r w:rsidRPr="00110464">
        <w:rPr>
          <w:rFonts w:ascii="Book Antiqua" w:eastAsiaTheme="minorHAnsi" w:hAnsi="Book Antiqua" w:cstheme="majorHAnsi"/>
          <w:sz w:val="24"/>
          <w:szCs w:val="24"/>
        </w:rPr>
        <w:t xml:space="preserve"> Y </w:t>
      </w:r>
      <w:r w:rsidRPr="00110464">
        <w:rPr>
          <w:rFonts w:ascii="Book Antiqua" w:hAnsi="Book Antiqua" w:cstheme="majorHAnsi"/>
          <w:sz w:val="24"/>
          <w:szCs w:val="24"/>
        </w:rPr>
        <w:t xml:space="preserve">contribution to </w:t>
      </w:r>
      <w:r w:rsidRPr="00110464">
        <w:rPr>
          <w:rFonts w:ascii="Book Antiqua" w:eastAsiaTheme="minorHAnsi" w:hAnsi="Book Antiqua" w:cstheme="majorHAnsi"/>
          <w:sz w:val="24"/>
          <w:szCs w:val="24"/>
        </w:rPr>
        <w:t xml:space="preserve">performing procedures; </w:t>
      </w:r>
      <w:proofErr w:type="spellStart"/>
      <w:r w:rsidRPr="00110464">
        <w:rPr>
          <w:rFonts w:ascii="Book Antiqua" w:eastAsiaTheme="minorHAnsi" w:hAnsi="Book Antiqua" w:cstheme="majorHAnsi"/>
          <w:sz w:val="24"/>
          <w:szCs w:val="24"/>
        </w:rPr>
        <w:t>Iwaya</w:t>
      </w:r>
      <w:proofErr w:type="spellEnd"/>
      <w:r w:rsidRPr="00110464">
        <w:rPr>
          <w:rFonts w:ascii="Book Antiqua" w:eastAsiaTheme="minorHAnsi" w:hAnsi="Book Antiqua" w:cstheme="majorHAnsi"/>
          <w:sz w:val="24"/>
          <w:szCs w:val="24"/>
        </w:rPr>
        <w:t xml:space="preserve"> Y and de Santiago ER </w:t>
      </w:r>
      <w:r w:rsidRPr="00110464">
        <w:rPr>
          <w:rFonts w:ascii="Book Antiqua" w:hAnsi="Book Antiqua" w:cstheme="majorHAnsi"/>
          <w:sz w:val="24"/>
          <w:szCs w:val="24"/>
        </w:rPr>
        <w:t xml:space="preserve">contribution to </w:t>
      </w:r>
      <w:r w:rsidRPr="00110464">
        <w:rPr>
          <w:rFonts w:ascii="Book Antiqua" w:eastAsiaTheme="minorHAnsi" w:hAnsi="Book Antiqua" w:cstheme="majorHAnsi"/>
          <w:sz w:val="24"/>
          <w:szCs w:val="24"/>
        </w:rPr>
        <w:t xml:space="preserve">data analysis; </w:t>
      </w:r>
      <w:proofErr w:type="spellStart"/>
      <w:r w:rsidR="001976A1" w:rsidRPr="00110464">
        <w:rPr>
          <w:rFonts w:ascii="Book Antiqua" w:hAnsi="Book Antiqua" w:cstheme="majorHAnsi"/>
          <w:sz w:val="24"/>
          <w:szCs w:val="24"/>
        </w:rPr>
        <w:t>Coneys</w:t>
      </w:r>
      <w:proofErr w:type="spellEnd"/>
      <w:r w:rsidR="001976A1" w:rsidRPr="00110464">
        <w:rPr>
          <w:rFonts w:ascii="Book Antiqua" w:hAnsi="Book Antiqua" w:cstheme="majorHAnsi"/>
          <w:sz w:val="24"/>
          <w:szCs w:val="24"/>
        </w:rPr>
        <w:t xml:space="preserve"> JG</w:t>
      </w:r>
      <w:r w:rsidRPr="00110464">
        <w:rPr>
          <w:rFonts w:ascii="Book Antiqua" w:hAnsi="Book Antiqua" w:cstheme="majorHAnsi"/>
          <w:sz w:val="24"/>
          <w:szCs w:val="24"/>
        </w:rPr>
        <w:t xml:space="preserve">, </w:t>
      </w:r>
      <w:proofErr w:type="spellStart"/>
      <w:r w:rsidRPr="00110464">
        <w:rPr>
          <w:rFonts w:ascii="Book Antiqua" w:eastAsiaTheme="minorHAnsi" w:hAnsi="Book Antiqua" w:cstheme="majorHAnsi"/>
          <w:sz w:val="24"/>
          <w:szCs w:val="24"/>
        </w:rPr>
        <w:t>Mosko</w:t>
      </w:r>
      <w:proofErr w:type="spellEnd"/>
      <w:r w:rsidRPr="00110464">
        <w:rPr>
          <w:rFonts w:ascii="Book Antiqua" w:eastAsiaTheme="minorHAnsi" w:hAnsi="Book Antiqua" w:cstheme="majorHAnsi"/>
          <w:sz w:val="24"/>
          <w:szCs w:val="24"/>
        </w:rPr>
        <w:t xml:space="preserve"> J</w:t>
      </w:r>
      <w:r w:rsidR="001976A1" w:rsidRPr="00110464">
        <w:rPr>
          <w:rFonts w:ascii="Book Antiqua" w:eastAsiaTheme="minorHAnsi" w:hAnsi="Book Antiqua" w:cstheme="majorHAnsi"/>
          <w:sz w:val="24"/>
          <w:szCs w:val="24"/>
        </w:rPr>
        <w:t>D</w:t>
      </w:r>
      <w:r w:rsidRPr="00110464">
        <w:rPr>
          <w:rFonts w:ascii="Book Antiqua" w:eastAsiaTheme="minorHAnsi" w:hAnsi="Book Antiqua" w:cstheme="majorHAnsi"/>
          <w:sz w:val="24"/>
          <w:szCs w:val="24"/>
        </w:rPr>
        <w:t xml:space="preserve">, </w:t>
      </w:r>
      <w:proofErr w:type="spellStart"/>
      <w:r w:rsidRPr="00110464">
        <w:rPr>
          <w:rFonts w:ascii="Book Antiqua" w:eastAsiaTheme="minorHAnsi" w:hAnsi="Book Antiqua" w:cstheme="majorHAnsi"/>
          <w:sz w:val="24"/>
          <w:szCs w:val="24"/>
        </w:rPr>
        <w:t>Kandel</w:t>
      </w:r>
      <w:proofErr w:type="spellEnd"/>
      <w:r w:rsidRPr="00110464">
        <w:rPr>
          <w:rFonts w:ascii="Book Antiqua" w:eastAsiaTheme="minorHAnsi" w:hAnsi="Book Antiqua" w:cstheme="majorHAnsi"/>
          <w:sz w:val="24"/>
          <w:szCs w:val="24"/>
        </w:rPr>
        <w:t xml:space="preserve"> G, </w:t>
      </w:r>
      <w:proofErr w:type="spellStart"/>
      <w:r w:rsidRPr="00110464">
        <w:rPr>
          <w:rFonts w:ascii="Book Antiqua" w:eastAsiaTheme="minorHAnsi" w:hAnsi="Book Antiqua" w:cstheme="majorHAnsi"/>
          <w:sz w:val="24"/>
          <w:szCs w:val="24"/>
        </w:rPr>
        <w:t>Kortan</w:t>
      </w:r>
      <w:proofErr w:type="spellEnd"/>
      <w:r w:rsidRPr="00110464">
        <w:rPr>
          <w:rFonts w:ascii="Book Antiqua" w:eastAsiaTheme="minorHAnsi" w:hAnsi="Book Antiqua" w:cstheme="majorHAnsi"/>
          <w:sz w:val="24"/>
          <w:szCs w:val="24"/>
        </w:rPr>
        <w:t xml:space="preserve"> P, May G</w:t>
      </w:r>
      <w:r w:rsidR="00DC583F" w:rsidRPr="00110464">
        <w:rPr>
          <w:rFonts w:ascii="Book Antiqua" w:eastAsiaTheme="minorHAnsi" w:hAnsi="Book Antiqua" w:cstheme="majorHAnsi"/>
          <w:sz w:val="24"/>
          <w:szCs w:val="24"/>
        </w:rPr>
        <w:t xml:space="preserve"> and </w:t>
      </w:r>
      <w:r w:rsidRPr="00110464">
        <w:rPr>
          <w:rFonts w:ascii="Book Antiqua" w:eastAsiaTheme="minorHAnsi" w:hAnsi="Book Antiqua" w:cstheme="majorHAnsi"/>
          <w:sz w:val="24"/>
          <w:szCs w:val="24"/>
        </w:rPr>
        <w:t xml:space="preserve">Marcon N contribution to performing experiments; </w:t>
      </w:r>
      <w:r w:rsidR="001976A1" w:rsidRPr="00110464">
        <w:rPr>
          <w:rFonts w:ascii="Book Antiqua" w:hAnsi="Book Antiqua" w:cstheme="majorHAnsi"/>
          <w:sz w:val="24"/>
          <w:szCs w:val="24"/>
        </w:rPr>
        <w:t>a</w:t>
      </w:r>
      <w:r w:rsidRPr="00110464">
        <w:rPr>
          <w:rFonts w:ascii="Book Antiqua" w:hAnsi="Book Antiqua" w:cstheme="majorHAnsi"/>
          <w:sz w:val="24"/>
          <w:szCs w:val="24"/>
        </w:rPr>
        <w:t>ll the authors have approved the final draft submitted.</w:t>
      </w:r>
    </w:p>
    <w:p w14:paraId="36D8D458" w14:textId="77777777" w:rsidR="006B1689" w:rsidRPr="00110464" w:rsidRDefault="006B1689" w:rsidP="006F6B36">
      <w:pPr>
        <w:snapToGrid w:val="0"/>
        <w:spacing w:line="360" w:lineRule="auto"/>
        <w:rPr>
          <w:rFonts w:ascii="Book Antiqua" w:hAnsi="Book Antiqua" w:cstheme="majorHAnsi"/>
          <w:sz w:val="24"/>
          <w:szCs w:val="24"/>
        </w:rPr>
      </w:pPr>
    </w:p>
    <w:p w14:paraId="37570D95" w14:textId="4E6F565D" w:rsidR="006B1689" w:rsidRPr="00110464" w:rsidRDefault="00B607E6" w:rsidP="006F6B36">
      <w:pPr>
        <w:snapToGrid w:val="0"/>
        <w:spacing w:line="360" w:lineRule="auto"/>
        <w:rPr>
          <w:rFonts w:ascii="Book Antiqua" w:hAnsi="Book Antiqua" w:cstheme="majorHAnsi"/>
          <w:sz w:val="24"/>
          <w:szCs w:val="24"/>
        </w:rPr>
      </w:pPr>
      <w:r w:rsidRPr="00110464">
        <w:rPr>
          <w:rFonts w:ascii="Book Antiqua" w:eastAsia="MS PMincho" w:hAnsi="Book Antiqua" w:cs="Times New Roman"/>
          <w:b/>
          <w:bCs/>
          <w:color w:val="000000"/>
          <w:sz w:val="24"/>
          <w:szCs w:val="24"/>
        </w:rPr>
        <w:t>Institutional review board statement</w:t>
      </w:r>
      <w:r w:rsidRPr="00110464">
        <w:rPr>
          <w:rFonts w:ascii="Book Antiqua" w:eastAsia="MS PMincho" w:hAnsi="Book Antiqua" w:cs="Times New Roman"/>
          <w:b/>
          <w:iCs/>
          <w:color w:val="000000"/>
          <w:kern w:val="0"/>
          <w:sz w:val="24"/>
          <w:szCs w:val="24"/>
        </w:rPr>
        <w:t xml:space="preserve">: </w:t>
      </w:r>
      <w:r w:rsidR="006B1689" w:rsidRPr="00110464">
        <w:rPr>
          <w:rFonts w:ascii="Book Antiqua" w:hAnsi="Book Antiqua" w:cstheme="majorHAnsi"/>
          <w:sz w:val="24"/>
          <w:szCs w:val="24"/>
        </w:rPr>
        <w:t>This study was reviewed and approved by the Ethics Committee of St. Michael’s Hospital, University of Toronto</w:t>
      </w:r>
      <w:r w:rsidRPr="00110464">
        <w:rPr>
          <w:rFonts w:ascii="Book Antiqua" w:hAnsi="Book Antiqua" w:cstheme="majorHAnsi"/>
          <w:sz w:val="24"/>
          <w:szCs w:val="24"/>
        </w:rPr>
        <w:t>.</w:t>
      </w:r>
    </w:p>
    <w:p w14:paraId="21B0F043" w14:textId="77777777" w:rsidR="006B1689" w:rsidRPr="00110464" w:rsidRDefault="006B1689" w:rsidP="006F6B36">
      <w:pPr>
        <w:snapToGrid w:val="0"/>
        <w:spacing w:line="360" w:lineRule="auto"/>
        <w:rPr>
          <w:rFonts w:ascii="Book Antiqua" w:hAnsi="Book Antiqua" w:cstheme="majorHAnsi"/>
          <w:sz w:val="24"/>
          <w:szCs w:val="24"/>
        </w:rPr>
      </w:pPr>
    </w:p>
    <w:p w14:paraId="1BFDF9BB" w14:textId="7EE54147" w:rsidR="00A73027" w:rsidRPr="00110464" w:rsidRDefault="00B607E6" w:rsidP="006F6B36">
      <w:pPr>
        <w:snapToGrid w:val="0"/>
        <w:spacing w:line="360" w:lineRule="auto"/>
        <w:rPr>
          <w:rFonts w:ascii="Book Antiqua" w:hAnsi="Book Antiqua" w:cstheme="majorHAnsi"/>
          <w:sz w:val="24"/>
          <w:szCs w:val="24"/>
        </w:rPr>
      </w:pPr>
      <w:r w:rsidRPr="00110464">
        <w:rPr>
          <w:rFonts w:ascii="Book Antiqua" w:eastAsia="MS PMincho" w:hAnsi="Book Antiqua" w:cs="Times New Roman"/>
          <w:b/>
          <w:bCs/>
          <w:color w:val="000000"/>
          <w:sz w:val="24"/>
          <w:szCs w:val="24"/>
        </w:rPr>
        <w:t>Informed consent statement</w:t>
      </w:r>
      <w:r w:rsidRPr="00110464">
        <w:rPr>
          <w:rFonts w:ascii="Book Antiqua" w:eastAsia="MS PMincho" w:hAnsi="Book Antiqua" w:cs="Times New Roman"/>
          <w:b/>
          <w:iCs/>
          <w:color w:val="000000"/>
          <w:sz w:val="24"/>
          <w:szCs w:val="24"/>
        </w:rPr>
        <w:t>:</w:t>
      </w:r>
      <w:r w:rsidRPr="00110464">
        <w:rPr>
          <w:rFonts w:ascii="Book Antiqua" w:eastAsia="MS PMincho" w:hAnsi="Book Antiqua" w:cs="Times New Roman"/>
          <w:b/>
          <w:iCs/>
          <w:color w:val="000000"/>
          <w:kern w:val="0"/>
          <w:sz w:val="24"/>
          <w:szCs w:val="24"/>
        </w:rPr>
        <w:t xml:space="preserve"> </w:t>
      </w:r>
      <w:r w:rsidR="006B1689" w:rsidRPr="00110464">
        <w:rPr>
          <w:rFonts w:ascii="Book Antiqua" w:hAnsi="Book Antiqua" w:cstheme="majorHAnsi"/>
          <w:sz w:val="24"/>
          <w:szCs w:val="24"/>
        </w:rPr>
        <w:t xml:space="preserve">Written informed consents for the upper GI endoscopy and their inclusion in our database were obtained from all participants. </w:t>
      </w:r>
    </w:p>
    <w:p w14:paraId="79624808" w14:textId="77777777" w:rsidR="006B1689" w:rsidRPr="00110464" w:rsidRDefault="006B1689" w:rsidP="006F6B36">
      <w:pPr>
        <w:snapToGrid w:val="0"/>
        <w:spacing w:line="360" w:lineRule="auto"/>
        <w:rPr>
          <w:rFonts w:ascii="Book Antiqua" w:hAnsi="Book Antiqua" w:cstheme="majorHAnsi"/>
          <w:sz w:val="24"/>
          <w:szCs w:val="24"/>
        </w:rPr>
      </w:pPr>
    </w:p>
    <w:p w14:paraId="4A725796" w14:textId="5B57191A" w:rsidR="006B1689" w:rsidRPr="00110464" w:rsidRDefault="00B607E6" w:rsidP="006F6B36">
      <w:pPr>
        <w:snapToGrid w:val="0"/>
        <w:spacing w:line="360" w:lineRule="auto"/>
        <w:rPr>
          <w:rFonts w:ascii="Book Antiqua" w:hAnsi="Book Antiqua" w:cstheme="majorHAnsi"/>
          <w:sz w:val="24"/>
          <w:szCs w:val="24"/>
          <w:lang w:val="es-ES"/>
        </w:rPr>
      </w:pPr>
      <w:r w:rsidRPr="00110464">
        <w:rPr>
          <w:rFonts w:ascii="Book Antiqua" w:eastAsia="MS PMincho" w:hAnsi="Book Antiqua" w:cs="Times New Roman"/>
          <w:b/>
          <w:bCs/>
          <w:color w:val="000000"/>
          <w:sz w:val="24"/>
          <w:szCs w:val="24"/>
        </w:rPr>
        <w:t>Conflict-of-interest statement</w:t>
      </w:r>
      <w:r w:rsidRPr="00110464">
        <w:rPr>
          <w:rFonts w:ascii="Book Antiqua" w:eastAsia="MS PMincho" w:hAnsi="Book Antiqua" w:cs="TimesNewRomanPS-BoldItalicMT"/>
          <w:b/>
          <w:iCs/>
          <w:color w:val="000000"/>
          <w:sz w:val="24"/>
          <w:szCs w:val="24"/>
        </w:rPr>
        <w:t xml:space="preserve">: </w:t>
      </w:r>
      <w:r w:rsidR="006B1689" w:rsidRPr="00110464">
        <w:rPr>
          <w:rFonts w:ascii="Book Antiqua" w:hAnsi="Book Antiqua" w:cstheme="majorHAnsi"/>
          <w:sz w:val="24"/>
          <w:szCs w:val="24"/>
          <w:lang w:val="es-ES"/>
        </w:rPr>
        <w:t>All authors declare no conflicts-of-interest related to this article.</w:t>
      </w:r>
    </w:p>
    <w:p w14:paraId="1F96F8ED" w14:textId="77777777" w:rsidR="006B1689" w:rsidRPr="00110464" w:rsidRDefault="006B1689" w:rsidP="006F6B36">
      <w:pPr>
        <w:snapToGrid w:val="0"/>
        <w:spacing w:line="360" w:lineRule="auto"/>
        <w:rPr>
          <w:rFonts w:ascii="Book Antiqua" w:hAnsi="Book Antiqua" w:cstheme="majorHAnsi"/>
          <w:sz w:val="24"/>
          <w:szCs w:val="24"/>
          <w:lang w:val="es-ES"/>
        </w:rPr>
      </w:pPr>
    </w:p>
    <w:p w14:paraId="7DD850FE" w14:textId="77777777" w:rsidR="006B1689" w:rsidRPr="00110464" w:rsidRDefault="006B1689" w:rsidP="006F6B36">
      <w:pPr>
        <w:snapToGrid w:val="0"/>
        <w:spacing w:line="360" w:lineRule="auto"/>
        <w:rPr>
          <w:rFonts w:ascii="Book Antiqua" w:hAnsi="Book Antiqua" w:cstheme="majorHAnsi"/>
          <w:sz w:val="24"/>
          <w:szCs w:val="24"/>
          <w:lang w:val="es-ES"/>
        </w:rPr>
      </w:pPr>
      <w:r w:rsidRPr="00110464">
        <w:rPr>
          <w:rFonts w:ascii="Book Antiqua" w:hAnsi="Book Antiqua" w:cstheme="majorHAnsi"/>
          <w:b/>
          <w:sz w:val="24"/>
          <w:szCs w:val="24"/>
          <w:lang w:val="es-ES"/>
        </w:rPr>
        <w:t>Data sharing statement:</w:t>
      </w:r>
      <w:r w:rsidRPr="00110464">
        <w:rPr>
          <w:rFonts w:ascii="Book Antiqua" w:hAnsi="Book Antiqua" w:cstheme="majorHAnsi"/>
          <w:sz w:val="24"/>
          <w:szCs w:val="24"/>
          <w:lang w:val="es-ES"/>
        </w:rPr>
        <w:t xml:space="preserve"> No additional data are available.</w:t>
      </w:r>
    </w:p>
    <w:p w14:paraId="6EA8299D" w14:textId="43511A74" w:rsidR="006B1689" w:rsidRPr="00110464" w:rsidRDefault="006B1689" w:rsidP="006F6B36">
      <w:pPr>
        <w:snapToGrid w:val="0"/>
        <w:spacing w:line="360" w:lineRule="auto"/>
        <w:rPr>
          <w:rFonts w:ascii="Book Antiqua" w:hAnsi="Book Antiqua" w:cstheme="majorHAnsi"/>
          <w:sz w:val="24"/>
          <w:szCs w:val="24"/>
          <w:lang w:val="es-ES"/>
        </w:rPr>
      </w:pPr>
    </w:p>
    <w:p w14:paraId="62E64745" w14:textId="77777777" w:rsidR="00B607E6" w:rsidRPr="00110464" w:rsidRDefault="00B607E6" w:rsidP="006F6B36">
      <w:pPr>
        <w:widowControl/>
        <w:adjustRightInd w:val="0"/>
        <w:snapToGrid w:val="0"/>
        <w:spacing w:line="360" w:lineRule="auto"/>
        <w:rPr>
          <w:rFonts w:ascii="Book Antiqua" w:eastAsia="MS PMincho" w:hAnsi="Book Antiqua" w:cs="宋体"/>
          <w:bCs/>
          <w:color w:val="000000"/>
          <w:kern w:val="0"/>
          <w:sz w:val="24"/>
          <w:szCs w:val="24"/>
        </w:rPr>
      </w:pPr>
      <w:r w:rsidRPr="00110464">
        <w:rPr>
          <w:rFonts w:ascii="Book Antiqua" w:eastAsia="MS PMincho" w:hAnsi="Book Antiqua" w:cs="Times New Roman"/>
          <w:b/>
          <w:bCs/>
          <w:color w:val="000000"/>
          <w:kern w:val="0"/>
          <w:sz w:val="24"/>
          <w:szCs w:val="24"/>
        </w:rPr>
        <w:t xml:space="preserve">Open-Access: </w:t>
      </w:r>
      <w:r w:rsidRPr="00110464">
        <w:rPr>
          <w:rFonts w:ascii="Book Antiqua" w:eastAsia="MS PMincho" w:hAnsi="Book Antiqua" w:cs="Times New Roman"/>
          <w:bCs/>
          <w:color w:val="000000"/>
          <w:kern w:val="0"/>
          <w:sz w:val="24"/>
          <w:szCs w:val="24"/>
        </w:rPr>
        <w:t xml:space="preserve">This is an </w:t>
      </w:r>
      <w:r w:rsidRPr="00110464">
        <w:rPr>
          <w:rFonts w:ascii="Book Antiqua" w:eastAsia="MS PMincho" w:hAnsi="Book Antiqua" w:cs="宋体"/>
          <w:bCs/>
          <w:color w:val="000000"/>
          <w:kern w:val="0"/>
          <w:sz w:val="24"/>
          <w:szCs w:val="24"/>
        </w:rPr>
        <w:t xml:space="preserve">open-access article that was </w:t>
      </w:r>
      <w:r w:rsidRPr="00110464">
        <w:rPr>
          <w:rFonts w:ascii="Book Antiqua" w:eastAsia="MS PMincho" w:hAnsi="Book Antiqua" w:cs="Times New Roman"/>
          <w:bCs/>
          <w:color w:val="000000"/>
          <w:kern w:val="0"/>
          <w:sz w:val="24"/>
          <w:szCs w:val="24"/>
        </w:rPr>
        <w:t xml:space="preserve">selected by an in-house editor and fully peer-reviewed by external reviewers. It is </w:t>
      </w:r>
      <w:r w:rsidRPr="00110464">
        <w:rPr>
          <w:rFonts w:ascii="Book Antiqua" w:eastAsia="MS PMincho" w:hAnsi="Book Antiqua" w:cs="宋体"/>
          <w:bCs/>
          <w:color w:val="000000"/>
          <w:kern w:val="0"/>
          <w:sz w:val="24"/>
          <w:szCs w:val="24"/>
        </w:rPr>
        <w:t xml:space="preserve">distributed in accordance with </w:t>
      </w:r>
      <w:r w:rsidRPr="00110464">
        <w:rPr>
          <w:rFonts w:ascii="Book Antiqua" w:eastAsia="MS PMincho" w:hAnsi="Book Antiqua" w:cs="Times New Roman"/>
          <w:bCs/>
          <w:color w:val="000000"/>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70AD28" w14:textId="40F91DF3" w:rsidR="00B607E6" w:rsidRPr="00110464" w:rsidRDefault="00B607E6" w:rsidP="006F6B36">
      <w:pPr>
        <w:snapToGrid w:val="0"/>
        <w:spacing w:line="360" w:lineRule="auto"/>
        <w:rPr>
          <w:rFonts w:ascii="Book Antiqua" w:hAnsi="Book Antiqua" w:cstheme="majorHAnsi"/>
          <w:sz w:val="24"/>
          <w:szCs w:val="24"/>
          <w:lang w:val="es-ES"/>
        </w:rPr>
      </w:pPr>
    </w:p>
    <w:p w14:paraId="2FFECA0C" w14:textId="6D24AD68" w:rsidR="00B607E6" w:rsidRPr="00110464" w:rsidRDefault="00B607E6" w:rsidP="006F6B36">
      <w:pPr>
        <w:snapToGrid w:val="0"/>
        <w:spacing w:line="360" w:lineRule="auto"/>
        <w:rPr>
          <w:rFonts w:ascii="Book Antiqua" w:eastAsia="DengXian" w:hAnsi="Book Antiqua" w:cstheme="majorHAnsi"/>
          <w:sz w:val="24"/>
          <w:szCs w:val="24"/>
          <w:lang w:val="es-ES" w:eastAsia="zh-CN"/>
        </w:rPr>
      </w:pPr>
      <w:r w:rsidRPr="00110464">
        <w:rPr>
          <w:rFonts w:ascii="Book Antiqua" w:eastAsia="DengXian" w:hAnsi="Book Antiqua" w:cstheme="majorHAnsi"/>
          <w:b/>
          <w:sz w:val="24"/>
          <w:szCs w:val="24"/>
          <w:lang w:val="es-ES" w:eastAsia="zh-CN"/>
        </w:rPr>
        <w:t>Manuscript source:</w:t>
      </w:r>
      <w:r w:rsidRPr="00110464">
        <w:rPr>
          <w:rFonts w:ascii="Book Antiqua" w:eastAsia="DengXian" w:hAnsi="Book Antiqua" w:cstheme="majorHAnsi"/>
          <w:sz w:val="24"/>
          <w:szCs w:val="24"/>
          <w:lang w:val="es-ES" w:eastAsia="zh-CN"/>
        </w:rPr>
        <w:t xml:space="preserve"> Unsolicited manuscript</w:t>
      </w:r>
    </w:p>
    <w:p w14:paraId="331D610C" w14:textId="77777777" w:rsidR="00B607E6" w:rsidRPr="00110464" w:rsidRDefault="00B607E6" w:rsidP="006F6B36">
      <w:pPr>
        <w:snapToGrid w:val="0"/>
        <w:spacing w:line="360" w:lineRule="auto"/>
        <w:rPr>
          <w:rFonts w:ascii="Book Antiqua" w:eastAsia="DengXian" w:hAnsi="Book Antiqua" w:cstheme="majorHAnsi"/>
          <w:sz w:val="24"/>
          <w:szCs w:val="24"/>
          <w:lang w:val="es-ES" w:eastAsia="zh-CN"/>
        </w:rPr>
      </w:pPr>
    </w:p>
    <w:p w14:paraId="02677546" w14:textId="640DFFD0" w:rsidR="006B1689" w:rsidRPr="00110464" w:rsidRDefault="00B607E6" w:rsidP="006F6B36">
      <w:pPr>
        <w:snapToGrid w:val="0"/>
        <w:spacing w:line="360" w:lineRule="auto"/>
        <w:rPr>
          <w:rFonts w:ascii="Book Antiqua" w:eastAsiaTheme="minorHAnsi" w:hAnsi="Book Antiqua" w:cstheme="majorHAnsi"/>
          <w:sz w:val="24"/>
          <w:szCs w:val="24"/>
        </w:rPr>
      </w:pPr>
      <w:r w:rsidRPr="00110464">
        <w:rPr>
          <w:rFonts w:ascii="Book Antiqua" w:eastAsia="MS PMincho" w:hAnsi="Book Antiqua" w:cs="Times New Roman"/>
          <w:b/>
          <w:bCs/>
          <w:color w:val="000000"/>
          <w:sz w:val="24"/>
          <w:szCs w:val="24"/>
        </w:rPr>
        <w:t xml:space="preserve">Corresponding author: </w:t>
      </w:r>
      <w:r w:rsidR="00D4398F" w:rsidRPr="00110464">
        <w:rPr>
          <w:rFonts w:ascii="Book Antiqua" w:hAnsi="Book Antiqua" w:cstheme="majorHAnsi"/>
          <w:b/>
          <w:sz w:val="24"/>
          <w:szCs w:val="24"/>
          <w:lang w:val="es-ES"/>
        </w:rPr>
        <w:t xml:space="preserve">Yugo Iwaya, </w:t>
      </w:r>
      <w:r w:rsidRPr="00110464">
        <w:rPr>
          <w:rFonts w:ascii="Book Antiqua" w:hAnsi="Book Antiqua" w:cstheme="majorHAnsi"/>
          <w:b/>
          <w:sz w:val="24"/>
          <w:szCs w:val="24"/>
          <w:lang w:val="es-ES"/>
        </w:rPr>
        <w:t xml:space="preserve">MD, PhD, Doctor, </w:t>
      </w:r>
      <w:bookmarkStart w:id="12" w:name="OLE_LINK86"/>
      <w:bookmarkStart w:id="13" w:name="OLE_LINK87"/>
      <w:r w:rsidRPr="00110464">
        <w:rPr>
          <w:rFonts w:ascii="Book Antiqua" w:eastAsiaTheme="minorHAnsi" w:hAnsi="Book Antiqua" w:cstheme="majorHAnsi"/>
          <w:sz w:val="24"/>
          <w:szCs w:val="24"/>
        </w:rPr>
        <w:t>Advanced Therapeutic Endoscopy Centre</w:t>
      </w:r>
      <w:bookmarkEnd w:id="12"/>
      <w:bookmarkEnd w:id="13"/>
      <w:r w:rsidRPr="00110464">
        <w:rPr>
          <w:rFonts w:ascii="Book Antiqua" w:eastAsiaTheme="minorHAnsi" w:hAnsi="Book Antiqua" w:cstheme="majorHAnsi"/>
          <w:sz w:val="24"/>
          <w:szCs w:val="24"/>
        </w:rPr>
        <w:t xml:space="preserve">, </w:t>
      </w:r>
      <w:bookmarkStart w:id="14" w:name="OLE_LINK88"/>
      <w:bookmarkStart w:id="15" w:name="OLE_LINK89"/>
      <w:r w:rsidRPr="00110464">
        <w:rPr>
          <w:rFonts w:ascii="Book Antiqua" w:eastAsiaTheme="minorHAnsi" w:hAnsi="Book Antiqua" w:cstheme="majorHAnsi"/>
          <w:sz w:val="24"/>
          <w:szCs w:val="24"/>
        </w:rPr>
        <w:t>St Michael’s Hospital, University of Toronto</w:t>
      </w:r>
      <w:bookmarkEnd w:id="14"/>
      <w:bookmarkEnd w:id="15"/>
      <w:r w:rsidRPr="00110464">
        <w:rPr>
          <w:rFonts w:ascii="Book Antiqua" w:eastAsiaTheme="minorHAnsi" w:hAnsi="Book Antiqua" w:cstheme="majorHAnsi"/>
          <w:sz w:val="24"/>
          <w:szCs w:val="24"/>
        </w:rPr>
        <w:t xml:space="preserve">, </w:t>
      </w:r>
      <w:bookmarkStart w:id="16" w:name="OLE_LINK90"/>
      <w:bookmarkStart w:id="17" w:name="OLE_LINK91"/>
      <w:r w:rsidRPr="00110464">
        <w:rPr>
          <w:rFonts w:ascii="Book Antiqua" w:hAnsi="Book Antiqua" w:cstheme="majorHAnsi"/>
          <w:sz w:val="24"/>
          <w:szCs w:val="24"/>
          <w:lang w:val="es-ES"/>
        </w:rPr>
        <w:t>30 Bond Street</w:t>
      </w:r>
      <w:bookmarkEnd w:id="16"/>
      <w:bookmarkEnd w:id="17"/>
      <w:r w:rsidRPr="00110464">
        <w:rPr>
          <w:rFonts w:ascii="Book Antiqua" w:hAnsi="Book Antiqua" w:cstheme="majorHAnsi"/>
          <w:sz w:val="24"/>
          <w:szCs w:val="24"/>
          <w:lang w:val="es-ES"/>
        </w:rPr>
        <w:t>,</w:t>
      </w:r>
      <w:r w:rsidRPr="00110464">
        <w:rPr>
          <w:rFonts w:ascii="Book Antiqua" w:eastAsiaTheme="minorHAnsi" w:hAnsi="Book Antiqua" w:cstheme="majorHAnsi"/>
          <w:sz w:val="24"/>
          <w:szCs w:val="24"/>
        </w:rPr>
        <w:t xml:space="preserve"> Toronto M5B 1W8, Ontario, Canada.</w:t>
      </w:r>
      <w:r w:rsidRPr="00110464">
        <w:rPr>
          <w:rFonts w:ascii="Book Antiqua" w:eastAsia="DengXian" w:hAnsi="Book Antiqua" w:cstheme="majorHAnsi" w:hint="eastAsia"/>
          <w:sz w:val="24"/>
          <w:szCs w:val="24"/>
          <w:lang w:eastAsia="zh-CN"/>
        </w:rPr>
        <w:t xml:space="preserve"> </w:t>
      </w:r>
      <w:r w:rsidR="00D4398F" w:rsidRPr="00110464">
        <w:rPr>
          <w:rFonts w:ascii="Book Antiqua" w:hAnsi="Book Antiqua" w:cstheme="majorHAnsi"/>
          <w:sz w:val="24"/>
          <w:szCs w:val="24"/>
          <w:lang w:val="es-ES"/>
        </w:rPr>
        <w:t>yiwaya@shinshu-u.ac.jp</w:t>
      </w:r>
    </w:p>
    <w:p w14:paraId="560AB07B" w14:textId="6AE72C67" w:rsidR="009122BE" w:rsidRPr="00110464" w:rsidRDefault="00B607E6" w:rsidP="006F6B36">
      <w:pPr>
        <w:snapToGrid w:val="0"/>
        <w:spacing w:line="360" w:lineRule="auto"/>
        <w:rPr>
          <w:rFonts w:ascii="Book Antiqua" w:hAnsi="Book Antiqua" w:cstheme="majorHAnsi"/>
          <w:sz w:val="24"/>
          <w:szCs w:val="24"/>
          <w:lang w:val="es-ES"/>
        </w:rPr>
      </w:pPr>
      <w:r w:rsidRPr="00110464">
        <w:rPr>
          <w:rFonts w:ascii="Book Antiqua" w:eastAsia="MS PMincho" w:hAnsi="Book Antiqua" w:cs="Times New Roman"/>
          <w:b/>
          <w:bCs/>
          <w:color w:val="000000"/>
          <w:sz w:val="24"/>
          <w:szCs w:val="24"/>
        </w:rPr>
        <w:lastRenderedPageBreak/>
        <w:t>Telephone:</w:t>
      </w:r>
      <w:r w:rsidRPr="00110464">
        <w:rPr>
          <w:rFonts w:ascii="Book Antiqua" w:eastAsia="MS PMincho" w:hAnsi="Book Antiqua" w:cs="Times New Roman"/>
          <w:bCs/>
          <w:color w:val="000000"/>
          <w:sz w:val="24"/>
          <w:szCs w:val="24"/>
        </w:rPr>
        <w:t xml:space="preserve"> </w:t>
      </w:r>
      <w:r w:rsidR="00D4398F" w:rsidRPr="00110464">
        <w:rPr>
          <w:rFonts w:ascii="Book Antiqua" w:hAnsi="Book Antiqua" w:cstheme="majorHAnsi"/>
          <w:sz w:val="24"/>
          <w:szCs w:val="24"/>
          <w:lang w:val="es-ES"/>
        </w:rPr>
        <w:t>+1-416-864-3092</w:t>
      </w:r>
    </w:p>
    <w:p w14:paraId="419F6600" w14:textId="1B18EE23" w:rsidR="00B607E6" w:rsidRPr="00110464" w:rsidRDefault="00B607E6" w:rsidP="006F6B36">
      <w:pPr>
        <w:snapToGrid w:val="0"/>
        <w:spacing w:line="360" w:lineRule="auto"/>
        <w:rPr>
          <w:rFonts w:ascii="Book Antiqua" w:hAnsi="Book Antiqua" w:cstheme="majorHAnsi"/>
          <w:sz w:val="24"/>
          <w:szCs w:val="24"/>
          <w:lang w:val="es-ES"/>
        </w:rPr>
      </w:pPr>
    </w:p>
    <w:p w14:paraId="03EAB131" w14:textId="0DB487C8" w:rsidR="00922DED" w:rsidRPr="00110464" w:rsidRDefault="00922DED" w:rsidP="006F6B36">
      <w:pPr>
        <w:snapToGrid w:val="0"/>
        <w:spacing w:line="360" w:lineRule="auto"/>
        <w:rPr>
          <w:rFonts w:ascii="Book Antiqua" w:eastAsia="宋体" w:hAnsi="Book Antiqua" w:cs="Times New Roman"/>
          <w:b/>
          <w:sz w:val="24"/>
          <w:szCs w:val="24"/>
          <w:lang w:eastAsia="zh-CN"/>
        </w:rPr>
      </w:pPr>
      <w:bookmarkStart w:id="18" w:name="OLE_LINK75"/>
      <w:bookmarkStart w:id="19" w:name="OLE_LINK76"/>
      <w:bookmarkStart w:id="20" w:name="OLE_LINK269"/>
      <w:bookmarkStart w:id="21" w:name="OLE_LINK239"/>
      <w:r w:rsidRPr="00110464">
        <w:rPr>
          <w:rFonts w:ascii="Book Antiqua" w:eastAsia="宋体" w:hAnsi="Book Antiqua" w:cs="Times New Roman"/>
          <w:b/>
          <w:sz w:val="24"/>
          <w:szCs w:val="24"/>
          <w:lang w:eastAsia="zh-CN"/>
        </w:rPr>
        <w:t xml:space="preserve">Received: </w:t>
      </w:r>
      <w:r w:rsidRPr="00110464">
        <w:rPr>
          <w:rFonts w:ascii="Book Antiqua" w:eastAsia="宋体" w:hAnsi="Book Antiqua" w:cs="Times New Roman"/>
          <w:sz w:val="24"/>
          <w:szCs w:val="24"/>
          <w:lang w:eastAsia="zh-CN"/>
        </w:rPr>
        <w:t>April 1, 2019</w:t>
      </w:r>
    </w:p>
    <w:p w14:paraId="5D9C53EE" w14:textId="76D7444B" w:rsidR="00922DED" w:rsidRPr="00110464" w:rsidRDefault="00922DED" w:rsidP="006F6B36">
      <w:pPr>
        <w:snapToGrid w:val="0"/>
        <w:spacing w:line="360" w:lineRule="auto"/>
        <w:rPr>
          <w:rFonts w:ascii="Book Antiqua" w:eastAsia="宋体" w:hAnsi="Book Antiqua" w:cs="Times New Roman"/>
          <w:b/>
          <w:sz w:val="24"/>
          <w:szCs w:val="24"/>
          <w:lang w:eastAsia="zh-CN"/>
        </w:rPr>
      </w:pPr>
      <w:r w:rsidRPr="00110464">
        <w:rPr>
          <w:rFonts w:ascii="Book Antiqua" w:eastAsia="宋体" w:hAnsi="Book Antiqua" w:cs="Times New Roman"/>
          <w:b/>
          <w:sz w:val="24"/>
          <w:szCs w:val="24"/>
          <w:lang w:eastAsia="zh-CN"/>
        </w:rPr>
        <w:t xml:space="preserve">Peer-review started: </w:t>
      </w:r>
      <w:r w:rsidRPr="00110464">
        <w:rPr>
          <w:rFonts w:ascii="Book Antiqua" w:eastAsia="宋体" w:hAnsi="Book Antiqua" w:cs="Times New Roman"/>
          <w:sz w:val="24"/>
          <w:szCs w:val="24"/>
          <w:lang w:eastAsia="zh-CN"/>
        </w:rPr>
        <w:t>April 1, 2019</w:t>
      </w:r>
    </w:p>
    <w:p w14:paraId="514CC076" w14:textId="4030469B" w:rsidR="00922DED" w:rsidRPr="00110464" w:rsidRDefault="00922DED" w:rsidP="006F6B36">
      <w:pPr>
        <w:snapToGrid w:val="0"/>
        <w:spacing w:line="360" w:lineRule="auto"/>
        <w:rPr>
          <w:rFonts w:ascii="Book Antiqua" w:eastAsia="宋体" w:hAnsi="Book Antiqua" w:cs="Times New Roman"/>
          <w:b/>
          <w:sz w:val="24"/>
          <w:szCs w:val="24"/>
          <w:lang w:eastAsia="zh-CN"/>
        </w:rPr>
      </w:pPr>
      <w:r w:rsidRPr="00110464">
        <w:rPr>
          <w:rFonts w:ascii="Book Antiqua" w:eastAsia="宋体" w:hAnsi="Book Antiqua" w:cs="Times New Roman"/>
          <w:b/>
          <w:sz w:val="24"/>
          <w:szCs w:val="24"/>
          <w:lang w:eastAsia="zh-CN"/>
        </w:rPr>
        <w:t xml:space="preserve">First decision: </w:t>
      </w:r>
      <w:r w:rsidRPr="00110464">
        <w:rPr>
          <w:rFonts w:ascii="Book Antiqua" w:eastAsia="宋体" w:hAnsi="Book Antiqua" w:cs="Times New Roman"/>
          <w:sz w:val="24"/>
          <w:szCs w:val="24"/>
          <w:lang w:eastAsia="zh-CN"/>
        </w:rPr>
        <w:t>April 30, 2019</w:t>
      </w:r>
    </w:p>
    <w:p w14:paraId="08805825" w14:textId="271B8E5E" w:rsidR="00922DED" w:rsidRPr="00110464" w:rsidRDefault="00922DED" w:rsidP="006F6B36">
      <w:pPr>
        <w:snapToGrid w:val="0"/>
        <w:spacing w:line="360" w:lineRule="auto"/>
        <w:rPr>
          <w:rFonts w:ascii="Book Antiqua" w:eastAsia="宋体" w:hAnsi="Book Antiqua" w:cs="Times New Roman"/>
          <w:b/>
          <w:sz w:val="24"/>
          <w:szCs w:val="24"/>
          <w:lang w:eastAsia="zh-CN"/>
        </w:rPr>
      </w:pPr>
      <w:r w:rsidRPr="00110464">
        <w:rPr>
          <w:rFonts w:ascii="Book Antiqua" w:eastAsia="宋体" w:hAnsi="Book Antiqua" w:cs="Times New Roman"/>
          <w:b/>
          <w:sz w:val="24"/>
          <w:szCs w:val="24"/>
          <w:lang w:eastAsia="zh-CN"/>
        </w:rPr>
        <w:t xml:space="preserve">Revised: </w:t>
      </w:r>
      <w:r w:rsidRPr="00110464">
        <w:rPr>
          <w:rFonts w:ascii="Book Antiqua" w:eastAsia="宋体" w:hAnsi="Book Antiqua" w:cs="Times New Roman"/>
          <w:sz w:val="24"/>
          <w:szCs w:val="24"/>
          <w:lang w:eastAsia="zh-CN"/>
        </w:rPr>
        <w:t>May 7, 2019</w:t>
      </w:r>
    </w:p>
    <w:p w14:paraId="3EC23EC9" w14:textId="02E8FC9B" w:rsidR="00922DED" w:rsidRPr="00110464" w:rsidRDefault="00922DED" w:rsidP="006F6B36">
      <w:pPr>
        <w:snapToGrid w:val="0"/>
        <w:spacing w:line="360" w:lineRule="auto"/>
        <w:rPr>
          <w:rFonts w:ascii="Book Antiqua" w:eastAsia="宋体" w:hAnsi="Book Antiqua" w:cs="Times New Roman"/>
          <w:color w:val="000000"/>
          <w:sz w:val="24"/>
          <w:szCs w:val="24"/>
          <w:lang w:eastAsia="zh-CN"/>
        </w:rPr>
      </w:pPr>
      <w:r w:rsidRPr="00110464">
        <w:rPr>
          <w:rFonts w:ascii="Book Antiqua" w:eastAsia="宋体" w:hAnsi="Book Antiqua" w:cs="Times New Roman"/>
          <w:b/>
          <w:sz w:val="24"/>
          <w:szCs w:val="24"/>
          <w:lang w:eastAsia="zh-CN"/>
        </w:rPr>
        <w:t>Accepted:</w:t>
      </w:r>
      <w:r w:rsidR="00283FC4" w:rsidRPr="00110464">
        <w:t xml:space="preserve"> </w:t>
      </w:r>
      <w:r w:rsidR="00283FC4" w:rsidRPr="00110464">
        <w:rPr>
          <w:rFonts w:ascii="Book Antiqua" w:eastAsia="宋体" w:hAnsi="Book Antiqua" w:cs="Times New Roman"/>
          <w:sz w:val="24"/>
          <w:szCs w:val="24"/>
          <w:lang w:eastAsia="zh-CN"/>
        </w:rPr>
        <w:t>May 18, 2019</w:t>
      </w:r>
      <w:r w:rsidRPr="00110464">
        <w:rPr>
          <w:rFonts w:ascii="Book Antiqua" w:eastAsia="宋体" w:hAnsi="Book Antiqua" w:cs="Times New Roman"/>
          <w:b/>
          <w:sz w:val="24"/>
          <w:szCs w:val="24"/>
          <w:lang w:eastAsia="zh-CN"/>
        </w:rPr>
        <w:t xml:space="preserve"> </w:t>
      </w:r>
    </w:p>
    <w:p w14:paraId="3CEF7977" w14:textId="3D26495D" w:rsidR="00922DED" w:rsidRPr="00110464" w:rsidRDefault="00922DED" w:rsidP="006F6B36">
      <w:pPr>
        <w:snapToGrid w:val="0"/>
        <w:spacing w:line="360" w:lineRule="auto"/>
        <w:rPr>
          <w:rFonts w:ascii="Book Antiqua" w:eastAsia="宋体" w:hAnsi="Book Antiqua" w:cs="Times New Roman"/>
          <w:b/>
          <w:sz w:val="24"/>
          <w:szCs w:val="24"/>
          <w:lang w:eastAsia="zh-CN"/>
        </w:rPr>
      </w:pPr>
      <w:r w:rsidRPr="00110464">
        <w:rPr>
          <w:rFonts w:ascii="Book Antiqua" w:eastAsia="宋体" w:hAnsi="Book Antiqua" w:cs="Times New Roman"/>
          <w:b/>
          <w:sz w:val="24"/>
          <w:szCs w:val="24"/>
          <w:lang w:eastAsia="zh-CN"/>
        </w:rPr>
        <w:t>Article in press:</w:t>
      </w:r>
      <w:r w:rsidR="00110464" w:rsidRPr="00110464">
        <w:rPr>
          <w:rFonts w:ascii="Book Antiqua" w:eastAsia="宋体" w:hAnsi="Book Antiqua" w:cs="Times New Roman" w:hint="eastAsia"/>
          <w:b/>
          <w:sz w:val="24"/>
          <w:szCs w:val="24"/>
          <w:lang w:eastAsia="zh-CN"/>
        </w:rPr>
        <w:t xml:space="preserve"> </w:t>
      </w:r>
      <w:r w:rsidR="00110464" w:rsidRPr="00110464">
        <w:rPr>
          <w:rFonts w:ascii="Book Antiqua" w:eastAsia="宋体" w:hAnsi="Book Antiqua" w:cs="Times New Roman"/>
          <w:sz w:val="24"/>
          <w:szCs w:val="24"/>
          <w:lang w:eastAsia="zh-CN"/>
        </w:rPr>
        <w:t>May 18, 2019</w:t>
      </w:r>
    </w:p>
    <w:p w14:paraId="73214569" w14:textId="3C14E486" w:rsidR="009122BE" w:rsidRPr="00110464" w:rsidRDefault="00922DED" w:rsidP="006F6B36">
      <w:pPr>
        <w:snapToGrid w:val="0"/>
        <w:spacing w:line="360" w:lineRule="auto"/>
        <w:rPr>
          <w:rFonts w:ascii="Book Antiqua" w:eastAsia="宋体" w:hAnsi="Book Antiqua" w:cs="Times New Roman"/>
          <w:sz w:val="24"/>
          <w:szCs w:val="24"/>
          <w:lang w:eastAsia="zh-CN"/>
        </w:rPr>
      </w:pPr>
      <w:r w:rsidRPr="00110464">
        <w:rPr>
          <w:rFonts w:ascii="Book Antiqua" w:eastAsia="宋体" w:hAnsi="Book Antiqua" w:cs="Times New Roman"/>
          <w:b/>
          <w:sz w:val="24"/>
          <w:szCs w:val="24"/>
          <w:lang w:eastAsia="zh-CN"/>
        </w:rPr>
        <w:t>Published online:</w:t>
      </w:r>
      <w:bookmarkEnd w:id="18"/>
      <w:bookmarkEnd w:id="19"/>
      <w:bookmarkEnd w:id="20"/>
      <w:bookmarkEnd w:id="21"/>
      <w:r w:rsidR="00110464" w:rsidRPr="00110464">
        <w:rPr>
          <w:rFonts w:ascii="Book Antiqua" w:eastAsia="宋体" w:hAnsi="Book Antiqua" w:cs="Times New Roman" w:hint="eastAsia"/>
          <w:b/>
          <w:sz w:val="24"/>
          <w:szCs w:val="24"/>
          <w:lang w:eastAsia="zh-CN"/>
        </w:rPr>
        <w:t xml:space="preserve"> </w:t>
      </w:r>
      <w:r w:rsidR="00110464" w:rsidRPr="00110464">
        <w:rPr>
          <w:rFonts w:ascii="Book Antiqua" w:eastAsia="宋体" w:hAnsi="Book Antiqua" w:cs="Times New Roman"/>
          <w:sz w:val="24"/>
          <w:szCs w:val="24"/>
          <w:lang w:eastAsia="zh-CN"/>
        </w:rPr>
        <w:t>June 28, 2019</w:t>
      </w:r>
    </w:p>
    <w:p w14:paraId="5E70BF1C" w14:textId="77777777" w:rsidR="00AB0B19" w:rsidRPr="00110464" w:rsidRDefault="00AB0B19" w:rsidP="006F6B36">
      <w:pPr>
        <w:snapToGrid w:val="0"/>
        <w:spacing w:line="360" w:lineRule="auto"/>
        <w:rPr>
          <w:rFonts w:ascii="Book Antiqua" w:hAnsi="Book Antiqua" w:cstheme="majorHAnsi"/>
          <w:b/>
          <w:sz w:val="24"/>
          <w:szCs w:val="24"/>
          <w:lang w:val="es-ES"/>
        </w:rPr>
      </w:pPr>
      <w:r w:rsidRPr="00110464">
        <w:rPr>
          <w:rFonts w:ascii="Book Antiqua" w:hAnsi="Book Antiqua" w:cstheme="majorHAnsi"/>
          <w:b/>
          <w:sz w:val="24"/>
          <w:szCs w:val="24"/>
          <w:lang w:val="es-ES"/>
        </w:rPr>
        <w:br w:type="page"/>
      </w:r>
    </w:p>
    <w:p w14:paraId="266079A7" w14:textId="77777777" w:rsidR="006B1689" w:rsidRPr="00110464" w:rsidRDefault="00AB0B19" w:rsidP="006F6B36">
      <w:pPr>
        <w:snapToGrid w:val="0"/>
        <w:spacing w:line="360" w:lineRule="auto"/>
        <w:rPr>
          <w:rFonts w:ascii="Book Antiqua" w:hAnsi="Book Antiqua" w:cstheme="majorHAnsi"/>
          <w:b/>
          <w:sz w:val="24"/>
          <w:szCs w:val="24"/>
          <w:lang w:val="es-ES"/>
        </w:rPr>
      </w:pPr>
      <w:r w:rsidRPr="00110464">
        <w:rPr>
          <w:rFonts w:ascii="Book Antiqua" w:hAnsi="Book Antiqua" w:cstheme="majorHAnsi"/>
          <w:b/>
          <w:sz w:val="24"/>
          <w:szCs w:val="24"/>
          <w:lang w:val="es-ES"/>
        </w:rPr>
        <w:lastRenderedPageBreak/>
        <w:t>Abstract</w:t>
      </w:r>
    </w:p>
    <w:p w14:paraId="5E27C565" w14:textId="77777777" w:rsidR="00AB0B19" w:rsidRPr="00110464" w:rsidRDefault="00AB0B19" w:rsidP="006F6B36">
      <w:pPr>
        <w:snapToGrid w:val="0"/>
        <w:spacing w:line="360" w:lineRule="auto"/>
        <w:rPr>
          <w:rFonts w:ascii="Book Antiqua" w:hAnsi="Book Antiqua" w:cstheme="majorHAnsi"/>
          <w:b/>
          <w:i/>
          <w:sz w:val="24"/>
          <w:szCs w:val="24"/>
          <w:lang w:val="es-ES"/>
        </w:rPr>
      </w:pPr>
      <w:r w:rsidRPr="00110464">
        <w:rPr>
          <w:rFonts w:ascii="Book Antiqua" w:hAnsi="Book Antiqua" w:cstheme="majorHAnsi"/>
          <w:b/>
          <w:i/>
          <w:sz w:val="24"/>
          <w:szCs w:val="24"/>
          <w:lang w:val="es-ES"/>
        </w:rPr>
        <w:t>BACKGROUND</w:t>
      </w:r>
    </w:p>
    <w:p w14:paraId="36CCA9B4" w14:textId="77777777" w:rsidR="00AB0B19" w:rsidRPr="00110464" w:rsidRDefault="00AB0B19" w:rsidP="006F6B36">
      <w:pPr>
        <w:snapToGrid w:val="0"/>
        <w:spacing w:line="360" w:lineRule="auto"/>
        <w:rPr>
          <w:rFonts w:ascii="Book Antiqua" w:eastAsia="MS Mincho" w:hAnsi="Book Antiqua" w:cstheme="majorHAnsi"/>
          <w:sz w:val="24"/>
          <w:szCs w:val="24"/>
        </w:rPr>
      </w:pPr>
      <w:r w:rsidRPr="00110464">
        <w:rPr>
          <w:rFonts w:ascii="Book Antiqua" w:eastAsia="MS Mincho" w:hAnsi="Book Antiqua" w:cstheme="majorHAnsi"/>
          <w:sz w:val="24"/>
          <w:szCs w:val="24"/>
        </w:rPr>
        <w:t>Esophageal adenocarcinoma (EAC) and high-grade dysplasia (HGD) may appear in young patients with Barrett’s esophagus (BE). However, characteristics of Barrett’s-related neoplasia in this younger population remain unknown.</w:t>
      </w:r>
    </w:p>
    <w:p w14:paraId="64973B73" w14:textId="77777777" w:rsidR="00AB0B19" w:rsidRPr="00110464" w:rsidRDefault="00AB0B19" w:rsidP="006F6B36">
      <w:pPr>
        <w:snapToGrid w:val="0"/>
        <w:spacing w:line="360" w:lineRule="auto"/>
        <w:rPr>
          <w:rFonts w:ascii="Book Antiqua" w:eastAsia="MS Mincho" w:hAnsi="Book Antiqua" w:cstheme="majorHAnsi"/>
          <w:sz w:val="24"/>
          <w:szCs w:val="24"/>
        </w:rPr>
      </w:pPr>
    </w:p>
    <w:p w14:paraId="18D09B8C" w14:textId="77777777" w:rsidR="00AB0B19" w:rsidRPr="00110464" w:rsidRDefault="00AB0B19" w:rsidP="006F6B36">
      <w:pPr>
        <w:snapToGrid w:val="0"/>
        <w:spacing w:line="360" w:lineRule="auto"/>
        <w:rPr>
          <w:rFonts w:ascii="Book Antiqua" w:eastAsia="MS Mincho" w:hAnsi="Book Antiqua" w:cstheme="majorHAnsi"/>
          <w:b/>
          <w:i/>
          <w:sz w:val="24"/>
          <w:szCs w:val="24"/>
        </w:rPr>
      </w:pPr>
      <w:r w:rsidRPr="00110464">
        <w:rPr>
          <w:rFonts w:ascii="Book Antiqua" w:eastAsia="MS Mincho" w:hAnsi="Book Antiqua" w:cstheme="majorHAnsi"/>
          <w:b/>
          <w:i/>
          <w:sz w:val="24"/>
          <w:szCs w:val="24"/>
        </w:rPr>
        <w:t>AIM</w:t>
      </w:r>
    </w:p>
    <w:p w14:paraId="15EC0B80" w14:textId="6EBA6297" w:rsidR="00AB0B19" w:rsidRPr="00110464" w:rsidRDefault="00ED62A1" w:rsidP="006F6B36">
      <w:pPr>
        <w:snapToGrid w:val="0"/>
        <w:spacing w:line="360" w:lineRule="auto"/>
        <w:rPr>
          <w:rFonts w:ascii="Book Antiqua" w:eastAsia="MS Mincho" w:hAnsi="Book Antiqua" w:cstheme="majorHAnsi"/>
          <w:sz w:val="24"/>
          <w:szCs w:val="24"/>
        </w:rPr>
      </w:pPr>
      <w:r w:rsidRPr="00110464">
        <w:rPr>
          <w:rFonts w:ascii="Book Antiqua" w:eastAsia="MS Mincho" w:hAnsi="Book Antiqua" w:cstheme="majorHAnsi"/>
          <w:sz w:val="24"/>
          <w:szCs w:val="24"/>
        </w:rPr>
        <w:t>T</w:t>
      </w:r>
      <w:r w:rsidR="00AB0B19" w:rsidRPr="00110464">
        <w:rPr>
          <w:rFonts w:ascii="Book Antiqua" w:eastAsia="MS Mincho" w:hAnsi="Book Antiqua" w:cstheme="majorHAnsi"/>
          <w:sz w:val="24"/>
          <w:szCs w:val="24"/>
        </w:rPr>
        <w:t xml:space="preserve">o identify clinical characteristics that differ between young and old patients with early-stage Barrett’s-related neoplasia. </w:t>
      </w:r>
    </w:p>
    <w:p w14:paraId="1B81E579" w14:textId="77777777" w:rsidR="00AB0B19" w:rsidRPr="00110464" w:rsidRDefault="00AB0B19" w:rsidP="006F6B36">
      <w:pPr>
        <w:snapToGrid w:val="0"/>
        <w:spacing w:line="360" w:lineRule="auto"/>
        <w:rPr>
          <w:rFonts w:ascii="Book Antiqua" w:eastAsia="MS Mincho" w:hAnsi="Book Antiqua" w:cstheme="majorHAnsi"/>
          <w:sz w:val="24"/>
          <w:szCs w:val="24"/>
        </w:rPr>
      </w:pPr>
    </w:p>
    <w:p w14:paraId="614D20BB" w14:textId="77777777" w:rsidR="00AB0B19" w:rsidRPr="00110464" w:rsidRDefault="00AB0B19" w:rsidP="006F6B36">
      <w:pPr>
        <w:snapToGrid w:val="0"/>
        <w:spacing w:line="360" w:lineRule="auto"/>
        <w:rPr>
          <w:rFonts w:ascii="Book Antiqua" w:eastAsia="MS Mincho" w:hAnsi="Book Antiqua" w:cstheme="majorHAnsi"/>
          <w:b/>
          <w:i/>
          <w:sz w:val="24"/>
          <w:szCs w:val="24"/>
        </w:rPr>
      </w:pPr>
      <w:r w:rsidRPr="00110464">
        <w:rPr>
          <w:rFonts w:ascii="Book Antiqua" w:eastAsia="MS Mincho" w:hAnsi="Book Antiqua" w:cstheme="majorHAnsi"/>
          <w:b/>
          <w:i/>
          <w:sz w:val="24"/>
          <w:szCs w:val="24"/>
        </w:rPr>
        <w:t>METHODS</w:t>
      </w:r>
    </w:p>
    <w:p w14:paraId="66ED949A" w14:textId="4D02CE8E" w:rsidR="00AB0B19" w:rsidRPr="00110464" w:rsidRDefault="00AB0B19" w:rsidP="006F6B36">
      <w:pPr>
        <w:snapToGrid w:val="0"/>
        <w:spacing w:line="360" w:lineRule="auto"/>
        <w:rPr>
          <w:rFonts w:ascii="Book Antiqua" w:eastAsia="MS Mincho" w:hAnsi="Book Antiqua" w:cstheme="majorHAnsi"/>
          <w:sz w:val="24"/>
          <w:szCs w:val="24"/>
        </w:rPr>
      </w:pPr>
      <w:r w:rsidRPr="00110464">
        <w:rPr>
          <w:rFonts w:ascii="Book Antiqua" w:eastAsia="MS Mincho" w:hAnsi="Book Antiqua" w:cstheme="majorHAnsi"/>
          <w:sz w:val="24"/>
          <w:szCs w:val="24"/>
        </w:rPr>
        <w:t xml:space="preserve">We conducted a retrospective analysis of a prospectively maintained database comprised of consecutive patients with early-stage EAC (pT1) and HGD at a tertiary-referral center between 2001 and 2017. Baseline characteristics, drug and risk factor exposures, clinicopathological staging of EAC/HGD and treatment outcomes </w:t>
      </w:r>
      <w:r w:rsidR="00ED62A1"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 xml:space="preserve">complete eradication of neoplasia </w:t>
      </w:r>
      <w:r w:rsidR="00ED62A1"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CE-N</w:t>
      </w:r>
      <w:r w:rsidR="00ED62A1" w:rsidRPr="00110464">
        <w:rPr>
          <w:rFonts w:ascii="Book Antiqua" w:eastAsia="MS Mincho" w:hAnsi="Book Antiqua" w:cstheme="majorHAnsi"/>
          <w:sz w:val="24"/>
          <w:szCs w:val="24"/>
        </w:rPr>
        <w:t>)</w:t>
      </w:r>
      <w:r w:rsidR="00190D57"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 xml:space="preserve">complete eradication of intestinal metaplasia </w:t>
      </w:r>
      <w:r w:rsidR="00ED62A1"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CE-IM</w:t>
      </w:r>
      <w:r w:rsidR="00ED62A1" w:rsidRPr="00110464">
        <w:rPr>
          <w:rFonts w:ascii="Book Antiqua" w:eastAsia="MS Mincho" w:hAnsi="Book Antiqua" w:cstheme="majorHAnsi"/>
          <w:sz w:val="24"/>
          <w:szCs w:val="24"/>
        </w:rPr>
        <w:t>)</w:t>
      </w:r>
      <w:r w:rsidR="00190D57" w:rsidRPr="00110464">
        <w:rPr>
          <w:rFonts w:ascii="Book Antiqua" w:eastAsia="MS Mincho" w:hAnsi="Book Antiqua" w:cstheme="majorHAnsi"/>
          <w:sz w:val="24"/>
          <w:szCs w:val="24"/>
        </w:rPr>
        <w:t>, recurrence of neoplasia and recurrence of intestinal metaplasia</w:t>
      </w:r>
      <w:r w:rsidR="00ED62A1"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 xml:space="preserve"> were retrieved. Multivariate analyses were performed to identify factors that differed significantly between older and younger (≤</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50 years) patients.</w:t>
      </w:r>
    </w:p>
    <w:p w14:paraId="436ABCA6" w14:textId="77777777" w:rsidR="00190D57" w:rsidRPr="00110464" w:rsidRDefault="00190D57" w:rsidP="006F6B36">
      <w:pPr>
        <w:snapToGrid w:val="0"/>
        <w:spacing w:line="360" w:lineRule="auto"/>
        <w:rPr>
          <w:rFonts w:ascii="Book Antiqua" w:eastAsia="MS Mincho" w:hAnsi="Book Antiqua" w:cstheme="majorHAnsi"/>
          <w:sz w:val="24"/>
          <w:szCs w:val="24"/>
        </w:rPr>
      </w:pPr>
    </w:p>
    <w:p w14:paraId="70D40AF0" w14:textId="77777777" w:rsidR="00190D57" w:rsidRPr="00110464" w:rsidRDefault="00190D57" w:rsidP="006F6B36">
      <w:pPr>
        <w:snapToGrid w:val="0"/>
        <w:spacing w:line="360" w:lineRule="auto"/>
        <w:rPr>
          <w:rFonts w:ascii="Book Antiqua" w:eastAsia="MS Mincho" w:hAnsi="Book Antiqua" w:cstheme="majorHAnsi"/>
          <w:b/>
          <w:i/>
          <w:sz w:val="24"/>
          <w:szCs w:val="24"/>
        </w:rPr>
      </w:pPr>
      <w:r w:rsidRPr="00110464">
        <w:rPr>
          <w:rFonts w:ascii="Book Antiqua" w:eastAsia="MS Mincho" w:hAnsi="Book Antiqua" w:cstheme="majorHAnsi"/>
          <w:b/>
          <w:i/>
          <w:sz w:val="24"/>
          <w:szCs w:val="24"/>
        </w:rPr>
        <w:t>R</w:t>
      </w:r>
      <w:r w:rsidR="00DF5055" w:rsidRPr="00110464">
        <w:rPr>
          <w:rFonts w:ascii="Book Antiqua" w:eastAsia="MS Mincho" w:hAnsi="Book Antiqua" w:cstheme="majorHAnsi"/>
          <w:b/>
          <w:i/>
          <w:sz w:val="24"/>
          <w:szCs w:val="24"/>
        </w:rPr>
        <w:t>E</w:t>
      </w:r>
      <w:r w:rsidRPr="00110464">
        <w:rPr>
          <w:rFonts w:ascii="Book Antiqua" w:eastAsia="MS Mincho" w:hAnsi="Book Antiqua" w:cstheme="majorHAnsi"/>
          <w:b/>
          <w:i/>
          <w:sz w:val="24"/>
          <w:szCs w:val="24"/>
        </w:rPr>
        <w:t>SULTS</w:t>
      </w:r>
    </w:p>
    <w:p w14:paraId="11B482D7" w14:textId="7047E9BA" w:rsidR="00190D57" w:rsidRPr="00110464" w:rsidRDefault="00190D57" w:rsidP="006F6B36">
      <w:pPr>
        <w:snapToGrid w:val="0"/>
        <w:spacing w:line="360" w:lineRule="auto"/>
        <w:rPr>
          <w:rFonts w:ascii="Book Antiqua" w:eastAsia="MS Mincho" w:hAnsi="Book Antiqua" w:cstheme="majorHAnsi"/>
          <w:sz w:val="24"/>
          <w:szCs w:val="24"/>
        </w:rPr>
      </w:pPr>
      <w:r w:rsidRPr="00110464">
        <w:rPr>
          <w:rFonts w:ascii="Book Antiqua" w:eastAsia="MS Mincho" w:hAnsi="Book Antiqua" w:cstheme="majorHAnsi"/>
          <w:sz w:val="24"/>
          <w:szCs w:val="24"/>
        </w:rPr>
        <w:t>We identified 450 patients with T1 EAC and HGD (74% and 26%, respectively); 45 (10%) were ≤</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 xml:space="preserve">50 years. Compared to the older group, young patients were more likely to present with ongoing </w:t>
      </w:r>
      <w:r w:rsidR="00ED62A1" w:rsidRPr="00110464">
        <w:rPr>
          <w:rFonts w:ascii="Book Antiqua" w:eastAsia="MS Mincho" w:hAnsi="Book Antiqua" w:cstheme="majorHAnsi"/>
          <w:sz w:val="24"/>
          <w:szCs w:val="24"/>
        </w:rPr>
        <w:t>gastroesophageal reflux disease (</w:t>
      </w:r>
      <w:r w:rsidRPr="00110464">
        <w:rPr>
          <w:rFonts w:ascii="Book Antiqua" w:eastAsia="MS Mincho" w:hAnsi="Book Antiqua" w:cstheme="majorHAnsi"/>
          <w:sz w:val="24"/>
          <w:szCs w:val="24"/>
        </w:rPr>
        <w:t>GERD</w:t>
      </w:r>
      <w:r w:rsidR="00ED62A1"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 xml:space="preserve"> symptoms (55% </w:t>
      </w:r>
      <w:r w:rsidRPr="00110464">
        <w:rPr>
          <w:rFonts w:ascii="Book Antiqua" w:eastAsia="MS Mincho" w:hAnsi="Book Antiqua" w:cstheme="majorHAnsi"/>
          <w:i/>
          <w:sz w:val="24"/>
          <w:szCs w:val="24"/>
        </w:rPr>
        <w:t>vs</w:t>
      </w:r>
      <w:r w:rsidRPr="00110464">
        <w:rPr>
          <w:rFonts w:ascii="Book Antiqua" w:eastAsia="MS Mincho" w:hAnsi="Book Antiqua" w:cstheme="majorHAnsi"/>
          <w:sz w:val="24"/>
          <w:szCs w:val="24"/>
        </w:rPr>
        <w:t xml:space="preserve"> 38%</w:t>
      </w:r>
      <w:r w:rsidR="000F60BA"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 xml:space="preserve"> </w:t>
      </w:r>
      <w:r w:rsidRPr="00110464">
        <w:rPr>
          <w:rFonts w:ascii="Book Antiqua" w:eastAsia="MS Mincho" w:hAnsi="Book Antiqua" w:cstheme="majorHAnsi"/>
          <w:i/>
          <w:sz w:val="24"/>
          <w:szCs w:val="24"/>
        </w:rPr>
        <w:t>P</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0.04) and to be obese (</w:t>
      </w:r>
      <w:r w:rsidR="00ED62A1" w:rsidRPr="00110464">
        <w:rPr>
          <w:rFonts w:ascii="Book Antiqua" w:eastAsia="MS Mincho" w:hAnsi="Book Antiqua" w:cstheme="majorHAnsi"/>
          <w:sz w:val="24"/>
          <w:szCs w:val="24"/>
        </w:rPr>
        <w:t xml:space="preserve">body mass index </w:t>
      </w:r>
      <w:r w:rsidRPr="00110464">
        <w:rPr>
          <w:rFonts w:ascii="Book Antiqua" w:eastAsia="MS Mincho" w:hAnsi="Book Antiqua" w:cstheme="majorHAnsi"/>
          <w:sz w:val="24"/>
          <w:szCs w:val="24"/>
        </w:rPr>
        <w:t>&gt;</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 xml:space="preserve">30, 48% </w:t>
      </w:r>
      <w:r w:rsidRPr="00110464">
        <w:rPr>
          <w:rFonts w:ascii="Book Antiqua" w:eastAsia="MS Mincho" w:hAnsi="Book Antiqua" w:cstheme="majorHAnsi"/>
          <w:i/>
          <w:sz w:val="24"/>
          <w:szCs w:val="24"/>
        </w:rPr>
        <w:t>vs</w:t>
      </w:r>
      <w:r w:rsidRPr="00110464">
        <w:rPr>
          <w:rFonts w:ascii="Book Antiqua" w:eastAsia="MS Mincho" w:hAnsi="Book Antiqua" w:cstheme="majorHAnsi"/>
          <w:sz w:val="24"/>
          <w:szCs w:val="24"/>
        </w:rPr>
        <w:t xml:space="preserve"> 32%</w:t>
      </w:r>
      <w:r w:rsidR="000F60BA" w:rsidRPr="00110464">
        <w:rPr>
          <w:rFonts w:ascii="Book Antiqua" w:eastAsia="MS Mincho" w:hAnsi="Book Antiqua" w:cstheme="majorHAnsi"/>
          <w:sz w:val="24"/>
          <w:szCs w:val="24"/>
        </w:rPr>
        <w:t xml:space="preserve">, </w:t>
      </w:r>
      <w:r w:rsidRPr="00110464">
        <w:rPr>
          <w:rFonts w:ascii="Book Antiqua" w:eastAsia="MS Mincho" w:hAnsi="Book Antiqua" w:cstheme="majorHAnsi"/>
          <w:i/>
          <w:sz w:val="24"/>
          <w:szCs w:val="24"/>
        </w:rPr>
        <w:t>P</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0.0</w:t>
      </w:r>
      <w:r w:rsidR="000F60BA" w:rsidRPr="00110464">
        <w:rPr>
          <w:rFonts w:ascii="Book Antiqua" w:eastAsia="MS Mincho" w:hAnsi="Book Antiqua" w:cstheme="majorHAnsi"/>
          <w:sz w:val="24"/>
          <w:szCs w:val="24"/>
        </w:rPr>
        <w:t>4</w:t>
      </w:r>
      <w:r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 xml:space="preserve">Multivariate logistic regression analysis showed that young patients were significantly more likely to have ongoing GERD symptoms </w:t>
      </w:r>
      <w:r w:rsidR="00ED62A1" w:rsidRPr="00110464">
        <w:rPr>
          <w:rFonts w:ascii="Book Antiqua" w:eastAsia="MS Mincho" w:hAnsi="Book Antiqua" w:cstheme="majorHAnsi"/>
          <w:sz w:val="24"/>
          <w:szCs w:val="24"/>
        </w:rPr>
        <w:t>[</w:t>
      </w:r>
      <w:r w:rsidR="000F60BA" w:rsidRPr="00110464">
        <w:rPr>
          <w:rFonts w:ascii="Book Antiqua" w:eastAsia="MS Mincho" w:hAnsi="Book Antiqua" w:cstheme="majorHAnsi"/>
          <w:sz w:val="24"/>
          <w:szCs w:val="24"/>
        </w:rPr>
        <w:t xml:space="preserve">odds ratio </w:t>
      </w:r>
      <w:r w:rsidR="00ED62A1" w:rsidRPr="00110464">
        <w:rPr>
          <w:rFonts w:ascii="Book Antiqua" w:eastAsia="MS Mincho" w:hAnsi="Book Antiqua" w:cstheme="majorHAnsi"/>
          <w:sz w:val="24"/>
          <w:szCs w:val="24"/>
        </w:rPr>
        <w:t>(</w:t>
      </w:r>
      <w:r w:rsidR="000F60BA" w:rsidRPr="00110464">
        <w:rPr>
          <w:rFonts w:ascii="Book Antiqua" w:eastAsia="MS Mincho" w:hAnsi="Book Antiqua" w:cstheme="majorHAnsi"/>
          <w:sz w:val="24"/>
          <w:szCs w:val="24"/>
        </w:rPr>
        <w:t>OR</w:t>
      </w:r>
      <w:r w:rsidR="00ED62A1" w:rsidRPr="00110464">
        <w:rPr>
          <w:rFonts w:ascii="Book Antiqua" w:eastAsia="MS Mincho" w:hAnsi="Book Antiqua" w:cstheme="majorHAnsi"/>
          <w:sz w:val="24"/>
          <w:szCs w:val="24"/>
        </w:rPr>
        <w:t>)</w:t>
      </w:r>
      <w:r w:rsidR="000F60BA" w:rsidRPr="00110464">
        <w:rPr>
          <w:rFonts w:ascii="Book Antiqua" w:eastAsia="MS Mincho" w:hAnsi="Book Antiqua" w:cstheme="majorHAnsi"/>
          <w:sz w:val="24"/>
          <w:szCs w:val="24"/>
        </w:rPr>
        <w:t xml:space="preserve"> 2.00, 95% confidence interval </w:t>
      </w:r>
      <w:r w:rsidR="00ED62A1" w:rsidRPr="00110464">
        <w:rPr>
          <w:rFonts w:ascii="Book Antiqua" w:eastAsia="MS Mincho" w:hAnsi="Book Antiqua" w:cstheme="majorHAnsi"/>
          <w:sz w:val="24"/>
          <w:szCs w:val="24"/>
        </w:rPr>
        <w:t>(</w:t>
      </w:r>
      <w:r w:rsidR="000F60BA" w:rsidRPr="00110464">
        <w:rPr>
          <w:rFonts w:ascii="Book Antiqua" w:eastAsia="MS Mincho" w:hAnsi="Book Antiqua" w:cstheme="majorHAnsi"/>
          <w:sz w:val="24"/>
          <w:szCs w:val="24"/>
        </w:rPr>
        <w:t>CI</w:t>
      </w:r>
      <w:r w:rsidR="00ED62A1" w:rsidRPr="00110464">
        <w:rPr>
          <w:rFonts w:ascii="Book Antiqua" w:eastAsia="MS Mincho" w:hAnsi="Book Antiqua" w:cstheme="majorHAnsi"/>
          <w:sz w:val="24"/>
          <w:szCs w:val="24"/>
        </w:rPr>
        <w:t>)</w:t>
      </w:r>
      <w:r w:rsidR="000F60BA" w:rsidRPr="00110464">
        <w:rPr>
          <w:rFonts w:ascii="Book Antiqua" w:eastAsia="MS Mincho" w:hAnsi="Book Antiqua" w:cstheme="majorHAnsi"/>
          <w:sz w:val="24"/>
          <w:szCs w:val="24"/>
        </w:rPr>
        <w:t xml:space="preserve"> 1.04-3.85, </w:t>
      </w:r>
      <w:r w:rsidR="000F60BA" w:rsidRPr="00110464">
        <w:rPr>
          <w:rFonts w:ascii="Book Antiqua" w:eastAsia="MS Mincho" w:hAnsi="Book Antiqua" w:cstheme="majorHAnsi"/>
          <w:i/>
          <w:sz w:val="24"/>
          <w:szCs w:val="24"/>
        </w:rPr>
        <w:t>P</w:t>
      </w:r>
      <w:r w:rsidR="00ED62A1"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w:t>
      </w:r>
      <w:r w:rsidR="00ED62A1"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0.04</w:t>
      </w:r>
      <w:r w:rsidR="00ED62A1" w:rsidRPr="00110464">
        <w:rPr>
          <w:rFonts w:ascii="Book Antiqua" w:eastAsia="MS Mincho" w:hAnsi="Book Antiqua" w:cstheme="majorHAnsi"/>
          <w:sz w:val="24"/>
          <w:szCs w:val="24"/>
        </w:rPr>
        <w:t>]</w:t>
      </w:r>
      <w:r w:rsidR="000F60BA" w:rsidRPr="00110464">
        <w:rPr>
          <w:rFonts w:ascii="Book Antiqua" w:eastAsia="MS Mincho" w:hAnsi="Book Antiqua" w:cstheme="majorHAnsi"/>
          <w:sz w:val="24"/>
          <w:szCs w:val="24"/>
        </w:rPr>
        <w:t xml:space="preserve"> and to be obese (OR 2.06, 95%CI 1.07-3.98, </w:t>
      </w:r>
      <w:r w:rsidR="000F60BA" w:rsidRPr="00110464">
        <w:rPr>
          <w:rFonts w:ascii="Book Antiqua" w:eastAsia="MS Mincho" w:hAnsi="Book Antiqua" w:cstheme="majorHAnsi"/>
          <w:i/>
          <w:sz w:val="24"/>
          <w:szCs w:val="24"/>
        </w:rPr>
        <w:t>P</w:t>
      </w:r>
      <w:r w:rsidR="00ED62A1"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w:t>
      </w:r>
      <w:r w:rsidR="00ED62A1"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 xml:space="preserve">0.03) whereas the young group was less likely to have a smoking history (OR 0.39, 95%CI 0.20-0.75, </w:t>
      </w:r>
      <w:r w:rsidR="000F60BA" w:rsidRPr="00110464">
        <w:rPr>
          <w:rFonts w:ascii="Book Antiqua" w:eastAsia="MS Mincho" w:hAnsi="Book Antiqua" w:cstheme="majorHAnsi"/>
          <w:i/>
          <w:sz w:val="24"/>
          <w:szCs w:val="24"/>
        </w:rPr>
        <w:t>P</w:t>
      </w:r>
      <w:r w:rsidR="00ED62A1"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&lt;</w:t>
      </w:r>
      <w:r w:rsidR="00ED62A1" w:rsidRPr="00110464">
        <w:rPr>
          <w:rFonts w:ascii="Book Antiqua" w:eastAsia="MS Mincho" w:hAnsi="Book Antiqua" w:cstheme="majorHAnsi"/>
          <w:sz w:val="24"/>
          <w:szCs w:val="24"/>
        </w:rPr>
        <w:t xml:space="preserve"> </w:t>
      </w:r>
      <w:r w:rsidR="000F60BA" w:rsidRPr="00110464">
        <w:rPr>
          <w:rFonts w:ascii="Book Antiqua" w:eastAsia="MS Mincho" w:hAnsi="Book Antiqua" w:cstheme="majorHAnsi"/>
          <w:sz w:val="24"/>
          <w:szCs w:val="24"/>
        </w:rPr>
        <w:t xml:space="preserve">0.01) compared to the old group. </w:t>
      </w:r>
      <w:r w:rsidRPr="00110464">
        <w:rPr>
          <w:rFonts w:ascii="Book Antiqua" w:eastAsia="MS Mincho" w:hAnsi="Book Antiqua" w:cstheme="majorHAnsi"/>
          <w:sz w:val="24"/>
          <w:szCs w:val="24"/>
        </w:rPr>
        <w:t xml:space="preserve">However, there were no significant differences regarding tumor histology, CE-N, CE-IM, recurrence of neoplasia and recurrence of intestinal metaplasia (mean follow-up, </w:t>
      </w:r>
      <w:r w:rsidRPr="00110464">
        <w:rPr>
          <w:rFonts w:ascii="Book Antiqua" w:eastAsia="MS Mincho" w:hAnsi="Book Antiqua" w:cstheme="majorHAnsi"/>
          <w:sz w:val="24"/>
          <w:szCs w:val="24"/>
        </w:rPr>
        <w:lastRenderedPageBreak/>
        <w:t>44.3</w:t>
      </w:r>
      <w:r w:rsidR="00BB26FC" w:rsidRPr="00110464">
        <w:rPr>
          <w:rFonts w:ascii="Book Antiqua" w:eastAsia="MS Mincho" w:hAnsi="Book Antiqua" w:cstheme="majorHAnsi"/>
          <w:sz w:val="24"/>
          <w:szCs w:val="24"/>
        </w:rPr>
        <w:t xml:space="preserve"> </w:t>
      </w:r>
      <w:proofErr w:type="spellStart"/>
      <w:r w:rsidR="00BB26FC" w:rsidRPr="00110464">
        <w:rPr>
          <w:rFonts w:ascii="Book Antiqua" w:eastAsia="MS Mincho" w:hAnsi="Book Antiqua" w:cstheme="majorHAnsi"/>
          <w:sz w:val="24"/>
          <w:szCs w:val="24"/>
        </w:rPr>
        <w:t>mo</w:t>
      </w:r>
      <w:proofErr w:type="spellEnd"/>
      <w:r w:rsidRPr="00110464">
        <w:rPr>
          <w:rFonts w:ascii="Book Antiqua" w:eastAsia="MS Mincho" w:hAnsi="Book Antiqua" w:cstheme="majorHAnsi"/>
          <w:sz w:val="24"/>
          <w:szCs w:val="24"/>
        </w:rPr>
        <w:t>).</w:t>
      </w:r>
    </w:p>
    <w:p w14:paraId="550C2A13" w14:textId="77777777" w:rsidR="00190D57" w:rsidRPr="00110464" w:rsidRDefault="00190D57" w:rsidP="006F6B36">
      <w:pPr>
        <w:snapToGrid w:val="0"/>
        <w:spacing w:line="360" w:lineRule="auto"/>
        <w:rPr>
          <w:rFonts w:ascii="Book Antiqua" w:eastAsia="MS Mincho" w:hAnsi="Book Antiqua" w:cstheme="majorHAnsi"/>
          <w:sz w:val="24"/>
          <w:szCs w:val="24"/>
        </w:rPr>
      </w:pPr>
    </w:p>
    <w:p w14:paraId="4EB70F0A" w14:textId="77777777" w:rsidR="00190D57" w:rsidRPr="00110464" w:rsidRDefault="00190D57" w:rsidP="006F6B36">
      <w:pPr>
        <w:snapToGrid w:val="0"/>
        <w:spacing w:line="360" w:lineRule="auto"/>
        <w:rPr>
          <w:rFonts w:ascii="Book Antiqua" w:eastAsia="MS Mincho" w:hAnsi="Book Antiqua" w:cstheme="majorHAnsi"/>
          <w:b/>
          <w:i/>
          <w:sz w:val="24"/>
          <w:szCs w:val="24"/>
        </w:rPr>
      </w:pPr>
      <w:r w:rsidRPr="00110464">
        <w:rPr>
          <w:rFonts w:ascii="Book Antiqua" w:eastAsia="MS Mincho" w:hAnsi="Book Antiqua" w:cstheme="majorHAnsi"/>
          <w:b/>
          <w:i/>
          <w:sz w:val="24"/>
          <w:szCs w:val="24"/>
        </w:rPr>
        <w:t>CONCLUSION</w:t>
      </w:r>
    </w:p>
    <w:p w14:paraId="5FC8E14D" w14:textId="1BE9C7AF" w:rsidR="00190D57" w:rsidRPr="00110464" w:rsidRDefault="00190D57" w:rsidP="006F6B36">
      <w:pPr>
        <w:snapToGrid w:val="0"/>
        <w:spacing w:line="360" w:lineRule="auto"/>
        <w:rPr>
          <w:rFonts w:ascii="Book Antiqua" w:eastAsia="MS Mincho" w:hAnsi="Book Antiqua" w:cstheme="majorHAnsi"/>
          <w:sz w:val="24"/>
          <w:szCs w:val="24"/>
        </w:rPr>
      </w:pPr>
      <w:r w:rsidRPr="00110464">
        <w:rPr>
          <w:rFonts w:ascii="Book Antiqua" w:eastAsia="MS Mincho" w:hAnsi="Book Antiqua" w:cstheme="majorHAnsi"/>
          <w:sz w:val="24"/>
          <w:szCs w:val="24"/>
        </w:rPr>
        <w:t>While guidelines recommend BE screening in patients &gt;</w:t>
      </w:r>
      <w:r w:rsidR="00ED62A1"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 xml:space="preserve">50 years of age, younger patients should be considered for screening endoscopy if they suffer from obesity and GERD symptoms. </w:t>
      </w:r>
    </w:p>
    <w:p w14:paraId="38782BAD" w14:textId="77777777" w:rsidR="00AB0B19" w:rsidRPr="00110464" w:rsidRDefault="00AB0B19" w:rsidP="006F6B36">
      <w:pPr>
        <w:snapToGrid w:val="0"/>
        <w:spacing w:line="360" w:lineRule="auto"/>
        <w:rPr>
          <w:rFonts w:ascii="Book Antiqua" w:hAnsi="Book Antiqua" w:cstheme="majorHAnsi"/>
          <w:sz w:val="24"/>
          <w:szCs w:val="24"/>
        </w:rPr>
      </w:pPr>
    </w:p>
    <w:p w14:paraId="75306A7B" w14:textId="2D51EC5B" w:rsidR="00BB26FC" w:rsidRPr="00110464" w:rsidRDefault="00ED62A1" w:rsidP="006F6B36">
      <w:pPr>
        <w:snapToGrid w:val="0"/>
        <w:spacing w:line="360" w:lineRule="auto"/>
        <w:rPr>
          <w:rFonts w:ascii="Book Antiqua" w:hAnsi="Book Antiqua" w:cstheme="majorHAnsi"/>
          <w:sz w:val="24"/>
          <w:szCs w:val="24"/>
          <w:lang w:val="es-ES"/>
        </w:rPr>
      </w:pPr>
      <w:r w:rsidRPr="00110464">
        <w:rPr>
          <w:rFonts w:ascii="Book Antiqua" w:eastAsia="MS PMincho" w:hAnsi="Book Antiqua" w:cs="Times New Roman"/>
          <w:b/>
          <w:bCs/>
          <w:color w:val="000000"/>
          <w:sz w:val="24"/>
          <w:szCs w:val="24"/>
        </w:rPr>
        <w:t>Key words:</w:t>
      </w:r>
      <w:r w:rsidRPr="00110464">
        <w:rPr>
          <w:rFonts w:ascii="Book Antiqua" w:eastAsia="MS PMincho" w:hAnsi="Book Antiqua" w:cs="Times New Roman"/>
          <w:bCs/>
          <w:color w:val="000000"/>
          <w:sz w:val="24"/>
          <w:szCs w:val="24"/>
        </w:rPr>
        <w:t xml:space="preserve"> </w:t>
      </w:r>
      <w:bookmarkStart w:id="22" w:name="OLE_LINK84"/>
      <w:r w:rsidR="00BB26FC" w:rsidRPr="00110464">
        <w:rPr>
          <w:rFonts w:ascii="Book Antiqua" w:hAnsi="Book Antiqua" w:cstheme="majorHAnsi"/>
          <w:sz w:val="24"/>
          <w:szCs w:val="24"/>
          <w:lang w:val="es-ES"/>
        </w:rPr>
        <w:t xml:space="preserve">Barrett’s Esophagus; </w:t>
      </w:r>
      <w:r w:rsidR="002D17DA" w:rsidRPr="00110464">
        <w:rPr>
          <w:rFonts w:ascii="Book Antiqua" w:hAnsi="Book Antiqua" w:cstheme="majorHAnsi"/>
          <w:sz w:val="24"/>
          <w:szCs w:val="24"/>
          <w:lang w:val="es-ES"/>
        </w:rPr>
        <w:t>Gastroesophageal reflux disease</w:t>
      </w:r>
      <w:r w:rsidR="00BB26FC" w:rsidRPr="00110464">
        <w:rPr>
          <w:rFonts w:ascii="Book Antiqua" w:hAnsi="Book Antiqua" w:cstheme="majorHAnsi"/>
          <w:sz w:val="24"/>
          <w:szCs w:val="24"/>
          <w:lang w:val="es-ES"/>
        </w:rPr>
        <w:t>; Obesity; Esophageal adenocarcinoma; High-grade dysplasia; Guideline; Young patient</w:t>
      </w:r>
    </w:p>
    <w:bookmarkEnd w:id="22"/>
    <w:p w14:paraId="5D71DA55" w14:textId="3AE524BE" w:rsidR="00D4398F" w:rsidRPr="00110464" w:rsidRDefault="00D4398F" w:rsidP="006F6B36">
      <w:pPr>
        <w:snapToGrid w:val="0"/>
        <w:spacing w:line="360" w:lineRule="auto"/>
        <w:rPr>
          <w:rFonts w:ascii="Book Antiqua" w:hAnsi="Book Antiqua" w:cstheme="majorHAnsi"/>
          <w:sz w:val="24"/>
          <w:szCs w:val="24"/>
          <w:lang w:val="es-ES"/>
        </w:rPr>
      </w:pPr>
    </w:p>
    <w:p w14:paraId="1819FE37" w14:textId="688E2574" w:rsidR="00ED62A1" w:rsidRPr="00110464" w:rsidRDefault="00ED62A1" w:rsidP="006F6B36">
      <w:pPr>
        <w:adjustRightInd w:val="0"/>
        <w:snapToGrid w:val="0"/>
        <w:spacing w:line="360" w:lineRule="auto"/>
        <w:rPr>
          <w:rFonts w:ascii="Book Antiqua" w:eastAsia="MS PMincho" w:hAnsi="Book Antiqua" w:cs="Times New Roman"/>
          <w:bCs/>
          <w:color w:val="000000"/>
          <w:sz w:val="24"/>
          <w:szCs w:val="24"/>
        </w:rPr>
      </w:pPr>
      <w:bookmarkStart w:id="23" w:name="OLE_LINK85"/>
      <w:r w:rsidRPr="00110464">
        <w:rPr>
          <w:rFonts w:ascii="Book Antiqua" w:eastAsia="MS PMincho" w:hAnsi="Book Antiqua" w:cs="Times New Roman"/>
          <w:b/>
          <w:bCs/>
          <w:color w:val="000000"/>
          <w:sz w:val="24"/>
          <w:szCs w:val="24"/>
        </w:rPr>
        <w:t xml:space="preserve">© The Author(s) 2019. </w:t>
      </w:r>
      <w:r w:rsidRPr="00110464">
        <w:rPr>
          <w:rFonts w:ascii="Book Antiqua" w:eastAsia="MS PMincho" w:hAnsi="Book Antiqua" w:cs="Times New Roman"/>
          <w:bCs/>
          <w:color w:val="000000"/>
          <w:sz w:val="24"/>
          <w:szCs w:val="24"/>
        </w:rPr>
        <w:t xml:space="preserve">Published by </w:t>
      </w:r>
      <w:proofErr w:type="spellStart"/>
      <w:r w:rsidRPr="00110464">
        <w:rPr>
          <w:rFonts w:ascii="Book Antiqua" w:eastAsia="MS PMincho" w:hAnsi="Book Antiqua" w:cs="Times New Roman"/>
          <w:bCs/>
          <w:color w:val="000000"/>
          <w:sz w:val="24"/>
          <w:szCs w:val="24"/>
        </w:rPr>
        <w:t>Baishideng</w:t>
      </w:r>
      <w:proofErr w:type="spellEnd"/>
      <w:r w:rsidRPr="00110464">
        <w:rPr>
          <w:rFonts w:ascii="Book Antiqua" w:eastAsia="MS PMincho" w:hAnsi="Book Antiqua" w:cs="Times New Roman"/>
          <w:bCs/>
          <w:color w:val="000000"/>
          <w:sz w:val="24"/>
          <w:szCs w:val="24"/>
        </w:rPr>
        <w:t xml:space="preserve"> Publishing Group Inc. All rights reserved.</w:t>
      </w:r>
    </w:p>
    <w:bookmarkEnd w:id="23"/>
    <w:p w14:paraId="03BF6405" w14:textId="77777777" w:rsidR="00ED62A1" w:rsidRPr="00110464" w:rsidRDefault="00ED62A1" w:rsidP="006F6B36">
      <w:pPr>
        <w:snapToGrid w:val="0"/>
        <w:spacing w:line="360" w:lineRule="auto"/>
        <w:rPr>
          <w:rFonts w:ascii="Book Antiqua" w:hAnsi="Book Antiqua" w:cstheme="majorHAnsi"/>
          <w:sz w:val="24"/>
          <w:szCs w:val="24"/>
          <w:lang w:val="es-ES"/>
        </w:rPr>
      </w:pPr>
    </w:p>
    <w:p w14:paraId="52BA84C1" w14:textId="4C572518" w:rsidR="0050516C" w:rsidRPr="00110464" w:rsidRDefault="00BB26FC" w:rsidP="006F6B36">
      <w:pPr>
        <w:snapToGrid w:val="0"/>
        <w:spacing w:line="360" w:lineRule="auto"/>
        <w:rPr>
          <w:rFonts w:ascii="Book Antiqua" w:hAnsi="Book Antiqua"/>
          <w:sz w:val="24"/>
          <w:szCs w:val="24"/>
        </w:rPr>
      </w:pPr>
      <w:r w:rsidRPr="00110464">
        <w:rPr>
          <w:rFonts w:ascii="Book Antiqua" w:hAnsi="Book Antiqua" w:cstheme="majorHAnsi"/>
          <w:b/>
          <w:sz w:val="24"/>
          <w:szCs w:val="24"/>
          <w:lang w:val="es-ES"/>
        </w:rPr>
        <w:t>Core tip:</w:t>
      </w:r>
      <w:r w:rsidR="00ED62A1" w:rsidRPr="00110464">
        <w:rPr>
          <w:rFonts w:ascii="Book Antiqua" w:eastAsia="DengXian" w:hAnsi="Book Antiqua" w:cstheme="majorHAnsi" w:hint="eastAsia"/>
          <w:b/>
          <w:sz w:val="24"/>
          <w:szCs w:val="24"/>
          <w:lang w:val="es-ES" w:eastAsia="zh-CN"/>
        </w:rPr>
        <w:t xml:space="preserve"> </w:t>
      </w:r>
      <w:r w:rsidR="0050516C" w:rsidRPr="00110464">
        <w:rPr>
          <w:rFonts w:ascii="Book Antiqua" w:hAnsi="Book Antiqua"/>
          <w:sz w:val="24"/>
          <w:szCs w:val="24"/>
        </w:rPr>
        <w:t>Esophageal adenocarcinoma (EAC) and high-grade dysplasia (HGD) may appear in young patients with Barrett’s esophagus (BE). To identify clinical characteristics of young patients with Barrett’s neoplasia, we conducted a retrospective analysis. 450 patients with T1 EAC and HGD were identified; 45 (10%) were young patients at age ≤</w:t>
      </w:r>
      <w:r w:rsidR="007A3E0F" w:rsidRPr="00110464">
        <w:rPr>
          <w:rFonts w:ascii="Book Antiqua" w:hAnsi="Book Antiqua"/>
          <w:sz w:val="24"/>
          <w:szCs w:val="24"/>
        </w:rPr>
        <w:t xml:space="preserve"> </w:t>
      </w:r>
      <w:r w:rsidR="0050516C" w:rsidRPr="00110464">
        <w:rPr>
          <w:rFonts w:ascii="Book Antiqua" w:hAnsi="Book Antiqua"/>
          <w:sz w:val="24"/>
          <w:szCs w:val="24"/>
        </w:rPr>
        <w:t xml:space="preserve">50 years. Compared to the older group, young patients were more likely to present with ongoing </w:t>
      </w:r>
      <w:r w:rsidR="007A3E0F" w:rsidRPr="00110464">
        <w:rPr>
          <w:rFonts w:ascii="Book Antiqua" w:hAnsi="Book Antiqua" w:cstheme="majorHAnsi"/>
          <w:sz w:val="24"/>
          <w:szCs w:val="24"/>
          <w:lang w:val="es-ES"/>
        </w:rPr>
        <w:t>gastroesophageal reflux disease</w:t>
      </w:r>
      <w:r w:rsidR="007A3E0F" w:rsidRPr="00110464">
        <w:rPr>
          <w:rFonts w:ascii="Book Antiqua" w:hAnsi="Book Antiqua"/>
          <w:sz w:val="24"/>
          <w:szCs w:val="24"/>
        </w:rPr>
        <w:t xml:space="preserve"> (</w:t>
      </w:r>
      <w:r w:rsidR="0050516C" w:rsidRPr="00110464">
        <w:rPr>
          <w:rFonts w:ascii="Book Antiqua" w:hAnsi="Book Antiqua"/>
          <w:sz w:val="24"/>
          <w:szCs w:val="24"/>
        </w:rPr>
        <w:t>GERD</w:t>
      </w:r>
      <w:r w:rsidR="007A3E0F" w:rsidRPr="00110464">
        <w:rPr>
          <w:rFonts w:ascii="Book Antiqua" w:hAnsi="Book Antiqua"/>
          <w:sz w:val="24"/>
          <w:szCs w:val="24"/>
        </w:rPr>
        <w:t>)</w:t>
      </w:r>
      <w:r w:rsidR="0050516C" w:rsidRPr="00110464">
        <w:rPr>
          <w:rFonts w:ascii="Book Antiqua" w:hAnsi="Book Antiqua"/>
          <w:sz w:val="24"/>
          <w:szCs w:val="24"/>
        </w:rPr>
        <w:t xml:space="preserve"> symptoms and to be obese </w:t>
      </w:r>
      <w:r w:rsidR="000969F2" w:rsidRPr="00110464">
        <w:rPr>
          <w:rFonts w:ascii="Book Antiqua" w:hAnsi="Book Antiqua"/>
          <w:sz w:val="24"/>
          <w:szCs w:val="24"/>
        </w:rPr>
        <w:t>on</w:t>
      </w:r>
      <w:r w:rsidR="0050516C" w:rsidRPr="00110464">
        <w:rPr>
          <w:rFonts w:ascii="Book Antiqua" w:hAnsi="Book Antiqua"/>
          <w:sz w:val="24"/>
          <w:szCs w:val="24"/>
        </w:rPr>
        <w:t xml:space="preserve"> multivariate analysis. While guidelines recommend BE screening in patients &gt;</w:t>
      </w:r>
      <w:r w:rsidR="007A3E0F" w:rsidRPr="00110464">
        <w:rPr>
          <w:rFonts w:ascii="Book Antiqua" w:hAnsi="Book Antiqua"/>
          <w:sz w:val="24"/>
          <w:szCs w:val="24"/>
        </w:rPr>
        <w:t xml:space="preserve"> </w:t>
      </w:r>
      <w:r w:rsidR="0050516C" w:rsidRPr="00110464">
        <w:rPr>
          <w:rFonts w:ascii="Book Antiqua" w:hAnsi="Book Antiqua"/>
          <w:sz w:val="24"/>
          <w:szCs w:val="24"/>
        </w:rPr>
        <w:t>50 years of age, younger patients should be considered for screening endoscopy if they suffer from obesity and GERD symptoms.</w:t>
      </w:r>
    </w:p>
    <w:p w14:paraId="4636F58A" w14:textId="45769795" w:rsidR="007A3E0F" w:rsidRPr="00110464" w:rsidRDefault="007A3E0F" w:rsidP="006F6B36">
      <w:pPr>
        <w:snapToGrid w:val="0"/>
        <w:spacing w:line="360" w:lineRule="auto"/>
        <w:rPr>
          <w:rFonts w:ascii="Book Antiqua" w:hAnsi="Book Antiqua"/>
          <w:sz w:val="24"/>
          <w:szCs w:val="24"/>
        </w:rPr>
      </w:pPr>
    </w:p>
    <w:p w14:paraId="1B9D0B10" w14:textId="32B9D5D6" w:rsidR="00110464" w:rsidRPr="00110464" w:rsidRDefault="00D350B9" w:rsidP="00110464">
      <w:pPr>
        <w:spacing w:line="360" w:lineRule="auto"/>
        <w:rPr>
          <w:rFonts w:ascii="Book Antiqua" w:hAnsi="Book Antiqua" w:cs="Times New Roman" w:hint="eastAsia"/>
          <w:color w:val="000000" w:themeColor="text1"/>
          <w:sz w:val="24"/>
          <w:szCs w:val="24"/>
          <w:lang w:eastAsia="zh-CN"/>
        </w:rPr>
      </w:pPr>
      <w:proofErr w:type="spellStart"/>
      <w:r w:rsidRPr="00110464">
        <w:rPr>
          <w:rFonts w:ascii="Book Antiqua" w:eastAsiaTheme="minorHAnsi" w:hAnsi="Book Antiqua" w:cstheme="majorHAnsi"/>
          <w:sz w:val="24"/>
          <w:szCs w:val="24"/>
        </w:rPr>
        <w:t>Iwaya</w:t>
      </w:r>
      <w:proofErr w:type="spellEnd"/>
      <w:r w:rsidRPr="00110464">
        <w:rPr>
          <w:rFonts w:ascii="Book Antiqua" w:eastAsiaTheme="minorHAnsi" w:hAnsi="Book Antiqua" w:cstheme="majorHAnsi"/>
          <w:sz w:val="24"/>
          <w:szCs w:val="24"/>
        </w:rPr>
        <w:t xml:space="preserve"> Y, </w:t>
      </w:r>
      <w:proofErr w:type="spellStart"/>
      <w:r w:rsidRPr="00110464">
        <w:rPr>
          <w:rFonts w:ascii="Book Antiqua" w:eastAsiaTheme="minorHAnsi" w:hAnsi="Book Antiqua" w:cstheme="majorHAnsi"/>
          <w:sz w:val="24"/>
          <w:szCs w:val="24"/>
        </w:rPr>
        <w:t>Shimamura</w:t>
      </w:r>
      <w:proofErr w:type="spellEnd"/>
      <w:r w:rsidRPr="00110464">
        <w:rPr>
          <w:rFonts w:ascii="Book Antiqua" w:eastAsiaTheme="minorHAnsi" w:hAnsi="Book Antiqua" w:cstheme="majorHAnsi"/>
          <w:sz w:val="24"/>
          <w:szCs w:val="24"/>
        </w:rPr>
        <w:t xml:space="preserve"> Y,</w:t>
      </w:r>
      <w:r w:rsidRPr="00110464">
        <w:rPr>
          <w:rFonts w:ascii="Book Antiqua" w:hAnsi="Book Antiqua" w:cstheme="majorHAnsi"/>
          <w:sz w:val="24"/>
          <w:szCs w:val="24"/>
        </w:rPr>
        <w:t xml:space="preserve"> </w:t>
      </w:r>
      <w:proofErr w:type="spellStart"/>
      <w:r w:rsidRPr="00110464">
        <w:rPr>
          <w:rFonts w:ascii="Book Antiqua" w:hAnsi="Book Antiqua" w:cstheme="majorHAnsi"/>
          <w:sz w:val="24"/>
          <w:szCs w:val="24"/>
        </w:rPr>
        <w:t>Goda</w:t>
      </w:r>
      <w:proofErr w:type="spellEnd"/>
      <w:r w:rsidRPr="00110464">
        <w:rPr>
          <w:rFonts w:ascii="Book Antiqua" w:hAnsi="Book Antiqua" w:cstheme="majorHAnsi"/>
          <w:sz w:val="24"/>
          <w:szCs w:val="24"/>
        </w:rPr>
        <w:t xml:space="preserve"> K,</w:t>
      </w:r>
      <w:r w:rsidRPr="00110464">
        <w:rPr>
          <w:rFonts w:ascii="Book Antiqua" w:eastAsiaTheme="minorHAnsi" w:hAnsi="Book Antiqua" w:cstheme="majorHAnsi"/>
          <w:sz w:val="24"/>
          <w:szCs w:val="24"/>
        </w:rPr>
        <w:t xml:space="preserve"> de Santiago ER,</w:t>
      </w:r>
      <w:r w:rsidRPr="00110464">
        <w:rPr>
          <w:rFonts w:ascii="Book Antiqua" w:hAnsi="Book Antiqua" w:cstheme="majorHAnsi"/>
          <w:sz w:val="24"/>
          <w:szCs w:val="24"/>
        </w:rPr>
        <w:t xml:space="preserve"> </w:t>
      </w:r>
      <w:proofErr w:type="spellStart"/>
      <w:r w:rsidRPr="00110464">
        <w:rPr>
          <w:rFonts w:ascii="Book Antiqua" w:hAnsi="Book Antiqua" w:cstheme="majorHAnsi"/>
          <w:sz w:val="24"/>
          <w:szCs w:val="24"/>
        </w:rPr>
        <w:t>Coneys</w:t>
      </w:r>
      <w:proofErr w:type="spellEnd"/>
      <w:r w:rsidRPr="00110464">
        <w:rPr>
          <w:rFonts w:ascii="Book Antiqua" w:hAnsi="Book Antiqua" w:cstheme="majorHAnsi"/>
          <w:sz w:val="24"/>
          <w:szCs w:val="24"/>
        </w:rPr>
        <w:t xml:space="preserve"> JG,</w:t>
      </w:r>
      <w:r w:rsidRPr="00110464">
        <w:rPr>
          <w:rFonts w:ascii="Book Antiqua" w:eastAsiaTheme="minorHAnsi" w:hAnsi="Book Antiqua" w:cstheme="majorHAnsi"/>
          <w:sz w:val="24"/>
          <w:szCs w:val="24"/>
        </w:rPr>
        <w:t xml:space="preserve"> </w:t>
      </w:r>
      <w:proofErr w:type="spellStart"/>
      <w:r w:rsidRPr="00110464">
        <w:rPr>
          <w:rFonts w:ascii="Book Antiqua" w:eastAsiaTheme="minorHAnsi" w:hAnsi="Book Antiqua" w:cstheme="majorHAnsi"/>
          <w:sz w:val="24"/>
          <w:szCs w:val="24"/>
        </w:rPr>
        <w:t>Mosko</w:t>
      </w:r>
      <w:proofErr w:type="spellEnd"/>
      <w:r w:rsidRPr="00110464">
        <w:rPr>
          <w:rFonts w:ascii="Book Antiqua" w:eastAsiaTheme="minorHAnsi" w:hAnsi="Book Antiqua" w:cstheme="majorHAnsi"/>
          <w:sz w:val="24"/>
          <w:szCs w:val="24"/>
        </w:rPr>
        <w:t xml:space="preserve"> JD, </w:t>
      </w:r>
      <w:proofErr w:type="spellStart"/>
      <w:r w:rsidRPr="00110464">
        <w:rPr>
          <w:rFonts w:ascii="Book Antiqua" w:eastAsiaTheme="minorHAnsi" w:hAnsi="Book Antiqua" w:cstheme="majorHAnsi"/>
          <w:sz w:val="24"/>
          <w:szCs w:val="24"/>
        </w:rPr>
        <w:t>Kandel</w:t>
      </w:r>
      <w:proofErr w:type="spellEnd"/>
      <w:r w:rsidRPr="00110464">
        <w:rPr>
          <w:rFonts w:ascii="Book Antiqua" w:eastAsiaTheme="minorHAnsi" w:hAnsi="Book Antiqua" w:cstheme="majorHAnsi"/>
          <w:sz w:val="24"/>
          <w:szCs w:val="24"/>
        </w:rPr>
        <w:t xml:space="preserve"> G, </w:t>
      </w:r>
      <w:proofErr w:type="spellStart"/>
      <w:r w:rsidRPr="00110464">
        <w:rPr>
          <w:rFonts w:ascii="Book Antiqua" w:eastAsiaTheme="minorHAnsi" w:hAnsi="Book Antiqua" w:cstheme="majorHAnsi"/>
          <w:sz w:val="24"/>
          <w:szCs w:val="24"/>
        </w:rPr>
        <w:t>Kortan</w:t>
      </w:r>
      <w:proofErr w:type="spellEnd"/>
      <w:r w:rsidRPr="00110464">
        <w:rPr>
          <w:rFonts w:ascii="Book Antiqua" w:eastAsiaTheme="minorHAnsi" w:hAnsi="Book Antiqua" w:cstheme="majorHAnsi"/>
          <w:sz w:val="24"/>
          <w:szCs w:val="24"/>
        </w:rPr>
        <w:t xml:space="preserve"> P, May G, </w:t>
      </w:r>
      <w:proofErr w:type="spellStart"/>
      <w:r w:rsidRPr="00110464">
        <w:rPr>
          <w:rFonts w:ascii="Book Antiqua" w:eastAsiaTheme="minorHAnsi" w:hAnsi="Book Antiqua" w:cstheme="majorHAnsi"/>
          <w:sz w:val="24"/>
          <w:szCs w:val="24"/>
        </w:rPr>
        <w:t>Marcon</w:t>
      </w:r>
      <w:proofErr w:type="spellEnd"/>
      <w:r w:rsidRPr="00110464">
        <w:rPr>
          <w:rFonts w:ascii="Book Antiqua" w:eastAsiaTheme="minorHAnsi" w:hAnsi="Book Antiqua" w:cstheme="majorHAnsi"/>
          <w:sz w:val="24"/>
          <w:szCs w:val="24"/>
        </w:rPr>
        <w:t xml:space="preserve"> N</w:t>
      </w:r>
      <w:r w:rsidRPr="00110464">
        <w:rPr>
          <w:rFonts w:ascii="Book Antiqua" w:hAnsi="Book Antiqua" w:cstheme="majorHAnsi"/>
          <w:sz w:val="24"/>
          <w:szCs w:val="24"/>
        </w:rPr>
        <w:t xml:space="preserve">, </w:t>
      </w:r>
      <w:proofErr w:type="spellStart"/>
      <w:r w:rsidRPr="00110464">
        <w:rPr>
          <w:rFonts w:ascii="Book Antiqua" w:eastAsiaTheme="minorHAnsi" w:hAnsi="Book Antiqua" w:cstheme="majorHAnsi"/>
          <w:sz w:val="24"/>
          <w:szCs w:val="24"/>
        </w:rPr>
        <w:t>Teshima</w:t>
      </w:r>
      <w:proofErr w:type="spellEnd"/>
      <w:r w:rsidRPr="00110464">
        <w:rPr>
          <w:rFonts w:ascii="Book Antiqua" w:eastAsiaTheme="minorHAnsi" w:hAnsi="Book Antiqua" w:cstheme="majorHAnsi"/>
          <w:sz w:val="24"/>
          <w:szCs w:val="24"/>
        </w:rPr>
        <w:t xml:space="preserve"> C</w:t>
      </w:r>
      <w:r w:rsidRPr="00110464">
        <w:rPr>
          <w:rFonts w:ascii="Book Antiqua" w:hAnsi="Book Antiqua" w:cstheme="majorHAnsi"/>
          <w:sz w:val="24"/>
          <w:szCs w:val="24"/>
        </w:rPr>
        <w:t xml:space="preserve">. </w:t>
      </w:r>
      <w:r w:rsidR="00035B89" w:rsidRPr="00110464">
        <w:rPr>
          <w:rFonts w:ascii="Book Antiqua" w:eastAsiaTheme="minorHAnsi" w:hAnsi="Book Antiqua" w:cstheme="majorHAnsi"/>
          <w:sz w:val="24"/>
          <w:szCs w:val="24"/>
        </w:rPr>
        <w:t xml:space="preserve">Clinical characteristics of young patients with early Barrett’s neoplasia. </w:t>
      </w:r>
      <w:r w:rsidRPr="00110464">
        <w:rPr>
          <w:rFonts w:ascii="Book Antiqua" w:hAnsi="Book Antiqua"/>
          <w:i/>
          <w:iCs/>
          <w:sz w:val="24"/>
          <w:szCs w:val="24"/>
        </w:rPr>
        <w:t xml:space="preserve">World J </w:t>
      </w:r>
      <w:proofErr w:type="spellStart"/>
      <w:r w:rsidRPr="00110464">
        <w:rPr>
          <w:rFonts w:ascii="Book Antiqua" w:hAnsi="Book Antiqua"/>
          <w:i/>
          <w:iCs/>
          <w:sz w:val="24"/>
          <w:szCs w:val="24"/>
        </w:rPr>
        <w:t>Gastroenterol</w:t>
      </w:r>
      <w:proofErr w:type="spellEnd"/>
      <w:r w:rsidRPr="00110464">
        <w:rPr>
          <w:rFonts w:ascii="Book Antiqua" w:hAnsi="Book Antiqua"/>
          <w:i/>
          <w:iCs/>
          <w:sz w:val="24"/>
          <w:szCs w:val="24"/>
        </w:rPr>
        <w:t xml:space="preserve"> </w:t>
      </w:r>
      <w:r w:rsidR="00110464" w:rsidRPr="00110464">
        <w:rPr>
          <w:rFonts w:ascii="Book Antiqua" w:hAnsi="Book Antiqua" w:cs="Times New Roman"/>
          <w:color w:val="000000" w:themeColor="text1"/>
          <w:sz w:val="24"/>
          <w:szCs w:val="24"/>
        </w:rPr>
        <w:t xml:space="preserve">2019; 25(24): </w:t>
      </w:r>
      <w:r w:rsidR="00110464" w:rsidRPr="00110464">
        <w:rPr>
          <w:rFonts w:ascii="Book Antiqua" w:hAnsi="Book Antiqua" w:cs="Times New Roman" w:hint="eastAsia"/>
          <w:color w:val="000000" w:themeColor="text1"/>
          <w:sz w:val="24"/>
          <w:szCs w:val="24"/>
          <w:lang w:eastAsia="zh-CN"/>
        </w:rPr>
        <w:t>3069</w:t>
      </w:r>
      <w:r w:rsidR="00110464" w:rsidRPr="00110464">
        <w:rPr>
          <w:rFonts w:ascii="Book Antiqua" w:hAnsi="Book Antiqua" w:cs="Times New Roman"/>
          <w:color w:val="000000" w:themeColor="text1"/>
          <w:sz w:val="24"/>
          <w:szCs w:val="24"/>
        </w:rPr>
        <w:t>-</w:t>
      </w:r>
      <w:r w:rsidR="00110464" w:rsidRPr="00110464">
        <w:rPr>
          <w:rFonts w:ascii="Book Antiqua" w:hAnsi="Book Antiqua" w:cs="Times New Roman" w:hint="eastAsia"/>
          <w:color w:val="000000" w:themeColor="text1"/>
          <w:sz w:val="24"/>
          <w:szCs w:val="24"/>
          <w:lang w:eastAsia="zh-CN"/>
        </w:rPr>
        <w:t>3078</w:t>
      </w:r>
    </w:p>
    <w:p w14:paraId="72BE3668" w14:textId="03594059" w:rsidR="00110464" w:rsidRPr="00110464" w:rsidRDefault="00110464" w:rsidP="00110464">
      <w:pPr>
        <w:spacing w:line="360" w:lineRule="auto"/>
        <w:rPr>
          <w:rFonts w:ascii="Book Antiqua" w:hAnsi="Book Antiqua" w:cs="Times New Roman" w:hint="eastAsia"/>
          <w:color w:val="000000" w:themeColor="text1"/>
          <w:sz w:val="24"/>
          <w:szCs w:val="24"/>
          <w:lang w:eastAsia="zh-CN"/>
        </w:rPr>
      </w:pPr>
      <w:r w:rsidRPr="00110464">
        <w:rPr>
          <w:rFonts w:ascii="Book Antiqua" w:hAnsi="Book Antiqua" w:cs="Times New Roman"/>
          <w:b/>
          <w:color w:val="000000" w:themeColor="text1"/>
          <w:sz w:val="24"/>
          <w:szCs w:val="24"/>
        </w:rPr>
        <w:t>URL:</w:t>
      </w:r>
      <w:r w:rsidRPr="00110464">
        <w:rPr>
          <w:rFonts w:ascii="Book Antiqua" w:hAnsi="Book Antiqua" w:cs="Times New Roman"/>
          <w:color w:val="000000" w:themeColor="text1"/>
          <w:sz w:val="24"/>
          <w:szCs w:val="24"/>
        </w:rPr>
        <w:t xml:space="preserve"> https://www.wjgnet.com/1007-9327/full/v25/i24/</w:t>
      </w:r>
      <w:r w:rsidRPr="00110464">
        <w:rPr>
          <w:rFonts w:ascii="Book Antiqua" w:hAnsi="Book Antiqua" w:cs="Times New Roman" w:hint="eastAsia"/>
          <w:color w:val="000000" w:themeColor="text1"/>
          <w:sz w:val="24"/>
          <w:szCs w:val="24"/>
          <w:lang w:eastAsia="zh-CN"/>
        </w:rPr>
        <w:t>3069</w:t>
      </w:r>
      <w:r w:rsidRPr="00110464">
        <w:rPr>
          <w:rFonts w:ascii="Book Antiqua" w:hAnsi="Book Antiqua" w:cs="Times New Roman"/>
          <w:color w:val="000000" w:themeColor="text1"/>
          <w:sz w:val="24"/>
          <w:szCs w:val="24"/>
        </w:rPr>
        <w:t>.htm</w:t>
      </w:r>
    </w:p>
    <w:p w14:paraId="138F79B4" w14:textId="5F7DD5C5" w:rsidR="009122BE" w:rsidRPr="00110464" w:rsidRDefault="00110464" w:rsidP="00110464">
      <w:pPr>
        <w:snapToGrid w:val="0"/>
        <w:spacing w:line="360" w:lineRule="auto"/>
        <w:rPr>
          <w:rFonts w:ascii="Book Antiqua" w:eastAsiaTheme="minorHAnsi" w:hAnsi="Book Antiqua" w:cstheme="majorHAnsi"/>
          <w:b/>
          <w:sz w:val="24"/>
          <w:szCs w:val="24"/>
        </w:rPr>
      </w:pPr>
      <w:r w:rsidRPr="00110464">
        <w:rPr>
          <w:rFonts w:ascii="Book Antiqua" w:hAnsi="Book Antiqua" w:cs="Times New Roman"/>
          <w:b/>
          <w:color w:val="000000" w:themeColor="text1"/>
          <w:sz w:val="24"/>
          <w:szCs w:val="24"/>
        </w:rPr>
        <w:t xml:space="preserve">DOI: </w:t>
      </w:r>
      <w:r w:rsidRPr="00110464">
        <w:rPr>
          <w:rFonts w:ascii="Book Antiqua" w:hAnsi="Book Antiqua" w:cs="Times New Roman"/>
          <w:color w:val="000000" w:themeColor="text1"/>
          <w:sz w:val="24"/>
          <w:szCs w:val="24"/>
        </w:rPr>
        <w:t>https://dx.doi.org/10.3748/wjg.v25.i24.</w:t>
      </w:r>
      <w:r w:rsidRPr="00110464">
        <w:rPr>
          <w:rFonts w:ascii="Book Antiqua" w:hAnsi="Book Antiqua" w:cs="Times New Roman" w:hint="eastAsia"/>
          <w:color w:val="000000" w:themeColor="text1"/>
          <w:sz w:val="24"/>
          <w:szCs w:val="24"/>
          <w:lang w:eastAsia="zh-CN"/>
        </w:rPr>
        <w:t>3069</w:t>
      </w:r>
    </w:p>
    <w:p w14:paraId="023C9C53" w14:textId="77777777" w:rsidR="009122BE" w:rsidRPr="00110464" w:rsidRDefault="009122BE" w:rsidP="006F6B36">
      <w:pPr>
        <w:widowControl/>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1537EE46" w14:textId="77777777" w:rsidR="00D4398F" w:rsidRPr="00110464" w:rsidRDefault="00D4398F" w:rsidP="006F6B36">
      <w:pPr>
        <w:snapToGrid w:val="0"/>
        <w:spacing w:line="360" w:lineRule="auto"/>
        <w:rPr>
          <w:rFonts w:ascii="Book Antiqua" w:hAnsi="Book Antiqua" w:cstheme="majorHAnsi"/>
          <w:b/>
          <w:sz w:val="24"/>
          <w:szCs w:val="24"/>
        </w:rPr>
      </w:pPr>
      <w:r w:rsidRPr="00110464">
        <w:rPr>
          <w:rFonts w:ascii="Book Antiqua" w:hAnsi="Book Antiqua" w:cstheme="majorHAnsi"/>
          <w:b/>
          <w:sz w:val="24"/>
          <w:szCs w:val="24"/>
        </w:rPr>
        <w:lastRenderedPageBreak/>
        <w:t>INTRODUCTION</w:t>
      </w:r>
    </w:p>
    <w:p w14:paraId="1DBCBCF0" w14:textId="215C5506"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Barrett’s esophagus (BE) is a premalignant condition for esophageal adenocarcinoma (EAC</w:t>
      </w:r>
      <w:proofErr w:type="gramStart"/>
      <w:r w:rsidRPr="00110464">
        <w:rPr>
          <w:rFonts w:ascii="Book Antiqua" w:hAnsi="Book Antiqua" w:cstheme="majorHAnsi"/>
          <w:sz w:val="24"/>
          <w:szCs w:val="24"/>
        </w:rPr>
        <w:t>)</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w:t>
      </w:r>
      <w:r w:rsidRPr="00110464">
        <w:rPr>
          <w:rFonts w:ascii="Book Antiqua" w:hAnsi="Book Antiqua" w:cstheme="majorHAnsi"/>
          <w:sz w:val="24"/>
          <w:szCs w:val="24"/>
        </w:rPr>
        <w:t>, which has a poor prognosis with a 5-year survival rate below 20%</w:t>
      </w:r>
      <w:r w:rsidRPr="00110464">
        <w:rPr>
          <w:rFonts w:ascii="Book Antiqua" w:hAnsi="Book Antiqua" w:cstheme="majorHAnsi"/>
          <w:noProof/>
          <w:sz w:val="24"/>
          <w:szCs w:val="24"/>
          <w:vertAlign w:val="superscript"/>
        </w:rPr>
        <w:t>[2]</w:t>
      </w:r>
      <w:r w:rsidRPr="00110464">
        <w:rPr>
          <w:rFonts w:ascii="Book Antiqua" w:hAnsi="Book Antiqua" w:cstheme="majorHAnsi"/>
          <w:sz w:val="24"/>
          <w:szCs w:val="24"/>
        </w:rPr>
        <w:t xml:space="preserve">. However, screening endoscopy of the </w:t>
      </w:r>
      <w:r w:rsidRPr="00110464">
        <w:rPr>
          <w:rFonts w:ascii="Book Antiqua" w:hAnsi="Book Antiqua" w:cstheme="majorHAnsi"/>
          <w:noProof/>
          <w:sz w:val="24"/>
          <w:szCs w:val="24"/>
        </w:rPr>
        <w:t>general</w:t>
      </w:r>
      <w:r w:rsidRPr="00110464">
        <w:rPr>
          <w:rFonts w:ascii="Book Antiqua" w:hAnsi="Book Antiqua" w:cstheme="majorHAnsi"/>
          <w:sz w:val="24"/>
          <w:szCs w:val="24"/>
        </w:rPr>
        <w:t xml:space="preserve"> population for BE or EAC </w:t>
      </w:r>
      <w:r w:rsidRPr="00110464">
        <w:rPr>
          <w:rFonts w:ascii="Book Antiqua" w:hAnsi="Book Antiqua" w:cstheme="majorHAnsi"/>
          <w:noProof/>
          <w:sz w:val="24"/>
          <w:szCs w:val="24"/>
        </w:rPr>
        <w:t>is not recommended</w:t>
      </w:r>
      <w:r w:rsidRPr="00110464">
        <w:rPr>
          <w:rFonts w:ascii="Book Antiqua" w:hAnsi="Book Antiqua" w:cstheme="majorHAnsi"/>
          <w:sz w:val="24"/>
          <w:szCs w:val="24"/>
        </w:rPr>
        <w:t xml:space="preserve"> because of the low incidence of EAC and the lack of randomized controlled trials supporting its </w:t>
      </w:r>
      <w:r w:rsidRPr="00110464">
        <w:rPr>
          <w:rFonts w:ascii="Book Antiqua" w:hAnsi="Book Antiqua" w:cstheme="majorHAnsi"/>
          <w:noProof/>
          <w:sz w:val="24"/>
          <w:szCs w:val="24"/>
        </w:rPr>
        <w:t>efficiency</w:t>
      </w:r>
      <w:r w:rsidRPr="00110464">
        <w:rPr>
          <w:rFonts w:ascii="Book Antiqua" w:hAnsi="Book Antiqua" w:cstheme="majorHAnsi"/>
          <w:noProof/>
          <w:sz w:val="24"/>
          <w:szCs w:val="24"/>
          <w:vertAlign w:val="superscript"/>
        </w:rPr>
        <w:t>[3-6]</w:t>
      </w:r>
      <w:r w:rsidRPr="00110464">
        <w:rPr>
          <w:rFonts w:ascii="Book Antiqua" w:hAnsi="Book Antiqua" w:cstheme="majorHAnsi"/>
          <w:sz w:val="24"/>
          <w:szCs w:val="24"/>
        </w:rPr>
        <w:t xml:space="preserve">. According to recent guidelines, </w:t>
      </w:r>
      <w:r w:rsidRPr="00110464">
        <w:rPr>
          <w:rFonts w:ascii="Book Antiqua" w:hAnsi="Book Antiqua" w:cstheme="majorHAnsi"/>
          <w:noProof/>
          <w:sz w:val="24"/>
          <w:szCs w:val="24"/>
        </w:rPr>
        <w:t>screening</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should be</w:t>
      </w:r>
      <w:r w:rsidRPr="00110464">
        <w:rPr>
          <w:rFonts w:ascii="Book Antiqua" w:hAnsi="Book Antiqua" w:cstheme="majorHAnsi"/>
          <w:sz w:val="24"/>
          <w:szCs w:val="24"/>
        </w:rPr>
        <w:t xml:space="preserve"> considered only in patients with multiple risk factors for BE or EAC; such as </w:t>
      </w:r>
      <w:r w:rsidRPr="00110464">
        <w:rPr>
          <w:rFonts w:ascii="Book Antiqua" w:hAnsi="Book Antiqua" w:cstheme="majorHAnsi"/>
          <w:noProof/>
          <w:sz w:val="24"/>
          <w:szCs w:val="24"/>
        </w:rPr>
        <w:t>long standing</w:t>
      </w:r>
      <w:r w:rsidRPr="00110464">
        <w:rPr>
          <w:rFonts w:ascii="Book Antiqua" w:hAnsi="Book Antiqua" w:cstheme="majorHAnsi"/>
          <w:sz w:val="24"/>
          <w:szCs w:val="24"/>
        </w:rPr>
        <w:t xml:space="preserve"> gastroesophageal reflux disease (GERD) symptoms, age</w:t>
      </w:r>
      <w:r w:rsidR="009211DA" w:rsidRPr="00110464">
        <w:rPr>
          <w:rFonts w:ascii="Book Antiqua" w:hAnsi="Book Antiqua" w:cstheme="majorHAnsi"/>
          <w:sz w:val="24"/>
          <w:szCs w:val="24"/>
        </w:rPr>
        <w:t xml:space="preserve"> </w:t>
      </w:r>
      <w:r w:rsidRPr="00110464">
        <w:rPr>
          <w:rFonts w:ascii="Book Antiqua" w:hAnsi="Book Antiqua" w:cstheme="majorHAnsi"/>
          <w:sz w:val="24"/>
          <w:szCs w:val="24"/>
        </w:rPr>
        <w:t>&gt;</w:t>
      </w:r>
      <w:r w:rsidR="009211DA" w:rsidRPr="00110464">
        <w:rPr>
          <w:rFonts w:ascii="Book Antiqua" w:hAnsi="Book Antiqua" w:cstheme="majorHAnsi"/>
          <w:sz w:val="24"/>
          <w:szCs w:val="24"/>
        </w:rPr>
        <w:t xml:space="preserve"> </w:t>
      </w:r>
      <w:r w:rsidRPr="00110464">
        <w:rPr>
          <w:rFonts w:ascii="Book Antiqua" w:hAnsi="Book Antiqua" w:cstheme="majorHAnsi"/>
          <w:sz w:val="24"/>
          <w:szCs w:val="24"/>
        </w:rPr>
        <w:t>50 years, white race, male sex, obesity, family history of BE or EAC, and smoking</w:t>
      </w:r>
      <w:r w:rsidRPr="00110464">
        <w:rPr>
          <w:rFonts w:ascii="Book Antiqua" w:hAnsi="Book Antiqua" w:cstheme="majorHAnsi"/>
          <w:noProof/>
          <w:sz w:val="24"/>
          <w:szCs w:val="24"/>
          <w:vertAlign w:val="superscript"/>
        </w:rPr>
        <w:t>[3-6]</w:t>
      </w:r>
      <w:r w:rsidRPr="00110464">
        <w:rPr>
          <w:rFonts w:ascii="Book Antiqua" w:hAnsi="Book Antiqua" w:cstheme="majorHAnsi"/>
          <w:sz w:val="24"/>
          <w:szCs w:val="24"/>
        </w:rPr>
        <w:t>.</w:t>
      </w:r>
    </w:p>
    <w:p w14:paraId="6CA8FDEE" w14:textId="37C38709" w:rsidR="00D4398F" w:rsidRPr="00110464" w:rsidRDefault="00D4398F" w:rsidP="006F6B36">
      <w:pPr>
        <w:snapToGrid w:val="0"/>
        <w:spacing w:line="360" w:lineRule="auto"/>
        <w:ind w:firstLineChars="100" w:firstLine="240"/>
        <w:rPr>
          <w:rFonts w:ascii="Book Antiqua" w:hAnsi="Book Antiqua" w:cstheme="majorHAnsi"/>
          <w:sz w:val="24"/>
          <w:szCs w:val="24"/>
        </w:rPr>
      </w:pPr>
      <w:bookmarkStart w:id="24" w:name="_Hlk535658697"/>
      <w:r w:rsidRPr="00110464">
        <w:rPr>
          <w:rFonts w:ascii="Book Antiqua" w:hAnsi="Book Antiqua" w:cstheme="majorHAnsi"/>
          <w:sz w:val="24"/>
          <w:szCs w:val="24"/>
        </w:rPr>
        <w:t xml:space="preserve">Older age is one of the most important risk factors for </w:t>
      </w:r>
      <w:proofErr w:type="gramStart"/>
      <w:r w:rsidRPr="00110464">
        <w:rPr>
          <w:rFonts w:ascii="Book Antiqua" w:hAnsi="Book Antiqua" w:cstheme="majorHAnsi"/>
          <w:sz w:val="24"/>
          <w:szCs w:val="24"/>
        </w:rPr>
        <w:t>BE</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7,8]</w:t>
      </w:r>
      <w:r w:rsidRPr="00110464">
        <w:rPr>
          <w:rFonts w:ascii="Book Antiqua" w:hAnsi="Book Antiqua" w:cstheme="majorHAnsi"/>
          <w:sz w:val="24"/>
          <w:szCs w:val="24"/>
        </w:rPr>
        <w:t>. Most guidelines set the cut-off at age 50. On the other hand, the diagnosis of Barrett’s-related neoplasia in younger patients is becoming more common in daily clinical practice.</w:t>
      </w:r>
      <w:bookmarkEnd w:id="24"/>
      <w:r w:rsidRPr="00110464">
        <w:rPr>
          <w:rFonts w:ascii="Book Antiqua" w:hAnsi="Book Antiqua" w:cstheme="majorHAnsi"/>
          <w:sz w:val="24"/>
          <w:szCs w:val="24"/>
        </w:rPr>
        <w:t xml:space="preserve"> In fact, the incidence rate of EAC for the young has been steadily increasing in recent </w:t>
      </w:r>
      <w:proofErr w:type="gramStart"/>
      <w:r w:rsidRPr="00110464">
        <w:rPr>
          <w:rFonts w:ascii="Book Antiqua" w:hAnsi="Book Antiqua" w:cstheme="majorHAnsi"/>
          <w:sz w:val="24"/>
          <w:szCs w:val="24"/>
        </w:rPr>
        <w:t>years</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9]</w:t>
      </w:r>
      <w:r w:rsidRPr="00110464">
        <w:rPr>
          <w:rFonts w:ascii="Book Antiqua" w:hAnsi="Book Antiqua" w:cstheme="majorHAnsi"/>
          <w:sz w:val="24"/>
          <w:szCs w:val="24"/>
        </w:rPr>
        <w:t xml:space="preserve">. However, the clinical characteristics of these younger EAC patients are poorly known. Even though some studies have evaluated the prognosis of EAC among young </w:t>
      </w:r>
      <w:proofErr w:type="gramStart"/>
      <w:r w:rsidRPr="00110464">
        <w:rPr>
          <w:rFonts w:ascii="Book Antiqua" w:hAnsi="Book Antiqua" w:cstheme="majorHAnsi"/>
          <w:sz w:val="24"/>
          <w:szCs w:val="24"/>
        </w:rPr>
        <w:t>patients</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10-12]</w:t>
      </w:r>
      <w:r w:rsidRPr="00110464">
        <w:rPr>
          <w:rFonts w:ascii="Book Antiqua" w:hAnsi="Book Antiqua" w:cstheme="majorHAnsi"/>
          <w:sz w:val="24"/>
          <w:szCs w:val="24"/>
        </w:rPr>
        <w:t>, few articles have identified the baseline clinical characteristics of this patient group with EAC</w:t>
      </w:r>
      <w:r w:rsidRPr="00110464">
        <w:rPr>
          <w:rFonts w:ascii="Book Antiqua" w:hAnsi="Book Antiqua" w:cstheme="majorHAnsi"/>
          <w:noProof/>
          <w:sz w:val="24"/>
          <w:szCs w:val="24"/>
          <w:vertAlign w:val="superscript"/>
        </w:rPr>
        <w:t>[13,14]</w:t>
      </w:r>
      <w:r w:rsidRPr="00110464">
        <w:rPr>
          <w:rFonts w:ascii="Book Antiqua" w:hAnsi="Book Antiqua" w:cstheme="majorHAnsi"/>
          <w:noProof/>
          <w:sz w:val="24"/>
          <w:szCs w:val="24"/>
        </w:rPr>
        <w:t xml:space="preserve">. Moreover, features and outcomes of young patients with early-stage EAC are poorly described. Yet detecting early-stage neoplasia holds the opportunity for curative endoscopic resection with excellent long-term outcomes. Thus, </w:t>
      </w:r>
      <w:r w:rsidRPr="00110464">
        <w:rPr>
          <w:rFonts w:ascii="Book Antiqua" w:hAnsi="Book Antiqua" w:cstheme="majorHAnsi"/>
          <w:sz w:val="24"/>
          <w:szCs w:val="24"/>
        </w:rPr>
        <w:t xml:space="preserve">if this younger cohort differs significantly with respect to specific clinical characteristics from the more typical age category of BE neoplasia, these features could help to improve screening recommendations. Hence, we conducted a retrospective analysis of a prospectively maintained database of patients diagnosed with BE and early-stage EAC/high-grade dysplasia (HGD) </w:t>
      </w:r>
      <w:bookmarkStart w:id="25" w:name="_Hlk535157653"/>
      <w:r w:rsidRPr="00110464">
        <w:rPr>
          <w:rFonts w:ascii="Book Antiqua" w:hAnsi="Book Antiqua" w:cstheme="majorHAnsi"/>
          <w:sz w:val="24"/>
          <w:szCs w:val="24"/>
        </w:rPr>
        <w:t xml:space="preserve">to identify factors </w:t>
      </w:r>
      <w:r w:rsidRPr="00110464">
        <w:rPr>
          <w:rFonts w:ascii="Book Antiqua" w:hAnsi="Book Antiqua" w:cstheme="majorHAnsi"/>
          <w:noProof/>
          <w:sz w:val="24"/>
          <w:szCs w:val="24"/>
        </w:rPr>
        <w:t>associated</w:t>
      </w:r>
      <w:r w:rsidRPr="00110464">
        <w:rPr>
          <w:rFonts w:ascii="Book Antiqua" w:hAnsi="Book Antiqua" w:cstheme="majorHAnsi"/>
          <w:sz w:val="24"/>
          <w:szCs w:val="24"/>
        </w:rPr>
        <w:t xml:space="preserve"> with the development of Barrett’s-related neoplasia occurring in younger </w:t>
      </w:r>
      <w:bookmarkEnd w:id="25"/>
      <w:r w:rsidRPr="00110464">
        <w:rPr>
          <w:rFonts w:ascii="Book Antiqua" w:hAnsi="Book Antiqua" w:cstheme="majorHAnsi"/>
          <w:sz w:val="24"/>
          <w:szCs w:val="24"/>
        </w:rPr>
        <w:t>patients. Additionally, we examined for any correlation between age groups and treatment outcomes.</w:t>
      </w:r>
    </w:p>
    <w:p w14:paraId="2A227CE3" w14:textId="77777777" w:rsidR="00D4398F" w:rsidRPr="00110464" w:rsidRDefault="00D4398F" w:rsidP="006F6B36">
      <w:pPr>
        <w:snapToGrid w:val="0"/>
        <w:spacing w:line="360" w:lineRule="auto"/>
        <w:rPr>
          <w:rFonts w:ascii="Book Antiqua" w:hAnsi="Book Antiqua" w:cstheme="majorHAnsi"/>
          <w:sz w:val="24"/>
          <w:szCs w:val="24"/>
        </w:rPr>
      </w:pPr>
    </w:p>
    <w:p w14:paraId="081DD9D3" w14:textId="77777777" w:rsidR="00D4398F" w:rsidRPr="00110464" w:rsidRDefault="000969F2" w:rsidP="006F6B36">
      <w:pPr>
        <w:snapToGrid w:val="0"/>
        <w:spacing w:line="360" w:lineRule="auto"/>
        <w:rPr>
          <w:rFonts w:ascii="Book Antiqua" w:hAnsi="Book Antiqua" w:cstheme="majorHAnsi"/>
          <w:b/>
          <w:sz w:val="24"/>
          <w:szCs w:val="24"/>
        </w:rPr>
      </w:pPr>
      <w:r w:rsidRPr="00110464">
        <w:rPr>
          <w:rFonts w:ascii="Book Antiqua" w:hAnsi="Book Antiqua" w:cstheme="majorHAnsi"/>
          <w:b/>
          <w:sz w:val="24"/>
          <w:szCs w:val="24"/>
        </w:rPr>
        <w:t>MATERIAL</w:t>
      </w:r>
      <w:r w:rsidR="00D4398F" w:rsidRPr="00110464">
        <w:rPr>
          <w:rFonts w:ascii="Book Antiqua" w:hAnsi="Book Antiqua" w:cstheme="majorHAnsi"/>
          <w:b/>
          <w:sz w:val="24"/>
          <w:szCs w:val="24"/>
        </w:rPr>
        <w:t>S AND METHODS</w:t>
      </w:r>
    </w:p>
    <w:p w14:paraId="7C3A2075" w14:textId="77777777" w:rsidR="00D4398F" w:rsidRPr="00110464" w:rsidRDefault="00D4398F"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Study participants</w:t>
      </w:r>
    </w:p>
    <w:p w14:paraId="4E84D297" w14:textId="548C8865" w:rsidR="00D4398F" w:rsidRPr="00110464" w:rsidRDefault="00D4398F" w:rsidP="006F6B36">
      <w:pPr>
        <w:snapToGrid w:val="0"/>
        <w:spacing w:line="360" w:lineRule="auto"/>
        <w:ind w:left="1"/>
        <w:rPr>
          <w:rFonts w:ascii="Book Antiqua" w:hAnsi="Book Antiqua" w:cstheme="majorHAnsi"/>
          <w:sz w:val="24"/>
          <w:szCs w:val="24"/>
        </w:rPr>
      </w:pPr>
      <w:r w:rsidRPr="00110464">
        <w:rPr>
          <w:rFonts w:ascii="Book Antiqua" w:hAnsi="Book Antiqua" w:cstheme="majorHAnsi"/>
          <w:sz w:val="24"/>
          <w:szCs w:val="24"/>
        </w:rPr>
        <w:t xml:space="preserve">We conducted </w:t>
      </w:r>
      <w:r w:rsidRPr="00110464">
        <w:rPr>
          <w:rFonts w:ascii="Book Antiqua" w:hAnsi="Book Antiqua" w:cstheme="majorHAnsi"/>
          <w:noProof/>
          <w:sz w:val="24"/>
          <w:szCs w:val="24"/>
        </w:rPr>
        <w:t>a</w:t>
      </w:r>
      <w:r w:rsidRPr="00110464">
        <w:rPr>
          <w:rFonts w:ascii="Book Antiqua" w:hAnsi="Book Antiqua" w:cstheme="majorHAnsi"/>
          <w:sz w:val="24"/>
          <w:szCs w:val="24"/>
        </w:rPr>
        <w:t xml:space="preserve"> retrospective analysis of a prospective database comprised of consecutive patients with early-stage EAC (T1a and T1b) and HGD in BE at a single, tertiary-referral center (</w:t>
      </w:r>
      <w:r w:rsidRPr="00110464">
        <w:rPr>
          <w:rFonts w:ascii="Book Antiqua" w:eastAsiaTheme="minorHAnsi" w:hAnsi="Book Antiqua" w:cstheme="majorHAnsi"/>
          <w:sz w:val="24"/>
          <w:szCs w:val="24"/>
        </w:rPr>
        <w:t>St Michael’s Hospital,</w:t>
      </w:r>
      <w:r w:rsidRPr="00110464">
        <w:rPr>
          <w:rFonts w:ascii="Book Antiqua" w:hAnsi="Book Antiqua" w:cstheme="majorHAnsi"/>
          <w:sz w:val="24"/>
          <w:szCs w:val="24"/>
        </w:rPr>
        <w:t xml:space="preserve"> Toronto, Canada) between May 2001 </w:t>
      </w:r>
      <w:r w:rsidRPr="00110464">
        <w:rPr>
          <w:rFonts w:ascii="Book Antiqua" w:hAnsi="Book Antiqua" w:cstheme="majorHAnsi"/>
          <w:noProof/>
          <w:sz w:val="24"/>
          <w:szCs w:val="24"/>
        </w:rPr>
        <w:t>and</w:t>
      </w:r>
      <w:r w:rsidRPr="00110464">
        <w:rPr>
          <w:rFonts w:ascii="Book Antiqua" w:hAnsi="Book Antiqua" w:cstheme="majorHAnsi"/>
          <w:sz w:val="24"/>
          <w:szCs w:val="24"/>
        </w:rPr>
        <w:t xml:space="preserve"> May 2017. For cases </w:t>
      </w:r>
      <w:r w:rsidRPr="00110464">
        <w:rPr>
          <w:rFonts w:ascii="Book Antiqua" w:hAnsi="Book Antiqua" w:cstheme="majorHAnsi"/>
          <w:sz w:val="24"/>
          <w:szCs w:val="24"/>
        </w:rPr>
        <w:lastRenderedPageBreak/>
        <w:t xml:space="preserve">that occurred prior the establishment of the Prague criteria, we only included cases in which the circumferential and maximum BE length </w:t>
      </w:r>
      <w:r w:rsidRPr="00110464">
        <w:rPr>
          <w:rFonts w:ascii="Book Antiqua" w:hAnsi="Book Antiqua" w:cstheme="majorHAnsi"/>
          <w:noProof/>
          <w:sz w:val="24"/>
          <w:szCs w:val="24"/>
        </w:rPr>
        <w:t>were documented</w:t>
      </w:r>
      <w:r w:rsidRPr="00110464">
        <w:rPr>
          <w:rFonts w:ascii="Book Antiqua" w:hAnsi="Book Antiqua" w:cstheme="majorHAnsi"/>
          <w:sz w:val="24"/>
          <w:szCs w:val="24"/>
        </w:rPr>
        <w:t xml:space="preserve"> at their index </w:t>
      </w:r>
      <w:proofErr w:type="gramStart"/>
      <w:r w:rsidRPr="00110464">
        <w:rPr>
          <w:rFonts w:ascii="Book Antiqua" w:hAnsi="Book Antiqua" w:cstheme="majorHAnsi"/>
          <w:sz w:val="24"/>
          <w:szCs w:val="24"/>
        </w:rPr>
        <w:t>endoscopy</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15]</w:t>
      </w:r>
      <w:r w:rsidRPr="00110464">
        <w:rPr>
          <w:rFonts w:ascii="Book Antiqua" w:hAnsi="Book Antiqua" w:cstheme="majorHAnsi"/>
          <w:sz w:val="24"/>
          <w:szCs w:val="24"/>
        </w:rPr>
        <w:t xml:space="preserve">. Exclusion criteria were: (1) </w:t>
      </w:r>
      <w:r w:rsidRPr="00110464">
        <w:rPr>
          <w:rFonts w:ascii="Book Antiqua" w:hAnsi="Book Antiqua" w:cstheme="majorHAnsi"/>
          <w:noProof/>
          <w:sz w:val="24"/>
          <w:szCs w:val="24"/>
        </w:rPr>
        <w:t>Patients</w:t>
      </w:r>
      <w:r w:rsidRPr="00110464">
        <w:rPr>
          <w:rFonts w:ascii="Book Antiqua" w:hAnsi="Book Antiqua" w:cstheme="majorHAnsi"/>
          <w:sz w:val="24"/>
          <w:szCs w:val="24"/>
        </w:rPr>
        <w:t xml:space="preserve"> who did not undergo endoscopic mucosal resection (EMR) (because of the absence of precise histopathological staging); (2) patients who underwent esophagectomy or chemo/radiotherapy due to unfavorable features of the first EMR specimen such as submucosal invasion, poorly differentiated cancer (G3) and </w:t>
      </w:r>
      <w:r w:rsidRPr="00110464">
        <w:rPr>
          <w:rFonts w:ascii="Book Antiqua" w:hAnsi="Book Antiqua" w:cstheme="majorHAnsi"/>
          <w:noProof/>
          <w:sz w:val="24"/>
          <w:szCs w:val="24"/>
        </w:rPr>
        <w:t>lympho-vascular</w:t>
      </w:r>
      <w:r w:rsidRPr="00110464">
        <w:rPr>
          <w:rFonts w:ascii="Book Antiqua" w:hAnsi="Book Antiqua" w:cstheme="majorHAnsi"/>
          <w:sz w:val="24"/>
          <w:szCs w:val="24"/>
        </w:rPr>
        <w:t xml:space="preserve"> invasion (Figure</w:t>
      </w:r>
      <w:r w:rsidR="009211DA"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1). All patients provided written informed consent for their inclusion in our database. The study was carried out </w:t>
      </w:r>
      <w:r w:rsidRPr="00110464">
        <w:rPr>
          <w:rFonts w:ascii="Book Antiqua" w:hAnsi="Book Antiqua" w:cstheme="majorHAnsi"/>
          <w:noProof/>
          <w:sz w:val="24"/>
          <w:szCs w:val="24"/>
        </w:rPr>
        <w:t>in accordance with</w:t>
      </w:r>
      <w:r w:rsidRPr="00110464">
        <w:rPr>
          <w:rFonts w:ascii="Book Antiqua" w:hAnsi="Book Antiqua" w:cstheme="majorHAnsi"/>
          <w:sz w:val="24"/>
          <w:szCs w:val="24"/>
        </w:rPr>
        <w:t xml:space="preserve"> the Declaration of Helsinki and </w:t>
      </w:r>
      <w:r w:rsidRPr="00110464">
        <w:rPr>
          <w:rFonts w:ascii="Book Antiqua" w:hAnsi="Book Antiqua" w:cstheme="majorHAnsi"/>
          <w:noProof/>
          <w:sz w:val="24"/>
          <w:szCs w:val="24"/>
        </w:rPr>
        <w:t>was approved</w:t>
      </w:r>
      <w:r w:rsidRPr="00110464">
        <w:rPr>
          <w:rFonts w:ascii="Book Antiqua" w:hAnsi="Book Antiqua" w:cstheme="majorHAnsi"/>
          <w:sz w:val="24"/>
          <w:szCs w:val="24"/>
        </w:rPr>
        <w:t xml:space="preserve"> by the St. Michael’s Hospital research ethics committee (#08-265).</w:t>
      </w:r>
    </w:p>
    <w:p w14:paraId="588FC511" w14:textId="77777777" w:rsidR="00D4398F" w:rsidRPr="00110464" w:rsidRDefault="00D4398F" w:rsidP="006F6B36">
      <w:pPr>
        <w:snapToGrid w:val="0"/>
        <w:spacing w:line="360" w:lineRule="auto"/>
        <w:rPr>
          <w:rFonts w:ascii="Book Antiqua" w:hAnsi="Book Antiqua" w:cstheme="majorHAnsi"/>
          <w:sz w:val="24"/>
          <w:szCs w:val="24"/>
        </w:rPr>
      </w:pPr>
    </w:p>
    <w:p w14:paraId="1E8811B1" w14:textId="77777777" w:rsidR="00D4398F" w:rsidRPr="00110464" w:rsidRDefault="00D4398F"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Data collection and procedures</w:t>
      </w:r>
    </w:p>
    <w:p w14:paraId="651B7815" w14:textId="796B0A40"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hAnsi="Book Antiqua" w:cstheme="majorHAnsi"/>
          <w:noProof/>
          <w:sz w:val="24"/>
          <w:szCs w:val="24"/>
        </w:rPr>
        <w:t>All patients provided detailed information via a demographic, medical history, and lifestyle questionnaire that ascertained the following characteristics: age at diagnosis for EAC or HGD, sex, ethnicit</w:t>
      </w:r>
      <w:r w:rsidRPr="00110464">
        <w:rPr>
          <w:rFonts w:ascii="Book Antiqua" w:hAnsi="Book Antiqua" w:cstheme="majorHAnsi"/>
          <w:noProof/>
          <w:color w:val="000000" w:themeColor="text1"/>
          <w:sz w:val="24"/>
          <w:szCs w:val="24"/>
        </w:rPr>
        <w:t>y, height, weight, body mass index (BMI), comorbidites, family history of malignancy including EAC, t</w:t>
      </w:r>
      <w:r w:rsidRPr="00110464">
        <w:rPr>
          <w:rFonts w:ascii="Book Antiqua" w:hAnsi="Book Antiqua" w:cs="Arial"/>
          <w:noProof/>
          <w:color w:val="000000" w:themeColor="text1"/>
          <w:sz w:val="24"/>
          <w:szCs w:val="24"/>
          <w:shd w:val="clear" w:color="auto" w:fill="FFFFFF"/>
        </w:rPr>
        <w:t>obacco and alcohol consumption</w:t>
      </w:r>
      <w:r w:rsidRPr="00110464">
        <w:rPr>
          <w:rFonts w:ascii="Book Antiqua" w:hAnsi="Book Antiqua" w:cstheme="majorHAnsi"/>
          <w:noProof/>
          <w:color w:val="000000" w:themeColor="text1"/>
          <w:sz w:val="24"/>
          <w:szCs w:val="24"/>
        </w:rPr>
        <w:t>, ongoing</w:t>
      </w:r>
      <w:r w:rsidRPr="00110464">
        <w:rPr>
          <w:rFonts w:ascii="Book Antiqua" w:hAnsi="Book Antiqua" w:cstheme="majorHAnsi"/>
          <w:noProof/>
          <w:sz w:val="24"/>
          <w:szCs w:val="24"/>
        </w:rPr>
        <w:t xml:space="preserve"> GERD-related symptoms (defined as having at least two episodes of reflux symptoms within the most recent three months) and medication </w:t>
      </w:r>
      <w:r w:rsidR="009211DA" w:rsidRPr="00110464">
        <w:rPr>
          <w:rFonts w:ascii="Book Antiqua" w:hAnsi="Book Antiqua" w:cstheme="majorHAnsi"/>
          <w:noProof/>
          <w:sz w:val="24"/>
          <w:szCs w:val="24"/>
        </w:rPr>
        <w:t>[</w:t>
      </w:r>
      <w:r w:rsidRPr="00110464">
        <w:rPr>
          <w:rFonts w:ascii="Book Antiqua" w:hAnsi="Book Antiqua" w:cstheme="majorHAnsi"/>
          <w:noProof/>
          <w:sz w:val="24"/>
          <w:szCs w:val="24"/>
        </w:rPr>
        <w:t xml:space="preserve">including proton pump inhibitors </w:t>
      </w:r>
      <w:r w:rsidR="009211DA" w:rsidRPr="00110464">
        <w:rPr>
          <w:rFonts w:ascii="Book Antiqua" w:hAnsi="Book Antiqua" w:cstheme="majorHAnsi"/>
          <w:noProof/>
          <w:sz w:val="24"/>
          <w:szCs w:val="24"/>
        </w:rPr>
        <w:t>(</w:t>
      </w:r>
      <w:r w:rsidRPr="00110464">
        <w:rPr>
          <w:rFonts w:ascii="Book Antiqua" w:hAnsi="Book Antiqua" w:cstheme="majorHAnsi"/>
          <w:noProof/>
          <w:sz w:val="24"/>
          <w:szCs w:val="24"/>
        </w:rPr>
        <w:t>PPIs</w:t>
      </w:r>
      <w:r w:rsidR="009211DA" w:rsidRPr="00110464">
        <w:rPr>
          <w:rFonts w:ascii="Book Antiqua" w:hAnsi="Book Antiqua" w:cstheme="majorHAnsi"/>
          <w:noProof/>
          <w:sz w:val="24"/>
          <w:szCs w:val="24"/>
        </w:rPr>
        <w:t>)</w:t>
      </w:r>
      <w:r w:rsidRPr="00110464">
        <w:rPr>
          <w:rFonts w:ascii="Book Antiqua" w:hAnsi="Book Antiqua" w:cstheme="majorHAnsi"/>
          <w:noProof/>
          <w:sz w:val="24"/>
          <w:szCs w:val="24"/>
        </w:rPr>
        <w:t>, low-dose aspirin, nonsteroidal anti-inflammatory drugs (NSAIDs), and statins</w:t>
      </w:r>
      <w:r w:rsidR="009211DA" w:rsidRPr="00110464">
        <w:rPr>
          <w:rFonts w:ascii="Book Antiqua" w:hAnsi="Book Antiqua" w:cstheme="majorHAnsi"/>
          <w:noProof/>
          <w:sz w:val="24"/>
          <w:szCs w:val="24"/>
        </w:rPr>
        <w:t>]</w:t>
      </w:r>
      <w:r w:rsidRPr="00110464">
        <w:rPr>
          <w:rFonts w:ascii="Book Antiqua" w:hAnsi="Book Antiqua" w:cstheme="majorHAnsi"/>
          <w:noProof/>
          <w:sz w:val="24"/>
          <w:szCs w:val="24"/>
        </w:rPr>
        <w:t>.</w:t>
      </w:r>
      <w:r w:rsidRPr="00110464">
        <w:rPr>
          <w:rFonts w:ascii="Book Antiqua" w:hAnsi="Book Antiqua" w:cstheme="majorHAnsi"/>
          <w:sz w:val="24"/>
          <w:szCs w:val="24"/>
        </w:rPr>
        <w:t xml:space="preserve"> </w:t>
      </w:r>
    </w:p>
    <w:p w14:paraId="69DAB417" w14:textId="65D27A73"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Regarding endoscopic findings, the circumferential (C) and maximum (M) length of BE based on the Prague criteria were systematically </w:t>
      </w:r>
      <w:proofErr w:type="gramStart"/>
      <w:r w:rsidRPr="00110464">
        <w:rPr>
          <w:rFonts w:ascii="Book Antiqua" w:hAnsi="Book Antiqua" w:cstheme="majorHAnsi"/>
          <w:sz w:val="24"/>
          <w:szCs w:val="24"/>
        </w:rPr>
        <w:t>recorded</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15]</w:t>
      </w:r>
      <w:r w:rsidRPr="00110464">
        <w:rPr>
          <w:rFonts w:ascii="Book Antiqua" w:hAnsi="Book Antiqua" w:cstheme="majorHAnsi"/>
          <w:sz w:val="24"/>
          <w:szCs w:val="24"/>
        </w:rPr>
        <w:t xml:space="preserve">. The recorded distance from the diaphragm to the gastroesophageal junction, defined as the oral end of the gastric folds, was used to determine the presence or absence of a hiatus hernia. </w:t>
      </w:r>
      <w:r w:rsidRPr="00110464">
        <w:rPr>
          <w:rFonts w:ascii="Book Antiqua" w:hAnsi="Book Antiqua" w:cstheme="majorHAnsi"/>
          <w:noProof/>
          <w:sz w:val="24"/>
          <w:szCs w:val="24"/>
        </w:rPr>
        <w:t>According</w:t>
      </w:r>
      <w:r w:rsidRPr="00110464">
        <w:rPr>
          <w:rFonts w:ascii="Book Antiqua" w:hAnsi="Book Antiqua" w:cstheme="majorHAnsi"/>
          <w:sz w:val="24"/>
          <w:szCs w:val="24"/>
        </w:rPr>
        <w:t xml:space="preserve"> to the Seattle protocol, multiple, 4-quadrant biopsies were obtained every 1 to 2 cm to identify intestinal metaplasia or dysplasia. EMR </w:t>
      </w:r>
      <w:r w:rsidRPr="00110464">
        <w:rPr>
          <w:rFonts w:ascii="Book Antiqua" w:hAnsi="Book Antiqua" w:cstheme="majorHAnsi"/>
          <w:noProof/>
          <w:sz w:val="24"/>
          <w:szCs w:val="24"/>
        </w:rPr>
        <w:t>was performed</w:t>
      </w:r>
      <w:r w:rsidRPr="00110464">
        <w:rPr>
          <w:rFonts w:ascii="Book Antiqua" w:hAnsi="Book Antiqua" w:cstheme="majorHAnsi"/>
          <w:sz w:val="24"/>
          <w:szCs w:val="24"/>
        </w:rPr>
        <w:t xml:space="preserve"> when a visible lesion was found or </w:t>
      </w:r>
      <w:r w:rsidRPr="00110464">
        <w:rPr>
          <w:rFonts w:ascii="Book Antiqua" w:hAnsi="Book Antiqua" w:cstheme="majorHAnsi"/>
          <w:noProof/>
          <w:sz w:val="24"/>
          <w:szCs w:val="24"/>
        </w:rPr>
        <w:t xml:space="preserve">to completely eradicate BE via radical EMR, particularly for short-segment </w:t>
      </w:r>
      <w:r w:rsidR="009211DA" w:rsidRPr="00110464">
        <w:rPr>
          <w:rFonts w:ascii="Book Antiqua" w:hAnsi="Book Antiqua" w:cstheme="majorHAnsi"/>
          <w:noProof/>
          <w:sz w:val="24"/>
          <w:szCs w:val="24"/>
        </w:rPr>
        <w:t>BE</w:t>
      </w:r>
      <w:r w:rsidRPr="00110464">
        <w:rPr>
          <w:rFonts w:ascii="Book Antiqua" w:hAnsi="Book Antiqua" w:cstheme="majorHAnsi"/>
          <w:sz w:val="24"/>
          <w:szCs w:val="24"/>
        </w:rPr>
        <w:t xml:space="preserve">. Most patients underwent radiofrequency ablation (RFA) of the remaining BE segments for complete eradication of BE, as described </w:t>
      </w:r>
      <w:proofErr w:type="gramStart"/>
      <w:r w:rsidRPr="00110464">
        <w:rPr>
          <w:rFonts w:ascii="Book Antiqua" w:hAnsi="Book Antiqua" w:cstheme="majorHAnsi"/>
          <w:sz w:val="24"/>
          <w:szCs w:val="24"/>
        </w:rPr>
        <w:t>elsewhere</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16]</w:t>
      </w:r>
      <w:r w:rsidRPr="00110464">
        <w:rPr>
          <w:rFonts w:ascii="Book Antiqua" w:hAnsi="Book Antiqua" w:cstheme="majorHAnsi"/>
          <w:sz w:val="24"/>
          <w:szCs w:val="24"/>
        </w:rPr>
        <w:t>. Some patients underwent other eradication techniques such as bipolar electrocoagulation (</w:t>
      </w:r>
      <w:proofErr w:type="spellStart"/>
      <w:r w:rsidRPr="00110464">
        <w:rPr>
          <w:rFonts w:ascii="Book Antiqua" w:hAnsi="Book Antiqua" w:cstheme="majorHAnsi"/>
          <w:sz w:val="24"/>
          <w:szCs w:val="24"/>
        </w:rPr>
        <w:t>BiCAP</w:t>
      </w:r>
      <w:proofErr w:type="spellEnd"/>
      <w:r w:rsidRPr="00110464">
        <w:rPr>
          <w:rFonts w:ascii="Book Antiqua" w:hAnsi="Book Antiqua" w:cstheme="majorHAnsi"/>
          <w:sz w:val="24"/>
          <w:szCs w:val="24"/>
        </w:rPr>
        <w:t xml:space="preserve">), photodynamic therapy (PDT), cryotherapy and hot avulsion due to the evolution of treatment strategies during the study period. Hot avulsion is our previously described technique used to eradicate small </w:t>
      </w:r>
      <w:r w:rsidRPr="00110464">
        <w:rPr>
          <w:rFonts w:ascii="Book Antiqua" w:hAnsi="Book Antiqua" w:cstheme="majorHAnsi"/>
          <w:sz w:val="24"/>
          <w:szCs w:val="24"/>
        </w:rPr>
        <w:lastRenderedPageBreak/>
        <w:t xml:space="preserve">persistent BE areas 1 cm or less using hot biopsy forceps with </w:t>
      </w:r>
      <w:proofErr w:type="gramStart"/>
      <w:r w:rsidRPr="00110464">
        <w:rPr>
          <w:rFonts w:ascii="Book Antiqua" w:hAnsi="Book Antiqua" w:cstheme="majorHAnsi"/>
          <w:sz w:val="24"/>
          <w:szCs w:val="24"/>
        </w:rPr>
        <w:t>cauterization</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17]</w:t>
      </w:r>
      <w:r w:rsidRPr="00110464">
        <w:rPr>
          <w:rFonts w:ascii="Book Antiqua" w:hAnsi="Book Antiqua" w:cstheme="majorHAnsi"/>
          <w:sz w:val="24"/>
          <w:szCs w:val="24"/>
        </w:rPr>
        <w:t>.</w:t>
      </w:r>
    </w:p>
    <w:p w14:paraId="063BB6DE" w14:textId="1358042A"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All specimens were fixed in 10% neutral buffered formalin, embedded in paraffin and stained with hematoxylin and eosin staining. At least two experienced gastrointestinal pathologists analyzed all </w:t>
      </w:r>
      <w:r w:rsidRPr="00110464">
        <w:rPr>
          <w:rFonts w:ascii="Book Antiqua" w:hAnsi="Book Antiqua" w:cstheme="majorHAnsi"/>
          <w:noProof/>
          <w:sz w:val="24"/>
          <w:szCs w:val="24"/>
        </w:rPr>
        <w:t>specimens</w:t>
      </w:r>
      <w:r w:rsidRPr="00110464">
        <w:rPr>
          <w:rFonts w:ascii="Book Antiqua" w:hAnsi="Book Antiqua" w:cstheme="majorHAnsi"/>
          <w:sz w:val="24"/>
          <w:szCs w:val="24"/>
        </w:rPr>
        <w:t xml:space="preserve">. A diagnosis of BE was made based on the presence of intestinal metaplasia with goblet cells. The final T-staging </w:t>
      </w:r>
      <w:r w:rsidRPr="00110464">
        <w:rPr>
          <w:rFonts w:ascii="Book Antiqua" w:hAnsi="Book Antiqua" w:cstheme="majorHAnsi"/>
          <w:noProof/>
          <w:sz w:val="24"/>
          <w:szCs w:val="24"/>
        </w:rPr>
        <w:t>diagnosis</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was based</w:t>
      </w:r>
      <w:r w:rsidRPr="00110464">
        <w:rPr>
          <w:rFonts w:ascii="Book Antiqua" w:hAnsi="Book Antiqua" w:cstheme="majorHAnsi"/>
          <w:sz w:val="24"/>
          <w:szCs w:val="24"/>
        </w:rPr>
        <w:t xml:space="preserve"> on pathology from the EMR specimen.  Pathological reports were recorded in accordance with the Vienna classification</w:t>
      </w:r>
      <w:r w:rsidRPr="00110464">
        <w:rPr>
          <w:rFonts w:ascii="Book Antiqua" w:hAnsi="Book Antiqua" w:cstheme="majorHAnsi"/>
          <w:noProof/>
          <w:sz w:val="24"/>
          <w:szCs w:val="24"/>
          <w:vertAlign w:val="superscript"/>
        </w:rPr>
        <w:t>[18]</w:t>
      </w:r>
      <w:r w:rsidRPr="00110464">
        <w:rPr>
          <w:rFonts w:ascii="Book Antiqua" w:hAnsi="Book Antiqua" w:cstheme="majorHAnsi"/>
          <w:sz w:val="24"/>
          <w:szCs w:val="24"/>
        </w:rPr>
        <w:t xml:space="preserve"> and EMR reports included the information such as grade of differentiation (G), depth of invasion according to the </w:t>
      </w:r>
      <w:proofErr w:type="spellStart"/>
      <w:r w:rsidRPr="00110464">
        <w:rPr>
          <w:rFonts w:ascii="Book Antiqua" w:hAnsi="Book Antiqua" w:cstheme="majorHAnsi"/>
          <w:sz w:val="24"/>
          <w:szCs w:val="24"/>
        </w:rPr>
        <w:t>Vieth</w:t>
      </w:r>
      <w:proofErr w:type="spellEnd"/>
      <w:r w:rsidRPr="00110464">
        <w:rPr>
          <w:rFonts w:ascii="Book Antiqua" w:hAnsi="Book Antiqua" w:cstheme="majorHAnsi"/>
          <w:sz w:val="24"/>
          <w:szCs w:val="24"/>
        </w:rPr>
        <w:t xml:space="preserve"> </w:t>
      </w:r>
      <w:r w:rsidR="00127035" w:rsidRPr="00110464">
        <w:rPr>
          <w:rFonts w:ascii="Book Antiqua" w:hAnsi="Book Antiqua" w:cstheme="majorHAnsi"/>
          <w:sz w:val="24"/>
          <w:szCs w:val="24"/>
        </w:rPr>
        <w:t>and</w:t>
      </w:r>
      <w:r w:rsidRPr="00110464">
        <w:rPr>
          <w:rFonts w:ascii="Book Antiqua" w:hAnsi="Book Antiqua" w:cstheme="majorHAnsi"/>
          <w:sz w:val="24"/>
          <w:szCs w:val="24"/>
        </w:rPr>
        <w:t xml:space="preserve"> </w:t>
      </w:r>
      <w:proofErr w:type="spellStart"/>
      <w:r w:rsidRPr="00110464">
        <w:rPr>
          <w:rFonts w:ascii="Book Antiqua" w:hAnsi="Book Antiqua" w:cstheme="majorHAnsi"/>
          <w:sz w:val="24"/>
          <w:szCs w:val="24"/>
        </w:rPr>
        <w:t>Stolte</w:t>
      </w:r>
      <w:proofErr w:type="spellEnd"/>
      <w:r w:rsidRPr="00110464">
        <w:rPr>
          <w:rFonts w:ascii="Book Antiqua" w:hAnsi="Book Antiqua" w:cstheme="majorHAnsi"/>
          <w:sz w:val="24"/>
          <w:szCs w:val="24"/>
        </w:rPr>
        <w:t xml:space="preserve"> system (M1-4, SM)</w:t>
      </w:r>
      <w:r w:rsidRPr="00110464">
        <w:rPr>
          <w:rFonts w:ascii="Book Antiqua" w:hAnsi="Book Antiqua" w:cstheme="majorHAnsi"/>
          <w:noProof/>
          <w:sz w:val="24"/>
          <w:szCs w:val="24"/>
          <w:vertAlign w:val="superscript"/>
        </w:rPr>
        <w:t>[19]</w:t>
      </w:r>
      <w:r w:rsidRPr="00110464">
        <w:rPr>
          <w:rFonts w:ascii="Book Antiqua" w:hAnsi="Book Antiqua" w:cstheme="majorHAnsi"/>
          <w:sz w:val="24"/>
          <w:szCs w:val="24"/>
        </w:rPr>
        <w:t xml:space="preserve">, vertical margin and the presence or absence of </w:t>
      </w:r>
      <w:r w:rsidRPr="00110464">
        <w:rPr>
          <w:rFonts w:ascii="Book Antiqua" w:hAnsi="Book Antiqua" w:cstheme="majorHAnsi"/>
          <w:noProof/>
          <w:sz w:val="24"/>
          <w:szCs w:val="24"/>
        </w:rPr>
        <w:t>lymphovascular</w:t>
      </w:r>
      <w:r w:rsidRPr="00110464">
        <w:rPr>
          <w:rFonts w:ascii="Book Antiqua" w:hAnsi="Book Antiqua" w:cstheme="majorHAnsi"/>
          <w:sz w:val="24"/>
          <w:szCs w:val="24"/>
        </w:rPr>
        <w:t xml:space="preserve"> invasion (LVI). </w:t>
      </w:r>
    </w:p>
    <w:p w14:paraId="3BE31454" w14:textId="11C4B2D5"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For assessment of endoscopic treatment-related outcomes, we included only patients </w:t>
      </w:r>
      <w:r w:rsidR="00DC3765" w:rsidRPr="00110464">
        <w:rPr>
          <w:rFonts w:ascii="Book Antiqua" w:hAnsi="Book Antiqua" w:cstheme="majorHAnsi"/>
          <w:noProof/>
          <w:sz w:val="24"/>
          <w:szCs w:val="24"/>
        </w:rPr>
        <w:t>followed up for more than 12 mo</w:t>
      </w:r>
      <w:r w:rsidRPr="00110464">
        <w:rPr>
          <w:rFonts w:ascii="Book Antiqua" w:hAnsi="Book Antiqua" w:cstheme="majorHAnsi"/>
          <w:sz w:val="24"/>
          <w:szCs w:val="24"/>
        </w:rPr>
        <w:t xml:space="preserve"> after initial EMR. </w:t>
      </w:r>
      <w:r w:rsidRPr="00110464">
        <w:rPr>
          <w:rFonts w:ascii="Book Antiqua" w:hAnsi="Book Antiqua" w:cstheme="majorHAnsi"/>
          <w:noProof/>
          <w:sz w:val="24"/>
          <w:szCs w:val="24"/>
        </w:rPr>
        <w:t>Patients</w:t>
      </w:r>
      <w:r w:rsidRPr="00110464">
        <w:rPr>
          <w:rFonts w:ascii="Book Antiqua" w:hAnsi="Book Antiqua" w:cstheme="majorHAnsi"/>
          <w:sz w:val="24"/>
          <w:szCs w:val="24"/>
        </w:rPr>
        <w:t xml:space="preserve"> who underwent EMR were </w:t>
      </w:r>
      <w:r w:rsidRPr="00110464">
        <w:rPr>
          <w:rFonts w:ascii="Book Antiqua" w:hAnsi="Book Antiqua" w:cstheme="majorHAnsi"/>
          <w:noProof/>
          <w:sz w:val="24"/>
          <w:szCs w:val="24"/>
        </w:rPr>
        <w:t>followed-up  by</w:t>
      </w:r>
      <w:r w:rsidRPr="00110464">
        <w:rPr>
          <w:rFonts w:ascii="Book Antiqua" w:hAnsi="Book Antiqua" w:cstheme="majorHAnsi"/>
          <w:sz w:val="24"/>
          <w:szCs w:val="24"/>
        </w:rPr>
        <w:t xml:space="preserve"> endoscopy in 3- to 6-mo intervals with surveillance biopsies and additional endoscopic therapies (ablative methods or </w:t>
      </w:r>
      <w:r w:rsidRPr="00110464">
        <w:rPr>
          <w:rFonts w:ascii="Book Antiqua" w:hAnsi="Book Antiqua" w:cstheme="majorHAnsi"/>
          <w:noProof/>
          <w:sz w:val="24"/>
          <w:szCs w:val="24"/>
        </w:rPr>
        <w:t>additional</w:t>
      </w:r>
      <w:r w:rsidRPr="00110464">
        <w:rPr>
          <w:rFonts w:ascii="Book Antiqua" w:hAnsi="Book Antiqua" w:cstheme="majorHAnsi"/>
          <w:sz w:val="24"/>
          <w:szCs w:val="24"/>
        </w:rPr>
        <w:t xml:space="preserve"> EMR), at the discretion of the endoscopist, until all visible BE </w:t>
      </w:r>
      <w:r w:rsidRPr="00110464">
        <w:rPr>
          <w:rFonts w:ascii="Book Antiqua" w:hAnsi="Book Antiqua" w:cstheme="majorHAnsi"/>
          <w:noProof/>
          <w:sz w:val="24"/>
          <w:szCs w:val="24"/>
        </w:rPr>
        <w:t>was eradicated</w:t>
      </w:r>
      <w:r w:rsidRPr="00110464">
        <w:rPr>
          <w:rFonts w:ascii="Book Antiqua" w:hAnsi="Book Antiqua" w:cstheme="majorHAnsi"/>
          <w:sz w:val="24"/>
          <w:szCs w:val="24"/>
        </w:rPr>
        <w:t xml:space="preserve">. Complete eradication of neoplasia (CE-N) </w:t>
      </w:r>
      <w:r w:rsidRPr="00110464">
        <w:rPr>
          <w:rFonts w:ascii="Book Antiqua" w:hAnsi="Book Antiqua" w:cstheme="majorHAnsi"/>
          <w:noProof/>
          <w:sz w:val="24"/>
          <w:szCs w:val="24"/>
        </w:rPr>
        <w:t>was defined</w:t>
      </w:r>
      <w:r w:rsidRPr="00110464">
        <w:rPr>
          <w:rFonts w:ascii="Book Antiqua" w:hAnsi="Book Antiqua" w:cstheme="majorHAnsi"/>
          <w:sz w:val="24"/>
          <w:szCs w:val="24"/>
        </w:rPr>
        <w:t xml:space="preserve"> as the absence of endoscopic and pathologic evidence of adenocarcinoma or any dysplasia after endoscopic treatment. C</w:t>
      </w:r>
      <w:r w:rsidRPr="00110464">
        <w:rPr>
          <w:rFonts w:ascii="Book Antiqua" w:hAnsi="Book Antiqua" w:cstheme="majorHAnsi"/>
          <w:noProof/>
          <w:sz w:val="24"/>
          <w:szCs w:val="24"/>
        </w:rPr>
        <w:t>omplete</w:t>
      </w:r>
      <w:r w:rsidRPr="00110464">
        <w:rPr>
          <w:rFonts w:ascii="Book Antiqua" w:hAnsi="Book Antiqua" w:cstheme="majorHAnsi"/>
          <w:sz w:val="24"/>
          <w:szCs w:val="24"/>
        </w:rPr>
        <w:t xml:space="preserve"> eradication of intestinal metaplasia (CE-IM) </w:t>
      </w:r>
      <w:r w:rsidRPr="00110464">
        <w:rPr>
          <w:rFonts w:ascii="Book Antiqua" w:hAnsi="Book Antiqua" w:cstheme="majorHAnsi"/>
          <w:noProof/>
          <w:sz w:val="24"/>
          <w:szCs w:val="24"/>
        </w:rPr>
        <w:t>was defined</w:t>
      </w:r>
      <w:r w:rsidRPr="00110464">
        <w:rPr>
          <w:rFonts w:ascii="Book Antiqua" w:hAnsi="Book Antiqua" w:cstheme="majorHAnsi"/>
          <w:sz w:val="24"/>
          <w:szCs w:val="24"/>
        </w:rPr>
        <w:t xml:space="preserve"> as complete absence of endoscopic evidence of BE and pathologic evidence of intestinal metaplasia on all follow-up biopsies. Recurrence of neoplasia and intestinal metaplasia </w:t>
      </w:r>
      <w:r w:rsidRPr="00110464">
        <w:rPr>
          <w:rFonts w:ascii="Book Antiqua" w:hAnsi="Book Antiqua" w:cstheme="majorHAnsi"/>
          <w:noProof/>
          <w:sz w:val="24"/>
          <w:szCs w:val="24"/>
        </w:rPr>
        <w:t>were defined</w:t>
      </w:r>
      <w:r w:rsidRPr="00110464">
        <w:rPr>
          <w:rFonts w:ascii="Book Antiqua" w:hAnsi="Book Antiqua" w:cstheme="majorHAnsi"/>
          <w:sz w:val="24"/>
          <w:szCs w:val="24"/>
        </w:rPr>
        <w:t xml:space="preserve"> as any biopsy-confirmed dysplastic lesion and intestinal metaplasia detected on subsequent endoscopies following CE-N and CE-IM, respectively.</w:t>
      </w:r>
    </w:p>
    <w:p w14:paraId="118F9E67" w14:textId="77777777" w:rsidR="00D4398F" w:rsidRPr="00110464" w:rsidRDefault="00D4398F" w:rsidP="006F6B36">
      <w:pPr>
        <w:snapToGrid w:val="0"/>
        <w:spacing w:line="360" w:lineRule="auto"/>
        <w:rPr>
          <w:rFonts w:ascii="Book Antiqua" w:hAnsi="Book Antiqua" w:cstheme="majorHAnsi"/>
          <w:sz w:val="24"/>
          <w:szCs w:val="24"/>
        </w:rPr>
      </w:pPr>
    </w:p>
    <w:p w14:paraId="4DBC9E9F" w14:textId="77777777" w:rsidR="00D4398F" w:rsidRPr="00110464" w:rsidRDefault="00D4398F"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Statistical analysis</w:t>
      </w:r>
    </w:p>
    <w:p w14:paraId="581E255C" w14:textId="21A4C690"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 xml:space="preserve">The mean ± standard deviation (SD) </w:t>
      </w:r>
      <w:r w:rsidRPr="00110464">
        <w:rPr>
          <w:rFonts w:ascii="Book Antiqua" w:hAnsi="Book Antiqua" w:cstheme="majorHAnsi"/>
          <w:noProof/>
          <w:sz w:val="24"/>
          <w:szCs w:val="24"/>
        </w:rPr>
        <w:t>was used</w:t>
      </w:r>
      <w:r w:rsidRPr="00110464">
        <w:rPr>
          <w:rFonts w:ascii="Book Antiqua" w:hAnsi="Book Antiqua" w:cstheme="majorHAnsi"/>
          <w:sz w:val="24"/>
          <w:szCs w:val="24"/>
        </w:rPr>
        <w:t xml:space="preserve"> for variables with a normal distribution, and the median and interquartile range </w:t>
      </w:r>
      <w:r w:rsidRPr="00110464">
        <w:rPr>
          <w:rFonts w:ascii="Book Antiqua" w:hAnsi="Book Antiqua" w:cstheme="majorHAnsi"/>
          <w:noProof/>
          <w:sz w:val="24"/>
          <w:szCs w:val="24"/>
        </w:rPr>
        <w:t>was used</w:t>
      </w:r>
      <w:r w:rsidRPr="00110464">
        <w:rPr>
          <w:rFonts w:ascii="Book Antiqua" w:hAnsi="Book Antiqua" w:cstheme="majorHAnsi"/>
          <w:sz w:val="24"/>
          <w:szCs w:val="24"/>
        </w:rPr>
        <w:t xml:space="preserve"> for variables with a skewed distribution. Differences between groups were analyzed using the Chi-square test and Fisher’s exact for categorical data, the Student </w:t>
      </w:r>
      <w:r w:rsidRPr="00110464">
        <w:rPr>
          <w:rFonts w:ascii="Book Antiqua" w:hAnsi="Book Antiqua" w:cstheme="majorHAnsi"/>
          <w:i/>
          <w:sz w:val="24"/>
          <w:szCs w:val="24"/>
        </w:rPr>
        <w:t>t</w:t>
      </w:r>
      <w:r w:rsidRPr="00110464">
        <w:rPr>
          <w:rFonts w:ascii="Book Antiqua" w:hAnsi="Book Antiqua" w:cstheme="majorHAnsi"/>
          <w:sz w:val="24"/>
          <w:szCs w:val="24"/>
        </w:rPr>
        <w:t xml:space="preserve">-test for comparing means and the Mann-Whitney </w:t>
      </w:r>
      <w:r w:rsidRPr="00110464">
        <w:rPr>
          <w:rFonts w:ascii="Book Antiqua" w:hAnsi="Book Antiqua" w:cstheme="majorHAnsi"/>
          <w:i/>
          <w:sz w:val="24"/>
          <w:szCs w:val="24"/>
        </w:rPr>
        <w:t xml:space="preserve">U </w:t>
      </w:r>
      <w:r w:rsidRPr="00110464">
        <w:rPr>
          <w:rFonts w:ascii="Book Antiqua" w:hAnsi="Book Antiqua" w:cstheme="majorHAnsi"/>
          <w:sz w:val="24"/>
          <w:szCs w:val="24"/>
        </w:rPr>
        <w:t>test for comparing medians for continuous data. Multivariable logistic regression models were performed to identify clinical and pathologic differences between younger (≤</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50 years) and older </w:t>
      </w:r>
      <w:r w:rsidRPr="00110464">
        <w:rPr>
          <w:rFonts w:ascii="Book Antiqua" w:hAnsi="Book Antiqua" w:cstheme="majorHAnsi"/>
          <w:noProof/>
          <w:sz w:val="24"/>
          <w:szCs w:val="24"/>
        </w:rPr>
        <w:t>patients</w:t>
      </w:r>
      <w:r w:rsidRPr="00110464">
        <w:rPr>
          <w:rFonts w:ascii="Book Antiqua" w:hAnsi="Book Antiqua" w:cstheme="majorHAnsi"/>
          <w:sz w:val="24"/>
          <w:szCs w:val="24"/>
        </w:rPr>
        <w:t>. We included the following variables in the</w:t>
      </w:r>
      <w:r w:rsidRPr="00110464">
        <w:rPr>
          <w:rFonts w:ascii="Book Antiqua" w:hAnsi="Book Antiqua"/>
          <w:sz w:val="24"/>
          <w:szCs w:val="24"/>
        </w:rPr>
        <w:t xml:space="preserve"> </w:t>
      </w:r>
      <w:r w:rsidRPr="00110464">
        <w:rPr>
          <w:rFonts w:ascii="Book Antiqua" w:hAnsi="Book Antiqua" w:cstheme="majorHAnsi"/>
          <w:sz w:val="24"/>
          <w:szCs w:val="24"/>
        </w:rPr>
        <w:t>multivariate logistic regression analysis: BMI (&gt;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30 or &lt;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30), history of smoking, ongoing GERD symptoms, f</w:t>
      </w:r>
      <w:r w:rsidRPr="00110464">
        <w:rPr>
          <w:rFonts w:ascii="Book Antiqua" w:hAnsi="Book Antiqua" w:cs="Arial"/>
          <w:sz w:val="24"/>
          <w:szCs w:val="24"/>
        </w:rPr>
        <w:t xml:space="preserve">amily history </w:t>
      </w:r>
      <w:r w:rsidRPr="00110464">
        <w:rPr>
          <w:rFonts w:ascii="Book Antiqua" w:hAnsi="Book Antiqua" w:cs="Arial"/>
          <w:sz w:val="24"/>
          <w:szCs w:val="24"/>
        </w:rPr>
        <w:lastRenderedPageBreak/>
        <w:t xml:space="preserve">of EAC, ethnicity (white) and sex (male); as these factors are well known to be associated with EAC and used </w:t>
      </w:r>
      <w:r w:rsidRPr="00110464">
        <w:rPr>
          <w:rFonts w:ascii="Book Antiqua" w:hAnsi="Book Antiqua" w:cs="Arial"/>
          <w:noProof/>
          <w:sz w:val="24"/>
          <w:szCs w:val="24"/>
        </w:rPr>
        <w:t>to</w:t>
      </w:r>
      <w:r w:rsidRPr="00110464">
        <w:rPr>
          <w:rFonts w:ascii="Book Antiqua" w:hAnsi="Book Antiqua" w:cs="Arial"/>
          <w:sz w:val="24"/>
          <w:szCs w:val="24"/>
        </w:rPr>
        <w:t xml:space="preserve"> guide screening endoscopy in most guidelines</w:t>
      </w:r>
      <w:r w:rsidRPr="00110464">
        <w:rPr>
          <w:rFonts w:ascii="Book Antiqua" w:hAnsi="Book Antiqua" w:cs="Arial"/>
          <w:noProof/>
          <w:sz w:val="24"/>
          <w:szCs w:val="24"/>
          <w:vertAlign w:val="superscript"/>
        </w:rPr>
        <w:t>[3-6]</w:t>
      </w:r>
      <w:r w:rsidRPr="00110464">
        <w:rPr>
          <w:rFonts w:ascii="Book Antiqua" w:hAnsi="Book Antiqua" w:cs="Arial"/>
          <w:sz w:val="24"/>
          <w:szCs w:val="24"/>
        </w:rPr>
        <w:t xml:space="preserve">. </w:t>
      </w:r>
      <w:r w:rsidRPr="00110464">
        <w:rPr>
          <w:rFonts w:ascii="Book Antiqua" w:hAnsi="Book Antiqua" w:cstheme="majorHAnsi"/>
          <w:sz w:val="24"/>
          <w:szCs w:val="24"/>
        </w:rPr>
        <w:t xml:space="preserve">We calculated adjusted odds ratios (ORs) and 95% confidence intervals (CIs) by </w:t>
      </w:r>
      <w:bookmarkStart w:id="26" w:name="_Hlk479686294"/>
      <w:r w:rsidRPr="00110464">
        <w:rPr>
          <w:rFonts w:ascii="Book Antiqua" w:hAnsi="Book Antiqua" w:cstheme="majorHAnsi"/>
          <w:sz w:val="24"/>
          <w:szCs w:val="24"/>
        </w:rPr>
        <w:t>multivariate logistic regression analysis</w:t>
      </w:r>
      <w:bookmarkEnd w:id="26"/>
      <w:r w:rsidRPr="00110464">
        <w:rPr>
          <w:rFonts w:ascii="Book Antiqua" w:hAnsi="Book Antiqua" w:cstheme="majorHAnsi"/>
          <w:sz w:val="24"/>
          <w:szCs w:val="24"/>
        </w:rPr>
        <w:t xml:space="preserve"> using </w:t>
      </w:r>
      <w:proofErr w:type="spellStart"/>
      <w:r w:rsidRPr="00110464">
        <w:rPr>
          <w:rFonts w:ascii="Book Antiqua" w:hAnsi="Book Antiqua" w:cstheme="majorHAnsi"/>
          <w:sz w:val="24"/>
          <w:szCs w:val="24"/>
        </w:rPr>
        <w:t>StatFlex</w:t>
      </w:r>
      <w:proofErr w:type="spellEnd"/>
      <w:r w:rsidRPr="00110464">
        <w:rPr>
          <w:rFonts w:ascii="Book Antiqua" w:hAnsi="Book Antiqua" w:cstheme="majorHAnsi"/>
          <w:sz w:val="24"/>
          <w:szCs w:val="24"/>
        </w:rPr>
        <w:t xml:space="preserve"> software (</w:t>
      </w:r>
      <w:proofErr w:type="spellStart"/>
      <w:r w:rsidRPr="00110464">
        <w:rPr>
          <w:rFonts w:ascii="Book Antiqua" w:hAnsi="Book Antiqua" w:cstheme="majorHAnsi"/>
          <w:sz w:val="24"/>
          <w:szCs w:val="24"/>
        </w:rPr>
        <w:t>Artech</w:t>
      </w:r>
      <w:proofErr w:type="spellEnd"/>
      <w:r w:rsidRPr="00110464">
        <w:rPr>
          <w:rFonts w:ascii="Book Antiqua" w:hAnsi="Book Antiqua" w:cstheme="majorHAnsi"/>
          <w:sz w:val="24"/>
          <w:szCs w:val="24"/>
        </w:rPr>
        <w:t xml:space="preserve"> Co., Osaka, Japan). Two-sided </w:t>
      </w:r>
      <w:r w:rsidRPr="00110464">
        <w:rPr>
          <w:rFonts w:ascii="Book Antiqua" w:hAnsi="Book Antiqua" w:cstheme="majorHAnsi"/>
          <w:i/>
          <w:sz w:val="24"/>
          <w:szCs w:val="24"/>
        </w:rPr>
        <w:t>P</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values &lt; 0.05 were considered statistically significant.</w:t>
      </w:r>
    </w:p>
    <w:p w14:paraId="178C0DF8" w14:textId="77777777" w:rsidR="00D4398F" w:rsidRPr="00110464" w:rsidRDefault="00D4398F" w:rsidP="006F6B36">
      <w:pPr>
        <w:snapToGrid w:val="0"/>
        <w:spacing w:line="360" w:lineRule="auto"/>
        <w:rPr>
          <w:rFonts w:ascii="Book Antiqua" w:hAnsi="Book Antiqua" w:cstheme="majorHAnsi"/>
          <w:sz w:val="24"/>
          <w:szCs w:val="24"/>
        </w:rPr>
      </w:pPr>
    </w:p>
    <w:p w14:paraId="7300AADF" w14:textId="77777777"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RESULTS</w:t>
      </w:r>
    </w:p>
    <w:p w14:paraId="7BA82DA9" w14:textId="77777777" w:rsidR="00D4398F" w:rsidRPr="00110464" w:rsidRDefault="00D4398F"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 xml:space="preserve">Study population and clinical characteristics </w:t>
      </w:r>
    </w:p>
    <w:p w14:paraId="7DECA7F3" w14:textId="405BAEF6"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 xml:space="preserve">We identified 450 patients </w:t>
      </w:r>
      <w:r w:rsidRPr="00110464">
        <w:rPr>
          <w:rFonts w:ascii="Book Antiqua" w:hAnsi="Book Antiqua" w:cstheme="majorHAnsi"/>
          <w:noProof/>
          <w:sz w:val="24"/>
          <w:szCs w:val="24"/>
        </w:rPr>
        <w:t>diagnosed</w:t>
      </w:r>
      <w:r w:rsidRPr="00110464">
        <w:rPr>
          <w:rFonts w:ascii="Book Antiqua" w:hAnsi="Book Antiqua" w:cstheme="majorHAnsi"/>
          <w:sz w:val="24"/>
          <w:szCs w:val="24"/>
        </w:rPr>
        <w:t xml:space="preserve"> with Barrett’s-related EAC (T1a or T1b) or HGD during the study period. Of these, 45 patients (10%) were 50 years of age or younger </w:t>
      </w:r>
      <w:r w:rsidR="00127035" w:rsidRPr="00110464">
        <w:rPr>
          <w:rFonts w:ascii="Book Antiqua" w:hAnsi="Book Antiqua" w:cstheme="majorHAnsi"/>
          <w:sz w:val="24"/>
          <w:szCs w:val="24"/>
        </w:rPr>
        <w:t>[</w:t>
      </w:r>
      <w:r w:rsidRPr="00110464">
        <w:rPr>
          <w:rFonts w:ascii="Book Antiqua" w:hAnsi="Book Antiqua" w:cstheme="majorHAnsi"/>
          <w:sz w:val="24"/>
          <w:szCs w:val="24"/>
        </w:rPr>
        <w:t>39</w:t>
      </w:r>
      <w:r w:rsidRPr="00110464">
        <w:rPr>
          <w:rFonts w:ascii="Book Antiqua" w:hAnsi="Book Antiqua" w:cs="Arial"/>
          <w:sz w:val="24"/>
          <w:szCs w:val="24"/>
        </w:rPr>
        <w:t xml:space="preserve"> men </w:t>
      </w:r>
      <w:r w:rsidR="00127035" w:rsidRPr="00110464">
        <w:rPr>
          <w:rFonts w:ascii="Book Antiqua" w:hAnsi="Book Antiqua" w:cs="Arial"/>
          <w:sz w:val="24"/>
          <w:szCs w:val="24"/>
        </w:rPr>
        <w:t>(</w:t>
      </w:r>
      <w:r w:rsidRPr="00110464">
        <w:rPr>
          <w:rFonts w:ascii="Book Antiqua" w:hAnsi="Book Antiqua" w:cs="Arial"/>
          <w:sz w:val="24"/>
          <w:szCs w:val="24"/>
        </w:rPr>
        <w:t>87%</w:t>
      </w:r>
      <w:r w:rsidR="00127035" w:rsidRPr="00110464">
        <w:rPr>
          <w:rFonts w:ascii="Book Antiqua" w:hAnsi="Book Antiqua" w:cs="Arial"/>
          <w:sz w:val="24"/>
          <w:szCs w:val="24"/>
        </w:rPr>
        <w:t>)</w:t>
      </w:r>
      <w:r w:rsidR="00127035" w:rsidRPr="00110464">
        <w:rPr>
          <w:rFonts w:ascii="Book Antiqua" w:hAnsi="Book Antiqua" w:cstheme="majorHAnsi"/>
          <w:sz w:val="24"/>
          <w:szCs w:val="24"/>
        </w:rPr>
        <w:t>]</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and</w:t>
      </w:r>
      <w:r w:rsidRPr="00110464">
        <w:rPr>
          <w:rFonts w:ascii="Book Antiqua" w:hAnsi="Book Antiqua" w:cstheme="majorHAnsi"/>
          <w:sz w:val="24"/>
          <w:szCs w:val="24"/>
        </w:rPr>
        <w:t xml:space="preserve"> 405 patients (90%) &gt; 50 years </w:t>
      </w:r>
      <w:r w:rsidR="00127035" w:rsidRPr="00110464">
        <w:rPr>
          <w:rFonts w:ascii="Book Antiqua" w:hAnsi="Book Antiqua" w:cstheme="majorHAnsi"/>
          <w:sz w:val="24"/>
          <w:szCs w:val="24"/>
        </w:rPr>
        <w:t>[</w:t>
      </w:r>
      <w:r w:rsidRPr="00110464">
        <w:rPr>
          <w:rFonts w:ascii="Book Antiqua" w:hAnsi="Book Antiqua" w:cstheme="majorHAnsi"/>
          <w:sz w:val="24"/>
          <w:szCs w:val="24"/>
        </w:rPr>
        <w:t>342</w:t>
      </w:r>
      <w:r w:rsidRPr="00110464">
        <w:rPr>
          <w:rFonts w:ascii="Book Antiqua" w:hAnsi="Book Antiqua" w:cs="Arial"/>
          <w:sz w:val="24"/>
          <w:szCs w:val="24"/>
        </w:rPr>
        <w:t xml:space="preserve"> men </w:t>
      </w:r>
      <w:r w:rsidR="00127035" w:rsidRPr="00110464">
        <w:rPr>
          <w:rFonts w:ascii="Book Antiqua" w:hAnsi="Book Antiqua" w:cs="Arial"/>
          <w:sz w:val="24"/>
          <w:szCs w:val="24"/>
        </w:rPr>
        <w:t>(</w:t>
      </w:r>
      <w:r w:rsidRPr="00110464">
        <w:rPr>
          <w:rFonts w:ascii="Book Antiqua" w:hAnsi="Book Antiqua" w:cs="Arial"/>
          <w:sz w:val="24"/>
          <w:szCs w:val="24"/>
        </w:rPr>
        <w:t>84%</w:t>
      </w:r>
      <w:r w:rsidR="00127035" w:rsidRPr="00110464">
        <w:rPr>
          <w:rFonts w:ascii="Book Antiqua" w:hAnsi="Book Antiqua" w:cs="Arial"/>
          <w:sz w:val="24"/>
          <w:szCs w:val="24"/>
        </w:rPr>
        <w:t>)</w:t>
      </w:r>
      <w:r w:rsidR="00127035" w:rsidRPr="00110464">
        <w:rPr>
          <w:rFonts w:ascii="Book Antiqua" w:hAnsi="Book Antiqua" w:cstheme="majorHAnsi"/>
          <w:sz w:val="24"/>
          <w:szCs w:val="24"/>
        </w:rPr>
        <w:t>]</w:t>
      </w:r>
      <w:r w:rsidRPr="00110464">
        <w:rPr>
          <w:rFonts w:ascii="Book Antiqua" w:hAnsi="Book Antiqua" w:cstheme="majorHAnsi"/>
          <w:sz w:val="24"/>
          <w:szCs w:val="24"/>
        </w:rPr>
        <w:t xml:space="preserve">. </w:t>
      </w:r>
    </w:p>
    <w:p w14:paraId="7AF40358" w14:textId="58186ADE" w:rsidR="00D4398F" w:rsidRPr="00110464" w:rsidRDefault="00D4398F" w:rsidP="006F6B36">
      <w:pPr>
        <w:snapToGrid w:val="0"/>
        <w:spacing w:line="360" w:lineRule="auto"/>
        <w:ind w:firstLineChars="100" w:firstLine="240"/>
        <w:rPr>
          <w:rFonts w:ascii="Book Antiqua" w:hAnsi="Book Antiqua" w:cs="Arial"/>
          <w:sz w:val="24"/>
          <w:szCs w:val="24"/>
        </w:rPr>
      </w:pPr>
      <w:r w:rsidRPr="00110464">
        <w:rPr>
          <w:rFonts w:ascii="Book Antiqua" w:hAnsi="Book Antiqua" w:cstheme="majorHAnsi"/>
          <w:sz w:val="24"/>
          <w:szCs w:val="24"/>
        </w:rPr>
        <w:t xml:space="preserve">Patient clinical characteristics </w:t>
      </w:r>
      <w:r w:rsidRPr="00110464">
        <w:rPr>
          <w:rFonts w:ascii="Book Antiqua" w:hAnsi="Book Antiqua" w:cstheme="majorHAnsi"/>
          <w:noProof/>
          <w:sz w:val="24"/>
          <w:szCs w:val="24"/>
        </w:rPr>
        <w:t>are summarized</w:t>
      </w:r>
      <w:r w:rsidRPr="00110464">
        <w:rPr>
          <w:rFonts w:ascii="Book Antiqua" w:hAnsi="Book Antiqua" w:cstheme="majorHAnsi"/>
          <w:sz w:val="24"/>
          <w:szCs w:val="24"/>
        </w:rPr>
        <w:t xml:space="preserve"> in Table 1. Male and white patients were predominant in both groups with no significant differences. Young patients were more likely to be obese (BMI</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&gt;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30, 48% </w:t>
      </w:r>
      <w:r w:rsidRPr="00110464">
        <w:rPr>
          <w:rFonts w:ascii="Book Antiqua" w:hAnsi="Book Antiqua" w:cstheme="majorHAnsi"/>
          <w:i/>
          <w:noProof/>
          <w:sz w:val="24"/>
          <w:szCs w:val="24"/>
        </w:rPr>
        <w:t>vs</w:t>
      </w:r>
      <w:r w:rsidRPr="00110464">
        <w:rPr>
          <w:rFonts w:ascii="Book Antiqua" w:hAnsi="Book Antiqua" w:cstheme="majorHAnsi"/>
          <w:sz w:val="24"/>
          <w:szCs w:val="24"/>
        </w:rPr>
        <w:t xml:space="preserve"> 32%, </w:t>
      </w:r>
      <w:r w:rsidRPr="00110464">
        <w:rPr>
          <w:rFonts w:ascii="Book Antiqua" w:hAnsi="Book Antiqua" w:cstheme="majorHAnsi"/>
          <w:i/>
          <w:sz w:val="24"/>
          <w:szCs w:val="24"/>
        </w:rPr>
        <w:t>P</w:t>
      </w:r>
      <w:r w:rsidR="00127035" w:rsidRPr="00110464">
        <w:rPr>
          <w:rFonts w:ascii="Book Antiqua" w:hAnsi="Book Antiqua" w:cstheme="majorHAnsi"/>
          <w:i/>
          <w:sz w:val="24"/>
          <w:szCs w:val="24"/>
        </w:rPr>
        <w:t xml:space="preserve"> </w:t>
      </w:r>
      <w:r w:rsidRPr="00110464">
        <w:rPr>
          <w:rFonts w:ascii="Book Antiqua" w:hAnsi="Book Antiqua" w:cstheme="majorHAnsi"/>
          <w:sz w:val="24"/>
          <w:szCs w:val="24"/>
        </w:rPr>
        <w: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0.04) and to have ongoing GERD symptoms (55% </w:t>
      </w:r>
      <w:r w:rsidRPr="00110464">
        <w:rPr>
          <w:rFonts w:ascii="Book Antiqua" w:hAnsi="Book Antiqua" w:cstheme="majorHAnsi"/>
          <w:i/>
          <w:noProof/>
          <w:sz w:val="24"/>
          <w:szCs w:val="24"/>
        </w:rPr>
        <w:t>vs</w:t>
      </w:r>
      <w:r w:rsidRPr="00110464">
        <w:rPr>
          <w:rFonts w:ascii="Book Antiqua" w:hAnsi="Book Antiqua" w:cstheme="majorHAnsi"/>
          <w:sz w:val="24"/>
          <w:szCs w:val="24"/>
        </w:rPr>
        <w:t xml:space="preserve"> 38%, </w:t>
      </w:r>
      <w:r w:rsidRPr="00110464">
        <w:rPr>
          <w:rFonts w:ascii="Book Antiqua" w:hAnsi="Book Antiqua" w:cstheme="majorHAnsi"/>
          <w:i/>
          <w:sz w:val="24"/>
          <w:szCs w:val="24"/>
        </w:rPr>
        <w:t>P</w:t>
      </w:r>
      <w:r w:rsidR="00127035" w:rsidRPr="00110464">
        <w:rPr>
          <w:rFonts w:ascii="Book Antiqua" w:hAnsi="Book Antiqua" w:cstheme="majorHAnsi"/>
          <w:i/>
          <w:sz w:val="24"/>
          <w:szCs w:val="24"/>
        </w:rPr>
        <w:t xml:space="preserve"> </w:t>
      </w:r>
      <w:r w:rsidRPr="00110464">
        <w:rPr>
          <w:rFonts w:ascii="Book Antiqua" w:hAnsi="Book Antiqua" w:cstheme="majorHAnsi"/>
          <w:sz w:val="24"/>
          <w:szCs w:val="24"/>
        </w:rPr>
        <w: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0.04), and less likely to have diabetes and hypertension, and to have ever been smokers on univariate analysis. There were no significant differences between the groups with regards to </w:t>
      </w:r>
      <w:r w:rsidRPr="00110464">
        <w:rPr>
          <w:rFonts w:ascii="Book Antiqua" w:hAnsi="Book Antiqua" w:cstheme="majorHAnsi"/>
          <w:noProof/>
          <w:sz w:val="24"/>
          <w:szCs w:val="24"/>
        </w:rPr>
        <w:t>family</w:t>
      </w:r>
      <w:r w:rsidRPr="00110464">
        <w:rPr>
          <w:rFonts w:ascii="Book Antiqua" w:hAnsi="Book Antiqua" w:cstheme="majorHAnsi"/>
          <w:sz w:val="24"/>
          <w:szCs w:val="24"/>
        </w:rPr>
        <w:t xml:space="preserve"> history of EAC and alcohol consumption. Regarding medication use, we found that </w:t>
      </w:r>
      <w:bookmarkStart w:id="27" w:name="_Hlk486859731"/>
      <w:r w:rsidRPr="00110464">
        <w:rPr>
          <w:rFonts w:ascii="Book Antiqua" w:hAnsi="Book Antiqua" w:cstheme="majorHAnsi"/>
          <w:sz w:val="24"/>
          <w:szCs w:val="24"/>
        </w:rPr>
        <w:t>the older group was more likely to have used low-dose aspirin and statins compared to the younger patients</w:t>
      </w:r>
      <w:bookmarkEnd w:id="27"/>
      <w:r w:rsidRPr="00110464">
        <w:rPr>
          <w:rFonts w:ascii="Book Antiqua" w:hAnsi="Book Antiqua" w:cstheme="majorHAnsi"/>
          <w:sz w:val="24"/>
          <w:szCs w:val="24"/>
        </w:rPr>
        <w:t xml:space="preserve">, while there were no significant differences regarding </w:t>
      </w:r>
      <w:r w:rsidRPr="00110464">
        <w:rPr>
          <w:rFonts w:ascii="Book Antiqua" w:hAnsi="Book Antiqua" w:cstheme="majorHAnsi"/>
          <w:noProof/>
          <w:sz w:val="24"/>
          <w:szCs w:val="24"/>
        </w:rPr>
        <w:t>use</w:t>
      </w:r>
      <w:r w:rsidRPr="00110464">
        <w:rPr>
          <w:rFonts w:ascii="Book Antiqua" w:hAnsi="Book Antiqua" w:cstheme="majorHAnsi"/>
          <w:sz w:val="24"/>
          <w:szCs w:val="24"/>
        </w:rPr>
        <w:t xml:space="preserve"> of PPIs and NSAIDs. </w:t>
      </w:r>
      <w:r w:rsidRPr="00110464">
        <w:rPr>
          <w:rFonts w:ascii="Book Antiqua" w:hAnsi="Book Antiqua" w:cstheme="majorHAnsi"/>
          <w:noProof/>
          <w:sz w:val="24"/>
          <w:szCs w:val="24"/>
        </w:rPr>
        <w:t>With regard to</w:t>
      </w:r>
      <w:r w:rsidRPr="00110464">
        <w:rPr>
          <w:rFonts w:ascii="Book Antiqua" w:hAnsi="Book Antiqua" w:cstheme="majorHAnsi"/>
          <w:sz w:val="24"/>
          <w:szCs w:val="24"/>
        </w:rPr>
        <w:t xml:space="preserve"> endoscopic findings, the median circumferential extent of BE (Prague C) in the young and old groups were 2</w:t>
      </w:r>
      <w:r w:rsidR="00127035" w:rsidRPr="00110464">
        <w:rPr>
          <w:rFonts w:ascii="Book Antiqua" w:hAnsi="Book Antiqua" w:cstheme="majorHAnsi"/>
          <w:sz w:val="24"/>
          <w:szCs w:val="24"/>
        </w:rPr>
        <w:t xml:space="preserve"> </w:t>
      </w:r>
      <w:r w:rsidRPr="00110464">
        <w:rPr>
          <w:rFonts w:ascii="Book Antiqua" w:hAnsi="Book Antiqua" w:cs="Arial"/>
          <w:sz w:val="24"/>
          <w:szCs w:val="24"/>
        </w:rPr>
        <w:t>cm and 1cm, respectively (</w:t>
      </w:r>
      <w:r w:rsidRPr="00110464">
        <w:rPr>
          <w:rFonts w:ascii="Book Antiqua" w:hAnsi="Book Antiqua" w:cs="Arial"/>
          <w:i/>
          <w:sz w:val="24"/>
          <w:szCs w:val="24"/>
        </w:rPr>
        <w:t>P</w:t>
      </w:r>
      <w:r w:rsidR="00127035" w:rsidRPr="00110464">
        <w:rPr>
          <w:rFonts w:ascii="Book Antiqua" w:hAnsi="Book Antiqua" w:cs="Arial"/>
          <w:i/>
          <w:sz w:val="24"/>
          <w:szCs w:val="24"/>
        </w:rPr>
        <w:t xml:space="preserve"> </w:t>
      </w:r>
      <w:r w:rsidRPr="00110464">
        <w:rPr>
          <w:rFonts w:ascii="Book Antiqua" w:hAnsi="Book Antiqua" w:cs="Arial"/>
          <w:sz w:val="24"/>
          <w:szCs w:val="24"/>
        </w:rPr>
        <w:t>=</w:t>
      </w:r>
      <w:r w:rsidR="00127035" w:rsidRPr="00110464">
        <w:rPr>
          <w:rFonts w:ascii="Book Antiqua" w:hAnsi="Book Antiqua" w:cs="Arial"/>
          <w:sz w:val="24"/>
          <w:szCs w:val="24"/>
        </w:rPr>
        <w:t xml:space="preserve"> </w:t>
      </w:r>
      <w:r w:rsidRPr="00110464">
        <w:rPr>
          <w:rFonts w:ascii="Book Antiqua" w:hAnsi="Book Antiqua" w:cs="Arial"/>
          <w:sz w:val="24"/>
          <w:szCs w:val="24"/>
        </w:rPr>
        <w:t xml:space="preserve">0.52) and the median maximal </w:t>
      </w:r>
      <w:r w:rsidRPr="00110464">
        <w:rPr>
          <w:rFonts w:ascii="Book Antiqua" w:hAnsi="Book Antiqua" w:cs="Arial"/>
          <w:noProof/>
          <w:sz w:val="24"/>
          <w:szCs w:val="24"/>
        </w:rPr>
        <w:t>extent</w:t>
      </w:r>
      <w:r w:rsidRPr="00110464">
        <w:rPr>
          <w:rFonts w:ascii="Book Antiqua" w:hAnsi="Book Antiqua" w:cs="Arial"/>
          <w:sz w:val="24"/>
          <w:szCs w:val="24"/>
        </w:rPr>
        <w:t xml:space="preserve"> of BE (Prague M) was 4</w:t>
      </w:r>
      <w:r w:rsidR="00127035" w:rsidRPr="00110464">
        <w:rPr>
          <w:rFonts w:ascii="Book Antiqua" w:hAnsi="Book Antiqua" w:cs="Arial"/>
          <w:sz w:val="24"/>
          <w:szCs w:val="24"/>
        </w:rPr>
        <w:t xml:space="preserve"> </w:t>
      </w:r>
      <w:r w:rsidRPr="00110464">
        <w:rPr>
          <w:rFonts w:ascii="Book Antiqua" w:hAnsi="Book Antiqua" w:cs="Arial"/>
          <w:sz w:val="24"/>
          <w:szCs w:val="24"/>
        </w:rPr>
        <w:t>cm and 4cm, respectively (</w:t>
      </w:r>
      <w:r w:rsidRPr="00110464">
        <w:rPr>
          <w:rFonts w:ascii="Book Antiqua" w:hAnsi="Book Antiqua" w:cs="Arial"/>
          <w:i/>
          <w:sz w:val="24"/>
          <w:szCs w:val="24"/>
        </w:rPr>
        <w:t>P</w:t>
      </w:r>
      <w:r w:rsidR="00127035" w:rsidRPr="00110464">
        <w:rPr>
          <w:rFonts w:ascii="Book Antiqua" w:hAnsi="Book Antiqua" w:cs="Arial"/>
          <w:i/>
          <w:sz w:val="24"/>
          <w:szCs w:val="24"/>
        </w:rPr>
        <w:t xml:space="preserve"> </w:t>
      </w:r>
      <w:r w:rsidRPr="00110464">
        <w:rPr>
          <w:rFonts w:ascii="Book Antiqua" w:hAnsi="Book Antiqua" w:cs="Arial"/>
          <w:i/>
          <w:sz w:val="24"/>
          <w:szCs w:val="24"/>
        </w:rPr>
        <w:t>=</w:t>
      </w:r>
      <w:r w:rsidR="00127035" w:rsidRPr="00110464">
        <w:rPr>
          <w:rFonts w:ascii="Book Antiqua" w:hAnsi="Book Antiqua" w:cs="Arial"/>
          <w:i/>
          <w:sz w:val="24"/>
          <w:szCs w:val="24"/>
        </w:rPr>
        <w:t xml:space="preserve"> </w:t>
      </w:r>
      <w:r w:rsidRPr="00110464">
        <w:rPr>
          <w:rFonts w:ascii="Book Antiqua" w:hAnsi="Book Antiqua" w:cs="Arial"/>
          <w:sz w:val="24"/>
          <w:szCs w:val="24"/>
        </w:rPr>
        <w:t>0.43). The prevalence of a hiatus hernia was not significantly different between groups (</w:t>
      </w:r>
      <w:r w:rsidRPr="00110464">
        <w:rPr>
          <w:rFonts w:ascii="Book Antiqua" w:hAnsi="Book Antiqua" w:cs="Arial"/>
          <w:i/>
          <w:sz w:val="24"/>
          <w:szCs w:val="24"/>
        </w:rPr>
        <w:t>P</w:t>
      </w:r>
      <w:r w:rsidR="00127035" w:rsidRPr="00110464">
        <w:rPr>
          <w:rFonts w:ascii="Book Antiqua" w:hAnsi="Book Antiqua" w:cs="Arial"/>
          <w:i/>
          <w:sz w:val="24"/>
          <w:szCs w:val="24"/>
        </w:rPr>
        <w:t xml:space="preserve"> </w:t>
      </w:r>
      <w:r w:rsidRPr="00110464">
        <w:rPr>
          <w:rFonts w:ascii="Book Antiqua" w:hAnsi="Book Antiqua" w:cs="Arial"/>
          <w:sz w:val="24"/>
          <w:szCs w:val="24"/>
        </w:rPr>
        <w:t>=</w:t>
      </w:r>
      <w:r w:rsidR="00127035" w:rsidRPr="00110464">
        <w:rPr>
          <w:rFonts w:ascii="Book Antiqua" w:hAnsi="Book Antiqua" w:cs="Arial"/>
          <w:sz w:val="24"/>
          <w:szCs w:val="24"/>
        </w:rPr>
        <w:t xml:space="preserve"> </w:t>
      </w:r>
      <w:r w:rsidRPr="00110464">
        <w:rPr>
          <w:rFonts w:ascii="Book Antiqua" w:hAnsi="Book Antiqua" w:cs="Arial"/>
          <w:sz w:val="24"/>
          <w:szCs w:val="24"/>
        </w:rPr>
        <w:t>0.12).</w:t>
      </w:r>
    </w:p>
    <w:p w14:paraId="7E3140B9" w14:textId="2166AAE7"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Multivariate modeling (Table 2) showed that young patients were significantly more likely to be obese (BMI &gt;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30, OR</w:t>
      </w:r>
      <w:r w:rsidRPr="00110464">
        <w:rPr>
          <w:rFonts w:ascii="Book Antiqua" w:eastAsiaTheme="minorHAnsi" w:hAnsi="Book Antiqua" w:cstheme="majorHAnsi"/>
          <w:sz w:val="24"/>
          <w:szCs w:val="24"/>
        </w:rPr>
        <w:t xml:space="preserve"> 2.06, </w:t>
      </w:r>
      <w:r w:rsidRPr="00110464">
        <w:rPr>
          <w:rFonts w:ascii="Book Antiqua" w:hAnsi="Book Antiqua" w:cstheme="majorHAnsi"/>
          <w:sz w:val="24"/>
          <w:szCs w:val="24"/>
        </w:rPr>
        <w:t xml:space="preserve">95%CI 1.07-3.98, </w:t>
      </w:r>
      <w:r w:rsidRPr="00110464">
        <w:rPr>
          <w:rFonts w:ascii="Book Antiqua" w:hAnsi="Book Antiqua" w:cstheme="majorHAnsi"/>
          <w:i/>
          <w:sz w:val="24"/>
          <w:szCs w:val="24"/>
        </w:rPr>
        <w:t>P</w:t>
      </w:r>
      <w:r w:rsidR="00127035" w:rsidRPr="00110464">
        <w:rPr>
          <w:rFonts w:ascii="Book Antiqua" w:hAnsi="Book Antiqua" w:cstheme="majorHAnsi"/>
          <w:i/>
          <w:sz w:val="24"/>
          <w:szCs w:val="24"/>
        </w:rPr>
        <w:t xml:space="preserve"> </w:t>
      </w:r>
      <w:r w:rsidRPr="00110464">
        <w:rPr>
          <w:rFonts w:ascii="Book Antiqua" w:eastAsiaTheme="minorHAnsi" w:hAnsi="Book Antiqua" w:cstheme="majorHAnsi"/>
          <w:sz w:val="24"/>
          <w:szCs w:val="24"/>
        </w:rPr>
        <w:t>=</w:t>
      </w:r>
      <w:r w:rsidR="00127035" w:rsidRPr="00110464">
        <w:rPr>
          <w:rFonts w:ascii="Book Antiqua" w:eastAsiaTheme="minorHAnsi" w:hAnsi="Book Antiqua" w:cstheme="majorHAnsi"/>
          <w:sz w:val="24"/>
          <w:szCs w:val="24"/>
        </w:rPr>
        <w:t xml:space="preserve"> </w:t>
      </w:r>
      <w:r w:rsidRPr="00110464">
        <w:rPr>
          <w:rFonts w:ascii="Book Antiqua" w:eastAsiaTheme="minorHAnsi" w:hAnsi="Book Antiqua" w:cstheme="majorHAnsi"/>
          <w:sz w:val="24"/>
          <w:szCs w:val="24"/>
        </w:rPr>
        <w:t>0.03</w:t>
      </w:r>
      <w:r w:rsidRPr="00110464">
        <w:rPr>
          <w:rFonts w:ascii="Book Antiqua" w:hAnsi="Book Antiqua" w:cstheme="majorHAnsi"/>
          <w:sz w:val="24"/>
          <w:szCs w:val="24"/>
        </w:rPr>
        <w:t xml:space="preserve">) and to have ongoing GERD symptoms (OR 2.00, 95%CI 1.04-3.85, </w:t>
      </w:r>
      <w:r w:rsidRPr="00110464">
        <w:rPr>
          <w:rFonts w:ascii="Book Antiqua" w:hAnsi="Book Antiqua" w:cstheme="majorHAnsi"/>
          <w:i/>
          <w:sz w:val="24"/>
          <w:szCs w:val="24"/>
        </w:rPr>
        <w:t>P</w:t>
      </w:r>
      <w:r w:rsidR="00127035" w:rsidRPr="00110464">
        <w:rPr>
          <w:rFonts w:ascii="Book Antiqua" w:hAnsi="Book Antiqua" w:cstheme="majorHAnsi"/>
          <w:i/>
          <w:sz w:val="24"/>
          <w:szCs w:val="24"/>
        </w:rPr>
        <w:t xml:space="preserve"> </w:t>
      </w:r>
      <w:r w:rsidRPr="00110464">
        <w:rPr>
          <w:rFonts w:ascii="Book Antiqua" w:hAnsi="Book Antiqua" w:cstheme="majorHAnsi"/>
          <w:sz w:val="24"/>
          <w:szCs w:val="24"/>
        </w:rPr>
        <w: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0.04), whereas the young group was less likely to have a smoking history (OR 0.39, 95%CI 0.20-0.75, </w:t>
      </w:r>
      <w:r w:rsidRPr="00110464">
        <w:rPr>
          <w:rFonts w:ascii="Book Antiqua" w:hAnsi="Book Antiqua" w:cstheme="majorHAnsi"/>
          <w:i/>
          <w:sz w:val="24"/>
          <w:szCs w:val="24"/>
        </w:rPr>
        <w:t>P</w:t>
      </w:r>
      <w:r w:rsidR="00127035" w:rsidRPr="00110464">
        <w:rPr>
          <w:rFonts w:ascii="Book Antiqua" w:hAnsi="Book Antiqua" w:cstheme="majorHAnsi"/>
          <w:i/>
          <w:sz w:val="24"/>
          <w:szCs w:val="24"/>
        </w:rPr>
        <w:t xml:space="preserve"> </w:t>
      </w:r>
      <w:r w:rsidRPr="00110464">
        <w:rPr>
          <w:rFonts w:ascii="Book Antiqua" w:hAnsi="Book Antiqua" w:cstheme="majorHAnsi"/>
          <w:sz w:val="24"/>
          <w:szCs w:val="24"/>
        </w:rPr>
        <w:t>&lt;</w:t>
      </w:r>
      <w:r w:rsidR="00127035" w:rsidRPr="00110464">
        <w:rPr>
          <w:rFonts w:ascii="Book Antiqua" w:hAnsi="Book Antiqua" w:cstheme="majorHAnsi"/>
          <w:sz w:val="24"/>
          <w:szCs w:val="24"/>
        </w:rPr>
        <w:t xml:space="preserve"> </w:t>
      </w:r>
      <w:r w:rsidRPr="00110464">
        <w:rPr>
          <w:rFonts w:ascii="Book Antiqua" w:hAnsi="Book Antiqua" w:cstheme="majorHAnsi"/>
          <w:sz w:val="24"/>
          <w:szCs w:val="24"/>
        </w:rPr>
        <w:t>0.01) compared to the old group.</w:t>
      </w:r>
    </w:p>
    <w:p w14:paraId="428CFFDA" w14:textId="77777777" w:rsidR="00D4398F" w:rsidRPr="00110464" w:rsidRDefault="00D4398F" w:rsidP="006F6B36">
      <w:pPr>
        <w:snapToGrid w:val="0"/>
        <w:spacing w:line="360" w:lineRule="auto"/>
        <w:rPr>
          <w:rFonts w:ascii="Book Antiqua" w:hAnsi="Book Antiqua" w:cstheme="majorHAnsi"/>
          <w:sz w:val="24"/>
          <w:szCs w:val="24"/>
        </w:rPr>
      </w:pPr>
    </w:p>
    <w:p w14:paraId="364037C5" w14:textId="77777777" w:rsidR="00D4398F" w:rsidRPr="00110464" w:rsidRDefault="00D4398F"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Pathological features</w:t>
      </w:r>
    </w:p>
    <w:p w14:paraId="58A857C8" w14:textId="602448C2"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 xml:space="preserve">A comparison of the pathological features between young and old patients is summarized </w:t>
      </w:r>
      <w:r w:rsidRPr="00110464">
        <w:rPr>
          <w:rFonts w:ascii="Book Antiqua" w:hAnsi="Book Antiqua" w:cs="Arial"/>
          <w:sz w:val="24"/>
          <w:szCs w:val="24"/>
        </w:rPr>
        <w:lastRenderedPageBreak/>
        <w:t>in Table 3. Thirty-one (69%) and 317 (78%) patients had EAC among young and old groups, respectively (</w:t>
      </w:r>
      <w:r w:rsidRPr="00110464">
        <w:rPr>
          <w:rFonts w:ascii="Book Antiqua" w:hAnsi="Book Antiqua" w:cs="Arial"/>
          <w:i/>
          <w:sz w:val="24"/>
          <w:szCs w:val="24"/>
        </w:rPr>
        <w:t>P</w:t>
      </w:r>
      <w:r w:rsidR="00A04A56" w:rsidRPr="00110464">
        <w:rPr>
          <w:rFonts w:ascii="Book Antiqua" w:hAnsi="Book Antiqua" w:cs="Arial"/>
          <w:i/>
          <w:sz w:val="24"/>
          <w:szCs w:val="24"/>
        </w:rPr>
        <w:t xml:space="preserve"> </w:t>
      </w:r>
      <w:r w:rsidRPr="00110464">
        <w:rPr>
          <w:rFonts w:ascii="Book Antiqua" w:hAnsi="Book Antiqua" w:cs="Arial"/>
          <w:sz w:val="24"/>
          <w:szCs w:val="24"/>
        </w:rPr>
        <w:t>=</w:t>
      </w:r>
      <w:r w:rsidR="00A04A56" w:rsidRPr="00110464">
        <w:rPr>
          <w:rFonts w:ascii="Book Antiqua" w:hAnsi="Book Antiqua" w:cs="Arial"/>
          <w:sz w:val="24"/>
          <w:szCs w:val="24"/>
        </w:rPr>
        <w:t xml:space="preserve"> </w:t>
      </w:r>
      <w:r w:rsidRPr="00110464">
        <w:rPr>
          <w:rFonts w:ascii="Book Antiqua" w:hAnsi="Book Antiqua" w:cs="Arial"/>
          <w:sz w:val="24"/>
          <w:szCs w:val="24"/>
        </w:rPr>
        <w:t xml:space="preserve">0.15). There were no significant differences between the groups </w:t>
      </w:r>
      <w:r w:rsidRPr="00110464">
        <w:rPr>
          <w:rFonts w:ascii="Book Antiqua" w:hAnsi="Book Antiqua" w:cs="Arial"/>
          <w:noProof/>
          <w:sz w:val="24"/>
          <w:szCs w:val="24"/>
        </w:rPr>
        <w:t>in terms of</w:t>
      </w:r>
      <w:r w:rsidRPr="00110464">
        <w:rPr>
          <w:rFonts w:ascii="Book Antiqua" w:hAnsi="Book Antiqua" w:cs="Arial"/>
          <w:sz w:val="24"/>
          <w:szCs w:val="24"/>
        </w:rPr>
        <w:t xml:space="preserve"> depth of EAC invasion, tumor differentiation, </w:t>
      </w:r>
      <w:r w:rsidR="00127035" w:rsidRPr="00110464">
        <w:rPr>
          <w:rFonts w:ascii="Book Antiqua" w:hAnsi="Book Antiqua" w:cs="Arial"/>
          <w:noProof/>
          <w:sz w:val="24"/>
          <w:szCs w:val="24"/>
        </w:rPr>
        <w:t>LVI</w:t>
      </w:r>
      <w:r w:rsidRPr="00110464">
        <w:rPr>
          <w:rFonts w:ascii="Book Antiqua" w:hAnsi="Book Antiqua" w:cs="Arial"/>
          <w:sz w:val="24"/>
          <w:szCs w:val="24"/>
        </w:rPr>
        <w:t xml:space="preserve"> and rate of positive vertical (deep) margin.</w:t>
      </w:r>
    </w:p>
    <w:p w14:paraId="4D3C7DFB" w14:textId="77777777" w:rsidR="00D4398F" w:rsidRPr="00110464" w:rsidRDefault="00D4398F" w:rsidP="006F6B36">
      <w:pPr>
        <w:snapToGrid w:val="0"/>
        <w:spacing w:line="360" w:lineRule="auto"/>
        <w:rPr>
          <w:rFonts w:ascii="Book Antiqua" w:hAnsi="Book Antiqua" w:cs="Arial"/>
          <w:sz w:val="24"/>
          <w:szCs w:val="24"/>
        </w:rPr>
      </w:pPr>
    </w:p>
    <w:p w14:paraId="24B9D65C" w14:textId="77777777" w:rsidR="00D4398F" w:rsidRPr="00110464" w:rsidRDefault="00D4398F" w:rsidP="006F6B36">
      <w:pPr>
        <w:snapToGrid w:val="0"/>
        <w:spacing w:line="360" w:lineRule="auto"/>
        <w:rPr>
          <w:rFonts w:ascii="Book Antiqua" w:hAnsi="Book Antiqua" w:cs="Arial"/>
          <w:b/>
          <w:i/>
          <w:sz w:val="24"/>
          <w:szCs w:val="24"/>
        </w:rPr>
      </w:pPr>
      <w:r w:rsidRPr="00110464">
        <w:rPr>
          <w:rFonts w:ascii="Book Antiqua" w:hAnsi="Book Antiqua" w:cs="Arial"/>
          <w:b/>
          <w:i/>
          <w:sz w:val="24"/>
          <w:szCs w:val="24"/>
        </w:rPr>
        <w:t>E</w:t>
      </w:r>
      <w:r w:rsidRPr="00110464">
        <w:rPr>
          <w:rFonts w:ascii="Book Antiqua" w:hAnsi="Book Antiqua" w:cstheme="majorHAnsi"/>
          <w:b/>
          <w:i/>
          <w:sz w:val="24"/>
          <w:szCs w:val="24"/>
        </w:rPr>
        <w:t>ndoscopic treatment-related outcomes and follow-up</w:t>
      </w:r>
    </w:p>
    <w:p w14:paraId="0861488A" w14:textId="73446DDC" w:rsidR="00D4398F" w:rsidRPr="00110464" w:rsidRDefault="00D4398F" w:rsidP="006F6B36">
      <w:pPr>
        <w:snapToGrid w:val="0"/>
        <w:spacing w:line="360" w:lineRule="auto"/>
        <w:rPr>
          <w:rFonts w:ascii="Book Antiqua" w:hAnsi="Book Antiqua" w:cstheme="majorHAnsi"/>
          <w:sz w:val="24"/>
          <w:szCs w:val="24"/>
        </w:rPr>
      </w:pPr>
      <w:bookmarkStart w:id="28" w:name="_Hlk535657518"/>
      <w:r w:rsidRPr="00110464">
        <w:rPr>
          <w:rFonts w:ascii="Book Antiqua" w:hAnsi="Book Antiqua" w:cs="Arial"/>
          <w:sz w:val="24"/>
          <w:szCs w:val="24"/>
        </w:rPr>
        <w:t>C</w:t>
      </w:r>
      <w:r w:rsidRPr="00110464">
        <w:rPr>
          <w:rFonts w:ascii="Book Antiqua" w:hAnsi="Book Antiqua" w:cstheme="majorHAnsi"/>
          <w:sz w:val="24"/>
          <w:szCs w:val="24"/>
        </w:rPr>
        <w:t>linical outcomes following endoscopic treatment</w:t>
      </w:r>
      <w:bookmarkEnd w:id="28"/>
      <w:r w:rsidRPr="00110464">
        <w:rPr>
          <w:rFonts w:ascii="Book Antiqua" w:hAnsi="Book Antiqua" w:cstheme="majorHAnsi"/>
          <w:sz w:val="24"/>
          <w:szCs w:val="24"/>
        </w:rPr>
        <w:t xml:space="preserve"> were available for 287 patients who met inclusion criteria (Figure</w:t>
      </w:r>
      <w:r w:rsidR="00350C59"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1, young, </w:t>
      </w:r>
      <w:r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30; old, </w:t>
      </w:r>
      <w:r w:rsidR="00A04A56"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257). Mean follow-up duration was 44.3 ± SD: 30.2 mo. All patients underwent EMR </w:t>
      </w:r>
      <w:r w:rsidRPr="00110464">
        <w:rPr>
          <w:rFonts w:ascii="Book Antiqua" w:hAnsi="Book Antiqua" w:cstheme="majorHAnsi"/>
          <w:noProof/>
          <w:sz w:val="24"/>
          <w:szCs w:val="24"/>
        </w:rPr>
        <w:t>and</w:t>
      </w:r>
      <w:r w:rsidRPr="00110464">
        <w:rPr>
          <w:rFonts w:ascii="Book Antiqua" w:hAnsi="Book Antiqua" w:cstheme="majorHAnsi"/>
          <w:sz w:val="24"/>
          <w:szCs w:val="24"/>
        </w:rPr>
        <w:t xml:space="preserve"> 176 patients had additional </w:t>
      </w:r>
      <w:r w:rsidRPr="00110464">
        <w:rPr>
          <w:rFonts w:ascii="Book Antiqua" w:hAnsi="Book Antiqua" w:cstheme="majorHAnsi"/>
          <w:noProof/>
          <w:sz w:val="24"/>
          <w:szCs w:val="24"/>
        </w:rPr>
        <w:t>one</w:t>
      </w:r>
      <w:r w:rsidRPr="00110464">
        <w:rPr>
          <w:rFonts w:ascii="Book Antiqua" w:hAnsi="Book Antiqua" w:cstheme="majorHAnsi"/>
          <w:sz w:val="24"/>
          <w:szCs w:val="24"/>
        </w:rPr>
        <w:t xml:space="preserve"> or more ablative therapies following the first EMR; RFA (</w:t>
      </w:r>
      <w:r w:rsidR="00A04A56"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114), </w:t>
      </w:r>
      <w:proofErr w:type="spellStart"/>
      <w:r w:rsidRPr="00110464">
        <w:rPr>
          <w:rFonts w:ascii="Book Antiqua" w:hAnsi="Book Antiqua" w:cstheme="majorHAnsi"/>
          <w:sz w:val="24"/>
          <w:szCs w:val="24"/>
        </w:rPr>
        <w:t>BiCAP</w:t>
      </w:r>
      <w:proofErr w:type="spellEnd"/>
      <w:r w:rsidRPr="00110464">
        <w:rPr>
          <w:rFonts w:ascii="Book Antiqua" w:hAnsi="Book Antiqua" w:cstheme="majorHAnsi"/>
          <w:sz w:val="24"/>
          <w:szCs w:val="24"/>
        </w:rPr>
        <w:t xml:space="preserve"> (</w:t>
      </w:r>
      <w:r w:rsidR="00A04A56"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17), PDT (</w:t>
      </w:r>
      <w:r w:rsidR="00A04A56"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14), cryotherapy (</w:t>
      </w:r>
      <w:r w:rsidR="00A04A56"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3) and hot avulsion (</w:t>
      </w:r>
      <w:r w:rsidR="00A04A56" w:rsidRPr="00110464">
        <w:rPr>
          <w:rFonts w:ascii="Book Antiqua" w:hAnsi="Book Antiqua" w:cstheme="majorHAnsi"/>
          <w:i/>
          <w:sz w:val="24"/>
          <w:szCs w:val="24"/>
        </w:rPr>
        <w:t>n</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107). The overall rates of CE-N and CE-IM were 86% and 63%, respectively. There were no significant differences between young and old groups </w:t>
      </w:r>
      <w:r w:rsidRPr="00110464">
        <w:rPr>
          <w:rFonts w:ascii="Book Antiqua" w:hAnsi="Book Antiqua" w:cstheme="majorHAnsi"/>
          <w:noProof/>
          <w:sz w:val="24"/>
          <w:szCs w:val="24"/>
        </w:rPr>
        <w:t>in terms of</w:t>
      </w:r>
      <w:r w:rsidRPr="00110464">
        <w:rPr>
          <w:rFonts w:ascii="Book Antiqua" w:hAnsi="Book Antiqua" w:cstheme="majorHAnsi"/>
          <w:sz w:val="24"/>
          <w:szCs w:val="24"/>
        </w:rPr>
        <w:t xml:space="preserve"> CE-N (93% </w:t>
      </w:r>
      <w:r w:rsidRPr="00110464">
        <w:rPr>
          <w:rFonts w:ascii="Book Antiqua" w:hAnsi="Book Antiqua" w:cstheme="majorHAnsi"/>
          <w:i/>
          <w:sz w:val="24"/>
          <w:szCs w:val="24"/>
        </w:rPr>
        <w:t>vs</w:t>
      </w:r>
      <w:r w:rsidRPr="00110464">
        <w:rPr>
          <w:rFonts w:ascii="Book Antiqua" w:hAnsi="Book Antiqua" w:cstheme="majorHAnsi"/>
          <w:sz w:val="24"/>
          <w:szCs w:val="24"/>
        </w:rPr>
        <w:t xml:space="preserve"> 86%, </w:t>
      </w:r>
      <w:r w:rsidRPr="00110464">
        <w:rPr>
          <w:rFonts w:ascii="Book Antiqua" w:hAnsi="Book Antiqua" w:cstheme="majorHAnsi"/>
          <w:i/>
          <w:sz w:val="24"/>
          <w:szCs w:val="24"/>
        </w:rPr>
        <w:t>P</w:t>
      </w:r>
      <w:r w:rsidR="00A04A56" w:rsidRPr="00110464">
        <w:rPr>
          <w:rFonts w:ascii="Book Antiqua" w:hAnsi="Book Antiqua" w:cstheme="majorHAnsi"/>
          <w:i/>
          <w:sz w:val="24"/>
          <w:szCs w:val="24"/>
        </w:rPr>
        <w:t xml:space="preserve"> </w:t>
      </w:r>
      <w:r w:rsidRPr="00110464">
        <w:rPr>
          <w:rFonts w:ascii="Book Antiqua" w:hAnsi="Book Antiqua" w:cstheme="majorHAnsi"/>
          <w:sz w:val="24"/>
          <w:szCs w:val="24"/>
        </w:rPr>
        <w:t>=</w:t>
      </w:r>
      <w:r w:rsidR="00A04A56"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0.38) and recurrence rates of neoplasia after CE-N (14.3% </w:t>
      </w:r>
      <w:r w:rsidRPr="00110464">
        <w:rPr>
          <w:rFonts w:ascii="Book Antiqua" w:hAnsi="Book Antiqua" w:cstheme="majorHAnsi"/>
          <w:i/>
          <w:sz w:val="24"/>
          <w:szCs w:val="24"/>
        </w:rPr>
        <w:t>vs</w:t>
      </w:r>
      <w:r w:rsidRPr="00110464">
        <w:rPr>
          <w:rFonts w:ascii="Book Antiqua" w:hAnsi="Book Antiqua" w:cstheme="majorHAnsi"/>
          <w:sz w:val="24"/>
          <w:szCs w:val="24"/>
        </w:rPr>
        <w:t xml:space="preserve"> 18%, </w:t>
      </w:r>
      <w:r w:rsidRPr="00110464">
        <w:rPr>
          <w:rFonts w:ascii="Book Antiqua" w:hAnsi="Book Antiqua" w:cstheme="majorHAnsi"/>
          <w:i/>
          <w:sz w:val="24"/>
          <w:szCs w:val="24"/>
        </w:rPr>
        <w:t>P</w:t>
      </w:r>
      <w:r w:rsidR="00AB69AE" w:rsidRPr="00110464">
        <w:rPr>
          <w:rFonts w:ascii="Book Antiqua" w:hAnsi="Book Antiqua" w:cstheme="majorHAnsi"/>
          <w:i/>
          <w:sz w:val="24"/>
          <w:szCs w:val="24"/>
        </w:rPr>
        <w:t xml:space="preserve"> </w:t>
      </w:r>
      <w:r w:rsidRPr="00110464">
        <w:rPr>
          <w:rFonts w:ascii="Book Antiqua" w:hAnsi="Book Antiqua" w:cstheme="majorHAnsi"/>
          <w:sz w:val="24"/>
          <w:szCs w:val="24"/>
        </w:rPr>
        <w:t>=</w:t>
      </w:r>
      <w:r w:rsidR="00AB69AE" w:rsidRPr="00110464">
        <w:rPr>
          <w:rFonts w:ascii="Book Antiqua" w:hAnsi="Book Antiqua" w:cstheme="majorHAnsi"/>
          <w:sz w:val="24"/>
          <w:szCs w:val="24"/>
        </w:rPr>
        <w:t xml:space="preserve"> </w:t>
      </w:r>
      <w:r w:rsidRPr="00110464">
        <w:rPr>
          <w:rFonts w:ascii="Book Antiqua" w:hAnsi="Book Antiqua" w:cstheme="majorHAnsi"/>
          <w:sz w:val="24"/>
          <w:szCs w:val="24"/>
        </w:rPr>
        <w:t>0.81)</w:t>
      </w:r>
      <w:r w:rsidR="00AB69AE"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(Table 4). Similarly, no differences were found regarding CE-IM (77% </w:t>
      </w:r>
      <w:r w:rsidRPr="00110464">
        <w:rPr>
          <w:rFonts w:ascii="Book Antiqua" w:hAnsi="Book Antiqua" w:cstheme="majorHAnsi"/>
          <w:i/>
          <w:sz w:val="24"/>
          <w:szCs w:val="24"/>
        </w:rPr>
        <w:t>vs</w:t>
      </w:r>
      <w:r w:rsidRPr="00110464">
        <w:rPr>
          <w:rFonts w:ascii="Book Antiqua" w:hAnsi="Book Antiqua" w:cstheme="majorHAnsi"/>
          <w:sz w:val="24"/>
          <w:szCs w:val="24"/>
        </w:rPr>
        <w:t xml:space="preserve"> 62%, </w:t>
      </w:r>
      <w:r w:rsidRPr="00110464">
        <w:rPr>
          <w:rFonts w:ascii="Book Antiqua" w:hAnsi="Book Antiqua" w:cstheme="majorHAnsi"/>
          <w:i/>
          <w:sz w:val="24"/>
          <w:szCs w:val="24"/>
        </w:rPr>
        <w:t>P</w:t>
      </w:r>
      <w:r w:rsidR="00AB69AE" w:rsidRPr="00110464">
        <w:rPr>
          <w:rFonts w:ascii="Book Antiqua" w:hAnsi="Book Antiqua" w:cstheme="majorHAnsi"/>
          <w:i/>
          <w:sz w:val="24"/>
          <w:szCs w:val="24"/>
        </w:rPr>
        <w:t xml:space="preserve"> </w:t>
      </w:r>
      <w:r w:rsidRPr="00110464">
        <w:rPr>
          <w:rFonts w:ascii="Book Antiqua" w:hAnsi="Book Antiqua" w:cstheme="majorHAnsi"/>
          <w:sz w:val="24"/>
          <w:szCs w:val="24"/>
        </w:rPr>
        <w:t>=</w:t>
      </w:r>
      <w:r w:rsidR="00AB69AE"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0.16) and recurrence rates of intestinal metaplasia after CE-IM (30% </w:t>
      </w:r>
      <w:r w:rsidRPr="00110464">
        <w:rPr>
          <w:rFonts w:ascii="Book Antiqua" w:hAnsi="Book Antiqua" w:cstheme="majorHAnsi"/>
          <w:i/>
          <w:sz w:val="24"/>
          <w:szCs w:val="24"/>
        </w:rPr>
        <w:t>vs</w:t>
      </w:r>
      <w:r w:rsidRPr="00110464">
        <w:rPr>
          <w:rFonts w:ascii="Book Antiqua" w:hAnsi="Book Antiqua" w:cstheme="majorHAnsi"/>
          <w:sz w:val="24"/>
          <w:szCs w:val="24"/>
        </w:rPr>
        <w:t xml:space="preserve"> 26%, </w:t>
      </w:r>
      <w:r w:rsidRPr="00110464">
        <w:rPr>
          <w:rFonts w:ascii="Book Antiqua" w:hAnsi="Book Antiqua" w:cstheme="majorHAnsi"/>
          <w:i/>
          <w:sz w:val="24"/>
          <w:szCs w:val="24"/>
        </w:rPr>
        <w:t>P</w:t>
      </w:r>
      <w:r w:rsidR="00A04A56" w:rsidRPr="00110464">
        <w:rPr>
          <w:rFonts w:ascii="Book Antiqua" w:hAnsi="Book Antiqua" w:cstheme="majorHAnsi"/>
          <w:i/>
          <w:sz w:val="24"/>
          <w:szCs w:val="24"/>
        </w:rPr>
        <w:t xml:space="preserve"> </w:t>
      </w:r>
      <w:r w:rsidRPr="00110464">
        <w:rPr>
          <w:rFonts w:ascii="Book Antiqua" w:hAnsi="Book Antiqua" w:cstheme="majorHAnsi"/>
          <w:sz w:val="24"/>
          <w:szCs w:val="24"/>
        </w:rPr>
        <w:t xml:space="preserve">= 0.83). </w:t>
      </w:r>
    </w:p>
    <w:p w14:paraId="172883B1" w14:textId="77777777" w:rsidR="00D4398F" w:rsidRPr="00110464" w:rsidRDefault="00D4398F" w:rsidP="006F6B36">
      <w:pPr>
        <w:snapToGrid w:val="0"/>
        <w:spacing w:line="360" w:lineRule="auto"/>
        <w:rPr>
          <w:rFonts w:ascii="Book Antiqua" w:hAnsi="Book Antiqua" w:cstheme="majorHAnsi"/>
          <w:sz w:val="24"/>
          <w:szCs w:val="24"/>
        </w:rPr>
      </w:pPr>
    </w:p>
    <w:p w14:paraId="0850E190" w14:textId="77777777" w:rsidR="00D4398F" w:rsidRPr="00110464" w:rsidRDefault="00D4398F" w:rsidP="006F6B36">
      <w:pPr>
        <w:snapToGrid w:val="0"/>
        <w:spacing w:line="360" w:lineRule="auto"/>
        <w:rPr>
          <w:rFonts w:ascii="Book Antiqua" w:hAnsi="Book Antiqua" w:cstheme="majorHAnsi"/>
          <w:b/>
          <w:sz w:val="24"/>
          <w:szCs w:val="24"/>
        </w:rPr>
      </w:pPr>
      <w:r w:rsidRPr="00110464">
        <w:rPr>
          <w:rFonts w:ascii="Book Antiqua" w:hAnsi="Book Antiqua" w:cstheme="majorHAnsi"/>
          <w:b/>
          <w:sz w:val="24"/>
          <w:szCs w:val="24"/>
        </w:rPr>
        <w:t>DISCUSSION</w:t>
      </w:r>
    </w:p>
    <w:p w14:paraId="21EA16FF" w14:textId="17C52E9D" w:rsidR="00D4398F" w:rsidRPr="00110464" w:rsidRDefault="00D4398F" w:rsidP="006F6B36">
      <w:pPr>
        <w:snapToGrid w:val="0"/>
        <w:spacing w:line="360" w:lineRule="auto"/>
        <w:rPr>
          <w:rFonts w:ascii="Book Antiqua" w:hAnsi="Book Antiqua" w:cstheme="majorHAnsi"/>
          <w:sz w:val="24"/>
          <w:szCs w:val="24"/>
        </w:rPr>
      </w:pPr>
      <w:r w:rsidRPr="00110464">
        <w:rPr>
          <w:rFonts w:ascii="Book Antiqua" w:hAnsi="Book Antiqua" w:cstheme="majorHAnsi"/>
          <w:noProof/>
          <w:sz w:val="24"/>
          <w:szCs w:val="24"/>
        </w:rPr>
        <w:t>The clinical and pathologic characteristics of early-stage EAC in young patients has been poorly documented because of its low incidence. Our current study, based on a large prospective cohort of patients diagnosed with early-stage BE neoplasia, suggests that younger patients (≤</w:t>
      </w:r>
      <w:r w:rsidR="007A19EF" w:rsidRPr="00110464">
        <w:rPr>
          <w:rFonts w:ascii="Book Antiqua" w:hAnsi="Book Antiqua" w:cstheme="majorHAnsi"/>
          <w:noProof/>
          <w:sz w:val="24"/>
          <w:szCs w:val="24"/>
        </w:rPr>
        <w:t xml:space="preserve"> </w:t>
      </w:r>
      <w:r w:rsidRPr="00110464">
        <w:rPr>
          <w:rFonts w:ascii="Book Antiqua" w:hAnsi="Book Antiqua" w:cstheme="majorHAnsi"/>
          <w:noProof/>
          <w:sz w:val="24"/>
          <w:szCs w:val="24"/>
        </w:rPr>
        <w:t>50 years) with early-stage EAC or HGD were more likely to have ongoing GERD symptoms and to be obese compared to their older counterparts.</w:t>
      </w:r>
      <w:r w:rsidRPr="00110464">
        <w:rPr>
          <w:rFonts w:ascii="Book Antiqua" w:hAnsi="Book Antiqua" w:cstheme="majorHAnsi"/>
          <w:sz w:val="24"/>
          <w:szCs w:val="24"/>
        </w:rPr>
        <w:t xml:space="preserve"> Furthermore, </w:t>
      </w:r>
      <w:r w:rsidRPr="00110464">
        <w:rPr>
          <w:rFonts w:ascii="Book Antiqua" w:hAnsi="Book Antiqua" w:cstheme="majorHAnsi"/>
          <w:noProof/>
          <w:sz w:val="24"/>
          <w:szCs w:val="24"/>
        </w:rPr>
        <w:t>we</w:t>
      </w:r>
      <w:r w:rsidRPr="00110464">
        <w:rPr>
          <w:rFonts w:ascii="Book Antiqua" w:hAnsi="Book Antiqua" w:cstheme="majorHAnsi"/>
          <w:sz w:val="24"/>
          <w:szCs w:val="24"/>
        </w:rPr>
        <w:t xml:space="preserve"> found that there were no significant differences </w:t>
      </w:r>
      <w:r w:rsidRPr="00110464">
        <w:rPr>
          <w:rFonts w:ascii="Book Antiqua" w:hAnsi="Book Antiqua" w:cstheme="majorHAnsi"/>
          <w:noProof/>
          <w:sz w:val="24"/>
          <w:szCs w:val="24"/>
        </w:rPr>
        <w:t>in terms of</w:t>
      </w:r>
      <w:r w:rsidRPr="00110464">
        <w:rPr>
          <w:rFonts w:ascii="Book Antiqua" w:hAnsi="Book Antiqua" w:cstheme="majorHAnsi"/>
          <w:sz w:val="24"/>
          <w:szCs w:val="24"/>
        </w:rPr>
        <w:t xml:space="preserve"> endoscopic treatment-related outcomes between groups. </w:t>
      </w:r>
    </w:p>
    <w:p w14:paraId="2C810BA1" w14:textId="7D3E17C6"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The incidence of EAC in young patients </w:t>
      </w:r>
      <w:r w:rsidRPr="00110464">
        <w:rPr>
          <w:rFonts w:ascii="Book Antiqua" w:hAnsi="Book Antiqua" w:cstheme="majorHAnsi"/>
          <w:noProof/>
          <w:sz w:val="24"/>
          <w:szCs w:val="24"/>
        </w:rPr>
        <w:t>has been</w:t>
      </w:r>
      <w:r w:rsidRPr="00110464">
        <w:rPr>
          <w:rFonts w:ascii="Book Antiqua" w:hAnsi="Book Antiqua" w:cstheme="majorHAnsi"/>
          <w:sz w:val="24"/>
          <w:szCs w:val="24"/>
        </w:rPr>
        <w:t xml:space="preserve"> generally considered to be very low. Consequently, most guidelines recommend screening endoscopy only for patients &gt; 50 years who have multiple risk factors. Murphy </w:t>
      </w:r>
      <w:r w:rsidRPr="00110464">
        <w:rPr>
          <w:rFonts w:ascii="Book Antiqua" w:hAnsi="Book Antiqua" w:cstheme="majorHAnsi"/>
          <w:i/>
          <w:sz w:val="24"/>
          <w:szCs w:val="24"/>
        </w:rPr>
        <w:t xml:space="preserve">et </w:t>
      </w:r>
      <w:proofErr w:type="gramStart"/>
      <w:r w:rsidRPr="00110464">
        <w:rPr>
          <w:rFonts w:ascii="Book Antiqua" w:hAnsi="Book Antiqua" w:cstheme="majorHAnsi"/>
          <w:i/>
          <w:sz w:val="24"/>
          <w:szCs w:val="24"/>
        </w:rPr>
        <w:t>al</w:t>
      </w:r>
      <w:r w:rsidR="007A19EF" w:rsidRPr="00110464">
        <w:rPr>
          <w:rFonts w:ascii="Book Antiqua" w:hAnsi="Book Antiqua" w:cstheme="majorHAnsi"/>
          <w:noProof/>
          <w:sz w:val="24"/>
          <w:szCs w:val="24"/>
          <w:vertAlign w:val="superscript"/>
        </w:rPr>
        <w:t>[</w:t>
      </w:r>
      <w:proofErr w:type="gramEnd"/>
      <w:r w:rsidR="007A19EF" w:rsidRPr="00110464">
        <w:rPr>
          <w:rFonts w:ascii="Book Antiqua" w:hAnsi="Book Antiqua" w:cstheme="majorHAnsi"/>
          <w:noProof/>
          <w:sz w:val="24"/>
          <w:szCs w:val="24"/>
          <w:vertAlign w:val="superscript"/>
        </w:rPr>
        <w:t>9]</w:t>
      </w:r>
      <w:r w:rsidRPr="00110464">
        <w:rPr>
          <w:rFonts w:ascii="Book Antiqua" w:hAnsi="Book Antiqua" w:cstheme="majorHAnsi"/>
          <w:sz w:val="24"/>
          <w:szCs w:val="24"/>
        </w:rPr>
        <w:t xml:space="preserve"> demonstrated that the incidence of EAC amongst younger patients has been increasing just as the total number of EAC patients has </w:t>
      </w:r>
      <w:r w:rsidRPr="00110464">
        <w:rPr>
          <w:rFonts w:ascii="Book Antiqua" w:hAnsi="Book Antiqua" w:cstheme="majorHAnsi"/>
          <w:noProof/>
          <w:sz w:val="24"/>
          <w:szCs w:val="24"/>
        </w:rPr>
        <w:t>increased</w:t>
      </w:r>
      <w:r w:rsidRPr="00110464">
        <w:rPr>
          <w:rFonts w:ascii="Book Antiqua" w:hAnsi="Book Antiqua" w:cstheme="majorHAnsi"/>
          <w:sz w:val="24"/>
          <w:szCs w:val="24"/>
        </w:rPr>
        <w:t xml:space="preserve">. Thrift </w:t>
      </w:r>
      <w:r w:rsidRPr="00110464">
        <w:rPr>
          <w:rFonts w:ascii="Book Antiqua" w:hAnsi="Book Antiqua" w:cstheme="majorHAnsi"/>
          <w:i/>
          <w:sz w:val="24"/>
          <w:szCs w:val="24"/>
        </w:rPr>
        <w:t xml:space="preserve">et </w:t>
      </w:r>
      <w:proofErr w:type="gramStart"/>
      <w:r w:rsidRPr="00110464">
        <w:rPr>
          <w:rFonts w:ascii="Book Antiqua" w:hAnsi="Book Antiqua" w:cstheme="majorHAnsi"/>
          <w:i/>
          <w:sz w:val="24"/>
          <w:szCs w:val="24"/>
        </w:rPr>
        <w:t>al</w:t>
      </w:r>
      <w:r w:rsidR="007A19EF" w:rsidRPr="00110464">
        <w:rPr>
          <w:rFonts w:ascii="Book Antiqua" w:hAnsi="Book Antiqua" w:cstheme="majorHAnsi"/>
          <w:noProof/>
          <w:sz w:val="24"/>
          <w:szCs w:val="24"/>
          <w:vertAlign w:val="superscript"/>
        </w:rPr>
        <w:t>[</w:t>
      </w:r>
      <w:proofErr w:type="gramEnd"/>
      <w:r w:rsidR="007A19EF" w:rsidRPr="00110464">
        <w:rPr>
          <w:rFonts w:ascii="Book Antiqua" w:hAnsi="Book Antiqua" w:cstheme="majorHAnsi"/>
          <w:noProof/>
          <w:sz w:val="24"/>
          <w:szCs w:val="24"/>
          <w:vertAlign w:val="superscript"/>
        </w:rPr>
        <w:t>20]</w:t>
      </w:r>
      <w:r w:rsidRPr="00110464">
        <w:rPr>
          <w:rFonts w:ascii="Book Antiqua" w:hAnsi="Book Antiqua" w:cstheme="majorHAnsi"/>
          <w:sz w:val="24"/>
          <w:szCs w:val="24"/>
        </w:rPr>
        <w:t xml:space="preserve"> speculated that declining infection rates of </w:t>
      </w:r>
      <w:r w:rsidRPr="00110464">
        <w:rPr>
          <w:rFonts w:ascii="Book Antiqua" w:hAnsi="Book Antiqua" w:cstheme="majorHAnsi"/>
          <w:i/>
          <w:sz w:val="24"/>
          <w:szCs w:val="24"/>
        </w:rPr>
        <w:t xml:space="preserve">Helicobacter pylori </w:t>
      </w:r>
      <w:r w:rsidRPr="00110464">
        <w:rPr>
          <w:rFonts w:ascii="Book Antiqua" w:hAnsi="Book Antiqua" w:cstheme="majorHAnsi"/>
          <w:noProof/>
          <w:sz w:val="24"/>
          <w:szCs w:val="24"/>
        </w:rPr>
        <w:t>may</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lead to</w:t>
      </w:r>
      <w:r w:rsidRPr="00110464">
        <w:rPr>
          <w:rFonts w:ascii="Book Antiqua" w:hAnsi="Book Antiqua" w:cstheme="majorHAnsi"/>
          <w:sz w:val="24"/>
          <w:szCs w:val="24"/>
        </w:rPr>
        <w:t xml:space="preserve"> higher rates of EAC in </w:t>
      </w:r>
      <w:r w:rsidRPr="00110464">
        <w:rPr>
          <w:rFonts w:ascii="Book Antiqua" w:hAnsi="Book Antiqua" w:cstheme="majorHAnsi"/>
          <w:noProof/>
          <w:sz w:val="24"/>
          <w:szCs w:val="24"/>
        </w:rPr>
        <w:t>young</w:t>
      </w:r>
      <w:r w:rsidRPr="00110464">
        <w:rPr>
          <w:rFonts w:ascii="Book Antiqua" w:hAnsi="Book Antiqua" w:cstheme="majorHAnsi"/>
          <w:sz w:val="24"/>
          <w:szCs w:val="24"/>
        </w:rPr>
        <w:t xml:space="preserve"> cohorts </w:t>
      </w:r>
      <w:r w:rsidRPr="00110464">
        <w:rPr>
          <w:rFonts w:ascii="Book Antiqua" w:hAnsi="Book Antiqua" w:cstheme="majorHAnsi"/>
          <w:noProof/>
          <w:sz w:val="24"/>
          <w:szCs w:val="24"/>
        </w:rPr>
        <w:t xml:space="preserve">in the near future, given the theory </w:t>
      </w:r>
      <w:r w:rsidRPr="00110464">
        <w:rPr>
          <w:rFonts w:ascii="Book Antiqua" w:hAnsi="Book Antiqua" w:cstheme="majorHAnsi"/>
          <w:sz w:val="24"/>
          <w:szCs w:val="24"/>
        </w:rPr>
        <w:lastRenderedPageBreak/>
        <w:t>that this infection may reduce the risk for EAC. Indeed, our data revealed that the percentage of young early-stage EAC/HGD patients was significant (</w:t>
      </w:r>
      <w:r w:rsidR="00350C59" w:rsidRPr="00110464">
        <w:rPr>
          <w:rFonts w:ascii="Book Antiqua" w:hAnsi="Book Antiqua" w:cstheme="majorHAnsi"/>
          <w:sz w:val="24"/>
          <w:szCs w:val="24"/>
        </w:rPr>
        <w:t xml:space="preserve">45/450, </w:t>
      </w:r>
      <w:r w:rsidRPr="00110464">
        <w:rPr>
          <w:rFonts w:ascii="Book Antiqua" w:hAnsi="Book Antiqua" w:cstheme="majorHAnsi"/>
          <w:sz w:val="24"/>
          <w:szCs w:val="24"/>
        </w:rPr>
        <w:t xml:space="preserve">10%). Another recent study using a large cohort demonstrated that the </w:t>
      </w:r>
      <w:r w:rsidRPr="00110464">
        <w:rPr>
          <w:rFonts w:ascii="Book Antiqua" w:hAnsi="Book Antiqua" w:cstheme="majorHAnsi"/>
          <w:noProof/>
          <w:sz w:val="24"/>
          <w:szCs w:val="24"/>
        </w:rPr>
        <w:t>proportion</w:t>
      </w:r>
      <w:r w:rsidRPr="00110464">
        <w:rPr>
          <w:rFonts w:ascii="Book Antiqua" w:hAnsi="Book Antiqua" w:cstheme="majorHAnsi"/>
          <w:sz w:val="24"/>
          <w:szCs w:val="24"/>
        </w:rPr>
        <w:t xml:space="preserve"> of young (≤</w:t>
      </w:r>
      <w:r w:rsidR="007A19EF" w:rsidRPr="00110464">
        <w:rPr>
          <w:rFonts w:ascii="Book Antiqua" w:hAnsi="Book Antiqua" w:cstheme="majorHAnsi"/>
          <w:sz w:val="24"/>
          <w:szCs w:val="24"/>
        </w:rPr>
        <w:t xml:space="preserve"> </w:t>
      </w:r>
      <w:r w:rsidRPr="00110464">
        <w:rPr>
          <w:rFonts w:ascii="Book Antiqua" w:hAnsi="Book Antiqua" w:cstheme="majorHAnsi"/>
          <w:sz w:val="24"/>
          <w:szCs w:val="24"/>
        </w:rPr>
        <w:t>50 years) EAC patients was 9% (125/1363</w:t>
      </w:r>
      <w:proofErr w:type="gramStart"/>
      <w:r w:rsidRPr="00110464">
        <w:rPr>
          <w:rFonts w:ascii="Book Antiqua" w:hAnsi="Book Antiqua" w:cstheme="majorHAnsi"/>
          <w:sz w:val="24"/>
          <w:szCs w:val="24"/>
        </w:rPr>
        <w:t>)</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14]</w:t>
      </w:r>
      <w:r w:rsidRPr="00110464">
        <w:rPr>
          <w:rFonts w:ascii="Book Antiqua" w:hAnsi="Book Antiqua" w:cstheme="majorHAnsi"/>
          <w:sz w:val="24"/>
          <w:szCs w:val="24"/>
        </w:rPr>
        <w:t xml:space="preserve"> which is </w:t>
      </w:r>
      <w:r w:rsidRPr="00110464">
        <w:rPr>
          <w:rFonts w:ascii="Book Antiqua" w:hAnsi="Book Antiqua" w:cstheme="majorHAnsi"/>
          <w:noProof/>
          <w:sz w:val="24"/>
          <w:szCs w:val="24"/>
        </w:rPr>
        <w:t>similar</w:t>
      </w:r>
      <w:r w:rsidRPr="00110464">
        <w:rPr>
          <w:rFonts w:ascii="Book Antiqua" w:hAnsi="Book Antiqua" w:cstheme="majorHAnsi"/>
          <w:sz w:val="24"/>
          <w:szCs w:val="24"/>
        </w:rPr>
        <w:t xml:space="preserve"> to our results, underlining that a significant number of </w:t>
      </w:r>
      <w:r w:rsidRPr="00110464">
        <w:rPr>
          <w:rFonts w:ascii="Book Antiqua" w:hAnsi="Book Antiqua" w:cstheme="majorHAnsi"/>
          <w:noProof/>
          <w:sz w:val="24"/>
          <w:szCs w:val="24"/>
        </w:rPr>
        <w:t>Barrett’s-related neoplasms appear before the age of 50.</w:t>
      </w:r>
    </w:p>
    <w:p w14:paraId="6DA7F4E7" w14:textId="006EEF8B"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The </w:t>
      </w:r>
      <w:r w:rsidRPr="00110464">
        <w:rPr>
          <w:rFonts w:ascii="Book Antiqua" w:hAnsi="Book Antiqua" w:cstheme="majorHAnsi"/>
          <w:noProof/>
          <w:sz w:val="24"/>
          <w:szCs w:val="24"/>
        </w:rPr>
        <w:t>prognosis</w:t>
      </w:r>
      <w:r w:rsidRPr="00110464">
        <w:rPr>
          <w:rFonts w:ascii="Book Antiqua" w:hAnsi="Book Antiqua" w:cstheme="majorHAnsi"/>
          <w:sz w:val="24"/>
          <w:szCs w:val="24"/>
        </w:rPr>
        <w:t xml:space="preserve"> of young EAC patients is still controversial. Some </w:t>
      </w:r>
      <w:r w:rsidRPr="00110464">
        <w:rPr>
          <w:rFonts w:ascii="Book Antiqua" w:hAnsi="Book Antiqua" w:cstheme="majorHAnsi"/>
          <w:noProof/>
          <w:sz w:val="24"/>
          <w:szCs w:val="24"/>
        </w:rPr>
        <w:t xml:space="preserve">studies </w:t>
      </w:r>
      <w:r w:rsidRPr="00110464">
        <w:rPr>
          <w:rFonts w:ascii="Book Antiqua" w:hAnsi="Book Antiqua" w:cstheme="majorHAnsi"/>
          <w:sz w:val="24"/>
          <w:szCs w:val="24"/>
        </w:rPr>
        <w:t xml:space="preserve">have reported that young patients with EAC presented with a </w:t>
      </w:r>
      <w:r w:rsidRPr="00110464">
        <w:rPr>
          <w:rFonts w:ascii="Book Antiqua" w:hAnsi="Book Antiqua" w:cstheme="majorHAnsi"/>
          <w:noProof/>
          <w:sz w:val="24"/>
          <w:szCs w:val="24"/>
        </w:rPr>
        <w:t>more</w:t>
      </w:r>
      <w:r w:rsidRPr="00110464">
        <w:rPr>
          <w:rFonts w:ascii="Book Antiqua" w:hAnsi="Book Antiqua" w:cstheme="majorHAnsi"/>
          <w:sz w:val="24"/>
          <w:szCs w:val="24"/>
        </w:rPr>
        <w:t xml:space="preserve"> advanced stage of the disease and had poorer survival than older EAC </w:t>
      </w:r>
      <w:proofErr w:type="gramStart"/>
      <w:r w:rsidRPr="00110464">
        <w:rPr>
          <w:rFonts w:ascii="Book Antiqua" w:hAnsi="Book Antiqua" w:cstheme="majorHAnsi"/>
          <w:sz w:val="24"/>
          <w:szCs w:val="24"/>
        </w:rPr>
        <w:t>patients</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11,12,21]</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In</w:t>
      </w:r>
      <w:r w:rsidRPr="00110464">
        <w:rPr>
          <w:rFonts w:ascii="Book Antiqua" w:hAnsi="Book Antiqua" w:cstheme="majorHAnsi"/>
          <w:sz w:val="24"/>
          <w:szCs w:val="24"/>
        </w:rPr>
        <w:t xml:space="preserve"> our cohort, the outcomes of endoscopic treatment for T1 EAC or HGD between </w:t>
      </w:r>
      <w:r w:rsidRPr="00110464">
        <w:rPr>
          <w:rFonts w:ascii="Book Antiqua" w:hAnsi="Book Antiqua" w:cstheme="majorHAnsi"/>
          <w:noProof/>
          <w:sz w:val="24"/>
          <w:szCs w:val="24"/>
        </w:rPr>
        <w:t>both</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groups</w:t>
      </w:r>
      <w:r w:rsidRPr="00110464">
        <w:rPr>
          <w:rFonts w:ascii="Book Antiqua" w:hAnsi="Book Antiqua" w:cstheme="majorHAnsi"/>
          <w:sz w:val="24"/>
          <w:szCs w:val="24"/>
        </w:rPr>
        <w:t xml:space="preserve"> were similar. Therefore, it becomes of utmost importance to </w:t>
      </w:r>
      <w:r w:rsidRPr="00110464">
        <w:rPr>
          <w:rFonts w:ascii="Book Antiqua" w:hAnsi="Book Antiqua" w:cstheme="majorHAnsi"/>
          <w:noProof/>
          <w:sz w:val="24"/>
          <w:szCs w:val="24"/>
        </w:rPr>
        <w:t>elucidate</w:t>
      </w:r>
      <w:r w:rsidRPr="00110464">
        <w:rPr>
          <w:rFonts w:ascii="Book Antiqua" w:hAnsi="Book Antiqua" w:cstheme="majorHAnsi"/>
          <w:sz w:val="24"/>
          <w:szCs w:val="24"/>
        </w:rPr>
        <w:t xml:space="preserve"> the risk factors that may facilitate the early detection of EAC in </w:t>
      </w:r>
      <w:r w:rsidRPr="00110464">
        <w:rPr>
          <w:rFonts w:ascii="Book Antiqua" w:hAnsi="Book Antiqua" w:cstheme="majorHAnsi"/>
          <w:noProof/>
          <w:sz w:val="24"/>
          <w:szCs w:val="24"/>
        </w:rPr>
        <w:t>this younger population</w:t>
      </w:r>
      <w:r w:rsidRPr="00110464">
        <w:rPr>
          <w:rFonts w:ascii="Book Antiqua" w:hAnsi="Book Antiqua" w:cstheme="majorHAnsi"/>
          <w:sz w:val="24"/>
          <w:szCs w:val="24"/>
        </w:rPr>
        <w:t>.</w:t>
      </w:r>
    </w:p>
    <w:p w14:paraId="5F6B44D1" w14:textId="2CBD5107"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GERD symptoms </w:t>
      </w:r>
      <w:r w:rsidRPr="00110464">
        <w:rPr>
          <w:rFonts w:ascii="Book Antiqua" w:hAnsi="Book Antiqua" w:cstheme="majorHAnsi"/>
          <w:noProof/>
          <w:sz w:val="24"/>
          <w:szCs w:val="24"/>
        </w:rPr>
        <w:t>are</w:t>
      </w:r>
      <w:r w:rsidRPr="00110464">
        <w:rPr>
          <w:rFonts w:ascii="Book Antiqua" w:hAnsi="Book Antiqua" w:cstheme="majorHAnsi"/>
          <w:sz w:val="24"/>
          <w:szCs w:val="24"/>
        </w:rPr>
        <w:t xml:space="preserve"> the most </w:t>
      </w:r>
      <w:r w:rsidRPr="00110464">
        <w:rPr>
          <w:rFonts w:ascii="Book Antiqua" w:hAnsi="Book Antiqua" w:cstheme="majorHAnsi"/>
          <w:noProof/>
          <w:sz w:val="24"/>
          <w:szCs w:val="24"/>
        </w:rPr>
        <w:t>important</w:t>
      </w:r>
      <w:r w:rsidRPr="00110464">
        <w:rPr>
          <w:rFonts w:ascii="Book Antiqua" w:hAnsi="Book Antiqua" w:cstheme="majorHAnsi"/>
          <w:sz w:val="24"/>
          <w:szCs w:val="24"/>
        </w:rPr>
        <w:t xml:space="preserve"> risk factor for BE and </w:t>
      </w:r>
      <w:proofErr w:type="gramStart"/>
      <w:r w:rsidRPr="00110464">
        <w:rPr>
          <w:rFonts w:ascii="Book Antiqua" w:hAnsi="Book Antiqua" w:cstheme="majorHAnsi"/>
          <w:sz w:val="24"/>
          <w:szCs w:val="24"/>
        </w:rPr>
        <w:t>EAC</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3,5,6]</w:t>
      </w:r>
      <w:r w:rsidRPr="00110464">
        <w:rPr>
          <w:rFonts w:ascii="Book Antiqua" w:hAnsi="Book Antiqua" w:cstheme="majorHAnsi"/>
          <w:sz w:val="24"/>
          <w:szCs w:val="24"/>
        </w:rPr>
        <w:t xml:space="preserve">. Cook </w:t>
      </w:r>
      <w:r w:rsidRPr="00110464">
        <w:rPr>
          <w:rFonts w:ascii="Book Antiqua" w:hAnsi="Book Antiqua" w:cstheme="majorHAnsi"/>
          <w:i/>
          <w:sz w:val="24"/>
          <w:szCs w:val="24"/>
        </w:rPr>
        <w:t xml:space="preserve">et </w:t>
      </w:r>
      <w:proofErr w:type="gramStart"/>
      <w:r w:rsidRPr="00110464">
        <w:rPr>
          <w:rFonts w:ascii="Book Antiqua" w:hAnsi="Book Antiqua" w:cstheme="majorHAnsi"/>
          <w:i/>
          <w:sz w:val="24"/>
          <w:szCs w:val="24"/>
        </w:rPr>
        <w:t>al</w:t>
      </w:r>
      <w:r w:rsidR="007A19EF" w:rsidRPr="00110464">
        <w:rPr>
          <w:rFonts w:ascii="Book Antiqua" w:hAnsi="Book Antiqua" w:cstheme="majorHAnsi"/>
          <w:noProof/>
          <w:sz w:val="24"/>
          <w:szCs w:val="24"/>
          <w:vertAlign w:val="superscript"/>
        </w:rPr>
        <w:t>[</w:t>
      </w:r>
      <w:proofErr w:type="gramEnd"/>
      <w:r w:rsidR="007A19EF" w:rsidRPr="00110464">
        <w:rPr>
          <w:rFonts w:ascii="Book Antiqua" w:hAnsi="Book Antiqua" w:cstheme="majorHAnsi"/>
          <w:noProof/>
          <w:sz w:val="24"/>
          <w:szCs w:val="24"/>
          <w:vertAlign w:val="superscript"/>
        </w:rPr>
        <w:t>22]</w:t>
      </w:r>
      <w:r w:rsidRPr="00110464">
        <w:rPr>
          <w:rFonts w:ascii="Book Antiqua" w:hAnsi="Book Antiqua" w:cstheme="majorHAnsi"/>
          <w:i/>
          <w:sz w:val="24"/>
          <w:szCs w:val="24"/>
        </w:rPr>
        <w:t>,</w:t>
      </w:r>
      <w:r w:rsidR="007A19EF" w:rsidRPr="00110464">
        <w:rPr>
          <w:rFonts w:ascii="Book Antiqua" w:hAnsi="Book Antiqua" w:cstheme="majorHAnsi"/>
          <w:i/>
          <w:sz w:val="24"/>
          <w:szCs w:val="24"/>
        </w:rPr>
        <w:t xml:space="preserve"> </w:t>
      </w:r>
      <w:r w:rsidRPr="00110464">
        <w:rPr>
          <w:rFonts w:ascii="Book Antiqua" w:hAnsi="Book Antiqua" w:cstheme="majorHAnsi"/>
          <w:sz w:val="24"/>
          <w:szCs w:val="24"/>
        </w:rPr>
        <w:t xml:space="preserve">using a </w:t>
      </w:r>
      <w:r w:rsidRPr="00110464">
        <w:rPr>
          <w:rFonts w:ascii="Book Antiqua" w:hAnsi="Book Antiqua" w:cstheme="majorHAnsi"/>
          <w:noProof/>
          <w:sz w:val="24"/>
          <w:szCs w:val="24"/>
        </w:rPr>
        <w:t>large</w:t>
      </w:r>
      <w:r w:rsidRPr="00110464">
        <w:rPr>
          <w:rFonts w:ascii="Book Antiqua" w:hAnsi="Book Antiqua" w:cstheme="majorHAnsi"/>
          <w:sz w:val="24"/>
          <w:szCs w:val="24"/>
        </w:rPr>
        <w:t xml:space="preserve"> pooled analysis of five population-based case-control studies,</w:t>
      </w:r>
      <w:r w:rsidRPr="00110464">
        <w:rPr>
          <w:rFonts w:ascii="Book Antiqua" w:hAnsi="Book Antiqua" w:cstheme="majorHAnsi"/>
          <w:i/>
          <w:sz w:val="24"/>
          <w:szCs w:val="24"/>
        </w:rPr>
        <w:t xml:space="preserve"> </w:t>
      </w:r>
      <w:r w:rsidRPr="00110464">
        <w:rPr>
          <w:rFonts w:ascii="Book Antiqua" w:hAnsi="Book Antiqua" w:cstheme="majorHAnsi"/>
          <w:sz w:val="24"/>
          <w:szCs w:val="24"/>
        </w:rPr>
        <w:t xml:space="preserve">showed that the risk of EAC in patients with GERD symptoms for at least 30 years was 6.2-fold higher than in patients without GERD symptoms. On the other hand, another analysis </w:t>
      </w:r>
      <w:r w:rsidRPr="00110464">
        <w:rPr>
          <w:rFonts w:ascii="Book Antiqua" w:hAnsi="Book Antiqua" w:cstheme="majorHAnsi"/>
          <w:noProof/>
          <w:sz w:val="24"/>
          <w:szCs w:val="24"/>
        </w:rPr>
        <w:t>comprising</w:t>
      </w:r>
      <w:r w:rsidRPr="00110464">
        <w:rPr>
          <w:rFonts w:ascii="Book Antiqua" w:hAnsi="Book Antiqua" w:cstheme="majorHAnsi"/>
          <w:sz w:val="24"/>
          <w:szCs w:val="24"/>
        </w:rPr>
        <w:t xml:space="preserve"> three additional studies revealed that this association was stronger </w:t>
      </w:r>
      <w:r w:rsidRPr="00110464">
        <w:rPr>
          <w:rFonts w:ascii="Book Antiqua" w:hAnsi="Book Antiqua" w:cstheme="majorHAnsi"/>
          <w:noProof/>
          <w:sz w:val="24"/>
          <w:szCs w:val="24"/>
        </w:rPr>
        <w:t>in</w:t>
      </w:r>
      <w:r w:rsidRPr="00110464">
        <w:rPr>
          <w:rFonts w:ascii="Book Antiqua" w:hAnsi="Book Antiqua" w:cstheme="majorHAnsi"/>
          <w:sz w:val="24"/>
          <w:szCs w:val="24"/>
        </w:rPr>
        <w:t xml:space="preserve"> patients under the age of 50</w:t>
      </w:r>
      <w:r w:rsidRPr="00110464">
        <w:rPr>
          <w:rFonts w:ascii="Book Antiqua" w:hAnsi="Book Antiqua" w:cstheme="majorHAnsi"/>
          <w:noProof/>
          <w:sz w:val="24"/>
          <w:szCs w:val="24"/>
          <w:vertAlign w:val="superscript"/>
        </w:rPr>
        <w:t>[14]</w:t>
      </w:r>
      <w:r w:rsidRPr="00110464">
        <w:rPr>
          <w:rFonts w:ascii="Book Antiqua" w:hAnsi="Book Antiqua" w:cstheme="majorHAnsi"/>
          <w:sz w:val="24"/>
          <w:szCs w:val="24"/>
        </w:rPr>
        <w:t>.</w:t>
      </w:r>
      <w:r w:rsidRPr="00110464">
        <w:rPr>
          <w:rFonts w:ascii="Book Antiqua" w:hAnsi="Book Antiqua" w:cstheme="majorHAnsi"/>
          <w:noProof/>
          <w:sz w:val="24"/>
          <w:szCs w:val="24"/>
        </w:rPr>
        <w:t xml:space="preserve"> Similarly</w:t>
      </w:r>
      <w:r w:rsidRPr="00110464">
        <w:rPr>
          <w:rFonts w:ascii="Book Antiqua" w:hAnsi="Book Antiqua" w:cstheme="majorHAnsi"/>
          <w:sz w:val="24"/>
          <w:szCs w:val="24"/>
        </w:rPr>
        <w:t xml:space="preserve">, we found that 92% of younger patients had ongoing GERD symptoms despite taking PPIs in our cohort (data not shown), which suggests that refractory GERD is strongly related to EAC risk in younger patients. However, Becher </w:t>
      </w:r>
      <w:r w:rsidRPr="00110464">
        <w:rPr>
          <w:rFonts w:ascii="Book Antiqua" w:hAnsi="Book Antiqua" w:cstheme="majorHAnsi"/>
          <w:i/>
          <w:sz w:val="24"/>
          <w:szCs w:val="24"/>
        </w:rPr>
        <w:t xml:space="preserve">et </w:t>
      </w:r>
      <w:proofErr w:type="gramStart"/>
      <w:r w:rsidRPr="00110464">
        <w:rPr>
          <w:rFonts w:ascii="Book Antiqua" w:hAnsi="Book Antiqua" w:cstheme="majorHAnsi"/>
          <w:i/>
          <w:sz w:val="24"/>
          <w:szCs w:val="24"/>
        </w:rPr>
        <w:t>al</w:t>
      </w:r>
      <w:r w:rsidR="007A19EF" w:rsidRPr="00110464">
        <w:rPr>
          <w:rFonts w:ascii="Book Antiqua" w:hAnsi="Book Antiqua" w:cstheme="majorHAnsi"/>
          <w:noProof/>
          <w:sz w:val="24"/>
          <w:szCs w:val="24"/>
          <w:vertAlign w:val="superscript"/>
        </w:rPr>
        <w:t>[</w:t>
      </w:r>
      <w:proofErr w:type="gramEnd"/>
      <w:r w:rsidR="007A19EF" w:rsidRPr="00110464">
        <w:rPr>
          <w:rFonts w:ascii="Book Antiqua" w:hAnsi="Book Antiqua" w:cstheme="majorHAnsi"/>
          <w:noProof/>
          <w:sz w:val="24"/>
          <w:szCs w:val="24"/>
          <w:vertAlign w:val="superscript"/>
        </w:rPr>
        <w:t>23]</w:t>
      </w:r>
      <w:r w:rsidRPr="00110464">
        <w:rPr>
          <w:rFonts w:ascii="Book Antiqua" w:hAnsi="Book Antiqua" w:cstheme="majorHAnsi"/>
          <w:sz w:val="24"/>
          <w:szCs w:val="24"/>
        </w:rPr>
        <w:t xml:space="preserve"> demonstrated that GERD symptoms are more severe among younger than older patients, while </w:t>
      </w:r>
      <w:r w:rsidRPr="00110464">
        <w:rPr>
          <w:rFonts w:ascii="Book Antiqua" w:hAnsi="Book Antiqua" w:cstheme="majorHAnsi"/>
          <w:noProof/>
          <w:sz w:val="24"/>
          <w:szCs w:val="24"/>
        </w:rPr>
        <w:t>aging</w:t>
      </w:r>
      <w:r w:rsidRPr="00110464">
        <w:rPr>
          <w:rFonts w:ascii="Book Antiqua" w:hAnsi="Book Antiqua" w:cstheme="majorHAnsi"/>
          <w:sz w:val="24"/>
          <w:szCs w:val="24"/>
        </w:rPr>
        <w:t xml:space="preserve"> is associated with more severe patterns of acid reﬂux and reﬂux esophagitis. Therefore, </w:t>
      </w:r>
      <w:r w:rsidRPr="00110464">
        <w:rPr>
          <w:rFonts w:ascii="Book Antiqua" w:hAnsi="Book Antiqua" w:cstheme="majorHAnsi"/>
          <w:noProof/>
          <w:sz w:val="24"/>
          <w:szCs w:val="24"/>
        </w:rPr>
        <w:t>the</w:t>
      </w:r>
      <w:r w:rsidRPr="00110464">
        <w:rPr>
          <w:rFonts w:ascii="Book Antiqua" w:hAnsi="Book Antiqua" w:cstheme="majorHAnsi"/>
          <w:sz w:val="24"/>
          <w:szCs w:val="24"/>
        </w:rPr>
        <w:t xml:space="preserve"> mere presence of GERD symptoms </w:t>
      </w:r>
      <w:r w:rsidRPr="00110464">
        <w:rPr>
          <w:rFonts w:ascii="Book Antiqua" w:hAnsi="Book Antiqua" w:cstheme="majorHAnsi"/>
          <w:noProof/>
          <w:sz w:val="24"/>
          <w:szCs w:val="24"/>
        </w:rPr>
        <w:t>is</w:t>
      </w:r>
      <w:r w:rsidRPr="00110464">
        <w:rPr>
          <w:rFonts w:ascii="Book Antiqua" w:hAnsi="Book Antiqua" w:cstheme="majorHAnsi"/>
          <w:sz w:val="24"/>
          <w:szCs w:val="24"/>
        </w:rPr>
        <w:t xml:space="preserve"> not sufficient to </w:t>
      </w:r>
      <w:r w:rsidRPr="00110464">
        <w:rPr>
          <w:rFonts w:ascii="Book Antiqua" w:hAnsi="Book Antiqua" w:cstheme="majorHAnsi"/>
          <w:noProof/>
          <w:sz w:val="24"/>
          <w:szCs w:val="24"/>
        </w:rPr>
        <w:t>perform</w:t>
      </w:r>
      <w:r w:rsidRPr="00110464">
        <w:rPr>
          <w:rFonts w:ascii="Book Antiqua" w:hAnsi="Book Antiqua" w:cstheme="majorHAnsi"/>
          <w:sz w:val="24"/>
          <w:szCs w:val="24"/>
        </w:rPr>
        <w:t xml:space="preserve"> endoscopy. </w:t>
      </w:r>
      <w:r w:rsidRPr="00110464">
        <w:rPr>
          <w:rFonts w:ascii="Book Antiqua" w:hAnsi="Book Antiqua" w:cstheme="majorHAnsi"/>
          <w:noProof/>
          <w:sz w:val="24"/>
          <w:szCs w:val="24"/>
        </w:rPr>
        <w:t>Additional</w:t>
      </w:r>
      <w:r w:rsidRPr="00110464">
        <w:rPr>
          <w:rFonts w:ascii="Book Antiqua" w:hAnsi="Book Antiqua" w:cstheme="majorHAnsi"/>
          <w:sz w:val="24"/>
          <w:szCs w:val="24"/>
        </w:rPr>
        <w:t xml:space="preserve"> risk factors should </w:t>
      </w:r>
      <w:r w:rsidRPr="00110464">
        <w:rPr>
          <w:rFonts w:ascii="Book Antiqua" w:hAnsi="Book Antiqua" w:cstheme="majorHAnsi"/>
          <w:noProof/>
          <w:sz w:val="24"/>
          <w:szCs w:val="24"/>
        </w:rPr>
        <w:t xml:space="preserve">be </w:t>
      </w:r>
      <w:r w:rsidRPr="00110464">
        <w:rPr>
          <w:rFonts w:ascii="Book Antiqua" w:hAnsi="Book Antiqua" w:cstheme="majorHAnsi"/>
          <w:sz w:val="24"/>
          <w:szCs w:val="24"/>
        </w:rPr>
        <w:t xml:space="preserve">considered </w:t>
      </w:r>
      <w:r w:rsidRPr="00110464">
        <w:rPr>
          <w:rFonts w:ascii="Book Antiqua" w:hAnsi="Book Antiqua" w:cstheme="majorHAnsi"/>
          <w:noProof/>
          <w:sz w:val="24"/>
          <w:szCs w:val="24"/>
        </w:rPr>
        <w:t>in order to</w:t>
      </w:r>
      <w:r w:rsidRPr="00110464">
        <w:rPr>
          <w:rFonts w:ascii="Book Antiqua" w:hAnsi="Book Antiqua" w:cstheme="majorHAnsi"/>
          <w:sz w:val="24"/>
          <w:szCs w:val="24"/>
        </w:rPr>
        <w:t xml:space="preserve"> increase the </w:t>
      </w:r>
      <w:r w:rsidRPr="00110464">
        <w:rPr>
          <w:rFonts w:ascii="Book Antiqua" w:hAnsi="Book Antiqua" w:cstheme="majorHAnsi"/>
          <w:noProof/>
          <w:sz w:val="24"/>
          <w:szCs w:val="24"/>
        </w:rPr>
        <w:t>efficiency of</w:t>
      </w:r>
      <w:r w:rsidRPr="00110464">
        <w:rPr>
          <w:rFonts w:ascii="Book Antiqua" w:hAnsi="Book Antiqua" w:cstheme="majorHAnsi"/>
          <w:sz w:val="24"/>
          <w:szCs w:val="24"/>
        </w:rPr>
        <w:t xml:space="preserve"> screening endoscopy especially among young patients</w:t>
      </w:r>
      <w:r w:rsidRPr="00110464">
        <w:rPr>
          <w:rFonts w:ascii="Book Antiqua" w:hAnsi="Book Antiqua" w:cstheme="majorHAnsi"/>
          <w:noProof/>
          <w:sz w:val="24"/>
          <w:szCs w:val="24"/>
        </w:rPr>
        <w:t>.</w:t>
      </w:r>
    </w:p>
    <w:p w14:paraId="313BEC5B" w14:textId="058CAF90"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Obesity is another important risk factor for BE and </w:t>
      </w:r>
      <w:proofErr w:type="gramStart"/>
      <w:r w:rsidRPr="00110464">
        <w:rPr>
          <w:rFonts w:ascii="Book Antiqua" w:hAnsi="Book Antiqua" w:cstheme="majorHAnsi"/>
          <w:sz w:val="24"/>
          <w:szCs w:val="24"/>
        </w:rPr>
        <w:t>EAC</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24]</w:t>
      </w:r>
      <w:r w:rsidRPr="00110464">
        <w:rPr>
          <w:rFonts w:ascii="Book Antiqua" w:hAnsi="Book Antiqua" w:cstheme="majorHAnsi"/>
          <w:sz w:val="24"/>
          <w:szCs w:val="24"/>
        </w:rPr>
        <w:t xml:space="preserve">. Central adiposity </w:t>
      </w:r>
      <w:r w:rsidRPr="00110464">
        <w:rPr>
          <w:rFonts w:ascii="Book Antiqua" w:hAnsi="Book Antiqua" w:cstheme="majorHAnsi"/>
          <w:noProof/>
          <w:sz w:val="24"/>
          <w:szCs w:val="24"/>
        </w:rPr>
        <w:t>is</w:t>
      </w:r>
      <w:r w:rsidRPr="00110464">
        <w:rPr>
          <w:rFonts w:ascii="Book Antiqua" w:hAnsi="Book Antiqua" w:cstheme="majorHAnsi"/>
          <w:sz w:val="24"/>
          <w:szCs w:val="24"/>
        </w:rPr>
        <w:t xml:space="preserve"> thought to be more critical for esophageal carcinogenesis than merely increased BMI, since central adiposity contributes not only to increasing acid reflux due to mechanical disruption of the </w:t>
      </w:r>
      <w:r w:rsidRPr="00110464">
        <w:rPr>
          <w:rFonts w:ascii="Book Antiqua" w:hAnsi="Book Antiqua" w:cstheme="majorHAnsi"/>
          <w:noProof/>
          <w:sz w:val="24"/>
          <w:szCs w:val="24"/>
        </w:rPr>
        <w:t>gastroesophageal</w:t>
      </w:r>
      <w:r w:rsidRPr="00110464">
        <w:rPr>
          <w:rFonts w:ascii="Book Antiqua" w:hAnsi="Book Antiqua" w:cstheme="majorHAnsi"/>
          <w:sz w:val="24"/>
          <w:szCs w:val="24"/>
        </w:rPr>
        <w:t xml:space="preserve"> junction, but also promotes a proinflammatory state by releasing adipocytokines from visceral adipose </w:t>
      </w:r>
      <w:proofErr w:type="gramStart"/>
      <w:r w:rsidRPr="00110464">
        <w:rPr>
          <w:rFonts w:ascii="Book Antiqua" w:hAnsi="Book Antiqua" w:cstheme="majorHAnsi"/>
          <w:sz w:val="24"/>
          <w:szCs w:val="24"/>
        </w:rPr>
        <w:t>tissue</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25]</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Adipocytokine-mediated</w:t>
      </w:r>
      <w:r w:rsidRPr="00110464">
        <w:rPr>
          <w:rFonts w:ascii="Book Antiqua" w:hAnsi="Book Antiqua" w:cstheme="majorHAnsi"/>
          <w:sz w:val="24"/>
          <w:szCs w:val="24"/>
        </w:rPr>
        <w:t xml:space="preserve"> carcinogenesis </w:t>
      </w:r>
      <w:r w:rsidRPr="00110464">
        <w:rPr>
          <w:rFonts w:ascii="Book Antiqua" w:hAnsi="Book Antiqua" w:cstheme="majorHAnsi"/>
          <w:noProof/>
          <w:sz w:val="24"/>
          <w:szCs w:val="24"/>
        </w:rPr>
        <w:t>is</w:t>
      </w:r>
      <w:r w:rsidRPr="00110464">
        <w:rPr>
          <w:rFonts w:ascii="Book Antiqua" w:hAnsi="Book Antiqua" w:cstheme="majorHAnsi"/>
          <w:sz w:val="24"/>
          <w:szCs w:val="24"/>
        </w:rPr>
        <w:t xml:space="preserve"> thought to </w:t>
      </w:r>
      <w:r w:rsidRPr="00110464">
        <w:rPr>
          <w:rFonts w:ascii="Book Antiqua" w:hAnsi="Book Antiqua" w:cstheme="majorHAnsi"/>
          <w:noProof/>
          <w:sz w:val="24"/>
          <w:szCs w:val="24"/>
        </w:rPr>
        <w:t>play an important role</w:t>
      </w:r>
      <w:r w:rsidRPr="00110464">
        <w:rPr>
          <w:rFonts w:ascii="Book Antiqua" w:hAnsi="Book Antiqua" w:cstheme="majorHAnsi"/>
          <w:sz w:val="24"/>
          <w:szCs w:val="24"/>
        </w:rPr>
        <w:t xml:space="preserve"> in other gastrointestinal malignancies such as </w:t>
      </w:r>
      <w:proofErr w:type="gramStart"/>
      <w:r w:rsidRPr="00110464">
        <w:rPr>
          <w:rFonts w:ascii="Book Antiqua" w:hAnsi="Book Antiqua" w:cstheme="majorHAnsi"/>
          <w:sz w:val="24"/>
          <w:szCs w:val="24"/>
        </w:rPr>
        <w:t>colon</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26]</w:t>
      </w:r>
      <w:r w:rsidRPr="00110464">
        <w:rPr>
          <w:rFonts w:ascii="Book Antiqua" w:hAnsi="Book Antiqua" w:cstheme="majorHAnsi"/>
          <w:sz w:val="24"/>
          <w:szCs w:val="24"/>
        </w:rPr>
        <w:t xml:space="preserve"> and pancreas</w:t>
      </w:r>
      <w:r w:rsidRPr="00110464">
        <w:rPr>
          <w:rFonts w:ascii="Book Antiqua" w:hAnsi="Book Antiqua" w:cstheme="majorHAnsi"/>
          <w:noProof/>
          <w:sz w:val="24"/>
          <w:szCs w:val="24"/>
          <w:vertAlign w:val="superscript"/>
        </w:rPr>
        <w:t>[27]</w:t>
      </w:r>
      <w:r w:rsidRPr="00110464">
        <w:rPr>
          <w:rFonts w:ascii="Book Antiqua" w:hAnsi="Book Antiqua" w:cstheme="majorHAnsi"/>
          <w:sz w:val="24"/>
          <w:szCs w:val="24"/>
        </w:rPr>
        <w:t xml:space="preserve"> cancers. However, </w:t>
      </w:r>
      <w:r w:rsidRPr="00110464">
        <w:rPr>
          <w:rFonts w:ascii="Book Antiqua" w:hAnsi="Book Antiqua" w:cstheme="majorHAnsi"/>
          <w:noProof/>
          <w:sz w:val="24"/>
          <w:szCs w:val="24"/>
        </w:rPr>
        <w:t>few studies have investigated</w:t>
      </w:r>
      <w:r w:rsidRPr="00110464">
        <w:rPr>
          <w:rFonts w:ascii="Book Antiqua" w:hAnsi="Book Antiqua" w:cstheme="majorHAnsi"/>
          <w:sz w:val="24"/>
          <w:szCs w:val="24"/>
        </w:rPr>
        <w:t xml:space="preserve"> the relationship between </w:t>
      </w:r>
      <w:r w:rsidRPr="00110464">
        <w:rPr>
          <w:rFonts w:ascii="Book Antiqua" w:hAnsi="Book Antiqua" w:cstheme="majorHAnsi"/>
          <w:sz w:val="24"/>
          <w:szCs w:val="24"/>
        </w:rPr>
        <w:lastRenderedPageBreak/>
        <w:t xml:space="preserve">obesity and gastrointestinal carcinogenesis specifically in </w:t>
      </w:r>
      <w:r w:rsidRPr="00110464">
        <w:rPr>
          <w:rFonts w:ascii="Book Antiqua" w:hAnsi="Book Antiqua" w:cstheme="majorHAnsi"/>
          <w:noProof/>
          <w:sz w:val="24"/>
          <w:szCs w:val="24"/>
        </w:rPr>
        <w:t>young</w:t>
      </w:r>
      <w:r w:rsidRPr="00110464">
        <w:rPr>
          <w:rFonts w:ascii="Book Antiqua" w:hAnsi="Book Antiqua" w:cstheme="majorHAnsi"/>
          <w:sz w:val="24"/>
          <w:szCs w:val="24"/>
        </w:rPr>
        <w:t xml:space="preserve"> patients. How obesity and central adiposity affect EAC risk, especially in young patients, </w:t>
      </w:r>
      <w:r w:rsidRPr="00110464">
        <w:rPr>
          <w:rFonts w:ascii="Book Antiqua" w:hAnsi="Book Antiqua" w:cstheme="majorHAnsi"/>
          <w:noProof/>
          <w:sz w:val="24"/>
          <w:szCs w:val="24"/>
        </w:rPr>
        <w:t>remains</w:t>
      </w:r>
      <w:r w:rsidRPr="00110464">
        <w:rPr>
          <w:rFonts w:ascii="Book Antiqua" w:hAnsi="Book Antiqua" w:cstheme="majorHAnsi"/>
          <w:sz w:val="24"/>
          <w:szCs w:val="24"/>
        </w:rPr>
        <w:t xml:space="preserve"> unclear</w:t>
      </w:r>
      <w:r w:rsidRPr="00110464">
        <w:rPr>
          <w:rFonts w:ascii="Book Antiqua" w:hAnsi="Book Antiqua" w:cstheme="majorHAnsi"/>
          <w:noProof/>
          <w:sz w:val="24"/>
          <w:szCs w:val="24"/>
        </w:rPr>
        <w:t xml:space="preserve">. </w:t>
      </w:r>
      <w:proofErr w:type="spellStart"/>
      <w:r w:rsidRPr="00110464">
        <w:rPr>
          <w:rFonts w:ascii="Book Antiqua" w:hAnsi="Book Antiqua" w:cstheme="majorHAnsi"/>
          <w:sz w:val="24"/>
          <w:szCs w:val="24"/>
        </w:rPr>
        <w:t>Chak</w:t>
      </w:r>
      <w:proofErr w:type="spellEnd"/>
      <w:r w:rsidRPr="00110464">
        <w:rPr>
          <w:rFonts w:ascii="Book Antiqua" w:hAnsi="Book Antiqua" w:cstheme="majorHAnsi"/>
          <w:sz w:val="24"/>
          <w:szCs w:val="24"/>
        </w:rPr>
        <w:t xml:space="preserve"> </w:t>
      </w:r>
      <w:r w:rsidRPr="00110464">
        <w:rPr>
          <w:rFonts w:ascii="Book Antiqua" w:hAnsi="Book Antiqua" w:cstheme="majorHAnsi"/>
          <w:i/>
          <w:sz w:val="24"/>
          <w:szCs w:val="24"/>
        </w:rPr>
        <w:t xml:space="preserve">et </w:t>
      </w:r>
      <w:proofErr w:type="gramStart"/>
      <w:r w:rsidRPr="00110464">
        <w:rPr>
          <w:rFonts w:ascii="Book Antiqua" w:hAnsi="Book Antiqua" w:cstheme="majorHAnsi"/>
          <w:i/>
          <w:sz w:val="24"/>
          <w:szCs w:val="24"/>
        </w:rPr>
        <w:t>al</w:t>
      </w:r>
      <w:r w:rsidR="007A19EF" w:rsidRPr="00110464">
        <w:rPr>
          <w:rFonts w:ascii="Book Antiqua" w:hAnsi="Book Antiqua" w:cstheme="majorHAnsi"/>
          <w:noProof/>
          <w:sz w:val="24"/>
          <w:szCs w:val="24"/>
          <w:vertAlign w:val="superscript"/>
        </w:rPr>
        <w:t>[</w:t>
      </w:r>
      <w:proofErr w:type="gramEnd"/>
      <w:r w:rsidR="007A19EF" w:rsidRPr="00110464">
        <w:rPr>
          <w:rFonts w:ascii="Book Antiqua" w:hAnsi="Book Antiqua" w:cstheme="majorHAnsi"/>
          <w:noProof/>
          <w:sz w:val="24"/>
          <w:szCs w:val="24"/>
          <w:vertAlign w:val="superscript"/>
        </w:rPr>
        <w:t>13]</w:t>
      </w:r>
      <w:r w:rsidRPr="00110464">
        <w:rPr>
          <w:rFonts w:ascii="Book Antiqua" w:hAnsi="Book Antiqua" w:cstheme="majorHAnsi"/>
          <w:sz w:val="24"/>
          <w:szCs w:val="24"/>
        </w:rPr>
        <w:t xml:space="preserve"> demonstrated that obesity is associated with the development of EAC at an earlier age. </w:t>
      </w:r>
      <w:r w:rsidRPr="00110464">
        <w:rPr>
          <w:rFonts w:ascii="Book Antiqua" w:hAnsi="Book Antiqua" w:cstheme="majorHAnsi"/>
          <w:noProof/>
          <w:sz w:val="24"/>
          <w:szCs w:val="24"/>
        </w:rPr>
        <w:t>We also found that obesity was more common in young patients with early-stage Barrett-related neoplasia.</w:t>
      </w:r>
      <w:r w:rsidRPr="00110464">
        <w:rPr>
          <w:rFonts w:ascii="Book Antiqua" w:hAnsi="Book Antiqua" w:cstheme="majorHAnsi"/>
          <w:sz w:val="24"/>
          <w:szCs w:val="24"/>
        </w:rPr>
        <w:t xml:space="preserve"> Altogether, our results suggest </w:t>
      </w:r>
      <w:r w:rsidRPr="00110464">
        <w:rPr>
          <w:rFonts w:ascii="Book Antiqua" w:hAnsi="Book Antiqua" w:cstheme="majorHAnsi"/>
          <w:noProof/>
          <w:sz w:val="24"/>
          <w:szCs w:val="24"/>
        </w:rPr>
        <w:t>that</w:t>
      </w:r>
      <w:r w:rsidRPr="00110464">
        <w:rPr>
          <w:rFonts w:ascii="Book Antiqua" w:hAnsi="Book Antiqua" w:cstheme="majorHAnsi"/>
          <w:sz w:val="24"/>
          <w:szCs w:val="24"/>
        </w:rPr>
        <w:t xml:space="preserve"> screening endoscopy should be strongly considered in obese young patients with ongoing GERD symptoms. </w:t>
      </w:r>
    </w:p>
    <w:p w14:paraId="62E71E25" w14:textId="74F90571"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Additionally, </w:t>
      </w:r>
      <w:r w:rsidRPr="00110464">
        <w:rPr>
          <w:rFonts w:ascii="Book Antiqua" w:hAnsi="Book Antiqua" w:cstheme="majorHAnsi"/>
          <w:noProof/>
          <w:sz w:val="24"/>
          <w:szCs w:val="24"/>
        </w:rPr>
        <w:t>our</w:t>
      </w:r>
      <w:r w:rsidRPr="00110464">
        <w:rPr>
          <w:rFonts w:ascii="Book Antiqua" w:hAnsi="Book Antiqua" w:cstheme="majorHAnsi"/>
          <w:sz w:val="24"/>
          <w:szCs w:val="24"/>
        </w:rPr>
        <w:t xml:space="preserve"> results showed that any history of smoking had a stronger association with the older EAC/HGD group (&gt;</w:t>
      </w:r>
      <w:r w:rsidR="007A19EF" w:rsidRPr="00110464">
        <w:rPr>
          <w:rFonts w:ascii="Book Antiqua" w:hAnsi="Book Antiqua" w:cstheme="majorHAnsi"/>
          <w:sz w:val="24"/>
          <w:szCs w:val="24"/>
        </w:rPr>
        <w:t xml:space="preserve"> </w:t>
      </w:r>
      <w:r w:rsidRPr="00110464">
        <w:rPr>
          <w:rFonts w:ascii="Book Antiqua" w:hAnsi="Book Antiqua" w:cstheme="majorHAnsi"/>
          <w:sz w:val="24"/>
          <w:szCs w:val="24"/>
        </w:rPr>
        <w:t xml:space="preserve">50 years). Although cigarette smoking is a well-known risk factor for the development of both BE and </w:t>
      </w:r>
      <w:proofErr w:type="gramStart"/>
      <w:r w:rsidRPr="00110464">
        <w:rPr>
          <w:rFonts w:ascii="Book Antiqua" w:hAnsi="Book Antiqua" w:cstheme="majorHAnsi"/>
          <w:sz w:val="24"/>
          <w:szCs w:val="24"/>
        </w:rPr>
        <w:t>EAC</w:t>
      </w:r>
      <w:r w:rsidRPr="00110464">
        <w:rPr>
          <w:rFonts w:ascii="Book Antiqua" w:hAnsi="Book Antiqua" w:cstheme="majorHAnsi"/>
          <w:noProof/>
          <w:sz w:val="24"/>
          <w:szCs w:val="24"/>
          <w:vertAlign w:val="superscript"/>
        </w:rPr>
        <w:t>[</w:t>
      </w:r>
      <w:proofErr w:type="gramEnd"/>
      <w:r w:rsidRPr="00110464">
        <w:rPr>
          <w:rFonts w:ascii="Book Antiqua" w:hAnsi="Book Antiqua" w:cstheme="majorHAnsi"/>
          <w:noProof/>
          <w:sz w:val="24"/>
          <w:szCs w:val="24"/>
          <w:vertAlign w:val="superscript"/>
        </w:rPr>
        <w:t>28,29]</w:t>
      </w:r>
      <w:r w:rsidRPr="00110464">
        <w:rPr>
          <w:rFonts w:ascii="Book Antiqua" w:hAnsi="Book Antiqua" w:cstheme="majorHAnsi"/>
          <w:sz w:val="24"/>
          <w:szCs w:val="24"/>
        </w:rPr>
        <w:t xml:space="preserve">, the precise role of </w:t>
      </w:r>
      <w:r w:rsidRPr="00110464">
        <w:rPr>
          <w:rFonts w:ascii="Book Antiqua" w:hAnsi="Book Antiqua" w:cstheme="majorHAnsi"/>
          <w:noProof/>
          <w:sz w:val="24"/>
          <w:szCs w:val="24"/>
        </w:rPr>
        <w:t>smoking</w:t>
      </w:r>
      <w:r w:rsidRPr="00110464">
        <w:rPr>
          <w:rFonts w:ascii="Book Antiqua" w:hAnsi="Book Antiqua" w:cstheme="majorHAnsi"/>
          <w:sz w:val="24"/>
          <w:szCs w:val="24"/>
        </w:rPr>
        <w:t xml:space="preserve"> in EAC carcinogenesis remains unclear.</w:t>
      </w:r>
      <w:r w:rsidR="00DE5B63" w:rsidRPr="00110464">
        <w:rPr>
          <w:rFonts w:ascii="Book Antiqua" w:hAnsi="Book Antiqua" w:cstheme="majorHAnsi"/>
          <w:sz w:val="24"/>
          <w:szCs w:val="24"/>
        </w:rPr>
        <w:t xml:space="preserve"> We have to emphasize that this result does not suggest smoking has a protective role for Barrett’s carcinogenesis in young cohort.</w:t>
      </w:r>
      <w:r w:rsidRPr="00110464">
        <w:rPr>
          <w:rFonts w:ascii="Book Antiqua" w:hAnsi="Book Antiqua" w:cstheme="majorHAnsi"/>
          <w:sz w:val="24"/>
          <w:szCs w:val="24"/>
        </w:rPr>
        <w:t xml:space="preserve"> In our cohort, the number of pack-years in older EAC group was significantly higher. We hypothesized that this association could be related to the accumulation of toxicity for a </w:t>
      </w:r>
      <w:r w:rsidRPr="00110464">
        <w:rPr>
          <w:rFonts w:ascii="Book Antiqua" w:hAnsi="Book Antiqua" w:cstheme="majorHAnsi"/>
          <w:noProof/>
          <w:sz w:val="24"/>
          <w:szCs w:val="24"/>
        </w:rPr>
        <w:t>longer time span</w:t>
      </w:r>
      <w:r w:rsidRPr="00110464">
        <w:rPr>
          <w:rFonts w:ascii="Book Antiqua" w:hAnsi="Book Antiqua" w:cstheme="majorHAnsi"/>
          <w:sz w:val="24"/>
          <w:szCs w:val="24"/>
        </w:rPr>
        <w:t xml:space="preserve">. </w:t>
      </w:r>
      <w:r w:rsidR="00FE1DF8" w:rsidRPr="00110464">
        <w:rPr>
          <w:rFonts w:ascii="Book Antiqua" w:hAnsi="Book Antiqua" w:cstheme="majorHAnsi"/>
          <w:sz w:val="24"/>
          <w:szCs w:val="24"/>
        </w:rPr>
        <w:t>We also thought</w:t>
      </w:r>
      <w:r w:rsidR="0090273F" w:rsidRPr="00110464">
        <w:rPr>
          <w:rFonts w:ascii="Book Antiqua" w:hAnsi="Book Antiqua" w:cstheme="majorHAnsi"/>
          <w:sz w:val="24"/>
          <w:szCs w:val="24"/>
        </w:rPr>
        <w:t xml:space="preserve"> why our results showed older patients was more likely to have hypertension and diabetes, and </w:t>
      </w:r>
      <w:r w:rsidR="00FE1DF8" w:rsidRPr="00110464">
        <w:rPr>
          <w:rFonts w:ascii="Book Antiqua" w:hAnsi="Book Antiqua" w:cstheme="majorHAnsi"/>
          <w:sz w:val="24"/>
          <w:szCs w:val="24"/>
        </w:rPr>
        <w:t>to take low-dose aspirin and statins were just due to aging.</w:t>
      </w:r>
    </w:p>
    <w:p w14:paraId="577C6F65" w14:textId="77777777"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noProof/>
          <w:sz w:val="24"/>
          <w:szCs w:val="24"/>
        </w:rPr>
        <w:t>It should be highlighted that our study population was based exclusively on patients diagnosed with</w:t>
      </w:r>
      <w:r w:rsidRPr="00110464">
        <w:rPr>
          <w:rFonts w:ascii="Book Antiqua" w:hAnsi="Book Antiqua" w:cstheme="majorHAnsi"/>
          <w:sz w:val="24"/>
          <w:szCs w:val="24"/>
        </w:rPr>
        <w:t xml:space="preserve"> early stage neoplasia. To the best of our knowledge, this is the first study to compare the </w:t>
      </w:r>
      <w:r w:rsidRPr="00110464">
        <w:rPr>
          <w:rFonts w:ascii="Book Antiqua" w:eastAsiaTheme="minorHAnsi" w:hAnsi="Book Antiqua" w:cstheme="majorHAnsi"/>
          <w:sz w:val="24"/>
          <w:szCs w:val="24"/>
        </w:rPr>
        <w:t>baseline clinical characteristics</w:t>
      </w:r>
      <w:r w:rsidRPr="00110464">
        <w:rPr>
          <w:rFonts w:ascii="Book Antiqua" w:hAnsi="Book Antiqua" w:cstheme="majorHAnsi"/>
          <w:sz w:val="24"/>
          <w:szCs w:val="24"/>
        </w:rPr>
        <w:t xml:space="preserve"> and treatment outcomes between the young and old onset groups using a relatively large cohort including only early stage Barrett’s-related neoplasia. On the other hand, including only HGD and T1 tumor might </w:t>
      </w:r>
      <w:r w:rsidRPr="00110464">
        <w:rPr>
          <w:rFonts w:ascii="Book Antiqua" w:hAnsi="Book Antiqua" w:cstheme="majorHAnsi"/>
          <w:noProof/>
          <w:sz w:val="24"/>
          <w:szCs w:val="24"/>
        </w:rPr>
        <w:t>be also</w:t>
      </w:r>
      <w:r w:rsidRPr="00110464">
        <w:rPr>
          <w:rFonts w:ascii="Book Antiqua" w:hAnsi="Book Antiqua" w:cstheme="majorHAnsi"/>
          <w:sz w:val="24"/>
          <w:szCs w:val="24"/>
        </w:rPr>
        <w:t xml:space="preserve"> interpreted as a </w:t>
      </w:r>
      <w:r w:rsidRPr="00110464">
        <w:rPr>
          <w:rFonts w:ascii="Book Antiqua" w:hAnsi="Book Antiqua" w:cstheme="majorHAnsi"/>
          <w:noProof/>
          <w:sz w:val="24"/>
          <w:szCs w:val="24"/>
        </w:rPr>
        <w:t>limitation</w:t>
      </w:r>
      <w:r w:rsidRPr="00110464">
        <w:rPr>
          <w:rFonts w:ascii="Book Antiqua" w:hAnsi="Book Antiqua" w:cstheme="majorHAnsi"/>
          <w:sz w:val="24"/>
          <w:szCs w:val="24"/>
        </w:rPr>
        <w:t xml:space="preserve">. </w:t>
      </w:r>
      <w:r w:rsidRPr="00110464">
        <w:rPr>
          <w:rFonts w:ascii="Book Antiqua" w:hAnsi="Book Antiqua" w:cstheme="majorHAnsi"/>
          <w:noProof/>
          <w:sz w:val="24"/>
          <w:szCs w:val="24"/>
        </w:rPr>
        <w:t xml:space="preserve">However, focusing on early Barrett’s-related neoplasia amenable to endoscopic treatment allowed us to develop a </w:t>
      </w:r>
      <w:bookmarkStart w:id="29" w:name="_Hlk535661113"/>
      <w:r w:rsidRPr="00110464">
        <w:rPr>
          <w:rFonts w:ascii="Book Antiqua" w:hAnsi="Book Antiqua" w:cstheme="majorHAnsi"/>
          <w:noProof/>
          <w:sz w:val="24"/>
          <w:szCs w:val="24"/>
        </w:rPr>
        <w:t>suggestion that if we could detect the young patients with early stage Barrett’s neoplasia using the risk factors of ongoing GERD symptoms and obesity, their prognosis may compare favorably with older patients.</w:t>
      </w:r>
      <w:bookmarkEnd w:id="29"/>
      <w:r w:rsidRPr="00110464">
        <w:rPr>
          <w:rFonts w:ascii="Book Antiqua" w:hAnsi="Book Antiqua" w:cstheme="majorHAnsi"/>
          <w:noProof/>
          <w:sz w:val="24"/>
          <w:szCs w:val="24"/>
        </w:rPr>
        <w:t xml:space="preserve"> </w:t>
      </w:r>
      <w:r w:rsidRPr="00110464">
        <w:rPr>
          <w:rFonts w:ascii="Book Antiqua" w:hAnsi="Book Antiqua" w:cstheme="majorHAnsi"/>
          <w:sz w:val="24"/>
          <w:szCs w:val="24"/>
        </w:rPr>
        <w:t xml:space="preserve">We believe that this can complement the current guidelines for Barrett’s screening. </w:t>
      </w:r>
    </w:p>
    <w:p w14:paraId="5BCA5C7E" w14:textId="33100A27"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 xml:space="preserve">This study has some limitations. First, we did not have control groups such as young and old patients without Barrett’s-related neoplasia. </w:t>
      </w:r>
      <w:r w:rsidR="00DE1540" w:rsidRPr="00110464">
        <w:rPr>
          <w:rFonts w:ascii="Book Antiqua" w:hAnsi="Book Antiqua" w:cstheme="majorHAnsi"/>
          <w:sz w:val="24"/>
          <w:szCs w:val="24"/>
        </w:rPr>
        <w:t>Because of</w:t>
      </w:r>
      <w:r w:rsidR="009746B0" w:rsidRPr="00110464">
        <w:rPr>
          <w:rFonts w:ascii="Book Antiqua" w:hAnsi="Book Antiqua" w:cstheme="majorHAnsi"/>
          <w:sz w:val="24"/>
          <w:szCs w:val="24"/>
        </w:rPr>
        <w:t xml:space="preserve"> </w:t>
      </w:r>
      <w:r w:rsidR="00DE1540" w:rsidRPr="00110464">
        <w:rPr>
          <w:rFonts w:ascii="Book Antiqua" w:hAnsi="Book Antiqua" w:cstheme="majorHAnsi"/>
          <w:sz w:val="24"/>
          <w:szCs w:val="24"/>
        </w:rPr>
        <w:t>this point and retrospective nature of our</w:t>
      </w:r>
      <w:r w:rsidR="009746B0" w:rsidRPr="00110464">
        <w:rPr>
          <w:rFonts w:ascii="Book Antiqua" w:hAnsi="Book Antiqua" w:cstheme="majorHAnsi"/>
          <w:sz w:val="24"/>
          <w:szCs w:val="24"/>
        </w:rPr>
        <w:t xml:space="preserve"> study, </w:t>
      </w:r>
      <w:r w:rsidR="00DE1540" w:rsidRPr="00110464">
        <w:rPr>
          <w:rFonts w:ascii="Book Antiqua" w:hAnsi="Book Antiqua" w:cstheme="majorHAnsi"/>
          <w:sz w:val="24"/>
          <w:szCs w:val="24"/>
        </w:rPr>
        <w:t xml:space="preserve">we cannot say that GERD symptoms and obesity are predictive factors for EAC in young patients. </w:t>
      </w:r>
      <w:r w:rsidRPr="00110464">
        <w:rPr>
          <w:rFonts w:ascii="Book Antiqua" w:hAnsi="Book Antiqua" w:cstheme="majorHAnsi"/>
          <w:sz w:val="24"/>
          <w:szCs w:val="24"/>
        </w:rPr>
        <w:t xml:space="preserve">Therefore, the risk factors that we extracted should be proved by a prospectively designed study. Second, as our institution is a </w:t>
      </w:r>
      <w:r w:rsidRPr="00110464">
        <w:rPr>
          <w:rFonts w:ascii="Book Antiqua" w:hAnsi="Book Antiqua" w:cstheme="majorHAnsi"/>
          <w:noProof/>
          <w:sz w:val="24"/>
          <w:szCs w:val="24"/>
        </w:rPr>
        <w:t>tertiary</w:t>
      </w:r>
      <w:r w:rsidRPr="00110464">
        <w:rPr>
          <w:rFonts w:ascii="Book Antiqua" w:hAnsi="Book Antiqua" w:cstheme="majorHAnsi"/>
          <w:sz w:val="24"/>
          <w:szCs w:val="24"/>
        </w:rPr>
        <w:t xml:space="preserve"> referral center, </w:t>
      </w:r>
      <w:r w:rsidRPr="00110464">
        <w:rPr>
          <w:rFonts w:ascii="Book Antiqua" w:hAnsi="Book Antiqua" w:cstheme="majorHAnsi"/>
          <w:sz w:val="24"/>
          <w:szCs w:val="24"/>
        </w:rPr>
        <w:lastRenderedPageBreak/>
        <w:t>our cohort may not be representative of the general population or community practice BE population. Third, due to the retrospective nature of the study, some patients were lost to follow-up.</w:t>
      </w:r>
      <w:r w:rsidR="008340CE" w:rsidRPr="00110464">
        <w:rPr>
          <w:rFonts w:ascii="Book Antiqua" w:hAnsi="Book Antiqua" w:cstheme="majorHAnsi"/>
          <w:sz w:val="24"/>
          <w:szCs w:val="24"/>
        </w:rPr>
        <w:t xml:space="preserve"> Therefore, we could not assess </w:t>
      </w:r>
      <w:r w:rsidR="00ED206A" w:rsidRPr="00110464">
        <w:rPr>
          <w:rFonts w:ascii="Book Antiqua" w:hAnsi="Book Antiqua" w:cstheme="majorHAnsi"/>
          <w:sz w:val="24"/>
          <w:szCs w:val="24"/>
        </w:rPr>
        <w:t>long-term morbidity and mortality.</w:t>
      </w:r>
      <w:r w:rsidR="008340CE" w:rsidRPr="00110464">
        <w:rPr>
          <w:rFonts w:ascii="Book Antiqua" w:hAnsi="Book Antiqua" w:cstheme="majorHAnsi"/>
          <w:sz w:val="24"/>
          <w:szCs w:val="24"/>
        </w:rPr>
        <w:t xml:space="preserve"> </w:t>
      </w:r>
    </w:p>
    <w:p w14:paraId="7D4B2FB4" w14:textId="77777777" w:rsidR="00D4398F" w:rsidRPr="00110464" w:rsidRDefault="00D4398F" w:rsidP="006F6B36">
      <w:pPr>
        <w:snapToGrid w:val="0"/>
        <w:spacing w:line="360" w:lineRule="auto"/>
        <w:ind w:firstLineChars="100" w:firstLine="240"/>
        <w:rPr>
          <w:rFonts w:ascii="Book Antiqua" w:hAnsi="Book Antiqua" w:cstheme="majorHAnsi"/>
          <w:sz w:val="24"/>
          <w:szCs w:val="24"/>
        </w:rPr>
      </w:pPr>
      <w:r w:rsidRPr="00110464">
        <w:rPr>
          <w:rFonts w:ascii="Book Antiqua" w:hAnsi="Book Antiqua" w:cstheme="majorHAnsi"/>
          <w:sz w:val="24"/>
          <w:szCs w:val="24"/>
        </w:rPr>
        <w:t>In conclusion, we identified that</w:t>
      </w:r>
      <w:r w:rsidRPr="00110464">
        <w:rPr>
          <w:rFonts w:ascii="Book Antiqua" w:eastAsiaTheme="minorHAnsi" w:hAnsi="Book Antiqua" w:cstheme="majorHAnsi"/>
          <w:sz w:val="24"/>
          <w:szCs w:val="24"/>
        </w:rPr>
        <w:t xml:space="preserve"> patients ≤ 50 years old with </w:t>
      </w:r>
      <w:r w:rsidRPr="00110464">
        <w:rPr>
          <w:rFonts w:ascii="Book Antiqua" w:eastAsiaTheme="minorHAnsi" w:hAnsi="Book Antiqua" w:cstheme="majorHAnsi"/>
          <w:noProof/>
          <w:sz w:val="24"/>
          <w:szCs w:val="24"/>
        </w:rPr>
        <w:t>early-stage</w:t>
      </w:r>
      <w:r w:rsidRPr="00110464">
        <w:rPr>
          <w:rFonts w:ascii="Book Antiqua" w:eastAsiaTheme="minorHAnsi" w:hAnsi="Book Antiqua" w:cstheme="majorHAnsi"/>
          <w:sz w:val="24"/>
          <w:szCs w:val="24"/>
        </w:rPr>
        <w:t xml:space="preserve"> EAC or HGD had greater odds of having ongoing GERD symptoms and to be obese than older patients. Our results may serve to improve the selection of younger patients who would most benefit from screening endoscopy</w:t>
      </w:r>
      <w:r w:rsidRPr="00110464">
        <w:rPr>
          <w:rFonts w:ascii="Book Antiqua" w:hAnsi="Book Antiqua" w:cstheme="majorHAnsi"/>
          <w:sz w:val="24"/>
          <w:szCs w:val="24"/>
        </w:rPr>
        <w:t>.</w:t>
      </w:r>
      <w:r w:rsidRPr="00110464">
        <w:rPr>
          <w:rFonts w:ascii="Book Antiqua" w:eastAsiaTheme="minorHAnsi" w:hAnsi="Book Antiqua" w:cstheme="majorHAnsi"/>
          <w:sz w:val="24"/>
          <w:szCs w:val="24"/>
        </w:rPr>
        <w:t xml:space="preserve"> Further prospective studies are needed to clarify the risk factors specific to young patients with Barrett’s-related neoplasia.</w:t>
      </w:r>
    </w:p>
    <w:p w14:paraId="4871F5BD" w14:textId="77777777" w:rsidR="00D4398F" w:rsidRPr="00110464" w:rsidRDefault="00D4398F" w:rsidP="006F6B36">
      <w:pPr>
        <w:snapToGrid w:val="0"/>
        <w:spacing w:line="360" w:lineRule="auto"/>
        <w:rPr>
          <w:rFonts w:ascii="Book Antiqua" w:hAnsi="Book Antiqua" w:cstheme="majorHAnsi"/>
          <w:sz w:val="24"/>
          <w:szCs w:val="24"/>
        </w:rPr>
      </w:pPr>
    </w:p>
    <w:p w14:paraId="56ED3C7C" w14:textId="509DDB42" w:rsidR="009122BE" w:rsidRPr="00110464" w:rsidRDefault="009122BE" w:rsidP="006F6B36">
      <w:pPr>
        <w:adjustRightInd w:val="0"/>
        <w:snapToGrid w:val="0"/>
        <w:spacing w:line="360" w:lineRule="auto"/>
        <w:rPr>
          <w:rFonts w:ascii="Book Antiqua" w:hAnsi="Book Antiqua"/>
          <w:b/>
          <w:color w:val="000000"/>
          <w:sz w:val="24"/>
          <w:szCs w:val="24"/>
          <w:lang w:eastAsia="zh-CN"/>
        </w:rPr>
      </w:pPr>
      <w:bookmarkStart w:id="30" w:name="_Hlk5627588"/>
      <w:r w:rsidRPr="00110464">
        <w:rPr>
          <w:rFonts w:ascii="Book Antiqua" w:hAnsi="Book Antiqua" w:cs="Garamond-Bold"/>
          <w:b/>
          <w:bCs/>
          <w:sz w:val="24"/>
          <w:szCs w:val="24"/>
        </w:rPr>
        <w:t>ARTICLE HIGHLIGHTS</w:t>
      </w:r>
    </w:p>
    <w:bookmarkEnd w:id="30"/>
    <w:p w14:paraId="73AAB558" w14:textId="77777777"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background</w:t>
      </w:r>
    </w:p>
    <w:p w14:paraId="169E94A1" w14:textId="411B346F" w:rsidR="00D1400D" w:rsidRPr="00110464" w:rsidRDefault="00D1400D"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 xml:space="preserve">Older age is one of the most important risk factors for </w:t>
      </w:r>
      <w:r w:rsidR="007A19EF" w:rsidRPr="00110464">
        <w:rPr>
          <w:rFonts w:ascii="Book Antiqua" w:hAnsi="Book Antiqua" w:cstheme="majorHAnsi"/>
          <w:sz w:val="24"/>
          <w:szCs w:val="24"/>
        </w:rPr>
        <w:t>Barrett’s esophagus</w:t>
      </w:r>
      <w:r w:rsidRPr="00110464">
        <w:rPr>
          <w:rFonts w:ascii="Book Antiqua" w:hAnsi="Book Antiqua" w:cstheme="majorHAnsi"/>
          <w:sz w:val="24"/>
          <w:szCs w:val="24"/>
        </w:rPr>
        <w:t>. Most guidelines set the cut-off at age 50. On the other hand, the diagnosis of Barrett’s neoplasia in younger patients is becoming more common in daily clinical practice.</w:t>
      </w:r>
    </w:p>
    <w:p w14:paraId="0E6A5C1C" w14:textId="77777777" w:rsidR="007A19EF" w:rsidRPr="00110464" w:rsidRDefault="007A19EF" w:rsidP="006F6B36">
      <w:pPr>
        <w:snapToGrid w:val="0"/>
        <w:spacing w:line="360" w:lineRule="auto"/>
        <w:rPr>
          <w:rFonts w:ascii="Book Antiqua" w:hAnsi="Book Antiqua" w:cstheme="majorHAnsi"/>
          <w:sz w:val="24"/>
          <w:szCs w:val="24"/>
        </w:rPr>
      </w:pPr>
    </w:p>
    <w:p w14:paraId="10922569" w14:textId="06282C22"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motivation</w:t>
      </w:r>
    </w:p>
    <w:p w14:paraId="4E31CB93" w14:textId="69D97D12" w:rsidR="00D1400D" w:rsidRPr="00110464" w:rsidRDefault="00D1400D"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 xml:space="preserve">The clinical characteristics of these younger esophageal adenocarcinoma (EAC) </w:t>
      </w:r>
      <w:r w:rsidR="00B25AA2" w:rsidRPr="00110464">
        <w:rPr>
          <w:rFonts w:ascii="Book Antiqua" w:hAnsi="Book Antiqua" w:cstheme="majorHAnsi"/>
          <w:sz w:val="24"/>
          <w:szCs w:val="24"/>
        </w:rPr>
        <w:t xml:space="preserve">and high-grade dysplasia (HGD) </w:t>
      </w:r>
      <w:r w:rsidRPr="00110464">
        <w:rPr>
          <w:rFonts w:ascii="Book Antiqua" w:hAnsi="Book Antiqua" w:cstheme="majorHAnsi"/>
          <w:sz w:val="24"/>
          <w:szCs w:val="24"/>
        </w:rPr>
        <w:t xml:space="preserve">patients are poorly known. If this younger cohort differs significantly with respect to specific clinical characteristics from the more typical age category of </w:t>
      </w:r>
      <w:r w:rsidR="00B25AA2" w:rsidRPr="00110464">
        <w:rPr>
          <w:rFonts w:ascii="Book Antiqua" w:hAnsi="Book Antiqua" w:cstheme="majorHAnsi"/>
          <w:sz w:val="24"/>
          <w:szCs w:val="24"/>
        </w:rPr>
        <w:t>Barrett’s</w:t>
      </w:r>
      <w:r w:rsidRPr="00110464">
        <w:rPr>
          <w:rFonts w:ascii="Book Antiqua" w:hAnsi="Book Antiqua" w:cstheme="majorHAnsi"/>
          <w:sz w:val="24"/>
          <w:szCs w:val="24"/>
        </w:rPr>
        <w:t xml:space="preserve"> neoplasia, these features could help to improve screening recommendations.</w:t>
      </w:r>
    </w:p>
    <w:p w14:paraId="60B41108" w14:textId="77777777" w:rsidR="00D1400D" w:rsidRPr="00110464" w:rsidRDefault="00D1400D" w:rsidP="006F6B36">
      <w:pPr>
        <w:snapToGrid w:val="0"/>
        <w:spacing w:line="360" w:lineRule="auto"/>
        <w:rPr>
          <w:rFonts w:ascii="Book Antiqua" w:hAnsi="Book Antiqua" w:cstheme="majorHAnsi"/>
          <w:sz w:val="24"/>
          <w:szCs w:val="24"/>
        </w:rPr>
      </w:pPr>
    </w:p>
    <w:p w14:paraId="7E96F564" w14:textId="77777777"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objectives</w:t>
      </w:r>
    </w:p>
    <w:p w14:paraId="3223D702" w14:textId="4BB7590B" w:rsidR="00D1400D" w:rsidRPr="00110464" w:rsidRDefault="00D1400D"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 xml:space="preserve">To identify factors </w:t>
      </w:r>
      <w:r w:rsidRPr="00110464">
        <w:rPr>
          <w:rFonts w:ascii="Book Antiqua" w:hAnsi="Book Antiqua" w:cstheme="majorHAnsi"/>
          <w:noProof/>
          <w:sz w:val="24"/>
          <w:szCs w:val="24"/>
        </w:rPr>
        <w:t>associated</w:t>
      </w:r>
      <w:r w:rsidRPr="00110464">
        <w:rPr>
          <w:rFonts w:ascii="Book Antiqua" w:hAnsi="Book Antiqua" w:cstheme="majorHAnsi"/>
          <w:sz w:val="24"/>
          <w:szCs w:val="24"/>
        </w:rPr>
        <w:t xml:space="preserve"> with the development of Barrett’s neoplasia occurring in younger patients.</w:t>
      </w:r>
    </w:p>
    <w:p w14:paraId="1F74C8F6" w14:textId="77777777" w:rsidR="00D1400D" w:rsidRPr="00110464" w:rsidRDefault="00D1400D" w:rsidP="006F6B36">
      <w:pPr>
        <w:snapToGrid w:val="0"/>
        <w:spacing w:line="360" w:lineRule="auto"/>
        <w:rPr>
          <w:rFonts w:ascii="Book Antiqua" w:hAnsi="Book Antiqua" w:cstheme="majorHAnsi"/>
          <w:sz w:val="24"/>
          <w:szCs w:val="24"/>
        </w:rPr>
      </w:pPr>
    </w:p>
    <w:p w14:paraId="4262FE2B" w14:textId="23FC41CB"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methods</w:t>
      </w:r>
    </w:p>
    <w:p w14:paraId="470884A4" w14:textId="3A174A48" w:rsidR="00D1400D" w:rsidRPr="00110464" w:rsidRDefault="00B25AA2" w:rsidP="006F6B36">
      <w:pPr>
        <w:snapToGrid w:val="0"/>
        <w:spacing w:line="360" w:lineRule="auto"/>
        <w:rPr>
          <w:rFonts w:ascii="Book Antiqua" w:eastAsia="MS Mincho" w:hAnsi="Book Antiqua" w:cstheme="majorHAnsi"/>
          <w:sz w:val="24"/>
          <w:szCs w:val="24"/>
        </w:rPr>
      </w:pPr>
      <w:r w:rsidRPr="00110464">
        <w:rPr>
          <w:rFonts w:ascii="Book Antiqua" w:eastAsia="MS Mincho" w:hAnsi="Book Antiqua" w:cstheme="majorHAnsi"/>
          <w:sz w:val="24"/>
          <w:szCs w:val="24"/>
        </w:rPr>
        <w:t>A</w:t>
      </w:r>
      <w:r w:rsidR="00D1400D" w:rsidRPr="00110464">
        <w:rPr>
          <w:rFonts w:ascii="Book Antiqua" w:eastAsia="MS Mincho" w:hAnsi="Book Antiqua" w:cstheme="majorHAnsi"/>
          <w:sz w:val="24"/>
          <w:szCs w:val="24"/>
        </w:rPr>
        <w:t xml:space="preserve"> retrospective analysis of a prospectively maintained database comprised of consecutive patients with early-stage EAC (pT1) and HGD at a tertiary-referral center between 2001 and 2017</w:t>
      </w:r>
      <w:r w:rsidRPr="00110464">
        <w:rPr>
          <w:rFonts w:ascii="Book Antiqua" w:eastAsia="MS Mincho" w:hAnsi="Book Antiqua" w:cstheme="majorHAnsi"/>
          <w:sz w:val="24"/>
          <w:szCs w:val="24"/>
        </w:rPr>
        <w:t xml:space="preserve"> was conducted</w:t>
      </w:r>
      <w:r w:rsidR="00D1400D" w:rsidRPr="00110464">
        <w:rPr>
          <w:rFonts w:ascii="Book Antiqua" w:eastAsia="MS Mincho" w:hAnsi="Book Antiqua" w:cstheme="majorHAnsi"/>
          <w:sz w:val="24"/>
          <w:szCs w:val="24"/>
        </w:rPr>
        <w:t xml:space="preserve">. Baseline characteristics, drug and risk factor exposures, clinicopathological staging of EAC/HGD and treatment outcomes </w:t>
      </w:r>
      <w:r w:rsidR="007A19EF" w:rsidRPr="00110464">
        <w:rPr>
          <w:rFonts w:ascii="Book Antiqua" w:eastAsia="MS Mincho" w:hAnsi="Book Antiqua" w:cstheme="majorHAnsi"/>
          <w:sz w:val="24"/>
          <w:szCs w:val="24"/>
        </w:rPr>
        <w:t>[</w:t>
      </w:r>
      <w:r w:rsidR="00D1400D" w:rsidRPr="00110464">
        <w:rPr>
          <w:rFonts w:ascii="Book Antiqua" w:eastAsia="MS Mincho" w:hAnsi="Book Antiqua" w:cstheme="majorHAnsi"/>
          <w:sz w:val="24"/>
          <w:szCs w:val="24"/>
        </w:rPr>
        <w:t xml:space="preserve">complete eradication of </w:t>
      </w:r>
      <w:r w:rsidR="00D1400D" w:rsidRPr="00110464">
        <w:rPr>
          <w:rFonts w:ascii="Book Antiqua" w:eastAsia="MS Mincho" w:hAnsi="Book Antiqua" w:cstheme="majorHAnsi"/>
          <w:sz w:val="24"/>
          <w:szCs w:val="24"/>
        </w:rPr>
        <w:lastRenderedPageBreak/>
        <w:t xml:space="preserve">neoplasia </w:t>
      </w:r>
      <w:r w:rsidR="007A19EF" w:rsidRPr="00110464">
        <w:rPr>
          <w:rFonts w:ascii="Book Antiqua" w:eastAsia="MS Mincho" w:hAnsi="Book Antiqua" w:cstheme="majorHAnsi"/>
          <w:sz w:val="24"/>
          <w:szCs w:val="24"/>
        </w:rPr>
        <w:t>(</w:t>
      </w:r>
      <w:r w:rsidR="00D1400D" w:rsidRPr="00110464">
        <w:rPr>
          <w:rFonts w:ascii="Book Antiqua" w:eastAsia="MS Mincho" w:hAnsi="Book Antiqua" w:cstheme="majorHAnsi"/>
          <w:sz w:val="24"/>
          <w:szCs w:val="24"/>
        </w:rPr>
        <w:t>CE-N</w:t>
      </w:r>
      <w:r w:rsidR="007A19EF" w:rsidRPr="00110464">
        <w:rPr>
          <w:rFonts w:ascii="Book Antiqua" w:eastAsia="MS Mincho" w:hAnsi="Book Antiqua" w:cstheme="majorHAnsi"/>
          <w:sz w:val="24"/>
          <w:szCs w:val="24"/>
        </w:rPr>
        <w:t>)</w:t>
      </w:r>
      <w:r w:rsidR="00D1400D" w:rsidRPr="00110464">
        <w:rPr>
          <w:rFonts w:ascii="Book Antiqua" w:eastAsia="MS Mincho" w:hAnsi="Book Antiqua" w:cstheme="majorHAnsi"/>
          <w:sz w:val="24"/>
          <w:szCs w:val="24"/>
        </w:rPr>
        <w:t xml:space="preserve">, complete eradication of intestinal metaplasia </w:t>
      </w:r>
      <w:r w:rsidR="007A19EF" w:rsidRPr="00110464">
        <w:rPr>
          <w:rFonts w:ascii="Book Antiqua" w:eastAsia="MS Mincho" w:hAnsi="Book Antiqua" w:cstheme="majorHAnsi"/>
          <w:sz w:val="24"/>
          <w:szCs w:val="24"/>
        </w:rPr>
        <w:t>(</w:t>
      </w:r>
      <w:r w:rsidR="00D1400D" w:rsidRPr="00110464">
        <w:rPr>
          <w:rFonts w:ascii="Book Antiqua" w:eastAsia="MS Mincho" w:hAnsi="Book Antiqua" w:cstheme="majorHAnsi"/>
          <w:sz w:val="24"/>
          <w:szCs w:val="24"/>
        </w:rPr>
        <w:t>CE-IM</w:t>
      </w:r>
      <w:r w:rsidR="007A19EF" w:rsidRPr="00110464">
        <w:rPr>
          <w:rFonts w:ascii="Book Antiqua" w:eastAsia="MS Mincho" w:hAnsi="Book Antiqua" w:cstheme="majorHAnsi"/>
          <w:sz w:val="24"/>
          <w:szCs w:val="24"/>
        </w:rPr>
        <w:t>)</w:t>
      </w:r>
      <w:r w:rsidR="00D1400D" w:rsidRPr="00110464">
        <w:rPr>
          <w:rFonts w:ascii="Book Antiqua" w:eastAsia="MS Mincho" w:hAnsi="Book Antiqua" w:cstheme="majorHAnsi"/>
          <w:sz w:val="24"/>
          <w:szCs w:val="24"/>
        </w:rPr>
        <w:t>, recurrence of neoplasia and recurrence of intestinal metaplasia) were retrieved. Multivariate analyses were performed to identify factors that differed significantly between older and younger (≤</w:t>
      </w:r>
      <w:r w:rsidR="007A19EF" w:rsidRPr="00110464">
        <w:rPr>
          <w:rFonts w:ascii="Book Antiqua" w:eastAsia="MS Mincho" w:hAnsi="Book Antiqua" w:cstheme="majorHAnsi"/>
          <w:sz w:val="24"/>
          <w:szCs w:val="24"/>
        </w:rPr>
        <w:t xml:space="preserve"> </w:t>
      </w:r>
      <w:r w:rsidR="00D1400D" w:rsidRPr="00110464">
        <w:rPr>
          <w:rFonts w:ascii="Book Antiqua" w:eastAsia="MS Mincho" w:hAnsi="Book Antiqua" w:cstheme="majorHAnsi"/>
          <w:sz w:val="24"/>
          <w:szCs w:val="24"/>
        </w:rPr>
        <w:t>50 years) patients.</w:t>
      </w:r>
    </w:p>
    <w:p w14:paraId="111AAA6B" w14:textId="77777777" w:rsidR="00D1400D" w:rsidRPr="00110464" w:rsidRDefault="00D1400D" w:rsidP="006F6B36">
      <w:pPr>
        <w:snapToGrid w:val="0"/>
        <w:spacing w:line="360" w:lineRule="auto"/>
        <w:rPr>
          <w:rFonts w:ascii="Book Antiqua" w:hAnsi="Book Antiqua" w:cstheme="majorHAnsi"/>
          <w:sz w:val="24"/>
          <w:szCs w:val="24"/>
        </w:rPr>
      </w:pPr>
    </w:p>
    <w:p w14:paraId="0E0A6C41" w14:textId="651927D9"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results</w:t>
      </w:r>
    </w:p>
    <w:p w14:paraId="307ACE88" w14:textId="496C6312" w:rsidR="00B25AA2" w:rsidRPr="00110464" w:rsidRDefault="00B25AA2" w:rsidP="006F6B36">
      <w:pPr>
        <w:snapToGrid w:val="0"/>
        <w:spacing w:line="360" w:lineRule="auto"/>
        <w:rPr>
          <w:rFonts w:ascii="Book Antiqua" w:hAnsi="Book Antiqua" w:cstheme="majorHAnsi"/>
          <w:sz w:val="24"/>
          <w:szCs w:val="24"/>
        </w:rPr>
      </w:pPr>
      <w:r w:rsidRPr="00110464">
        <w:rPr>
          <w:rFonts w:ascii="Book Antiqua" w:eastAsia="MS Mincho" w:hAnsi="Book Antiqua" w:cstheme="majorHAnsi"/>
          <w:sz w:val="24"/>
          <w:szCs w:val="24"/>
        </w:rPr>
        <w:t>Four hundred fifty patients with T1 EAC and HGD were enrolled in this study. Forty-five patients (10%) were ≤</w:t>
      </w:r>
      <w:r w:rsidR="007A19EF" w:rsidRPr="00110464">
        <w:rPr>
          <w:rFonts w:ascii="Book Antiqua" w:eastAsia="MS Mincho" w:hAnsi="Book Antiqua" w:cstheme="majorHAnsi"/>
          <w:sz w:val="24"/>
          <w:szCs w:val="24"/>
        </w:rPr>
        <w:t xml:space="preserve"> </w:t>
      </w:r>
      <w:r w:rsidRPr="00110464">
        <w:rPr>
          <w:rFonts w:ascii="Book Antiqua" w:eastAsia="MS Mincho" w:hAnsi="Book Antiqua" w:cstheme="majorHAnsi"/>
          <w:sz w:val="24"/>
          <w:szCs w:val="24"/>
        </w:rPr>
        <w:t xml:space="preserve">50 years. Compared to the older group, young patients were more likely to have ongoing </w:t>
      </w:r>
      <w:r w:rsidR="007A19EF" w:rsidRPr="00110464">
        <w:rPr>
          <w:rFonts w:ascii="Book Antiqua" w:eastAsia="MS Mincho" w:hAnsi="Book Antiqua" w:cstheme="majorHAnsi"/>
          <w:sz w:val="24"/>
          <w:szCs w:val="24"/>
        </w:rPr>
        <w:t>gastroesophageal reflux disease (</w:t>
      </w:r>
      <w:r w:rsidRPr="00110464">
        <w:rPr>
          <w:rFonts w:ascii="Book Antiqua" w:eastAsia="MS Mincho" w:hAnsi="Book Antiqua" w:cstheme="majorHAnsi"/>
          <w:sz w:val="24"/>
          <w:szCs w:val="24"/>
        </w:rPr>
        <w:t>GERD</w:t>
      </w:r>
      <w:r w:rsidR="007A19EF" w:rsidRPr="00110464">
        <w:rPr>
          <w:rFonts w:ascii="Book Antiqua" w:eastAsia="MS Mincho" w:hAnsi="Book Antiqua" w:cstheme="majorHAnsi"/>
          <w:sz w:val="24"/>
          <w:szCs w:val="24"/>
        </w:rPr>
        <w:t>)</w:t>
      </w:r>
      <w:r w:rsidRPr="00110464">
        <w:rPr>
          <w:rFonts w:ascii="Book Antiqua" w:eastAsia="MS Mincho" w:hAnsi="Book Antiqua" w:cstheme="majorHAnsi"/>
          <w:sz w:val="24"/>
          <w:szCs w:val="24"/>
        </w:rPr>
        <w:t xml:space="preserve"> symptoms and to be obese. </w:t>
      </w:r>
      <w:r w:rsidR="002C56B5" w:rsidRPr="00110464">
        <w:rPr>
          <w:rFonts w:ascii="Book Antiqua" w:eastAsia="MS Mincho" w:hAnsi="Book Antiqua" w:cstheme="majorHAnsi"/>
          <w:sz w:val="24"/>
          <w:szCs w:val="24"/>
        </w:rPr>
        <w:t>The same pattern of differences was maintained with an even greater magnitude of effects on multivariate analysis.</w:t>
      </w:r>
      <w:r w:rsidRPr="00110464">
        <w:rPr>
          <w:rFonts w:ascii="Book Antiqua" w:eastAsia="MS Mincho" w:hAnsi="Book Antiqua" w:cstheme="majorHAnsi"/>
          <w:sz w:val="24"/>
          <w:szCs w:val="24"/>
        </w:rPr>
        <w:t xml:space="preserve"> However, there were no significant differences regarding tumor histology, CE-N, CE-IM, recurrence of neoplasia and recurrence of intestinal metaplasia (mean follow-up, 44.3 </w:t>
      </w:r>
      <w:proofErr w:type="spellStart"/>
      <w:r w:rsidRPr="00110464">
        <w:rPr>
          <w:rFonts w:ascii="Book Antiqua" w:eastAsia="MS Mincho" w:hAnsi="Book Antiqua" w:cstheme="majorHAnsi"/>
          <w:sz w:val="24"/>
          <w:szCs w:val="24"/>
        </w:rPr>
        <w:t>mo</w:t>
      </w:r>
      <w:proofErr w:type="spellEnd"/>
      <w:r w:rsidRPr="00110464">
        <w:rPr>
          <w:rFonts w:ascii="Book Antiqua" w:eastAsia="MS Mincho" w:hAnsi="Book Antiqua" w:cstheme="majorHAnsi"/>
          <w:sz w:val="24"/>
          <w:szCs w:val="24"/>
        </w:rPr>
        <w:t>).</w:t>
      </w:r>
      <w:r w:rsidR="002C56B5" w:rsidRPr="00110464">
        <w:rPr>
          <w:rFonts w:ascii="Book Antiqua" w:hAnsi="Book Antiqua" w:cstheme="majorHAnsi"/>
          <w:sz w:val="24"/>
          <w:szCs w:val="24"/>
        </w:rPr>
        <w:t xml:space="preserve"> </w:t>
      </w:r>
    </w:p>
    <w:p w14:paraId="4D6FFD78" w14:textId="77777777" w:rsidR="00B25AA2" w:rsidRPr="00110464" w:rsidRDefault="00B25AA2" w:rsidP="006F6B36">
      <w:pPr>
        <w:snapToGrid w:val="0"/>
        <w:spacing w:line="360" w:lineRule="auto"/>
        <w:rPr>
          <w:rFonts w:ascii="Book Antiqua" w:hAnsi="Book Antiqua" w:cstheme="majorHAnsi"/>
          <w:sz w:val="24"/>
          <w:szCs w:val="24"/>
        </w:rPr>
      </w:pPr>
    </w:p>
    <w:p w14:paraId="6307F579" w14:textId="7251F6A5"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conclusions</w:t>
      </w:r>
    </w:p>
    <w:p w14:paraId="359807D8" w14:textId="17941FEA" w:rsidR="001D2883" w:rsidRPr="00110464" w:rsidRDefault="001D2883"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t>We identified that</w:t>
      </w:r>
      <w:r w:rsidRPr="00110464">
        <w:rPr>
          <w:rFonts w:ascii="Book Antiqua" w:eastAsiaTheme="minorHAnsi" w:hAnsi="Book Antiqua" w:cstheme="majorHAnsi"/>
          <w:sz w:val="24"/>
          <w:szCs w:val="24"/>
        </w:rPr>
        <w:t xml:space="preserve"> patients ≤ 50 years old with </w:t>
      </w:r>
      <w:r w:rsidRPr="00110464">
        <w:rPr>
          <w:rFonts w:ascii="Book Antiqua" w:eastAsiaTheme="minorHAnsi" w:hAnsi="Book Antiqua" w:cstheme="majorHAnsi"/>
          <w:noProof/>
          <w:sz w:val="24"/>
          <w:szCs w:val="24"/>
        </w:rPr>
        <w:t>early-stage</w:t>
      </w:r>
      <w:r w:rsidRPr="00110464">
        <w:rPr>
          <w:rFonts w:ascii="Book Antiqua" w:eastAsiaTheme="minorHAnsi" w:hAnsi="Book Antiqua" w:cstheme="majorHAnsi"/>
          <w:sz w:val="24"/>
          <w:szCs w:val="24"/>
        </w:rPr>
        <w:t xml:space="preserve"> EAC or HGD had greater odds of having ongoing GERD symptoms and to be obese than older patients. Our results may serve to improve the selection of younger patients who would most benefit from screening endoscopy</w:t>
      </w:r>
      <w:r w:rsidRPr="00110464">
        <w:rPr>
          <w:rFonts w:ascii="Book Antiqua" w:hAnsi="Book Antiqua" w:cstheme="majorHAnsi"/>
          <w:sz w:val="24"/>
          <w:szCs w:val="24"/>
        </w:rPr>
        <w:t>.</w:t>
      </w:r>
    </w:p>
    <w:p w14:paraId="2471A796" w14:textId="77777777" w:rsidR="001D2883" w:rsidRPr="00110464" w:rsidRDefault="001D2883" w:rsidP="006F6B36">
      <w:pPr>
        <w:snapToGrid w:val="0"/>
        <w:spacing w:line="360" w:lineRule="auto"/>
        <w:rPr>
          <w:rFonts w:ascii="Book Antiqua" w:hAnsi="Book Antiqua" w:cstheme="majorHAnsi"/>
          <w:sz w:val="24"/>
          <w:szCs w:val="24"/>
        </w:rPr>
      </w:pPr>
    </w:p>
    <w:p w14:paraId="0C874E38" w14:textId="77777777" w:rsidR="00D1400D" w:rsidRPr="00110464" w:rsidRDefault="00D1400D" w:rsidP="006F6B36">
      <w:pPr>
        <w:snapToGrid w:val="0"/>
        <w:spacing w:line="360" w:lineRule="auto"/>
        <w:rPr>
          <w:rFonts w:ascii="Book Antiqua" w:hAnsi="Book Antiqua" w:cstheme="majorHAnsi"/>
          <w:b/>
          <w:i/>
          <w:sz w:val="24"/>
          <w:szCs w:val="24"/>
        </w:rPr>
      </w:pPr>
      <w:r w:rsidRPr="00110464">
        <w:rPr>
          <w:rFonts w:ascii="Book Antiqua" w:hAnsi="Book Antiqua" w:cstheme="majorHAnsi"/>
          <w:b/>
          <w:i/>
          <w:sz w:val="24"/>
          <w:szCs w:val="24"/>
        </w:rPr>
        <w:t>Research perspectives</w:t>
      </w:r>
    </w:p>
    <w:p w14:paraId="4A278082" w14:textId="503E6834" w:rsidR="009122BE" w:rsidRPr="00110464" w:rsidRDefault="005773D1" w:rsidP="006F6B36">
      <w:pPr>
        <w:snapToGrid w:val="0"/>
        <w:spacing w:line="360" w:lineRule="auto"/>
        <w:rPr>
          <w:rFonts w:ascii="Book Antiqua" w:hAnsi="Book Antiqua" w:cstheme="majorHAnsi"/>
          <w:sz w:val="24"/>
          <w:szCs w:val="24"/>
        </w:rPr>
      </w:pPr>
      <w:r w:rsidRPr="00110464">
        <w:rPr>
          <w:rFonts w:ascii="Book Antiqua" w:eastAsiaTheme="minorHAnsi" w:hAnsi="Book Antiqua" w:cstheme="majorHAnsi"/>
          <w:sz w:val="24"/>
          <w:szCs w:val="24"/>
        </w:rPr>
        <w:t>Further prospective studies are needed to clarify the risk factors specific to young patients with Barrett’s-related neoplasia.</w:t>
      </w:r>
    </w:p>
    <w:p w14:paraId="013D59CC" w14:textId="77777777" w:rsidR="00627A75" w:rsidRPr="00110464" w:rsidRDefault="00627A75" w:rsidP="006F6B36">
      <w:pPr>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29AA98A3" w14:textId="77777777" w:rsidR="00627A75" w:rsidRPr="00110464" w:rsidRDefault="00627A75" w:rsidP="006F6B36">
      <w:pPr>
        <w:snapToGrid w:val="0"/>
        <w:spacing w:line="360" w:lineRule="auto"/>
        <w:rPr>
          <w:rFonts w:ascii="Book Antiqua" w:hAnsi="Book Antiqua" w:cstheme="majorHAnsi"/>
          <w:b/>
          <w:sz w:val="24"/>
          <w:szCs w:val="24"/>
        </w:rPr>
      </w:pPr>
      <w:r w:rsidRPr="00110464">
        <w:rPr>
          <w:rFonts w:ascii="Book Antiqua" w:hAnsi="Book Antiqua" w:cstheme="majorHAnsi"/>
          <w:b/>
          <w:sz w:val="24"/>
          <w:szCs w:val="24"/>
        </w:rPr>
        <w:lastRenderedPageBreak/>
        <w:t>REFERENCES</w:t>
      </w:r>
    </w:p>
    <w:p w14:paraId="13AAE4B2"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 </w:t>
      </w:r>
      <w:proofErr w:type="spellStart"/>
      <w:r w:rsidRPr="00110464">
        <w:rPr>
          <w:rFonts w:ascii="Book Antiqua" w:eastAsia="DengXian" w:hAnsi="Book Antiqua" w:cs="Times New Roman"/>
          <w:b/>
          <w:sz w:val="24"/>
          <w:szCs w:val="24"/>
          <w:lang w:eastAsia="zh-CN"/>
        </w:rPr>
        <w:t>Hameeteman</w:t>
      </w:r>
      <w:proofErr w:type="spellEnd"/>
      <w:r w:rsidRPr="00110464">
        <w:rPr>
          <w:rFonts w:ascii="Book Antiqua" w:eastAsia="DengXian" w:hAnsi="Book Antiqua" w:cs="Times New Roman"/>
          <w:b/>
          <w:sz w:val="24"/>
          <w:szCs w:val="24"/>
          <w:lang w:eastAsia="zh-CN"/>
        </w:rPr>
        <w:t xml:space="preserve"> W</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Tytgat</w:t>
      </w:r>
      <w:proofErr w:type="spellEnd"/>
      <w:r w:rsidRPr="00110464">
        <w:rPr>
          <w:rFonts w:ascii="Book Antiqua" w:eastAsia="DengXian" w:hAnsi="Book Antiqua" w:cs="Times New Roman"/>
          <w:sz w:val="24"/>
          <w:szCs w:val="24"/>
          <w:lang w:eastAsia="zh-CN"/>
        </w:rPr>
        <w:t xml:space="preserve"> GN, </w:t>
      </w:r>
      <w:proofErr w:type="spellStart"/>
      <w:r w:rsidRPr="00110464">
        <w:rPr>
          <w:rFonts w:ascii="Book Antiqua" w:eastAsia="DengXian" w:hAnsi="Book Antiqua" w:cs="Times New Roman"/>
          <w:sz w:val="24"/>
          <w:szCs w:val="24"/>
          <w:lang w:eastAsia="zh-CN"/>
        </w:rPr>
        <w:t>Houthoff</w:t>
      </w:r>
      <w:proofErr w:type="spellEnd"/>
      <w:r w:rsidRPr="00110464">
        <w:rPr>
          <w:rFonts w:ascii="Book Antiqua" w:eastAsia="DengXian" w:hAnsi="Book Antiqua" w:cs="Times New Roman"/>
          <w:sz w:val="24"/>
          <w:szCs w:val="24"/>
          <w:lang w:eastAsia="zh-CN"/>
        </w:rPr>
        <w:t xml:space="preserve"> HJ, van den Tweel JG. Barrett's esophagus: Development of dysplasia and adenocarcinoma. </w:t>
      </w:r>
      <w:r w:rsidRPr="00110464">
        <w:rPr>
          <w:rFonts w:ascii="Book Antiqua" w:eastAsia="DengXian" w:hAnsi="Book Antiqua" w:cs="Times New Roman"/>
          <w:i/>
          <w:sz w:val="24"/>
          <w:szCs w:val="24"/>
          <w:lang w:eastAsia="zh-CN"/>
        </w:rPr>
        <w:t>Gastroenterology</w:t>
      </w:r>
      <w:r w:rsidRPr="00110464">
        <w:rPr>
          <w:rFonts w:ascii="Book Antiqua" w:eastAsia="DengXian" w:hAnsi="Book Antiqua" w:cs="Times New Roman"/>
          <w:sz w:val="24"/>
          <w:szCs w:val="24"/>
          <w:lang w:eastAsia="zh-CN"/>
        </w:rPr>
        <w:t xml:space="preserve"> 1989; </w:t>
      </w:r>
      <w:r w:rsidRPr="00110464">
        <w:rPr>
          <w:rFonts w:ascii="Book Antiqua" w:eastAsia="DengXian" w:hAnsi="Book Antiqua" w:cs="Times New Roman"/>
          <w:b/>
          <w:sz w:val="24"/>
          <w:szCs w:val="24"/>
          <w:lang w:eastAsia="zh-CN"/>
        </w:rPr>
        <w:t>96</w:t>
      </w:r>
      <w:r w:rsidRPr="00110464">
        <w:rPr>
          <w:rFonts w:ascii="Book Antiqua" w:eastAsia="DengXian" w:hAnsi="Book Antiqua" w:cs="Times New Roman"/>
          <w:sz w:val="24"/>
          <w:szCs w:val="24"/>
          <w:lang w:eastAsia="zh-CN"/>
        </w:rPr>
        <w:t>: 1249-1256 [PMID: 2703113 DOI: 10.1016/S0016-5085(89)80011-3]</w:t>
      </w:r>
    </w:p>
    <w:p w14:paraId="1E1431F8"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2 National Cancer Institute.</w:t>
      </w:r>
      <w:r w:rsidRPr="00110464">
        <w:rPr>
          <w:rFonts w:ascii="Book Antiqua" w:eastAsia="DengXian" w:hAnsi="Book Antiqua" w:cs="Times New Roman"/>
          <w:b/>
          <w:sz w:val="24"/>
          <w:szCs w:val="24"/>
          <w:lang w:eastAsia="zh-CN"/>
        </w:rPr>
        <w:t xml:space="preserve"> </w:t>
      </w:r>
      <w:r w:rsidRPr="00110464">
        <w:rPr>
          <w:rFonts w:ascii="Book Antiqua" w:eastAsia="DengXian" w:hAnsi="Book Antiqua" w:cs="Times New Roman"/>
          <w:sz w:val="24"/>
          <w:szCs w:val="24"/>
          <w:lang w:eastAsia="zh-CN"/>
        </w:rPr>
        <w:t xml:space="preserve">SEER Cancer Stat Facts: Esophageal Cancer. Bethesda, MD: National Cancer Institute, 2016. </w:t>
      </w:r>
      <w:r w:rsidRPr="00110464">
        <w:rPr>
          <w:rFonts w:ascii="Book Antiqua" w:eastAsia="Times New Roman" w:hAnsi="Book Antiqua" w:cs="Times New Roman"/>
          <w:bCs/>
          <w:sz w:val="24"/>
          <w:szCs w:val="24"/>
          <w:lang w:eastAsia="zh-CN"/>
        </w:rPr>
        <w:t>Available from: https://seer.cancer.gov/statfacts/html/esoph.html</w:t>
      </w:r>
    </w:p>
    <w:p w14:paraId="07CDBE81"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3 </w:t>
      </w:r>
      <w:proofErr w:type="spellStart"/>
      <w:r w:rsidRPr="00110464">
        <w:rPr>
          <w:rFonts w:ascii="Book Antiqua" w:eastAsia="DengXian" w:hAnsi="Book Antiqua" w:cs="Times New Roman"/>
          <w:b/>
          <w:sz w:val="24"/>
          <w:szCs w:val="24"/>
          <w:lang w:eastAsia="zh-CN"/>
        </w:rPr>
        <w:t>Weusten</w:t>
      </w:r>
      <w:proofErr w:type="spellEnd"/>
      <w:r w:rsidRPr="00110464">
        <w:rPr>
          <w:rFonts w:ascii="Book Antiqua" w:eastAsia="DengXian" w:hAnsi="Book Antiqua" w:cs="Times New Roman"/>
          <w:b/>
          <w:sz w:val="24"/>
          <w:szCs w:val="24"/>
          <w:lang w:eastAsia="zh-CN"/>
        </w:rPr>
        <w:t xml:space="preserve"> B</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Bisschops</w:t>
      </w:r>
      <w:proofErr w:type="spellEnd"/>
      <w:r w:rsidRPr="00110464">
        <w:rPr>
          <w:rFonts w:ascii="Book Antiqua" w:eastAsia="DengXian" w:hAnsi="Book Antiqua" w:cs="Times New Roman"/>
          <w:sz w:val="24"/>
          <w:szCs w:val="24"/>
          <w:lang w:eastAsia="zh-CN"/>
        </w:rPr>
        <w:t xml:space="preserve"> R, </w:t>
      </w:r>
      <w:proofErr w:type="spellStart"/>
      <w:r w:rsidRPr="00110464">
        <w:rPr>
          <w:rFonts w:ascii="Book Antiqua" w:eastAsia="DengXian" w:hAnsi="Book Antiqua" w:cs="Times New Roman"/>
          <w:sz w:val="24"/>
          <w:szCs w:val="24"/>
          <w:lang w:eastAsia="zh-CN"/>
        </w:rPr>
        <w:t>Coron</w:t>
      </w:r>
      <w:proofErr w:type="spellEnd"/>
      <w:r w:rsidRPr="00110464">
        <w:rPr>
          <w:rFonts w:ascii="Book Antiqua" w:eastAsia="DengXian" w:hAnsi="Book Antiqua" w:cs="Times New Roman"/>
          <w:sz w:val="24"/>
          <w:szCs w:val="24"/>
          <w:lang w:eastAsia="zh-CN"/>
        </w:rPr>
        <w:t xml:space="preserve"> E, </w:t>
      </w:r>
      <w:proofErr w:type="spellStart"/>
      <w:r w:rsidRPr="00110464">
        <w:rPr>
          <w:rFonts w:ascii="Book Antiqua" w:eastAsia="DengXian" w:hAnsi="Book Antiqua" w:cs="Times New Roman"/>
          <w:sz w:val="24"/>
          <w:szCs w:val="24"/>
          <w:lang w:eastAsia="zh-CN"/>
        </w:rPr>
        <w:t>Dinis-Ribeiro</w:t>
      </w:r>
      <w:proofErr w:type="spellEnd"/>
      <w:r w:rsidRPr="00110464">
        <w:rPr>
          <w:rFonts w:ascii="Book Antiqua" w:eastAsia="DengXian" w:hAnsi="Book Antiqua" w:cs="Times New Roman"/>
          <w:sz w:val="24"/>
          <w:szCs w:val="24"/>
          <w:lang w:eastAsia="zh-CN"/>
        </w:rPr>
        <w:t xml:space="preserve"> M, </w:t>
      </w:r>
      <w:proofErr w:type="spellStart"/>
      <w:r w:rsidRPr="00110464">
        <w:rPr>
          <w:rFonts w:ascii="Book Antiqua" w:eastAsia="DengXian" w:hAnsi="Book Antiqua" w:cs="Times New Roman"/>
          <w:sz w:val="24"/>
          <w:szCs w:val="24"/>
          <w:lang w:eastAsia="zh-CN"/>
        </w:rPr>
        <w:t>Dumonceau</w:t>
      </w:r>
      <w:proofErr w:type="spellEnd"/>
      <w:r w:rsidRPr="00110464">
        <w:rPr>
          <w:rFonts w:ascii="Book Antiqua" w:eastAsia="DengXian" w:hAnsi="Book Antiqua" w:cs="Times New Roman"/>
          <w:sz w:val="24"/>
          <w:szCs w:val="24"/>
          <w:lang w:eastAsia="zh-CN"/>
        </w:rPr>
        <w:t xml:space="preserve"> JM, Esteban JM, Hassan C, </w:t>
      </w:r>
      <w:proofErr w:type="spellStart"/>
      <w:r w:rsidRPr="00110464">
        <w:rPr>
          <w:rFonts w:ascii="Book Antiqua" w:eastAsia="DengXian" w:hAnsi="Book Antiqua" w:cs="Times New Roman"/>
          <w:sz w:val="24"/>
          <w:szCs w:val="24"/>
          <w:lang w:eastAsia="zh-CN"/>
        </w:rPr>
        <w:t>Pech</w:t>
      </w:r>
      <w:proofErr w:type="spellEnd"/>
      <w:r w:rsidRPr="00110464">
        <w:rPr>
          <w:rFonts w:ascii="Book Antiqua" w:eastAsia="DengXian" w:hAnsi="Book Antiqua" w:cs="Times New Roman"/>
          <w:sz w:val="24"/>
          <w:szCs w:val="24"/>
          <w:lang w:eastAsia="zh-CN"/>
        </w:rPr>
        <w:t xml:space="preserve"> O, </w:t>
      </w:r>
      <w:proofErr w:type="spellStart"/>
      <w:r w:rsidRPr="00110464">
        <w:rPr>
          <w:rFonts w:ascii="Book Antiqua" w:eastAsia="DengXian" w:hAnsi="Book Antiqua" w:cs="Times New Roman"/>
          <w:sz w:val="24"/>
          <w:szCs w:val="24"/>
          <w:lang w:eastAsia="zh-CN"/>
        </w:rPr>
        <w:t>Repici</w:t>
      </w:r>
      <w:proofErr w:type="spellEnd"/>
      <w:r w:rsidRPr="00110464">
        <w:rPr>
          <w:rFonts w:ascii="Book Antiqua" w:eastAsia="DengXian" w:hAnsi="Book Antiqua" w:cs="Times New Roman"/>
          <w:sz w:val="24"/>
          <w:szCs w:val="24"/>
          <w:lang w:eastAsia="zh-CN"/>
        </w:rPr>
        <w:t xml:space="preserve"> A, Bergman J, di Pietro M. Endoscopic management of Barrett's esophagus: European Society of Gastrointestinal Endoscopy (ESGE) Position Statement. </w:t>
      </w:r>
      <w:r w:rsidRPr="00110464">
        <w:rPr>
          <w:rFonts w:ascii="Book Antiqua" w:eastAsia="DengXian" w:hAnsi="Book Antiqua" w:cs="Times New Roman"/>
          <w:i/>
          <w:sz w:val="24"/>
          <w:szCs w:val="24"/>
          <w:lang w:eastAsia="zh-CN"/>
        </w:rPr>
        <w:t>Endoscopy</w:t>
      </w:r>
      <w:r w:rsidRPr="00110464">
        <w:rPr>
          <w:rFonts w:ascii="Book Antiqua" w:eastAsia="DengXian" w:hAnsi="Book Antiqua" w:cs="Times New Roman"/>
          <w:sz w:val="24"/>
          <w:szCs w:val="24"/>
          <w:lang w:eastAsia="zh-CN"/>
        </w:rPr>
        <w:t xml:space="preserve"> 2017; </w:t>
      </w:r>
      <w:r w:rsidRPr="00110464">
        <w:rPr>
          <w:rFonts w:ascii="Book Antiqua" w:eastAsia="DengXian" w:hAnsi="Book Antiqua" w:cs="Times New Roman"/>
          <w:b/>
          <w:sz w:val="24"/>
          <w:szCs w:val="24"/>
          <w:lang w:eastAsia="zh-CN"/>
        </w:rPr>
        <w:t>49</w:t>
      </w:r>
      <w:r w:rsidRPr="00110464">
        <w:rPr>
          <w:rFonts w:ascii="Book Antiqua" w:eastAsia="DengXian" w:hAnsi="Book Antiqua" w:cs="Times New Roman"/>
          <w:sz w:val="24"/>
          <w:szCs w:val="24"/>
          <w:lang w:eastAsia="zh-CN"/>
        </w:rPr>
        <w:t>: 191-198 [PMID: 28122386 DOI: 10.1055/s-0042-122140]</w:t>
      </w:r>
    </w:p>
    <w:p w14:paraId="7B12124F"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4 </w:t>
      </w:r>
      <w:r w:rsidRPr="00110464">
        <w:rPr>
          <w:rFonts w:ascii="Book Antiqua" w:eastAsia="DengXian" w:hAnsi="Book Antiqua" w:cs="Times New Roman"/>
          <w:b/>
          <w:sz w:val="24"/>
          <w:szCs w:val="24"/>
          <w:lang w:eastAsia="zh-CN"/>
        </w:rPr>
        <w:t>ASGE Standards of Practice Committee.</w:t>
      </w:r>
      <w:r w:rsidRPr="00110464">
        <w:rPr>
          <w:rFonts w:ascii="Book Antiqua" w:eastAsia="DengXian" w:hAnsi="Book Antiqua" w:cs="Times New Roman"/>
          <w:sz w:val="24"/>
          <w:szCs w:val="24"/>
          <w:lang w:eastAsia="zh-CN"/>
        </w:rPr>
        <w:t xml:space="preserve">, Evans JA, Early DS, </w:t>
      </w:r>
      <w:proofErr w:type="spellStart"/>
      <w:r w:rsidRPr="00110464">
        <w:rPr>
          <w:rFonts w:ascii="Book Antiqua" w:eastAsia="DengXian" w:hAnsi="Book Antiqua" w:cs="Times New Roman"/>
          <w:sz w:val="24"/>
          <w:szCs w:val="24"/>
          <w:lang w:eastAsia="zh-CN"/>
        </w:rPr>
        <w:t>Fukami</w:t>
      </w:r>
      <w:proofErr w:type="spellEnd"/>
      <w:r w:rsidRPr="00110464">
        <w:rPr>
          <w:rFonts w:ascii="Book Antiqua" w:eastAsia="DengXian" w:hAnsi="Book Antiqua" w:cs="Times New Roman"/>
          <w:sz w:val="24"/>
          <w:szCs w:val="24"/>
          <w:lang w:eastAsia="zh-CN"/>
        </w:rPr>
        <w:t xml:space="preserve"> N, Ben-</w:t>
      </w:r>
      <w:proofErr w:type="spellStart"/>
      <w:r w:rsidRPr="00110464">
        <w:rPr>
          <w:rFonts w:ascii="Book Antiqua" w:eastAsia="DengXian" w:hAnsi="Book Antiqua" w:cs="Times New Roman"/>
          <w:sz w:val="24"/>
          <w:szCs w:val="24"/>
          <w:lang w:eastAsia="zh-CN"/>
        </w:rPr>
        <w:t>Menachem</w:t>
      </w:r>
      <w:proofErr w:type="spellEnd"/>
      <w:r w:rsidRPr="00110464">
        <w:rPr>
          <w:rFonts w:ascii="Book Antiqua" w:eastAsia="DengXian" w:hAnsi="Book Antiqua" w:cs="Times New Roman"/>
          <w:sz w:val="24"/>
          <w:szCs w:val="24"/>
          <w:lang w:eastAsia="zh-CN"/>
        </w:rPr>
        <w:t xml:space="preserve"> T, </w:t>
      </w:r>
      <w:proofErr w:type="spellStart"/>
      <w:r w:rsidRPr="00110464">
        <w:rPr>
          <w:rFonts w:ascii="Book Antiqua" w:eastAsia="DengXian" w:hAnsi="Book Antiqua" w:cs="Times New Roman"/>
          <w:sz w:val="24"/>
          <w:szCs w:val="24"/>
          <w:lang w:eastAsia="zh-CN"/>
        </w:rPr>
        <w:t>Chandrasekhara</w:t>
      </w:r>
      <w:proofErr w:type="spellEnd"/>
      <w:r w:rsidRPr="00110464">
        <w:rPr>
          <w:rFonts w:ascii="Book Antiqua" w:eastAsia="DengXian" w:hAnsi="Book Antiqua" w:cs="Times New Roman"/>
          <w:sz w:val="24"/>
          <w:szCs w:val="24"/>
          <w:lang w:eastAsia="zh-CN"/>
        </w:rPr>
        <w:t xml:space="preserve"> V, </w:t>
      </w:r>
      <w:proofErr w:type="spellStart"/>
      <w:r w:rsidRPr="00110464">
        <w:rPr>
          <w:rFonts w:ascii="Book Antiqua" w:eastAsia="DengXian" w:hAnsi="Book Antiqua" w:cs="Times New Roman"/>
          <w:sz w:val="24"/>
          <w:szCs w:val="24"/>
          <w:lang w:eastAsia="zh-CN"/>
        </w:rPr>
        <w:t>Chathadi</w:t>
      </w:r>
      <w:proofErr w:type="spellEnd"/>
      <w:r w:rsidRPr="00110464">
        <w:rPr>
          <w:rFonts w:ascii="Book Antiqua" w:eastAsia="DengXian" w:hAnsi="Book Antiqua" w:cs="Times New Roman"/>
          <w:sz w:val="24"/>
          <w:szCs w:val="24"/>
          <w:lang w:eastAsia="zh-CN"/>
        </w:rPr>
        <w:t xml:space="preserve"> KV, Decker GA, Fanelli RD, Fisher DA, Foley KQ, Hwang JH, Jain R, </w:t>
      </w:r>
      <w:proofErr w:type="spellStart"/>
      <w:r w:rsidRPr="00110464">
        <w:rPr>
          <w:rFonts w:ascii="Book Antiqua" w:eastAsia="DengXian" w:hAnsi="Book Antiqua" w:cs="Times New Roman"/>
          <w:sz w:val="24"/>
          <w:szCs w:val="24"/>
          <w:lang w:eastAsia="zh-CN"/>
        </w:rPr>
        <w:t>Jue</w:t>
      </w:r>
      <w:proofErr w:type="spellEnd"/>
      <w:r w:rsidRPr="00110464">
        <w:rPr>
          <w:rFonts w:ascii="Book Antiqua" w:eastAsia="DengXian" w:hAnsi="Book Antiqua" w:cs="Times New Roman"/>
          <w:sz w:val="24"/>
          <w:szCs w:val="24"/>
          <w:lang w:eastAsia="zh-CN"/>
        </w:rPr>
        <w:t xml:space="preserve"> TL, Khan KM, </w:t>
      </w:r>
      <w:proofErr w:type="spellStart"/>
      <w:r w:rsidRPr="00110464">
        <w:rPr>
          <w:rFonts w:ascii="Book Antiqua" w:eastAsia="DengXian" w:hAnsi="Book Antiqua" w:cs="Times New Roman"/>
          <w:sz w:val="24"/>
          <w:szCs w:val="24"/>
          <w:lang w:eastAsia="zh-CN"/>
        </w:rPr>
        <w:t>Lightdale</w:t>
      </w:r>
      <w:proofErr w:type="spellEnd"/>
      <w:r w:rsidRPr="00110464">
        <w:rPr>
          <w:rFonts w:ascii="Book Antiqua" w:eastAsia="DengXian" w:hAnsi="Book Antiqua" w:cs="Times New Roman"/>
          <w:sz w:val="24"/>
          <w:szCs w:val="24"/>
          <w:lang w:eastAsia="zh-CN"/>
        </w:rPr>
        <w:t xml:space="preserve"> J, </w:t>
      </w:r>
      <w:proofErr w:type="spellStart"/>
      <w:r w:rsidRPr="00110464">
        <w:rPr>
          <w:rFonts w:ascii="Book Antiqua" w:eastAsia="DengXian" w:hAnsi="Book Antiqua" w:cs="Times New Roman"/>
          <w:sz w:val="24"/>
          <w:szCs w:val="24"/>
          <w:lang w:eastAsia="zh-CN"/>
        </w:rPr>
        <w:t>Malpas</w:t>
      </w:r>
      <w:proofErr w:type="spellEnd"/>
      <w:r w:rsidRPr="00110464">
        <w:rPr>
          <w:rFonts w:ascii="Book Antiqua" w:eastAsia="DengXian" w:hAnsi="Book Antiqua" w:cs="Times New Roman"/>
          <w:sz w:val="24"/>
          <w:szCs w:val="24"/>
          <w:lang w:eastAsia="zh-CN"/>
        </w:rPr>
        <w:t xml:space="preserve"> PM, Maple JT, Pasha SF, Saltzman JR, </w:t>
      </w:r>
      <w:proofErr w:type="spellStart"/>
      <w:r w:rsidRPr="00110464">
        <w:rPr>
          <w:rFonts w:ascii="Book Antiqua" w:eastAsia="DengXian" w:hAnsi="Book Antiqua" w:cs="Times New Roman"/>
          <w:sz w:val="24"/>
          <w:szCs w:val="24"/>
          <w:lang w:eastAsia="zh-CN"/>
        </w:rPr>
        <w:t>Sharaf</w:t>
      </w:r>
      <w:proofErr w:type="spellEnd"/>
      <w:r w:rsidRPr="00110464">
        <w:rPr>
          <w:rFonts w:ascii="Book Antiqua" w:eastAsia="DengXian" w:hAnsi="Book Antiqua" w:cs="Times New Roman"/>
          <w:sz w:val="24"/>
          <w:szCs w:val="24"/>
          <w:lang w:eastAsia="zh-CN"/>
        </w:rPr>
        <w:t xml:space="preserve"> RN, </w:t>
      </w:r>
      <w:proofErr w:type="spellStart"/>
      <w:r w:rsidRPr="00110464">
        <w:rPr>
          <w:rFonts w:ascii="Book Antiqua" w:eastAsia="DengXian" w:hAnsi="Book Antiqua" w:cs="Times New Roman"/>
          <w:sz w:val="24"/>
          <w:szCs w:val="24"/>
          <w:lang w:eastAsia="zh-CN"/>
        </w:rPr>
        <w:t>Shergill</w:t>
      </w:r>
      <w:proofErr w:type="spellEnd"/>
      <w:r w:rsidRPr="00110464">
        <w:rPr>
          <w:rFonts w:ascii="Book Antiqua" w:eastAsia="DengXian" w:hAnsi="Book Antiqua" w:cs="Times New Roman"/>
          <w:sz w:val="24"/>
          <w:szCs w:val="24"/>
          <w:lang w:eastAsia="zh-CN"/>
        </w:rPr>
        <w:t xml:space="preserve"> A, </w:t>
      </w:r>
      <w:proofErr w:type="spellStart"/>
      <w:r w:rsidRPr="00110464">
        <w:rPr>
          <w:rFonts w:ascii="Book Antiqua" w:eastAsia="DengXian" w:hAnsi="Book Antiqua" w:cs="Times New Roman"/>
          <w:sz w:val="24"/>
          <w:szCs w:val="24"/>
          <w:lang w:eastAsia="zh-CN"/>
        </w:rPr>
        <w:t>Dominitz</w:t>
      </w:r>
      <w:proofErr w:type="spellEnd"/>
      <w:r w:rsidRPr="00110464">
        <w:rPr>
          <w:rFonts w:ascii="Book Antiqua" w:eastAsia="DengXian" w:hAnsi="Book Antiqua" w:cs="Times New Roman"/>
          <w:sz w:val="24"/>
          <w:szCs w:val="24"/>
          <w:lang w:eastAsia="zh-CN"/>
        </w:rPr>
        <w:t xml:space="preserve"> JA, Cash BD; Standards of Practice Committee of the American Society for Gastrointestinal Endoscopy. The role of endoscopy in Barrett's esophagus and other premalignant conditions of the esophagus. </w:t>
      </w:r>
      <w:proofErr w:type="spellStart"/>
      <w:r w:rsidRPr="00110464">
        <w:rPr>
          <w:rFonts w:ascii="Book Antiqua" w:eastAsia="DengXian" w:hAnsi="Book Antiqua" w:cs="Times New Roman"/>
          <w:i/>
          <w:sz w:val="24"/>
          <w:szCs w:val="24"/>
          <w:lang w:eastAsia="zh-CN"/>
        </w:rPr>
        <w:t>Gastrointest</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Endosc</w:t>
      </w:r>
      <w:proofErr w:type="spellEnd"/>
      <w:r w:rsidRPr="00110464">
        <w:rPr>
          <w:rFonts w:ascii="Book Antiqua" w:eastAsia="DengXian" w:hAnsi="Book Antiqua" w:cs="Times New Roman"/>
          <w:sz w:val="24"/>
          <w:szCs w:val="24"/>
          <w:lang w:eastAsia="zh-CN"/>
        </w:rPr>
        <w:t xml:space="preserve"> 2012; </w:t>
      </w:r>
      <w:r w:rsidRPr="00110464">
        <w:rPr>
          <w:rFonts w:ascii="Book Antiqua" w:eastAsia="DengXian" w:hAnsi="Book Antiqua" w:cs="Times New Roman"/>
          <w:b/>
          <w:sz w:val="24"/>
          <w:szCs w:val="24"/>
          <w:lang w:eastAsia="zh-CN"/>
        </w:rPr>
        <w:t>76</w:t>
      </w:r>
      <w:r w:rsidRPr="00110464">
        <w:rPr>
          <w:rFonts w:ascii="Book Antiqua" w:eastAsia="DengXian" w:hAnsi="Book Antiqua" w:cs="Times New Roman"/>
          <w:sz w:val="24"/>
          <w:szCs w:val="24"/>
          <w:lang w:eastAsia="zh-CN"/>
        </w:rPr>
        <w:t>: 1087-1094 [PMID: 23164510 DOI: 10.1016/j.gie.2012.08.004]</w:t>
      </w:r>
    </w:p>
    <w:p w14:paraId="7F554A6B"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5 </w:t>
      </w:r>
      <w:proofErr w:type="spellStart"/>
      <w:r w:rsidRPr="00110464">
        <w:rPr>
          <w:rFonts w:ascii="Book Antiqua" w:eastAsia="DengXian" w:hAnsi="Book Antiqua" w:cs="Times New Roman"/>
          <w:b/>
          <w:sz w:val="24"/>
          <w:szCs w:val="24"/>
          <w:lang w:eastAsia="zh-CN"/>
        </w:rPr>
        <w:t>Shaheen</w:t>
      </w:r>
      <w:proofErr w:type="spellEnd"/>
      <w:r w:rsidRPr="00110464">
        <w:rPr>
          <w:rFonts w:ascii="Book Antiqua" w:eastAsia="DengXian" w:hAnsi="Book Antiqua" w:cs="Times New Roman"/>
          <w:b/>
          <w:sz w:val="24"/>
          <w:szCs w:val="24"/>
          <w:lang w:eastAsia="zh-CN"/>
        </w:rPr>
        <w:t xml:space="preserve"> NJ</w:t>
      </w:r>
      <w:r w:rsidRPr="00110464">
        <w:rPr>
          <w:rFonts w:ascii="Book Antiqua" w:eastAsia="DengXian" w:hAnsi="Book Antiqua" w:cs="Times New Roman"/>
          <w:sz w:val="24"/>
          <w:szCs w:val="24"/>
          <w:lang w:eastAsia="zh-CN"/>
        </w:rPr>
        <w:t xml:space="preserve">, Falk GW, </w:t>
      </w:r>
      <w:proofErr w:type="spellStart"/>
      <w:r w:rsidRPr="00110464">
        <w:rPr>
          <w:rFonts w:ascii="Book Antiqua" w:eastAsia="DengXian" w:hAnsi="Book Antiqua" w:cs="Times New Roman"/>
          <w:sz w:val="24"/>
          <w:szCs w:val="24"/>
          <w:lang w:eastAsia="zh-CN"/>
        </w:rPr>
        <w:t>Iyer</w:t>
      </w:r>
      <w:proofErr w:type="spellEnd"/>
      <w:r w:rsidRPr="00110464">
        <w:rPr>
          <w:rFonts w:ascii="Book Antiqua" w:eastAsia="DengXian" w:hAnsi="Book Antiqua" w:cs="Times New Roman"/>
          <w:sz w:val="24"/>
          <w:szCs w:val="24"/>
          <w:lang w:eastAsia="zh-CN"/>
        </w:rPr>
        <w:t xml:space="preserve"> PG, </w:t>
      </w:r>
      <w:proofErr w:type="spellStart"/>
      <w:r w:rsidRPr="00110464">
        <w:rPr>
          <w:rFonts w:ascii="Book Antiqua" w:eastAsia="DengXian" w:hAnsi="Book Antiqua" w:cs="Times New Roman"/>
          <w:sz w:val="24"/>
          <w:szCs w:val="24"/>
          <w:lang w:eastAsia="zh-CN"/>
        </w:rPr>
        <w:t>Gerson</w:t>
      </w:r>
      <w:proofErr w:type="spellEnd"/>
      <w:r w:rsidRPr="00110464">
        <w:rPr>
          <w:rFonts w:ascii="Book Antiqua" w:eastAsia="DengXian" w:hAnsi="Book Antiqua" w:cs="Times New Roman"/>
          <w:sz w:val="24"/>
          <w:szCs w:val="24"/>
          <w:lang w:eastAsia="zh-CN"/>
        </w:rPr>
        <w:t xml:space="preserve"> LB; American College of Gastroenterology. ACG Clinical Guideline: Diagnosis and Management of Barrett's Esophagus. </w:t>
      </w:r>
      <w:r w:rsidRPr="00110464">
        <w:rPr>
          <w:rFonts w:ascii="Book Antiqua" w:eastAsia="DengXian" w:hAnsi="Book Antiqua" w:cs="Times New Roman"/>
          <w:i/>
          <w:sz w:val="24"/>
          <w:szCs w:val="24"/>
          <w:lang w:eastAsia="zh-CN"/>
        </w:rPr>
        <w:t>Am J Gastroenterol</w:t>
      </w:r>
      <w:r w:rsidRPr="00110464">
        <w:rPr>
          <w:rFonts w:ascii="Book Antiqua" w:eastAsia="DengXian" w:hAnsi="Book Antiqua" w:cs="Times New Roman"/>
          <w:sz w:val="24"/>
          <w:szCs w:val="24"/>
          <w:lang w:eastAsia="zh-CN"/>
        </w:rPr>
        <w:t xml:space="preserve"> 2016; </w:t>
      </w:r>
      <w:r w:rsidRPr="00110464">
        <w:rPr>
          <w:rFonts w:ascii="Book Antiqua" w:eastAsia="DengXian" w:hAnsi="Book Antiqua" w:cs="Times New Roman"/>
          <w:b/>
          <w:sz w:val="24"/>
          <w:szCs w:val="24"/>
          <w:lang w:eastAsia="zh-CN"/>
        </w:rPr>
        <w:t>111</w:t>
      </w:r>
      <w:r w:rsidRPr="00110464">
        <w:rPr>
          <w:rFonts w:ascii="Book Antiqua" w:eastAsia="DengXian" w:hAnsi="Book Antiqua" w:cs="Times New Roman"/>
          <w:sz w:val="24"/>
          <w:szCs w:val="24"/>
          <w:lang w:eastAsia="zh-CN"/>
        </w:rPr>
        <w:t>: 30-50; quiz 51 [PMID: 26526079 DOI: 10.1038/ajg.2015.322]</w:t>
      </w:r>
    </w:p>
    <w:p w14:paraId="0614F677"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6 </w:t>
      </w:r>
      <w:r w:rsidRPr="00110464">
        <w:rPr>
          <w:rFonts w:ascii="Book Antiqua" w:eastAsia="DengXian" w:hAnsi="Book Antiqua" w:cs="Times New Roman"/>
          <w:b/>
          <w:sz w:val="24"/>
          <w:szCs w:val="24"/>
          <w:lang w:eastAsia="zh-CN"/>
        </w:rPr>
        <w:t>Fitzgerald RC</w:t>
      </w:r>
      <w:r w:rsidRPr="00110464">
        <w:rPr>
          <w:rFonts w:ascii="Book Antiqua" w:eastAsia="DengXian" w:hAnsi="Book Antiqua" w:cs="Times New Roman"/>
          <w:sz w:val="24"/>
          <w:szCs w:val="24"/>
          <w:lang w:eastAsia="zh-CN"/>
        </w:rPr>
        <w:t xml:space="preserve">, di </w:t>
      </w:r>
      <w:proofErr w:type="spellStart"/>
      <w:r w:rsidRPr="00110464">
        <w:rPr>
          <w:rFonts w:ascii="Book Antiqua" w:eastAsia="DengXian" w:hAnsi="Book Antiqua" w:cs="Times New Roman"/>
          <w:sz w:val="24"/>
          <w:szCs w:val="24"/>
          <w:lang w:eastAsia="zh-CN"/>
        </w:rPr>
        <w:t>Pietro</w:t>
      </w:r>
      <w:proofErr w:type="spellEnd"/>
      <w:r w:rsidRPr="00110464">
        <w:rPr>
          <w:rFonts w:ascii="Book Antiqua" w:eastAsia="DengXian" w:hAnsi="Book Antiqua" w:cs="Times New Roman"/>
          <w:sz w:val="24"/>
          <w:szCs w:val="24"/>
          <w:lang w:eastAsia="zh-CN"/>
        </w:rPr>
        <w:t xml:space="preserve"> M, </w:t>
      </w:r>
      <w:proofErr w:type="spellStart"/>
      <w:r w:rsidRPr="00110464">
        <w:rPr>
          <w:rFonts w:ascii="Book Antiqua" w:eastAsia="DengXian" w:hAnsi="Book Antiqua" w:cs="Times New Roman"/>
          <w:sz w:val="24"/>
          <w:szCs w:val="24"/>
          <w:lang w:eastAsia="zh-CN"/>
        </w:rPr>
        <w:t>Ragunath</w:t>
      </w:r>
      <w:proofErr w:type="spellEnd"/>
      <w:r w:rsidRPr="00110464">
        <w:rPr>
          <w:rFonts w:ascii="Book Antiqua" w:eastAsia="DengXian" w:hAnsi="Book Antiqua" w:cs="Times New Roman"/>
          <w:sz w:val="24"/>
          <w:szCs w:val="24"/>
          <w:lang w:eastAsia="zh-CN"/>
        </w:rPr>
        <w:t xml:space="preserve"> K, </w:t>
      </w:r>
      <w:proofErr w:type="spellStart"/>
      <w:r w:rsidRPr="00110464">
        <w:rPr>
          <w:rFonts w:ascii="Book Antiqua" w:eastAsia="DengXian" w:hAnsi="Book Antiqua" w:cs="Times New Roman"/>
          <w:sz w:val="24"/>
          <w:szCs w:val="24"/>
          <w:lang w:eastAsia="zh-CN"/>
        </w:rPr>
        <w:t>Ang</w:t>
      </w:r>
      <w:proofErr w:type="spellEnd"/>
      <w:r w:rsidRPr="00110464">
        <w:rPr>
          <w:rFonts w:ascii="Book Antiqua" w:eastAsia="DengXian" w:hAnsi="Book Antiqua" w:cs="Times New Roman"/>
          <w:sz w:val="24"/>
          <w:szCs w:val="24"/>
          <w:lang w:eastAsia="zh-CN"/>
        </w:rPr>
        <w:t xml:space="preserve"> Y, Kang JY, Watson P, Trudgill N, Patel P, Kaye PV, Sanders S, O'Donovan M, Bird-Lieberman E, Bhandari P, Jankowski JA, Attwood S, Parsons SL, Loft D, </w:t>
      </w:r>
      <w:proofErr w:type="spellStart"/>
      <w:r w:rsidRPr="00110464">
        <w:rPr>
          <w:rFonts w:ascii="Book Antiqua" w:eastAsia="DengXian" w:hAnsi="Book Antiqua" w:cs="Times New Roman"/>
          <w:sz w:val="24"/>
          <w:szCs w:val="24"/>
          <w:lang w:eastAsia="zh-CN"/>
        </w:rPr>
        <w:t>Lagergren</w:t>
      </w:r>
      <w:proofErr w:type="spellEnd"/>
      <w:r w:rsidRPr="00110464">
        <w:rPr>
          <w:rFonts w:ascii="Book Antiqua" w:eastAsia="DengXian" w:hAnsi="Book Antiqua" w:cs="Times New Roman"/>
          <w:sz w:val="24"/>
          <w:szCs w:val="24"/>
          <w:lang w:eastAsia="zh-CN"/>
        </w:rPr>
        <w:t xml:space="preserve"> J, </w:t>
      </w:r>
      <w:proofErr w:type="spellStart"/>
      <w:r w:rsidRPr="00110464">
        <w:rPr>
          <w:rFonts w:ascii="Book Antiqua" w:eastAsia="DengXian" w:hAnsi="Book Antiqua" w:cs="Times New Roman"/>
          <w:sz w:val="24"/>
          <w:szCs w:val="24"/>
          <w:lang w:eastAsia="zh-CN"/>
        </w:rPr>
        <w:t>Moayyedi</w:t>
      </w:r>
      <w:proofErr w:type="spellEnd"/>
      <w:r w:rsidRPr="00110464">
        <w:rPr>
          <w:rFonts w:ascii="Book Antiqua" w:eastAsia="DengXian" w:hAnsi="Book Antiqua" w:cs="Times New Roman"/>
          <w:sz w:val="24"/>
          <w:szCs w:val="24"/>
          <w:lang w:eastAsia="zh-CN"/>
        </w:rPr>
        <w:t xml:space="preserve"> P, </w:t>
      </w:r>
      <w:proofErr w:type="spellStart"/>
      <w:r w:rsidRPr="00110464">
        <w:rPr>
          <w:rFonts w:ascii="Book Antiqua" w:eastAsia="DengXian" w:hAnsi="Book Antiqua" w:cs="Times New Roman"/>
          <w:sz w:val="24"/>
          <w:szCs w:val="24"/>
          <w:lang w:eastAsia="zh-CN"/>
        </w:rPr>
        <w:t>Lyratzopoulos</w:t>
      </w:r>
      <w:proofErr w:type="spellEnd"/>
      <w:r w:rsidRPr="00110464">
        <w:rPr>
          <w:rFonts w:ascii="Book Antiqua" w:eastAsia="DengXian" w:hAnsi="Book Antiqua" w:cs="Times New Roman"/>
          <w:sz w:val="24"/>
          <w:szCs w:val="24"/>
          <w:lang w:eastAsia="zh-CN"/>
        </w:rPr>
        <w:t xml:space="preserve"> G, de </w:t>
      </w:r>
      <w:proofErr w:type="spellStart"/>
      <w:r w:rsidRPr="00110464">
        <w:rPr>
          <w:rFonts w:ascii="Book Antiqua" w:eastAsia="DengXian" w:hAnsi="Book Antiqua" w:cs="Times New Roman"/>
          <w:sz w:val="24"/>
          <w:szCs w:val="24"/>
          <w:lang w:eastAsia="zh-CN"/>
        </w:rPr>
        <w:t>Caestecker</w:t>
      </w:r>
      <w:proofErr w:type="spellEnd"/>
      <w:r w:rsidRPr="00110464">
        <w:rPr>
          <w:rFonts w:ascii="Book Antiqua" w:eastAsia="DengXian" w:hAnsi="Book Antiqua" w:cs="Times New Roman"/>
          <w:sz w:val="24"/>
          <w:szCs w:val="24"/>
          <w:lang w:eastAsia="zh-CN"/>
        </w:rPr>
        <w:t xml:space="preserve"> J; British Society of Gastroenterology. British Society of Gastroenterology guidelines on the diagnosis and management of Barrett's </w:t>
      </w:r>
      <w:proofErr w:type="spellStart"/>
      <w:r w:rsidRPr="00110464">
        <w:rPr>
          <w:rFonts w:ascii="Book Antiqua" w:eastAsia="DengXian" w:hAnsi="Book Antiqua" w:cs="Times New Roman"/>
          <w:sz w:val="24"/>
          <w:szCs w:val="24"/>
          <w:lang w:eastAsia="zh-CN"/>
        </w:rPr>
        <w:t>oesophagus</w:t>
      </w:r>
      <w:proofErr w:type="spellEnd"/>
      <w:r w:rsidRPr="00110464">
        <w:rPr>
          <w:rFonts w:ascii="Book Antiqua" w:eastAsia="DengXian" w:hAnsi="Book Antiqua" w:cs="Times New Roman"/>
          <w:sz w:val="24"/>
          <w:szCs w:val="24"/>
          <w:lang w:eastAsia="zh-CN"/>
        </w:rPr>
        <w:t xml:space="preserve">. </w:t>
      </w:r>
      <w:r w:rsidRPr="00110464">
        <w:rPr>
          <w:rFonts w:ascii="Book Antiqua" w:eastAsia="DengXian" w:hAnsi="Book Antiqua" w:cs="Times New Roman"/>
          <w:i/>
          <w:sz w:val="24"/>
          <w:szCs w:val="24"/>
          <w:lang w:eastAsia="zh-CN"/>
        </w:rPr>
        <w:t>Gut</w:t>
      </w:r>
      <w:r w:rsidRPr="00110464">
        <w:rPr>
          <w:rFonts w:ascii="Book Antiqua" w:eastAsia="DengXian" w:hAnsi="Book Antiqua" w:cs="Times New Roman"/>
          <w:sz w:val="24"/>
          <w:szCs w:val="24"/>
          <w:lang w:eastAsia="zh-CN"/>
        </w:rPr>
        <w:t xml:space="preserve"> 2014; </w:t>
      </w:r>
      <w:r w:rsidRPr="00110464">
        <w:rPr>
          <w:rFonts w:ascii="Book Antiqua" w:eastAsia="DengXian" w:hAnsi="Book Antiqua" w:cs="Times New Roman"/>
          <w:b/>
          <w:sz w:val="24"/>
          <w:szCs w:val="24"/>
          <w:lang w:eastAsia="zh-CN"/>
        </w:rPr>
        <w:t>63</w:t>
      </w:r>
      <w:r w:rsidRPr="00110464">
        <w:rPr>
          <w:rFonts w:ascii="Book Antiqua" w:eastAsia="DengXian" w:hAnsi="Book Antiqua" w:cs="Times New Roman"/>
          <w:sz w:val="24"/>
          <w:szCs w:val="24"/>
          <w:lang w:eastAsia="zh-CN"/>
        </w:rPr>
        <w:t>: 7-42 [PMID: 24165758 DOI: 10.1136/gutjnl-2013-305372]</w:t>
      </w:r>
    </w:p>
    <w:p w14:paraId="6D3FF5FD"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7 </w:t>
      </w:r>
      <w:r w:rsidRPr="00110464">
        <w:rPr>
          <w:rFonts w:ascii="Book Antiqua" w:eastAsia="DengXian" w:hAnsi="Book Antiqua" w:cs="Times New Roman"/>
          <w:b/>
          <w:sz w:val="24"/>
          <w:szCs w:val="24"/>
          <w:lang w:eastAsia="zh-CN"/>
        </w:rPr>
        <w:t>Edelstein ZR</w:t>
      </w:r>
      <w:r w:rsidRPr="00110464">
        <w:rPr>
          <w:rFonts w:ascii="Book Antiqua" w:eastAsia="DengXian" w:hAnsi="Book Antiqua" w:cs="Times New Roman"/>
          <w:sz w:val="24"/>
          <w:szCs w:val="24"/>
          <w:lang w:eastAsia="zh-CN"/>
        </w:rPr>
        <w:t xml:space="preserve">, Bronner MP, Rosen SN, Vaughan TL. Risk factors for Barrett's esophagus among patients with gastroesophageal reflux disease: A community clinic-based case-control study. </w:t>
      </w:r>
      <w:r w:rsidRPr="00110464">
        <w:rPr>
          <w:rFonts w:ascii="Book Antiqua" w:eastAsia="DengXian" w:hAnsi="Book Antiqua" w:cs="Times New Roman"/>
          <w:i/>
          <w:sz w:val="24"/>
          <w:szCs w:val="24"/>
          <w:lang w:eastAsia="zh-CN"/>
        </w:rPr>
        <w:t>Am J Gastroenterol</w:t>
      </w:r>
      <w:r w:rsidRPr="00110464">
        <w:rPr>
          <w:rFonts w:ascii="Book Antiqua" w:eastAsia="DengXian" w:hAnsi="Book Antiqua" w:cs="Times New Roman"/>
          <w:sz w:val="24"/>
          <w:szCs w:val="24"/>
          <w:lang w:eastAsia="zh-CN"/>
        </w:rPr>
        <w:t xml:space="preserve"> 2009; </w:t>
      </w:r>
      <w:r w:rsidRPr="00110464">
        <w:rPr>
          <w:rFonts w:ascii="Book Antiqua" w:eastAsia="DengXian" w:hAnsi="Book Antiqua" w:cs="Times New Roman"/>
          <w:b/>
          <w:sz w:val="24"/>
          <w:szCs w:val="24"/>
          <w:lang w:eastAsia="zh-CN"/>
        </w:rPr>
        <w:t>104</w:t>
      </w:r>
      <w:r w:rsidRPr="00110464">
        <w:rPr>
          <w:rFonts w:ascii="Book Antiqua" w:eastAsia="DengXian" w:hAnsi="Book Antiqua" w:cs="Times New Roman"/>
          <w:sz w:val="24"/>
          <w:szCs w:val="24"/>
          <w:lang w:eastAsia="zh-CN"/>
        </w:rPr>
        <w:t>: 834-842 [PMID: 19319131 DOI: 10.1038/ajg.2009.137]</w:t>
      </w:r>
    </w:p>
    <w:p w14:paraId="49CCE50B"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lastRenderedPageBreak/>
        <w:t xml:space="preserve">8 </w:t>
      </w:r>
      <w:proofErr w:type="spellStart"/>
      <w:r w:rsidRPr="00110464">
        <w:rPr>
          <w:rFonts w:ascii="Book Antiqua" w:eastAsia="DengXian" w:hAnsi="Book Antiqua" w:cs="Times New Roman"/>
          <w:b/>
          <w:sz w:val="24"/>
          <w:szCs w:val="24"/>
          <w:lang w:eastAsia="zh-CN"/>
        </w:rPr>
        <w:t>Eloubeidi</w:t>
      </w:r>
      <w:proofErr w:type="spellEnd"/>
      <w:r w:rsidRPr="00110464">
        <w:rPr>
          <w:rFonts w:ascii="Book Antiqua" w:eastAsia="DengXian" w:hAnsi="Book Antiqua" w:cs="Times New Roman"/>
          <w:b/>
          <w:sz w:val="24"/>
          <w:szCs w:val="24"/>
          <w:lang w:eastAsia="zh-CN"/>
        </w:rPr>
        <w:t xml:space="preserve"> MA</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Provenzale</w:t>
      </w:r>
      <w:proofErr w:type="spellEnd"/>
      <w:r w:rsidRPr="00110464">
        <w:rPr>
          <w:rFonts w:ascii="Book Antiqua" w:eastAsia="DengXian" w:hAnsi="Book Antiqua" w:cs="Times New Roman"/>
          <w:sz w:val="24"/>
          <w:szCs w:val="24"/>
          <w:lang w:eastAsia="zh-CN"/>
        </w:rPr>
        <w:t xml:space="preserve"> D. Clinical and demographic predictors of Barrett's esophagus among patients with gastroesophageal reflux disease: A multivariable analysis in veterans. </w:t>
      </w:r>
      <w:r w:rsidRPr="00110464">
        <w:rPr>
          <w:rFonts w:ascii="Book Antiqua" w:eastAsia="DengXian" w:hAnsi="Book Antiqua" w:cs="Times New Roman"/>
          <w:i/>
          <w:sz w:val="24"/>
          <w:szCs w:val="24"/>
          <w:lang w:eastAsia="zh-CN"/>
        </w:rPr>
        <w:t>J Clin Gastroenterol</w:t>
      </w:r>
      <w:r w:rsidRPr="00110464">
        <w:rPr>
          <w:rFonts w:ascii="Book Antiqua" w:eastAsia="DengXian" w:hAnsi="Book Antiqua" w:cs="Times New Roman"/>
          <w:sz w:val="24"/>
          <w:szCs w:val="24"/>
          <w:lang w:eastAsia="zh-CN"/>
        </w:rPr>
        <w:t xml:space="preserve"> 2001; </w:t>
      </w:r>
      <w:r w:rsidRPr="00110464">
        <w:rPr>
          <w:rFonts w:ascii="Book Antiqua" w:eastAsia="DengXian" w:hAnsi="Book Antiqua" w:cs="Times New Roman"/>
          <w:b/>
          <w:sz w:val="24"/>
          <w:szCs w:val="24"/>
          <w:lang w:eastAsia="zh-CN"/>
        </w:rPr>
        <w:t>33</w:t>
      </w:r>
      <w:r w:rsidRPr="00110464">
        <w:rPr>
          <w:rFonts w:ascii="Book Antiqua" w:eastAsia="DengXian" w:hAnsi="Book Antiqua" w:cs="Times New Roman"/>
          <w:sz w:val="24"/>
          <w:szCs w:val="24"/>
          <w:lang w:eastAsia="zh-CN"/>
        </w:rPr>
        <w:t>: 306-309 [PMID: 11588545 DOI: 10.1097/00004836-200110000-00010]</w:t>
      </w:r>
    </w:p>
    <w:p w14:paraId="547BB3D5"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9 </w:t>
      </w:r>
      <w:r w:rsidRPr="00110464">
        <w:rPr>
          <w:rFonts w:ascii="Book Antiqua" w:eastAsia="DengXian" w:hAnsi="Book Antiqua" w:cs="Times New Roman"/>
          <w:b/>
          <w:sz w:val="24"/>
          <w:szCs w:val="24"/>
          <w:lang w:eastAsia="zh-CN"/>
        </w:rPr>
        <w:t>Murphy CC</w:t>
      </w:r>
      <w:r w:rsidRPr="00110464">
        <w:rPr>
          <w:rFonts w:ascii="Book Antiqua" w:eastAsia="DengXian" w:hAnsi="Book Antiqua" w:cs="Times New Roman"/>
          <w:sz w:val="24"/>
          <w:szCs w:val="24"/>
          <w:lang w:eastAsia="zh-CN"/>
        </w:rPr>
        <w:t xml:space="preserve">, Yang YC, </w:t>
      </w:r>
      <w:proofErr w:type="spellStart"/>
      <w:r w:rsidRPr="00110464">
        <w:rPr>
          <w:rFonts w:ascii="Book Antiqua" w:eastAsia="DengXian" w:hAnsi="Book Antiqua" w:cs="Times New Roman"/>
          <w:sz w:val="24"/>
          <w:szCs w:val="24"/>
          <w:lang w:eastAsia="zh-CN"/>
        </w:rPr>
        <w:t>Shaheen</w:t>
      </w:r>
      <w:proofErr w:type="spellEnd"/>
      <w:r w:rsidRPr="00110464">
        <w:rPr>
          <w:rFonts w:ascii="Book Antiqua" w:eastAsia="DengXian" w:hAnsi="Book Antiqua" w:cs="Times New Roman"/>
          <w:sz w:val="24"/>
          <w:szCs w:val="24"/>
          <w:lang w:eastAsia="zh-CN"/>
        </w:rPr>
        <w:t xml:space="preserve"> NJ, </w:t>
      </w:r>
      <w:proofErr w:type="spellStart"/>
      <w:r w:rsidRPr="00110464">
        <w:rPr>
          <w:rFonts w:ascii="Book Antiqua" w:eastAsia="DengXian" w:hAnsi="Book Antiqua" w:cs="Times New Roman"/>
          <w:sz w:val="24"/>
          <w:szCs w:val="24"/>
          <w:lang w:eastAsia="zh-CN"/>
        </w:rPr>
        <w:t>Hofstetter</w:t>
      </w:r>
      <w:proofErr w:type="spellEnd"/>
      <w:r w:rsidRPr="00110464">
        <w:rPr>
          <w:rFonts w:ascii="Book Antiqua" w:eastAsia="DengXian" w:hAnsi="Book Antiqua" w:cs="Times New Roman"/>
          <w:sz w:val="24"/>
          <w:szCs w:val="24"/>
          <w:lang w:eastAsia="zh-CN"/>
        </w:rPr>
        <w:t xml:space="preserve"> WL, Sandler RS. An age-period-cohort analysis of obesity and incident esophageal adenocarcinoma among white males. </w:t>
      </w:r>
      <w:r w:rsidRPr="00110464">
        <w:rPr>
          <w:rFonts w:ascii="Book Antiqua" w:eastAsia="DengXian" w:hAnsi="Book Antiqua" w:cs="Times New Roman"/>
          <w:i/>
          <w:sz w:val="24"/>
          <w:szCs w:val="24"/>
          <w:lang w:eastAsia="zh-CN"/>
        </w:rPr>
        <w:t>Dis Esophagus</w:t>
      </w:r>
      <w:r w:rsidRPr="00110464">
        <w:rPr>
          <w:rFonts w:ascii="Book Antiqua" w:eastAsia="DengXian" w:hAnsi="Book Antiqua" w:cs="Times New Roman"/>
          <w:sz w:val="24"/>
          <w:szCs w:val="24"/>
          <w:lang w:eastAsia="zh-CN"/>
        </w:rPr>
        <w:t xml:space="preserve"> 2017; </w:t>
      </w:r>
      <w:r w:rsidRPr="00110464">
        <w:rPr>
          <w:rFonts w:ascii="Book Antiqua" w:eastAsia="DengXian" w:hAnsi="Book Antiqua" w:cs="Times New Roman"/>
          <w:b/>
          <w:sz w:val="24"/>
          <w:szCs w:val="24"/>
          <w:lang w:eastAsia="zh-CN"/>
        </w:rPr>
        <w:t>30</w:t>
      </w:r>
      <w:r w:rsidRPr="00110464">
        <w:rPr>
          <w:rFonts w:ascii="Book Antiqua" w:eastAsia="DengXian" w:hAnsi="Book Antiqua" w:cs="Times New Roman"/>
          <w:sz w:val="24"/>
          <w:szCs w:val="24"/>
          <w:lang w:eastAsia="zh-CN"/>
        </w:rPr>
        <w:t>: 1-8 [PMID: 27862652 DOI: 10.1111/dote.12526]</w:t>
      </w:r>
    </w:p>
    <w:p w14:paraId="28AECE3E"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10 </w:t>
      </w:r>
      <w:r w:rsidRPr="00110464">
        <w:rPr>
          <w:rFonts w:ascii="Book Antiqua" w:eastAsia="DengXian" w:hAnsi="Book Antiqua" w:cs="Times New Roman"/>
          <w:b/>
          <w:sz w:val="24"/>
          <w:szCs w:val="24"/>
          <w:lang w:eastAsia="zh-CN"/>
        </w:rPr>
        <w:t>Scott Bolton J</w:t>
      </w:r>
      <w:r w:rsidRPr="00110464">
        <w:rPr>
          <w:rFonts w:ascii="Book Antiqua" w:eastAsia="DengXian" w:hAnsi="Book Antiqua" w:cs="Times New Roman"/>
          <w:sz w:val="24"/>
          <w:szCs w:val="24"/>
          <w:lang w:eastAsia="zh-CN"/>
        </w:rPr>
        <w:t xml:space="preserve">, Wu TT, Yeo CJ, Cameron JL, </w:t>
      </w:r>
      <w:proofErr w:type="spellStart"/>
      <w:r w:rsidRPr="00110464">
        <w:rPr>
          <w:rFonts w:ascii="Book Antiqua" w:eastAsia="DengXian" w:hAnsi="Book Antiqua" w:cs="Times New Roman"/>
          <w:sz w:val="24"/>
          <w:szCs w:val="24"/>
          <w:lang w:eastAsia="zh-CN"/>
        </w:rPr>
        <w:t>Heitmiller</w:t>
      </w:r>
      <w:proofErr w:type="spellEnd"/>
      <w:r w:rsidRPr="00110464">
        <w:rPr>
          <w:rFonts w:ascii="Book Antiqua" w:eastAsia="DengXian" w:hAnsi="Book Antiqua" w:cs="Times New Roman"/>
          <w:sz w:val="24"/>
          <w:szCs w:val="24"/>
          <w:lang w:eastAsia="zh-CN"/>
        </w:rPr>
        <w:t xml:space="preserve"> RF. Esophagectomy for adenocarcinoma in patients 45 years of age and younger. </w:t>
      </w:r>
      <w:r w:rsidRPr="00110464">
        <w:rPr>
          <w:rFonts w:ascii="Book Antiqua" w:eastAsia="DengXian" w:hAnsi="Book Antiqua" w:cs="Times New Roman"/>
          <w:i/>
          <w:sz w:val="24"/>
          <w:szCs w:val="24"/>
          <w:lang w:eastAsia="zh-CN"/>
        </w:rPr>
        <w:t xml:space="preserve">J </w:t>
      </w:r>
      <w:proofErr w:type="spellStart"/>
      <w:r w:rsidRPr="00110464">
        <w:rPr>
          <w:rFonts w:ascii="Book Antiqua" w:eastAsia="DengXian" w:hAnsi="Book Antiqua" w:cs="Times New Roman"/>
          <w:i/>
          <w:sz w:val="24"/>
          <w:szCs w:val="24"/>
          <w:lang w:eastAsia="zh-CN"/>
        </w:rPr>
        <w:t>Gastrointest</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Surg</w:t>
      </w:r>
      <w:proofErr w:type="spellEnd"/>
      <w:r w:rsidRPr="00110464">
        <w:rPr>
          <w:rFonts w:ascii="Book Antiqua" w:eastAsia="DengXian" w:hAnsi="Book Antiqua" w:cs="Times New Roman"/>
          <w:sz w:val="24"/>
          <w:szCs w:val="24"/>
          <w:lang w:eastAsia="zh-CN"/>
        </w:rPr>
        <w:t xml:space="preserve"> 2001; </w:t>
      </w:r>
      <w:r w:rsidRPr="00110464">
        <w:rPr>
          <w:rFonts w:ascii="Book Antiqua" w:eastAsia="DengXian" w:hAnsi="Book Antiqua" w:cs="Times New Roman"/>
          <w:b/>
          <w:sz w:val="24"/>
          <w:szCs w:val="24"/>
          <w:lang w:eastAsia="zh-CN"/>
        </w:rPr>
        <w:t>5</w:t>
      </w:r>
      <w:r w:rsidRPr="00110464">
        <w:rPr>
          <w:rFonts w:ascii="Book Antiqua" w:eastAsia="DengXian" w:hAnsi="Book Antiqua" w:cs="Times New Roman"/>
          <w:sz w:val="24"/>
          <w:szCs w:val="24"/>
          <w:lang w:eastAsia="zh-CN"/>
        </w:rPr>
        <w:t>: 620-625 [PMID: 12086900 DOI: 10.1016%2FS1091-255X%2801%2980104-9]</w:t>
      </w:r>
    </w:p>
    <w:p w14:paraId="552AEE86"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11 </w:t>
      </w:r>
      <w:r w:rsidRPr="00110464">
        <w:rPr>
          <w:rFonts w:ascii="Book Antiqua" w:eastAsia="DengXian" w:hAnsi="Book Antiqua" w:cs="Times New Roman"/>
          <w:b/>
          <w:sz w:val="24"/>
          <w:szCs w:val="24"/>
          <w:lang w:eastAsia="zh-CN"/>
        </w:rPr>
        <w:t>Yang S</w:t>
      </w:r>
      <w:r w:rsidRPr="00110464">
        <w:rPr>
          <w:rFonts w:ascii="Book Antiqua" w:eastAsia="DengXian" w:hAnsi="Book Antiqua" w:cs="Times New Roman"/>
          <w:sz w:val="24"/>
          <w:szCs w:val="24"/>
          <w:lang w:eastAsia="zh-CN"/>
        </w:rPr>
        <w:t xml:space="preserve">, Li H, Jia C, Ma X, Guo W, Li H. Clinicopathological features and prognosis of patients &amp;lt;45 years old with esophageal adenocarcinoma comparing to other age groups. </w:t>
      </w:r>
      <w:r w:rsidRPr="00110464">
        <w:rPr>
          <w:rFonts w:ascii="Book Antiqua" w:eastAsia="DengXian" w:hAnsi="Book Antiqua" w:cs="Times New Roman"/>
          <w:i/>
          <w:sz w:val="24"/>
          <w:szCs w:val="24"/>
          <w:lang w:eastAsia="zh-CN"/>
        </w:rPr>
        <w:t xml:space="preserve">J </w:t>
      </w:r>
      <w:proofErr w:type="spellStart"/>
      <w:r w:rsidRPr="00110464">
        <w:rPr>
          <w:rFonts w:ascii="Book Antiqua" w:eastAsia="DengXian" w:hAnsi="Book Antiqua" w:cs="Times New Roman"/>
          <w:i/>
          <w:sz w:val="24"/>
          <w:szCs w:val="24"/>
          <w:lang w:eastAsia="zh-CN"/>
        </w:rPr>
        <w:t>Thorac</w:t>
      </w:r>
      <w:proofErr w:type="spellEnd"/>
      <w:r w:rsidRPr="00110464">
        <w:rPr>
          <w:rFonts w:ascii="Book Antiqua" w:eastAsia="DengXian" w:hAnsi="Book Antiqua" w:cs="Times New Roman"/>
          <w:i/>
          <w:sz w:val="24"/>
          <w:szCs w:val="24"/>
          <w:lang w:eastAsia="zh-CN"/>
        </w:rPr>
        <w:t xml:space="preserve"> Dis</w:t>
      </w:r>
      <w:r w:rsidRPr="00110464">
        <w:rPr>
          <w:rFonts w:ascii="Book Antiqua" w:eastAsia="DengXian" w:hAnsi="Book Antiqua" w:cs="Times New Roman"/>
          <w:sz w:val="24"/>
          <w:szCs w:val="24"/>
          <w:lang w:eastAsia="zh-CN"/>
        </w:rPr>
        <w:t xml:space="preserve"> 2016; </w:t>
      </w:r>
      <w:r w:rsidRPr="00110464">
        <w:rPr>
          <w:rFonts w:ascii="Book Antiqua" w:eastAsia="DengXian" w:hAnsi="Book Antiqua" w:cs="Times New Roman"/>
          <w:b/>
          <w:sz w:val="24"/>
          <w:szCs w:val="24"/>
          <w:lang w:eastAsia="zh-CN"/>
        </w:rPr>
        <w:t>8</w:t>
      </w:r>
      <w:r w:rsidRPr="00110464">
        <w:rPr>
          <w:rFonts w:ascii="Book Antiqua" w:eastAsia="DengXian" w:hAnsi="Book Antiqua" w:cs="Times New Roman"/>
          <w:sz w:val="24"/>
          <w:szCs w:val="24"/>
          <w:lang w:eastAsia="zh-CN"/>
        </w:rPr>
        <w:t>: 2724-2729 [PMID: 27867547 DOI: 10.21037/jtd.2016.09.61]</w:t>
      </w:r>
    </w:p>
    <w:p w14:paraId="6B0D67E3"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12 </w:t>
      </w:r>
      <w:proofErr w:type="spellStart"/>
      <w:r w:rsidRPr="00110464">
        <w:rPr>
          <w:rFonts w:ascii="Book Antiqua" w:eastAsia="DengXian" w:hAnsi="Book Antiqua" w:cs="Times New Roman"/>
          <w:b/>
          <w:sz w:val="24"/>
          <w:szCs w:val="24"/>
          <w:lang w:eastAsia="zh-CN"/>
        </w:rPr>
        <w:t>Oezcelik</w:t>
      </w:r>
      <w:proofErr w:type="spellEnd"/>
      <w:r w:rsidRPr="00110464">
        <w:rPr>
          <w:rFonts w:ascii="Book Antiqua" w:eastAsia="DengXian" w:hAnsi="Book Antiqua" w:cs="Times New Roman"/>
          <w:b/>
          <w:sz w:val="24"/>
          <w:szCs w:val="24"/>
          <w:lang w:eastAsia="zh-CN"/>
        </w:rPr>
        <w:t xml:space="preserve"> A</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Ayazi</w:t>
      </w:r>
      <w:proofErr w:type="spellEnd"/>
      <w:r w:rsidRPr="00110464">
        <w:rPr>
          <w:rFonts w:ascii="Book Antiqua" w:eastAsia="DengXian" w:hAnsi="Book Antiqua" w:cs="Times New Roman"/>
          <w:sz w:val="24"/>
          <w:szCs w:val="24"/>
          <w:lang w:eastAsia="zh-CN"/>
        </w:rPr>
        <w:t xml:space="preserve"> S, </w:t>
      </w:r>
      <w:proofErr w:type="spellStart"/>
      <w:r w:rsidRPr="00110464">
        <w:rPr>
          <w:rFonts w:ascii="Book Antiqua" w:eastAsia="DengXian" w:hAnsi="Book Antiqua" w:cs="Times New Roman"/>
          <w:sz w:val="24"/>
          <w:szCs w:val="24"/>
          <w:lang w:eastAsia="zh-CN"/>
        </w:rPr>
        <w:t>DeMeester</w:t>
      </w:r>
      <w:proofErr w:type="spellEnd"/>
      <w:r w:rsidRPr="00110464">
        <w:rPr>
          <w:rFonts w:ascii="Book Antiqua" w:eastAsia="DengXian" w:hAnsi="Book Antiqua" w:cs="Times New Roman"/>
          <w:sz w:val="24"/>
          <w:szCs w:val="24"/>
          <w:lang w:eastAsia="zh-CN"/>
        </w:rPr>
        <w:t xml:space="preserve"> SR, </w:t>
      </w:r>
      <w:proofErr w:type="spellStart"/>
      <w:r w:rsidRPr="00110464">
        <w:rPr>
          <w:rFonts w:ascii="Book Antiqua" w:eastAsia="DengXian" w:hAnsi="Book Antiqua" w:cs="Times New Roman"/>
          <w:sz w:val="24"/>
          <w:szCs w:val="24"/>
          <w:lang w:eastAsia="zh-CN"/>
        </w:rPr>
        <w:t>Zehetner</w:t>
      </w:r>
      <w:proofErr w:type="spellEnd"/>
      <w:r w:rsidRPr="00110464">
        <w:rPr>
          <w:rFonts w:ascii="Book Antiqua" w:eastAsia="DengXian" w:hAnsi="Book Antiqua" w:cs="Times New Roman"/>
          <w:sz w:val="24"/>
          <w:szCs w:val="24"/>
          <w:lang w:eastAsia="zh-CN"/>
        </w:rPr>
        <w:t xml:space="preserve"> J, Abate E, Dunn J, Grant KS, Lipham JC, Hagen JA, </w:t>
      </w:r>
      <w:proofErr w:type="spellStart"/>
      <w:r w:rsidRPr="00110464">
        <w:rPr>
          <w:rFonts w:ascii="Book Antiqua" w:eastAsia="DengXian" w:hAnsi="Book Antiqua" w:cs="Times New Roman"/>
          <w:sz w:val="24"/>
          <w:szCs w:val="24"/>
          <w:lang w:eastAsia="zh-CN"/>
        </w:rPr>
        <w:t>DeMeester</w:t>
      </w:r>
      <w:proofErr w:type="spellEnd"/>
      <w:r w:rsidRPr="00110464">
        <w:rPr>
          <w:rFonts w:ascii="Book Antiqua" w:eastAsia="DengXian" w:hAnsi="Book Antiqua" w:cs="Times New Roman"/>
          <w:sz w:val="24"/>
          <w:szCs w:val="24"/>
          <w:lang w:eastAsia="zh-CN"/>
        </w:rPr>
        <w:t xml:space="preserve"> TR. Adenocarcinoma of the esophagus in the young. </w:t>
      </w:r>
      <w:r w:rsidRPr="00110464">
        <w:rPr>
          <w:rFonts w:ascii="Book Antiqua" w:eastAsia="DengXian" w:hAnsi="Book Antiqua" w:cs="Times New Roman"/>
          <w:i/>
          <w:sz w:val="24"/>
          <w:szCs w:val="24"/>
          <w:lang w:eastAsia="zh-CN"/>
        </w:rPr>
        <w:t xml:space="preserve">J </w:t>
      </w:r>
      <w:proofErr w:type="spellStart"/>
      <w:r w:rsidRPr="00110464">
        <w:rPr>
          <w:rFonts w:ascii="Book Antiqua" w:eastAsia="DengXian" w:hAnsi="Book Antiqua" w:cs="Times New Roman"/>
          <w:i/>
          <w:sz w:val="24"/>
          <w:szCs w:val="24"/>
          <w:lang w:eastAsia="zh-CN"/>
        </w:rPr>
        <w:t>Gastrointest</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Surg</w:t>
      </w:r>
      <w:proofErr w:type="spellEnd"/>
      <w:r w:rsidRPr="00110464">
        <w:rPr>
          <w:rFonts w:ascii="Book Antiqua" w:eastAsia="DengXian" w:hAnsi="Book Antiqua" w:cs="Times New Roman"/>
          <w:sz w:val="24"/>
          <w:szCs w:val="24"/>
          <w:lang w:eastAsia="zh-CN"/>
        </w:rPr>
        <w:t xml:space="preserve"> 2013; </w:t>
      </w:r>
      <w:r w:rsidRPr="00110464">
        <w:rPr>
          <w:rFonts w:ascii="Book Antiqua" w:eastAsia="DengXian" w:hAnsi="Book Antiqua" w:cs="Times New Roman"/>
          <w:b/>
          <w:sz w:val="24"/>
          <w:szCs w:val="24"/>
          <w:lang w:eastAsia="zh-CN"/>
        </w:rPr>
        <w:t>17</w:t>
      </w:r>
      <w:r w:rsidRPr="00110464">
        <w:rPr>
          <w:rFonts w:ascii="Book Antiqua" w:eastAsia="DengXian" w:hAnsi="Book Antiqua" w:cs="Times New Roman"/>
          <w:sz w:val="24"/>
          <w:szCs w:val="24"/>
          <w:lang w:eastAsia="zh-CN"/>
        </w:rPr>
        <w:t>: 1032-1035 [PMID: 23564309 DOI: 10.1007/s11605-013-2177-6]</w:t>
      </w:r>
    </w:p>
    <w:p w14:paraId="7C576E2A"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13 </w:t>
      </w:r>
      <w:proofErr w:type="spellStart"/>
      <w:r w:rsidRPr="00110464">
        <w:rPr>
          <w:rFonts w:ascii="Book Antiqua" w:eastAsia="DengXian" w:hAnsi="Book Antiqua" w:cs="Times New Roman"/>
          <w:b/>
          <w:sz w:val="24"/>
          <w:szCs w:val="24"/>
          <w:lang w:eastAsia="zh-CN"/>
        </w:rPr>
        <w:t>Chak</w:t>
      </w:r>
      <w:proofErr w:type="spellEnd"/>
      <w:r w:rsidRPr="00110464">
        <w:rPr>
          <w:rFonts w:ascii="Book Antiqua" w:eastAsia="DengXian" w:hAnsi="Book Antiqua" w:cs="Times New Roman"/>
          <w:b/>
          <w:sz w:val="24"/>
          <w:szCs w:val="24"/>
          <w:lang w:eastAsia="zh-CN"/>
        </w:rPr>
        <w:t xml:space="preserve"> A</w:t>
      </w:r>
      <w:r w:rsidRPr="00110464">
        <w:rPr>
          <w:rFonts w:ascii="Book Antiqua" w:eastAsia="DengXian" w:hAnsi="Book Antiqua" w:cs="Times New Roman"/>
          <w:sz w:val="24"/>
          <w:szCs w:val="24"/>
          <w:lang w:eastAsia="zh-CN"/>
        </w:rPr>
        <w:t xml:space="preserve">, Falk G, Grady WM, </w:t>
      </w:r>
      <w:proofErr w:type="spellStart"/>
      <w:r w:rsidRPr="00110464">
        <w:rPr>
          <w:rFonts w:ascii="Book Antiqua" w:eastAsia="DengXian" w:hAnsi="Book Antiqua" w:cs="Times New Roman"/>
          <w:sz w:val="24"/>
          <w:szCs w:val="24"/>
          <w:lang w:eastAsia="zh-CN"/>
        </w:rPr>
        <w:t>Kinnard</w:t>
      </w:r>
      <w:proofErr w:type="spellEnd"/>
      <w:r w:rsidRPr="00110464">
        <w:rPr>
          <w:rFonts w:ascii="Book Antiqua" w:eastAsia="DengXian" w:hAnsi="Book Antiqua" w:cs="Times New Roman"/>
          <w:sz w:val="24"/>
          <w:szCs w:val="24"/>
          <w:lang w:eastAsia="zh-CN"/>
        </w:rPr>
        <w:t xml:space="preserve"> M, </w:t>
      </w:r>
      <w:proofErr w:type="spellStart"/>
      <w:r w:rsidRPr="00110464">
        <w:rPr>
          <w:rFonts w:ascii="Book Antiqua" w:eastAsia="DengXian" w:hAnsi="Book Antiqua" w:cs="Times New Roman"/>
          <w:sz w:val="24"/>
          <w:szCs w:val="24"/>
          <w:lang w:eastAsia="zh-CN"/>
        </w:rPr>
        <w:t>Elston</w:t>
      </w:r>
      <w:proofErr w:type="spellEnd"/>
      <w:r w:rsidRPr="00110464">
        <w:rPr>
          <w:rFonts w:ascii="Book Antiqua" w:eastAsia="DengXian" w:hAnsi="Book Antiqua" w:cs="Times New Roman"/>
          <w:sz w:val="24"/>
          <w:szCs w:val="24"/>
          <w:lang w:eastAsia="zh-CN"/>
        </w:rPr>
        <w:t xml:space="preserve"> R, Mittal S, King JF, Willis JE, </w:t>
      </w:r>
      <w:proofErr w:type="spellStart"/>
      <w:r w:rsidRPr="00110464">
        <w:rPr>
          <w:rFonts w:ascii="Book Antiqua" w:eastAsia="DengXian" w:hAnsi="Book Antiqua" w:cs="Times New Roman"/>
          <w:sz w:val="24"/>
          <w:szCs w:val="24"/>
          <w:lang w:eastAsia="zh-CN"/>
        </w:rPr>
        <w:t>Kondru</w:t>
      </w:r>
      <w:proofErr w:type="spellEnd"/>
      <w:r w:rsidRPr="00110464">
        <w:rPr>
          <w:rFonts w:ascii="Book Antiqua" w:eastAsia="DengXian" w:hAnsi="Book Antiqua" w:cs="Times New Roman"/>
          <w:sz w:val="24"/>
          <w:szCs w:val="24"/>
          <w:lang w:eastAsia="zh-CN"/>
        </w:rPr>
        <w:t xml:space="preserve"> A, Brock W, </w:t>
      </w:r>
      <w:proofErr w:type="spellStart"/>
      <w:r w:rsidRPr="00110464">
        <w:rPr>
          <w:rFonts w:ascii="Book Antiqua" w:eastAsia="DengXian" w:hAnsi="Book Antiqua" w:cs="Times New Roman"/>
          <w:sz w:val="24"/>
          <w:szCs w:val="24"/>
          <w:lang w:eastAsia="zh-CN"/>
        </w:rPr>
        <w:t>Barnholtz</w:t>
      </w:r>
      <w:proofErr w:type="spellEnd"/>
      <w:r w:rsidRPr="00110464">
        <w:rPr>
          <w:rFonts w:ascii="Book Antiqua" w:eastAsia="DengXian" w:hAnsi="Book Antiqua" w:cs="Times New Roman"/>
          <w:sz w:val="24"/>
          <w:szCs w:val="24"/>
          <w:lang w:eastAsia="zh-CN"/>
        </w:rPr>
        <w:t xml:space="preserve">-Sloan J. Assessment of </w:t>
      </w:r>
      <w:proofErr w:type="spellStart"/>
      <w:r w:rsidRPr="00110464">
        <w:rPr>
          <w:rFonts w:ascii="Book Antiqua" w:eastAsia="DengXian" w:hAnsi="Book Antiqua" w:cs="Times New Roman"/>
          <w:sz w:val="24"/>
          <w:szCs w:val="24"/>
          <w:lang w:eastAsia="zh-CN"/>
        </w:rPr>
        <w:t>familiality</w:t>
      </w:r>
      <w:proofErr w:type="spellEnd"/>
      <w:r w:rsidRPr="00110464">
        <w:rPr>
          <w:rFonts w:ascii="Book Antiqua" w:eastAsia="DengXian" w:hAnsi="Book Antiqua" w:cs="Times New Roman"/>
          <w:sz w:val="24"/>
          <w:szCs w:val="24"/>
          <w:lang w:eastAsia="zh-CN"/>
        </w:rPr>
        <w:t xml:space="preserve">, obesity, and other risk factors for early age of cancer diagnosis in adenocarcinomas of the esophagus and gastroesophageal junction. </w:t>
      </w:r>
      <w:r w:rsidRPr="00110464">
        <w:rPr>
          <w:rFonts w:ascii="Book Antiqua" w:eastAsia="DengXian" w:hAnsi="Book Antiqua" w:cs="Times New Roman"/>
          <w:i/>
          <w:sz w:val="24"/>
          <w:szCs w:val="24"/>
          <w:lang w:eastAsia="zh-CN"/>
        </w:rPr>
        <w:t>Am J Gastroenterol</w:t>
      </w:r>
      <w:r w:rsidRPr="00110464">
        <w:rPr>
          <w:rFonts w:ascii="Book Antiqua" w:eastAsia="DengXian" w:hAnsi="Book Antiqua" w:cs="Times New Roman"/>
          <w:sz w:val="24"/>
          <w:szCs w:val="24"/>
          <w:lang w:eastAsia="zh-CN"/>
        </w:rPr>
        <w:t xml:space="preserve"> 2009; </w:t>
      </w:r>
      <w:r w:rsidRPr="00110464">
        <w:rPr>
          <w:rFonts w:ascii="Book Antiqua" w:eastAsia="DengXian" w:hAnsi="Book Antiqua" w:cs="Times New Roman"/>
          <w:b/>
          <w:sz w:val="24"/>
          <w:szCs w:val="24"/>
          <w:lang w:eastAsia="zh-CN"/>
        </w:rPr>
        <w:t>104</w:t>
      </w:r>
      <w:r w:rsidRPr="00110464">
        <w:rPr>
          <w:rFonts w:ascii="Book Antiqua" w:eastAsia="DengXian" w:hAnsi="Book Antiqua" w:cs="Times New Roman"/>
          <w:sz w:val="24"/>
          <w:szCs w:val="24"/>
          <w:lang w:eastAsia="zh-CN"/>
        </w:rPr>
        <w:t>: 1913-1921 [PMID: 19491834 DOI: 10.1038/ajg.2009.241]</w:t>
      </w:r>
    </w:p>
    <w:p w14:paraId="412A4774"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14 </w:t>
      </w:r>
      <w:proofErr w:type="spellStart"/>
      <w:r w:rsidRPr="00110464">
        <w:rPr>
          <w:rFonts w:ascii="Book Antiqua" w:eastAsia="DengXian" w:hAnsi="Book Antiqua" w:cs="Times New Roman"/>
          <w:b/>
          <w:sz w:val="24"/>
          <w:szCs w:val="24"/>
          <w:lang w:eastAsia="zh-CN"/>
        </w:rPr>
        <w:t>Drahos</w:t>
      </w:r>
      <w:proofErr w:type="spellEnd"/>
      <w:r w:rsidRPr="00110464">
        <w:rPr>
          <w:rFonts w:ascii="Book Antiqua" w:eastAsia="DengXian" w:hAnsi="Book Antiqua" w:cs="Times New Roman"/>
          <w:b/>
          <w:sz w:val="24"/>
          <w:szCs w:val="24"/>
          <w:lang w:eastAsia="zh-CN"/>
        </w:rPr>
        <w:t xml:space="preserve"> J</w:t>
      </w:r>
      <w:r w:rsidRPr="00110464">
        <w:rPr>
          <w:rFonts w:ascii="Book Antiqua" w:eastAsia="DengXian" w:hAnsi="Book Antiqua" w:cs="Times New Roman"/>
          <w:sz w:val="24"/>
          <w:szCs w:val="24"/>
          <w:lang w:eastAsia="zh-CN"/>
        </w:rPr>
        <w:t xml:space="preserve">, Xiao Q, </w:t>
      </w:r>
      <w:proofErr w:type="spellStart"/>
      <w:r w:rsidRPr="00110464">
        <w:rPr>
          <w:rFonts w:ascii="Book Antiqua" w:eastAsia="DengXian" w:hAnsi="Book Antiqua" w:cs="Times New Roman"/>
          <w:sz w:val="24"/>
          <w:szCs w:val="24"/>
          <w:lang w:eastAsia="zh-CN"/>
        </w:rPr>
        <w:t>Risch</w:t>
      </w:r>
      <w:proofErr w:type="spellEnd"/>
      <w:r w:rsidRPr="00110464">
        <w:rPr>
          <w:rFonts w:ascii="Book Antiqua" w:eastAsia="DengXian" w:hAnsi="Book Antiqua" w:cs="Times New Roman"/>
          <w:sz w:val="24"/>
          <w:szCs w:val="24"/>
          <w:lang w:eastAsia="zh-CN"/>
        </w:rPr>
        <w:t xml:space="preserve"> HA, Freedman ND, </w:t>
      </w:r>
      <w:proofErr w:type="spellStart"/>
      <w:r w:rsidRPr="00110464">
        <w:rPr>
          <w:rFonts w:ascii="Book Antiqua" w:eastAsia="DengXian" w:hAnsi="Book Antiqua" w:cs="Times New Roman"/>
          <w:sz w:val="24"/>
          <w:szCs w:val="24"/>
          <w:lang w:eastAsia="zh-CN"/>
        </w:rPr>
        <w:t>Abnet</w:t>
      </w:r>
      <w:proofErr w:type="spellEnd"/>
      <w:r w:rsidRPr="00110464">
        <w:rPr>
          <w:rFonts w:ascii="Book Antiqua" w:eastAsia="DengXian" w:hAnsi="Book Antiqua" w:cs="Times New Roman"/>
          <w:sz w:val="24"/>
          <w:szCs w:val="24"/>
          <w:lang w:eastAsia="zh-CN"/>
        </w:rPr>
        <w:t xml:space="preserve"> CC, Anderson LA, Bernstein L, Brown L, Chow WH, Gammon MD, </w:t>
      </w:r>
      <w:proofErr w:type="spellStart"/>
      <w:r w:rsidRPr="00110464">
        <w:rPr>
          <w:rFonts w:ascii="Book Antiqua" w:eastAsia="DengXian" w:hAnsi="Book Antiqua" w:cs="Times New Roman"/>
          <w:sz w:val="24"/>
          <w:szCs w:val="24"/>
          <w:lang w:eastAsia="zh-CN"/>
        </w:rPr>
        <w:t>Kamangar</w:t>
      </w:r>
      <w:proofErr w:type="spellEnd"/>
      <w:r w:rsidRPr="00110464">
        <w:rPr>
          <w:rFonts w:ascii="Book Antiqua" w:eastAsia="DengXian" w:hAnsi="Book Antiqua" w:cs="Times New Roman"/>
          <w:sz w:val="24"/>
          <w:szCs w:val="24"/>
          <w:lang w:eastAsia="zh-CN"/>
        </w:rPr>
        <w:t xml:space="preserve"> F, Liao LM, Murray LJ, Ward MH, Ye W, Wu AH, Vaughan TL, Whiteman DC, Cook MB. Age-specific risk factor profiles of adenocarcinomas of the esophagus: A pooled analysis from the international BEACON consortium. </w:t>
      </w:r>
      <w:r w:rsidRPr="00110464">
        <w:rPr>
          <w:rFonts w:ascii="Book Antiqua" w:eastAsia="DengXian" w:hAnsi="Book Antiqua" w:cs="Times New Roman"/>
          <w:i/>
          <w:sz w:val="24"/>
          <w:szCs w:val="24"/>
          <w:lang w:eastAsia="zh-CN"/>
        </w:rPr>
        <w:t>Int J Cancer</w:t>
      </w:r>
      <w:r w:rsidRPr="00110464">
        <w:rPr>
          <w:rFonts w:ascii="Book Antiqua" w:eastAsia="DengXian" w:hAnsi="Book Antiqua" w:cs="Times New Roman"/>
          <w:sz w:val="24"/>
          <w:szCs w:val="24"/>
          <w:lang w:eastAsia="zh-CN"/>
        </w:rPr>
        <w:t xml:space="preserve"> 2016; </w:t>
      </w:r>
      <w:r w:rsidRPr="00110464">
        <w:rPr>
          <w:rFonts w:ascii="Book Antiqua" w:eastAsia="DengXian" w:hAnsi="Book Antiqua" w:cs="Times New Roman"/>
          <w:b/>
          <w:sz w:val="24"/>
          <w:szCs w:val="24"/>
          <w:lang w:eastAsia="zh-CN"/>
        </w:rPr>
        <w:t>138</w:t>
      </w:r>
      <w:r w:rsidRPr="00110464">
        <w:rPr>
          <w:rFonts w:ascii="Book Antiqua" w:eastAsia="DengXian" w:hAnsi="Book Antiqua" w:cs="Times New Roman"/>
          <w:sz w:val="24"/>
          <w:szCs w:val="24"/>
          <w:lang w:eastAsia="zh-CN"/>
        </w:rPr>
        <w:t>: 55-64 [PMID: 26175109 DOI: 10.1002/ijc.29688]</w:t>
      </w:r>
    </w:p>
    <w:p w14:paraId="0E041345"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15 </w:t>
      </w:r>
      <w:r w:rsidRPr="00110464">
        <w:rPr>
          <w:rFonts w:ascii="Book Antiqua" w:eastAsia="DengXian" w:hAnsi="Book Antiqua" w:cs="Times New Roman"/>
          <w:b/>
          <w:sz w:val="24"/>
          <w:szCs w:val="24"/>
          <w:lang w:eastAsia="zh-CN"/>
        </w:rPr>
        <w:t>Sharma P</w:t>
      </w:r>
      <w:r w:rsidRPr="00110464">
        <w:rPr>
          <w:rFonts w:ascii="Book Antiqua" w:eastAsia="DengXian" w:hAnsi="Book Antiqua" w:cs="Times New Roman"/>
          <w:sz w:val="24"/>
          <w:szCs w:val="24"/>
          <w:lang w:eastAsia="zh-CN"/>
        </w:rPr>
        <w:t xml:space="preserve">, Dent J, Armstrong D, Bergman JJ, </w:t>
      </w:r>
      <w:proofErr w:type="spellStart"/>
      <w:r w:rsidRPr="00110464">
        <w:rPr>
          <w:rFonts w:ascii="Book Antiqua" w:eastAsia="DengXian" w:hAnsi="Book Antiqua" w:cs="Times New Roman"/>
          <w:sz w:val="24"/>
          <w:szCs w:val="24"/>
          <w:lang w:eastAsia="zh-CN"/>
        </w:rPr>
        <w:t>Gossner</w:t>
      </w:r>
      <w:proofErr w:type="spellEnd"/>
      <w:r w:rsidRPr="00110464">
        <w:rPr>
          <w:rFonts w:ascii="Book Antiqua" w:eastAsia="DengXian" w:hAnsi="Book Antiqua" w:cs="Times New Roman"/>
          <w:sz w:val="24"/>
          <w:szCs w:val="24"/>
          <w:lang w:eastAsia="zh-CN"/>
        </w:rPr>
        <w:t xml:space="preserve"> L, </w:t>
      </w:r>
      <w:proofErr w:type="spellStart"/>
      <w:r w:rsidRPr="00110464">
        <w:rPr>
          <w:rFonts w:ascii="Book Antiqua" w:eastAsia="DengXian" w:hAnsi="Book Antiqua" w:cs="Times New Roman"/>
          <w:sz w:val="24"/>
          <w:szCs w:val="24"/>
          <w:lang w:eastAsia="zh-CN"/>
        </w:rPr>
        <w:t>Hoshihara</w:t>
      </w:r>
      <w:proofErr w:type="spellEnd"/>
      <w:r w:rsidRPr="00110464">
        <w:rPr>
          <w:rFonts w:ascii="Book Antiqua" w:eastAsia="DengXian" w:hAnsi="Book Antiqua" w:cs="Times New Roman"/>
          <w:sz w:val="24"/>
          <w:szCs w:val="24"/>
          <w:lang w:eastAsia="zh-CN"/>
        </w:rPr>
        <w:t xml:space="preserve"> Y, Jankowski JA, </w:t>
      </w:r>
      <w:proofErr w:type="spellStart"/>
      <w:r w:rsidRPr="00110464">
        <w:rPr>
          <w:rFonts w:ascii="Book Antiqua" w:eastAsia="DengXian" w:hAnsi="Book Antiqua" w:cs="Times New Roman"/>
          <w:sz w:val="24"/>
          <w:szCs w:val="24"/>
          <w:lang w:eastAsia="zh-CN"/>
        </w:rPr>
        <w:t>Junghard</w:t>
      </w:r>
      <w:proofErr w:type="spellEnd"/>
      <w:r w:rsidRPr="00110464">
        <w:rPr>
          <w:rFonts w:ascii="Book Antiqua" w:eastAsia="DengXian" w:hAnsi="Book Antiqua" w:cs="Times New Roman"/>
          <w:sz w:val="24"/>
          <w:szCs w:val="24"/>
          <w:lang w:eastAsia="zh-CN"/>
        </w:rPr>
        <w:t xml:space="preserve"> O, </w:t>
      </w:r>
      <w:proofErr w:type="spellStart"/>
      <w:r w:rsidRPr="00110464">
        <w:rPr>
          <w:rFonts w:ascii="Book Antiqua" w:eastAsia="DengXian" w:hAnsi="Book Antiqua" w:cs="Times New Roman"/>
          <w:sz w:val="24"/>
          <w:szCs w:val="24"/>
          <w:lang w:eastAsia="zh-CN"/>
        </w:rPr>
        <w:t>Lundell</w:t>
      </w:r>
      <w:proofErr w:type="spellEnd"/>
      <w:r w:rsidRPr="00110464">
        <w:rPr>
          <w:rFonts w:ascii="Book Antiqua" w:eastAsia="DengXian" w:hAnsi="Book Antiqua" w:cs="Times New Roman"/>
          <w:sz w:val="24"/>
          <w:szCs w:val="24"/>
          <w:lang w:eastAsia="zh-CN"/>
        </w:rPr>
        <w:t xml:space="preserve"> L, </w:t>
      </w:r>
      <w:proofErr w:type="spellStart"/>
      <w:r w:rsidRPr="00110464">
        <w:rPr>
          <w:rFonts w:ascii="Book Antiqua" w:eastAsia="DengXian" w:hAnsi="Book Antiqua" w:cs="Times New Roman"/>
          <w:sz w:val="24"/>
          <w:szCs w:val="24"/>
          <w:lang w:eastAsia="zh-CN"/>
        </w:rPr>
        <w:t>Tytgat</w:t>
      </w:r>
      <w:proofErr w:type="spellEnd"/>
      <w:r w:rsidRPr="00110464">
        <w:rPr>
          <w:rFonts w:ascii="Book Antiqua" w:eastAsia="DengXian" w:hAnsi="Book Antiqua" w:cs="Times New Roman"/>
          <w:sz w:val="24"/>
          <w:szCs w:val="24"/>
          <w:lang w:eastAsia="zh-CN"/>
        </w:rPr>
        <w:t xml:space="preserve"> GN, </w:t>
      </w:r>
      <w:proofErr w:type="spellStart"/>
      <w:r w:rsidRPr="00110464">
        <w:rPr>
          <w:rFonts w:ascii="Book Antiqua" w:eastAsia="DengXian" w:hAnsi="Book Antiqua" w:cs="Times New Roman"/>
          <w:sz w:val="24"/>
          <w:szCs w:val="24"/>
          <w:lang w:eastAsia="zh-CN"/>
        </w:rPr>
        <w:t>Vieth</w:t>
      </w:r>
      <w:proofErr w:type="spellEnd"/>
      <w:r w:rsidRPr="00110464">
        <w:rPr>
          <w:rFonts w:ascii="Book Antiqua" w:eastAsia="DengXian" w:hAnsi="Book Antiqua" w:cs="Times New Roman"/>
          <w:sz w:val="24"/>
          <w:szCs w:val="24"/>
          <w:lang w:eastAsia="zh-CN"/>
        </w:rPr>
        <w:t xml:space="preserve"> M. The development and validation of an endoscopic grading system for Barrett's esophagus: The Prague C &amp;amp; M criteria. </w:t>
      </w:r>
      <w:r w:rsidRPr="00110464">
        <w:rPr>
          <w:rFonts w:ascii="Book Antiqua" w:eastAsia="DengXian" w:hAnsi="Book Antiqua" w:cs="Times New Roman"/>
          <w:i/>
          <w:sz w:val="24"/>
          <w:szCs w:val="24"/>
          <w:lang w:eastAsia="zh-CN"/>
        </w:rPr>
        <w:t>Gastroenterology</w:t>
      </w:r>
      <w:r w:rsidRPr="00110464">
        <w:rPr>
          <w:rFonts w:ascii="Book Antiqua" w:eastAsia="DengXian" w:hAnsi="Book Antiqua" w:cs="Times New Roman"/>
          <w:sz w:val="24"/>
          <w:szCs w:val="24"/>
          <w:lang w:eastAsia="zh-CN"/>
        </w:rPr>
        <w:t xml:space="preserve"> 2006; </w:t>
      </w:r>
      <w:r w:rsidRPr="00110464">
        <w:rPr>
          <w:rFonts w:ascii="Book Antiqua" w:eastAsia="DengXian" w:hAnsi="Book Antiqua" w:cs="Times New Roman"/>
          <w:b/>
          <w:sz w:val="24"/>
          <w:szCs w:val="24"/>
          <w:lang w:eastAsia="zh-CN"/>
        </w:rPr>
        <w:t>131</w:t>
      </w:r>
      <w:r w:rsidRPr="00110464">
        <w:rPr>
          <w:rFonts w:ascii="Book Antiqua" w:eastAsia="DengXian" w:hAnsi="Book Antiqua" w:cs="Times New Roman"/>
          <w:sz w:val="24"/>
          <w:szCs w:val="24"/>
          <w:lang w:eastAsia="zh-CN"/>
        </w:rPr>
        <w:t>: 1392-1399 [PMID: 17101315 DOI: 10.1053/j.gastro.2006.08.032]</w:t>
      </w:r>
    </w:p>
    <w:p w14:paraId="4D6407A5"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16 </w:t>
      </w:r>
      <w:proofErr w:type="spellStart"/>
      <w:r w:rsidRPr="00110464">
        <w:rPr>
          <w:rFonts w:ascii="Book Antiqua" w:eastAsia="DengXian" w:hAnsi="Book Antiqua" w:cs="Times New Roman"/>
          <w:b/>
          <w:sz w:val="24"/>
          <w:szCs w:val="24"/>
          <w:lang w:eastAsia="zh-CN"/>
        </w:rPr>
        <w:t>Dulai</w:t>
      </w:r>
      <w:proofErr w:type="spellEnd"/>
      <w:r w:rsidRPr="00110464">
        <w:rPr>
          <w:rFonts w:ascii="Book Antiqua" w:eastAsia="DengXian" w:hAnsi="Book Antiqua" w:cs="Times New Roman"/>
          <w:b/>
          <w:sz w:val="24"/>
          <w:szCs w:val="24"/>
          <w:lang w:eastAsia="zh-CN"/>
        </w:rPr>
        <w:t xml:space="preserve"> PS</w:t>
      </w:r>
      <w:r w:rsidRPr="00110464">
        <w:rPr>
          <w:rFonts w:ascii="Book Antiqua" w:eastAsia="DengXian" w:hAnsi="Book Antiqua" w:cs="Times New Roman"/>
          <w:sz w:val="24"/>
          <w:szCs w:val="24"/>
          <w:lang w:eastAsia="zh-CN"/>
        </w:rPr>
        <w:t xml:space="preserve">, Pohl H, </w:t>
      </w:r>
      <w:proofErr w:type="spellStart"/>
      <w:r w:rsidRPr="00110464">
        <w:rPr>
          <w:rFonts w:ascii="Book Antiqua" w:eastAsia="DengXian" w:hAnsi="Book Antiqua" w:cs="Times New Roman"/>
          <w:sz w:val="24"/>
          <w:szCs w:val="24"/>
          <w:lang w:eastAsia="zh-CN"/>
        </w:rPr>
        <w:t>Levenick</w:t>
      </w:r>
      <w:proofErr w:type="spellEnd"/>
      <w:r w:rsidRPr="00110464">
        <w:rPr>
          <w:rFonts w:ascii="Book Antiqua" w:eastAsia="DengXian" w:hAnsi="Book Antiqua" w:cs="Times New Roman"/>
          <w:sz w:val="24"/>
          <w:szCs w:val="24"/>
          <w:lang w:eastAsia="zh-CN"/>
        </w:rPr>
        <w:t xml:space="preserve"> JM, Gordon SR, </w:t>
      </w:r>
      <w:proofErr w:type="spellStart"/>
      <w:r w:rsidRPr="00110464">
        <w:rPr>
          <w:rFonts w:ascii="Book Antiqua" w:eastAsia="DengXian" w:hAnsi="Book Antiqua" w:cs="Times New Roman"/>
          <w:sz w:val="24"/>
          <w:szCs w:val="24"/>
          <w:lang w:eastAsia="zh-CN"/>
        </w:rPr>
        <w:t>MacKenzie</w:t>
      </w:r>
      <w:proofErr w:type="spellEnd"/>
      <w:r w:rsidRPr="00110464">
        <w:rPr>
          <w:rFonts w:ascii="Book Antiqua" w:eastAsia="DengXian" w:hAnsi="Book Antiqua" w:cs="Times New Roman"/>
          <w:sz w:val="24"/>
          <w:szCs w:val="24"/>
          <w:lang w:eastAsia="zh-CN"/>
        </w:rPr>
        <w:t xml:space="preserve"> TA, Rothstein RI. </w:t>
      </w:r>
      <w:r w:rsidRPr="00110464">
        <w:rPr>
          <w:rFonts w:ascii="Book Antiqua" w:eastAsia="DengXian" w:hAnsi="Book Antiqua" w:cs="Times New Roman"/>
          <w:sz w:val="24"/>
          <w:szCs w:val="24"/>
          <w:lang w:eastAsia="zh-CN"/>
        </w:rPr>
        <w:lastRenderedPageBreak/>
        <w:t xml:space="preserve">Radiofrequency ablation for long- and ultralong-segment Barrett's esophagus: A comparative long-term follow-up study. </w:t>
      </w:r>
      <w:proofErr w:type="spellStart"/>
      <w:r w:rsidRPr="00110464">
        <w:rPr>
          <w:rFonts w:ascii="Book Antiqua" w:eastAsia="DengXian" w:hAnsi="Book Antiqua" w:cs="Times New Roman"/>
          <w:i/>
          <w:sz w:val="24"/>
          <w:szCs w:val="24"/>
          <w:lang w:eastAsia="zh-CN"/>
        </w:rPr>
        <w:t>Gastrointest</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Endosc</w:t>
      </w:r>
      <w:proofErr w:type="spellEnd"/>
      <w:r w:rsidRPr="00110464">
        <w:rPr>
          <w:rFonts w:ascii="Book Antiqua" w:eastAsia="DengXian" w:hAnsi="Book Antiqua" w:cs="Times New Roman"/>
          <w:sz w:val="24"/>
          <w:szCs w:val="24"/>
          <w:lang w:eastAsia="zh-CN"/>
        </w:rPr>
        <w:t xml:space="preserve"> 2013; </w:t>
      </w:r>
      <w:r w:rsidRPr="00110464">
        <w:rPr>
          <w:rFonts w:ascii="Book Antiqua" w:eastAsia="DengXian" w:hAnsi="Book Antiqua" w:cs="Times New Roman"/>
          <w:b/>
          <w:sz w:val="24"/>
          <w:szCs w:val="24"/>
          <w:lang w:eastAsia="zh-CN"/>
        </w:rPr>
        <w:t>77</w:t>
      </w:r>
      <w:r w:rsidRPr="00110464">
        <w:rPr>
          <w:rFonts w:ascii="Book Antiqua" w:eastAsia="DengXian" w:hAnsi="Book Antiqua" w:cs="Times New Roman"/>
          <w:sz w:val="24"/>
          <w:szCs w:val="24"/>
          <w:lang w:eastAsia="zh-CN"/>
        </w:rPr>
        <w:t>: 534-541 [PMID: 23290719 DOI: 10.1016/j.gie.2012.10.021]</w:t>
      </w:r>
    </w:p>
    <w:p w14:paraId="11862D05"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17 </w:t>
      </w:r>
      <w:r w:rsidRPr="00110464">
        <w:rPr>
          <w:rFonts w:ascii="Book Antiqua" w:eastAsia="DengXian" w:hAnsi="Book Antiqua" w:cs="Times New Roman"/>
          <w:b/>
          <w:sz w:val="24"/>
          <w:szCs w:val="24"/>
          <w:lang w:eastAsia="zh-CN"/>
        </w:rPr>
        <w:t>Aranda-Hernández J</w:t>
      </w:r>
      <w:r w:rsidRPr="00110464">
        <w:rPr>
          <w:rFonts w:ascii="Book Antiqua" w:eastAsia="DengXian" w:hAnsi="Book Antiqua" w:cs="Times New Roman"/>
          <w:sz w:val="24"/>
          <w:szCs w:val="24"/>
          <w:lang w:eastAsia="zh-CN"/>
        </w:rPr>
        <w:t xml:space="preserve">, Shimamura Y, Grin A, </w:t>
      </w:r>
      <w:proofErr w:type="spellStart"/>
      <w:r w:rsidRPr="00110464">
        <w:rPr>
          <w:rFonts w:ascii="Book Antiqua" w:eastAsia="DengXian" w:hAnsi="Book Antiqua" w:cs="Times New Roman"/>
          <w:sz w:val="24"/>
          <w:szCs w:val="24"/>
          <w:lang w:eastAsia="zh-CN"/>
        </w:rPr>
        <w:t>Iwaya</w:t>
      </w:r>
      <w:proofErr w:type="spellEnd"/>
      <w:r w:rsidRPr="00110464">
        <w:rPr>
          <w:rFonts w:ascii="Book Antiqua" w:eastAsia="DengXian" w:hAnsi="Book Antiqua" w:cs="Times New Roman"/>
          <w:sz w:val="24"/>
          <w:szCs w:val="24"/>
          <w:lang w:eastAsia="zh-CN"/>
        </w:rPr>
        <w:t xml:space="preserve"> Y, </w:t>
      </w:r>
      <w:proofErr w:type="spellStart"/>
      <w:r w:rsidRPr="00110464">
        <w:rPr>
          <w:rFonts w:ascii="Book Antiqua" w:eastAsia="DengXian" w:hAnsi="Book Antiqua" w:cs="Times New Roman"/>
          <w:sz w:val="24"/>
          <w:szCs w:val="24"/>
          <w:lang w:eastAsia="zh-CN"/>
        </w:rPr>
        <w:t>Cirocco</w:t>
      </w:r>
      <w:proofErr w:type="spellEnd"/>
      <w:r w:rsidRPr="00110464">
        <w:rPr>
          <w:rFonts w:ascii="Book Antiqua" w:eastAsia="DengXian" w:hAnsi="Book Antiqua" w:cs="Times New Roman"/>
          <w:sz w:val="24"/>
          <w:szCs w:val="24"/>
          <w:lang w:eastAsia="zh-CN"/>
        </w:rPr>
        <w:t xml:space="preserve"> M, Kandel G, May G, </w:t>
      </w:r>
      <w:proofErr w:type="spellStart"/>
      <w:r w:rsidRPr="00110464">
        <w:rPr>
          <w:rFonts w:ascii="Book Antiqua" w:eastAsia="DengXian" w:hAnsi="Book Antiqua" w:cs="Times New Roman"/>
          <w:sz w:val="24"/>
          <w:szCs w:val="24"/>
          <w:lang w:eastAsia="zh-CN"/>
        </w:rPr>
        <w:t>Kortan</w:t>
      </w:r>
      <w:proofErr w:type="spellEnd"/>
      <w:r w:rsidRPr="00110464">
        <w:rPr>
          <w:rFonts w:ascii="Book Antiqua" w:eastAsia="DengXian" w:hAnsi="Book Antiqua" w:cs="Times New Roman"/>
          <w:sz w:val="24"/>
          <w:szCs w:val="24"/>
          <w:lang w:eastAsia="zh-CN"/>
        </w:rPr>
        <w:t xml:space="preserve"> P, </w:t>
      </w:r>
      <w:proofErr w:type="spellStart"/>
      <w:r w:rsidRPr="00110464">
        <w:rPr>
          <w:rFonts w:ascii="Book Antiqua" w:eastAsia="DengXian" w:hAnsi="Book Antiqua" w:cs="Times New Roman"/>
          <w:sz w:val="24"/>
          <w:szCs w:val="24"/>
          <w:lang w:eastAsia="zh-CN"/>
        </w:rPr>
        <w:t>Raftopoulos</w:t>
      </w:r>
      <w:proofErr w:type="spellEnd"/>
      <w:r w:rsidRPr="00110464">
        <w:rPr>
          <w:rFonts w:ascii="Book Antiqua" w:eastAsia="DengXian" w:hAnsi="Book Antiqua" w:cs="Times New Roman"/>
          <w:sz w:val="24"/>
          <w:szCs w:val="24"/>
          <w:lang w:eastAsia="zh-CN"/>
        </w:rPr>
        <w:t xml:space="preserve"> S, Marcon N. Hot avulsion may be effective as salvage treatment for focal Barrett's esophagus remaining after endoscopic therapy for dysplasia or early cancer: A preliminary study. </w:t>
      </w:r>
      <w:r w:rsidRPr="00110464">
        <w:rPr>
          <w:rFonts w:ascii="Book Antiqua" w:eastAsia="DengXian" w:hAnsi="Book Antiqua" w:cs="Times New Roman"/>
          <w:i/>
          <w:sz w:val="24"/>
          <w:szCs w:val="24"/>
          <w:lang w:eastAsia="zh-CN"/>
        </w:rPr>
        <w:t>Endoscopy</w:t>
      </w:r>
      <w:r w:rsidRPr="00110464">
        <w:rPr>
          <w:rFonts w:ascii="Book Antiqua" w:eastAsia="DengXian" w:hAnsi="Book Antiqua" w:cs="Times New Roman"/>
          <w:sz w:val="24"/>
          <w:szCs w:val="24"/>
          <w:lang w:eastAsia="zh-CN"/>
        </w:rPr>
        <w:t xml:space="preserve"> 2018; </w:t>
      </w:r>
      <w:r w:rsidRPr="00110464">
        <w:rPr>
          <w:rFonts w:ascii="Book Antiqua" w:eastAsia="DengXian" w:hAnsi="Book Antiqua" w:cs="Times New Roman"/>
          <w:b/>
          <w:sz w:val="24"/>
          <w:szCs w:val="24"/>
          <w:lang w:eastAsia="zh-CN"/>
        </w:rPr>
        <w:t>50</w:t>
      </w:r>
      <w:r w:rsidRPr="00110464">
        <w:rPr>
          <w:rFonts w:ascii="Book Antiqua" w:eastAsia="DengXian" w:hAnsi="Book Antiqua" w:cs="Times New Roman"/>
          <w:sz w:val="24"/>
          <w:szCs w:val="24"/>
          <w:lang w:eastAsia="zh-CN"/>
        </w:rPr>
        <w:t>: 8-13 [PMID: 29065436 DOI: 10.1055/s-0043-119986]</w:t>
      </w:r>
    </w:p>
    <w:p w14:paraId="6379D7C1"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18 </w:t>
      </w:r>
      <w:proofErr w:type="spellStart"/>
      <w:r w:rsidRPr="00110464">
        <w:rPr>
          <w:rFonts w:ascii="Book Antiqua" w:eastAsia="DengXian" w:hAnsi="Book Antiqua" w:cs="Times New Roman"/>
          <w:b/>
          <w:sz w:val="24"/>
          <w:szCs w:val="24"/>
          <w:lang w:eastAsia="zh-CN"/>
        </w:rPr>
        <w:t>Schlemper</w:t>
      </w:r>
      <w:proofErr w:type="spellEnd"/>
      <w:r w:rsidRPr="00110464">
        <w:rPr>
          <w:rFonts w:ascii="Book Antiqua" w:eastAsia="DengXian" w:hAnsi="Book Antiqua" w:cs="Times New Roman"/>
          <w:b/>
          <w:sz w:val="24"/>
          <w:szCs w:val="24"/>
          <w:lang w:eastAsia="zh-CN"/>
        </w:rPr>
        <w:t xml:space="preserve"> RJ</w:t>
      </w:r>
      <w:r w:rsidRPr="00110464">
        <w:rPr>
          <w:rFonts w:ascii="Book Antiqua" w:eastAsia="DengXian" w:hAnsi="Book Antiqua" w:cs="Times New Roman"/>
          <w:sz w:val="24"/>
          <w:szCs w:val="24"/>
          <w:lang w:eastAsia="zh-CN"/>
        </w:rPr>
        <w:t xml:space="preserve">, Riddell RH, Kato Y, </w:t>
      </w:r>
      <w:proofErr w:type="spellStart"/>
      <w:r w:rsidRPr="00110464">
        <w:rPr>
          <w:rFonts w:ascii="Book Antiqua" w:eastAsia="DengXian" w:hAnsi="Book Antiqua" w:cs="Times New Roman"/>
          <w:sz w:val="24"/>
          <w:szCs w:val="24"/>
          <w:lang w:eastAsia="zh-CN"/>
        </w:rPr>
        <w:t>Borchard</w:t>
      </w:r>
      <w:proofErr w:type="spellEnd"/>
      <w:r w:rsidRPr="00110464">
        <w:rPr>
          <w:rFonts w:ascii="Book Antiqua" w:eastAsia="DengXian" w:hAnsi="Book Antiqua" w:cs="Times New Roman"/>
          <w:sz w:val="24"/>
          <w:szCs w:val="24"/>
          <w:lang w:eastAsia="zh-CN"/>
        </w:rPr>
        <w:t xml:space="preserve"> F, Cooper HS, </w:t>
      </w:r>
      <w:proofErr w:type="spellStart"/>
      <w:r w:rsidRPr="00110464">
        <w:rPr>
          <w:rFonts w:ascii="Book Antiqua" w:eastAsia="DengXian" w:hAnsi="Book Antiqua" w:cs="Times New Roman"/>
          <w:sz w:val="24"/>
          <w:szCs w:val="24"/>
          <w:lang w:eastAsia="zh-CN"/>
        </w:rPr>
        <w:t>Dawsey</w:t>
      </w:r>
      <w:proofErr w:type="spellEnd"/>
      <w:r w:rsidRPr="00110464">
        <w:rPr>
          <w:rFonts w:ascii="Book Antiqua" w:eastAsia="DengXian" w:hAnsi="Book Antiqua" w:cs="Times New Roman"/>
          <w:sz w:val="24"/>
          <w:szCs w:val="24"/>
          <w:lang w:eastAsia="zh-CN"/>
        </w:rPr>
        <w:t xml:space="preserve"> SM, Dixon MF, </w:t>
      </w:r>
      <w:proofErr w:type="spellStart"/>
      <w:r w:rsidRPr="00110464">
        <w:rPr>
          <w:rFonts w:ascii="Book Antiqua" w:eastAsia="DengXian" w:hAnsi="Book Antiqua" w:cs="Times New Roman"/>
          <w:sz w:val="24"/>
          <w:szCs w:val="24"/>
          <w:lang w:eastAsia="zh-CN"/>
        </w:rPr>
        <w:t>Fenoglio-Preiser</w:t>
      </w:r>
      <w:proofErr w:type="spellEnd"/>
      <w:r w:rsidRPr="00110464">
        <w:rPr>
          <w:rFonts w:ascii="Book Antiqua" w:eastAsia="DengXian" w:hAnsi="Book Antiqua" w:cs="Times New Roman"/>
          <w:sz w:val="24"/>
          <w:szCs w:val="24"/>
          <w:lang w:eastAsia="zh-CN"/>
        </w:rPr>
        <w:t xml:space="preserve"> CM, </w:t>
      </w:r>
      <w:proofErr w:type="spellStart"/>
      <w:r w:rsidRPr="00110464">
        <w:rPr>
          <w:rFonts w:ascii="Book Antiqua" w:eastAsia="DengXian" w:hAnsi="Book Antiqua" w:cs="Times New Roman"/>
          <w:sz w:val="24"/>
          <w:szCs w:val="24"/>
          <w:lang w:eastAsia="zh-CN"/>
        </w:rPr>
        <w:t>Fléjou</w:t>
      </w:r>
      <w:proofErr w:type="spellEnd"/>
      <w:r w:rsidRPr="00110464">
        <w:rPr>
          <w:rFonts w:ascii="Book Antiqua" w:eastAsia="DengXian" w:hAnsi="Book Antiqua" w:cs="Times New Roman"/>
          <w:sz w:val="24"/>
          <w:szCs w:val="24"/>
          <w:lang w:eastAsia="zh-CN"/>
        </w:rPr>
        <w:t xml:space="preserve"> JF, </w:t>
      </w:r>
      <w:proofErr w:type="spellStart"/>
      <w:r w:rsidRPr="00110464">
        <w:rPr>
          <w:rFonts w:ascii="Book Antiqua" w:eastAsia="DengXian" w:hAnsi="Book Antiqua" w:cs="Times New Roman"/>
          <w:sz w:val="24"/>
          <w:szCs w:val="24"/>
          <w:lang w:eastAsia="zh-CN"/>
        </w:rPr>
        <w:t>Geboes</w:t>
      </w:r>
      <w:proofErr w:type="spellEnd"/>
      <w:r w:rsidRPr="00110464">
        <w:rPr>
          <w:rFonts w:ascii="Book Antiqua" w:eastAsia="DengXian" w:hAnsi="Book Antiqua" w:cs="Times New Roman"/>
          <w:sz w:val="24"/>
          <w:szCs w:val="24"/>
          <w:lang w:eastAsia="zh-CN"/>
        </w:rPr>
        <w:t xml:space="preserve"> K, Hattori T, </w:t>
      </w:r>
      <w:proofErr w:type="spellStart"/>
      <w:r w:rsidRPr="00110464">
        <w:rPr>
          <w:rFonts w:ascii="Book Antiqua" w:eastAsia="DengXian" w:hAnsi="Book Antiqua" w:cs="Times New Roman"/>
          <w:sz w:val="24"/>
          <w:szCs w:val="24"/>
          <w:lang w:eastAsia="zh-CN"/>
        </w:rPr>
        <w:t>Hirota</w:t>
      </w:r>
      <w:proofErr w:type="spellEnd"/>
      <w:r w:rsidRPr="00110464">
        <w:rPr>
          <w:rFonts w:ascii="Book Antiqua" w:eastAsia="DengXian" w:hAnsi="Book Antiqua" w:cs="Times New Roman"/>
          <w:sz w:val="24"/>
          <w:szCs w:val="24"/>
          <w:lang w:eastAsia="zh-CN"/>
        </w:rPr>
        <w:t xml:space="preserve"> T, Itabashi M, </w:t>
      </w:r>
      <w:proofErr w:type="spellStart"/>
      <w:r w:rsidRPr="00110464">
        <w:rPr>
          <w:rFonts w:ascii="Book Antiqua" w:eastAsia="DengXian" w:hAnsi="Book Antiqua" w:cs="Times New Roman"/>
          <w:sz w:val="24"/>
          <w:szCs w:val="24"/>
          <w:lang w:eastAsia="zh-CN"/>
        </w:rPr>
        <w:t>Iwafuchi</w:t>
      </w:r>
      <w:proofErr w:type="spellEnd"/>
      <w:r w:rsidRPr="00110464">
        <w:rPr>
          <w:rFonts w:ascii="Book Antiqua" w:eastAsia="DengXian" w:hAnsi="Book Antiqua" w:cs="Times New Roman"/>
          <w:sz w:val="24"/>
          <w:szCs w:val="24"/>
          <w:lang w:eastAsia="zh-CN"/>
        </w:rPr>
        <w:t xml:space="preserve"> M, Iwashita A, Kim YI, Kirchner T, </w:t>
      </w:r>
      <w:proofErr w:type="spellStart"/>
      <w:r w:rsidRPr="00110464">
        <w:rPr>
          <w:rFonts w:ascii="Book Antiqua" w:eastAsia="DengXian" w:hAnsi="Book Antiqua" w:cs="Times New Roman"/>
          <w:sz w:val="24"/>
          <w:szCs w:val="24"/>
          <w:lang w:eastAsia="zh-CN"/>
        </w:rPr>
        <w:t>Klimpfinger</w:t>
      </w:r>
      <w:proofErr w:type="spellEnd"/>
      <w:r w:rsidRPr="00110464">
        <w:rPr>
          <w:rFonts w:ascii="Book Antiqua" w:eastAsia="DengXian" w:hAnsi="Book Antiqua" w:cs="Times New Roman"/>
          <w:sz w:val="24"/>
          <w:szCs w:val="24"/>
          <w:lang w:eastAsia="zh-CN"/>
        </w:rPr>
        <w:t xml:space="preserve"> M, Koike M, </w:t>
      </w:r>
      <w:proofErr w:type="spellStart"/>
      <w:r w:rsidRPr="00110464">
        <w:rPr>
          <w:rFonts w:ascii="Book Antiqua" w:eastAsia="DengXian" w:hAnsi="Book Antiqua" w:cs="Times New Roman"/>
          <w:sz w:val="24"/>
          <w:szCs w:val="24"/>
          <w:lang w:eastAsia="zh-CN"/>
        </w:rPr>
        <w:t>Lauwers</w:t>
      </w:r>
      <w:proofErr w:type="spellEnd"/>
      <w:r w:rsidRPr="00110464">
        <w:rPr>
          <w:rFonts w:ascii="Book Antiqua" w:eastAsia="DengXian" w:hAnsi="Book Antiqua" w:cs="Times New Roman"/>
          <w:sz w:val="24"/>
          <w:szCs w:val="24"/>
          <w:lang w:eastAsia="zh-CN"/>
        </w:rPr>
        <w:t xml:space="preserve"> GY, </w:t>
      </w:r>
      <w:proofErr w:type="spellStart"/>
      <w:r w:rsidRPr="00110464">
        <w:rPr>
          <w:rFonts w:ascii="Book Antiqua" w:eastAsia="DengXian" w:hAnsi="Book Antiqua" w:cs="Times New Roman"/>
          <w:sz w:val="24"/>
          <w:szCs w:val="24"/>
          <w:lang w:eastAsia="zh-CN"/>
        </w:rPr>
        <w:t>Lewin</w:t>
      </w:r>
      <w:proofErr w:type="spellEnd"/>
      <w:r w:rsidRPr="00110464">
        <w:rPr>
          <w:rFonts w:ascii="Book Antiqua" w:eastAsia="DengXian" w:hAnsi="Book Antiqua" w:cs="Times New Roman"/>
          <w:sz w:val="24"/>
          <w:szCs w:val="24"/>
          <w:lang w:eastAsia="zh-CN"/>
        </w:rPr>
        <w:t xml:space="preserve"> KJ, </w:t>
      </w:r>
      <w:proofErr w:type="spellStart"/>
      <w:r w:rsidRPr="00110464">
        <w:rPr>
          <w:rFonts w:ascii="Book Antiqua" w:eastAsia="DengXian" w:hAnsi="Book Antiqua" w:cs="Times New Roman"/>
          <w:sz w:val="24"/>
          <w:szCs w:val="24"/>
          <w:lang w:eastAsia="zh-CN"/>
        </w:rPr>
        <w:t>Oberhuber</w:t>
      </w:r>
      <w:proofErr w:type="spellEnd"/>
      <w:r w:rsidRPr="00110464">
        <w:rPr>
          <w:rFonts w:ascii="Book Antiqua" w:eastAsia="DengXian" w:hAnsi="Book Antiqua" w:cs="Times New Roman"/>
          <w:sz w:val="24"/>
          <w:szCs w:val="24"/>
          <w:lang w:eastAsia="zh-CN"/>
        </w:rPr>
        <w:t xml:space="preserve"> G, </w:t>
      </w:r>
      <w:proofErr w:type="spellStart"/>
      <w:r w:rsidRPr="00110464">
        <w:rPr>
          <w:rFonts w:ascii="Book Antiqua" w:eastAsia="DengXian" w:hAnsi="Book Antiqua" w:cs="Times New Roman"/>
          <w:sz w:val="24"/>
          <w:szCs w:val="24"/>
          <w:lang w:eastAsia="zh-CN"/>
        </w:rPr>
        <w:t>Offner</w:t>
      </w:r>
      <w:proofErr w:type="spellEnd"/>
      <w:r w:rsidRPr="00110464">
        <w:rPr>
          <w:rFonts w:ascii="Book Antiqua" w:eastAsia="DengXian" w:hAnsi="Book Antiqua" w:cs="Times New Roman"/>
          <w:sz w:val="24"/>
          <w:szCs w:val="24"/>
          <w:lang w:eastAsia="zh-CN"/>
        </w:rPr>
        <w:t xml:space="preserve"> F, Price AB, Rubio CA, Shimizu M, </w:t>
      </w:r>
      <w:proofErr w:type="spellStart"/>
      <w:r w:rsidRPr="00110464">
        <w:rPr>
          <w:rFonts w:ascii="Book Antiqua" w:eastAsia="DengXian" w:hAnsi="Book Antiqua" w:cs="Times New Roman"/>
          <w:sz w:val="24"/>
          <w:szCs w:val="24"/>
          <w:lang w:eastAsia="zh-CN"/>
        </w:rPr>
        <w:t>Shimoda</w:t>
      </w:r>
      <w:proofErr w:type="spellEnd"/>
      <w:r w:rsidRPr="00110464">
        <w:rPr>
          <w:rFonts w:ascii="Book Antiqua" w:eastAsia="DengXian" w:hAnsi="Book Antiqua" w:cs="Times New Roman"/>
          <w:sz w:val="24"/>
          <w:szCs w:val="24"/>
          <w:lang w:eastAsia="zh-CN"/>
        </w:rPr>
        <w:t xml:space="preserve"> T, </w:t>
      </w:r>
      <w:proofErr w:type="spellStart"/>
      <w:r w:rsidRPr="00110464">
        <w:rPr>
          <w:rFonts w:ascii="Book Antiqua" w:eastAsia="DengXian" w:hAnsi="Book Antiqua" w:cs="Times New Roman"/>
          <w:sz w:val="24"/>
          <w:szCs w:val="24"/>
          <w:lang w:eastAsia="zh-CN"/>
        </w:rPr>
        <w:t>Sipponen</w:t>
      </w:r>
      <w:proofErr w:type="spellEnd"/>
      <w:r w:rsidRPr="00110464">
        <w:rPr>
          <w:rFonts w:ascii="Book Antiqua" w:eastAsia="DengXian" w:hAnsi="Book Antiqua" w:cs="Times New Roman"/>
          <w:sz w:val="24"/>
          <w:szCs w:val="24"/>
          <w:lang w:eastAsia="zh-CN"/>
        </w:rPr>
        <w:t xml:space="preserve"> P, </w:t>
      </w:r>
      <w:proofErr w:type="spellStart"/>
      <w:r w:rsidRPr="00110464">
        <w:rPr>
          <w:rFonts w:ascii="Book Antiqua" w:eastAsia="DengXian" w:hAnsi="Book Antiqua" w:cs="Times New Roman"/>
          <w:sz w:val="24"/>
          <w:szCs w:val="24"/>
          <w:lang w:eastAsia="zh-CN"/>
        </w:rPr>
        <w:t>Solcia</w:t>
      </w:r>
      <w:proofErr w:type="spellEnd"/>
      <w:r w:rsidRPr="00110464">
        <w:rPr>
          <w:rFonts w:ascii="Book Antiqua" w:eastAsia="DengXian" w:hAnsi="Book Antiqua" w:cs="Times New Roman"/>
          <w:sz w:val="24"/>
          <w:szCs w:val="24"/>
          <w:lang w:eastAsia="zh-CN"/>
        </w:rPr>
        <w:t xml:space="preserve"> E, </w:t>
      </w:r>
      <w:proofErr w:type="spellStart"/>
      <w:r w:rsidRPr="00110464">
        <w:rPr>
          <w:rFonts w:ascii="Book Antiqua" w:eastAsia="DengXian" w:hAnsi="Book Antiqua" w:cs="Times New Roman"/>
          <w:sz w:val="24"/>
          <w:szCs w:val="24"/>
          <w:lang w:eastAsia="zh-CN"/>
        </w:rPr>
        <w:t>Stolte</w:t>
      </w:r>
      <w:proofErr w:type="spellEnd"/>
      <w:r w:rsidRPr="00110464">
        <w:rPr>
          <w:rFonts w:ascii="Book Antiqua" w:eastAsia="DengXian" w:hAnsi="Book Antiqua" w:cs="Times New Roman"/>
          <w:sz w:val="24"/>
          <w:szCs w:val="24"/>
          <w:lang w:eastAsia="zh-CN"/>
        </w:rPr>
        <w:t xml:space="preserve"> M, Watanabe H, </w:t>
      </w:r>
      <w:proofErr w:type="spellStart"/>
      <w:r w:rsidRPr="00110464">
        <w:rPr>
          <w:rFonts w:ascii="Book Antiqua" w:eastAsia="DengXian" w:hAnsi="Book Antiqua" w:cs="Times New Roman"/>
          <w:sz w:val="24"/>
          <w:szCs w:val="24"/>
          <w:lang w:eastAsia="zh-CN"/>
        </w:rPr>
        <w:t>Yamabe</w:t>
      </w:r>
      <w:proofErr w:type="spellEnd"/>
      <w:r w:rsidRPr="00110464">
        <w:rPr>
          <w:rFonts w:ascii="Book Antiqua" w:eastAsia="DengXian" w:hAnsi="Book Antiqua" w:cs="Times New Roman"/>
          <w:sz w:val="24"/>
          <w:szCs w:val="24"/>
          <w:lang w:eastAsia="zh-CN"/>
        </w:rPr>
        <w:t xml:space="preserve"> H. The Vienna classification of gastrointestinal epithelial neoplasia. </w:t>
      </w:r>
      <w:r w:rsidRPr="00110464">
        <w:rPr>
          <w:rFonts w:ascii="Book Antiqua" w:eastAsia="DengXian" w:hAnsi="Book Antiqua" w:cs="Times New Roman"/>
          <w:i/>
          <w:sz w:val="24"/>
          <w:szCs w:val="24"/>
          <w:lang w:eastAsia="zh-CN"/>
        </w:rPr>
        <w:t>Gut</w:t>
      </w:r>
      <w:r w:rsidRPr="00110464">
        <w:rPr>
          <w:rFonts w:ascii="Book Antiqua" w:eastAsia="DengXian" w:hAnsi="Book Antiqua" w:cs="Times New Roman"/>
          <w:sz w:val="24"/>
          <w:szCs w:val="24"/>
          <w:lang w:eastAsia="zh-CN"/>
        </w:rPr>
        <w:t xml:space="preserve"> 2000; </w:t>
      </w:r>
      <w:r w:rsidRPr="00110464">
        <w:rPr>
          <w:rFonts w:ascii="Book Antiqua" w:eastAsia="DengXian" w:hAnsi="Book Antiqua" w:cs="Times New Roman"/>
          <w:b/>
          <w:sz w:val="24"/>
          <w:szCs w:val="24"/>
          <w:lang w:eastAsia="zh-CN"/>
        </w:rPr>
        <w:t>47</w:t>
      </w:r>
      <w:r w:rsidRPr="00110464">
        <w:rPr>
          <w:rFonts w:ascii="Book Antiqua" w:eastAsia="DengXian" w:hAnsi="Book Antiqua" w:cs="Times New Roman"/>
          <w:sz w:val="24"/>
          <w:szCs w:val="24"/>
          <w:lang w:eastAsia="zh-CN"/>
        </w:rPr>
        <w:t>: 251-255 [PMID: 10896917 DOI: 10.1136/gut.47.2.251]</w:t>
      </w:r>
    </w:p>
    <w:p w14:paraId="5456F721"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19 </w:t>
      </w:r>
      <w:proofErr w:type="spellStart"/>
      <w:r w:rsidRPr="00110464">
        <w:rPr>
          <w:rFonts w:ascii="Book Antiqua" w:eastAsia="DengXian" w:hAnsi="Book Antiqua" w:cs="Times New Roman"/>
          <w:b/>
          <w:sz w:val="24"/>
          <w:szCs w:val="24"/>
          <w:lang w:eastAsia="zh-CN"/>
        </w:rPr>
        <w:t>Vieth</w:t>
      </w:r>
      <w:proofErr w:type="spellEnd"/>
      <w:r w:rsidRPr="00110464">
        <w:rPr>
          <w:rFonts w:ascii="Book Antiqua" w:eastAsia="DengXian" w:hAnsi="Book Antiqua" w:cs="Times New Roman"/>
          <w:b/>
          <w:sz w:val="24"/>
          <w:szCs w:val="24"/>
          <w:lang w:eastAsia="zh-CN"/>
        </w:rPr>
        <w:t xml:space="preserve"> M</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Stolte</w:t>
      </w:r>
      <w:proofErr w:type="spellEnd"/>
      <w:r w:rsidRPr="00110464">
        <w:rPr>
          <w:rFonts w:ascii="Book Antiqua" w:eastAsia="DengXian" w:hAnsi="Book Antiqua" w:cs="Times New Roman"/>
          <w:sz w:val="24"/>
          <w:szCs w:val="24"/>
          <w:lang w:eastAsia="zh-CN"/>
        </w:rPr>
        <w:t xml:space="preserve"> M. Pathology of early upper GI cancers. </w:t>
      </w:r>
      <w:r w:rsidRPr="00110464">
        <w:rPr>
          <w:rFonts w:ascii="Book Antiqua" w:eastAsia="DengXian" w:hAnsi="Book Antiqua" w:cs="Times New Roman"/>
          <w:i/>
          <w:sz w:val="24"/>
          <w:szCs w:val="24"/>
          <w:lang w:eastAsia="zh-CN"/>
        </w:rPr>
        <w:t xml:space="preserve">Best </w:t>
      </w:r>
      <w:proofErr w:type="spellStart"/>
      <w:r w:rsidRPr="00110464">
        <w:rPr>
          <w:rFonts w:ascii="Book Antiqua" w:eastAsia="DengXian" w:hAnsi="Book Antiqua" w:cs="Times New Roman"/>
          <w:i/>
          <w:sz w:val="24"/>
          <w:szCs w:val="24"/>
          <w:lang w:eastAsia="zh-CN"/>
        </w:rPr>
        <w:t>Pract</w:t>
      </w:r>
      <w:proofErr w:type="spellEnd"/>
      <w:r w:rsidRPr="00110464">
        <w:rPr>
          <w:rFonts w:ascii="Book Antiqua" w:eastAsia="DengXian" w:hAnsi="Book Antiqua" w:cs="Times New Roman"/>
          <w:i/>
          <w:sz w:val="24"/>
          <w:szCs w:val="24"/>
          <w:lang w:eastAsia="zh-CN"/>
        </w:rPr>
        <w:t xml:space="preserve"> Res </w:t>
      </w:r>
      <w:proofErr w:type="spellStart"/>
      <w:r w:rsidRPr="00110464">
        <w:rPr>
          <w:rFonts w:ascii="Book Antiqua" w:eastAsia="DengXian" w:hAnsi="Book Antiqua" w:cs="Times New Roman"/>
          <w:i/>
          <w:sz w:val="24"/>
          <w:szCs w:val="24"/>
          <w:lang w:eastAsia="zh-CN"/>
        </w:rPr>
        <w:t>Clin</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Gastroenterol</w:t>
      </w:r>
      <w:proofErr w:type="spellEnd"/>
      <w:r w:rsidRPr="00110464">
        <w:rPr>
          <w:rFonts w:ascii="Book Antiqua" w:eastAsia="DengXian" w:hAnsi="Book Antiqua" w:cs="Times New Roman"/>
          <w:sz w:val="24"/>
          <w:szCs w:val="24"/>
          <w:lang w:eastAsia="zh-CN"/>
        </w:rPr>
        <w:t xml:space="preserve"> 2005; </w:t>
      </w:r>
      <w:r w:rsidRPr="00110464">
        <w:rPr>
          <w:rFonts w:ascii="Book Antiqua" w:eastAsia="DengXian" w:hAnsi="Book Antiqua" w:cs="Times New Roman"/>
          <w:b/>
          <w:sz w:val="24"/>
          <w:szCs w:val="24"/>
          <w:lang w:eastAsia="zh-CN"/>
        </w:rPr>
        <w:t>19</w:t>
      </w:r>
      <w:r w:rsidRPr="00110464">
        <w:rPr>
          <w:rFonts w:ascii="Book Antiqua" w:eastAsia="DengXian" w:hAnsi="Book Antiqua" w:cs="Times New Roman"/>
          <w:sz w:val="24"/>
          <w:szCs w:val="24"/>
          <w:lang w:eastAsia="zh-CN"/>
        </w:rPr>
        <w:t>: 857-869 [PMID: 16338646 DOI: 10.1016/j.bpg.2005.02.008]</w:t>
      </w:r>
    </w:p>
    <w:p w14:paraId="27539C09"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20 </w:t>
      </w:r>
      <w:r w:rsidRPr="00110464">
        <w:rPr>
          <w:rFonts w:ascii="Book Antiqua" w:eastAsia="DengXian" w:hAnsi="Book Antiqua" w:cs="Times New Roman"/>
          <w:b/>
          <w:sz w:val="24"/>
          <w:szCs w:val="24"/>
          <w:lang w:eastAsia="zh-CN"/>
        </w:rPr>
        <w:t>Thrift AP</w:t>
      </w:r>
      <w:r w:rsidRPr="00110464">
        <w:rPr>
          <w:rFonts w:ascii="Book Antiqua" w:eastAsia="DengXian" w:hAnsi="Book Antiqua" w:cs="Times New Roman"/>
          <w:sz w:val="24"/>
          <w:szCs w:val="24"/>
          <w:lang w:eastAsia="zh-CN"/>
        </w:rPr>
        <w:t xml:space="preserve">, Whiteman DC. The incidence of esophageal adenocarcinoma continues to rise: Analysis of period and birth cohort effects on recent trends. </w:t>
      </w:r>
      <w:r w:rsidRPr="00110464">
        <w:rPr>
          <w:rFonts w:ascii="Book Antiqua" w:eastAsia="DengXian" w:hAnsi="Book Antiqua" w:cs="Times New Roman"/>
          <w:i/>
          <w:sz w:val="24"/>
          <w:szCs w:val="24"/>
          <w:lang w:eastAsia="zh-CN"/>
        </w:rPr>
        <w:t>Ann Oncol</w:t>
      </w:r>
      <w:r w:rsidRPr="00110464">
        <w:rPr>
          <w:rFonts w:ascii="Book Antiqua" w:eastAsia="DengXian" w:hAnsi="Book Antiqua" w:cs="Times New Roman"/>
          <w:sz w:val="24"/>
          <w:szCs w:val="24"/>
          <w:lang w:eastAsia="zh-CN"/>
        </w:rPr>
        <w:t xml:space="preserve"> 2012; </w:t>
      </w:r>
      <w:r w:rsidRPr="00110464">
        <w:rPr>
          <w:rFonts w:ascii="Book Antiqua" w:eastAsia="DengXian" w:hAnsi="Book Antiqua" w:cs="Times New Roman"/>
          <w:b/>
          <w:sz w:val="24"/>
          <w:szCs w:val="24"/>
          <w:lang w:eastAsia="zh-CN"/>
        </w:rPr>
        <w:t>23</w:t>
      </w:r>
      <w:r w:rsidRPr="00110464">
        <w:rPr>
          <w:rFonts w:ascii="Book Antiqua" w:eastAsia="DengXian" w:hAnsi="Book Antiqua" w:cs="Times New Roman"/>
          <w:sz w:val="24"/>
          <w:szCs w:val="24"/>
          <w:lang w:eastAsia="zh-CN"/>
        </w:rPr>
        <w:t>: 3155-3162 [PMID: 22847812 DOI: 10.1093/</w:t>
      </w:r>
      <w:proofErr w:type="spellStart"/>
      <w:r w:rsidRPr="00110464">
        <w:rPr>
          <w:rFonts w:ascii="Book Antiqua" w:eastAsia="DengXian" w:hAnsi="Book Antiqua" w:cs="Times New Roman"/>
          <w:sz w:val="24"/>
          <w:szCs w:val="24"/>
          <w:lang w:eastAsia="zh-CN"/>
        </w:rPr>
        <w:t>annonc</w:t>
      </w:r>
      <w:proofErr w:type="spellEnd"/>
      <w:r w:rsidRPr="00110464">
        <w:rPr>
          <w:rFonts w:ascii="Book Antiqua" w:eastAsia="DengXian" w:hAnsi="Book Antiqua" w:cs="Times New Roman"/>
          <w:sz w:val="24"/>
          <w:szCs w:val="24"/>
          <w:lang w:eastAsia="zh-CN"/>
        </w:rPr>
        <w:t>/mds181]</w:t>
      </w:r>
    </w:p>
    <w:p w14:paraId="4D95C016"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21 </w:t>
      </w:r>
      <w:proofErr w:type="spellStart"/>
      <w:r w:rsidRPr="00110464">
        <w:rPr>
          <w:rFonts w:ascii="Book Antiqua" w:eastAsia="DengXian" w:hAnsi="Book Antiqua" w:cs="Times New Roman"/>
          <w:b/>
          <w:sz w:val="24"/>
          <w:szCs w:val="24"/>
          <w:lang w:eastAsia="zh-CN"/>
        </w:rPr>
        <w:t>Portale</w:t>
      </w:r>
      <w:proofErr w:type="spellEnd"/>
      <w:r w:rsidRPr="00110464">
        <w:rPr>
          <w:rFonts w:ascii="Book Antiqua" w:eastAsia="DengXian" w:hAnsi="Book Antiqua" w:cs="Times New Roman"/>
          <w:b/>
          <w:sz w:val="24"/>
          <w:szCs w:val="24"/>
          <w:lang w:eastAsia="zh-CN"/>
        </w:rPr>
        <w:t xml:space="preserve"> G</w:t>
      </w:r>
      <w:r w:rsidRPr="00110464">
        <w:rPr>
          <w:rFonts w:ascii="Book Antiqua" w:eastAsia="DengXian" w:hAnsi="Book Antiqua" w:cs="Times New Roman"/>
          <w:sz w:val="24"/>
          <w:szCs w:val="24"/>
          <w:lang w:eastAsia="zh-CN"/>
        </w:rPr>
        <w:t xml:space="preserve">, Peters JH, Hsieh CC, </w:t>
      </w:r>
      <w:proofErr w:type="spellStart"/>
      <w:r w:rsidRPr="00110464">
        <w:rPr>
          <w:rFonts w:ascii="Book Antiqua" w:eastAsia="DengXian" w:hAnsi="Book Antiqua" w:cs="Times New Roman"/>
          <w:sz w:val="24"/>
          <w:szCs w:val="24"/>
          <w:lang w:eastAsia="zh-CN"/>
        </w:rPr>
        <w:t>Tamhankar</w:t>
      </w:r>
      <w:proofErr w:type="spellEnd"/>
      <w:r w:rsidRPr="00110464">
        <w:rPr>
          <w:rFonts w:ascii="Book Antiqua" w:eastAsia="DengXian" w:hAnsi="Book Antiqua" w:cs="Times New Roman"/>
          <w:sz w:val="24"/>
          <w:szCs w:val="24"/>
          <w:lang w:eastAsia="zh-CN"/>
        </w:rPr>
        <w:t xml:space="preserve"> AP, </w:t>
      </w:r>
      <w:proofErr w:type="spellStart"/>
      <w:r w:rsidRPr="00110464">
        <w:rPr>
          <w:rFonts w:ascii="Book Antiqua" w:eastAsia="DengXian" w:hAnsi="Book Antiqua" w:cs="Times New Roman"/>
          <w:sz w:val="24"/>
          <w:szCs w:val="24"/>
          <w:lang w:eastAsia="zh-CN"/>
        </w:rPr>
        <w:t>Almogy</w:t>
      </w:r>
      <w:proofErr w:type="spellEnd"/>
      <w:r w:rsidRPr="00110464">
        <w:rPr>
          <w:rFonts w:ascii="Book Antiqua" w:eastAsia="DengXian" w:hAnsi="Book Antiqua" w:cs="Times New Roman"/>
          <w:sz w:val="24"/>
          <w:szCs w:val="24"/>
          <w:lang w:eastAsia="zh-CN"/>
        </w:rPr>
        <w:t xml:space="preserve"> G, Hagen JA, </w:t>
      </w:r>
      <w:proofErr w:type="spellStart"/>
      <w:r w:rsidRPr="00110464">
        <w:rPr>
          <w:rFonts w:ascii="Book Antiqua" w:eastAsia="DengXian" w:hAnsi="Book Antiqua" w:cs="Times New Roman"/>
          <w:sz w:val="24"/>
          <w:szCs w:val="24"/>
          <w:lang w:eastAsia="zh-CN"/>
        </w:rPr>
        <w:t>Demeester</w:t>
      </w:r>
      <w:proofErr w:type="spellEnd"/>
      <w:r w:rsidRPr="00110464">
        <w:rPr>
          <w:rFonts w:ascii="Book Antiqua" w:eastAsia="DengXian" w:hAnsi="Book Antiqua" w:cs="Times New Roman"/>
          <w:sz w:val="24"/>
          <w:szCs w:val="24"/>
          <w:lang w:eastAsia="zh-CN"/>
        </w:rPr>
        <w:t xml:space="preserve"> SR, </w:t>
      </w:r>
      <w:proofErr w:type="spellStart"/>
      <w:r w:rsidRPr="00110464">
        <w:rPr>
          <w:rFonts w:ascii="Book Antiqua" w:eastAsia="DengXian" w:hAnsi="Book Antiqua" w:cs="Times New Roman"/>
          <w:sz w:val="24"/>
          <w:szCs w:val="24"/>
          <w:lang w:eastAsia="zh-CN"/>
        </w:rPr>
        <w:t>Bremner</w:t>
      </w:r>
      <w:proofErr w:type="spellEnd"/>
      <w:r w:rsidRPr="00110464">
        <w:rPr>
          <w:rFonts w:ascii="Book Antiqua" w:eastAsia="DengXian" w:hAnsi="Book Antiqua" w:cs="Times New Roman"/>
          <w:sz w:val="24"/>
          <w:szCs w:val="24"/>
          <w:lang w:eastAsia="zh-CN"/>
        </w:rPr>
        <w:t xml:space="preserve"> CG, </w:t>
      </w:r>
      <w:proofErr w:type="spellStart"/>
      <w:r w:rsidRPr="00110464">
        <w:rPr>
          <w:rFonts w:ascii="Book Antiqua" w:eastAsia="DengXian" w:hAnsi="Book Antiqua" w:cs="Times New Roman"/>
          <w:sz w:val="24"/>
          <w:szCs w:val="24"/>
          <w:lang w:eastAsia="zh-CN"/>
        </w:rPr>
        <w:t>Demeester</w:t>
      </w:r>
      <w:proofErr w:type="spellEnd"/>
      <w:r w:rsidRPr="00110464">
        <w:rPr>
          <w:rFonts w:ascii="Book Antiqua" w:eastAsia="DengXian" w:hAnsi="Book Antiqua" w:cs="Times New Roman"/>
          <w:sz w:val="24"/>
          <w:szCs w:val="24"/>
          <w:lang w:eastAsia="zh-CN"/>
        </w:rPr>
        <w:t xml:space="preserve"> TR. </w:t>
      </w:r>
      <w:bookmarkStart w:id="31" w:name="OLE_LINK80"/>
      <w:bookmarkStart w:id="32" w:name="OLE_LINK81"/>
      <w:r w:rsidRPr="00110464">
        <w:rPr>
          <w:rFonts w:ascii="Book Antiqua" w:eastAsia="DengXian" w:hAnsi="Book Antiqua" w:cs="Times New Roman"/>
          <w:sz w:val="24"/>
          <w:szCs w:val="24"/>
          <w:lang w:eastAsia="zh-CN"/>
        </w:rPr>
        <w:t xml:space="preserve">Esophageal adenocarcinoma in patients ≤ 50 years old: Delayed diagnosis and advanced disease at presentation. </w:t>
      </w:r>
      <w:bookmarkEnd w:id="31"/>
      <w:bookmarkEnd w:id="32"/>
      <w:r w:rsidRPr="00110464">
        <w:rPr>
          <w:rFonts w:ascii="Book Antiqua" w:eastAsia="DengXian" w:hAnsi="Book Antiqua" w:cs="Times New Roman"/>
          <w:i/>
          <w:sz w:val="24"/>
          <w:szCs w:val="24"/>
          <w:lang w:eastAsia="zh-CN"/>
        </w:rPr>
        <w:t>Am Surg</w:t>
      </w:r>
      <w:r w:rsidRPr="00110464">
        <w:rPr>
          <w:rFonts w:ascii="Book Antiqua" w:eastAsia="DengXian" w:hAnsi="Book Antiqua" w:cs="Times New Roman"/>
          <w:sz w:val="24"/>
          <w:szCs w:val="24"/>
          <w:lang w:eastAsia="zh-CN"/>
        </w:rPr>
        <w:t xml:space="preserve"> 2004; </w:t>
      </w:r>
      <w:r w:rsidRPr="00110464">
        <w:rPr>
          <w:rFonts w:ascii="Book Antiqua" w:eastAsia="DengXian" w:hAnsi="Book Antiqua" w:cs="Times New Roman"/>
          <w:b/>
          <w:sz w:val="24"/>
          <w:szCs w:val="24"/>
          <w:lang w:eastAsia="zh-CN"/>
        </w:rPr>
        <w:t>70</w:t>
      </w:r>
      <w:r w:rsidRPr="00110464">
        <w:rPr>
          <w:rFonts w:ascii="Book Antiqua" w:eastAsia="DengXian" w:hAnsi="Book Antiqua" w:cs="Times New Roman"/>
          <w:sz w:val="24"/>
          <w:szCs w:val="24"/>
          <w:lang w:eastAsia="zh-CN"/>
        </w:rPr>
        <w:t>: 954-958 [PMID: 15586504]</w:t>
      </w:r>
    </w:p>
    <w:p w14:paraId="04F6FC63"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22 </w:t>
      </w:r>
      <w:r w:rsidRPr="00110464">
        <w:rPr>
          <w:rFonts w:ascii="Book Antiqua" w:eastAsia="DengXian" w:hAnsi="Book Antiqua" w:cs="Times New Roman"/>
          <w:b/>
          <w:sz w:val="24"/>
          <w:szCs w:val="24"/>
          <w:lang w:eastAsia="zh-CN"/>
        </w:rPr>
        <w:t>Cook MB</w:t>
      </w:r>
      <w:r w:rsidRPr="00110464">
        <w:rPr>
          <w:rFonts w:ascii="Book Antiqua" w:eastAsia="DengXian" w:hAnsi="Book Antiqua" w:cs="Times New Roman"/>
          <w:sz w:val="24"/>
          <w:szCs w:val="24"/>
          <w:lang w:eastAsia="zh-CN"/>
        </w:rPr>
        <w:t xml:space="preserve">, Corley DA, Murray LJ, Liao LM, </w:t>
      </w:r>
      <w:proofErr w:type="spellStart"/>
      <w:r w:rsidRPr="00110464">
        <w:rPr>
          <w:rFonts w:ascii="Book Antiqua" w:eastAsia="DengXian" w:hAnsi="Book Antiqua" w:cs="Times New Roman"/>
          <w:sz w:val="24"/>
          <w:szCs w:val="24"/>
          <w:lang w:eastAsia="zh-CN"/>
        </w:rPr>
        <w:t>Kamangar</w:t>
      </w:r>
      <w:proofErr w:type="spellEnd"/>
      <w:r w:rsidRPr="00110464">
        <w:rPr>
          <w:rFonts w:ascii="Book Antiqua" w:eastAsia="DengXian" w:hAnsi="Book Antiqua" w:cs="Times New Roman"/>
          <w:sz w:val="24"/>
          <w:szCs w:val="24"/>
          <w:lang w:eastAsia="zh-CN"/>
        </w:rPr>
        <w:t xml:space="preserve"> F, Ye W, Gammon MD, </w:t>
      </w:r>
      <w:proofErr w:type="spellStart"/>
      <w:r w:rsidRPr="00110464">
        <w:rPr>
          <w:rFonts w:ascii="Book Antiqua" w:eastAsia="DengXian" w:hAnsi="Book Antiqua" w:cs="Times New Roman"/>
          <w:sz w:val="24"/>
          <w:szCs w:val="24"/>
          <w:lang w:eastAsia="zh-CN"/>
        </w:rPr>
        <w:t>Risch</w:t>
      </w:r>
      <w:proofErr w:type="spellEnd"/>
      <w:r w:rsidRPr="00110464">
        <w:rPr>
          <w:rFonts w:ascii="Book Antiqua" w:eastAsia="DengXian" w:hAnsi="Book Antiqua" w:cs="Times New Roman"/>
          <w:sz w:val="24"/>
          <w:szCs w:val="24"/>
          <w:lang w:eastAsia="zh-CN"/>
        </w:rPr>
        <w:t xml:space="preserve"> HA, </w:t>
      </w:r>
      <w:proofErr w:type="spellStart"/>
      <w:r w:rsidRPr="00110464">
        <w:rPr>
          <w:rFonts w:ascii="Book Antiqua" w:eastAsia="DengXian" w:hAnsi="Book Antiqua" w:cs="Times New Roman"/>
          <w:sz w:val="24"/>
          <w:szCs w:val="24"/>
          <w:lang w:eastAsia="zh-CN"/>
        </w:rPr>
        <w:t>Casson</w:t>
      </w:r>
      <w:proofErr w:type="spellEnd"/>
      <w:r w:rsidRPr="00110464">
        <w:rPr>
          <w:rFonts w:ascii="Book Antiqua" w:eastAsia="DengXian" w:hAnsi="Book Antiqua" w:cs="Times New Roman"/>
          <w:sz w:val="24"/>
          <w:szCs w:val="24"/>
          <w:lang w:eastAsia="zh-CN"/>
        </w:rPr>
        <w:t xml:space="preserve"> AG, Freedman ND, Chow WH, Wu AH, Bernstein L, </w:t>
      </w:r>
      <w:proofErr w:type="spellStart"/>
      <w:r w:rsidRPr="00110464">
        <w:rPr>
          <w:rFonts w:ascii="Book Antiqua" w:eastAsia="DengXian" w:hAnsi="Book Antiqua" w:cs="Times New Roman"/>
          <w:sz w:val="24"/>
          <w:szCs w:val="24"/>
          <w:lang w:eastAsia="zh-CN"/>
        </w:rPr>
        <w:t>Nyrén</w:t>
      </w:r>
      <w:proofErr w:type="spellEnd"/>
      <w:r w:rsidRPr="00110464">
        <w:rPr>
          <w:rFonts w:ascii="Book Antiqua" w:eastAsia="DengXian" w:hAnsi="Book Antiqua" w:cs="Times New Roman"/>
          <w:sz w:val="24"/>
          <w:szCs w:val="24"/>
          <w:lang w:eastAsia="zh-CN"/>
        </w:rPr>
        <w:t xml:space="preserve"> O, </w:t>
      </w:r>
      <w:proofErr w:type="spellStart"/>
      <w:r w:rsidRPr="00110464">
        <w:rPr>
          <w:rFonts w:ascii="Book Antiqua" w:eastAsia="DengXian" w:hAnsi="Book Antiqua" w:cs="Times New Roman"/>
          <w:sz w:val="24"/>
          <w:szCs w:val="24"/>
          <w:lang w:eastAsia="zh-CN"/>
        </w:rPr>
        <w:t>Pandeya</w:t>
      </w:r>
      <w:proofErr w:type="spellEnd"/>
      <w:r w:rsidRPr="00110464">
        <w:rPr>
          <w:rFonts w:ascii="Book Antiqua" w:eastAsia="DengXian" w:hAnsi="Book Antiqua" w:cs="Times New Roman"/>
          <w:sz w:val="24"/>
          <w:szCs w:val="24"/>
          <w:lang w:eastAsia="zh-CN"/>
        </w:rPr>
        <w:t xml:space="preserve"> N, Whiteman DC, Vaughan TL. Gastroesophageal reflux in relation to adenocarcinomas of the esophagus: A pooled analysis from the Barrett's and Esophageal Adenocarcinoma Consortium (BEACON). </w:t>
      </w:r>
      <w:proofErr w:type="spellStart"/>
      <w:r w:rsidRPr="00110464">
        <w:rPr>
          <w:rFonts w:ascii="Book Antiqua" w:eastAsia="DengXian" w:hAnsi="Book Antiqua" w:cs="Times New Roman"/>
          <w:i/>
          <w:sz w:val="24"/>
          <w:szCs w:val="24"/>
          <w:lang w:eastAsia="zh-CN"/>
        </w:rPr>
        <w:t>PLoS</w:t>
      </w:r>
      <w:proofErr w:type="spellEnd"/>
      <w:r w:rsidRPr="00110464">
        <w:rPr>
          <w:rFonts w:ascii="Book Antiqua" w:eastAsia="DengXian" w:hAnsi="Book Antiqua" w:cs="Times New Roman"/>
          <w:i/>
          <w:sz w:val="24"/>
          <w:szCs w:val="24"/>
          <w:lang w:eastAsia="zh-CN"/>
        </w:rPr>
        <w:t xml:space="preserve"> One</w:t>
      </w:r>
      <w:r w:rsidRPr="00110464">
        <w:rPr>
          <w:rFonts w:ascii="Book Antiqua" w:eastAsia="DengXian" w:hAnsi="Book Antiqua" w:cs="Times New Roman"/>
          <w:sz w:val="24"/>
          <w:szCs w:val="24"/>
          <w:lang w:eastAsia="zh-CN"/>
        </w:rPr>
        <w:t xml:space="preserve"> 2014; </w:t>
      </w:r>
      <w:r w:rsidRPr="00110464">
        <w:rPr>
          <w:rFonts w:ascii="Book Antiqua" w:eastAsia="DengXian" w:hAnsi="Book Antiqua" w:cs="Times New Roman"/>
          <w:b/>
          <w:sz w:val="24"/>
          <w:szCs w:val="24"/>
          <w:lang w:eastAsia="zh-CN"/>
        </w:rPr>
        <w:t>9</w:t>
      </w:r>
      <w:r w:rsidRPr="00110464">
        <w:rPr>
          <w:rFonts w:ascii="Book Antiqua" w:eastAsia="DengXian" w:hAnsi="Book Antiqua" w:cs="Times New Roman"/>
          <w:sz w:val="24"/>
          <w:szCs w:val="24"/>
          <w:lang w:eastAsia="zh-CN"/>
        </w:rPr>
        <w:t>: e103508 [PMID: 25075959 DOI: 10.1371/journal.pone.0103508]</w:t>
      </w:r>
    </w:p>
    <w:p w14:paraId="123D2720"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23 </w:t>
      </w:r>
      <w:r w:rsidRPr="00110464">
        <w:rPr>
          <w:rFonts w:ascii="Book Antiqua" w:eastAsia="DengXian" w:hAnsi="Book Antiqua" w:cs="Times New Roman"/>
          <w:b/>
          <w:sz w:val="24"/>
          <w:szCs w:val="24"/>
          <w:lang w:eastAsia="zh-CN"/>
        </w:rPr>
        <w:t>Becher A</w:t>
      </w:r>
      <w:r w:rsidRPr="00110464">
        <w:rPr>
          <w:rFonts w:ascii="Book Antiqua" w:eastAsia="DengXian" w:hAnsi="Book Antiqua" w:cs="Times New Roman"/>
          <w:sz w:val="24"/>
          <w:szCs w:val="24"/>
          <w:lang w:eastAsia="zh-CN"/>
        </w:rPr>
        <w:t>, Dent J. Systematic review: Ageing and gastro-</w:t>
      </w:r>
      <w:proofErr w:type="spellStart"/>
      <w:r w:rsidRPr="00110464">
        <w:rPr>
          <w:rFonts w:ascii="Book Antiqua" w:eastAsia="DengXian" w:hAnsi="Book Antiqua" w:cs="Times New Roman"/>
          <w:sz w:val="24"/>
          <w:szCs w:val="24"/>
          <w:lang w:eastAsia="zh-CN"/>
        </w:rPr>
        <w:t>oesophageal</w:t>
      </w:r>
      <w:proofErr w:type="spellEnd"/>
      <w:r w:rsidRPr="00110464">
        <w:rPr>
          <w:rFonts w:ascii="Book Antiqua" w:eastAsia="DengXian" w:hAnsi="Book Antiqua" w:cs="Times New Roman"/>
          <w:sz w:val="24"/>
          <w:szCs w:val="24"/>
          <w:lang w:eastAsia="zh-CN"/>
        </w:rPr>
        <w:t xml:space="preserve"> reflux disease symptoms, </w:t>
      </w:r>
      <w:proofErr w:type="spellStart"/>
      <w:r w:rsidRPr="00110464">
        <w:rPr>
          <w:rFonts w:ascii="Book Antiqua" w:eastAsia="DengXian" w:hAnsi="Book Antiqua" w:cs="Times New Roman"/>
          <w:sz w:val="24"/>
          <w:szCs w:val="24"/>
          <w:lang w:eastAsia="zh-CN"/>
        </w:rPr>
        <w:t>oesophageal</w:t>
      </w:r>
      <w:proofErr w:type="spellEnd"/>
      <w:r w:rsidRPr="00110464">
        <w:rPr>
          <w:rFonts w:ascii="Book Antiqua" w:eastAsia="DengXian" w:hAnsi="Book Antiqua" w:cs="Times New Roman"/>
          <w:sz w:val="24"/>
          <w:szCs w:val="24"/>
          <w:lang w:eastAsia="zh-CN"/>
        </w:rPr>
        <w:t xml:space="preserve"> function and reflux </w:t>
      </w:r>
      <w:proofErr w:type="spellStart"/>
      <w:r w:rsidRPr="00110464">
        <w:rPr>
          <w:rFonts w:ascii="Book Antiqua" w:eastAsia="DengXian" w:hAnsi="Book Antiqua" w:cs="Times New Roman"/>
          <w:sz w:val="24"/>
          <w:szCs w:val="24"/>
          <w:lang w:eastAsia="zh-CN"/>
        </w:rPr>
        <w:t>oesophagitis</w:t>
      </w:r>
      <w:proofErr w:type="spellEnd"/>
      <w:r w:rsidRPr="00110464">
        <w:rPr>
          <w:rFonts w:ascii="Book Antiqua" w:eastAsia="DengXian" w:hAnsi="Book Antiqua" w:cs="Times New Roman"/>
          <w:sz w:val="24"/>
          <w:szCs w:val="24"/>
          <w:lang w:eastAsia="zh-CN"/>
        </w:rPr>
        <w:t xml:space="preserve">. </w:t>
      </w:r>
      <w:r w:rsidRPr="00110464">
        <w:rPr>
          <w:rFonts w:ascii="Book Antiqua" w:eastAsia="DengXian" w:hAnsi="Book Antiqua" w:cs="Times New Roman"/>
          <w:i/>
          <w:sz w:val="24"/>
          <w:szCs w:val="24"/>
          <w:lang w:eastAsia="zh-CN"/>
        </w:rPr>
        <w:t xml:space="preserve">Aliment </w:t>
      </w:r>
      <w:proofErr w:type="spellStart"/>
      <w:r w:rsidRPr="00110464">
        <w:rPr>
          <w:rFonts w:ascii="Book Antiqua" w:eastAsia="DengXian" w:hAnsi="Book Antiqua" w:cs="Times New Roman"/>
          <w:i/>
          <w:sz w:val="24"/>
          <w:szCs w:val="24"/>
          <w:lang w:eastAsia="zh-CN"/>
        </w:rPr>
        <w:t>Pharmacol</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Ther</w:t>
      </w:r>
      <w:proofErr w:type="spellEnd"/>
      <w:r w:rsidRPr="00110464">
        <w:rPr>
          <w:rFonts w:ascii="Book Antiqua" w:eastAsia="DengXian" w:hAnsi="Book Antiqua" w:cs="Times New Roman"/>
          <w:sz w:val="24"/>
          <w:szCs w:val="24"/>
          <w:lang w:eastAsia="zh-CN"/>
        </w:rPr>
        <w:t xml:space="preserve"> 2011; </w:t>
      </w:r>
      <w:r w:rsidRPr="00110464">
        <w:rPr>
          <w:rFonts w:ascii="Book Antiqua" w:eastAsia="DengXian" w:hAnsi="Book Antiqua" w:cs="Times New Roman"/>
          <w:b/>
          <w:sz w:val="24"/>
          <w:szCs w:val="24"/>
          <w:lang w:eastAsia="zh-CN"/>
        </w:rPr>
        <w:t>33</w:t>
      </w:r>
      <w:r w:rsidRPr="00110464">
        <w:rPr>
          <w:rFonts w:ascii="Book Antiqua" w:eastAsia="DengXian" w:hAnsi="Book Antiqua" w:cs="Times New Roman"/>
          <w:sz w:val="24"/>
          <w:szCs w:val="24"/>
          <w:lang w:eastAsia="zh-CN"/>
        </w:rPr>
        <w:t xml:space="preserve">: </w:t>
      </w:r>
      <w:r w:rsidRPr="00110464">
        <w:rPr>
          <w:rFonts w:ascii="Book Antiqua" w:eastAsia="DengXian" w:hAnsi="Book Antiqua" w:cs="Times New Roman"/>
          <w:sz w:val="24"/>
          <w:szCs w:val="24"/>
          <w:lang w:eastAsia="zh-CN"/>
        </w:rPr>
        <w:lastRenderedPageBreak/>
        <w:t>442-454 [PMID: 21138458 DOI: 10.1111/j.1365-2036.2010.04542.x]</w:t>
      </w:r>
    </w:p>
    <w:p w14:paraId="4F12C333"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24 </w:t>
      </w:r>
      <w:r w:rsidRPr="00110464">
        <w:rPr>
          <w:rFonts w:ascii="Book Antiqua" w:eastAsia="DengXian" w:hAnsi="Book Antiqua" w:cs="Times New Roman"/>
          <w:b/>
          <w:sz w:val="24"/>
          <w:szCs w:val="24"/>
          <w:lang w:eastAsia="zh-CN"/>
        </w:rPr>
        <w:t>Hampel H</w:t>
      </w:r>
      <w:r w:rsidRPr="00110464">
        <w:rPr>
          <w:rFonts w:ascii="Book Antiqua" w:eastAsia="DengXian" w:hAnsi="Book Antiqua" w:cs="Times New Roman"/>
          <w:sz w:val="24"/>
          <w:szCs w:val="24"/>
          <w:lang w:eastAsia="zh-CN"/>
        </w:rPr>
        <w:t>, Abraham NS, El-</w:t>
      </w:r>
      <w:proofErr w:type="spellStart"/>
      <w:r w:rsidRPr="00110464">
        <w:rPr>
          <w:rFonts w:ascii="Book Antiqua" w:eastAsia="DengXian" w:hAnsi="Book Antiqua" w:cs="Times New Roman"/>
          <w:sz w:val="24"/>
          <w:szCs w:val="24"/>
          <w:lang w:eastAsia="zh-CN"/>
        </w:rPr>
        <w:t>Serag</w:t>
      </w:r>
      <w:proofErr w:type="spellEnd"/>
      <w:r w:rsidRPr="00110464">
        <w:rPr>
          <w:rFonts w:ascii="Book Antiqua" w:eastAsia="DengXian" w:hAnsi="Book Antiqua" w:cs="Times New Roman"/>
          <w:sz w:val="24"/>
          <w:szCs w:val="24"/>
          <w:lang w:eastAsia="zh-CN"/>
        </w:rPr>
        <w:t xml:space="preserve"> HB. Meta-analysis: Obesity and the risk for gastroesophageal reflux disease and its complications. </w:t>
      </w:r>
      <w:r w:rsidRPr="00110464">
        <w:rPr>
          <w:rFonts w:ascii="Book Antiqua" w:eastAsia="DengXian" w:hAnsi="Book Antiqua" w:cs="Times New Roman"/>
          <w:i/>
          <w:sz w:val="24"/>
          <w:szCs w:val="24"/>
          <w:lang w:eastAsia="zh-CN"/>
        </w:rPr>
        <w:t>Ann Intern Med</w:t>
      </w:r>
      <w:r w:rsidRPr="00110464">
        <w:rPr>
          <w:rFonts w:ascii="Book Antiqua" w:eastAsia="DengXian" w:hAnsi="Book Antiqua" w:cs="Times New Roman"/>
          <w:sz w:val="24"/>
          <w:szCs w:val="24"/>
          <w:lang w:eastAsia="zh-CN"/>
        </w:rPr>
        <w:t xml:space="preserve"> 2005; </w:t>
      </w:r>
      <w:r w:rsidRPr="00110464">
        <w:rPr>
          <w:rFonts w:ascii="Book Antiqua" w:eastAsia="DengXian" w:hAnsi="Book Antiqua" w:cs="Times New Roman"/>
          <w:b/>
          <w:sz w:val="24"/>
          <w:szCs w:val="24"/>
          <w:lang w:eastAsia="zh-CN"/>
        </w:rPr>
        <w:t>143</w:t>
      </w:r>
      <w:r w:rsidRPr="00110464">
        <w:rPr>
          <w:rFonts w:ascii="Book Antiqua" w:eastAsia="DengXian" w:hAnsi="Book Antiqua" w:cs="Times New Roman"/>
          <w:sz w:val="24"/>
          <w:szCs w:val="24"/>
          <w:lang w:eastAsia="zh-CN"/>
        </w:rPr>
        <w:t>: 199-211 [PMID: 16061918 DOI: 10.7326/0003-4819-143-3-200508020-00006]</w:t>
      </w:r>
    </w:p>
    <w:p w14:paraId="1DD76DCC"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25 </w:t>
      </w:r>
      <w:r w:rsidRPr="00110464">
        <w:rPr>
          <w:rFonts w:ascii="Book Antiqua" w:eastAsia="DengXian" w:hAnsi="Book Antiqua" w:cs="Times New Roman"/>
          <w:b/>
          <w:sz w:val="24"/>
          <w:szCs w:val="24"/>
          <w:lang w:eastAsia="zh-CN"/>
        </w:rPr>
        <w:t>Singh S</w:t>
      </w:r>
      <w:r w:rsidRPr="00110464">
        <w:rPr>
          <w:rFonts w:ascii="Book Antiqua" w:eastAsia="DengXian" w:hAnsi="Book Antiqua" w:cs="Times New Roman"/>
          <w:sz w:val="24"/>
          <w:szCs w:val="24"/>
          <w:lang w:eastAsia="zh-CN"/>
        </w:rPr>
        <w:t xml:space="preserve">, Sharma AN, Murad MH, </w:t>
      </w:r>
      <w:proofErr w:type="spellStart"/>
      <w:r w:rsidRPr="00110464">
        <w:rPr>
          <w:rFonts w:ascii="Book Antiqua" w:eastAsia="DengXian" w:hAnsi="Book Antiqua" w:cs="Times New Roman"/>
          <w:sz w:val="24"/>
          <w:szCs w:val="24"/>
          <w:lang w:eastAsia="zh-CN"/>
        </w:rPr>
        <w:t>Buttar</w:t>
      </w:r>
      <w:proofErr w:type="spellEnd"/>
      <w:r w:rsidRPr="00110464">
        <w:rPr>
          <w:rFonts w:ascii="Book Antiqua" w:eastAsia="DengXian" w:hAnsi="Book Antiqua" w:cs="Times New Roman"/>
          <w:sz w:val="24"/>
          <w:szCs w:val="24"/>
          <w:lang w:eastAsia="zh-CN"/>
        </w:rPr>
        <w:t xml:space="preserve"> NS, El-</w:t>
      </w:r>
      <w:proofErr w:type="spellStart"/>
      <w:r w:rsidRPr="00110464">
        <w:rPr>
          <w:rFonts w:ascii="Book Antiqua" w:eastAsia="DengXian" w:hAnsi="Book Antiqua" w:cs="Times New Roman"/>
          <w:sz w:val="24"/>
          <w:szCs w:val="24"/>
          <w:lang w:eastAsia="zh-CN"/>
        </w:rPr>
        <w:t>Serag</w:t>
      </w:r>
      <w:proofErr w:type="spellEnd"/>
      <w:r w:rsidRPr="00110464">
        <w:rPr>
          <w:rFonts w:ascii="Book Antiqua" w:eastAsia="DengXian" w:hAnsi="Book Antiqua" w:cs="Times New Roman"/>
          <w:sz w:val="24"/>
          <w:szCs w:val="24"/>
          <w:lang w:eastAsia="zh-CN"/>
        </w:rPr>
        <w:t xml:space="preserve"> HB, </w:t>
      </w:r>
      <w:proofErr w:type="spellStart"/>
      <w:r w:rsidRPr="00110464">
        <w:rPr>
          <w:rFonts w:ascii="Book Antiqua" w:eastAsia="DengXian" w:hAnsi="Book Antiqua" w:cs="Times New Roman"/>
          <w:sz w:val="24"/>
          <w:szCs w:val="24"/>
          <w:lang w:eastAsia="zh-CN"/>
        </w:rPr>
        <w:t>Katzka</w:t>
      </w:r>
      <w:proofErr w:type="spellEnd"/>
      <w:r w:rsidRPr="00110464">
        <w:rPr>
          <w:rFonts w:ascii="Book Antiqua" w:eastAsia="DengXian" w:hAnsi="Book Antiqua" w:cs="Times New Roman"/>
          <w:sz w:val="24"/>
          <w:szCs w:val="24"/>
          <w:lang w:eastAsia="zh-CN"/>
        </w:rPr>
        <w:t xml:space="preserve"> DA, </w:t>
      </w:r>
      <w:proofErr w:type="spellStart"/>
      <w:r w:rsidRPr="00110464">
        <w:rPr>
          <w:rFonts w:ascii="Book Antiqua" w:eastAsia="DengXian" w:hAnsi="Book Antiqua" w:cs="Times New Roman"/>
          <w:sz w:val="24"/>
          <w:szCs w:val="24"/>
          <w:lang w:eastAsia="zh-CN"/>
        </w:rPr>
        <w:t>Iyer</w:t>
      </w:r>
      <w:proofErr w:type="spellEnd"/>
      <w:r w:rsidRPr="00110464">
        <w:rPr>
          <w:rFonts w:ascii="Book Antiqua" w:eastAsia="DengXian" w:hAnsi="Book Antiqua" w:cs="Times New Roman"/>
          <w:sz w:val="24"/>
          <w:szCs w:val="24"/>
          <w:lang w:eastAsia="zh-CN"/>
        </w:rPr>
        <w:t xml:space="preserve"> PG. Central adiposity is associated with increased risk of esophageal inflammation, metaplasia, and adenocarcinoma: A systematic review and meta-analysis. </w:t>
      </w:r>
      <w:proofErr w:type="spellStart"/>
      <w:r w:rsidRPr="00110464">
        <w:rPr>
          <w:rFonts w:ascii="Book Antiqua" w:eastAsia="DengXian" w:hAnsi="Book Antiqua" w:cs="Times New Roman"/>
          <w:i/>
          <w:sz w:val="24"/>
          <w:szCs w:val="24"/>
          <w:lang w:eastAsia="zh-CN"/>
        </w:rPr>
        <w:t>Clin</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Gastroenterol</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Hepatol</w:t>
      </w:r>
      <w:proofErr w:type="spellEnd"/>
      <w:r w:rsidRPr="00110464">
        <w:rPr>
          <w:rFonts w:ascii="Book Antiqua" w:eastAsia="DengXian" w:hAnsi="Book Antiqua" w:cs="Times New Roman"/>
          <w:sz w:val="24"/>
          <w:szCs w:val="24"/>
          <w:lang w:eastAsia="zh-CN"/>
        </w:rPr>
        <w:t xml:space="preserve"> 2013; </w:t>
      </w:r>
      <w:r w:rsidRPr="00110464">
        <w:rPr>
          <w:rFonts w:ascii="Book Antiqua" w:eastAsia="DengXian" w:hAnsi="Book Antiqua" w:cs="Times New Roman"/>
          <w:b/>
          <w:sz w:val="24"/>
          <w:szCs w:val="24"/>
          <w:lang w:eastAsia="zh-CN"/>
        </w:rPr>
        <w:t>11</w:t>
      </w:r>
      <w:r w:rsidRPr="00110464">
        <w:rPr>
          <w:rFonts w:ascii="Book Antiqua" w:eastAsia="DengXian" w:hAnsi="Book Antiqua" w:cs="Times New Roman"/>
          <w:sz w:val="24"/>
          <w:szCs w:val="24"/>
          <w:lang w:eastAsia="zh-CN"/>
        </w:rPr>
        <w:t>: 1399-1412.e7 [PMID: 23707461 DOI: 10.1016/j.cgh.2013.05.009]</w:t>
      </w:r>
    </w:p>
    <w:p w14:paraId="6C9BDEA8"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26 </w:t>
      </w:r>
      <w:r w:rsidRPr="00110464">
        <w:rPr>
          <w:rFonts w:ascii="Book Antiqua" w:eastAsia="DengXian" w:hAnsi="Book Antiqua" w:cs="Times New Roman"/>
          <w:b/>
          <w:sz w:val="24"/>
          <w:szCs w:val="24"/>
          <w:lang w:eastAsia="zh-CN"/>
        </w:rPr>
        <w:t>Larsson SC</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Wolk</w:t>
      </w:r>
      <w:proofErr w:type="spellEnd"/>
      <w:r w:rsidRPr="00110464">
        <w:rPr>
          <w:rFonts w:ascii="Book Antiqua" w:eastAsia="DengXian" w:hAnsi="Book Antiqua" w:cs="Times New Roman"/>
          <w:sz w:val="24"/>
          <w:szCs w:val="24"/>
          <w:lang w:eastAsia="zh-CN"/>
        </w:rPr>
        <w:t xml:space="preserve"> A. Obesity and colon and rectal cancer risk: A meta-analysis of prospective studies. </w:t>
      </w:r>
      <w:r w:rsidRPr="00110464">
        <w:rPr>
          <w:rFonts w:ascii="Book Antiqua" w:eastAsia="DengXian" w:hAnsi="Book Antiqua" w:cs="Times New Roman"/>
          <w:i/>
          <w:sz w:val="24"/>
          <w:szCs w:val="24"/>
          <w:lang w:eastAsia="zh-CN"/>
        </w:rPr>
        <w:t xml:space="preserve">Am J </w:t>
      </w:r>
      <w:proofErr w:type="spellStart"/>
      <w:r w:rsidRPr="00110464">
        <w:rPr>
          <w:rFonts w:ascii="Book Antiqua" w:eastAsia="DengXian" w:hAnsi="Book Antiqua" w:cs="Times New Roman"/>
          <w:i/>
          <w:sz w:val="24"/>
          <w:szCs w:val="24"/>
          <w:lang w:eastAsia="zh-CN"/>
        </w:rPr>
        <w:t>Clin</w:t>
      </w:r>
      <w:proofErr w:type="spellEnd"/>
      <w:r w:rsidRPr="00110464">
        <w:rPr>
          <w:rFonts w:ascii="Book Antiqua" w:eastAsia="DengXian" w:hAnsi="Book Antiqua" w:cs="Times New Roman"/>
          <w:i/>
          <w:sz w:val="24"/>
          <w:szCs w:val="24"/>
          <w:lang w:eastAsia="zh-CN"/>
        </w:rPr>
        <w:t xml:space="preserve"> </w:t>
      </w:r>
      <w:proofErr w:type="spellStart"/>
      <w:r w:rsidRPr="00110464">
        <w:rPr>
          <w:rFonts w:ascii="Book Antiqua" w:eastAsia="DengXian" w:hAnsi="Book Antiqua" w:cs="Times New Roman"/>
          <w:i/>
          <w:sz w:val="24"/>
          <w:szCs w:val="24"/>
          <w:lang w:eastAsia="zh-CN"/>
        </w:rPr>
        <w:t>Nutr</w:t>
      </w:r>
      <w:proofErr w:type="spellEnd"/>
      <w:r w:rsidRPr="00110464">
        <w:rPr>
          <w:rFonts w:ascii="Book Antiqua" w:eastAsia="DengXian" w:hAnsi="Book Antiqua" w:cs="Times New Roman"/>
          <w:sz w:val="24"/>
          <w:szCs w:val="24"/>
          <w:lang w:eastAsia="zh-CN"/>
        </w:rPr>
        <w:t xml:space="preserve"> 2007; </w:t>
      </w:r>
      <w:r w:rsidRPr="00110464">
        <w:rPr>
          <w:rFonts w:ascii="Book Antiqua" w:eastAsia="DengXian" w:hAnsi="Book Antiqua" w:cs="Times New Roman"/>
          <w:b/>
          <w:sz w:val="24"/>
          <w:szCs w:val="24"/>
          <w:lang w:eastAsia="zh-CN"/>
        </w:rPr>
        <w:t>86</w:t>
      </w:r>
      <w:r w:rsidRPr="00110464">
        <w:rPr>
          <w:rFonts w:ascii="Book Antiqua" w:eastAsia="DengXian" w:hAnsi="Book Antiqua" w:cs="Times New Roman"/>
          <w:sz w:val="24"/>
          <w:szCs w:val="24"/>
          <w:lang w:eastAsia="zh-CN"/>
        </w:rPr>
        <w:t>: 556-565 [PMID: 17823417 DOI: 10.1093/</w:t>
      </w:r>
      <w:proofErr w:type="spellStart"/>
      <w:r w:rsidRPr="00110464">
        <w:rPr>
          <w:rFonts w:ascii="Book Antiqua" w:eastAsia="DengXian" w:hAnsi="Book Antiqua" w:cs="Times New Roman"/>
          <w:sz w:val="24"/>
          <w:szCs w:val="24"/>
          <w:lang w:eastAsia="zh-CN"/>
        </w:rPr>
        <w:t>ajcn</w:t>
      </w:r>
      <w:proofErr w:type="spellEnd"/>
      <w:r w:rsidRPr="00110464">
        <w:rPr>
          <w:rFonts w:ascii="Book Antiqua" w:eastAsia="DengXian" w:hAnsi="Book Antiqua" w:cs="Times New Roman"/>
          <w:sz w:val="24"/>
          <w:szCs w:val="24"/>
          <w:lang w:eastAsia="zh-CN"/>
        </w:rPr>
        <w:t>/86.3.556]</w:t>
      </w:r>
    </w:p>
    <w:p w14:paraId="32B9D209"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27 </w:t>
      </w:r>
      <w:proofErr w:type="spellStart"/>
      <w:r w:rsidRPr="00110464">
        <w:rPr>
          <w:rFonts w:ascii="Book Antiqua" w:eastAsia="DengXian" w:hAnsi="Book Antiqua" w:cs="Times New Roman"/>
          <w:b/>
          <w:sz w:val="24"/>
          <w:szCs w:val="24"/>
          <w:lang w:eastAsia="zh-CN"/>
        </w:rPr>
        <w:t>Aune</w:t>
      </w:r>
      <w:proofErr w:type="spellEnd"/>
      <w:r w:rsidRPr="00110464">
        <w:rPr>
          <w:rFonts w:ascii="Book Antiqua" w:eastAsia="DengXian" w:hAnsi="Book Antiqua" w:cs="Times New Roman"/>
          <w:b/>
          <w:sz w:val="24"/>
          <w:szCs w:val="24"/>
          <w:lang w:eastAsia="zh-CN"/>
        </w:rPr>
        <w:t xml:space="preserve"> D</w:t>
      </w:r>
      <w:r w:rsidRPr="00110464">
        <w:rPr>
          <w:rFonts w:ascii="Book Antiqua" w:eastAsia="DengXian" w:hAnsi="Book Antiqua" w:cs="Times New Roman"/>
          <w:sz w:val="24"/>
          <w:szCs w:val="24"/>
          <w:lang w:eastAsia="zh-CN"/>
        </w:rPr>
        <w:t xml:space="preserve">, Greenwood DC, Chan DS, Vieira R, Vieira AR, Navarro Rosenblatt DA, Cade JE, Burley VJ, </w:t>
      </w:r>
      <w:proofErr w:type="spellStart"/>
      <w:r w:rsidRPr="00110464">
        <w:rPr>
          <w:rFonts w:ascii="Book Antiqua" w:eastAsia="DengXian" w:hAnsi="Book Antiqua" w:cs="Times New Roman"/>
          <w:sz w:val="24"/>
          <w:szCs w:val="24"/>
          <w:lang w:eastAsia="zh-CN"/>
        </w:rPr>
        <w:t>Norat</w:t>
      </w:r>
      <w:proofErr w:type="spellEnd"/>
      <w:r w:rsidRPr="00110464">
        <w:rPr>
          <w:rFonts w:ascii="Book Antiqua" w:eastAsia="DengXian" w:hAnsi="Book Antiqua" w:cs="Times New Roman"/>
          <w:sz w:val="24"/>
          <w:szCs w:val="24"/>
          <w:lang w:eastAsia="zh-CN"/>
        </w:rPr>
        <w:t xml:space="preserve"> T. Body mass index, abdominal fatness and pancreatic cancer risk: A systematic review and non-linear dose-response meta-analysis of prospective studies. </w:t>
      </w:r>
      <w:r w:rsidRPr="00110464">
        <w:rPr>
          <w:rFonts w:ascii="Book Antiqua" w:eastAsia="DengXian" w:hAnsi="Book Antiqua" w:cs="Times New Roman"/>
          <w:i/>
          <w:sz w:val="24"/>
          <w:szCs w:val="24"/>
          <w:lang w:eastAsia="zh-CN"/>
        </w:rPr>
        <w:t>Ann Oncol</w:t>
      </w:r>
      <w:r w:rsidRPr="00110464">
        <w:rPr>
          <w:rFonts w:ascii="Book Antiqua" w:eastAsia="DengXian" w:hAnsi="Book Antiqua" w:cs="Times New Roman"/>
          <w:sz w:val="24"/>
          <w:szCs w:val="24"/>
          <w:lang w:eastAsia="zh-CN"/>
        </w:rPr>
        <w:t xml:space="preserve"> 2012; </w:t>
      </w:r>
      <w:r w:rsidRPr="00110464">
        <w:rPr>
          <w:rFonts w:ascii="Book Antiqua" w:eastAsia="DengXian" w:hAnsi="Book Antiqua" w:cs="Times New Roman"/>
          <w:b/>
          <w:sz w:val="24"/>
          <w:szCs w:val="24"/>
          <w:lang w:eastAsia="zh-CN"/>
        </w:rPr>
        <w:t>23</w:t>
      </w:r>
      <w:r w:rsidRPr="00110464">
        <w:rPr>
          <w:rFonts w:ascii="Book Antiqua" w:eastAsia="DengXian" w:hAnsi="Book Antiqua" w:cs="Times New Roman"/>
          <w:sz w:val="24"/>
          <w:szCs w:val="24"/>
          <w:lang w:eastAsia="zh-CN"/>
        </w:rPr>
        <w:t>: 843-852 [PMID: 21890910 DOI: 10.1093/</w:t>
      </w:r>
      <w:proofErr w:type="spellStart"/>
      <w:r w:rsidRPr="00110464">
        <w:rPr>
          <w:rFonts w:ascii="Book Antiqua" w:eastAsia="DengXian" w:hAnsi="Book Antiqua" w:cs="Times New Roman"/>
          <w:sz w:val="24"/>
          <w:szCs w:val="24"/>
          <w:lang w:eastAsia="zh-CN"/>
        </w:rPr>
        <w:t>annonc</w:t>
      </w:r>
      <w:proofErr w:type="spellEnd"/>
      <w:r w:rsidRPr="00110464">
        <w:rPr>
          <w:rFonts w:ascii="Book Antiqua" w:eastAsia="DengXian" w:hAnsi="Book Antiqua" w:cs="Times New Roman"/>
          <w:sz w:val="24"/>
          <w:szCs w:val="24"/>
          <w:lang w:eastAsia="zh-CN"/>
        </w:rPr>
        <w:t>/mdr398]</w:t>
      </w:r>
    </w:p>
    <w:p w14:paraId="1DBB789E"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28 </w:t>
      </w:r>
      <w:r w:rsidRPr="00110464">
        <w:rPr>
          <w:rFonts w:ascii="Book Antiqua" w:eastAsia="DengXian" w:hAnsi="Book Antiqua" w:cs="Times New Roman"/>
          <w:b/>
          <w:sz w:val="24"/>
          <w:szCs w:val="24"/>
          <w:lang w:eastAsia="zh-CN"/>
        </w:rPr>
        <w:t>Cook MB</w:t>
      </w:r>
      <w:r w:rsidRPr="00110464">
        <w:rPr>
          <w:rFonts w:ascii="Book Antiqua" w:eastAsia="DengXian" w:hAnsi="Book Antiqua" w:cs="Times New Roman"/>
          <w:sz w:val="24"/>
          <w:szCs w:val="24"/>
          <w:lang w:eastAsia="zh-CN"/>
        </w:rPr>
        <w:t xml:space="preserve">, </w:t>
      </w:r>
      <w:proofErr w:type="spellStart"/>
      <w:r w:rsidRPr="00110464">
        <w:rPr>
          <w:rFonts w:ascii="Book Antiqua" w:eastAsia="DengXian" w:hAnsi="Book Antiqua" w:cs="Times New Roman"/>
          <w:sz w:val="24"/>
          <w:szCs w:val="24"/>
          <w:lang w:eastAsia="zh-CN"/>
        </w:rPr>
        <w:t>Shaheen</w:t>
      </w:r>
      <w:proofErr w:type="spellEnd"/>
      <w:r w:rsidRPr="00110464">
        <w:rPr>
          <w:rFonts w:ascii="Book Antiqua" w:eastAsia="DengXian" w:hAnsi="Book Antiqua" w:cs="Times New Roman"/>
          <w:sz w:val="24"/>
          <w:szCs w:val="24"/>
          <w:lang w:eastAsia="zh-CN"/>
        </w:rPr>
        <w:t xml:space="preserve"> NJ, Anderson LA, </w:t>
      </w:r>
      <w:proofErr w:type="spellStart"/>
      <w:r w:rsidRPr="00110464">
        <w:rPr>
          <w:rFonts w:ascii="Book Antiqua" w:eastAsia="DengXian" w:hAnsi="Book Antiqua" w:cs="Times New Roman"/>
          <w:sz w:val="24"/>
          <w:szCs w:val="24"/>
          <w:lang w:eastAsia="zh-CN"/>
        </w:rPr>
        <w:t>Giffen</w:t>
      </w:r>
      <w:proofErr w:type="spellEnd"/>
      <w:r w:rsidRPr="00110464">
        <w:rPr>
          <w:rFonts w:ascii="Book Antiqua" w:eastAsia="DengXian" w:hAnsi="Book Antiqua" w:cs="Times New Roman"/>
          <w:sz w:val="24"/>
          <w:szCs w:val="24"/>
          <w:lang w:eastAsia="zh-CN"/>
        </w:rPr>
        <w:t xml:space="preserve"> C, Chow WH, Vaughan TL, Whiteman DC, Corley DA. Cigarette smoking increases risk of Barrett's esophagus: An analysis of the Barrett's and Esophageal Adenocarcinoma Consortium. </w:t>
      </w:r>
      <w:r w:rsidRPr="00110464">
        <w:rPr>
          <w:rFonts w:ascii="Book Antiqua" w:eastAsia="DengXian" w:hAnsi="Book Antiqua" w:cs="Times New Roman"/>
          <w:i/>
          <w:sz w:val="24"/>
          <w:szCs w:val="24"/>
          <w:lang w:eastAsia="zh-CN"/>
        </w:rPr>
        <w:t>Gastroenterology</w:t>
      </w:r>
      <w:r w:rsidRPr="00110464">
        <w:rPr>
          <w:rFonts w:ascii="Book Antiqua" w:eastAsia="DengXian" w:hAnsi="Book Antiqua" w:cs="Times New Roman"/>
          <w:sz w:val="24"/>
          <w:szCs w:val="24"/>
          <w:lang w:eastAsia="zh-CN"/>
        </w:rPr>
        <w:t xml:space="preserve"> 2012; </w:t>
      </w:r>
      <w:r w:rsidRPr="00110464">
        <w:rPr>
          <w:rFonts w:ascii="Book Antiqua" w:eastAsia="DengXian" w:hAnsi="Book Antiqua" w:cs="Times New Roman"/>
          <w:b/>
          <w:sz w:val="24"/>
          <w:szCs w:val="24"/>
          <w:lang w:eastAsia="zh-CN"/>
        </w:rPr>
        <w:t>142</w:t>
      </w:r>
      <w:r w:rsidRPr="00110464">
        <w:rPr>
          <w:rFonts w:ascii="Book Antiqua" w:eastAsia="DengXian" w:hAnsi="Book Antiqua" w:cs="Times New Roman"/>
          <w:sz w:val="24"/>
          <w:szCs w:val="24"/>
          <w:lang w:eastAsia="zh-CN"/>
        </w:rPr>
        <w:t>: 744-753 [PMID: 22245667 DOI: 10.1053/j.gastro.2011.12.049]</w:t>
      </w:r>
    </w:p>
    <w:p w14:paraId="3C0EF49B" w14:textId="77777777" w:rsidR="008C5528" w:rsidRPr="00110464" w:rsidRDefault="008C5528" w:rsidP="006F6B36">
      <w:pPr>
        <w:snapToGrid w:val="0"/>
        <w:spacing w:line="360" w:lineRule="auto"/>
        <w:rPr>
          <w:rFonts w:ascii="Book Antiqua" w:eastAsia="DengXian" w:hAnsi="Book Antiqua" w:cs="Times New Roman"/>
          <w:sz w:val="24"/>
          <w:szCs w:val="24"/>
          <w:lang w:eastAsia="zh-CN"/>
        </w:rPr>
      </w:pPr>
      <w:r w:rsidRPr="00110464">
        <w:rPr>
          <w:rFonts w:ascii="Book Antiqua" w:eastAsia="DengXian" w:hAnsi="Book Antiqua" w:cs="Times New Roman"/>
          <w:sz w:val="24"/>
          <w:szCs w:val="24"/>
          <w:lang w:eastAsia="zh-CN"/>
        </w:rPr>
        <w:t xml:space="preserve">29 </w:t>
      </w:r>
      <w:r w:rsidRPr="00110464">
        <w:rPr>
          <w:rFonts w:ascii="Book Antiqua" w:eastAsia="DengXian" w:hAnsi="Book Antiqua" w:cs="Times New Roman"/>
          <w:b/>
          <w:sz w:val="24"/>
          <w:szCs w:val="24"/>
          <w:lang w:eastAsia="zh-CN"/>
        </w:rPr>
        <w:t>Coleman HG</w:t>
      </w:r>
      <w:r w:rsidRPr="00110464">
        <w:rPr>
          <w:rFonts w:ascii="Book Antiqua" w:eastAsia="DengXian" w:hAnsi="Book Antiqua" w:cs="Times New Roman"/>
          <w:sz w:val="24"/>
          <w:szCs w:val="24"/>
          <w:lang w:eastAsia="zh-CN"/>
        </w:rPr>
        <w:t xml:space="preserve">, Bhat S, Johnston BT, McManus D, Gavin AT, Murray LJ. Tobacco smoking increases the risk of high-grade dysplasia and cancer among patients with Barrett's esophagus. </w:t>
      </w:r>
      <w:r w:rsidRPr="00110464">
        <w:rPr>
          <w:rFonts w:ascii="Book Antiqua" w:eastAsia="DengXian" w:hAnsi="Book Antiqua" w:cs="Times New Roman"/>
          <w:i/>
          <w:sz w:val="24"/>
          <w:szCs w:val="24"/>
          <w:lang w:eastAsia="zh-CN"/>
        </w:rPr>
        <w:t>Gastroenterology</w:t>
      </w:r>
      <w:r w:rsidRPr="00110464">
        <w:rPr>
          <w:rFonts w:ascii="Book Antiqua" w:eastAsia="DengXian" w:hAnsi="Book Antiqua" w:cs="Times New Roman"/>
          <w:sz w:val="24"/>
          <w:szCs w:val="24"/>
          <w:lang w:eastAsia="zh-CN"/>
        </w:rPr>
        <w:t xml:space="preserve"> 2012; </w:t>
      </w:r>
      <w:r w:rsidRPr="00110464">
        <w:rPr>
          <w:rFonts w:ascii="Book Antiqua" w:eastAsia="DengXian" w:hAnsi="Book Antiqua" w:cs="Times New Roman"/>
          <w:b/>
          <w:sz w:val="24"/>
          <w:szCs w:val="24"/>
          <w:lang w:eastAsia="zh-CN"/>
        </w:rPr>
        <w:t>142</w:t>
      </w:r>
      <w:r w:rsidRPr="00110464">
        <w:rPr>
          <w:rFonts w:ascii="Book Antiqua" w:eastAsia="DengXian" w:hAnsi="Book Antiqua" w:cs="Times New Roman"/>
          <w:sz w:val="24"/>
          <w:szCs w:val="24"/>
          <w:lang w:eastAsia="zh-CN"/>
        </w:rPr>
        <w:t>: 233-240 [PMID: 22062359 DOI: 10.1053/j.gastro.2011.10.034]</w:t>
      </w:r>
    </w:p>
    <w:p w14:paraId="22E2531B" w14:textId="4926161C" w:rsidR="008C5528" w:rsidRPr="00110464" w:rsidRDefault="008C5528" w:rsidP="006F6B36">
      <w:pPr>
        <w:adjustRightInd w:val="0"/>
        <w:snapToGrid w:val="0"/>
        <w:spacing w:line="360" w:lineRule="auto"/>
        <w:jc w:val="right"/>
        <w:rPr>
          <w:rFonts w:ascii="Book Antiqua" w:eastAsia="宋体" w:hAnsi="Book Antiqua" w:cs="Times New Roman"/>
          <w:color w:val="000000"/>
          <w:sz w:val="24"/>
          <w:szCs w:val="24"/>
          <w:lang w:eastAsia="zh-CN"/>
        </w:rPr>
      </w:pPr>
      <w:bookmarkStart w:id="33" w:name="OLE_LINK139"/>
      <w:bookmarkStart w:id="34" w:name="OLE_LINK140"/>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bookmarkStart w:id="95" w:name="OLE_LINK662"/>
      <w:bookmarkStart w:id="96" w:name="OLE_LINK663"/>
      <w:bookmarkStart w:id="97" w:name="OLE_LINK738"/>
      <w:bookmarkStart w:id="98" w:name="OLE_LINK666"/>
      <w:bookmarkStart w:id="99" w:name="OLE_LINK667"/>
      <w:bookmarkStart w:id="100" w:name="OLE_LINK672"/>
      <w:bookmarkStart w:id="101" w:name="OLE_LINK727"/>
      <w:bookmarkStart w:id="102" w:name="OLE_LINK703"/>
      <w:bookmarkStart w:id="103" w:name="OLE_LINK765"/>
      <w:bookmarkStart w:id="104" w:name="OLE_LINK724"/>
      <w:bookmarkStart w:id="105" w:name="OLE_LINK771"/>
      <w:r w:rsidRPr="00110464">
        <w:rPr>
          <w:rFonts w:ascii="Book Antiqua" w:eastAsia="宋体" w:hAnsi="Book Antiqua" w:cs="Times New Roman"/>
          <w:b/>
          <w:bCs/>
          <w:color w:val="000000"/>
          <w:sz w:val="24"/>
          <w:szCs w:val="24"/>
          <w:lang w:eastAsia="zh-CN"/>
        </w:rPr>
        <w:t>P-Reviewer:</w:t>
      </w:r>
      <w:r w:rsidRPr="00110464">
        <w:rPr>
          <w:rFonts w:ascii="Book Antiqua" w:eastAsia="宋体" w:hAnsi="Book Antiqua" w:cs="Times New Roman"/>
          <w:bCs/>
          <w:color w:val="000000"/>
          <w:sz w:val="24"/>
          <w:szCs w:val="24"/>
          <w:lang w:eastAsia="zh-CN"/>
        </w:rPr>
        <w:t xml:space="preserve"> </w:t>
      </w:r>
      <w:proofErr w:type="spellStart"/>
      <w:r w:rsidRPr="00110464">
        <w:rPr>
          <w:rFonts w:ascii="Book Antiqua" w:eastAsia="宋体" w:hAnsi="Book Antiqua" w:cs="Times New Roman"/>
          <w:bCs/>
          <w:color w:val="000000"/>
          <w:sz w:val="24"/>
          <w:szCs w:val="24"/>
          <w:lang w:eastAsia="zh-CN"/>
        </w:rPr>
        <w:t>Abdulnour-Nakhoul</w:t>
      </w:r>
      <w:proofErr w:type="spellEnd"/>
      <w:r w:rsidRPr="00110464">
        <w:rPr>
          <w:rFonts w:ascii="Book Antiqua" w:eastAsia="宋体" w:hAnsi="Book Antiqua" w:cs="Times New Roman"/>
          <w:bCs/>
          <w:color w:val="000000"/>
          <w:sz w:val="24"/>
          <w:szCs w:val="24"/>
          <w:lang w:eastAsia="zh-CN"/>
        </w:rPr>
        <w:t xml:space="preserve"> S, </w:t>
      </w:r>
      <w:proofErr w:type="spellStart"/>
      <w:r w:rsidRPr="00110464">
        <w:rPr>
          <w:rFonts w:ascii="Book Antiqua" w:eastAsia="宋体" w:hAnsi="Book Antiqua" w:cs="Times New Roman"/>
          <w:bCs/>
          <w:color w:val="000000"/>
          <w:sz w:val="24"/>
          <w:szCs w:val="24"/>
          <w:lang w:eastAsia="zh-CN"/>
        </w:rPr>
        <w:t>Floria</w:t>
      </w:r>
      <w:proofErr w:type="spellEnd"/>
      <w:r w:rsidRPr="00110464">
        <w:rPr>
          <w:rFonts w:ascii="Book Antiqua" w:eastAsia="宋体" w:hAnsi="Book Antiqua" w:cs="Times New Roman"/>
          <w:bCs/>
          <w:color w:val="000000"/>
          <w:sz w:val="24"/>
          <w:szCs w:val="24"/>
          <w:lang w:eastAsia="zh-CN"/>
        </w:rPr>
        <w:t xml:space="preserve"> M, Friedrich, Hillman LC, </w:t>
      </w:r>
      <w:proofErr w:type="spellStart"/>
      <w:r w:rsidRPr="00110464">
        <w:rPr>
          <w:rFonts w:ascii="Book Antiqua" w:eastAsia="宋体" w:hAnsi="Book Antiqua" w:cs="Times New Roman"/>
          <w:bCs/>
          <w:color w:val="000000"/>
          <w:sz w:val="24"/>
          <w:szCs w:val="24"/>
          <w:lang w:eastAsia="zh-CN"/>
        </w:rPr>
        <w:t>Yücel</w:t>
      </w:r>
      <w:proofErr w:type="spellEnd"/>
      <w:r w:rsidRPr="00110464">
        <w:rPr>
          <w:rFonts w:ascii="Book Antiqua" w:eastAsia="宋体" w:hAnsi="Book Antiqua" w:cs="Times New Roman"/>
          <w:bCs/>
          <w:color w:val="000000"/>
          <w:sz w:val="24"/>
          <w:szCs w:val="24"/>
          <w:lang w:eastAsia="zh-CN"/>
        </w:rPr>
        <w:t xml:space="preserve"> O </w:t>
      </w:r>
      <w:r w:rsidRPr="00110464">
        <w:rPr>
          <w:rFonts w:ascii="Book Antiqua" w:eastAsia="宋体" w:hAnsi="Book Antiqua" w:cs="Times New Roman"/>
          <w:bCs/>
          <w:color w:val="000000"/>
          <w:sz w:val="24"/>
          <w:szCs w:val="24"/>
          <w:lang w:eastAsia="zh-CN"/>
        </w:rPr>
        <w:br/>
      </w:r>
      <w:r w:rsidRPr="00110464">
        <w:rPr>
          <w:rFonts w:ascii="Book Antiqua" w:eastAsia="宋体" w:hAnsi="Book Antiqua" w:cs="Times New Roman"/>
          <w:b/>
          <w:bCs/>
          <w:color w:val="000000"/>
          <w:sz w:val="24"/>
          <w:szCs w:val="24"/>
          <w:lang w:eastAsia="zh-CN"/>
        </w:rPr>
        <w:t>S-Editor:</w:t>
      </w:r>
      <w:r w:rsidRPr="00110464">
        <w:rPr>
          <w:rFonts w:ascii="Book Antiqua" w:eastAsia="宋体" w:hAnsi="Book Antiqua" w:cs="Times New Roman"/>
          <w:color w:val="000000"/>
          <w:sz w:val="24"/>
          <w:szCs w:val="24"/>
          <w:lang w:eastAsia="zh-CN"/>
        </w:rPr>
        <w:t xml:space="preserve"> Yan JP</w:t>
      </w:r>
    </w:p>
    <w:p w14:paraId="5F9AED1A" w14:textId="7FB80B31" w:rsidR="008C5528" w:rsidRPr="00110464" w:rsidRDefault="008C5528" w:rsidP="00110464">
      <w:pPr>
        <w:wordWrap w:val="0"/>
        <w:adjustRightInd w:val="0"/>
        <w:snapToGrid w:val="0"/>
        <w:spacing w:line="360" w:lineRule="auto"/>
        <w:jc w:val="right"/>
        <w:rPr>
          <w:rFonts w:ascii="Book Antiqua" w:eastAsia="宋体" w:hAnsi="Book Antiqua" w:cs="Times New Roman"/>
          <w:b/>
          <w:bCs/>
          <w:color w:val="000000"/>
          <w:sz w:val="24"/>
          <w:szCs w:val="24"/>
          <w:lang w:eastAsia="zh-CN"/>
        </w:rPr>
      </w:pPr>
      <w:r w:rsidRPr="00110464">
        <w:rPr>
          <w:rFonts w:ascii="Book Antiqua" w:eastAsia="宋体" w:hAnsi="Book Antiqua" w:cs="Times New Roman"/>
          <w:b/>
          <w:bCs/>
          <w:color w:val="000000"/>
          <w:sz w:val="24"/>
          <w:szCs w:val="24"/>
          <w:lang w:eastAsia="zh-CN"/>
        </w:rPr>
        <w:t>L-Editor:</w:t>
      </w:r>
      <w:r w:rsidR="00110464">
        <w:rPr>
          <w:rFonts w:ascii="Book Antiqua" w:eastAsia="宋体" w:hAnsi="Book Antiqua" w:cs="Times New Roman" w:hint="eastAsia"/>
          <w:b/>
          <w:bCs/>
          <w:color w:val="000000"/>
          <w:sz w:val="24"/>
          <w:szCs w:val="24"/>
          <w:lang w:eastAsia="zh-CN"/>
        </w:rPr>
        <w:t xml:space="preserve"> </w:t>
      </w:r>
      <w:r w:rsidR="00110464" w:rsidRPr="00110464">
        <w:rPr>
          <w:rFonts w:ascii="Book Antiqua" w:eastAsia="宋体" w:hAnsi="Book Antiqua" w:cs="Times New Roman" w:hint="eastAsia"/>
          <w:bCs/>
          <w:color w:val="000000"/>
          <w:sz w:val="24"/>
          <w:szCs w:val="24"/>
          <w:lang w:eastAsia="zh-CN"/>
        </w:rPr>
        <w:t>A</w:t>
      </w:r>
      <w:r w:rsidRPr="00110464">
        <w:rPr>
          <w:rFonts w:ascii="Book Antiqua" w:eastAsia="宋体" w:hAnsi="Book Antiqua" w:cs="Times New Roman"/>
          <w:color w:val="000000"/>
          <w:sz w:val="24"/>
          <w:szCs w:val="24"/>
          <w:lang w:eastAsia="zh-CN"/>
        </w:rPr>
        <w:t xml:space="preserve"> </w:t>
      </w:r>
      <w:r w:rsidRPr="00110464">
        <w:rPr>
          <w:rFonts w:ascii="Book Antiqua" w:eastAsia="宋体" w:hAnsi="Book Antiqua" w:cs="Times New Roman"/>
          <w:b/>
          <w:bCs/>
          <w:color w:val="000000"/>
          <w:sz w:val="24"/>
          <w:szCs w:val="24"/>
          <w:lang w:eastAsia="zh-CN"/>
        </w:rPr>
        <w:t>E-Editor:</w:t>
      </w:r>
      <w:r w:rsidR="00110464">
        <w:rPr>
          <w:rFonts w:ascii="Book Antiqua" w:eastAsia="宋体" w:hAnsi="Book Antiqua" w:cs="Times New Roman" w:hint="eastAsia"/>
          <w:b/>
          <w:bCs/>
          <w:color w:val="000000"/>
          <w:sz w:val="24"/>
          <w:szCs w:val="24"/>
          <w:lang w:eastAsia="zh-CN"/>
        </w:rPr>
        <w:t xml:space="preserve"> </w:t>
      </w:r>
      <w:r w:rsidR="00110464" w:rsidRPr="00E949AE">
        <w:rPr>
          <w:rFonts w:ascii="Book Antiqua" w:hAnsi="Book Antiqua"/>
          <w:bCs/>
          <w:kern w:val="0"/>
          <w:sz w:val="24"/>
        </w:rPr>
        <w:t>Zhang YL</w:t>
      </w:r>
      <w:bookmarkStart w:id="106" w:name="_GoBack"/>
      <w:bookmarkEnd w:id="106"/>
    </w:p>
    <w:bookmarkEnd w:id="33"/>
    <w:bookmarkEnd w:id="34"/>
    <w:p w14:paraId="045AA43F" w14:textId="45F65D27" w:rsidR="005172B0" w:rsidRPr="00110464" w:rsidRDefault="008C5528" w:rsidP="006F6B36">
      <w:pPr>
        <w:widowControl/>
        <w:snapToGrid w:val="0"/>
        <w:spacing w:line="360" w:lineRule="auto"/>
        <w:rPr>
          <w:rFonts w:ascii="Book Antiqua" w:eastAsia="宋体" w:hAnsi="Book Antiqua" w:cs="宋体"/>
          <w:kern w:val="0"/>
          <w:sz w:val="24"/>
          <w:szCs w:val="24"/>
          <w:lang w:eastAsia="zh-CN"/>
        </w:rPr>
      </w:pPr>
      <w:r w:rsidRPr="00110464">
        <w:rPr>
          <w:rFonts w:ascii="Book Antiqua" w:eastAsia="宋体" w:hAnsi="Book Antiqua" w:cs="宋体"/>
          <w:b/>
          <w:kern w:val="0"/>
          <w:sz w:val="24"/>
          <w:szCs w:val="24"/>
          <w:lang w:eastAsia="zh-CN"/>
        </w:rPr>
        <w:t xml:space="preserve">Specialty type: </w:t>
      </w:r>
      <w:r w:rsidRPr="00110464">
        <w:rPr>
          <w:rFonts w:ascii="Book Antiqua" w:eastAsia="微软雅黑" w:hAnsi="Book Antiqua" w:cs="宋体"/>
          <w:kern w:val="0"/>
          <w:sz w:val="24"/>
          <w:szCs w:val="24"/>
          <w:lang w:eastAsia="zh-CN"/>
        </w:rPr>
        <w:t>Gastroenterology and hepatology</w:t>
      </w:r>
      <w:r w:rsidRPr="00110464">
        <w:rPr>
          <w:rFonts w:ascii="Book Antiqua" w:eastAsia="宋体" w:hAnsi="Book Antiqua" w:cs="宋体"/>
          <w:kern w:val="0"/>
          <w:sz w:val="24"/>
          <w:szCs w:val="24"/>
          <w:lang w:eastAsia="zh-CN"/>
        </w:rPr>
        <w:t xml:space="preserve"> </w:t>
      </w:r>
      <w:r w:rsidRPr="00110464">
        <w:rPr>
          <w:rFonts w:ascii="Book Antiqua" w:eastAsia="宋体" w:hAnsi="Book Antiqua" w:cs="宋体"/>
          <w:kern w:val="0"/>
          <w:sz w:val="24"/>
          <w:szCs w:val="24"/>
          <w:lang w:eastAsia="zh-CN"/>
        </w:rPr>
        <w:br/>
      </w:r>
      <w:r w:rsidRPr="00110464">
        <w:rPr>
          <w:rFonts w:ascii="Book Antiqua" w:eastAsia="宋体" w:hAnsi="Book Antiqua" w:cs="宋体"/>
          <w:b/>
          <w:kern w:val="0"/>
          <w:sz w:val="24"/>
          <w:szCs w:val="24"/>
          <w:lang w:eastAsia="zh-CN"/>
        </w:rPr>
        <w:t xml:space="preserve">Country of origin: </w:t>
      </w:r>
      <w:r w:rsidRPr="00110464">
        <w:rPr>
          <w:rFonts w:ascii="Book Antiqua" w:eastAsia="宋体" w:hAnsi="Book Antiqua" w:cs="宋体"/>
          <w:kern w:val="0"/>
          <w:sz w:val="24"/>
          <w:szCs w:val="24"/>
          <w:lang w:eastAsia="zh-CN"/>
        </w:rPr>
        <w:t xml:space="preserve">Canada </w:t>
      </w:r>
      <w:r w:rsidRPr="00110464">
        <w:rPr>
          <w:rFonts w:ascii="Book Antiqua" w:eastAsia="宋体" w:hAnsi="Book Antiqua" w:cs="宋体"/>
          <w:kern w:val="0"/>
          <w:sz w:val="24"/>
          <w:szCs w:val="24"/>
          <w:lang w:eastAsia="zh-CN"/>
        </w:rPr>
        <w:br/>
      </w:r>
      <w:r w:rsidRPr="00110464">
        <w:rPr>
          <w:rFonts w:ascii="Book Antiqua" w:eastAsia="宋体" w:hAnsi="Book Antiqua" w:cs="宋体"/>
          <w:b/>
          <w:kern w:val="0"/>
          <w:sz w:val="24"/>
          <w:szCs w:val="24"/>
          <w:lang w:eastAsia="zh-CN"/>
        </w:rPr>
        <w:t>Peer-review report classification</w:t>
      </w:r>
      <w:r w:rsidRPr="00110464">
        <w:rPr>
          <w:rFonts w:ascii="Book Antiqua" w:eastAsia="宋体" w:hAnsi="Book Antiqua" w:cs="宋体"/>
          <w:kern w:val="0"/>
          <w:sz w:val="24"/>
          <w:szCs w:val="24"/>
          <w:lang w:eastAsia="zh-CN"/>
        </w:rPr>
        <w:br/>
      </w:r>
      <w:r w:rsidRPr="00110464">
        <w:rPr>
          <w:rFonts w:ascii="Book Antiqua" w:eastAsia="宋体" w:hAnsi="Book Antiqua" w:cs="宋体"/>
          <w:b/>
          <w:kern w:val="0"/>
          <w:sz w:val="24"/>
          <w:szCs w:val="24"/>
          <w:lang w:eastAsia="zh-CN"/>
        </w:rPr>
        <w:t xml:space="preserve">Grade A (Excellent): </w:t>
      </w:r>
      <w:r w:rsidRPr="00110464">
        <w:rPr>
          <w:rFonts w:ascii="Book Antiqua" w:eastAsia="宋体" w:hAnsi="Book Antiqua" w:cs="宋体"/>
          <w:kern w:val="0"/>
          <w:sz w:val="24"/>
          <w:szCs w:val="24"/>
          <w:lang w:eastAsia="zh-CN"/>
        </w:rPr>
        <w:t>A, A</w:t>
      </w:r>
      <w:r w:rsidRPr="00110464">
        <w:rPr>
          <w:rFonts w:ascii="Book Antiqua" w:eastAsia="宋体" w:hAnsi="Book Antiqua" w:cs="宋体"/>
          <w:kern w:val="0"/>
          <w:sz w:val="24"/>
          <w:szCs w:val="24"/>
          <w:lang w:eastAsia="zh-CN"/>
        </w:rPr>
        <w:br/>
      </w:r>
      <w:r w:rsidRPr="00110464">
        <w:rPr>
          <w:rFonts w:ascii="Book Antiqua" w:eastAsia="宋体" w:hAnsi="Book Antiqua" w:cs="宋体"/>
          <w:b/>
          <w:kern w:val="0"/>
          <w:sz w:val="24"/>
          <w:szCs w:val="24"/>
          <w:lang w:eastAsia="zh-CN"/>
        </w:rPr>
        <w:t xml:space="preserve">Grade B (Very good): </w:t>
      </w:r>
      <w:r w:rsidRPr="00110464">
        <w:rPr>
          <w:rFonts w:ascii="Book Antiqua" w:eastAsia="宋体" w:hAnsi="Book Antiqua" w:cs="宋体"/>
          <w:kern w:val="0"/>
          <w:sz w:val="24"/>
          <w:szCs w:val="24"/>
          <w:lang w:eastAsia="zh-CN"/>
        </w:rPr>
        <w:t>B, B, B</w:t>
      </w:r>
      <w:r w:rsidRPr="00110464">
        <w:rPr>
          <w:rFonts w:ascii="Book Antiqua" w:eastAsia="宋体" w:hAnsi="Book Antiqua" w:cs="宋体"/>
          <w:kern w:val="0"/>
          <w:sz w:val="24"/>
          <w:szCs w:val="24"/>
          <w:lang w:eastAsia="zh-CN"/>
        </w:rPr>
        <w:br/>
      </w:r>
      <w:r w:rsidRPr="00110464">
        <w:rPr>
          <w:rFonts w:ascii="Book Antiqua" w:eastAsia="宋体" w:hAnsi="Book Antiqua" w:cs="宋体"/>
          <w:b/>
          <w:kern w:val="0"/>
          <w:sz w:val="24"/>
          <w:szCs w:val="24"/>
          <w:lang w:eastAsia="zh-CN"/>
        </w:rPr>
        <w:lastRenderedPageBreak/>
        <w:t xml:space="preserve">Grade C (Good): </w:t>
      </w:r>
      <w:r w:rsidRPr="00110464">
        <w:rPr>
          <w:rFonts w:ascii="Book Antiqua" w:eastAsia="宋体" w:hAnsi="Book Antiqua" w:cs="宋体"/>
          <w:kern w:val="0"/>
          <w:sz w:val="24"/>
          <w:szCs w:val="24"/>
          <w:lang w:eastAsia="zh-CN"/>
        </w:rPr>
        <w:t>0</w:t>
      </w:r>
      <w:r w:rsidRPr="00110464">
        <w:rPr>
          <w:rFonts w:ascii="Book Antiqua" w:eastAsia="宋体" w:hAnsi="Book Antiqua" w:cs="宋体"/>
          <w:kern w:val="0"/>
          <w:sz w:val="24"/>
          <w:szCs w:val="24"/>
          <w:lang w:eastAsia="zh-CN"/>
        </w:rPr>
        <w:br/>
      </w:r>
      <w:r w:rsidRPr="00110464">
        <w:rPr>
          <w:rFonts w:ascii="Book Antiqua" w:eastAsia="宋体" w:hAnsi="Book Antiqua" w:cs="宋体"/>
          <w:b/>
          <w:kern w:val="0"/>
          <w:sz w:val="24"/>
          <w:szCs w:val="24"/>
          <w:lang w:eastAsia="zh-CN"/>
        </w:rPr>
        <w:t xml:space="preserve">Grade D (Fair): </w:t>
      </w:r>
      <w:r w:rsidRPr="00110464">
        <w:rPr>
          <w:rFonts w:ascii="Book Antiqua" w:eastAsia="宋体" w:hAnsi="Book Antiqua" w:cs="宋体"/>
          <w:kern w:val="0"/>
          <w:sz w:val="24"/>
          <w:szCs w:val="24"/>
          <w:lang w:eastAsia="zh-CN"/>
        </w:rPr>
        <w:t>0</w:t>
      </w:r>
      <w:r w:rsidRPr="00110464">
        <w:rPr>
          <w:rFonts w:ascii="Book Antiqua" w:eastAsia="宋体" w:hAnsi="Book Antiqua" w:cs="宋体"/>
          <w:b/>
          <w:kern w:val="0"/>
          <w:sz w:val="24"/>
          <w:szCs w:val="24"/>
          <w:lang w:eastAsia="zh-CN"/>
        </w:rPr>
        <w:br/>
        <w:t xml:space="preserve">Grade E (Poor): </w:t>
      </w:r>
      <w:r w:rsidRPr="00110464">
        <w:rPr>
          <w:rFonts w:ascii="Book Antiqua" w:eastAsia="宋体" w:hAnsi="Book Antiqua" w:cs="宋体"/>
          <w:kern w:val="0"/>
          <w:sz w:val="24"/>
          <w:szCs w:val="24"/>
          <w:lang w:eastAsia="zh-CN"/>
        </w:rPr>
        <w:t>0</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A7AA891" w14:textId="6742AFAE" w:rsidR="00D4398F" w:rsidRPr="00110464" w:rsidRDefault="00D4398F" w:rsidP="006F6B36">
      <w:pPr>
        <w:pStyle w:val="EndNoteBibliography"/>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5EA19013" w14:textId="6D3C40A7" w:rsidR="00D4398F" w:rsidRPr="00110464" w:rsidRDefault="00D4398F" w:rsidP="006F6B36">
      <w:pPr>
        <w:snapToGrid w:val="0"/>
        <w:spacing w:line="360" w:lineRule="auto"/>
        <w:rPr>
          <w:rFonts w:ascii="Book Antiqua" w:hAnsi="Book Antiqua" w:cs="Arial"/>
          <w:b/>
          <w:sz w:val="24"/>
          <w:szCs w:val="24"/>
        </w:rPr>
      </w:pPr>
      <w:bookmarkStart w:id="107" w:name="_Hlk3327125"/>
      <w:r w:rsidRPr="00110464">
        <w:rPr>
          <w:rFonts w:ascii="Book Antiqua" w:hAnsi="Book Antiqua" w:cs="Arial"/>
          <w:b/>
          <w:sz w:val="24"/>
          <w:szCs w:val="24"/>
        </w:rPr>
        <w:lastRenderedPageBreak/>
        <w:t>Table</w:t>
      </w:r>
      <w:r w:rsidR="00020633" w:rsidRPr="00110464">
        <w:rPr>
          <w:rFonts w:ascii="Book Antiqua" w:hAnsi="Book Antiqua" w:cs="Arial"/>
          <w:b/>
          <w:sz w:val="24"/>
          <w:szCs w:val="24"/>
        </w:rPr>
        <w:t xml:space="preserve"> </w:t>
      </w:r>
      <w:r w:rsidRPr="00110464">
        <w:rPr>
          <w:rFonts w:ascii="Book Antiqua" w:hAnsi="Book Antiqua" w:cs="Arial"/>
          <w:b/>
          <w:sz w:val="24"/>
          <w:szCs w:val="24"/>
        </w:rPr>
        <w:t>1 Patient characteristics</w:t>
      </w:r>
    </w:p>
    <w:tbl>
      <w:tblPr>
        <w:tblStyle w:val="ac"/>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409"/>
        <w:gridCol w:w="1985"/>
        <w:gridCol w:w="1134"/>
      </w:tblGrid>
      <w:tr w:rsidR="00D4398F" w:rsidRPr="00110464" w14:paraId="19824A27" w14:textId="77777777" w:rsidTr="00020633">
        <w:trPr>
          <w:trHeight w:val="529"/>
        </w:trPr>
        <w:tc>
          <w:tcPr>
            <w:tcW w:w="4537" w:type="dxa"/>
            <w:tcBorders>
              <w:top w:val="single" w:sz="4" w:space="0" w:color="auto"/>
              <w:bottom w:val="single" w:sz="4" w:space="0" w:color="auto"/>
            </w:tcBorders>
          </w:tcPr>
          <w:p w14:paraId="77211B17" w14:textId="3B892D3F" w:rsidR="00D4398F" w:rsidRPr="00110464" w:rsidRDefault="00D4398F" w:rsidP="006F6B36">
            <w:pPr>
              <w:snapToGrid w:val="0"/>
              <w:spacing w:line="360" w:lineRule="auto"/>
              <w:rPr>
                <w:rFonts w:ascii="Book Antiqua" w:hAnsi="Book Antiqua" w:cs="Arial"/>
                <w:b/>
                <w:sz w:val="24"/>
                <w:szCs w:val="24"/>
              </w:rPr>
            </w:pPr>
          </w:p>
        </w:tc>
        <w:tc>
          <w:tcPr>
            <w:tcW w:w="2409" w:type="dxa"/>
            <w:tcBorders>
              <w:top w:val="single" w:sz="4" w:space="0" w:color="auto"/>
              <w:bottom w:val="single" w:sz="4" w:space="0" w:color="auto"/>
            </w:tcBorders>
            <w:vAlign w:val="center"/>
          </w:tcPr>
          <w:p w14:paraId="4C193AAA" w14:textId="281B7613" w:rsidR="006D1C97"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Young</w:t>
            </w:r>
            <w:r w:rsidR="008746C9" w:rsidRPr="00110464">
              <w:rPr>
                <w:rFonts w:ascii="Book Antiqua" w:hAnsi="Book Antiqua" w:cs="Arial"/>
                <w:b/>
                <w:sz w:val="24"/>
                <w:szCs w:val="24"/>
              </w:rPr>
              <w:t xml:space="preserve"> (</w:t>
            </w:r>
            <w:r w:rsidRPr="00110464">
              <w:rPr>
                <w:rFonts w:ascii="Book Antiqua" w:hAnsi="Book Antiqua" w:cs="Arial"/>
                <w:b/>
                <w:sz w:val="24"/>
                <w:szCs w:val="24"/>
              </w:rPr>
              <w:t>≤</w:t>
            </w:r>
            <w:r w:rsidR="00020633" w:rsidRPr="00110464">
              <w:rPr>
                <w:rFonts w:ascii="Book Antiqua" w:hAnsi="Book Antiqua" w:cs="Arial"/>
                <w:b/>
                <w:sz w:val="24"/>
                <w:szCs w:val="24"/>
              </w:rPr>
              <w:t xml:space="preserve"> </w:t>
            </w:r>
            <w:r w:rsidRPr="00110464">
              <w:rPr>
                <w:rFonts w:ascii="Book Antiqua" w:hAnsi="Book Antiqua" w:cs="Arial"/>
                <w:b/>
                <w:sz w:val="24"/>
                <w:szCs w:val="24"/>
              </w:rPr>
              <w:t xml:space="preserve">50 </w:t>
            </w:r>
            <w:proofErr w:type="spellStart"/>
            <w:r w:rsidRPr="00110464">
              <w:rPr>
                <w:rFonts w:ascii="Book Antiqua" w:hAnsi="Book Antiqua" w:cs="Arial"/>
                <w:b/>
                <w:sz w:val="24"/>
                <w:szCs w:val="24"/>
              </w:rPr>
              <w:t>yr</w:t>
            </w:r>
            <w:proofErr w:type="spellEnd"/>
            <w:r w:rsidR="008746C9" w:rsidRPr="00110464">
              <w:rPr>
                <w:rFonts w:ascii="Book Antiqua" w:hAnsi="Book Antiqua" w:cs="Arial"/>
                <w:b/>
                <w:sz w:val="24"/>
                <w:szCs w:val="24"/>
              </w:rPr>
              <w:t>)</w:t>
            </w:r>
          </w:p>
          <w:p w14:paraId="7EEC6897" w14:textId="57D81660"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w:t>
            </w:r>
            <w:r w:rsidRPr="00110464">
              <w:rPr>
                <w:rFonts w:ascii="Book Antiqua" w:hAnsi="Book Antiqua" w:cs="Arial"/>
                <w:b/>
                <w:i/>
                <w:sz w:val="24"/>
                <w:szCs w:val="24"/>
              </w:rPr>
              <w:t>n</w:t>
            </w:r>
            <w:r w:rsidR="00020633" w:rsidRPr="00110464">
              <w:rPr>
                <w:rFonts w:ascii="Book Antiqua" w:hAnsi="Book Antiqua" w:cs="Arial"/>
                <w:b/>
                <w:sz w:val="24"/>
                <w:szCs w:val="24"/>
              </w:rPr>
              <w:t xml:space="preserve"> </w:t>
            </w:r>
            <w:r w:rsidRPr="00110464">
              <w:rPr>
                <w:rFonts w:ascii="Book Antiqua" w:hAnsi="Book Antiqua" w:cs="Arial"/>
                <w:b/>
                <w:sz w:val="24"/>
                <w:szCs w:val="24"/>
              </w:rPr>
              <w:t>=</w:t>
            </w:r>
            <w:r w:rsidR="00020633" w:rsidRPr="00110464">
              <w:rPr>
                <w:rFonts w:ascii="Book Antiqua" w:hAnsi="Book Antiqua" w:cs="Arial"/>
                <w:b/>
                <w:sz w:val="24"/>
                <w:szCs w:val="24"/>
              </w:rPr>
              <w:t xml:space="preserve"> </w:t>
            </w:r>
            <w:r w:rsidRPr="00110464">
              <w:rPr>
                <w:rFonts w:ascii="Book Antiqua" w:hAnsi="Book Antiqua" w:cs="Arial"/>
                <w:b/>
                <w:sz w:val="24"/>
                <w:szCs w:val="24"/>
              </w:rPr>
              <w:t>45)</w:t>
            </w:r>
          </w:p>
        </w:tc>
        <w:tc>
          <w:tcPr>
            <w:tcW w:w="1985" w:type="dxa"/>
            <w:tcBorders>
              <w:top w:val="single" w:sz="4" w:space="0" w:color="auto"/>
              <w:bottom w:val="single" w:sz="4" w:space="0" w:color="auto"/>
            </w:tcBorders>
            <w:vAlign w:val="center"/>
          </w:tcPr>
          <w:p w14:paraId="4E756B15" w14:textId="7816781B" w:rsidR="006D1C97"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Old (&gt;</w:t>
            </w:r>
            <w:r w:rsidR="00020633" w:rsidRPr="00110464">
              <w:rPr>
                <w:rFonts w:ascii="Book Antiqua" w:hAnsi="Book Antiqua" w:cs="Arial"/>
                <w:b/>
                <w:sz w:val="24"/>
                <w:szCs w:val="24"/>
              </w:rPr>
              <w:t xml:space="preserve"> </w:t>
            </w:r>
            <w:r w:rsidRPr="00110464">
              <w:rPr>
                <w:rFonts w:ascii="Book Antiqua" w:hAnsi="Book Antiqua" w:cs="Arial"/>
                <w:b/>
                <w:sz w:val="24"/>
                <w:szCs w:val="24"/>
              </w:rPr>
              <w:t xml:space="preserve">50 </w:t>
            </w:r>
            <w:proofErr w:type="spellStart"/>
            <w:r w:rsidRPr="00110464">
              <w:rPr>
                <w:rFonts w:ascii="Book Antiqua" w:hAnsi="Book Antiqua" w:cs="Arial"/>
                <w:b/>
                <w:sz w:val="24"/>
                <w:szCs w:val="24"/>
              </w:rPr>
              <w:t>yr</w:t>
            </w:r>
            <w:proofErr w:type="spellEnd"/>
            <w:r w:rsidRPr="00110464">
              <w:rPr>
                <w:rFonts w:ascii="Book Antiqua" w:hAnsi="Book Antiqua" w:cs="Arial"/>
                <w:b/>
                <w:sz w:val="24"/>
                <w:szCs w:val="24"/>
              </w:rPr>
              <w:t>)</w:t>
            </w:r>
          </w:p>
          <w:p w14:paraId="0999D2C8" w14:textId="59266031"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w:t>
            </w:r>
            <w:r w:rsidR="00020633" w:rsidRPr="00110464">
              <w:rPr>
                <w:rFonts w:ascii="Book Antiqua" w:hAnsi="Book Antiqua" w:cs="Arial"/>
                <w:b/>
                <w:i/>
                <w:sz w:val="24"/>
                <w:szCs w:val="24"/>
              </w:rPr>
              <w:t>n</w:t>
            </w:r>
            <w:r w:rsidR="00020633" w:rsidRPr="00110464">
              <w:rPr>
                <w:rFonts w:ascii="Book Antiqua" w:hAnsi="Book Antiqua" w:cs="Arial"/>
                <w:b/>
                <w:sz w:val="24"/>
                <w:szCs w:val="24"/>
              </w:rPr>
              <w:t xml:space="preserve"> </w:t>
            </w:r>
            <w:r w:rsidRPr="00110464">
              <w:rPr>
                <w:rFonts w:ascii="Book Antiqua" w:hAnsi="Book Antiqua" w:cs="Arial"/>
                <w:b/>
                <w:sz w:val="24"/>
                <w:szCs w:val="24"/>
              </w:rPr>
              <w:t>=</w:t>
            </w:r>
            <w:r w:rsidR="00020633" w:rsidRPr="00110464">
              <w:rPr>
                <w:rFonts w:ascii="Book Antiqua" w:hAnsi="Book Antiqua" w:cs="Arial"/>
                <w:b/>
                <w:sz w:val="24"/>
                <w:szCs w:val="24"/>
              </w:rPr>
              <w:t xml:space="preserve"> </w:t>
            </w:r>
            <w:r w:rsidRPr="00110464">
              <w:rPr>
                <w:rFonts w:ascii="Book Antiqua" w:hAnsi="Book Antiqua" w:cs="Arial"/>
                <w:b/>
                <w:sz w:val="24"/>
                <w:szCs w:val="24"/>
              </w:rPr>
              <w:t>405)</w:t>
            </w:r>
          </w:p>
        </w:tc>
        <w:tc>
          <w:tcPr>
            <w:tcW w:w="1134" w:type="dxa"/>
            <w:tcBorders>
              <w:top w:val="single" w:sz="4" w:space="0" w:color="auto"/>
              <w:bottom w:val="single" w:sz="4" w:space="0" w:color="auto"/>
            </w:tcBorders>
            <w:vAlign w:val="center"/>
          </w:tcPr>
          <w:p w14:paraId="6D380770" w14:textId="77777777"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i/>
                <w:sz w:val="24"/>
                <w:szCs w:val="24"/>
              </w:rPr>
              <w:t>P</w:t>
            </w:r>
            <w:r w:rsidRPr="00110464">
              <w:rPr>
                <w:rFonts w:ascii="Book Antiqua" w:hAnsi="Book Antiqua" w:cs="Arial"/>
                <w:b/>
                <w:sz w:val="24"/>
                <w:szCs w:val="24"/>
              </w:rPr>
              <w:t xml:space="preserve"> value</w:t>
            </w:r>
          </w:p>
        </w:tc>
      </w:tr>
      <w:tr w:rsidR="00D4398F" w:rsidRPr="00110464" w14:paraId="5C49EC9D" w14:textId="77777777" w:rsidTr="00020633">
        <w:trPr>
          <w:trHeight w:val="529"/>
        </w:trPr>
        <w:tc>
          <w:tcPr>
            <w:tcW w:w="4537" w:type="dxa"/>
            <w:tcBorders>
              <w:top w:val="single" w:sz="4" w:space="0" w:color="auto"/>
            </w:tcBorders>
            <w:vAlign w:val="center"/>
          </w:tcPr>
          <w:p w14:paraId="36637463"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Sex (male)</w:t>
            </w:r>
          </w:p>
        </w:tc>
        <w:tc>
          <w:tcPr>
            <w:tcW w:w="2409" w:type="dxa"/>
            <w:tcBorders>
              <w:top w:val="single" w:sz="4" w:space="0" w:color="auto"/>
            </w:tcBorders>
            <w:vAlign w:val="center"/>
          </w:tcPr>
          <w:p w14:paraId="2074D8F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39/45 (87%)</w:t>
            </w:r>
          </w:p>
        </w:tc>
        <w:tc>
          <w:tcPr>
            <w:tcW w:w="1985" w:type="dxa"/>
            <w:tcBorders>
              <w:top w:val="single" w:sz="4" w:space="0" w:color="auto"/>
            </w:tcBorders>
            <w:vAlign w:val="center"/>
          </w:tcPr>
          <w:p w14:paraId="3DB4AE96"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342/405 (84%)</w:t>
            </w:r>
          </w:p>
        </w:tc>
        <w:tc>
          <w:tcPr>
            <w:tcW w:w="1134" w:type="dxa"/>
            <w:tcBorders>
              <w:top w:val="single" w:sz="4" w:space="0" w:color="auto"/>
            </w:tcBorders>
            <w:vAlign w:val="center"/>
          </w:tcPr>
          <w:p w14:paraId="579A7A12"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0.86</w:t>
            </w:r>
          </w:p>
        </w:tc>
      </w:tr>
      <w:tr w:rsidR="00D4398F" w:rsidRPr="00110464" w14:paraId="0FE778C6" w14:textId="77777777" w:rsidTr="00020633">
        <w:trPr>
          <w:trHeight w:val="529"/>
        </w:trPr>
        <w:tc>
          <w:tcPr>
            <w:tcW w:w="4537" w:type="dxa"/>
            <w:vAlign w:val="center"/>
          </w:tcPr>
          <w:p w14:paraId="1B072857"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Ethnicity (white)</w:t>
            </w:r>
          </w:p>
        </w:tc>
        <w:tc>
          <w:tcPr>
            <w:tcW w:w="2409" w:type="dxa"/>
            <w:vAlign w:val="center"/>
          </w:tcPr>
          <w:p w14:paraId="7CA35B42"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43/44 (98%)</w:t>
            </w:r>
          </w:p>
        </w:tc>
        <w:tc>
          <w:tcPr>
            <w:tcW w:w="1985" w:type="dxa"/>
            <w:vAlign w:val="center"/>
          </w:tcPr>
          <w:p w14:paraId="21F0E206"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377/387 (97%)</w:t>
            </w:r>
          </w:p>
        </w:tc>
        <w:tc>
          <w:tcPr>
            <w:tcW w:w="1134" w:type="dxa"/>
            <w:vAlign w:val="center"/>
          </w:tcPr>
          <w:p w14:paraId="311BBB26"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0.70</w:t>
            </w:r>
          </w:p>
        </w:tc>
      </w:tr>
      <w:tr w:rsidR="00D4398F" w:rsidRPr="00110464" w14:paraId="43E3233F" w14:textId="77777777" w:rsidTr="00020633">
        <w:trPr>
          <w:trHeight w:val="529"/>
        </w:trPr>
        <w:tc>
          <w:tcPr>
            <w:tcW w:w="4537" w:type="dxa"/>
            <w:vAlign w:val="center"/>
          </w:tcPr>
          <w:p w14:paraId="3E1100D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BMI, kg/m</w:t>
            </w:r>
            <w:r w:rsidRPr="00110464">
              <w:rPr>
                <w:rFonts w:ascii="Book Antiqua" w:hAnsi="Book Antiqua" w:cs="Arial"/>
                <w:sz w:val="24"/>
                <w:szCs w:val="24"/>
                <w:vertAlign w:val="superscript"/>
              </w:rPr>
              <w:t>2</w:t>
            </w:r>
            <w:r w:rsidRPr="00110464">
              <w:rPr>
                <w:rFonts w:ascii="Book Antiqua" w:hAnsi="Book Antiqua" w:cs="Arial"/>
                <w:sz w:val="24"/>
                <w:szCs w:val="24"/>
              </w:rPr>
              <w:t xml:space="preserve"> (mean ± SD)</w:t>
            </w:r>
          </w:p>
        </w:tc>
        <w:tc>
          <w:tcPr>
            <w:tcW w:w="2409" w:type="dxa"/>
            <w:vAlign w:val="center"/>
          </w:tcPr>
          <w:p w14:paraId="2D5A5229"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29.69 ± 6.05</w:t>
            </w:r>
          </w:p>
        </w:tc>
        <w:tc>
          <w:tcPr>
            <w:tcW w:w="1985" w:type="dxa"/>
            <w:vAlign w:val="center"/>
          </w:tcPr>
          <w:p w14:paraId="7D0EB3C0"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28.53 ± 5.72</w:t>
            </w:r>
          </w:p>
        </w:tc>
        <w:tc>
          <w:tcPr>
            <w:tcW w:w="1134" w:type="dxa"/>
            <w:vAlign w:val="center"/>
          </w:tcPr>
          <w:p w14:paraId="3812CA2E" w14:textId="77777777" w:rsidR="00D4398F" w:rsidRPr="00110464" w:rsidRDefault="00D4398F" w:rsidP="006F6B36">
            <w:pPr>
              <w:snapToGrid w:val="0"/>
              <w:spacing w:line="360" w:lineRule="auto"/>
              <w:ind w:right="-8"/>
              <w:rPr>
                <w:rFonts w:ascii="Book Antiqua" w:hAnsi="Book Antiqua" w:cs="Arial"/>
                <w:sz w:val="24"/>
                <w:szCs w:val="24"/>
              </w:rPr>
            </w:pPr>
            <w:r w:rsidRPr="00110464">
              <w:rPr>
                <w:rFonts w:ascii="Book Antiqua" w:hAnsi="Book Antiqua" w:cs="Arial"/>
                <w:sz w:val="24"/>
                <w:szCs w:val="24"/>
              </w:rPr>
              <w:t>0.09</w:t>
            </w:r>
          </w:p>
        </w:tc>
      </w:tr>
      <w:tr w:rsidR="00D4398F" w:rsidRPr="00110464" w14:paraId="0C067611" w14:textId="77777777" w:rsidTr="00020633">
        <w:trPr>
          <w:trHeight w:val="529"/>
        </w:trPr>
        <w:tc>
          <w:tcPr>
            <w:tcW w:w="4537" w:type="dxa"/>
            <w:vAlign w:val="center"/>
          </w:tcPr>
          <w:p w14:paraId="7BCC0E3C" w14:textId="01E2FEF9"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BMI &gt;</w:t>
            </w:r>
            <w:r w:rsidR="00020633" w:rsidRPr="00110464">
              <w:rPr>
                <w:rFonts w:ascii="Book Antiqua" w:hAnsi="Book Antiqua" w:cs="Arial"/>
                <w:sz w:val="24"/>
                <w:szCs w:val="24"/>
              </w:rPr>
              <w:t xml:space="preserve"> </w:t>
            </w:r>
            <w:r w:rsidRPr="00110464">
              <w:rPr>
                <w:rFonts w:ascii="Book Antiqua" w:hAnsi="Book Antiqua" w:cs="Arial"/>
                <w:sz w:val="24"/>
                <w:szCs w:val="24"/>
              </w:rPr>
              <w:t>30 kg/m</w:t>
            </w:r>
            <w:r w:rsidRPr="00110464">
              <w:rPr>
                <w:rFonts w:ascii="Book Antiqua" w:hAnsi="Book Antiqua" w:cs="Arial"/>
                <w:sz w:val="24"/>
                <w:szCs w:val="24"/>
                <w:vertAlign w:val="superscript"/>
              </w:rPr>
              <w:t>2</w:t>
            </w:r>
          </w:p>
        </w:tc>
        <w:tc>
          <w:tcPr>
            <w:tcW w:w="2409" w:type="dxa"/>
            <w:vAlign w:val="center"/>
          </w:tcPr>
          <w:p w14:paraId="5E4B18A5"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21/44 (48%)</w:t>
            </w:r>
          </w:p>
        </w:tc>
        <w:tc>
          <w:tcPr>
            <w:tcW w:w="1985" w:type="dxa"/>
            <w:vAlign w:val="center"/>
          </w:tcPr>
          <w:p w14:paraId="01FD4DBC"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124/389 (32%)</w:t>
            </w:r>
          </w:p>
        </w:tc>
        <w:tc>
          <w:tcPr>
            <w:tcW w:w="1134" w:type="dxa"/>
            <w:vAlign w:val="center"/>
          </w:tcPr>
          <w:p w14:paraId="6D9BC5F7"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0.04</w:t>
            </w:r>
          </w:p>
        </w:tc>
      </w:tr>
      <w:tr w:rsidR="00D4398F" w:rsidRPr="00110464" w14:paraId="2C96D2F7" w14:textId="77777777" w:rsidTr="00020633">
        <w:trPr>
          <w:trHeight w:val="529"/>
        </w:trPr>
        <w:tc>
          <w:tcPr>
            <w:tcW w:w="4537" w:type="dxa"/>
            <w:vAlign w:val="center"/>
          </w:tcPr>
          <w:p w14:paraId="6EEC32C7"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Diabetes</w:t>
            </w:r>
          </w:p>
        </w:tc>
        <w:tc>
          <w:tcPr>
            <w:tcW w:w="2409" w:type="dxa"/>
            <w:vAlign w:val="center"/>
          </w:tcPr>
          <w:p w14:paraId="7664FCDE"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5/45 (11%)</w:t>
            </w:r>
          </w:p>
        </w:tc>
        <w:tc>
          <w:tcPr>
            <w:tcW w:w="1985" w:type="dxa"/>
            <w:vAlign w:val="center"/>
          </w:tcPr>
          <w:p w14:paraId="1B45C52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91/390 (23%)</w:t>
            </w:r>
          </w:p>
        </w:tc>
        <w:tc>
          <w:tcPr>
            <w:tcW w:w="1134" w:type="dxa"/>
            <w:vAlign w:val="center"/>
          </w:tcPr>
          <w:p w14:paraId="5EA9A11E"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0.01</w:t>
            </w:r>
          </w:p>
        </w:tc>
      </w:tr>
      <w:tr w:rsidR="00D4398F" w:rsidRPr="00110464" w14:paraId="36A7D550" w14:textId="77777777" w:rsidTr="00020633">
        <w:trPr>
          <w:trHeight w:val="529"/>
        </w:trPr>
        <w:tc>
          <w:tcPr>
            <w:tcW w:w="4537" w:type="dxa"/>
            <w:vAlign w:val="center"/>
          </w:tcPr>
          <w:p w14:paraId="31282A1E"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Hypertension</w:t>
            </w:r>
          </w:p>
        </w:tc>
        <w:tc>
          <w:tcPr>
            <w:tcW w:w="2409" w:type="dxa"/>
            <w:vAlign w:val="center"/>
          </w:tcPr>
          <w:p w14:paraId="6CE49950"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13/45 (29%)</w:t>
            </w:r>
          </w:p>
        </w:tc>
        <w:tc>
          <w:tcPr>
            <w:tcW w:w="1985" w:type="dxa"/>
            <w:vAlign w:val="center"/>
          </w:tcPr>
          <w:p w14:paraId="18DA78CB"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211/382 (55%)</w:t>
            </w:r>
          </w:p>
        </w:tc>
        <w:tc>
          <w:tcPr>
            <w:tcW w:w="1134" w:type="dxa"/>
            <w:vAlign w:val="center"/>
          </w:tcPr>
          <w:p w14:paraId="1058B86D" w14:textId="27C31400"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&lt;</w:t>
            </w:r>
            <w:r w:rsidR="00020633" w:rsidRPr="00110464">
              <w:rPr>
                <w:rFonts w:ascii="Book Antiqua" w:hAnsi="Book Antiqua" w:cs="Arial"/>
                <w:sz w:val="24"/>
                <w:szCs w:val="24"/>
              </w:rPr>
              <w:t xml:space="preserve"> </w:t>
            </w:r>
            <w:r w:rsidRPr="00110464">
              <w:rPr>
                <w:rFonts w:ascii="Book Antiqua" w:hAnsi="Book Antiqua" w:cs="Arial"/>
                <w:sz w:val="24"/>
                <w:szCs w:val="24"/>
              </w:rPr>
              <w:t>0.001</w:t>
            </w:r>
          </w:p>
        </w:tc>
      </w:tr>
      <w:tr w:rsidR="00D4398F" w:rsidRPr="00110464" w14:paraId="27443F6F" w14:textId="77777777" w:rsidTr="00020633">
        <w:trPr>
          <w:trHeight w:val="529"/>
        </w:trPr>
        <w:tc>
          <w:tcPr>
            <w:tcW w:w="4537" w:type="dxa"/>
            <w:vAlign w:val="center"/>
          </w:tcPr>
          <w:p w14:paraId="5FAF1BE0"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Family history of malignancy</w:t>
            </w:r>
          </w:p>
        </w:tc>
        <w:tc>
          <w:tcPr>
            <w:tcW w:w="2409" w:type="dxa"/>
            <w:vAlign w:val="center"/>
          </w:tcPr>
          <w:p w14:paraId="5BCD5AF5"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21/44 (48%)</w:t>
            </w:r>
          </w:p>
        </w:tc>
        <w:tc>
          <w:tcPr>
            <w:tcW w:w="1985" w:type="dxa"/>
            <w:vAlign w:val="center"/>
          </w:tcPr>
          <w:p w14:paraId="70274922"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234/382 (61%)</w:t>
            </w:r>
          </w:p>
        </w:tc>
        <w:tc>
          <w:tcPr>
            <w:tcW w:w="1134" w:type="dxa"/>
            <w:vAlign w:val="center"/>
          </w:tcPr>
          <w:p w14:paraId="2E2D9F47"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0.08</w:t>
            </w:r>
          </w:p>
        </w:tc>
      </w:tr>
      <w:tr w:rsidR="00D4398F" w:rsidRPr="00110464" w14:paraId="62E21FAC" w14:textId="77777777" w:rsidTr="00020633">
        <w:trPr>
          <w:trHeight w:val="529"/>
        </w:trPr>
        <w:tc>
          <w:tcPr>
            <w:tcW w:w="4537" w:type="dxa"/>
            <w:vAlign w:val="center"/>
          </w:tcPr>
          <w:p w14:paraId="00425A9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Family history of esophageal adenocarcinoma</w:t>
            </w:r>
          </w:p>
        </w:tc>
        <w:tc>
          <w:tcPr>
            <w:tcW w:w="2409" w:type="dxa"/>
            <w:vAlign w:val="center"/>
          </w:tcPr>
          <w:p w14:paraId="0C9A47D2"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1/44 (2%)</w:t>
            </w:r>
          </w:p>
        </w:tc>
        <w:tc>
          <w:tcPr>
            <w:tcW w:w="1985" w:type="dxa"/>
            <w:vAlign w:val="center"/>
          </w:tcPr>
          <w:p w14:paraId="15C20B86"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17/382 (5%)</w:t>
            </w:r>
          </w:p>
        </w:tc>
        <w:tc>
          <w:tcPr>
            <w:tcW w:w="1134" w:type="dxa"/>
            <w:vAlign w:val="center"/>
          </w:tcPr>
          <w:p w14:paraId="5040D96E"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0.78</w:t>
            </w:r>
          </w:p>
        </w:tc>
      </w:tr>
      <w:tr w:rsidR="00D4398F" w:rsidRPr="00110464" w14:paraId="28867C9C" w14:textId="77777777" w:rsidTr="00020633">
        <w:trPr>
          <w:trHeight w:val="529"/>
        </w:trPr>
        <w:tc>
          <w:tcPr>
            <w:tcW w:w="4537" w:type="dxa"/>
            <w:vAlign w:val="center"/>
          </w:tcPr>
          <w:p w14:paraId="17E5EF64"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GERD symptoms</w:t>
            </w:r>
          </w:p>
        </w:tc>
        <w:tc>
          <w:tcPr>
            <w:tcW w:w="2409" w:type="dxa"/>
            <w:vAlign w:val="center"/>
          </w:tcPr>
          <w:p w14:paraId="6B1D8400"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24/44 (55%)</w:t>
            </w:r>
          </w:p>
        </w:tc>
        <w:tc>
          <w:tcPr>
            <w:tcW w:w="1985" w:type="dxa"/>
            <w:vAlign w:val="center"/>
          </w:tcPr>
          <w:p w14:paraId="665DE870"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148/386 (38%)</w:t>
            </w:r>
          </w:p>
        </w:tc>
        <w:tc>
          <w:tcPr>
            <w:tcW w:w="1134" w:type="dxa"/>
            <w:vAlign w:val="center"/>
          </w:tcPr>
          <w:p w14:paraId="3BAAF504"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0.04</w:t>
            </w:r>
          </w:p>
        </w:tc>
      </w:tr>
      <w:tr w:rsidR="00D4398F" w:rsidRPr="00110464" w14:paraId="19909500" w14:textId="77777777" w:rsidTr="00020633">
        <w:trPr>
          <w:trHeight w:val="529"/>
        </w:trPr>
        <w:tc>
          <w:tcPr>
            <w:tcW w:w="4537" w:type="dxa"/>
            <w:vAlign w:val="center"/>
          </w:tcPr>
          <w:p w14:paraId="4A674490"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Smoking</w:t>
            </w:r>
          </w:p>
        </w:tc>
        <w:tc>
          <w:tcPr>
            <w:tcW w:w="2409" w:type="dxa"/>
            <w:vAlign w:val="center"/>
          </w:tcPr>
          <w:p w14:paraId="76BE249F"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778FDF92"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6580CEF6"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0872C96B" w14:textId="77777777" w:rsidTr="00020633">
        <w:trPr>
          <w:trHeight w:val="529"/>
        </w:trPr>
        <w:tc>
          <w:tcPr>
            <w:tcW w:w="4537" w:type="dxa"/>
            <w:vAlign w:val="center"/>
          </w:tcPr>
          <w:p w14:paraId="5AB0EE7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Ever smoking</w:t>
            </w:r>
          </w:p>
        </w:tc>
        <w:tc>
          <w:tcPr>
            <w:tcW w:w="2409" w:type="dxa"/>
            <w:vAlign w:val="center"/>
          </w:tcPr>
          <w:p w14:paraId="50B9911E"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25/44 (57%)</w:t>
            </w:r>
          </w:p>
        </w:tc>
        <w:tc>
          <w:tcPr>
            <w:tcW w:w="1985" w:type="dxa"/>
            <w:vAlign w:val="center"/>
          </w:tcPr>
          <w:p w14:paraId="7A00FAB8" w14:textId="77777777" w:rsidR="00D4398F" w:rsidRPr="00110464" w:rsidRDefault="00D4398F" w:rsidP="006F6B36">
            <w:pPr>
              <w:tabs>
                <w:tab w:val="right" w:pos="883"/>
              </w:tabs>
              <w:snapToGrid w:val="0"/>
              <w:spacing w:line="360" w:lineRule="auto"/>
              <w:rPr>
                <w:rFonts w:ascii="Book Antiqua" w:hAnsi="Book Antiqua" w:cs="Arial"/>
                <w:sz w:val="24"/>
                <w:szCs w:val="24"/>
              </w:rPr>
            </w:pPr>
            <w:r w:rsidRPr="00110464">
              <w:rPr>
                <w:rFonts w:ascii="Book Antiqua" w:hAnsi="Book Antiqua" w:cs="Arial"/>
                <w:sz w:val="24"/>
                <w:szCs w:val="24"/>
              </w:rPr>
              <w:t>297/393 (76%)</w:t>
            </w:r>
          </w:p>
        </w:tc>
        <w:tc>
          <w:tcPr>
            <w:tcW w:w="1134" w:type="dxa"/>
            <w:vAlign w:val="center"/>
          </w:tcPr>
          <w:p w14:paraId="129F685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0.01</w:t>
            </w:r>
          </w:p>
        </w:tc>
      </w:tr>
      <w:tr w:rsidR="00D4398F" w:rsidRPr="00110464" w14:paraId="7EB0F01E" w14:textId="77777777" w:rsidTr="00020633">
        <w:trPr>
          <w:trHeight w:val="529"/>
        </w:trPr>
        <w:tc>
          <w:tcPr>
            <w:tcW w:w="4537" w:type="dxa"/>
            <w:vAlign w:val="center"/>
          </w:tcPr>
          <w:p w14:paraId="36A5D25B"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Current smoking</w:t>
            </w:r>
          </w:p>
        </w:tc>
        <w:tc>
          <w:tcPr>
            <w:tcW w:w="2409" w:type="dxa"/>
            <w:vAlign w:val="center"/>
          </w:tcPr>
          <w:p w14:paraId="1283C7A6"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4/44 (9%)</w:t>
            </w:r>
          </w:p>
        </w:tc>
        <w:tc>
          <w:tcPr>
            <w:tcW w:w="1985" w:type="dxa"/>
            <w:vAlign w:val="center"/>
          </w:tcPr>
          <w:p w14:paraId="648EF5EE" w14:textId="77777777" w:rsidR="00D4398F" w:rsidRPr="00110464" w:rsidRDefault="00D4398F" w:rsidP="006F6B36">
            <w:pPr>
              <w:tabs>
                <w:tab w:val="right" w:pos="883"/>
              </w:tabs>
              <w:snapToGrid w:val="0"/>
              <w:spacing w:line="360" w:lineRule="auto"/>
              <w:rPr>
                <w:rFonts w:ascii="Book Antiqua" w:hAnsi="Book Antiqua" w:cs="Arial"/>
                <w:sz w:val="24"/>
                <w:szCs w:val="24"/>
              </w:rPr>
            </w:pPr>
            <w:r w:rsidRPr="00110464">
              <w:rPr>
                <w:rFonts w:ascii="Book Antiqua" w:hAnsi="Book Antiqua" w:cs="Arial"/>
                <w:sz w:val="24"/>
                <w:szCs w:val="24"/>
              </w:rPr>
              <w:t>47/392 (11%)</w:t>
            </w:r>
          </w:p>
        </w:tc>
        <w:tc>
          <w:tcPr>
            <w:tcW w:w="1134" w:type="dxa"/>
            <w:vAlign w:val="center"/>
          </w:tcPr>
          <w:p w14:paraId="5B7DA85D"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0.75</w:t>
            </w:r>
          </w:p>
        </w:tc>
      </w:tr>
      <w:tr w:rsidR="00D4398F" w:rsidRPr="00110464" w14:paraId="39A03554" w14:textId="77777777" w:rsidTr="00020633">
        <w:trPr>
          <w:trHeight w:val="529"/>
        </w:trPr>
        <w:tc>
          <w:tcPr>
            <w:tcW w:w="4537" w:type="dxa"/>
            <w:vAlign w:val="center"/>
          </w:tcPr>
          <w:p w14:paraId="64F8A429"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Pack-years (mean ± SD)</w:t>
            </w:r>
          </w:p>
        </w:tc>
        <w:tc>
          <w:tcPr>
            <w:tcW w:w="2409" w:type="dxa"/>
            <w:vAlign w:val="center"/>
          </w:tcPr>
          <w:p w14:paraId="31BE9D13"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13.97 ± 15.56</w:t>
            </w:r>
          </w:p>
        </w:tc>
        <w:tc>
          <w:tcPr>
            <w:tcW w:w="1985" w:type="dxa"/>
            <w:vAlign w:val="center"/>
          </w:tcPr>
          <w:p w14:paraId="789CB61E"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23.46 ± 27.21</w:t>
            </w:r>
          </w:p>
        </w:tc>
        <w:tc>
          <w:tcPr>
            <w:tcW w:w="1134" w:type="dxa"/>
            <w:vAlign w:val="center"/>
          </w:tcPr>
          <w:p w14:paraId="2F03A365"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0.02</w:t>
            </w:r>
          </w:p>
        </w:tc>
      </w:tr>
      <w:tr w:rsidR="00D4398F" w:rsidRPr="00110464" w14:paraId="3489CFAB" w14:textId="77777777" w:rsidTr="00020633">
        <w:trPr>
          <w:trHeight w:val="529"/>
        </w:trPr>
        <w:tc>
          <w:tcPr>
            <w:tcW w:w="4537" w:type="dxa"/>
            <w:vAlign w:val="center"/>
          </w:tcPr>
          <w:p w14:paraId="522AB6F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Alcohol</w:t>
            </w:r>
          </w:p>
        </w:tc>
        <w:tc>
          <w:tcPr>
            <w:tcW w:w="2409" w:type="dxa"/>
            <w:vAlign w:val="center"/>
          </w:tcPr>
          <w:p w14:paraId="4BBA5808"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46D0021F"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34EE4996"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0DD2DDC5" w14:textId="77777777" w:rsidTr="00020633">
        <w:trPr>
          <w:trHeight w:val="529"/>
        </w:trPr>
        <w:tc>
          <w:tcPr>
            <w:tcW w:w="4537" w:type="dxa"/>
            <w:vAlign w:val="center"/>
          </w:tcPr>
          <w:p w14:paraId="25F0943C"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Ever alcohol</w:t>
            </w:r>
          </w:p>
        </w:tc>
        <w:tc>
          <w:tcPr>
            <w:tcW w:w="2409" w:type="dxa"/>
            <w:vAlign w:val="center"/>
          </w:tcPr>
          <w:p w14:paraId="197395B8"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37/45 (82%)</w:t>
            </w:r>
          </w:p>
        </w:tc>
        <w:tc>
          <w:tcPr>
            <w:tcW w:w="1985" w:type="dxa"/>
            <w:vAlign w:val="center"/>
          </w:tcPr>
          <w:p w14:paraId="0243781C"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297/387 (77%)</w:t>
            </w:r>
          </w:p>
        </w:tc>
        <w:tc>
          <w:tcPr>
            <w:tcW w:w="1134" w:type="dxa"/>
            <w:vAlign w:val="center"/>
          </w:tcPr>
          <w:p w14:paraId="7163697D"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0.52</w:t>
            </w:r>
          </w:p>
        </w:tc>
      </w:tr>
      <w:tr w:rsidR="00D4398F" w:rsidRPr="00110464" w14:paraId="1E805DF9" w14:textId="77777777" w:rsidTr="00020633">
        <w:trPr>
          <w:trHeight w:val="529"/>
        </w:trPr>
        <w:tc>
          <w:tcPr>
            <w:tcW w:w="4537" w:type="dxa"/>
            <w:vAlign w:val="center"/>
          </w:tcPr>
          <w:p w14:paraId="6D92949F"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Current alcohol</w:t>
            </w:r>
          </w:p>
        </w:tc>
        <w:tc>
          <w:tcPr>
            <w:tcW w:w="2409" w:type="dxa"/>
            <w:vAlign w:val="center"/>
          </w:tcPr>
          <w:p w14:paraId="2B5C9199"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31/45 (69%)</w:t>
            </w:r>
          </w:p>
        </w:tc>
        <w:tc>
          <w:tcPr>
            <w:tcW w:w="1985" w:type="dxa"/>
            <w:vAlign w:val="center"/>
          </w:tcPr>
          <w:p w14:paraId="194A5B8C"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241/375 (64%)</w:t>
            </w:r>
          </w:p>
        </w:tc>
        <w:tc>
          <w:tcPr>
            <w:tcW w:w="1134" w:type="dxa"/>
            <w:vAlign w:val="center"/>
          </w:tcPr>
          <w:p w14:paraId="54A6CFD7"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0.54</w:t>
            </w:r>
          </w:p>
        </w:tc>
      </w:tr>
      <w:tr w:rsidR="00D4398F" w:rsidRPr="00110464" w14:paraId="10A4CBCC" w14:textId="77777777" w:rsidTr="00020633">
        <w:trPr>
          <w:trHeight w:val="529"/>
        </w:trPr>
        <w:tc>
          <w:tcPr>
            <w:tcW w:w="4537" w:type="dxa"/>
            <w:vAlign w:val="center"/>
          </w:tcPr>
          <w:p w14:paraId="3DA1DE64"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Medication use</w:t>
            </w:r>
          </w:p>
        </w:tc>
        <w:tc>
          <w:tcPr>
            <w:tcW w:w="2409" w:type="dxa"/>
            <w:vAlign w:val="center"/>
          </w:tcPr>
          <w:p w14:paraId="05DD805E"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1D92480E"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0FE2F384"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335F6826" w14:textId="77777777" w:rsidTr="00020633">
        <w:trPr>
          <w:trHeight w:val="529"/>
        </w:trPr>
        <w:tc>
          <w:tcPr>
            <w:tcW w:w="4537" w:type="dxa"/>
            <w:vAlign w:val="center"/>
          </w:tcPr>
          <w:p w14:paraId="1D2B1778"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Proton pump inhibitors</w:t>
            </w:r>
          </w:p>
        </w:tc>
        <w:tc>
          <w:tcPr>
            <w:tcW w:w="2409" w:type="dxa"/>
            <w:vAlign w:val="center"/>
          </w:tcPr>
          <w:p w14:paraId="19301F94"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38/43 (88%)</w:t>
            </w:r>
          </w:p>
        </w:tc>
        <w:tc>
          <w:tcPr>
            <w:tcW w:w="1985" w:type="dxa"/>
            <w:vAlign w:val="center"/>
          </w:tcPr>
          <w:p w14:paraId="66382118"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335/374 (90%)</w:t>
            </w:r>
          </w:p>
        </w:tc>
        <w:tc>
          <w:tcPr>
            <w:tcW w:w="1134" w:type="dxa"/>
            <w:vAlign w:val="center"/>
          </w:tcPr>
          <w:p w14:paraId="125A75A1"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0.98</w:t>
            </w:r>
          </w:p>
        </w:tc>
      </w:tr>
      <w:tr w:rsidR="00D4398F" w:rsidRPr="00110464" w14:paraId="3A6E539D" w14:textId="77777777" w:rsidTr="00020633">
        <w:trPr>
          <w:trHeight w:val="529"/>
        </w:trPr>
        <w:tc>
          <w:tcPr>
            <w:tcW w:w="4537" w:type="dxa"/>
            <w:vAlign w:val="center"/>
          </w:tcPr>
          <w:p w14:paraId="6E2B384B"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Low-dose aspirin</w:t>
            </w:r>
          </w:p>
        </w:tc>
        <w:tc>
          <w:tcPr>
            <w:tcW w:w="2409" w:type="dxa"/>
            <w:vAlign w:val="center"/>
          </w:tcPr>
          <w:p w14:paraId="0B1B81D2"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5/45 (11%)</w:t>
            </w:r>
          </w:p>
        </w:tc>
        <w:tc>
          <w:tcPr>
            <w:tcW w:w="1985" w:type="dxa"/>
            <w:vAlign w:val="center"/>
          </w:tcPr>
          <w:p w14:paraId="39501069"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130/388 (34%)</w:t>
            </w:r>
          </w:p>
        </w:tc>
        <w:tc>
          <w:tcPr>
            <w:tcW w:w="1134" w:type="dxa"/>
            <w:vAlign w:val="center"/>
          </w:tcPr>
          <w:p w14:paraId="4F924BAF" w14:textId="5846F089"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&lt;</w:t>
            </w:r>
            <w:r w:rsidR="00020633" w:rsidRPr="00110464">
              <w:rPr>
                <w:rFonts w:ascii="Book Antiqua" w:hAnsi="Book Antiqua" w:cs="Arial"/>
                <w:sz w:val="24"/>
                <w:szCs w:val="24"/>
              </w:rPr>
              <w:t xml:space="preserve"> </w:t>
            </w:r>
            <w:r w:rsidRPr="00110464">
              <w:rPr>
                <w:rFonts w:ascii="Book Antiqua" w:hAnsi="Book Antiqua" w:cs="Arial"/>
                <w:sz w:val="24"/>
                <w:szCs w:val="24"/>
              </w:rPr>
              <w:t>0.01</w:t>
            </w:r>
          </w:p>
        </w:tc>
      </w:tr>
      <w:tr w:rsidR="00D4398F" w:rsidRPr="00110464" w14:paraId="6E7447A3" w14:textId="77777777" w:rsidTr="00020633">
        <w:trPr>
          <w:trHeight w:val="529"/>
        </w:trPr>
        <w:tc>
          <w:tcPr>
            <w:tcW w:w="4537" w:type="dxa"/>
            <w:vAlign w:val="center"/>
          </w:tcPr>
          <w:p w14:paraId="358A7C1D"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NSAIDs</w:t>
            </w:r>
          </w:p>
        </w:tc>
        <w:tc>
          <w:tcPr>
            <w:tcW w:w="2409" w:type="dxa"/>
            <w:vAlign w:val="center"/>
          </w:tcPr>
          <w:p w14:paraId="1CC8225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4/45 (9%)</w:t>
            </w:r>
          </w:p>
        </w:tc>
        <w:tc>
          <w:tcPr>
            <w:tcW w:w="1985" w:type="dxa"/>
            <w:vAlign w:val="center"/>
          </w:tcPr>
          <w:p w14:paraId="44DAAAE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34/384 (9%)</w:t>
            </w:r>
          </w:p>
        </w:tc>
        <w:tc>
          <w:tcPr>
            <w:tcW w:w="1134" w:type="dxa"/>
            <w:vAlign w:val="center"/>
          </w:tcPr>
          <w:p w14:paraId="13DBB325"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0.79</w:t>
            </w:r>
          </w:p>
        </w:tc>
      </w:tr>
      <w:tr w:rsidR="00D4398F" w:rsidRPr="00110464" w14:paraId="25D60082" w14:textId="77777777" w:rsidTr="00020633">
        <w:trPr>
          <w:trHeight w:val="529"/>
        </w:trPr>
        <w:tc>
          <w:tcPr>
            <w:tcW w:w="4537" w:type="dxa"/>
            <w:vAlign w:val="center"/>
          </w:tcPr>
          <w:p w14:paraId="7DED3711"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Statins</w:t>
            </w:r>
          </w:p>
        </w:tc>
        <w:tc>
          <w:tcPr>
            <w:tcW w:w="2409" w:type="dxa"/>
            <w:vAlign w:val="center"/>
          </w:tcPr>
          <w:p w14:paraId="106674F3"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10/45 (22%)</w:t>
            </w:r>
          </w:p>
        </w:tc>
        <w:tc>
          <w:tcPr>
            <w:tcW w:w="1985" w:type="dxa"/>
            <w:vAlign w:val="center"/>
          </w:tcPr>
          <w:p w14:paraId="45A145CD"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189/388 (49%)</w:t>
            </w:r>
          </w:p>
        </w:tc>
        <w:tc>
          <w:tcPr>
            <w:tcW w:w="1134" w:type="dxa"/>
            <w:vAlign w:val="center"/>
          </w:tcPr>
          <w:p w14:paraId="56FF93CD" w14:textId="7F937D9D"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&lt;</w:t>
            </w:r>
            <w:r w:rsidR="00020633" w:rsidRPr="00110464">
              <w:rPr>
                <w:rFonts w:ascii="Book Antiqua" w:hAnsi="Book Antiqua" w:cs="Arial"/>
                <w:sz w:val="24"/>
                <w:szCs w:val="24"/>
              </w:rPr>
              <w:t xml:space="preserve"> </w:t>
            </w:r>
            <w:r w:rsidRPr="00110464">
              <w:rPr>
                <w:rFonts w:ascii="Book Antiqua" w:hAnsi="Book Antiqua" w:cs="Arial"/>
                <w:sz w:val="24"/>
                <w:szCs w:val="24"/>
              </w:rPr>
              <w:t>0.001</w:t>
            </w:r>
          </w:p>
        </w:tc>
      </w:tr>
      <w:tr w:rsidR="00D4398F" w:rsidRPr="00110464" w14:paraId="72439B15" w14:textId="77777777" w:rsidTr="00020633">
        <w:trPr>
          <w:trHeight w:val="529"/>
        </w:trPr>
        <w:tc>
          <w:tcPr>
            <w:tcW w:w="4537" w:type="dxa"/>
            <w:vAlign w:val="center"/>
          </w:tcPr>
          <w:p w14:paraId="1DDE3752"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Endoscopy</w:t>
            </w:r>
          </w:p>
        </w:tc>
        <w:tc>
          <w:tcPr>
            <w:tcW w:w="2409" w:type="dxa"/>
            <w:vAlign w:val="center"/>
          </w:tcPr>
          <w:p w14:paraId="70FD1230"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985" w:type="dxa"/>
            <w:vAlign w:val="center"/>
          </w:tcPr>
          <w:p w14:paraId="37AFADA1"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tc>
        <w:tc>
          <w:tcPr>
            <w:tcW w:w="1134" w:type="dxa"/>
            <w:vAlign w:val="center"/>
          </w:tcPr>
          <w:p w14:paraId="69A4CC6F"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6B1B2D70" w14:textId="77777777" w:rsidTr="00020633">
        <w:trPr>
          <w:trHeight w:val="529"/>
        </w:trPr>
        <w:tc>
          <w:tcPr>
            <w:tcW w:w="4537" w:type="dxa"/>
            <w:vAlign w:val="center"/>
          </w:tcPr>
          <w:p w14:paraId="26A16FE3" w14:textId="77777777" w:rsidR="00D4398F" w:rsidRPr="00110464" w:rsidRDefault="00D4398F" w:rsidP="006F6B36">
            <w:pPr>
              <w:snapToGrid w:val="0"/>
              <w:spacing w:line="360" w:lineRule="auto"/>
              <w:ind w:firstLineChars="50" w:firstLine="120"/>
              <w:rPr>
                <w:rFonts w:ascii="Book Antiqua" w:hAnsi="Book Antiqua" w:cs="Arial"/>
                <w:sz w:val="24"/>
                <w:szCs w:val="24"/>
                <w:lang w:val="es-ES"/>
              </w:rPr>
            </w:pPr>
            <w:r w:rsidRPr="00110464">
              <w:rPr>
                <w:rFonts w:ascii="Book Antiqua" w:hAnsi="Book Antiqua" w:cs="Arial"/>
                <w:sz w:val="24"/>
                <w:szCs w:val="24"/>
                <w:lang w:val="es-ES"/>
              </w:rPr>
              <w:t>Prague C, median (IQR), cm</w:t>
            </w:r>
          </w:p>
        </w:tc>
        <w:tc>
          <w:tcPr>
            <w:tcW w:w="2409" w:type="dxa"/>
            <w:vAlign w:val="center"/>
          </w:tcPr>
          <w:p w14:paraId="1A4E29A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 (0-5)</w:t>
            </w:r>
          </w:p>
        </w:tc>
        <w:tc>
          <w:tcPr>
            <w:tcW w:w="1985" w:type="dxa"/>
            <w:vAlign w:val="center"/>
          </w:tcPr>
          <w:p w14:paraId="43A11C33"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 (0-5)</w:t>
            </w:r>
          </w:p>
        </w:tc>
        <w:tc>
          <w:tcPr>
            <w:tcW w:w="1134" w:type="dxa"/>
            <w:vAlign w:val="center"/>
          </w:tcPr>
          <w:p w14:paraId="16C3A845"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0.52</w:t>
            </w:r>
          </w:p>
        </w:tc>
      </w:tr>
      <w:tr w:rsidR="00D4398F" w:rsidRPr="00110464" w14:paraId="5738574E" w14:textId="77777777" w:rsidTr="00020633">
        <w:trPr>
          <w:trHeight w:val="529"/>
        </w:trPr>
        <w:tc>
          <w:tcPr>
            <w:tcW w:w="4537" w:type="dxa"/>
            <w:vAlign w:val="center"/>
          </w:tcPr>
          <w:p w14:paraId="0CAB21BE" w14:textId="77777777" w:rsidR="00D4398F" w:rsidRPr="00110464" w:rsidRDefault="00D4398F" w:rsidP="006F6B36">
            <w:pPr>
              <w:snapToGrid w:val="0"/>
              <w:spacing w:line="360" w:lineRule="auto"/>
              <w:ind w:firstLineChars="50" w:firstLine="120"/>
              <w:rPr>
                <w:rFonts w:ascii="Book Antiqua" w:hAnsi="Book Antiqua" w:cs="Arial"/>
                <w:sz w:val="24"/>
                <w:szCs w:val="24"/>
                <w:lang w:val="es-ES"/>
              </w:rPr>
            </w:pPr>
            <w:r w:rsidRPr="00110464">
              <w:rPr>
                <w:rFonts w:ascii="Book Antiqua" w:hAnsi="Book Antiqua" w:cs="Arial"/>
                <w:sz w:val="24"/>
                <w:szCs w:val="24"/>
                <w:lang w:val="es-ES"/>
              </w:rPr>
              <w:lastRenderedPageBreak/>
              <w:t>Prague M, median (IQR), cm</w:t>
            </w:r>
          </w:p>
        </w:tc>
        <w:tc>
          <w:tcPr>
            <w:tcW w:w="2409" w:type="dxa"/>
            <w:vAlign w:val="center"/>
          </w:tcPr>
          <w:p w14:paraId="1C3A39D6"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4 (2-7)</w:t>
            </w:r>
          </w:p>
        </w:tc>
        <w:tc>
          <w:tcPr>
            <w:tcW w:w="1985" w:type="dxa"/>
            <w:vAlign w:val="center"/>
          </w:tcPr>
          <w:p w14:paraId="00C988FC"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4 (2-7)</w:t>
            </w:r>
          </w:p>
        </w:tc>
        <w:tc>
          <w:tcPr>
            <w:tcW w:w="1134" w:type="dxa"/>
            <w:vAlign w:val="center"/>
          </w:tcPr>
          <w:p w14:paraId="4E98CE8A"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0.43</w:t>
            </w:r>
          </w:p>
        </w:tc>
      </w:tr>
      <w:tr w:rsidR="00D4398F" w:rsidRPr="00110464" w14:paraId="645F4561" w14:textId="77777777" w:rsidTr="00020633">
        <w:trPr>
          <w:trHeight w:val="529"/>
        </w:trPr>
        <w:tc>
          <w:tcPr>
            <w:tcW w:w="4537" w:type="dxa"/>
            <w:tcBorders>
              <w:bottom w:val="single" w:sz="4" w:space="0" w:color="auto"/>
            </w:tcBorders>
            <w:vAlign w:val="center"/>
          </w:tcPr>
          <w:p w14:paraId="277A221B"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Hiatus hernia</w:t>
            </w:r>
          </w:p>
        </w:tc>
        <w:tc>
          <w:tcPr>
            <w:tcW w:w="2409" w:type="dxa"/>
            <w:tcBorders>
              <w:bottom w:val="single" w:sz="4" w:space="0" w:color="auto"/>
            </w:tcBorders>
            <w:vAlign w:val="center"/>
          </w:tcPr>
          <w:p w14:paraId="137B2653"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35/45 (78%)</w:t>
            </w:r>
          </w:p>
        </w:tc>
        <w:tc>
          <w:tcPr>
            <w:tcW w:w="1985" w:type="dxa"/>
            <w:tcBorders>
              <w:bottom w:val="single" w:sz="4" w:space="0" w:color="auto"/>
            </w:tcBorders>
            <w:vAlign w:val="center"/>
          </w:tcPr>
          <w:p w14:paraId="767A00B0"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350/405 (86%)</w:t>
            </w:r>
          </w:p>
        </w:tc>
        <w:tc>
          <w:tcPr>
            <w:tcW w:w="1134" w:type="dxa"/>
            <w:tcBorders>
              <w:bottom w:val="single" w:sz="4" w:space="0" w:color="auto"/>
            </w:tcBorders>
            <w:vAlign w:val="center"/>
          </w:tcPr>
          <w:p w14:paraId="4179452A"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0.12</w:t>
            </w:r>
          </w:p>
        </w:tc>
      </w:tr>
    </w:tbl>
    <w:p w14:paraId="35F5945F" w14:textId="6CA7E1EF"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 xml:space="preserve">BMI: </w:t>
      </w:r>
      <w:r w:rsidR="00020633" w:rsidRPr="00110464">
        <w:rPr>
          <w:rFonts w:ascii="Book Antiqua" w:hAnsi="Book Antiqua" w:cs="Arial"/>
          <w:sz w:val="24"/>
          <w:szCs w:val="24"/>
        </w:rPr>
        <w:t>B</w:t>
      </w:r>
      <w:r w:rsidRPr="00110464">
        <w:rPr>
          <w:rFonts w:ascii="Book Antiqua" w:hAnsi="Book Antiqua" w:cs="Arial"/>
          <w:sz w:val="24"/>
          <w:szCs w:val="24"/>
        </w:rPr>
        <w:t xml:space="preserve">ody mass index; GERD: </w:t>
      </w:r>
      <w:r w:rsidR="00020633" w:rsidRPr="00110464">
        <w:rPr>
          <w:rFonts w:ascii="Book Antiqua" w:hAnsi="Book Antiqua" w:cs="Arial"/>
          <w:sz w:val="24"/>
          <w:szCs w:val="24"/>
        </w:rPr>
        <w:t>G</w:t>
      </w:r>
      <w:r w:rsidRPr="00110464">
        <w:rPr>
          <w:rFonts w:ascii="Book Antiqua" w:hAnsi="Book Antiqua" w:cs="Arial"/>
          <w:sz w:val="24"/>
          <w:szCs w:val="24"/>
        </w:rPr>
        <w:t xml:space="preserve">astroesophageal reflux disease; NSAIDs: </w:t>
      </w:r>
      <w:r w:rsidR="00020633" w:rsidRPr="00110464">
        <w:rPr>
          <w:rFonts w:ascii="Book Antiqua" w:hAnsi="Book Antiqua" w:cs="Arial"/>
          <w:sz w:val="24"/>
          <w:szCs w:val="24"/>
        </w:rPr>
        <w:t>N</w:t>
      </w:r>
      <w:r w:rsidRPr="00110464">
        <w:rPr>
          <w:rFonts w:ascii="Book Antiqua" w:hAnsi="Book Antiqua" w:cs="Arial"/>
          <w:sz w:val="24"/>
          <w:szCs w:val="24"/>
        </w:rPr>
        <w:t xml:space="preserve">onsteroidal anti-inflammatory drugs; SD: </w:t>
      </w:r>
      <w:r w:rsidR="00020633" w:rsidRPr="00110464">
        <w:rPr>
          <w:rFonts w:ascii="Book Antiqua" w:hAnsi="Book Antiqua" w:cs="Arial"/>
          <w:sz w:val="24"/>
          <w:szCs w:val="24"/>
        </w:rPr>
        <w:t>S</w:t>
      </w:r>
      <w:r w:rsidRPr="00110464">
        <w:rPr>
          <w:rFonts w:ascii="Book Antiqua" w:hAnsi="Book Antiqua" w:cs="Arial"/>
          <w:sz w:val="24"/>
          <w:szCs w:val="24"/>
        </w:rPr>
        <w:t xml:space="preserve">tandard deviation; IQR: </w:t>
      </w:r>
      <w:r w:rsidR="00020633" w:rsidRPr="00110464">
        <w:rPr>
          <w:rFonts w:ascii="Book Antiqua" w:hAnsi="Book Antiqua" w:cs="Arial"/>
          <w:sz w:val="24"/>
          <w:szCs w:val="24"/>
        </w:rPr>
        <w:t>I</w:t>
      </w:r>
      <w:r w:rsidRPr="00110464">
        <w:rPr>
          <w:rFonts w:ascii="Book Antiqua" w:hAnsi="Book Antiqua" w:cs="Arial"/>
          <w:sz w:val="24"/>
          <w:szCs w:val="24"/>
        </w:rPr>
        <w:t>nterquartile range</w:t>
      </w:r>
      <w:r w:rsidR="00020633" w:rsidRPr="00110464">
        <w:rPr>
          <w:rFonts w:ascii="Book Antiqua" w:hAnsi="Book Antiqua" w:cs="Arial"/>
          <w:sz w:val="24"/>
          <w:szCs w:val="24"/>
        </w:rPr>
        <w:t>.</w:t>
      </w:r>
    </w:p>
    <w:bookmarkEnd w:id="107"/>
    <w:p w14:paraId="2949DD33" w14:textId="77777777" w:rsidR="00D4398F" w:rsidRPr="00110464" w:rsidRDefault="00D4398F" w:rsidP="006F6B36">
      <w:pPr>
        <w:pStyle w:val="EndNoteBibliography"/>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11B7BB75" w14:textId="00256228" w:rsidR="00D4398F" w:rsidRPr="00110464" w:rsidRDefault="00D4398F" w:rsidP="006F6B36">
      <w:pPr>
        <w:snapToGrid w:val="0"/>
        <w:spacing w:line="360" w:lineRule="auto"/>
        <w:rPr>
          <w:rFonts w:ascii="Book Antiqua" w:hAnsi="Book Antiqua" w:cs="Arial"/>
          <w:b/>
          <w:sz w:val="24"/>
          <w:szCs w:val="24"/>
        </w:rPr>
      </w:pPr>
      <w:bookmarkStart w:id="108" w:name="_Hlk3327166"/>
      <w:r w:rsidRPr="00110464">
        <w:rPr>
          <w:rFonts w:ascii="Book Antiqua" w:hAnsi="Book Antiqua" w:cs="Arial"/>
          <w:b/>
          <w:sz w:val="24"/>
          <w:szCs w:val="24"/>
        </w:rPr>
        <w:lastRenderedPageBreak/>
        <w:t>Table</w:t>
      </w:r>
      <w:r w:rsidR="00020633" w:rsidRPr="00110464">
        <w:rPr>
          <w:rFonts w:ascii="Book Antiqua" w:hAnsi="Book Antiqua" w:cs="Arial"/>
          <w:b/>
          <w:sz w:val="24"/>
          <w:szCs w:val="24"/>
        </w:rPr>
        <w:t xml:space="preserve"> </w:t>
      </w:r>
      <w:r w:rsidRPr="00110464">
        <w:rPr>
          <w:rFonts w:ascii="Book Antiqua" w:hAnsi="Book Antiqua" w:cs="Arial"/>
          <w:b/>
          <w:sz w:val="24"/>
          <w:szCs w:val="24"/>
        </w:rPr>
        <w:t xml:space="preserve">2 Adenocarcinoma/high-grade dysplasia risk according to multivariate analysis: Young </w:t>
      </w:r>
      <w:r w:rsidRPr="00110464">
        <w:rPr>
          <w:rFonts w:ascii="Book Antiqua" w:hAnsi="Book Antiqua" w:cs="Arial"/>
          <w:b/>
          <w:i/>
          <w:sz w:val="24"/>
          <w:szCs w:val="24"/>
        </w:rPr>
        <w:t>vs</w:t>
      </w:r>
      <w:r w:rsidRPr="00110464">
        <w:rPr>
          <w:rFonts w:ascii="Book Antiqua" w:hAnsi="Book Antiqua" w:cs="Arial"/>
          <w:b/>
          <w:sz w:val="24"/>
          <w:szCs w:val="24"/>
        </w:rPr>
        <w:t xml:space="preserve"> </w:t>
      </w:r>
      <w:r w:rsidR="002D0BEA" w:rsidRPr="00110464">
        <w:rPr>
          <w:rFonts w:ascii="Book Antiqua" w:hAnsi="Book Antiqua" w:cs="Arial"/>
          <w:b/>
          <w:sz w:val="24"/>
          <w:szCs w:val="24"/>
        </w:rPr>
        <w:t>o</w:t>
      </w:r>
      <w:r w:rsidRPr="00110464">
        <w:rPr>
          <w:rFonts w:ascii="Book Antiqua" w:hAnsi="Book Antiqua" w:cs="Arial"/>
          <w:b/>
          <w:sz w:val="24"/>
          <w:szCs w:val="24"/>
        </w:rPr>
        <w:t>ld</w:t>
      </w:r>
    </w:p>
    <w:tbl>
      <w:tblPr>
        <w:tblStyle w:val="ac"/>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551"/>
        <w:gridCol w:w="2787"/>
        <w:gridCol w:w="1823"/>
      </w:tblGrid>
      <w:tr w:rsidR="00D4398F" w:rsidRPr="00110464" w14:paraId="234900E8" w14:textId="77777777" w:rsidTr="00020633">
        <w:trPr>
          <w:trHeight w:val="544"/>
        </w:trPr>
        <w:tc>
          <w:tcPr>
            <w:tcW w:w="3227" w:type="dxa"/>
            <w:tcBorders>
              <w:top w:val="single" w:sz="4" w:space="0" w:color="auto"/>
              <w:bottom w:val="single" w:sz="4" w:space="0" w:color="auto"/>
            </w:tcBorders>
          </w:tcPr>
          <w:p w14:paraId="509F2762" w14:textId="77777777" w:rsidR="00D4398F" w:rsidRPr="00110464" w:rsidRDefault="00D4398F" w:rsidP="006F6B36">
            <w:pPr>
              <w:snapToGrid w:val="0"/>
              <w:spacing w:line="360" w:lineRule="auto"/>
              <w:rPr>
                <w:rFonts w:ascii="Book Antiqua" w:hAnsi="Book Antiqua" w:cs="Arial"/>
                <w:b/>
                <w:sz w:val="24"/>
                <w:szCs w:val="24"/>
              </w:rPr>
            </w:pPr>
          </w:p>
        </w:tc>
        <w:tc>
          <w:tcPr>
            <w:tcW w:w="2551" w:type="dxa"/>
            <w:tcBorders>
              <w:top w:val="single" w:sz="4" w:space="0" w:color="auto"/>
              <w:bottom w:val="single" w:sz="4" w:space="0" w:color="auto"/>
            </w:tcBorders>
            <w:vAlign w:val="center"/>
          </w:tcPr>
          <w:p w14:paraId="04B6B711" w14:textId="77777777"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Adjusted Odds ratio</w:t>
            </w:r>
          </w:p>
        </w:tc>
        <w:tc>
          <w:tcPr>
            <w:tcW w:w="2787" w:type="dxa"/>
            <w:tcBorders>
              <w:top w:val="single" w:sz="4" w:space="0" w:color="auto"/>
              <w:bottom w:val="single" w:sz="4" w:space="0" w:color="auto"/>
            </w:tcBorders>
            <w:vAlign w:val="center"/>
          </w:tcPr>
          <w:p w14:paraId="7099C032" w14:textId="77777777"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95% confidence interval</w:t>
            </w:r>
          </w:p>
        </w:tc>
        <w:tc>
          <w:tcPr>
            <w:tcW w:w="1823" w:type="dxa"/>
            <w:tcBorders>
              <w:top w:val="single" w:sz="4" w:space="0" w:color="auto"/>
              <w:bottom w:val="single" w:sz="4" w:space="0" w:color="auto"/>
            </w:tcBorders>
            <w:vAlign w:val="center"/>
          </w:tcPr>
          <w:p w14:paraId="556F20C5" w14:textId="77777777"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i/>
                <w:sz w:val="24"/>
                <w:szCs w:val="24"/>
              </w:rPr>
              <w:t>P</w:t>
            </w:r>
            <w:r w:rsidRPr="00110464">
              <w:rPr>
                <w:rFonts w:ascii="Book Antiqua" w:hAnsi="Book Antiqua" w:cs="Arial"/>
                <w:b/>
                <w:sz w:val="24"/>
                <w:szCs w:val="24"/>
              </w:rPr>
              <w:t xml:space="preserve"> value</w:t>
            </w:r>
          </w:p>
        </w:tc>
      </w:tr>
      <w:tr w:rsidR="00D4398F" w:rsidRPr="00110464" w14:paraId="4C2E026A" w14:textId="77777777" w:rsidTr="00020633">
        <w:trPr>
          <w:trHeight w:val="544"/>
        </w:trPr>
        <w:tc>
          <w:tcPr>
            <w:tcW w:w="3227" w:type="dxa"/>
            <w:tcBorders>
              <w:top w:val="single" w:sz="4" w:space="0" w:color="auto"/>
            </w:tcBorders>
            <w:vAlign w:val="center"/>
          </w:tcPr>
          <w:p w14:paraId="42B487DE" w14:textId="2CEEC934"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BMI</w:t>
            </w:r>
            <w:r w:rsidR="00020633" w:rsidRPr="00110464">
              <w:rPr>
                <w:rFonts w:ascii="Book Antiqua" w:hAnsi="Book Antiqua" w:cs="Arial"/>
                <w:sz w:val="24"/>
                <w:szCs w:val="24"/>
              </w:rPr>
              <w:t xml:space="preserve"> </w:t>
            </w:r>
            <w:r w:rsidRPr="00110464">
              <w:rPr>
                <w:rFonts w:ascii="Book Antiqua" w:hAnsi="Book Antiqua" w:cs="Arial"/>
                <w:sz w:val="24"/>
                <w:szCs w:val="24"/>
              </w:rPr>
              <w:t>&gt;</w:t>
            </w:r>
            <w:r w:rsidR="00020633" w:rsidRPr="00110464">
              <w:rPr>
                <w:rFonts w:ascii="Book Antiqua" w:hAnsi="Book Antiqua" w:cs="Arial"/>
                <w:sz w:val="24"/>
                <w:szCs w:val="24"/>
              </w:rPr>
              <w:t xml:space="preserve"> </w:t>
            </w:r>
            <w:r w:rsidRPr="00110464">
              <w:rPr>
                <w:rFonts w:ascii="Book Antiqua" w:hAnsi="Book Antiqua" w:cs="Arial"/>
                <w:sz w:val="24"/>
                <w:szCs w:val="24"/>
              </w:rPr>
              <w:t>30</w:t>
            </w:r>
          </w:p>
        </w:tc>
        <w:tc>
          <w:tcPr>
            <w:tcW w:w="2551" w:type="dxa"/>
            <w:tcBorders>
              <w:top w:val="single" w:sz="4" w:space="0" w:color="auto"/>
            </w:tcBorders>
            <w:vAlign w:val="center"/>
          </w:tcPr>
          <w:p w14:paraId="22CD2358"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2.06</w:t>
            </w:r>
          </w:p>
        </w:tc>
        <w:tc>
          <w:tcPr>
            <w:tcW w:w="2787" w:type="dxa"/>
            <w:tcBorders>
              <w:top w:val="single" w:sz="4" w:space="0" w:color="auto"/>
            </w:tcBorders>
            <w:vAlign w:val="center"/>
          </w:tcPr>
          <w:p w14:paraId="32D1BCB0" w14:textId="76F4E5D1"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eastAsia="MS Gothic" w:hAnsi="Book Antiqua" w:cs="Arial"/>
                <w:kern w:val="0"/>
                <w:sz w:val="24"/>
                <w:szCs w:val="24"/>
              </w:rPr>
              <w:t>1.07</w:t>
            </w:r>
            <w:r w:rsidR="00020633" w:rsidRPr="00110464">
              <w:rPr>
                <w:rFonts w:ascii="Book Antiqua" w:eastAsia="MS Gothic" w:hAnsi="Book Antiqua" w:cs="Arial"/>
                <w:kern w:val="0"/>
                <w:sz w:val="24"/>
                <w:szCs w:val="24"/>
              </w:rPr>
              <w:t>-</w:t>
            </w:r>
            <w:r w:rsidRPr="00110464">
              <w:rPr>
                <w:rFonts w:ascii="Book Antiqua" w:eastAsia="MS Gothic" w:hAnsi="Book Antiqua" w:cs="Arial"/>
                <w:kern w:val="0"/>
                <w:sz w:val="24"/>
                <w:szCs w:val="24"/>
              </w:rPr>
              <w:t>3.98</w:t>
            </w:r>
          </w:p>
        </w:tc>
        <w:tc>
          <w:tcPr>
            <w:tcW w:w="1823" w:type="dxa"/>
            <w:tcBorders>
              <w:top w:val="single" w:sz="4" w:space="0" w:color="auto"/>
            </w:tcBorders>
            <w:vAlign w:val="center"/>
          </w:tcPr>
          <w:p w14:paraId="33407DFC" w14:textId="77777777"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sz w:val="24"/>
                <w:szCs w:val="24"/>
              </w:rPr>
              <w:t>0.03</w:t>
            </w:r>
          </w:p>
        </w:tc>
      </w:tr>
      <w:tr w:rsidR="00D4398F" w:rsidRPr="00110464" w14:paraId="2DC9987D" w14:textId="77777777" w:rsidTr="00020633">
        <w:trPr>
          <w:trHeight w:val="544"/>
        </w:trPr>
        <w:tc>
          <w:tcPr>
            <w:tcW w:w="3227" w:type="dxa"/>
            <w:vAlign w:val="center"/>
          </w:tcPr>
          <w:p w14:paraId="1C1F7C7E"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Ever smoking</w:t>
            </w:r>
          </w:p>
        </w:tc>
        <w:tc>
          <w:tcPr>
            <w:tcW w:w="2551" w:type="dxa"/>
            <w:vAlign w:val="center"/>
          </w:tcPr>
          <w:p w14:paraId="7EF7BB65"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0.39</w:t>
            </w:r>
          </w:p>
        </w:tc>
        <w:tc>
          <w:tcPr>
            <w:tcW w:w="2787" w:type="dxa"/>
            <w:vAlign w:val="center"/>
          </w:tcPr>
          <w:p w14:paraId="00DD18CB" w14:textId="54ACE2B9"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eastAsia="MS Gothic" w:hAnsi="Book Antiqua" w:cs="Arial"/>
                <w:kern w:val="0"/>
                <w:sz w:val="24"/>
                <w:szCs w:val="24"/>
              </w:rPr>
              <w:t>0.20</w:t>
            </w:r>
            <w:r w:rsidR="00020633" w:rsidRPr="00110464">
              <w:rPr>
                <w:rFonts w:ascii="Book Antiqua" w:eastAsia="MS Gothic" w:hAnsi="Book Antiqua" w:cs="Arial"/>
                <w:kern w:val="0"/>
                <w:sz w:val="24"/>
                <w:szCs w:val="24"/>
              </w:rPr>
              <w:t>-</w:t>
            </w:r>
            <w:r w:rsidRPr="00110464">
              <w:rPr>
                <w:rFonts w:ascii="Book Antiqua" w:eastAsia="MS Gothic" w:hAnsi="Book Antiqua" w:cs="Arial"/>
                <w:kern w:val="0"/>
                <w:sz w:val="24"/>
                <w:szCs w:val="24"/>
              </w:rPr>
              <w:t>0.75</w:t>
            </w:r>
          </w:p>
        </w:tc>
        <w:tc>
          <w:tcPr>
            <w:tcW w:w="1823" w:type="dxa"/>
            <w:vAlign w:val="center"/>
          </w:tcPr>
          <w:p w14:paraId="3D0CC40A" w14:textId="51A0F7E8"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sz w:val="24"/>
                <w:szCs w:val="24"/>
              </w:rPr>
              <w:t>&lt;</w:t>
            </w:r>
            <w:r w:rsidR="00020633" w:rsidRPr="00110464">
              <w:rPr>
                <w:rFonts w:ascii="Book Antiqua" w:hAnsi="Book Antiqua" w:cs="Arial"/>
                <w:b/>
                <w:sz w:val="24"/>
                <w:szCs w:val="24"/>
              </w:rPr>
              <w:t xml:space="preserve"> </w:t>
            </w:r>
            <w:r w:rsidRPr="00110464">
              <w:rPr>
                <w:rFonts w:ascii="Book Antiqua" w:hAnsi="Book Antiqua" w:cs="Arial"/>
                <w:b/>
                <w:sz w:val="24"/>
                <w:szCs w:val="24"/>
              </w:rPr>
              <w:t>0.01</w:t>
            </w:r>
          </w:p>
        </w:tc>
      </w:tr>
      <w:tr w:rsidR="00D4398F" w:rsidRPr="00110464" w14:paraId="2EEFECBB" w14:textId="77777777" w:rsidTr="00020633">
        <w:trPr>
          <w:trHeight w:val="544"/>
        </w:trPr>
        <w:tc>
          <w:tcPr>
            <w:tcW w:w="3227" w:type="dxa"/>
            <w:vAlign w:val="center"/>
          </w:tcPr>
          <w:p w14:paraId="29EBC515"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Ongoing GERD symptoms</w:t>
            </w:r>
          </w:p>
        </w:tc>
        <w:tc>
          <w:tcPr>
            <w:tcW w:w="2551" w:type="dxa"/>
            <w:vAlign w:val="center"/>
          </w:tcPr>
          <w:p w14:paraId="54F49004"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2.00</w:t>
            </w:r>
          </w:p>
        </w:tc>
        <w:tc>
          <w:tcPr>
            <w:tcW w:w="2787" w:type="dxa"/>
            <w:vAlign w:val="center"/>
          </w:tcPr>
          <w:p w14:paraId="4545DE0B" w14:textId="22A9A225"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eastAsia="MS Gothic" w:hAnsi="Book Antiqua" w:cs="Arial"/>
                <w:kern w:val="0"/>
                <w:sz w:val="24"/>
                <w:szCs w:val="24"/>
              </w:rPr>
              <w:t>1.04</w:t>
            </w:r>
            <w:r w:rsidR="00020633" w:rsidRPr="00110464">
              <w:rPr>
                <w:rFonts w:ascii="Book Antiqua" w:eastAsia="MS Gothic" w:hAnsi="Book Antiqua" w:cs="Arial"/>
                <w:kern w:val="0"/>
                <w:sz w:val="24"/>
                <w:szCs w:val="24"/>
              </w:rPr>
              <w:t>-</w:t>
            </w:r>
            <w:r w:rsidRPr="00110464">
              <w:rPr>
                <w:rFonts w:ascii="Book Antiqua" w:eastAsia="MS Gothic" w:hAnsi="Book Antiqua" w:cs="Arial"/>
                <w:kern w:val="0"/>
                <w:sz w:val="24"/>
                <w:szCs w:val="24"/>
              </w:rPr>
              <w:t>3.85</w:t>
            </w:r>
          </w:p>
        </w:tc>
        <w:tc>
          <w:tcPr>
            <w:tcW w:w="1823" w:type="dxa"/>
            <w:vAlign w:val="center"/>
          </w:tcPr>
          <w:p w14:paraId="246417C0" w14:textId="77777777"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sz w:val="24"/>
                <w:szCs w:val="24"/>
              </w:rPr>
              <w:t>0.04</w:t>
            </w:r>
          </w:p>
        </w:tc>
      </w:tr>
      <w:tr w:rsidR="00D4398F" w:rsidRPr="00110464" w14:paraId="65497D41" w14:textId="77777777" w:rsidTr="00020633">
        <w:trPr>
          <w:trHeight w:val="544"/>
        </w:trPr>
        <w:tc>
          <w:tcPr>
            <w:tcW w:w="3227" w:type="dxa"/>
            <w:vAlign w:val="center"/>
          </w:tcPr>
          <w:p w14:paraId="45597C74"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Family history of esophageal adenocarcinoma</w:t>
            </w:r>
          </w:p>
        </w:tc>
        <w:tc>
          <w:tcPr>
            <w:tcW w:w="2551" w:type="dxa"/>
            <w:vAlign w:val="center"/>
          </w:tcPr>
          <w:p w14:paraId="150842A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0.73</w:t>
            </w:r>
          </w:p>
        </w:tc>
        <w:tc>
          <w:tcPr>
            <w:tcW w:w="2787" w:type="dxa"/>
            <w:vAlign w:val="center"/>
          </w:tcPr>
          <w:p w14:paraId="78F22309" w14:textId="30535D51"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eastAsia="MS Gothic" w:hAnsi="Book Antiqua" w:cs="Arial"/>
                <w:kern w:val="0"/>
                <w:sz w:val="24"/>
                <w:szCs w:val="24"/>
              </w:rPr>
              <w:t>0.09</w:t>
            </w:r>
            <w:r w:rsidR="00020633" w:rsidRPr="00110464">
              <w:rPr>
                <w:rFonts w:ascii="Book Antiqua" w:eastAsia="MS Gothic" w:hAnsi="Book Antiqua" w:cs="Arial"/>
                <w:kern w:val="0"/>
                <w:sz w:val="24"/>
                <w:szCs w:val="24"/>
              </w:rPr>
              <w:t>-</w:t>
            </w:r>
            <w:r w:rsidRPr="00110464">
              <w:rPr>
                <w:rFonts w:ascii="Book Antiqua" w:eastAsia="MS Gothic" w:hAnsi="Book Antiqua" w:cs="Arial"/>
                <w:kern w:val="0"/>
                <w:sz w:val="24"/>
                <w:szCs w:val="24"/>
              </w:rPr>
              <w:t>5.85</w:t>
            </w:r>
          </w:p>
        </w:tc>
        <w:tc>
          <w:tcPr>
            <w:tcW w:w="1823" w:type="dxa"/>
            <w:vAlign w:val="center"/>
          </w:tcPr>
          <w:p w14:paraId="7C3701B5"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0.77</w:t>
            </w:r>
          </w:p>
        </w:tc>
      </w:tr>
      <w:tr w:rsidR="00D4398F" w:rsidRPr="00110464" w14:paraId="65E872D0" w14:textId="77777777" w:rsidTr="00020633">
        <w:trPr>
          <w:trHeight w:val="544"/>
        </w:trPr>
        <w:tc>
          <w:tcPr>
            <w:tcW w:w="3227" w:type="dxa"/>
            <w:vAlign w:val="center"/>
          </w:tcPr>
          <w:p w14:paraId="4F57143C"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Ethnicity (white)</w:t>
            </w:r>
          </w:p>
        </w:tc>
        <w:tc>
          <w:tcPr>
            <w:tcW w:w="2551" w:type="dxa"/>
            <w:vAlign w:val="center"/>
          </w:tcPr>
          <w:p w14:paraId="5AB011AB" w14:textId="77777777" w:rsidR="00D4398F" w:rsidRPr="00110464" w:rsidRDefault="00D4398F" w:rsidP="006F6B36">
            <w:pPr>
              <w:tabs>
                <w:tab w:val="right" w:pos="883"/>
              </w:tabs>
              <w:snapToGrid w:val="0"/>
              <w:spacing w:line="360" w:lineRule="auto"/>
              <w:rPr>
                <w:rFonts w:ascii="Book Antiqua" w:hAnsi="Book Antiqua" w:cs="Arial"/>
                <w:sz w:val="24"/>
                <w:szCs w:val="24"/>
              </w:rPr>
            </w:pPr>
            <w:r w:rsidRPr="00110464">
              <w:rPr>
                <w:rFonts w:ascii="Book Antiqua" w:hAnsi="Book Antiqua" w:cs="Arial"/>
                <w:sz w:val="24"/>
                <w:szCs w:val="24"/>
              </w:rPr>
              <w:t>0.77</w:t>
            </w:r>
          </w:p>
        </w:tc>
        <w:tc>
          <w:tcPr>
            <w:tcW w:w="2787" w:type="dxa"/>
            <w:vAlign w:val="center"/>
          </w:tcPr>
          <w:p w14:paraId="2FA2BF17" w14:textId="3C0F4044"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eastAsia="MS Gothic" w:hAnsi="Book Antiqua" w:cs="Arial"/>
                <w:kern w:val="0"/>
                <w:sz w:val="24"/>
                <w:szCs w:val="24"/>
              </w:rPr>
              <w:t>0.09</w:t>
            </w:r>
            <w:r w:rsidR="00020633" w:rsidRPr="00110464">
              <w:rPr>
                <w:rFonts w:ascii="Book Antiqua" w:eastAsia="MS Gothic" w:hAnsi="Book Antiqua" w:cs="Arial"/>
                <w:kern w:val="0"/>
                <w:sz w:val="24"/>
                <w:szCs w:val="24"/>
              </w:rPr>
              <w:t>-</w:t>
            </w:r>
            <w:r w:rsidRPr="00110464">
              <w:rPr>
                <w:rFonts w:ascii="Book Antiqua" w:eastAsia="MS Gothic" w:hAnsi="Book Antiqua" w:cs="Arial"/>
                <w:kern w:val="0"/>
                <w:sz w:val="24"/>
                <w:szCs w:val="24"/>
              </w:rPr>
              <w:t>6.42</w:t>
            </w:r>
          </w:p>
        </w:tc>
        <w:tc>
          <w:tcPr>
            <w:tcW w:w="1823" w:type="dxa"/>
            <w:vAlign w:val="center"/>
          </w:tcPr>
          <w:p w14:paraId="11899366"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0.81</w:t>
            </w:r>
          </w:p>
        </w:tc>
      </w:tr>
      <w:tr w:rsidR="00D4398F" w:rsidRPr="00110464" w14:paraId="3E854AE6" w14:textId="77777777" w:rsidTr="00020633">
        <w:trPr>
          <w:trHeight w:val="544"/>
        </w:trPr>
        <w:tc>
          <w:tcPr>
            <w:tcW w:w="3227" w:type="dxa"/>
            <w:tcBorders>
              <w:bottom w:val="single" w:sz="4" w:space="0" w:color="auto"/>
            </w:tcBorders>
            <w:vAlign w:val="center"/>
          </w:tcPr>
          <w:p w14:paraId="21898FB3"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Sex (Male)</w:t>
            </w:r>
          </w:p>
        </w:tc>
        <w:tc>
          <w:tcPr>
            <w:tcW w:w="2551" w:type="dxa"/>
            <w:tcBorders>
              <w:bottom w:val="single" w:sz="4" w:space="0" w:color="auto"/>
            </w:tcBorders>
            <w:vAlign w:val="center"/>
          </w:tcPr>
          <w:p w14:paraId="355A7C5A" w14:textId="77777777" w:rsidR="00D4398F" w:rsidRPr="00110464" w:rsidRDefault="00D4398F" w:rsidP="006F6B36">
            <w:pPr>
              <w:tabs>
                <w:tab w:val="right" w:pos="883"/>
              </w:tabs>
              <w:snapToGrid w:val="0"/>
              <w:spacing w:line="360" w:lineRule="auto"/>
              <w:rPr>
                <w:rFonts w:ascii="Book Antiqua" w:hAnsi="Book Antiqua" w:cs="Arial"/>
                <w:sz w:val="24"/>
                <w:szCs w:val="24"/>
              </w:rPr>
            </w:pPr>
            <w:r w:rsidRPr="00110464">
              <w:rPr>
                <w:rFonts w:ascii="Book Antiqua" w:hAnsi="Book Antiqua" w:cs="Arial"/>
                <w:sz w:val="24"/>
                <w:szCs w:val="24"/>
              </w:rPr>
              <w:t>1.44</w:t>
            </w:r>
          </w:p>
        </w:tc>
        <w:tc>
          <w:tcPr>
            <w:tcW w:w="2787" w:type="dxa"/>
            <w:tcBorders>
              <w:bottom w:val="single" w:sz="4" w:space="0" w:color="auto"/>
            </w:tcBorders>
            <w:vAlign w:val="center"/>
          </w:tcPr>
          <w:p w14:paraId="6B61569E" w14:textId="74393486"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eastAsia="MS Gothic" w:hAnsi="Book Antiqua" w:cs="Arial"/>
                <w:kern w:val="0"/>
                <w:sz w:val="24"/>
                <w:szCs w:val="24"/>
              </w:rPr>
              <w:t>0.56</w:t>
            </w:r>
            <w:r w:rsidR="00020633" w:rsidRPr="00110464">
              <w:rPr>
                <w:rFonts w:ascii="Book Antiqua" w:eastAsia="MS Gothic" w:hAnsi="Book Antiqua" w:cs="Arial"/>
                <w:kern w:val="0"/>
                <w:sz w:val="24"/>
                <w:szCs w:val="24"/>
              </w:rPr>
              <w:t>-</w:t>
            </w:r>
            <w:r w:rsidRPr="00110464">
              <w:rPr>
                <w:rFonts w:ascii="Book Antiqua" w:eastAsia="MS Gothic" w:hAnsi="Book Antiqua" w:cs="Arial"/>
                <w:kern w:val="0"/>
                <w:sz w:val="24"/>
                <w:szCs w:val="24"/>
              </w:rPr>
              <w:t>3.70</w:t>
            </w:r>
          </w:p>
        </w:tc>
        <w:tc>
          <w:tcPr>
            <w:tcW w:w="1823" w:type="dxa"/>
            <w:tcBorders>
              <w:bottom w:val="single" w:sz="4" w:space="0" w:color="auto"/>
            </w:tcBorders>
            <w:vAlign w:val="center"/>
          </w:tcPr>
          <w:p w14:paraId="1044E802"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0.45</w:t>
            </w:r>
          </w:p>
        </w:tc>
      </w:tr>
    </w:tbl>
    <w:p w14:paraId="1A973FE9" w14:textId="2C2FDADE"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 xml:space="preserve">BMI: </w:t>
      </w:r>
      <w:r w:rsidR="00020633" w:rsidRPr="00110464">
        <w:rPr>
          <w:rFonts w:ascii="Book Antiqua" w:hAnsi="Book Antiqua" w:cs="Arial"/>
          <w:sz w:val="24"/>
          <w:szCs w:val="24"/>
        </w:rPr>
        <w:t>B</w:t>
      </w:r>
      <w:r w:rsidRPr="00110464">
        <w:rPr>
          <w:rFonts w:ascii="Book Antiqua" w:hAnsi="Book Antiqua" w:cs="Arial"/>
          <w:sz w:val="24"/>
          <w:szCs w:val="24"/>
        </w:rPr>
        <w:t xml:space="preserve">ody mass index; GERD: </w:t>
      </w:r>
      <w:r w:rsidR="00020633" w:rsidRPr="00110464">
        <w:rPr>
          <w:rFonts w:ascii="Book Antiqua" w:hAnsi="Book Antiqua" w:cs="Arial"/>
          <w:sz w:val="24"/>
          <w:szCs w:val="24"/>
        </w:rPr>
        <w:t>G</w:t>
      </w:r>
      <w:r w:rsidRPr="00110464">
        <w:rPr>
          <w:rFonts w:ascii="Book Antiqua" w:hAnsi="Book Antiqua" w:cs="Arial"/>
          <w:sz w:val="24"/>
          <w:szCs w:val="24"/>
        </w:rPr>
        <w:t xml:space="preserve">astroesophageal reflux disease. </w:t>
      </w:r>
    </w:p>
    <w:bookmarkEnd w:id="108"/>
    <w:p w14:paraId="377B85C4" w14:textId="77777777" w:rsidR="00D4398F" w:rsidRPr="00110464" w:rsidRDefault="00D4398F" w:rsidP="006F6B36">
      <w:pPr>
        <w:pStyle w:val="EndNoteBibliography"/>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18C78BEB" w14:textId="6918BB53" w:rsidR="00D4398F" w:rsidRPr="00110464" w:rsidRDefault="00D4398F" w:rsidP="006F6B36">
      <w:pPr>
        <w:snapToGrid w:val="0"/>
        <w:spacing w:line="360" w:lineRule="auto"/>
        <w:rPr>
          <w:rFonts w:ascii="Book Antiqua" w:hAnsi="Book Antiqua" w:cs="Arial"/>
          <w:b/>
          <w:sz w:val="24"/>
          <w:szCs w:val="24"/>
        </w:rPr>
      </w:pPr>
      <w:bookmarkStart w:id="109" w:name="_Hlk3327215"/>
      <w:r w:rsidRPr="00110464">
        <w:rPr>
          <w:rFonts w:ascii="Book Antiqua" w:hAnsi="Book Antiqua" w:cs="Arial"/>
          <w:b/>
          <w:sz w:val="24"/>
          <w:szCs w:val="24"/>
        </w:rPr>
        <w:lastRenderedPageBreak/>
        <w:t>Table</w:t>
      </w:r>
      <w:r w:rsidR="000A2540" w:rsidRPr="00110464">
        <w:rPr>
          <w:rFonts w:ascii="Book Antiqua" w:hAnsi="Book Antiqua" w:cs="Arial"/>
          <w:b/>
          <w:sz w:val="24"/>
          <w:szCs w:val="24"/>
        </w:rPr>
        <w:t xml:space="preserve"> </w:t>
      </w:r>
      <w:r w:rsidRPr="00110464">
        <w:rPr>
          <w:rFonts w:ascii="Book Antiqua" w:hAnsi="Book Antiqua" w:cs="Arial"/>
          <w:b/>
          <w:sz w:val="24"/>
          <w:szCs w:val="24"/>
        </w:rPr>
        <w:t>3 Pathological features of esophageal adenocarcinoma</w:t>
      </w:r>
      <w:r w:rsidR="000A2540" w:rsidRPr="00110464">
        <w:rPr>
          <w:rFonts w:ascii="Book Antiqua" w:hAnsi="Book Antiqua" w:cs="Arial"/>
          <w:b/>
          <w:sz w:val="24"/>
          <w:szCs w:val="24"/>
        </w:rPr>
        <w:t xml:space="preserve"> </w:t>
      </w:r>
      <w:r w:rsidR="000A2540" w:rsidRPr="00110464">
        <w:rPr>
          <w:rFonts w:ascii="Book Antiqua" w:hAnsi="Book Antiqua" w:cs="Arial"/>
          <w:b/>
          <w:i/>
          <w:sz w:val="24"/>
          <w:szCs w:val="24"/>
        </w:rPr>
        <w:t>n</w:t>
      </w:r>
      <w:r w:rsidR="000A2540" w:rsidRPr="00110464">
        <w:rPr>
          <w:rFonts w:ascii="Book Antiqua" w:hAnsi="Book Antiqua" w:cs="Arial"/>
          <w:b/>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2426"/>
        <w:gridCol w:w="2142"/>
        <w:gridCol w:w="1061"/>
      </w:tblGrid>
      <w:tr w:rsidR="00D4398F" w:rsidRPr="00110464" w14:paraId="12EFC864" w14:textId="77777777" w:rsidTr="000A2540">
        <w:trPr>
          <w:trHeight w:val="529"/>
        </w:trPr>
        <w:tc>
          <w:tcPr>
            <w:tcW w:w="4106" w:type="dxa"/>
            <w:tcBorders>
              <w:top w:val="single" w:sz="4" w:space="0" w:color="auto"/>
              <w:bottom w:val="single" w:sz="4" w:space="0" w:color="auto"/>
            </w:tcBorders>
          </w:tcPr>
          <w:p w14:paraId="3A4F766F" w14:textId="77777777" w:rsidR="00D4398F" w:rsidRPr="00110464" w:rsidRDefault="00D4398F" w:rsidP="006F6B36">
            <w:pPr>
              <w:snapToGrid w:val="0"/>
              <w:spacing w:line="360" w:lineRule="auto"/>
              <w:rPr>
                <w:rFonts w:ascii="Book Antiqua" w:hAnsi="Book Antiqua" w:cs="Arial"/>
                <w:b/>
                <w:sz w:val="24"/>
                <w:szCs w:val="24"/>
              </w:rPr>
            </w:pPr>
          </w:p>
        </w:tc>
        <w:tc>
          <w:tcPr>
            <w:tcW w:w="2426" w:type="dxa"/>
            <w:tcBorders>
              <w:top w:val="single" w:sz="4" w:space="0" w:color="auto"/>
              <w:bottom w:val="single" w:sz="4" w:space="0" w:color="auto"/>
            </w:tcBorders>
            <w:vAlign w:val="center"/>
          </w:tcPr>
          <w:p w14:paraId="157F65C8" w14:textId="4BAE5479" w:rsidR="008746C9"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Young</w:t>
            </w:r>
            <w:r w:rsidR="008746C9" w:rsidRPr="00110464">
              <w:rPr>
                <w:rFonts w:ascii="Book Antiqua" w:hAnsi="Book Antiqua" w:cs="Arial"/>
                <w:b/>
                <w:sz w:val="24"/>
                <w:szCs w:val="24"/>
              </w:rPr>
              <w:t xml:space="preserve"> (</w:t>
            </w:r>
            <w:r w:rsidRPr="00110464">
              <w:rPr>
                <w:rFonts w:ascii="Book Antiqua" w:hAnsi="Book Antiqua" w:cs="Arial"/>
                <w:b/>
                <w:sz w:val="24"/>
                <w:szCs w:val="24"/>
              </w:rPr>
              <w:t>≤</w:t>
            </w:r>
            <w:r w:rsidR="000A2540" w:rsidRPr="00110464">
              <w:rPr>
                <w:rFonts w:ascii="Book Antiqua" w:hAnsi="Book Antiqua" w:cs="Arial"/>
                <w:b/>
                <w:sz w:val="24"/>
                <w:szCs w:val="24"/>
              </w:rPr>
              <w:t xml:space="preserve"> </w:t>
            </w:r>
            <w:r w:rsidRPr="00110464">
              <w:rPr>
                <w:rFonts w:ascii="Book Antiqua" w:hAnsi="Book Antiqua" w:cs="Arial"/>
                <w:b/>
                <w:sz w:val="24"/>
                <w:szCs w:val="24"/>
              </w:rPr>
              <w:t xml:space="preserve">50 </w:t>
            </w:r>
            <w:proofErr w:type="spellStart"/>
            <w:r w:rsidRPr="00110464">
              <w:rPr>
                <w:rFonts w:ascii="Book Antiqua" w:hAnsi="Book Antiqua" w:cs="Arial"/>
                <w:b/>
                <w:sz w:val="24"/>
                <w:szCs w:val="24"/>
              </w:rPr>
              <w:t>yr</w:t>
            </w:r>
            <w:proofErr w:type="spellEnd"/>
            <w:r w:rsidR="008746C9" w:rsidRPr="00110464">
              <w:rPr>
                <w:rFonts w:ascii="Book Antiqua" w:hAnsi="Book Antiqua" w:cs="Arial"/>
                <w:b/>
                <w:sz w:val="24"/>
                <w:szCs w:val="24"/>
              </w:rPr>
              <w:t>)</w:t>
            </w:r>
          </w:p>
          <w:p w14:paraId="53705AE2" w14:textId="7EAAA85C"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w:t>
            </w:r>
            <w:r w:rsidRPr="00110464">
              <w:rPr>
                <w:rFonts w:ascii="Book Antiqua" w:hAnsi="Book Antiqua" w:cs="Arial"/>
                <w:b/>
                <w:i/>
                <w:sz w:val="24"/>
                <w:szCs w:val="24"/>
              </w:rPr>
              <w:t>n</w:t>
            </w:r>
            <w:r w:rsidR="000A2540" w:rsidRPr="00110464">
              <w:rPr>
                <w:rFonts w:ascii="Book Antiqua" w:hAnsi="Book Antiqua" w:cs="Arial"/>
                <w:b/>
                <w:sz w:val="24"/>
                <w:szCs w:val="24"/>
              </w:rPr>
              <w:t xml:space="preserve"> </w:t>
            </w:r>
            <w:r w:rsidRPr="00110464">
              <w:rPr>
                <w:rFonts w:ascii="Book Antiqua" w:hAnsi="Book Antiqua" w:cs="Arial"/>
                <w:b/>
                <w:sz w:val="24"/>
                <w:szCs w:val="24"/>
              </w:rPr>
              <w:t>=</w:t>
            </w:r>
            <w:r w:rsidR="000A2540" w:rsidRPr="00110464">
              <w:rPr>
                <w:rFonts w:ascii="Book Antiqua" w:hAnsi="Book Antiqua" w:cs="Arial"/>
                <w:b/>
                <w:sz w:val="24"/>
                <w:szCs w:val="24"/>
              </w:rPr>
              <w:t xml:space="preserve"> </w:t>
            </w:r>
            <w:r w:rsidRPr="00110464">
              <w:rPr>
                <w:rFonts w:ascii="Book Antiqua" w:hAnsi="Book Antiqua" w:cs="Arial"/>
                <w:b/>
                <w:sz w:val="24"/>
                <w:szCs w:val="24"/>
              </w:rPr>
              <w:t>45)</w:t>
            </w:r>
          </w:p>
        </w:tc>
        <w:tc>
          <w:tcPr>
            <w:tcW w:w="2142" w:type="dxa"/>
            <w:tcBorders>
              <w:top w:val="single" w:sz="4" w:space="0" w:color="auto"/>
              <w:bottom w:val="single" w:sz="4" w:space="0" w:color="auto"/>
            </w:tcBorders>
            <w:vAlign w:val="center"/>
          </w:tcPr>
          <w:p w14:paraId="185B76E8" w14:textId="65FAE6A0"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Old (&gt;</w:t>
            </w:r>
            <w:r w:rsidR="000A2540" w:rsidRPr="00110464">
              <w:rPr>
                <w:rFonts w:ascii="Book Antiqua" w:hAnsi="Book Antiqua" w:cs="Arial"/>
                <w:b/>
                <w:sz w:val="24"/>
                <w:szCs w:val="24"/>
              </w:rPr>
              <w:t xml:space="preserve"> </w:t>
            </w:r>
            <w:r w:rsidRPr="00110464">
              <w:rPr>
                <w:rFonts w:ascii="Book Antiqua" w:hAnsi="Book Antiqua" w:cs="Arial"/>
                <w:b/>
                <w:sz w:val="24"/>
                <w:szCs w:val="24"/>
              </w:rPr>
              <w:t xml:space="preserve">50 </w:t>
            </w:r>
            <w:proofErr w:type="spellStart"/>
            <w:r w:rsidRPr="00110464">
              <w:rPr>
                <w:rFonts w:ascii="Book Antiqua" w:hAnsi="Book Antiqua" w:cs="Arial"/>
                <w:b/>
                <w:sz w:val="24"/>
                <w:szCs w:val="24"/>
              </w:rPr>
              <w:t>yr</w:t>
            </w:r>
            <w:proofErr w:type="spellEnd"/>
            <w:r w:rsidRPr="00110464">
              <w:rPr>
                <w:rFonts w:ascii="Book Antiqua" w:hAnsi="Book Antiqua" w:cs="Arial"/>
                <w:b/>
                <w:sz w:val="24"/>
                <w:szCs w:val="24"/>
              </w:rPr>
              <w:t>)</w:t>
            </w:r>
          </w:p>
          <w:p w14:paraId="07ED5DDA" w14:textId="76B3E8CA"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w:t>
            </w:r>
            <w:r w:rsidRPr="00110464">
              <w:rPr>
                <w:rFonts w:ascii="Book Antiqua" w:hAnsi="Book Antiqua" w:cs="Arial"/>
                <w:b/>
                <w:i/>
                <w:sz w:val="24"/>
                <w:szCs w:val="24"/>
              </w:rPr>
              <w:t>n</w:t>
            </w:r>
            <w:r w:rsidR="000A2540" w:rsidRPr="00110464">
              <w:rPr>
                <w:rFonts w:ascii="Book Antiqua" w:hAnsi="Book Antiqua" w:cs="Arial"/>
                <w:b/>
                <w:sz w:val="24"/>
                <w:szCs w:val="24"/>
              </w:rPr>
              <w:t xml:space="preserve"> </w:t>
            </w:r>
            <w:r w:rsidRPr="00110464">
              <w:rPr>
                <w:rFonts w:ascii="Book Antiqua" w:hAnsi="Book Antiqua" w:cs="Arial"/>
                <w:b/>
                <w:sz w:val="24"/>
                <w:szCs w:val="24"/>
              </w:rPr>
              <w:t>=</w:t>
            </w:r>
            <w:r w:rsidR="000A2540" w:rsidRPr="00110464">
              <w:rPr>
                <w:rFonts w:ascii="Book Antiqua" w:hAnsi="Book Antiqua" w:cs="Arial"/>
                <w:b/>
                <w:sz w:val="24"/>
                <w:szCs w:val="24"/>
              </w:rPr>
              <w:t xml:space="preserve"> </w:t>
            </w:r>
            <w:r w:rsidRPr="00110464">
              <w:rPr>
                <w:rFonts w:ascii="Book Antiqua" w:hAnsi="Book Antiqua" w:cs="Arial"/>
                <w:b/>
                <w:sz w:val="24"/>
                <w:szCs w:val="24"/>
              </w:rPr>
              <w:t>405)</w:t>
            </w:r>
          </w:p>
        </w:tc>
        <w:tc>
          <w:tcPr>
            <w:tcW w:w="1061" w:type="dxa"/>
            <w:tcBorders>
              <w:top w:val="single" w:sz="4" w:space="0" w:color="auto"/>
              <w:bottom w:val="single" w:sz="4" w:space="0" w:color="auto"/>
            </w:tcBorders>
            <w:vAlign w:val="center"/>
          </w:tcPr>
          <w:p w14:paraId="3836372F" w14:textId="77777777"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i/>
                <w:sz w:val="24"/>
                <w:szCs w:val="24"/>
              </w:rPr>
              <w:t>P</w:t>
            </w:r>
            <w:r w:rsidRPr="00110464">
              <w:rPr>
                <w:rFonts w:ascii="Book Antiqua" w:hAnsi="Book Antiqua" w:cs="Arial"/>
                <w:b/>
                <w:sz w:val="24"/>
                <w:szCs w:val="24"/>
              </w:rPr>
              <w:t xml:space="preserve"> value</w:t>
            </w:r>
          </w:p>
        </w:tc>
      </w:tr>
      <w:tr w:rsidR="00D4398F" w:rsidRPr="00110464" w14:paraId="10B5B08D" w14:textId="77777777" w:rsidTr="000A2540">
        <w:trPr>
          <w:trHeight w:val="529"/>
        </w:trPr>
        <w:tc>
          <w:tcPr>
            <w:tcW w:w="4106" w:type="dxa"/>
            <w:tcBorders>
              <w:top w:val="single" w:sz="4" w:space="0" w:color="auto"/>
            </w:tcBorders>
            <w:vAlign w:val="center"/>
          </w:tcPr>
          <w:p w14:paraId="13E74E4A" w14:textId="77777777" w:rsidR="00D4398F" w:rsidRPr="00110464" w:rsidRDefault="00D4398F" w:rsidP="006F6B36">
            <w:pPr>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 xml:space="preserve">Histology </w:t>
            </w:r>
          </w:p>
          <w:p w14:paraId="2BB33BEF" w14:textId="77777777" w:rsidR="00D4398F" w:rsidRPr="00110464" w:rsidRDefault="00D4398F" w:rsidP="006F6B36">
            <w:pPr>
              <w:snapToGrid w:val="0"/>
              <w:spacing w:line="360" w:lineRule="auto"/>
              <w:ind w:left="105" w:firstLineChars="50" w:firstLine="120"/>
              <w:rPr>
                <w:rFonts w:ascii="Book Antiqua" w:hAnsi="Book Antiqua" w:cs="Arial"/>
                <w:sz w:val="24"/>
                <w:szCs w:val="24"/>
              </w:rPr>
            </w:pPr>
            <w:r w:rsidRPr="00110464">
              <w:rPr>
                <w:rFonts w:ascii="Book Antiqua" w:hAnsi="Book Antiqua" w:cs="Arial"/>
                <w:sz w:val="24"/>
                <w:szCs w:val="24"/>
              </w:rPr>
              <w:t>EAC</w:t>
            </w:r>
          </w:p>
          <w:p w14:paraId="160F0B81" w14:textId="77777777" w:rsidR="00D4398F" w:rsidRPr="00110464" w:rsidRDefault="00D4398F" w:rsidP="006F6B36">
            <w:pPr>
              <w:snapToGrid w:val="0"/>
              <w:spacing w:line="360" w:lineRule="auto"/>
              <w:ind w:left="105" w:firstLineChars="50" w:firstLine="120"/>
              <w:rPr>
                <w:rFonts w:ascii="Book Antiqua" w:hAnsi="Book Antiqua" w:cs="Arial"/>
                <w:sz w:val="24"/>
                <w:szCs w:val="24"/>
              </w:rPr>
            </w:pPr>
            <w:r w:rsidRPr="00110464">
              <w:rPr>
                <w:rFonts w:ascii="Book Antiqua" w:hAnsi="Book Antiqua" w:cs="Arial"/>
                <w:sz w:val="24"/>
                <w:szCs w:val="24"/>
              </w:rPr>
              <w:t>HGD</w:t>
            </w:r>
          </w:p>
        </w:tc>
        <w:tc>
          <w:tcPr>
            <w:tcW w:w="2426" w:type="dxa"/>
            <w:tcBorders>
              <w:top w:val="single" w:sz="4" w:space="0" w:color="auto"/>
            </w:tcBorders>
            <w:vAlign w:val="center"/>
          </w:tcPr>
          <w:p w14:paraId="5A3918DF"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p w14:paraId="5B7C0804" w14:textId="74D74B45"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31 (69)</w:t>
            </w:r>
          </w:p>
          <w:p w14:paraId="404C5599" w14:textId="026F9A65"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 xml:space="preserve">14 (31) </w:t>
            </w:r>
          </w:p>
        </w:tc>
        <w:tc>
          <w:tcPr>
            <w:tcW w:w="2142" w:type="dxa"/>
            <w:tcBorders>
              <w:top w:val="single" w:sz="4" w:space="0" w:color="auto"/>
            </w:tcBorders>
            <w:vAlign w:val="center"/>
          </w:tcPr>
          <w:p w14:paraId="4B7CA7BF"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p>
          <w:p w14:paraId="083C2A13" w14:textId="127E97A4"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317 (78)</w:t>
            </w:r>
          </w:p>
          <w:p w14:paraId="0726CCA9" w14:textId="55B8180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88 (22)</w:t>
            </w:r>
          </w:p>
        </w:tc>
        <w:tc>
          <w:tcPr>
            <w:tcW w:w="1061" w:type="dxa"/>
            <w:tcBorders>
              <w:top w:val="single" w:sz="4" w:space="0" w:color="auto"/>
            </w:tcBorders>
            <w:vAlign w:val="center"/>
          </w:tcPr>
          <w:p w14:paraId="768613E2"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0.15</w:t>
            </w:r>
          </w:p>
        </w:tc>
      </w:tr>
      <w:tr w:rsidR="00D4398F" w:rsidRPr="00110464" w14:paraId="72282FDE" w14:textId="77777777" w:rsidTr="000A2540">
        <w:trPr>
          <w:trHeight w:val="529"/>
        </w:trPr>
        <w:tc>
          <w:tcPr>
            <w:tcW w:w="4106" w:type="dxa"/>
            <w:vAlign w:val="center"/>
          </w:tcPr>
          <w:p w14:paraId="2542D6FC" w14:textId="1D8C32EA"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EAC depth</w:t>
            </w:r>
            <w:r w:rsidRPr="00110464">
              <w:rPr>
                <w:rFonts w:ascii="Book Antiqua" w:hAnsi="Book Antiqua" w:cs="Arial"/>
                <w:sz w:val="24"/>
                <w:szCs w:val="24"/>
              </w:rPr>
              <w:tab/>
              <w:t>M1</w:t>
            </w:r>
          </w:p>
        </w:tc>
        <w:tc>
          <w:tcPr>
            <w:tcW w:w="2426" w:type="dxa"/>
            <w:vAlign w:val="center"/>
          </w:tcPr>
          <w:p w14:paraId="103E3926" w14:textId="0E82BFC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7 (23)</w:t>
            </w:r>
          </w:p>
        </w:tc>
        <w:tc>
          <w:tcPr>
            <w:tcW w:w="2142" w:type="dxa"/>
            <w:vAlign w:val="center"/>
          </w:tcPr>
          <w:p w14:paraId="3E2311BD" w14:textId="4EDED5AC"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63 (20)</w:t>
            </w:r>
          </w:p>
        </w:tc>
        <w:tc>
          <w:tcPr>
            <w:tcW w:w="1061" w:type="dxa"/>
            <w:vAlign w:val="center"/>
          </w:tcPr>
          <w:p w14:paraId="626C5C92"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0D8B2C7D" w14:textId="77777777" w:rsidTr="000A2540">
        <w:trPr>
          <w:trHeight w:val="529"/>
        </w:trPr>
        <w:tc>
          <w:tcPr>
            <w:tcW w:w="4106" w:type="dxa"/>
            <w:vAlign w:val="center"/>
          </w:tcPr>
          <w:p w14:paraId="0AC147E5"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ab/>
              <w:t>M2</w:t>
            </w:r>
          </w:p>
        </w:tc>
        <w:tc>
          <w:tcPr>
            <w:tcW w:w="2426" w:type="dxa"/>
            <w:vAlign w:val="center"/>
          </w:tcPr>
          <w:p w14:paraId="33EFD391" w14:textId="4903F9C8"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8 (26)</w:t>
            </w:r>
          </w:p>
        </w:tc>
        <w:tc>
          <w:tcPr>
            <w:tcW w:w="2142" w:type="dxa"/>
            <w:vAlign w:val="center"/>
          </w:tcPr>
          <w:p w14:paraId="12941E12" w14:textId="5B11A474"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75 (24)</w:t>
            </w:r>
          </w:p>
        </w:tc>
        <w:tc>
          <w:tcPr>
            <w:tcW w:w="1061" w:type="dxa"/>
            <w:vAlign w:val="center"/>
          </w:tcPr>
          <w:p w14:paraId="57525B73"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49665474" w14:textId="77777777" w:rsidTr="000A2540">
        <w:trPr>
          <w:trHeight w:val="529"/>
        </w:trPr>
        <w:tc>
          <w:tcPr>
            <w:tcW w:w="4106" w:type="dxa"/>
            <w:vAlign w:val="center"/>
          </w:tcPr>
          <w:p w14:paraId="2F36657E"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ab/>
              <w:t>M3</w:t>
            </w:r>
          </w:p>
        </w:tc>
        <w:tc>
          <w:tcPr>
            <w:tcW w:w="2426" w:type="dxa"/>
            <w:vAlign w:val="center"/>
          </w:tcPr>
          <w:p w14:paraId="54E06172" w14:textId="389238E3"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8 (26)</w:t>
            </w:r>
          </w:p>
        </w:tc>
        <w:tc>
          <w:tcPr>
            <w:tcW w:w="2142" w:type="dxa"/>
            <w:vAlign w:val="center"/>
          </w:tcPr>
          <w:p w14:paraId="3F0747FA" w14:textId="4BCB8DF4"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47 (15)</w:t>
            </w:r>
          </w:p>
        </w:tc>
        <w:tc>
          <w:tcPr>
            <w:tcW w:w="1061" w:type="dxa"/>
            <w:vAlign w:val="center"/>
          </w:tcPr>
          <w:p w14:paraId="15611B70" w14:textId="77777777" w:rsidR="00D4398F" w:rsidRPr="00110464" w:rsidRDefault="00D4398F" w:rsidP="006F6B36">
            <w:pPr>
              <w:snapToGrid w:val="0"/>
              <w:spacing w:line="360" w:lineRule="auto"/>
              <w:rPr>
                <w:rFonts w:ascii="Book Antiqua" w:hAnsi="Book Antiqua" w:cs="Arial"/>
                <w:b/>
                <w:sz w:val="24"/>
                <w:szCs w:val="24"/>
              </w:rPr>
            </w:pPr>
          </w:p>
        </w:tc>
      </w:tr>
      <w:tr w:rsidR="00D4398F" w:rsidRPr="00110464" w14:paraId="309D352E" w14:textId="77777777" w:rsidTr="000A2540">
        <w:trPr>
          <w:trHeight w:val="529"/>
        </w:trPr>
        <w:tc>
          <w:tcPr>
            <w:tcW w:w="4106" w:type="dxa"/>
            <w:vAlign w:val="center"/>
          </w:tcPr>
          <w:p w14:paraId="75C2CBE4"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ab/>
              <w:t>M4</w:t>
            </w:r>
          </w:p>
        </w:tc>
        <w:tc>
          <w:tcPr>
            <w:tcW w:w="2426" w:type="dxa"/>
            <w:vAlign w:val="center"/>
          </w:tcPr>
          <w:p w14:paraId="4D14DD4B" w14:textId="5C9D1E0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 (13)</w:t>
            </w:r>
          </w:p>
        </w:tc>
        <w:tc>
          <w:tcPr>
            <w:tcW w:w="2142" w:type="dxa"/>
            <w:vAlign w:val="center"/>
          </w:tcPr>
          <w:p w14:paraId="347A5CA4" w14:textId="3E793AA4" w:rsidR="00D4398F" w:rsidRPr="00110464" w:rsidRDefault="00D4398F" w:rsidP="006F6B36">
            <w:pPr>
              <w:tabs>
                <w:tab w:val="right" w:pos="883"/>
              </w:tabs>
              <w:snapToGrid w:val="0"/>
              <w:spacing w:line="360" w:lineRule="auto"/>
              <w:rPr>
                <w:rFonts w:ascii="Book Antiqua" w:hAnsi="Book Antiqua" w:cs="Arial"/>
                <w:sz w:val="24"/>
                <w:szCs w:val="24"/>
              </w:rPr>
            </w:pPr>
            <w:r w:rsidRPr="00110464">
              <w:rPr>
                <w:rFonts w:ascii="Book Antiqua" w:hAnsi="Book Antiqua" w:cs="Arial"/>
                <w:sz w:val="24"/>
                <w:szCs w:val="24"/>
              </w:rPr>
              <w:t>96 (30)</w:t>
            </w:r>
          </w:p>
        </w:tc>
        <w:tc>
          <w:tcPr>
            <w:tcW w:w="1061" w:type="dxa"/>
            <w:vAlign w:val="center"/>
          </w:tcPr>
          <w:p w14:paraId="5540C39D" w14:textId="77777777" w:rsidR="00D4398F" w:rsidRPr="00110464" w:rsidRDefault="00D4398F" w:rsidP="006F6B36">
            <w:pPr>
              <w:snapToGrid w:val="0"/>
              <w:spacing w:line="360" w:lineRule="auto"/>
              <w:rPr>
                <w:rFonts w:ascii="Book Antiqua" w:hAnsi="Book Antiqua" w:cs="Arial"/>
                <w:b/>
                <w:sz w:val="24"/>
                <w:szCs w:val="24"/>
              </w:rPr>
            </w:pPr>
          </w:p>
        </w:tc>
      </w:tr>
      <w:tr w:rsidR="00D4398F" w:rsidRPr="00110464" w14:paraId="7FCFC6BF" w14:textId="77777777" w:rsidTr="000A2540">
        <w:trPr>
          <w:trHeight w:val="529"/>
        </w:trPr>
        <w:tc>
          <w:tcPr>
            <w:tcW w:w="4106" w:type="dxa"/>
            <w:vAlign w:val="center"/>
          </w:tcPr>
          <w:p w14:paraId="1A0DE2B5"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ab/>
              <w:t>SM</w:t>
            </w:r>
          </w:p>
        </w:tc>
        <w:tc>
          <w:tcPr>
            <w:tcW w:w="2426" w:type="dxa"/>
            <w:vAlign w:val="center"/>
          </w:tcPr>
          <w:p w14:paraId="21BEE7B0" w14:textId="1295C9EA"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 (13)</w:t>
            </w:r>
          </w:p>
        </w:tc>
        <w:tc>
          <w:tcPr>
            <w:tcW w:w="2142" w:type="dxa"/>
            <w:vAlign w:val="center"/>
          </w:tcPr>
          <w:p w14:paraId="33CB0BAD" w14:textId="201AC80C"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36 (11)</w:t>
            </w:r>
          </w:p>
        </w:tc>
        <w:tc>
          <w:tcPr>
            <w:tcW w:w="1061" w:type="dxa"/>
            <w:vAlign w:val="center"/>
          </w:tcPr>
          <w:p w14:paraId="0F8BC34B"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0.41</w:t>
            </w:r>
          </w:p>
        </w:tc>
      </w:tr>
      <w:tr w:rsidR="00D4398F" w:rsidRPr="00110464" w14:paraId="563CA1B1" w14:textId="77777777" w:rsidTr="000A2540">
        <w:trPr>
          <w:trHeight w:val="529"/>
        </w:trPr>
        <w:tc>
          <w:tcPr>
            <w:tcW w:w="4106" w:type="dxa"/>
            <w:vAlign w:val="center"/>
          </w:tcPr>
          <w:p w14:paraId="6108778F"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Differentiation</w:t>
            </w:r>
            <w:r w:rsidRPr="00110464">
              <w:rPr>
                <w:rFonts w:ascii="Book Antiqua" w:hAnsi="Book Antiqua" w:cs="Arial"/>
                <w:sz w:val="24"/>
                <w:szCs w:val="24"/>
              </w:rPr>
              <w:tab/>
              <w:t>G1</w:t>
            </w:r>
          </w:p>
        </w:tc>
        <w:tc>
          <w:tcPr>
            <w:tcW w:w="2426" w:type="dxa"/>
            <w:vAlign w:val="center"/>
          </w:tcPr>
          <w:p w14:paraId="1CDF91A0" w14:textId="176FC18B"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21 (68)</w:t>
            </w:r>
          </w:p>
        </w:tc>
        <w:tc>
          <w:tcPr>
            <w:tcW w:w="2142" w:type="dxa"/>
            <w:vAlign w:val="center"/>
          </w:tcPr>
          <w:p w14:paraId="47E27773" w14:textId="07A6ABD5"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212 (67)</w:t>
            </w:r>
          </w:p>
        </w:tc>
        <w:tc>
          <w:tcPr>
            <w:tcW w:w="1061" w:type="dxa"/>
            <w:vAlign w:val="center"/>
          </w:tcPr>
          <w:p w14:paraId="560D45D3"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730A316E" w14:textId="77777777" w:rsidTr="000A2540">
        <w:trPr>
          <w:trHeight w:val="529"/>
        </w:trPr>
        <w:tc>
          <w:tcPr>
            <w:tcW w:w="4106" w:type="dxa"/>
            <w:vAlign w:val="center"/>
          </w:tcPr>
          <w:p w14:paraId="6F13EEAC" w14:textId="77777777" w:rsidR="00D4398F" w:rsidRPr="00110464" w:rsidRDefault="00D4398F" w:rsidP="006F6B36">
            <w:pPr>
              <w:tabs>
                <w:tab w:val="left" w:pos="2219"/>
              </w:tabs>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ab/>
              <w:t>G2</w:t>
            </w:r>
          </w:p>
        </w:tc>
        <w:tc>
          <w:tcPr>
            <w:tcW w:w="2426" w:type="dxa"/>
            <w:vAlign w:val="center"/>
          </w:tcPr>
          <w:p w14:paraId="6AB8217C" w14:textId="3560B96E"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6 (19)</w:t>
            </w:r>
          </w:p>
        </w:tc>
        <w:tc>
          <w:tcPr>
            <w:tcW w:w="2142" w:type="dxa"/>
            <w:vAlign w:val="center"/>
          </w:tcPr>
          <w:p w14:paraId="34E98C8E" w14:textId="76FDF4D6"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91 (29)</w:t>
            </w:r>
          </w:p>
        </w:tc>
        <w:tc>
          <w:tcPr>
            <w:tcW w:w="1061" w:type="dxa"/>
            <w:vAlign w:val="center"/>
          </w:tcPr>
          <w:p w14:paraId="7EC1FCBF" w14:textId="77777777" w:rsidR="00D4398F" w:rsidRPr="00110464" w:rsidRDefault="00D4398F" w:rsidP="006F6B36">
            <w:pPr>
              <w:snapToGrid w:val="0"/>
              <w:spacing w:line="360" w:lineRule="auto"/>
              <w:rPr>
                <w:rFonts w:ascii="Book Antiqua" w:hAnsi="Book Antiqua" w:cs="Arial"/>
                <w:sz w:val="24"/>
                <w:szCs w:val="24"/>
              </w:rPr>
            </w:pPr>
          </w:p>
        </w:tc>
      </w:tr>
      <w:tr w:rsidR="00D4398F" w:rsidRPr="00110464" w14:paraId="6680BE25" w14:textId="77777777" w:rsidTr="000A2540">
        <w:trPr>
          <w:trHeight w:val="529"/>
        </w:trPr>
        <w:tc>
          <w:tcPr>
            <w:tcW w:w="4106" w:type="dxa"/>
            <w:vAlign w:val="center"/>
          </w:tcPr>
          <w:p w14:paraId="69174783"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ab/>
              <w:t>G3</w:t>
            </w:r>
          </w:p>
        </w:tc>
        <w:tc>
          <w:tcPr>
            <w:tcW w:w="2426" w:type="dxa"/>
            <w:vAlign w:val="center"/>
          </w:tcPr>
          <w:p w14:paraId="3D1F64DA" w14:textId="5AB672D2"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 (13)</w:t>
            </w:r>
          </w:p>
        </w:tc>
        <w:tc>
          <w:tcPr>
            <w:tcW w:w="2142" w:type="dxa"/>
            <w:vAlign w:val="center"/>
          </w:tcPr>
          <w:p w14:paraId="786CC720" w14:textId="4ACB5EBA"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14 (4)</w:t>
            </w:r>
          </w:p>
        </w:tc>
        <w:tc>
          <w:tcPr>
            <w:tcW w:w="1061" w:type="dxa"/>
            <w:vAlign w:val="center"/>
          </w:tcPr>
          <w:p w14:paraId="001FFEDB"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0.22</w:t>
            </w:r>
          </w:p>
        </w:tc>
      </w:tr>
      <w:tr w:rsidR="00D4398F" w:rsidRPr="00110464" w14:paraId="63A1051F" w14:textId="77777777" w:rsidTr="000A2540">
        <w:trPr>
          <w:trHeight w:val="529"/>
        </w:trPr>
        <w:tc>
          <w:tcPr>
            <w:tcW w:w="4106" w:type="dxa"/>
            <w:vAlign w:val="center"/>
          </w:tcPr>
          <w:p w14:paraId="740B802F"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Lympho-vascular invasion</w:t>
            </w:r>
          </w:p>
        </w:tc>
        <w:tc>
          <w:tcPr>
            <w:tcW w:w="2426" w:type="dxa"/>
            <w:vAlign w:val="center"/>
          </w:tcPr>
          <w:p w14:paraId="78418521" w14:textId="245FD588"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 (3)</w:t>
            </w:r>
          </w:p>
        </w:tc>
        <w:tc>
          <w:tcPr>
            <w:tcW w:w="2142" w:type="dxa"/>
            <w:vAlign w:val="center"/>
          </w:tcPr>
          <w:p w14:paraId="049D3F26" w14:textId="5046E4FB"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32 (10)</w:t>
            </w:r>
          </w:p>
        </w:tc>
        <w:tc>
          <w:tcPr>
            <w:tcW w:w="1061" w:type="dxa"/>
            <w:vAlign w:val="center"/>
          </w:tcPr>
          <w:p w14:paraId="1F8C478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0.36</w:t>
            </w:r>
          </w:p>
        </w:tc>
      </w:tr>
      <w:tr w:rsidR="00D4398F" w:rsidRPr="00110464" w14:paraId="59D915BB" w14:textId="77777777" w:rsidTr="000A2540">
        <w:trPr>
          <w:trHeight w:val="529"/>
        </w:trPr>
        <w:tc>
          <w:tcPr>
            <w:tcW w:w="4106" w:type="dxa"/>
            <w:tcBorders>
              <w:bottom w:val="single" w:sz="4" w:space="0" w:color="auto"/>
            </w:tcBorders>
            <w:vAlign w:val="center"/>
          </w:tcPr>
          <w:p w14:paraId="334E5280" w14:textId="77777777" w:rsidR="00D4398F" w:rsidRPr="00110464" w:rsidRDefault="00D4398F" w:rsidP="006F6B36">
            <w:pPr>
              <w:tabs>
                <w:tab w:val="left" w:pos="2219"/>
              </w:tabs>
              <w:snapToGrid w:val="0"/>
              <w:spacing w:line="360" w:lineRule="auto"/>
              <w:rPr>
                <w:rFonts w:ascii="Book Antiqua" w:hAnsi="Book Antiqua" w:cs="Arial"/>
                <w:sz w:val="24"/>
                <w:szCs w:val="24"/>
              </w:rPr>
            </w:pPr>
            <w:r w:rsidRPr="00110464">
              <w:rPr>
                <w:rFonts w:ascii="Book Antiqua" w:hAnsi="Book Antiqua" w:cs="Arial"/>
                <w:sz w:val="24"/>
                <w:szCs w:val="24"/>
              </w:rPr>
              <w:t>Vertical margin positive rate</w:t>
            </w:r>
          </w:p>
        </w:tc>
        <w:tc>
          <w:tcPr>
            <w:tcW w:w="2426" w:type="dxa"/>
            <w:tcBorders>
              <w:bottom w:val="single" w:sz="4" w:space="0" w:color="auto"/>
            </w:tcBorders>
            <w:vAlign w:val="center"/>
          </w:tcPr>
          <w:p w14:paraId="5EBFC2FA" w14:textId="0B8F83D2"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 (10)</w:t>
            </w:r>
          </w:p>
        </w:tc>
        <w:tc>
          <w:tcPr>
            <w:tcW w:w="2142" w:type="dxa"/>
            <w:tcBorders>
              <w:bottom w:val="single" w:sz="4" w:space="0" w:color="auto"/>
            </w:tcBorders>
            <w:vAlign w:val="center"/>
          </w:tcPr>
          <w:p w14:paraId="7DA7DFC9" w14:textId="1BC0D8B9"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32 (10)</w:t>
            </w:r>
          </w:p>
        </w:tc>
        <w:tc>
          <w:tcPr>
            <w:tcW w:w="1061" w:type="dxa"/>
            <w:tcBorders>
              <w:bottom w:val="single" w:sz="4" w:space="0" w:color="auto"/>
            </w:tcBorders>
            <w:vAlign w:val="center"/>
          </w:tcPr>
          <w:p w14:paraId="2C412299"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0.81</w:t>
            </w:r>
          </w:p>
        </w:tc>
      </w:tr>
    </w:tbl>
    <w:p w14:paraId="78239214" w14:textId="5A28A0B3"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 xml:space="preserve">EAC: </w:t>
      </w:r>
      <w:r w:rsidR="000A2540" w:rsidRPr="00110464">
        <w:rPr>
          <w:rFonts w:ascii="Book Antiqua" w:hAnsi="Book Antiqua" w:cs="Arial"/>
          <w:sz w:val="24"/>
          <w:szCs w:val="24"/>
        </w:rPr>
        <w:t>E</w:t>
      </w:r>
      <w:r w:rsidRPr="00110464">
        <w:rPr>
          <w:rFonts w:ascii="Book Antiqua" w:hAnsi="Book Antiqua" w:cs="Arial"/>
          <w:sz w:val="24"/>
          <w:szCs w:val="24"/>
        </w:rPr>
        <w:t xml:space="preserve">sophageal adenocarcinoma; HGD: </w:t>
      </w:r>
      <w:r w:rsidR="000A2540" w:rsidRPr="00110464">
        <w:rPr>
          <w:rFonts w:ascii="Book Antiqua" w:hAnsi="Book Antiqua" w:cs="Arial"/>
          <w:sz w:val="24"/>
          <w:szCs w:val="24"/>
        </w:rPr>
        <w:t>H</w:t>
      </w:r>
      <w:r w:rsidRPr="00110464">
        <w:rPr>
          <w:rFonts w:ascii="Book Antiqua" w:hAnsi="Book Antiqua" w:cs="Arial"/>
          <w:sz w:val="24"/>
          <w:szCs w:val="24"/>
        </w:rPr>
        <w:t xml:space="preserve">igh-grade dysplasia; M: </w:t>
      </w:r>
      <w:r w:rsidR="000A2540" w:rsidRPr="00110464">
        <w:rPr>
          <w:rFonts w:ascii="Book Antiqua" w:hAnsi="Book Antiqua" w:cs="Arial"/>
          <w:sz w:val="24"/>
          <w:szCs w:val="24"/>
        </w:rPr>
        <w:t>M</w:t>
      </w:r>
      <w:r w:rsidRPr="00110464">
        <w:rPr>
          <w:rFonts w:ascii="Book Antiqua" w:hAnsi="Book Antiqua" w:cs="Arial"/>
          <w:sz w:val="24"/>
          <w:szCs w:val="24"/>
        </w:rPr>
        <w:t xml:space="preserve">ucosa; SM: </w:t>
      </w:r>
      <w:r w:rsidR="000A2540" w:rsidRPr="00110464">
        <w:rPr>
          <w:rFonts w:ascii="Book Antiqua" w:hAnsi="Book Antiqua" w:cs="Arial"/>
          <w:sz w:val="24"/>
          <w:szCs w:val="24"/>
        </w:rPr>
        <w:t>S</w:t>
      </w:r>
      <w:r w:rsidRPr="00110464">
        <w:rPr>
          <w:rFonts w:ascii="Book Antiqua" w:hAnsi="Book Antiqua" w:cs="Arial"/>
          <w:sz w:val="24"/>
          <w:szCs w:val="24"/>
        </w:rPr>
        <w:t>ubmucosa</w:t>
      </w:r>
      <w:bookmarkEnd w:id="109"/>
      <w:r w:rsidR="000A2540" w:rsidRPr="00110464">
        <w:rPr>
          <w:rFonts w:ascii="Book Antiqua" w:hAnsi="Book Antiqua" w:cs="Arial"/>
          <w:sz w:val="24"/>
          <w:szCs w:val="24"/>
        </w:rPr>
        <w:t>.</w:t>
      </w:r>
    </w:p>
    <w:p w14:paraId="07A7FFBB" w14:textId="77777777" w:rsidR="00D4398F" w:rsidRPr="00110464" w:rsidRDefault="00D4398F" w:rsidP="006F6B36">
      <w:pPr>
        <w:pStyle w:val="EndNoteBibliography"/>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530A6327" w14:textId="0C525CB7" w:rsidR="00D4398F" w:rsidRPr="00110464" w:rsidRDefault="00D4398F" w:rsidP="006F6B36">
      <w:pPr>
        <w:snapToGrid w:val="0"/>
        <w:spacing w:line="360" w:lineRule="auto"/>
        <w:rPr>
          <w:rFonts w:ascii="Book Antiqua" w:hAnsi="Book Antiqua" w:cs="Arial"/>
          <w:b/>
          <w:sz w:val="24"/>
          <w:szCs w:val="24"/>
        </w:rPr>
      </w:pPr>
      <w:bookmarkStart w:id="110" w:name="_Hlk3327276"/>
      <w:r w:rsidRPr="00110464">
        <w:rPr>
          <w:rFonts w:ascii="Book Antiqua" w:hAnsi="Book Antiqua" w:cs="Arial"/>
          <w:b/>
          <w:sz w:val="24"/>
          <w:szCs w:val="24"/>
        </w:rPr>
        <w:lastRenderedPageBreak/>
        <w:t>Table</w:t>
      </w:r>
      <w:r w:rsidR="00796058" w:rsidRPr="00110464">
        <w:rPr>
          <w:rFonts w:ascii="Book Antiqua" w:hAnsi="Book Antiqua" w:cs="Arial"/>
          <w:b/>
          <w:sz w:val="24"/>
          <w:szCs w:val="24"/>
        </w:rPr>
        <w:t xml:space="preserve"> </w:t>
      </w:r>
      <w:r w:rsidRPr="00110464">
        <w:rPr>
          <w:rFonts w:ascii="Book Antiqua" w:hAnsi="Book Antiqua" w:cs="Arial"/>
          <w:b/>
          <w:sz w:val="24"/>
          <w:szCs w:val="24"/>
        </w:rPr>
        <w:t>4 Clinical outcomes following endoscopic treatment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455"/>
        <w:gridCol w:w="2142"/>
        <w:gridCol w:w="1061"/>
      </w:tblGrid>
      <w:tr w:rsidR="00D4398F" w:rsidRPr="00110464" w14:paraId="4BE99481" w14:textId="77777777" w:rsidTr="00A02B2B">
        <w:trPr>
          <w:trHeight w:val="529"/>
        </w:trPr>
        <w:tc>
          <w:tcPr>
            <w:tcW w:w="4077" w:type="dxa"/>
            <w:tcBorders>
              <w:top w:val="single" w:sz="4" w:space="0" w:color="auto"/>
              <w:bottom w:val="single" w:sz="4" w:space="0" w:color="auto"/>
            </w:tcBorders>
          </w:tcPr>
          <w:p w14:paraId="508AAE2D" w14:textId="77777777" w:rsidR="00D4398F" w:rsidRPr="00110464" w:rsidRDefault="00D4398F" w:rsidP="006F6B36">
            <w:pPr>
              <w:snapToGrid w:val="0"/>
              <w:spacing w:line="360" w:lineRule="auto"/>
              <w:rPr>
                <w:rFonts w:ascii="Book Antiqua" w:hAnsi="Book Antiqua" w:cs="Arial"/>
                <w:b/>
                <w:sz w:val="24"/>
                <w:szCs w:val="24"/>
              </w:rPr>
            </w:pPr>
          </w:p>
        </w:tc>
        <w:tc>
          <w:tcPr>
            <w:tcW w:w="2455" w:type="dxa"/>
            <w:tcBorders>
              <w:top w:val="single" w:sz="4" w:space="0" w:color="auto"/>
              <w:bottom w:val="single" w:sz="4" w:space="0" w:color="auto"/>
            </w:tcBorders>
            <w:vAlign w:val="center"/>
          </w:tcPr>
          <w:p w14:paraId="7348DA79" w14:textId="22AEA827"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Young</w:t>
            </w:r>
            <w:r w:rsidR="008746C9" w:rsidRPr="00110464">
              <w:rPr>
                <w:rFonts w:ascii="Book Antiqua" w:hAnsi="Book Antiqua" w:cs="Arial"/>
                <w:b/>
                <w:sz w:val="24"/>
                <w:szCs w:val="24"/>
              </w:rPr>
              <w:t xml:space="preserve"> (≤</w:t>
            </w:r>
            <w:r w:rsidR="00796058" w:rsidRPr="00110464">
              <w:rPr>
                <w:rFonts w:ascii="Book Antiqua" w:hAnsi="Book Antiqua" w:cs="Arial"/>
                <w:b/>
                <w:sz w:val="24"/>
                <w:szCs w:val="24"/>
              </w:rPr>
              <w:t xml:space="preserve"> </w:t>
            </w:r>
            <w:r w:rsidRPr="00110464">
              <w:rPr>
                <w:rFonts w:ascii="Book Antiqua" w:hAnsi="Book Antiqua" w:cs="Arial"/>
                <w:b/>
                <w:sz w:val="24"/>
                <w:szCs w:val="24"/>
              </w:rPr>
              <w:t>50</w:t>
            </w:r>
            <w:r w:rsidR="008746C9" w:rsidRPr="00110464">
              <w:rPr>
                <w:rFonts w:ascii="Book Antiqua" w:hAnsi="Book Antiqua" w:cs="Arial"/>
                <w:b/>
                <w:sz w:val="24"/>
                <w:szCs w:val="24"/>
              </w:rPr>
              <w:t xml:space="preserve"> </w:t>
            </w:r>
            <w:proofErr w:type="spellStart"/>
            <w:r w:rsidR="008746C9" w:rsidRPr="00110464">
              <w:rPr>
                <w:rFonts w:ascii="Book Antiqua" w:hAnsi="Book Antiqua" w:cs="Arial"/>
                <w:b/>
                <w:sz w:val="24"/>
                <w:szCs w:val="24"/>
              </w:rPr>
              <w:t>yr</w:t>
            </w:r>
            <w:proofErr w:type="spellEnd"/>
            <w:r w:rsidR="008746C9" w:rsidRPr="00110464">
              <w:rPr>
                <w:rFonts w:ascii="Book Antiqua" w:hAnsi="Book Antiqua" w:cs="Arial"/>
                <w:b/>
                <w:sz w:val="24"/>
                <w:szCs w:val="24"/>
              </w:rPr>
              <w:t>)</w:t>
            </w:r>
          </w:p>
          <w:p w14:paraId="4CF243E6" w14:textId="7240DD58"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w:t>
            </w:r>
            <w:r w:rsidRPr="00110464">
              <w:rPr>
                <w:rFonts w:ascii="Book Antiqua" w:hAnsi="Book Antiqua" w:cs="Arial"/>
                <w:b/>
                <w:i/>
                <w:sz w:val="24"/>
                <w:szCs w:val="24"/>
              </w:rPr>
              <w:t>n</w:t>
            </w:r>
            <w:r w:rsidR="00796058" w:rsidRPr="00110464">
              <w:rPr>
                <w:rFonts w:ascii="Book Antiqua" w:hAnsi="Book Antiqua" w:cs="Arial"/>
                <w:b/>
                <w:sz w:val="24"/>
                <w:szCs w:val="24"/>
              </w:rPr>
              <w:t xml:space="preserve"> </w:t>
            </w:r>
            <w:r w:rsidRPr="00110464">
              <w:rPr>
                <w:rFonts w:ascii="Book Antiqua" w:hAnsi="Book Antiqua" w:cs="Arial"/>
                <w:b/>
                <w:sz w:val="24"/>
                <w:szCs w:val="24"/>
              </w:rPr>
              <w:t>=</w:t>
            </w:r>
            <w:r w:rsidR="00796058" w:rsidRPr="00110464">
              <w:rPr>
                <w:rFonts w:ascii="Book Antiqua" w:hAnsi="Book Antiqua" w:cs="Arial"/>
                <w:b/>
                <w:sz w:val="24"/>
                <w:szCs w:val="24"/>
              </w:rPr>
              <w:t xml:space="preserve"> </w:t>
            </w:r>
            <w:r w:rsidRPr="00110464">
              <w:rPr>
                <w:rFonts w:ascii="Book Antiqua" w:hAnsi="Book Antiqua" w:cs="Arial"/>
                <w:b/>
                <w:sz w:val="24"/>
                <w:szCs w:val="24"/>
              </w:rPr>
              <w:t>30)</w:t>
            </w:r>
          </w:p>
        </w:tc>
        <w:tc>
          <w:tcPr>
            <w:tcW w:w="2142" w:type="dxa"/>
            <w:tcBorders>
              <w:top w:val="single" w:sz="4" w:space="0" w:color="auto"/>
              <w:bottom w:val="single" w:sz="4" w:space="0" w:color="auto"/>
            </w:tcBorders>
            <w:vAlign w:val="center"/>
          </w:tcPr>
          <w:p w14:paraId="0523B6C9" w14:textId="43B2D27C"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Old (&gt;</w:t>
            </w:r>
            <w:r w:rsidR="00796058" w:rsidRPr="00110464">
              <w:rPr>
                <w:rFonts w:ascii="Book Antiqua" w:hAnsi="Book Antiqua" w:cs="Arial"/>
                <w:b/>
                <w:sz w:val="24"/>
                <w:szCs w:val="24"/>
              </w:rPr>
              <w:t xml:space="preserve"> </w:t>
            </w:r>
            <w:r w:rsidRPr="00110464">
              <w:rPr>
                <w:rFonts w:ascii="Book Antiqua" w:hAnsi="Book Antiqua" w:cs="Arial"/>
                <w:b/>
                <w:sz w:val="24"/>
                <w:szCs w:val="24"/>
              </w:rPr>
              <w:t>50</w:t>
            </w:r>
            <w:r w:rsidR="008746C9" w:rsidRPr="00110464">
              <w:rPr>
                <w:rFonts w:ascii="Book Antiqua" w:hAnsi="Book Antiqua" w:cs="Arial"/>
                <w:b/>
                <w:sz w:val="24"/>
                <w:szCs w:val="24"/>
              </w:rPr>
              <w:t xml:space="preserve"> </w:t>
            </w:r>
            <w:proofErr w:type="spellStart"/>
            <w:r w:rsidR="008746C9" w:rsidRPr="00110464">
              <w:rPr>
                <w:rFonts w:ascii="Book Antiqua" w:hAnsi="Book Antiqua" w:cs="Arial"/>
                <w:b/>
                <w:sz w:val="24"/>
                <w:szCs w:val="24"/>
              </w:rPr>
              <w:t>yr</w:t>
            </w:r>
            <w:proofErr w:type="spellEnd"/>
            <w:r w:rsidRPr="00110464">
              <w:rPr>
                <w:rFonts w:ascii="Book Antiqua" w:hAnsi="Book Antiqua" w:cs="Arial"/>
                <w:b/>
                <w:sz w:val="24"/>
                <w:szCs w:val="24"/>
              </w:rPr>
              <w:t>)</w:t>
            </w:r>
          </w:p>
          <w:p w14:paraId="4627E388" w14:textId="0DE0D780" w:rsidR="00D4398F" w:rsidRPr="00110464" w:rsidRDefault="00D4398F" w:rsidP="006F6B36">
            <w:pPr>
              <w:tabs>
                <w:tab w:val="right" w:pos="862"/>
                <w:tab w:val="left" w:pos="1070"/>
              </w:tabs>
              <w:snapToGrid w:val="0"/>
              <w:spacing w:line="360" w:lineRule="auto"/>
              <w:rPr>
                <w:rFonts w:ascii="Book Antiqua" w:hAnsi="Book Antiqua" w:cs="Arial"/>
                <w:b/>
                <w:sz w:val="24"/>
                <w:szCs w:val="24"/>
              </w:rPr>
            </w:pPr>
            <w:r w:rsidRPr="00110464">
              <w:rPr>
                <w:rFonts w:ascii="Book Antiqua" w:hAnsi="Book Antiqua" w:cs="Arial"/>
                <w:b/>
                <w:sz w:val="24"/>
                <w:szCs w:val="24"/>
              </w:rPr>
              <w:t>(</w:t>
            </w:r>
            <w:r w:rsidRPr="00110464">
              <w:rPr>
                <w:rFonts w:ascii="Book Antiqua" w:hAnsi="Book Antiqua" w:cs="Arial"/>
                <w:b/>
                <w:i/>
                <w:sz w:val="24"/>
                <w:szCs w:val="24"/>
              </w:rPr>
              <w:t>n</w:t>
            </w:r>
            <w:r w:rsidR="00796058" w:rsidRPr="00110464">
              <w:rPr>
                <w:rFonts w:ascii="Book Antiqua" w:hAnsi="Book Antiqua" w:cs="Arial"/>
                <w:b/>
                <w:sz w:val="24"/>
                <w:szCs w:val="24"/>
              </w:rPr>
              <w:t xml:space="preserve"> </w:t>
            </w:r>
            <w:r w:rsidRPr="00110464">
              <w:rPr>
                <w:rFonts w:ascii="Book Antiqua" w:hAnsi="Book Antiqua" w:cs="Arial"/>
                <w:b/>
                <w:sz w:val="24"/>
                <w:szCs w:val="24"/>
              </w:rPr>
              <w:t>=</w:t>
            </w:r>
            <w:r w:rsidR="00796058" w:rsidRPr="00110464">
              <w:rPr>
                <w:rFonts w:ascii="Book Antiqua" w:hAnsi="Book Antiqua" w:cs="Arial"/>
                <w:b/>
                <w:sz w:val="24"/>
                <w:szCs w:val="24"/>
              </w:rPr>
              <w:t xml:space="preserve"> </w:t>
            </w:r>
            <w:r w:rsidRPr="00110464">
              <w:rPr>
                <w:rFonts w:ascii="Book Antiqua" w:hAnsi="Book Antiqua" w:cs="Arial"/>
                <w:b/>
                <w:sz w:val="24"/>
                <w:szCs w:val="24"/>
              </w:rPr>
              <w:t>257)</w:t>
            </w:r>
          </w:p>
        </w:tc>
        <w:tc>
          <w:tcPr>
            <w:tcW w:w="1061" w:type="dxa"/>
            <w:tcBorders>
              <w:top w:val="single" w:sz="4" w:space="0" w:color="auto"/>
              <w:bottom w:val="single" w:sz="4" w:space="0" w:color="auto"/>
            </w:tcBorders>
            <w:vAlign w:val="center"/>
          </w:tcPr>
          <w:p w14:paraId="0350C030" w14:textId="77777777" w:rsidR="00D4398F" w:rsidRPr="00110464" w:rsidRDefault="00D4398F" w:rsidP="006F6B36">
            <w:pPr>
              <w:snapToGrid w:val="0"/>
              <w:spacing w:line="360" w:lineRule="auto"/>
              <w:rPr>
                <w:rFonts w:ascii="Book Antiqua" w:hAnsi="Book Antiqua" w:cs="Arial"/>
                <w:b/>
                <w:sz w:val="24"/>
                <w:szCs w:val="24"/>
              </w:rPr>
            </w:pPr>
            <w:r w:rsidRPr="00110464">
              <w:rPr>
                <w:rFonts w:ascii="Book Antiqua" w:hAnsi="Book Antiqua" w:cs="Arial"/>
                <w:b/>
                <w:i/>
                <w:sz w:val="24"/>
                <w:szCs w:val="24"/>
              </w:rPr>
              <w:t>P</w:t>
            </w:r>
            <w:r w:rsidRPr="00110464">
              <w:rPr>
                <w:rFonts w:ascii="Book Antiqua" w:hAnsi="Book Antiqua" w:cs="Arial"/>
                <w:b/>
                <w:sz w:val="24"/>
                <w:szCs w:val="24"/>
              </w:rPr>
              <w:t xml:space="preserve"> value</w:t>
            </w:r>
          </w:p>
        </w:tc>
      </w:tr>
      <w:tr w:rsidR="00D4398F" w:rsidRPr="00110464" w14:paraId="3FDA6B74" w14:textId="77777777" w:rsidTr="00A02B2B">
        <w:trPr>
          <w:trHeight w:val="529"/>
        </w:trPr>
        <w:tc>
          <w:tcPr>
            <w:tcW w:w="4077" w:type="dxa"/>
            <w:tcBorders>
              <w:top w:val="single" w:sz="4" w:space="0" w:color="auto"/>
            </w:tcBorders>
            <w:vAlign w:val="center"/>
          </w:tcPr>
          <w:p w14:paraId="5AF2F301" w14:textId="77777777" w:rsidR="00D4398F" w:rsidRPr="00110464" w:rsidRDefault="00D4398F" w:rsidP="006F6B36">
            <w:pPr>
              <w:tabs>
                <w:tab w:val="left" w:pos="2219"/>
              </w:tabs>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 xml:space="preserve">Complete eradication of neoplasia </w:t>
            </w:r>
          </w:p>
        </w:tc>
        <w:tc>
          <w:tcPr>
            <w:tcW w:w="2455" w:type="dxa"/>
            <w:tcBorders>
              <w:top w:val="single" w:sz="4" w:space="0" w:color="auto"/>
            </w:tcBorders>
            <w:vAlign w:val="center"/>
          </w:tcPr>
          <w:p w14:paraId="35614B8D"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28/30 (93%)</w:t>
            </w:r>
          </w:p>
        </w:tc>
        <w:tc>
          <w:tcPr>
            <w:tcW w:w="2142" w:type="dxa"/>
            <w:tcBorders>
              <w:top w:val="single" w:sz="4" w:space="0" w:color="auto"/>
            </w:tcBorders>
            <w:vAlign w:val="center"/>
          </w:tcPr>
          <w:p w14:paraId="709C200F"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220/257 (86%)</w:t>
            </w:r>
          </w:p>
        </w:tc>
        <w:tc>
          <w:tcPr>
            <w:tcW w:w="1061" w:type="dxa"/>
            <w:tcBorders>
              <w:top w:val="single" w:sz="4" w:space="0" w:color="auto"/>
            </w:tcBorders>
            <w:vAlign w:val="center"/>
          </w:tcPr>
          <w:p w14:paraId="3086D65D"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0.38</w:t>
            </w:r>
          </w:p>
        </w:tc>
      </w:tr>
      <w:tr w:rsidR="00D4398F" w:rsidRPr="00110464" w14:paraId="6ED2BF4E" w14:textId="77777777" w:rsidTr="00A02B2B">
        <w:trPr>
          <w:trHeight w:val="529"/>
        </w:trPr>
        <w:tc>
          <w:tcPr>
            <w:tcW w:w="4077" w:type="dxa"/>
            <w:vAlign w:val="center"/>
          </w:tcPr>
          <w:p w14:paraId="3959076D" w14:textId="77777777" w:rsidR="00D4398F" w:rsidRPr="00110464" w:rsidRDefault="00D4398F" w:rsidP="006F6B36">
            <w:pPr>
              <w:tabs>
                <w:tab w:val="left" w:pos="2219"/>
              </w:tabs>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Recurrence of neoplasia</w:t>
            </w:r>
          </w:p>
        </w:tc>
        <w:tc>
          <w:tcPr>
            <w:tcW w:w="2455" w:type="dxa"/>
            <w:vAlign w:val="center"/>
          </w:tcPr>
          <w:p w14:paraId="277EA29C"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4/28 (14%)</w:t>
            </w:r>
          </w:p>
        </w:tc>
        <w:tc>
          <w:tcPr>
            <w:tcW w:w="2142" w:type="dxa"/>
            <w:vAlign w:val="center"/>
          </w:tcPr>
          <w:p w14:paraId="4031157C"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40/220 (18%)</w:t>
            </w:r>
          </w:p>
        </w:tc>
        <w:tc>
          <w:tcPr>
            <w:tcW w:w="1061" w:type="dxa"/>
            <w:vAlign w:val="center"/>
          </w:tcPr>
          <w:p w14:paraId="36121595"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0.81</w:t>
            </w:r>
          </w:p>
        </w:tc>
      </w:tr>
      <w:tr w:rsidR="00D4398F" w:rsidRPr="00110464" w14:paraId="52E3615B" w14:textId="77777777" w:rsidTr="00A02B2B">
        <w:trPr>
          <w:trHeight w:val="529"/>
        </w:trPr>
        <w:tc>
          <w:tcPr>
            <w:tcW w:w="4077" w:type="dxa"/>
            <w:vAlign w:val="center"/>
          </w:tcPr>
          <w:p w14:paraId="1BDC4BC3" w14:textId="77777777" w:rsidR="00A02B2B" w:rsidRPr="00110464" w:rsidRDefault="00D4398F" w:rsidP="006F6B36">
            <w:pPr>
              <w:tabs>
                <w:tab w:val="left" w:pos="2219"/>
              </w:tabs>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 xml:space="preserve">Complete eradication of intestinal </w:t>
            </w:r>
          </w:p>
          <w:p w14:paraId="26020CCC" w14:textId="3FC24BA2" w:rsidR="00D4398F" w:rsidRPr="00110464" w:rsidRDefault="00D4398F" w:rsidP="006F6B36">
            <w:pPr>
              <w:tabs>
                <w:tab w:val="left" w:pos="2219"/>
              </w:tabs>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 xml:space="preserve">metaplasia </w:t>
            </w:r>
          </w:p>
        </w:tc>
        <w:tc>
          <w:tcPr>
            <w:tcW w:w="2455" w:type="dxa"/>
            <w:vAlign w:val="center"/>
          </w:tcPr>
          <w:p w14:paraId="37B1B285"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23/30 (77%)</w:t>
            </w:r>
          </w:p>
        </w:tc>
        <w:tc>
          <w:tcPr>
            <w:tcW w:w="2142" w:type="dxa"/>
            <w:vAlign w:val="center"/>
          </w:tcPr>
          <w:p w14:paraId="371A6BF0"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159/257 (62%)</w:t>
            </w:r>
          </w:p>
        </w:tc>
        <w:tc>
          <w:tcPr>
            <w:tcW w:w="1061" w:type="dxa"/>
            <w:vAlign w:val="center"/>
          </w:tcPr>
          <w:p w14:paraId="0BABA4F1"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0.16</w:t>
            </w:r>
          </w:p>
        </w:tc>
      </w:tr>
      <w:tr w:rsidR="00D4398F" w:rsidRPr="00110464" w14:paraId="2E40D212" w14:textId="77777777" w:rsidTr="00A02B2B">
        <w:trPr>
          <w:trHeight w:val="529"/>
        </w:trPr>
        <w:tc>
          <w:tcPr>
            <w:tcW w:w="4077" w:type="dxa"/>
            <w:tcBorders>
              <w:bottom w:val="single" w:sz="4" w:space="0" w:color="auto"/>
            </w:tcBorders>
            <w:vAlign w:val="center"/>
          </w:tcPr>
          <w:p w14:paraId="781AB58C" w14:textId="77777777" w:rsidR="00D4398F" w:rsidRPr="00110464" w:rsidRDefault="00D4398F" w:rsidP="006F6B36">
            <w:pPr>
              <w:tabs>
                <w:tab w:val="left" w:pos="2219"/>
              </w:tabs>
              <w:snapToGrid w:val="0"/>
              <w:spacing w:line="360" w:lineRule="auto"/>
              <w:ind w:firstLineChars="50" w:firstLine="120"/>
              <w:rPr>
                <w:rFonts w:ascii="Book Antiqua" w:hAnsi="Book Antiqua" w:cs="Arial"/>
                <w:sz w:val="24"/>
                <w:szCs w:val="24"/>
              </w:rPr>
            </w:pPr>
            <w:r w:rsidRPr="00110464">
              <w:rPr>
                <w:rFonts w:ascii="Book Antiqua" w:hAnsi="Book Antiqua" w:cs="Arial"/>
                <w:sz w:val="24"/>
                <w:szCs w:val="24"/>
              </w:rPr>
              <w:t>Recurrence of intestinal metaplasia</w:t>
            </w:r>
          </w:p>
        </w:tc>
        <w:tc>
          <w:tcPr>
            <w:tcW w:w="2455" w:type="dxa"/>
            <w:tcBorders>
              <w:bottom w:val="single" w:sz="4" w:space="0" w:color="auto"/>
            </w:tcBorders>
            <w:vAlign w:val="center"/>
          </w:tcPr>
          <w:p w14:paraId="33B3C5BA"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7/23 (30%)</w:t>
            </w:r>
          </w:p>
        </w:tc>
        <w:tc>
          <w:tcPr>
            <w:tcW w:w="2142" w:type="dxa"/>
            <w:tcBorders>
              <w:bottom w:val="single" w:sz="4" w:space="0" w:color="auto"/>
            </w:tcBorders>
            <w:vAlign w:val="center"/>
          </w:tcPr>
          <w:p w14:paraId="12B552CE" w14:textId="77777777" w:rsidR="00D4398F" w:rsidRPr="00110464" w:rsidRDefault="00D4398F" w:rsidP="006F6B36">
            <w:pPr>
              <w:tabs>
                <w:tab w:val="right" w:pos="883"/>
                <w:tab w:val="left" w:pos="1011"/>
              </w:tabs>
              <w:snapToGrid w:val="0"/>
              <w:spacing w:line="360" w:lineRule="auto"/>
              <w:rPr>
                <w:rFonts w:ascii="Book Antiqua" w:hAnsi="Book Antiqua" w:cs="Arial"/>
                <w:sz w:val="24"/>
                <w:szCs w:val="24"/>
              </w:rPr>
            </w:pPr>
            <w:r w:rsidRPr="00110464">
              <w:rPr>
                <w:rFonts w:ascii="Book Antiqua" w:hAnsi="Book Antiqua" w:cs="Arial"/>
                <w:sz w:val="24"/>
                <w:szCs w:val="24"/>
              </w:rPr>
              <w:t>41/159 (26%)</w:t>
            </w:r>
          </w:p>
        </w:tc>
        <w:tc>
          <w:tcPr>
            <w:tcW w:w="1061" w:type="dxa"/>
            <w:tcBorders>
              <w:bottom w:val="single" w:sz="4" w:space="0" w:color="auto"/>
            </w:tcBorders>
            <w:vAlign w:val="center"/>
          </w:tcPr>
          <w:p w14:paraId="51366155" w14:textId="77777777" w:rsidR="00D4398F" w:rsidRPr="00110464" w:rsidRDefault="00D4398F" w:rsidP="006F6B36">
            <w:pPr>
              <w:snapToGrid w:val="0"/>
              <w:spacing w:line="360" w:lineRule="auto"/>
              <w:rPr>
                <w:rFonts w:ascii="Book Antiqua" w:hAnsi="Book Antiqua" w:cs="Arial"/>
                <w:sz w:val="24"/>
                <w:szCs w:val="24"/>
              </w:rPr>
            </w:pPr>
            <w:r w:rsidRPr="00110464">
              <w:rPr>
                <w:rFonts w:ascii="Book Antiqua" w:hAnsi="Book Antiqua" w:cs="Arial"/>
                <w:sz w:val="24"/>
                <w:szCs w:val="24"/>
              </w:rPr>
              <w:t>0.83</w:t>
            </w:r>
          </w:p>
        </w:tc>
      </w:tr>
      <w:bookmarkEnd w:id="110"/>
    </w:tbl>
    <w:p w14:paraId="07C7CE5D" w14:textId="77777777" w:rsidR="00D4398F" w:rsidRPr="00110464" w:rsidRDefault="00D4398F" w:rsidP="006F6B36">
      <w:pPr>
        <w:pStyle w:val="EndNoteBibliography"/>
        <w:snapToGrid w:val="0"/>
        <w:spacing w:line="360" w:lineRule="auto"/>
        <w:rPr>
          <w:rFonts w:ascii="Book Antiqua" w:hAnsi="Book Antiqua" w:cstheme="majorHAnsi"/>
          <w:sz w:val="24"/>
          <w:szCs w:val="24"/>
        </w:rPr>
      </w:pPr>
      <w:r w:rsidRPr="00110464">
        <w:rPr>
          <w:rFonts w:ascii="Book Antiqua" w:hAnsi="Book Antiqua" w:cstheme="majorHAnsi"/>
          <w:sz w:val="24"/>
          <w:szCs w:val="24"/>
        </w:rPr>
        <w:br w:type="page"/>
      </w:r>
    </w:p>
    <w:p w14:paraId="49D50C32" w14:textId="351B4205" w:rsidR="00A02B2B" w:rsidRPr="00110464" w:rsidRDefault="00A02B2B" w:rsidP="006F6B36">
      <w:pPr>
        <w:pStyle w:val="EndNoteBibliography"/>
        <w:snapToGrid w:val="0"/>
        <w:spacing w:line="360" w:lineRule="auto"/>
        <w:rPr>
          <w:rFonts w:ascii="Book Antiqua" w:hAnsi="Book Antiqua" w:cstheme="majorHAnsi"/>
          <w:sz w:val="24"/>
          <w:szCs w:val="24"/>
        </w:rPr>
      </w:pPr>
      <w:r w:rsidRPr="00110464">
        <w:rPr>
          <w:rFonts w:ascii="Book Antiqua" w:hAnsi="Book Antiqua" w:cstheme="majorHAnsi"/>
          <w:sz w:val="24"/>
          <w:szCs w:val="24"/>
          <w:lang w:eastAsia="zh-CN"/>
        </w:rPr>
        <w:lastRenderedPageBreak/>
        <w:drawing>
          <wp:inline distT="0" distB="0" distL="0" distR="0" wp14:anchorId="11883995" wp14:editId="01524D6B">
            <wp:extent cx="3457553" cy="41346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635" cy="4169456"/>
                    </a:xfrm>
                    <a:prstGeom prst="rect">
                      <a:avLst/>
                    </a:prstGeom>
                    <a:noFill/>
                    <a:ln>
                      <a:noFill/>
                    </a:ln>
                  </pic:spPr>
                </pic:pic>
              </a:graphicData>
            </a:graphic>
          </wp:inline>
        </w:drawing>
      </w:r>
    </w:p>
    <w:p w14:paraId="4B0ADDBD" w14:textId="583258FE" w:rsidR="00A02B2B" w:rsidRPr="00A02B2B" w:rsidRDefault="00A02B2B" w:rsidP="006F6B36">
      <w:pPr>
        <w:snapToGrid w:val="0"/>
        <w:spacing w:line="360" w:lineRule="auto"/>
        <w:rPr>
          <w:rFonts w:ascii="Book Antiqua" w:hAnsi="Book Antiqua"/>
          <w:b/>
          <w:sz w:val="24"/>
          <w:szCs w:val="24"/>
        </w:rPr>
      </w:pPr>
      <w:r w:rsidRPr="00110464">
        <w:rPr>
          <w:rFonts w:ascii="Book Antiqua" w:hAnsi="Book Antiqua"/>
          <w:b/>
          <w:sz w:val="24"/>
          <w:szCs w:val="24"/>
        </w:rPr>
        <w:t xml:space="preserve">Figure 1 Flow diagram for the study patients. </w:t>
      </w:r>
      <w:r w:rsidRPr="00110464">
        <w:rPr>
          <w:rFonts w:ascii="Book Antiqua" w:hAnsi="Book Antiqua"/>
          <w:sz w:val="24"/>
          <w:szCs w:val="24"/>
        </w:rPr>
        <w:t>EAC: Esophageal adenocarcinoma; HGD: High-grade dysplasia; BSC: Best supportive care; EMR: Endoscopic mucosal resection.</w:t>
      </w:r>
      <w:r w:rsidRPr="00A02B2B">
        <w:rPr>
          <w:rFonts w:ascii="Book Antiqua" w:hAnsi="Book Antiqua"/>
          <w:sz w:val="24"/>
          <w:szCs w:val="24"/>
        </w:rPr>
        <w:t xml:space="preserve"> </w:t>
      </w:r>
    </w:p>
    <w:p w14:paraId="3AF239BC" w14:textId="4B269147" w:rsidR="00C01A16" w:rsidRPr="00A02B2B" w:rsidRDefault="00C01A16" w:rsidP="006F6B36">
      <w:pPr>
        <w:snapToGrid w:val="0"/>
        <w:spacing w:line="360" w:lineRule="auto"/>
        <w:rPr>
          <w:rFonts w:ascii="Book Antiqua" w:hAnsi="Book Antiqua"/>
          <w:sz w:val="24"/>
          <w:szCs w:val="24"/>
        </w:rPr>
      </w:pPr>
    </w:p>
    <w:sectPr w:rsidR="00C01A16" w:rsidRPr="00A02B2B" w:rsidSect="00D439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10C2" w14:textId="77777777" w:rsidR="00AD2130" w:rsidRDefault="00AD2130" w:rsidP="00DF5055">
      <w:r>
        <w:separator/>
      </w:r>
    </w:p>
  </w:endnote>
  <w:endnote w:type="continuationSeparator" w:id="0">
    <w:p w14:paraId="3900C6BB" w14:textId="77777777" w:rsidR="00AD2130" w:rsidRDefault="00AD2130"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altName w:val="宋体"/>
    <w:panose1 w:val="00000000000000000000"/>
    <w:charset w:val="86"/>
    <w:family w:val="roman"/>
    <w:notTrueType/>
    <w:pitch w:val="default"/>
  </w:font>
  <w:font w:name="MS PGothic">
    <w:panose1 w:val="020B0600070205080204"/>
    <w:charset w:val="80"/>
    <w:family w:val="swiss"/>
    <w:pitch w:val="variable"/>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imesNewRomanPS-BoldItalicMT">
    <w:altName w:val="Times New Roman"/>
    <w:charset w:val="00"/>
    <w:family w:val="auto"/>
    <w:pitch w:val="variable"/>
    <w:sig w:usb0="E0000AFF" w:usb1="00007843" w:usb2="00000001" w:usb3="00000000" w:csb0="000001B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Garamond-Bold">
    <w:altName w:val="Garamon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340F" w14:textId="77777777" w:rsidR="00AD2130" w:rsidRDefault="00AD2130" w:rsidP="00DF5055">
      <w:r>
        <w:separator/>
      </w:r>
    </w:p>
  </w:footnote>
  <w:footnote w:type="continuationSeparator" w:id="0">
    <w:p w14:paraId="77B38701" w14:textId="77777777" w:rsidR="00AD2130" w:rsidRDefault="00AD2130" w:rsidP="00DF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F4"/>
    <w:multiLevelType w:val="hybridMultilevel"/>
    <w:tmpl w:val="06367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D07F08"/>
    <w:multiLevelType w:val="hybridMultilevel"/>
    <w:tmpl w:val="857EA3D2"/>
    <w:lvl w:ilvl="0" w:tplc="A6B4C2E0">
      <w:start w:val="1"/>
      <w:numFmt w:val="bullet"/>
      <w:lvlText w:val="-"/>
      <w:lvlJc w:val="left"/>
      <w:pPr>
        <w:ind w:left="720" w:hanging="360"/>
      </w:pPr>
      <w:rPr>
        <w:rFonts w:ascii="Century" w:eastAsiaTheme="minorEastAsia" w:hAnsi="Centur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432083"/>
    <w:multiLevelType w:val="hybridMultilevel"/>
    <w:tmpl w:val="2E3898FE"/>
    <w:lvl w:ilvl="0" w:tplc="BE32FCFE">
      <w:start w:val="1"/>
      <w:numFmt w:val="decimal"/>
      <w:lvlText w:val="%1."/>
      <w:lvlJc w:val="left"/>
      <w:pPr>
        <w:ind w:left="837" w:hanging="393"/>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nsid w:val="5C69724B"/>
    <w:multiLevelType w:val="hybridMultilevel"/>
    <w:tmpl w:val="86529EB2"/>
    <w:lvl w:ilvl="0" w:tplc="A2E47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4398F"/>
    <w:rsid w:val="00020633"/>
    <w:rsid w:val="00030BD2"/>
    <w:rsid w:val="00035B89"/>
    <w:rsid w:val="00055946"/>
    <w:rsid w:val="00056874"/>
    <w:rsid w:val="00065962"/>
    <w:rsid w:val="000848F5"/>
    <w:rsid w:val="000969F2"/>
    <w:rsid w:val="000A2540"/>
    <w:rsid w:val="000F60BA"/>
    <w:rsid w:val="00106949"/>
    <w:rsid w:val="00110464"/>
    <w:rsid w:val="001122CE"/>
    <w:rsid w:val="00127035"/>
    <w:rsid w:val="00150AEA"/>
    <w:rsid w:val="00190D57"/>
    <w:rsid w:val="001976A1"/>
    <w:rsid w:val="001D2883"/>
    <w:rsid w:val="001D7099"/>
    <w:rsid w:val="002108E2"/>
    <w:rsid w:val="002336AF"/>
    <w:rsid w:val="0024042A"/>
    <w:rsid w:val="00283FC4"/>
    <w:rsid w:val="002C56B5"/>
    <w:rsid w:val="002D0BEA"/>
    <w:rsid w:val="002D17DA"/>
    <w:rsid w:val="00307C7C"/>
    <w:rsid w:val="00350C59"/>
    <w:rsid w:val="00357075"/>
    <w:rsid w:val="00357A20"/>
    <w:rsid w:val="0036366C"/>
    <w:rsid w:val="003B5CDD"/>
    <w:rsid w:val="003D418A"/>
    <w:rsid w:val="003E73D8"/>
    <w:rsid w:val="00445FE2"/>
    <w:rsid w:val="00455EF1"/>
    <w:rsid w:val="0050516C"/>
    <w:rsid w:val="00510210"/>
    <w:rsid w:val="005172B0"/>
    <w:rsid w:val="0051783B"/>
    <w:rsid w:val="0053718E"/>
    <w:rsid w:val="00542702"/>
    <w:rsid w:val="005773D1"/>
    <w:rsid w:val="00587B03"/>
    <w:rsid w:val="005D7FAB"/>
    <w:rsid w:val="00627A75"/>
    <w:rsid w:val="006B1689"/>
    <w:rsid w:val="006B42A2"/>
    <w:rsid w:val="006D1C97"/>
    <w:rsid w:val="006D503E"/>
    <w:rsid w:val="006D56FD"/>
    <w:rsid w:val="006F6B36"/>
    <w:rsid w:val="00717E36"/>
    <w:rsid w:val="00764011"/>
    <w:rsid w:val="00796058"/>
    <w:rsid w:val="007A19EF"/>
    <w:rsid w:val="007A3E0F"/>
    <w:rsid w:val="007F5481"/>
    <w:rsid w:val="008340CE"/>
    <w:rsid w:val="00852067"/>
    <w:rsid w:val="008703E3"/>
    <w:rsid w:val="00870DCF"/>
    <w:rsid w:val="008746C9"/>
    <w:rsid w:val="008A31E3"/>
    <w:rsid w:val="008C5528"/>
    <w:rsid w:val="008F52FE"/>
    <w:rsid w:val="0090273F"/>
    <w:rsid w:val="009122BE"/>
    <w:rsid w:val="009211DA"/>
    <w:rsid w:val="00922DED"/>
    <w:rsid w:val="009746B0"/>
    <w:rsid w:val="009B711C"/>
    <w:rsid w:val="009E416C"/>
    <w:rsid w:val="00A02B2B"/>
    <w:rsid w:val="00A02FE4"/>
    <w:rsid w:val="00A04A56"/>
    <w:rsid w:val="00A71A76"/>
    <w:rsid w:val="00A73027"/>
    <w:rsid w:val="00AB0B19"/>
    <w:rsid w:val="00AB69AE"/>
    <w:rsid w:val="00AD2130"/>
    <w:rsid w:val="00B12C6E"/>
    <w:rsid w:val="00B25AA2"/>
    <w:rsid w:val="00B607E6"/>
    <w:rsid w:val="00BA05A7"/>
    <w:rsid w:val="00BA1E1D"/>
    <w:rsid w:val="00BB26FC"/>
    <w:rsid w:val="00BD7453"/>
    <w:rsid w:val="00BE75A1"/>
    <w:rsid w:val="00C01A16"/>
    <w:rsid w:val="00C327D4"/>
    <w:rsid w:val="00C83D3F"/>
    <w:rsid w:val="00CA24B3"/>
    <w:rsid w:val="00CC3F98"/>
    <w:rsid w:val="00CC77A1"/>
    <w:rsid w:val="00D126D9"/>
    <w:rsid w:val="00D1400D"/>
    <w:rsid w:val="00D22EEF"/>
    <w:rsid w:val="00D350B9"/>
    <w:rsid w:val="00D4398F"/>
    <w:rsid w:val="00D939DE"/>
    <w:rsid w:val="00DA7CEA"/>
    <w:rsid w:val="00DC3765"/>
    <w:rsid w:val="00DC583F"/>
    <w:rsid w:val="00DE1540"/>
    <w:rsid w:val="00DE5B63"/>
    <w:rsid w:val="00DF5055"/>
    <w:rsid w:val="00E24B4F"/>
    <w:rsid w:val="00E56548"/>
    <w:rsid w:val="00E74F9C"/>
    <w:rsid w:val="00EA7409"/>
    <w:rsid w:val="00ED206A"/>
    <w:rsid w:val="00ED62A1"/>
    <w:rsid w:val="00F07FDA"/>
    <w:rsid w:val="00F8717E"/>
    <w:rsid w:val="00FB61AA"/>
    <w:rsid w:val="00FE1DF8"/>
    <w:rsid w:val="00FE28E6"/>
    <w:rsid w:val="00FE2ABA"/>
    <w:rsid w:val="00FE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E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8F"/>
    <w:pPr>
      <w:widowControl w:val="0"/>
      <w:jc w:val="both"/>
    </w:pPr>
  </w:style>
  <w:style w:type="paragraph" w:styleId="1">
    <w:name w:val="heading 1"/>
    <w:basedOn w:val="a"/>
    <w:next w:val="a"/>
    <w:link w:val="1Char"/>
    <w:uiPriority w:val="9"/>
    <w:qFormat/>
    <w:rsid w:val="00D4398F"/>
    <w:pPr>
      <w:keepNext/>
      <w:outlineLvl w:val="0"/>
    </w:pPr>
    <w:rPr>
      <w:rFonts w:asciiTheme="majorHAnsi" w:eastAsiaTheme="majorEastAsia" w:hAnsiTheme="majorHAnsi" w:cstheme="majorBidi"/>
      <w:sz w:val="24"/>
      <w:szCs w:val="24"/>
    </w:rPr>
  </w:style>
  <w:style w:type="paragraph" w:styleId="4">
    <w:name w:val="heading 4"/>
    <w:basedOn w:val="a"/>
    <w:link w:val="4Char"/>
    <w:uiPriority w:val="9"/>
    <w:qFormat/>
    <w:rsid w:val="00D4398F"/>
    <w:pPr>
      <w:widowControl/>
      <w:spacing w:before="100" w:beforeAutospacing="1" w:after="100" w:afterAutospacing="1"/>
      <w:jc w:val="left"/>
      <w:outlineLvl w:val="3"/>
    </w:pPr>
    <w:rPr>
      <w:rFonts w:ascii="MS PGothic" w:eastAsia="MS PGothic" w:hAnsi="MS PGothic" w:cs="MS PGothic"/>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398F"/>
    <w:rPr>
      <w:rFonts w:asciiTheme="majorHAnsi" w:eastAsiaTheme="majorEastAsia" w:hAnsiTheme="majorHAnsi" w:cstheme="majorBidi"/>
      <w:sz w:val="24"/>
      <w:szCs w:val="24"/>
    </w:rPr>
  </w:style>
  <w:style w:type="character" w:customStyle="1" w:styleId="4Char">
    <w:name w:val="标题 4 Char"/>
    <w:basedOn w:val="a0"/>
    <w:link w:val="4"/>
    <w:uiPriority w:val="9"/>
    <w:rsid w:val="00D4398F"/>
    <w:rPr>
      <w:rFonts w:ascii="MS PGothic" w:eastAsia="MS PGothic" w:hAnsi="MS PGothic" w:cs="MS PGothic"/>
      <w:b/>
      <w:bCs/>
      <w:kern w:val="0"/>
      <w:sz w:val="29"/>
      <w:szCs w:val="29"/>
    </w:rPr>
  </w:style>
  <w:style w:type="paragraph" w:styleId="a3">
    <w:name w:val="List Paragraph"/>
    <w:basedOn w:val="a"/>
    <w:uiPriority w:val="34"/>
    <w:qFormat/>
    <w:rsid w:val="00D4398F"/>
    <w:pPr>
      <w:ind w:leftChars="400" w:left="840"/>
    </w:pPr>
  </w:style>
  <w:style w:type="paragraph" w:customStyle="1" w:styleId="EndNoteBibliographyTitle">
    <w:name w:val="EndNote Bibliography Title"/>
    <w:basedOn w:val="a"/>
    <w:link w:val="EndNoteBibliographyTitle0"/>
    <w:rsid w:val="00D4398F"/>
    <w:pPr>
      <w:jc w:val="center"/>
    </w:pPr>
    <w:rPr>
      <w:rFonts w:ascii="Century" w:hAnsi="Century"/>
      <w:noProof/>
      <w:sz w:val="20"/>
    </w:rPr>
  </w:style>
  <w:style w:type="character" w:customStyle="1" w:styleId="EndNoteBibliographyTitle0">
    <w:name w:val="EndNote Bibliography Title (文字)"/>
    <w:basedOn w:val="a0"/>
    <w:link w:val="EndNoteBibliographyTitle"/>
    <w:rsid w:val="00D4398F"/>
    <w:rPr>
      <w:rFonts w:ascii="Century" w:hAnsi="Century"/>
      <w:noProof/>
      <w:sz w:val="20"/>
    </w:rPr>
  </w:style>
  <w:style w:type="paragraph" w:customStyle="1" w:styleId="EndNoteBibliography">
    <w:name w:val="EndNote Bibliography"/>
    <w:basedOn w:val="a"/>
    <w:link w:val="EndNoteBibliography0"/>
    <w:rsid w:val="00D4398F"/>
    <w:rPr>
      <w:rFonts w:ascii="Century" w:hAnsi="Century"/>
      <w:noProof/>
      <w:sz w:val="20"/>
    </w:rPr>
  </w:style>
  <w:style w:type="character" w:customStyle="1" w:styleId="EndNoteBibliography0">
    <w:name w:val="EndNote Bibliography (文字)"/>
    <w:basedOn w:val="a0"/>
    <w:link w:val="EndNoteBibliography"/>
    <w:rsid w:val="00D4398F"/>
    <w:rPr>
      <w:rFonts w:ascii="Century" w:hAnsi="Century"/>
      <w:noProof/>
      <w:sz w:val="20"/>
    </w:rPr>
  </w:style>
  <w:style w:type="character" w:styleId="a4">
    <w:name w:val="Hyperlink"/>
    <w:basedOn w:val="a0"/>
    <w:uiPriority w:val="99"/>
    <w:unhideWhenUsed/>
    <w:rsid w:val="00D4398F"/>
    <w:rPr>
      <w:color w:val="0563C1" w:themeColor="hyperlink"/>
      <w:u w:val="single"/>
    </w:rPr>
  </w:style>
  <w:style w:type="paragraph" w:styleId="a5">
    <w:name w:val="header"/>
    <w:basedOn w:val="a"/>
    <w:link w:val="Char"/>
    <w:uiPriority w:val="99"/>
    <w:unhideWhenUsed/>
    <w:rsid w:val="00D4398F"/>
    <w:pPr>
      <w:tabs>
        <w:tab w:val="center" w:pos="4252"/>
        <w:tab w:val="right" w:pos="8504"/>
      </w:tabs>
      <w:snapToGrid w:val="0"/>
    </w:pPr>
  </w:style>
  <w:style w:type="character" w:customStyle="1" w:styleId="Char">
    <w:name w:val="页眉 Char"/>
    <w:basedOn w:val="a0"/>
    <w:link w:val="a5"/>
    <w:uiPriority w:val="99"/>
    <w:rsid w:val="00D4398F"/>
  </w:style>
  <w:style w:type="paragraph" w:styleId="a6">
    <w:name w:val="footer"/>
    <w:basedOn w:val="a"/>
    <w:link w:val="Char0"/>
    <w:uiPriority w:val="99"/>
    <w:unhideWhenUsed/>
    <w:rsid w:val="00D4398F"/>
    <w:pPr>
      <w:tabs>
        <w:tab w:val="center" w:pos="4252"/>
        <w:tab w:val="right" w:pos="8504"/>
      </w:tabs>
      <w:snapToGrid w:val="0"/>
    </w:pPr>
  </w:style>
  <w:style w:type="character" w:customStyle="1" w:styleId="Char0">
    <w:name w:val="页脚 Char"/>
    <w:basedOn w:val="a0"/>
    <w:link w:val="a6"/>
    <w:uiPriority w:val="99"/>
    <w:rsid w:val="00D4398F"/>
  </w:style>
  <w:style w:type="paragraph" w:styleId="a7">
    <w:name w:val="Balloon Text"/>
    <w:basedOn w:val="a"/>
    <w:link w:val="Char1"/>
    <w:uiPriority w:val="99"/>
    <w:semiHidden/>
    <w:unhideWhenUsed/>
    <w:rsid w:val="00D4398F"/>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D4398F"/>
    <w:rPr>
      <w:rFonts w:asciiTheme="majorHAnsi" w:eastAsiaTheme="majorEastAsia" w:hAnsiTheme="majorHAnsi" w:cstheme="majorBidi"/>
      <w:sz w:val="18"/>
      <w:szCs w:val="18"/>
    </w:rPr>
  </w:style>
  <w:style w:type="character" w:styleId="a8">
    <w:name w:val="annotation reference"/>
    <w:basedOn w:val="a0"/>
    <w:uiPriority w:val="99"/>
    <w:unhideWhenUsed/>
    <w:qFormat/>
    <w:rsid w:val="00D4398F"/>
    <w:rPr>
      <w:sz w:val="18"/>
      <w:szCs w:val="18"/>
    </w:rPr>
  </w:style>
  <w:style w:type="paragraph" w:styleId="a9">
    <w:name w:val="annotation text"/>
    <w:basedOn w:val="a"/>
    <w:link w:val="Char2"/>
    <w:uiPriority w:val="99"/>
    <w:unhideWhenUsed/>
    <w:qFormat/>
    <w:rsid w:val="00D4398F"/>
    <w:rPr>
      <w:sz w:val="24"/>
      <w:szCs w:val="24"/>
    </w:rPr>
  </w:style>
  <w:style w:type="character" w:customStyle="1" w:styleId="Char2">
    <w:name w:val="批注文字 Char"/>
    <w:basedOn w:val="a0"/>
    <w:link w:val="a9"/>
    <w:uiPriority w:val="99"/>
    <w:rsid w:val="00D4398F"/>
    <w:rPr>
      <w:sz w:val="24"/>
      <w:szCs w:val="24"/>
    </w:rPr>
  </w:style>
  <w:style w:type="paragraph" w:styleId="aa">
    <w:name w:val="annotation subject"/>
    <w:basedOn w:val="a9"/>
    <w:next w:val="a9"/>
    <w:link w:val="Char3"/>
    <w:uiPriority w:val="99"/>
    <w:semiHidden/>
    <w:unhideWhenUsed/>
    <w:rsid w:val="00D4398F"/>
    <w:rPr>
      <w:b/>
      <w:bCs/>
      <w:sz w:val="20"/>
      <w:szCs w:val="20"/>
    </w:rPr>
  </w:style>
  <w:style w:type="character" w:customStyle="1" w:styleId="Char3">
    <w:name w:val="批注主题 Char"/>
    <w:basedOn w:val="Char2"/>
    <w:link w:val="aa"/>
    <w:uiPriority w:val="99"/>
    <w:semiHidden/>
    <w:rsid w:val="00D4398F"/>
    <w:rPr>
      <w:b/>
      <w:bCs/>
      <w:sz w:val="20"/>
      <w:szCs w:val="20"/>
    </w:rPr>
  </w:style>
  <w:style w:type="paragraph" w:styleId="ab">
    <w:name w:val="Revision"/>
    <w:hidden/>
    <w:uiPriority w:val="99"/>
    <w:semiHidden/>
    <w:rsid w:val="00D4398F"/>
  </w:style>
  <w:style w:type="table" w:styleId="ac">
    <w:name w:val="Table Grid"/>
    <w:basedOn w:val="a1"/>
    <w:uiPriority w:val="39"/>
    <w:rsid w:val="00D4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36AF"/>
    <w:pPr>
      <w:widowControl w:val="0"/>
      <w:autoSpaceDE w:val="0"/>
      <w:autoSpaceDN w:val="0"/>
      <w:adjustRightInd w:val="0"/>
    </w:pPr>
    <w:rPr>
      <w:rFonts w:ascii="Book Antiqua" w:hAnsi="Book Antiqua" w:cs="Book Antiqua"/>
      <w:color w:val="000000"/>
      <w:kern w:val="0"/>
      <w:sz w:val="24"/>
      <w:szCs w:val="24"/>
    </w:rPr>
  </w:style>
  <w:style w:type="character" w:customStyle="1" w:styleId="10">
    <w:name w:val="批注文字 字符1"/>
    <w:basedOn w:val="a0"/>
    <w:uiPriority w:val="99"/>
    <w:qFormat/>
    <w:rsid w:val="009122BE"/>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8F"/>
    <w:pPr>
      <w:widowControl w:val="0"/>
      <w:jc w:val="both"/>
    </w:pPr>
  </w:style>
  <w:style w:type="paragraph" w:styleId="1">
    <w:name w:val="heading 1"/>
    <w:basedOn w:val="a"/>
    <w:next w:val="a"/>
    <w:link w:val="1Char"/>
    <w:uiPriority w:val="9"/>
    <w:qFormat/>
    <w:rsid w:val="00D4398F"/>
    <w:pPr>
      <w:keepNext/>
      <w:outlineLvl w:val="0"/>
    </w:pPr>
    <w:rPr>
      <w:rFonts w:asciiTheme="majorHAnsi" w:eastAsiaTheme="majorEastAsia" w:hAnsiTheme="majorHAnsi" w:cstheme="majorBidi"/>
      <w:sz w:val="24"/>
      <w:szCs w:val="24"/>
    </w:rPr>
  </w:style>
  <w:style w:type="paragraph" w:styleId="4">
    <w:name w:val="heading 4"/>
    <w:basedOn w:val="a"/>
    <w:link w:val="4Char"/>
    <w:uiPriority w:val="9"/>
    <w:qFormat/>
    <w:rsid w:val="00D4398F"/>
    <w:pPr>
      <w:widowControl/>
      <w:spacing w:before="100" w:beforeAutospacing="1" w:after="100" w:afterAutospacing="1"/>
      <w:jc w:val="left"/>
      <w:outlineLvl w:val="3"/>
    </w:pPr>
    <w:rPr>
      <w:rFonts w:ascii="MS PGothic" w:eastAsia="MS PGothic" w:hAnsi="MS PGothic" w:cs="MS PGothic"/>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398F"/>
    <w:rPr>
      <w:rFonts w:asciiTheme="majorHAnsi" w:eastAsiaTheme="majorEastAsia" w:hAnsiTheme="majorHAnsi" w:cstheme="majorBidi"/>
      <w:sz w:val="24"/>
      <w:szCs w:val="24"/>
    </w:rPr>
  </w:style>
  <w:style w:type="character" w:customStyle="1" w:styleId="4Char">
    <w:name w:val="标题 4 Char"/>
    <w:basedOn w:val="a0"/>
    <w:link w:val="4"/>
    <w:uiPriority w:val="9"/>
    <w:rsid w:val="00D4398F"/>
    <w:rPr>
      <w:rFonts w:ascii="MS PGothic" w:eastAsia="MS PGothic" w:hAnsi="MS PGothic" w:cs="MS PGothic"/>
      <w:b/>
      <w:bCs/>
      <w:kern w:val="0"/>
      <w:sz w:val="29"/>
      <w:szCs w:val="29"/>
    </w:rPr>
  </w:style>
  <w:style w:type="paragraph" w:styleId="a3">
    <w:name w:val="List Paragraph"/>
    <w:basedOn w:val="a"/>
    <w:uiPriority w:val="34"/>
    <w:qFormat/>
    <w:rsid w:val="00D4398F"/>
    <w:pPr>
      <w:ind w:leftChars="400" w:left="840"/>
    </w:pPr>
  </w:style>
  <w:style w:type="paragraph" w:customStyle="1" w:styleId="EndNoteBibliographyTitle">
    <w:name w:val="EndNote Bibliography Title"/>
    <w:basedOn w:val="a"/>
    <w:link w:val="EndNoteBibliographyTitle0"/>
    <w:rsid w:val="00D4398F"/>
    <w:pPr>
      <w:jc w:val="center"/>
    </w:pPr>
    <w:rPr>
      <w:rFonts w:ascii="Century" w:hAnsi="Century"/>
      <w:noProof/>
      <w:sz w:val="20"/>
    </w:rPr>
  </w:style>
  <w:style w:type="character" w:customStyle="1" w:styleId="EndNoteBibliographyTitle0">
    <w:name w:val="EndNote Bibliography Title (文字)"/>
    <w:basedOn w:val="a0"/>
    <w:link w:val="EndNoteBibliographyTitle"/>
    <w:rsid w:val="00D4398F"/>
    <w:rPr>
      <w:rFonts w:ascii="Century" w:hAnsi="Century"/>
      <w:noProof/>
      <w:sz w:val="20"/>
    </w:rPr>
  </w:style>
  <w:style w:type="paragraph" w:customStyle="1" w:styleId="EndNoteBibliography">
    <w:name w:val="EndNote Bibliography"/>
    <w:basedOn w:val="a"/>
    <w:link w:val="EndNoteBibliography0"/>
    <w:rsid w:val="00D4398F"/>
    <w:rPr>
      <w:rFonts w:ascii="Century" w:hAnsi="Century"/>
      <w:noProof/>
      <w:sz w:val="20"/>
    </w:rPr>
  </w:style>
  <w:style w:type="character" w:customStyle="1" w:styleId="EndNoteBibliography0">
    <w:name w:val="EndNote Bibliography (文字)"/>
    <w:basedOn w:val="a0"/>
    <w:link w:val="EndNoteBibliography"/>
    <w:rsid w:val="00D4398F"/>
    <w:rPr>
      <w:rFonts w:ascii="Century" w:hAnsi="Century"/>
      <w:noProof/>
      <w:sz w:val="20"/>
    </w:rPr>
  </w:style>
  <w:style w:type="character" w:styleId="a4">
    <w:name w:val="Hyperlink"/>
    <w:basedOn w:val="a0"/>
    <w:uiPriority w:val="99"/>
    <w:unhideWhenUsed/>
    <w:rsid w:val="00D4398F"/>
    <w:rPr>
      <w:color w:val="0563C1" w:themeColor="hyperlink"/>
      <w:u w:val="single"/>
    </w:rPr>
  </w:style>
  <w:style w:type="paragraph" w:styleId="a5">
    <w:name w:val="header"/>
    <w:basedOn w:val="a"/>
    <w:link w:val="Char"/>
    <w:uiPriority w:val="99"/>
    <w:unhideWhenUsed/>
    <w:rsid w:val="00D4398F"/>
    <w:pPr>
      <w:tabs>
        <w:tab w:val="center" w:pos="4252"/>
        <w:tab w:val="right" w:pos="8504"/>
      </w:tabs>
      <w:snapToGrid w:val="0"/>
    </w:pPr>
  </w:style>
  <w:style w:type="character" w:customStyle="1" w:styleId="Char">
    <w:name w:val="页眉 Char"/>
    <w:basedOn w:val="a0"/>
    <w:link w:val="a5"/>
    <w:uiPriority w:val="99"/>
    <w:rsid w:val="00D4398F"/>
  </w:style>
  <w:style w:type="paragraph" w:styleId="a6">
    <w:name w:val="footer"/>
    <w:basedOn w:val="a"/>
    <w:link w:val="Char0"/>
    <w:uiPriority w:val="99"/>
    <w:unhideWhenUsed/>
    <w:rsid w:val="00D4398F"/>
    <w:pPr>
      <w:tabs>
        <w:tab w:val="center" w:pos="4252"/>
        <w:tab w:val="right" w:pos="8504"/>
      </w:tabs>
      <w:snapToGrid w:val="0"/>
    </w:pPr>
  </w:style>
  <w:style w:type="character" w:customStyle="1" w:styleId="Char0">
    <w:name w:val="页脚 Char"/>
    <w:basedOn w:val="a0"/>
    <w:link w:val="a6"/>
    <w:uiPriority w:val="99"/>
    <w:rsid w:val="00D4398F"/>
  </w:style>
  <w:style w:type="paragraph" w:styleId="a7">
    <w:name w:val="Balloon Text"/>
    <w:basedOn w:val="a"/>
    <w:link w:val="Char1"/>
    <w:uiPriority w:val="99"/>
    <w:semiHidden/>
    <w:unhideWhenUsed/>
    <w:rsid w:val="00D4398F"/>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D4398F"/>
    <w:rPr>
      <w:rFonts w:asciiTheme="majorHAnsi" w:eastAsiaTheme="majorEastAsia" w:hAnsiTheme="majorHAnsi" w:cstheme="majorBidi"/>
      <w:sz w:val="18"/>
      <w:szCs w:val="18"/>
    </w:rPr>
  </w:style>
  <w:style w:type="character" w:styleId="a8">
    <w:name w:val="annotation reference"/>
    <w:basedOn w:val="a0"/>
    <w:uiPriority w:val="99"/>
    <w:unhideWhenUsed/>
    <w:qFormat/>
    <w:rsid w:val="00D4398F"/>
    <w:rPr>
      <w:sz w:val="18"/>
      <w:szCs w:val="18"/>
    </w:rPr>
  </w:style>
  <w:style w:type="paragraph" w:styleId="a9">
    <w:name w:val="annotation text"/>
    <w:basedOn w:val="a"/>
    <w:link w:val="Char2"/>
    <w:uiPriority w:val="99"/>
    <w:unhideWhenUsed/>
    <w:qFormat/>
    <w:rsid w:val="00D4398F"/>
    <w:rPr>
      <w:sz w:val="24"/>
      <w:szCs w:val="24"/>
    </w:rPr>
  </w:style>
  <w:style w:type="character" w:customStyle="1" w:styleId="Char2">
    <w:name w:val="批注文字 Char"/>
    <w:basedOn w:val="a0"/>
    <w:link w:val="a9"/>
    <w:uiPriority w:val="99"/>
    <w:rsid w:val="00D4398F"/>
    <w:rPr>
      <w:sz w:val="24"/>
      <w:szCs w:val="24"/>
    </w:rPr>
  </w:style>
  <w:style w:type="paragraph" w:styleId="aa">
    <w:name w:val="annotation subject"/>
    <w:basedOn w:val="a9"/>
    <w:next w:val="a9"/>
    <w:link w:val="Char3"/>
    <w:uiPriority w:val="99"/>
    <w:semiHidden/>
    <w:unhideWhenUsed/>
    <w:rsid w:val="00D4398F"/>
    <w:rPr>
      <w:b/>
      <w:bCs/>
      <w:sz w:val="20"/>
      <w:szCs w:val="20"/>
    </w:rPr>
  </w:style>
  <w:style w:type="character" w:customStyle="1" w:styleId="Char3">
    <w:name w:val="批注主题 Char"/>
    <w:basedOn w:val="Char2"/>
    <w:link w:val="aa"/>
    <w:uiPriority w:val="99"/>
    <w:semiHidden/>
    <w:rsid w:val="00D4398F"/>
    <w:rPr>
      <w:b/>
      <w:bCs/>
      <w:sz w:val="20"/>
      <w:szCs w:val="20"/>
    </w:rPr>
  </w:style>
  <w:style w:type="paragraph" w:styleId="ab">
    <w:name w:val="Revision"/>
    <w:hidden/>
    <w:uiPriority w:val="99"/>
    <w:semiHidden/>
    <w:rsid w:val="00D4398F"/>
  </w:style>
  <w:style w:type="table" w:styleId="ac">
    <w:name w:val="Table Grid"/>
    <w:basedOn w:val="a1"/>
    <w:uiPriority w:val="39"/>
    <w:rsid w:val="00D4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36AF"/>
    <w:pPr>
      <w:widowControl w:val="0"/>
      <w:autoSpaceDE w:val="0"/>
      <w:autoSpaceDN w:val="0"/>
      <w:adjustRightInd w:val="0"/>
    </w:pPr>
    <w:rPr>
      <w:rFonts w:ascii="Book Antiqua" w:hAnsi="Book Antiqua" w:cs="Book Antiqua"/>
      <w:color w:val="000000"/>
      <w:kern w:val="0"/>
      <w:sz w:val="24"/>
      <w:szCs w:val="24"/>
    </w:rPr>
  </w:style>
  <w:style w:type="character" w:customStyle="1" w:styleId="10">
    <w:name w:val="批注文字 字符1"/>
    <w:basedOn w:val="a0"/>
    <w:uiPriority w:val="99"/>
    <w:qFormat/>
    <w:rsid w:val="009122BE"/>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7976-3D8D-4C19-B203-705A9F36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5814</Words>
  <Characters>33142</Characters>
  <Application>Microsoft Office Word</Application>
  <DocSecurity>0</DocSecurity>
  <Lines>276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Yugo Iwaya</dc:creator>
  <cp:keywords/>
  <dc:description/>
  <cp:lastModifiedBy>User</cp:lastModifiedBy>
  <cp:revision>3</cp:revision>
  <dcterms:created xsi:type="dcterms:W3CDTF">2019-05-18T12:23:00Z</dcterms:created>
  <dcterms:modified xsi:type="dcterms:W3CDTF">2019-06-28T09:38:00Z</dcterms:modified>
</cp:coreProperties>
</file>