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C9086" w14:textId="77777777" w:rsidR="007018B5" w:rsidRPr="00892CA2" w:rsidRDefault="007018B5" w:rsidP="007E3B89">
      <w:pPr>
        <w:suppressAutoHyphens/>
        <w:adjustRightInd w:val="0"/>
        <w:snapToGrid w:val="0"/>
        <w:spacing w:before="0" w:after="0"/>
        <w:jc w:val="both"/>
        <w:rPr>
          <w:rFonts w:eastAsia="宋体"/>
          <w:b/>
          <w:color w:val="000000"/>
          <w:szCs w:val="24"/>
          <w:lang w:val="en-US" w:eastAsia="ar-SA"/>
        </w:rPr>
      </w:pPr>
      <w:bookmarkStart w:id="0" w:name="OLE_LINK262"/>
      <w:bookmarkStart w:id="1" w:name="OLE_LINK263"/>
      <w:bookmarkStart w:id="2" w:name="OLE_LINK191"/>
      <w:bookmarkStart w:id="3" w:name="OLE_LINK192"/>
      <w:bookmarkStart w:id="4" w:name="OLE_LINK484"/>
      <w:bookmarkStart w:id="5" w:name="OLE_LINK356"/>
      <w:bookmarkStart w:id="6" w:name="OLE_LINK372"/>
      <w:bookmarkStart w:id="7" w:name="OLE_LINK214"/>
      <w:bookmarkStart w:id="8" w:name="OLE_LINK493"/>
      <w:bookmarkStart w:id="9" w:name="OLE_LINK552"/>
      <w:bookmarkStart w:id="10" w:name="OLE_LINK553"/>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bookmarkStart w:id="19" w:name="OLE_LINK255"/>
      <w:bookmarkStart w:id="20" w:name="OLE_LINK578"/>
      <w:bookmarkStart w:id="21" w:name="OLE_LINK511"/>
      <w:bookmarkStart w:id="22" w:name="OLE_LINK512"/>
      <w:r w:rsidRPr="00892CA2">
        <w:rPr>
          <w:rFonts w:eastAsia="宋体"/>
          <w:b/>
          <w:color w:val="000000"/>
          <w:szCs w:val="24"/>
          <w:lang w:val="en-US" w:eastAsia="ar-SA"/>
        </w:rPr>
        <w:t xml:space="preserve">Name of Journal: </w:t>
      </w:r>
      <w:r w:rsidRPr="00892CA2">
        <w:rPr>
          <w:rFonts w:eastAsia="宋体"/>
          <w:b/>
          <w:i/>
          <w:color w:val="000000"/>
          <w:szCs w:val="24"/>
          <w:lang w:val="en-US" w:eastAsia="ar-SA"/>
        </w:rPr>
        <w:t>World Journal of Gastrointestinal Pathophysiology</w:t>
      </w:r>
    </w:p>
    <w:p w14:paraId="73411D3F" w14:textId="229C6019" w:rsidR="007018B5" w:rsidRPr="00892CA2" w:rsidRDefault="007018B5" w:rsidP="007E3B89">
      <w:pPr>
        <w:suppressAutoHyphens/>
        <w:adjustRightInd w:val="0"/>
        <w:snapToGrid w:val="0"/>
        <w:spacing w:before="0" w:after="0"/>
        <w:jc w:val="both"/>
        <w:rPr>
          <w:rFonts w:eastAsia="宋体"/>
          <w:b/>
          <w:color w:val="000000"/>
          <w:szCs w:val="24"/>
          <w:lang w:val="en-US" w:eastAsia="ar-SA"/>
        </w:rPr>
      </w:pPr>
      <w:r w:rsidRPr="00892CA2">
        <w:rPr>
          <w:rFonts w:eastAsia="宋体"/>
          <w:b/>
          <w:color w:val="000000"/>
          <w:szCs w:val="24"/>
          <w:lang w:val="en-US" w:eastAsia="ar-SA"/>
        </w:rPr>
        <w:t>Manuscript NO: 48183</w:t>
      </w:r>
    </w:p>
    <w:p w14:paraId="3BBC6729" w14:textId="234E31E3" w:rsidR="00AF11D9" w:rsidRPr="00892CA2" w:rsidRDefault="007018B5" w:rsidP="007E3B89">
      <w:pPr>
        <w:adjustRightInd w:val="0"/>
        <w:snapToGrid w:val="0"/>
        <w:spacing w:before="0" w:after="0"/>
        <w:jc w:val="both"/>
        <w:rPr>
          <w:b/>
          <w:szCs w:val="24"/>
          <w:lang w:val="en-US"/>
        </w:rPr>
      </w:pPr>
      <w:r w:rsidRPr="00892CA2">
        <w:rPr>
          <w:rFonts w:eastAsia="宋体"/>
          <w:b/>
          <w:color w:val="000000"/>
          <w:szCs w:val="24"/>
          <w:lang w:val="en-US" w:eastAsia="ar-SA"/>
        </w:rPr>
        <w:t>Manuscript Type:</w:t>
      </w:r>
      <w:r w:rsidR="00C97323" w:rsidRPr="00892CA2">
        <w:rPr>
          <w:rFonts w:eastAsia="宋体"/>
          <w:b/>
          <w:color w:val="000000"/>
          <w:szCs w:val="24"/>
          <w:lang w:val="en-US" w:eastAsia="ar-SA"/>
        </w:rPr>
        <w:t xml:space="preserve"> </w:t>
      </w:r>
      <w:bookmarkEnd w:id="0"/>
      <w:bookmarkEnd w:id="1"/>
      <w:r w:rsidRPr="00892CA2">
        <w:rPr>
          <w:b/>
          <w:szCs w:val="24"/>
          <w:lang w:val="en-US"/>
        </w:rPr>
        <w:t>ORIGINAL ARTICLE</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69CDE7D7" w14:textId="52406E9C" w:rsidR="00AF11D9" w:rsidRPr="00892CA2" w:rsidRDefault="00AF11D9" w:rsidP="007E3B89">
      <w:pPr>
        <w:adjustRightInd w:val="0"/>
        <w:snapToGrid w:val="0"/>
        <w:spacing w:before="0" w:after="0"/>
        <w:jc w:val="both"/>
        <w:rPr>
          <w:b/>
          <w:szCs w:val="24"/>
          <w:lang w:val="en-US"/>
        </w:rPr>
      </w:pPr>
    </w:p>
    <w:p w14:paraId="0CE04857" w14:textId="1CA3E626" w:rsidR="007018B5" w:rsidRPr="00892CA2" w:rsidRDefault="007018B5" w:rsidP="007E3B89">
      <w:pPr>
        <w:adjustRightInd w:val="0"/>
        <w:snapToGrid w:val="0"/>
        <w:spacing w:before="0" w:after="0"/>
        <w:jc w:val="both"/>
        <w:rPr>
          <w:b/>
          <w:i/>
          <w:iCs/>
          <w:szCs w:val="24"/>
          <w:lang w:val="en-US"/>
        </w:rPr>
      </w:pPr>
      <w:r w:rsidRPr="00892CA2">
        <w:rPr>
          <w:b/>
          <w:i/>
          <w:iCs/>
          <w:szCs w:val="24"/>
          <w:lang w:val="en-US"/>
        </w:rPr>
        <w:t>Observational Study</w:t>
      </w:r>
    </w:p>
    <w:p w14:paraId="7F1544DD" w14:textId="56C1117A" w:rsidR="00C37D8E" w:rsidRPr="00892CA2" w:rsidRDefault="00DC5F05" w:rsidP="007E3B89">
      <w:pPr>
        <w:pStyle w:val="af4"/>
        <w:adjustRightInd w:val="0"/>
        <w:snapToGrid w:val="0"/>
        <w:spacing w:after="0"/>
        <w:jc w:val="both"/>
        <w:rPr>
          <w:lang w:val="en-US"/>
        </w:rPr>
      </w:pPr>
      <w:bookmarkStart w:id="23" w:name="OLE_LINK743"/>
      <w:bookmarkStart w:id="24" w:name="OLE_LINK744"/>
      <w:r w:rsidRPr="00892CA2">
        <w:rPr>
          <w:lang w:val="en-US"/>
        </w:rPr>
        <w:t xml:space="preserve">Comparison of cytokine and phosphoprotein profiles in idiopathic and Crohn’s </w:t>
      </w:r>
      <w:r w:rsidR="00A21C79" w:rsidRPr="00892CA2">
        <w:rPr>
          <w:lang w:val="en-US"/>
        </w:rPr>
        <w:t>disease</w:t>
      </w:r>
      <w:r w:rsidR="005725E1" w:rsidRPr="00892CA2">
        <w:rPr>
          <w:lang w:val="en-US"/>
        </w:rPr>
        <w:t>-related</w:t>
      </w:r>
      <w:r w:rsidR="00A21C79" w:rsidRPr="00892CA2">
        <w:rPr>
          <w:lang w:val="en-US"/>
        </w:rPr>
        <w:t xml:space="preserve"> </w:t>
      </w:r>
      <w:r w:rsidRPr="00892CA2">
        <w:rPr>
          <w:lang w:val="en-US"/>
        </w:rPr>
        <w:t>perianal fistula</w:t>
      </w:r>
    </w:p>
    <w:bookmarkEnd w:id="23"/>
    <w:bookmarkEnd w:id="24"/>
    <w:p w14:paraId="47C84EB6" w14:textId="77777777" w:rsidR="007018B5" w:rsidRPr="00892CA2" w:rsidRDefault="007018B5" w:rsidP="007E3B89">
      <w:pPr>
        <w:adjustRightInd w:val="0"/>
        <w:snapToGrid w:val="0"/>
        <w:spacing w:before="0" w:after="0"/>
        <w:jc w:val="both"/>
        <w:rPr>
          <w:lang w:val="en-US" w:eastAsia="en-GB"/>
        </w:rPr>
      </w:pPr>
    </w:p>
    <w:p w14:paraId="26E1B7A7" w14:textId="6A806A57" w:rsidR="00AF11D9" w:rsidRPr="00892CA2" w:rsidRDefault="00C37D8E" w:rsidP="007E3B89">
      <w:pPr>
        <w:adjustRightInd w:val="0"/>
        <w:snapToGrid w:val="0"/>
        <w:spacing w:before="0" w:after="0"/>
        <w:jc w:val="both"/>
        <w:rPr>
          <w:szCs w:val="24"/>
          <w:lang w:val="en-US"/>
        </w:rPr>
      </w:pPr>
      <w:bookmarkStart w:id="25" w:name="OLE_LINK116"/>
      <w:bookmarkStart w:id="26" w:name="OLE_LINK217"/>
      <w:bookmarkStart w:id="27" w:name="OLE_LINK266"/>
      <w:bookmarkStart w:id="28" w:name="OLE_LINK766"/>
      <w:bookmarkStart w:id="29" w:name="OLE_LINK791"/>
      <w:bookmarkStart w:id="30" w:name="OLE_LINK864"/>
      <w:r w:rsidRPr="00892CA2">
        <w:rPr>
          <w:szCs w:val="24"/>
          <w:lang w:val="en-US"/>
        </w:rPr>
        <w:t xml:space="preserve">Haddow JB </w:t>
      </w:r>
      <w:r w:rsidRPr="00892CA2">
        <w:rPr>
          <w:i/>
          <w:iCs/>
          <w:szCs w:val="24"/>
          <w:lang w:val="en-US"/>
        </w:rPr>
        <w:t>et al.</w:t>
      </w:r>
      <w:r w:rsidR="00AF11D9" w:rsidRPr="00892CA2">
        <w:rPr>
          <w:szCs w:val="24"/>
          <w:lang w:val="en-US"/>
        </w:rPr>
        <w:t xml:space="preserve"> </w:t>
      </w:r>
      <w:bookmarkEnd w:id="25"/>
      <w:r w:rsidRPr="00892CA2">
        <w:rPr>
          <w:szCs w:val="24"/>
          <w:lang w:val="en-US"/>
        </w:rPr>
        <w:t>Perianal fistula immunopathology</w:t>
      </w:r>
    </w:p>
    <w:p w14:paraId="5B7C7DB8" w14:textId="77777777" w:rsidR="007018B5" w:rsidRPr="00892CA2" w:rsidRDefault="007018B5" w:rsidP="007E3B89">
      <w:pPr>
        <w:adjustRightInd w:val="0"/>
        <w:snapToGrid w:val="0"/>
        <w:spacing w:before="0" w:after="0"/>
        <w:jc w:val="both"/>
        <w:rPr>
          <w:szCs w:val="24"/>
          <w:lang w:val="en-US"/>
        </w:rPr>
      </w:pPr>
    </w:p>
    <w:bookmarkEnd w:id="26"/>
    <w:bookmarkEnd w:id="27"/>
    <w:bookmarkEnd w:id="28"/>
    <w:bookmarkEnd w:id="29"/>
    <w:bookmarkEnd w:id="30"/>
    <w:p w14:paraId="3258BC99" w14:textId="41B429A4" w:rsidR="00205E33" w:rsidRPr="00892CA2" w:rsidRDefault="00236A53" w:rsidP="007E3B89">
      <w:pPr>
        <w:adjustRightInd w:val="0"/>
        <w:snapToGrid w:val="0"/>
        <w:spacing w:before="0" w:after="0"/>
        <w:jc w:val="both"/>
        <w:rPr>
          <w:szCs w:val="24"/>
          <w:lang w:val="en-US"/>
        </w:rPr>
      </w:pPr>
      <w:r w:rsidRPr="00892CA2">
        <w:rPr>
          <w:szCs w:val="24"/>
          <w:lang w:val="en-US"/>
        </w:rPr>
        <w:t xml:space="preserve">James B </w:t>
      </w:r>
      <w:proofErr w:type="spellStart"/>
      <w:r w:rsidRPr="00892CA2">
        <w:rPr>
          <w:szCs w:val="24"/>
          <w:lang w:val="en-US"/>
        </w:rPr>
        <w:t>Haddow</w:t>
      </w:r>
      <w:proofErr w:type="spellEnd"/>
      <w:r w:rsidRPr="00892CA2">
        <w:rPr>
          <w:szCs w:val="24"/>
          <w:lang w:val="en-US"/>
        </w:rPr>
        <w:t xml:space="preserve">, Omar </w:t>
      </w:r>
      <w:proofErr w:type="spellStart"/>
      <w:r w:rsidRPr="00892CA2">
        <w:rPr>
          <w:szCs w:val="24"/>
          <w:lang w:val="en-US"/>
        </w:rPr>
        <w:t>Musbahi</w:t>
      </w:r>
      <w:proofErr w:type="spellEnd"/>
      <w:r w:rsidRPr="00892CA2">
        <w:rPr>
          <w:szCs w:val="24"/>
          <w:lang w:val="en-US"/>
        </w:rPr>
        <w:t>, Thomas T MacDonald, Charles H Knowles</w:t>
      </w:r>
    </w:p>
    <w:p w14:paraId="532A4DA0" w14:textId="77777777" w:rsidR="00236A53" w:rsidRPr="00892CA2" w:rsidRDefault="00236A53" w:rsidP="007E3B89">
      <w:pPr>
        <w:adjustRightInd w:val="0"/>
        <w:snapToGrid w:val="0"/>
        <w:spacing w:before="0" w:after="0"/>
        <w:jc w:val="both"/>
        <w:rPr>
          <w:szCs w:val="24"/>
          <w:lang w:val="en-US"/>
        </w:rPr>
      </w:pPr>
    </w:p>
    <w:p w14:paraId="1919E241" w14:textId="51172AFB" w:rsidR="00C37D8E" w:rsidRPr="00892CA2" w:rsidRDefault="00C37D8E" w:rsidP="007E3B89">
      <w:pPr>
        <w:adjustRightInd w:val="0"/>
        <w:snapToGrid w:val="0"/>
        <w:spacing w:before="0" w:after="0"/>
        <w:jc w:val="both"/>
        <w:rPr>
          <w:iCs/>
          <w:szCs w:val="24"/>
          <w:lang w:val="en-US"/>
        </w:rPr>
      </w:pPr>
      <w:r w:rsidRPr="00892CA2">
        <w:rPr>
          <w:b/>
          <w:bCs/>
          <w:szCs w:val="24"/>
          <w:lang w:val="en-US"/>
        </w:rPr>
        <w:t xml:space="preserve">James B </w:t>
      </w:r>
      <w:proofErr w:type="spellStart"/>
      <w:r w:rsidRPr="00892CA2">
        <w:rPr>
          <w:b/>
          <w:bCs/>
          <w:szCs w:val="24"/>
          <w:lang w:val="en-US"/>
        </w:rPr>
        <w:t>Haddow</w:t>
      </w:r>
      <w:proofErr w:type="spellEnd"/>
      <w:r w:rsidRPr="00892CA2">
        <w:rPr>
          <w:b/>
          <w:bCs/>
          <w:szCs w:val="24"/>
          <w:lang w:val="en-US"/>
        </w:rPr>
        <w:t xml:space="preserve">, Omar </w:t>
      </w:r>
      <w:proofErr w:type="spellStart"/>
      <w:r w:rsidRPr="00892CA2">
        <w:rPr>
          <w:b/>
          <w:bCs/>
          <w:szCs w:val="24"/>
          <w:lang w:val="en-US"/>
        </w:rPr>
        <w:t>Musbahi</w:t>
      </w:r>
      <w:proofErr w:type="spellEnd"/>
      <w:r w:rsidRPr="00892CA2">
        <w:rPr>
          <w:b/>
          <w:bCs/>
          <w:szCs w:val="24"/>
          <w:lang w:val="en-US"/>
        </w:rPr>
        <w:t>, Thomas T MacDonald, Charles H Knowles,</w:t>
      </w:r>
      <w:r w:rsidRPr="00892CA2">
        <w:rPr>
          <w:szCs w:val="24"/>
          <w:lang w:val="en-US"/>
        </w:rPr>
        <w:t xml:space="preserve"> </w:t>
      </w:r>
      <w:bookmarkStart w:id="31" w:name="OLE_LINK697"/>
      <w:bookmarkStart w:id="32" w:name="OLE_LINK698"/>
      <w:proofErr w:type="spellStart"/>
      <w:r w:rsidRPr="00892CA2">
        <w:rPr>
          <w:szCs w:val="24"/>
          <w:lang w:val="en-US"/>
        </w:rPr>
        <w:t>Blizard</w:t>
      </w:r>
      <w:proofErr w:type="spellEnd"/>
      <w:r w:rsidRPr="00892CA2">
        <w:rPr>
          <w:iCs/>
          <w:szCs w:val="24"/>
          <w:lang w:val="en-US"/>
        </w:rPr>
        <w:t xml:space="preserve"> Institute, </w:t>
      </w:r>
      <w:proofErr w:type="spellStart"/>
      <w:r w:rsidRPr="00892CA2">
        <w:rPr>
          <w:iCs/>
          <w:szCs w:val="24"/>
          <w:lang w:val="en-US"/>
        </w:rPr>
        <w:t>Barts</w:t>
      </w:r>
      <w:proofErr w:type="spellEnd"/>
      <w:r w:rsidRPr="00892CA2">
        <w:rPr>
          <w:iCs/>
          <w:szCs w:val="24"/>
          <w:lang w:val="en-US"/>
        </w:rPr>
        <w:t xml:space="preserve"> and the London School of Medicine and Dentistry, </w:t>
      </w:r>
      <w:bookmarkStart w:id="33" w:name="OLE_LINK693"/>
      <w:bookmarkStart w:id="34" w:name="OLE_LINK694"/>
      <w:r w:rsidRPr="00892CA2">
        <w:rPr>
          <w:iCs/>
          <w:szCs w:val="24"/>
          <w:lang w:val="en-US"/>
        </w:rPr>
        <w:t>Queen Mary University of London</w:t>
      </w:r>
      <w:bookmarkEnd w:id="33"/>
      <w:bookmarkEnd w:id="34"/>
      <w:r w:rsidRPr="00892CA2">
        <w:rPr>
          <w:iCs/>
          <w:szCs w:val="24"/>
          <w:lang w:val="en-US"/>
        </w:rPr>
        <w:t>,</w:t>
      </w:r>
      <w:bookmarkEnd w:id="31"/>
      <w:bookmarkEnd w:id="32"/>
      <w:r w:rsidRPr="00892CA2">
        <w:rPr>
          <w:iCs/>
          <w:szCs w:val="24"/>
          <w:lang w:val="en-US"/>
        </w:rPr>
        <w:t xml:space="preserve"> London </w:t>
      </w:r>
      <w:r w:rsidR="002F7D7F" w:rsidRPr="00892CA2">
        <w:rPr>
          <w:iCs/>
          <w:szCs w:val="24"/>
          <w:lang w:val="en-US"/>
        </w:rPr>
        <w:t xml:space="preserve">E1 5AT, </w:t>
      </w:r>
      <w:r w:rsidRPr="00892CA2">
        <w:rPr>
          <w:iCs/>
          <w:szCs w:val="24"/>
          <w:lang w:val="en-US"/>
        </w:rPr>
        <w:t>U</w:t>
      </w:r>
      <w:r w:rsidR="007018B5" w:rsidRPr="00892CA2">
        <w:rPr>
          <w:iCs/>
          <w:szCs w:val="24"/>
          <w:lang w:val="en-US"/>
        </w:rPr>
        <w:t>nited Kingdom</w:t>
      </w:r>
    </w:p>
    <w:p w14:paraId="00D8C11E" w14:textId="77777777" w:rsidR="007018B5" w:rsidRPr="00892CA2" w:rsidRDefault="007018B5" w:rsidP="007E3B89">
      <w:pPr>
        <w:adjustRightInd w:val="0"/>
        <w:snapToGrid w:val="0"/>
        <w:spacing w:before="0" w:after="0"/>
        <w:jc w:val="both"/>
        <w:rPr>
          <w:iCs/>
          <w:szCs w:val="24"/>
          <w:lang w:val="en-US"/>
        </w:rPr>
      </w:pPr>
    </w:p>
    <w:p w14:paraId="7F0B6661" w14:textId="51B2699A" w:rsidR="00AB4050" w:rsidRPr="00892CA2" w:rsidRDefault="00AF11D9" w:rsidP="007E3B89">
      <w:pPr>
        <w:adjustRightInd w:val="0"/>
        <w:snapToGrid w:val="0"/>
        <w:spacing w:before="0" w:after="0"/>
        <w:jc w:val="both"/>
        <w:rPr>
          <w:szCs w:val="24"/>
          <w:lang w:val="en-US"/>
        </w:rPr>
      </w:pPr>
      <w:bookmarkStart w:id="35" w:name="OLE_LINK167"/>
      <w:bookmarkStart w:id="36" w:name="OLE_LINK170"/>
      <w:bookmarkStart w:id="37" w:name="OLE_LINK219"/>
      <w:bookmarkStart w:id="38" w:name="OLE_LINK487"/>
      <w:bookmarkStart w:id="39" w:name="OLE_LINK121"/>
      <w:bookmarkStart w:id="40" w:name="OLE_LINK269"/>
      <w:bookmarkStart w:id="41" w:name="OLE_LINK585"/>
      <w:bookmarkStart w:id="42" w:name="OLE_LINK874"/>
      <w:bookmarkStart w:id="43" w:name="OLE_LINK875"/>
      <w:r w:rsidRPr="00892CA2">
        <w:rPr>
          <w:b/>
          <w:bCs/>
          <w:szCs w:val="24"/>
          <w:lang w:val="en-US"/>
        </w:rPr>
        <w:t>ORCID number:</w:t>
      </w:r>
      <w:bookmarkEnd w:id="35"/>
      <w:bookmarkEnd w:id="36"/>
      <w:bookmarkEnd w:id="37"/>
      <w:r w:rsidR="002F7D7F" w:rsidRPr="00892CA2">
        <w:rPr>
          <w:szCs w:val="24"/>
          <w:lang w:val="en-US"/>
        </w:rPr>
        <w:t xml:space="preserve"> James B </w:t>
      </w:r>
      <w:proofErr w:type="spellStart"/>
      <w:r w:rsidR="002F7D7F" w:rsidRPr="00892CA2">
        <w:rPr>
          <w:szCs w:val="24"/>
          <w:lang w:val="en-US"/>
        </w:rPr>
        <w:t>Haddow</w:t>
      </w:r>
      <w:proofErr w:type="spellEnd"/>
      <w:r w:rsidR="002F7D7F" w:rsidRPr="00892CA2">
        <w:rPr>
          <w:szCs w:val="24"/>
          <w:lang w:val="en-US"/>
        </w:rPr>
        <w:t xml:space="preserve"> (0000-0002-4219-5649)</w:t>
      </w:r>
      <w:r w:rsidR="007018B5" w:rsidRPr="00892CA2">
        <w:rPr>
          <w:szCs w:val="24"/>
          <w:lang w:val="en-US"/>
        </w:rPr>
        <w:t>;</w:t>
      </w:r>
      <w:r w:rsidR="002F7D7F" w:rsidRPr="00892CA2">
        <w:rPr>
          <w:szCs w:val="24"/>
          <w:lang w:val="en-US"/>
        </w:rPr>
        <w:t xml:space="preserve"> Omar </w:t>
      </w:r>
      <w:proofErr w:type="spellStart"/>
      <w:r w:rsidR="002F7D7F" w:rsidRPr="00892CA2">
        <w:rPr>
          <w:szCs w:val="24"/>
          <w:lang w:val="en-US"/>
        </w:rPr>
        <w:t>Musbahi</w:t>
      </w:r>
      <w:proofErr w:type="spellEnd"/>
      <w:r w:rsidR="002F7D7F" w:rsidRPr="00892CA2">
        <w:rPr>
          <w:szCs w:val="24"/>
          <w:lang w:val="en-US"/>
        </w:rPr>
        <w:t xml:space="preserve"> (0000-0002-4095-0989)</w:t>
      </w:r>
      <w:r w:rsidR="007018B5" w:rsidRPr="00892CA2">
        <w:rPr>
          <w:szCs w:val="24"/>
          <w:lang w:val="en-US"/>
        </w:rPr>
        <w:t>;</w:t>
      </w:r>
      <w:r w:rsidR="002F7D7F" w:rsidRPr="00892CA2">
        <w:rPr>
          <w:szCs w:val="24"/>
          <w:lang w:val="en-US"/>
        </w:rPr>
        <w:t xml:space="preserve"> Thomas T MacDonald (0000-0003-1812-0740)</w:t>
      </w:r>
      <w:r w:rsidR="007018B5" w:rsidRPr="00892CA2">
        <w:rPr>
          <w:szCs w:val="24"/>
          <w:lang w:val="en-US"/>
        </w:rPr>
        <w:t>;</w:t>
      </w:r>
      <w:r w:rsidR="002F7D7F" w:rsidRPr="00892CA2">
        <w:rPr>
          <w:szCs w:val="24"/>
          <w:lang w:val="en-US"/>
        </w:rPr>
        <w:t xml:space="preserve"> Charles H Knowles (0000-0001-9854-6754)</w:t>
      </w:r>
      <w:r w:rsidR="007018B5" w:rsidRPr="00892CA2">
        <w:rPr>
          <w:szCs w:val="24"/>
          <w:lang w:val="en-US"/>
        </w:rPr>
        <w:t>.</w:t>
      </w:r>
    </w:p>
    <w:p w14:paraId="448A2358" w14:textId="77777777" w:rsidR="007018B5" w:rsidRPr="00892CA2" w:rsidRDefault="007018B5" w:rsidP="007E3B89">
      <w:pPr>
        <w:adjustRightInd w:val="0"/>
        <w:snapToGrid w:val="0"/>
        <w:spacing w:before="0" w:after="0"/>
        <w:jc w:val="both"/>
        <w:rPr>
          <w:szCs w:val="24"/>
          <w:lang w:val="en-US"/>
        </w:rPr>
      </w:pPr>
    </w:p>
    <w:p w14:paraId="6B3CC6D3" w14:textId="083AE8FA" w:rsidR="00AF11D9" w:rsidRPr="00892CA2" w:rsidRDefault="002F7D7F" w:rsidP="007E3B89">
      <w:pPr>
        <w:adjustRightInd w:val="0"/>
        <w:snapToGrid w:val="0"/>
        <w:spacing w:before="0" w:after="0"/>
        <w:jc w:val="both"/>
        <w:rPr>
          <w:szCs w:val="24"/>
          <w:lang w:val="en-US"/>
        </w:rPr>
      </w:pPr>
      <w:r w:rsidRPr="00892CA2">
        <w:rPr>
          <w:b/>
          <w:bCs/>
          <w:szCs w:val="24"/>
          <w:lang w:val="en-US"/>
        </w:rPr>
        <w:t>Author contributions:</w:t>
      </w:r>
      <w:r w:rsidRPr="00892CA2">
        <w:rPr>
          <w:szCs w:val="24"/>
          <w:lang w:val="en-US"/>
        </w:rPr>
        <w:t xml:space="preserve"> Haddow J MacDonald TT and Knowles CH </w:t>
      </w:r>
      <w:r w:rsidR="00BC1841" w:rsidRPr="00892CA2">
        <w:rPr>
          <w:szCs w:val="24"/>
          <w:lang w:val="en-US"/>
        </w:rPr>
        <w:t>conceived and designed the</w:t>
      </w:r>
      <w:r w:rsidRPr="00892CA2">
        <w:rPr>
          <w:szCs w:val="24"/>
          <w:lang w:val="en-US"/>
        </w:rPr>
        <w:t xml:space="preserve"> study</w:t>
      </w:r>
      <w:r w:rsidR="008F634A" w:rsidRPr="00892CA2">
        <w:rPr>
          <w:szCs w:val="24"/>
          <w:lang w:val="en-US"/>
        </w:rPr>
        <w:t>;</w:t>
      </w:r>
      <w:r w:rsidR="00BC1841" w:rsidRPr="00892CA2">
        <w:rPr>
          <w:szCs w:val="24"/>
          <w:lang w:val="en-US"/>
        </w:rPr>
        <w:t xml:space="preserve"> Haddow J recruited the patients and acquired the data</w:t>
      </w:r>
      <w:r w:rsidR="008F634A" w:rsidRPr="00892CA2">
        <w:rPr>
          <w:szCs w:val="24"/>
          <w:lang w:val="en-US"/>
        </w:rPr>
        <w:t>;</w:t>
      </w:r>
      <w:r w:rsidR="00BC1841" w:rsidRPr="00892CA2">
        <w:rPr>
          <w:szCs w:val="24"/>
          <w:lang w:val="en-US"/>
        </w:rPr>
        <w:t xml:space="preserve"> Haddow J and Knowles CH acquired the specimens</w:t>
      </w:r>
      <w:r w:rsidR="008F634A" w:rsidRPr="00892CA2">
        <w:rPr>
          <w:szCs w:val="24"/>
          <w:lang w:val="en-US"/>
        </w:rPr>
        <w:t>;</w:t>
      </w:r>
      <w:r w:rsidR="00BC1841" w:rsidRPr="00892CA2">
        <w:rPr>
          <w:szCs w:val="24"/>
          <w:lang w:val="en-US"/>
        </w:rPr>
        <w:t xml:space="preserve"> </w:t>
      </w:r>
      <w:proofErr w:type="spellStart"/>
      <w:r w:rsidR="00BC1841" w:rsidRPr="00892CA2">
        <w:rPr>
          <w:szCs w:val="24"/>
          <w:lang w:val="en-US"/>
        </w:rPr>
        <w:t>Haddow</w:t>
      </w:r>
      <w:proofErr w:type="spellEnd"/>
      <w:r w:rsidR="00BC1841" w:rsidRPr="00892CA2">
        <w:rPr>
          <w:szCs w:val="24"/>
          <w:lang w:val="en-US"/>
        </w:rPr>
        <w:t xml:space="preserve"> J and </w:t>
      </w:r>
      <w:proofErr w:type="spellStart"/>
      <w:r w:rsidR="00BC1841" w:rsidRPr="00892CA2">
        <w:rPr>
          <w:szCs w:val="24"/>
          <w:lang w:val="en-US"/>
        </w:rPr>
        <w:t>Musbahi</w:t>
      </w:r>
      <w:proofErr w:type="spellEnd"/>
      <w:r w:rsidR="00BC1841" w:rsidRPr="00892CA2">
        <w:rPr>
          <w:szCs w:val="24"/>
          <w:lang w:val="en-US"/>
        </w:rPr>
        <w:t xml:space="preserve"> O performed the laboratory measurements and inputted the data</w:t>
      </w:r>
      <w:r w:rsidR="008F634A" w:rsidRPr="00892CA2">
        <w:rPr>
          <w:szCs w:val="24"/>
          <w:lang w:val="en-US"/>
        </w:rPr>
        <w:t>;</w:t>
      </w:r>
      <w:r w:rsidR="00BC1841" w:rsidRPr="00892CA2">
        <w:rPr>
          <w:szCs w:val="24"/>
          <w:lang w:val="en-US"/>
        </w:rPr>
        <w:t xml:space="preserve"> Haddow J and Knowles CH </w:t>
      </w:r>
      <w:proofErr w:type="spellStart"/>
      <w:r w:rsidR="00BC1841" w:rsidRPr="00892CA2">
        <w:rPr>
          <w:szCs w:val="24"/>
          <w:lang w:val="en-US"/>
        </w:rPr>
        <w:t>analysed</w:t>
      </w:r>
      <w:proofErr w:type="spellEnd"/>
      <w:r w:rsidR="00BC1841" w:rsidRPr="00892CA2">
        <w:rPr>
          <w:szCs w:val="24"/>
          <w:lang w:val="en-US"/>
        </w:rPr>
        <w:t xml:space="preserve"> the data</w:t>
      </w:r>
      <w:r w:rsidR="008F634A" w:rsidRPr="00892CA2">
        <w:rPr>
          <w:szCs w:val="24"/>
          <w:lang w:val="en-US"/>
        </w:rPr>
        <w:t>;</w:t>
      </w:r>
      <w:r w:rsidR="00BC1841" w:rsidRPr="00892CA2">
        <w:rPr>
          <w:szCs w:val="24"/>
          <w:lang w:val="en-US"/>
        </w:rPr>
        <w:t xml:space="preserve"> </w:t>
      </w:r>
      <w:proofErr w:type="spellStart"/>
      <w:r w:rsidR="00BC1841" w:rsidRPr="00892CA2">
        <w:rPr>
          <w:szCs w:val="24"/>
          <w:lang w:val="en-US"/>
        </w:rPr>
        <w:t>Haddow</w:t>
      </w:r>
      <w:proofErr w:type="spellEnd"/>
      <w:r w:rsidR="00BC1841" w:rsidRPr="00892CA2">
        <w:rPr>
          <w:szCs w:val="24"/>
          <w:lang w:val="en-US"/>
        </w:rPr>
        <w:t xml:space="preserve"> J, Knowles CH and MacDonald TT interpreted the data</w:t>
      </w:r>
      <w:r w:rsidR="008F634A" w:rsidRPr="00892CA2">
        <w:rPr>
          <w:szCs w:val="24"/>
          <w:lang w:val="en-US"/>
        </w:rPr>
        <w:t>;</w:t>
      </w:r>
      <w:r w:rsidR="00BC1841" w:rsidRPr="00892CA2">
        <w:rPr>
          <w:szCs w:val="24"/>
          <w:lang w:val="en-US"/>
        </w:rPr>
        <w:t xml:space="preserve"> Haddow J wrote the article</w:t>
      </w:r>
      <w:r w:rsidR="008F634A" w:rsidRPr="00892CA2">
        <w:rPr>
          <w:szCs w:val="24"/>
          <w:lang w:val="en-US"/>
        </w:rPr>
        <w:t>;</w:t>
      </w:r>
      <w:r w:rsidR="00BC1841" w:rsidRPr="00892CA2">
        <w:rPr>
          <w:szCs w:val="24"/>
          <w:lang w:val="en-US"/>
        </w:rPr>
        <w:t xml:space="preserve"> </w:t>
      </w:r>
      <w:proofErr w:type="spellStart"/>
      <w:r w:rsidR="00BC1841" w:rsidRPr="00892CA2">
        <w:rPr>
          <w:szCs w:val="24"/>
          <w:lang w:val="en-US"/>
        </w:rPr>
        <w:t>Haddow</w:t>
      </w:r>
      <w:proofErr w:type="spellEnd"/>
      <w:r w:rsidR="00BC1841" w:rsidRPr="00892CA2">
        <w:rPr>
          <w:szCs w:val="24"/>
          <w:lang w:val="en-US"/>
        </w:rPr>
        <w:t xml:space="preserve"> J, </w:t>
      </w:r>
      <w:proofErr w:type="spellStart"/>
      <w:r w:rsidR="00BC1841" w:rsidRPr="00892CA2">
        <w:rPr>
          <w:szCs w:val="24"/>
          <w:lang w:val="en-US"/>
        </w:rPr>
        <w:t>Musbahi</w:t>
      </w:r>
      <w:proofErr w:type="spellEnd"/>
      <w:r w:rsidR="00BC1841" w:rsidRPr="00892CA2">
        <w:rPr>
          <w:szCs w:val="24"/>
          <w:lang w:val="en-US"/>
        </w:rPr>
        <w:t xml:space="preserve"> O, MacDonald TT and Knowles CH edited, reviewed and approved the final article.</w:t>
      </w:r>
      <w:bookmarkEnd w:id="38"/>
      <w:bookmarkEnd w:id="39"/>
      <w:bookmarkEnd w:id="40"/>
      <w:bookmarkEnd w:id="41"/>
    </w:p>
    <w:p w14:paraId="71168758" w14:textId="77777777" w:rsidR="007018B5" w:rsidRPr="00892CA2" w:rsidRDefault="007018B5" w:rsidP="007E3B89">
      <w:pPr>
        <w:adjustRightInd w:val="0"/>
        <w:snapToGrid w:val="0"/>
        <w:spacing w:before="0" w:after="0"/>
        <w:jc w:val="both"/>
        <w:rPr>
          <w:szCs w:val="24"/>
          <w:lang w:val="en-US"/>
        </w:rPr>
      </w:pPr>
    </w:p>
    <w:p w14:paraId="61022A3D" w14:textId="6B1B4DEB" w:rsidR="00AF11D9" w:rsidRPr="00892CA2" w:rsidRDefault="00AF11D9" w:rsidP="007E3B89">
      <w:pPr>
        <w:adjustRightInd w:val="0"/>
        <w:snapToGrid w:val="0"/>
        <w:spacing w:before="0" w:after="0"/>
        <w:jc w:val="both"/>
        <w:rPr>
          <w:rFonts w:cs="Arial"/>
          <w:szCs w:val="24"/>
          <w:lang w:val="en-US"/>
        </w:rPr>
      </w:pPr>
      <w:bookmarkStart w:id="44" w:name="OLE_LINK616"/>
      <w:bookmarkStart w:id="45" w:name="OLE_LINK617"/>
      <w:bookmarkStart w:id="46" w:name="OLE_LINK273"/>
      <w:bookmarkStart w:id="47" w:name="OLE_LINK391"/>
      <w:bookmarkStart w:id="48" w:name="OLE_LINK361"/>
      <w:bookmarkStart w:id="49" w:name="OLE_LINK362"/>
      <w:proofErr w:type="gramStart"/>
      <w:r w:rsidRPr="00892CA2">
        <w:rPr>
          <w:b/>
          <w:bCs/>
          <w:szCs w:val="24"/>
          <w:lang w:val="en-US"/>
        </w:rPr>
        <w:t>Supported by</w:t>
      </w:r>
      <w:bookmarkEnd w:id="44"/>
      <w:bookmarkEnd w:id="45"/>
      <w:bookmarkEnd w:id="46"/>
      <w:r w:rsidR="00BC1841" w:rsidRPr="00892CA2">
        <w:rPr>
          <w:szCs w:val="24"/>
          <w:lang w:val="en-US"/>
        </w:rPr>
        <w:t xml:space="preserve"> Bowel </w:t>
      </w:r>
      <w:r w:rsidR="007018B5" w:rsidRPr="00892CA2">
        <w:rPr>
          <w:szCs w:val="24"/>
          <w:lang w:val="en-US"/>
        </w:rPr>
        <w:t>and</w:t>
      </w:r>
      <w:r w:rsidR="00BC1841" w:rsidRPr="00892CA2">
        <w:rPr>
          <w:szCs w:val="24"/>
          <w:lang w:val="en-US"/>
        </w:rPr>
        <w:t xml:space="preserve"> Cancer Research charity, </w:t>
      </w:r>
      <w:r w:rsidR="007018B5" w:rsidRPr="00892CA2">
        <w:rPr>
          <w:szCs w:val="24"/>
          <w:lang w:val="en-US"/>
        </w:rPr>
        <w:t>No.</w:t>
      </w:r>
      <w:proofErr w:type="gramEnd"/>
      <w:r w:rsidR="00BC1841" w:rsidRPr="00892CA2">
        <w:rPr>
          <w:szCs w:val="24"/>
          <w:lang w:val="en-US"/>
        </w:rPr>
        <w:t xml:space="preserve"> </w:t>
      </w:r>
      <w:r w:rsidR="00BC1841" w:rsidRPr="00892CA2">
        <w:rPr>
          <w:rFonts w:cs="Arial"/>
          <w:szCs w:val="24"/>
          <w:lang w:val="en-US"/>
        </w:rPr>
        <w:t>MMBG1J3R</w:t>
      </w:r>
      <w:bookmarkEnd w:id="47"/>
      <w:r w:rsidR="007018B5" w:rsidRPr="00892CA2">
        <w:rPr>
          <w:rFonts w:cs="Arial"/>
          <w:szCs w:val="24"/>
          <w:lang w:val="en-US"/>
        </w:rPr>
        <w:t>.</w:t>
      </w:r>
    </w:p>
    <w:p w14:paraId="118921BE" w14:textId="77777777" w:rsidR="007018B5" w:rsidRPr="00892CA2" w:rsidRDefault="007018B5" w:rsidP="007E3B89">
      <w:pPr>
        <w:adjustRightInd w:val="0"/>
        <w:snapToGrid w:val="0"/>
        <w:spacing w:before="0" w:after="0"/>
        <w:jc w:val="both"/>
        <w:rPr>
          <w:szCs w:val="24"/>
          <w:lang w:val="en-US"/>
        </w:rPr>
      </w:pPr>
    </w:p>
    <w:p w14:paraId="543E7A73" w14:textId="76ACDF84" w:rsidR="00AF11D9" w:rsidRPr="00892CA2" w:rsidRDefault="00AF11D9" w:rsidP="007E3B89">
      <w:pPr>
        <w:adjustRightInd w:val="0"/>
        <w:snapToGrid w:val="0"/>
        <w:spacing w:before="0" w:after="0"/>
        <w:jc w:val="both"/>
        <w:rPr>
          <w:iCs/>
          <w:szCs w:val="24"/>
          <w:lang w:val="en-US"/>
        </w:rPr>
      </w:pPr>
      <w:bookmarkStart w:id="50" w:name="OLE_LINK815"/>
      <w:bookmarkStart w:id="51" w:name="OLE_LINK863"/>
      <w:bookmarkStart w:id="52" w:name="OLE_LINK960"/>
      <w:bookmarkStart w:id="53" w:name="OLE_LINK657"/>
      <w:bookmarkStart w:id="54" w:name="OLE_LINK433"/>
      <w:bookmarkStart w:id="55" w:name="OLE_LINK434"/>
      <w:bookmarkStart w:id="56" w:name="OLE_LINK1104"/>
      <w:bookmarkStart w:id="57" w:name="OLE_LINK270"/>
      <w:r w:rsidRPr="00892CA2">
        <w:rPr>
          <w:b/>
          <w:bCs/>
          <w:szCs w:val="24"/>
          <w:lang w:val="en-US"/>
        </w:rPr>
        <w:t>Institutional review board statement:</w:t>
      </w:r>
      <w:bookmarkEnd w:id="50"/>
      <w:bookmarkEnd w:id="51"/>
      <w:bookmarkEnd w:id="52"/>
      <w:r w:rsidRPr="00892CA2">
        <w:rPr>
          <w:szCs w:val="24"/>
          <w:lang w:val="en-US"/>
        </w:rPr>
        <w:t xml:space="preserve"> </w:t>
      </w:r>
      <w:bookmarkEnd w:id="42"/>
      <w:bookmarkEnd w:id="43"/>
      <w:bookmarkEnd w:id="48"/>
      <w:bookmarkEnd w:id="49"/>
      <w:bookmarkEnd w:id="53"/>
      <w:bookmarkEnd w:id="54"/>
      <w:bookmarkEnd w:id="55"/>
      <w:bookmarkEnd w:id="56"/>
      <w:bookmarkEnd w:id="57"/>
      <w:r w:rsidR="007018B5" w:rsidRPr="00892CA2">
        <w:rPr>
          <w:szCs w:val="24"/>
          <w:lang w:val="en-US"/>
        </w:rPr>
        <w:t xml:space="preserve">The study was reviewed and approved by </w:t>
      </w:r>
      <w:r w:rsidR="00A665D3" w:rsidRPr="00892CA2">
        <w:rPr>
          <w:szCs w:val="24"/>
          <w:lang w:val="en-US"/>
        </w:rPr>
        <w:t>Queen’s Square Research Ethics Committee</w:t>
      </w:r>
      <w:r w:rsidR="007018B5" w:rsidRPr="00892CA2">
        <w:rPr>
          <w:iCs/>
          <w:szCs w:val="24"/>
          <w:lang w:val="en-US"/>
        </w:rPr>
        <w:t>.</w:t>
      </w:r>
    </w:p>
    <w:p w14:paraId="6107CAEE" w14:textId="77777777" w:rsidR="00224C57" w:rsidRPr="00892CA2" w:rsidRDefault="00224C57" w:rsidP="007E3B89">
      <w:pPr>
        <w:adjustRightInd w:val="0"/>
        <w:snapToGrid w:val="0"/>
        <w:spacing w:before="0" w:after="0"/>
        <w:jc w:val="both"/>
        <w:rPr>
          <w:szCs w:val="24"/>
          <w:lang w:val="en-US"/>
        </w:rPr>
      </w:pPr>
    </w:p>
    <w:p w14:paraId="57869F16" w14:textId="0772A673" w:rsidR="002949BE" w:rsidRPr="00892CA2" w:rsidRDefault="00AF11D9" w:rsidP="007E3B89">
      <w:pPr>
        <w:adjustRightInd w:val="0"/>
        <w:snapToGrid w:val="0"/>
        <w:spacing w:before="0" w:after="0"/>
        <w:jc w:val="both"/>
        <w:rPr>
          <w:szCs w:val="24"/>
          <w:lang w:val="en-US"/>
        </w:rPr>
      </w:pPr>
      <w:bookmarkStart w:id="58" w:name="OLE_LINK339"/>
      <w:bookmarkStart w:id="59" w:name="OLE_LINK340"/>
      <w:bookmarkStart w:id="60" w:name="OLE_LINK352"/>
      <w:bookmarkStart w:id="61" w:name="OLE_LINK365"/>
      <w:bookmarkStart w:id="62" w:name="OLE_LINK398"/>
      <w:bookmarkStart w:id="63" w:name="OLE_LINK464"/>
      <w:r w:rsidRPr="00892CA2">
        <w:rPr>
          <w:b/>
          <w:bCs/>
          <w:szCs w:val="24"/>
          <w:lang w:val="en-US"/>
        </w:rPr>
        <w:t>Informed consent statement:</w:t>
      </w:r>
      <w:bookmarkEnd w:id="58"/>
      <w:bookmarkEnd w:id="59"/>
      <w:bookmarkEnd w:id="60"/>
      <w:bookmarkEnd w:id="61"/>
      <w:bookmarkEnd w:id="62"/>
      <w:r w:rsidR="00BC1841" w:rsidRPr="00892CA2">
        <w:rPr>
          <w:szCs w:val="24"/>
          <w:lang w:val="en-US"/>
        </w:rPr>
        <w:t xml:space="preserve"> </w:t>
      </w:r>
      <w:bookmarkEnd w:id="63"/>
      <w:r w:rsidR="007018B5" w:rsidRPr="00892CA2">
        <w:rPr>
          <w:szCs w:val="24"/>
          <w:lang w:val="en-US"/>
        </w:rPr>
        <w:t>Informed consent was obtained from the patients.</w:t>
      </w:r>
    </w:p>
    <w:p w14:paraId="4ED70DDB" w14:textId="77777777" w:rsidR="007018B5" w:rsidRPr="00892CA2" w:rsidRDefault="007018B5" w:rsidP="007E3B89">
      <w:pPr>
        <w:adjustRightInd w:val="0"/>
        <w:snapToGrid w:val="0"/>
        <w:spacing w:before="0" w:after="0"/>
        <w:jc w:val="both"/>
        <w:rPr>
          <w:szCs w:val="24"/>
          <w:lang w:val="en-US"/>
        </w:rPr>
      </w:pPr>
    </w:p>
    <w:p w14:paraId="5DE62A47" w14:textId="54685109" w:rsidR="00AF11D9" w:rsidRPr="00892CA2" w:rsidRDefault="00AF11D9" w:rsidP="007E3B89">
      <w:pPr>
        <w:adjustRightInd w:val="0"/>
        <w:snapToGrid w:val="0"/>
        <w:spacing w:before="0" w:after="0"/>
        <w:jc w:val="both"/>
        <w:rPr>
          <w:szCs w:val="24"/>
          <w:lang w:val="en-US"/>
        </w:rPr>
      </w:pPr>
      <w:bookmarkStart w:id="64" w:name="OLE_LINK235"/>
      <w:bookmarkStart w:id="65" w:name="OLE_LINK236"/>
      <w:bookmarkStart w:id="66" w:name="OLE_LINK684"/>
      <w:bookmarkStart w:id="67" w:name="OLE_LINK771"/>
      <w:bookmarkStart w:id="68" w:name="OLE_LINK601"/>
      <w:bookmarkStart w:id="69" w:name="OLE_LINK795"/>
      <w:bookmarkStart w:id="70" w:name="OLE_LINK796"/>
      <w:bookmarkStart w:id="71" w:name="OLE_LINK800"/>
      <w:bookmarkStart w:id="72" w:name="OLE_LINK804"/>
      <w:bookmarkStart w:id="73" w:name="OLE_LINK634"/>
      <w:bookmarkStart w:id="74" w:name="OLE_LINK637"/>
      <w:r w:rsidRPr="00892CA2">
        <w:rPr>
          <w:b/>
          <w:bCs/>
          <w:szCs w:val="24"/>
          <w:lang w:val="en-US"/>
        </w:rPr>
        <w:t>Conflict-of-interest statement:</w:t>
      </w:r>
      <w:r w:rsidR="00BC1841" w:rsidRPr="00892CA2">
        <w:rPr>
          <w:szCs w:val="24"/>
          <w:lang w:val="en-US"/>
        </w:rPr>
        <w:t xml:space="preserve"> The authors have no conflicts of interest.</w:t>
      </w:r>
      <w:bookmarkEnd w:id="64"/>
      <w:bookmarkEnd w:id="65"/>
      <w:bookmarkEnd w:id="66"/>
      <w:bookmarkEnd w:id="67"/>
      <w:bookmarkEnd w:id="68"/>
    </w:p>
    <w:p w14:paraId="40F99625" w14:textId="77777777" w:rsidR="007018B5" w:rsidRPr="00892CA2" w:rsidRDefault="007018B5" w:rsidP="007E3B89">
      <w:pPr>
        <w:adjustRightInd w:val="0"/>
        <w:snapToGrid w:val="0"/>
        <w:spacing w:before="0" w:after="0"/>
        <w:jc w:val="both"/>
        <w:rPr>
          <w:szCs w:val="24"/>
          <w:lang w:val="en-US"/>
        </w:rPr>
      </w:pPr>
    </w:p>
    <w:p w14:paraId="1B48A3F0" w14:textId="630E966F" w:rsidR="00AF11D9" w:rsidRPr="00892CA2" w:rsidRDefault="00AF11D9" w:rsidP="007E3B89">
      <w:pPr>
        <w:adjustRightInd w:val="0"/>
        <w:snapToGrid w:val="0"/>
        <w:spacing w:before="0" w:after="0"/>
        <w:jc w:val="both"/>
        <w:rPr>
          <w:szCs w:val="24"/>
          <w:lang w:val="en-US" w:eastAsia="en-GB"/>
        </w:rPr>
      </w:pPr>
      <w:bookmarkStart w:id="75" w:name="OLE_LINK824"/>
      <w:bookmarkStart w:id="76" w:name="OLE_LINK825"/>
      <w:bookmarkStart w:id="77" w:name="OLE_LINK2"/>
      <w:bookmarkStart w:id="78" w:name="OLE_LINK5"/>
      <w:r w:rsidRPr="00892CA2">
        <w:rPr>
          <w:b/>
          <w:bCs/>
          <w:szCs w:val="24"/>
          <w:lang w:val="en-US"/>
        </w:rPr>
        <w:t>Data sharing statement:</w:t>
      </w:r>
      <w:bookmarkEnd w:id="69"/>
      <w:bookmarkEnd w:id="70"/>
      <w:bookmarkEnd w:id="75"/>
      <w:bookmarkEnd w:id="76"/>
      <w:r w:rsidRPr="00892CA2">
        <w:rPr>
          <w:szCs w:val="24"/>
          <w:lang w:val="en-US"/>
        </w:rPr>
        <w:t xml:space="preserve"> </w:t>
      </w:r>
      <w:bookmarkEnd w:id="71"/>
      <w:bookmarkEnd w:id="72"/>
      <w:bookmarkEnd w:id="73"/>
      <w:bookmarkEnd w:id="74"/>
      <w:bookmarkEnd w:id="77"/>
      <w:bookmarkEnd w:id="78"/>
      <w:r w:rsidR="00B07D62" w:rsidRPr="00892CA2">
        <w:rPr>
          <w:szCs w:val="24"/>
          <w:lang w:val="en-US" w:eastAsia="en-GB"/>
        </w:rPr>
        <w:t>Any researcher wishing to access the data or materials referred to within this paper are welcome to contact the corresponding author.</w:t>
      </w:r>
    </w:p>
    <w:p w14:paraId="41AE1CEE" w14:textId="77777777" w:rsidR="007018B5" w:rsidRPr="00892CA2" w:rsidRDefault="007018B5" w:rsidP="007E3B89">
      <w:pPr>
        <w:adjustRightInd w:val="0"/>
        <w:snapToGrid w:val="0"/>
        <w:spacing w:before="0" w:after="0"/>
        <w:jc w:val="both"/>
        <w:rPr>
          <w:szCs w:val="24"/>
          <w:lang w:val="en-US" w:eastAsia="en-GB"/>
        </w:rPr>
      </w:pPr>
    </w:p>
    <w:p w14:paraId="767A1CE7" w14:textId="5B08AA7A" w:rsidR="002F43E7" w:rsidRPr="00892CA2" w:rsidRDefault="002F43E7" w:rsidP="007E3B89">
      <w:pPr>
        <w:adjustRightInd w:val="0"/>
        <w:snapToGrid w:val="0"/>
        <w:spacing w:before="0" w:after="0"/>
        <w:jc w:val="both"/>
        <w:rPr>
          <w:szCs w:val="24"/>
          <w:lang w:val="en-US"/>
        </w:rPr>
      </w:pPr>
      <w:r w:rsidRPr="00892CA2">
        <w:rPr>
          <w:b/>
          <w:szCs w:val="24"/>
          <w:lang w:val="en-US"/>
        </w:rPr>
        <w:t>STROBE statement:</w:t>
      </w:r>
      <w:r w:rsidRPr="00892CA2">
        <w:rPr>
          <w:szCs w:val="24"/>
          <w:lang w:val="en-US"/>
        </w:rPr>
        <w:t xml:space="preserve"> The STROBE guidelines were followed for reporting.</w:t>
      </w:r>
    </w:p>
    <w:p w14:paraId="7680DE03" w14:textId="48D2152C" w:rsidR="007018B5" w:rsidRPr="00892CA2" w:rsidRDefault="007018B5" w:rsidP="007E3B89">
      <w:pPr>
        <w:adjustRightInd w:val="0"/>
        <w:snapToGrid w:val="0"/>
        <w:spacing w:before="0" w:after="0"/>
        <w:jc w:val="both"/>
        <w:rPr>
          <w:szCs w:val="24"/>
          <w:lang w:val="en-US"/>
        </w:rPr>
      </w:pPr>
    </w:p>
    <w:p w14:paraId="4A6A997D" w14:textId="768F0C65" w:rsidR="00B06968" w:rsidRPr="00892CA2" w:rsidRDefault="00B06968" w:rsidP="007E3B89">
      <w:pPr>
        <w:adjustRightInd w:val="0"/>
        <w:snapToGrid w:val="0"/>
        <w:spacing w:before="0" w:after="0"/>
        <w:jc w:val="both"/>
        <w:rPr>
          <w:rFonts w:eastAsia="宋体"/>
          <w:szCs w:val="24"/>
          <w:lang w:val="en-US" w:eastAsia="zh-CN"/>
        </w:rPr>
      </w:pPr>
      <w:r w:rsidRPr="00892CA2">
        <w:rPr>
          <w:rFonts w:eastAsia="宋体"/>
          <w:b/>
          <w:szCs w:val="24"/>
          <w:lang w:val="en-US"/>
        </w:rPr>
        <w:t xml:space="preserve">Open-Access: </w:t>
      </w:r>
      <w:r w:rsidRPr="00892CA2">
        <w:rPr>
          <w:rFonts w:eastAsia="宋体"/>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8F2753" w14:textId="77777777" w:rsidR="00B06968" w:rsidRPr="00892CA2" w:rsidRDefault="00B06968" w:rsidP="007E3B89">
      <w:pPr>
        <w:suppressAutoHyphens/>
        <w:adjustRightInd w:val="0"/>
        <w:snapToGrid w:val="0"/>
        <w:spacing w:before="0" w:after="0"/>
        <w:jc w:val="both"/>
        <w:rPr>
          <w:rFonts w:eastAsia="宋体"/>
          <w:color w:val="000000"/>
          <w:szCs w:val="24"/>
          <w:lang w:eastAsia="ar-SA"/>
        </w:rPr>
      </w:pPr>
    </w:p>
    <w:p w14:paraId="3E830B08" w14:textId="246B9B00" w:rsidR="007018B5" w:rsidRPr="00892CA2" w:rsidRDefault="00B06968" w:rsidP="007E3B89">
      <w:pPr>
        <w:adjustRightInd w:val="0"/>
        <w:snapToGrid w:val="0"/>
        <w:spacing w:before="0" w:after="0"/>
        <w:jc w:val="both"/>
        <w:rPr>
          <w:rFonts w:eastAsia="宋体"/>
          <w:color w:val="000000"/>
          <w:szCs w:val="24"/>
          <w:lang w:eastAsia="ar-SA"/>
        </w:rPr>
      </w:pPr>
      <w:r w:rsidRPr="00892CA2">
        <w:rPr>
          <w:rFonts w:eastAsia="宋体"/>
          <w:b/>
          <w:bCs/>
          <w:color w:val="000000"/>
          <w:szCs w:val="24"/>
          <w:lang w:eastAsia="ar-SA"/>
        </w:rPr>
        <w:t>Manuscript source:</w:t>
      </w:r>
      <w:r w:rsidRPr="00892CA2">
        <w:rPr>
          <w:rFonts w:eastAsia="宋体"/>
          <w:color w:val="000000"/>
          <w:szCs w:val="24"/>
          <w:lang w:eastAsia="ar-SA"/>
        </w:rPr>
        <w:t xml:space="preserve"> Unsolicited manuscript</w:t>
      </w:r>
    </w:p>
    <w:p w14:paraId="4F260A0B" w14:textId="77777777" w:rsidR="00B06968" w:rsidRPr="00892CA2" w:rsidRDefault="00B06968" w:rsidP="007E3B89">
      <w:pPr>
        <w:adjustRightInd w:val="0"/>
        <w:snapToGrid w:val="0"/>
        <w:spacing w:before="0" w:after="0"/>
        <w:jc w:val="both"/>
        <w:rPr>
          <w:szCs w:val="24"/>
          <w:lang w:val="en-US"/>
        </w:rPr>
      </w:pPr>
    </w:p>
    <w:p w14:paraId="4925FC32" w14:textId="5C5C2677" w:rsidR="00AB4050" w:rsidRPr="00892CA2" w:rsidRDefault="002F43E7" w:rsidP="007E3B89">
      <w:pPr>
        <w:adjustRightInd w:val="0"/>
        <w:snapToGrid w:val="0"/>
        <w:spacing w:before="0" w:after="0"/>
        <w:jc w:val="both"/>
        <w:rPr>
          <w:szCs w:val="24"/>
          <w:lang w:val="en-US" w:eastAsia="en-GB"/>
        </w:rPr>
      </w:pPr>
      <w:r w:rsidRPr="00892CA2">
        <w:rPr>
          <w:b/>
          <w:szCs w:val="24"/>
          <w:lang w:val="en-US" w:eastAsia="en-GB"/>
        </w:rPr>
        <w:t>Correspond</w:t>
      </w:r>
      <w:r w:rsidR="00AB4050" w:rsidRPr="00892CA2">
        <w:rPr>
          <w:b/>
          <w:szCs w:val="24"/>
          <w:lang w:val="en-US" w:eastAsia="en-GB"/>
        </w:rPr>
        <w:t>ing author</w:t>
      </w:r>
      <w:r w:rsidRPr="00892CA2">
        <w:rPr>
          <w:b/>
          <w:szCs w:val="24"/>
          <w:lang w:val="en-US" w:eastAsia="en-GB"/>
        </w:rPr>
        <w:t xml:space="preserve">: </w:t>
      </w:r>
      <w:bookmarkStart w:id="79" w:name="OLE_LINK699"/>
      <w:bookmarkStart w:id="80" w:name="OLE_LINK700"/>
      <w:r w:rsidRPr="00892CA2">
        <w:rPr>
          <w:b/>
          <w:szCs w:val="24"/>
          <w:lang w:val="en-US" w:eastAsia="en-GB"/>
        </w:rPr>
        <w:t>James B Haddow</w:t>
      </w:r>
      <w:bookmarkEnd w:id="79"/>
      <w:bookmarkEnd w:id="80"/>
      <w:r w:rsidR="004A4202" w:rsidRPr="00892CA2">
        <w:rPr>
          <w:b/>
          <w:szCs w:val="24"/>
          <w:lang w:val="en-US" w:eastAsia="en-GB"/>
        </w:rPr>
        <w:t>,</w:t>
      </w:r>
      <w:r w:rsidR="00AB4050" w:rsidRPr="00892CA2">
        <w:rPr>
          <w:b/>
          <w:szCs w:val="24"/>
          <w:lang w:val="en-US" w:eastAsia="en-GB"/>
        </w:rPr>
        <w:t xml:space="preserve"> </w:t>
      </w:r>
      <w:r w:rsidR="004A4202" w:rsidRPr="00892CA2">
        <w:rPr>
          <w:b/>
          <w:szCs w:val="24"/>
          <w:lang w:val="en-US" w:eastAsia="en-GB"/>
        </w:rPr>
        <w:t xml:space="preserve">FRCS, MD, Academic </w:t>
      </w:r>
      <w:r w:rsidR="00AB4050" w:rsidRPr="00892CA2">
        <w:rPr>
          <w:b/>
          <w:szCs w:val="24"/>
          <w:lang w:val="en-US" w:eastAsia="en-GB"/>
        </w:rPr>
        <w:t>Fellow</w:t>
      </w:r>
      <w:r w:rsidRPr="00892CA2">
        <w:rPr>
          <w:szCs w:val="24"/>
          <w:lang w:val="en-US" w:eastAsia="en-GB"/>
        </w:rPr>
        <w:t xml:space="preserve">, </w:t>
      </w:r>
      <w:bookmarkStart w:id="81" w:name="OLE_LINK703"/>
      <w:bookmarkStart w:id="82" w:name="OLE_LINK704"/>
      <w:proofErr w:type="spellStart"/>
      <w:r w:rsidR="004A4202" w:rsidRPr="00892CA2">
        <w:rPr>
          <w:szCs w:val="24"/>
          <w:lang w:val="en-US"/>
        </w:rPr>
        <w:t>Blizard</w:t>
      </w:r>
      <w:proofErr w:type="spellEnd"/>
      <w:r w:rsidR="004A4202" w:rsidRPr="00892CA2">
        <w:rPr>
          <w:iCs/>
          <w:szCs w:val="24"/>
          <w:lang w:val="en-US"/>
        </w:rPr>
        <w:t xml:space="preserve"> Institute, </w:t>
      </w:r>
      <w:proofErr w:type="spellStart"/>
      <w:r w:rsidR="004A4202" w:rsidRPr="00892CA2">
        <w:rPr>
          <w:iCs/>
          <w:szCs w:val="24"/>
          <w:lang w:val="en-US"/>
        </w:rPr>
        <w:t>Barts</w:t>
      </w:r>
      <w:proofErr w:type="spellEnd"/>
      <w:r w:rsidR="004A4202" w:rsidRPr="00892CA2">
        <w:rPr>
          <w:iCs/>
          <w:szCs w:val="24"/>
          <w:lang w:val="en-US"/>
        </w:rPr>
        <w:t xml:space="preserve"> and the London School of Medicine and Dentistry</w:t>
      </w:r>
      <w:bookmarkEnd w:id="81"/>
      <w:bookmarkEnd w:id="82"/>
      <w:r w:rsidR="004A4202" w:rsidRPr="00892CA2">
        <w:rPr>
          <w:iCs/>
          <w:szCs w:val="24"/>
          <w:lang w:val="en-US"/>
        </w:rPr>
        <w:t xml:space="preserve">, </w:t>
      </w:r>
      <w:bookmarkStart w:id="83" w:name="OLE_LINK701"/>
      <w:bookmarkStart w:id="84" w:name="OLE_LINK702"/>
      <w:r w:rsidR="004A4202" w:rsidRPr="00892CA2">
        <w:rPr>
          <w:iCs/>
          <w:szCs w:val="24"/>
          <w:lang w:val="en-US"/>
        </w:rPr>
        <w:t>Queen Mary University of London</w:t>
      </w:r>
      <w:bookmarkEnd w:id="83"/>
      <w:bookmarkEnd w:id="84"/>
      <w:r w:rsidR="004A4202" w:rsidRPr="00892CA2">
        <w:rPr>
          <w:iCs/>
          <w:szCs w:val="24"/>
          <w:lang w:val="en-US"/>
        </w:rPr>
        <w:t xml:space="preserve">, </w:t>
      </w:r>
      <w:r w:rsidRPr="00892CA2">
        <w:rPr>
          <w:szCs w:val="24"/>
          <w:lang w:val="en-US"/>
        </w:rPr>
        <w:t>National</w:t>
      </w:r>
      <w:r w:rsidRPr="00892CA2">
        <w:rPr>
          <w:szCs w:val="24"/>
          <w:lang w:val="en-US" w:eastAsia="en-GB"/>
        </w:rPr>
        <w:t xml:space="preserve"> Bowel Research Centre, 1</w:t>
      </w:r>
      <w:r w:rsidRPr="00892CA2">
        <w:rPr>
          <w:szCs w:val="24"/>
          <w:vertAlign w:val="superscript"/>
          <w:lang w:val="en-US" w:eastAsia="en-GB"/>
        </w:rPr>
        <w:t>st</w:t>
      </w:r>
      <w:r w:rsidRPr="00892CA2">
        <w:rPr>
          <w:szCs w:val="24"/>
          <w:lang w:val="en-US" w:eastAsia="en-GB"/>
        </w:rPr>
        <w:t xml:space="preserve"> Floor Abernethy Building, 2 Newark St, Whitechapel, London E1 2AT</w:t>
      </w:r>
      <w:r w:rsidR="00AB4050" w:rsidRPr="00892CA2">
        <w:rPr>
          <w:szCs w:val="24"/>
          <w:lang w:val="en-US" w:eastAsia="en-GB"/>
        </w:rPr>
        <w:t xml:space="preserve">, United Kingdom. </w:t>
      </w:r>
      <w:r w:rsidR="00AB4050" w:rsidRPr="00892CA2">
        <w:rPr>
          <w:szCs w:val="24"/>
          <w:lang w:val="en-US"/>
        </w:rPr>
        <w:t>james.haddow@icloud.com</w:t>
      </w:r>
      <w:r w:rsidR="00C97323" w:rsidRPr="00892CA2">
        <w:rPr>
          <w:szCs w:val="24"/>
          <w:lang w:val="en-US"/>
        </w:rPr>
        <w:t xml:space="preserve"> </w:t>
      </w:r>
    </w:p>
    <w:p w14:paraId="6075FFE7" w14:textId="624EBEF2" w:rsidR="002949BE" w:rsidRPr="00892CA2" w:rsidRDefault="00B83FA3" w:rsidP="007E3B89">
      <w:pPr>
        <w:adjustRightInd w:val="0"/>
        <w:snapToGrid w:val="0"/>
        <w:spacing w:before="0" w:after="0"/>
        <w:jc w:val="both"/>
        <w:rPr>
          <w:bCs/>
          <w:color w:val="000000"/>
          <w:lang w:val="en-US"/>
        </w:rPr>
      </w:pPr>
      <w:r w:rsidRPr="00892CA2">
        <w:rPr>
          <w:b/>
          <w:color w:val="000000"/>
          <w:lang w:val="en-US"/>
        </w:rPr>
        <w:t xml:space="preserve">Telephone: </w:t>
      </w:r>
      <w:bookmarkStart w:id="85" w:name="OLE_LINK745"/>
      <w:bookmarkStart w:id="86" w:name="OLE_LINK746"/>
      <w:r w:rsidRPr="00892CA2">
        <w:rPr>
          <w:bCs/>
          <w:color w:val="000000"/>
          <w:lang w:val="en-US"/>
        </w:rPr>
        <w:t>+44-20-78825555</w:t>
      </w:r>
      <w:bookmarkEnd w:id="85"/>
      <w:bookmarkEnd w:id="86"/>
    </w:p>
    <w:p w14:paraId="3A7DBBE4" w14:textId="049DEDAD" w:rsidR="00B83FA3" w:rsidRPr="00892CA2" w:rsidRDefault="00B83FA3" w:rsidP="007E3B89">
      <w:pPr>
        <w:adjustRightInd w:val="0"/>
        <w:snapToGrid w:val="0"/>
        <w:spacing w:before="0" w:after="0"/>
        <w:jc w:val="both"/>
        <w:rPr>
          <w:b/>
          <w:color w:val="000000"/>
          <w:lang w:val="en-US"/>
        </w:rPr>
      </w:pPr>
    </w:p>
    <w:p w14:paraId="04DBFEB2" w14:textId="560ADAC5" w:rsidR="00B83FA3" w:rsidRPr="00892CA2" w:rsidRDefault="00B83FA3" w:rsidP="007E3B89">
      <w:pPr>
        <w:widowControl w:val="0"/>
        <w:adjustRightInd w:val="0"/>
        <w:snapToGrid w:val="0"/>
        <w:spacing w:before="0" w:after="0"/>
        <w:jc w:val="both"/>
        <w:rPr>
          <w:rFonts w:eastAsia="宋体"/>
          <w:b/>
          <w:kern w:val="2"/>
          <w:szCs w:val="24"/>
          <w:lang w:val="en-US" w:eastAsia="zh-CN"/>
        </w:rPr>
      </w:pPr>
      <w:bookmarkStart w:id="87" w:name="OLE_LINK75"/>
      <w:bookmarkStart w:id="88" w:name="OLE_LINK76"/>
      <w:bookmarkStart w:id="89" w:name="OLE_LINK239"/>
      <w:r w:rsidRPr="00892CA2">
        <w:rPr>
          <w:rFonts w:eastAsia="宋体"/>
          <w:b/>
          <w:kern w:val="2"/>
          <w:szCs w:val="24"/>
          <w:lang w:val="en-US" w:eastAsia="zh-CN"/>
        </w:rPr>
        <w:t xml:space="preserve">Received: </w:t>
      </w:r>
      <w:r w:rsidR="00E97C8C" w:rsidRPr="00892CA2">
        <w:rPr>
          <w:rFonts w:eastAsia="宋体"/>
          <w:kern w:val="2"/>
          <w:szCs w:val="24"/>
          <w:lang w:val="en-US" w:eastAsia="zh-CN"/>
        </w:rPr>
        <w:t>April</w:t>
      </w:r>
      <w:r w:rsidRPr="00892CA2">
        <w:rPr>
          <w:rFonts w:eastAsia="宋体"/>
          <w:kern w:val="2"/>
          <w:szCs w:val="24"/>
          <w:lang w:val="en-US" w:eastAsia="zh-CN"/>
        </w:rPr>
        <w:t xml:space="preserve"> </w:t>
      </w:r>
      <w:r w:rsidR="00E97C8C" w:rsidRPr="00892CA2">
        <w:rPr>
          <w:rFonts w:eastAsia="宋体"/>
          <w:kern w:val="2"/>
          <w:szCs w:val="24"/>
          <w:lang w:val="en-US" w:eastAsia="zh-CN"/>
        </w:rPr>
        <w:t>30</w:t>
      </w:r>
      <w:r w:rsidRPr="00892CA2">
        <w:rPr>
          <w:rFonts w:eastAsia="宋体"/>
          <w:kern w:val="2"/>
          <w:szCs w:val="24"/>
          <w:lang w:val="en-US" w:eastAsia="zh-CN"/>
        </w:rPr>
        <w:t>, 2019</w:t>
      </w:r>
    </w:p>
    <w:p w14:paraId="06C69BCE" w14:textId="6A0D1285" w:rsidR="00B83FA3" w:rsidRPr="00892CA2" w:rsidRDefault="00B83FA3" w:rsidP="007E3B89">
      <w:pPr>
        <w:widowControl w:val="0"/>
        <w:adjustRightInd w:val="0"/>
        <w:snapToGrid w:val="0"/>
        <w:spacing w:before="0" w:after="0"/>
        <w:jc w:val="both"/>
        <w:rPr>
          <w:rFonts w:eastAsia="宋体"/>
          <w:b/>
          <w:kern w:val="2"/>
          <w:szCs w:val="24"/>
          <w:lang w:val="en-US" w:eastAsia="zh-CN"/>
        </w:rPr>
      </w:pPr>
      <w:r w:rsidRPr="00892CA2">
        <w:rPr>
          <w:rFonts w:eastAsia="宋体"/>
          <w:b/>
          <w:kern w:val="2"/>
          <w:szCs w:val="24"/>
          <w:lang w:val="en-US" w:eastAsia="zh-CN"/>
        </w:rPr>
        <w:t xml:space="preserve">Peer-review started: </w:t>
      </w:r>
      <w:r w:rsidR="00E97C8C" w:rsidRPr="00892CA2">
        <w:rPr>
          <w:rFonts w:eastAsia="宋体"/>
          <w:kern w:val="2"/>
          <w:szCs w:val="24"/>
          <w:lang w:val="en-US" w:eastAsia="zh-CN"/>
        </w:rPr>
        <w:t>April 30</w:t>
      </w:r>
      <w:r w:rsidRPr="00892CA2">
        <w:rPr>
          <w:rFonts w:eastAsia="宋体"/>
          <w:kern w:val="2"/>
          <w:szCs w:val="24"/>
          <w:lang w:val="en-US" w:eastAsia="zh-CN"/>
        </w:rPr>
        <w:t>, 2019</w:t>
      </w:r>
    </w:p>
    <w:p w14:paraId="0C53D69A" w14:textId="21935DF1" w:rsidR="00B83FA3" w:rsidRPr="00892CA2" w:rsidRDefault="00B83FA3" w:rsidP="007E3B89">
      <w:pPr>
        <w:widowControl w:val="0"/>
        <w:adjustRightInd w:val="0"/>
        <w:snapToGrid w:val="0"/>
        <w:spacing w:before="0" w:after="0"/>
        <w:jc w:val="both"/>
        <w:rPr>
          <w:rFonts w:eastAsia="宋体"/>
          <w:b/>
          <w:kern w:val="2"/>
          <w:szCs w:val="24"/>
          <w:lang w:val="en-US" w:eastAsia="zh-CN"/>
        </w:rPr>
      </w:pPr>
      <w:r w:rsidRPr="00892CA2">
        <w:rPr>
          <w:rFonts w:eastAsia="宋体"/>
          <w:b/>
          <w:kern w:val="2"/>
          <w:szCs w:val="24"/>
          <w:lang w:val="en-US" w:eastAsia="zh-CN"/>
        </w:rPr>
        <w:t xml:space="preserve">First decision: </w:t>
      </w:r>
      <w:bookmarkStart w:id="90" w:name="OLE_LINK709"/>
      <w:bookmarkStart w:id="91" w:name="OLE_LINK710"/>
      <w:r w:rsidR="00E97C8C" w:rsidRPr="00892CA2">
        <w:rPr>
          <w:rFonts w:eastAsia="宋体"/>
          <w:kern w:val="2"/>
          <w:szCs w:val="24"/>
          <w:lang w:val="en-US" w:eastAsia="zh-CN"/>
        </w:rPr>
        <w:t>September</w:t>
      </w:r>
      <w:r w:rsidRPr="00892CA2">
        <w:rPr>
          <w:rFonts w:eastAsia="宋体"/>
          <w:kern w:val="2"/>
          <w:szCs w:val="24"/>
          <w:lang w:val="en-US" w:eastAsia="zh-CN"/>
        </w:rPr>
        <w:t xml:space="preserve"> </w:t>
      </w:r>
      <w:r w:rsidR="00E97C8C" w:rsidRPr="00892CA2">
        <w:rPr>
          <w:rFonts w:eastAsia="宋体"/>
          <w:kern w:val="2"/>
          <w:szCs w:val="24"/>
          <w:lang w:val="en-US" w:eastAsia="zh-CN"/>
        </w:rPr>
        <w:t>6</w:t>
      </w:r>
      <w:bookmarkEnd w:id="90"/>
      <w:bookmarkEnd w:id="91"/>
      <w:r w:rsidRPr="00892CA2">
        <w:rPr>
          <w:rFonts w:eastAsia="宋体"/>
          <w:kern w:val="2"/>
          <w:szCs w:val="24"/>
          <w:lang w:val="en-US" w:eastAsia="zh-CN"/>
        </w:rPr>
        <w:t>, 2019</w:t>
      </w:r>
    </w:p>
    <w:p w14:paraId="075C7E3B" w14:textId="7EDC70DA" w:rsidR="00B83FA3" w:rsidRPr="00892CA2" w:rsidRDefault="00B83FA3" w:rsidP="007E3B89">
      <w:pPr>
        <w:widowControl w:val="0"/>
        <w:adjustRightInd w:val="0"/>
        <w:snapToGrid w:val="0"/>
        <w:spacing w:before="0" w:after="0"/>
        <w:jc w:val="both"/>
        <w:rPr>
          <w:rFonts w:eastAsia="宋体"/>
          <w:b/>
          <w:kern w:val="2"/>
          <w:szCs w:val="24"/>
          <w:lang w:val="en-US" w:eastAsia="zh-CN"/>
        </w:rPr>
      </w:pPr>
      <w:r w:rsidRPr="00892CA2">
        <w:rPr>
          <w:rFonts w:eastAsia="宋体"/>
          <w:b/>
          <w:kern w:val="2"/>
          <w:szCs w:val="24"/>
          <w:lang w:val="en-US" w:eastAsia="zh-CN"/>
        </w:rPr>
        <w:t xml:space="preserve">Revised: </w:t>
      </w:r>
      <w:r w:rsidR="00E97C8C" w:rsidRPr="00892CA2">
        <w:rPr>
          <w:rFonts w:eastAsia="宋体"/>
          <w:kern w:val="2"/>
          <w:szCs w:val="24"/>
          <w:lang w:val="en-US" w:eastAsia="zh-CN"/>
        </w:rPr>
        <w:t>September 28</w:t>
      </w:r>
      <w:r w:rsidRPr="00892CA2">
        <w:rPr>
          <w:rFonts w:eastAsia="宋体"/>
          <w:kern w:val="2"/>
          <w:szCs w:val="24"/>
          <w:lang w:val="en-US" w:eastAsia="zh-CN"/>
        </w:rPr>
        <w:t>, 2019</w:t>
      </w:r>
    </w:p>
    <w:p w14:paraId="02635E53" w14:textId="5EBE10BB" w:rsidR="00B83FA3" w:rsidRPr="00892CA2" w:rsidRDefault="00B83FA3" w:rsidP="007E3B89">
      <w:pPr>
        <w:widowControl w:val="0"/>
        <w:adjustRightInd w:val="0"/>
        <w:snapToGrid w:val="0"/>
        <w:spacing w:before="0" w:after="0"/>
        <w:jc w:val="both"/>
        <w:rPr>
          <w:rFonts w:eastAsia="宋体"/>
          <w:color w:val="000000"/>
          <w:kern w:val="2"/>
          <w:szCs w:val="24"/>
          <w:lang w:val="en-US" w:eastAsia="zh-CN"/>
        </w:rPr>
      </w:pPr>
      <w:r w:rsidRPr="00892CA2">
        <w:rPr>
          <w:rFonts w:eastAsia="宋体"/>
          <w:b/>
          <w:kern w:val="2"/>
          <w:szCs w:val="24"/>
          <w:lang w:val="en-US" w:eastAsia="zh-CN"/>
        </w:rPr>
        <w:t xml:space="preserve">Accepted: </w:t>
      </w:r>
      <w:r w:rsidR="006B2E3E" w:rsidRPr="00892CA2">
        <w:rPr>
          <w:rFonts w:eastAsia="宋体"/>
          <w:kern w:val="2"/>
          <w:szCs w:val="24"/>
          <w:lang w:val="en-US" w:eastAsia="zh-CN"/>
        </w:rPr>
        <w:t>October 18, 2019</w:t>
      </w:r>
    </w:p>
    <w:p w14:paraId="3926552B" w14:textId="0EE1B231" w:rsidR="00B83FA3" w:rsidRPr="00892CA2" w:rsidRDefault="00B83FA3" w:rsidP="007E3B89">
      <w:pPr>
        <w:widowControl w:val="0"/>
        <w:adjustRightInd w:val="0"/>
        <w:snapToGrid w:val="0"/>
        <w:spacing w:before="0" w:after="0"/>
        <w:jc w:val="both"/>
        <w:rPr>
          <w:rFonts w:eastAsia="宋体"/>
          <w:b/>
          <w:kern w:val="2"/>
          <w:szCs w:val="24"/>
          <w:lang w:val="en-US" w:eastAsia="zh-CN"/>
        </w:rPr>
      </w:pPr>
      <w:r w:rsidRPr="00892CA2">
        <w:rPr>
          <w:rFonts w:eastAsia="宋体"/>
          <w:b/>
          <w:kern w:val="2"/>
          <w:szCs w:val="24"/>
          <w:lang w:val="en-US" w:eastAsia="zh-CN"/>
        </w:rPr>
        <w:t>Article in press:</w:t>
      </w:r>
      <w:r w:rsidR="00717D2A" w:rsidRPr="00892CA2">
        <w:rPr>
          <w:rFonts w:eastAsia="宋体"/>
          <w:kern w:val="2"/>
          <w:szCs w:val="24"/>
          <w:lang w:val="en-US" w:eastAsia="zh-CN"/>
        </w:rPr>
        <w:t xml:space="preserve"> October 18, 2019</w:t>
      </w:r>
    </w:p>
    <w:p w14:paraId="0E9E2340" w14:textId="5B8139E3" w:rsidR="00B83FA3" w:rsidRPr="00892CA2" w:rsidRDefault="00B83FA3" w:rsidP="007E3B89">
      <w:pPr>
        <w:widowControl w:val="0"/>
        <w:adjustRightInd w:val="0"/>
        <w:snapToGrid w:val="0"/>
        <w:spacing w:before="0" w:after="0"/>
        <w:jc w:val="both"/>
        <w:rPr>
          <w:rFonts w:eastAsia="宋体"/>
          <w:b/>
          <w:kern w:val="2"/>
          <w:szCs w:val="24"/>
          <w:lang w:val="en-US" w:eastAsia="zh-CN"/>
        </w:rPr>
      </w:pPr>
      <w:r w:rsidRPr="00892CA2">
        <w:rPr>
          <w:rFonts w:eastAsia="宋体"/>
          <w:b/>
          <w:kern w:val="2"/>
          <w:szCs w:val="24"/>
          <w:lang w:val="en-US" w:eastAsia="zh-CN"/>
        </w:rPr>
        <w:t>Published online:</w:t>
      </w:r>
      <w:bookmarkEnd w:id="87"/>
      <w:bookmarkEnd w:id="88"/>
      <w:bookmarkEnd w:id="89"/>
      <w:r w:rsidR="00717D2A" w:rsidRPr="00892CA2">
        <w:rPr>
          <w:rFonts w:eastAsia="宋体"/>
          <w:szCs w:val="24"/>
        </w:rPr>
        <w:t xml:space="preserve"> November</w:t>
      </w:r>
      <w:r w:rsidR="00717D2A" w:rsidRPr="00892CA2">
        <w:rPr>
          <w:rFonts w:eastAsia="宋体" w:hint="eastAsia"/>
          <w:szCs w:val="24"/>
        </w:rPr>
        <w:t xml:space="preserve"> 13, 2019</w:t>
      </w:r>
    </w:p>
    <w:p w14:paraId="39B3C324" w14:textId="77777777" w:rsidR="00B83FA3" w:rsidRPr="00892CA2" w:rsidRDefault="00B83FA3" w:rsidP="007E3B89">
      <w:pPr>
        <w:adjustRightInd w:val="0"/>
        <w:snapToGrid w:val="0"/>
        <w:spacing w:before="0" w:after="0"/>
        <w:jc w:val="both"/>
        <w:rPr>
          <w:szCs w:val="24"/>
          <w:lang w:val="en-US"/>
        </w:rPr>
      </w:pPr>
    </w:p>
    <w:p w14:paraId="25FFFF8A" w14:textId="77777777" w:rsidR="00142FFB" w:rsidRPr="00892CA2" w:rsidRDefault="00142FFB" w:rsidP="007E3B89">
      <w:pPr>
        <w:adjustRightInd w:val="0"/>
        <w:snapToGrid w:val="0"/>
        <w:spacing w:before="0" w:after="0"/>
        <w:jc w:val="both"/>
        <w:rPr>
          <w:b/>
          <w:bCs/>
          <w:szCs w:val="24"/>
          <w:lang w:val="en-US"/>
        </w:rPr>
      </w:pPr>
      <w:r w:rsidRPr="00892CA2">
        <w:rPr>
          <w:b/>
          <w:bCs/>
          <w:szCs w:val="24"/>
          <w:lang w:val="en-US"/>
        </w:rPr>
        <w:br w:type="page"/>
      </w:r>
    </w:p>
    <w:p w14:paraId="29E730A3" w14:textId="1B36A2D1" w:rsidR="002949BE" w:rsidRPr="00892CA2" w:rsidRDefault="002949BE" w:rsidP="007E3B89">
      <w:pPr>
        <w:adjustRightInd w:val="0"/>
        <w:snapToGrid w:val="0"/>
        <w:spacing w:before="0" w:after="0"/>
        <w:jc w:val="both"/>
        <w:rPr>
          <w:rFonts w:eastAsia="Calibri"/>
          <w:b/>
          <w:bCs/>
          <w:szCs w:val="24"/>
          <w:lang w:val="en-US" w:eastAsia="en-GB"/>
        </w:rPr>
      </w:pPr>
      <w:r w:rsidRPr="00892CA2">
        <w:rPr>
          <w:b/>
          <w:bCs/>
          <w:szCs w:val="24"/>
          <w:lang w:val="en-US"/>
        </w:rPr>
        <w:t>Abstract</w:t>
      </w:r>
    </w:p>
    <w:p w14:paraId="52B036DF" w14:textId="77777777" w:rsidR="00142FFB" w:rsidRPr="00892CA2" w:rsidRDefault="00592F98" w:rsidP="007E3B89">
      <w:pPr>
        <w:adjustRightInd w:val="0"/>
        <w:snapToGrid w:val="0"/>
        <w:spacing w:before="0" w:after="0"/>
        <w:jc w:val="both"/>
        <w:rPr>
          <w:b/>
          <w:szCs w:val="24"/>
          <w:lang w:val="en-US"/>
        </w:rPr>
      </w:pPr>
      <w:r w:rsidRPr="00892CA2">
        <w:rPr>
          <w:b/>
          <w:i/>
          <w:iCs/>
          <w:szCs w:val="24"/>
          <w:lang w:val="en-US"/>
        </w:rPr>
        <w:t>BACKGROUND</w:t>
      </w:r>
    </w:p>
    <w:p w14:paraId="0D84200B" w14:textId="5EC42536" w:rsidR="00142FFB" w:rsidRPr="00892CA2" w:rsidRDefault="00166EF2" w:rsidP="007E3B89">
      <w:pPr>
        <w:adjustRightInd w:val="0"/>
        <w:snapToGrid w:val="0"/>
        <w:spacing w:before="0" w:after="0"/>
        <w:jc w:val="both"/>
        <w:rPr>
          <w:szCs w:val="24"/>
          <w:lang w:val="en-US"/>
        </w:rPr>
      </w:pPr>
      <w:r w:rsidRPr="00892CA2">
        <w:rPr>
          <w:szCs w:val="24"/>
          <w:lang w:val="en-US"/>
        </w:rPr>
        <w:t xml:space="preserve">Perianal fistulae are either primary (idiopathic) or secondary </w:t>
      </w:r>
      <w:r w:rsidR="00E97C8C" w:rsidRPr="00892CA2">
        <w:rPr>
          <w:szCs w:val="24"/>
          <w:lang w:val="en-US"/>
        </w:rPr>
        <w:t>[</w:t>
      </w:r>
      <w:r w:rsidRPr="00892CA2">
        <w:rPr>
          <w:szCs w:val="24"/>
          <w:lang w:val="en-US"/>
        </w:rPr>
        <w:t xml:space="preserve">commonly associated with </w:t>
      </w:r>
      <w:r w:rsidR="00E33DC4" w:rsidRPr="00892CA2">
        <w:rPr>
          <w:szCs w:val="24"/>
          <w:lang w:val="en-US"/>
        </w:rPr>
        <w:t xml:space="preserve">Crohn’s disease, </w:t>
      </w:r>
      <w:r w:rsidR="00E97C8C" w:rsidRPr="00892CA2">
        <w:rPr>
          <w:szCs w:val="24"/>
          <w:lang w:val="en-US"/>
        </w:rPr>
        <w:t>(</w:t>
      </w:r>
      <w:r w:rsidRPr="00892CA2">
        <w:rPr>
          <w:szCs w:val="24"/>
          <w:lang w:val="en-US"/>
        </w:rPr>
        <w:t>CD)</w:t>
      </w:r>
      <w:r w:rsidR="00E97C8C" w:rsidRPr="00892CA2">
        <w:rPr>
          <w:szCs w:val="24"/>
          <w:lang w:val="en-US"/>
        </w:rPr>
        <w:t>]</w:t>
      </w:r>
      <w:r w:rsidRPr="00892CA2">
        <w:rPr>
          <w:szCs w:val="24"/>
          <w:lang w:val="en-US"/>
        </w:rPr>
        <w:t>. It is assumed, although not proven, that the pathophysiology differs.</w:t>
      </w:r>
    </w:p>
    <w:p w14:paraId="25D480A7" w14:textId="77777777" w:rsidR="00E97C8C" w:rsidRPr="00892CA2" w:rsidRDefault="00E97C8C" w:rsidP="007E3B89">
      <w:pPr>
        <w:adjustRightInd w:val="0"/>
        <w:snapToGrid w:val="0"/>
        <w:spacing w:before="0" w:after="0"/>
        <w:jc w:val="both"/>
        <w:rPr>
          <w:szCs w:val="24"/>
          <w:lang w:val="en-US"/>
        </w:rPr>
      </w:pPr>
    </w:p>
    <w:p w14:paraId="469EFB84" w14:textId="77777777" w:rsidR="00142FFB" w:rsidRPr="00892CA2" w:rsidRDefault="00592F98" w:rsidP="007E3B89">
      <w:pPr>
        <w:adjustRightInd w:val="0"/>
        <w:snapToGrid w:val="0"/>
        <w:spacing w:before="0" w:after="0"/>
        <w:jc w:val="both"/>
        <w:rPr>
          <w:rFonts w:cs="Arial"/>
          <w:b/>
          <w:szCs w:val="24"/>
          <w:lang w:val="en-US"/>
        </w:rPr>
      </w:pPr>
      <w:r w:rsidRPr="00892CA2">
        <w:rPr>
          <w:rFonts w:cs="Arial"/>
          <w:b/>
          <w:i/>
          <w:iCs/>
          <w:szCs w:val="24"/>
          <w:lang w:val="en-US"/>
        </w:rPr>
        <w:t>AIM</w:t>
      </w:r>
    </w:p>
    <w:p w14:paraId="192D6587" w14:textId="6458600E" w:rsidR="00142FFB" w:rsidRPr="00892CA2" w:rsidRDefault="006C6B37" w:rsidP="007E3B89">
      <w:pPr>
        <w:adjustRightInd w:val="0"/>
        <w:snapToGrid w:val="0"/>
        <w:spacing w:before="0" w:after="0"/>
        <w:jc w:val="both"/>
        <w:rPr>
          <w:rFonts w:cs="Arial"/>
          <w:szCs w:val="24"/>
          <w:lang w:val="en-US"/>
        </w:rPr>
      </w:pPr>
      <w:r w:rsidRPr="00892CA2">
        <w:rPr>
          <w:rFonts w:cs="Arial"/>
          <w:szCs w:val="24"/>
          <w:lang w:val="en-US"/>
        </w:rPr>
        <w:t>To systematically</w:t>
      </w:r>
      <w:r w:rsidR="00166EF2" w:rsidRPr="00892CA2">
        <w:rPr>
          <w:rFonts w:cs="Arial"/>
          <w:szCs w:val="24"/>
          <w:lang w:val="en-US"/>
        </w:rPr>
        <w:t xml:space="preserve"> compar</w:t>
      </w:r>
      <w:r w:rsidRPr="00892CA2">
        <w:rPr>
          <w:rFonts w:cs="Arial"/>
          <w:szCs w:val="24"/>
          <w:lang w:val="en-US"/>
        </w:rPr>
        <w:t>e</w:t>
      </w:r>
      <w:r w:rsidR="00166EF2" w:rsidRPr="00892CA2">
        <w:rPr>
          <w:rFonts w:cs="Arial"/>
          <w:szCs w:val="24"/>
          <w:lang w:val="en-US"/>
        </w:rPr>
        <w:t xml:space="preserve"> </w:t>
      </w:r>
      <w:r w:rsidR="005A06AB" w:rsidRPr="00892CA2">
        <w:rPr>
          <w:rFonts w:cs="Arial"/>
          <w:szCs w:val="24"/>
          <w:lang w:val="en-US"/>
        </w:rPr>
        <w:t xml:space="preserve">the clinical phenotypes, cytokine and phosphoprotein profiles of </w:t>
      </w:r>
      <w:r w:rsidR="00166EF2" w:rsidRPr="00892CA2">
        <w:rPr>
          <w:rFonts w:cs="Arial"/>
          <w:szCs w:val="24"/>
          <w:lang w:val="en-US"/>
        </w:rPr>
        <w:t xml:space="preserve">idiopathic and </w:t>
      </w:r>
      <w:r w:rsidR="00E33DC4" w:rsidRPr="00892CA2">
        <w:rPr>
          <w:rFonts w:cs="Arial"/>
          <w:szCs w:val="24"/>
          <w:lang w:val="en-US"/>
        </w:rPr>
        <w:t>CD-</w:t>
      </w:r>
      <w:r w:rsidR="00166EF2" w:rsidRPr="00892CA2">
        <w:rPr>
          <w:rFonts w:cs="Arial"/>
          <w:szCs w:val="24"/>
          <w:lang w:val="en-US"/>
        </w:rPr>
        <w:t>related perianal fistulae.</w:t>
      </w:r>
    </w:p>
    <w:p w14:paraId="2D69EDAD" w14:textId="77777777" w:rsidR="00E97C8C" w:rsidRPr="00892CA2" w:rsidRDefault="00E97C8C" w:rsidP="007E3B89">
      <w:pPr>
        <w:adjustRightInd w:val="0"/>
        <w:snapToGrid w:val="0"/>
        <w:spacing w:before="0" w:after="0"/>
        <w:jc w:val="both"/>
        <w:rPr>
          <w:rFonts w:cs="Arial"/>
          <w:szCs w:val="24"/>
          <w:lang w:val="en-US"/>
        </w:rPr>
      </w:pPr>
    </w:p>
    <w:p w14:paraId="53873086" w14:textId="77777777" w:rsidR="00142FFB" w:rsidRPr="00892CA2" w:rsidRDefault="00592F98" w:rsidP="007E3B89">
      <w:pPr>
        <w:adjustRightInd w:val="0"/>
        <w:snapToGrid w:val="0"/>
        <w:spacing w:before="0" w:after="0"/>
        <w:jc w:val="both"/>
        <w:rPr>
          <w:rFonts w:cs="Arial"/>
          <w:b/>
          <w:szCs w:val="24"/>
          <w:lang w:val="en-US"/>
        </w:rPr>
      </w:pPr>
      <w:r w:rsidRPr="00892CA2">
        <w:rPr>
          <w:rFonts w:cs="Arial"/>
          <w:b/>
          <w:i/>
          <w:iCs/>
          <w:szCs w:val="24"/>
          <w:lang w:val="en-US"/>
        </w:rPr>
        <w:t>METHODS</w:t>
      </w:r>
    </w:p>
    <w:p w14:paraId="7EFC27D4" w14:textId="120333EC" w:rsidR="00142FFB" w:rsidRPr="00892CA2" w:rsidRDefault="00166EF2" w:rsidP="007E3B89">
      <w:pPr>
        <w:adjustRightInd w:val="0"/>
        <w:snapToGrid w:val="0"/>
        <w:spacing w:before="0" w:after="0"/>
        <w:jc w:val="both"/>
        <w:rPr>
          <w:rFonts w:cs="Arial"/>
          <w:szCs w:val="24"/>
          <w:lang w:val="en-US"/>
        </w:rPr>
      </w:pPr>
      <w:r w:rsidRPr="00892CA2">
        <w:rPr>
          <w:szCs w:val="24"/>
          <w:lang w:val="en-US"/>
        </w:rPr>
        <w:t xml:space="preserve">Sixty-one patients undergoing surgery for perianal fistula were prospectively recruited </w:t>
      </w:r>
      <w:r w:rsidRPr="00892CA2">
        <w:rPr>
          <w:rFonts w:cs="Arial"/>
          <w:szCs w:val="24"/>
          <w:lang w:val="en-US"/>
        </w:rPr>
        <w:t>(48 idiopathic, 13 CD)</w:t>
      </w:r>
      <w:r w:rsidR="00F01B8E" w:rsidRPr="00892CA2">
        <w:rPr>
          <w:rFonts w:cs="Arial"/>
          <w:szCs w:val="24"/>
          <w:lang w:val="en-US"/>
        </w:rPr>
        <w:t xml:space="preserve"> into a cohort study</w:t>
      </w:r>
      <w:r w:rsidRPr="00892CA2">
        <w:rPr>
          <w:rFonts w:cs="Arial"/>
          <w:szCs w:val="24"/>
          <w:lang w:val="en-US"/>
        </w:rPr>
        <w:t xml:space="preserve">. Clinical data, including the </w:t>
      </w:r>
      <w:r w:rsidRPr="00892CA2">
        <w:rPr>
          <w:szCs w:val="24"/>
          <w:lang w:val="en-US"/>
        </w:rPr>
        <w:t>Perineal Disease Activity Index (PDAI) and EQ-5D-5L were collected. Biopsies of the fistula tract, granulation tissue, internal opening mucosa and rectal mucosa were obtained at surgery. Concentrations of 30 cytokines</w:t>
      </w:r>
      <w:r w:rsidR="00BE2A3D" w:rsidRPr="00892CA2">
        <w:rPr>
          <w:szCs w:val="24"/>
          <w:lang w:val="en-US"/>
        </w:rPr>
        <w:t xml:space="preserve"> </w:t>
      </w:r>
      <w:r w:rsidRPr="00892CA2">
        <w:rPr>
          <w:szCs w:val="24"/>
          <w:lang w:val="en-US"/>
        </w:rPr>
        <w:t>and 39 phosphoproteins were measured in each biopsy</w:t>
      </w:r>
      <w:r w:rsidR="00BE2A3D" w:rsidRPr="00892CA2">
        <w:rPr>
          <w:szCs w:val="24"/>
          <w:lang w:val="en-US"/>
        </w:rPr>
        <w:t xml:space="preserve"> using a magnetic bead multiplexing instrument and a chemiluminescent antibody array respectively</w:t>
      </w:r>
      <w:r w:rsidRPr="00892CA2">
        <w:rPr>
          <w:szCs w:val="24"/>
          <w:lang w:val="en-US"/>
        </w:rPr>
        <w:t xml:space="preserve">. </w:t>
      </w:r>
      <w:r w:rsidRPr="00892CA2">
        <w:rPr>
          <w:rFonts w:cs="Arial"/>
          <w:szCs w:val="24"/>
          <w:lang w:val="en-US"/>
        </w:rPr>
        <w:t>Over 12000 clinical and 23500 laboratory measurements were made.</w:t>
      </w:r>
    </w:p>
    <w:p w14:paraId="1FEB9404" w14:textId="77777777" w:rsidR="00E97C8C" w:rsidRPr="00892CA2" w:rsidRDefault="00E97C8C" w:rsidP="007E3B89">
      <w:pPr>
        <w:adjustRightInd w:val="0"/>
        <w:snapToGrid w:val="0"/>
        <w:spacing w:before="0" w:after="0"/>
        <w:jc w:val="both"/>
        <w:rPr>
          <w:rFonts w:cs="Arial"/>
          <w:szCs w:val="24"/>
          <w:lang w:val="en-US"/>
        </w:rPr>
      </w:pPr>
    </w:p>
    <w:p w14:paraId="30109B61" w14:textId="77777777" w:rsidR="00142FFB" w:rsidRPr="00892CA2" w:rsidRDefault="00592F98" w:rsidP="007E3B89">
      <w:pPr>
        <w:adjustRightInd w:val="0"/>
        <w:snapToGrid w:val="0"/>
        <w:spacing w:before="0" w:after="0"/>
        <w:jc w:val="both"/>
        <w:rPr>
          <w:rFonts w:cs="Arial"/>
          <w:b/>
          <w:szCs w:val="24"/>
          <w:lang w:val="en-US"/>
        </w:rPr>
      </w:pPr>
      <w:r w:rsidRPr="00892CA2">
        <w:rPr>
          <w:rFonts w:cs="Arial"/>
          <w:b/>
          <w:i/>
          <w:iCs/>
          <w:szCs w:val="24"/>
          <w:lang w:val="en-US"/>
        </w:rPr>
        <w:t>RESULTS</w:t>
      </w:r>
    </w:p>
    <w:p w14:paraId="6E1A441A" w14:textId="6E0243BD" w:rsidR="00142FFB" w:rsidRPr="00892CA2" w:rsidRDefault="00166EF2" w:rsidP="007E3B89">
      <w:pPr>
        <w:adjustRightInd w:val="0"/>
        <w:snapToGrid w:val="0"/>
        <w:spacing w:before="0" w:after="0"/>
        <w:jc w:val="both"/>
        <w:rPr>
          <w:szCs w:val="24"/>
          <w:lang w:val="en-US"/>
        </w:rPr>
      </w:pPr>
      <w:r w:rsidRPr="00892CA2">
        <w:rPr>
          <w:szCs w:val="24"/>
          <w:lang w:val="en-US"/>
        </w:rPr>
        <w:t>The PDAI was significantly higher (indicating more active disease) in the CD group with a mean difference of 2.40 (</w:t>
      </w:r>
      <w:r w:rsidR="00E97C8C" w:rsidRPr="00892CA2">
        <w:rPr>
          <w:szCs w:val="24"/>
          <w:lang w:val="en-US"/>
        </w:rPr>
        <w:t>95%CI:</w:t>
      </w:r>
      <w:r w:rsidRPr="00892CA2">
        <w:rPr>
          <w:szCs w:val="24"/>
          <w:lang w:val="en-US"/>
        </w:rPr>
        <w:t xml:space="preserve"> 0.52</w:t>
      </w:r>
      <w:r w:rsidR="00E97C8C" w:rsidRPr="00892CA2">
        <w:rPr>
          <w:szCs w:val="24"/>
          <w:lang w:val="en-US"/>
        </w:rPr>
        <w:t>-</w:t>
      </w:r>
      <w:r w:rsidRPr="00892CA2">
        <w:rPr>
          <w:szCs w:val="24"/>
          <w:lang w:val="en-US"/>
        </w:rPr>
        <w:t xml:space="preserve">4.28, </w:t>
      </w:r>
      <w:r w:rsidRPr="00892CA2">
        <w:rPr>
          <w:i/>
          <w:szCs w:val="24"/>
          <w:lang w:val="en-US"/>
        </w:rPr>
        <w:t>P</w:t>
      </w:r>
      <w:r w:rsidRPr="00892CA2">
        <w:rPr>
          <w:szCs w:val="24"/>
          <w:lang w:val="en-US"/>
        </w:rPr>
        <w:t xml:space="preserve"> = 0.01). </w:t>
      </w:r>
      <w:r w:rsidRPr="00892CA2">
        <w:rPr>
          <w:szCs w:val="24"/>
          <w:lang w:val="en-US" w:eastAsia="en-GB"/>
        </w:rPr>
        <w:t xml:space="preserve">Complex </w:t>
      </w:r>
      <w:proofErr w:type="spellStart"/>
      <w:r w:rsidRPr="00892CA2">
        <w:rPr>
          <w:szCs w:val="24"/>
          <w:lang w:val="en-US" w:eastAsia="en-GB"/>
        </w:rPr>
        <w:t>pathoanatomy</w:t>
      </w:r>
      <w:proofErr w:type="spellEnd"/>
      <w:r w:rsidRPr="00892CA2">
        <w:rPr>
          <w:szCs w:val="24"/>
          <w:lang w:val="en-US" w:eastAsia="en-GB"/>
        </w:rPr>
        <w:t xml:space="preserve"> was more prevalent</w:t>
      </w:r>
      <w:r w:rsidRPr="00892CA2">
        <w:rPr>
          <w:szCs w:val="24"/>
          <w:lang w:val="en-US"/>
        </w:rPr>
        <w:t xml:space="preserve"> in the CD group</w:t>
      </w:r>
      <w:r w:rsidR="00BE2A3D" w:rsidRPr="00892CA2">
        <w:rPr>
          <w:szCs w:val="24"/>
          <w:lang w:val="en-US"/>
        </w:rPr>
        <w:t xml:space="preserve">, namely more multiple fistulae, </w:t>
      </w:r>
      <w:proofErr w:type="spellStart"/>
      <w:r w:rsidR="00BE2A3D" w:rsidRPr="00892CA2">
        <w:rPr>
          <w:szCs w:val="24"/>
          <w:lang w:val="en-US"/>
        </w:rPr>
        <w:t>supralevator</w:t>
      </w:r>
      <w:proofErr w:type="spellEnd"/>
      <w:r w:rsidR="00BE2A3D" w:rsidRPr="00892CA2">
        <w:rPr>
          <w:szCs w:val="24"/>
          <w:lang w:val="en-US"/>
        </w:rPr>
        <w:t xml:space="preserve"> extensions, collections and rectal thickening</w:t>
      </w:r>
      <w:r w:rsidRPr="00892CA2">
        <w:rPr>
          <w:rFonts w:cs="Arial"/>
          <w:szCs w:val="24"/>
          <w:lang w:val="en-US"/>
        </w:rPr>
        <w:t xml:space="preserve">. The </w:t>
      </w:r>
      <w:r w:rsidRPr="00892CA2">
        <w:rPr>
          <w:szCs w:val="24"/>
          <w:lang w:val="en-US"/>
        </w:rPr>
        <w:t xml:space="preserve">IL-12p70 concentration at the internal opening specimen site was significantly higher (median difference 19.7 </w:t>
      </w:r>
      <w:proofErr w:type="spellStart"/>
      <w:r w:rsidRPr="00892CA2">
        <w:rPr>
          <w:szCs w:val="24"/>
          <w:lang w:val="en-US"/>
        </w:rPr>
        <w:t>pg</w:t>
      </w:r>
      <w:proofErr w:type="spellEnd"/>
      <w:r w:rsidRPr="00892CA2">
        <w:rPr>
          <w:szCs w:val="24"/>
          <w:lang w:val="en-US"/>
        </w:rPr>
        <w:t>/m</w:t>
      </w:r>
      <w:r w:rsidR="00E97C8C" w:rsidRPr="00892CA2">
        <w:rPr>
          <w:szCs w:val="24"/>
          <w:lang w:val="en-US"/>
        </w:rPr>
        <w:t>L</w:t>
      </w:r>
      <w:r w:rsidRPr="00892CA2">
        <w:rPr>
          <w:szCs w:val="24"/>
          <w:lang w:val="en-US"/>
        </w:rPr>
        <w:t>, 99%CI: 0.2</w:t>
      </w:r>
      <w:r w:rsidR="00E97C8C" w:rsidRPr="00892CA2">
        <w:rPr>
          <w:szCs w:val="24"/>
          <w:lang w:val="en-US"/>
        </w:rPr>
        <w:t>-</w:t>
      </w:r>
      <w:r w:rsidRPr="00892CA2">
        <w:rPr>
          <w:szCs w:val="24"/>
          <w:lang w:val="en-US"/>
        </w:rPr>
        <w:t xml:space="preserve">40.4, </w:t>
      </w:r>
      <w:r w:rsidRPr="00892CA2">
        <w:rPr>
          <w:i/>
          <w:szCs w:val="24"/>
          <w:lang w:val="en-US"/>
        </w:rPr>
        <w:t>P</w:t>
      </w:r>
      <w:r w:rsidRPr="00892CA2">
        <w:rPr>
          <w:szCs w:val="24"/>
          <w:lang w:val="en-US"/>
        </w:rPr>
        <w:t xml:space="preserve"> = 0.008) and the IL-1RA/IL-1</w:t>
      </w:r>
      <w:r w:rsidRPr="00892CA2">
        <w:rPr>
          <w:szCs w:val="24"/>
          <w:lang w:val="en-US"/>
        </w:rPr>
        <w:sym w:font="Symbol" w:char="F062"/>
      </w:r>
      <w:r w:rsidRPr="00892CA2">
        <w:rPr>
          <w:szCs w:val="24"/>
          <w:lang w:val="en-US"/>
        </w:rPr>
        <w:t xml:space="preserve"> ratio was significantly lower in the CD group at the internal opening specimen site (median difference 15.0, 99%CI = 0.4</w:t>
      </w:r>
      <w:r w:rsidR="00E97C8C" w:rsidRPr="00892CA2">
        <w:rPr>
          <w:szCs w:val="24"/>
          <w:lang w:val="en-US"/>
        </w:rPr>
        <w:t>-</w:t>
      </w:r>
      <w:r w:rsidRPr="00892CA2">
        <w:rPr>
          <w:szCs w:val="24"/>
          <w:lang w:val="en-US"/>
        </w:rPr>
        <w:t xml:space="preserve">50.5, </w:t>
      </w:r>
      <w:r w:rsidRPr="00892CA2">
        <w:rPr>
          <w:i/>
          <w:szCs w:val="24"/>
          <w:lang w:val="en-US"/>
        </w:rPr>
        <w:t>P</w:t>
      </w:r>
      <w:r w:rsidRPr="00892CA2">
        <w:rPr>
          <w:szCs w:val="24"/>
          <w:lang w:val="en-US"/>
        </w:rPr>
        <w:t xml:space="preserve"> = 0.008). However in the remaining 27 cytokines and all 39 of the phosphoproteins across the four biopsy sites, no significant differences were found between the groups.</w:t>
      </w:r>
    </w:p>
    <w:p w14:paraId="7B2E6F7C" w14:textId="77777777" w:rsidR="00E97C8C" w:rsidRPr="00892CA2" w:rsidRDefault="00E97C8C" w:rsidP="007E3B89">
      <w:pPr>
        <w:adjustRightInd w:val="0"/>
        <w:snapToGrid w:val="0"/>
        <w:spacing w:before="0" w:after="0"/>
        <w:jc w:val="both"/>
        <w:rPr>
          <w:rFonts w:cs="Arial"/>
          <w:szCs w:val="24"/>
          <w:lang w:val="en-US"/>
        </w:rPr>
      </w:pPr>
    </w:p>
    <w:p w14:paraId="2B948B00" w14:textId="7CA5577D" w:rsidR="00142FFB" w:rsidRPr="00892CA2" w:rsidRDefault="00592F98" w:rsidP="007E3B89">
      <w:pPr>
        <w:adjustRightInd w:val="0"/>
        <w:snapToGrid w:val="0"/>
        <w:spacing w:before="0" w:after="0"/>
        <w:jc w:val="both"/>
        <w:rPr>
          <w:rFonts w:cs="Arial"/>
          <w:b/>
          <w:szCs w:val="24"/>
          <w:lang w:val="en-US"/>
        </w:rPr>
      </w:pPr>
      <w:r w:rsidRPr="00892CA2">
        <w:rPr>
          <w:rFonts w:cs="Arial"/>
          <w:b/>
          <w:i/>
          <w:iCs/>
          <w:szCs w:val="24"/>
          <w:lang w:val="en-US"/>
        </w:rPr>
        <w:t>CONCLUSION</w:t>
      </w:r>
    </w:p>
    <w:p w14:paraId="1A4A328D" w14:textId="4A72A79A" w:rsidR="00166EF2" w:rsidRPr="00892CA2" w:rsidRDefault="00166EF2" w:rsidP="007E3B89">
      <w:pPr>
        <w:adjustRightInd w:val="0"/>
        <w:snapToGrid w:val="0"/>
        <w:spacing w:before="0" w:after="0"/>
        <w:jc w:val="both"/>
        <w:rPr>
          <w:rFonts w:cs="Arial"/>
          <w:szCs w:val="24"/>
          <w:lang w:val="en-US"/>
        </w:rPr>
      </w:pPr>
      <w:r w:rsidRPr="00892CA2">
        <w:rPr>
          <w:szCs w:val="24"/>
          <w:lang w:val="en-US" w:eastAsia="en-GB"/>
        </w:rPr>
        <w:t xml:space="preserve">CD-related perianal fistulae are more clinically severe and anatomically complex than idiopathic perianal fistulae. However, overall there are no major differences in cytokine and phosphoprotein profiles. </w:t>
      </w:r>
    </w:p>
    <w:p w14:paraId="3440F92B" w14:textId="77777777" w:rsidR="00E37891" w:rsidRPr="00892CA2" w:rsidRDefault="00E37891" w:rsidP="007E3B89">
      <w:pPr>
        <w:adjustRightInd w:val="0"/>
        <w:snapToGrid w:val="0"/>
        <w:spacing w:before="0" w:after="0"/>
        <w:jc w:val="both"/>
        <w:rPr>
          <w:szCs w:val="24"/>
          <w:lang w:val="en-US"/>
        </w:rPr>
      </w:pPr>
    </w:p>
    <w:p w14:paraId="01F9B977" w14:textId="3F77EC12" w:rsidR="00142FFB" w:rsidRPr="00892CA2" w:rsidRDefault="002949BE" w:rsidP="007E3B89">
      <w:pPr>
        <w:adjustRightInd w:val="0"/>
        <w:snapToGrid w:val="0"/>
        <w:spacing w:before="0" w:after="0"/>
        <w:jc w:val="both"/>
        <w:rPr>
          <w:szCs w:val="24"/>
          <w:lang w:val="en-US"/>
        </w:rPr>
      </w:pPr>
      <w:r w:rsidRPr="00892CA2">
        <w:rPr>
          <w:b/>
          <w:bCs/>
          <w:szCs w:val="24"/>
          <w:lang w:val="en-US"/>
        </w:rPr>
        <w:t>Key</w:t>
      </w:r>
      <w:r w:rsidR="00E37891" w:rsidRPr="00892CA2">
        <w:rPr>
          <w:b/>
          <w:bCs/>
          <w:szCs w:val="24"/>
          <w:lang w:val="en-US"/>
        </w:rPr>
        <w:t xml:space="preserve"> </w:t>
      </w:r>
      <w:r w:rsidRPr="00892CA2">
        <w:rPr>
          <w:b/>
          <w:bCs/>
          <w:szCs w:val="24"/>
          <w:lang w:val="en-US"/>
        </w:rPr>
        <w:t>words</w:t>
      </w:r>
      <w:r w:rsidR="00E37891" w:rsidRPr="00892CA2">
        <w:rPr>
          <w:b/>
          <w:bCs/>
          <w:szCs w:val="24"/>
          <w:lang w:val="en-US"/>
        </w:rPr>
        <w:t>:</w:t>
      </w:r>
      <w:r w:rsidR="00E37891" w:rsidRPr="00892CA2">
        <w:rPr>
          <w:szCs w:val="24"/>
          <w:lang w:val="en-US"/>
        </w:rPr>
        <w:t xml:space="preserve"> </w:t>
      </w:r>
      <w:r w:rsidR="00000DBA" w:rsidRPr="00892CA2">
        <w:rPr>
          <w:szCs w:val="24"/>
          <w:lang w:val="en-US"/>
        </w:rPr>
        <w:t>Anal fistula</w:t>
      </w:r>
      <w:r w:rsidRPr="00892CA2">
        <w:rPr>
          <w:szCs w:val="24"/>
          <w:lang w:val="en-US"/>
        </w:rPr>
        <w:t xml:space="preserve">; </w:t>
      </w:r>
      <w:r w:rsidR="00000DBA" w:rsidRPr="00892CA2">
        <w:rPr>
          <w:szCs w:val="24"/>
          <w:lang w:val="en-US"/>
        </w:rPr>
        <w:t xml:space="preserve">Crohn’s disease; </w:t>
      </w:r>
      <w:r w:rsidR="006C6B37" w:rsidRPr="00892CA2">
        <w:rPr>
          <w:szCs w:val="24"/>
          <w:lang w:val="en-US"/>
        </w:rPr>
        <w:t>C</w:t>
      </w:r>
      <w:r w:rsidR="00BC3BDD" w:rsidRPr="00892CA2">
        <w:rPr>
          <w:szCs w:val="24"/>
          <w:lang w:val="en-US"/>
        </w:rPr>
        <w:t xml:space="preserve">ytokines; </w:t>
      </w:r>
      <w:r w:rsidR="006C6B37" w:rsidRPr="00892CA2">
        <w:rPr>
          <w:szCs w:val="24"/>
          <w:lang w:val="en-US"/>
        </w:rPr>
        <w:t>P</w:t>
      </w:r>
      <w:r w:rsidR="00222E44" w:rsidRPr="00892CA2">
        <w:rPr>
          <w:szCs w:val="24"/>
          <w:lang w:val="en-US"/>
        </w:rPr>
        <w:t>hosphoprotein</w:t>
      </w:r>
      <w:r w:rsidR="00BC3BDD" w:rsidRPr="00892CA2">
        <w:rPr>
          <w:szCs w:val="24"/>
          <w:lang w:val="en-US"/>
        </w:rPr>
        <w:t>s</w:t>
      </w:r>
      <w:r w:rsidR="00E37891" w:rsidRPr="00892CA2">
        <w:rPr>
          <w:szCs w:val="24"/>
          <w:lang w:val="en-US"/>
        </w:rPr>
        <w:t xml:space="preserve">; </w:t>
      </w:r>
      <w:r w:rsidR="006C6B37" w:rsidRPr="00892CA2">
        <w:rPr>
          <w:szCs w:val="24"/>
          <w:lang w:val="en-US"/>
        </w:rPr>
        <w:t>P</w:t>
      </w:r>
      <w:r w:rsidR="00000DBA" w:rsidRPr="00892CA2">
        <w:rPr>
          <w:szCs w:val="24"/>
          <w:lang w:val="en-US"/>
        </w:rPr>
        <w:t>athogenesis</w:t>
      </w:r>
    </w:p>
    <w:p w14:paraId="76A84A79" w14:textId="313DFF4A" w:rsidR="00E97C8C" w:rsidRPr="00892CA2" w:rsidRDefault="00E97C8C" w:rsidP="007E3B89">
      <w:pPr>
        <w:adjustRightInd w:val="0"/>
        <w:snapToGrid w:val="0"/>
        <w:spacing w:before="0" w:after="0"/>
        <w:jc w:val="both"/>
        <w:rPr>
          <w:szCs w:val="24"/>
          <w:lang w:val="en-US"/>
        </w:rPr>
      </w:pPr>
    </w:p>
    <w:p w14:paraId="32779320" w14:textId="13EE98F1" w:rsidR="00E97C8C" w:rsidRPr="00892CA2" w:rsidRDefault="00E50D46" w:rsidP="007E3B89">
      <w:pPr>
        <w:adjustRightInd w:val="0"/>
        <w:snapToGrid w:val="0"/>
        <w:spacing w:before="0" w:after="0"/>
        <w:jc w:val="both"/>
        <w:rPr>
          <w:rFonts w:eastAsia="宋体" w:cs="Arial Unicode MS"/>
          <w:kern w:val="2"/>
          <w:szCs w:val="24"/>
          <w:lang w:val="fr-FR" w:eastAsia="zh-CN"/>
        </w:rPr>
      </w:pPr>
      <w:proofErr w:type="gramStart"/>
      <w:r w:rsidRPr="00892CA2">
        <w:rPr>
          <w:rFonts w:eastAsia="宋体" w:cs="Tahoma"/>
          <w:b/>
          <w:color w:val="000000"/>
          <w:kern w:val="2"/>
          <w:szCs w:val="24"/>
          <w:lang w:eastAsia="ja-JP"/>
        </w:rPr>
        <w:t xml:space="preserve">© </w:t>
      </w:r>
      <w:r w:rsidRPr="00892CA2">
        <w:rPr>
          <w:rFonts w:eastAsia="AdvTimes" w:cs="AdvTimes"/>
          <w:b/>
          <w:color w:val="000000"/>
          <w:kern w:val="2"/>
          <w:szCs w:val="24"/>
          <w:lang w:val="fr-FR" w:eastAsia="ja-JP"/>
        </w:rPr>
        <w:t xml:space="preserve">The Author(s) </w:t>
      </w:r>
      <w:r w:rsidRPr="00892CA2">
        <w:rPr>
          <w:rFonts w:eastAsia="宋体" w:cs="AdvTimes"/>
          <w:b/>
          <w:color w:val="000000"/>
          <w:kern w:val="2"/>
          <w:szCs w:val="24"/>
          <w:lang w:val="fr-FR" w:eastAsia="zh-CN"/>
        </w:rPr>
        <w:t>2019</w:t>
      </w:r>
      <w:r w:rsidRPr="00892CA2">
        <w:rPr>
          <w:rFonts w:eastAsia="AdvTimes" w:cs="AdvTimes"/>
          <w:b/>
          <w:color w:val="000000"/>
          <w:kern w:val="2"/>
          <w:szCs w:val="24"/>
          <w:lang w:val="fr-FR" w:eastAsia="ja-JP"/>
        </w:rPr>
        <w:t>.</w:t>
      </w:r>
      <w:proofErr w:type="gramEnd"/>
      <w:r w:rsidRPr="00892CA2">
        <w:rPr>
          <w:rFonts w:eastAsia="AdvTimes" w:cs="AdvTimes"/>
          <w:color w:val="000000"/>
          <w:kern w:val="2"/>
          <w:szCs w:val="24"/>
          <w:lang w:val="fr-FR" w:eastAsia="ja-JP"/>
        </w:rPr>
        <w:t xml:space="preserve"> Published by </w:t>
      </w:r>
      <w:proofErr w:type="spellStart"/>
      <w:r w:rsidRPr="00892CA2">
        <w:rPr>
          <w:rFonts w:eastAsia="宋体" w:cs="Arial Unicode MS"/>
          <w:color w:val="000000"/>
          <w:kern w:val="2"/>
          <w:szCs w:val="24"/>
          <w:lang w:eastAsia="ja-JP"/>
        </w:rPr>
        <w:t>Baishideng</w:t>
      </w:r>
      <w:proofErr w:type="spellEnd"/>
      <w:r w:rsidRPr="00892CA2">
        <w:rPr>
          <w:rFonts w:eastAsia="宋体" w:cs="Arial Unicode MS"/>
          <w:color w:val="000000"/>
          <w:kern w:val="2"/>
          <w:szCs w:val="24"/>
          <w:lang w:eastAsia="ja-JP"/>
        </w:rPr>
        <w:t xml:space="preserve"> Publishing Group Inc.</w:t>
      </w:r>
      <w:r w:rsidRPr="00892CA2">
        <w:rPr>
          <w:rFonts w:eastAsia="宋体" w:cs="Arial Unicode MS"/>
          <w:kern w:val="2"/>
          <w:szCs w:val="24"/>
          <w:lang w:eastAsia="ja-JP"/>
        </w:rPr>
        <w:t xml:space="preserve"> </w:t>
      </w:r>
      <w:r w:rsidRPr="00892CA2">
        <w:rPr>
          <w:rFonts w:eastAsia="宋体" w:cs="Arial Unicode MS"/>
          <w:kern w:val="2"/>
          <w:szCs w:val="24"/>
          <w:lang w:val="fr-FR" w:eastAsia="ja-JP"/>
        </w:rPr>
        <w:t>All rights reserved</w:t>
      </w:r>
      <w:r w:rsidRPr="00892CA2">
        <w:rPr>
          <w:rFonts w:eastAsia="宋体" w:cs="Arial Unicode MS"/>
          <w:kern w:val="2"/>
          <w:szCs w:val="24"/>
          <w:lang w:val="fr-FR" w:eastAsia="zh-CN"/>
        </w:rPr>
        <w:t>.</w:t>
      </w:r>
    </w:p>
    <w:p w14:paraId="436E0043" w14:textId="77777777" w:rsidR="00E50D46" w:rsidRPr="00892CA2" w:rsidRDefault="00E50D46" w:rsidP="007E3B89">
      <w:pPr>
        <w:adjustRightInd w:val="0"/>
        <w:snapToGrid w:val="0"/>
        <w:spacing w:before="0" w:after="0"/>
        <w:jc w:val="both"/>
        <w:rPr>
          <w:szCs w:val="24"/>
          <w:lang w:val="en-US"/>
        </w:rPr>
      </w:pPr>
    </w:p>
    <w:p w14:paraId="05D0887E" w14:textId="440B5647" w:rsidR="00DB1EDE" w:rsidRPr="00892CA2" w:rsidRDefault="006C6B37" w:rsidP="007E3B89">
      <w:pPr>
        <w:adjustRightInd w:val="0"/>
        <w:snapToGrid w:val="0"/>
        <w:spacing w:before="0" w:after="0"/>
        <w:jc w:val="both"/>
        <w:rPr>
          <w:szCs w:val="24"/>
          <w:lang w:val="en-US"/>
        </w:rPr>
      </w:pPr>
      <w:r w:rsidRPr="00892CA2">
        <w:rPr>
          <w:b/>
          <w:bCs/>
          <w:szCs w:val="24"/>
          <w:lang w:val="en-US"/>
        </w:rPr>
        <w:t xml:space="preserve">Core </w:t>
      </w:r>
      <w:r w:rsidR="00E37891" w:rsidRPr="00892CA2">
        <w:rPr>
          <w:b/>
          <w:bCs/>
          <w:szCs w:val="24"/>
          <w:lang w:val="en-US"/>
        </w:rPr>
        <w:t>t</w:t>
      </w:r>
      <w:r w:rsidRPr="00892CA2">
        <w:rPr>
          <w:b/>
          <w:bCs/>
          <w:szCs w:val="24"/>
          <w:lang w:val="en-US"/>
        </w:rPr>
        <w:t>ip</w:t>
      </w:r>
      <w:r w:rsidR="00E37891" w:rsidRPr="00892CA2">
        <w:rPr>
          <w:b/>
          <w:bCs/>
          <w:szCs w:val="24"/>
          <w:lang w:val="en-US"/>
        </w:rPr>
        <w:t>:</w:t>
      </w:r>
      <w:r w:rsidR="00E37891" w:rsidRPr="00892CA2">
        <w:rPr>
          <w:szCs w:val="24"/>
          <w:lang w:val="en-US"/>
        </w:rPr>
        <w:t xml:space="preserve"> </w:t>
      </w:r>
      <w:r w:rsidR="00DB1EDE" w:rsidRPr="00892CA2">
        <w:rPr>
          <w:szCs w:val="24"/>
          <w:lang w:val="en-US" w:eastAsia="en-GB"/>
        </w:rPr>
        <w:t xml:space="preserve">We systematically compared </w:t>
      </w:r>
      <w:r w:rsidR="00E02BB9" w:rsidRPr="00892CA2">
        <w:rPr>
          <w:szCs w:val="24"/>
          <w:lang w:val="en-US" w:eastAsia="en-GB"/>
        </w:rPr>
        <w:t xml:space="preserve">idiopathic and Crohn’s perianal </w:t>
      </w:r>
      <w:r w:rsidR="005C6D05" w:rsidRPr="00892CA2">
        <w:rPr>
          <w:szCs w:val="24"/>
          <w:lang w:val="en-US" w:eastAsia="en-GB"/>
        </w:rPr>
        <w:t>fistulae</w:t>
      </w:r>
      <w:r w:rsidR="00DB1EDE" w:rsidRPr="00892CA2">
        <w:rPr>
          <w:szCs w:val="24"/>
          <w:lang w:val="en-US" w:eastAsia="en-GB"/>
        </w:rPr>
        <w:t xml:space="preserve">, but did not find major differences in their cytokine and phosphoprotein profiles. Although more research </w:t>
      </w:r>
      <w:r w:rsidR="005C6D05" w:rsidRPr="00892CA2">
        <w:rPr>
          <w:szCs w:val="24"/>
          <w:lang w:val="en-US" w:eastAsia="en-GB"/>
        </w:rPr>
        <w:t>is needed</w:t>
      </w:r>
      <w:r w:rsidR="00DB1EDE" w:rsidRPr="00892CA2">
        <w:rPr>
          <w:szCs w:val="24"/>
          <w:lang w:val="en-US" w:eastAsia="en-GB"/>
        </w:rPr>
        <w:t xml:space="preserve">, </w:t>
      </w:r>
      <w:r w:rsidR="0009311A" w:rsidRPr="00892CA2">
        <w:rPr>
          <w:szCs w:val="24"/>
          <w:lang w:val="en-US" w:eastAsia="en-GB"/>
        </w:rPr>
        <w:t xml:space="preserve">our results </w:t>
      </w:r>
      <w:r w:rsidR="008A7374" w:rsidRPr="00892CA2">
        <w:rPr>
          <w:szCs w:val="24"/>
          <w:lang w:val="en-US" w:eastAsia="en-GB"/>
        </w:rPr>
        <w:t>s</w:t>
      </w:r>
      <w:r w:rsidR="0009311A" w:rsidRPr="00892CA2">
        <w:rPr>
          <w:szCs w:val="24"/>
          <w:lang w:val="en-US" w:eastAsia="en-GB"/>
        </w:rPr>
        <w:t>upport</w:t>
      </w:r>
      <w:r w:rsidR="008A7374" w:rsidRPr="00892CA2">
        <w:rPr>
          <w:szCs w:val="24"/>
          <w:lang w:val="en-US" w:eastAsia="en-GB"/>
        </w:rPr>
        <w:t xml:space="preserve"> </w:t>
      </w:r>
      <w:r w:rsidR="00DB1EDE" w:rsidRPr="00892CA2">
        <w:rPr>
          <w:szCs w:val="24"/>
          <w:lang w:val="en-US" w:eastAsia="en-GB"/>
        </w:rPr>
        <w:t xml:space="preserve">the </w:t>
      </w:r>
      <w:r w:rsidR="008A7374" w:rsidRPr="00892CA2">
        <w:rPr>
          <w:szCs w:val="24"/>
          <w:lang w:val="en-US" w:eastAsia="en-GB"/>
        </w:rPr>
        <w:t xml:space="preserve">thesis </w:t>
      </w:r>
      <w:r w:rsidR="00DB1EDE" w:rsidRPr="00892CA2">
        <w:rPr>
          <w:szCs w:val="24"/>
          <w:lang w:val="en-US" w:eastAsia="en-GB"/>
        </w:rPr>
        <w:t>that biological agents effective in Crohn’s disease-related perianal fistulae may also have a role in selected</w:t>
      </w:r>
      <w:r w:rsidR="00797585" w:rsidRPr="00892CA2">
        <w:rPr>
          <w:szCs w:val="24"/>
          <w:lang w:val="en-US" w:eastAsia="en-GB"/>
        </w:rPr>
        <w:t xml:space="preserve"> surgically-intractable</w:t>
      </w:r>
      <w:r w:rsidR="00DB1EDE" w:rsidRPr="00892CA2">
        <w:rPr>
          <w:szCs w:val="24"/>
          <w:lang w:val="en-US" w:eastAsia="en-GB"/>
        </w:rPr>
        <w:t xml:space="preserve"> idiopathic perianal</w:t>
      </w:r>
      <w:r w:rsidR="00DB1EDE" w:rsidRPr="00892CA2">
        <w:rPr>
          <w:szCs w:val="24"/>
          <w:lang w:val="en-US"/>
        </w:rPr>
        <w:t xml:space="preserve"> fistulae.</w:t>
      </w:r>
    </w:p>
    <w:p w14:paraId="3DDD89F1" w14:textId="104C56A9" w:rsidR="00AF11D9" w:rsidRPr="00892CA2" w:rsidRDefault="00AF11D9" w:rsidP="007E3B89">
      <w:pPr>
        <w:adjustRightInd w:val="0"/>
        <w:snapToGrid w:val="0"/>
        <w:spacing w:before="0" w:after="0"/>
        <w:jc w:val="both"/>
        <w:rPr>
          <w:szCs w:val="24"/>
          <w:lang w:val="en-US"/>
        </w:rPr>
      </w:pPr>
    </w:p>
    <w:p w14:paraId="088941BC" w14:textId="77777777" w:rsidR="00093881" w:rsidRPr="00892CA2" w:rsidRDefault="00093881" w:rsidP="00717D2A">
      <w:pPr>
        <w:rPr>
          <w:rFonts w:eastAsia="宋体" w:hint="eastAsia"/>
          <w:iCs/>
          <w:lang w:eastAsia="zh-CN"/>
        </w:rPr>
      </w:pPr>
      <w:r w:rsidRPr="00892CA2">
        <w:rPr>
          <w:rFonts w:eastAsia="宋体" w:hint="eastAsia"/>
          <w:b/>
          <w:szCs w:val="24"/>
          <w:lang w:val="en-US" w:eastAsia="zh-CN"/>
        </w:rPr>
        <w:t>Citation:</w:t>
      </w:r>
      <w:r w:rsidRPr="00892CA2">
        <w:rPr>
          <w:rFonts w:eastAsia="宋体" w:hint="eastAsia"/>
          <w:szCs w:val="24"/>
          <w:lang w:val="en-US" w:eastAsia="zh-CN"/>
        </w:rPr>
        <w:t xml:space="preserve"> </w:t>
      </w:r>
      <w:proofErr w:type="spellStart"/>
      <w:r w:rsidR="00142FFB" w:rsidRPr="00892CA2">
        <w:rPr>
          <w:szCs w:val="24"/>
          <w:lang w:val="en-US"/>
        </w:rPr>
        <w:t>Haddow</w:t>
      </w:r>
      <w:proofErr w:type="spellEnd"/>
      <w:r w:rsidR="00142FFB" w:rsidRPr="00892CA2">
        <w:rPr>
          <w:szCs w:val="24"/>
          <w:lang w:val="en-US"/>
        </w:rPr>
        <w:t xml:space="preserve"> JB, </w:t>
      </w:r>
      <w:proofErr w:type="spellStart"/>
      <w:r w:rsidR="00142FFB" w:rsidRPr="00892CA2">
        <w:rPr>
          <w:szCs w:val="24"/>
          <w:lang w:val="en-US"/>
        </w:rPr>
        <w:t>Musbahi</w:t>
      </w:r>
      <w:proofErr w:type="spellEnd"/>
      <w:r w:rsidR="00142FFB" w:rsidRPr="00892CA2">
        <w:rPr>
          <w:szCs w:val="24"/>
          <w:lang w:val="en-US"/>
        </w:rPr>
        <w:t xml:space="preserve"> O, MacDonald TT, Knowles CH. </w:t>
      </w:r>
      <w:r w:rsidR="00E50D46" w:rsidRPr="00892CA2">
        <w:rPr>
          <w:szCs w:val="24"/>
          <w:lang w:val="en-US"/>
        </w:rPr>
        <w:t>Comparison of cytokine and phosphoprotein profiles in idiopathic and Crohn’s disease-related perianal fistula</w:t>
      </w:r>
      <w:r w:rsidR="00142FFB" w:rsidRPr="00892CA2">
        <w:rPr>
          <w:szCs w:val="24"/>
          <w:lang w:val="en-US"/>
        </w:rPr>
        <w:t>.</w:t>
      </w:r>
      <w:r w:rsidR="00E50D46" w:rsidRPr="00892CA2">
        <w:rPr>
          <w:szCs w:val="24"/>
          <w:lang w:val="en-US"/>
        </w:rPr>
        <w:t xml:space="preserve"> </w:t>
      </w:r>
      <w:r w:rsidR="00E50D46" w:rsidRPr="00892CA2">
        <w:rPr>
          <w:rFonts w:eastAsia="宋体"/>
          <w:i/>
          <w:color w:val="000000"/>
          <w:szCs w:val="24"/>
          <w:lang w:eastAsia="ar-SA"/>
        </w:rPr>
        <w:t xml:space="preserve">World J </w:t>
      </w:r>
      <w:proofErr w:type="spellStart"/>
      <w:r w:rsidR="00E50D46" w:rsidRPr="00892CA2">
        <w:rPr>
          <w:rFonts w:eastAsia="宋体"/>
          <w:i/>
          <w:color w:val="000000"/>
          <w:szCs w:val="24"/>
          <w:lang w:eastAsia="ar-SA"/>
        </w:rPr>
        <w:t>Gastrointest</w:t>
      </w:r>
      <w:proofErr w:type="spellEnd"/>
      <w:r w:rsidR="00E50D46" w:rsidRPr="00892CA2">
        <w:rPr>
          <w:rFonts w:eastAsia="宋体"/>
          <w:i/>
          <w:color w:val="000000"/>
          <w:szCs w:val="24"/>
          <w:lang w:eastAsia="ar-SA"/>
        </w:rPr>
        <w:t xml:space="preserve"> </w:t>
      </w:r>
      <w:proofErr w:type="spellStart"/>
      <w:r w:rsidR="00E50D46" w:rsidRPr="00892CA2">
        <w:rPr>
          <w:rFonts w:eastAsia="宋体"/>
          <w:i/>
          <w:color w:val="000000"/>
          <w:szCs w:val="24"/>
          <w:lang w:eastAsia="ar-SA"/>
        </w:rPr>
        <w:t>Pathophysiol</w:t>
      </w:r>
      <w:proofErr w:type="spellEnd"/>
      <w:r w:rsidR="00E50D46" w:rsidRPr="00892CA2">
        <w:rPr>
          <w:rFonts w:eastAsia="宋体"/>
          <w:i/>
          <w:color w:val="000000"/>
          <w:szCs w:val="24"/>
          <w:lang w:eastAsia="ar-SA"/>
        </w:rPr>
        <w:t xml:space="preserve"> </w:t>
      </w:r>
      <w:r w:rsidR="00717D2A" w:rsidRPr="00892CA2">
        <w:rPr>
          <w:iCs/>
        </w:rPr>
        <w:t>2019; 1</w:t>
      </w:r>
      <w:r w:rsidR="00717D2A" w:rsidRPr="00892CA2">
        <w:rPr>
          <w:rFonts w:hint="eastAsia"/>
          <w:iCs/>
        </w:rPr>
        <w:t>0</w:t>
      </w:r>
      <w:r w:rsidR="00717D2A" w:rsidRPr="00892CA2">
        <w:rPr>
          <w:iCs/>
        </w:rPr>
        <w:t>(</w:t>
      </w:r>
      <w:r w:rsidR="00717D2A" w:rsidRPr="00892CA2">
        <w:rPr>
          <w:rFonts w:hint="eastAsia"/>
          <w:iCs/>
        </w:rPr>
        <w:t>4</w:t>
      </w:r>
      <w:r w:rsidR="00717D2A" w:rsidRPr="00892CA2">
        <w:rPr>
          <w:iCs/>
        </w:rPr>
        <w:t xml:space="preserve">): </w:t>
      </w:r>
      <w:r w:rsidR="009552DD" w:rsidRPr="00892CA2">
        <w:rPr>
          <w:rFonts w:eastAsia="等线" w:hint="eastAsia"/>
          <w:iCs/>
        </w:rPr>
        <w:t>42</w:t>
      </w:r>
      <w:r w:rsidR="00717D2A" w:rsidRPr="00892CA2">
        <w:rPr>
          <w:iCs/>
        </w:rPr>
        <w:t>-</w:t>
      </w:r>
      <w:r w:rsidR="009552DD" w:rsidRPr="00892CA2">
        <w:rPr>
          <w:rFonts w:eastAsia="等线" w:hint="eastAsia"/>
          <w:iCs/>
        </w:rPr>
        <w:t>53</w:t>
      </w:r>
    </w:p>
    <w:p w14:paraId="5406923E" w14:textId="22EDD362" w:rsidR="00093881" w:rsidRPr="00892CA2" w:rsidRDefault="00717D2A" w:rsidP="00717D2A">
      <w:pPr>
        <w:rPr>
          <w:rFonts w:eastAsia="宋体" w:hint="eastAsia"/>
          <w:iCs/>
          <w:lang w:eastAsia="zh-CN"/>
        </w:rPr>
      </w:pPr>
      <w:r w:rsidRPr="00892CA2">
        <w:rPr>
          <w:iCs/>
        </w:rPr>
        <w:t xml:space="preserve">URL: </w:t>
      </w:r>
      <w:r w:rsidR="00093881" w:rsidRPr="00892CA2">
        <w:rPr>
          <w:iCs/>
        </w:rPr>
        <w:t>https://www.wjgnet.com/</w:t>
      </w:r>
      <w:r w:rsidR="00093881" w:rsidRPr="00892CA2">
        <w:rPr>
          <w:szCs w:val="24"/>
          <w:shd w:val="clear" w:color="auto" w:fill="FFFFFF"/>
        </w:rPr>
        <w:t>2150-5330</w:t>
      </w:r>
      <w:r w:rsidR="00093881" w:rsidRPr="00892CA2">
        <w:rPr>
          <w:iCs/>
        </w:rPr>
        <w:t>/full/v</w:t>
      </w:r>
      <w:r w:rsidR="00093881" w:rsidRPr="00892CA2">
        <w:rPr>
          <w:rFonts w:hint="eastAsia"/>
          <w:iCs/>
        </w:rPr>
        <w:t>10</w:t>
      </w:r>
      <w:r w:rsidR="00093881" w:rsidRPr="00892CA2">
        <w:rPr>
          <w:iCs/>
        </w:rPr>
        <w:t>/i</w:t>
      </w:r>
      <w:r w:rsidR="00093881" w:rsidRPr="00892CA2">
        <w:rPr>
          <w:rFonts w:hint="eastAsia"/>
          <w:iCs/>
        </w:rPr>
        <w:t>4</w:t>
      </w:r>
      <w:r w:rsidR="00093881" w:rsidRPr="00892CA2">
        <w:rPr>
          <w:iCs/>
        </w:rPr>
        <w:t>/</w:t>
      </w:r>
      <w:r w:rsidR="00093881" w:rsidRPr="00892CA2">
        <w:rPr>
          <w:rFonts w:eastAsia="等线" w:hint="eastAsia"/>
          <w:iCs/>
        </w:rPr>
        <w:t>42</w:t>
      </w:r>
      <w:r w:rsidR="00093881" w:rsidRPr="00892CA2">
        <w:rPr>
          <w:iCs/>
        </w:rPr>
        <w:t>.htm</w:t>
      </w:r>
    </w:p>
    <w:p w14:paraId="345499D8" w14:textId="1B254717" w:rsidR="00717D2A" w:rsidRPr="00892CA2" w:rsidRDefault="00717D2A" w:rsidP="00717D2A">
      <w:pPr>
        <w:rPr>
          <w:rFonts w:eastAsia="等线"/>
          <w:iCs/>
        </w:rPr>
      </w:pPr>
      <w:r w:rsidRPr="00892CA2">
        <w:rPr>
          <w:iCs/>
        </w:rPr>
        <w:t>DOI: https://dx.doi.org/</w:t>
      </w:r>
      <w:r w:rsidRPr="00892CA2">
        <w:rPr>
          <w:color w:val="000000" w:themeColor="text1"/>
          <w:szCs w:val="24"/>
          <w:shd w:val="clear" w:color="auto" w:fill="FFFFFF"/>
        </w:rPr>
        <w:t>10.4291</w:t>
      </w:r>
      <w:r w:rsidRPr="00892CA2">
        <w:rPr>
          <w:iCs/>
        </w:rPr>
        <w:t>/wjg</w:t>
      </w:r>
      <w:r w:rsidRPr="00892CA2">
        <w:rPr>
          <w:rFonts w:hint="eastAsia"/>
          <w:iCs/>
        </w:rPr>
        <w:t>p</w:t>
      </w:r>
      <w:r w:rsidRPr="00892CA2">
        <w:rPr>
          <w:iCs/>
        </w:rPr>
        <w:t>.v1</w:t>
      </w:r>
      <w:r w:rsidRPr="00892CA2">
        <w:rPr>
          <w:rFonts w:hint="eastAsia"/>
          <w:iCs/>
        </w:rPr>
        <w:t>0</w:t>
      </w:r>
      <w:r w:rsidRPr="00892CA2">
        <w:rPr>
          <w:iCs/>
        </w:rPr>
        <w:t>.i</w:t>
      </w:r>
      <w:r w:rsidRPr="00892CA2">
        <w:rPr>
          <w:rFonts w:hint="eastAsia"/>
          <w:iCs/>
        </w:rPr>
        <w:t>4</w:t>
      </w:r>
      <w:r w:rsidRPr="00892CA2">
        <w:rPr>
          <w:iCs/>
        </w:rPr>
        <w:t>.</w:t>
      </w:r>
      <w:r w:rsidR="009552DD" w:rsidRPr="00892CA2">
        <w:rPr>
          <w:rFonts w:eastAsia="等线" w:hint="eastAsia"/>
          <w:iCs/>
        </w:rPr>
        <w:t>42</w:t>
      </w:r>
    </w:p>
    <w:p w14:paraId="75B2653C" w14:textId="161EBD65" w:rsidR="00AF108A" w:rsidRPr="00892CA2" w:rsidRDefault="00AF108A" w:rsidP="007E3B89">
      <w:pPr>
        <w:adjustRightInd w:val="0"/>
        <w:snapToGrid w:val="0"/>
        <w:spacing w:before="0" w:after="0"/>
        <w:jc w:val="both"/>
        <w:rPr>
          <w:rFonts w:eastAsia="Calibri"/>
          <w:b/>
          <w:bCs/>
          <w:caps/>
          <w:szCs w:val="24"/>
          <w:lang w:val="en-US" w:eastAsia="en-GB"/>
        </w:rPr>
      </w:pPr>
      <w:r w:rsidRPr="00892CA2">
        <w:rPr>
          <w:szCs w:val="24"/>
          <w:lang w:val="en-US"/>
        </w:rPr>
        <w:br w:type="page"/>
      </w:r>
    </w:p>
    <w:p w14:paraId="6B97724A" w14:textId="1E852A3F" w:rsidR="00A419F6" w:rsidRPr="00892CA2" w:rsidRDefault="002949BE" w:rsidP="007E3B89">
      <w:pPr>
        <w:pStyle w:val="1"/>
        <w:adjustRightInd w:val="0"/>
        <w:snapToGrid w:val="0"/>
        <w:spacing w:before="0"/>
        <w:jc w:val="both"/>
        <w:rPr>
          <w:szCs w:val="24"/>
          <w:lang w:val="en-US"/>
        </w:rPr>
      </w:pPr>
      <w:r w:rsidRPr="00892CA2">
        <w:rPr>
          <w:szCs w:val="24"/>
          <w:lang w:val="en-US"/>
        </w:rPr>
        <w:t>Introduction</w:t>
      </w:r>
    </w:p>
    <w:p w14:paraId="3D7189C8" w14:textId="56349132" w:rsidR="00D31C72" w:rsidRPr="00892CA2" w:rsidRDefault="000D637B" w:rsidP="007E3B89">
      <w:pPr>
        <w:adjustRightInd w:val="0"/>
        <w:snapToGrid w:val="0"/>
        <w:spacing w:before="0" w:after="0"/>
        <w:jc w:val="both"/>
        <w:rPr>
          <w:szCs w:val="24"/>
          <w:lang w:val="en-US"/>
        </w:rPr>
      </w:pPr>
      <w:r w:rsidRPr="00892CA2">
        <w:rPr>
          <w:szCs w:val="24"/>
          <w:lang w:val="en-US" w:eastAsia="en-GB"/>
        </w:rPr>
        <w:t>Perianal fistulae</w:t>
      </w:r>
      <w:r w:rsidR="00B3453A" w:rsidRPr="00892CA2">
        <w:rPr>
          <w:szCs w:val="24"/>
          <w:lang w:val="en-US" w:eastAsia="en-GB"/>
        </w:rPr>
        <w:t xml:space="preserve"> occur in</w:t>
      </w:r>
      <w:r w:rsidRPr="00892CA2">
        <w:rPr>
          <w:szCs w:val="24"/>
          <w:lang w:val="en-US" w:eastAsia="en-GB"/>
        </w:rPr>
        <w:t xml:space="preserve"> </w:t>
      </w:r>
      <w:r w:rsidR="002A5EA4" w:rsidRPr="00892CA2">
        <w:rPr>
          <w:szCs w:val="24"/>
          <w:lang w:val="en-US"/>
        </w:rPr>
        <w:t>1.04 to 2.32</w:t>
      </w:r>
      <w:r w:rsidR="001C47CB" w:rsidRPr="00892CA2">
        <w:rPr>
          <w:szCs w:val="24"/>
          <w:lang w:val="en-US"/>
        </w:rPr>
        <w:t xml:space="preserve"> per 10000 people per </w:t>
      </w:r>
      <w:proofErr w:type="gramStart"/>
      <w:r w:rsidR="001C47CB" w:rsidRPr="00892CA2">
        <w:rPr>
          <w:szCs w:val="24"/>
          <w:lang w:val="en-US"/>
        </w:rPr>
        <w:t>annum</w:t>
      </w:r>
      <w:r w:rsidR="002A5EA4" w:rsidRPr="00892CA2">
        <w:rPr>
          <w:szCs w:val="24"/>
          <w:vertAlign w:val="superscript"/>
          <w:lang w:val="en-US"/>
        </w:rPr>
        <w:t>[</w:t>
      </w:r>
      <w:proofErr w:type="gramEnd"/>
      <w:r w:rsidR="002A5EA4" w:rsidRPr="00892CA2">
        <w:rPr>
          <w:szCs w:val="24"/>
          <w:vertAlign w:val="superscript"/>
          <w:lang w:val="en-US"/>
        </w:rPr>
        <w:t>1,2]</w:t>
      </w:r>
      <w:r w:rsidR="00A741B2" w:rsidRPr="00892CA2">
        <w:rPr>
          <w:szCs w:val="24"/>
          <w:lang w:val="en-US"/>
        </w:rPr>
        <w:t>,</w:t>
      </w:r>
      <w:r w:rsidR="001C47CB" w:rsidRPr="00892CA2">
        <w:rPr>
          <w:szCs w:val="24"/>
          <w:lang w:val="en-US"/>
        </w:rPr>
        <w:t xml:space="preserve"> are </w:t>
      </w:r>
      <w:r w:rsidR="00A625FE" w:rsidRPr="00892CA2">
        <w:rPr>
          <w:szCs w:val="24"/>
          <w:lang w:val="en-US"/>
        </w:rPr>
        <w:t>more common</w:t>
      </w:r>
      <w:r w:rsidR="001C47CB" w:rsidRPr="00892CA2">
        <w:rPr>
          <w:szCs w:val="24"/>
          <w:lang w:val="en-US"/>
        </w:rPr>
        <w:t xml:space="preserve"> in males </w:t>
      </w:r>
      <w:r w:rsidR="00222E44" w:rsidRPr="00892CA2">
        <w:rPr>
          <w:szCs w:val="24"/>
          <w:lang w:val="en-US"/>
        </w:rPr>
        <w:t>(</w:t>
      </w:r>
      <w:r w:rsidR="001C47CB" w:rsidRPr="00892CA2">
        <w:rPr>
          <w:szCs w:val="24"/>
          <w:lang w:val="en-US"/>
        </w:rPr>
        <w:t xml:space="preserve">ratio </w:t>
      </w:r>
      <w:r w:rsidR="00B64429" w:rsidRPr="00892CA2">
        <w:rPr>
          <w:szCs w:val="24"/>
          <w:lang w:val="en-US"/>
        </w:rPr>
        <w:t>about</w:t>
      </w:r>
      <w:r w:rsidR="00222E44" w:rsidRPr="00892CA2">
        <w:rPr>
          <w:szCs w:val="24"/>
          <w:lang w:val="en-US"/>
        </w:rPr>
        <w:t xml:space="preserve"> </w:t>
      </w:r>
      <w:r w:rsidR="001C47CB" w:rsidRPr="00892CA2">
        <w:rPr>
          <w:szCs w:val="24"/>
          <w:lang w:val="en-US"/>
        </w:rPr>
        <w:t>2:1</w:t>
      </w:r>
      <w:r w:rsidR="00222E44" w:rsidRPr="00892CA2">
        <w:rPr>
          <w:szCs w:val="24"/>
          <w:lang w:val="en-US"/>
        </w:rPr>
        <w:t>)</w:t>
      </w:r>
      <w:r w:rsidR="007413B4" w:rsidRPr="00892CA2">
        <w:rPr>
          <w:szCs w:val="24"/>
          <w:lang w:val="en-US"/>
        </w:rPr>
        <w:t>,</w:t>
      </w:r>
      <w:r w:rsidR="001C47CB" w:rsidRPr="00892CA2">
        <w:rPr>
          <w:szCs w:val="24"/>
          <w:lang w:val="en-US"/>
        </w:rPr>
        <w:t xml:space="preserve"> </w:t>
      </w:r>
      <w:r w:rsidR="007413B4" w:rsidRPr="00892CA2">
        <w:rPr>
          <w:szCs w:val="24"/>
          <w:lang w:val="en-US"/>
        </w:rPr>
        <w:t>and</w:t>
      </w:r>
      <w:r w:rsidR="00BC3BDD" w:rsidRPr="00892CA2">
        <w:rPr>
          <w:szCs w:val="24"/>
          <w:lang w:val="en-US"/>
        </w:rPr>
        <w:t xml:space="preserve"> cause</w:t>
      </w:r>
      <w:r w:rsidR="001C47CB" w:rsidRPr="00892CA2">
        <w:rPr>
          <w:szCs w:val="24"/>
          <w:lang w:val="en-US"/>
        </w:rPr>
        <w:t xml:space="preserve"> significant physical and psychosocial morbidity</w:t>
      </w:r>
      <w:r w:rsidR="00BC3BDD" w:rsidRPr="00892CA2">
        <w:rPr>
          <w:szCs w:val="24"/>
          <w:lang w:val="en-US"/>
        </w:rPr>
        <w:t>.</w:t>
      </w:r>
      <w:r w:rsidR="005423D8" w:rsidRPr="00892CA2">
        <w:rPr>
          <w:szCs w:val="24"/>
          <w:lang w:val="en-US"/>
        </w:rPr>
        <w:t xml:space="preserve"> </w:t>
      </w:r>
      <w:r w:rsidR="00C9001C" w:rsidRPr="00892CA2">
        <w:rPr>
          <w:szCs w:val="24"/>
          <w:lang w:val="en-US"/>
        </w:rPr>
        <w:t xml:space="preserve">Fistulotomy </w:t>
      </w:r>
      <w:r w:rsidR="00D31C72" w:rsidRPr="00892CA2">
        <w:rPr>
          <w:szCs w:val="24"/>
          <w:lang w:val="en-US"/>
        </w:rPr>
        <w:t xml:space="preserve">can achieve successful healing </w:t>
      </w:r>
      <w:r w:rsidR="001908BC" w:rsidRPr="00892CA2">
        <w:rPr>
          <w:szCs w:val="24"/>
          <w:lang w:val="en-US"/>
        </w:rPr>
        <w:t xml:space="preserve">at one year </w:t>
      </w:r>
      <w:r w:rsidR="00D31C72" w:rsidRPr="00892CA2">
        <w:rPr>
          <w:szCs w:val="24"/>
          <w:lang w:val="en-US"/>
        </w:rPr>
        <w:t xml:space="preserve">in </w:t>
      </w:r>
      <w:r w:rsidR="003D51A1" w:rsidRPr="00892CA2">
        <w:rPr>
          <w:szCs w:val="24"/>
          <w:lang w:val="en-US"/>
        </w:rPr>
        <w:t>7</w:t>
      </w:r>
      <w:r w:rsidR="00D31C72" w:rsidRPr="00892CA2">
        <w:rPr>
          <w:szCs w:val="24"/>
          <w:lang w:val="en-US"/>
        </w:rPr>
        <w:t xml:space="preserve">5% of </w:t>
      </w:r>
      <w:proofErr w:type="gramStart"/>
      <w:r w:rsidR="00D31C72" w:rsidRPr="00892CA2">
        <w:rPr>
          <w:szCs w:val="24"/>
          <w:lang w:val="en-US"/>
        </w:rPr>
        <w:t>patients</w:t>
      </w:r>
      <w:r w:rsidR="003D51A1" w:rsidRPr="00892CA2">
        <w:rPr>
          <w:szCs w:val="24"/>
          <w:vertAlign w:val="superscript"/>
          <w:lang w:val="en-US"/>
        </w:rPr>
        <w:t>[</w:t>
      </w:r>
      <w:proofErr w:type="gramEnd"/>
      <w:r w:rsidR="003D51A1" w:rsidRPr="00892CA2">
        <w:rPr>
          <w:szCs w:val="24"/>
          <w:vertAlign w:val="superscript"/>
          <w:lang w:val="en-US"/>
        </w:rPr>
        <w:t>3]</w:t>
      </w:r>
      <w:r w:rsidR="00C9001C" w:rsidRPr="00892CA2">
        <w:rPr>
          <w:szCs w:val="24"/>
          <w:lang w:val="en-US"/>
        </w:rPr>
        <w:t>, but is not always possible when the fistula involves a significant portion of the anal sphincter complex. Sphincter-sparing operations such as a</w:t>
      </w:r>
      <w:r w:rsidR="001908BC" w:rsidRPr="00892CA2">
        <w:rPr>
          <w:szCs w:val="24"/>
          <w:lang w:val="en-US"/>
        </w:rPr>
        <w:t xml:space="preserve"> fistula plug,</w:t>
      </w:r>
      <w:r w:rsidR="00C9001C" w:rsidRPr="00892CA2">
        <w:rPr>
          <w:szCs w:val="24"/>
          <w:lang w:val="en-US"/>
        </w:rPr>
        <w:t xml:space="preserve"> advancement flap and ligation of the internal fistula tract </w:t>
      </w:r>
      <w:r w:rsidR="001A1416" w:rsidRPr="00892CA2">
        <w:rPr>
          <w:szCs w:val="24"/>
          <w:lang w:val="en-US"/>
        </w:rPr>
        <w:t xml:space="preserve">only </w:t>
      </w:r>
      <w:r w:rsidR="00C9001C" w:rsidRPr="00892CA2">
        <w:rPr>
          <w:szCs w:val="24"/>
          <w:lang w:val="en-US"/>
        </w:rPr>
        <w:t>have success rates</w:t>
      </w:r>
      <w:r w:rsidR="001A1416" w:rsidRPr="00892CA2">
        <w:rPr>
          <w:szCs w:val="24"/>
          <w:lang w:val="en-US"/>
        </w:rPr>
        <w:t xml:space="preserve"> </w:t>
      </w:r>
      <w:r w:rsidR="001908BC" w:rsidRPr="00892CA2">
        <w:rPr>
          <w:szCs w:val="24"/>
          <w:lang w:val="en-US"/>
        </w:rPr>
        <w:t xml:space="preserve">at one year </w:t>
      </w:r>
      <w:r w:rsidR="001A1416" w:rsidRPr="00892CA2">
        <w:rPr>
          <w:szCs w:val="24"/>
          <w:lang w:val="en-US"/>
        </w:rPr>
        <w:t xml:space="preserve">of </w:t>
      </w:r>
      <w:r w:rsidR="001908BC" w:rsidRPr="00892CA2">
        <w:rPr>
          <w:szCs w:val="24"/>
          <w:lang w:val="en-US"/>
        </w:rPr>
        <w:t xml:space="preserve">55%, </w:t>
      </w:r>
      <w:r w:rsidR="003D51A1" w:rsidRPr="00892CA2">
        <w:rPr>
          <w:szCs w:val="24"/>
          <w:lang w:val="en-US"/>
        </w:rPr>
        <w:t>53</w:t>
      </w:r>
      <w:r w:rsidR="001A1416" w:rsidRPr="00892CA2">
        <w:rPr>
          <w:szCs w:val="24"/>
          <w:lang w:val="en-US"/>
        </w:rPr>
        <w:t xml:space="preserve">% and </w:t>
      </w:r>
      <w:r w:rsidR="003D51A1" w:rsidRPr="00892CA2">
        <w:rPr>
          <w:szCs w:val="24"/>
          <w:lang w:val="en-US"/>
        </w:rPr>
        <w:t>42</w:t>
      </w:r>
      <w:r w:rsidR="001A1416" w:rsidRPr="00892CA2">
        <w:rPr>
          <w:szCs w:val="24"/>
          <w:lang w:val="en-US"/>
        </w:rPr>
        <w:t xml:space="preserve">% </w:t>
      </w:r>
      <w:proofErr w:type="gramStart"/>
      <w:r w:rsidR="001A1416" w:rsidRPr="00892CA2">
        <w:rPr>
          <w:szCs w:val="24"/>
          <w:lang w:val="en-US"/>
        </w:rPr>
        <w:t>respectively</w:t>
      </w:r>
      <w:r w:rsidR="001908BC" w:rsidRPr="00892CA2">
        <w:rPr>
          <w:szCs w:val="24"/>
          <w:vertAlign w:val="superscript"/>
          <w:lang w:val="en-US"/>
        </w:rPr>
        <w:t>[</w:t>
      </w:r>
      <w:proofErr w:type="gramEnd"/>
      <w:r w:rsidR="001908BC" w:rsidRPr="00892CA2">
        <w:rPr>
          <w:szCs w:val="24"/>
          <w:vertAlign w:val="superscript"/>
          <w:lang w:val="en-US"/>
        </w:rPr>
        <w:t>3]</w:t>
      </w:r>
      <w:r w:rsidR="00C9001C" w:rsidRPr="00892CA2">
        <w:rPr>
          <w:szCs w:val="24"/>
          <w:lang w:val="en-US"/>
        </w:rPr>
        <w:t xml:space="preserve">. </w:t>
      </w:r>
      <w:r w:rsidR="00D31C72" w:rsidRPr="00892CA2">
        <w:rPr>
          <w:szCs w:val="24"/>
          <w:lang w:val="en-US"/>
        </w:rPr>
        <w:t xml:space="preserve">In </w:t>
      </w:r>
      <w:bookmarkStart w:id="92" w:name="OLE_LINK717"/>
      <w:bookmarkStart w:id="93" w:name="OLE_LINK718"/>
      <w:r w:rsidR="00D31C72" w:rsidRPr="00892CA2">
        <w:rPr>
          <w:szCs w:val="24"/>
          <w:lang w:val="en-US"/>
        </w:rPr>
        <w:t>Crohn’s disease</w:t>
      </w:r>
      <w:bookmarkEnd w:id="92"/>
      <w:bookmarkEnd w:id="93"/>
      <w:r w:rsidR="00D31C72" w:rsidRPr="00892CA2">
        <w:rPr>
          <w:szCs w:val="24"/>
          <w:lang w:val="en-US"/>
        </w:rPr>
        <w:t xml:space="preserve"> (CD), perianal fistulae can heal in response to biological agents</w:t>
      </w:r>
      <w:r w:rsidR="001A1416" w:rsidRPr="00892CA2">
        <w:rPr>
          <w:szCs w:val="24"/>
          <w:lang w:val="en-US"/>
        </w:rPr>
        <w:t xml:space="preserve"> in 68% of </w:t>
      </w:r>
      <w:proofErr w:type="gramStart"/>
      <w:r w:rsidR="001A1416" w:rsidRPr="00892CA2">
        <w:rPr>
          <w:szCs w:val="24"/>
          <w:lang w:val="en-US"/>
        </w:rPr>
        <w:t>patients</w:t>
      </w:r>
      <w:r w:rsidR="003D51A1" w:rsidRPr="00892CA2">
        <w:rPr>
          <w:szCs w:val="24"/>
          <w:vertAlign w:val="superscript"/>
          <w:lang w:val="en-US"/>
        </w:rPr>
        <w:t>[</w:t>
      </w:r>
      <w:proofErr w:type="gramEnd"/>
      <w:r w:rsidR="003D51A1" w:rsidRPr="00892CA2">
        <w:rPr>
          <w:szCs w:val="24"/>
          <w:vertAlign w:val="superscript"/>
          <w:lang w:val="en-US"/>
        </w:rPr>
        <w:t>4]</w:t>
      </w:r>
      <w:r w:rsidR="00D31C72" w:rsidRPr="00892CA2">
        <w:rPr>
          <w:szCs w:val="24"/>
          <w:lang w:val="en-US"/>
        </w:rPr>
        <w:t>. Treatments for perianal fistulae could be improved if we had a better understanding of their pathophysiology.</w:t>
      </w:r>
    </w:p>
    <w:p w14:paraId="45689A64" w14:textId="50CAECF8" w:rsidR="004E05BC" w:rsidRPr="00892CA2" w:rsidRDefault="00D31C72" w:rsidP="00597F02">
      <w:pPr>
        <w:adjustRightInd w:val="0"/>
        <w:snapToGrid w:val="0"/>
        <w:spacing w:before="0" w:after="0"/>
        <w:ind w:firstLineChars="100" w:firstLine="240"/>
        <w:jc w:val="both"/>
        <w:rPr>
          <w:szCs w:val="24"/>
          <w:lang w:val="en-US" w:eastAsia="en-GB"/>
        </w:rPr>
      </w:pPr>
      <w:r w:rsidRPr="00892CA2">
        <w:rPr>
          <w:szCs w:val="24"/>
          <w:lang w:val="en-US"/>
        </w:rPr>
        <w:t xml:space="preserve">The </w:t>
      </w:r>
      <w:proofErr w:type="spellStart"/>
      <w:r w:rsidRPr="00892CA2">
        <w:rPr>
          <w:szCs w:val="24"/>
          <w:lang w:val="en-US"/>
        </w:rPr>
        <w:t>aetiology</w:t>
      </w:r>
      <w:proofErr w:type="spellEnd"/>
      <w:r w:rsidRPr="00892CA2">
        <w:rPr>
          <w:szCs w:val="24"/>
          <w:lang w:val="en-US"/>
        </w:rPr>
        <w:t xml:space="preserve"> and pathophysiology of perianal fistulae is still unclear. </w:t>
      </w:r>
      <w:r w:rsidR="005423D8" w:rsidRPr="00892CA2">
        <w:rPr>
          <w:szCs w:val="24"/>
          <w:lang w:val="en-US"/>
        </w:rPr>
        <w:t xml:space="preserve">The majority (90%) </w:t>
      </w:r>
      <w:r w:rsidR="00BC3BDD" w:rsidRPr="00892CA2">
        <w:rPr>
          <w:szCs w:val="24"/>
          <w:lang w:val="en-US"/>
        </w:rPr>
        <w:t>are</w:t>
      </w:r>
      <w:r w:rsidR="007F49C7" w:rsidRPr="00892CA2">
        <w:rPr>
          <w:szCs w:val="24"/>
          <w:lang w:val="en-US"/>
        </w:rPr>
        <w:t xml:space="preserve"> considered </w:t>
      </w:r>
      <w:r w:rsidR="00BC3BDD" w:rsidRPr="00892CA2">
        <w:rPr>
          <w:szCs w:val="24"/>
          <w:lang w:val="en-US"/>
        </w:rPr>
        <w:t xml:space="preserve">to be </w:t>
      </w:r>
      <w:r w:rsidR="007F49C7" w:rsidRPr="00892CA2">
        <w:rPr>
          <w:szCs w:val="24"/>
          <w:lang w:val="en-US"/>
        </w:rPr>
        <w:t xml:space="preserve">primary </w:t>
      </w:r>
      <w:r w:rsidR="005423D8" w:rsidRPr="00892CA2">
        <w:rPr>
          <w:szCs w:val="24"/>
          <w:lang w:val="en-US"/>
        </w:rPr>
        <w:t xml:space="preserve">or </w:t>
      </w:r>
      <w:proofErr w:type="gramStart"/>
      <w:r w:rsidR="00B3453A" w:rsidRPr="00892CA2">
        <w:rPr>
          <w:szCs w:val="24"/>
          <w:lang w:val="en-US"/>
        </w:rPr>
        <w:t>idiopathic</w:t>
      </w:r>
      <w:r w:rsidR="003D51A1" w:rsidRPr="00892CA2">
        <w:rPr>
          <w:szCs w:val="24"/>
          <w:vertAlign w:val="superscript"/>
          <w:lang w:val="en-US"/>
        </w:rPr>
        <w:t>[</w:t>
      </w:r>
      <w:proofErr w:type="gramEnd"/>
      <w:r w:rsidR="003D51A1" w:rsidRPr="00892CA2">
        <w:rPr>
          <w:szCs w:val="24"/>
          <w:vertAlign w:val="superscript"/>
          <w:lang w:val="en-US"/>
        </w:rPr>
        <w:t>5]</w:t>
      </w:r>
      <w:r w:rsidR="00A741B2" w:rsidRPr="00892CA2">
        <w:rPr>
          <w:szCs w:val="24"/>
          <w:lang w:val="en-US"/>
        </w:rPr>
        <w:t>.</w:t>
      </w:r>
      <w:r w:rsidR="007F49C7" w:rsidRPr="00892CA2">
        <w:rPr>
          <w:szCs w:val="24"/>
          <w:lang w:val="en-US"/>
        </w:rPr>
        <w:t xml:space="preserve"> </w:t>
      </w:r>
      <w:r w:rsidR="0082576E" w:rsidRPr="00892CA2">
        <w:rPr>
          <w:szCs w:val="24"/>
          <w:lang w:val="en-US"/>
        </w:rPr>
        <w:t xml:space="preserve">In such patients, </w:t>
      </w:r>
      <w:r w:rsidR="0082576E" w:rsidRPr="00892CA2">
        <w:rPr>
          <w:szCs w:val="24"/>
          <w:lang w:val="en-US" w:eastAsia="en-GB"/>
        </w:rPr>
        <w:t xml:space="preserve">Parks’ cryptoglandular theory </w:t>
      </w:r>
      <w:r w:rsidR="00E52B45" w:rsidRPr="00892CA2">
        <w:rPr>
          <w:szCs w:val="24"/>
          <w:lang w:val="en-US"/>
        </w:rPr>
        <w:t>prevail</w:t>
      </w:r>
      <w:r w:rsidR="0082576E" w:rsidRPr="00892CA2">
        <w:rPr>
          <w:szCs w:val="24"/>
          <w:lang w:val="en-US"/>
        </w:rPr>
        <w:t xml:space="preserve">s, </w:t>
      </w:r>
      <w:r w:rsidR="00E97287" w:rsidRPr="00892CA2">
        <w:rPr>
          <w:szCs w:val="24"/>
          <w:lang w:val="en-US" w:eastAsia="en-GB"/>
        </w:rPr>
        <w:t>suppos</w:t>
      </w:r>
      <w:r w:rsidR="0082576E" w:rsidRPr="00892CA2">
        <w:rPr>
          <w:szCs w:val="24"/>
          <w:lang w:val="en-US" w:eastAsia="en-GB"/>
        </w:rPr>
        <w:t xml:space="preserve">ing </w:t>
      </w:r>
      <w:r w:rsidR="00C9666F" w:rsidRPr="00892CA2">
        <w:rPr>
          <w:szCs w:val="24"/>
          <w:lang w:val="en-US" w:eastAsia="en-GB"/>
        </w:rPr>
        <w:t xml:space="preserve">infection of an </w:t>
      </w:r>
      <w:r w:rsidR="004E05BC" w:rsidRPr="00892CA2">
        <w:rPr>
          <w:szCs w:val="24"/>
          <w:lang w:val="en-US" w:eastAsia="en-GB"/>
        </w:rPr>
        <w:t xml:space="preserve">anal gland </w:t>
      </w:r>
      <w:r w:rsidR="00E97287" w:rsidRPr="00892CA2">
        <w:rPr>
          <w:szCs w:val="24"/>
          <w:lang w:val="en-US" w:eastAsia="en-GB"/>
        </w:rPr>
        <w:t>as</w:t>
      </w:r>
      <w:r w:rsidR="004E05BC" w:rsidRPr="00892CA2">
        <w:rPr>
          <w:szCs w:val="24"/>
          <w:lang w:val="en-US" w:eastAsia="en-GB"/>
        </w:rPr>
        <w:t xml:space="preserve"> the primary lesion</w:t>
      </w:r>
      <w:r w:rsidR="00214059" w:rsidRPr="00892CA2">
        <w:rPr>
          <w:szCs w:val="24"/>
          <w:lang w:val="en-US" w:eastAsia="en-GB"/>
        </w:rPr>
        <w:t>.</w:t>
      </w:r>
      <w:r w:rsidR="00682C90" w:rsidRPr="00892CA2">
        <w:rPr>
          <w:szCs w:val="24"/>
          <w:lang w:val="en-US" w:eastAsia="en-GB"/>
        </w:rPr>
        <w:t xml:space="preserve"> Suppuration then penetrates </w:t>
      </w:r>
      <w:r w:rsidR="007413B4" w:rsidRPr="00892CA2">
        <w:rPr>
          <w:szCs w:val="24"/>
          <w:lang w:val="en-US" w:eastAsia="en-GB"/>
        </w:rPr>
        <w:t>through the internal anal sphincter</w:t>
      </w:r>
      <w:r w:rsidR="00682C90" w:rsidRPr="00892CA2">
        <w:rPr>
          <w:szCs w:val="24"/>
          <w:lang w:val="en-US" w:eastAsia="en-GB"/>
        </w:rPr>
        <w:t xml:space="preserve"> creating a fistula </w:t>
      </w:r>
      <w:proofErr w:type="gramStart"/>
      <w:r w:rsidR="00682C90" w:rsidRPr="00892CA2">
        <w:rPr>
          <w:szCs w:val="24"/>
          <w:lang w:val="en-US" w:eastAsia="en-GB"/>
        </w:rPr>
        <w:t>tract</w:t>
      </w:r>
      <w:r w:rsidR="003D51A1" w:rsidRPr="00892CA2">
        <w:rPr>
          <w:szCs w:val="24"/>
          <w:vertAlign w:val="superscript"/>
          <w:lang w:val="en-US"/>
        </w:rPr>
        <w:t>[</w:t>
      </w:r>
      <w:proofErr w:type="gramEnd"/>
      <w:r w:rsidR="003D51A1" w:rsidRPr="00892CA2">
        <w:rPr>
          <w:szCs w:val="24"/>
          <w:vertAlign w:val="superscript"/>
          <w:lang w:val="en-US"/>
        </w:rPr>
        <w:t>6]</w:t>
      </w:r>
      <w:r w:rsidR="00A741B2" w:rsidRPr="00892CA2">
        <w:rPr>
          <w:szCs w:val="24"/>
          <w:lang w:val="en-US" w:eastAsia="en-GB"/>
        </w:rPr>
        <w:t>.</w:t>
      </w:r>
    </w:p>
    <w:p w14:paraId="4FBE725B" w14:textId="0A15C7A4" w:rsidR="00E97287" w:rsidRPr="00892CA2" w:rsidRDefault="00E97287" w:rsidP="00597F02">
      <w:pPr>
        <w:adjustRightInd w:val="0"/>
        <w:snapToGrid w:val="0"/>
        <w:spacing w:before="0" w:after="0"/>
        <w:ind w:firstLineChars="100" w:firstLine="240"/>
        <w:jc w:val="both"/>
        <w:rPr>
          <w:szCs w:val="24"/>
          <w:lang w:val="en-US"/>
        </w:rPr>
      </w:pPr>
      <w:r w:rsidRPr="00892CA2">
        <w:rPr>
          <w:szCs w:val="24"/>
          <w:lang w:val="en-US"/>
        </w:rPr>
        <w:t>In contrast, secondary fistulae</w:t>
      </w:r>
      <w:r w:rsidR="00A242A3" w:rsidRPr="00892CA2">
        <w:rPr>
          <w:szCs w:val="24"/>
          <w:lang w:val="en-US"/>
        </w:rPr>
        <w:t xml:space="preserve">, which can be </w:t>
      </w:r>
      <w:r w:rsidR="00AE0D6B" w:rsidRPr="00892CA2">
        <w:rPr>
          <w:szCs w:val="24"/>
          <w:lang w:val="en-US"/>
        </w:rPr>
        <w:t xml:space="preserve">associated with </w:t>
      </w:r>
      <w:r w:rsidR="00214059" w:rsidRPr="00892CA2">
        <w:rPr>
          <w:szCs w:val="24"/>
          <w:lang w:val="en-US"/>
        </w:rPr>
        <w:t>inflammatory bowel disease</w:t>
      </w:r>
      <w:r w:rsidR="00AE0D6B" w:rsidRPr="00892CA2">
        <w:rPr>
          <w:szCs w:val="24"/>
          <w:lang w:val="en-US"/>
        </w:rPr>
        <w:t xml:space="preserve">, tuberculosis and </w:t>
      </w:r>
      <w:r w:rsidR="000C021B" w:rsidRPr="00892CA2">
        <w:rPr>
          <w:szCs w:val="24"/>
          <w:lang w:val="en-US"/>
        </w:rPr>
        <w:t xml:space="preserve">human immunodeficiency </w:t>
      </w:r>
      <w:proofErr w:type="gramStart"/>
      <w:r w:rsidR="000C021B" w:rsidRPr="00892CA2">
        <w:rPr>
          <w:szCs w:val="24"/>
          <w:lang w:val="en-US"/>
        </w:rPr>
        <w:t>virus</w:t>
      </w:r>
      <w:r w:rsidR="003D51A1" w:rsidRPr="00892CA2">
        <w:rPr>
          <w:szCs w:val="24"/>
          <w:vertAlign w:val="superscript"/>
          <w:lang w:val="en-US"/>
        </w:rPr>
        <w:t>[</w:t>
      </w:r>
      <w:proofErr w:type="gramEnd"/>
      <w:r w:rsidR="003D51A1" w:rsidRPr="00892CA2">
        <w:rPr>
          <w:szCs w:val="24"/>
          <w:vertAlign w:val="superscript"/>
          <w:lang w:val="en-US"/>
        </w:rPr>
        <w:t>5,7]</w:t>
      </w:r>
      <w:r w:rsidR="00A741B2" w:rsidRPr="00892CA2">
        <w:rPr>
          <w:szCs w:val="24"/>
          <w:lang w:val="en-US"/>
        </w:rPr>
        <w:t>.</w:t>
      </w:r>
      <w:r w:rsidR="00AE0D6B" w:rsidRPr="00892CA2">
        <w:rPr>
          <w:szCs w:val="24"/>
          <w:lang w:val="en-US"/>
        </w:rPr>
        <w:t xml:space="preserve"> </w:t>
      </w:r>
      <w:proofErr w:type="gramStart"/>
      <w:r w:rsidRPr="00892CA2">
        <w:rPr>
          <w:szCs w:val="24"/>
          <w:lang w:val="en-US"/>
        </w:rPr>
        <w:t>are</w:t>
      </w:r>
      <w:proofErr w:type="gramEnd"/>
      <w:r w:rsidRPr="00892CA2">
        <w:rPr>
          <w:szCs w:val="24"/>
          <w:lang w:val="en-US"/>
        </w:rPr>
        <w:t xml:space="preserve"> assumed to arise </w:t>
      </w:r>
      <w:r w:rsidR="005423D8" w:rsidRPr="00892CA2">
        <w:rPr>
          <w:szCs w:val="24"/>
          <w:lang w:val="en-US"/>
        </w:rPr>
        <w:t>from</w:t>
      </w:r>
      <w:r w:rsidRPr="00892CA2">
        <w:rPr>
          <w:szCs w:val="24"/>
          <w:lang w:val="en-US"/>
        </w:rPr>
        <w:t xml:space="preserve"> inflammation of the anorectal mucosa. By far the most common association is with </w:t>
      </w:r>
      <w:r w:rsidR="00F16277" w:rsidRPr="00892CA2">
        <w:rPr>
          <w:szCs w:val="24"/>
          <w:lang w:val="en-US"/>
        </w:rPr>
        <w:t>CD</w:t>
      </w:r>
      <w:r w:rsidR="00EA38CC" w:rsidRPr="00892CA2">
        <w:rPr>
          <w:szCs w:val="24"/>
          <w:lang w:val="en-US"/>
        </w:rPr>
        <w:t xml:space="preserve">, where </w:t>
      </w:r>
      <w:r w:rsidR="007716D9" w:rsidRPr="00892CA2">
        <w:rPr>
          <w:szCs w:val="24"/>
          <w:lang w:val="en-US"/>
        </w:rPr>
        <w:t xml:space="preserve">perianal involvement is found in </w:t>
      </w:r>
      <w:r w:rsidR="005423D8" w:rsidRPr="00892CA2">
        <w:rPr>
          <w:szCs w:val="24"/>
          <w:lang w:val="en-US"/>
        </w:rPr>
        <w:t>around</w:t>
      </w:r>
      <w:r w:rsidR="007716D9" w:rsidRPr="00892CA2">
        <w:rPr>
          <w:szCs w:val="24"/>
          <w:lang w:val="en-US"/>
        </w:rPr>
        <w:t xml:space="preserve"> one third of </w:t>
      </w:r>
      <w:proofErr w:type="gramStart"/>
      <w:r w:rsidR="007716D9" w:rsidRPr="00892CA2">
        <w:rPr>
          <w:szCs w:val="24"/>
          <w:lang w:val="en-US"/>
        </w:rPr>
        <w:t>patients</w:t>
      </w:r>
      <w:r w:rsidR="003D51A1" w:rsidRPr="00892CA2">
        <w:rPr>
          <w:szCs w:val="24"/>
          <w:vertAlign w:val="superscript"/>
          <w:lang w:val="en-US"/>
        </w:rPr>
        <w:t>[</w:t>
      </w:r>
      <w:proofErr w:type="gramEnd"/>
      <w:r w:rsidR="003D51A1" w:rsidRPr="00892CA2">
        <w:rPr>
          <w:szCs w:val="24"/>
          <w:vertAlign w:val="superscript"/>
          <w:lang w:val="en-US"/>
        </w:rPr>
        <w:t>8]</w:t>
      </w:r>
      <w:r w:rsidR="00A741B2" w:rsidRPr="00892CA2">
        <w:rPr>
          <w:szCs w:val="24"/>
          <w:lang w:val="en-US"/>
        </w:rPr>
        <w:t>.</w:t>
      </w:r>
      <w:r w:rsidR="00EA38CC" w:rsidRPr="00892CA2">
        <w:rPr>
          <w:szCs w:val="24"/>
          <w:lang w:val="en-US"/>
        </w:rPr>
        <w:t xml:space="preserve"> </w:t>
      </w:r>
      <w:proofErr w:type="spellStart"/>
      <w:r w:rsidR="00901F59" w:rsidRPr="00892CA2">
        <w:rPr>
          <w:szCs w:val="24"/>
          <w:lang w:val="en-US"/>
        </w:rPr>
        <w:t>Scharl</w:t>
      </w:r>
      <w:proofErr w:type="spellEnd"/>
      <w:r w:rsidR="00901F59" w:rsidRPr="00892CA2">
        <w:rPr>
          <w:szCs w:val="24"/>
          <w:lang w:val="en-US"/>
        </w:rPr>
        <w:t xml:space="preserve"> and </w:t>
      </w:r>
      <w:proofErr w:type="spellStart"/>
      <w:r w:rsidR="00901F59" w:rsidRPr="00892CA2">
        <w:rPr>
          <w:szCs w:val="24"/>
          <w:lang w:val="en-US"/>
        </w:rPr>
        <w:t>Rogler</w:t>
      </w:r>
      <w:proofErr w:type="spellEnd"/>
      <w:r w:rsidR="00901F59" w:rsidRPr="00892CA2">
        <w:rPr>
          <w:szCs w:val="24"/>
          <w:lang w:val="en-US"/>
        </w:rPr>
        <w:t xml:space="preserve"> </w:t>
      </w:r>
      <w:proofErr w:type="spellStart"/>
      <w:r w:rsidR="00901F59" w:rsidRPr="00892CA2">
        <w:rPr>
          <w:szCs w:val="24"/>
          <w:lang w:val="en-US"/>
        </w:rPr>
        <w:t>summarised</w:t>
      </w:r>
      <w:proofErr w:type="spellEnd"/>
      <w:r w:rsidR="00901F59" w:rsidRPr="00892CA2">
        <w:rPr>
          <w:szCs w:val="24"/>
          <w:lang w:val="en-US"/>
        </w:rPr>
        <w:t xml:space="preserve"> the immunological evidence for the pathogenesis of fistulae in </w:t>
      </w:r>
      <w:proofErr w:type="gramStart"/>
      <w:r w:rsidR="0069097F" w:rsidRPr="00892CA2">
        <w:rPr>
          <w:szCs w:val="24"/>
          <w:lang w:val="en-US"/>
        </w:rPr>
        <w:t>CD</w:t>
      </w:r>
      <w:r w:rsidR="003D51A1" w:rsidRPr="00892CA2">
        <w:rPr>
          <w:szCs w:val="24"/>
          <w:vertAlign w:val="superscript"/>
          <w:lang w:val="en-US"/>
        </w:rPr>
        <w:t>[</w:t>
      </w:r>
      <w:proofErr w:type="gramEnd"/>
      <w:r w:rsidR="003D51A1" w:rsidRPr="00892CA2">
        <w:rPr>
          <w:szCs w:val="24"/>
          <w:vertAlign w:val="superscript"/>
          <w:lang w:val="en-US"/>
        </w:rPr>
        <w:t>9]</w:t>
      </w:r>
      <w:r w:rsidR="00A741B2" w:rsidRPr="00892CA2">
        <w:rPr>
          <w:szCs w:val="24"/>
          <w:lang w:val="en-US"/>
        </w:rPr>
        <w:t>.</w:t>
      </w:r>
      <w:r w:rsidR="00901F59" w:rsidRPr="00892CA2">
        <w:rPr>
          <w:szCs w:val="24"/>
          <w:lang w:val="en-US"/>
        </w:rPr>
        <w:t xml:space="preserve"> In their proposed mechanism, an epithelial defect caused by inflammation or injury allows pathogen-associated </w:t>
      </w:r>
      <w:r w:rsidR="00514623" w:rsidRPr="00892CA2">
        <w:rPr>
          <w:szCs w:val="24"/>
          <w:lang w:val="en-US"/>
        </w:rPr>
        <w:t xml:space="preserve">molecular patterns from the microbiota </w:t>
      </w:r>
      <w:r w:rsidR="00901F59" w:rsidRPr="00892CA2">
        <w:rPr>
          <w:szCs w:val="24"/>
          <w:lang w:val="en-US"/>
        </w:rPr>
        <w:t>to gain entry</w:t>
      </w:r>
      <w:r w:rsidR="00514623" w:rsidRPr="00892CA2">
        <w:rPr>
          <w:szCs w:val="24"/>
          <w:lang w:val="en-US"/>
        </w:rPr>
        <w:t xml:space="preserve"> to the lamina propria</w:t>
      </w:r>
      <w:r w:rsidR="00901F59" w:rsidRPr="00892CA2">
        <w:rPr>
          <w:szCs w:val="24"/>
          <w:lang w:val="en-US"/>
        </w:rPr>
        <w:t xml:space="preserve"> and induce various pathways mediated by TNF-</w:t>
      </w:r>
      <w:r w:rsidR="00901F59" w:rsidRPr="00892CA2">
        <w:rPr>
          <w:szCs w:val="24"/>
          <w:lang w:val="en-US"/>
        </w:rPr>
        <w:sym w:font="Symbol" w:char="F061"/>
      </w:r>
      <w:r w:rsidR="00901F59" w:rsidRPr="00892CA2">
        <w:rPr>
          <w:szCs w:val="24"/>
          <w:lang w:val="en-US"/>
        </w:rPr>
        <w:t xml:space="preserve">, </w:t>
      </w:r>
      <w:r w:rsidR="00331B5E" w:rsidRPr="00892CA2">
        <w:rPr>
          <w:szCs w:val="24"/>
          <w:lang w:val="en-US"/>
        </w:rPr>
        <w:t>transforming growth factor beta (</w:t>
      </w:r>
      <w:r w:rsidR="00901F59" w:rsidRPr="00892CA2">
        <w:rPr>
          <w:szCs w:val="24"/>
          <w:lang w:val="en-US"/>
        </w:rPr>
        <w:t>TGF-</w:t>
      </w:r>
      <w:r w:rsidR="00901F59" w:rsidRPr="00892CA2">
        <w:rPr>
          <w:szCs w:val="24"/>
          <w:lang w:val="en-US"/>
        </w:rPr>
        <w:sym w:font="Symbol" w:char="F062"/>
      </w:r>
      <w:r w:rsidR="00331B5E" w:rsidRPr="00892CA2">
        <w:rPr>
          <w:szCs w:val="24"/>
          <w:lang w:val="en-US"/>
        </w:rPr>
        <w:t>)</w:t>
      </w:r>
      <w:r w:rsidR="00901F59" w:rsidRPr="00892CA2">
        <w:rPr>
          <w:szCs w:val="24"/>
          <w:lang w:val="en-US"/>
        </w:rPr>
        <w:t xml:space="preserve">, IL-13, </w:t>
      </w:r>
      <w:bookmarkStart w:id="94" w:name="OLE_LINK719"/>
      <w:bookmarkStart w:id="95" w:name="OLE_LINK720"/>
      <w:r w:rsidR="00331B5E" w:rsidRPr="00892CA2">
        <w:rPr>
          <w:szCs w:val="24"/>
          <w:lang w:val="en-US"/>
        </w:rPr>
        <w:t>matrix metalloproteinases</w:t>
      </w:r>
      <w:bookmarkEnd w:id="94"/>
      <w:bookmarkEnd w:id="95"/>
      <w:r w:rsidR="00331B5E" w:rsidRPr="00892CA2">
        <w:rPr>
          <w:szCs w:val="24"/>
          <w:lang w:val="en-US"/>
        </w:rPr>
        <w:t xml:space="preserve"> (</w:t>
      </w:r>
      <w:r w:rsidR="00901F59" w:rsidRPr="00892CA2">
        <w:rPr>
          <w:szCs w:val="24"/>
          <w:lang w:val="en-US"/>
        </w:rPr>
        <w:t>MMPs</w:t>
      </w:r>
      <w:r w:rsidR="00331B5E" w:rsidRPr="00892CA2">
        <w:rPr>
          <w:szCs w:val="24"/>
          <w:lang w:val="en-US"/>
        </w:rPr>
        <w:t>)</w:t>
      </w:r>
      <w:r w:rsidR="00901F59" w:rsidRPr="00892CA2">
        <w:rPr>
          <w:szCs w:val="24"/>
          <w:lang w:val="en-US"/>
        </w:rPr>
        <w:t xml:space="preserve"> and integrin-</w:t>
      </w:r>
      <w:r w:rsidR="00901F59" w:rsidRPr="00892CA2">
        <w:rPr>
          <w:szCs w:val="24"/>
          <w:lang w:val="en-US"/>
        </w:rPr>
        <w:sym w:font="Symbol" w:char="F061"/>
      </w:r>
      <w:r w:rsidR="00901F59" w:rsidRPr="00892CA2">
        <w:rPr>
          <w:szCs w:val="24"/>
          <w:lang w:val="en-US"/>
        </w:rPr>
        <w:t>v</w:t>
      </w:r>
      <w:r w:rsidR="00901F59" w:rsidRPr="00892CA2">
        <w:rPr>
          <w:szCs w:val="24"/>
          <w:lang w:val="en-US"/>
        </w:rPr>
        <w:sym w:font="Symbol" w:char="F062"/>
      </w:r>
      <w:r w:rsidR="00901F59" w:rsidRPr="00892CA2">
        <w:rPr>
          <w:szCs w:val="24"/>
          <w:lang w:val="en-US"/>
        </w:rPr>
        <w:t xml:space="preserve">6. These drive </w:t>
      </w:r>
      <w:r w:rsidR="00331B5E" w:rsidRPr="00892CA2">
        <w:rPr>
          <w:szCs w:val="24"/>
          <w:lang w:val="en-US"/>
        </w:rPr>
        <w:t>epithelial-to-mesenchymal transition</w:t>
      </w:r>
      <w:r w:rsidR="00901F59" w:rsidRPr="00892CA2">
        <w:rPr>
          <w:szCs w:val="24"/>
          <w:lang w:val="en-US"/>
        </w:rPr>
        <w:t xml:space="preserve">, which allows cell invasion and migration, resulting in a penetrating fistula tract lined by transitional cells. </w:t>
      </w:r>
    </w:p>
    <w:p w14:paraId="3E327CAC" w14:textId="3F56C217" w:rsidR="003B1C44" w:rsidRPr="00892CA2" w:rsidRDefault="00D11B66" w:rsidP="00597F02">
      <w:pPr>
        <w:adjustRightInd w:val="0"/>
        <w:snapToGrid w:val="0"/>
        <w:spacing w:before="0" w:after="0"/>
        <w:ind w:firstLineChars="100" w:firstLine="240"/>
        <w:jc w:val="both"/>
        <w:rPr>
          <w:szCs w:val="24"/>
          <w:lang w:val="en-US" w:eastAsia="en-GB"/>
        </w:rPr>
      </w:pPr>
      <w:r w:rsidRPr="00892CA2">
        <w:rPr>
          <w:szCs w:val="24"/>
          <w:lang w:val="en-US"/>
        </w:rPr>
        <w:t>R</w:t>
      </w:r>
      <w:r w:rsidR="00331B5E" w:rsidRPr="00892CA2">
        <w:rPr>
          <w:szCs w:val="24"/>
          <w:lang w:val="en-US" w:eastAsia="en-GB"/>
        </w:rPr>
        <w:t xml:space="preserve">esearch </w:t>
      </w:r>
      <w:r w:rsidR="0084515E" w:rsidRPr="00892CA2">
        <w:rPr>
          <w:szCs w:val="24"/>
          <w:lang w:val="en-US" w:eastAsia="en-GB"/>
        </w:rPr>
        <w:t xml:space="preserve">to date </w:t>
      </w:r>
      <w:r w:rsidRPr="00892CA2">
        <w:rPr>
          <w:szCs w:val="24"/>
          <w:lang w:val="en-US" w:eastAsia="en-GB"/>
        </w:rPr>
        <w:t>into</w:t>
      </w:r>
      <w:r w:rsidR="0084515E" w:rsidRPr="00892CA2">
        <w:rPr>
          <w:szCs w:val="24"/>
          <w:lang w:val="en-US" w:eastAsia="en-GB"/>
        </w:rPr>
        <w:t xml:space="preserve"> </w:t>
      </w:r>
      <w:r w:rsidR="00331B5E" w:rsidRPr="00892CA2">
        <w:rPr>
          <w:szCs w:val="24"/>
          <w:lang w:val="en-US" w:eastAsia="en-GB"/>
        </w:rPr>
        <w:t xml:space="preserve">the pathophysiology of idiopathic and </w:t>
      </w:r>
      <w:r w:rsidRPr="00892CA2">
        <w:rPr>
          <w:szCs w:val="24"/>
          <w:lang w:val="en-US" w:eastAsia="en-GB"/>
        </w:rPr>
        <w:t>CD-related</w:t>
      </w:r>
      <w:r w:rsidR="00331B5E" w:rsidRPr="00892CA2">
        <w:rPr>
          <w:szCs w:val="24"/>
          <w:lang w:val="en-US" w:eastAsia="en-GB"/>
        </w:rPr>
        <w:t xml:space="preserve"> perianal fistula ha</w:t>
      </w:r>
      <w:r w:rsidR="00603489" w:rsidRPr="00892CA2">
        <w:rPr>
          <w:szCs w:val="24"/>
          <w:lang w:val="en-US" w:eastAsia="en-GB"/>
        </w:rPr>
        <w:t>s</w:t>
      </w:r>
      <w:r w:rsidR="00331B5E" w:rsidRPr="00892CA2">
        <w:rPr>
          <w:szCs w:val="24"/>
          <w:lang w:val="en-US" w:eastAsia="en-GB"/>
        </w:rPr>
        <w:t xml:space="preserve"> evolved separately due to the underlying assumption that they are </w:t>
      </w:r>
      <w:r w:rsidR="00910C49" w:rsidRPr="00892CA2">
        <w:rPr>
          <w:szCs w:val="24"/>
          <w:lang w:val="en-US" w:eastAsia="en-GB"/>
        </w:rPr>
        <w:t xml:space="preserve">fundamentally </w:t>
      </w:r>
      <w:r w:rsidR="00331B5E" w:rsidRPr="00892CA2">
        <w:rPr>
          <w:szCs w:val="24"/>
          <w:lang w:val="en-US" w:eastAsia="en-GB"/>
        </w:rPr>
        <w:t>different</w:t>
      </w:r>
      <w:r w:rsidRPr="00892CA2">
        <w:rPr>
          <w:szCs w:val="24"/>
          <w:lang w:val="en-US" w:eastAsia="en-GB"/>
        </w:rPr>
        <w:t>.</w:t>
      </w:r>
      <w:r w:rsidR="0042369A" w:rsidRPr="00892CA2">
        <w:rPr>
          <w:szCs w:val="24"/>
          <w:lang w:val="en-US" w:eastAsia="en-GB"/>
        </w:rPr>
        <w:t xml:space="preserve"> </w:t>
      </w:r>
      <w:r w:rsidR="0042369A" w:rsidRPr="00892CA2">
        <w:rPr>
          <w:szCs w:val="24"/>
          <w:lang w:val="en-US"/>
        </w:rPr>
        <w:t>Some previous studies</w:t>
      </w:r>
      <w:r w:rsidR="00E14CAA" w:rsidRPr="00892CA2">
        <w:rPr>
          <w:szCs w:val="24"/>
          <w:lang w:val="en-US"/>
        </w:rPr>
        <w:t xml:space="preserve"> made the comparison between these two types</w:t>
      </w:r>
      <w:r w:rsidR="0042369A" w:rsidRPr="00892CA2">
        <w:rPr>
          <w:szCs w:val="24"/>
          <w:lang w:val="en-US"/>
        </w:rPr>
        <w:t xml:space="preserve"> by use of specific histological, microbiological and immunological </w:t>
      </w:r>
      <w:proofErr w:type="gramStart"/>
      <w:r w:rsidR="00A03E79" w:rsidRPr="00892CA2">
        <w:rPr>
          <w:szCs w:val="24"/>
          <w:lang w:val="en-US"/>
        </w:rPr>
        <w:t>methods</w:t>
      </w:r>
      <w:r w:rsidR="003D51A1" w:rsidRPr="00892CA2">
        <w:rPr>
          <w:szCs w:val="24"/>
          <w:vertAlign w:val="superscript"/>
          <w:lang w:val="en-US"/>
        </w:rPr>
        <w:t>[</w:t>
      </w:r>
      <w:proofErr w:type="gramEnd"/>
      <w:r w:rsidR="003D51A1" w:rsidRPr="00892CA2">
        <w:rPr>
          <w:szCs w:val="24"/>
          <w:vertAlign w:val="superscript"/>
          <w:lang w:val="en-US"/>
        </w:rPr>
        <w:t>10</w:t>
      </w:r>
      <w:r w:rsidR="00E97C8C" w:rsidRPr="00892CA2">
        <w:rPr>
          <w:szCs w:val="24"/>
          <w:vertAlign w:val="superscript"/>
          <w:lang w:val="en-US"/>
        </w:rPr>
        <w:t>-</w:t>
      </w:r>
      <w:r w:rsidR="003D51A1" w:rsidRPr="00892CA2">
        <w:rPr>
          <w:szCs w:val="24"/>
          <w:vertAlign w:val="superscript"/>
          <w:lang w:val="en-US"/>
        </w:rPr>
        <w:t>13]</w:t>
      </w:r>
      <w:r w:rsidR="00A741B2" w:rsidRPr="00892CA2">
        <w:rPr>
          <w:szCs w:val="24"/>
          <w:lang w:val="en-US" w:eastAsia="en-GB"/>
        </w:rPr>
        <w:t>.</w:t>
      </w:r>
      <w:r w:rsidR="00A03E79" w:rsidRPr="00892CA2">
        <w:rPr>
          <w:szCs w:val="24"/>
          <w:lang w:val="en-US" w:eastAsia="en-GB"/>
        </w:rPr>
        <w:t xml:space="preserve"> </w:t>
      </w:r>
      <w:r w:rsidR="0046570B" w:rsidRPr="00892CA2">
        <w:rPr>
          <w:szCs w:val="24"/>
          <w:lang w:val="en-US" w:eastAsia="en-GB"/>
        </w:rPr>
        <w:t>Overall</w:t>
      </w:r>
      <w:r w:rsidR="00F93480" w:rsidRPr="00892CA2">
        <w:rPr>
          <w:szCs w:val="24"/>
          <w:lang w:val="en-US" w:eastAsia="en-GB"/>
        </w:rPr>
        <w:t xml:space="preserve"> their conclusions</w:t>
      </w:r>
      <w:r w:rsidR="0046570B" w:rsidRPr="00892CA2">
        <w:rPr>
          <w:szCs w:val="24"/>
          <w:lang w:val="en-US" w:eastAsia="en-GB"/>
        </w:rPr>
        <w:t xml:space="preserve"> supported this underlying assumption, </w:t>
      </w:r>
      <w:r w:rsidR="00F93480" w:rsidRPr="00892CA2">
        <w:rPr>
          <w:szCs w:val="24"/>
          <w:lang w:val="en-US" w:eastAsia="en-GB"/>
        </w:rPr>
        <w:t>but</w:t>
      </w:r>
      <w:r w:rsidR="0046570B" w:rsidRPr="00892CA2">
        <w:rPr>
          <w:szCs w:val="24"/>
          <w:lang w:val="en-US" w:eastAsia="en-GB"/>
        </w:rPr>
        <w:t xml:space="preserve"> </w:t>
      </w:r>
      <w:r w:rsidR="00190A50" w:rsidRPr="00892CA2">
        <w:rPr>
          <w:szCs w:val="24"/>
          <w:lang w:val="en-US" w:eastAsia="en-GB"/>
        </w:rPr>
        <w:t>testing this assumption was not their objective</w:t>
      </w:r>
      <w:r w:rsidR="00220323" w:rsidRPr="00892CA2">
        <w:rPr>
          <w:szCs w:val="24"/>
          <w:lang w:val="en-US" w:eastAsia="en-GB"/>
        </w:rPr>
        <w:t xml:space="preserve">. </w:t>
      </w:r>
      <w:r w:rsidR="00190A50" w:rsidRPr="00892CA2">
        <w:rPr>
          <w:szCs w:val="24"/>
          <w:lang w:val="en-US" w:eastAsia="en-GB"/>
        </w:rPr>
        <w:t>W</w:t>
      </w:r>
      <w:r w:rsidR="000A320B" w:rsidRPr="00892CA2">
        <w:rPr>
          <w:szCs w:val="24"/>
          <w:lang w:val="en-US" w:eastAsia="en-GB"/>
        </w:rPr>
        <w:t xml:space="preserve">e </w:t>
      </w:r>
      <w:r w:rsidR="00190A50" w:rsidRPr="00892CA2">
        <w:rPr>
          <w:szCs w:val="24"/>
          <w:lang w:val="en-US" w:eastAsia="en-GB"/>
        </w:rPr>
        <w:t xml:space="preserve">therefore </w:t>
      </w:r>
      <w:proofErr w:type="spellStart"/>
      <w:r w:rsidR="000A320B" w:rsidRPr="00892CA2">
        <w:rPr>
          <w:szCs w:val="24"/>
          <w:lang w:val="en-US" w:eastAsia="en-GB"/>
        </w:rPr>
        <w:t>hypothesised</w:t>
      </w:r>
      <w:proofErr w:type="spellEnd"/>
      <w:r w:rsidR="000A320B" w:rsidRPr="00892CA2">
        <w:rPr>
          <w:szCs w:val="24"/>
          <w:lang w:val="en-US" w:eastAsia="en-GB"/>
        </w:rPr>
        <w:t xml:space="preserve"> that idiopathic and CD-related perianal fistulae </w:t>
      </w:r>
      <w:r w:rsidR="00C07611" w:rsidRPr="00892CA2">
        <w:rPr>
          <w:szCs w:val="24"/>
          <w:lang w:val="en-US" w:eastAsia="en-GB"/>
        </w:rPr>
        <w:t>are different</w:t>
      </w:r>
      <w:r w:rsidR="00190A50" w:rsidRPr="00892CA2">
        <w:rPr>
          <w:szCs w:val="24"/>
          <w:lang w:val="en-US" w:eastAsia="en-GB"/>
        </w:rPr>
        <w:t xml:space="preserve"> and </w:t>
      </w:r>
      <w:r w:rsidR="0046570B" w:rsidRPr="00892CA2">
        <w:rPr>
          <w:szCs w:val="24"/>
          <w:lang w:val="en-US" w:eastAsia="en-GB"/>
        </w:rPr>
        <w:t xml:space="preserve">aimed to </w:t>
      </w:r>
      <w:r w:rsidR="000A320B" w:rsidRPr="00892CA2">
        <w:rPr>
          <w:szCs w:val="24"/>
          <w:lang w:val="en-US" w:eastAsia="en-GB"/>
        </w:rPr>
        <w:t>test this</w:t>
      </w:r>
      <w:r w:rsidR="00083A5F" w:rsidRPr="00892CA2">
        <w:rPr>
          <w:szCs w:val="24"/>
          <w:lang w:val="en-US" w:eastAsia="en-GB"/>
        </w:rPr>
        <w:t xml:space="preserve"> </w:t>
      </w:r>
      <w:r w:rsidR="0046570B" w:rsidRPr="00892CA2">
        <w:rPr>
          <w:szCs w:val="24"/>
          <w:lang w:val="en-US" w:eastAsia="en-GB"/>
        </w:rPr>
        <w:t xml:space="preserve">systematically </w:t>
      </w:r>
      <w:r w:rsidR="00214059" w:rsidRPr="00892CA2">
        <w:rPr>
          <w:szCs w:val="24"/>
          <w:lang w:val="en-US" w:eastAsia="en-GB"/>
        </w:rPr>
        <w:t xml:space="preserve">by </w:t>
      </w:r>
      <w:r w:rsidR="00910C49" w:rsidRPr="00892CA2">
        <w:rPr>
          <w:szCs w:val="24"/>
          <w:lang w:val="en-US"/>
        </w:rPr>
        <w:t>c</w:t>
      </w:r>
      <w:r w:rsidR="00C47888" w:rsidRPr="00892CA2">
        <w:rPr>
          <w:szCs w:val="24"/>
          <w:lang w:val="en-US"/>
        </w:rPr>
        <w:t>ompar</w:t>
      </w:r>
      <w:r w:rsidR="00083A5F" w:rsidRPr="00892CA2">
        <w:rPr>
          <w:szCs w:val="24"/>
          <w:lang w:val="en-US"/>
        </w:rPr>
        <w:t>ing</w:t>
      </w:r>
      <w:r w:rsidR="00C47888" w:rsidRPr="00892CA2">
        <w:rPr>
          <w:szCs w:val="24"/>
          <w:lang w:val="en-US"/>
        </w:rPr>
        <w:t xml:space="preserve"> the</w:t>
      </w:r>
      <w:r w:rsidR="00EA38CC" w:rsidRPr="00892CA2">
        <w:rPr>
          <w:szCs w:val="24"/>
          <w:lang w:val="en-US"/>
        </w:rPr>
        <w:t>ir</w:t>
      </w:r>
      <w:r w:rsidR="00C47888" w:rsidRPr="00892CA2">
        <w:rPr>
          <w:szCs w:val="24"/>
          <w:lang w:val="en-US"/>
        </w:rPr>
        <w:t xml:space="preserve"> clinical phenotype</w:t>
      </w:r>
      <w:r w:rsidR="00A03E79" w:rsidRPr="00892CA2">
        <w:rPr>
          <w:szCs w:val="24"/>
          <w:lang w:val="en-US"/>
        </w:rPr>
        <w:t>s</w:t>
      </w:r>
      <w:r w:rsidR="00C47888" w:rsidRPr="00892CA2">
        <w:rPr>
          <w:szCs w:val="24"/>
          <w:lang w:val="en-US"/>
        </w:rPr>
        <w:t>, cytokine and phosphoprotein profiles</w:t>
      </w:r>
      <w:r w:rsidR="00910C49" w:rsidRPr="00892CA2">
        <w:rPr>
          <w:szCs w:val="24"/>
          <w:lang w:val="en-US"/>
        </w:rPr>
        <w:t>.</w:t>
      </w:r>
    </w:p>
    <w:p w14:paraId="30F56B45" w14:textId="77777777" w:rsidR="00B64429" w:rsidRPr="00892CA2" w:rsidRDefault="00B64429" w:rsidP="007E3B89">
      <w:pPr>
        <w:adjustRightInd w:val="0"/>
        <w:snapToGrid w:val="0"/>
        <w:spacing w:before="0" w:after="0"/>
        <w:jc w:val="both"/>
        <w:rPr>
          <w:szCs w:val="24"/>
          <w:lang w:val="en-US" w:eastAsia="en-GB"/>
        </w:rPr>
      </w:pPr>
    </w:p>
    <w:p w14:paraId="2C087ADE" w14:textId="5546AB84" w:rsidR="002949BE" w:rsidRPr="00892CA2" w:rsidRDefault="006C6B37" w:rsidP="007E3B89">
      <w:pPr>
        <w:pStyle w:val="1"/>
        <w:adjustRightInd w:val="0"/>
        <w:snapToGrid w:val="0"/>
        <w:spacing w:before="0"/>
        <w:jc w:val="both"/>
        <w:rPr>
          <w:szCs w:val="24"/>
          <w:lang w:val="en-US"/>
        </w:rPr>
      </w:pPr>
      <w:r w:rsidRPr="00892CA2">
        <w:rPr>
          <w:szCs w:val="24"/>
          <w:lang w:val="en-US"/>
        </w:rPr>
        <w:t xml:space="preserve">Materials and </w:t>
      </w:r>
      <w:r w:rsidR="002949BE" w:rsidRPr="00892CA2">
        <w:rPr>
          <w:szCs w:val="24"/>
          <w:lang w:val="en-US"/>
        </w:rPr>
        <w:t>Method</w:t>
      </w:r>
      <w:r w:rsidRPr="00892CA2">
        <w:rPr>
          <w:szCs w:val="24"/>
          <w:lang w:val="en-US"/>
        </w:rPr>
        <w:t>s</w:t>
      </w:r>
    </w:p>
    <w:p w14:paraId="61C27DB6" w14:textId="4469E860" w:rsidR="00360D06" w:rsidRPr="00892CA2" w:rsidRDefault="00360D06" w:rsidP="007E3B89">
      <w:pPr>
        <w:pStyle w:val="2"/>
        <w:adjustRightInd w:val="0"/>
        <w:snapToGrid w:val="0"/>
        <w:spacing w:before="0" w:after="0"/>
        <w:jc w:val="both"/>
        <w:rPr>
          <w:szCs w:val="24"/>
          <w:lang w:val="en-US"/>
        </w:rPr>
      </w:pPr>
      <w:r w:rsidRPr="00892CA2">
        <w:rPr>
          <w:szCs w:val="24"/>
          <w:lang w:val="en-US"/>
        </w:rPr>
        <w:t>Patients</w:t>
      </w:r>
    </w:p>
    <w:p w14:paraId="12485BC8" w14:textId="60048006" w:rsidR="000F0BC0" w:rsidRPr="00892CA2" w:rsidRDefault="00F651C6" w:rsidP="007E3B89">
      <w:pPr>
        <w:adjustRightInd w:val="0"/>
        <w:snapToGrid w:val="0"/>
        <w:spacing w:before="0" w:after="0"/>
        <w:jc w:val="both"/>
        <w:rPr>
          <w:szCs w:val="24"/>
          <w:lang w:val="en-US"/>
        </w:rPr>
      </w:pPr>
      <w:r w:rsidRPr="00892CA2">
        <w:rPr>
          <w:szCs w:val="24"/>
          <w:lang w:val="en-US"/>
        </w:rPr>
        <w:t>We conducted a prospective cohort study b</w:t>
      </w:r>
      <w:r w:rsidR="00C978AE" w:rsidRPr="00892CA2">
        <w:rPr>
          <w:szCs w:val="24"/>
          <w:lang w:val="en-US"/>
        </w:rPr>
        <w:t>etween</w:t>
      </w:r>
      <w:r w:rsidRPr="00892CA2">
        <w:rPr>
          <w:szCs w:val="24"/>
          <w:lang w:val="en-US"/>
        </w:rPr>
        <w:t xml:space="preserve"> March 2014 and April 2015</w:t>
      </w:r>
      <w:r w:rsidR="000860BF" w:rsidRPr="00892CA2">
        <w:rPr>
          <w:szCs w:val="24"/>
          <w:lang w:val="en-US"/>
        </w:rPr>
        <w:t xml:space="preserve"> within a NHS </w:t>
      </w:r>
      <w:r w:rsidR="000F0BC0" w:rsidRPr="00892CA2">
        <w:rPr>
          <w:szCs w:val="24"/>
          <w:lang w:val="en-US"/>
        </w:rPr>
        <w:t xml:space="preserve">University Hospital </w:t>
      </w:r>
      <w:r w:rsidR="008040FC" w:rsidRPr="00892CA2">
        <w:rPr>
          <w:szCs w:val="24"/>
          <w:lang w:val="en-US"/>
        </w:rPr>
        <w:t>(approved by Queen’s Square Research Ethics Committee, reference number 14/LO/0071).</w:t>
      </w:r>
      <w:r w:rsidRPr="00892CA2">
        <w:rPr>
          <w:szCs w:val="24"/>
          <w:lang w:val="en-US"/>
        </w:rPr>
        <w:t xml:space="preserve"> Adults with an idiopathic or </w:t>
      </w:r>
      <w:r w:rsidR="00214059" w:rsidRPr="00892CA2">
        <w:rPr>
          <w:szCs w:val="24"/>
          <w:lang w:val="en-US"/>
        </w:rPr>
        <w:t xml:space="preserve">CD-related </w:t>
      </w:r>
      <w:r w:rsidRPr="00892CA2">
        <w:rPr>
          <w:szCs w:val="24"/>
          <w:lang w:val="en-US"/>
        </w:rPr>
        <w:t xml:space="preserve">perianal fistula requiring surgical intervention were </w:t>
      </w:r>
      <w:r w:rsidR="00214059" w:rsidRPr="00892CA2">
        <w:rPr>
          <w:szCs w:val="24"/>
          <w:lang w:val="en-US"/>
        </w:rPr>
        <w:t>included</w:t>
      </w:r>
      <w:r w:rsidRPr="00892CA2">
        <w:rPr>
          <w:szCs w:val="24"/>
          <w:lang w:val="en-US"/>
        </w:rPr>
        <w:t xml:space="preserve">. </w:t>
      </w:r>
      <w:r w:rsidR="000860BF" w:rsidRPr="00892CA2">
        <w:rPr>
          <w:szCs w:val="24"/>
          <w:lang w:val="en-US"/>
        </w:rPr>
        <w:t xml:space="preserve">Rectal, intestinal and subcutaneous fistulae were excluded. </w:t>
      </w:r>
    </w:p>
    <w:p w14:paraId="36341EDC" w14:textId="12D9862F" w:rsidR="00580B18" w:rsidRPr="00892CA2" w:rsidRDefault="00F651C6" w:rsidP="004C0669">
      <w:pPr>
        <w:adjustRightInd w:val="0"/>
        <w:snapToGrid w:val="0"/>
        <w:spacing w:before="0" w:after="0"/>
        <w:ind w:firstLineChars="100" w:firstLine="240"/>
        <w:jc w:val="both"/>
        <w:rPr>
          <w:szCs w:val="24"/>
          <w:lang w:val="en-US"/>
        </w:rPr>
      </w:pPr>
      <w:r w:rsidRPr="00892CA2">
        <w:rPr>
          <w:szCs w:val="24"/>
          <w:lang w:val="en-US"/>
        </w:rPr>
        <w:t xml:space="preserve">One hundred and thirty </w:t>
      </w:r>
      <w:r w:rsidR="00C978AE" w:rsidRPr="00892CA2">
        <w:rPr>
          <w:szCs w:val="24"/>
          <w:lang w:val="en-US"/>
        </w:rPr>
        <w:t xml:space="preserve">consecutive patients were identified </w:t>
      </w:r>
      <w:r w:rsidR="000860BF" w:rsidRPr="00892CA2">
        <w:rPr>
          <w:szCs w:val="24"/>
          <w:lang w:val="en-US"/>
        </w:rPr>
        <w:t>from outpatient and inpatient referrals, multidisciplinary meetings and surgical waiting lists</w:t>
      </w:r>
      <w:r w:rsidR="00580B18" w:rsidRPr="00892CA2">
        <w:rPr>
          <w:szCs w:val="24"/>
          <w:lang w:val="en-US"/>
        </w:rPr>
        <w:t>.</w:t>
      </w:r>
      <w:r w:rsidR="00C978AE" w:rsidRPr="00892CA2">
        <w:rPr>
          <w:szCs w:val="24"/>
          <w:lang w:val="en-US"/>
        </w:rPr>
        <w:t xml:space="preserve"> Twenty-two were not approached</w:t>
      </w:r>
      <w:r w:rsidR="00797585" w:rsidRPr="00892CA2">
        <w:rPr>
          <w:szCs w:val="24"/>
          <w:lang w:val="en-US"/>
        </w:rPr>
        <w:t xml:space="preserve"> (simply for logistic reasons)</w:t>
      </w:r>
      <w:r w:rsidR="00C978AE" w:rsidRPr="00892CA2">
        <w:rPr>
          <w:szCs w:val="24"/>
          <w:lang w:val="en-US"/>
        </w:rPr>
        <w:t xml:space="preserve">, 28 were ineligible and 11 declined. </w:t>
      </w:r>
      <w:r w:rsidR="0036194A" w:rsidRPr="00892CA2">
        <w:rPr>
          <w:szCs w:val="24"/>
          <w:lang w:val="en-US"/>
        </w:rPr>
        <w:t xml:space="preserve">Thus we recruited </w:t>
      </w:r>
      <w:r w:rsidR="002F3484" w:rsidRPr="00892CA2">
        <w:rPr>
          <w:szCs w:val="24"/>
          <w:lang w:val="en-US"/>
        </w:rPr>
        <w:t xml:space="preserve">61 </w:t>
      </w:r>
      <w:r w:rsidR="00C37817" w:rsidRPr="00892CA2">
        <w:rPr>
          <w:szCs w:val="24"/>
          <w:lang w:val="en-US"/>
        </w:rPr>
        <w:t>patients</w:t>
      </w:r>
      <w:r w:rsidR="0036194A" w:rsidRPr="00892CA2">
        <w:rPr>
          <w:szCs w:val="24"/>
          <w:lang w:val="en-US"/>
        </w:rPr>
        <w:t xml:space="preserve">, 48 (79%) </w:t>
      </w:r>
      <w:r w:rsidR="00AF353B" w:rsidRPr="00892CA2">
        <w:rPr>
          <w:szCs w:val="24"/>
          <w:lang w:val="en-US"/>
        </w:rPr>
        <w:t>i</w:t>
      </w:r>
      <w:r w:rsidR="0036194A" w:rsidRPr="00892CA2">
        <w:rPr>
          <w:szCs w:val="24"/>
          <w:lang w:val="en-US"/>
        </w:rPr>
        <w:t>diopathic</w:t>
      </w:r>
      <w:r w:rsidR="005134CB" w:rsidRPr="00892CA2">
        <w:rPr>
          <w:szCs w:val="24"/>
          <w:lang w:val="en-US"/>
        </w:rPr>
        <w:t xml:space="preserve"> </w:t>
      </w:r>
      <w:r w:rsidR="0036194A" w:rsidRPr="00892CA2">
        <w:rPr>
          <w:szCs w:val="24"/>
          <w:lang w:val="en-US"/>
        </w:rPr>
        <w:t>a</w:t>
      </w:r>
      <w:r w:rsidR="00580B18" w:rsidRPr="00892CA2">
        <w:rPr>
          <w:szCs w:val="24"/>
          <w:lang w:val="en-US"/>
        </w:rPr>
        <w:t xml:space="preserve">nd 13 (11%) </w:t>
      </w:r>
      <w:r w:rsidR="0069097F" w:rsidRPr="00892CA2">
        <w:rPr>
          <w:szCs w:val="24"/>
          <w:lang w:val="en-US"/>
        </w:rPr>
        <w:t>CD</w:t>
      </w:r>
      <w:r w:rsidR="00D754FF" w:rsidRPr="00892CA2">
        <w:rPr>
          <w:szCs w:val="24"/>
          <w:lang w:val="en-US"/>
        </w:rPr>
        <w:t>-related</w:t>
      </w:r>
      <w:r w:rsidR="00580B18" w:rsidRPr="00892CA2">
        <w:rPr>
          <w:szCs w:val="24"/>
          <w:lang w:val="en-US"/>
        </w:rPr>
        <w:t xml:space="preserve"> (</w:t>
      </w:r>
      <w:r w:rsidR="00FB6502" w:rsidRPr="00892CA2">
        <w:rPr>
          <w:szCs w:val="24"/>
          <w:lang w:val="en-US"/>
        </w:rPr>
        <w:t xml:space="preserve">Supplementary </w:t>
      </w:r>
      <w:r w:rsidR="007E5AE3" w:rsidRPr="00892CA2">
        <w:rPr>
          <w:szCs w:val="24"/>
          <w:lang w:val="en-US"/>
        </w:rPr>
        <w:t>Figure</w:t>
      </w:r>
      <w:r w:rsidR="00FB6502" w:rsidRPr="00892CA2">
        <w:rPr>
          <w:szCs w:val="24"/>
          <w:lang w:val="en-US"/>
        </w:rPr>
        <w:t xml:space="preserve"> 1</w:t>
      </w:r>
      <w:r w:rsidR="00580B18" w:rsidRPr="00892CA2">
        <w:rPr>
          <w:szCs w:val="24"/>
          <w:lang w:val="en-US"/>
        </w:rPr>
        <w:t>).</w:t>
      </w:r>
    </w:p>
    <w:p w14:paraId="0BBF5772" w14:textId="13E0192F" w:rsidR="0036194A" w:rsidRPr="00892CA2" w:rsidRDefault="00C37817" w:rsidP="004C0669">
      <w:pPr>
        <w:adjustRightInd w:val="0"/>
        <w:snapToGrid w:val="0"/>
        <w:spacing w:before="0" w:after="0"/>
        <w:ind w:firstLineChars="100" w:firstLine="240"/>
        <w:jc w:val="both"/>
        <w:rPr>
          <w:szCs w:val="24"/>
          <w:lang w:val="en-US"/>
        </w:rPr>
      </w:pPr>
      <w:r w:rsidRPr="00892CA2">
        <w:rPr>
          <w:szCs w:val="24"/>
          <w:lang w:val="en-US"/>
        </w:rPr>
        <w:t xml:space="preserve">Patient </w:t>
      </w:r>
      <w:r w:rsidR="0036194A" w:rsidRPr="00892CA2">
        <w:rPr>
          <w:szCs w:val="24"/>
          <w:lang w:val="en-US"/>
        </w:rPr>
        <w:t>characteristics were in keeping with the general epidemiology</w:t>
      </w:r>
      <w:r w:rsidR="008D2EC9" w:rsidRPr="00892CA2">
        <w:rPr>
          <w:szCs w:val="24"/>
          <w:lang w:val="en-US"/>
        </w:rPr>
        <w:t xml:space="preserve"> (</w:t>
      </w:r>
      <w:r w:rsidR="00FB6502" w:rsidRPr="00892CA2">
        <w:rPr>
          <w:szCs w:val="24"/>
          <w:lang w:val="en-US"/>
        </w:rPr>
        <w:t xml:space="preserve">Supplementary </w:t>
      </w:r>
      <w:r w:rsidR="007E5AE3" w:rsidRPr="00892CA2">
        <w:rPr>
          <w:szCs w:val="24"/>
          <w:lang w:val="en-US"/>
        </w:rPr>
        <w:t>Table 1</w:t>
      </w:r>
      <w:r w:rsidR="008D2EC9" w:rsidRPr="00892CA2">
        <w:rPr>
          <w:szCs w:val="24"/>
          <w:lang w:val="en-US"/>
        </w:rPr>
        <w:t>)</w:t>
      </w:r>
      <w:r w:rsidR="00605F4D" w:rsidRPr="00892CA2">
        <w:rPr>
          <w:szCs w:val="24"/>
          <w:lang w:val="en-US"/>
        </w:rPr>
        <w:t>.</w:t>
      </w:r>
      <w:r w:rsidR="0036194A" w:rsidRPr="00892CA2">
        <w:rPr>
          <w:szCs w:val="24"/>
          <w:lang w:val="en-US"/>
        </w:rPr>
        <w:t xml:space="preserve"> None had a stoma. </w:t>
      </w:r>
      <w:r w:rsidR="00D754FF" w:rsidRPr="00892CA2">
        <w:rPr>
          <w:szCs w:val="24"/>
          <w:lang w:val="en-US"/>
        </w:rPr>
        <w:t>In the</w:t>
      </w:r>
      <w:r w:rsidR="0036194A" w:rsidRPr="00892CA2">
        <w:rPr>
          <w:szCs w:val="24"/>
          <w:lang w:val="en-US"/>
        </w:rPr>
        <w:t xml:space="preserve"> </w:t>
      </w:r>
      <w:r w:rsidR="0069097F" w:rsidRPr="00892CA2">
        <w:rPr>
          <w:szCs w:val="24"/>
          <w:lang w:val="en-US"/>
        </w:rPr>
        <w:t>CD</w:t>
      </w:r>
      <w:r w:rsidR="00D754FF" w:rsidRPr="00892CA2">
        <w:rPr>
          <w:szCs w:val="24"/>
          <w:lang w:val="en-US"/>
        </w:rPr>
        <w:t xml:space="preserve"> group</w:t>
      </w:r>
      <w:r w:rsidR="0036194A" w:rsidRPr="00892CA2">
        <w:rPr>
          <w:szCs w:val="24"/>
          <w:lang w:val="en-US"/>
        </w:rPr>
        <w:t xml:space="preserve">, six had previous abdominal fistulae, six had previous abdominal surgery, and </w:t>
      </w:r>
      <w:r w:rsidR="00D754FF" w:rsidRPr="00892CA2">
        <w:rPr>
          <w:szCs w:val="24"/>
          <w:lang w:val="en-US"/>
        </w:rPr>
        <w:t xml:space="preserve">seven were naïve to </w:t>
      </w:r>
      <w:r w:rsidR="0036194A" w:rsidRPr="00892CA2">
        <w:rPr>
          <w:szCs w:val="24"/>
          <w:lang w:val="en-US"/>
        </w:rPr>
        <w:t>anti-TNF-</w:t>
      </w:r>
      <w:r w:rsidR="0036194A" w:rsidRPr="00892CA2">
        <w:rPr>
          <w:szCs w:val="24"/>
          <w:lang w:val="en-US"/>
        </w:rPr>
        <w:sym w:font="Symbol" w:char="F061"/>
      </w:r>
      <w:r w:rsidR="0036194A" w:rsidRPr="00892CA2">
        <w:rPr>
          <w:szCs w:val="24"/>
          <w:lang w:val="en-US"/>
        </w:rPr>
        <w:t xml:space="preserve"> antibody therapy. All had a combination of </w:t>
      </w:r>
      <w:r w:rsidR="00AF353B" w:rsidRPr="00892CA2">
        <w:rPr>
          <w:szCs w:val="24"/>
          <w:lang w:val="en-US"/>
        </w:rPr>
        <w:t>radiological, endoscopic</w:t>
      </w:r>
      <w:r w:rsidRPr="00892CA2">
        <w:rPr>
          <w:szCs w:val="24"/>
          <w:lang w:val="en-US"/>
        </w:rPr>
        <w:t xml:space="preserve"> </w:t>
      </w:r>
      <w:r w:rsidR="0036194A" w:rsidRPr="00892CA2">
        <w:rPr>
          <w:szCs w:val="24"/>
          <w:lang w:val="en-US"/>
        </w:rPr>
        <w:t>and histological features</w:t>
      </w:r>
      <w:r w:rsidR="00D754FF" w:rsidRPr="00892CA2">
        <w:rPr>
          <w:szCs w:val="24"/>
          <w:lang w:val="en-US"/>
        </w:rPr>
        <w:t xml:space="preserve"> of CD</w:t>
      </w:r>
      <w:r w:rsidR="00605F4D" w:rsidRPr="00892CA2">
        <w:rPr>
          <w:szCs w:val="24"/>
          <w:lang w:val="en-US"/>
        </w:rPr>
        <w:t>.</w:t>
      </w:r>
      <w:r w:rsidR="00D45873" w:rsidRPr="00892CA2">
        <w:rPr>
          <w:szCs w:val="24"/>
          <w:lang w:val="en-US"/>
        </w:rPr>
        <w:t xml:space="preserve"> </w:t>
      </w:r>
      <w:r w:rsidR="00D754FF" w:rsidRPr="00892CA2">
        <w:rPr>
          <w:szCs w:val="24"/>
          <w:lang w:val="en-US"/>
        </w:rPr>
        <w:t>I</w:t>
      </w:r>
      <w:r w:rsidR="00D45873" w:rsidRPr="00892CA2">
        <w:rPr>
          <w:szCs w:val="24"/>
          <w:lang w:val="en-US"/>
        </w:rPr>
        <w:t xml:space="preserve">diopathic patients had CD excluded by radiological and endoscopic imaging in 32 (67%) and clinical assessment </w:t>
      </w:r>
      <w:r w:rsidR="00D754FF" w:rsidRPr="00892CA2">
        <w:rPr>
          <w:szCs w:val="24"/>
          <w:lang w:val="en-US"/>
        </w:rPr>
        <w:t xml:space="preserve">alone </w:t>
      </w:r>
      <w:r w:rsidR="00D45873" w:rsidRPr="00892CA2">
        <w:rPr>
          <w:szCs w:val="24"/>
          <w:lang w:val="en-US"/>
        </w:rPr>
        <w:t>in 16 (33%). Reasons for not imaging</w:t>
      </w:r>
      <w:r w:rsidR="000D615C" w:rsidRPr="00892CA2">
        <w:rPr>
          <w:szCs w:val="24"/>
          <w:lang w:val="en-US"/>
        </w:rPr>
        <w:t xml:space="preserve"> patients were patient declined (4) and not clinically indicated (16).</w:t>
      </w:r>
    </w:p>
    <w:p w14:paraId="0A47CFC0" w14:textId="77777777" w:rsidR="00A665D3" w:rsidRPr="00892CA2" w:rsidRDefault="00A665D3" w:rsidP="007E3B89">
      <w:pPr>
        <w:adjustRightInd w:val="0"/>
        <w:snapToGrid w:val="0"/>
        <w:spacing w:before="0" w:after="0"/>
        <w:jc w:val="both"/>
        <w:rPr>
          <w:szCs w:val="24"/>
          <w:lang w:val="en-US"/>
        </w:rPr>
      </w:pPr>
    </w:p>
    <w:p w14:paraId="2294B1D2" w14:textId="2B02DFB5" w:rsidR="00742F70" w:rsidRPr="00892CA2" w:rsidRDefault="00742F70" w:rsidP="007E3B89">
      <w:pPr>
        <w:pStyle w:val="2"/>
        <w:adjustRightInd w:val="0"/>
        <w:snapToGrid w:val="0"/>
        <w:spacing w:before="0" w:after="0"/>
        <w:jc w:val="both"/>
        <w:rPr>
          <w:szCs w:val="24"/>
          <w:lang w:val="en-US"/>
        </w:rPr>
      </w:pPr>
      <w:r w:rsidRPr="00892CA2">
        <w:rPr>
          <w:szCs w:val="24"/>
          <w:lang w:val="en-US"/>
        </w:rPr>
        <w:t xml:space="preserve">Healthy </w:t>
      </w:r>
      <w:r w:rsidR="00A665D3" w:rsidRPr="00892CA2">
        <w:rPr>
          <w:szCs w:val="24"/>
          <w:lang w:val="en-US"/>
        </w:rPr>
        <w:t>c</w:t>
      </w:r>
      <w:r w:rsidRPr="00892CA2">
        <w:rPr>
          <w:szCs w:val="24"/>
          <w:lang w:val="en-US"/>
        </w:rPr>
        <w:t>ontrols</w:t>
      </w:r>
    </w:p>
    <w:p w14:paraId="2D0C3417" w14:textId="6EE46FA4" w:rsidR="0036194A" w:rsidRPr="00892CA2" w:rsidRDefault="003A31F8" w:rsidP="007E3B89">
      <w:pPr>
        <w:adjustRightInd w:val="0"/>
        <w:snapToGrid w:val="0"/>
        <w:spacing w:before="0" w:after="0"/>
        <w:jc w:val="both"/>
        <w:rPr>
          <w:szCs w:val="24"/>
          <w:lang w:val="en-US"/>
        </w:rPr>
      </w:pPr>
      <w:r w:rsidRPr="00892CA2">
        <w:rPr>
          <w:szCs w:val="24"/>
          <w:lang w:val="en-US"/>
        </w:rPr>
        <w:t xml:space="preserve">For the purposes of studying </w:t>
      </w:r>
      <w:r w:rsidR="00AF353B" w:rsidRPr="00892CA2">
        <w:rPr>
          <w:szCs w:val="24"/>
          <w:lang w:val="en-US"/>
        </w:rPr>
        <w:t xml:space="preserve">the </w:t>
      </w:r>
      <w:r w:rsidRPr="00892CA2">
        <w:rPr>
          <w:szCs w:val="24"/>
          <w:lang w:val="en-US"/>
        </w:rPr>
        <w:t>rectal biopsies, w</w:t>
      </w:r>
      <w:r w:rsidR="00C978AE" w:rsidRPr="00892CA2">
        <w:rPr>
          <w:szCs w:val="24"/>
          <w:lang w:val="en-US"/>
        </w:rPr>
        <w:t xml:space="preserve">e approached nine consecutive patients undergoing diagnostic colonoscopy for non-inflammatory </w:t>
      </w:r>
      <w:r w:rsidR="00D754FF" w:rsidRPr="00892CA2">
        <w:rPr>
          <w:szCs w:val="24"/>
          <w:lang w:val="en-US"/>
        </w:rPr>
        <w:t>conditions</w:t>
      </w:r>
      <w:r w:rsidR="00C978AE" w:rsidRPr="00892CA2">
        <w:rPr>
          <w:szCs w:val="24"/>
          <w:lang w:val="en-US"/>
        </w:rPr>
        <w:t>. Two declined and one was excluded due to ileal inflammation found during colonoscopy. Thus we recruited six healthy controls for rectal biopsies</w:t>
      </w:r>
      <w:r w:rsidR="00980056" w:rsidRPr="00892CA2">
        <w:rPr>
          <w:szCs w:val="24"/>
          <w:lang w:val="en-US"/>
        </w:rPr>
        <w:t xml:space="preserve"> (</w:t>
      </w:r>
      <w:r w:rsidR="00FB6502" w:rsidRPr="00892CA2">
        <w:rPr>
          <w:szCs w:val="24"/>
          <w:lang w:val="en-US"/>
        </w:rPr>
        <w:t xml:space="preserve">Supplementary </w:t>
      </w:r>
      <w:r w:rsidR="007E5AE3" w:rsidRPr="00892CA2">
        <w:rPr>
          <w:szCs w:val="24"/>
          <w:lang w:val="en-US"/>
        </w:rPr>
        <w:t>Table 2</w:t>
      </w:r>
      <w:r w:rsidR="00980056" w:rsidRPr="00892CA2">
        <w:rPr>
          <w:szCs w:val="24"/>
          <w:lang w:val="en-US"/>
        </w:rPr>
        <w:t>)</w:t>
      </w:r>
      <w:r w:rsidR="00C978AE" w:rsidRPr="00892CA2">
        <w:rPr>
          <w:szCs w:val="24"/>
          <w:lang w:val="en-US"/>
        </w:rPr>
        <w:t xml:space="preserve">. </w:t>
      </w:r>
      <w:r w:rsidR="00742F70" w:rsidRPr="00892CA2">
        <w:rPr>
          <w:szCs w:val="24"/>
          <w:lang w:val="en-US"/>
        </w:rPr>
        <w:t xml:space="preserve">Five were female </w:t>
      </w:r>
      <w:r w:rsidR="00D754FF" w:rsidRPr="00892CA2">
        <w:rPr>
          <w:szCs w:val="24"/>
          <w:lang w:val="en-US"/>
        </w:rPr>
        <w:t xml:space="preserve">and the </w:t>
      </w:r>
      <w:r w:rsidR="00742F70" w:rsidRPr="00892CA2">
        <w:rPr>
          <w:szCs w:val="24"/>
          <w:lang w:val="en-US"/>
        </w:rPr>
        <w:t xml:space="preserve">mean age </w:t>
      </w:r>
      <w:r w:rsidR="00D754FF" w:rsidRPr="00892CA2">
        <w:rPr>
          <w:szCs w:val="24"/>
          <w:lang w:val="en-US"/>
        </w:rPr>
        <w:t xml:space="preserve">was </w:t>
      </w:r>
      <w:r w:rsidR="00742F70" w:rsidRPr="00892CA2">
        <w:rPr>
          <w:szCs w:val="24"/>
          <w:lang w:val="en-US"/>
        </w:rPr>
        <w:t>53.5 years (SD = 20.6).</w:t>
      </w:r>
    </w:p>
    <w:p w14:paraId="27F9D924" w14:textId="77777777" w:rsidR="00A665D3" w:rsidRPr="00892CA2" w:rsidRDefault="00A665D3" w:rsidP="007E3B89">
      <w:pPr>
        <w:adjustRightInd w:val="0"/>
        <w:snapToGrid w:val="0"/>
        <w:spacing w:before="0" w:after="0"/>
        <w:jc w:val="both"/>
        <w:rPr>
          <w:szCs w:val="24"/>
          <w:lang w:val="en-US"/>
        </w:rPr>
      </w:pPr>
    </w:p>
    <w:p w14:paraId="5FD81BD8" w14:textId="61DE58A6" w:rsidR="00742F70" w:rsidRPr="00892CA2" w:rsidRDefault="00742F70" w:rsidP="007E3B89">
      <w:pPr>
        <w:pStyle w:val="2"/>
        <w:adjustRightInd w:val="0"/>
        <w:snapToGrid w:val="0"/>
        <w:spacing w:before="0" w:after="0"/>
        <w:jc w:val="both"/>
        <w:rPr>
          <w:szCs w:val="24"/>
          <w:lang w:val="en-US"/>
        </w:rPr>
      </w:pPr>
      <w:r w:rsidRPr="00892CA2">
        <w:rPr>
          <w:szCs w:val="24"/>
          <w:lang w:val="en-US"/>
        </w:rPr>
        <w:t>Data and</w:t>
      </w:r>
      <w:r w:rsidR="00A665D3" w:rsidRPr="00892CA2">
        <w:rPr>
          <w:szCs w:val="24"/>
          <w:lang w:val="en-US"/>
        </w:rPr>
        <w:t xml:space="preserve"> specimen collection</w:t>
      </w:r>
    </w:p>
    <w:p w14:paraId="77D12C87" w14:textId="0E515A34" w:rsidR="003A31F8" w:rsidRPr="00892CA2" w:rsidRDefault="00566C72" w:rsidP="007E3B89">
      <w:pPr>
        <w:adjustRightInd w:val="0"/>
        <w:snapToGrid w:val="0"/>
        <w:spacing w:before="0" w:after="0"/>
        <w:jc w:val="both"/>
        <w:rPr>
          <w:szCs w:val="24"/>
          <w:lang w:val="en-US"/>
        </w:rPr>
      </w:pPr>
      <w:r w:rsidRPr="00892CA2">
        <w:rPr>
          <w:szCs w:val="24"/>
          <w:lang w:val="en-US"/>
        </w:rPr>
        <w:t xml:space="preserve">We </w:t>
      </w:r>
      <w:r w:rsidR="000F0BC0" w:rsidRPr="00892CA2">
        <w:rPr>
          <w:szCs w:val="24"/>
          <w:lang w:val="en-US"/>
        </w:rPr>
        <w:t xml:space="preserve">collected </w:t>
      </w:r>
      <w:r w:rsidR="00D754FF" w:rsidRPr="00892CA2">
        <w:rPr>
          <w:szCs w:val="24"/>
          <w:lang w:val="en-US"/>
        </w:rPr>
        <w:t>clinical information</w:t>
      </w:r>
      <w:r w:rsidR="00BB7174" w:rsidRPr="00892CA2">
        <w:rPr>
          <w:szCs w:val="24"/>
          <w:lang w:val="en-US"/>
        </w:rPr>
        <w:t xml:space="preserve">, </w:t>
      </w:r>
      <w:bookmarkStart w:id="96" w:name="OLE_LINK721"/>
      <w:bookmarkStart w:id="97" w:name="OLE_LINK722"/>
      <w:r w:rsidR="00BB7174" w:rsidRPr="00892CA2">
        <w:rPr>
          <w:szCs w:val="24"/>
          <w:lang w:val="en-US"/>
        </w:rPr>
        <w:t>Perineal Disease Activity Index</w:t>
      </w:r>
      <w:bookmarkEnd w:id="96"/>
      <w:bookmarkEnd w:id="97"/>
      <w:r w:rsidR="00BB7174" w:rsidRPr="00892CA2">
        <w:rPr>
          <w:szCs w:val="24"/>
          <w:lang w:val="en-US"/>
        </w:rPr>
        <w:t xml:space="preserve"> (PDAI</w:t>
      </w:r>
      <w:proofErr w:type="gramStart"/>
      <w:r w:rsidR="00BB7174" w:rsidRPr="00892CA2">
        <w:rPr>
          <w:szCs w:val="24"/>
          <w:lang w:val="en-US"/>
        </w:rPr>
        <w:t>)</w:t>
      </w:r>
      <w:r w:rsidR="001733DA" w:rsidRPr="00892CA2">
        <w:rPr>
          <w:szCs w:val="24"/>
          <w:vertAlign w:val="superscript"/>
          <w:lang w:val="en-US"/>
        </w:rPr>
        <w:t>[</w:t>
      </w:r>
      <w:proofErr w:type="gramEnd"/>
      <w:r w:rsidR="001733DA" w:rsidRPr="00892CA2">
        <w:rPr>
          <w:szCs w:val="24"/>
          <w:vertAlign w:val="superscript"/>
          <w:lang w:val="en-US"/>
        </w:rPr>
        <w:t>14]</w:t>
      </w:r>
      <w:r w:rsidR="00A741B2" w:rsidRPr="00892CA2">
        <w:rPr>
          <w:szCs w:val="24"/>
          <w:lang w:val="en-US"/>
        </w:rPr>
        <w:t>,</w:t>
      </w:r>
      <w:r w:rsidR="00BB7174" w:rsidRPr="00892CA2">
        <w:rPr>
          <w:szCs w:val="24"/>
          <w:lang w:val="en-US"/>
        </w:rPr>
        <w:t xml:space="preserve"> </w:t>
      </w:r>
      <w:proofErr w:type="spellStart"/>
      <w:r w:rsidR="00BB7174" w:rsidRPr="00892CA2">
        <w:rPr>
          <w:szCs w:val="24"/>
          <w:lang w:val="en-US"/>
        </w:rPr>
        <w:t>E</w:t>
      </w:r>
      <w:r w:rsidR="00117B9A" w:rsidRPr="00892CA2">
        <w:rPr>
          <w:szCs w:val="24"/>
          <w:lang w:val="en-US"/>
        </w:rPr>
        <w:t>uro</w:t>
      </w:r>
      <w:r w:rsidR="00BB7174" w:rsidRPr="00892CA2">
        <w:rPr>
          <w:szCs w:val="24"/>
          <w:lang w:val="en-US"/>
        </w:rPr>
        <w:t>Q</w:t>
      </w:r>
      <w:r w:rsidR="00117B9A" w:rsidRPr="00892CA2">
        <w:rPr>
          <w:szCs w:val="24"/>
          <w:lang w:val="en-US"/>
        </w:rPr>
        <w:t>ol</w:t>
      </w:r>
      <w:proofErr w:type="spellEnd"/>
      <w:r w:rsidR="00117B9A" w:rsidRPr="00892CA2">
        <w:rPr>
          <w:szCs w:val="24"/>
          <w:lang w:val="en-US"/>
        </w:rPr>
        <w:t xml:space="preserve"> EQ</w:t>
      </w:r>
      <w:r w:rsidR="00BB7174" w:rsidRPr="00892CA2">
        <w:rPr>
          <w:szCs w:val="24"/>
          <w:lang w:val="en-US"/>
        </w:rPr>
        <w:t>-5D-5L</w:t>
      </w:r>
      <w:r w:rsidR="003D51A1" w:rsidRPr="00892CA2">
        <w:rPr>
          <w:szCs w:val="24"/>
          <w:vertAlign w:val="superscript"/>
          <w:lang w:val="en-US"/>
        </w:rPr>
        <w:t>[15]</w:t>
      </w:r>
      <w:r w:rsidR="00A741B2" w:rsidRPr="00892CA2">
        <w:rPr>
          <w:szCs w:val="24"/>
          <w:lang w:val="en-US"/>
        </w:rPr>
        <w:t>,</w:t>
      </w:r>
      <w:r w:rsidR="001A6837" w:rsidRPr="00892CA2">
        <w:rPr>
          <w:szCs w:val="24"/>
          <w:lang w:val="en-US"/>
        </w:rPr>
        <w:t xml:space="preserve"> and intra-operative </w:t>
      </w:r>
      <w:r w:rsidR="00D754FF" w:rsidRPr="00892CA2">
        <w:rPr>
          <w:szCs w:val="24"/>
          <w:lang w:val="en-US"/>
        </w:rPr>
        <w:t>findings</w:t>
      </w:r>
      <w:r w:rsidR="00D45873" w:rsidRPr="00892CA2">
        <w:rPr>
          <w:szCs w:val="24"/>
          <w:lang w:val="en-US"/>
        </w:rPr>
        <w:t xml:space="preserve">, </w:t>
      </w:r>
      <w:r w:rsidR="00A468E2" w:rsidRPr="00892CA2">
        <w:rPr>
          <w:szCs w:val="24"/>
          <w:lang w:val="en-US"/>
        </w:rPr>
        <w:t xml:space="preserve">which </w:t>
      </w:r>
      <w:r w:rsidR="00D754FF" w:rsidRPr="00892CA2">
        <w:rPr>
          <w:szCs w:val="24"/>
          <w:lang w:val="en-US"/>
        </w:rPr>
        <w:t>were</w:t>
      </w:r>
      <w:r w:rsidR="00A468E2" w:rsidRPr="00892CA2">
        <w:rPr>
          <w:szCs w:val="24"/>
          <w:lang w:val="en-US"/>
        </w:rPr>
        <w:t xml:space="preserve"> </w:t>
      </w:r>
      <w:r w:rsidR="00D754FF" w:rsidRPr="00892CA2">
        <w:rPr>
          <w:szCs w:val="24"/>
          <w:lang w:val="en-US"/>
        </w:rPr>
        <w:t>assisted</w:t>
      </w:r>
      <w:r w:rsidR="00A468E2" w:rsidRPr="00892CA2">
        <w:rPr>
          <w:szCs w:val="24"/>
          <w:lang w:val="en-US"/>
        </w:rPr>
        <w:t xml:space="preserve"> by pre-operative </w:t>
      </w:r>
      <w:r w:rsidR="00D45873" w:rsidRPr="00892CA2">
        <w:rPr>
          <w:szCs w:val="24"/>
          <w:lang w:val="en-US"/>
        </w:rPr>
        <w:t>magnetic resonance imaging</w:t>
      </w:r>
      <w:r w:rsidR="00A468E2" w:rsidRPr="00892CA2">
        <w:rPr>
          <w:szCs w:val="24"/>
          <w:lang w:val="en-US"/>
        </w:rPr>
        <w:t xml:space="preserve"> in 49 (80%) patients. </w:t>
      </w:r>
      <w:r w:rsidR="0036194A" w:rsidRPr="00892CA2">
        <w:rPr>
          <w:szCs w:val="24"/>
          <w:lang w:val="en-US"/>
        </w:rPr>
        <w:t xml:space="preserve">PDAI and EQ-5D-5L at baseline were measured in all but one participant. </w:t>
      </w:r>
    </w:p>
    <w:p w14:paraId="6543F6CE" w14:textId="3B20F6FE" w:rsidR="0033514E" w:rsidRPr="00892CA2" w:rsidRDefault="00333BB4" w:rsidP="0017217F">
      <w:pPr>
        <w:adjustRightInd w:val="0"/>
        <w:snapToGrid w:val="0"/>
        <w:spacing w:before="0" w:after="0"/>
        <w:ind w:firstLineChars="100" w:firstLine="240"/>
        <w:jc w:val="both"/>
        <w:rPr>
          <w:szCs w:val="24"/>
          <w:lang w:val="en-US"/>
        </w:rPr>
      </w:pPr>
      <w:r w:rsidRPr="00892CA2">
        <w:rPr>
          <w:szCs w:val="24"/>
          <w:lang w:val="en-US"/>
        </w:rPr>
        <w:t>B</w:t>
      </w:r>
      <w:r w:rsidR="001A6837" w:rsidRPr="00892CA2">
        <w:rPr>
          <w:szCs w:val="24"/>
          <w:lang w:val="en-US"/>
        </w:rPr>
        <w:t xml:space="preserve">iopsy </w:t>
      </w:r>
      <w:r w:rsidR="00360D06" w:rsidRPr="00892CA2">
        <w:rPr>
          <w:szCs w:val="24"/>
          <w:lang w:val="en-US"/>
        </w:rPr>
        <w:t>specimens</w:t>
      </w:r>
      <w:r w:rsidR="001A6837" w:rsidRPr="00892CA2">
        <w:rPr>
          <w:szCs w:val="24"/>
          <w:lang w:val="en-US"/>
        </w:rPr>
        <w:t xml:space="preserve"> </w:t>
      </w:r>
      <w:r w:rsidR="003A31F8" w:rsidRPr="00892CA2">
        <w:rPr>
          <w:szCs w:val="24"/>
          <w:lang w:val="en-US"/>
        </w:rPr>
        <w:t>were taken</w:t>
      </w:r>
      <w:r w:rsidRPr="00892CA2">
        <w:rPr>
          <w:szCs w:val="24"/>
          <w:lang w:val="en-US"/>
        </w:rPr>
        <w:t xml:space="preserve"> from</w:t>
      </w:r>
      <w:r w:rsidR="003A31F8" w:rsidRPr="00892CA2">
        <w:rPr>
          <w:szCs w:val="24"/>
          <w:lang w:val="en-US"/>
        </w:rPr>
        <w:t xml:space="preserve">: (1) </w:t>
      </w:r>
      <w:r w:rsidR="001A6837" w:rsidRPr="00892CA2">
        <w:rPr>
          <w:szCs w:val="24"/>
          <w:lang w:val="en-US"/>
        </w:rPr>
        <w:t>the fistula tract wall;</w:t>
      </w:r>
      <w:r w:rsidR="003A31F8" w:rsidRPr="00892CA2">
        <w:rPr>
          <w:szCs w:val="24"/>
          <w:lang w:val="en-US"/>
        </w:rPr>
        <w:t xml:space="preserve"> (2)</w:t>
      </w:r>
      <w:r w:rsidR="00AF353B" w:rsidRPr="00892CA2">
        <w:rPr>
          <w:szCs w:val="24"/>
          <w:lang w:val="en-US"/>
        </w:rPr>
        <w:t xml:space="preserve"> </w:t>
      </w:r>
      <w:r w:rsidRPr="00892CA2">
        <w:rPr>
          <w:szCs w:val="24"/>
          <w:lang w:val="en-US"/>
        </w:rPr>
        <w:t xml:space="preserve">tract </w:t>
      </w:r>
      <w:r w:rsidR="001A6837" w:rsidRPr="00892CA2">
        <w:rPr>
          <w:szCs w:val="24"/>
          <w:lang w:val="en-US"/>
        </w:rPr>
        <w:t xml:space="preserve">granulation tissue (if present); </w:t>
      </w:r>
      <w:r w:rsidR="003A31F8" w:rsidRPr="00892CA2">
        <w:rPr>
          <w:szCs w:val="24"/>
          <w:lang w:val="en-US"/>
        </w:rPr>
        <w:t xml:space="preserve">(3) </w:t>
      </w:r>
      <w:r w:rsidRPr="00892CA2">
        <w:rPr>
          <w:szCs w:val="24"/>
          <w:lang w:val="en-US"/>
        </w:rPr>
        <w:t xml:space="preserve">internal opening </w:t>
      </w:r>
      <w:r w:rsidR="001A6837" w:rsidRPr="00892CA2">
        <w:rPr>
          <w:szCs w:val="24"/>
          <w:lang w:val="en-US"/>
        </w:rPr>
        <w:t xml:space="preserve">mucosa (if present); and </w:t>
      </w:r>
      <w:r w:rsidR="003A31F8" w:rsidRPr="00892CA2">
        <w:rPr>
          <w:szCs w:val="24"/>
          <w:lang w:val="en-US"/>
        </w:rPr>
        <w:t xml:space="preserve">(4) </w:t>
      </w:r>
      <w:r w:rsidRPr="00892CA2">
        <w:rPr>
          <w:szCs w:val="24"/>
          <w:lang w:val="en-US"/>
        </w:rPr>
        <w:t xml:space="preserve">rectal </w:t>
      </w:r>
      <w:r w:rsidR="001A6837" w:rsidRPr="00892CA2">
        <w:rPr>
          <w:szCs w:val="24"/>
          <w:lang w:val="en-US"/>
        </w:rPr>
        <w:t xml:space="preserve">mucosa. </w:t>
      </w:r>
      <w:r w:rsidR="00360D06" w:rsidRPr="00892CA2">
        <w:rPr>
          <w:szCs w:val="24"/>
          <w:lang w:val="en-US"/>
        </w:rPr>
        <w:t>Specimens</w:t>
      </w:r>
      <w:r w:rsidR="001A6837" w:rsidRPr="00892CA2">
        <w:rPr>
          <w:szCs w:val="24"/>
          <w:lang w:val="en-US"/>
        </w:rPr>
        <w:t xml:space="preserve"> were kept on ice and </w:t>
      </w:r>
      <w:r w:rsidR="00566C72" w:rsidRPr="00892CA2">
        <w:rPr>
          <w:szCs w:val="24"/>
          <w:lang w:val="en-US"/>
        </w:rPr>
        <w:t>processed</w:t>
      </w:r>
      <w:r w:rsidR="001A6837" w:rsidRPr="00892CA2">
        <w:rPr>
          <w:szCs w:val="24"/>
          <w:lang w:val="en-US"/>
        </w:rPr>
        <w:t xml:space="preserve"> within four hours.</w:t>
      </w:r>
      <w:r w:rsidR="0036194A" w:rsidRPr="00892CA2">
        <w:rPr>
          <w:szCs w:val="24"/>
          <w:lang w:val="en-US"/>
        </w:rPr>
        <w:t xml:space="preserve"> </w:t>
      </w:r>
      <w:r w:rsidRPr="00892CA2">
        <w:rPr>
          <w:szCs w:val="24"/>
          <w:lang w:val="en-US"/>
        </w:rPr>
        <w:t>One patient</w:t>
      </w:r>
      <w:r w:rsidR="0036194A" w:rsidRPr="00892CA2">
        <w:rPr>
          <w:szCs w:val="24"/>
          <w:lang w:val="en-US"/>
        </w:rPr>
        <w:t xml:space="preserve"> did not undergo biopsy due to unavailability of research staff.</w:t>
      </w:r>
    </w:p>
    <w:p w14:paraId="7AB0421D" w14:textId="77777777" w:rsidR="00A665D3" w:rsidRPr="00892CA2" w:rsidRDefault="00A665D3" w:rsidP="007E3B89">
      <w:pPr>
        <w:adjustRightInd w:val="0"/>
        <w:snapToGrid w:val="0"/>
        <w:spacing w:before="0" w:after="0"/>
        <w:jc w:val="both"/>
        <w:rPr>
          <w:szCs w:val="24"/>
          <w:lang w:val="en-US"/>
        </w:rPr>
      </w:pPr>
    </w:p>
    <w:p w14:paraId="7EC1F944" w14:textId="381C7D8A" w:rsidR="00360D06" w:rsidRPr="00892CA2" w:rsidRDefault="00360D06" w:rsidP="007E3B89">
      <w:pPr>
        <w:pStyle w:val="2"/>
        <w:adjustRightInd w:val="0"/>
        <w:snapToGrid w:val="0"/>
        <w:spacing w:before="0" w:after="0"/>
        <w:jc w:val="both"/>
        <w:rPr>
          <w:szCs w:val="24"/>
          <w:lang w:val="en-US"/>
        </w:rPr>
      </w:pPr>
      <w:r w:rsidRPr="00892CA2">
        <w:rPr>
          <w:szCs w:val="24"/>
          <w:lang w:val="en-US"/>
        </w:rPr>
        <w:t>Proce</w:t>
      </w:r>
      <w:r w:rsidR="00A665D3" w:rsidRPr="00892CA2">
        <w:rPr>
          <w:szCs w:val="24"/>
          <w:lang w:val="en-US"/>
        </w:rPr>
        <w:t>ssing of tissue specimens</w:t>
      </w:r>
    </w:p>
    <w:p w14:paraId="735FBC60" w14:textId="0D9905AC" w:rsidR="001A6837" w:rsidRPr="00892CA2" w:rsidRDefault="000F0BC0" w:rsidP="007E3B89">
      <w:pPr>
        <w:adjustRightInd w:val="0"/>
        <w:snapToGrid w:val="0"/>
        <w:spacing w:before="0" w:after="0"/>
        <w:jc w:val="both"/>
        <w:rPr>
          <w:szCs w:val="24"/>
          <w:lang w:val="en-US"/>
        </w:rPr>
      </w:pPr>
      <w:r w:rsidRPr="00892CA2">
        <w:rPr>
          <w:szCs w:val="24"/>
          <w:lang w:val="en-US"/>
        </w:rPr>
        <w:t xml:space="preserve">Fresh specimens were </w:t>
      </w:r>
      <w:r w:rsidR="00566C72" w:rsidRPr="00892CA2">
        <w:rPr>
          <w:szCs w:val="24"/>
          <w:lang w:val="en-US"/>
        </w:rPr>
        <w:t>prepared</w:t>
      </w:r>
      <w:r w:rsidR="00850C98" w:rsidRPr="00892CA2">
        <w:rPr>
          <w:szCs w:val="24"/>
          <w:lang w:val="en-US"/>
        </w:rPr>
        <w:t xml:space="preserve"> under </w:t>
      </w:r>
      <w:r w:rsidRPr="00892CA2">
        <w:rPr>
          <w:szCs w:val="24"/>
          <w:lang w:val="en-US"/>
        </w:rPr>
        <w:t xml:space="preserve">a </w:t>
      </w:r>
      <w:r w:rsidR="00850C98" w:rsidRPr="00892CA2">
        <w:rPr>
          <w:szCs w:val="24"/>
          <w:lang w:val="en-US"/>
        </w:rPr>
        <w:t xml:space="preserve">microscope. Those reserved for phosphoprotein quantification were </w:t>
      </w:r>
      <w:proofErr w:type="gramStart"/>
      <w:r w:rsidR="00850C98" w:rsidRPr="00892CA2">
        <w:rPr>
          <w:szCs w:val="24"/>
          <w:lang w:val="en-US"/>
        </w:rPr>
        <w:t>snap</w:t>
      </w:r>
      <w:proofErr w:type="gramEnd"/>
      <w:r w:rsidR="00850C98" w:rsidRPr="00892CA2">
        <w:rPr>
          <w:szCs w:val="24"/>
          <w:lang w:val="en-US"/>
        </w:rPr>
        <w:t xml:space="preserve"> frozen and stored at </w:t>
      </w:r>
      <w:r w:rsidR="0017217F" w:rsidRPr="00892CA2">
        <w:rPr>
          <w:szCs w:val="24"/>
          <w:lang w:val="en-US"/>
        </w:rPr>
        <w:t>-</w:t>
      </w:r>
      <w:r w:rsidR="00850C98" w:rsidRPr="00892CA2">
        <w:rPr>
          <w:szCs w:val="24"/>
          <w:lang w:val="en-US"/>
        </w:rPr>
        <w:t>80</w:t>
      </w:r>
      <w:r w:rsidR="00A665D3" w:rsidRPr="00892CA2">
        <w:rPr>
          <w:szCs w:val="24"/>
          <w:lang w:val="en-US"/>
        </w:rPr>
        <w:t xml:space="preserve"> </w:t>
      </w:r>
      <w:r w:rsidR="00850C98" w:rsidRPr="00892CA2">
        <w:rPr>
          <w:rFonts w:cs="Arial"/>
          <w:szCs w:val="24"/>
          <w:lang w:val="en-US"/>
        </w:rPr>
        <w:t>°</w:t>
      </w:r>
      <w:r w:rsidR="00850C98" w:rsidRPr="00892CA2">
        <w:rPr>
          <w:szCs w:val="24"/>
          <w:lang w:val="en-US"/>
        </w:rPr>
        <w:t>C. Those reserved for cytokine</w:t>
      </w:r>
      <w:r w:rsidR="00CE264A" w:rsidRPr="00892CA2">
        <w:rPr>
          <w:szCs w:val="24"/>
          <w:lang w:val="en-US"/>
        </w:rPr>
        <w:t xml:space="preserve"> quantification were </w:t>
      </w:r>
      <w:r w:rsidR="00566C72" w:rsidRPr="00892CA2">
        <w:rPr>
          <w:szCs w:val="24"/>
          <w:lang w:val="en-US"/>
        </w:rPr>
        <w:t xml:space="preserve">immediately </w:t>
      </w:r>
      <w:r w:rsidR="00CE264A" w:rsidRPr="00892CA2">
        <w:rPr>
          <w:szCs w:val="24"/>
          <w:lang w:val="en-US"/>
        </w:rPr>
        <w:t>incubated</w:t>
      </w:r>
      <w:r w:rsidR="00BB7EE6" w:rsidRPr="00892CA2">
        <w:rPr>
          <w:szCs w:val="24"/>
          <w:lang w:val="en-US"/>
        </w:rPr>
        <w:t xml:space="preserve"> </w:t>
      </w:r>
      <w:r w:rsidR="00CE264A" w:rsidRPr="00892CA2">
        <w:rPr>
          <w:szCs w:val="24"/>
          <w:lang w:val="en-US"/>
        </w:rPr>
        <w:t xml:space="preserve">in 300 </w:t>
      </w:r>
      <w:r w:rsidR="00CE264A" w:rsidRPr="00892CA2">
        <w:rPr>
          <w:rFonts w:cs="Arial"/>
          <w:szCs w:val="24"/>
          <w:lang w:val="en-US"/>
        </w:rPr>
        <w:t>µ</w:t>
      </w:r>
      <w:r w:rsidR="00A665D3" w:rsidRPr="00892CA2">
        <w:rPr>
          <w:rFonts w:cs="Arial"/>
          <w:szCs w:val="24"/>
          <w:lang w:val="en-US"/>
        </w:rPr>
        <w:t>L</w:t>
      </w:r>
      <w:r w:rsidR="00CE264A" w:rsidRPr="00892CA2">
        <w:rPr>
          <w:szCs w:val="24"/>
          <w:lang w:val="en-US"/>
        </w:rPr>
        <w:t xml:space="preserve"> serum free HL-1 medium (Lonza, Cambridge, U</w:t>
      </w:r>
      <w:r w:rsidR="00A665D3" w:rsidRPr="00892CA2">
        <w:rPr>
          <w:szCs w:val="24"/>
          <w:lang w:val="en-US"/>
        </w:rPr>
        <w:t>nited Kingdom</w:t>
      </w:r>
      <w:r w:rsidR="00CE264A" w:rsidRPr="00892CA2">
        <w:rPr>
          <w:szCs w:val="24"/>
          <w:lang w:val="en-US"/>
        </w:rPr>
        <w:t>) containing 10 </w:t>
      </w:r>
      <w:r w:rsidR="00A665D3" w:rsidRPr="00892CA2">
        <w:rPr>
          <w:szCs w:val="24"/>
          <w:lang w:val="en-US"/>
        </w:rPr>
        <w:t>U</w:t>
      </w:r>
      <w:r w:rsidR="00CE264A" w:rsidRPr="00892CA2">
        <w:rPr>
          <w:szCs w:val="24"/>
          <w:lang w:val="en-US"/>
        </w:rPr>
        <w:t>/m</w:t>
      </w:r>
      <w:r w:rsidR="00A665D3" w:rsidRPr="00892CA2">
        <w:rPr>
          <w:szCs w:val="24"/>
          <w:lang w:val="en-US"/>
        </w:rPr>
        <w:t>L</w:t>
      </w:r>
      <w:r w:rsidR="00CE264A" w:rsidRPr="00892CA2">
        <w:rPr>
          <w:szCs w:val="24"/>
          <w:lang w:val="en-US"/>
        </w:rPr>
        <w:t xml:space="preserve"> penicillin and streptokinase, 32 </w:t>
      </w:r>
      <w:r w:rsidR="00CE264A" w:rsidRPr="00892CA2">
        <w:rPr>
          <w:szCs w:val="24"/>
          <w:lang w:val="en-US"/>
        </w:rPr>
        <w:sym w:font="Symbol" w:char="F06D"/>
      </w:r>
      <w:r w:rsidR="00CE264A" w:rsidRPr="00892CA2">
        <w:rPr>
          <w:szCs w:val="24"/>
          <w:lang w:val="en-US"/>
        </w:rPr>
        <w:t>g/m</w:t>
      </w:r>
      <w:r w:rsidR="00A665D3" w:rsidRPr="00892CA2">
        <w:rPr>
          <w:szCs w:val="24"/>
          <w:lang w:val="en-US"/>
        </w:rPr>
        <w:t>L</w:t>
      </w:r>
      <w:r w:rsidR="00CE264A" w:rsidRPr="00892CA2">
        <w:rPr>
          <w:szCs w:val="24"/>
          <w:lang w:val="en-US"/>
        </w:rPr>
        <w:t xml:space="preserve"> gentamicin and 1 in 100 L</w:t>
      </w:r>
      <w:r w:rsidR="00CE264A" w:rsidRPr="00892CA2">
        <w:rPr>
          <w:szCs w:val="24"/>
          <w:lang w:val="en-US"/>
        </w:rPr>
        <w:noBreakHyphen/>
        <w:t xml:space="preserve">glutamine (Sigma-Aldrich, </w:t>
      </w:r>
      <w:proofErr w:type="spellStart"/>
      <w:r w:rsidR="00CE264A" w:rsidRPr="00892CA2">
        <w:rPr>
          <w:szCs w:val="24"/>
          <w:lang w:val="en-US"/>
        </w:rPr>
        <w:t>Gillingham</w:t>
      </w:r>
      <w:proofErr w:type="spellEnd"/>
      <w:r w:rsidR="00CE264A" w:rsidRPr="00892CA2">
        <w:rPr>
          <w:szCs w:val="24"/>
          <w:lang w:val="en-US"/>
        </w:rPr>
        <w:t xml:space="preserve">, </w:t>
      </w:r>
      <w:r w:rsidR="00A665D3" w:rsidRPr="00892CA2">
        <w:rPr>
          <w:szCs w:val="24"/>
          <w:lang w:val="en-US"/>
        </w:rPr>
        <w:t>United Kingdom</w:t>
      </w:r>
      <w:r w:rsidR="00CE264A" w:rsidRPr="00892CA2">
        <w:rPr>
          <w:szCs w:val="24"/>
          <w:lang w:val="en-US"/>
        </w:rPr>
        <w:t>) at 37</w:t>
      </w:r>
      <w:r w:rsidR="00A665D3" w:rsidRPr="00892CA2">
        <w:rPr>
          <w:szCs w:val="24"/>
          <w:lang w:val="en-US"/>
        </w:rPr>
        <w:t xml:space="preserve"> </w:t>
      </w:r>
      <w:r w:rsidR="00CE264A" w:rsidRPr="00892CA2">
        <w:rPr>
          <w:rFonts w:cs="Arial"/>
          <w:szCs w:val="24"/>
          <w:lang w:val="en-US"/>
        </w:rPr>
        <w:t>°</w:t>
      </w:r>
      <w:r w:rsidR="00CE264A" w:rsidRPr="00892CA2">
        <w:rPr>
          <w:szCs w:val="24"/>
          <w:lang w:val="en-US"/>
        </w:rPr>
        <w:t>C and 5% carbon dioxide for 24 h. The supernatant was stored at -80</w:t>
      </w:r>
      <w:r w:rsidR="00A665D3" w:rsidRPr="00892CA2">
        <w:rPr>
          <w:szCs w:val="24"/>
          <w:lang w:val="en-US"/>
        </w:rPr>
        <w:t xml:space="preserve"> </w:t>
      </w:r>
      <w:r w:rsidR="00CE264A" w:rsidRPr="00892CA2">
        <w:rPr>
          <w:rFonts w:cs="Arial"/>
          <w:szCs w:val="24"/>
          <w:lang w:val="en-US"/>
        </w:rPr>
        <w:t>°</w:t>
      </w:r>
      <w:r w:rsidR="00CE264A" w:rsidRPr="00892CA2">
        <w:rPr>
          <w:szCs w:val="24"/>
          <w:lang w:val="en-US"/>
        </w:rPr>
        <w:t>C.</w:t>
      </w:r>
    </w:p>
    <w:p w14:paraId="7D5DFCA1" w14:textId="77777777" w:rsidR="00A665D3" w:rsidRPr="00892CA2" w:rsidRDefault="00A665D3" w:rsidP="007E3B89">
      <w:pPr>
        <w:adjustRightInd w:val="0"/>
        <w:snapToGrid w:val="0"/>
        <w:spacing w:before="0" w:after="0"/>
        <w:jc w:val="both"/>
        <w:rPr>
          <w:szCs w:val="24"/>
          <w:lang w:val="en-US"/>
        </w:rPr>
      </w:pPr>
    </w:p>
    <w:p w14:paraId="42B8397C" w14:textId="2529C65E" w:rsidR="00360D06" w:rsidRPr="00892CA2" w:rsidRDefault="00360D06" w:rsidP="007E3B89">
      <w:pPr>
        <w:pStyle w:val="2"/>
        <w:adjustRightInd w:val="0"/>
        <w:snapToGrid w:val="0"/>
        <w:spacing w:before="0" w:after="0"/>
        <w:jc w:val="both"/>
        <w:rPr>
          <w:szCs w:val="24"/>
          <w:lang w:val="en-US"/>
        </w:rPr>
      </w:pPr>
      <w:r w:rsidRPr="00892CA2">
        <w:rPr>
          <w:szCs w:val="24"/>
          <w:lang w:val="en-US"/>
        </w:rPr>
        <w:t xml:space="preserve">Cytokine </w:t>
      </w:r>
      <w:r w:rsidR="00A665D3" w:rsidRPr="00892CA2">
        <w:rPr>
          <w:szCs w:val="24"/>
          <w:lang w:val="en-US"/>
        </w:rPr>
        <w:t>quantification</w:t>
      </w:r>
    </w:p>
    <w:p w14:paraId="0860BEC7" w14:textId="5DA075F0" w:rsidR="00CE264A" w:rsidRPr="00892CA2" w:rsidRDefault="00CE264A" w:rsidP="007E3B89">
      <w:pPr>
        <w:adjustRightInd w:val="0"/>
        <w:snapToGrid w:val="0"/>
        <w:spacing w:before="0" w:after="0"/>
        <w:jc w:val="both"/>
        <w:rPr>
          <w:szCs w:val="24"/>
          <w:lang w:val="en-US"/>
        </w:rPr>
      </w:pPr>
      <w:r w:rsidRPr="00892CA2">
        <w:rPr>
          <w:szCs w:val="24"/>
          <w:lang w:val="en-US"/>
        </w:rPr>
        <w:t xml:space="preserve">We </w:t>
      </w:r>
      <w:r w:rsidR="00FF4E37" w:rsidRPr="00892CA2">
        <w:rPr>
          <w:szCs w:val="24"/>
          <w:lang w:val="en-US"/>
        </w:rPr>
        <w:t>used</w:t>
      </w:r>
      <w:r w:rsidRPr="00892CA2">
        <w:rPr>
          <w:szCs w:val="24"/>
          <w:lang w:val="en-US"/>
        </w:rPr>
        <w:t xml:space="preserve"> 30-plex </w:t>
      </w:r>
      <w:proofErr w:type="spellStart"/>
      <w:r w:rsidRPr="00892CA2">
        <w:rPr>
          <w:szCs w:val="24"/>
          <w:lang w:val="en-US"/>
        </w:rPr>
        <w:t>Milliplex</w:t>
      </w:r>
      <w:proofErr w:type="spellEnd"/>
      <w:r w:rsidRPr="00892CA2">
        <w:rPr>
          <w:szCs w:val="24"/>
          <w:lang w:val="en-US"/>
        </w:rPr>
        <w:t xml:space="preserve"> MAP Human Cytokine/Chemokine Magnetic Bead Panel (EMD Millipore, Billerica, </w:t>
      </w:r>
      <w:r w:rsidR="00A665D3" w:rsidRPr="00892CA2">
        <w:rPr>
          <w:szCs w:val="24"/>
          <w:lang w:val="en-US"/>
        </w:rPr>
        <w:t>MA, United States</w:t>
      </w:r>
      <w:r w:rsidRPr="00892CA2">
        <w:rPr>
          <w:szCs w:val="24"/>
          <w:lang w:val="en-US"/>
        </w:rPr>
        <w:t xml:space="preserve">) </w:t>
      </w:r>
      <w:r w:rsidR="00FF4E37" w:rsidRPr="00892CA2">
        <w:rPr>
          <w:szCs w:val="24"/>
          <w:lang w:val="en-US"/>
        </w:rPr>
        <w:t xml:space="preserve">to </w:t>
      </w:r>
      <w:r w:rsidR="00B72387" w:rsidRPr="00892CA2">
        <w:rPr>
          <w:szCs w:val="24"/>
          <w:lang w:val="en-US"/>
        </w:rPr>
        <w:t>quantify</w:t>
      </w:r>
      <w:r w:rsidRPr="00892CA2">
        <w:rPr>
          <w:szCs w:val="24"/>
          <w:lang w:val="en-US"/>
        </w:rPr>
        <w:t xml:space="preserve"> the concentrations of 30 cytokines and chemokines:</w:t>
      </w:r>
      <w:r w:rsidR="00330A02" w:rsidRPr="00892CA2">
        <w:rPr>
          <w:szCs w:val="24"/>
          <w:lang w:val="en-US"/>
        </w:rPr>
        <w:t xml:space="preserve"> EGF, </w:t>
      </w:r>
      <w:proofErr w:type="spellStart"/>
      <w:r w:rsidR="00330A02" w:rsidRPr="00892CA2">
        <w:rPr>
          <w:szCs w:val="24"/>
          <w:lang w:val="en-US"/>
        </w:rPr>
        <w:t>Eotaxin</w:t>
      </w:r>
      <w:proofErr w:type="spellEnd"/>
      <w:r w:rsidR="00330A02" w:rsidRPr="00892CA2">
        <w:rPr>
          <w:szCs w:val="24"/>
          <w:lang w:val="en-US"/>
        </w:rPr>
        <w:t>, G-CSF, GM-CSF, IFN-α2, IFN-γ, IL-10, IL-12P40, IL-12P70, IL-13, IL-15, IL-17, IL-1RA, IL-1α, IL-1β, IL-2, IL-3, IL-4, IL-5, IL-6, IL-7, IL-8, IP-10, MCP-1, MIP-1α, MIP-1β, TNF-α, TNF-β, RANTES, and VEGF</w:t>
      </w:r>
      <w:r w:rsidR="0069183B" w:rsidRPr="00892CA2">
        <w:rPr>
          <w:szCs w:val="24"/>
          <w:lang w:val="en-US"/>
        </w:rPr>
        <w:t xml:space="preserve"> (</w:t>
      </w:r>
      <w:r w:rsidR="00FB6502" w:rsidRPr="00892CA2">
        <w:rPr>
          <w:szCs w:val="24"/>
          <w:lang w:val="en-US"/>
        </w:rPr>
        <w:t xml:space="preserve">Supplementary </w:t>
      </w:r>
      <w:r w:rsidR="00696331" w:rsidRPr="00892CA2">
        <w:rPr>
          <w:szCs w:val="24"/>
          <w:lang w:val="en-US"/>
        </w:rPr>
        <w:t>Table 3</w:t>
      </w:r>
      <w:r w:rsidR="0069183B" w:rsidRPr="00892CA2">
        <w:rPr>
          <w:szCs w:val="24"/>
          <w:lang w:val="en-US"/>
        </w:rPr>
        <w:t>)</w:t>
      </w:r>
      <w:r w:rsidRPr="00892CA2">
        <w:rPr>
          <w:szCs w:val="24"/>
          <w:lang w:val="en-US"/>
        </w:rPr>
        <w:t>.</w:t>
      </w:r>
      <w:r w:rsidR="00B72387" w:rsidRPr="00892CA2">
        <w:rPr>
          <w:szCs w:val="24"/>
          <w:lang w:val="en-US"/>
        </w:rPr>
        <w:t xml:space="preserve"> Measurements were made using a MAGPIX multiplexing instrument (Luminex Corporation, Austin, TX</w:t>
      </w:r>
      <w:r w:rsidR="00A665D3" w:rsidRPr="00892CA2">
        <w:rPr>
          <w:szCs w:val="24"/>
          <w:lang w:val="en-US"/>
        </w:rPr>
        <w:t>, United States</w:t>
      </w:r>
      <w:r w:rsidR="00B72387" w:rsidRPr="00892CA2">
        <w:rPr>
          <w:szCs w:val="24"/>
          <w:lang w:val="en-US"/>
        </w:rPr>
        <w:t xml:space="preserve">). We followed the manufacturer’s recommended quality control procedures to ensure </w:t>
      </w:r>
      <w:proofErr w:type="gramStart"/>
      <w:r w:rsidR="00B72387" w:rsidRPr="00892CA2">
        <w:rPr>
          <w:szCs w:val="24"/>
          <w:lang w:val="en-US"/>
        </w:rPr>
        <w:t>validity</w:t>
      </w:r>
      <w:r w:rsidR="003D51A1" w:rsidRPr="00892CA2">
        <w:rPr>
          <w:szCs w:val="24"/>
          <w:vertAlign w:val="superscript"/>
          <w:lang w:val="en-US"/>
        </w:rPr>
        <w:t>[</w:t>
      </w:r>
      <w:proofErr w:type="gramEnd"/>
      <w:r w:rsidR="003D51A1" w:rsidRPr="00892CA2">
        <w:rPr>
          <w:szCs w:val="24"/>
          <w:vertAlign w:val="superscript"/>
          <w:lang w:val="en-US"/>
        </w:rPr>
        <w:t>16]</w:t>
      </w:r>
      <w:r w:rsidR="00B72387" w:rsidRPr="00892CA2">
        <w:rPr>
          <w:szCs w:val="24"/>
          <w:lang w:val="en-US"/>
        </w:rPr>
        <w:t>.</w:t>
      </w:r>
      <w:r w:rsidR="00833CC7" w:rsidRPr="00892CA2">
        <w:rPr>
          <w:szCs w:val="24"/>
          <w:lang w:val="en-US"/>
        </w:rPr>
        <w:t xml:space="preserve"> </w:t>
      </w:r>
      <w:r w:rsidR="0033514E" w:rsidRPr="00892CA2">
        <w:rPr>
          <w:szCs w:val="24"/>
          <w:lang w:val="en-US"/>
        </w:rPr>
        <w:t>Specimen supernatants</w:t>
      </w:r>
      <w:r w:rsidR="00833CC7" w:rsidRPr="00892CA2">
        <w:rPr>
          <w:szCs w:val="24"/>
          <w:lang w:val="en-US"/>
        </w:rPr>
        <w:t xml:space="preserve"> were </w:t>
      </w:r>
      <w:proofErr w:type="spellStart"/>
      <w:r w:rsidR="00360D06" w:rsidRPr="00892CA2">
        <w:rPr>
          <w:szCs w:val="24"/>
          <w:lang w:val="en-US"/>
        </w:rPr>
        <w:t>analysed</w:t>
      </w:r>
      <w:proofErr w:type="spellEnd"/>
      <w:r w:rsidR="00833CC7" w:rsidRPr="00892CA2">
        <w:rPr>
          <w:szCs w:val="24"/>
          <w:lang w:val="en-US"/>
        </w:rPr>
        <w:t xml:space="preserve"> in singlet due to </w:t>
      </w:r>
      <w:r w:rsidR="00333BB4" w:rsidRPr="00892CA2">
        <w:rPr>
          <w:szCs w:val="24"/>
          <w:lang w:val="en-US"/>
        </w:rPr>
        <w:t xml:space="preserve">resource </w:t>
      </w:r>
      <w:r w:rsidR="00833CC7" w:rsidRPr="00892CA2">
        <w:rPr>
          <w:szCs w:val="24"/>
          <w:lang w:val="en-US"/>
        </w:rPr>
        <w:t>constraints, however, quality controls were measured in duplicate</w:t>
      </w:r>
      <w:r w:rsidR="006B2474" w:rsidRPr="00892CA2">
        <w:rPr>
          <w:szCs w:val="24"/>
          <w:lang w:val="en-US"/>
        </w:rPr>
        <w:t xml:space="preserve"> and 95% of these </w:t>
      </w:r>
      <w:r w:rsidR="00117B9A" w:rsidRPr="00892CA2">
        <w:rPr>
          <w:szCs w:val="24"/>
          <w:lang w:val="en-US"/>
        </w:rPr>
        <w:t xml:space="preserve">were within the accepted margin of error. </w:t>
      </w:r>
    </w:p>
    <w:p w14:paraId="10985E4A" w14:textId="77777777" w:rsidR="0017217F" w:rsidRPr="00892CA2" w:rsidRDefault="0017217F" w:rsidP="007E3B89">
      <w:pPr>
        <w:adjustRightInd w:val="0"/>
        <w:snapToGrid w:val="0"/>
        <w:spacing w:before="0" w:after="0"/>
        <w:jc w:val="both"/>
        <w:rPr>
          <w:szCs w:val="24"/>
          <w:lang w:val="en-US"/>
        </w:rPr>
      </w:pPr>
    </w:p>
    <w:p w14:paraId="57E46E11" w14:textId="39F3DE05" w:rsidR="00360D06" w:rsidRPr="00892CA2" w:rsidRDefault="00360D06" w:rsidP="007E3B89">
      <w:pPr>
        <w:pStyle w:val="2"/>
        <w:adjustRightInd w:val="0"/>
        <w:snapToGrid w:val="0"/>
        <w:spacing w:before="0" w:after="0"/>
        <w:jc w:val="both"/>
        <w:rPr>
          <w:szCs w:val="24"/>
          <w:lang w:val="en-US"/>
        </w:rPr>
      </w:pPr>
      <w:r w:rsidRPr="00892CA2">
        <w:rPr>
          <w:szCs w:val="24"/>
          <w:lang w:val="en-US"/>
        </w:rPr>
        <w:t>Phosphoprotei</w:t>
      </w:r>
      <w:r w:rsidR="00A665D3" w:rsidRPr="00892CA2">
        <w:rPr>
          <w:szCs w:val="24"/>
          <w:lang w:val="en-US"/>
        </w:rPr>
        <w:t>n quantification</w:t>
      </w:r>
    </w:p>
    <w:p w14:paraId="04627179" w14:textId="3259EC5F" w:rsidR="001A6837" w:rsidRPr="00892CA2" w:rsidRDefault="005A06AB" w:rsidP="007E3B89">
      <w:pPr>
        <w:adjustRightInd w:val="0"/>
        <w:snapToGrid w:val="0"/>
        <w:spacing w:before="0" w:after="0"/>
        <w:jc w:val="both"/>
        <w:rPr>
          <w:szCs w:val="24"/>
          <w:lang w:val="en-US"/>
        </w:rPr>
      </w:pPr>
      <w:r w:rsidRPr="00892CA2">
        <w:rPr>
          <w:rFonts w:cs="Arial"/>
          <w:szCs w:val="24"/>
          <w:lang w:val="en-US"/>
        </w:rPr>
        <w:t xml:space="preserve">The method of phosphoprotein quantification </w:t>
      </w:r>
      <w:r w:rsidR="005D7E7F" w:rsidRPr="00892CA2">
        <w:rPr>
          <w:rFonts w:cs="Arial"/>
          <w:szCs w:val="24"/>
          <w:lang w:val="en-US"/>
        </w:rPr>
        <w:t>was</w:t>
      </w:r>
      <w:r w:rsidRPr="00892CA2">
        <w:rPr>
          <w:rFonts w:cs="Arial"/>
          <w:szCs w:val="24"/>
          <w:lang w:val="en-US"/>
        </w:rPr>
        <w:t xml:space="preserve"> based on previous work within our </w:t>
      </w:r>
      <w:proofErr w:type="gramStart"/>
      <w:r w:rsidRPr="00892CA2">
        <w:rPr>
          <w:rFonts w:cs="Arial"/>
          <w:szCs w:val="24"/>
          <w:lang w:val="en-US"/>
        </w:rPr>
        <w:t>laboratory</w:t>
      </w:r>
      <w:r w:rsidR="003D51A1" w:rsidRPr="00892CA2">
        <w:rPr>
          <w:szCs w:val="24"/>
          <w:vertAlign w:val="superscript"/>
          <w:lang w:val="en-US"/>
        </w:rPr>
        <w:t>[</w:t>
      </w:r>
      <w:proofErr w:type="gramEnd"/>
      <w:r w:rsidR="003D51A1" w:rsidRPr="00892CA2">
        <w:rPr>
          <w:szCs w:val="24"/>
          <w:vertAlign w:val="superscript"/>
          <w:lang w:val="en-US"/>
        </w:rPr>
        <w:t>17]</w:t>
      </w:r>
      <w:r w:rsidRPr="00892CA2">
        <w:rPr>
          <w:rFonts w:cs="Arial"/>
          <w:szCs w:val="24"/>
          <w:lang w:val="en-US"/>
        </w:rPr>
        <w:t xml:space="preserve">. </w:t>
      </w:r>
      <w:r w:rsidR="000F0BC0" w:rsidRPr="00892CA2">
        <w:rPr>
          <w:rFonts w:cs="Arial"/>
          <w:szCs w:val="24"/>
          <w:lang w:val="en-US"/>
        </w:rPr>
        <w:t>C</w:t>
      </w:r>
      <w:r w:rsidR="00774FEF" w:rsidRPr="00892CA2">
        <w:rPr>
          <w:rFonts w:cs="Arial"/>
          <w:szCs w:val="24"/>
          <w:lang w:val="en-US"/>
        </w:rPr>
        <w:t xml:space="preserve">ells </w:t>
      </w:r>
      <w:r w:rsidR="000F0BC0" w:rsidRPr="00892CA2">
        <w:rPr>
          <w:rFonts w:cs="Arial"/>
          <w:szCs w:val="24"/>
          <w:lang w:val="en-US"/>
        </w:rPr>
        <w:t xml:space="preserve">were lysed </w:t>
      </w:r>
      <w:r w:rsidR="00774FEF" w:rsidRPr="00892CA2">
        <w:rPr>
          <w:rFonts w:cs="Arial"/>
          <w:szCs w:val="24"/>
          <w:lang w:val="en-US"/>
        </w:rPr>
        <w:t xml:space="preserve">using </w:t>
      </w:r>
      <w:r w:rsidR="00774FEF" w:rsidRPr="00892CA2">
        <w:rPr>
          <w:szCs w:val="24"/>
          <w:lang w:val="en-US"/>
        </w:rPr>
        <w:t xml:space="preserve">100 </w:t>
      </w:r>
      <w:bookmarkStart w:id="98" w:name="OLE_LINK723"/>
      <w:bookmarkStart w:id="99" w:name="OLE_LINK724"/>
      <w:r w:rsidR="00774FEF" w:rsidRPr="00892CA2">
        <w:rPr>
          <w:szCs w:val="24"/>
          <w:lang w:val="en-US"/>
        </w:rPr>
        <w:sym w:font="Symbol" w:char="F06D"/>
      </w:r>
      <w:bookmarkEnd w:id="98"/>
      <w:bookmarkEnd w:id="99"/>
      <w:r w:rsidR="00A665D3" w:rsidRPr="00892CA2">
        <w:rPr>
          <w:szCs w:val="24"/>
          <w:lang w:val="en-US"/>
        </w:rPr>
        <w:t>L</w:t>
      </w:r>
      <w:r w:rsidR="00774FEF" w:rsidRPr="00892CA2">
        <w:rPr>
          <w:szCs w:val="24"/>
          <w:lang w:val="en-US"/>
        </w:rPr>
        <w:t xml:space="preserve"> of radioimmunoprecipitation assay buffer containing one </w:t>
      </w:r>
      <w:proofErr w:type="spellStart"/>
      <w:r w:rsidR="00774FEF" w:rsidRPr="00892CA2">
        <w:rPr>
          <w:szCs w:val="24"/>
          <w:lang w:val="en-US"/>
        </w:rPr>
        <w:t>microlitre</w:t>
      </w:r>
      <w:proofErr w:type="spellEnd"/>
      <w:r w:rsidR="00774FEF" w:rsidRPr="00892CA2">
        <w:rPr>
          <w:rFonts w:cs="Arial"/>
          <w:szCs w:val="24"/>
          <w:lang w:val="en-US"/>
        </w:rPr>
        <w:t xml:space="preserve"> of Phosphatase Inhibitor Cocktail 2 and </w:t>
      </w:r>
      <w:r w:rsidR="00774FEF" w:rsidRPr="00892CA2">
        <w:rPr>
          <w:szCs w:val="24"/>
          <w:lang w:val="en-US"/>
        </w:rPr>
        <w:t xml:space="preserve">one </w:t>
      </w:r>
      <w:proofErr w:type="spellStart"/>
      <w:r w:rsidR="00774FEF" w:rsidRPr="00892CA2">
        <w:rPr>
          <w:szCs w:val="24"/>
          <w:lang w:val="en-US"/>
        </w:rPr>
        <w:t>microlitre</w:t>
      </w:r>
      <w:proofErr w:type="spellEnd"/>
      <w:r w:rsidR="00774FEF" w:rsidRPr="00892CA2">
        <w:rPr>
          <w:rFonts w:cs="Arial"/>
          <w:szCs w:val="24"/>
          <w:lang w:val="en-US"/>
        </w:rPr>
        <w:t xml:space="preserve"> of </w:t>
      </w:r>
      <w:r w:rsidR="00A665D3" w:rsidRPr="00892CA2">
        <w:rPr>
          <w:rFonts w:cs="Arial"/>
          <w:szCs w:val="24"/>
          <w:lang w:val="en-US"/>
        </w:rPr>
        <w:t>protease inhibitor</w:t>
      </w:r>
      <w:r w:rsidR="00774FEF" w:rsidRPr="00892CA2">
        <w:rPr>
          <w:rFonts w:cs="Arial"/>
          <w:szCs w:val="24"/>
          <w:lang w:val="en-US"/>
        </w:rPr>
        <w:t xml:space="preserve"> in dimethyl sulfoxide (Sigma-Aldrich, </w:t>
      </w:r>
      <w:proofErr w:type="spellStart"/>
      <w:r w:rsidR="00774FEF" w:rsidRPr="00892CA2">
        <w:rPr>
          <w:rFonts w:cs="Arial"/>
          <w:szCs w:val="24"/>
          <w:lang w:val="en-US"/>
        </w:rPr>
        <w:t>Gillingham</w:t>
      </w:r>
      <w:proofErr w:type="spellEnd"/>
      <w:r w:rsidR="00774FEF" w:rsidRPr="00892CA2">
        <w:rPr>
          <w:rFonts w:cs="Arial"/>
          <w:szCs w:val="24"/>
          <w:lang w:val="en-US"/>
        </w:rPr>
        <w:t>, U</w:t>
      </w:r>
      <w:r w:rsidR="00A665D3" w:rsidRPr="00892CA2">
        <w:rPr>
          <w:rFonts w:cs="Arial"/>
          <w:szCs w:val="24"/>
          <w:lang w:val="en-US"/>
        </w:rPr>
        <w:t>nited Kingdom</w:t>
      </w:r>
      <w:r w:rsidR="00774FEF" w:rsidRPr="00892CA2">
        <w:rPr>
          <w:rFonts w:cs="Arial"/>
          <w:szCs w:val="24"/>
          <w:lang w:val="en-US"/>
        </w:rPr>
        <w:t>) and a manual ultrasonic cell disruptor intermittently for 10 min at 4</w:t>
      </w:r>
      <w:r w:rsidR="00A665D3" w:rsidRPr="00892CA2">
        <w:rPr>
          <w:rFonts w:cs="Arial"/>
          <w:szCs w:val="24"/>
          <w:lang w:val="en-US"/>
        </w:rPr>
        <w:t xml:space="preserve"> </w:t>
      </w:r>
      <w:r w:rsidR="00774FEF" w:rsidRPr="00892CA2">
        <w:rPr>
          <w:rFonts w:cs="Arial"/>
          <w:szCs w:val="24"/>
          <w:lang w:val="en-US"/>
        </w:rPr>
        <w:t>°C.</w:t>
      </w:r>
      <w:r w:rsidR="00AD7A07" w:rsidRPr="00892CA2">
        <w:rPr>
          <w:rFonts w:cs="Arial"/>
          <w:szCs w:val="24"/>
          <w:lang w:val="en-US"/>
        </w:rPr>
        <w:t xml:space="preserve"> We </w:t>
      </w:r>
      <w:r w:rsidR="008A7A66" w:rsidRPr="00892CA2">
        <w:rPr>
          <w:rFonts w:cs="Arial"/>
          <w:szCs w:val="24"/>
          <w:lang w:val="en-US"/>
        </w:rPr>
        <w:t xml:space="preserve">then </w:t>
      </w:r>
      <w:r w:rsidR="00AD7A07" w:rsidRPr="00892CA2">
        <w:rPr>
          <w:rFonts w:cs="Arial"/>
          <w:szCs w:val="24"/>
          <w:lang w:val="en-US"/>
        </w:rPr>
        <w:t xml:space="preserve">separated off the supernatant and </w:t>
      </w:r>
      <w:r w:rsidR="00DA525A" w:rsidRPr="00892CA2">
        <w:rPr>
          <w:rFonts w:cs="Arial"/>
          <w:szCs w:val="24"/>
          <w:lang w:val="en-US"/>
        </w:rPr>
        <w:t>performed</w:t>
      </w:r>
      <w:r w:rsidR="009D1E4C" w:rsidRPr="00892CA2">
        <w:rPr>
          <w:rFonts w:cs="Arial"/>
          <w:szCs w:val="24"/>
          <w:lang w:val="en-US"/>
        </w:rPr>
        <w:t xml:space="preserve"> a Bradford Assay </w:t>
      </w:r>
      <w:r w:rsidR="00774FEF" w:rsidRPr="00892CA2">
        <w:rPr>
          <w:rFonts w:cs="Arial"/>
          <w:szCs w:val="24"/>
          <w:lang w:val="en-US"/>
        </w:rPr>
        <w:t>(Bio-Rad Laboratories Inc., Hercules, C</w:t>
      </w:r>
      <w:r w:rsidR="00A665D3" w:rsidRPr="00892CA2">
        <w:rPr>
          <w:rFonts w:cs="Arial"/>
          <w:szCs w:val="24"/>
          <w:lang w:val="en-US"/>
        </w:rPr>
        <w:t>A, United States</w:t>
      </w:r>
      <w:r w:rsidR="00774FEF" w:rsidRPr="00892CA2">
        <w:rPr>
          <w:rFonts w:cs="Arial"/>
          <w:szCs w:val="24"/>
          <w:lang w:val="en-US"/>
        </w:rPr>
        <w:t xml:space="preserve">) </w:t>
      </w:r>
      <w:r w:rsidR="009D1E4C" w:rsidRPr="00892CA2">
        <w:rPr>
          <w:rFonts w:cs="Arial"/>
          <w:szCs w:val="24"/>
          <w:lang w:val="en-US"/>
        </w:rPr>
        <w:t>to estimate the prot</w:t>
      </w:r>
      <w:r w:rsidR="00DA525A" w:rsidRPr="00892CA2">
        <w:rPr>
          <w:rFonts w:cs="Arial"/>
          <w:szCs w:val="24"/>
          <w:lang w:val="en-US"/>
        </w:rPr>
        <w:t>ein concentration</w:t>
      </w:r>
      <w:r w:rsidR="00AD7A07" w:rsidRPr="00892CA2">
        <w:rPr>
          <w:rFonts w:cs="Arial"/>
          <w:szCs w:val="24"/>
          <w:lang w:val="en-US"/>
        </w:rPr>
        <w:t xml:space="preserve">. </w:t>
      </w:r>
      <w:proofErr w:type="spellStart"/>
      <w:r w:rsidR="005577F8" w:rsidRPr="00892CA2">
        <w:rPr>
          <w:rFonts w:cs="Arial"/>
          <w:szCs w:val="24"/>
          <w:lang w:val="en-US"/>
        </w:rPr>
        <w:t>PathScan</w:t>
      </w:r>
      <w:proofErr w:type="spellEnd"/>
      <w:r w:rsidR="005577F8" w:rsidRPr="00892CA2">
        <w:rPr>
          <w:rFonts w:cs="Arial"/>
          <w:szCs w:val="24"/>
          <w:lang w:val="en-US"/>
        </w:rPr>
        <w:t xml:space="preserve"> RTK Signaling Antibody Array, Chemiluminescent Readout (Cell Signaling Technology, Danvers, </w:t>
      </w:r>
      <w:r w:rsidR="005577F8" w:rsidRPr="00892CA2">
        <w:rPr>
          <w:rFonts w:cs="Arial"/>
          <w:bCs/>
          <w:szCs w:val="24"/>
          <w:lang w:val="en-US"/>
        </w:rPr>
        <w:t>Massachusetts</w:t>
      </w:r>
      <w:r w:rsidR="005577F8" w:rsidRPr="00892CA2">
        <w:rPr>
          <w:rFonts w:cs="Arial"/>
          <w:szCs w:val="24"/>
          <w:lang w:val="en-US"/>
        </w:rPr>
        <w:t xml:space="preserve">) </w:t>
      </w:r>
      <w:r w:rsidR="00726D04" w:rsidRPr="00892CA2">
        <w:rPr>
          <w:rFonts w:cs="Arial"/>
          <w:szCs w:val="24"/>
          <w:lang w:val="en-US"/>
        </w:rPr>
        <w:t xml:space="preserve">was used </w:t>
      </w:r>
      <w:r w:rsidR="00BE2819" w:rsidRPr="00892CA2">
        <w:rPr>
          <w:rFonts w:cs="Arial"/>
          <w:szCs w:val="24"/>
          <w:lang w:val="en-US"/>
        </w:rPr>
        <w:t>t</w:t>
      </w:r>
      <w:r w:rsidR="005577F8" w:rsidRPr="00892CA2">
        <w:rPr>
          <w:rFonts w:cs="Arial"/>
          <w:szCs w:val="24"/>
          <w:lang w:val="en-US"/>
        </w:rPr>
        <w:t xml:space="preserve">o quantify the phosphorylation status of 28 </w:t>
      </w:r>
      <w:r w:rsidR="00327EC7" w:rsidRPr="00892CA2">
        <w:rPr>
          <w:rFonts w:cs="Arial"/>
          <w:szCs w:val="24"/>
          <w:lang w:val="en-US"/>
        </w:rPr>
        <w:t>RTKs</w:t>
      </w:r>
      <w:r w:rsidR="005577F8" w:rsidRPr="00892CA2">
        <w:rPr>
          <w:rFonts w:cs="Arial"/>
          <w:szCs w:val="24"/>
          <w:lang w:val="en-US"/>
        </w:rPr>
        <w:t xml:space="preserve"> and 11 </w:t>
      </w:r>
      <w:proofErr w:type="spellStart"/>
      <w:r w:rsidR="005577F8" w:rsidRPr="00892CA2">
        <w:rPr>
          <w:rFonts w:cs="Arial"/>
          <w:szCs w:val="24"/>
          <w:lang w:val="en-US"/>
        </w:rPr>
        <w:t>signalling</w:t>
      </w:r>
      <w:proofErr w:type="spellEnd"/>
      <w:r w:rsidR="005577F8" w:rsidRPr="00892CA2">
        <w:rPr>
          <w:rFonts w:cs="Arial"/>
          <w:szCs w:val="24"/>
          <w:lang w:val="en-US"/>
        </w:rPr>
        <w:t xml:space="preserve"> nodes</w:t>
      </w:r>
      <w:r w:rsidR="00330A02" w:rsidRPr="00892CA2">
        <w:rPr>
          <w:rFonts w:cs="Arial"/>
          <w:szCs w:val="24"/>
          <w:lang w:val="en-US"/>
        </w:rPr>
        <w:t xml:space="preserve">: </w:t>
      </w:r>
      <w:r w:rsidR="00330A02" w:rsidRPr="00892CA2">
        <w:rPr>
          <w:szCs w:val="24"/>
          <w:lang w:val="en-US"/>
        </w:rPr>
        <w:t xml:space="preserve">EGFR/ErbB1, HER2/ErbB2, HER3/ErbB3, FGFR1, FGFR3, FGFR4, </w:t>
      </w:r>
      <w:proofErr w:type="spellStart"/>
      <w:r w:rsidR="00330A02" w:rsidRPr="00892CA2">
        <w:rPr>
          <w:szCs w:val="24"/>
          <w:lang w:val="en-US"/>
        </w:rPr>
        <w:t>InsR</w:t>
      </w:r>
      <w:proofErr w:type="spellEnd"/>
      <w:r w:rsidR="00330A02" w:rsidRPr="00892CA2">
        <w:rPr>
          <w:szCs w:val="24"/>
          <w:lang w:val="en-US"/>
        </w:rPr>
        <w:t xml:space="preserve">, IGF-IR, </w:t>
      </w:r>
      <w:proofErr w:type="spellStart"/>
      <w:r w:rsidR="00330A02" w:rsidRPr="00892CA2">
        <w:rPr>
          <w:szCs w:val="24"/>
          <w:lang w:val="en-US"/>
        </w:rPr>
        <w:t>TrkA</w:t>
      </w:r>
      <w:proofErr w:type="spellEnd"/>
      <w:r w:rsidR="00330A02" w:rsidRPr="00892CA2">
        <w:rPr>
          <w:szCs w:val="24"/>
          <w:lang w:val="en-US"/>
        </w:rPr>
        <w:t xml:space="preserve">/NTRK1, </w:t>
      </w:r>
      <w:proofErr w:type="spellStart"/>
      <w:r w:rsidR="00330A02" w:rsidRPr="00892CA2">
        <w:rPr>
          <w:szCs w:val="24"/>
          <w:lang w:val="en-US"/>
        </w:rPr>
        <w:t>TrkB</w:t>
      </w:r>
      <w:proofErr w:type="spellEnd"/>
      <w:r w:rsidR="00330A02" w:rsidRPr="00892CA2">
        <w:rPr>
          <w:szCs w:val="24"/>
          <w:lang w:val="en-US"/>
        </w:rPr>
        <w:t>/NTRK2, Met/HGFR, Ron/MST1R, Ret, ALK, PDGFR, c-Kit/SCFR, FLT3/Flk2, M-CSFR/CSF-1R, EphA1, EphA2, EphA3, EphB1, EphB3, EphB4, Tyro3/</w:t>
      </w:r>
      <w:proofErr w:type="spellStart"/>
      <w:r w:rsidR="00330A02" w:rsidRPr="00892CA2">
        <w:rPr>
          <w:szCs w:val="24"/>
          <w:lang w:val="en-US"/>
        </w:rPr>
        <w:t>Dtk</w:t>
      </w:r>
      <w:proofErr w:type="spellEnd"/>
      <w:r w:rsidR="00330A02" w:rsidRPr="00892CA2">
        <w:rPr>
          <w:szCs w:val="24"/>
          <w:lang w:val="en-US"/>
        </w:rPr>
        <w:t xml:space="preserve">, </w:t>
      </w:r>
      <w:proofErr w:type="spellStart"/>
      <w:r w:rsidR="00330A02" w:rsidRPr="00892CA2">
        <w:rPr>
          <w:szCs w:val="24"/>
          <w:lang w:val="en-US"/>
        </w:rPr>
        <w:t>Axl</w:t>
      </w:r>
      <w:proofErr w:type="spellEnd"/>
      <w:r w:rsidR="00330A02" w:rsidRPr="00892CA2">
        <w:rPr>
          <w:szCs w:val="24"/>
          <w:lang w:val="en-US"/>
        </w:rPr>
        <w:t xml:space="preserve">, Tie2/TEK, VEGFR2/KDR, </w:t>
      </w:r>
      <w:proofErr w:type="spellStart"/>
      <w:r w:rsidR="00330A02" w:rsidRPr="00892CA2">
        <w:rPr>
          <w:szCs w:val="24"/>
          <w:lang w:val="en-US"/>
        </w:rPr>
        <w:t>Akt</w:t>
      </w:r>
      <w:proofErr w:type="spellEnd"/>
      <w:r w:rsidR="00330A02" w:rsidRPr="00892CA2">
        <w:rPr>
          <w:szCs w:val="24"/>
          <w:lang w:val="en-US"/>
        </w:rPr>
        <w:t>/PKB/</w:t>
      </w:r>
      <w:proofErr w:type="spellStart"/>
      <w:r w:rsidR="00330A02" w:rsidRPr="00892CA2">
        <w:rPr>
          <w:szCs w:val="24"/>
          <w:lang w:val="en-US"/>
        </w:rPr>
        <w:t>Rac</w:t>
      </w:r>
      <w:proofErr w:type="spellEnd"/>
      <w:r w:rsidR="00330A02" w:rsidRPr="00892CA2">
        <w:rPr>
          <w:szCs w:val="24"/>
          <w:lang w:val="en-US"/>
        </w:rPr>
        <w:t xml:space="preserve"> (at Thr308), </w:t>
      </w:r>
      <w:proofErr w:type="spellStart"/>
      <w:r w:rsidR="00330A02" w:rsidRPr="00892CA2">
        <w:rPr>
          <w:szCs w:val="24"/>
          <w:lang w:val="en-US"/>
        </w:rPr>
        <w:t>Akt</w:t>
      </w:r>
      <w:proofErr w:type="spellEnd"/>
      <w:r w:rsidR="00330A02" w:rsidRPr="00892CA2">
        <w:rPr>
          <w:szCs w:val="24"/>
          <w:lang w:val="en-US"/>
        </w:rPr>
        <w:t>/PKB/</w:t>
      </w:r>
      <w:proofErr w:type="spellStart"/>
      <w:r w:rsidR="00330A02" w:rsidRPr="00892CA2">
        <w:rPr>
          <w:szCs w:val="24"/>
          <w:lang w:val="en-US"/>
        </w:rPr>
        <w:t>Rac</w:t>
      </w:r>
      <w:proofErr w:type="spellEnd"/>
      <w:r w:rsidR="00330A02" w:rsidRPr="00892CA2">
        <w:rPr>
          <w:szCs w:val="24"/>
          <w:lang w:val="en-US"/>
        </w:rPr>
        <w:t xml:space="preserve"> (at Ser473), p44/42 MAPK, S6 Ribosomal Protein, c-</w:t>
      </w:r>
      <w:proofErr w:type="spellStart"/>
      <w:r w:rsidR="00330A02" w:rsidRPr="00892CA2">
        <w:rPr>
          <w:szCs w:val="24"/>
          <w:lang w:val="en-US"/>
        </w:rPr>
        <w:t>Abl</w:t>
      </w:r>
      <w:proofErr w:type="spellEnd"/>
      <w:r w:rsidR="00330A02" w:rsidRPr="00892CA2">
        <w:rPr>
          <w:szCs w:val="24"/>
          <w:lang w:val="en-US"/>
        </w:rPr>
        <w:t xml:space="preserve">, IRS-1, Zap-70, </w:t>
      </w:r>
      <w:proofErr w:type="spellStart"/>
      <w:r w:rsidR="00330A02" w:rsidRPr="00892CA2">
        <w:rPr>
          <w:szCs w:val="24"/>
          <w:lang w:val="en-US"/>
        </w:rPr>
        <w:t>Src</w:t>
      </w:r>
      <w:proofErr w:type="spellEnd"/>
      <w:r w:rsidR="00330A02" w:rsidRPr="00892CA2">
        <w:rPr>
          <w:szCs w:val="24"/>
          <w:lang w:val="en-US"/>
        </w:rPr>
        <w:t xml:space="preserve">, </w:t>
      </w:r>
      <w:proofErr w:type="spellStart"/>
      <w:r w:rsidR="00330A02" w:rsidRPr="00892CA2">
        <w:rPr>
          <w:szCs w:val="24"/>
          <w:lang w:val="en-US"/>
        </w:rPr>
        <w:t>Lck</w:t>
      </w:r>
      <w:proofErr w:type="spellEnd"/>
      <w:r w:rsidR="00330A02" w:rsidRPr="00892CA2">
        <w:rPr>
          <w:szCs w:val="24"/>
          <w:lang w:val="en-US"/>
        </w:rPr>
        <w:t>, Stat1 and Stat3</w:t>
      </w:r>
      <w:r w:rsidR="0069183B" w:rsidRPr="00892CA2">
        <w:rPr>
          <w:szCs w:val="24"/>
          <w:lang w:val="en-US"/>
        </w:rPr>
        <w:t xml:space="preserve"> (</w:t>
      </w:r>
      <w:r w:rsidR="00FB6502" w:rsidRPr="00892CA2">
        <w:rPr>
          <w:szCs w:val="24"/>
          <w:lang w:val="en-US"/>
        </w:rPr>
        <w:t xml:space="preserve">Supplementary </w:t>
      </w:r>
      <w:r w:rsidR="00E425A0" w:rsidRPr="00892CA2">
        <w:rPr>
          <w:szCs w:val="24"/>
          <w:lang w:val="en-US"/>
        </w:rPr>
        <w:t>Table 4</w:t>
      </w:r>
      <w:r w:rsidR="0069183B" w:rsidRPr="00892CA2">
        <w:rPr>
          <w:szCs w:val="24"/>
          <w:lang w:val="en-US"/>
        </w:rPr>
        <w:t>)</w:t>
      </w:r>
      <w:r w:rsidR="00330A02" w:rsidRPr="00892CA2">
        <w:rPr>
          <w:szCs w:val="24"/>
          <w:lang w:val="en-US"/>
        </w:rPr>
        <w:t>.</w:t>
      </w:r>
      <w:r w:rsidR="005577F8" w:rsidRPr="00892CA2">
        <w:rPr>
          <w:rFonts w:cs="Arial"/>
          <w:szCs w:val="24"/>
          <w:lang w:val="en-US"/>
        </w:rPr>
        <w:t xml:space="preserve"> </w:t>
      </w:r>
      <w:r w:rsidR="00AD7A07" w:rsidRPr="00892CA2">
        <w:rPr>
          <w:rFonts w:cs="Arial"/>
          <w:szCs w:val="24"/>
          <w:lang w:val="en-US"/>
        </w:rPr>
        <w:t>A total of 113 µg of protein</w:t>
      </w:r>
      <w:r w:rsidR="004A61A7" w:rsidRPr="00892CA2">
        <w:rPr>
          <w:rFonts w:cs="Arial"/>
          <w:szCs w:val="24"/>
          <w:lang w:val="en-US"/>
        </w:rPr>
        <w:t xml:space="preserve"> from each whole cell lysate was probed on the array.</w:t>
      </w:r>
      <w:r w:rsidR="00DA525A" w:rsidRPr="00892CA2">
        <w:rPr>
          <w:rFonts w:cs="Arial"/>
          <w:szCs w:val="24"/>
          <w:lang w:val="en-US"/>
        </w:rPr>
        <w:t xml:space="preserve"> The chemiluminescent signals were detected on </w:t>
      </w:r>
      <w:proofErr w:type="spellStart"/>
      <w:r w:rsidR="00DA525A" w:rsidRPr="00892CA2">
        <w:rPr>
          <w:rFonts w:cs="Arial"/>
          <w:szCs w:val="24"/>
          <w:lang w:val="en-US"/>
        </w:rPr>
        <w:t>Amersham</w:t>
      </w:r>
      <w:proofErr w:type="spellEnd"/>
      <w:r w:rsidR="00DA525A" w:rsidRPr="00892CA2">
        <w:rPr>
          <w:rFonts w:cs="Arial"/>
          <w:szCs w:val="24"/>
          <w:lang w:val="en-US"/>
        </w:rPr>
        <w:t xml:space="preserve"> </w:t>
      </w:r>
      <w:proofErr w:type="spellStart"/>
      <w:r w:rsidR="00DA525A" w:rsidRPr="00892CA2">
        <w:rPr>
          <w:rFonts w:cs="Arial"/>
          <w:szCs w:val="24"/>
          <w:lang w:val="en-US"/>
        </w:rPr>
        <w:t>Hyperfilm</w:t>
      </w:r>
      <w:proofErr w:type="spellEnd"/>
      <w:r w:rsidR="00DA525A" w:rsidRPr="00892CA2">
        <w:rPr>
          <w:rFonts w:cs="Arial"/>
          <w:szCs w:val="24"/>
          <w:lang w:val="en-US"/>
        </w:rPr>
        <w:t xml:space="preserve"> ECL (GE Healthcare Life Sciences, Buckinghamshire, U</w:t>
      </w:r>
      <w:r w:rsidR="00A665D3" w:rsidRPr="00892CA2">
        <w:rPr>
          <w:rFonts w:cs="Arial"/>
          <w:szCs w:val="24"/>
          <w:lang w:val="en-US"/>
        </w:rPr>
        <w:t>nited Kingdom</w:t>
      </w:r>
      <w:r w:rsidR="00DA525A" w:rsidRPr="00892CA2">
        <w:rPr>
          <w:rFonts w:cs="Arial"/>
          <w:szCs w:val="24"/>
          <w:lang w:val="en-US"/>
        </w:rPr>
        <w:t xml:space="preserve">), </w:t>
      </w:r>
      <w:proofErr w:type="spellStart"/>
      <w:r w:rsidR="00DA525A" w:rsidRPr="00892CA2">
        <w:rPr>
          <w:rFonts w:cs="Arial"/>
          <w:szCs w:val="24"/>
          <w:lang w:val="en-US"/>
        </w:rPr>
        <w:t>digitised</w:t>
      </w:r>
      <w:proofErr w:type="spellEnd"/>
      <w:r w:rsidR="00DA525A" w:rsidRPr="00892CA2">
        <w:rPr>
          <w:rFonts w:cs="Arial"/>
          <w:szCs w:val="24"/>
          <w:lang w:val="en-US"/>
        </w:rPr>
        <w:t xml:space="preserve"> using a lightbox and camera (Nikon D70 digital camera with a Nikon 18</w:t>
      </w:r>
      <w:r w:rsidR="00E97C8C" w:rsidRPr="00892CA2">
        <w:rPr>
          <w:rFonts w:cs="Arial"/>
          <w:szCs w:val="24"/>
          <w:lang w:val="en-US"/>
        </w:rPr>
        <w:t>-</w:t>
      </w:r>
      <w:r w:rsidR="00DA525A" w:rsidRPr="00892CA2">
        <w:rPr>
          <w:rFonts w:cs="Arial"/>
          <w:szCs w:val="24"/>
          <w:lang w:val="en-US"/>
        </w:rPr>
        <w:t>70 mm 1:3.5</w:t>
      </w:r>
      <w:r w:rsidR="00E97C8C" w:rsidRPr="00892CA2">
        <w:rPr>
          <w:rFonts w:cs="Arial"/>
          <w:szCs w:val="24"/>
          <w:lang w:val="en-US"/>
        </w:rPr>
        <w:t>-</w:t>
      </w:r>
      <w:r w:rsidR="00DA525A" w:rsidRPr="00892CA2">
        <w:rPr>
          <w:rFonts w:cs="Arial"/>
          <w:szCs w:val="24"/>
          <w:lang w:val="en-US"/>
        </w:rPr>
        <w:t xml:space="preserve">4.5G DX lens, Nikon Corporation, Tokyo, Japan) and measured using </w:t>
      </w:r>
      <w:proofErr w:type="spellStart"/>
      <w:r w:rsidR="00DA525A" w:rsidRPr="00892CA2">
        <w:rPr>
          <w:szCs w:val="24"/>
          <w:lang w:val="en-US"/>
        </w:rPr>
        <w:t>ImageQuant</w:t>
      </w:r>
      <w:proofErr w:type="spellEnd"/>
      <w:r w:rsidR="00DA525A" w:rsidRPr="00892CA2">
        <w:rPr>
          <w:szCs w:val="24"/>
          <w:lang w:val="en-US"/>
        </w:rPr>
        <w:t xml:space="preserve"> TL 2005 (GE Healthcare Life Sciences, Pittsburg</w:t>
      </w:r>
      <w:r w:rsidR="00A665D3" w:rsidRPr="00892CA2">
        <w:rPr>
          <w:szCs w:val="24"/>
          <w:lang w:val="en-US"/>
        </w:rPr>
        <w:t xml:space="preserve">, </w:t>
      </w:r>
      <w:r w:rsidR="00DA525A" w:rsidRPr="00892CA2">
        <w:rPr>
          <w:szCs w:val="24"/>
          <w:lang w:val="en-US"/>
        </w:rPr>
        <w:t>PA</w:t>
      </w:r>
      <w:r w:rsidR="00A665D3" w:rsidRPr="00892CA2">
        <w:rPr>
          <w:szCs w:val="24"/>
          <w:lang w:val="en-US"/>
        </w:rPr>
        <w:t>, United States</w:t>
      </w:r>
      <w:r w:rsidR="00DA525A" w:rsidRPr="00892CA2">
        <w:rPr>
          <w:szCs w:val="24"/>
          <w:lang w:val="en-US"/>
        </w:rPr>
        <w:t xml:space="preserve">). The measurements were </w:t>
      </w:r>
      <w:proofErr w:type="spellStart"/>
      <w:r w:rsidR="00DA525A" w:rsidRPr="00892CA2">
        <w:rPr>
          <w:szCs w:val="24"/>
          <w:lang w:val="en-US"/>
        </w:rPr>
        <w:t>normalised</w:t>
      </w:r>
      <w:proofErr w:type="spellEnd"/>
      <w:r w:rsidR="00DA525A" w:rsidRPr="00892CA2">
        <w:rPr>
          <w:szCs w:val="24"/>
          <w:lang w:val="en-US"/>
        </w:rPr>
        <w:t xml:space="preserve"> to give pixel intensities ranging from zero to 100%. Prior experiments determined a positivity threshold of 20%.</w:t>
      </w:r>
    </w:p>
    <w:p w14:paraId="313F0AA8" w14:textId="77777777" w:rsidR="00A665D3" w:rsidRPr="00892CA2" w:rsidRDefault="00A665D3" w:rsidP="007E3B89">
      <w:pPr>
        <w:adjustRightInd w:val="0"/>
        <w:snapToGrid w:val="0"/>
        <w:spacing w:before="0" w:after="0"/>
        <w:jc w:val="both"/>
        <w:rPr>
          <w:szCs w:val="24"/>
          <w:lang w:val="en-US"/>
        </w:rPr>
      </w:pPr>
    </w:p>
    <w:p w14:paraId="5321911A" w14:textId="62E30196" w:rsidR="0033514E" w:rsidRPr="00892CA2" w:rsidRDefault="0033514E" w:rsidP="007E3B89">
      <w:pPr>
        <w:pStyle w:val="2"/>
        <w:adjustRightInd w:val="0"/>
        <w:snapToGrid w:val="0"/>
        <w:spacing w:before="0" w:after="0"/>
        <w:jc w:val="both"/>
        <w:rPr>
          <w:szCs w:val="24"/>
          <w:lang w:val="en-US"/>
        </w:rPr>
      </w:pPr>
      <w:r w:rsidRPr="00892CA2">
        <w:rPr>
          <w:szCs w:val="24"/>
          <w:lang w:val="en-US"/>
        </w:rPr>
        <w:t xml:space="preserve">Statistical </w:t>
      </w:r>
      <w:r w:rsidR="00A665D3" w:rsidRPr="00892CA2">
        <w:rPr>
          <w:szCs w:val="24"/>
          <w:lang w:val="en-US"/>
        </w:rPr>
        <w:t>analysis</w:t>
      </w:r>
    </w:p>
    <w:p w14:paraId="006765DF" w14:textId="4D6C7AC6" w:rsidR="00906CBD" w:rsidRPr="00892CA2" w:rsidRDefault="00AA2E06" w:rsidP="007E3B89">
      <w:pPr>
        <w:adjustRightInd w:val="0"/>
        <w:snapToGrid w:val="0"/>
        <w:spacing w:before="0" w:after="0"/>
        <w:jc w:val="both"/>
        <w:rPr>
          <w:szCs w:val="24"/>
          <w:lang w:val="en-US"/>
        </w:rPr>
      </w:pPr>
      <w:r w:rsidRPr="00892CA2">
        <w:rPr>
          <w:szCs w:val="24"/>
          <w:lang w:val="en-US"/>
        </w:rPr>
        <w:t>S</w:t>
      </w:r>
      <w:r w:rsidR="00906CBD" w:rsidRPr="00892CA2">
        <w:rPr>
          <w:szCs w:val="24"/>
          <w:lang w:val="en-US"/>
        </w:rPr>
        <w:t xml:space="preserve">ample size was </w:t>
      </w:r>
      <w:r w:rsidRPr="00892CA2">
        <w:rPr>
          <w:szCs w:val="24"/>
          <w:lang w:val="en-US"/>
        </w:rPr>
        <w:t>based on feasibility</w:t>
      </w:r>
      <w:r w:rsidR="00797585" w:rsidRPr="00892CA2">
        <w:rPr>
          <w:szCs w:val="24"/>
          <w:lang w:val="en-US"/>
        </w:rPr>
        <w:t xml:space="preserve"> (recruitment period)</w:t>
      </w:r>
      <w:r w:rsidRPr="00892CA2">
        <w:rPr>
          <w:szCs w:val="24"/>
          <w:lang w:val="en-US"/>
        </w:rPr>
        <w:t>. Further, there is little consensus on sample size estimations for assay</w:t>
      </w:r>
      <w:r w:rsidR="00566C72" w:rsidRPr="00892CA2">
        <w:rPr>
          <w:szCs w:val="24"/>
          <w:lang w:val="en-US"/>
        </w:rPr>
        <w:t>s</w:t>
      </w:r>
      <w:r w:rsidRPr="00892CA2">
        <w:rPr>
          <w:szCs w:val="24"/>
          <w:lang w:val="en-US"/>
        </w:rPr>
        <w:t xml:space="preserve"> used in </w:t>
      </w:r>
      <w:r w:rsidR="00906CBD" w:rsidRPr="00892CA2">
        <w:rPr>
          <w:szCs w:val="24"/>
          <w:lang w:val="en-US"/>
        </w:rPr>
        <w:t>this study</w:t>
      </w:r>
      <w:r w:rsidRPr="00892CA2">
        <w:rPr>
          <w:szCs w:val="24"/>
          <w:lang w:val="en-US"/>
        </w:rPr>
        <w:t xml:space="preserve"> and </w:t>
      </w:r>
      <w:r w:rsidR="00906CBD" w:rsidRPr="00892CA2">
        <w:rPr>
          <w:szCs w:val="24"/>
          <w:lang w:val="en-US"/>
        </w:rPr>
        <w:t>no prior relevant data</w:t>
      </w:r>
      <w:r w:rsidR="007808CF" w:rsidRPr="00892CA2">
        <w:rPr>
          <w:szCs w:val="24"/>
          <w:lang w:val="en-US"/>
        </w:rPr>
        <w:t xml:space="preserve"> upon</w:t>
      </w:r>
      <w:r w:rsidRPr="00892CA2">
        <w:rPr>
          <w:szCs w:val="24"/>
          <w:lang w:val="en-US"/>
        </w:rPr>
        <w:t xml:space="preserve"> which to base a calculation</w:t>
      </w:r>
      <w:r w:rsidR="00906CBD" w:rsidRPr="00892CA2">
        <w:rPr>
          <w:szCs w:val="24"/>
          <w:lang w:val="en-US"/>
        </w:rPr>
        <w:t>.</w:t>
      </w:r>
    </w:p>
    <w:p w14:paraId="2A64AD61" w14:textId="3054C126" w:rsidR="0033514E" w:rsidRPr="00892CA2" w:rsidRDefault="000F0BC0" w:rsidP="0017217F">
      <w:pPr>
        <w:adjustRightInd w:val="0"/>
        <w:snapToGrid w:val="0"/>
        <w:spacing w:before="0" w:after="0"/>
        <w:ind w:firstLineChars="100" w:firstLine="240"/>
        <w:jc w:val="both"/>
        <w:rPr>
          <w:szCs w:val="24"/>
          <w:lang w:val="en-US"/>
        </w:rPr>
      </w:pPr>
      <w:r w:rsidRPr="00892CA2">
        <w:rPr>
          <w:szCs w:val="24"/>
          <w:lang w:val="en-US"/>
        </w:rPr>
        <w:t>D</w:t>
      </w:r>
      <w:r w:rsidR="00313077" w:rsidRPr="00892CA2">
        <w:rPr>
          <w:szCs w:val="24"/>
          <w:lang w:val="en-US"/>
        </w:rPr>
        <w:t>ata</w:t>
      </w:r>
      <w:r w:rsidRPr="00892CA2">
        <w:rPr>
          <w:szCs w:val="24"/>
          <w:lang w:val="en-US"/>
        </w:rPr>
        <w:t xml:space="preserve"> were entered</w:t>
      </w:r>
      <w:r w:rsidR="00313077" w:rsidRPr="00892CA2">
        <w:rPr>
          <w:szCs w:val="24"/>
          <w:lang w:val="en-US"/>
        </w:rPr>
        <w:t xml:space="preserve"> </w:t>
      </w:r>
      <w:r w:rsidR="0033514E" w:rsidRPr="00892CA2">
        <w:rPr>
          <w:szCs w:val="24"/>
          <w:lang w:val="en-US"/>
        </w:rPr>
        <w:t>into a validated database using Access 2010 (</w:t>
      </w:r>
      <w:r w:rsidR="0033514E" w:rsidRPr="00892CA2">
        <w:rPr>
          <w:rFonts w:cs="Arial"/>
          <w:szCs w:val="24"/>
          <w:lang w:val="en-US"/>
        </w:rPr>
        <w:t>Microsoft, Redmond WA</w:t>
      </w:r>
      <w:r w:rsidR="00A665D3" w:rsidRPr="00892CA2">
        <w:rPr>
          <w:rFonts w:cs="Arial"/>
          <w:szCs w:val="24"/>
          <w:lang w:val="en-US"/>
        </w:rPr>
        <w:t>, United States</w:t>
      </w:r>
      <w:r w:rsidR="0033514E" w:rsidRPr="00892CA2">
        <w:rPr>
          <w:rFonts w:cs="Arial"/>
          <w:szCs w:val="24"/>
          <w:lang w:val="en-US"/>
        </w:rPr>
        <w:t>). Double-entering of a random 10% data sample estimated the error rate at 0.6%.</w:t>
      </w:r>
      <w:r w:rsidR="00313077" w:rsidRPr="00892CA2">
        <w:rPr>
          <w:szCs w:val="24"/>
          <w:lang w:val="en-US"/>
        </w:rPr>
        <w:t xml:space="preserve"> </w:t>
      </w:r>
      <w:r w:rsidR="00605F4D" w:rsidRPr="00892CA2">
        <w:rPr>
          <w:szCs w:val="24"/>
          <w:lang w:val="en-US"/>
        </w:rPr>
        <w:t>Proprietary</w:t>
      </w:r>
      <w:r w:rsidRPr="00892CA2">
        <w:rPr>
          <w:szCs w:val="24"/>
          <w:lang w:val="en-US"/>
        </w:rPr>
        <w:t xml:space="preserve"> software (</w:t>
      </w:r>
      <w:r w:rsidR="00313077" w:rsidRPr="00892CA2">
        <w:rPr>
          <w:szCs w:val="24"/>
          <w:lang w:val="en-US"/>
        </w:rPr>
        <w:t>SPSS Statistics version 22</w:t>
      </w:r>
      <w:r w:rsidRPr="00892CA2">
        <w:rPr>
          <w:szCs w:val="24"/>
          <w:lang w:val="en-US"/>
        </w:rPr>
        <w:t xml:space="preserve">, </w:t>
      </w:r>
      <w:r w:rsidR="00313077" w:rsidRPr="00892CA2">
        <w:rPr>
          <w:szCs w:val="24"/>
          <w:lang w:val="en-US"/>
        </w:rPr>
        <w:t>IBM, Armonk, NY</w:t>
      </w:r>
      <w:r w:rsidR="00A665D3" w:rsidRPr="00892CA2">
        <w:rPr>
          <w:szCs w:val="24"/>
          <w:lang w:val="en-US"/>
        </w:rPr>
        <w:t xml:space="preserve">, </w:t>
      </w:r>
      <w:bookmarkStart w:id="100" w:name="OLE_LINK725"/>
      <w:bookmarkStart w:id="101" w:name="OLE_LINK726"/>
      <w:r w:rsidR="00A665D3" w:rsidRPr="00892CA2">
        <w:rPr>
          <w:szCs w:val="24"/>
          <w:lang w:val="en-US"/>
        </w:rPr>
        <w:t>United States</w:t>
      </w:r>
      <w:bookmarkEnd w:id="100"/>
      <w:bookmarkEnd w:id="101"/>
      <w:r w:rsidR="00313077" w:rsidRPr="00892CA2">
        <w:rPr>
          <w:szCs w:val="24"/>
          <w:lang w:val="en-US"/>
        </w:rPr>
        <w:t xml:space="preserve">) </w:t>
      </w:r>
      <w:r w:rsidRPr="00892CA2">
        <w:rPr>
          <w:szCs w:val="24"/>
          <w:lang w:val="en-US"/>
        </w:rPr>
        <w:t xml:space="preserve">was used to </w:t>
      </w:r>
      <w:proofErr w:type="spellStart"/>
      <w:r w:rsidR="00313077" w:rsidRPr="00892CA2">
        <w:rPr>
          <w:szCs w:val="24"/>
          <w:lang w:val="en-US"/>
        </w:rPr>
        <w:t>analyse</w:t>
      </w:r>
      <w:proofErr w:type="spellEnd"/>
      <w:r w:rsidR="00313077" w:rsidRPr="00892CA2">
        <w:rPr>
          <w:szCs w:val="24"/>
          <w:lang w:val="en-US"/>
        </w:rPr>
        <w:t xml:space="preserve"> data, and </w:t>
      </w:r>
      <w:r w:rsidR="00313077" w:rsidRPr="00892CA2">
        <w:rPr>
          <w:rFonts w:cs="Arial"/>
          <w:szCs w:val="24"/>
          <w:lang w:val="en-US"/>
        </w:rPr>
        <w:t>Excel 2010 (Microsoft, Redmond, WA</w:t>
      </w:r>
      <w:r w:rsidR="00A665D3" w:rsidRPr="00892CA2">
        <w:rPr>
          <w:rFonts w:cs="Arial"/>
          <w:szCs w:val="24"/>
          <w:lang w:val="en-US"/>
        </w:rPr>
        <w:t xml:space="preserve">, </w:t>
      </w:r>
      <w:r w:rsidR="00A665D3" w:rsidRPr="00892CA2">
        <w:rPr>
          <w:szCs w:val="24"/>
          <w:lang w:val="en-US"/>
        </w:rPr>
        <w:t>United States</w:t>
      </w:r>
      <w:r w:rsidR="00313077" w:rsidRPr="00892CA2">
        <w:rPr>
          <w:rFonts w:cs="Arial"/>
          <w:szCs w:val="24"/>
          <w:lang w:val="en-US"/>
        </w:rPr>
        <w:t xml:space="preserve">) to produce the </w:t>
      </w:r>
      <w:r w:rsidR="00605F4D" w:rsidRPr="00892CA2">
        <w:rPr>
          <w:rFonts w:cs="Arial"/>
          <w:szCs w:val="24"/>
          <w:lang w:val="en-US"/>
        </w:rPr>
        <w:t>heat map</w:t>
      </w:r>
      <w:r w:rsidR="00313077" w:rsidRPr="00892CA2">
        <w:rPr>
          <w:rFonts w:cs="Arial"/>
          <w:szCs w:val="24"/>
          <w:lang w:val="en-US"/>
        </w:rPr>
        <w:t xml:space="preserve"> charts. </w:t>
      </w:r>
      <w:r w:rsidR="001A0A8E" w:rsidRPr="00892CA2">
        <w:rPr>
          <w:szCs w:val="24"/>
          <w:lang w:val="en-US"/>
        </w:rPr>
        <w:t>Parametric</w:t>
      </w:r>
      <w:r w:rsidR="00313077" w:rsidRPr="00892CA2">
        <w:rPr>
          <w:szCs w:val="24"/>
          <w:lang w:val="en-US"/>
        </w:rPr>
        <w:t xml:space="preserve"> and non-parametric methods were used for </w:t>
      </w:r>
      <w:r w:rsidR="001A0A8E" w:rsidRPr="00892CA2">
        <w:rPr>
          <w:szCs w:val="24"/>
          <w:lang w:val="en-US"/>
        </w:rPr>
        <w:t xml:space="preserve">normal and </w:t>
      </w:r>
      <w:r w:rsidR="00313077" w:rsidRPr="00892CA2">
        <w:rPr>
          <w:szCs w:val="24"/>
          <w:lang w:val="en-US"/>
        </w:rPr>
        <w:t>non-normal data</w:t>
      </w:r>
      <w:r w:rsidR="001A0A8E" w:rsidRPr="00892CA2">
        <w:rPr>
          <w:szCs w:val="24"/>
          <w:lang w:val="en-US"/>
        </w:rPr>
        <w:t xml:space="preserve"> respectively</w:t>
      </w:r>
      <w:r w:rsidR="00313077" w:rsidRPr="00892CA2">
        <w:rPr>
          <w:szCs w:val="24"/>
          <w:lang w:val="en-US"/>
        </w:rPr>
        <w:t xml:space="preserve">. We considered </w:t>
      </w:r>
      <w:r w:rsidR="00313077" w:rsidRPr="00892CA2">
        <w:rPr>
          <w:i/>
          <w:szCs w:val="24"/>
          <w:lang w:val="en-US"/>
        </w:rPr>
        <w:t xml:space="preserve">P </w:t>
      </w:r>
      <w:r w:rsidR="00051442" w:rsidRPr="00892CA2">
        <w:rPr>
          <w:szCs w:val="24"/>
          <w:lang w:val="en-US"/>
        </w:rPr>
        <w:t>&lt;</w:t>
      </w:r>
      <w:r w:rsidR="00313077" w:rsidRPr="00892CA2">
        <w:rPr>
          <w:szCs w:val="24"/>
          <w:lang w:val="en-US"/>
        </w:rPr>
        <w:t xml:space="preserve"> 0.05 to be statistically significant</w:t>
      </w:r>
      <w:r w:rsidR="00AA4FE9" w:rsidRPr="00892CA2">
        <w:rPr>
          <w:szCs w:val="24"/>
          <w:lang w:val="en-US"/>
        </w:rPr>
        <w:t>. When comparing the cytokine and phosphoprotein data where multiple comparisons were made,</w:t>
      </w:r>
      <w:r w:rsidR="00CF4A49" w:rsidRPr="00892CA2">
        <w:rPr>
          <w:szCs w:val="24"/>
          <w:lang w:val="en-US"/>
        </w:rPr>
        <w:t xml:space="preserve"> using</w:t>
      </w:r>
      <w:r w:rsidR="00313077" w:rsidRPr="00892CA2">
        <w:rPr>
          <w:szCs w:val="24"/>
          <w:lang w:val="en-US"/>
        </w:rPr>
        <w:t xml:space="preserve"> </w:t>
      </w:r>
      <w:r w:rsidR="00313077" w:rsidRPr="00892CA2">
        <w:rPr>
          <w:i/>
          <w:szCs w:val="24"/>
          <w:lang w:val="en-US"/>
        </w:rPr>
        <w:t>P</w:t>
      </w:r>
      <w:r w:rsidR="00F0221E" w:rsidRPr="00892CA2">
        <w:rPr>
          <w:szCs w:val="24"/>
          <w:lang w:val="en-US"/>
        </w:rPr>
        <w:t xml:space="preserve"> </w:t>
      </w:r>
      <w:r w:rsidR="00051442" w:rsidRPr="00892CA2">
        <w:rPr>
          <w:szCs w:val="24"/>
          <w:lang w:val="en-US"/>
        </w:rPr>
        <w:t>&lt;</w:t>
      </w:r>
      <w:r w:rsidR="00F0221E" w:rsidRPr="00892CA2">
        <w:rPr>
          <w:szCs w:val="24"/>
          <w:lang w:val="en-US"/>
        </w:rPr>
        <w:t xml:space="preserve"> </w:t>
      </w:r>
      <w:r w:rsidR="00313077" w:rsidRPr="00892CA2">
        <w:rPr>
          <w:szCs w:val="24"/>
          <w:lang w:val="en-US"/>
        </w:rPr>
        <w:t xml:space="preserve">0.01 </w:t>
      </w:r>
      <w:r w:rsidR="00CF4A49" w:rsidRPr="00892CA2">
        <w:rPr>
          <w:szCs w:val="24"/>
          <w:lang w:val="en-US"/>
        </w:rPr>
        <w:t>as</w:t>
      </w:r>
      <w:r w:rsidR="00AA4FE9" w:rsidRPr="00892CA2">
        <w:rPr>
          <w:szCs w:val="24"/>
          <w:lang w:val="en-US"/>
        </w:rPr>
        <w:t xml:space="preserve"> statistically significant</w:t>
      </w:r>
      <w:r w:rsidR="00CF4A49" w:rsidRPr="00892CA2">
        <w:rPr>
          <w:szCs w:val="24"/>
          <w:lang w:val="en-US"/>
        </w:rPr>
        <w:t xml:space="preserve"> was considered an appropriate correction</w:t>
      </w:r>
      <w:r w:rsidR="00910556" w:rsidRPr="00892CA2">
        <w:rPr>
          <w:szCs w:val="24"/>
          <w:lang w:val="en-US"/>
        </w:rPr>
        <w:t>.</w:t>
      </w:r>
      <w:r w:rsidR="00190A50" w:rsidRPr="00892CA2">
        <w:rPr>
          <w:szCs w:val="24"/>
          <w:lang w:val="en-US"/>
        </w:rPr>
        <w:t xml:space="preserve"> </w:t>
      </w:r>
      <w:r w:rsidR="00051442" w:rsidRPr="00892CA2">
        <w:rPr>
          <w:szCs w:val="24"/>
          <w:lang w:val="en-US"/>
        </w:rPr>
        <w:t xml:space="preserve">This study was reviewed by a biomedical statistician. </w:t>
      </w:r>
      <w:r w:rsidR="00190A50" w:rsidRPr="00892CA2">
        <w:rPr>
          <w:szCs w:val="24"/>
          <w:lang w:val="en-US"/>
        </w:rPr>
        <w:t xml:space="preserve">The STROBE guidelines were followed for </w:t>
      </w:r>
      <w:proofErr w:type="gramStart"/>
      <w:r w:rsidR="00190A50" w:rsidRPr="00892CA2">
        <w:rPr>
          <w:szCs w:val="24"/>
          <w:lang w:val="en-US"/>
        </w:rPr>
        <w:t>reporting</w:t>
      </w:r>
      <w:r w:rsidR="003D51A1" w:rsidRPr="00892CA2">
        <w:rPr>
          <w:szCs w:val="24"/>
          <w:vertAlign w:val="superscript"/>
          <w:lang w:val="en-US"/>
        </w:rPr>
        <w:t>[</w:t>
      </w:r>
      <w:proofErr w:type="gramEnd"/>
      <w:r w:rsidR="003D51A1" w:rsidRPr="00892CA2">
        <w:rPr>
          <w:szCs w:val="24"/>
          <w:vertAlign w:val="superscript"/>
          <w:lang w:val="en-US"/>
        </w:rPr>
        <w:t>18]</w:t>
      </w:r>
      <w:r w:rsidR="00A741B2" w:rsidRPr="00892CA2">
        <w:rPr>
          <w:szCs w:val="24"/>
          <w:lang w:val="en-US"/>
        </w:rPr>
        <w:t>.</w:t>
      </w:r>
    </w:p>
    <w:p w14:paraId="54E0DB90" w14:textId="77777777" w:rsidR="00A665D3" w:rsidRPr="00892CA2" w:rsidRDefault="00A665D3" w:rsidP="007E3B89">
      <w:pPr>
        <w:adjustRightInd w:val="0"/>
        <w:snapToGrid w:val="0"/>
        <w:spacing w:before="0" w:after="0"/>
        <w:jc w:val="both"/>
        <w:rPr>
          <w:szCs w:val="24"/>
          <w:lang w:val="en-US"/>
        </w:rPr>
      </w:pPr>
    </w:p>
    <w:p w14:paraId="5C5E6566" w14:textId="77777777" w:rsidR="002949BE" w:rsidRPr="00892CA2" w:rsidRDefault="002949BE" w:rsidP="007E3B89">
      <w:pPr>
        <w:pStyle w:val="1"/>
        <w:adjustRightInd w:val="0"/>
        <w:snapToGrid w:val="0"/>
        <w:spacing w:before="0"/>
        <w:jc w:val="both"/>
        <w:rPr>
          <w:szCs w:val="24"/>
          <w:lang w:val="en-US"/>
        </w:rPr>
      </w:pPr>
      <w:r w:rsidRPr="00892CA2">
        <w:rPr>
          <w:szCs w:val="24"/>
          <w:lang w:val="en-US"/>
        </w:rPr>
        <w:t>Results</w:t>
      </w:r>
    </w:p>
    <w:p w14:paraId="5C717DA3" w14:textId="68BB7E4A" w:rsidR="00AF0EB5" w:rsidRPr="00892CA2" w:rsidRDefault="00AF0EB5" w:rsidP="007E3B89">
      <w:pPr>
        <w:pStyle w:val="2"/>
        <w:adjustRightInd w:val="0"/>
        <w:snapToGrid w:val="0"/>
        <w:spacing w:before="0" w:after="0"/>
        <w:jc w:val="both"/>
        <w:rPr>
          <w:szCs w:val="24"/>
          <w:lang w:val="en-US"/>
        </w:rPr>
      </w:pPr>
      <w:r w:rsidRPr="00892CA2">
        <w:rPr>
          <w:szCs w:val="24"/>
          <w:lang w:val="en-US"/>
        </w:rPr>
        <w:t>Clini</w:t>
      </w:r>
      <w:r w:rsidR="00A665D3" w:rsidRPr="00892CA2">
        <w:rPr>
          <w:szCs w:val="24"/>
          <w:lang w:val="en-US"/>
        </w:rPr>
        <w:t>cal data</w:t>
      </w:r>
    </w:p>
    <w:p w14:paraId="3B7DCA6F" w14:textId="48C89AA5" w:rsidR="0011060B" w:rsidRPr="00892CA2" w:rsidRDefault="00DC46C6" w:rsidP="007E3B89">
      <w:pPr>
        <w:adjustRightInd w:val="0"/>
        <w:snapToGrid w:val="0"/>
        <w:spacing w:before="0" w:after="0"/>
        <w:jc w:val="both"/>
        <w:rPr>
          <w:szCs w:val="24"/>
          <w:lang w:val="en-US"/>
        </w:rPr>
      </w:pPr>
      <w:r w:rsidRPr="00892CA2">
        <w:rPr>
          <w:szCs w:val="24"/>
          <w:lang w:val="en-US"/>
        </w:rPr>
        <w:t>The PDAI</w:t>
      </w:r>
      <w:r w:rsidR="0011060B" w:rsidRPr="00892CA2">
        <w:rPr>
          <w:szCs w:val="24"/>
          <w:lang w:val="en-US"/>
        </w:rPr>
        <w:t xml:space="preserve"> was significantly higher </w:t>
      </w:r>
      <w:r w:rsidR="007B3C5E" w:rsidRPr="00892CA2">
        <w:rPr>
          <w:szCs w:val="24"/>
          <w:lang w:val="en-US"/>
        </w:rPr>
        <w:t>(</w:t>
      </w:r>
      <w:r w:rsidR="00A146D3" w:rsidRPr="00892CA2">
        <w:rPr>
          <w:szCs w:val="24"/>
          <w:lang w:val="en-US"/>
        </w:rPr>
        <w:t xml:space="preserve">indicating more active disease) </w:t>
      </w:r>
      <w:r w:rsidR="0011060B" w:rsidRPr="00892CA2">
        <w:rPr>
          <w:szCs w:val="24"/>
          <w:lang w:val="en-US"/>
        </w:rPr>
        <w:t xml:space="preserve">in the </w:t>
      </w:r>
      <w:r w:rsidR="0069097F" w:rsidRPr="00892CA2">
        <w:rPr>
          <w:szCs w:val="24"/>
          <w:lang w:val="en-US"/>
        </w:rPr>
        <w:t>CD</w:t>
      </w:r>
      <w:r w:rsidR="0011060B" w:rsidRPr="00892CA2">
        <w:rPr>
          <w:szCs w:val="24"/>
          <w:lang w:val="en-US"/>
        </w:rPr>
        <w:t xml:space="preserve"> </w:t>
      </w:r>
      <w:r w:rsidR="00605F4D" w:rsidRPr="00892CA2">
        <w:rPr>
          <w:szCs w:val="24"/>
          <w:lang w:val="en-US"/>
        </w:rPr>
        <w:t>group</w:t>
      </w:r>
      <w:r w:rsidR="0011060B" w:rsidRPr="00892CA2">
        <w:rPr>
          <w:szCs w:val="24"/>
          <w:lang w:val="en-US"/>
        </w:rPr>
        <w:t xml:space="preserve"> with a mean difference of 2.40 (</w:t>
      </w:r>
      <w:r w:rsidR="00E97C8C" w:rsidRPr="00892CA2">
        <w:rPr>
          <w:szCs w:val="24"/>
          <w:lang w:val="en-US"/>
        </w:rPr>
        <w:t>95%CI:</w:t>
      </w:r>
      <w:r w:rsidR="0011060B" w:rsidRPr="00892CA2">
        <w:rPr>
          <w:szCs w:val="24"/>
          <w:lang w:val="en-US"/>
        </w:rPr>
        <w:t xml:space="preserve"> 0.52</w:t>
      </w:r>
      <w:r w:rsidR="00E97C8C" w:rsidRPr="00892CA2">
        <w:rPr>
          <w:szCs w:val="24"/>
          <w:lang w:val="en-US"/>
        </w:rPr>
        <w:t>-</w:t>
      </w:r>
      <w:r w:rsidR="0011060B" w:rsidRPr="00892CA2">
        <w:rPr>
          <w:szCs w:val="24"/>
          <w:lang w:val="en-US"/>
        </w:rPr>
        <w:t xml:space="preserve">4.28, </w:t>
      </w:r>
      <w:r w:rsidR="000F4D89" w:rsidRPr="00892CA2">
        <w:rPr>
          <w:i/>
          <w:szCs w:val="24"/>
          <w:lang w:val="en-US"/>
        </w:rPr>
        <w:t>P</w:t>
      </w:r>
      <w:r w:rsidR="0011060B" w:rsidRPr="00892CA2">
        <w:rPr>
          <w:szCs w:val="24"/>
          <w:lang w:val="en-US"/>
        </w:rPr>
        <w:t xml:space="preserve"> = 0.01). </w:t>
      </w:r>
      <w:r w:rsidR="0011060B" w:rsidRPr="00892CA2">
        <w:rPr>
          <w:rFonts w:eastAsiaTheme="minorEastAsia"/>
          <w:szCs w:val="24"/>
          <w:lang w:val="en-US"/>
        </w:rPr>
        <w:t xml:space="preserve">The EQ </w:t>
      </w:r>
      <w:r w:rsidR="00117B9A" w:rsidRPr="00892CA2">
        <w:rPr>
          <w:rFonts w:eastAsiaTheme="minorEastAsia"/>
          <w:szCs w:val="24"/>
          <w:lang w:val="en-US"/>
        </w:rPr>
        <w:t>visual analogue score</w:t>
      </w:r>
      <w:r w:rsidR="00F40087" w:rsidRPr="00892CA2">
        <w:rPr>
          <w:rFonts w:eastAsiaTheme="minorEastAsia"/>
          <w:szCs w:val="24"/>
          <w:lang w:val="en-US"/>
        </w:rPr>
        <w:t>s</w:t>
      </w:r>
      <w:r w:rsidR="00117B9A" w:rsidRPr="00892CA2">
        <w:rPr>
          <w:rFonts w:eastAsiaTheme="minorEastAsia"/>
          <w:szCs w:val="24"/>
          <w:lang w:val="en-US"/>
        </w:rPr>
        <w:t xml:space="preserve"> (</w:t>
      </w:r>
      <w:r w:rsidR="0011060B" w:rsidRPr="00892CA2">
        <w:rPr>
          <w:rFonts w:eastAsiaTheme="minorEastAsia"/>
          <w:szCs w:val="24"/>
          <w:lang w:val="en-US"/>
        </w:rPr>
        <w:t>VAS</w:t>
      </w:r>
      <w:r w:rsidR="00117B9A" w:rsidRPr="00892CA2">
        <w:rPr>
          <w:rFonts w:eastAsiaTheme="minorEastAsia"/>
          <w:szCs w:val="24"/>
          <w:lang w:val="en-US"/>
        </w:rPr>
        <w:t>)</w:t>
      </w:r>
      <w:r w:rsidR="0011060B" w:rsidRPr="00892CA2">
        <w:rPr>
          <w:rFonts w:eastAsiaTheme="minorEastAsia"/>
          <w:szCs w:val="24"/>
          <w:lang w:val="en-US"/>
        </w:rPr>
        <w:t xml:space="preserve"> and </w:t>
      </w:r>
      <w:r w:rsidR="00117B9A" w:rsidRPr="00892CA2">
        <w:rPr>
          <w:rFonts w:eastAsiaTheme="minorEastAsia"/>
          <w:szCs w:val="24"/>
          <w:lang w:val="en-US"/>
        </w:rPr>
        <w:t>index value</w:t>
      </w:r>
      <w:r w:rsidR="00F40087" w:rsidRPr="00892CA2">
        <w:rPr>
          <w:rFonts w:eastAsiaTheme="minorEastAsia"/>
          <w:szCs w:val="24"/>
          <w:lang w:val="en-US"/>
        </w:rPr>
        <w:t>s</w:t>
      </w:r>
      <w:r w:rsidR="0011060B" w:rsidRPr="00892CA2">
        <w:rPr>
          <w:rFonts w:eastAsiaTheme="minorEastAsia"/>
          <w:szCs w:val="24"/>
          <w:lang w:val="en-US"/>
        </w:rPr>
        <w:t xml:space="preserve"> were similar between </w:t>
      </w:r>
      <w:r w:rsidR="005134CB" w:rsidRPr="00892CA2">
        <w:rPr>
          <w:rFonts w:eastAsiaTheme="minorEastAsia"/>
          <w:szCs w:val="24"/>
          <w:lang w:val="en-US"/>
        </w:rPr>
        <w:t xml:space="preserve">the </w:t>
      </w:r>
      <w:r w:rsidR="0011060B" w:rsidRPr="00892CA2">
        <w:rPr>
          <w:rFonts w:eastAsiaTheme="minorEastAsia"/>
          <w:szCs w:val="24"/>
          <w:lang w:val="en-US"/>
        </w:rPr>
        <w:t>groups</w:t>
      </w:r>
      <w:r w:rsidR="003F61CF" w:rsidRPr="00892CA2">
        <w:rPr>
          <w:rFonts w:eastAsiaTheme="minorEastAsia"/>
          <w:szCs w:val="24"/>
          <w:lang w:val="en-US"/>
        </w:rPr>
        <w:t xml:space="preserve">. </w:t>
      </w:r>
      <w:r w:rsidR="003F61CF" w:rsidRPr="00892CA2">
        <w:rPr>
          <w:szCs w:val="24"/>
          <w:lang w:val="en-US"/>
        </w:rPr>
        <w:t xml:space="preserve">Multiple fistulae were more prevalent in </w:t>
      </w:r>
      <w:r w:rsidR="0069097F" w:rsidRPr="00892CA2">
        <w:rPr>
          <w:szCs w:val="24"/>
          <w:lang w:val="en-US"/>
        </w:rPr>
        <w:t>CD</w:t>
      </w:r>
      <w:r w:rsidR="003F61CF" w:rsidRPr="00892CA2">
        <w:rPr>
          <w:szCs w:val="24"/>
          <w:lang w:val="en-US"/>
        </w:rPr>
        <w:t xml:space="preserve"> </w:t>
      </w:r>
      <w:r w:rsidR="00AF353B" w:rsidRPr="00892CA2">
        <w:rPr>
          <w:szCs w:val="24"/>
          <w:lang w:val="en-US"/>
        </w:rPr>
        <w:t>patients</w:t>
      </w:r>
      <w:r w:rsidR="003F61CF" w:rsidRPr="00892CA2">
        <w:rPr>
          <w:szCs w:val="24"/>
          <w:lang w:val="en-US"/>
        </w:rPr>
        <w:t xml:space="preserve"> (23% </w:t>
      </w:r>
      <w:r w:rsidR="002C3D42" w:rsidRPr="00892CA2">
        <w:rPr>
          <w:i/>
          <w:szCs w:val="24"/>
          <w:lang w:val="en-US"/>
        </w:rPr>
        <w:t>vs</w:t>
      </w:r>
      <w:r w:rsidR="003F61CF" w:rsidRPr="00892CA2">
        <w:rPr>
          <w:i/>
          <w:szCs w:val="24"/>
          <w:lang w:val="en-US"/>
        </w:rPr>
        <w:t xml:space="preserve"> </w:t>
      </w:r>
      <w:r w:rsidR="003F61CF" w:rsidRPr="00892CA2">
        <w:rPr>
          <w:szCs w:val="24"/>
          <w:lang w:val="en-US"/>
        </w:rPr>
        <w:t>4%). The distribution of the different types of fistulae under the Parks’ classification was the same between the groups, with trans-sphincteric being by far the commonest. Prevalence of a high primary tract and horseshoe extensions were similar</w:t>
      </w:r>
      <w:r w:rsidR="00D34361" w:rsidRPr="00892CA2">
        <w:rPr>
          <w:szCs w:val="24"/>
          <w:lang w:val="en-US"/>
        </w:rPr>
        <w:t xml:space="preserve"> between groups</w:t>
      </w:r>
      <w:r w:rsidR="003F61CF" w:rsidRPr="00892CA2">
        <w:rPr>
          <w:szCs w:val="24"/>
          <w:lang w:val="en-US"/>
        </w:rPr>
        <w:t xml:space="preserve">. However, </w:t>
      </w:r>
      <w:proofErr w:type="spellStart"/>
      <w:r w:rsidR="003F61CF" w:rsidRPr="00892CA2">
        <w:rPr>
          <w:szCs w:val="24"/>
          <w:lang w:val="en-US"/>
        </w:rPr>
        <w:t>supralevator</w:t>
      </w:r>
      <w:proofErr w:type="spellEnd"/>
      <w:r w:rsidR="003F61CF" w:rsidRPr="00892CA2">
        <w:rPr>
          <w:szCs w:val="24"/>
          <w:lang w:val="en-US"/>
        </w:rPr>
        <w:t xml:space="preserve"> extensions </w:t>
      </w:r>
      <w:r w:rsidR="00146CC4" w:rsidRPr="00892CA2">
        <w:rPr>
          <w:szCs w:val="24"/>
          <w:lang w:val="en-US"/>
        </w:rPr>
        <w:t xml:space="preserve">and collections </w:t>
      </w:r>
      <w:r w:rsidR="003F61CF" w:rsidRPr="00892CA2">
        <w:rPr>
          <w:szCs w:val="24"/>
          <w:lang w:val="en-US"/>
        </w:rPr>
        <w:t>were common</w:t>
      </w:r>
      <w:r w:rsidR="00146CC4" w:rsidRPr="00892CA2">
        <w:rPr>
          <w:szCs w:val="24"/>
          <w:lang w:val="en-US"/>
        </w:rPr>
        <w:t>er</w:t>
      </w:r>
      <w:r w:rsidR="003F61CF" w:rsidRPr="00892CA2">
        <w:rPr>
          <w:szCs w:val="24"/>
          <w:lang w:val="en-US"/>
        </w:rPr>
        <w:t xml:space="preserve"> in </w:t>
      </w:r>
      <w:r w:rsidR="00146CC4" w:rsidRPr="00892CA2">
        <w:rPr>
          <w:szCs w:val="24"/>
          <w:lang w:val="en-US"/>
        </w:rPr>
        <w:t xml:space="preserve">the </w:t>
      </w:r>
      <w:r w:rsidR="0069097F" w:rsidRPr="00892CA2">
        <w:rPr>
          <w:szCs w:val="24"/>
          <w:lang w:val="en-US"/>
        </w:rPr>
        <w:t>CD</w:t>
      </w:r>
      <w:r w:rsidR="003F61CF" w:rsidRPr="00892CA2">
        <w:rPr>
          <w:szCs w:val="24"/>
          <w:lang w:val="en-US"/>
        </w:rPr>
        <w:t xml:space="preserve"> group (</w:t>
      </w:r>
      <w:r w:rsidR="00751A6E" w:rsidRPr="00892CA2">
        <w:rPr>
          <w:szCs w:val="24"/>
          <w:lang w:val="en-US"/>
        </w:rPr>
        <w:t xml:space="preserve">31% </w:t>
      </w:r>
      <w:r w:rsidR="002C3D42" w:rsidRPr="00892CA2">
        <w:rPr>
          <w:i/>
          <w:szCs w:val="24"/>
          <w:lang w:val="en-US"/>
        </w:rPr>
        <w:t>vs</w:t>
      </w:r>
      <w:r w:rsidR="00751A6E" w:rsidRPr="00892CA2">
        <w:rPr>
          <w:szCs w:val="24"/>
          <w:lang w:val="en-US"/>
        </w:rPr>
        <w:t xml:space="preserve"> 6% and 92% </w:t>
      </w:r>
      <w:r w:rsidR="002C3D42" w:rsidRPr="00892CA2">
        <w:rPr>
          <w:i/>
          <w:szCs w:val="24"/>
          <w:lang w:val="en-US"/>
        </w:rPr>
        <w:t>vs</w:t>
      </w:r>
      <w:r w:rsidR="00751A6E" w:rsidRPr="00892CA2">
        <w:rPr>
          <w:szCs w:val="24"/>
          <w:lang w:val="en-US"/>
        </w:rPr>
        <w:t xml:space="preserve"> 33% respectively</w:t>
      </w:r>
      <w:r w:rsidR="003F61CF" w:rsidRPr="00892CA2">
        <w:rPr>
          <w:szCs w:val="24"/>
          <w:lang w:val="en-US"/>
        </w:rPr>
        <w:t>). Rectal thickening</w:t>
      </w:r>
      <w:r w:rsidR="00D34361" w:rsidRPr="00892CA2">
        <w:rPr>
          <w:szCs w:val="24"/>
          <w:lang w:val="en-US"/>
        </w:rPr>
        <w:t>, reflecting proctitis,</w:t>
      </w:r>
      <w:r w:rsidR="003F61CF" w:rsidRPr="00892CA2">
        <w:rPr>
          <w:szCs w:val="24"/>
          <w:lang w:val="en-US"/>
        </w:rPr>
        <w:t xml:space="preserve"> was </w:t>
      </w:r>
      <w:r w:rsidR="00D34361" w:rsidRPr="00892CA2">
        <w:rPr>
          <w:szCs w:val="24"/>
          <w:lang w:val="en-US"/>
        </w:rPr>
        <w:t>almost exclusively observed in the</w:t>
      </w:r>
      <w:r w:rsidR="003F61CF" w:rsidRPr="00892CA2">
        <w:rPr>
          <w:szCs w:val="24"/>
          <w:lang w:val="en-US"/>
        </w:rPr>
        <w:t xml:space="preserve"> </w:t>
      </w:r>
      <w:r w:rsidR="0069097F" w:rsidRPr="00892CA2">
        <w:rPr>
          <w:szCs w:val="24"/>
          <w:lang w:val="en-US"/>
        </w:rPr>
        <w:t>CD</w:t>
      </w:r>
      <w:r w:rsidR="003F61CF" w:rsidRPr="00892CA2">
        <w:rPr>
          <w:szCs w:val="24"/>
          <w:lang w:val="en-US"/>
        </w:rPr>
        <w:t xml:space="preserve"> group (</w:t>
      </w:r>
      <w:r w:rsidR="00FB6502" w:rsidRPr="00892CA2">
        <w:rPr>
          <w:szCs w:val="24"/>
          <w:lang w:val="en-US"/>
        </w:rPr>
        <w:t>Table 1</w:t>
      </w:r>
      <w:r w:rsidR="00580B18" w:rsidRPr="00892CA2">
        <w:rPr>
          <w:szCs w:val="24"/>
          <w:lang w:val="en-US"/>
        </w:rPr>
        <w:t>).</w:t>
      </w:r>
    </w:p>
    <w:p w14:paraId="483999F1" w14:textId="77777777" w:rsidR="00327EC7" w:rsidRPr="00892CA2" w:rsidRDefault="00327EC7" w:rsidP="007E3B89">
      <w:pPr>
        <w:adjustRightInd w:val="0"/>
        <w:snapToGrid w:val="0"/>
        <w:spacing w:before="0" w:after="0"/>
        <w:jc w:val="both"/>
        <w:rPr>
          <w:szCs w:val="24"/>
          <w:lang w:val="en-US"/>
        </w:rPr>
      </w:pPr>
    </w:p>
    <w:p w14:paraId="2113F89F" w14:textId="3FD6E67A" w:rsidR="00AF0EB5" w:rsidRPr="00892CA2" w:rsidRDefault="00AF0EB5" w:rsidP="007E3B89">
      <w:pPr>
        <w:pStyle w:val="2"/>
        <w:adjustRightInd w:val="0"/>
        <w:snapToGrid w:val="0"/>
        <w:spacing w:before="0" w:after="0"/>
        <w:jc w:val="both"/>
        <w:rPr>
          <w:szCs w:val="24"/>
          <w:lang w:val="en-US"/>
        </w:rPr>
      </w:pPr>
      <w:r w:rsidRPr="00892CA2">
        <w:rPr>
          <w:szCs w:val="24"/>
          <w:lang w:val="en-US"/>
        </w:rPr>
        <w:t>Cytokin</w:t>
      </w:r>
      <w:r w:rsidR="00327EC7" w:rsidRPr="00892CA2">
        <w:rPr>
          <w:szCs w:val="24"/>
          <w:lang w:val="en-US"/>
        </w:rPr>
        <w:t>e profiles</w:t>
      </w:r>
    </w:p>
    <w:p w14:paraId="6F66C517" w14:textId="55D4E6EB" w:rsidR="00192234" w:rsidRPr="00892CA2" w:rsidRDefault="00192234" w:rsidP="007E3B89">
      <w:pPr>
        <w:adjustRightInd w:val="0"/>
        <w:snapToGrid w:val="0"/>
        <w:spacing w:before="0" w:after="0"/>
        <w:jc w:val="both"/>
        <w:rPr>
          <w:szCs w:val="24"/>
          <w:lang w:val="en-US"/>
        </w:rPr>
      </w:pPr>
      <w:r w:rsidRPr="00892CA2">
        <w:rPr>
          <w:szCs w:val="24"/>
          <w:lang w:val="en-US"/>
        </w:rPr>
        <w:t>All four specimen</w:t>
      </w:r>
      <w:r w:rsidR="000F0BC0" w:rsidRPr="00892CA2">
        <w:rPr>
          <w:szCs w:val="24"/>
          <w:lang w:val="en-US"/>
        </w:rPr>
        <w:t xml:space="preserve"> </w:t>
      </w:r>
      <w:r w:rsidR="00EA6382" w:rsidRPr="00892CA2">
        <w:rPr>
          <w:szCs w:val="24"/>
          <w:lang w:val="en-US"/>
        </w:rPr>
        <w:t>sites</w:t>
      </w:r>
      <w:r w:rsidRPr="00892CA2">
        <w:rPr>
          <w:szCs w:val="24"/>
          <w:lang w:val="en-US"/>
        </w:rPr>
        <w:t xml:space="preserve"> yielded </w:t>
      </w:r>
      <w:r w:rsidR="005134CB" w:rsidRPr="00892CA2">
        <w:rPr>
          <w:szCs w:val="24"/>
          <w:lang w:val="en-US"/>
        </w:rPr>
        <w:t>substantial</w:t>
      </w:r>
      <w:r w:rsidRPr="00892CA2">
        <w:rPr>
          <w:szCs w:val="24"/>
          <w:lang w:val="en-US"/>
        </w:rPr>
        <w:t xml:space="preserve"> levels of IL-1RA</w:t>
      </w:r>
      <w:r w:rsidR="005134CB" w:rsidRPr="00892CA2">
        <w:rPr>
          <w:szCs w:val="24"/>
          <w:lang w:val="en-US"/>
        </w:rPr>
        <w:t xml:space="preserve">, IL-6, MCP-1, RANTES, VEGF, </w:t>
      </w:r>
      <w:r w:rsidRPr="00892CA2">
        <w:rPr>
          <w:szCs w:val="24"/>
          <w:lang w:val="en-US"/>
        </w:rPr>
        <w:t xml:space="preserve">G-CSF and IL-8. </w:t>
      </w:r>
      <w:r w:rsidR="001A0A8E" w:rsidRPr="00892CA2">
        <w:rPr>
          <w:szCs w:val="24"/>
          <w:lang w:val="en-US"/>
        </w:rPr>
        <w:t>GM-CSF, IFN-</w:t>
      </w:r>
      <w:r w:rsidR="001A0A8E" w:rsidRPr="00892CA2">
        <w:rPr>
          <w:szCs w:val="24"/>
          <w:lang w:val="en-US"/>
        </w:rPr>
        <w:sym w:font="Symbol" w:char="F061"/>
      </w:r>
      <w:r w:rsidR="001A0A8E" w:rsidRPr="00892CA2">
        <w:rPr>
          <w:szCs w:val="24"/>
          <w:lang w:val="en-US"/>
        </w:rPr>
        <w:t>2, IP-10, MIP-1</w:t>
      </w:r>
      <w:r w:rsidR="001A0A8E" w:rsidRPr="00892CA2">
        <w:rPr>
          <w:szCs w:val="24"/>
          <w:lang w:val="en-US"/>
        </w:rPr>
        <w:sym w:font="Symbol" w:char="F061"/>
      </w:r>
      <w:r w:rsidR="001A0A8E" w:rsidRPr="00892CA2">
        <w:rPr>
          <w:szCs w:val="24"/>
          <w:lang w:val="en-US"/>
        </w:rPr>
        <w:t xml:space="preserve"> and MIP-1</w:t>
      </w:r>
      <w:r w:rsidR="001A0A8E" w:rsidRPr="00892CA2">
        <w:rPr>
          <w:szCs w:val="24"/>
          <w:lang w:val="en-US"/>
        </w:rPr>
        <w:sym w:font="Symbol" w:char="F062"/>
      </w:r>
      <w:r w:rsidR="001A0A8E" w:rsidRPr="00892CA2">
        <w:rPr>
          <w:szCs w:val="24"/>
          <w:lang w:val="en-US"/>
        </w:rPr>
        <w:t xml:space="preserve"> </w:t>
      </w:r>
      <w:r w:rsidRPr="00892CA2">
        <w:rPr>
          <w:szCs w:val="24"/>
          <w:lang w:val="en-US"/>
        </w:rPr>
        <w:t xml:space="preserve">were also moderately abundant in the granulation tissue, internal opening and rectal mucosa. </w:t>
      </w:r>
      <w:r w:rsidR="001A0A8E" w:rsidRPr="00892CA2">
        <w:rPr>
          <w:szCs w:val="24"/>
          <w:lang w:val="en-US"/>
        </w:rPr>
        <w:t>G</w:t>
      </w:r>
      <w:r w:rsidRPr="00892CA2">
        <w:rPr>
          <w:szCs w:val="24"/>
          <w:lang w:val="en-US"/>
        </w:rPr>
        <w:t>ranulation tissue, compared to the other specimen sites, yielded higher concentration</w:t>
      </w:r>
      <w:r w:rsidR="00E73E5E" w:rsidRPr="00892CA2">
        <w:rPr>
          <w:szCs w:val="24"/>
          <w:lang w:val="en-US"/>
        </w:rPr>
        <w:t>s</w:t>
      </w:r>
      <w:r w:rsidRPr="00892CA2">
        <w:rPr>
          <w:szCs w:val="24"/>
          <w:lang w:val="en-US"/>
        </w:rPr>
        <w:t xml:space="preserve"> of G-CSF, IL-10, IL-1RA, and IL-1</w:t>
      </w:r>
      <w:r w:rsidRPr="00892CA2">
        <w:rPr>
          <w:szCs w:val="24"/>
          <w:lang w:val="en-US"/>
        </w:rPr>
        <w:sym w:font="Symbol" w:char="F062"/>
      </w:r>
      <w:r w:rsidR="00C94948" w:rsidRPr="00892CA2">
        <w:rPr>
          <w:szCs w:val="24"/>
          <w:lang w:val="en-US"/>
        </w:rPr>
        <w:t xml:space="preserve"> (</w:t>
      </w:r>
      <w:r w:rsidR="00FB6502" w:rsidRPr="00892CA2">
        <w:rPr>
          <w:szCs w:val="24"/>
          <w:lang w:val="en-US"/>
        </w:rPr>
        <w:t>Figure 1</w:t>
      </w:r>
      <w:r w:rsidR="00C94948" w:rsidRPr="00892CA2">
        <w:rPr>
          <w:szCs w:val="24"/>
          <w:lang w:val="en-US"/>
        </w:rPr>
        <w:t>).</w:t>
      </w:r>
    </w:p>
    <w:p w14:paraId="2B77B05C" w14:textId="36670385" w:rsidR="00C94948" w:rsidRPr="00892CA2" w:rsidRDefault="001A0A8E" w:rsidP="00650E61">
      <w:pPr>
        <w:adjustRightInd w:val="0"/>
        <w:snapToGrid w:val="0"/>
        <w:spacing w:before="0" w:after="0"/>
        <w:ind w:firstLineChars="100" w:firstLine="240"/>
        <w:jc w:val="both"/>
        <w:rPr>
          <w:szCs w:val="24"/>
          <w:lang w:val="en-US"/>
        </w:rPr>
      </w:pPr>
      <w:r w:rsidRPr="00892CA2">
        <w:rPr>
          <w:szCs w:val="24"/>
          <w:lang w:val="en-US"/>
        </w:rPr>
        <w:t xml:space="preserve">Only two cytokines demonstrated </w:t>
      </w:r>
      <w:r w:rsidR="00192234" w:rsidRPr="00892CA2">
        <w:rPr>
          <w:szCs w:val="24"/>
          <w:lang w:val="en-US"/>
        </w:rPr>
        <w:t xml:space="preserve">significant differences </w:t>
      </w:r>
      <w:r w:rsidR="005E0EA6" w:rsidRPr="00892CA2">
        <w:rPr>
          <w:szCs w:val="24"/>
          <w:lang w:val="en-US"/>
        </w:rPr>
        <w:t xml:space="preserve">between </w:t>
      </w:r>
      <w:r w:rsidR="004443A1" w:rsidRPr="00892CA2">
        <w:rPr>
          <w:szCs w:val="24"/>
          <w:lang w:val="en-US"/>
        </w:rPr>
        <w:t xml:space="preserve">the </w:t>
      </w:r>
      <w:r w:rsidR="005134CB" w:rsidRPr="00892CA2">
        <w:rPr>
          <w:szCs w:val="24"/>
          <w:lang w:val="en-US"/>
        </w:rPr>
        <w:t xml:space="preserve">idiopathic and CD </w:t>
      </w:r>
      <w:r w:rsidR="005E0EA6" w:rsidRPr="00892CA2">
        <w:rPr>
          <w:szCs w:val="24"/>
          <w:lang w:val="en-US"/>
        </w:rPr>
        <w:t>groups</w:t>
      </w:r>
      <w:r w:rsidR="00192234" w:rsidRPr="00892CA2">
        <w:rPr>
          <w:szCs w:val="24"/>
          <w:lang w:val="en-US"/>
        </w:rPr>
        <w:t xml:space="preserve">. IL-12p70 concentration at the internal opening was higher in </w:t>
      </w:r>
      <w:r w:rsidR="0029415A" w:rsidRPr="00892CA2">
        <w:rPr>
          <w:szCs w:val="24"/>
          <w:lang w:val="en-US"/>
        </w:rPr>
        <w:t xml:space="preserve">patients with </w:t>
      </w:r>
      <w:r w:rsidR="0069097F" w:rsidRPr="00892CA2">
        <w:rPr>
          <w:szCs w:val="24"/>
          <w:lang w:val="en-US"/>
        </w:rPr>
        <w:t>CD</w:t>
      </w:r>
      <w:r w:rsidR="00192234" w:rsidRPr="00892CA2">
        <w:rPr>
          <w:szCs w:val="24"/>
          <w:lang w:val="en-US"/>
        </w:rPr>
        <w:t xml:space="preserve"> </w:t>
      </w:r>
      <w:r w:rsidR="00CD5119" w:rsidRPr="00892CA2">
        <w:rPr>
          <w:szCs w:val="24"/>
          <w:lang w:val="en-US"/>
        </w:rPr>
        <w:t xml:space="preserve">(28.3 </w:t>
      </w:r>
      <w:proofErr w:type="spellStart"/>
      <w:r w:rsidR="00CD5119" w:rsidRPr="00892CA2">
        <w:rPr>
          <w:szCs w:val="24"/>
          <w:lang w:val="en-US"/>
        </w:rPr>
        <w:t>pg</w:t>
      </w:r>
      <w:proofErr w:type="spellEnd"/>
      <w:r w:rsidR="00CD5119" w:rsidRPr="00892CA2">
        <w:rPr>
          <w:szCs w:val="24"/>
          <w:lang w:val="en-US"/>
        </w:rPr>
        <w:t>/m</w:t>
      </w:r>
      <w:r w:rsidR="00327EC7" w:rsidRPr="00892CA2">
        <w:rPr>
          <w:szCs w:val="24"/>
          <w:lang w:val="en-US"/>
        </w:rPr>
        <w:t>L</w:t>
      </w:r>
      <w:r w:rsidR="00CD5119" w:rsidRPr="00892CA2">
        <w:rPr>
          <w:szCs w:val="24"/>
          <w:lang w:val="en-US"/>
        </w:rPr>
        <w:t>, IQR = 7.4</w:t>
      </w:r>
      <w:r w:rsidR="00E97C8C" w:rsidRPr="00892CA2">
        <w:rPr>
          <w:szCs w:val="24"/>
          <w:lang w:val="en-US"/>
        </w:rPr>
        <w:t>-</w:t>
      </w:r>
      <w:r w:rsidR="00CD5119" w:rsidRPr="00892CA2">
        <w:rPr>
          <w:szCs w:val="24"/>
          <w:lang w:val="en-US"/>
        </w:rPr>
        <w:t>50.1</w:t>
      </w:r>
      <w:r w:rsidRPr="00892CA2">
        <w:rPr>
          <w:szCs w:val="24"/>
          <w:lang w:val="en-US"/>
        </w:rPr>
        <w:t xml:space="preserve"> </w:t>
      </w:r>
      <w:r w:rsidR="002C3D42" w:rsidRPr="00892CA2">
        <w:rPr>
          <w:i/>
          <w:szCs w:val="24"/>
          <w:lang w:val="en-US"/>
        </w:rPr>
        <w:t>vs</w:t>
      </w:r>
      <w:r w:rsidRPr="00892CA2">
        <w:rPr>
          <w:szCs w:val="24"/>
          <w:lang w:val="en-US"/>
        </w:rPr>
        <w:t xml:space="preserve"> idiopathic </w:t>
      </w:r>
      <w:r w:rsidR="00CD5119" w:rsidRPr="00892CA2">
        <w:rPr>
          <w:szCs w:val="24"/>
          <w:lang w:val="en-US"/>
        </w:rPr>
        <w:t xml:space="preserve">7.4 </w:t>
      </w:r>
      <w:proofErr w:type="spellStart"/>
      <w:r w:rsidR="00CD5119" w:rsidRPr="00892CA2">
        <w:rPr>
          <w:szCs w:val="24"/>
          <w:lang w:val="en-US"/>
        </w:rPr>
        <w:t>pg</w:t>
      </w:r>
      <w:proofErr w:type="spellEnd"/>
      <w:r w:rsidR="00CD5119" w:rsidRPr="00892CA2">
        <w:rPr>
          <w:szCs w:val="24"/>
          <w:lang w:val="en-US"/>
        </w:rPr>
        <w:t>/m</w:t>
      </w:r>
      <w:r w:rsidR="00327EC7" w:rsidRPr="00892CA2">
        <w:rPr>
          <w:szCs w:val="24"/>
          <w:lang w:val="en-US"/>
        </w:rPr>
        <w:t>L</w:t>
      </w:r>
      <w:r w:rsidR="00CD5119" w:rsidRPr="00892CA2">
        <w:rPr>
          <w:szCs w:val="24"/>
          <w:lang w:val="en-US"/>
        </w:rPr>
        <w:t>, 4.6</w:t>
      </w:r>
      <w:r w:rsidR="00E97C8C" w:rsidRPr="00892CA2">
        <w:rPr>
          <w:szCs w:val="24"/>
          <w:lang w:val="en-US"/>
        </w:rPr>
        <w:t>-</w:t>
      </w:r>
      <w:r w:rsidR="00CD5119" w:rsidRPr="00892CA2">
        <w:rPr>
          <w:szCs w:val="24"/>
          <w:lang w:val="en-US"/>
        </w:rPr>
        <w:t>12.7). The median difference was</w:t>
      </w:r>
      <w:r w:rsidR="0029415A" w:rsidRPr="00892CA2">
        <w:rPr>
          <w:szCs w:val="24"/>
          <w:lang w:val="en-US"/>
        </w:rPr>
        <w:t xml:space="preserve"> 19.7 </w:t>
      </w:r>
      <w:proofErr w:type="spellStart"/>
      <w:r w:rsidR="0029415A" w:rsidRPr="00892CA2">
        <w:rPr>
          <w:szCs w:val="24"/>
          <w:lang w:val="en-US"/>
        </w:rPr>
        <w:t>pg</w:t>
      </w:r>
      <w:proofErr w:type="spellEnd"/>
      <w:r w:rsidR="0029415A" w:rsidRPr="00892CA2">
        <w:rPr>
          <w:szCs w:val="24"/>
          <w:lang w:val="en-US"/>
        </w:rPr>
        <w:t>/m</w:t>
      </w:r>
      <w:r w:rsidR="00327EC7" w:rsidRPr="00892CA2">
        <w:rPr>
          <w:szCs w:val="24"/>
          <w:lang w:val="en-US"/>
        </w:rPr>
        <w:t>L</w:t>
      </w:r>
      <w:r w:rsidR="0029415A" w:rsidRPr="00892CA2">
        <w:rPr>
          <w:szCs w:val="24"/>
          <w:lang w:val="en-US"/>
        </w:rPr>
        <w:t xml:space="preserve"> </w:t>
      </w:r>
      <w:r w:rsidR="00CD5119" w:rsidRPr="00892CA2">
        <w:rPr>
          <w:szCs w:val="24"/>
          <w:lang w:val="en-US"/>
        </w:rPr>
        <w:t>(</w:t>
      </w:r>
      <w:r w:rsidR="0029415A" w:rsidRPr="00892CA2">
        <w:rPr>
          <w:szCs w:val="24"/>
          <w:lang w:val="en-US"/>
        </w:rPr>
        <w:t>99%CI: 0.2</w:t>
      </w:r>
      <w:r w:rsidR="00E97C8C" w:rsidRPr="00892CA2">
        <w:rPr>
          <w:szCs w:val="24"/>
          <w:lang w:val="en-US"/>
        </w:rPr>
        <w:t>-</w:t>
      </w:r>
      <w:r w:rsidR="0029415A" w:rsidRPr="00892CA2">
        <w:rPr>
          <w:szCs w:val="24"/>
          <w:lang w:val="en-US"/>
        </w:rPr>
        <w:t>40.4</w:t>
      </w:r>
      <w:r w:rsidR="00CD5119" w:rsidRPr="00892CA2">
        <w:rPr>
          <w:szCs w:val="24"/>
          <w:lang w:val="en-US"/>
        </w:rPr>
        <w:t>,</w:t>
      </w:r>
      <w:r w:rsidR="0029415A" w:rsidRPr="00892CA2">
        <w:rPr>
          <w:szCs w:val="24"/>
          <w:lang w:val="en-US"/>
        </w:rPr>
        <w:t xml:space="preserve"> </w:t>
      </w:r>
      <w:r w:rsidR="000F4D89" w:rsidRPr="00892CA2">
        <w:rPr>
          <w:i/>
          <w:szCs w:val="24"/>
          <w:lang w:val="en-US"/>
        </w:rPr>
        <w:t>P</w:t>
      </w:r>
      <w:r w:rsidR="00CD5119" w:rsidRPr="00892CA2">
        <w:rPr>
          <w:szCs w:val="24"/>
          <w:lang w:val="en-US"/>
        </w:rPr>
        <w:t xml:space="preserve"> </w:t>
      </w:r>
      <w:r w:rsidR="0029415A" w:rsidRPr="00892CA2">
        <w:rPr>
          <w:szCs w:val="24"/>
          <w:lang w:val="en-US"/>
        </w:rPr>
        <w:t>= 0.008)</w:t>
      </w:r>
      <w:r w:rsidR="00192234" w:rsidRPr="00892CA2">
        <w:rPr>
          <w:szCs w:val="24"/>
          <w:lang w:val="en-US"/>
        </w:rPr>
        <w:t>.</w:t>
      </w:r>
      <w:r w:rsidR="0029415A" w:rsidRPr="00892CA2">
        <w:rPr>
          <w:szCs w:val="24"/>
          <w:lang w:val="en-US"/>
        </w:rPr>
        <w:t xml:space="preserve"> </w:t>
      </w:r>
      <w:r w:rsidRPr="00892CA2">
        <w:rPr>
          <w:szCs w:val="24"/>
          <w:lang w:val="en-US"/>
        </w:rPr>
        <w:t>T</w:t>
      </w:r>
      <w:r w:rsidR="0029415A" w:rsidRPr="00892CA2">
        <w:rPr>
          <w:szCs w:val="24"/>
          <w:lang w:val="en-US"/>
        </w:rPr>
        <w:t xml:space="preserve">he </w:t>
      </w:r>
      <w:r w:rsidR="00192234" w:rsidRPr="00892CA2">
        <w:rPr>
          <w:szCs w:val="24"/>
          <w:lang w:val="en-US"/>
        </w:rPr>
        <w:t>IL-1RA/IL-1</w:t>
      </w:r>
      <w:r w:rsidR="00192234" w:rsidRPr="00892CA2">
        <w:rPr>
          <w:szCs w:val="24"/>
          <w:lang w:val="en-US"/>
        </w:rPr>
        <w:sym w:font="Symbol" w:char="F062"/>
      </w:r>
      <w:r w:rsidR="00192234" w:rsidRPr="00892CA2">
        <w:rPr>
          <w:szCs w:val="24"/>
          <w:lang w:val="en-US"/>
        </w:rPr>
        <w:t xml:space="preserve"> ratio was significantly lower in </w:t>
      </w:r>
      <w:r w:rsidR="0069097F" w:rsidRPr="00892CA2">
        <w:rPr>
          <w:szCs w:val="24"/>
          <w:lang w:val="en-US"/>
        </w:rPr>
        <w:t>CD</w:t>
      </w:r>
      <w:r w:rsidR="00192234" w:rsidRPr="00892CA2">
        <w:rPr>
          <w:szCs w:val="24"/>
          <w:lang w:val="en-US"/>
        </w:rPr>
        <w:t xml:space="preserve"> </w:t>
      </w:r>
      <w:r w:rsidR="00C94948" w:rsidRPr="00892CA2">
        <w:rPr>
          <w:szCs w:val="24"/>
          <w:lang w:val="en-US"/>
        </w:rPr>
        <w:t>group</w:t>
      </w:r>
      <w:r w:rsidR="0029415A" w:rsidRPr="00892CA2">
        <w:rPr>
          <w:szCs w:val="24"/>
          <w:lang w:val="en-US"/>
        </w:rPr>
        <w:t xml:space="preserve"> </w:t>
      </w:r>
      <w:r w:rsidR="00192234" w:rsidRPr="00892CA2">
        <w:rPr>
          <w:szCs w:val="24"/>
          <w:lang w:val="en-US"/>
        </w:rPr>
        <w:t xml:space="preserve">at the internal opening </w:t>
      </w:r>
      <w:r w:rsidR="0030656E" w:rsidRPr="00892CA2">
        <w:rPr>
          <w:szCs w:val="24"/>
          <w:lang w:val="en-US"/>
        </w:rPr>
        <w:t xml:space="preserve">(3.3, IQR = </w:t>
      </w:r>
      <w:r w:rsidR="00192234" w:rsidRPr="00892CA2">
        <w:rPr>
          <w:szCs w:val="24"/>
          <w:lang w:val="en-US"/>
        </w:rPr>
        <w:t>1.8</w:t>
      </w:r>
      <w:r w:rsidR="00E97C8C" w:rsidRPr="00892CA2">
        <w:rPr>
          <w:szCs w:val="24"/>
          <w:lang w:val="en-US"/>
        </w:rPr>
        <w:t>-</w:t>
      </w:r>
      <w:r w:rsidR="00192234" w:rsidRPr="00892CA2">
        <w:rPr>
          <w:szCs w:val="24"/>
          <w:lang w:val="en-US"/>
        </w:rPr>
        <w:t>7.6</w:t>
      </w:r>
      <w:r w:rsidRPr="00892CA2">
        <w:rPr>
          <w:szCs w:val="24"/>
          <w:lang w:val="en-US"/>
        </w:rPr>
        <w:t xml:space="preserve"> </w:t>
      </w:r>
      <w:r w:rsidR="002C3D42" w:rsidRPr="00892CA2">
        <w:rPr>
          <w:i/>
          <w:szCs w:val="24"/>
          <w:lang w:val="en-US"/>
        </w:rPr>
        <w:t>vs</w:t>
      </w:r>
      <w:r w:rsidRPr="00892CA2">
        <w:rPr>
          <w:szCs w:val="24"/>
          <w:lang w:val="en-US"/>
        </w:rPr>
        <w:t xml:space="preserve"> idiopathic </w:t>
      </w:r>
      <w:r w:rsidR="0030656E" w:rsidRPr="00892CA2">
        <w:rPr>
          <w:szCs w:val="24"/>
          <w:lang w:val="en-US"/>
        </w:rPr>
        <w:t xml:space="preserve">19.0, </w:t>
      </w:r>
      <w:r w:rsidR="00192234" w:rsidRPr="00892CA2">
        <w:rPr>
          <w:szCs w:val="24"/>
          <w:lang w:val="en-US"/>
        </w:rPr>
        <w:t>4.3</w:t>
      </w:r>
      <w:r w:rsidR="00E97C8C" w:rsidRPr="00892CA2">
        <w:rPr>
          <w:szCs w:val="24"/>
          <w:lang w:val="en-US"/>
        </w:rPr>
        <w:t>-</w:t>
      </w:r>
      <w:r w:rsidR="00192234" w:rsidRPr="00892CA2">
        <w:rPr>
          <w:szCs w:val="24"/>
          <w:lang w:val="en-US"/>
        </w:rPr>
        <w:t>51.2). The median difference was 15.0 (99%CI</w:t>
      </w:r>
      <w:r w:rsidR="00327EC7" w:rsidRPr="00892CA2">
        <w:rPr>
          <w:szCs w:val="24"/>
          <w:lang w:val="en-US"/>
        </w:rPr>
        <w:t>:</w:t>
      </w:r>
      <w:r w:rsidR="00192234" w:rsidRPr="00892CA2">
        <w:rPr>
          <w:szCs w:val="24"/>
          <w:lang w:val="en-US"/>
        </w:rPr>
        <w:t xml:space="preserve"> 0.4</w:t>
      </w:r>
      <w:r w:rsidR="00E97C8C" w:rsidRPr="00892CA2">
        <w:rPr>
          <w:szCs w:val="24"/>
          <w:lang w:val="en-US"/>
        </w:rPr>
        <w:t>-</w:t>
      </w:r>
      <w:r w:rsidR="00192234" w:rsidRPr="00892CA2">
        <w:rPr>
          <w:szCs w:val="24"/>
          <w:lang w:val="en-US"/>
        </w:rPr>
        <w:t xml:space="preserve">50.5, </w:t>
      </w:r>
      <w:r w:rsidR="000F4D89" w:rsidRPr="00892CA2">
        <w:rPr>
          <w:i/>
          <w:szCs w:val="24"/>
          <w:lang w:val="en-US"/>
        </w:rPr>
        <w:t>P</w:t>
      </w:r>
      <w:r w:rsidR="00192234" w:rsidRPr="00892CA2">
        <w:rPr>
          <w:szCs w:val="24"/>
          <w:lang w:val="en-US"/>
        </w:rPr>
        <w:t xml:space="preserve"> = 0.008)</w:t>
      </w:r>
      <w:r w:rsidR="00C94948" w:rsidRPr="00892CA2">
        <w:rPr>
          <w:szCs w:val="24"/>
          <w:lang w:val="en-US"/>
        </w:rPr>
        <w:t xml:space="preserve"> (</w:t>
      </w:r>
      <w:r w:rsidR="00FB6502" w:rsidRPr="00892CA2">
        <w:rPr>
          <w:szCs w:val="24"/>
          <w:lang w:val="en-US"/>
        </w:rPr>
        <w:t>Figure 2</w:t>
      </w:r>
      <w:r w:rsidR="00C94948" w:rsidRPr="00892CA2">
        <w:rPr>
          <w:szCs w:val="24"/>
          <w:lang w:val="en-US"/>
        </w:rPr>
        <w:t>).</w:t>
      </w:r>
    </w:p>
    <w:p w14:paraId="4E1921DA" w14:textId="4B945574" w:rsidR="00192234" w:rsidRPr="00892CA2" w:rsidRDefault="00192234" w:rsidP="00650E61">
      <w:pPr>
        <w:adjustRightInd w:val="0"/>
        <w:snapToGrid w:val="0"/>
        <w:spacing w:before="0" w:after="0"/>
        <w:ind w:firstLineChars="100" w:firstLine="240"/>
        <w:jc w:val="both"/>
        <w:rPr>
          <w:szCs w:val="24"/>
          <w:lang w:val="en-US"/>
        </w:rPr>
      </w:pPr>
      <w:r w:rsidRPr="00892CA2">
        <w:rPr>
          <w:szCs w:val="24"/>
          <w:lang w:val="en-US"/>
        </w:rPr>
        <w:t xml:space="preserve">There were no significant differences </w:t>
      </w:r>
      <w:r w:rsidR="008317C1" w:rsidRPr="00892CA2">
        <w:rPr>
          <w:szCs w:val="24"/>
          <w:lang w:val="en-US"/>
        </w:rPr>
        <w:t xml:space="preserve">between the groups </w:t>
      </w:r>
      <w:r w:rsidR="00EA6382" w:rsidRPr="00892CA2">
        <w:rPr>
          <w:szCs w:val="24"/>
          <w:lang w:val="en-US"/>
        </w:rPr>
        <w:t xml:space="preserve">for </w:t>
      </w:r>
      <w:r w:rsidRPr="00892CA2">
        <w:rPr>
          <w:szCs w:val="24"/>
          <w:lang w:val="en-US"/>
        </w:rPr>
        <w:t xml:space="preserve">any other cytokine concentrations at the four specimen </w:t>
      </w:r>
      <w:r w:rsidR="00B75998" w:rsidRPr="00892CA2">
        <w:rPr>
          <w:szCs w:val="24"/>
          <w:lang w:val="en-US"/>
        </w:rPr>
        <w:t>sites</w:t>
      </w:r>
      <w:r w:rsidR="00E91EB4" w:rsidRPr="00892CA2">
        <w:rPr>
          <w:szCs w:val="24"/>
          <w:lang w:val="en-US"/>
        </w:rPr>
        <w:t xml:space="preserve">. </w:t>
      </w:r>
      <w:r w:rsidRPr="00892CA2">
        <w:rPr>
          <w:szCs w:val="24"/>
          <w:lang w:val="en-US"/>
        </w:rPr>
        <w:t xml:space="preserve">There were also no significant differences in the cytokine concentrations </w:t>
      </w:r>
      <w:r w:rsidR="00E06253" w:rsidRPr="00892CA2">
        <w:rPr>
          <w:szCs w:val="24"/>
          <w:lang w:val="en-US"/>
        </w:rPr>
        <w:t>in</w:t>
      </w:r>
      <w:r w:rsidRPr="00892CA2">
        <w:rPr>
          <w:szCs w:val="24"/>
          <w:lang w:val="en-US"/>
        </w:rPr>
        <w:t xml:space="preserve"> the rectal mucosa </w:t>
      </w:r>
      <w:r w:rsidR="00E06253" w:rsidRPr="00892CA2">
        <w:rPr>
          <w:szCs w:val="24"/>
          <w:lang w:val="en-US"/>
        </w:rPr>
        <w:t xml:space="preserve">between the </w:t>
      </w:r>
      <w:r w:rsidR="0069097F" w:rsidRPr="00892CA2">
        <w:rPr>
          <w:szCs w:val="24"/>
          <w:lang w:val="en-US"/>
        </w:rPr>
        <w:t>CD</w:t>
      </w:r>
      <w:r w:rsidR="00E06253" w:rsidRPr="00892CA2">
        <w:rPr>
          <w:szCs w:val="24"/>
          <w:lang w:val="en-US"/>
        </w:rPr>
        <w:t xml:space="preserve"> group and the healthy controls</w:t>
      </w:r>
      <w:r w:rsidR="00B75998" w:rsidRPr="00892CA2">
        <w:rPr>
          <w:szCs w:val="24"/>
          <w:lang w:val="en-US"/>
        </w:rPr>
        <w:t xml:space="preserve"> </w:t>
      </w:r>
      <w:r w:rsidR="00C94948" w:rsidRPr="00892CA2">
        <w:rPr>
          <w:szCs w:val="24"/>
          <w:lang w:val="en-US"/>
        </w:rPr>
        <w:t>(</w:t>
      </w:r>
      <w:r w:rsidR="00FB6502" w:rsidRPr="00892CA2">
        <w:rPr>
          <w:szCs w:val="24"/>
          <w:lang w:val="en-US"/>
        </w:rPr>
        <w:t xml:space="preserve">Supplementary </w:t>
      </w:r>
      <w:r w:rsidR="001C6B7E" w:rsidRPr="00892CA2">
        <w:rPr>
          <w:szCs w:val="24"/>
          <w:lang w:val="en-US"/>
        </w:rPr>
        <w:t>Figure 2</w:t>
      </w:r>
      <w:r w:rsidR="00791794" w:rsidRPr="00892CA2">
        <w:rPr>
          <w:szCs w:val="24"/>
          <w:lang w:val="en-US"/>
        </w:rPr>
        <w:t>).</w:t>
      </w:r>
    </w:p>
    <w:p w14:paraId="1DEEB2AB" w14:textId="77777777" w:rsidR="00327EC7" w:rsidRPr="00892CA2" w:rsidRDefault="00327EC7" w:rsidP="007E3B89">
      <w:pPr>
        <w:adjustRightInd w:val="0"/>
        <w:snapToGrid w:val="0"/>
        <w:spacing w:before="0" w:after="0"/>
        <w:jc w:val="both"/>
        <w:rPr>
          <w:szCs w:val="24"/>
          <w:lang w:val="en-US"/>
        </w:rPr>
      </w:pPr>
    </w:p>
    <w:p w14:paraId="231F0DD7" w14:textId="2F9A6F3D" w:rsidR="00AF0EB5" w:rsidRPr="00892CA2" w:rsidRDefault="00AF0EB5" w:rsidP="007E3B89">
      <w:pPr>
        <w:pStyle w:val="2"/>
        <w:adjustRightInd w:val="0"/>
        <w:snapToGrid w:val="0"/>
        <w:spacing w:before="0" w:after="0"/>
        <w:jc w:val="both"/>
        <w:rPr>
          <w:szCs w:val="24"/>
          <w:lang w:val="en-US"/>
        </w:rPr>
      </w:pPr>
      <w:r w:rsidRPr="00892CA2">
        <w:rPr>
          <w:szCs w:val="24"/>
          <w:lang w:val="en-US"/>
        </w:rPr>
        <w:t xml:space="preserve">Phosphoprotein </w:t>
      </w:r>
      <w:r w:rsidR="00327EC7" w:rsidRPr="00892CA2">
        <w:rPr>
          <w:szCs w:val="24"/>
          <w:lang w:val="en-US"/>
        </w:rPr>
        <w:t>p</w:t>
      </w:r>
      <w:r w:rsidRPr="00892CA2">
        <w:rPr>
          <w:szCs w:val="24"/>
          <w:lang w:val="en-US"/>
        </w:rPr>
        <w:t>rofiles</w:t>
      </w:r>
    </w:p>
    <w:p w14:paraId="157D2F77" w14:textId="41CEDE99" w:rsidR="00AF0EB5" w:rsidRPr="00892CA2" w:rsidRDefault="00AF0EB5" w:rsidP="007E3B89">
      <w:pPr>
        <w:adjustRightInd w:val="0"/>
        <w:snapToGrid w:val="0"/>
        <w:spacing w:before="0" w:after="0"/>
        <w:jc w:val="both"/>
        <w:rPr>
          <w:szCs w:val="24"/>
          <w:lang w:val="en-US"/>
        </w:rPr>
      </w:pPr>
      <w:r w:rsidRPr="00892CA2">
        <w:rPr>
          <w:szCs w:val="24"/>
          <w:lang w:val="en-US"/>
        </w:rPr>
        <w:t>All four specimen</w:t>
      </w:r>
      <w:r w:rsidR="00EA6382" w:rsidRPr="00892CA2">
        <w:rPr>
          <w:szCs w:val="24"/>
          <w:lang w:val="en-US"/>
        </w:rPr>
        <w:t xml:space="preserve"> sites</w:t>
      </w:r>
      <w:r w:rsidRPr="00892CA2">
        <w:rPr>
          <w:szCs w:val="24"/>
          <w:lang w:val="en-US"/>
        </w:rPr>
        <w:t xml:space="preserve"> yielded signals across both </w:t>
      </w:r>
      <w:r w:rsidR="009768D3" w:rsidRPr="00892CA2">
        <w:rPr>
          <w:szCs w:val="24"/>
          <w:lang w:val="en-US"/>
        </w:rPr>
        <w:t>patient</w:t>
      </w:r>
      <w:r w:rsidRPr="00892CA2">
        <w:rPr>
          <w:szCs w:val="24"/>
          <w:lang w:val="en-US"/>
        </w:rPr>
        <w:t xml:space="preserve"> groups f</w:t>
      </w:r>
      <w:r w:rsidR="0089777B" w:rsidRPr="00892CA2">
        <w:rPr>
          <w:szCs w:val="24"/>
          <w:lang w:val="en-US"/>
        </w:rPr>
        <w:t>or EGFR, HER2, HER3</w:t>
      </w:r>
      <w:r w:rsidRPr="00892CA2">
        <w:rPr>
          <w:szCs w:val="24"/>
          <w:lang w:val="en-US"/>
        </w:rPr>
        <w:t xml:space="preserve">, FGFR1, FGFR3, FGFR4, Stat1, and Stat3. In the rectal mucosa, </w:t>
      </w:r>
      <w:r w:rsidR="00B75998" w:rsidRPr="00892CA2">
        <w:rPr>
          <w:szCs w:val="24"/>
          <w:lang w:val="en-US"/>
        </w:rPr>
        <w:t xml:space="preserve">we observed </w:t>
      </w:r>
      <w:r w:rsidRPr="00892CA2">
        <w:rPr>
          <w:szCs w:val="24"/>
          <w:lang w:val="en-US"/>
        </w:rPr>
        <w:t xml:space="preserve">positive </w:t>
      </w:r>
      <w:r w:rsidR="00076484" w:rsidRPr="00892CA2">
        <w:rPr>
          <w:szCs w:val="24"/>
          <w:lang w:val="en-US"/>
        </w:rPr>
        <w:t>signals</w:t>
      </w:r>
      <w:r w:rsidR="00B75998" w:rsidRPr="00892CA2">
        <w:rPr>
          <w:szCs w:val="24"/>
          <w:lang w:val="en-US"/>
        </w:rPr>
        <w:t xml:space="preserve"> </w:t>
      </w:r>
      <w:r w:rsidR="0089777B" w:rsidRPr="00892CA2">
        <w:rPr>
          <w:szCs w:val="24"/>
          <w:lang w:val="en-US"/>
        </w:rPr>
        <w:t xml:space="preserve">for </w:t>
      </w:r>
      <w:proofErr w:type="spellStart"/>
      <w:r w:rsidR="0089777B" w:rsidRPr="00892CA2">
        <w:rPr>
          <w:szCs w:val="24"/>
          <w:lang w:val="en-US"/>
        </w:rPr>
        <w:t>InsR</w:t>
      </w:r>
      <w:proofErr w:type="spellEnd"/>
      <w:r w:rsidR="0089777B" w:rsidRPr="00892CA2">
        <w:rPr>
          <w:szCs w:val="24"/>
          <w:lang w:val="en-US"/>
        </w:rPr>
        <w:t xml:space="preserve">, IGF-1R, </w:t>
      </w:r>
      <w:proofErr w:type="gramStart"/>
      <w:r w:rsidR="0089777B" w:rsidRPr="00892CA2">
        <w:rPr>
          <w:szCs w:val="24"/>
          <w:lang w:val="en-US"/>
        </w:rPr>
        <w:t>c</w:t>
      </w:r>
      <w:proofErr w:type="gramEnd"/>
      <w:r w:rsidR="0089777B" w:rsidRPr="00892CA2">
        <w:rPr>
          <w:szCs w:val="24"/>
          <w:lang w:val="en-US"/>
        </w:rPr>
        <w:t xml:space="preserve">-Kit, Tie2, </w:t>
      </w:r>
      <w:proofErr w:type="spellStart"/>
      <w:r w:rsidR="0089777B" w:rsidRPr="00892CA2">
        <w:rPr>
          <w:szCs w:val="24"/>
          <w:lang w:val="en-US"/>
        </w:rPr>
        <w:t>Akt</w:t>
      </w:r>
      <w:proofErr w:type="spellEnd"/>
      <w:r w:rsidRPr="00892CA2">
        <w:rPr>
          <w:szCs w:val="24"/>
          <w:lang w:val="en-US"/>
        </w:rPr>
        <w:t xml:space="preserve"> at phosphorylation site Thr308, S6 Ribosomal Protein, IRS-1 and </w:t>
      </w:r>
      <w:proofErr w:type="spellStart"/>
      <w:r w:rsidRPr="00892CA2">
        <w:rPr>
          <w:szCs w:val="24"/>
          <w:lang w:val="en-US"/>
        </w:rPr>
        <w:t>Src</w:t>
      </w:r>
      <w:proofErr w:type="spellEnd"/>
      <w:r w:rsidRPr="00892CA2">
        <w:rPr>
          <w:szCs w:val="24"/>
          <w:lang w:val="en-US"/>
        </w:rPr>
        <w:t xml:space="preserve"> in both </w:t>
      </w:r>
      <w:r w:rsidR="009768D3" w:rsidRPr="00892CA2">
        <w:rPr>
          <w:szCs w:val="24"/>
          <w:lang w:val="en-US"/>
        </w:rPr>
        <w:t>patient</w:t>
      </w:r>
      <w:r w:rsidRPr="00892CA2">
        <w:rPr>
          <w:szCs w:val="24"/>
          <w:lang w:val="en-US"/>
        </w:rPr>
        <w:t xml:space="preserve"> groups and the healthy </w:t>
      </w:r>
      <w:r w:rsidR="00B75998" w:rsidRPr="00892CA2">
        <w:rPr>
          <w:szCs w:val="24"/>
          <w:lang w:val="en-US"/>
        </w:rPr>
        <w:t>controls</w:t>
      </w:r>
      <w:r w:rsidR="006B6D4B" w:rsidRPr="00892CA2">
        <w:rPr>
          <w:szCs w:val="24"/>
          <w:lang w:val="en-US"/>
        </w:rPr>
        <w:t xml:space="preserve">. There were no significant differences in phosphoprotein levels between the </w:t>
      </w:r>
      <w:r w:rsidR="00D17869" w:rsidRPr="00892CA2">
        <w:rPr>
          <w:szCs w:val="24"/>
          <w:lang w:val="en-US"/>
        </w:rPr>
        <w:t>patient</w:t>
      </w:r>
      <w:r w:rsidR="006B6D4B" w:rsidRPr="00892CA2">
        <w:rPr>
          <w:szCs w:val="24"/>
          <w:lang w:val="en-US"/>
        </w:rPr>
        <w:t xml:space="preserve"> groups at any of specimen sites </w:t>
      </w:r>
      <w:r w:rsidR="00B75998" w:rsidRPr="00892CA2">
        <w:rPr>
          <w:szCs w:val="24"/>
          <w:lang w:val="en-US"/>
        </w:rPr>
        <w:t>(</w:t>
      </w:r>
      <w:r w:rsidR="00FB6502" w:rsidRPr="00892CA2">
        <w:rPr>
          <w:szCs w:val="24"/>
          <w:lang w:val="en-US"/>
        </w:rPr>
        <w:t>Figure 3</w:t>
      </w:r>
      <w:r w:rsidR="00B75998" w:rsidRPr="00892CA2">
        <w:rPr>
          <w:szCs w:val="24"/>
          <w:lang w:val="en-US"/>
        </w:rPr>
        <w:t>).</w:t>
      </w:r>
    </w:p>
    <w:p w14:paraId="6E867078" w14:textId="61E31FA7" w:rsidR="00FF16EE" w:rsidRPr="00892CA2" w:rsidRDefault="00AF0EB5" w:rsidP="00650E61">
      <w:pPr>
        <w:adjustRightInd w:val="0"/>
        <w:snapToGrid w:val="0"/>
        <w:spacing w:before="0" w:after="0"/>
        <w:ind w:firstLineChars="100" w:firstLine="240"/>
        <w:jc w:val="both"/>
        <w:rPr>
          <w:szCs w:val="24"/>
          <w:lang w:val="en-US"/>
        </w:rPr>
      </w:pPr>
      <w:r w:rsidRPr="00892CA2">
        <w:rPr>
          <w:szCs w:val="24"/>
          <w:lang w:val="en-US"/>
        </w:rPr>
        <w:t xml:space="preserve">When comparing the </w:t>
      </w:r>
      <w:r w:rsidR="0069097F" w:rsidRPr="00892CA2">
        <w:rPr>
          <w:szCs w:val="24"/>
          <w:lang w:val="en-US"/>
        </w:rPr>
        <w:t>CD</w:t>
      </w:r>
      <w:r w:rsidRPr="00892CA2">
        <w:rPr>
          <w:szCs w:val="24"/>
          <w:lang w:val="en-US"/>
        </w:rPr>
        <w:t xml:space="preserve"> </w:t>
      </w:r>
      <w:r w:rsidR="006B6D4B" w:rsidRPr="00892CA2">
        <w:rPr>
          <w:szCs w:val="24"/>
          <w:lang w:val="en-US"/>
        </w:rPr>
        <w:t>group</w:t>
      </w:r>
      <w:r w:rsidR="00EA6382" w:rsidRPr="00892CA2">
        <w:rPr>
          <w:szCs w:val="24"/>
          <w:lang w:val="en-US"/>
        </w:rPr>
        <w:t xml:space="preserve"> </w:t>
      </w:r>
      <w:r w:rsidR="00E06253" w:rsidRPr="00892CA2">
        <w:rPr>
          <w:szCs w:val="24"/>
          <w:lang w:val="en-US"/>
        </w:rPr>
        <w:t xml:space="preserve">with the healthy controls </w:t>
      </w:r>
      <w:r w:rsidRPr="00892CA2">
        <w:rPr>
          <w:szCs w:val="24"/>
          <w:lang w:val="en-US"/>
        </w:rPr>
        <w:t>at the rectal mucosa specimen site, the levels of six phosphoproteins were significantly higher in the healthy controls: EphA1</w:t>
      </w:r>
      <w:r w:rsidR="0089777B" w:rsidRPr="00892CA2">
        <w:rPr>
          <w:szCs w:val="24"/>
          <w:lang w:val="en-US"/>
        </w:rPr>
        <w:t>, EphA2, EphB1, EphB4, Tyro3 and VEGFR2</w:t>
      </w:r>
      <w:r w:rsidRPr="00892CA2">
        <w:rPr>
          <w:szCs w:val="24"/>
          <w:lang w:val="en-US"/>
        </w:rPr>
        <w:t xml:space="preserve"> </w:t>
      </w:r>
      <w:r w:rsidR="00B75998" w:rsidRPr="00892CA2">
        <w:rPr>
          <w:szCs w:val="24"/>
          <w:lang w:val="en-US"/>
        </w:rPr>
        <w:t>(</w:t>
      </w:r>
      <w:r w:rsidR="00FB6502" w:rsidRPr="00892CA2">
        <w:rPr>
          <w:szCs w:val="24"/>
          <w:lang w:val="en-US"/>
        </w:rPr>
        <w:t xml:space="preserve">Supplementary </w:t>
      </w:r>
      <w:r w:rsidR="001C6B7E" w:rsidRPr="00892CA2">
        <w:rPr>
          <w:szCs w:val="24"/>
          <w:lang w:val="en-US"/>
        </w:rPr>
        <w:t>Figure 3</w:t>
      </w:r>
      <w:r w:rsidR="00B75998" w:rsidRPr="00892CA2">
        <w:rPr>
          <w:szCs w:val="24"/>
          <w:lang w:val="en-US"/>
        </w:rPr>
        <w:t xml:space="preserve">). </w:t>
      </w:r>
      <w:r w:rsidRPr="00892CA2">
        <w:rPr>
          <w:szCs w:val="24"/>
          <w:lang w:val="en-US"/>
        </w:rPr>
        <w:t xml:space="preserve">Example microarray images are shown </w:t>
      </w:r>
      <w:r w:rsidR="00595201" w:rsidRPr="00892CA2">
        <w:rPr>
          <w:szCs w:val="24"/>
          <w:lang w:val="en-US"/>
        </w:rPr>
        <w:t>in</w:t>
      </w:r>
      <w:r w:rsidR="0066396F" w:rsidRPr="00892CA2">
        <w:rPr>
          <w:szCs w:val="24"/>
          <w:lang w:val="en-US"/>
        </w:rPr>
        <w:t xml:space="preserve"> </w:t>
      </w:r>
      <w:r w:rsidR="00FB6502" w:rsidRPr="00892CA2">
        <w:rPr>
          <w:szCs w:val="24"/>
          <w:lang w:val="en-US"/>
        </w:rPr>
        <w:t>Figure 4</w:t>
      </w:r>
      <w:r w:rsidR="00595201" w:rsidRPr="00892CA2">
        <w:rPr>
          <w:szCs w:val="24"/>
          <w:lang w:val="en-US"/>
        </w:rPr>
        <w:t>.</w:t>
      </w:r>
      <w:r w:rsidR="009768D3" w:rsidRPr="00892CA2">
        <w:rPr>
          <w:szCs w:val="24"/>
          <w:lang w:val="en-US"/>
        </w:rPr>
        <w:t xml:space="preserve"> There were no differences the remaining 33 phosphoproteins.</w:t>
      </w:r>
    </w:p>
    <w:p w14:paraId="69BBCCA3" w14:textId="77777777" w:rsidR="00327EC7" w:rsidRPr="00892CA2" w:rsidRDefault="00327EC7" w:rsidP="007E3B89">
      <w:pPr>
        <w:adjustRightInd w:val="0"/>
        <w:snapToGrid w:val="0"/>
        <w:spacing w:before="0" w:after="0"/>
        <w:jc w:val="both"/>
        <w:rPr>
          <w:b/>
          <w:bCs/>
          <w:szCs w:val="24"/>
          <w:lang w:val="en-US" w:eastAsia="en-GB"/>
        </w:rPr>
      </w:pPr>
    </w:p>
    <w:p w14:paraId="2C64D039" w14:textId="05D3346F" w:rsidR="002949BE" w:rsidRPr="00892CA2" w:rsidRDefault="002949BE" w:rsidP="007E3B89">
      <w:pPr>
        <w:pStyle w:val="1"/>
        <w:adjustRightInd w:val="0"/>
        <w:snapToGrid w:val="0"/>
        <w:spacing w:before="0"/>
        <w:jc w:val="both"/>
        <w:rPr>
          <w:szCs w:val="24"/>
          <w:lang w:val="en-US"/>
        </w:rPr>
      </w:pPr>
      <w:r w:rsidRPr="00892CA2">
        <w:rPr>
          <w:szCs w:val="24"/>
          <w:lang w:val="en-US"/>
        </w:rPr>
        <w:t>Discussion</w:t>
      </w:r>
    </w:p>
    <w:p w14:paraId="06178420" w14:textId="64A679AE" w:rsidR="00D17869" w:rsidRPr="00892CA2" w:rsidRDefault="00EA6382" w:rsidP="007E3B89">
      <w:pPr>
        <w:adjustRightInd w:val="0"/>
        <w:snapToGrid w:val="0"/>
        <w:spacing w:before="0" w:after="0"/>
        <w:jc w:val="both"/>
        <w:rPr>
          <w:szCs w:val="24"/>
          <w:lang w:val="en-US" w:eastAsia="en-GB"/>
        </w:rPr>
      </w:pPr>
      <w:r w:rsidRPr="00892CA2">
        <w:rPr>
          <w:szCs w:val="24"/>
          <w:lang w:val="en-US" w:eastAsia="en-GB"/>
        </w:rPr>
        <w:t xml:space="preserve">To our knowledge, </w:t>
      </w:r>
      <w:r w:rsidR="009768D3" w:rsidRPr="00892CA2">
        <w:rPr>
          <w:szCs w:val="24"/>
          <w:lang w:val="en-US" w:eastAsia="en-GB"/>
        </w:rPr>
        <w:t>this is</w:t>
      </w:r>
      <w:r w:rsidRPr="00892CA2">
        <w:rPr>
          <w:szCs w:val="24"/>
          <w:lang w:val="en-US" w:eastAsia="en-GB"/>
        </w:rPr>
        <w:t xml:space="preserve"> the largest </w:t>
      </w:r>
      <w:r w:rsidR="00B97041" w:rsidRPr="00892CA2">
        <w:rPr>
          <w:szCs w:val="24"/>
          <w:lang w:val="en-US" w:eastAsia="en-GB"/>
        </w:rPr>
        <w:t xml:space="preserve">study to date </w:t>
      </w:r>
      <w:r w:rsidR="00061640" w:rsidRPr="00892CA2">
        <w:rPr>
          <w:szCs w:val="24"/>
          <w:lang w:val="en-US" w:eastAsia="en-GB"/>
        </w:rPr>
        <w:t xml:space="preserve">to </w:t>
      </w:r>
      <w:r w:rsidR="00B46C97" w:rsidRPr="00892CA2">
        <w:rPr>
          <w:szCs w:val="24"/>
          <w:lang w:val="en-US" w:eastAsia="en-GB"/>
        </w:rPr>
        <w:t xml:space="preserve">systematically </w:t>
      </w:r>
      <w:r w:rsidR="00061640" w:rsidRPr="00892CA2">
        <w:rPr>
          <w:szCs w:val="24"/>
          <w:lang w:val="en-US" w:eastAsia="en-GB"/>
        </w:rPr>
        <w:t xml:space="preserve">compare idiopathic and </w:t>
      </w:r>
      <w:r w:rsidR="009768D3" w:rsidRPr="00892CA2">
        <w:rPr>
          <w:szCs w:val="24"/>
          <w:lang w:val="en-US" w:eastAsia="en-GB"/>
        </w:rPr>
        <w:t>CD-related</w:t>
      </w:r>
      <w:r w:rsidR="00061640" w:rsidRPr="00892CA2">
        <w:rPr>
          <w:szCs w:val="24"/>
          <w:lang w:val="en-US" w:eastAsia="en-GB"/>
        </w:rPr>
        <w:t xml:space="preserve"> perianal fistulae </w:t>
      </w:r>
      <w:r w:rsidRPr="00892CA2">
        <w:rPr>
          <w:szCs w:val="24"/>
          <w:lang w:val="en-US" w:eastAsia="en-GB"/>
        </w:rPr>
        <w:t xml:space="preserve">in a </w:t>
      </w:r>
      <w:r w:rsidR="00B46C97" w:rsidRPr="00892CA2">
        <w:rPr>
          <w:szCs w:val="24"/>
          <w:lang w:val="en-US" w:eastAsia="en-GB"/>
        </w:rPr>
        <w:t>well-</w:t>
      </w:r>
      <w:r w:rsidRPr="00892CA2">
        <w:rPr>
          <w:szCs w:val="24"/>
          <w:lang w:val="en-US" w:eastAsia="en-GB"/>
        </w:rPr>
        <w:t xml:space="preserve">defined </w:t>
      </w:r>
      <w:r w:rsidR="00B46C97" w:rsidRPr="00892CA2">
        <w:rPr>
          <w:szCs w:val="24"/>
          <w:lang w:val="en-US" w:eastAsia="en-GB"/>
        </w:rPr>
        <w:t xml:space="preserve">patient </w:t>
      </w:r>
      <w:r w:rsidRPr="00892CA2">
        <w:rPr>
          <w:szCs w:val="24"/>
          <w:lang w:val="en-US" w:eastAsia="en-GB"/>
        </w:rPr>
        <w:t xml:space="preserve">cohort. </w:t>
      </w:r>
      <w:r w:rsidR="00F40087" w:rsidRPr="00892CA2">
        <w:rPr>
          <w:szCs w:val="24"/>
          <w:lang w:val="en-US" w:eastAsia="en-GB"/>
        </w:rPr>
        <w:t>B</w:t>
      </w:r>
      <w:r w:rsidR="00B97041" w:rsidRPr="00892CA2">
        <w:rPr>
          <w:szCs w:val="24"/>
          <w:lang w:val="en-US" w:eastAsia="en-GB"/>
        </w:rPr>
        <w:t xml:space="preserve">oth groups displayed a </w:t>
      </w:r>
      <w:r w:rsidR="00062A93" w:rsidRPr="00892CA2">
        <w:rPr>
          <w:szCs w:val="24"/>
          <w:lang w:val="en-US" w:eastAsia="en-GB"/>
        </w:rPr>
        <w:t xml:space="preserve">broad </w:t>
      </w:r>
      <w:r w:rsidR="00B97041" w:rsidRPr="00892CA2">
        <w:rPr>
          <w:szCs w:val="24"/>
          <w:lang w:val="en-US" w:eastAsia="en-GB"/>
        </w:rPr>
        <w:t xml:space="preserve">distribution of </w:t>
      </w:r>
      <w:r w:rsidRPr="00892CA2">
        <w:rPr>
          <w:szCs w:val="24"/>
          <w:lang w:val="en-US" w:eastAsia="en-GB"/>
        </w:rPr>
        <w:t xml:space="preserve">disease characteristics </w:t>
      </w:r>
      <w:r w:rsidR="00B97041" w:rsidRPr="00892CA2">
        <w:rPr>
          <w:szCs w:val="24"/>
          <w:lang w:val="en-US" w:eastAsia="en-GB"/>
        </w:rPr>
        <w:t xml:space="preserve">from simple to complex. </w:t>
      </w:r>
    </w:p>
    <w:p w14:paraId="6196FAB3" w14:textId="77777777" w:rsidR="00327EC7" w:rsidRPr="00892CA2" w:rsidRDefault="00327EC7" w:rsidP="007E3B89">
      <w:pPr>
        <w:adjustRightInd w:val="0"/>
        <w:snapToGrid w:val="0"/>
        <w:spacing w:before="0" w:after="0"/>
        <w:jc w:val="both"/>
        <w:rPr>
          <w:szCs w:val="24"/>
          <w:lang w:val="en-US" w:eastAsia="en-GB"/>
        </w:rPr>
      </w:pPr>
    </w:p>
    <w:p w14:paraId="339BF82B" w14:textId="6B6C9698" w:rsidR="00D17869" w:rsidRPr="00892CA2" w:rsidRDefault="00D17869" w:rsidP="007E3B89">
      <w:pPr>
        <w:pStyle w:val="2"/>
        <w:adjustRightInd w:val="0"/>
        <w:snapToGrid w:val="0"/>
        <w:spacing w:before="0" w:after="0"/>
        <w:jc w:val="both"/>
        <w:rPr>
          <w:szCs w:val="24"/>
          <w:lang w:val="en-US" w:eastAsia="en-GB"/>
        </w:rPr>
      </w:pPr>
      <w:r w:rsidRPr="00892CA2">
        <w:rPr>
          <w:szCs w:val="24"/>
          <w:lang w:val="en-US" w:eastAsia="en-GB"/>
        </w:rPr>
        <w:t xml:space="preserve">CD-related perianal fistulae were clinically more severe </w:t>
      </w:r>
    </w:p>
    <w:p w14:paraId="76EB0CFA" w14:textId="781C93D8" w:rsidR="00A47A16" w:rsidRPr="00892CA2" w:rsidRDefault="00B97041" w:rsidP="007E3B89">
      <w:pPr>
        <w:adjustRightInd w:val="0"/>
        <w:snapToGrid w:val="0"/>
        <w:spacing w:before="0" w:after="0"/>
        <w:jc w:val="both"/>
        <w:rPr>
          <w:szCs w:val="24"/>
          <w:lang w:val="en-US" w:eastAsia="en-GB"/>
        </w:rPr>
      </w:pPr>
      <w:r w:rsidRPr="00892CA2">
        <w:rPr>
          <w:szCs w:val="24"/>
          <w:lang w:val="en-US" w:eastAsia="en-GB"/>
        </w:rPr>
        <w:t xml:space="preserve">In the </w:t>
      </w:r>
      <w:r w:rsidR="0069097F" w:rsidRPr="00892CA2">
        <w:rPr>
          <w:szCs w:val="24"/>
          <w:lang w:val="en-US" w:eastAsia="en-GB"/>
        </w:rPr>
        <w:t>CD</w:t>
      </w:r>
      <w:r w:rsidR="00EA6382" w:rsidRPr="00892CA2">
        <w:rPr>
          <w:szCs w:val="24"/>
          <w:lang w:val="en-US" w:eastAsia="en-GB"/>
        </w:rPr>
        <w:t xml:space="preserve"> </w:t>
      </w:r>
      <w:r w:rsidRPr="00892CA2">
        <w:rPr>
          <w:szCs w:val="24"/>
          <w:lang w:val="en-US" w:eastAsia="en-GB"/>
        </w:rPr>
        <w:t>group, th</w:t>
      </w:r>
      <w:r w:rsidR="00CF4882" w:rsidRPr="00892CA2">
        <w:rPr>
          <w:szCs w:val="24"/>
          <w:lang w:val="en-US" w:eastAsia="en-GB"/>
        </w:rPr>
        <w:t>e PDAI was significantly higher</w:t>
      </w:r>
      <w:r w:rsidRPr="00892CA2">
        <w:rPr>
          <w:szCs w:val="24"/>
          <w:lang w:val="en-US" w:eastAsia="en-GB"/>
        </w:rPr>
        <w:t xml:space="preserve"> and complex </w:t>
      </w:r>
      <w:proofErr w:type="spellStart"/>
      <w:r w:rsidRPr="00892CA2">
        <w:rPr>
          <w:szCs w:val="24"/>
          <w:lang w:val="en-US" w:eastAsia="en-GB"/>
        </w:rPr>
        <w:t>pathoanatomy</w:t>
      </w:r>
      <w:proofErr w:type="spellEnd"/>
      <w:r w:rsidRPr="00892CA2">
        <w:rPr>
          <w:szCs w:val="24"/>
          <w:lang w:val="en-US" w:eastAsia="en-GB"/>
        </w:rPr>
        <w:t xml:space="preserve"> was more prevalent, </w:t>
      </w:r>
      <w:r w:rsidR="00EA6382" w:rsidRPr="00892CA2">
        <w:rPr>
          <w:szCs w:val="24"/>
          <w:lang w:val="en-US" w:eastAsia="en-GB"/>
        </w:rPr>
        <w:t>supporting the</w:t>
      </w:r>
      <w:r w:rsidR="00062A93" w:rsidRPr="00892CA2">
        <w:rPr>
          <w:szCs w:val="24"/>
          <w:lang w:val="en-US" w:eastAsia="en-GB"/>
        </w:rPr>
        <w:t xml:space="preserve"> </w:t>
      </w:r>
      <w:r w:rsidR="00F40087" w:rsidRPr="00892CA2">
        <w:rPr>
          <w:szCs w:val="24"/>
          <w:lang w:val="en-US" w:eastAsia="en-GB"/>
        </w:rPr>
        <w:t>commonly-</w:t>
      </w:r>
      <w:r w:rsidRPr="00892CA2">
        <w:rPr>
          <w:szCs w:val="24"/>
          <w:lang w:val="en-US" w:eastAsia="en-GB"/>
        </w:rPr>
        <w:t xml:space="preserve">held belief that </w:t>
      </w:r>
      <w:r w:rsidR="009768D3" w:rsidRPr="00892CA2">
        <w:rPr>
          <w:szCs w:val="24"/>
          <w:lang w:val="en-US" w:eastAsia="en-GB"/>
        </w:rPr>
        <w:t>CD-related</w:t>
      </w:r>
      <w:r w:rsidRPr="00892CA2">
        <w:rPr>
          <w:szCs w:val="24"/>
          <w:lang w:val="en-US" w:eastAsia="en-GB"/>
        </w:rPr>
        <w:t xml:space="preserve"> perianal fistula</w:t>
      </w:r>
      <w:r w:rsidR="00D01879" w:rsidRPr="00892CA2">
        <w:rPr>
          <w:szCs w:val="24"/>
          <w:lang w:val="en-US" w:eastAsia="en-GB"/>
        </w:rPr>
        <w:t>e</w:t>
      </w:r>
      <w:r w:rsidRPr="00892CA2">
        <w:rPr>
          <w:szCs w:val="24"/>
          <w:lang w:val="en-US" w:eastAsia="en-GB"/>
        </w:rPr>
        <w:t xml:space="preserve"> are more severe</w:t>
      </w:r>
      <w:r w:rsidR="00B46C97" w:rsidRPr="00892CA2">
        <w:rPr>
          <w:szCs w:val="24"/>
          <w:lang w:val="en-US" w:eastAsia="en-GB"/>
        </w:rPr>
        <w:t xml:space="preserve"> and complex</w:t>
      </w:r>
      <w:r w:rsidR="00EA6382" w:rsidRPr="00892CA2">
        <w:rPr>
          <w:szCs w:val="24"/>
          <w:lang w:val="en-US" w:eastAsia="en-GB"/>
        </w:rPr>
        <w:t xml:space="preserve"> than idiopathi</w:t>
      </w:r>
      <w:r w:rsidR="00CF4882" w:rsidRPr="00892CA2">
        <w:rPr>
          <w:szCs w:val="24"/>
          <w:lang w:val="en-US" w:eastAsia="en-GB"/>
        </w:rPr>
        <w:t>c</w:t>
      </w:r>
      <w:r w:rsidRPr="00892CA2">
        <w:rPr>
          <w:szCs w:val="24"/>
          <w:lang w:val="en-US" w:eastAsia="en-GB"/>
        </w:rPr>
        <w:t xml:space="preserve">. </w:t>
      </w:r>
      <w:r w:rsidR="00906CBD" w:rsidRPr="00892CA2">
        <w:rPr>
          <w:szCs w:val="24"/>
          <w:lang w:val="en-US" w:eastAsia="en-GB"/>
        </w:rPr>
        <w:t xml:space="preserve">However, this did not </w:t>
      </w:r>
      <w:r w:rsidR="00C151BF" w:rsidRPr="00892CA2">
        <w:rPr>
          <w:szCs w:val="24"/>
          <w:lang w:val="en-US" w:eastAsia="en-GB"/>
        </w:rPr>
        <w:t>translate</w:t>
      </w:r>
      <w:r w:rsidR="00906CBD" w:rsidRPr="00892CA2">
        <w:rPr>
          <w:szCs w:val="24"/>
          <w:lang w:val="en-US" w:eastAsia="en-GB"/>
        </w:rPr>
        <w:t xml:space="preserve"> to </w:t>
      </w:r>
      <w:r w:rsidR="00BA4A32" w:rsidRPr="00892CA2">
        <w:rPr>
          <w:szCs w:val="24"/>
          <w:lang w:val="en-US" w:eastAsia="en-GB"/>
        </w:rPr>
        <w:t>difference</w:t>
      </w:r>
      <w:r w:rsidR="00C151BF" w:rsidRPr="00892CA2">
        <w:rPr>
          <w:szCs w:val="24"/>
          <w:lang w:val="en-US" w:eastAsia="en-GB"/>
        </w:rPr>
        <w:t>s</w:t>
      </w:r>
      <w:r w:rsidR="00BA4A32" w:rsidRPr="00892CA2">
        <w:rPr>
          <w:szCs w:val="24"/>
          <w:lang w:val="en-US" w:eastAsia="en-GB"/>
        </w:rPr>
        <w:t xml:space="preserve"> in EQ-5D, probably because this generic health measure </w:t>
      </w:r>
      <w:r w:rsidR="00C151BF" w:rsidRPr="00892CA2">
        <w:rPr>
          <w:szCs w:val="24"/>
          <w:lang w:val="en-US" w:eastAsia="en-GB"/>
        </w:rPr>
        <w:t>lacked sensitivity</w:t>
      </w:r>
      <w:r w:rsidR="00BA4A32" w:rsidRPr="00892CA2">
        <w:rPr>
          <w:szCs w:val="24"/>
          <w:lang w:val="en-US" w:eastAsia="en-GB"/>
        </w:rPr>
        <w:t xml:space="preserve"> to demonstrate a relatively small clinical difference.</w:t>
      </w:r>
    </w:p>
    <w:p w14:paraId="7B60B81B" w14:textId="77777777" w:rsidR="00327EC7" w:rsidRPr="00892CA2" w:rsidRDefault="00327EC7" w:rsidP="007E3B89">
      <w:pPr>
        <w:adjustRightInd w:val="0"/>
        <w:snapToGrid w:val="0"/>
        <w:spacing w:before="0" w:after="0"/>
        <w:jc w:val="both"/>
        <w:rPr>
          <w:szCs w:val="24"/>
          <w:lang w:val="en-US"/>
        </w:rPr>
      </w:pPr>
    </w:p>
    <w:p w14:paraId="5EBFAB29" w14:textId="09C40DB2" w:rsidR="00C367C0" w:rsidRPr="00892CA2" w:rsidRDefault="00CF4882" w:rsidP="007E3B89">
      <w:pPr>
        <w:pStyle w:val="2"/>
        <w:adjustRightInd w:val="0"/>
        <w:snapToGrid w:val="0"/>
        <w:spacing w:before="0" w:after="0"/>
        <w:jc w:val="both"/>
        <w:rPr>
          <w:szCs w:val="24"/>
          <w:lang w:val="en-US"/>
        </w:rPr>
      </w:pPr>
      <w:r w:rsidRPr="00892CA2">
        <w:rPr>
          <w:szCs w:val="24"/>
          <w:lang w:val="en-US"/>
        </w:rPr>
        <w:t>Cytokine and phosphoprotein</w:t>
      </w:r>
      <w:r w:rsidR="00D01879" w:rsidRPr="00892CA2">
        <w:rPr>
          <w:szCs w:val="24"/>
          <w:lang w:val="en-US"/>
        </w:rPr>
        <w:t xml:space="preserve"> profiles of idiopathic and </w:t>
      </w:r>
      <w:r w:rsidR="001A0A8E" w:rsidRPr="00892CA2">
        <w:rPr>
          <w:szCs w:val="24"/>
          <w:lang w:val="en-US"/>
        </w:rPr>
        <w:t xml:space="preserve">CD-related </w:t>
      </w:r>
      <w:r w:rsidR="00D01879" w:rsidRPr="00892CA2">
        <w:rPr>
          <w:szCs w:val="24"/>
          <w:lang w:val="en-US"/>
        </w:rPr>
        <w:t xml:space="preserve">perianal fistulae </w:t>
      </w:r>
      <w:r w:rsidR="00E476DC" w:rsidRPr="00892CA2">
        <w:rPr>
          <w:szCs w:val="24"/>
          <w:lang w:val="en-US"/>
        </w:rPr>
        <w:t>were</w:t>
      </w:r>
      <w:r w:rsidR="00D01879" w:rsidRPr="00892CA2">
        <w:rPr>
          <w:szCs w:val="24"/>
          <w:lang w:val="en-US"/>
        </w:rPr>
        <w:t xml:space="preserve"> similar</w:t>
      </w:r>
    </w:p>
    <w:p w14:paraId="248EFFF0" w14:textId="6CC1A98A" w:rsidR="000A4223" w:rsidRPr="00892CA2" w:rsidRDefault="00B46C97" w:rsidP="007E3B89">
      <w:pPr>
        <w:adjustRightInd w:val="0"/>
        <w:snapToGrid w:val="0"/>
        <w:spacing w:before="0" w:after="0"/>
        <w:jc w:val="both"/>
        <w:rPr>
          <w:szCs w:val="24"/>
          <w:lang w:val="en-US"/>
        </w:rPr>
      </w:pPr>
      <w:r w:rsidRPr="00892CA2">
        <w:rPr>
          <w:szCs w:val="24"/>
          <w:lang w:val="en-US"/>
        </w:rPr>
        <w:t>D</w:t>
      </w:r>
      <w:r w:rsidR="00062A93" w:rsidRPr="00892CA2">
        <w:rPr>
          <w:szCs w:val="24"/>
          <w:lang w:val="en-US"/>
        </w:rPr>
        <w:t xml:space="preserve">etailed </w:t>
      </w:r>
      <w:r w:rsidR="00FA2B27" w:rsidRPr="00892CA2">
        <w:rPr>
          <w:szCs w:val="24"/>
          <w:lang w:val="en-US"/>
        </w:rPr>
        <w:t xml:space="preserve">profiling of 30 different cytokines and chemokines </w:t>
      </w:r>
      <w:r w:rsidR="000C5EC4" w:rsidRPr="00892CA2">
        <w:rPr>
          <w:szCs w:val="24"/>
          <w:lang w:val="en-US"/>
        </w:rPr>
        <w:t xml:space="preserve">and 39 different phosphoproteins </w:t>
      </w:r>
      <w:r w:rsidR="00FA2B27" w:rsidRPr="00892CA2">
        <w:rPr>
          <w:szCs w:val="24"/>
          <w:lang w:val="en-US"/>
        </w:rPr>
        <w:t>at four different biopsy sites s</w:t>
      </w:r>
      <w:r w:rsidR="00D01879" w:rsidRPr="00892CA2">
        <w:rPr>
          <w:szCs w:val="24"/>
          <w:lang w:val="en-US"/>
        </w:rPr>
        <w:t xml:space="preserve">howed </w:t>
      </w:r>
      <w:r w:rsidR="009768D3" w:rsidRPr="00892CA2">
        <w:rPr>
          <w:szCs w:val="24"/>
          <w:lang w:val="en-US"/>
        </w:rPr>
        <w:t>that the idiopathic and CD</w:t>
      </w:r>
      <w:r w:rsidR="00D01879" w:rsidRPr="00892CA2">
        <w:rPr>
          <w:szCs w:val="24"/>
          <w:lang w:val="en-US"/>
        </w:rPr>
        <w:t xml:space="preserve"> groups </w:t>
      </w:r>
      <w:r w:rsidR="009768D3" w:rsidRPr="00892CA2">
        <w:rPr>
          <w:szCs w:val="24"/>
          <w:lang w:val="en-US"/>
        </w:rPr>
        <w:t>were</w:t>
      </w:r>
      <w:r w:rsidR="00D01879" w:rsidRPr="00892CA2">
        <w:rPr>
          <w:szCs w:val="24"/>
          <w:lang w:val="en-US"/>
        </w:rPr>
        <w:t xml:space="preserve"> </w:t>
      </w:r>
      <w:r w:rsidR="00062A93" w:rsidRPr="00892CA2">
        <w:rPr>
          <w:szCs w:val="24"/>
          <w:lang w:val="en-US"/>
        </w:rPr>
        <w:t xml:space="preserve">broadly </w:t>
      </w:r>
      <w:r w:rsidR="00D01879" w:rsidRPr="00892CA2">
        <w:rPr>
          <w:szCs w:val="24"/>
          <w:lang w:val="en-US"/>
        </w:rPr>
        <w:t>similar</w:t>
      </w:r>
      <w:r w:rsidR="00284292" w:rsidRPr="00892CA2">
        <w:rPr>
          <w:szCs w:val="24"/>
          <w:lang w:val="en-US"/>
        </w:rPr>
        <w:t>.</w:t>
      </w:r>
      <w:r w:rsidR="009768D3" w:rsidRPr="00892CA2">
        <w:rPr>
          <w:szCs w:val="24"/>
          <w:lang w:val="en-US"/>
        </w:rPr>
        <w:t xml:space="preserve"> Our cytokine profiling is </w:t>
      </w:r>
      <w:r w:rsidR="000A4223" w:rsidRPr="00892CA2">
        <w:rPr>
          <w:szCs w:val="24"/>
          <w:lang w:val="en-US"/>
        </w:rPr>
        <w:t xml:space="preserve">comparable </w:t>
      </w:r>
      <w:r w:rsidR="00AA7E77" w:rsidRPr="00892CA2">
        <w:rPr>
          <w:szCs w:val="24"/>
          <w:lang w:val="en-US"/>
        </w:rPr>
        <w:t xml:space="preserve">to </w:t>
      </w:r>
      <w:r w:rsidR="000A4223" w:rsidRPr="00892CA2">
        <w:rPr>
          <w:szCs w:val="24"/>
          <w:lang w:val="en-US"/>
        </w:rPr>
        <w:t xml:space="preserve">and </w:t>
      </w:r>
      <w:r w:rsidR="009768D3" w:rsidRPr="00892CA2">
        <w:rPr>
          <w:szCs w:val="24"/>
          <w:lang w:val="en-US"/>
        </w:rPr>
        <w:t xml:space="preserve">substantially more extensive than previous </w:t>
      </w:r>
      <w:proofErr w:type="gramStart"/>
      <w:r w:rsidR="009768D3" w:rsidRPr="00892CA2">
        <w:rPr>
          <w:szCs w:val="24"/>
          <w:lang w:val="en-US"/>
        </w:rPr>
        <w:t>studies</w:t>
      </w:r>
      <w:r w:rsidR="003D51A1" w:rsidRPr="00892CA2">
        <w:rPr>
          <w:szCs w:val="24"/>
          <w:vertAlign w:val="superscript"/>
          <w:lang w:val="en-US"/>
        </w:rPr>
        <w:t>[</w:t>
      </w:r>
      <w:proofErr w:type="gramEnd"/>
      <w:r w:rsidR="003D51A1" w:rsidRPr="00892CA2">
        <w:rPr>
          <w:szCs w:val="24"/>
          <w:vertAlign w:val="superscript"/>
          <w:lang w:val="en-US"/>
        </w:rPr>
        <w:t>13,19,20]</w:t>
      </w:r>
      <w:r w:rsidR="009768D3" w:rsidRPr="00892CA2">
        <w:rPr>
          <w:szCs w:val="24"/>
          <w:lang w:val="en-US"/>
        </w:rPr>
        <w:t xml:space="preserve"> and </w:t>
      </w:r>
      <w:r w:rsidR="00F93480" w:rsidRPr="00892CA2">
        <w:rPr>
          <w:szCs w:val="24"/>
          <w:lang w:val="en-US"/>
        </w:rPr>
        <w:t>our phosphoprotein profiling is the first to be reported</w:t>
      </w:r>
      <w:r w:rsidR="009768D3" w:rsidRPr="00892CA2">
        <w:rPr>
          <w:szCs w:val="24"/>
          <w:lang w:val="en-US"/>
        </w:rPr>
        <w:t xml:space="preserve"> in perianal fistula disease.</w:t>
      </w:r>
    </w:p>
    <w:p w14:paraId="063BAA5F" w14:textId="0ADE9E52" w:rsidR="00634E12" w:rsidRPr="00892CA2" w:rsidRDefault="00634E12" w:rsidP="00650E61">
      <w:pPr>
        <w:adjustRightInd w:val="0"/>
        <w:snapToGrid w:val="0"/>
        <w:spacing w:before="0" w:after="0"/>
        <w:ind w:firstLineChars="100" w:firstLine="240"/>
        <w:jc w:val="both"/>
        <w:rPr>
          <w:szCs w:val="24"/>
          <w:lang w:val="en-US"/>
        </w:rPr>
      </w:pPr>
      <w:r w:rsidRPr="00892CA2">
        <w:rPr>
          <w:szCs w:val="24"/>
          <w:lang w:val="en-US" w:eastAsia="en-GB"/>
        </w:rPr>
        <w:t xml:space="preserve">Only </w:t>
      </w:r>
      <w:r w:rsidR="0046570B" w:rsidRPr="00892CA2">
        <w:rPr>
          <w:szCs w:val="24"/>
          <w:lang w:val="en-US" w:eastAsia="en-GB"/>
        </w:rPr>
        <w:t>four</w:t>
      </w:r>
      <w:r w:rsidRPr="00892CA2">
        <w:rPr>
          <w:szCs w:val="24"/>
          <w:lang w:val="en-US" w:eastAsia="en-GB"/>
        </w:rPr>
        <w:t xml:space="preserve"> </w:t>
      </w:r>
      <w:r w:rsidR="0046570B" w:rsidRPr="00892CA2">
        <w:rPr>
          <w:szCs w:val="24"/>
          <w:lang w:val="en-US" w:eastAsia="en-GB"/>
        </w:rPr>
        <w:t>previous studies</w:t>
      </w:r>
      <w:r w:rsidRPr="00892CA2">
        <w:rPr>
          <w:szCs w:val="24"/>
          <w:lang w:val="en-US" w:eastAsia="en-GB"/>
        </w:rPr>
        <w:t xml:space="preserve"> directly compared idiopathic and CD-related </w:t>
      </w:r>
      <w:r w:rsidR="00C07611" w:rsidRPr="00892CA2">
        <w:rPr>
          <w:szCs w:val="24"/>
          <w:lang w:val="en-US" w:eastAsia="en-GB"/>
        </w:rPr>
        <w:t xml:space="preserve">perianal </w:t>
      </w:r>
      <w:r w:rsidRPr="00892CA2">
        <w:rPr>
          <w:szCs w:val="24"/>
          <w:lang w:val="en-US" w:eastAsia="en-GB"/>
        </w:rPr>
        <w:t xml:space="preserve">fistulae. </w:t>
      </w:r>
      <w:proofErr w:type="spellStart"/>
      <w:r w:rsidRPr="00892CA2">
        <w:rPr>
          <w:szCs w:val="24"/>
          <w:lang w:val="en-US"/>
        </w:rPr>
        <w:t>Bataille</w:t>
      </w:r>
      <w:proofErr w:type="spellEnd"/>
      <w:r w:rsidRPr="00892CA2">
        <w:rPr>
          <w:szCs w:val="24"/>
          <w:lang w:val="en-US"/>
        </w:rPr>
        <w:t xml:space="preserve"> </w:t>
      </w:r>
      <w:r w:rsidRPr="00892CA2">
        <w:rPr>
          <w:i/>
          <w:iCs/>
          <w:szCs w:val="24"/>
          <w:lang w:val="en-US"/>
        </w:rPr>
        <w:t xml:space="preserve">et </w:t>
      </w:r>
      <w:proofErr w:type="gramStart"/>
      <w:r w:rsidRPr="00892CA2">
        <w:rPr>
          <w:i/>
          <w:iCs/>
          <w:szCs w:val="24"/>
          <w:lang w:val="en-US"/>
        </w:rPr>
        <w:t>al</w:t>
      </w:r>
      <w:r w:rsidR="00650E61" w:rsidRPr="00892CA2">
        <w:rPr>
          <w:szCs w:val="24"/>
          <w:vertAlign w:val="superscript"/>
          <w:lang w:val="en-US"/>
        </w:rPr>
        <w:t>[</w:t>
      </w:r>
      <w:proofErr w:type="gramEnd"/>
      <w:r w:rsidR="00650E61" w:rsidRPr="00892CA2">
        <w:rPr>
          <w:szCs w:val="24"/>
          <w:vertAlign w:val="superscript"/>
          <w:lang w:val="en-US"/>
        </w:rPr>
        <w:t>10,11]</w:t>
      </w:r>
      <w:r w:rsidRPr="00892CA2">
        <w:rPr>
          <w:szCs w:val="24"/>
          <w:lang w:val="en-US"/>
        </w:rPr>
        <w:t xml:space="preserve"> found </w:t>
      </w:r>
      <w:r w:rsidR="008E4DD4" w:rsidRPr="00892CA2">
        <w:rPr>
          <w:szCs w:val="24"/>
          <w:lang w:val="en-US"/>
        </w:rPr>
        <w:t xml:space="preserve">both </w:t>
      </w:r>
      <w:r w:rsidR="00AA7E77" w:rsidRPr="00892CA2">
        <w:rPr>
          <w:szCs w:val="24"/>
          <w:lang w:val="en-US"/>
        </w:rPr>
        <w:t>types</w:t>
      </w:r>
      <w:r w:rsidRPr="00892CA2">
        <w:rPr>
          <w:szCs w:val="24"/>
          <w:lang w:val="en-US"/>
        </w:rPr>
        <w:t xml:space="preserve"> had a lining of granulation tissue containing histiocytes and capillaries, a lumen filled with nuclear debris, neutrophils and lymphocytes</w:t>
      </w:r>
      <w:r w:rsidR="008E4DD4" w:rsidRPr="00892CA2">
        <w:rPr>
          <w:szCs w:val="24"/>
          <w:lang w:val="en-US"/>
        </w:rPr>
        <w:t>, and markers indicative of epithelial-to-mesenchymal transition</w:t>
      </w:r>
      <w:r w:rsidR="00A741B2" w:rsidRPr="00892CA2">
        <w:rPr>
          <w:szCs w:val="24"/>
          <w:lang w:val="en-US"/>
        </w:rPr>
        <w:t>.</w:t>
      </w:r>
      <w:r w:rsidR="008E4DD4" w:rsidRPr="00892CA2">
        <w:rPr>
          <w:szCs w:val="24"/>
          <w:lang w:val="en-US"/>
        </w:rPr>
        <w:t xml:space="preserve"> </w:t>
      </w:r>
      <w:r w:rsidRPr="00892CA2">
        <w:rPr>
          <w:szCs w:val="24"/>
          <w:lang w:val="en-US"/>
        </w:rPr>
        <w:t>However, CD</w:t>
      </w:r>
      <w:r w:rsidR="0046570B" w:rsidRPr="00892CA2">
        <w:rPr>
          <w:szCs w:val="24"/>
          <w:lang w:val="en-US"/>
        </w:rPr>
        <w:t>-related</w:t>
      </w:r>
      <w:r w:rsidRPr="00892CA2">
        <w:rPr>
          <w:szCs w:val="24"/>
          <w:lang w:val="en-US"/>
        </w:rPr>
        <w:t xml:space="preserve"> </w:t>
      </w:r>
      <w:r w:rsidR="00C07611" w:rsidRPr="00892CA2">
        <w:rPr>
          <w:szCs w:val="24"/>
          <w:lang w:val="en-US"/>
        </w:rPr>
        <w:t xml:space="preserve">perianal </w:t>
      </w:r>
      <w:r w:rsidRPr="00892CA2">
        <w:rPr>
          <w:szCs w:val="24"/>
          <w:lang w:val="en-US"/>
        </w:rPr>
        <w:t>fistulae featured more CD45R0 positive T cells and CD20 positive B cells</w:t>
      </w:r>
      <w:r w:rsidR="00F93480" w:rsidRPr="00892CA2">
        <w:rPr>
          <w:szCs w:val="24"/>
          <w:lang w:val="en-US"/>
        </w:rPr>
        <w:t>, whilst idiopathic fistulae featured more CD68 positive macrophages</w:t>
      </w:r>
      <w:r w:rsidRPr="00892CA2">
        <w:rPr>
          <w:szCs w:val="24"/>
          <w:lang w:val="en-US"/>
        </w:rPr>
        <w:t xml:space="preserve">. </w:t>
      </w:r>
      <w:proofErr w:type="spellStart"/>
      <w:r w:rsidRPr="00892CA2">
        <w:rPr>
          <w:szCs w:val="24"/>
          <w:lang w:val="en-US"/>
        </w:rPr>
        <w:t>Kirkegaard</w:t>
      </w:r>
      <w:proofErr w:type="spellEnd"/>
      <w:r w:rsidRPr="00892CA2">
        <w:rPr>
          <w:szCs w:val="24"/>
          <w:lang w:val="en-US"/>
        </w:rPr>
        <w:t xml:space="preserve"> </w:t>
      </w:r>
      <w:r w:rsidRPr="00892CA2">
        <w:rPr>
          <w:i/>
          <w:iCs/>
          <w:szCs w:val="24"/>
          <w:lang w:val="en-US"/>
        </w:rPr>
        <w:t xml:space="preserve">et </w:t>
      </w:r>
      <w:proofErr w:type="gramStart"/>
      <w:r w:rsidRPr="00892CA2">
        <w:rPr>
          <w:i/>
          <w:iCs/>
          <w:szCs w:val="24"/>
          <w:lang w:val="en-US"/>
        </w:rPr>
        <w:t>al</w:t>
      </w:r>
      <w:r w:rsidR="00FD64AB" w:rsidRPr="00892CA2">
        <w:rPr>
          <w:szCs w:val="24"/>
          <w:vertAlign w:val="superscript"/>
          <w:lang w:val="en-US"/>
        </w:rPr>
        <w:t>[</w:t>
      </w:r>
      <w:proofErr w:type="gramEnd"/>
      <w:r w:rsidR="00FD64AB" w:rsidRPr="00892CA2">
        <w:rPr>
          <w:szCs w:val="24"/>
          <w:vertAlign w:val="superscript"/>
          <w:lang w:val="en-US"/>
        </w:rPr>
        <w:t>12]</w:t>
      </w:r>
      <w:r w:rsidRPr="00892CA2">
        <w:rPr>
          <w:szCs w:val="24"/>
          <w:lang w:val="en-US"/>
        </w:rPr>
        <w:t xml:space="preserve"> found </w:t>
      </w:r>
      <w:r w:rsidR="00F93480" w:rsidRPr="00892CA2">
        <w:rPr>
          <w:szCs w:val="24"/>
          <w:lang w:val="en-US"/>
        </w:rPr>
        <w:t xml:space="preserve">both types had </w:t>
      </w:r>
      <w:r w:rsidRPr="00892CA2">
        <w:rPr>
          <w:szCs w:val="24"/>
          <w:lang w:val="en-US"/>
        </w:rPr>
        <w:t>similar MMP-3 and MMP-9 upregulation</w:t>
      </w:r>
      <w:r w:rsidR="00A741B2" w:rsidRPr="00892CA2">
        <w:rPr>
          <w:szCs w:val="24"/>
          <w:lang w:val="en-US"/>
        </w:rPr>
        <w:t>.</w:t>
      </w:r>
      <w:r w:rsidRPr="00892CA2">
        <w:rPr>
          <w:szCs w:val="24"/>
          <w:lang w:val="en-US"/>
        </w:rPr>
        <w:t xml:space="preserve"> Tozer found </w:t>
      </w:r>
      <w:r w:rsidR="00F93480" w:rsidRPr="00892CA2">
        <w:rPr>
          <w:szCs w:val="24"/>
          <w:lang w:val="en-US"/>
        </w:rPr>
        <w:t xml:space="preserve">both types had </w:t>
      </w:r>
      <w:r w:rsidRPr="00892CA2">
        <w:rPr>
          <w:szCs w:val="24"/>
          <w:lang w:val="en-US"/>
        </w:rPr>
        <w:t xml:space="preserve">similar levels of IL-2, IL-4, IL-6, </w:t>
      </w:r>
      <w:r w:rsidR="0046570B" w:rsidRPr="00892CA2">
        <w:rPr>
          <w:szCs w:val="24"/>
          <w:lang w:val="en-US"/>
        </w:rPr>
        <w:t>IP-10</w:t>
      </w:r>
      <w:r w:rsidRPr="00892CA2">
        <w:rPr>
          <w:szCs w:val="24"/>
          <w:lang w:val="en-US"/>
        </w:rPr>
        <w:t>, TNF-</w:t>
      </w:r>
      <w:r w:rsidRPr="00892CA2">
        <w:rPr>
          <w:szCs w:val="24"/>
          <w:lang w:val="en-US"/>
        </w:rPr>
        <w:sym w:font="Symbol" w:char="F061"/>
      </w:r>
      <w:r w:rsidRPr="00892CA2">
        <w:rPr>
          <w:szCs w:val="24"/>
          <w:lang w:val="en-US"/>
        </w:rPr>
        <w:t xml:space="preserve"> and IFN-</w:t>
      </w:r>
      <w:r w:rsidRPr="00892CA2">
        <w:rPr>
          <w:szCs w:val="24"/>
          <w:lang w:val="en-US"/>
        </w:rPr>
        <w:sym w:font="Symbol" w:char="F067"/>
      </w:r>
      <w:r w:rsidRPr="00892CA2">
        <w:rPr>
          <w:szCs w:val="24"/>
          <w:lang w:val="en-US"/>
        </w:rPr>
        <w:t xml:space="preserve"> in tissue culture supernatants</w:t>
      </w:r>
      <w:r w:rsidR="00E25C63" w:rsidRPr="00892CA2">
        <w:rPr>
          <w:szCs w:val="24"/>
          <w:lang w:val="en-US"/>
        </w:rPr>
        <w:t xml:space="preserve">, but also reported higher numbers of T cells, lower expression of dendritic cell homing markers and fewer CD65 positive macrophages in CD-related </w:t>
      </w:r>
      <w:r w:rsidR="00C07611" w:rsidRPr="00892CA2">
        <w:rPr>
          <w:szCs w:val="24"/>
          <w:lang w:val="en-US"/>
        </w:rPr>
        <w:t xml:space="preserve">perianal </w:t>
      </w:r>
      <w:proofErr w:type="gramStart"/>
      <w:r w:rsidR="00E25C63" w:rsidRPr="00892CA2">
        <w:rPr>
          <w:szCs w:val="24"/>
          <w:lang w:val="en-US"/>
        </w:rPr>
        <w:t>fistulae</w:t>
      </w:r>
      <w:r w:rsidR="003D51A1" w:rsidRPr="00892CA2">
        <w:rPr>
          <w:szCs w:val="24"/>
          <w:vertAlign w:val="superscript"/>
          <w:lang w:val="en-US"/>
        </w:rPr>
        <w:t>[</w:t>
      </w:r>
      <w:proofErr w:type="gramEnd"/>
      <w:r w:rsidR="003D51A1" w:rsidRPr="00892CA2">
        <w:rPr>
          <w:szCs w:val="24"/>
          <w:vertAlign w:val="superscript"/>
          <w:lang w:val="en-US"/>
        </w:rPr>
        <w:t>13]</w:t>
      </w:r>
      <w:r w:rsidR="00A741B2" w:rsidRPr="00892CA2">
        <w:rPr>
          <w:szCs w:val="24"/>
          <w:lang w:val="en-US"/>
        </w:rPr>
        <w:t>.</w:t>
      </w:r>
      <w:r w:rsidRPr="00892CA2">
        <w:rPr>
          <w:szCs w:val="24"/>
          <w:lang w:val="en-US"/>
        </w:rPr>
        <w:t xml:space="preserve"> </w:t>
      </w:r>
    </w:p>
    <w:p w14:paraId="18E0CDFD" w14:textId="7D1397C0" w:rsidR="00B3479A" w:rsidRPr="00892CA2" w:rsidRDefault="005C0505" w:rsidP="00FD64AB">
      <w:pPr>
        <w:adjustRightInd w:val="0"/>
        <w:snapToGrid w:val="0"/>
        <w:spacing w:before="0" w:after="0"/>
        <w:ind w:firstLineChars="100" w:firstLine="240"/>
        <w:jc w:val="both"/>
        <w:rPr>
          <w:szCs w:val="24"/>
          <w:lang w:val="en-US"/>
        </w:rPr>
      </w:pPr>
      <w:r w:rsidRPr="00892CA2">
        <w:rPr>
          <w:szCs w:val="24"/>
          <w:lang w:val="en-US"/>
        </w:rPr>
        <w:t xml:space="preserve">It is well established that there are significant differences in the cytokine expression in CD-affected intestinal mucosa, compared with healthy mucosa, namely </w:t>
      </w:r>
      <w:r w:rsidR="00E25C63" w:rsidRPr="00892CA2">
        <w:rPr>
          <w:szCs w:val="24"/>
          <w:lang w:val="en-US"/>
        </w:rPr>
        <w:t>pro-inflammatory cytokines IL-1, TNF-α, IL-6, IL-8, IL-12, IL-17 and IL-21, and anti-inflammatory cytokines IL-10 and TGF-</w:t>
      </w:r>
      <w:r w:rsidR="00E25C63" w:rsidRPr="00892CA2">
        <w:rPr>
          <w:szCs w:val="24"/>
          <w:lang w:val="en-US"/>
        </w:rPr>
        <w:sym w:font="Symbol" w:char="F062"/>
      </w:r>
      <w:r w:rsidR="003D51A1" w:rsidRPr="00892CA2">
        <w:rPr>
          <w:szCs w:val="24"/>
          <w:vertAlign w:val="superscript"/>
          <w:lang w:val="en-US"/>
        </w:rPr>
        <w:t>[21]</w:t>
      </w:r>
      <w:r w:rsidR="00A741B2" w:rsidRPr="00892CA2">
        <w:rPr>
          <w:szCs w:val="24"/>
          <w:lang w:val="en-US"/>
        </w:rPr>
        <w:t>.</w:t>
      </w:r>
      <w:r w:rsidR="00E25C63" w:rsidRPr="00892CA2">
        <w:rPr>
          <w:szCs w:val="24"/>
          <w:lang w:val="en-US"/>
        </w:rPr>
        <w:t xml:space="preserve"> Thus, </w:t>
      </w:r>
      <w:r w:rsidRPr="00892CA2">
        <w:rPr>
          <w:szCs w:val="24"/>
          <w:lang w:val="en-US"/>
        </w:rPr>
        <w:t xml:space="preserve">notwithstanding Tozer’s results mentioned above, </w:t>
      </w:r>
      <w:r w:rsidR="00E25C63" w:rsidRPr="00892CA2">
        <w:rPr>
          <w:szCs w:val="24"/>
          <w:lang w:val="en-US"/>
        </w:rPr>
        <w:t xml:space="preserve">similar differences might be seen in idiopathic compared with </w:t>
      </w:r>
      <w:r w:rsidRPr="00892CA2">
        <w:rPr>
          <w:szCs w:val="24"/>
          <w:lang w:val="en-US"/>
        </w:rPr>
        <w:t>CD-related</w:t>
      </w:r>
      <w:r w:rsidR="00E25C63" w:rsidRPr="00892CA2">
        <w:rPr>
          <w:szCs w:val="24"/>
          <w:lang w:val="en-US"/>
        </w:rPr>
        <w:t xml:space="preserve"> perianal fistulae. To broaden this line of enquiry, we </w:t>
      </w:r>
      <w:proofErr w:type="spellStart"/>
      <w:r w:rsidR="00E25C63" w:rsidRPr="00892CA2">
        <w:rPr>
          <w:szCs w:val="24"/>
          <w:lang w:val="en-US"/>
        </w:rPr>
        <w:t>analyse</w:t>
      </w:r>
      <w:r w:rsidR="00E90DB9" w:rsidRPr="00892CA2">
        <w:rPr>
          <w:szCs w:val="24"/>
          <w:lang w:val="en-US"/>
        </w:rPr>
        <w:t>d</w:t>
      </w:r>
      <w:proofErr w:type="spellEnd"/>
      <w:r w:rsidR="00E25C63" w:rsidRPr="00892CA2">
        <w:rPr>
          <w:szCs w:val="24"/>
          <w:lang w:val="en-US"/>
        </w:rPr>
        <w:t xml:space="preserve"> the tissue culture supernatants for 30 different cytokines.</w:t>
      </w:r>
      <w:r w:rsidRPr="00892CA2">
        <w:rPr>
          <w:szCs w:val="24"/>
          <w:lang w:val="en-US"/>
        </w:rPr>
        <w:t xml:space="preserve"> </w:t>
      </w:r>
      <w:r w:rsidR="00E90DB9" w:rsidRPr="00892CA2">
        <w:rPr>
          <w:szCs w:val="24"/>
          <w:lang w:val="en-US"/>
        </w:rPr>
        <w:t>O</w:t>
      </w:r>
      <w:r w:rsidR="00FA5EFB" w:rsidRPr="00892CA2">
        <w:rPr>
          <w:szCs w:val="24"/>
          <w:lang w:val="en-US"/>
        </w:rPr>
        <w:t>nly two measurements showed a significant difference between the groups</w:t>
      </w:r>
      <w:r w:rsidR="00B3479A" w:rsidRPr="00892CA2">
        <w:rPr>
          <w:szCs w:val="24"/>
          <w:lang w:val="en-US"/>
        </w:rPr>
        <w:t>: IL-12p70 and the IL-1RA/IL-1</w:t>
      </w:r>
      <w:r w:rsidR="00B3479A" w:rsidRPr="00892CA2">
        <w:rPr>
          <w:szCs w:val="24"/>
          <w:lang w:val="en-US"/>
        </w:rPr>
        <w:sym w:font="Symbol" w:char="F062"/>
      </w:r>
      <w:r w:rsidR="00B3479A" w:rsidRPr="00892CA2">
        <w:rPr>
          <w:szCs w:val="24"/>
          <w:lang w:val="en-US"/>
        </w:rPr>
        <w:t xml:space="preserve"> ratio, both at the internal opening.</w:t>
      </w:r>
    </w:p>
    <w:p w14:paraId="034B32B6" w14:textId="765808D4" w:rsidR="00B3479A" w:rsidRPr="00892CA2" w:rsidRDefault="00B3479A" w:rsidP="00FD64AB">
      <w:pPr>
        <w:adjustRightInd w:val="0"/>
        <w:snapToGrid w:val="0"/>
        <w:spacing w:before="0" w:after="0"/>
        <w:ind w:firstLineChars="100" w:firstLine="240"/>
        <w:jc w:val="both"/>
        <w:rPr>
          <w:szCs w:val="24"/>
          <w:lang w:val="en-US"/>
        </w:rPr>
      </w:pPr>
      <w:r w:rsidRPr="00892CA2">
        <w:rPr>
          <w:szCs w:val="24"/>
          <w:lang w:val="en-US"/>
        </w:rPr>
        <w:t>IL-12 is a proinflammatory cytokine produced by dendritic cells and macroph</w:t>
      </w:r>
      <w:r w:rsidR="009E13D7" w:rsidRPr="00892CA2">
        <w:rPr>
          <w:szCs w:val="24"/>
          <w:lang w:val="en-US"/>
        </w:rPr>
        <w:t>ages. It comprises two subunits,</w:t>
      </w:r>
      <w:r w:rsidRPr="00892CA2">
        <w:rPr>
          <w:szCs w:val="24"/>
          <w:lang w:val="en-US"/>
        </w:rPr>
        <w:t xml:space="preserve"> IL-12p35 and IL-12p40</w:t>
      </w:r>
      <w:r w:rsidR="009E13D7" w:rsidRPr="00892CA2">
        <w:rPr>
          <w:szCs w:val="24"/>
          <w:lang w:val="en-US"/>
        </w:rPr>
        <w:t xml:space="preserve">, which combine </w:t>
      </w:r>
      <w:r w:rsidR="00E90DB9" w:rsidRPr="00892CA2">
        <w:rPr>
          <w:szCs w:val="24"/>
          <w:lang w:val="en-US"/>
        </w:rPr>
        <w:t>into</w:t>
      </w:r>
      <w:r w:rsidR="009E13D7" w:rsidRPr="00892CA2">
        <w:rPr>
          <w:szCs w:val="24"/>
          <w:lang w:val="en-US"/>
        </w:rPr>
        <w:t xml:space="preserve"> IL-12p70</w:t>
      </w:r>
      <w:r w:rsidRPr="00892CA2">
        <w:rPr>
          <w:szCs w:val="24"/>
          <w:lang w:val="en-US"/>
        </w:rPr>
        <w:t xml:space="preserve">. The IL-12 receptor is found mainly on T cells and natural killer cells. </w:t>
      </w:r>
      <w:r w:rsidR="009E13D7" w:rsidRPr="00892CA2">
        <w:rPr>
          <w:szCs w:val="24"/>
          <w:lang w:val="en-US"/>
        </w:rPr>
        <w:t>IL-12</w:t>
      </w:r>
      <w:r w:rsidR="00062A93" w:rsidRPr="00892CA2">
        <w:rPr>
          <w:szCs w:val="24"/>
          <w:lang w:val="en-US"/>
        </w:rPr>
        <w:t xml:space="preserve"> </w:t>
      </w:r>
      <w:r w:rsidRPr="00892CA2">
        <w:rPr>
          <w:szCs w:val="24"/>
          <w:lang w:val="en-US"/>
        </w:rPr>
        <w:t>induces production of IFN-</w:t>
      </w:r>
      <w:r w:rsidRPr="00892CA2">
        <w:rPr>
          <w:szCs w:val="24"/>
          <w:lang w:val="en-US"/>
        </w:rPr>
        <w:sym w:font="Symbol" w:char="F067"/>
      </w:r>
      <w:r w:rsidRPr="00892CA2">
        <w:rPr>
          <w:szCs w:val="24"/>
          <w:lang w:val="en-US"/>
        </w:rPr>
        <w:t xml:space="preserve">, promotes T helper 1 cell differentiation and forms a link between innate resistance and acquired </w:t>
      </w:r>
      <w:proofErr w:type="gramStart"/>
      <w:r w:rsidRPr="00892CA2">
        <w:rPr>
          <w:szCs w:val="24"/>
          <w:lang w:val="en-US"/>
        </w:rPr>
        <w:t>immunity</w:t>
      </w:r>
      <w:r w:rsidR="003D51A1" w:rsidRPr="00892CA2">
        <w:rPr>
          <w:szCs w:val="24"/>
          <w:vertAlign w:val="superscript"/>
          <w:lang w:val="en-US"/>
        </w:rPr>
        <w:t>[</w:t>
      </w:r>
      <w:proofErr w:type="gramEnd"/>
      <w:r w:rsidR="003D51A1" w:rsidRPr="00892CA2">
        <w:rPr>
          <w:szCs w:val="24"/>
          <w:vertAlign w:val="superscript"/>
          <w:lang w:val="en-US"/>
        </w:rPr>
        <w:t>22]</w:t>
      </w:r>
      <w:r w:rsidR="00A741B2" w:rsidRPr="00892CA2">
        <w:rPr>
          <w:szCs w:val="24"/>
          <w:lang w:val="en-US"/>
        </w:rPr>
        <w:t>.</w:t>
      </w:r>
      <w:r w:rsidRPr="00892CA2">
        <w:rPr>
          <w:szCs w:val="24"/>
          <w:lang w:val="en-US"/>
        </w:rPr>
        <w:t xml:space="preserve"> </w:t>
      </w:r>
      <w:r w:rsidR="009E13D7" w:rsidRPr="00892CA2">
        <w:rPr>
          <w:szCs w:val="24"/>
          <w:lang w:val="en-US"/>
        </w:rPr>
        <w:t>It</w:t>
      </w:r>
      <w:r w:rsidRPr="00892CA2">
        <w:rPr>
          <w:szCs w:val="24"/>
          <w:lang w:val="en-US"/>
        </w:rPr>
        <w:t xml:space="preserve"> plays an important role in </w:t>
      </w:r>
      <w:r w:rsidR="0069097F" w:rsidRPr="00892CA2">
        <w:rPr>
          <w:szCs w:val="24"/>
          <w:lang w:val="en-US"/>
        </w:rPr>
        <w:t>CD</w:t>
      </w:r>
      <w:r w:rsidRPr="00892CA2">
        <w:rPr>
          <w:szCs w:val="24"/>
          <w:lang w:val="en-US"/>
        </w:rPr>
        <w:t xml:space="preserve"> pathogenesis. The expression of IL-12 is upregulated in </w:t>
      </w:r>
      <w:r w:rsidR="0069097F" w:rsidRPr="00892CA2">
        <w:rPr>
          <w:szCs w:val="24"/>
          <w:lang w:val="en-US"/>
        </w:rPr>
        <w:t>CD</w:t>
      </w:r>
      <w:r w:rsidRPr="00892CA2">
        <w:rPr>
          <w:szCs w:val="24"/>
          <w:lang w:val="en-US"/>
        </w:rPr>
        <w:t xml:space="preserve"> </w:t>
      </w:r>
      <w:proofErr w:type="gramStart"/>
      <w:r w:rsidRPr="00892CA2">
        <w:rPr>
          <w:szCs w:val="24"/>
          <w:lang w:val="en-US"/>
        </w:rPr>
        <w:t>mucosa</w:t>
      </w:r>
      <w:r w:rsidR="003D51A1" w:rsidRPr="00892CA2">
        <w:rPr>
          <w:szCs w:val="24"/>
          <w:vertAlign w:val="superscript"/>
          <w:lang w:val="en-US"/>
        </w:rPr>
        <w:t>[</w:t>
      </w:r>
      <w:proofErr w:type="gramEnd"/>
      <w:r w:rsidR="003D51A1" w:rsidRPr="00892CA2">
        <w:rPr>
          <w:szCs w:val="24"/>
          <w:vertAlign w:val="superscript"/>
          <w:lang w:val="en-US"/>
        </w:rPr>
        <w:t>23]</w:t>
      </w:r>
      <w:r w:rsidR="00A741B2" w:rsidRPr="00892CA2">
        <w:rPr>
          <w:szCs w:val="24"/>
          <w:lang w:val="en-US"/>
        </w:rPr>
        <w:t>.</w:t>
      </w:r>
      <w:r w:rsidRPr="00892CA2">
        <w:rPr>
          <w:szCs w:val="24"/>
          <w:lang w:val="en-US"/>
        </w:rPr>
        <w:t xml:space="preserve"> </w:t>
      </w:r>
      <w:r w:rsidR="004E1468" w:rsidRPr="00892CA2">
        <w:rPr>
          <w:szCs w:val="24"/>
          <w:lang w:val="en-US"/>
        </w:rPr>
        <w:t>This</w:t>
      </w:r>
      <w:r w:rsidRPr="00892CA2">
        <w:rPr>
          <w:szCs w:val="24"/>
          <w:lang w:val="en-US"/>
        </w:rPr>
        <w:t xml:space="preserve"> study found significantly higher concentrations of IL-12p70 at the internal opening in the </w:t>
      </w:r>
      <w:r w:rsidR="0069097F" w:rsidRPr="00892CA2">
        <w:rPr>
          <w:szCs w:val="24"/>
          <w:lang w:val="en-US"/>
        </w:rPr>
        <w:t>CD</w:t>
      </w:r>
      <w:r w:rsidRPr="00892CA2">
        <w:rPr>
          <w:szCs w:val="24"/>
          <w:lang w:val="en-US"/>
        </w:rPr>
        <w:t xml:space="preserve"> group</w:t>
      </w:r>
      <w:r w:rsidR="004E1468" w:rsidRPr="00892CA2">
        <w:rPr>
          <w:szCs w:val="24"/>
          <w:lang w:val="en-US"/>
        </w:rPr>
        <w:t>,</w:t>
      </w:r>
      <w:r w:rsidRPr="00892CA2">
        <w:rPr>
          <w:szCs w:val="24"/>
          <w:lang w:val="en-US"/>
        </w:rPr>
        <w:t xml:space="preserve"> suggest</w:t>
      </w:r>
      <w:r w:rsidR="004E1468" w:rsidRPr="00892CA2">
        <w:rPr>
          <w:szCs w:val="24"/>
          <w:lang w:val="en-US"/>
        </w:rPr>
        <w:t>ing</w:t>
      </w:r>
      <w:r w:rsidRPr="00892CA2">
        <w:rPr>
          <w:szCs w:val="24"/>
          <w:lang w:val="en-US"/>
        </w:rPr>
        <w:t xml:space="preserve"> a similarly important role for IL-12 in </w:t>
      </w:r>
      <w:r w:rsidR="004E1468" w:rsidRPr="00892CA2">
        <w:rPr>
          <w:szCs w:val="24"/>
          <w:lang w:val="en-US"/>
        </w:rPr>
        <w:t xml:space="preserve">CD-related </w:t>
      </w:r>
      <w:r w:rsidRPr="00892CA2">
        <w:rPr>
          <w:szCs w:val="24"/>
          <w:lang w:val="en-US"/>
        </w:rPr>
        <w:t>perianal fistula and may represent a difference in its pathophysiology compared with idiopathic perianal fistula disease. However, these data need to be interpr</w:t>
      </w:r>
      <w:r w:rsidR="005E0245" w:rsidRPr="00892CA2">
        <w:rPr>
          <w:szCs w:val="24"/>
          <w:lang w:val="en-US"/>
        </w:rPr>
        <w:t>eted with caution, as the 99% confidence interval came close to zero.</w:t>
      </w:r>
    </w:p>
    <w:p w14:paraId="5D9BBFD9" w14:textId="5BBF8AE4" w:rsidR="00062A93" w:rsidRPr="00892CA2" w:rsidRDefault="00B3479A" w:rsidP="00FD64AB">
      <w:pPr>
        <w:adjustRightInd w:val="0"/>
        <w:snapToGrid w:val="0"/>
        <w:spacing w:before="0" w:after="0"/>
        <w:ind w:firstLineChars="100" w:firstLine="240"/>
        <w:jc w:val="both"/>
        <w:rPr>
          <w:szCs w:val="24"/>
          <w:lang w:val="en-US"/>
        </w:rPr>
      </w:pPr>
      <w:r w:rsidRPr="00892CA2">
        <w:rPr>
          <w:szCs w:val="24"/>
          <w:lang w:val="en-US"/>
        </w:rPr>
        <w:t>IL-1</w:t>
      </w:r>
      <w:r w:rsidRPr="00892CA2">
        <w:rPr>
          <w:szCs w:val="24"/>
          <w:lang w:val="en-US"/>
        </w:rPr>
        <w:sym w:font="Symbol" w:char="F061"/>
      </w:r>
      <w:r w:rsidRPr="00892CA2">
        <w:rPr>
          <w:szCs w:val="24"/>
          <w:lang w:val="en-US"/>
        </w:rPr>
        <w:t xml:space="preserve"> and IL-1</w:t>
      </w:r>
      <w:r w:rsidRPr="00892CA2">
        <w:rPr>
          <w:szCs w:val="24"/>
          <w:lang w:val="en-US"/>
        </w:rPr>
        <w:sym w:font="Symbol" w:char="F062"/>
      </w:r>
      <w:r w:rsidRPr="00892CA2">
        <w:rPr>
          <w:szCs w:val="24"/>
          <w:lang w:val="en-US"/>
        </w:rPr>
        <w:t xml:space="preserve"> mediate immune and inflammatory responses. They are primarily produced by tissue macrophages, monocytes, fibroblasts, and dendritic cells and enable transmigration of immune cells to the site of inflammation. IL-1</w:t>
      </w:r>
      <w:r w:rsidRPr="00892CA2">
        <w:rPr>
          <w:szCs w:val="24"/>
          <w:lang w:val="en-US"/>
        </w:rPr>
        <w:sym w:font="Symbol" w:char="F062"/>
      </w:r>
      <w:r w:rsidRPr="00892CA2">
        <w:rPr>
          <w:szCs w:val="24"/>
          <w:lang w:val="en-US"/>
        </w:rPr>
        <w:t xml:space="preserve"> concentration </w:t>
      </w:r>
      <w:r w:rsidR="00D53586" w:rsidRPr="00892CA2">
        <w:rPr>
          <w:szCs w:val="24"/>
          <w:lang w:val="en-US"/>
        </w:rPr>
        <w:t xml:space="preserve">is increased in inflamed </w:t>
      </w:r>
      <w:r w:rsidR="0069097F" w:rsidRPr="00892CA2">
        <w:rPr>
          <w:szCs w:val="24"/>
          <w:lang w:val="en-US"/>
        </w:rPr>
        <w:t>CD</w:t>
      </w:r>
      <w:r w:rsidR="00971C9B" w:rsidRPr="00892CA2">
        <w:rPr>
          <w:szCs w:val="24"/>
          <w:lang w:val="en-US"/>
        </w:rPr>
        <w:t xml:space="preserve"> colonic </w:t>
      </w:r>
      <w:proofErr w:type="gramStart"/>
      <w:r w:rsidR="00971C9B" w:rsidRPr="00892CA2">
        <w:rPr>
          <w:szCs w:val="24"/>
          <w:lang w:val="en-US"/>
        </w:rPr>
        <w:t>mucosa</w:t>
      </w:r>
      <w:r w:rsidR="003D51A1" w:rsidRPr="00892CA2">
        <w:rPr>
          <w:szCs w:val="24"/>
          <w:vertAlign w:val="superscript"/>
          <w:lang w:val="en-US"/>
        </w:rPr>
        <w:t>[</w:t>
      </w:r>
      <w:proofErr w:type="gramEnd"/>
      <w:r w:rsidR="003D51A1" w:rsidRPr="00892CA2">
        <w:rPr>
          <w:szCs w:val="24"/>
          <w:vertAlign w:val="superscript"/>
          <w:lang w:val="en-US"/>
        </w:rPr>
        <w:t>24]</w:t>
      </w:r>
      <w:r w:rsidR="00A741B2" w:rsidRPr="00892CA2">
        <w:rPr>
          <w:szCs w:val="24"/>
          <w:lang w:val="en-US"/>
        </w:rPr>
        <w:t>.</w:t>
      </w:r>
      <w:r w:rsidRPr="00892CA2">
        <w:rPr>
          <w:szCs w:val="24"/>
          <w:lang w:val="en-US"/>
        </w:rPr>
        <w:t xml:space="preserve"> </w:t>
      </w:r>
      <w:r w:rsidR="00A03A32" w:rsidRPr="00892CA2">
        <w:rPr>
          <w:szCs w:val="24"/>
          <w:lang w:val="en-US"/>
        </w:rPr>
        <w:t>We</w:t>
      </w:r>
      <w:r w:rsidRPr="00892CA2">
        <w:rPr>
          <w:szCs w:val="24"/>
          <w:lang w:val="en-US"/>
        </w:rPr>
        <w:t xml:space="preserve"> found low concentrations </w:t>
      </w:r>
      <w:r w:rsidR="00E90DB9" w:rsidRPr="00892CA2">
        <w:rPr>
          <w:szCs w:val="24"/>
          <w:lang w:val="en-US"/>
        </w:rPr>
        <w:t xml:space="preserve">in </w:t>
      </w:r>
      <w:r w:rsidRPr="00892CA2">
        <w:rPr>
          <w:szCs w:val="24"/>
          <w:lang w:val="en-US"/>
        </w:rPr>
        <w:t xml:space="preserve">the fistula tract, internal opening and rectal mucosa, with no significant differences between the </w:t>
      </w:r>
      <w:r w:rsidR="004D3BE2" w:rsidRPr="00892CA2">
        <w:rPr>
          <w:szCs w:val="24"/>
          <w:lang w:val="en-US"/>
        </w:rPr>
        <w:t xml:space="preserve">groups. This might suggest that the role of IL-1 in perianal fistula differs </w:t>
      </w:r>
      <w:r w:rsidRPr="00892CA2">
        <w:rPr>
          <w:szCs w:val="24"/>
          <w:lang w:val="en-US"/>
        </w:rPr>
        <w:t xml:space="preserve">from inflamed </w:t>
      </w:r>
      <w:r w:rsidR="0069097F" w:rsidRPr="00892CA2">
        <w:rPr>
          <w:szCs w:val="24"/>
          <w:lang w:val="en-US"/>
        </w:rPr>
        <w:t>CD</w:t>
      </w:r>
      <w:r w:rsidRPr="00892CA2">
        <w:rPr>
          <w:szCs w:val="24"/>
          <w:lang w:val="en-US"/>
        </w:rPr>
        <w:t xml:space="preserve"> </w:t>
      </w:r>
      <w:r w:rsidR="00AC78B1" w:rsidRPr="00892CA2">
        <w:rPr>
          <w:szCs w:val="24"/>
          <w:lang w:val="en-US"/>
        </w:rPr>
        <w:t xml:space="preserve">colonic </w:t>
      </w:r>
      <w:r w:rsidRPr="00892CA2">
        <w:rPr>
          <w:szCs w:val="24"/>
          <w:lang w:val="en-US"/>
        </w:rPr>
        <w:t xml:space="preserve">mucosa. </w:t>
      </w:r>
      <w:r w:rsidR="0093381B" w:rsidRPr="00892CA2">
        <w:rPr>
          <w:szCs w:val="24"/>
          <w:lang w:val="en-US"/>
        </w:rPr>
        <w:t>However, we found the IL-1RA/IL-1</w:t>
      </w:r>
      <w:r w:rsidR="005C4D25" w:rsidRPr="00892CA2">
        <w:rPr>
          <w:szCs w:val="24"/>
          <w:lang w:val="en-US"/>
        </w:rPr>
        <w:t>ß</w:t>
      </w:r>
      <w:r w:rsidR="008B6B0B" w:rsidRPr="00892CA2">
        <w:rPr>
          <w:szCs w:val="24"/>
          <w:lang w:val="en-US"/>
        </w:rPr>
        <w:t xml:space="preserve"> ratio at the internal opening was significantly lower in the </w:t>
      </w:r>
      <w:r w:rsidR="0069097F" w:rsidRPr="00892CA2">
        <w:rPr>
          <w:szCs w:val="24"/>
          <w:lang w:val="en-US"/>
        </w:rPr>
        <w:t>CD</w:t>
      </w:r>
      <w:r w:rsidR="008B6B0B" w:rsidRPr="00892CA2">
        <w:rPr>
          <w:szCs w:val="24"/>
          <w:lang w:val="en-US"/>
        </w:rPr>
        <w:t xml:space="preserve"> group, which is in keeping</w:t>
      </w:r>
      <w:r w:rsidR="00AC78B1" w:rsidRPr="00892CA2">
        <w:rPr>
          <w:szCs w:val="24"/>
          <w:lang w:val="en-US"/>
        </w:rPr>
        <w:t xml:space="preserve"> with previous reports in inflamed </w:t>
      </w:r>
      <w:r w:rsidR="0069097F" w:rsidRPr="00892CA2">
        <w:rPr>
          <w:szCs w:val="24"/>
          <w:lang w:val="en-US"/>
        </w:rPr>
        <w:t>CD</w:t>
      </w:r>
      <w:r w:rsidR="00AC78B1" w:rsidRPr="00892CA2">
        <w:rPr>
          <w:szCs w:val="24"/>
          <w:lang w:val="en-US"/>
        </w:rPr>
        <w:t xml:space="preserve"> colonic </w:t>
      </w:r>
      <w:proofErr w:type="gramStart"/>
      <w:r w:rsidR="00AC78B1" w:rsidRPr="00892CA2">
        <w:rPr>
          <w:szCs w:val="24"/>
          <w:lang w:val="en-US"/>
        </w:rPr>
        <w:t>mucosa</w:t>
      </w:r>
      <w:r w:rsidR="003D51A1" w:rsidRPr="00892CA2">
        <w:rPr>
          <w:szCs w:val="24"/>
          <w:vertAlign w:val="superscript"/>
          <w:lang w:val="en-US"/>
        </w:rPr>
        <w:t>[</w:t>
      </w:r>
      <w:proofErr w:type="gramEnd"/>
      <w:r w:rsidR="003D51A1" w:rsidRPr="00892CA2">
        <w:rPr>
          <w:szCs w:val="24"/>
          <w:vertAlign w:val="superscript"/>
          <w:lang w:val="en-US"/>
        </w:rPr>
        <w:t>24]</w:t>
      </w:r>
      <w:r w:rsidR="00A741B2" w:rsidRPr="00892CA2">
        <w:rPr>
          <w:szCs w:val="24"/>
          <w:lang w:val="en-US"/>
        </w:rPr>
        <w:t>.</w:t>
      </w:r>
      <w:r w:rsidRPr="00892CA2">
        <w:rPr>
          <w:szCs w:val="24"/>
          <w:lang w:val="en-US"/>
        </w:rPr>
        <w:t xml:space="preserve"> </w:t>
      </w:r>
    </w:p>
    <w:p w14:paraId="05E8589F" w14:textId="7DB26DD9" w:rsidR="00092C5D" w:rsidRPr="00892CA2" w:rsidRDefault="00707AA6" w:rsidP="00AE4F79">
      <w:pPr>
        <w:adjustRightInd w:val="0"/>
        <w:snapToGrid w:val="0"/>
        <w:spacing w:before="0" w:after="0"/>
        <w:ind w:firstLineChars="100" w:firstLine="240"/>
        <w:jc w:val="both"/>
        <w:rPr>
          <w:szCs w:val="24"/>
          <w:lang w:val="en-US"/>
        </w:rPr>
      </w:pPr>
      <w:r w:rsidRPr="00892CA2">
        <w:rPr>
          <w:szCs w:val="24"/>
          <w:lang w:val="en-US"/>
        </w:rPr>
        <w:t xml:space="preserve">RTKs and intracellular </w:t>
      </w:r>
      <w:proofErr w:type="spellStart"/>
      <w:r w:rsidRPr="00892CA2">
        <w:rPr>
          <w:szCs w:val="24"/>
          <w:lang w:val="en-US"/>
        </w:rPr>
        <w:t>signalling</w:t>
      </w:r>
      <w:proofErr w:type="spellEnd"/>
      <w:r w:rsidRPr="00892CA2">
        <w:rPr>
          <w:szCs w:val="24"/>
          <w:lang w:val="en-US"/>
        </w:rPr>
        <w:t xml:space="preserve"> pathways control and regulate cell </w:t>
      </w:r>
      <w:proofErr w:type="spellStart"/>
      <w:proofErr w:type="gramStart"/>
      <w:r w:rsidRPr="00892CA2">
        <w:rPr>
          <w:szCs w:val="24"/>
          <w:lang w:val="en-US"/>
        </w:rPr>
        <w:t>behaviour</w:t>
      </w:r>
      <w:proofErr w:type="spellEnd"/>
      <w:r w:rsidR="003D51A1" w:rsidRPr="00892CA2">
        <w:rPr>
          <w:szCs w:val="24"/>
          <w:vertAlign w:val="superscript"/>
          <w:lang w:val="en-US"/>
        </w:rPr>
        <w:t>[</w:t>
      </w:r>
      <w:proofErr w:type="gramEnd"/>
      <w:r w:rsidR="003D51A1" w:rsidRPr="00892CA2">
        <w:rPr>
          <w:szCs w:val="24"/>
          <w:vertAlign w:val="superscript"/>
          <w:lang w:val="en-US"/>
        </w:rPr>
        <w:t>25]</w:t>
      </w:r>
      <w:r w:rsidR="00A741B2" w:rsidRPr="00892CA2">
        <w:rPr>
          <w:szCs w:val="24"/>
          <w:lang w:val="en-US"/>
        </w:rPr>
        <w:t>.</w:t>
      </w:r>
      <w:r w:rsidRPr="00892CA2">
        <w:rPr>
          <w:szCs w:val="24"/>
          <w:lang w:val="en-US"/>
        </w:rPr>
        <w:t xml:space="preserve"> </w:t>
      </w:r>
      <w:r w:rsidR="00E90DB9" w:rsidRPr="00892CA2">
        <w:rPr>
          <w:szCs w:val="24"/>
          <w:lang w:val="en-US"/>
        </w:rPr>
        <w:t>M</w:t>
      </w:r>
      <w:r w:rsidRPr="00892CA2">
        <w:rPr>
          <w:szCs w:val="24"/>
          <w:lang w:val="en-US"/>
        </w:rPr>
        <w:t xml:space="preserve">any intracellular </w:t>
      </w:r>
      <w:proofErr w:type="spellStart"/>
      <w:r w:rsidRPr="00892CA2">
        <w:rPr>
          <w:szCs w:val="24"/>
          <w:lang w:val="en-US"/>
        </w:rPr>
        <w:t>signalling</w:t>
      </w:r>
      <w:proofErr w:type="spellEnd"/>
      <w:r w:rsidRPr="00892CA2">
        <w:rPr>
          <w:szCs w:val="24"/>
          <w:lang w:val="en-US"/>
        </w:rPr>
        <w:t xml:space="preserve"> pathways are upregulated in </w:t>
      </w:r>
      <w:proofErr w:type="gramStart"/>
      <w:r w:rsidRPr="00892CA2">
        <w:rPr>
          <w:szCs w:val="24"/>
          <w:lang w:val="en-US"/>
        </w:rPr>
        <w:t>CD</w:t>
      </w:r>
      <w:r w:rsidR="003D51A1" w:rsidRPr="00892CA2">
        <w:rPr>
          <w:szCs w:val="24"/>
          <w:vertAlign w:val="superscript"/>
          <w:lang w:val="en-US"/>
        </w:rPr>
        <w:t>[</w:t>
      </w:r>
      <w:proofErr w:type="gramEnd"/>
      <w:r w:rsidR="003D51A1" w:rsidRPr="00892CA2">
        <w:rPr>
          <w:szCs w:val="24"/>
          <w:vertAlign w:val="superscript"/>
          <w:lang w:val="en-US"/>
        </w:rPr>
        <w:t>17]</w:t>
      </w:r>
      <w:r w:rsidR="00A741B2" w:rsidRPr="00892CA2">
        <w:rPr>
          <w:szCs w:val="24"/>
          <w:lang w:val="en-US"/>
        </w:rPr>
        <w:t>.</w:t>
      </w:r>
      <w:r w:rsidRPr="00892CA2">
        <w:rPr>
          <w:szCs w:val="24"/>
          <w:lang w:val="en-US"/>
        </w:rPr>
        <w:t xml:space="preserve"> For example, signal transducer and activator of transcription 4 in T helper 1 cells is activated by IL-12, driving IFN-</w:t>
      </w:r>
      <w:r w:rsidRPr="00892CA2">
        <w:rPr>
          <w:szCs w:val="24"/>
          <w:lang w:val="en-US"/>
        </w:rPr>
        <w:sym w:font="Symbol" w:char="F067"/>
      </w:r>
      <w:r w:rsidRPr="00892CA2">
        <w:rPr>
          <w:szCs w:val="24"/>
          <w:lang w:val="en-US"/>
        </w:rPr>
        <w:t xml:space="preserve"> and TNF-</w:t>
      </w:r>
      <w:r w:rsidRPr="00892CA2">
        <w:rPr>
          <w:szCs w:val="24"/>
          <w:lang w:val="en-US"/>
        </w:rPr>
        <w:sym w:font="Symbol" w:char="F061"/>
      </w:r>
      <w:r w:rsidRPr="00892CA2">
        <w:rPr>
          <w:szCs w:val="24"/>
          <w:lang w:val="en-US"/>
        </w:rPr>
        <w:t xml:space="preserve"> </w:t>
      </w:r>
      <w:proofErr w:type="gramStart"/>
      <w:r w:rsidRPr="00892CA2">
        <w:rPr>
          <w:szCs w:val="24"/>
          <w:lang w:val="en-US"/>
        </w:rPr>
        <w:t>production</w:t>
      </w:r>
      <w:r w:rsidR="003D51A1" w:rsidRPr="00892CA2">
        <w:rPr>
          <w:szCs w:val="24"/>
          <w:vertAlign w:val="superscript"/>
          <w:lang w:val="en-US"/>
        </w:rPr>
        <w:t>[</w:t>
      </w:r>
      <w:proofErr w:type="gramEnd"/>
      <w:r w:rsidR="003D51A1" w:rsidRPr="00892CA2">
        <w:rPr>
          <w:szCs w:val="24"/>
          <w:vertAlign w:val="superscript"/>
          <w:lang w:val="en-US"/>
        </w:rPr>
        <w:t>26]</w:t>
      </w:r>
      <w:r w:rsidR="00A741B2" w:rsidRPr="00892CA2">
        <w:rPr>
          <w:szCs w:val="24"/>
          <w:lang w:val="en-US"/>
        </w:rPr>
        <w:t>.</w:t>
      </w:r>
      <w:r w:rsidRPr="00892CA2">
        <w:rPr>
          <w:szCs w:val="24"/>
          <w:lang w:val="en-US"/>
        </w:rPr>
        <w:t xml:space="preserve"> Indeed an anti-IL-12 monoclonal antibody, </w:t>
      </w:r>
      <w:proofErr w:type="spellStart"/>
      <w:r w:rsidRPr="00892CA2">
        <w:rPr>
          <w:szCs w:val="24"/>
          <w:lang w:val="en-US"/>
        </w:rPr>
        <w:t>ustekinumab</w:t>
      </w:r>
      <w:proofErr w:type="spellEnd"/>
      <w:r w:rsidR="00E90DB9" w:rsidRPr="00892CA2">
        <w:rPr>
          <w:szCs w:val="24"/>
          <w:lang w:val="en-US"/>
        </w:rPr>
        <w:t>,</w:t>
      </w:r>
      <w:r w:rsidRPr="00892CA2">
        <w:rPr>
          <w:szCs w:val="24"/>
          <w:lang w:val="en-US"/>
        </w:rPr>
        <w:t xml:space="preserve"> is of clinical benefit in </w:t>
      </w:r>
      <w:proofErr w:type="gramStart"/>
      <w:r w:rsidRPr="00892CA2">
        <w:rPr>
          <w:szCs w:val="24"/>
          <w:lang w:val="en-US"/>
        </w:rPr>
        <w:t>CD</w:t>
      </w:r>
      <w:r w:rsidR="003D51A1" w:rsidRPr="00892CA2">
        <w:rPr>
          <w:szCs w:val="24"/>
          <w:vertAlign w:val="superscript"/>
          <w:lang w:val="en-US"/>
        </w:rPr>
        <w:t>[</w:t>
      </w:r>
      <w:proofErr w:type="gramEnd"/>
      <w:r w:rsidR="003D51A1" w:rsidRPr="00892CA2">
        <w:rPr>
          <w:szCs w:val="24"/>
          <w:vertAlign w:val="superscript"/>
          <w:lang w:val="en-US"/>
        </w:rPr>
        <w:t>27]</w:t>
      </w:r>
      <w:r w:rsidR="00A741B2" w:rsidRPr="00892CA2">
        <w:rPr>
          <w:szCs w:val="24"/>
          <w:lang w:val="en-US"/>
        </w:rPr>
        <w:t>.</w:t>
      </w:r>
      <w:r w:rsidRPr="00892CA2">
        <w:rPr>
          <w:szCs w:val="24"/>
          <w:lang w:val="en-US"/>
        </w:rPr>
        <w:t xml:space="preserve"> </w:t>
      </w:r>
      <w:r w:rsidR="00B222A7" w:rsidRPr="00892CA2">
        <w:rPr>
          <w:szCs w:val="24"/>
          <w:lang w:val="en-US"/>
        </w:rPr>
        <w:t>W</w:t>
      </w:r>
      <w:r w:rsidRPr="00892CA2">
        <w:rPr>
          <w:szCs w:val="24"/>
          <w:lang w:val="en-US"/>
        </w:rPr>
        <w:t xml:space="preserve">e </w:t>
      </w:r>
      <w:proofErr w:type="spellStart"/>
      <w:r w:rsidRPr="00892CA2">
        <w:rPr>
          <w:szCs w:val="24"/>
          <w:lang w:val="en-US"/>
        </w:rPr>
        <w:t>analyse</w:t>
      </w:r>
      <w:r w:rsidR="00E90DB9" w:rsidRPr="00892CA2">
        <w:rPr>
          <w:szCs w:val="24"/>
          <w:lang w:val="en-US"/>
        </w:rPr>
        <w:t>d</w:t>
      </w:r>
      <w:proofErr w:type="spellEnd"/>
      <w:r w:rsidRPr="00892CA2">
        <w:rPr>
          <w:szCs w:val="24"/>
          <w:lang w:val="en-US"/>
        </w:rPr>
        <w:t xml:space="preserve"> 39 different phosphoproteins involved in epithelial cell </w:t>
      </w:r>
      <w:proofErr w:type="spellStart"/>
      <w:r w:rsidRPr="00892CA2">
        <w:rPr>
          <w:szCs w:val="24"/>
          <w:lang w:val="en-US"/>
        </w:rPr>
        <w:t>signalling</w:t>
      </w:r>
      <w:proofErr w:type="spellEnd"/>
      <w:r w:rsidRPr="00892CA2">
        <w:rPr>
          <w:szCs w:val="24"/>
          <w:lang w:val="en-US"/>
        </w:rPr>
        <w:t>, wound healing, inflammation and T cell activation</w:t>
      </w:r>
      <w:r w:rsidR="00B222A7" w:rsidRPr="00892CA2">
        <w:rPr>
          <w:szCs w:val="24"/>
          <w:lang w:val="en-US"/>
        </w:rPr>
        <w:t xml:space="preserve">, and </w:t>
      </w:r>
      <w:r w:rsidR="00D85FE0" w:rsidRPr="00892CA2">
        <w:rPr>
          <w:szCs w:val="24"/>
          <w:lang w:val="en-US"/>
        </w:rPr>
        <w:t>found no significant differences in the phosphoprotein profiles between idiopathic and CD-related perianal fistulae.</w:t>
      </w:r>
      <w:r w:rsidR="00AE4F79" w:rsidRPr="00892CA2">
        <w:rPr>
          <w:rFonts w:eastAsia="宋体" w:hint="eastAsia"/>
          <w:szCs w:val="24"/>
          <w:lang w:val="en-US" w:eastAsia="zh-CN"/>
        </w:rPr>
        <w:t xml:space="preserve"> </w:t>
      </w:r>
      <w:r w:rsidR="00FC48F9" w:rsidRPr="00892CA2">
        <w:rPr>
          <w:szCs w:val="24"/>
          <w:lang w:val="en-US"/>
        </w:rPr>
        <w:t xml:space="preserve">We were </w:t>
      </w:r>
      <w:r w:rsidR="00B222A7" w:rsidRPr="00892CA2">
        <w:rPr>
          <w:szCs w:val="24"/>
          <w:lang w:val="en-US"/>
        </w:rPr>
        <w:t xml:space="preserve">also </w:t>
      </w:r>
      <w:r w:rsidR="00FC48F9" w:rsidRPr="00892CA2">
        <w:rPr>
          <w:szCs w:val="24"/>
          <w:lang w:val="en-US"/>
        </w:rPr>
        <w:t xml:space="preserve">interested </w:t>
      </w:r>
      <w:r w:rsidR="00B222A7" w:rsidRPr="00892CA2">
        <w:rPr>
          <w:szCs w:val="24"/>
          <w:lang w:val="en-US"/>
        </w:rPr>
        <w:t xml:space="preserve">to see </w:t>
      </w:r>
      <w:r w:rsidR="00FC48F9" w:rsidRPr="00892CA2">
        <w:rPr>
          <w:szCs w:val="24"/>
          <w:lang w:val="en-US"/>
        </w:rPr>
        <w:t xml:space="preserve">if </w:t>
      </w:r>
      <w:r w:rsidR="00B222A7" w:rsidRPr="00892CA2">
        <w:rPr>
          <w:szCs w:val="24"/>
          <w:lang w:val="en-US"/>
        </w:rPr>
        <w:t>fistula</w:t>
      </w:r>
      <w:r w:rsidR="00FC48F9" w:rsidRPr="00892CA2">
        <w:rPr>
          <w:szCs w:val="24"/>
          <w:lang w:val="en-US"/>
        </w:rPr>
        <w:t xml:space="preserve"> immunopathology changes over time. However, due to only ten patients having fistulae less than 12 </w:t>
      </w:r>
      <w:proofErr w:type="spellStart"/>
      <w:r w:rsidR="00FC48F9" w:rsidRPr="00892CA2">
        <w:rPr>
          <w:szCs w:val="24"/>
          <w:lang w:val="en-US"/>
        </w:rPr>
        <w:t>mo</w:t>
      </w:r>
      <w:proofErr w:type="spellEnd"/>
      <w:r w:rsidR="00FC48F9" w:rsidRPr="00892CA2">
        <w:rPr>
          <w:szCs w:val="24"/>
          <w:lang w:val="en-US"/>
        </w:rPr>
        <w:t xml:space="preserve"> old, this subgroup analysis was not possible.</w:t>
      </w:r>
    </w:p>
    <w:p w14:paraId="54382318" w14:textId="77777777" w:rsidR="00327EC7" w:rsidRPr="00892CA2" w:rsidRDefault="00327EC7" w:rsidP="007E3B89">
      <w:pPr>
        <w:adjustRightInd w:val="0"/>
        <w:snapToGrid w:val="0"/>
        <w:spacing w:before="0" w:after="0"/>
        <w:jc w:val="both"/>
        <w:rPr>
          <w:szCs w:val="24"/>
          <w:lang w:val="en-US"/>
        </w:rPr>
      </w:pPr>
    </w:p>
    <w:p w14:paraId="53742EF1" w14:textId="563D9035" w:rsidR="00D01879" w:rsidRPr="00892CA2" w:rsidRDefault="00E476DC" w:rsidP="007E3B89">
      <w:pPr>
        <w:pStyle w:val="2"/>
        <w:adjustRightInd w:val="0"/>
        <w:snapToGrid w:val="0"/>
        <w:spacing w:before="0" w:after="0"/>
        <w:jc w:val="both"/>
        <w:rPr>
          <w:szCs w:val="24"/>
          <w:lang w:val="en-US"/>
        </w:rPr>
      </w:pPr>
      <w:r w:rsidRPr="00892CA2">
        <w:rPr>
          <w:szCs w:val="24"/>
          <w:lang w:val="en-US"/>
        </w:rPr>
        <w:t xml:space="preserve">Cell </w:t>
      </w:r>
      <w:proofErr w:type="spellStart"/>
      <w:r w:rsidRPr="00892CA2">
        <w:rPr>
          <w:szCs w:val="24"/>
          <w:lang w:val="en-US"/>
        </w:rPr>
        <w:t>signalling</w:t>
      </w:r>
      <w:proofErr w:type="spellEnd"/>
      <w:r w:rsidRPr="00892CA2">
        <w:rPr>
          <w:szCs w:val="24"/>
          <w:lang w:val="en-US"/>
        </w:rPr>
        <w:t xml:space="preserve"> in rectal mucosa may be suppressed in both idiopathic and </w:t>
      </w:r>
      <w:r w:rsidR="001A0A8E" w:rsidRPr="00892CA2">
        <w:rPr>
          <w:szCs w:val="24"/>
          <w:lang w:val="en-US"/>
        </w:rPr>
        <w:t xml:space="preserve">CD-related </w:t>
      </w:r>
      <w:r w:rsidRPr="00892CA2">
        <w:rPr>
          <w:szCs w:val="24"/>
          <w:lang w:val="en-US"/>
        </w:rPr>
        <w:t>perianal fistula disease</w:t>
      </w:r>
    </w:p>
    <w:p w14:paraId="16AD253F" w14:textId="480F364A" w:rsidR="00E476DC" w:rsidRPr="00892CA2" w:rsidRDefault="00B00233" w:rsidP="007E3B89">
      <w:pPr>
        <w:adjustRightInd w:val="0"/>
        <w:snapToGrid w:val="0"/>
        <w:spacing w:before="0" w:after="0"/>
        <w:jc w:val="both"/>
        <w:rPr>
          <w:szCs w:val="24"/>
          <w:lang w:val="en-US"/>
        </w:rPr>
      </w:pPr>
      <w:r w:rsidRPr="00892CA2">
        <w:rPr>
          <w:szCs w:val="24"/>
          <w:lang w:val="en-US"/>
        </w:rPr>
        <w:t xml:space="preserve">Comparison of the rectal mucosa </w:t>
      </w:r>
      <w:r w:rsidR="00264DC6" w:rsidRPr="00892CA2">
        <w:rPr>
          <w:szCs w:val="24"/>
          <w:lang w:val="en-US"/>
        </w:rPr>
        <w:t xml:space="preserve">in the idiopathic and </w:t>
      </w:r>
      <w:r w:rsidR="0069097F" w:rsidRPr="00892CA2">
        <w:rPr>
          <w:szCs w:val="24"/>
          <w:lang w:val="en-US"/>
        </w:rPr>
        <w:t>CD</w:t>
      </w:r>
      <w:r w:rsidR="007401B0" w:rsidRPr="00892CA2">
        <w:rPr>
          <w:szCs w:val="24"/>
          <w:lang w:val="en-US"/>
        </w:rPr>
        <w:t xml:space="preserve"> </w:t>
      </w:r>
      <w:r w:rsidR="00264DC6" w:rsidRPr="00892CA2">
        <w:rPr>
          <w:szCs w:val="24"/>
          <w:lang w:val="en-US"/>
        </w:rPr>
        <w:t xml:space="preserve">groups </w:t>
      </w:r>
      <w:r w:rsidRPr="00892CA2">
        <w:rPr>
          <w:szCs w:val="24"/>
          <w:lang w:val="en-US"/>
        </w:rPr>
        <w:t>with healthy controls</w:t>
      </w:r>
      <w:r w:rsidR="00F938D2" w:rsidRPr="00892CA2">
        <w:rPr>
          <w:szCs w:val="24"/>
          <w:lang w:val="en-US"/>
        </w:rPr>
        <w:t xml:space="preserve"> found no differen</w:t>
      </w:r>
      <w:r w:rsidR="006C51DE" w:rsidRPr="00892CA2">
        <w:rPr>
          <w:szCs w:val="24"/>
          <w:lang w:val="en-US"/>
        </w:rPr>
        <w:t>ces in the cytokine profiles</w:t>
      </w:r>
      <w:r w:rsidR="00E476DC" w:rsidRPr="00892CA2">
        <w:rPr>
          <w:szCs w:val="24"/>
          <w:lang w:val="en-US"/>
        </w:rPr>
        <w:t xml:space="preserve">. However, </w:t>
      </w:r>
      <w:r w:rsidR="00C55712" w:rsidRPr="00892CA2">
        <w:rPr>
          <w:szCs w:val="24"/>
          <w:lang w:val="en-US"/>
        </w:rPr>
        <w:t>in the rectal mucosa, the signals in both disease groups appeared to be suppressed compared with the healthy controls. This difference was significant for six phosphoproteins</w:t>
      </w:r>
      <w:r w:rsidR="0089777B" w:rsidRPr="00892CA2">
        <w:rPr>
          <w:szCs w:val="24"/>
          <w:lang w:val="en-US"/>
        </w:rPr>
        <w:t xml:space="preserve"> </w:t>
      </w:r>
      <w:r w:rsidR="00C55712" w:rsidRPr="00892CA2">
        <w:rPr>
          <w:szCs w:val="24"/>
          <w:lang w:val="en-US"/>
        </w:rPr>
        <w:t>(</w:t>
      </w:r>
      <w:r w:rsidR="0089777B" w:rsidRPr="00892CA2">
        <w:rPr>
          <w:szCs w:val="24"/>
          <w:lang w:val="en-US"/>
        </w:rPr>
        <w:t>EphA1, EphA2, EphB1, EphB4, Tyro3 and VEGFR2</w:t>
      </w:r>
      <w:r w:rsidR="00C55712" w:rsidRPr="00892CA2">
        <w:rPr>
          <w:szCs w:val="24"/>
          <w:lang w:val="en-US"/>
        </w:rPr>
        <w:t xml:space="preserve">) when comparing the healthy controls with the </w:t>
      </w:r>
      <w:r w:rsidR="0069097F" w:rsidRPr="00892CA2">
        <w:rPr>
          <w:szCs w:val="24"/>
          <w:lang w:val="en-US"/>
        </w:rPr>
        <w:t>CD</w:t>
      </w:r>
      <w:r w:rsidR="00C55712" w:rsidRPr="00892CA2">
        <w:rPr>
          <w:szCs w:val="24"/>
          <w:lang w:val="en-US"/>
        </w:rPr>
        <w:t xml:space="preserve"> group.</w:t>
      </w:r>
      <w:r w:rsidR="0089777B" w:rsidRPr="00892CA2">
        <w:rPr>
          <w:szCs w:val="24"/>
          <w:lang w:val="en-US"/>
        </w:rPr>
        <w:t xml:space="preserve"> </w:t>
      </w:r>
    </w:p>
    <w:p w14:paraId="3F7B694F" w14:textId="0E349675" w:rsidR="0089777B" w:rsidRPr="00892CA2" w:rsidRDefault="0089777B" w:rsidP="00755858">
      <w:pPr>
        <w:adjustRightInd w:val="0"/>
        <w:snapToGrid w:val="0"/>
        <w:spacing w:before="0" w:after="0"/>
        <w:ind w:firstLineChars="100" w:firstLine="240"/>
        <w:jc w:val="both"/>
        <w:rPr>
          <w:szCs w:val="24"/>
          <w:lang w:val="en-US"/>
        </w:rPr>
      </w:pPr>
      <w:r w:rsidRPr="00892CA2">
        <w:rPr>
          <w:szCs w:val="24"/>
          <w:lang w:val="en-US"/>
        </w:rPr>
        <w:t xml:space="preserve">The first four are </w:t>
      </w:r>
      <w:r w:rsidR="00D85FE0" w:rsidRPr="00892CA2">
        <w:rPr>
          <w:szCs w:val="24"/>
          <w:lang w:val="en-US"/>
        </w:rPr>
        <w:t>RTKs</w:t>
      </w:r>
      <w:r w:rsidRPr="00892CA2">
        <w:rPr>
          <w:szCs w:val="24"/>
          <w:lang w:val="en-US"/>
        </w:rPr>
        <w:t xml:space="preserve"> from the Ephrin subfamily. </w:t>
      </w:r>
      <w:proofErr w:type="spellStart"/>
      <w:r w:rsidRPr="00892CA2">
        <w:rPr>
          <w:szCs w:val="24"/>
          <w:lang w:val="en-US"/>
        </w:rPr>
        <w:t>Ephrin</w:t>
      </w:r>
      <w:proofErr w:type="spellEnd"/>
      <w:r w:rsidRPr="00892CA2">
        <w:rPr>
          <w:szCs w:val="24"/>
          <w:lang w:val="en-US"/>
        </w:rPr>
        <w:t xml:space="preserve"> </w:t>
      </w:r>
      <w:proofErr w:type="spellStart"/>
      <w:r w:rsidRPr="00892CA2">
        <w:rPr>
          <w:szCs w:val="24"/>
          <w:lang w:val="en-US"/>
        </w:rPr>
        <w:t>signalling</w:t>
      </w:r>
      <w:proofErr w:type="spellEnd"/>
      <w:r w:rsidRPr="00892CA2">
        <w:rPr>
          <w:szCs w:val="24"/>
          <w:lang w:val="en-US"/>
        </w:rPr>
        <w:t xml:space="preserve"> is important in controlling cellular proliferation in the crypts and differentiation of enterocytes on the villi. Loss of </w:t>
      </w:r>
      <w:proofErr w:type="spellStart"/>
      <w:r w:rsidRPr="00892CA2">
        <w:rPr>
          <w:szCs w:val="24"/>
          <w:lang w:val="en-US"/>
        </w:rPr>
        <w:t>ephrin</w:t>
      </w:r>
      <w:proofErr w:type="spellEnd"/>
      <w:r w:rsidRPr="00892CA2">
        <w:rPr>
          <w:szCs w:val="24"/>
          <w:lang w:val="en-US"/>
        </w:rPr>
        <w:t xml:space="preserve"> receptor and </w:t>
      </w:r>
      <w:proofErr w:type="spellStart"/>
      <w:r w:rsidRPr="00892CA2">
        <w:rPr>
          <w:szCs w:val="24"/>
          <w:lang w:val="en-US"/>
        </w:rPr>
        <w:t>ephrin</w:t>
      </w:r>
      <w:proofErr w:type="spellEnd"/>
      <w:r w:rsidRPr="00892CA2">
        <w:rPr>
          <w:szCs w:val="24"/>
          <w:lang w:val="en-US"/>
        </w:rPr>
        <w:t xml:space="preserve"> </w:t>
      </w:r>
      <w:proofErr w:type="spellStart"/>
      <w:r w:rsidRPr="00892CA2">
        <w:rPr>
          <w:szCs w:val="24"/>
          <w:lang w:val="en-US"/>
        </w:rPr>
        <w:t>signalling</w:t>
      </w:r>
      <w:proofErr w:type="spellEnd"/>
      <w:r w:rsidRPr="00892CA2">
        <w:rPr>
          <w:szCs w:val="24"/>
          <w:lang w:val="en-US"/>
        </w:rPr>
        <w:t xml:space="preserve"> appears to contribute to wound healing defects as in inflammatory bowel </w:t>
      </w:r>
      <w:proofErr w:type="gramStart"/>
      <w:r w:rsidRPr="00892CA2">
        <w:rPr>
          <w:szCs w:val="24"/>
          <w:lang w:val="en-US"/>
        </w:rPr>
        <w:t>disease</w:t>
      </w:r>
      <w:r w:rsidR="003D51A1" w:rsidRPr="00892CA2">
        <w:rPr>
          <w:szCs w:val="24"/>
          <w:vertAlign w:val="superscript"/>
          <w:lang w:val="en-US"/>
        </w:rPr>
        <w:t>[</w:t>
      </w:r>
      <w:proofErr w:type="gramEnd"/>
      <w:r w:rsidR="003D51A1" w:rsidRPr="00892CA2">
        <w:rPr>
          <w:szCs w:val="24"/>
          <w:vertAlign w:val="superscript"/>
          <w:lang w:val="en-US"/>
        </w:rPr>
        <w:t>28]</w:t>
      </w:r>
      <w:r w:rsidR="00A741B2" w:rsidRPr="00892CA2">
        <w:rPr>
          <w:szCs w:val="24"/>
          <w:lang w:val="en-US"/>
        </w:rPr>
        <w:t>.</w:t>
      </w:r>
      <w:r w:rsidRPr="00892CA2">
        <w:rPr>
          <w:szCs w:val="24"/>
          <w:lang w:val="en-US"/>
        </w:rPr>
        <w:t xml:space="preserve"> </w:t>
      </w:r>
      <w:r w:rsidR="00B222A7" w:rsidRPr="00892CA2">
        <w:rPr>
          <w:szCs w:val="24"/>
          <w:lang w:val="en-US"/>
        </w:rPr>
        <w:t>O</w:t>
      </w:r>
      <w:r w:rsidR="004E1468" w:rsidRPr="00892CA2">
        <w:rPr>
          <w:szCs w:val="24"/>
          <w:lang w:val="en-US"/>
        </w:rPr>
        <w:t>ur</w:t>
      </w:r>
      <w:r w:rsidRPr="00892CA2">
        <w:rPr>
          <w:szCs w:val="24"/>
          <w:lang w:val="en-US"/>
        </w:rPr>
        <w:t xml:space="preserve"> study suggests that suppression of ephrin receptor expression in the rectal mucosa may be a pathological feature in patients with both idiopathic and </w:t>
      </w:r>
      <w:r w:rsidR="001A0A8E" w:rsidRPr="00892CA2">
        <w:rPr>
          <w:szCs w:val="24"/>
          <w:lang w:val="en-US"/>
        </w:rPr>
        <w:t xml:space="preserve">CD-related </w:t>
      </w:r>
      <w:r w:rsidRPr="00892CA2">
        <w:rPr>
          <w:szCs w:val="24"/>
          <w:lang w:val="en-US"/>
        </w:rPr>
        <w:t xml:space="preserve">perianal fistulae. The consequence of this conclusion is potentially important for two reasons: (1) idiopathic and </w:t>
      </w:r>
      <w:r w:rsidR="004E1468" w:rsidRPr="00892CA2">
        <w:rPr>
          <w:szCs w:val="24"/>
          <w:lang w:val="en-US"/>
        </w:rPr>
        <w:t xml:space="preserve">CD-related </w:t>
      </w:r>
      <w:r w:rsidRPr="00892CA2">
        <w:rPr>
          <w:szCs w:val="24"/>
          <w:lang w:val="en-US"/>
        </w:rPr>
        <w:t xml:space="preserve">perianal fistulae may be similar in their immunopathology with regards to ephrin </w:t>
      </w:r>
      <w:r w:rsidR="00755858" w:rsidRPr="00892CA2">
        <w:rPr>
          <w:szCs w:val="24"/>
          <w:lang w:val="en-US"/>
        </w:rPr>
        <w:t>signaling;</w:t>
      </w:r>
      <w:r w:rsidRPr="00892CA2">
        <w:rPr>
          <w:szCs w:val="24"/>
          <w:lang w:val="en-US"/>
        </w:rPr>
        <w:t xml:space="preserve"> and (2) abnormalities in those with idiopathic perianal fistulae </w:t>
      </w:r>
      <w:r w:rsidR="00B222A7" w:rsidRPr="00892CA2">
        <w:rPr>
          <w:szCs w:val="24"/>
          <w:lang w:val="en-US"/>
        </w:rPr>
        <w:t xml:space="preserve">might </w:t>
      </w:r>
      <w:r w:rsidRPr="00892CA2">
        <w:rPr>
          <w:szCs w:val="24"/>
          <w:lang w:val="en-US"/>
        </w:rPr>
        <w:t xml:space="preserve">not </w:t>
      </w:r>
      <w:r w:rsidR="00B222A7" w:rsidRPr="00892CA2">
        <w:rPr>
          <w:szCs w:val="24"/>
          <w:lang w:val="en-US"/>
        </w:rPr>
        <w:t xml:space="preserve">be </w:t>
      </w:r>
      <w:r w:rsidRPr="00892CA2">
        <w:rPr>
          <w:szCs w:val="24"/>
          <w:lang w:val="en-US"/>
        </w:rPr>
        <w:t>confined to the peri-fistula tissue, a notion that has not previously been reported.</w:t>
      </w:r>
    </w:p>
    <w:p w14:paraId="7C83DF6D" w14:textId="6786C28E" w:rsidR="0089777B" w:rsidRPr="00892CA2" w:rsidRDefault="0089777B" w:rsidP="00755858">
      <w:pPr>
        <w:adjustRightInd w:val="0"/>
        <w:snapToGrid w:val="0"/>
        <w:spacing w:before="0" w:after="0"/>
        <w:ind w:firstLineChars="100" w:firstLine="240"/>
        <w:jc w:val="both"/>
        <w:rPr>
          <w:szCs w:val="24"/>
          <w:lang w:val="en-US"/>
        </w:rPr>
      </w:pPr>
      <w:r w:rsidRPr="00892CA2">
        <w:rPr>
          <w:szCs w:val="24"/>
          <w:lang w:val="en-US"/>
        </w:rPr>
        <w:t xml:space="preserve">Tyro3 is a RTK that, along with </w:t>
      </w:r>
      <w:proofErr w:type="spellStart"/>
      <w:r w:rsidRPr="00892CA2">
        <w:rPr>
          <w:szCs w:val="24"/>
          <w:lang w:val="en-US"/>
        </w:rPr>
        <w:t>Axl</w:t>
      </w:r>
      <w:proofErr w:type="spellEnd"/>
      <w:r w:rsidRPr="00892CA2">
        <w:rPr>
          <w:szCs w:val="24"/>
          <w:lang w:val="en-US"/>
        </w:rPr>
        <w:t xml:space="preserve"> and </w:t>
      </w:r>
      <w:proofErr w:type="spellStart"/>
      <w:r w:rsidRPr="00892CA2">
        <w:rPr>
          <w:szCs w:val="24"/>
          <w:lang w:val="en-US"/>
        </w:rPr>
        <w:t>Mertk</w:t>
      </w:r>
      <w:proofErr w:type="spellEnd"/>
      <w:r w:rsidRPr="00892CA2">
        <w:rPr>
          <w:szCs w:val="24"/>
          <w:lang w:val="en-US"/>
        </w:rPr>
        <w:t>, and t</w:t>
      </w:r>
      <w:r w:rsidR="0004184A" w:rsidRPr="00892CA2">
        <w:rPr>
          <w:szCs w:val="24"/>
          <w:lang w:val="en-US"/>
        </w:rPr>
        <w:t>heir ligands Gas6</w:t>
      </w:r>
      <w:r w:rsidRPr="00892CA2">
        <w:rPr>
          <w:szCs w:val="24"/>
          <w:lang w:val="en-US"/>
        </w:rPr>
        <w:t xml:space="preserve"> and Protein S, makes up the </w:t>
      </w:r>
      <w:r w:rsidR="007401B0" w:rsidRPr="00892CA2">
        <w:rPr>
          <w:szCs w:val="24"/>
          <w:lang w:val="en-US"/>
        </w:rPr>
        <w:t>Tyro3-Axl-Mertk (</w:t>
      </w:r>
      <w:r w:rsidRPr="00892CA2">
        <w:rPr>
          <w:szCs w:val="24"/>
          <w:lang w:val="en-US"/>
        </w:rPr>
        <w:t>TAM</w:t>
      </w:r>
      <w:r w:rsidR="007401B0" w:rsidRPr="00892CA2">
        <w:rPr>
          <w:szCs w:val="24"/>
          <w:lang w:val="en-US"/>
        </w:rPr>
        <w:t>)</w:t>
      </w:r>
      <w:r w:rsidRPr="00892CA2">
        <w:rPr>
          <w:szCs w:val="24"/>
          <w:lang w:val="en-US"/>
        </w:rPr>
        <w:t xml:space="preserve"> </w:t>
      </w:r>
      <w:proofErr w:type="spellStart"/>
      <w:r w:rsidRPr="00892CA2">
        <w:rPr>
          <w:szCs w:val="24"/>
          <w:lang w:val="en-US"/>
        </w:rPr>
        <w:t>signalling</w:t>
      </w:r>
      <w:proofErr w:type="spellEnd"/>
      <w:r w:rsidRPr="00892CA2">
        <w:rPr>
          <w:szCs w:val="24"/>
          <w:lang w:val="en-US"/>
        </w:rPr>
        <w:t xml:space="preserve"> pathway. This pathway is involved in the negative regulation of inflammation, removal of apoptotic cells and potential induction of the tissue repair response. In inflammatory bowel disease, TAM </w:t>
      </w:r>
      <w:proofErr w:type="spellStart"/>
      <w:r w:rsidRPr="00892CA2">
        <w:rPr>
          <w:szCs w:val="24"/>
          <w:lang w:val="en-US"/>
        </w:rPr>
        <w:t>signalling</w:t>
      </w:r>
      <w:proofErr w:type="spellEnd"/>
      <w:r w:rsidRPr="00892CA2">
        <w:rPr>
          <w:szCs w:val="24"/>
          <w:lang w:val="en-US"/>
        </w:rPr>
        <w:t xml:space="preserve"> is suppressed, which, in the presence of mucosal injury, leads to an accumulation of apoptotic neutrophils and a failure of macrophages to acquire an alternative activation </w:t>
      </w:r>
      <w:proofErr w:type="gramStart"/>
      <w:r w:rsidRPr="00892CA2">
        <w:rPr>
          <w:szCs w:val="24"/>
          <w:lang w:val="en-US"/>
        </w:rPr>
        <w:t>state</w:t>
      </w:r>
      <w:r w:rsidR="003D51A1" w:rsidRPr="00892CA2">
        <w:rPr>
          <w:szCs w:val="24"/>
          <w:vertAlign w:val="superscript"/>
          <w:lang w:val="en-US"/>
        </w:rPr>
        <w:t>[</w:t>
      </w:r>
      <w:proofErr w:type="gramEnd"/>
      <w:r w:rsidR="003D51A1" w:rsidRPr="00892CA2">
        <w:rPr>
          <w:szCs w:val="24"/>
          <w:vertAlign w:val="superscript"/>
          <w:lang w:val="en-US"/>
        </w:rPr>
        <w:t>29]</w:t>
      </w:r>
      <w:r w:rsidR="00A741B2" w:rsidRPr="00892CA2">
        <w:rPr>
          <w:szCs w:val="24"/>
          <w:lang w:val="en-US"/>
        </w:rPr>
        <w:t>.</w:t>
      </w:r>
      <w:r w:rsidRPr="00892CA2">
        <w:rPr>
          <w:szCs w:val="24"/>
          <w:lang w:val="en-US"/>
        </w:rPr>
        <w:t xml:space="preserve"> </w:t>
      </w:r>
      <w:r w:rsidR="004E1468" w:rsidRPr="00892CA2">
        <w:rPr>
          <w:szCs w:val="24"/>
          <w:lang w:val="en-US"/>
        </w:rPr>
        <w:t>Our</w:t>
      </w:r>
      <w:r w:rsidRPr="00892CA2">
        <w:rPr>
          <w:szCs w:val="24"/>
          <w:lang w:val="en-US"/>
        </w:rPr>
        <w:t xml:space="preserve"> study with respect to the rectal mucosa in the </w:t>
      </w:r>
      <w:r w:rsidR="0069097F" w:rsidRPr="00892CA2">
        <w:rPr>
          <w:szCs w:val="24"/>
          <w:lang w:val="en-US"/>
        </w:rPr>
        <w:t>CD</w:t>
      </w:r>
      <w:r w:rsidRPr="00892CA2">
        <w:rPr>
          <w:szCs w:val="24"/>
          <w:lang w:val="en-US"/>
        </w:rPr>
        <w:t xml:space="preserve"> group is consistent with this. However, it also suggests that suppression of Tyro3 may also occur in the rectal mucosa of those with idiopathic perianal fistulae, further supporting the notion described </w:t>
      </w:r>
      <w:r w:rsidR="004E1468" w:rsidRPr="00892CA2">
        <w:rPr>
          <w:szCs w:val="24"/>
          <w:lang w:val="en-US"/>
        </w:rPr>
        <w:t>above</w:t>
      </w:r>
      <w:r w:rsidRPr="00892CA2">
        <w:rPr>
          <w:szCs w:val="24"/>
          <w:lang w:val="en-US"/>
        </w:rPr>
        <w:t>.</w:t>
      </w:r>
    </w:p>
    <w:p w14:paraId="6A1F4FBB" w14:textId="77F0CFFC" w:rsidR="0089777B" w:rsidRPr="00892CA2" w:rsidRDefault="0089777B" w:rsidP="00755858">
      <w:pPr>
        <w:adjustRightInd w:val="0"/>
        <w:snapToGrid w:val="0"/>
        <w:spacing w:before="0" w:after="0"/>
        <w:ind w:firstLineChars="100" w:firstLine="240"/>
        <w:jc w:val="both"/>
        <w:rPr>
          <w:szCs w:val="24"/>
          <w:lang w:val="en-US"/>
        </w:rPr>
      </w:pPr>
      <w:r w:rsidRPr="00892CA2">
        <w:rPr>
          <w:szCs w:val="24"/>
          <w:lang w:val="en-US"/>
        </w:rPr>
        <w:t xml:space="preserve">VEGFR2 is the principle RTK that transmits VEGF signals in the vascular endothelium. The principle effect of VEGFR2 activation is angiogenesis, which is a feature of both health and disease. VEGFR2 </w:t>
      </w:r>
      <w:r w:rsidR="00616EF4" w:rsidRPr="00892CA2">
        <w:rPr>
          <w:szCs w:val="24"/>
          <w:lang w:val="en-US"/>
        </w:rPr>
        <w:t>may be</w:t>
      </w:r>
      <w:r w:rsidRPr="00892CA2">
        <w:rPr>
          <w:szCs w:val="24"/>
          <w:lang w:val="en-US"/>
        </w:rPr>
        <w:t xml:space="preserve"> suppressed in quiescent </w:t>
      </w:r>
      <w:r w:rsidR="0069097F" w:rsidRPr="00892CA2">
        <w:rPr>
          <w:szCs w:val="24"/>
          <w:lang w:val="en-US"/>
        </w:rPr>
        <w:t>CD</w:t>
      </w:r>
      <w:r w:rsidR="00616EF4" w:rsidRPr="00892CA2">
        <w:rPr>
          <w:szCs w:val="24"/>
          <w:lang w:val="en-US"/>
        </w:rPr>
        <w:t xml:space="preserve"> colonic mucosa, compared with healthy </w:t>
      </w:r>
      <w:proofErr w:type="gramStart"/>
      <w:r w:rsidR="00616EF4" w:rsidRPr="00892CA2">
        <w:rPr>
          <w:szCs w:val="24"/>
          <w:lang w:val="en-US"/>
        </w:rPr>
        <w:t>controls</w:t>
      </w:r>
      <w:r w:rsidR="003D51A1" w:rsidRPr="00892CA2">
        <w:rPr>
          <w:szCs w:val="24"/>
          <w:vertAlign w:val="superscript"/>
          <w:lang w:val="en-US"/>
        </w:rPr>
        <w:t>[</w:t>
      </w:r>
      <w:proofErr w:type="gramEnd"/>
      <w:r w:rsidR="003D51A1" w:rsidRPr="00892CA2">
        <w:rPr>
          <w:szCs w:val="24"/>
          <w:vertAlign w:val="superscript"/>
          <w:lang w:val="en-US"/>
        </w:rPr>
        <w:t>30]</w:t>
      </w:r>
      <w:r w:rsidR="00A741B2" w:rsidRPr="00892CA2">
        <w:rPr>
          <w:szCs w:val="24"/>
          <w:lang w:val="en-US"/>
        </w:rPr>
        <w:t>.</w:t>
      </w:r>
      <w:r w:rsidRPr="00892CA2">
        <w:rPr>
          <w:szCs w:val="24"/>
          <w:lang w:val="en-US"/>
        </w:rPr>
        <w:t xml:space="preserve"> </w:t>
      </w:r>
      <w:r w:rsidR="00BE1D54" w:rsidRPr="00892CA2">
        <w:rPr>
          <w:szCs w:val="24"/>
          <w:lang w:val="en-US"/>
        </w:rPr>
        <w:t>In the rectal</w:t>
      </w:r>
      <w:r w:rsidR="00A165F9" w:rsidRPr="00892CA2">
        <w:rPr>
          <w:szCs w:val="24"/>
          <w:lang w:val="en-US"/>
        </w:rPr>
        <w:t xml:space="preserve"> mucosa</w:t>
      </w:r>
      <w:r w:rsidR="00616EF4" w:rsidRPr="00892CA2">
        <w:rPr>
          <w:szCs w:val="24"/>
          <w:lang w:val="en-US"/>
        </w:rPr>
        <w:t>, w</w:t>
      </w:r>
      <w:r w:rsidRPr="00892CA2">
        <w:rPr>
          <w:szCs w:val="24"/>
          <w:lang w:val="en-US"/>
        </w:rPr>
        <w:t xml:space="preserve">e found that VEGFR2 levels were lower in patients both with idiopathic and </w:t>
      </w:r>
      <w:r w:rsidR="004E1468" w:rsidRPr="00892CA2">
        <w:rPr>
          <w:szCs w:val="24"/>
          <w:lang w:val="en-US"/>
        </w:rPr>
        <w:t xml:space="preserve">CD-related </w:t>
      </w:r>
      <w:r w:rsidRPr="00892CA2">
        <w:rPr>
          <w:szCs w:val="24"/>
          <w:lang w:val="en-US"/>
        </w:rPr>
        <w:t>perianal fistulae, compared with healthy controls. This suggest</w:t>
      </w:r>
      <w:r w:rsidR="00A165F9" w:rsidRPr="00892CA2">
        <w:rPr>
          <w:szCs w:val="24"/>
          <w:lang w:val="en-US"/>
        </w:rPr>
        <w:t>s</w:t>
      </w:r>
      <w:r w:rsidRPr="00892CA2">
        <w:rPr>
          <w:szCs w:val="24"/>
          <w:lang w:val="en-US"/>
        </w:rPr>
        <w:t xml:space="preserve"> that expression of this RTK </w:t>
      </w:r>
      <w:r w:rsidR="00A165F9" w:rsidRPr="00892CA2">
        <w:rPr>
          <w:szCs w:val="24"/>
          <w:lang w:val="en-US"/>
        </w:rPr>
        <w:t>may be</w:t>
      </w:r>
      <w:r w:rsidRPr="00892CA2">
        <w:rPr>
          <w:szCs w:val="24"/>
          <w:lang w:val="en-US"/>
        </w:rPr>
        <w:t xml:space="preserve"> suppressed in these diseases. </w:t>
      </w:r>
    </w:p>
    <w:p w14:paraId="1DB981EF" w14:textId="77777777" w:rsidR="00327EC7" w:rsidRPr="00892CA2" w:rsidRDefault="00327EC7" w:rsidP="007E3B89">
      <w:pPr>
        <w:adjustRightInd w:val="0"/>
        <w:snapToGrid w:val="0"/>
        <w:spacing w:before="0" w:after="0"/>
        <w:jc w:val="both"/>
        <w:rPr>
          <w:szCs w:val="24"/>
          <w:lang w:val="en-US"/>
        </w:rPr>
      </w:pPr>
    </w:p>
    <w:p w14:paraId="7095A030" w14:textId="372F45A7" w:rsidR="004F26FE" w:rsidRPr="00892CA2" w:rsidRDefault="004F26FE" w:rsidP="007E3B89">
      <w:pPr>
        <w:pStyle w:val="2"/>
        <w:adjustRightInd w:val="0"/>
        <w:snapToGrid w:val="0"/>
        <w:spacing w:before="0" w:after="0"/>
        <w:jc w:val="both"/>
        <w:rPr>
          <w:szCs w:val="24"/>
          <w:lang w:val="en-US"/>
        </w:rPr>
      </w:pPr>
      <w:r w:rsidRPr="00892CA2">
        <w:rPr>
          <w:szCs w:val="24"/>
          <w:lang w:val="en-US"/>
        </w:rPr>
        <w:t>Limitations</w:t>
      </w:r>
    </w:p>
    <w:p w14:paraId="2220462F" w14:textId="0DBB411C" w:rsidR="009B6478" w:rsidRPr="00892CA2" w:rsidRDefault="00C06AD2" w:rsidP="007E3B89">
      <w:pPr>
        <w:adjustRightInd w:val="0"/>
        <w:snapToGrid w:val="0"/>
        <w:spacing w:before="0" w:after="0"/>
        <w:jc w:val="both"/>
        <w:rPr>
          <w:szCs w:val="24"/>
          <w:lang w:val="en-US"/>
        </w:rPr>
      </w:pPr>
      <w:r w:rsidRPr="00892CA2">
        <w:rPr>
          <w:szCs w:val="24"/>
          <w:lang w:val="en-US"/>
        </w:rPr>
        <w:t>Only 13 patients were recruited to the CD group</w:t>
      </w:r>
      <w:r w:rsidR="00797585" w:rsidRPr="00892CA2">
        <w:rPr>
          <w:szCs w:val="24"/>
          <w:lang w:val="en-US"/>
        </w:rPr>
        <w:t>.</w:t>
      </w:r>
      <w:r w:rsidR="009D258B" w:rsidRPr="00892CA2">
        <w:rPr>
          <w:szCs w:val="24"/>
          <w:lang w:val="en-US"/>
        </w:rPr>
        <w:t xml:space="preserve"> </w:t>
      </w:r>
      <w:r w:rsidR="00C151BF" w:rsidRPr="00892CA2">
        <w:rPr>
          <w:szCs w:val="24"/>
          <w:lang w:val="en-US"/>
        </w:rPr>
        <w:t>P</w:t>
      </w:r>
      <w:r w:rsidR="00501DEE" w:rsidRPr="00892CA2">
        <w:rPr>
          <w:szCs w:val="24"/>
          <w:lang w:val="en-US"/>
        </w:rPr>
        <w:t>revious comparative studies</w:t>
      </w:r>
      <w:r w:rsidR="001768DD" w:rsidRPr="00892CA2">
        <w:rPr>
          <w:szCs w:val="24"/>
          <w:lang w:val="en-US"/>
        </w:rPr>
        <w:t xml:space="preserve"> </w:t>
      </w:r>
      <w:r w:rsidR="00C151BF" w:rsidRPr="00892CA2">
        <w:rPr>
          <w:szCs w:val="24"/>
          <w:lang w:val="en-US"/>
        </w:rPr>
        <w:t xml:space="preserve">have </w:t>
      </w:r>
      <w:r w:rsidR="001768DD" w:rsidRPr="00892CA2">
        <w:rPr>
          <w:szCs w:val="24"/>
          <w:lang w:val="en-US"/>
        </w:rPr>
        <w:t xml:space="preserve">reported with similar sample </w:t>
      </w:r>
      <w:proofErr w:type="gramStart"/>
      <w:r w:rsidR="001768DD" w:rsidRPr="00892CA2">
        <w:rPr>
          <w:szCs w:val="24"/>
          <w:lang w:val="en-US"/>
        </w:rPr>
        <w:t>sizes</w:t>
      </w:r>
      <w:r w:rsidR="003D51A1" w:rsidRPr="00892CA2">
        <w:rPr>
          <w:szCs w:val="24"/>
          <w:vertAlign w:val="superscript"/>
          <w:lang w:val="en-US"/>
        </w:rPr>
        <w:t>[</w:t>
      </w:r>
      <w:proofErr w:type="gramEnd"/>
      <w:r w:rsidR="003D51A1" w:rsidRPr="00892CA2">
        <w:rPr>
          <w:szCs w:val="24"/>
          <w:vertAlign w:val="superscript"/>
          <w:lang w:val="en-US"/>
        </w:rPr>
        <w:t>10</w:t>
      </w:r>
      <w:r w:rsidR="00E97C8C" w:rsidRPr="00892CA2">
        <w:rPr>
          <w:szCs w:val="24"/>
          <w:vertAlign w:val="superscript"/>
          <w:lang w:val="en-US"/>
        </w:rPr>
        <w:t>-</w:t>
      </w:r>
      <w:r w:rsidR="003D51A1" w:rsidRPr="00892CA2">
        <w:rPr>
          <w:szCs w:val="24"/>
          <w:vertAlign w:val="superscript"/>
          <w:lang w:val="en-US"/>
        </w:rPr>
        <w:t>13]</w:t>
      </w:r>
      <w:r w:rsidR="00A741B2" w:rsidRPr="00892CA2">
        <w:rPr>
          <w:szCs w:val="24"/>
          <w:lang w:val="en-US"/>
        </w:rPr>
        <w:t>.</w:t>
      </w:r>
      <w:r w:rsidRPr="00892CA2">
        <w:rPr>
          <w:szCs w:val="24"/>
          <w:lang w:val="en-US"/>
        </w:rPr>
        <w:t xml:space="preserve"> </w:t>
      </w:r>
      <w:r w:rsidR="001768DD" w:rsidRPr="00892CA2">
        <w:rPr>
          <w:szCs w:val="24"/>
          <w:lang w:val="en-US"/>
        </w:rPr>
        <w:t xml:space="preserve">Preferential medical management in CD-related </w:t>
      </w:r>
      <w:r w:rsidR="00C07611" w:rsidRPr="00892CA2">
        <w:rPr>
          <w:szCs w:val="24"/>
          <w:lang w:val="en-US"/>
        </w:rPr>
        <w:t xml:space="preserve">perianal </w:t>
      </w:r>
      <w:r w:rsidR="001768DD" w:rsidRPr="00892CA2">
        <w:rPr>
          <w:szCs w:val="24"/>
          <w:lang w:val="en-US"/>
        </w:rPr>
        <w:t xml:space="preserve">fistulae could also have introduced selection bias, and referral patterns could have skewed the types of fistulae </w:t>
      </w:r>
      <w:r w:rsidR="009178C9" w:rsidRPr="00892CA2">
        <w:rPr>
          <w:szCs w:val="24"/>
          <w:lang w:val="en-US"/>
        </w:rPr>
        <w:t>included</w:t>
      </w:r>
      <w:r w:rsidR="001768DD" w:rsidRPr="00892CA2">
        <w:rPr>
          <w:szCs w:val="24"/>
          <w:lang w:val="en-US"/>
        </w:rPr>
        <w:t xml:space="preserve"> to the more severe</w:t>
      </w:r>
      <w:r w:rsidR="00C151BF" w:rsidRPr="00892CA2">
        <w:rPr>
          <w:szCs w:val="24"/>
          <w:lang w:val="en-US"/>
        </w:rPr>
        <w:t xml:space="preserve"> (especially in relation to the idiopathic group where many were tertiary referrals)</w:t>
      </w:r>
      <w:r w:rsidR="001768DD" w:rsidRPr="00892CA2">
        <w:rPr>
          <w:szCs w:val="24"/>
          <w:lang w:val="en-US"/>
        </w:rPr>
        <w:t xml:space="preserve">. </w:t>
      </w:r>
    </w:p>
    <w:p w14:paraId="2B8FE705" w14:textId="723E2838" w:rsidR="004F26FE" w:rsidRPr="00892CA2" w:rsidRDefault="009B6478" w:rsidP="00755858">
      <w:pPr>
        <w:adjustRightInd w:val="0"/>
        <w:snapToGrid w:val="0"/>
        <w:spacing w:before="0" w:after="0"/>
        <w:ind w:firstLineChars="100" w:firstLine="240"/>
        <w:jc w:val="both"/>
        <w:rPr>
          <w:szCs w:val="24"/>
          <w:lang w:val="en-US"/>
        </w:rPr>
      </w:pPr>
      <w:r w:rsidRPr="00892CA2">
        <w:rPr>
          <w:szCs w:val="24"/>
          <w:lang w:val="en-US"/>
        </w:rPr>
        <w:t xml:space="preserve">Techniques and assays were taken from similar experiments </w:t>
      </w:r>
      <w:r w:rsidR="001C57C3" w:rsidRPr="00892CA2">
        <w:rPr>
          <w:szCs w:val="24"/>
          <w:lang w:val="en-US"/>
        </w:rPr>
        <w:t xml:space="preserve">on intestinal mucosa </w:t>
      </w:r>
      <w:r w:rsidRPr="00892CA2">
        <w:rPr>
          <w:szCs w:val="24"/>
          <w:lang w:val="en-US"/>
        </w:rPr>
        <w:t xml:space="preserve">published by our </w:t>
      </w:r>
      <w:proofErr w:type="gramStart"/>
      <w:r w:rsidRPr="00892CA2">
        <w:rPr>
          <w:szCs w:val="24"/>
          <w:lang w:val="en-US"/>
        </w:rPr>
        <w:t>group</w:t>
      </w:r>
      <w:r w:rsidR="003D51A1" w:rsidRPr="00892CA2">
        <w:rPr>
          <w:szCs w:val="24"/>
          <w:vertAlign w:val="superscript"/>
          <w:lang w:val="en-US"/>
        </w:rPr>
        <w:t>[</w:t>
      </w:r>
      <w:proofErr w:type="gramEnd"/>
      <w:r w:rsidR="003D51A1" w:rsidRPr="00892CA2">
        <w:rPr>
          <w:szCs w:val="24"/>
          <w:vertAlign w:val="superscript"/>
          <w:lang w:val="en-US"/>
        </w:rPr>
        <w:t>17]</w:t>
      </w:r>
      <w:r w:rsidR="00A741B2" w:rsidRPr="00892CA2">
        <w:rPr>
          <w:szCs w:val="24"/>
          <w:lang w:val="en-US"/>
        </w:rPr>
        <w:t>.</w:t>
      </w:r>
      <w:r w:rsidRPr="00892CA2">
        <w:rPr>
          <w:szCs w:val="24"/>
          <w:lang w:val="en-US"/>
        </w:rPr>
        <w:t xml:space="preserve"> </w:t>
      </w:r>
      <w:r w:rsidR="004258E8" w:rsidRPr="00892CA2">
        <w:rPr>
          <w:szCs w:val="24"/>
          <w:lang w:val="en-US"/>
        </w:rPr>
        <w:t xml:space="preserve">The assays have not previously been used on fistula tract and granulation </w:t>
      </w:r>
      <w:proofErr w:type="gramStart"/>
      <w:r w:rsidR="004258E8" w:rsidRPr="00892CA2">
        <w:rPr>
          <w:szCs w:val="24"/>
          <w:lang w:val="en-US"/>
        </w:rPr>
        <w:t>tissue,</w:t>
      </w:r>
      <w:proofErr w:type="gramEnd"/>
      <w:r w:rsidR="004258E8" w:rsidRPr="00892CA2">
        <w:rPr>
          <w:szCs w:val="24"/>
          <w:lang w:val="en-US"/>
        </w:rPr>
        <w:t xml:space="preserve"> however their performance </w:t>
      </w:r>
      <w:r w:rsidR="009D258B" w:rsidRPr="00892CA2">
        <w:rPr>
          <w:szCs w:val="24"/>
          <w:lang w:val="en-US"/>
        </w:rPr>
        <w:t>was</w:t>
      </w:r>
      <w:r w:rsidR="004258E8" w:rsidRPr="00892CA2">
        <w:rPr>
          <w:szCs w:val="24"/>
          <w:lang w:val="en-US"/>
        </w:rPr>
        <w:t xml:space="preserve"> likely to be similar as the cellular compositions of these tissues are similar. </w:t>
      </w:r>
    </w:p>
    <w:p w14:paraId="07BBFD77" w14:textId="09FF2C72" w:rsidR="00645F81" w:rsidRPr="00892CA2" w:rsidRDefault="00DB0327" w:rsidP="00755858">
      <w:pPr>
        <w:adjustRightInd w:val="0"/>
        <w:snapToGrid w:val="0"/>
        <w:spacing w:before="0" w:after="0"/>
        <w:ind w:firstLineChars="100" w:firstLine="240"/>
        <w:jc w:val="both"/>
        <w:rPr>
          <w:szCs w:val="24"/>
          <w:lang w:val="en-US"/>
        </w:rPr>
      </w:pPr>
      <w:r w:rsidRPr="00892CA2">
        <w:rPr>
          <w:szCs w:val="24"/>
          <w:lang w:val="en-US"/>
        </w:rPr>
        <w:t xml:space="preserve">The majority of the </w:t>
      </w:r>
      <w:r w:rsidR="0069097F" w:rsidRPr="00892CA2">
        <w:rPr>
          <w:szCs w:val="24"/>
          <w:lang w:val="en-US"/>
        </w:rPr>
        <w:t>CD</w:t>
      </w:r>
      <w:r w:rsidRPr="00892CA2">
        <w:rPr>
          <w:szCs w:val="24"/>
          <w:lang w:val="en-US"/>
        </w:rPr>
        <w:t xml:space="preserve"> </w:t>
      </w:r>
      <w:proofErr w:type="gramStart"/>
      <w:r w:rsidRPr="00892CA2">
        <w:rPr>
          <w:szCs w:val="24"/>
          <w:lang w:val="en-US"/>
        </w:rPr>
        <w:t>group were</w:t>
      </w:r>
      <w:proofErr w:type="gramEnd"/>
      <w:r w:rsidRPr="00892CA2">
        <w:rPr>
          <w:szCs w:val="24"/>
          <w:lang w:val="en-US"/>
        </w:rPr>
        <w:t xml:space="preserve"> recei</w:t>
      </w:r>
      <w:r w:rsidR="00704D1E" w:rsidRPr="00892CA2">
        <w:rPr>
          <w:szCs w:val="24"/>
          <w:lang w:val="en-US"/>
        </w:rPr>
        <w:t>ving immunomodulatory therapy, and h</w:t>
      </w:r>
      <w:r w:rsidRPr="00892CA2">
        <w:rPr>
          <w:szCs w:val="24"/>
          <w:lang w:val="en-US"/>
        </w:rPr>
        <w:t xml:space="preserve">alf </w:t>
      </w:r>
      <w:r w:rsidR="000A2D53" w:rsidRPr="00892CA2">
        <w:rPr>
          <w:szCs w:val="24"/>
          <w:lang w:val="en-US"/>
        </w:rPr>
        <w:t>had received anti-TNF-</w:t>
      </w:r>
      <w:r w:rsidR="00431E4D" w:rsidRPr="00892CA2">
        <w:rPr>
          <w:szCs w:val="24"/>
          <w:lang w:val="en-US"/>
        </w:rPr>
        <w:sym w:font="Symbol" w:char="F061"/>
      </w:r>
      <w:r w:rsidR="00431E4D" w:rsidRPr="00892CA2">
        <w:rPr>
          <w:szCs w:val="24"/>
          <w:lang w:val="en-US"/>
        </w:rPr>
        <w:t xml:space="preserve">. This may have attenuated </w:t>
      </w:r>
      <w:r w:rsidR="00704D1E" w:rsidRPr="00892CA2">
        <w:rPr>
          <w:szCs w:val="24"/>
          <w:lang w:val="en-US"/>
        </w:rPr>
        <w:t xml:space="preserve">differences between </w:t>
      </w:r>
      <w:r w:rsidR="00431E4D" w:rsidRPr="00892CA2">
        <w:rPr>
          <w:szCs w:val="24"/>
          <w:lang w:val="en-US"/>
        </w:rPr>
        <w:t>the group</w:t>
      </w:r>
      <w:r w:rsidR="00704D1E" w:rsidRPr="00892CA2">
        <w:rPr>
          <w:szCs w:val="24"/>
          <w:lang w:val="en-US"/>
        </w:rPr>
        <w:t>s</w:t>
      </w:r>
      <w:r w:rsidR="00431E4D" w:rsidRPr="00892CA2">
        <w:rPr>
          <w:szCs w:val="24"/>
          <w:lang w:val="en-US"/>
        </w:rPr>
        <w:t>.</w:t>
      </w:r>
      <w:r w:rsidR="00B44DC5" w:rsidRPr="00892CA2">
        <w:rPr>
          <w:szCs w:val="24"/>
          <w:lang w:val="en-US"/>
        </w:rPr>
        <w:t xml:space="preserve"> However, the effect of anti-TNF-</w:t>
      </w:r>
      <w:r w:rsidR="00B44DC5" w:rsidRPr="00892CA2">
        <w:rPr>
          <w:szCs w:val="24"/>
          <w:lang w:val="en-US"/>
        </w:rPr>
        <w:sym w:font="Symbol" w:char="F061"/>
      </w:r>
      <w:r w:rsidR="00B44DC5" w:rsidRPr="00892CA2">
        <w:rPr>
          <w:szCs w:val="24"/>
          <w:lang w:val="en-US"/>
        </w:rPr>
        <w:t xml:space="preserve"> therapy at the molecular level is unknown. </w:t>
      </w:r>
      <w:r w:rsidR="00F8399E" w:rsidRPr="00892CA2">
        <w:rPr>
          <w:szCs w:val="24"/>
          <w:lang w:val="en-US"/>
        </w:rPr>
        <w:t xml:space="preserve">One study found that </w:t>
      </w:r>
      <w:r w:rsidR="007C4897" w:rsidRPr="00892CA2">
        <w:rPr>
          <w:szCs w:val="24"/>
          <w:lang w:val="en-US"/>
        </w:rPr>
        <w:t>mucosal TNF-</w:t>
      </w:r>
      <w:r w:rsidR="007C4897" w:rsidRPr="00892CA2">
        <w:rPr>
          <w:szCs w:val="24"/>
          <w:lang w:val="en-US"/>
        </w:rPr>
        <w:sym w:font="Symbol" w:char="F061"/>
      </w:r>
      <w:r w:rsidR="007C4897" w:rsidRPr="00892CA2">
        <w:rPr>
          <w:szCs w:val="24"/>
          <w:lang w:val="en-US"/>
        </w:rPr>
        <w:t xml:space="preserve"> concentrations are unaltered by anti-TNF-</w:t>
      </w:r>
      <w:r w:rsidR="007C4897" w:rsidRPr="00892CA2">
        <w:rPr>
          <w:szCs w:val="24"/>
          <w:lang w:val="en-US"/>
        </w:rPr>
        <w:sym w:font="Symbol" w:char="F061"/>
      </w:r>
      <w:r w:rsidR="007C4897" w:rsidRPr="00892CA2">
        <w:rPr>
          <w:szCs w:val="24"/>
          <w:lang w:val="en-US"/>
        </w:rPr>
        <w:t xml:space="preserve"> </w:t>
      </w:r>
      <w:proofErr w:type="gramStart"/>
      <w:r w:rsidR="007C4897" w:rsidRPr="00892CA2">
        <w:rPr>
          <w:szCs w:val="24"/>
          <w:lang w:val="en-US"/>
        </w:rPr>
        <w:t>therapy</w:t>
      </w:r>
      <w:r w:rsidR="003D51A1" w:rsidRPr="00892CA2">
        <w:rPr>
          <w:szCs w:val="24"/>
          <w:vertAlign w:val="superscript"/>
          <w:lang w:val="en-US"/>
        </w:rPr>
        <w:t>[</w:t>
      </w:r>
      <w:proofErr w:type="gramEnd"/>
      <w:r w:rsidR="003D51A1" w:rsidRPr="00892CA2">
        <w:rPr>
          <w:szCs w:val="24"/>
          <w:vertAlign w:val="superscript"/>
          <w:lang w:val="en-US"/>
        </w:rPr>
        <w:t>19]</w:t>
      </w:r>
      <w:r w:rsidR="00A741B2" w:rsidRPr="00892CA2">
        <w:rPr>
          <w:szCs w:val="24"/>
          <w:lang w:val="en-US"/>
        </w:rPr>
        <w:t>.</w:t>
      </w:r>
      <w:r w:rsidR="007C4897" w:rsidRPr="00892CA2">
        <w:rPr>
          <w:szCs w:val="24"/>
          <w:lang w:val="en-US"/>
        </w:rPr>
        <w:t xml:space="preserve"> </w:t>
      </w:r>
      <w:r w:rsidR="009D258B" w:rsidRPr="00892CA2">
        <w:rPr>
          <w:szCs w:val="24"/>
          <w:lang w:val="en-US"/>
        </w:rPr>
        <w:t>Including</w:t>
      </w:r>
      <w:r w:rsidR="007C4897" w:rsidRPr="00892CA2">
        <w:rPr>
          <w:szCs w:val="24"/>
          <w:lang w:val="en-US"/>
        </w:rPr>
        <w:t xml:space="preserve"> only treatment-naïve patients would have </w:t>
      </w:r>
      <w:r w:rsidR="00850DEB" w:rsidRPr="00892CA2">
        <w:rPr>
          <w:szCs w:val="24"/>
          <w:lang w:val="en-US"/>
        </w:rPr>
        <w:t>mitigated this</w:t>
      </w:r>
      <w:r w:rsidR="007C4897" w:rsidRPr="00892CA2">
        <w:rPr>
          <w:szCs w:val="24"/>
          <w:lang w:val="en-US"/>
        </w:rPr>
        <w:t>, but recruit</w:t>
      </w:r>
      <w:r w:rsidR="00850DEB" w:rsidRPr="00892CA2">
        <w:rPr>
          <w:szCs w:val="24"/>
          <w:lang w:val="en-US"/>
        </w:rPr>
        <w:t xml:space="preserve">ment would have </w:t>
      </w:r>
      <w:r w:rsidR="009D258B" w:rsidRPr="00892CA2">
        <w:rPr>
          <w:szCs w:val="24"/>
          <w:lang w:val="en-US"/>
        </w:rPr>
        <w:t xml:space="preserve">been difficult </w:t>
      </w:r>
      <w:r w:rsidR="00860CC3" w:rsidRPr="00892CA2">
        <w:rPr>
          <w:szCs w:val="24"/>
          <w:lang w:val="en-US"/>
        </w:rPr>
        <w:t>in</w:t>
      </w:r>
      <w:r w:rsidR="007C4897" w:rsidRPr="00892CA2">
        <w:rPr>
          <w:szCs w:val="24"/>
          <w:lang w:val="en-US"/>
        </w:rPr>
        <w:t xml:space="preserve">to given that </w:t>
      </w:r>
      <w:r w:rsidR="00850DEB" w:rsidRPr="00892CA2">
        <w:rPr>
          <w:szCs w:val="24"/>
          <w:lang w:val="en-US"/>
        </w:rPr>
        <w:t>most</w:t>
      </w:r>
      <w:r w:rsidR="007C4897" w:rsidRPr="00892CA2">
        <w:rPr>
          <w:szCs w:val="24"/>
          <w:lang w:val="en-US"/>
        </w:rPr>
        <w:t xml:space="preserve"> are </w:t>
      </w:r>
      <w:r w:rsidR="00850DEB" w:rsidRPr="00892CA2">
        <w:rPr>
          <w:szCs w:val="24"/>
          <w:lang w:val="en-US"/>
        </w:rPr>
        <w:t xml:space="preserve">primarily </w:t>
      </w:r>
      <w:r w:rsidR="007C4897" w:rsidRPr="00892CA2">
        <w:rPr>
          <w:szCs w:val="24"/>
          <w:lang w:val="en-US"/>
        </w:rPr>
        <w:t>managed medically.</w:t>
      </w:r>
    </w:p>
    <w:p w14:paraId="3B55C013" w14:textId="77777777" w:rsidR="00327EC7" w:rsidRPr="00892CA2" w:rsidRDefault="00327EC7" w:rsidP="007E3B89">
      <w:pPr>
        <w:adjustRightInd w:val="0"/>
        <w:snapToGrid w:val="0"/>
        <w:spacing w:before="0" w:after="0"/>
        <w:jc w:val="both"/>
        <w:rPr>
          <w:caps/>
          <w:szCs w:val="24"/>
          <w:lang w:val="en-US"/>
        </w:rPr>
      </w:pPr>
    </w:p>
    <w:p w14:paraId="7F3FAD83" w14:textId="68CB3A0B" w:rsidR="000C5EC4" w:rsidRPr="00892CA2" w:rsidRDefault="004F26FE" w:rsidP="007E3B89">
      <w:pPr>
        <w:pStyle w:val="2"/>
        <w:adjustRightInd w:val="0"/>
        <w:snapToGrid w:val="0"/>
        <w:spacing w:before="0" w:after="0"/>
        <w:jc w:val="both"/>
        <w:rPr>
          <w:szCs w:val="24"/>
          <w:lang w:val="en-US"/>
        </w:rPr>
      </w:pPr>
      <w:r w:rsidRPr="00892CA2">
        <w:rPr>
          <w:szCs w:val="24"/>
          <w:lang w:val="en-US"/>
        </w:rPr>
        <w:t>Conclusion</w:t>
      </w:r>
    </w:p>
    <w:p w14:paraId="466775A9" w14:textId="3C231BAF" w:rsidR="00D9003D" w:rsidRPr="00892CA2" w:rsidRDefault="00704D1E" w:rsidP="007E3B89">
      <w:pPr>
        <w:adjustRightInd w:val="0"/>
        <w:snapToGrid w:val="0"/>
        <w:spacing w:before="0" w:after="0"/>
        <w:jc w:val="both"/>
        <w:rPr>
          <w:szCs w:val="24"/>
          <w:lang w:val="en-US" w:eastAsia="en-GB"/>
        </w:rPr>
      </w:pPr>
      <w:r w:rsidRPr="00892CA2">
        <w:rPr>
          <w:szCs w:val="24"/>
          <w:lang w:val="en-US" w:eastAsia="en-GB"/>
        </w:rPr>
        <w:t>CD-related</w:t>
      </w:r>
      <w:r w:rsidR="00AD58D3" w:rsidRPr="00892CA2">
        <w:rPr>
          <w:szCs w:val="24"/>
          <w:lang w:val="en-US" w:eastAsia="en-GB"/>
        </w:rPr>
        <w:t xml:space="preserve"> perianal fistula</w:t>
      </w:r>
      <w:r w:rsidR="00BF580B" w:rsidRPr="00892CA2">
        <w:rPr>
          <w:szCs w:val="24"/>
          <w:lang w:val="en-US" w:eastAsia="en-GB"/>
        </w:rPr>
        <w:t>e</w:t>
      </w:r>
      <w:r w:rsidR="00AD58D3" w:rsidRPr="00892CA2">
        <w:rPr>
          <w:szCs w:val="24"/>
          <w:lang w:val="en-US" w:eastAsia="en-GB"/>
        </w:rPr>
        <w:t xml:space="preserve"> may </w:t>
      </w:r>
      <w:r w:rsidRPr="00892CA2">
        <w:rPr>
          <w:szCs w:val="24"/>
          <w:lang w:val="en-US" w:eastAsia="en-GB"/>
        </w:rPr>
        <w:t>often be</w:t>
      </w:r>
      <w:r w:rsidR="00AD58D3" w:rsidRPr="00892CA2">
        <w:rPr>
          <w:szCs w:val="24"/>
          <w:lang w:val="en-US" w:eastAsia="en-GB"/>
        </w:rPr>
        <w:t xml:space="preserve"> </w:t>
      </w:r>
      <w:r w:rsidR="00BF580B" w:rsidRPr="00892CA2">
        <w:rPr>
          <w:szCs w:val="24"/>
          <w:lang w:val="en-US" w:eastAsia="en-GB"/>
        </w:rPr>
        <w:t xml:space="preserve">clinically </w:t>
      </w:r>
      <w:r w:rsidR="00AD58D3" w:rsidRPr="00892CA2">
        <w:rPr>
          <w:szCs w:val="24"/>
          <w:lang w:val="en-US" w:eastAsia="en-GB"/>
        </w:rPr>
        <w:t>more severe</w:t>
      </w:r>
      <w:r w:rsidR="00DC6A3C" w:rsidRPr="00892CA2">
        <w:rPr>
          <w:szCs w:val="24"/>
          <w:lang w:val="en-US" w:eastAsia="en-GB"/>
        </w:rPr>
        <w:t xml:space="preserve"> and complex</w:t>
      </w:r>
      <w:r w:rsidR="00BF580B" w:rsidRPr="00892CA2">
        <w:rPr>
          <w:szCs w:val="24"/>
          <w:lang w:val="en-US" w:eastAsia="en-GB"/>
        </w:rPr>
        <w:t>. However</w:t>
      </w:r>
      <w:r w:rsidR="00AD58D3" w:rsidRPr="00892CA2">
        <w:rPr>
          <w:szCs w:val="24"/>
          <w:lang w:val="en-US" w:eastAsia="en-GB"/>
        </w:rPr>
        <w:t xml:space="preserve">, </w:t>
      </w:r>
      <w:r w:rsidR="00BF580B" w:rsidRPr="00892CA2">
        <w:rPr>
          <w:szCs w:val="24"/>
          <w:lang w:val="en-US" w:eastAsia="en-GB"/>
        </w:rPr>
        <w:t xml:space="preserve">they do not </w:t>
      </w:r>
      <w:r w:rsidR="006B2E3E" w:rsidRPr="00892CA2">
        <w:rPr>
          <w:szCs w:val="24"/>
          <w:lang w:val="en-US" w:eastAsia="en-GB"/>
        </w:rPr>
        <w:t>substantially</w:t>
      </w:r>
      <w:r w:rsidR="00BF580B" w:rsidRPr="00892CA2">
        <w:rPr>
          <w:szCs w:val="24"/>
          <w:lang w:val="en-US" w:eastAsia="en-GB"/>
        </w:rPr>
        <w:t xml:space="preserve"> differ in their expression</w:t>
      </w:r>
      <w:r w:rsidR="00AD58D3" w:rsidRPr="00892CA2">
        <w:rPr>
          <w:szCs w:val="24"/>
          <w:lang w:val="en-US" w:eastAsia="en-GB"/>
        </w:rPr>
        <w:t xml:space="preserve"> </w:t>
      </w:r>
      <w:r w:rsidR="00797585" w:rsidRPr="00892CA2">
        <w:rPr>
          <w:szCs w:val="24"/>
          <w:lang w:val="en-US" w:eastAsia="en-GB"/>
        </w:rPr>
        <w:t xml:space="preserve">of </w:t>
      </w:r>
      <w:r w:rsidR="00BF580B" w:rsidRPr="00892CA2">
        <w:rPr>
          <w:szCs w:val="24"/>
          <w:lang w:val="en-US" w:eastAsia="en-GB"/>
        </w:rPr>
        <w:t xml:space="preserve">a large panel of </w:t>
      </w:r>
      <w:r w:rsidR="00AD58D3" w:rsidRPr="00892CA2">
        <w:rPr>
          <w:szCs w:val="24"/>
          <w:lang w:val="en-US" w:eastAsia="en-GB"/>
        </w:rPr>
        <w:t>cytokine</w:t>
      </w:r>
      <w:r w:rsidR="00BF580B" w:rsidRPr="00892CA2">
        <w:rPr>
          <w:szCs w:val="24"/>
          <w:lang w:val="en-US" w:eastAsia="en-GB"/>
        </w:rPr>
        <w:t>s</w:t>
      </w:r>
      <w:r w:rsidR="00AD58D3" w:rsidRPr="00892CA2">
        <w:rPr>
          <w:szCs w:val="24"/>
          <w:lang w:val="en-US" w:eastAsia="en-GB"/>
        </w:rPr>
        <w:t xml:space="preserve"> </w:t>
      </w:r>
      <w:r w:rsidR="006413C3" w:rsidRPr="00892CA2">
        <w:rPr>
          <w:szCs w:val="24"/>
          <w:lang w:val="en-US" w:eastAsia="en-GB"/>
        </w:rPr>
        <w:t>and phosphoprotein</w:t>
      </w:r>
      <w:r w:rsidR="008A7374" w:rsidRPr="00892CA2">
        <w:rPr>
          <w:szCs w:val="24"/>
          <w:lang w:val="en-US" w:eastAsia="en-GB"/>
        </w:rPr>
        <w:t>s</w:t>
      </w:r>
      <w:r w:rsidR="00AD58D3" w:rsidRPr="00892CA2">
        <w:rPr>
          <w:szCs w:val="24"/>
          <w:lang w:val="en-US" w:eastAsia="en-GB"/>
        </w:rPr>
        <w:t xml:space="preserve"> (</w:t>
      </w:r>
      <w:r w:rsidR="00FB6502" w:rsidRPr="00892CA2">
        <w:rPr>
          <w:szCs w:val="24"/>
          <w:lang w:val="en-US"/>
        </w:rPr>
        <w:t>Table 2</w:t>
      </w:r>
      <w:r w:rsidR="00AD58D3" w:rsidRPr="00892CA2">
        <w:rPr>
          <w:szCs w:val="24"/>
          <w:lang w:val="en-US" w:eastAsia="en-GB"/>
        </w:rPr>
        <w:t xml:space="preserve">). </w:t>
      </w:r>
    </w:p>
    <w:p w14:paraId="66EFD0A1" w14:textId="77777777" w:rsidR="00327EC7" w:rsidRPr="00892CA2" w:rsidRDefault="00327EC7" w:rsidP="007E3B89">
      <w:pPr>
        <w:adjustRightInd w:val="0"/>
        <w:snapToGrid w:val="0"/>
        <w:spacing w:before="0" w:after="0"/>
        <w:jc w:val="both"/>
        <w:rPr>
          <w:szCs w:val="24"/>
          <w:lang w:val="en-US" w:eastAsia="en-GB"/>
        </w:rPr>
      </w:pPr>
    </w:p>
    <w:p w14:paraId="17A2756F" w14:textId="04983D84" w:rsidR="00D9003D" w:rsidRPr="00892CA2" w:rsidRDefault="00D9003D" w:rsidP="007E3B89">
      <w:pPr>
        <w:pStyle w:val="2"/>
        <w:adjustRightInd w:val="0"/>
        <w:snapToGrid w:val="0"/>
        <w:spacing w:before="0" w:after="0"/>
        <w:jc w:val="both"/>
        <w:rPr>
          <w:szCs w:val="24"/>
          <w:lang w:val="en-US" w:eastAsia="en-GB"/>
        </w:rPr>
      </w:pPr>
      <w:r w:rsidRPr="00892CA2">
        <w:rPr>
          <w:szCs w:val="24"/>
          <w:lang w:val="en-US" w:eastAsia="en-GB"/>
        </w:rPr>
        <w:t>Implicat</w:t>
      </w:r>
      <w:r w:rsidR="00327EC7" w:rsidRPr="00892CA2">
        <w:rPr>
          <w:szCs w:val="24"/>
          <w:lang w:val="en-US" w:eastAsia="en-GB"/>
        </w:rPr>
        <w:t>ions for future research</w:t>
      </w:r>
    </w:p>
    <w:p w14:paraId="28CA62D4" w14:textId="6E882DF4" w:rsidR="002E2C67" w:rsidRPr="00892CA2" w:rsidRDefault="00243FE8" w:rsidP="007E3B89">
      <w:pPr>
        <w:adjustRightInd w:val="0"/>
        <w:snapToGrid w:val="0"/>
        <w:spacing w:before="0" w:after="0"/>
        <w:jc w:val="both"/>
        <w:rPr>
          <w:szCs w:val="24"/>
          <w:lang w:val="en-US"/>
        </w:rPr>
      </w:pPr>
      <w:r w:rsidRPr="00892CA2">
        <w:rPr>
          <w:szCs w:val="24"/>
          <w:lang w:val="en-US" w:eastAsia="en-GB"/>
        </w:rPr>
        <w:t xml:space="preserve">Despite the acknowledged limitations </w:t>
      </w:r>
      <w:r w:rsidR="00C151BF" w:rsidRPr="00892CA2">
        <w:rPr>
          <w:szCs w:val="24"/>
          <w:lang w:val="en-US" w:eastAsia="en-GB"/>
        </w:rPr>
        <w:t xml:space="preserve">(particularly </w:t>
      </w:r>
      <w:r w:rsidR="00850DEB" w:rsidRPr="00892CA2">
        <w:rPr>
          <w:szCs w:val="24"/>
          <w:lang w:val="en-US" w:eastAsia="en-GB"/>
        </w:rPr>
        <w:t>regarding</w:t>
      </w:r>
      <w:r w:rsidR="00C151BF" w:rsidRPr="00892CA2">
        <w:rPr>
          <w:szCs w:val="24"/>
          <w:lang w:val="en-US" w:eastAsia="en-GB"/>
        </w:rPr>
        <w:t xml:space="preserve"> sample size</w:t>
      </w:r>
      <w:r w:rsidR="00797585" w:rsidRPr="00892CA2">
        <w:rPr>
          <w:szCs w:val="24"/>
          <w:lang w:val="en-US" w:eastAsia="en-GB"/>
        </w:rPr>
        <w:t xml:space="preserve"> in the CD group</w:t>
      </w:r>
      <w:r w:rsidR="008A7374" w:rsidRPr="00892CA2">
        <w:rPr>
          <w:szCs w:val="24"/>
          <w:lang w:val="en-US" w:eastAsia="en-GB"/>
        </w:rPr>
        <w:t xml:space="preserve"> and the fact that some CD patients were receiving immunomodulatory therapy</w:t>
      </w:r>
      <w:r w:rsidR="00C151BF" w:rsidRPr="00892CA2">
        <w:rPr>
          <w:szCs w:val="24"/>
          <w:lang w:val="en-US" w:eastAsia="en-GB"/>
        </w:rPr>
        <w:t>)</w:t>
      </w:r>
      <w:r w:rsidRPr="00892CA2">
        <w:rPr>
          <w:szCs w:val="24"/>
          <w:lang w:val="en-US" w:eastAsia="en-GB"/>
        </w:rPr>
        <w:t xml:space="preserve">, our data </w:t>
      </w:r>
      <w:r w:rsidR="00D9003D" w:rsidRPr="00892CA2">
        <w:rPr>
          <w:szCs w:val="24"/>
          <w:lang w:val="en-US" w:eastAsia="en-GB"/>
        </w:rPr>
        <w:t xml:space="preserve">contributes to </w:t>
      </w:r>
      <w:r w:rsidR="006D24E0" w:rsidRPr="00892CA2">
        <w:rPr>
          <w:szCs w:val="24"/>
          <w:lang w:val="en-US" w:eastAsia="en-GB"/>
        </w:rPr>
        <w:t xml:space="preserve">an emerging theory that </w:t>
      </w:r>
      <w:r w:rsidR="005423D8" w:rsidRPr="00892CA2">
        <w:rPr>
          <w:szCs w:val="24"/>
          <w:lang w:val="en-US" w:eastAsia="en-GB"/>
        </w:rPr>
        <w:t xml:space="preserve">idiopathic and CD-related </w:t>
      </w:r>
      <w:r w:rsidR="00C07611" w:rsidRPr="00892CA2">
        <w:rPr>
          <w:szCs w:val="24"/>
          <w:lang w:val="en-US" w:eastAsia="en-GB"/>
        </w:rPr>
        <w:t xml:space="preserve">perianal </w:t>
      </w:r>
      <w:r w:rsidR="005423D8" w:rsidRPr="00892CA2">
        <w:rPr>
          <w:szCs w:val="24"/>
          <w:lang w:val="en-US" w:eastAsia="en-GB"/>
        </w:rPr>
        <w:t xml:space="preserve">fistulae </w:t>
      </w:r>
      <w:r w:rsidR="00D9003D" w:rsidRPr="00892CA2">
        <w:rPr>
          <w:szCs w:val="24"/>
          <w:lang w:val="en-US" w:eastAsia="en-GB"/>
        </w:rPr>
        <w:t>may not be</w:t>
      </w:r>
      <w:r w:rsidR="006D24E0" w:rsidRPr="00892CA2">
        <w:rPr>
          <w:szCs w:val="24"/>
          <w:lang w:val="en-US" w:eastAsia="en-GB"/>
        </w:rPr>
        <w:t xml:space="preserve"> </w:t>
      </w:r>
      <w:r w:rsidR="00C151BF" w:rsidRPr="00892CA2">
        <w:rPr>
          <w:szCs w:val="24"/>
          <w:lang w:val="en-US" w:eastAsia="en-GB"/>
        </w:rPr>
        <w:t>as</w:t>
      </w:r>
      <w:r w:rsidR="005423D8" w:rsidRPr="00892CA2">
        <w:rPr>
          <w:szCs w:val="24"/>
          <w:lang w:val="en-US" w:eastAsia="en-GB"/>
        </w:rPr>
        <w:t xml:space="preserve"> immunologically </w:t>
      </w:r>
      <w:r w:rsidR="00C151BF" w:rsidRPr="00892CA2">
        <w:rPr>
          <w:szCs w:val="24"/>
          <w:lang w:val="en-US" w:eastAsia="en-GB"/>
        </w:rPr>
        <w:t>distinct</w:t>
      </w:r>
      <w:r w:rsidR="005423D8" w:rsidRPr="00892CA2">
        <w:rPr>
          <w:szCs w:val="24"/>
          <w:lang w:val="en-US" w:eastAsia="en-GB"/>
        </w:rPr>
        <w:t xml:space="preserve"> </w:t>
      </w:r>
      <w:r w:rsidR="00C151BF" w:rsidRPr="00892CA2">
        <w:rPr>
          <w:szCs w:val="24"/>
          <w:lang w:val="en-US" w:eastAsia="en-GB"/>
        </w:rPr>
        <w:t>as</w:t>
      </w:r>
      <w:r w:rsidR="005423D8" w:rsidRPr="00892CA2">
        <w:rPr>
          <w:szCs w:val="24"/>
          <w:lang w:val="en-US" w:eastAsia="en-GB"/>
        </w:rPr>
        <w:t xml:space="preserve"> previously </w:t>
      </w:r>
      <w:r w:rsidR="00C151BF" w:rsidRPr="00892CA2">
        <w:rPr>
          <w:szCs w:val="24"/>
          <w:lang w:val="en-US" w:eastAsia="en-GB"/>
        </w:rPr>
        <w:t xml:space="preserve">supposed. This line of reasoning </w:t>
      </w:r>
      <w:r w:rsidR="005423D8" w:rsidRPr="00892CA2">
        <w:rPr>
          <w:szCs w:val="24"/>
          <w:lang w:val="en-US" w:eastAsia="en-GB"/>
        </w:rPr>
        <w:t xml:space="preserve">opens the possibility that </w:t>
      </w:r>
      <w:r w:rsidR="00AD58D3" w:rsidRPr="00892CA2">
        <w:rPr>
          <w:szCs w:val="24"/>
          <w:lang w:val="en-US" w:eastAsia="en-GB"/>
        </w:rPr>
        <w:t xml:space="preserve">biological agents effective in </w:t>
      </w:r>
      <w:r w:rsidR="00704D1E" w:rsidRPr="00892CA2">
        <w:rPr>
          <w:szCs w:val="24"/>
          <w:lang w:val="en-US" w:eastAsia="en-GB"/>
        </w:rPr>
        <w:t>CD-related</w:t>
      </w:r>
      <w:r w:rsidR="00AD58D3" w:rsidRPr="00892CA2">
        <w:rPr>
          <w:szCs w:val="24"/>
          <w:lang w:val="en-US" w:eastAsia="en-GB"/>
        </w:rPr>
        <w:t xml:space="preserve"> </w:t>
      </w:r>
      <w:r w:rsidR="001146EB" w:rsidRPr="00892CA2">
        <w:rPr>
          <w:szCs w:val="24"/>
          <w:lang w:val="en-US" w:eastAsia="en-GB"/>
        </w:rPr>
        <w:t xml:space="preserve">perianal </w:t>
      </w:r>
      <w:r w:rsidR="00AD58D3" w:rsidRPr="00892CA2">
        <w:rPr>
          <w:szCs w:val="24"/>
          <w:lang w:val="en-US" w:eastAsia="en-GB"/>
        </w:rPr>
        <w:t xml:space="preserve">fistulae may also </w:t>
      </w:r>
      <w:r w:rsidR="008E2F77" w:rsidRPr="00892CA2">
        <w:rPr>
          <w:szCs w:val="24"/>
          <w:lang w:val="en-US" w:eastAsia="en-GB"/>
        </w:rPr>
        <w:t>have a role</w:t>
      </w:r>
      <w:r w:rsidR="00AD58D3" w:rsidRPr="00892CA2">
        <w:rPr>
          <w:szCs w:val="24"/>
          <w:lang w:val="en-US" w:eastAsia="en-GB"/>
        </w:rPr>
        <w:t xml:space="preserve"> in </w:t>
      </w:r>
      <w:r w:rsidR="00C151BF" w:rsidRPr="00892CA2">
        <w:rPr>
          <w:szCs w:val="24"/>
          <w:lang w:val="en-US" w:eastAsia="en-GB"/>
        </w:rPr>
        <w:t xml:space="preserve">selected </w:t>
      </w:r>
      <w:r w:rsidR="00AD58D3" w:rsidRPr="00892CA2">
        <w:rPr>
          <w:szCs w:val="24"/>
          <w:lang w:val="en-US" w:eastAsia="en-GB"/>
        </w:rPr>
        <w:t xml:space="preserve">idiopathic </w:t>
      </w:r>
      <w:r w:rsidR="001146EB" w:rsidRPr="00892CA2">
        <w:rPr>
          <w:szCs w:val="24"/>
          <w:lang w:val="en-US" w:eastAsia="en-GB"/>
        </w:rPr>
        <w:t>perianal</w:t>
      </w:r>
      <w:r w:rsidR="001146EB" w:rsidRPr="00892CA2">
        <w:rPr>
          <w:szCs w:val="24"/>
          <w:lang w:val="en-US"/>
        </w:rPr>
        <w:t xml:space="preserve"> fistulae</w:t>
      </w:r>
      <w:r w:rsidR="00C151BF" w:rsidRPr="00892CA2">
        <w:rPr>
          <w:szCs w:val="24"/>
          <w:lang w:val="en-US"/>
        </w:rPr>
        <w:t xml:space="preserve"> especially when recent </w:t>
      </w:r>
      <w:proofErr w:type="spellStart"/>
      <w:r w:rsidR="00C151BF" w:rsidRPr="00892CA2">
        <w:rPr>
          <w:szCs w:val="24"/>
          <w:lang w:val="en-US"/>
        </w:rPr>
        <w:t>randomised</w:t>
      </w:r>
      <w:proofErr w:type="spellEnd"/>
      <w:r w:rsidR="00C151BF" w:rsidRPr="00892CA2">
        <w:rPr>
          <w:szCs w:val="24"/>
          <w:lang w:val="en-US"/>
        </w:rPr>
        <w:t xml:space="preserve"> trial data have exposed the general limitations of </w:t>
      </w:r>
      <w:proofErr w:type="gramStart"/>
      <w:r w:rsidR="00C151BF" w:rsidRPr="00892CA2">
        <w:rPr>
          <w:szCs w:val="24"/>
          <w:lang w:val="en-US"/>
        </w:rPr>
        <w:t>surgery</w:t>
      </w:r>
      <w:r w:rsidR="003D51A1" w:rsidRPr="00892CA2">
        <w:rPr>
          <w:szCs w:val="24"/>
          <w:vertAlign w:val="superscript"/>
          <w:lang w:val="en-US"/>
        </w:rPr>
        <w:t>[</w:t>
      </w:r>
      <w:proofErr w:type="gramEnd"/>
      <w:r w:rsidR="003D51A1" w:rsidRPr="00892CA2">
        <w:rPr>
          <w:szCs w:val="24"/>
          <w:vertAlign w:val="superscript"/>
          <w:lang w:val="en-US"/>
        </w:rPr>
        <w:t>3]</w:t>
      </w:r>
      <w:r w:rsidR="00A741B2" w:rsidRPr="00892CA2">
        <w:rPr>
          <w:szCs w:val="24"/>
          <w:lang w:val="en-US"/>
        </w:rPr>
        <w:t>.</w:t>
      </w:r>
      <w:r w:rsidR="002E2C67" w:rsidRPr="00892CA2">
        <w:rPr>
          <w:szCs w:val="24"/>
          <w:lang w:val="en-US"/>
        </w:rPr>
        <w:t xml:space="preserve"> </w:t>
      </w:r>
      <w:r w:rsidR="008A7374" w:rsidRPr="00892CA2">
        <w:rPr>
          <w:szCs w:val="24"/>
          <w:lang w:val="en-US"/>
        </w:rPr>
        <w:t>We acknowledge however that research is warranted.</w:t>
      </w:r>
    </w:p>
    <w:p w14:paraId="0CF2736E" w14:textId="77777777" w:rsidR="00BE0BC4" w:rsidRPr="00892CA2" w:rsidRDefault="00BE0BC4" w:rsidP="007E3B89">
      <w:pPr>
        <w:adjustRightInd w:val="0"/>
        <w:snapToGrid w:val="0"/>
        <w:spacing w:before="0" w:after="0"/>
        <w:jc w:val="both"/>
        <w:rPr>
          <w:szCs w:val="24"/>
          <w:lang w:val="en-US"/>
        </w:rPr>
      </w:pPr>
    </w:p>
    <w:p w14:paraId="7E1FB41D" w14:textId="6C34AF13" w:rsidR="00AF11D9" w:rsidRPr="00892CA2" w:rsidRDefault="00AF11D9" w:rsidP="007E3B89">
      <w:pPr>
        <w:pStyle w:val="1"/>
        <w:adjustRightInd w:val="0"/>
        <w:snapToGrid w:val="0"/>
        <w:spacing w:before="0"/>
        <w:jc w:val="both"/>
        <w:rPr>
          <w:szCs w:val="24"/>
          <w:lang w:val="en-US"/>
        </w:rPr>
      </w:pPr>
      <w:bookmarkStart w:id="102" w:name="OLE_LINK151"/>
      <w:bookmarkStart w:id="103" w:name="OLE_LINK259"/>
      <w:bookmarkStart w:id="104" w:name="OLE_LINK158"/>
      <w:bookmarkStart w:id="105" w:name="OLE_LINK159"/>
      <w:bookmarkStart w:id="106" w:name="OLE_LINK205"/>
      <w:bookmarkStart w:id="107" w:name="OLE_LINK206"/>
      <w:bookmarkStart w:id="108" w:name="OLE_LINK244"/>
      <w:bookmarkStart w:id="109" w:name="OLE_LINK245"/>
      <w:bookmarkStart w:id="110" w:name="OLE_LINK11"/>
      <w:bookmarkStart w:id="111" w:name="OLE_LINK12"/>
      <w:bookmarkStart w:id="112" w:name="OLE_LINK23"/>
      <w:bookmarkStart w:id="113" w:name="OLE_LINK24"/>
      <w:bookmarkStart w:id="114" w:name="OLE_LINK316"/>
      <w:bookmarkStart w:id="115" w:name="OLE_LINK332"/>
      <w:bookmarkStart w:id="116" w:name="OLE_LINK521"/>
      <w:bookmarkStart w:id="117" w:name="OLE_LINK403"/>
      <w:bookmarkStart w:id="118" w:name="OLE_LINK560"/>
      <w:bookmarkStart w:id="119" w:name="OLE_LINK839"/>
      <w:bookmarkStart w:id="120" w:name="OLE_LINK625"/>
      <w:r w:rsidRPr="00892CA2">
        <w:rPr>
          <w:szCs w:val="24"/>
          <w:shd w:val="clear" w:color="auto" w:fill="FFFFFF"/>
          <w:lang w:val="en-US"/>
        </w:rPr>
        <w:t>Article Highlights</w:t>
      </w:r>
      <w:r w:rsidR="00C97323" w:rsidRPr="00892CA2">
        <w:rPr>
          <w:szCs w:val="24"/>
          <w:shd w:val="clear" w:color="auto" w:fill="FFFFFF"/>
          <w:lang w:val="en-US"/>
        </w:rPr>
        <w:t xml:space="preserve"> </w:t>
      </w:r>
    </w:p>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14:paraId="236E2574" w14:textId="77777777" w:rsidR="00A01BC6" w:rsidRPr="00892CA2" w:rsidRDefault="00A01BC6" w:rsidP="007E3B89">
      <w:pPr>
        <w:pStyle w:val="2"/>
        <w:adjustRightInd w:val="0"/>
        <w:snapToGrid w:val="0"/>
        <w:spacing w:before="0" w:after="0"/>
        <w:jc w:val="both"/>
        <w:rPr>
          <w:szCs w:val="24"/>
          <w:lang w:val="en-US"/>
        </w:rPr>
      </w:pPr>
      <w:r w:rsidRPr="00892CA2">
        <w:rPr>
          <w:szCs w:val="24"/>
          <w:lang w:val="en-US"/>
        </w:rPr>
        <w:t>Research background</w:t>
      </w:r>
    </w:p>
    <w:p w14:paraId="539FABB5" w14:textId="13629BE0" w:rsidR="00A01BC6" w:rsidRPr="00892CA2" w:rsidRDefault="00A01BC6" w:rsidP="007E3B89">
      <w:pPr>
        <w:adjustRightInd w:val="0"/>
        <w:snapToGrid w:val="0"/>
        <w:spacing w:before="0" w:after="0"/>
        <w:jc w:val="both"/>
        <w:rPr>
          <w:szCs w:val="24"/>
          <w:lang w:val="en-US"/>
        </w:rPr>
      </w:pPr>
      <w:r w:rsidRPr="00892CA2">
        <w:rPr>
          <w:szCs w:val="24"/>
          <w:lang w:val="en-US" w:eastAsia="en-GB"/>
        </w:rPr>
        <w:t>Perianal fistulae are common</w:t>
      </w:r>
      <w:r w:rsidRPr="00892CA2">
        <w:rPr>
          <w:szCs w:val="24"/>
          <w:lang w:val="en-US"/>
        </w:rPr>
        <w:t xml:space="preserve"> and cause significant physical and psychosocial morbidity. Current treatments come with a significant failure rate. Idiopathic perianal fistulae are thought to arise from a primary infection of an anal gland, which leads to penetrating suppuration and fistula formation. Crohn’s disease</w:t>
      </w:r>
      <w:r w:rsidR="00BE0BC4" w:rsidRPr="00892CA2">
        <w:rPr>
          <w:szCs w:val="24"/>
          <w:lang w:val="en-US"/>
        </w:rPr>
        <w:t xml:space="preserve"> (</w:t>
      </w:r>
      <w:bookmarkStart w:id="121" w:name="OLE_LINK729"/>
      <w:bookmarkStart w:id="122" w:name="OLE_LINK730"/>
      <w:r w:rsidR="00BE0BC4" w:rsidRPr="00892CA2">
        <w:rPr>
          <w:szCs w:val="24"/>
          <w:lang w:val="en-US" w:eastAsia="en-GB"/>
        </w:rPr>
        <w:t>CD</w:t>
      </w:r>
      <w:bookmarkEnd w:id="121"/>
      <w:bookmarkEnd w:id="122"/>
      <w:r w:rsidR="00BE0BC4" w:rsidRPr="00892CA2">
        <w:rPr>
          <w:szCs w:val="24"/>
          <w:lang w:val="en-US"/>
        </w:rPr>
        <w:t>)</w:t>
      </w:r>
      <w:r w:rsidRPr="00892CA2">
        <w:rPr>
          <w:szCs w:val="24"/>
          <w:lang w:val="en-US"/>
        </w:rPr>
        <w:t>-related perianal fistulae is thought to arise from altered inflammatory pathways within the mucosa.</w:t>
      </w:r>
    </w:p>
    <w:p w14:paraId="3FDB1986" w14:textId="77777777" w:rsidR="00BE0BC4" w:rsidRPr="00892CA2" w:rsidRDefault="00BE0BC4" w:rsidP="007E3B89">
      <w:pPr>
        <w:adjustRightInd w:val="0"/>
        <w:snapToGrid w:val="0"/>
        <w:spacing w:before="0" w:after="0"/>
        <w:jc w:val="both"/>
        <w:rPr>
          <w:szCs w:val="24"/>
          <w:lang w:val="en-US"/>
        </w:rPr>
      </w:pPr>
    </w:p>
    <w:p w14:paraId="2F8B240F" w14:textId="77777777" w:rsidR="00A01BC6" w:rsidRPr="00892CA2" w:rsidRDefault="00A01BC6" w:rsidP="007E3B89">
      <w:pPr>
        <w:pStyle w:val="2"/>
        <w:adjustRightInd w:val="0"/>
        <w:snapToGrid w:val="0"/>
        <w:spacing w:before="0" w:after="0"/>
        <w:jc w:val="both"/>
        <w:rPr>
          <w:szCs w:val="24"/>
          <w:lang w:val="en-US"/>
        </w:rPr>
      </w:pPr>
      <w:r w:rsidRPr="00892CA2">
        <w:rPr>
          <w:szCs w:val="24"/>
          <w:lang w:val="en-US"/>
        </w:rPr>
        <w:t>Research motivation</w:t>
      </w:r>
    </w:p>
    <w:p w14:paraId="07F31D1C" w14:textId="73750089" w:rsidR="00A01BC6" w:rsidRPr="00892CA2" w:rsidRDefault="00A01BC6" w:rsidP="007E3B89">
      <w:pPr>
        <w:adjustRightInd w:val="0"/>
        <w:snapToGrid w:val="0"/>
        <w:spacing w:before="0" w:after="0"/>
        <w:jc w:val="both"/>
        <w:rPr>
          <w:szCs w:val="24"/>
          <w:lang w:val="en-US"/>
        </w:rPr>
      </w:pPr>
      <w:r w:rsidRPr="00892CA2">
        <w:rPr>
          <w:szCs w:val="24"/>
          <w:lang w:val="en-US"/>
        </w:rPr>
        <w:t xml:space="preserve">The </w:t>
      </w:r>
      <w:proofErr w:type="spellStart"/>
      <w:r w:rsidRPr="00892CA2">
        <w:rPr>
          <w:szCs w:val="24"/>
          <w:lang w:val="en-US"/>
        </w:rPr>
        <w:t>aetiology</w:t>
      </w:r>
      <w:proofErr w:type="spellEnd"/>
      <w:r w:rsidRPr="00892CA2">
        <w:rPr>
          <w:szCs w:val="24"/>
          <w:lang w:val="en-US"/>
        </w:rPr>
        <w:t xml:space="preserve"> and pathophysiology of perianal fistulae is still unclear. A better understanding could lead to better treatments. Most research to date has assumed idiopathic and </w:t>
      </w:r>
      <w:r w:rsidR="00BE0BC4" w:rsidRPr="00892CA2">
        <w:rPr>
          <w:szCs w:val="24"/>
          <w:lang w:val="en-US"/>
        </w:rPr>
        <w:t>CD</w:t>
      </w:r>
      <w:r w:rsidRPr="00892CA2">
        <w:rPr>
          <w:szCs w:val="24"/>
          <w:lang w:val="en-US"/>
        </w:rPr>
        <w:t>-related fistulae to be fundamentally different. However this assumption has never been tested.</w:t>
      </w:r>
    </w:p>
    <w:p w14:paraId="49EDE049" w14:textId="77777777" w:rsidR="00BE0BC4" w:rsidRPr="00892CA2" w:rsidRDefault="00BE0BC4" w:rsidP="007E3B89">
      <w:pPr>
        <w:adjustRightInd w:val="0"/>
        <w:snapToGrid w:val="0"/>
        <w:spacing w:before="0" w:after="0"/>
        <w:jc w:val="both"/>
        <w:rPr>
          <w:rFonts w:eastAsiaTheme="minorEastAsia"/>
          <w:szCs w:val="24"/>
          <w:lang w:val="en-US"/>
        </w:rPr>
      </w:pPr>
    </w:p>
    <w:p w14:paraId="14B05D7E" w14:textId="77777777" w:rsidR="00A01BC6" w:rsidRPr="00892CA2" w:rsidRDefault="00A01BC6" w:rsidP="007E3B89">
      <w:pPr>
        <w:pStyle w:val="2"/>
        <w:adjustRightInd w:val="0"/>
        <w:snapToGrid w:val="0"/>
        <w:spacing w:before="0" w:after="0"/>
        <w:jc w:val="both"/>
        <w:rPr>
          <w:szCs w:val="24"/>
          <w:lang w:val="en-US"/>
        </w:rPr>
      </w:pPr>
      <w:r w:rsidRPr="00892CA2">
        <w:rPr>
          <w:szCs w:val="24"/>
          <w:lang w:val="en-US"/>
        </w:rPr>
        <w:t>Research objectives</w:t>
      </w:r>
    </w:p>
    <w:p w14:paraId="4CFF6597" w14:textId="78302E3C" w:rsidR="00A01BC6" w:rsidRPr="00892CA2" w:rsidRDefault="00A01BC6" w:rsidP="007E3B89">
      <w:pPr>
        <w:adjustRightInd w:val="0"/>
        <w:snapToGrid w:val="0"/>
        <w:spacing w:before="0" w:after="0"/>
        <w:jc w:val="both"/>
        <w:rPr>
          <w:szCs w:val="24"/>
          <w:lang w:val="en-US"/>
        </w:rPr>
      </w:pPr>
      <w:r w:rsidRPr="00892CA2">
        <w:rPr>
          <w:szCs w:val="24"/>
          <w:lang w:val="en-US" w:eastAsia="en-GB"/>
        </w:rPr>
        <w:t xml:space="preserve">We </w:t>
      </w:r>
      <w:proofErr w:type="spellStart"/>
      <w:r w:rsidRPr="00892CA2">
        <w:rPr>
          <w:szCs w:val="24"/>
          <w:lang w:val="en-US" w:eastAsia="en-GB"/>
        </w:rPr>
        <w:t>hypothesised</w:t>
      </w:r>
      <w:proofErr w:type="spellEnd"/>
      <w:r w:rsidRPr="00892CA2">
        <w:rPr>
          <w:szCs w:val="24"/>
          <w:lang w:val="en-US" w:eastAsia="en-GB"/>
        </w:rPr>
        <w:t xml:space="preserve"> that idiopathic and </w:t>
      </w:r>
      <w:r w:rsidR="00BE0BC4" w:rsidRPr="00892CA2">
        <w:rPr>
          <w:szCs w:val="24"/>
          <w:lang w:val="en-US" w:eastAsia="en-GB"/>
        </w:rPr>
        <w:t>CD</w:t>
      </w:r>
      <w:r w:rsidRPr="00892CA2">
        <w:rPr>
          <w:szCs w:val="24"/>
          <w:lang w:val="en-US" w:eastAsia="en-GB"/>
        </w:rPr>
        <w:t xml:space="preserve">-related perianal fistulae are different and aimed to test this systematically by </w:t>
      </w:r>
      <w:r w:rsidRPr="00892CA2">
        <w:rPr>
          <w:szCs w:val="24"/>
          <w:lang w:val="en-US"/>
        </w:rPr>
        <w:t xml:space="preserve">comparing their clinical phenotypes, cytokine and phosphoprotein profiles. </w:t>
      </w:r>
    </w:p>
    <w:p w14:paraId="23FEF79D" w14:textId="77777777" w:rsidR="00BE0BC4" w:rsidRPr="00892CA2" w:rsidRDefault="00BE0BC4" w:rsidP="007E3B89">
      <w:pPr>
        <w:adjustRightInd w:val="0"/>
        <w:snapToGrid w:val="0"/>
        <w:spacing w:before="0" w:after="0"/>
        <w:jc w:val="both"/>
        <w:rPr>
          <w:szCs w:val="24"/>
          <w:lang w:val="en-US" w:eastAsia="en-GB"/>
        </w:rPr>
      </w:pPr>
    </w:p>
    <w:p w14:paraId="7CE9423F" w14:textId="77777777" w:rsidR="00A01BC6" w:rsidRPr="00892CA2" w:rsidRDefault="00A01BC6" w:rsidP="007E3B89">
      <w:pPr>
        <w:pStyle w:val="2"/>
        <w:adjustRightInd w:val="0"/>
        <w:snapToGrid w:val="0"/>
        <w:spacing w:before="0" w:after="0"/>
        <w:jc w:val="both"/>
        <w:rPr>
          <w:szCs w:val="24"/>
          <w:lang w:val="en-US"/>
        </w:rPr>
      </w:pPr>
      <w:r w:rsidRPr="00892CA2">
        <w:rPr>
          <w:szCs w:val="24"/>
          <w:lang w:val="en-US"/>
        </w:rPr>
        <w:t>Research methods</w:t>
      </w:r>
    </w:p>
    <w:p w14:paraId="1B9F5669" w14:textId="77B353E1" w:rsidR="00A01BC6" w:rsidRPr="00892CA2" w:rsidRDefault="00A01BC6" w:rsidP="007E3B89">
      <w:pPr>
        <w:adjustRightInd w:val="0"/>
        <w:snapToGrid w:val="0"/>
        <w:spacing w:before="0" w:after="0"/>
        <w:jc w:val="both"/>
        <w:rPr>
          <w:szCs w:val="24"/>
          <w:lang w:val="en-US" w:eastAsia="en-GB"/>
        </w:rPr>
      </w:pPr>
      <w:r w:rsidRPr="00892CA2">
        <w:rPr>
          <w:rFonts w:eastAsiaTheme="minorEastAsia"/>
          <w:szCs w:val="24"/>
          <w:lang w:val="en-US"/>
        </w:rPr>
        <w:t xml:space="preserve">We conducted a prospective cohort study within a </w:t>
      </w:r>
      <w:r w:rsidR="00BE0BC4" w:rsidRPr="00892CA2">
        <w:rPr>
          <w:rFonts w:eastAsiaTheme="minorEastAsia"/>
          <w:szCs w:val="24"/>
          <w:lang w:val="en-US"/>
        </w:rPr>
        <w:t>u</w:t>
      </w:r>
      <w:r w:rsidRPr="00892CA2">
        <w:rPr>
          <w:rFonts w:eastAsiaTheme="minorEastAsia"/>
          <w:szCs w:val="24"/>
          <w:lang w:val="en-US"/>
        </w:rPr>
        <w:t xml:space="preserve">niversity hospital. Sixty-one consecutive patients </w:t>
      </w:r>
      <w:r w:rsidRPr="00892CA2">
        <w:rPr>
          <w:szCs w:val="24"/>
          <w:lang w:val="en-US"/>
        </w:rPr>
        <w:t xml:space="preserve">undergoing surgery for perianal fistula </w:t>
      </w:r>
      <w:r w:rsidRPr="00892CA2">
        <w:rPr>
          <w:rFonts w:eastAsiaTheme="minorEastAsia"/>
          <w:szCs w:val="24"/>
          <w:lang w:val="en-US"/>
        </w:rPr>
        <w:t xml:space="preserve">were recruited. Clinical data, pre- and post-operative </w:t>
      </w:r>
      <w:r w:rsidR="00A665D3" w:rsidRPr="00892CA2">
        <w:rPr>
          <w:rFonts w:eastAsiaTheme="minorEastAsia"/>
          <w:szCs w:val="24"/>
          <w:lang w:val="en-US"/>
        </w:rPr>
        <w:t>Perineal Disease Activity Index</w:t>
      </w:r>
      <w:r w:rsidR="00BE0BC4" w:rsidRPr="00892CA2">
        <w:rPr>
          <w:rFonts w:eastAsiaTheme="minorEastAsia"/>
          <w:szCs w:val="24"/>
          <w:lang w:val="en-US"/>
        </w:rPr>
        <w:t xml:space="preserve"> (</w:t>
      </w:r>
      <w:r w:rsidR="00BE0BC4" w:rsidRPr="00892CA2">
        <w:rPr>
          <w:szCs w:val="24"/>
          <w:lang w:val="en-US" w:eastAsia="en-GB"/>
        </w:rPr>
        <w:t>PDAI</w:t>
      </w:r>
      <w:r w:rsidR="00BE0BC4" w:rsidRPr="00892CA2">
        <w:rPr>
          <w:rFonts w:eastAsiaTheme="minorEastAsia"/>
          <w:szCs w:val="24"/>
          <w:lang w:val="en-US"/>
        </w:rPr>
        <w:t>)</w:t>
      </w:r>
      <w:r w:rsidRPr="00892CA2">
        <w:rPr>
          <w:rFonts w:eastAsiaTheme="minorEastAsia"/>
          <w:szCs w:val="24"/>
          <w:lang w:val="en-US"/>
        </w:rPr>
        <w:t xml:space="preserve"> and EQ-5D-5L scores were measured. </w:t>
      </w:r>
      <w:r w:rsidRPr="00892CA2">
        <w:rPr>
          <w:szCs w:val="24"/>
          <w:lang w:val="en-US"/>
        </w:rPr>
        <w:t xml:space="preserve">Biopsies of the fistula tract, granulation tissue, internal opening mucosa and rectal mucosa were obtained at surgery. These were processed in our laboratory to measure 30 cytokines and 39 phosphoproteins. To our knowledge, </w:t>
      </w:r>
      <w:r w:rsidRPr="00892CA2">
        <w:rPr>
          <w:szCs w:val="24"/>
          <w:lang w:val="en-US" w:eastAsia="en-GB"/>
        </w:rPr>
        <w:t xml:space="preserve">this is the largest study to date to systematically compare idiopathic and </w:t>
      </w:r>
      <w:r w:rsidR="00BE0BC4" w:rsidRPr="00892CA2">
        <w:rPr>
          <w:szCs w:val="24"/>
          <w:lang w:val="en-US" w:eastAsia="en-GB"/>
        </w:rPr>
        <w:t>CD</w:t>
      </w:r>
      <w:r w:rsidRPr="00892CA2">
        <w:rPr>
          <w:szCs w:val="24"/>
          <w:lang w:val="en-US" w:eastAsia="en-GB"/>
        </w:rPr>
        <w:t>-related perianal fistulae in a well-defined patient cohort</w:t>
      </w:r>
      <w:r w:rsidR="00BE0BC4" w:rsidRPr="00892CA2">
        <w:rPr>
          <w:szCs w:val="24"/>
          <w:lang w:val="en-US" w:eastAsia="en-GB"/>
        </w:rPr>
        <w:t>.</w:t>
      </w:r>
    </w:p>
    <w:p w14:paraId="7297F02B" w14:textId="77777777" w:rsidR="00BE0BC4" w:rsidRPr="00892CA2" w:rsidRDefault="00BE0BC4" w:rsidP="007E3B89">
      <w:pPr>
        <w:adjustRightInd w:val="0"/>
        <w:snapToGrid w:val="0"/>
        <w:spacing w:before="0" w:after="0"/>
        <w:jc w:val="both"/>
        <w:rPr>
          <w:rFonts w:eastAsiaTheme="minorEastAsia"/>
          <w:szCs w:val="24"/>
          <w:lang w:val="en-US"/>
        </w:rPr>
      </w:pPr>
    </w:p>
    <w:p w14:paraId="4AC2C6CC" w14:textId="77777777" w:rsidR="00A01BC6" w:rsidRPr="00892CA2" w:rsidRDefault="00A01BC6" w:rsidP="007E3B89">
      <w:pPr>
        <w:pStyle w:val="2"/>
        <w:adjustRightInd w:val="0"/>
        <w:snapToGrid w:val="0"/>
        <w:spacing w:before="0" w:after="0"/>
        <w:jc w:val="both"/>
        <w:rPr>
          <w:szCs w:val="24"/>
          <w:lang w:val="en-US"/>
        </w:rPr>
      </w:pPr>
      <w:r w:rsidRPr="00892CA2">
        <w:rPr>
          <w:szCs w:val="24"/>
          <w:lang w:val="en-US"/>
        </w:rPr>
        <w:t>Research results</w:t>
      </w:r>
    </w:p>
    <w:p w14:paraId="23E93CFB" w14:textId="3BFC1A60" w:rsidR="00A01BC6" w:rsidRPr="00892CA2" w:rsidRDefault="00A01BC6" w:rsidP="007E3B89">
      <w:pPr>
        <w:adjustRightInd w:val="0"/>
        <w:snapToGrid w:val="0"/>
        <w:spacing w:before="0" w:after="0"/>
        <w:jc w:val="both"/>
        <w:rPr>
          <w:szCs w:val="24"/>
          <w:lang w:val="en-US" w:eastAsia="en-GB"/>
        </w:rPr>
      </w:pPr>
      <w:r w:rsidRPr="00892CA2">
        <w:rPr>
          <w:szCs w:val="24"/>
          <w:lang w:val="en-US" w:eastAsia="en-GB"/>
        </w:rPr>
        <w:t xml:space="preserve">The PDAI was significantly higher and complex </w:t>
      </w:r>
      <w:proofErr w:type="spellStart"/>
      <w:r w:rsidRPr="00892CA2">
        <w:rPr>
          <w:szCs w:val="24"/>
          <w:lang w:val="en-US" w:eastAsia="en-GB"/>
        </w:rPr>
        <w:t>pathoanatomy</w:t>
      </w:r>
      <w:proofErr w:type="spellEnd"/>
      <w:r w:rsidRPr="00892CA2">
        <w:rPr>
          <w:szCs w:val="24"/>
          <w:lang w:val="en-US" w:eastAsia="en-GB"/>
        </w:rPr>
        <w:t xml:space="preserve"> was more prevalent in the </w:t>
      </w:r>
      <w:r w:rsidR="00BE0BC4" w:rsidRPr="00892CA2">
        <w:rPr>
          <w:szCs w:val="24"/>
          <w:lang w:val="en-US" w:eastAsia="en-GB"/>
        </w:rPr>
        <w:t>CD</w:t>
      </w:r>
      <w:r w:rsidRPr="00892CA2">
        <w:rPr>
          <w:szCs w:val="24"/>
          <w:lang w:val="en-US" w:eastAsia="en-GB"/>
        </w:rPr>
        <w:t xml:space="preserve"> group, supporting the commonly-held belief that </w:t>
      </w:r>
      <w:r w:rsidR="00BE0BC4" w:rsidRPr="00892CA2">
        <w:rPr>
          <w:szCs w:val="24"/>
          <w:lang w:val="en-US" w:eastAsia="en-GB"/>
        </w:rPr>
        <w:t>CD</w:t>
      </w:r>
      <w:r w:rsidRPr="00892CA2">
        <w:rPr>
          <w:szCs w:val="24"/>
          <w:lang w:val="en-US" w:eastAsia="en-GB"/>
        </w:rPr>
        <w:t>-related perianal fistulae are more severe and complex than idiopathic.</w:t>
      </w:r>
      <w:r w:rsidR="00D46D87" w:rsidRPr="00892CA2">
        <w:rPr>
          <w:rFonts w:eastAsia="宋体" w:hint="eastAsia"/>
          <w:szCs w:val="24"/>
          <w:lang w:val="en-US" w:eastAsia="zh-CN"/>
        </w:rPr>
        <w:t xml:space="preserve"> </w:t>
      </w:r>
      <w:r w:rsidRPr="00892CA2">
        <w:rPr>
          <w:szCs w:val="24"/>
          <w:lang w:val="en-US"/>
        </w:rPr>
        <w:t>IL-12p70 concentration at the internal opening was higher and the IL-1RA/IL-1</w:t>
      </w:r>
      <w:r w:rsidRPr="00892CA2">
        <w:rPr>
          <w:szCs w:val="24"/>
          <w:lang w:val="en-US"/>
        </w:rPr>
        <w:sym w:font="Symbol" w:char="F062"/>
      </w:r>
      <w:r w:rsidRPr="00892CA2">
        <w:rPr>
          <w:szCs w:val="24"/>
          <w:lang w:val="en-US"/>
        </w:rPr>
        <w:t xml:space="preserve"> ratio was significantly lower at the internal opening in patients with </w:t>
      </w:r>
      <w:r w:rsidR="00BE0BC4" w:rsidRPr="00892CA2">
        <w:rPr>
          <w:szCs w:val="24"/>
          <w:lang w:val="en-US"/>
        </w:rPr>
        <w:t>CD</w:t>
      </w:r>
      <w:r w:rsidRPr="00892CA2">
        <w:rPr>
          <w:szCs w:val="24"/>
          <w:lang w:val="en-US"/>
        </w:rPr>
        <w:t>. There were no significant differences between the groups for any other cytokine concentrations at the four specimen sites. There were also no significant differences in phosphoprotein levels between the patient groups at any specimen site.</w:t>
      </w:r>
    </w:p>
    <w:p w14:paraId="419A8549" w14:textId="77777777" w:rsidR="00BE0BC4" w:rsidRPr="00892CA2" w:rsidRDefault="00BE0BC4" w:rsidP="007E3B89">
      <w:pPr>
        <w:adjustRightInd w:val="0"/>
        <w:snapToGrid w:val="0"/>
        <w:spacing w:before="0" w:after="0"/>
        <w:jc w:val="both"/>
        <w:rPr>
          <w:rFonts w:eastAsiaTheme="minorEastAsia"/>
          <w:szCs w:val="24"/>
          <w:lang w:val="en-US"/>
        </w:rPr>
      </w:pPr>
    </w:p>
    <w:p w14:paraId="45D51BD6" w14:textId="77777777" w:rsidR="00A01BC6" w:rsidRPr="00892CA2" w:rsidRDefault="00A01BC6" w:rsidP="007E3B89">
      <w:pPr>
        <w:pStyle w:val="2"/>
        <w:adjustRightInd w:val="0"/>
        <w:snapToGrid w:val="0"/>
        <w:spacing w:before="0" w:after="0"/>
        <w:jc w:val="both"/>
        <w:rPr>
          <w:szCs w:val="24"/>
          <w:lang w:val="en-US"/>
        </w:rPr>
      </w:pPr>
      <w:r w:rsidRPr="00892CA2">
        <w:rPr>
          <w:szCs w:val="24"/>
          <w:lang w:val="en-US"/>
        </w:rPr>
        <w:t>Research conclusions</w:t>
      </w:r>
    </w:p>
    <w:p w14:paraId="1B99B27E" w14:textId="4E1B94A0" w:rsidR="00A01BC6" w:rsidRPr="00892CA2" w:rsidRDefault="00A01BC6" w:rsidP="007E3B89">
      <w:pPr>
        <w:adjustRightInd w:val="0"/>
        <w:snapToGrid w:val="0"/>
        <w:spacing w:before="0" w:after="0"/>
        <w:jc w:val="both"/>
        <w:rPr>
          <w:szCs w:val="24"/>
          <w:lang w:val="en-US"/>
        </w:rPr>
      </w:pPr>
      <w:r w:rsidRPr="00892CA2">
        <w:rPr>
          <w:szCs w:val="24"/>
          <w:lang w:val="en-US" w:eastAsia="en-GB"/>
        </w:rPr>
        <w:t xml:space="preserve">CD-related perianal fistulae </w:t>
      </w:r>
      <w:r w:rsidR="00AA773C" w:rsidRPr="00892CA2">
        <w:rPr>
          <w:szCs w:val="24"/>
          <w:lang w:val="en-US" w:eastAsia="en-GB"/>
        </w:rPr>
        <w:t>are often</w:t>
      </w:r>
      <w:r w:rsidRPr="00892CA2">
        <w:rPr>
          <w:szCs w:val="24"/>
          <w:lang w:val="en-US" w:eastAsia="en-GB"/>
        </w:rPr>
        <w:t xml:space="preserve"> clinically more severe and complex. However, they do not su</w:t>
      </w:r>
      <w:r w:rsidR="00AA773C" w:rsidRPr="00892CA2">
        <w:rPr>
          <w:szCs w:val="24"/>
          <w:lang w:val="en-US" w:eastAsia="en-GB"/>
        </w:rPr>
        <w:t>bst</w:t>
      </w:r>
      <w:r w:rsidRPr="00892CA2">
        <w:rPr>
          <w:szCs w:val="24"/>
          <w:lang w:val="en-US" w:eastAsia="en-GB"/>
        </w:rPr>
        <w:t>antially differ in their expression of a large panel of cytokines and phosphoproteins.</w:t>
      </w:r>
    </w:p>
    <w:p w14:paraId="13219DF6" w14:textId="77777777" w:rsidR="00BE0BC4" w:rsidRPr="00892CA2" w:rsidRDefault="00BE0BC4" w:rsidP="007E3B89">
      <w:pPr>
        <w:adjustRightInd w:val="0"/>
        <w:snapToGrid w:val="0"/>
        <w:spacing w:before="0" w:after="0"/>
        <w:jc w:val="both"/>
        <w:rPr>
          <w:szCs w:val="24"/>
          <w:lang w:val="en-US"/>
        </w:rPr>
      </w:pPr>
    </w:p>
    <w:p w14:paraId="726145C4" w14:textId="77777777" w:rsidR="00A01BC6" w:rsidRPr="00892CA2" w:rsidRDefault="00A01BC6" w:rsidP="007E3B89">
      <w:pPr>
        <w:pStyle w:val="2"/>
        <w:adjustRightInd w:val="0"/>
        <w:snapToGrid w:val="0"/>
        <w:spacing w:before="0" w:after="0"/>
        <w:jc w:val="both"/>
        <w:rPr>
          <w:szCs w:val="24"/>
          <w:lang w:val="en-US"/>
        </w:rPr>
      </w:pPr>
      <w:r w:rsidRPr="00892CA2">
        <w:rPr>
          <w:szCs w:val="24"/>
          <w:lang w:val="en-US"/>
        </w:rPr>
        <w:t>Research perspectives</w:t>
      </w:r>
    </w:p>
    <w:p w14:paraId="18BE60AC" w14:textId="14554503" w:rsidR="00A01BC6" w:rsidRPr="00892CA2" w:rsidRDefault="00A01BC6" w:rsidP="007E3B89">
      <w:pPr>
        <w:adjustRightInd w:val="0"/>
        <w:snapToGrid w:val="0"/>
        <w:spacing w:before="0" w:after="0"/>
        <w:jc w:val="both"/>
        <w:rPr>
          <w:szCs w:val="24"/>
          <w:lang w:val="en-US"/>
        </w:rPr>
      </w:pPr>
      <w:r w:rsidRPr="00892CA2">
        <w:rPr>
          <w:szCs w:val="24"/>
          <w:lang w:val="en-US" w:eastAsia="en-GB"/>
        </w:rPr>
        <w:t>Our data contributes to an emerging theory that idiopathic and CD-related perianal fistulae may not be as immunologically distinct as previously supposed.</w:t>
      </w:r>
      <w:r w:rsidRPr="00892CA2">
        <w:rPr>
          <w:szCs w:val="24"/>
          <w:lang w:val="en-US"/>
        </w:rPr>
        <w:t xml:space="preserve"> </w:t>
      </w:r>
      <w:r w:rsidRPr="00892CA2">
        <w:rPr>
          <w:szCs w:val="24"/>
          <w:lang w:val="en-US" w:eastAsia="en-GB"/>
        </w:rPr>
        <w:t>This line of reasoning opens the possibility that biological agents effective in CD-related perianal fistulae may also have a role in selected idiopathic perianal</w:t>
      </w:r>
      <w:r w:rsidRPr="00892CA2">
        <w:rPr>
          <w:szCs w:val="24"/>
          <w:lang w:val="en-US"/>
        </w:rPr>
        <w:t xml:space="preserve"> fistulae especially when recent </w:t>
      </w:r>
      <w:proofErr w:type="spellStart"/>
      <w:r w:rsidRPr="00892CA2">
        <w:rPr>
          <w:szCs w:val="24"/>
          <w:lang w:val="en-US"/>
        </w:rPr>
        <w:t>randomised</w:t>
      </w:r>
      <w:proofErr w:type="spellEnd"/>
      <w:r w:rsidRPr="00892CA2">
        <w:rPr>
          <w:szCs w:val="24"/>
          <w:lang w:val="en-US"/>
        </w:rPr>
        <w:t xml:space="preserve"> trial data have exposed the general limitations of surgery. Further research is warranted.</w:t>
      </w:r>
    </w:p>
    <w:p w14:paraId="26453A44" w14:textId="48D902B1" w:rsidR="000B5EFA" w:rsidRPr="00892CA2" w:rsidRDefault="000B5EFA" w:rsidP="007E3B89">
      <w:pPr>
        <w:adjustRightInd w:val="0"/>
        <w:snapToGrid w:val="0"/>
        <w:spacing w:before="0" w:after="0"/>
        <w:jc w:val="both"/>
        <w:rPr>
          <w:szCs w:val="24"/>
          <w:lang w:val="en-US"/>
        </w:rPr>
      </w:pPr>
    </w:p>
    <w:p w14:paraId="382EE0BC" w14:textId="77777777" w:rsidR="000B5EFA" w:rsidRPr="00892CA2" w:rsidRDefault="000B5EFA" w:rsidP="000B5EFA">
      <w:pPr>
        <w:pStyle w:val="1"/>
        <w:adjustRightInd w:val="0"/>
        <w:snapToGrid w:val="0"/>
        <w:spacing w:before="0"/>
        <w:jc w:val="both"/>
        <w:rPr>
          <w:szCs w:val="24"/>
          <w:lang w:val="en-US"/>
        </w:rPr>
      </w:pPr>
      <w:r w:rsidRPr="00892CA2">
        <w:rPr>
          <w:szCs w:val="24"/>
          <w:lang w:val="en-US"/>
        </w:rPr>
        <w:t>Acknowledgements</w:t>
      </w:r>
    </w:p>
    <w:p w14:paraId="79704C5B" w14:textId="77777777" w:rsidR="000B5EFA" w:rsidRPr="00892CA2" w:rsidRDefault="000B5EFA" w:rsidP="000B5EFA">
      <w:pPr>
        <w:adjustRightInd w:val="0"/>
        <w:snapToGrid w:val="0"/>
        <w:spacing w:before="0" w:after="0"/>
        <w:jc w:val="both"/>
        <w:rPr>
          <w:szCs w:val="24"/>
          <w:lang w:val="en-US"/>
        </w:rPr>
      </w:pPr>
      <w:r w:rsidRPr="00892CA2">
        <w:rPr>
          <w:szCs w:val="24"/>
          <w:lang w:val="en-US" w:eastAsia="en-GB"/>
        </w:rPr>
        <w:t xml:space="preserve">Thank you to </w:t>
      </w:r>
      <w:r w:rsidRPr="00892CA2">
        <w:rPr>
          <w:szCs w:val="24"/>
          <w:lang w:val="en-US"/>
        </w:rPr>
        <w:t xml:space="preserve">Ellie </w:t>
      </w:r>
      <w:proofErr w:type="spellStart"/>
      <w:r w:rsidRPr="00892CA2">
        <w:rPr>
          <w:szCs w:val="24"/>
          <w:lang w:val="en-US"/>
        </w:rPr>
        <w:t>McAlees</w:t>
      </w:r>
      <w:proofErr w:type="spellEnd"/>
      <w:r w:rsidRPr="00892CA2">
        <w:rPr>
          <w:szCs w:val="24"/>
          <w:lang w:val="en-US"/>
        </w:rPr>
        <w:t xml:space="preserve"> for recruitment support, Anna </w:t>
      </w:r>
      <w:proofErr w:type="spellStart"/>
      <w:r w:rsidRPr="00892CA2">
        <w:rPr>
          <w:szCs w:val="24"/>
          <w:lang w:val="en-US"/>
        </w:rPr>
        <w:t>Vossenkamper</w:t>
      </w:r>
      <w:proofErr w:type="spellEnd"/>
      <w:r w:rsidRPr="00892CA2">
        <w:rPr>
          <w:szCs w:val="24"/>
          <w:lang w:val="en-US"/>
        </w:rPr>
        <w:t xml:space="preserve">, Nadia Ahmad, Paolo Biancheri and Bob Hardcastle for laboratory support, and Amira </w:t>
      </w:r>
      <w:proofErr w:type="spellStart"/>
      <w:r w:rsidRPr="00892CA2">
        <w:rPr>
          <w:szCs w:val="24"/>
          <w:lang w:val="en-US"/>
        </w:rPr>
        <w:t>Shamsiddinova</w:t>
      </w:r>
      <w:proofErr w:type="spellEnd"/>
      <w:r w:rsidRPr="00892CA2">
        <w:rPr>
          <w:szCs w:val="24"/>
          <w:lang w:val="en-US"/>
        </w:rPr>
        <w:t xml:space="preserve"> for data-entry support.</w:t>
      </w:r>
    </w:p>
    <w:p w14:paraId="48491EC9" w14:textId="77777777" w:rsidR="000B5EFA" w:rsidRPr="00892CA2" w:rsidRDefault="000B5EFA" w:rsidP="007E3B89">
      <w:pPr>
        <w:adjustRightInd w:val="0"/>
        <w:snapToGrid w:val="0"/>
        <w:spacing w:before="0" w:after="0"/>
        <w:jc w:val="both"/>
        <w:rPr>
          <w:szCs w:val="24"/>
          <w:lang w:val="en-US"/>
        </w:rPr>
      </w:pPr>
    </w:p>
    <w:p w14:paraId="00706BD3" w14:textId="77777777" w:rsidR="00BE0BC4" w:rsidRPr="00892CA2" w:rsidRDefault="00BE0BC4" w:rsidP="007E3B89">
      <w:pPr>
        <w:adjustRightInd w:val="0"/>
        <w:snapToGrid w:val="0"/>
        <w:spacing w:before="0" w:after="0"/>
        <w:jc w:val="both"/>
        <w:rPr>
          <w:rFonts w:eastAsia="Calibri"/>
          <w:b/>
          <w:bCs/>
          <w:caps/>
          <w:szCs w:val="24"/>
          <w:lang w:val="en-US" w:eastAsia="en-GB"/>
        </w:rPr>
      </w:pPr>
      <w:r w:rsidRPr="00892CA2">
        <w:rPr>
          <w:szCs w:val="24"/>
          <w:lang w:val="en-US"/>
        </w:rPr>
        <w:br w:type="page"/>
      </w:r>
    </w:p>
    <w:p w14:paraId="3294F034" w14:textId="5BA5BDD5" w:rsidR="002949BE" w:rsidRPr="00892CA2" w:rsidRDefault="002949BE" w:rsidP="007E3B89">
      <w:pPr>
        <w:pStyle w:val="1"/>
        <w:adjustRightInd w:val="0"/>
        <w:snapToGrid w:val="0"/>
        <w:spacing w:before="0"/>
        <w:jc w:val="both"/>
        <w:rPr>
          <w:szCs w:val="24"/>
          <w:lang w:val="en-US"/>
        </w:rPr>
      </w:pPr>
      <w:r w:rsidRPr="00892CA2">
        <w:rPr>
          <w:szCs w:val="24"/>
          <w:lang w:val="en-US"/>
        </w:rPr>
        <w:t>References</w:t>
      </w:r>
    </w:p>
    <w:p w14:paraId="70C5C59B"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r w:rsidRPr="00892CA2">
        <w:rPr>
          <w:szCs w:val="24"/>
          <w:lang w:val="en-US"/>
        </w:rPr>
        <w:t>1 </w:t>
      </w:r>
      <w:proofErr w:type="spellStart"/>
      <w:r w:rsidRPr="00892CA2">
        <w:rPr>
          <w:b/>
          <w:bCs/>
          <w:szCs w:val="24"/>
          <w:lang w:val="en-US"/>
        </w:rPr>
        <w:t>Zanotti</w:t>
      </w:r>
      <w:proofErr w:type="spellEnd"/>
      <w:r w:rsidRPr="00892CA2">
        <w:rPr>
          <w:b/>
          <w:bCs/>
          <w:szCs w:val="24"/>
          <w:lang w:val="en-US"/>
        </w:rPr>
        <w:t xml:space="preserve"> C</w:t>
      </w:r>
      <w:r w:rsidRPr="00892CA2">
        <w:rPr>
          <w:szCs w:val="24"/>
          <w:lang w:val="en-US"/>
        </w:rPr>
        <w:t xml:space="preserve">, Martinez-Puente C, Pascual I, Pascual M, Herreros D, </w:t>
      </w:r>
      <w:proofErr w:type="spellStart"/>
      <w:r w:rsidRPr="00892CA2">
        <w:rPr>
          <w:szCs w:val="24"/>
          <w:lang w:val="en-US"/>
        </w:rPr>
        <w:t>García-Olmo</w:t>
      </w:r>
      <w:proofErr w:type="spellEnd"/>
      <w:r w:rsidRPr="00892CA2">
        <w:rPr>
          <w:szCs w:val="24"/>
          <w:lang w:val="en-US"/>
        </w:rPr>
        <w:t xml:space="preserve"> D. </w:t>
      </w:r>
      <w:proofErr w:type="gramStart"/>
      <w:r w:rsidRPr="00892CA2">
        <w:rPr>
          <w:szCs w:val="24"/>
          <w:lang w:val="en-US"/>
        </w:rPr>
        <w:t>An assessment of the incidence of fistula-in-</w:t>
      </w:r>
      <w:proofErr w:type="spellStart"/>
      <w:r w:rsidRPr="00892CA2">
        <w:rPr>
          <w:szCs w:val="24"/>
          <w:lang w:val="en-US"/>
        </w:rPr>
        <w:t>ano</w:t>
      </w:r>
      <w:proofErr w:type="spellEnd"/>
      <w:r w:rsidRPr="00892CA2">
        <w:rPr>
          <w:szCs w:val="24"/>
          <w:lang w:val="en-US"/>
        </w:rPr>
        <w:t xml:space="preserve"> in four countries of the European Union.</w:t>
      </w:r>
      <w:proofErr w:type="gramEnd"/>
      <w:r w:rsidRPr="00892CA2">
        <w:rPr>
          <w:szCs w:val="24"/>
          <w:lang w:val="en-US"/>
        </w:rPr>
        <w:t> </w:t>
      </w:r>
      <w:r w:rsidRPr="00892CA2">
        <w:rPr>
          <w:i/>
          <w:iCs/>
          <w:szCs w:val="24"/>
          <w:lang w:val="en-US"/>
        </w:rPr>
        <w:t>Int J Colorectal Dis</w:t>
      </w:r>
      <w:r w:rsidRPr="00892CA2">
        <w:rPr>
          <w:szCs w:val="24"/>
          <w:lang w:val="en-US"/>
        </w:rPr>
        <w:t> 2007; </w:t>
      </w:r>
      <w:r w:rsidRPr="00892CA2">
        <w:rPr>
          <w:b/>
          <w:bCs/>
          <w:szCs w:val="24"/>
          <w:lang w:val="en-US"/>
        </w:rPr>
        <w:t>22</w:t>
      </w:r>
      <w:r w:rsidRPr="00892CA2">
        <w:rPr>
          <w:szCs w:val="24"/>
          <w:lang w:val="en-US"/>
        </w:rPr>
        <w:t>: 1459-1462 [PMID: 17554546 DOI: 10.1007/s00384-007-0334-7]</w:t>
      </w:r>
    </w:p>
    <w:p w14:paraId="6E3ACBF5"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proofErr w:type="gramStart"/>
      <w:r w:rsidRPr="00892CA2">
        <w:rPr>
          <w:szCs w:val="24"/>
          <w:lang w:val="en-US"/>
        </w:rPr>
        <w:t>2 </w:t>
      </w:r>
      <w:proofErr w:type="spellStart"/>
      <w:r w:rsidRPr="00892CA2">
        <w:rPr>
          <w:b/>
          <w:bCs/>
          <w:szCs w:val="24"/>
          <w:lang w:val="en-US"/>
        </w:rPr>
        <w:t>Adamo</w:t>
      </w:r>
      <w:proofErr w:type="spellEnd"/>
      <w:r w:rsidRPr="00892CA2">
        <w:rPr>
          <w:b/>
          <w:bCs/>
          <w:szCs w:val="24"/>
          <w:lang w:val="en-US"/>
        </w:rPr>
        <w:t xml:space="preserve"> K</w:t>
      </w:r>
      <w:r w:rsidRPr="00892CA2">
        <w:rPr>
          <w:szCs w:val="24"/>
          <w:lang w:val="en-US"/>
        </w:rPr>
        <w:t xml:space="preserve">, </w:t>
      </w:r>
      <w:proofErr w:type="spellStart"/>
      <w:r w:rsidRPr="00892CA2">
        <w:rPr>
          <w:szCs w:val="24"/>
          <w:lang w:val="en-US"/>
        </w:rPr>
        <w:t>Sandblom</w:t>
      </w:r>
      <w:proofErr w:type="spellEnd"/>
      <w:r w:rsidRPr="00892CA2">
        <w:rPr>
          <w:szCs w:val="24"/>
          <w:lang w:val="en-US"/>
        </w:rPr>
        <w:t xml:space="preserve"> G, </w:t>
      </w:r>
      <w:proofErr w:type="spellStart"/>
      <w:r w:rsidRPr="00892CA2">
        <w:rPr>
          <w:szCs w:val="24"/>
          <w:lang w:val="en-US"/>
        </w:rPr>
        <w:t>Brännström</w:t>
      </w:r>
      <w:proofErr w:type="spellEnd"/>
      <w:r w:rsidRPr="00892CA2">
        <w:rPr>
          <w:szCs w:val="24"/>
          <w:lang w:val="en-US"/>
        </w:rPr>
        <w:t xml:space="preserve"> F, </w:t>
      </w:r>
      <w:proofErr w:type="spellStart"/>
      <w:r w:rsidRPr="00892CA2">
        <w:rPr>
          <w:szCs w:val="24"/>
          <w:lang w:val="en-US"/>
        </w:rPr>
        <w:t>Strigård</w:t>
      </w:r>
      <w:proofErr w:type="spellEnd"/>
      <w:r w:rsidRPr="00892CA2">
        <w:rPr>
          <w:szCs w:val="24"/>
          <w:lang w:val="en-US"/>
        </w:rPr>
        <w:t xml:space="preserve"> K. Prevalence and recurrence rate of perianal abscess--a population-based study, Sweden 1997-2009.</w:t>
      </w:r>
      <w:proofErr w:type="gramEnd"/>
      <w:r w:rsidRPr="00892CA2">
        <w:rPr>
          <w:szCs w:val="24"/>
          <w:lang w:val="en-US"/>
        </w:rPr>
        <w:t> </w:t>
      </w:r>
      <w:r w:rsidRPr="00892CA2">
        <w:rPr>
          <w:i/>
          <w:iCs/>
          <w:szCs w:val="24"/>
          <w:lang w:val="en-US"/>
        </w:rPr>
        <w:t>Int J Colorectal Dis</w:t>
      </w:r>
      <w:r w:rsidRPr="00892CA2">
        <w:rPr>
          <w:szCs w:val="24"/>
          <w:lang w:val="en-US"/>
        </w:rPr>
        <w:t>2016; </w:t>
      </w:r>
      <w:r w:rsidRPr="00892CA2">
        <w:rPr>
          <w:b/>
          <w:bCs/>
          <w:szCs w:val="24"/>
          <w:lang w:val="en-US"/>
        </w:rPr>
        <w:t>31</w:t>
      </w:r>
      <w:r w:rsidRPr="00892CA2">
        <w:rPr>
          <w:szCs w:val="24"/>
          <w:lang w:val="en-US"/>
        </w:rPr>
        <w:t>: 669-673 [PMID: 26768004 DOI: 10.1007/s00384-015-2500-7]</w:t>
      </w:r>
    </w:p>
    <w:p w14:paraId="60AF718F"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r w:rsidRPr="00892CA2">
        <w:rPr>
          <w:szCs w:val="24"/>
          <w:lang w:val="en-US"/>
        </w:rPr>
        <w:t>3 </w:t>
      </w:r>
      <w:r w:rsidRPr="00892CA2">
        <w:rPr>
          <w:b/>
          <w:bCs/>
          <w:szCs w:val="24"/>
          <w:lang w:val="en-US"/>
        </w:rPr>
        <w:t>Jayne DG</w:t>
      </w:r>
      <w:r w:rsidRPr="00892CA2">
        <w:rPr>
          <w:szCs w:val="24"/>
          <w:lang w:val="en-US"/>
        </w:rPr>
        <w:t xml:space="preserve">, </w:t>
      </w:r>
      <w:proofErr w:type="spellStart"/>
      <w:r w:rsidRPr="00892CA2">
        <w:rPr>
          <w:szCs w:val="24"/>
          <w:lang w:val="en-US"/>
        </w:rPr>
        <w:t>Scholefield</w:t>
      </w:r>
      <w:proofErr w:type="spellEnd"/>
      <w:r w:rsidRPr="00892CA2">
        <w:rPr>
          <w:szCs w:val="24"/>
          <w:lang w:val="en-US"/>
        </w:rPr>
        <w:t xml:space="preserve"> J, </w:t>
      </w:r>
      <w:proofErr w:type="spellStart"/>
      <w:r w:rsidRPr="00892CA2">
        <w:rPr>
          <w:szCs w:val="24"/>
          <w:lang w:val="en-US"/>
        </w:rPr>
        <w:t>Tolan</w:t>
      </w:r>
      <w:proofErr w:type="spellEnd"/>
      <w:r w:rsidRPr="00892CA2">
        <w:rPr>
          <w:szCs w:val="24"/>
          <w:lang w:val="en-US"/>
        </w:rPr>
        <w:t xml:space="preserve"> D, Gray R, </w:t>
      </w:r>
      <w:proofErr w:type="spellStart"/>
      <w:r w:rsidRPr="00892CA2">
        <w:rPr>
          <w:szCs w:val="24"/>
          <w:lang w:val="en-US"/>
        </w:rPr>
        <w:t>Edlin</w:t>
      </w:r>
      <w:proofErr w:type="spellEnd"/>
      <w:r w:rsidRPr="00892CA2">
        <w:rPr>
          <w:szCs w:val="24"/>
          <w:lang w:val="en-US"/>
        </w:rPr>
        <w:t xml:space="preserve"> R, </w:t>
      </w:r>
      <w:proofErr w:type="spellStart"/>
      <w:r w:rsidRPr="00892CA2">
        <w:rPr>
          <w:szCs w:val="24"/>
          <w:lang w:val="en-US"/>
        </w:rPr>
        <w:t>Hulme</w:t>
      </w:r>
      <w:proofErr w:type="spellEnd"/>
      <w:r w:rsidRPr="00892CA2">
        <w:rPr>
          <w:szCs w:val="24"/>
          <w:lang w:val="en-US"/>
        </w:rPr>
        <w:t xml:space="preserve"> CT, Sutton AJ, Handley K, Hewitt CA, Kaur M, Magill L. Anal fistula plug versus surgeon's preference for surgery for trans-sphincteric anal fistula: the FIAT RCT. </w:t>
      </w:r>
      <w:r w:rsidRPr="00892CA2">
        <w:rPr>
          <w:i/>
          <w:iCs/>
          <w:szCs w:val="24"/>
          <w:lang w:val="en-US"/>
        </w:rPr>
        <w:t>Health Technol Assess</w:t>
      </w:r>
      <w:r w:rsidRPr="00892CA2">
        <w:rPr>
          <w:szCs w:val="24"/>
          <w:lang w:val="en-US"/>
        </w:rPr>
        <w:t> 2019; </w:t>
      </w:r>
      <w:r w:rsidRPr="00892CA2">
        <w:rPr>
          <w:b/>
          <w:bCs/>
          <w:szCs w:val="24"/>
          <w:lang w:val="en-US"/>
        </w:rPr>
        <w:t>23</w:t>
      </w:r>
      <w:r w:rsidRPr="00892CA2">
        <w:rPr>
          <w:szCs w:val="24"/>
          <w:lang w:val="en-US"/>
        </w:rPr>
        <w:t>: 1-76 [PMID: 31113531 DOI: 10.3310/hta23210]</w:t>
      </w:r>
    </w:p>
    <w:p w14:paraId="45A46905" w14:textId="67479FE9" w:rsidR="00090DE6" w:rsidRPr="00892CA2" w:rsidRDefault="00090DE6" w:rsidP="007E3B89">
      <w:pPr>
        <w:pStyle w:val="af3"/>
        <w:adjustRightInd w:val="0"/>
        <w:snapToGrid w:val="0"/>
        <w:spacing w:before="0" w:after="0"/>
        <w:ind w:left="0" w:firstLine="0"/>
        <w:contextualSpacing w:val="0"/>
        <w:jc w:val="both"/>
        <w:rPr>
          <w:szCs w:val="24"/>
          <w:lang w:val="en-US"/>
        </w:rPr>
      </w:pPr>
      <w:r w:rsidRPr="00892CA2">
        <w:rPr>
          <w:szCs w:val="24"/>
          <w:lang w:val="en-US"/>
        </w:rPr>
        <w:t>4 </w:t>
      </w:r>
      <w:r w:rsidRPr="00892CA2">
        <w:rPr>
          <w:b/>
          <w:bCs/>
          <w:szCs w:val="24"/>
          <w:lang w:val="en-US"/>
        </w:rPr>
        <w:t>Present D</w:t>
      </w:r>
      <w:r w:rsidRPr="00892CA2">
        <w:rPr>
          <w:szCs w:val="24"/>
          <w:lang w:val="en-US"/>
        </w:rPr>
        <w:t>, </w:t>
      </w:r>
      <w:proofErr w:type="spellStart"/>
      <w:r w:rsidRPr="00892CA2">
        <w:rPr>
          <w:szCs w:val="24"/>
          <w:lang w:val="en-US"/>
        </w:rPr>
        <w:t>Rutgeerts</w:t>
      </w:r>
      <w:proofErr w:type="spellEnd"/>
      <w:r w:rsidRPr="00892CA2">
        <w:rPr>
          <w:szCs w:val="24"/>
          <w:lang w:val="en-US"/>
        </w:rPr>
        <w:t xml:space="preserve"> P, </w:t>
      </w:r>
      <w:proofErr w:type="spellStart"/>
      <w:r w:rsidRPr="00892CA2">
        <w:rPr>
          <w:szCs w:val="24"/>
          <w:lang w:val="en-US"/>
        </w:rPr>
        <w:t>Targan</w:t>
      </w:r>
      <w:proofErr w:type="spellEnd"/>
      <w:r w:rsidRPr="00892CA2">
        <w:rPr>
          <w:szCs w:val="24"/>
          <w:lang w:val="en-US"/>
        </w:rPr>
        <w:t xml:space="preserve"> S, </w:t>
      </w:r>
      <w:proofErr w:type="spellStart"/>
      <w:r w:rsidRPr="00892CA2">
        <w:rPr>
          <w:szCs w:val="24"/>
          <w:lang w:val="en-US"/>
        </w:rPr>
        <w:t>Hanauer</w:t>
      </w:r>
      <w:proofErr w:type="spellEnd"/>
      <w:r w:rsidRPr="00892CA2">
        <w:rPr>
          <w:szCs w:val="24"/>
          <w:lang w:val="en-US"/>
        </w:rPr>
        <w:t xml:space="preserve"> S, Mayer L, van </w:t>
      </w:r>
      <w:proofErr w:type="spellStart"/>
      <w:r w:rsidRPr="00892CA2">
        <w:rPr>
          <w:szCs w:val="24"/>
          <w:lang w:val="en-US"/>
        </w:rPr>
        <w:t>Hogezand</w:t>
      </w:r>
      <w:proofErr w:type="spellEnd"/>
      <w:r w:rsidRPr="00892CA2">
        <w:rPr>
          <w:szCs w:val="24"/>
          <w:lang w:val="en-US"/>
        </w:rPr>
        <w:t xml:space="preserve"> R, </w:t>
      </w:r>
      <w:proofErr w:type="spellStart"/>
      <w:r w:rsidRPr="00892CA2">
        <w:rPr>
          <w:szCs w:val="24"/>
          <w:lang w:val="en-US"/>
        </w:rPr>
        <w:t>Podolsky</w:t>
      </w:r>
      <w:proofErr w:type="spellEnd"/>
      <w:r w:rsidRPr="00892CA2">
        <w:rPr>
          <w:szCs w:val="24"/>
          <w:lang w:val="en-US"/>
        </w:rPr>
        <w:t xml:space="preserve"> D, Sands B, </w:t>
      </w:r>
      <w:proofErr w:type="spellStart"/>
      <w:r w:rsidRPr="00892CA2">
        <w:rPr>
          <w:szCs w:val="24"/>
          <w:lang w:val="en-US"/>
        </w:rPr>
        <w:t>Braakman</w:t>
      </w:r>
      <w:proofErr w:type="spellEnd"/>
      <w:r w:rsidRPr="00892CA2">
        <w:rPr>
          <w:szCs w:val="24"/>
          <w:lang w:val="en-US"/>
        </w:rPr>
        <w:t xml:space="preserve"> T, </w:t>
      </w:r>
      <w:proofErr w:type="spellStart"/>
      <w:r w:rsidRPr="00892CA2">
        <w:rPr>
          <w:szCs w:val="24"/>
          <w:lang w:val="en-US"/>
        </w:rPr>
        <w:t>DeWoody</w:t>
      </w:r>
      <w:proofErr w:type="spellEnd"/>
      <w:r w:rsidRPr="00892CA2">
        <w:rPr>
          <w:szCs w:val="24"/>
          <w:lang w:val="en-US"/>
        </w:rPr>
        <w:t xml:space="preserve"> K, </w:t>
      </w:r>
      <w:proofErr w:type="spellStart"/>
      <w:r w:rsidRPr="00892CA2">
        <w:rPr>
          <w:szCs w:val="24"/>
          <w:lang w:val="en-US"/>
        </w:rPr>
        <w:t>Schaible</w:t>
      </w:r>
      <w:proofErr w:type="spellEnd"/>
      <w:r w:rsidRPr="00892CA2">
        <w:rPr>
          <w:szCs w:val="24"/>
          <w:lang w:val="en-US"/>
        </w:rPr>
        <w:t xml:space="preserve"> T, van Deventer S. Infliximab for the treatment of fistulas in patients with Crohn’s disease. </w:t>
      </w:r>
      <w:r w:rsidRPr="00892CA2">
        <w:rPr>
          <w:i/>
          <w:iCs/>
          <w:szCs w:val="24"/>
          <w:lang w:val="en-US"/>
        </w:rPr>
        <w:t>J Med</w:t>
      </w:r>
      <w:r w:rsidRPr="00892CA2">
        <w:rPr>
          <w:szCs w:val="24"/>
          <w:lang w:val="en-US"/>
        </w:rPr>
        <w:t xml:space="preserve"> 1999; </w:t>
      </w:r>
      <w:r w:rsidRPr="00892CA2">
        <w:rPr>
          <w:b/>
          <w:bCs/>
          <w:szCs w:val="24"/>
          <w:lang w:val="en-US"/>
        </w:rPr>
        <w:t>340</w:t>
      </w:r>
      <w:r w:rsidRPr="00892CA2">
        <w:rPr>
          <w:szCs w:val="24"/>
          <w:lang w:val="en-US"/>
        </w:rPr>
        <w:t>: 1398-</w:t>
      </w:r>
      <w:r w:rsidR="00374136" w:rsidRPr="00892CA2">
        <w:rPr>
          <w:szCs w:val="24"/>
          <w:lang w:val="en-US"/>
        </w:rPr>
        <w:t>1</w:t>
      </w:r>
      <w:r w:rsidRPr="00892CA2">
        <w:rPr>
          <w:szCs w:val="24"/>
          <w:lang w:val="en-US"/>
        </w:rPr>
        <w:t>405</w:t>
      </w:r>
    </w:p>
    <w:p w14:paraId="4F5DB823"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proofErr w:type="gramStart"/>
      <w:r w:rsidRPr="00892CA2">
        <w:rPr>
          <w:szCs w:val="24"/>
          <w:lang w:val="en-US"/>
        </w:rPr>
        <w:t>5 </w:t>
      </w:r>
      <w:proofErr w:type="spellStart"/>
      <w:r w:rsidRPr="00892CA2">
        <w:rPr>
          <w:b/>
          <w:bCs/>
          <w:szCs w:val="24"/>
          <w:lang w:val="en-US"/>
        </w:rPr>
        <w:t>Sainio</w:t>
      </w:r>
      <w:proofErr w:type="spellEnd"/>
      <w:r w:rsidRPr="00892CA2">
        <w:rPr>
          <w:b/>
          <w:bCs/>
          <w:szCs w:val="24"/>
          <w:lang w:val="en-US"/>
        </w:rPr>
        <w:t xml:space="preserve"> P</w:t>
      </w:r>
      <w:r w:rsidRPr="00892CA2">
        <w:rPr>
          <w:szCs w:val="24"/>
          <w:lang w:val="en-US"/>
        </w:rPr>
        <w:t>. Fistula-in-</w:t>
      </w:r>
      <w:proofErr w:type="spellStart"/>
      <w:r w:rsidRPr="00892CA2">
        <w:rPr>
          <w:szCs w:val="24"/>
          <w:lang w:val="en-US"/>
        </w:rPr>
        <w:t>ano</w:t>
      </w:r>
      <w:proofErr w:type="spellEnd"/>
      <w:r w:rsidRPr="00892CA2">
        <w:rPr>
          <w:szCs w:val="24"/>
          <w:lang w:val="en-US"/>
        </w:rPr>
        <w:t xml:space="preserve"> in a defined population.</w:t>
      </w:r>
      <w:proofErr w:type="gramEnd"/>
      <w:r w:rsidRPr="00892CA2">
        <w:rPr>
          <w:szCs w:val="24"/>
          <w:lang w:val="en-US"/>
        </w:rPr>
        <w:t xml:space="preserve"> </w:t>
      </w:r>
      <w:proofErr w:type="gramStart"/>
      <w:r w:rsidRPr="00892CA2">
        <w:rPr>
          <w:szCs w:val="24"/>
          <w:lang w:val="en-US"/>
        </w:rPr>
        <w:t>Incidence and epidemiological aspects.</w:t>
      </w:r>
      <w:proofErr w:type="gramEnd"/>
      <w:r w:rsidRPr="00892CA2">
        <w:rPr>
          <w:szCs w:val="24"/>
          <w:lang w:val="en-US"/>
        </w:rPr>
        <w:t> </w:t>
      </w:r>
      <w:r w:rsidRPr="00892CA2">
        <w:rPr>
          <w:i/>
          <w:iCs/>
          <w:szCs w:val="24"/>
          <w:lang w:val="en-US"/>
        </w:rPr>
        <w:t xml:space="preserve">Ann </w:t>
      </w:r>
      <w:proofErr w:type="spellStart"/>
      <w:r w:rsidRPr="00892CA2">
        <w:rPr>
          <w:i/>
          <w:iCs/>
          <w:szCs w:val="24"/>
          <w:lang w:val="en-US"/>
        </w:rPr>
        <w:t>Chir</w:t>
      </w:r>
      <w:proofErr w:type="spellEnd"/>
      <w:r w:rsidRPr="00892CA2">
        <w:rPr>
          <w:i/>
          <w:iCs/>
          <w:szCs w:val="24"/>
          <w:lang w:val="en-US"/>
        </w:rPr>
        <w:t xml:space="preserve"> </w:t>
      </w:r>
      <w:proofErr w:type="spellStart"/>
      <w:r w:rsidRPr="00892CA2">
        <w:rPr>
          <w:i/>
          <w:iCs/>
          <w:szCs w:val="24"/>
          <w:lang w:val="en-US"/>
        </w:rPr>
        <w:t>Gynaecol</w:t>
      </w:r>
      <w:proofErr w:type="spellEnd"/>
      <w:r w:rsidRPr="00892CA2">
        <w:rPr>
          <w:szCs w:val="24"/>
          <w:lang w:val="en-US"/>
        </w:rPr>
        <w:t> 1984; </w:t>
      </w:r>
      <w:r w:rsidRPr="00892CA2">
        <w:rPr>
          <w:b/>
          <w:bCs/>
          <w:szCs w:val="24"/>
          <w:lang w:val="en-US"/>
        </w:rPr>
        <w:t>73</w:t>
      </w:r>
      <w:r w:rsidRPr="00892CA2">
        <w:rPr>
          <w:szCs w:val="24"/>
          <w:lang w:val="en-US"/>
        </w:rPr>
        <w:t>: 219-224 [PMID: 6508203]</w:t>
      </w:r>
    </w:p>
    <w:p w14:paraId="596DEFF4" w14:textId="03D872DF" w:rsidR="00090DE6" w:rsidRPr="00892CA2" w:rsidRDefault="00090DE6" w:rsidP="007E3B89">
      <w:pPr>
        <w:pStyle w:val="af3"/>
        <w:adjustRightInd w:val="0"/>
        <w:snapToGrid w:val="0"/>
        <w:spacing w:before="0" w:after="0"/>
        <w:ind w:left="0" w:firstLine="0"/>
        <w:contextualSpacing w:val="0"/>
        <w:jc w:val="both"/>
        <w:rPr>
          <w:szCs w:val="24"/>
          <w:lang w:val="en-US"/>
        </w:rPr>
      </w:pPr>
      <w:proofErr w:type="gramStart"/>
      <w:r w:rsidRPr="00892CA2">
        <w:rPr>
          <w:szCs w:val="24"/>
          <w:lang w:val="en-US"/>
        </w:rPr>
        <w:t>6 </w:t>
      </w:r>
      <w:r w:rsidRPr="00892CA2">
        <w:rPr>
          <w:b/>
          <w:bCs/>
          <w:szCs w:val="24"/>
          <w:lang w:val="en-US"/>
        </w:rPr>
        <w:t>P</w:t>
      </w:r>
      <w:r w:rsidR="007E3B89" w:rsidRPr="00892CA2">
        <w:rPr>
          <w:b/>
          <w:bCs/>
          <w:szCs w:val="24"/>
          <w:lang w:val="en-US"/>
        </w:rPr>
        <w:t>arks</w:t>
      </w:r>
      <w:r w:rsidRPr="00892CA2">
        <w:rPr>
          <w:b/>
          <w:bCs/>
          <w:szCs w:val="24"/>
          <w:lang w:val="en-US"/>
        </w:rPr>
        <w:t xml:space="preserve"> AG</w:t>
      </w:r>
      <w:r w:rsidRPr="00892CA2">
        <w:rPr>
          <w:szCs w:val="24"/>
          <w:lang w:val="en-US"/>
        </w:rPr>
        <w:t>.</w:t>
      </w:r>
      <w:proofErr w:type="gramEnd"/>
      <w:r w:rsidRPr="00892CA2">
        <w:rPr>
          <w:szCs w:val="24"/>
          <w:lang w:val="en-US"/>
        </w:rPr>
        <w:t xml:space="preserve"> </w:t>
      </w:r>
      <w:proofErr w:type="gramStart"/>
      <w:r w:rsidRPr="00892CA2">
        <w:rPr>
          <w:szCs w:val="24"/>
          <w:lang w:val="en-US"/>
        </w:rPr>
        <w:t xml:space="preserve">Pathogenesis and treatment of </w:t>
      </w:r>
      <w:proofErr w:type="spellStart"/>
      <w:r w:rsidRPr="00892CA2">
        <w:rPr>
          <w:szCs w:val="24"/>
          <w:lang w:val="en-US"/>
        </w:rPr>
        <w:t>fistuila</w:t>
      </w:r>
      <w:proofErr w:type="spellEnd"/>
      <w:r w:rsidRPr="00892CA2">
        <w:rPr>
          <w:szCs w:val="24"/>
          <w:lang w:val="en-US"/>
        </w:rPr>
        <w:t>-in-</w:t>
      </w:r>
      <w:proofErr w:type="spellStart"/>
      <w:r w:rsidRPr="00892CA2">
        <w:rPr>
          <w:szCs w:val="24"/>
          <w:lang w:val="en-US"/>
        </w:rPr>
        <w:t>ano</w:t>
      </w:r>
      <w:proofErr w:type="spellEnd"/>
      <w:r w:rsidRPr="00892CA2">
        <w:rPr>
          <w:szCs w:val="24"/>
          <w:lang w:val="en-US"/>
        </w:rPr>
        <w:t>.</w:t>
      </w:r>
      <w:proofErr w:type="gramEnd"/>
      <w:r w:rsidRPr="00892CA2">
        <w:rPr>
          <w:szCs w:val="24"/>
          <w:lang w:val="en-US"/>
        </w:rPr>
        <w:t> </w:t>
      </w:r>
      <w:r w:rsidRPr="00892CA2">
        <w:rPr>
          <w:i/>
          <w:iCs/>
          <w:szCs w:val="24"/>
          <w:lang w:val="en-US"/>
        </w:rPr>
        <w:t>Br Med J</w:t>
      </w:r>
      <w:r w:rsidRPr="00892CA2">
        <w:rPr>
          <w:szCs w:val="24"/>
          <w:lang w:val="en-US"/>
        </w:rPr>
        <w:t> 1961; </w:t>
      </w:r>
      <w:r w:rsidRPr="00892CA2">
        <w:rPr>
          <w:b/>
          <w:bCs/>
          <w:szCs w:val="24"/>
          <w:lang w:val="en-US"/>
        </w:rPr>
        <w:t>1</w:t>
      </w:r>
      <w:r w:rsidRPr="00892CA2">
        <w:rPr>
          <w:szCs w:val="24"/>
          <w:lang w:val="en-US"/>
        </w:rPr>
        <w:t>: 463-469 [PMID: 13732880 DOI: 10.1136/bmj.1.5224.463]</w:t>
      </w:r>
    </w:p>
    <w:p w14:paraId="699B4A4A"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r w:rsidRPr="00892CA2">
        <w:rPr>
          <w:szCs w:val="24"/>
          <w:lang w:val="en-US"/>
        </w:rPr>
        <w:t>7 </w:t>
      </w:r>
      <w:r w:rsidRPr="00892CA2">
        <w:rPr>
          <w:b/>
          <w:bCs/>
          <w:szCs w:val="24"/>
          <w:lang w:val="en-US"/>
        </w:rPr>
        <w:t>Rivera M</w:t>
      </w:r>
      <w:r w:rsidRPr="00892CA2">
        <w:rPr>
          <w:szCs w:val="24"/>
          <w:lang w:val="en-US"/>
        </w:rPr>
        <w:t xml:space="preserve">, </w:t>
      </w:r>
      <w:proofErr w:type="spellStart"/>
      <w:r w:rsidRPr="00892CA2">
        <w:rPr>
          <w:szCs w:val="24"/>
          <w:lang w:val="en-US"/>
        </w:rPr>
        <w:t>Angelucci</w:t>
      </w:r>
      <w:proofErr w:type="spellEnd"/>
      <w:r w:rsidRPr="00892CA2">
        <w:rPr>
          <w:szCs w:val="24"/>
          <w:lang w:val="en-US"/>
        </w:rPr>
        <w:t xml:space="preserve"> E, </w:t>
      </w:r>
      <w:proofErr w:type="spellStart"/>
      <w:r w:rsidRPr="00892CA2">
        <w:rPr>
          <w:szCs w:val="24"/>
          <w:lang w:val="en-US"/>
        </w:rPr>
        <w:t>Crispino</w:t>
      </w:r>
      <w:proofErr w:type="spellEnd"/>
      <w:r w:rsidRPr="00892CA2">
        <w:rPr>
          <w:szCs w:val="24"/>
          <w:lang w:val="en-US"/>
        </w:rPr>
        <w:t xml:space="preserve"> P, </w:t>
      </w:r>
      <w:proofErr w:type="spellStart"/>
      <w:r w:rsidRPr="00892CA2">
        <w:rPr>
          <w:szCs w:val="24"/>
          <w:lang w:val="en-US"/>
        </w:rPr>
        <w:t>Pronio</w:t>
      </w:r>
      <w:proofErr w:type="spellEnd"/>
      <w:r w:rsidRPr="00892CA2">
        <w:rPr>
          <w:szCs w:val="24"/>
          <w:lang w:val="en-US"/>
        </w:rPr>
        <w:t xml:space="preserve"> AM, </w:t>
      </w:r>
      <w:proofErr w:type="spellStart"/>
      <w:r w:rsidRPr="00892CA2">
        <w:rPr>
          <w:szCs w:val="24"/>
          <w:lang w:val="en-US"/>
        </w:rPr>
        <w:t>Marcheggiano</w:t>
      </w:r>
      <w:proofErr w:type="spellEnd"/>
      <w:r w:rsidRPr="00892CA2">
        <w:rPr>
          <w:szCs w:val="24"/>
          <w:lang w:val="en-US"/>
        </w:rPr>
        <w:t xml:space="preserve"> A, </w:t>
      </w:r>
      <w:proofErr w:type="spellStart"/>
      <w:r w:rsidRPr="00892CA2">
        <w:rPr>
          <w:szCs w:val="24"/>
          <w:lang w:val="en-US"/>
        </w:rPr>
        <w:t>Vernia</w:t>
      </w:r>
      <w:proofErr w:type="spellEnd"/>
      <w:r w:rsidRPr="00892CA2">
        <w:rPr>
          <w:szCs w:val="24"/>
          <w:lang w:val="en-US"/>
        </w:rPr>
        <w:t xml:space="preserve"> P, </w:t>
      </w:r>
      <w:proofErr w:type="spellStart"/>
      <w:r w:rsidRPr="00892CA2">
        <w:rPr>
          <w:szCs w:val="24"/>
          <w:lang w:val="en-US"/>
        </w:rPr>
        <w:t>Badiali</w:t>
      </w:r>
      <w:proofErr w:type="spellEnd"/>
      <w:r w:rsidRPr="00892CA2">
        <w:rPr>
          <w:szCs w:val="24"/>
          <w:lang w:val="en-US"/>
        </w:rPr>
        <w:t xml:space="preserve"> D. Perianal fistulas mimicking Crohn's disease in HIV-infected male patient. </w:t>
      </w:r>
      <w:r w:rsidRPr="00892CA2">
        <w:rPr>
          <w:i/>
          <w:iCs/>
          <w:szCs w:val="24"/>
          <w:lang w:val="en-US"/>
        </w:rPr>
        <w:t>Am J Gastroenterol</w:t>
      </w:r>
      <w:r w:rsidRPr="00892CA2">
        <w:rPr>
          <w:szCs w:val="24"/>
          <w:lang w:val="en-US"/>
        </w:rPr>
        <w:t> 2009; </w:t>
      </w:r>
      <w:r w:rsidRPr="00892CA2">
        <w:rPr>
          <w:b/>
          <w:bCs/>
          <w:szCs w:val="24"/>
          <w:lang w:val="en-US"/>
        </w:rPr>
        <w:t>104</w:t>
      </w:r>
      <w:r w:rsidRPr="00892CA2">
        <w:rPr>
          <w:szCs w:val="24"/>
          <w:lang w:val="en-US"/>
        </w:rPr>
        <w:t>: 793-794 [PMID: 19262533 DOI: 10.1038/ajg.2008.98]</w:t>
      </w:r>
    </w:p>
    <w:p w14:paraId="057DF33F"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r w:rsidRPr="00892CA2">
        <w:rPr>
          <w:szCs w:val="24"/>
          <w:lang w:val="en-US"/>
        </w:rPr>
        <w:t>8 </w:t>
      </w:r>
      <w:r w:rsidRPr="00892CA2">
        <w:rPr>
          <w:b/>
          <w:bCs/>
          <w:szCs w:val="24"/>
          <w:lang w:val="en-US"/>
        </w:rPr>
        <w:t>Aguilera-Castro L</w:t>
      </w:r>
      <w:r w:rsidRPr="00892CA2">
        <w:rPr>
          <w:szCs w:val="24"/>
          <w:lang w:val="en-US"/>
        </w:rPr>
        <w:t xml:space="preserve">, </w:t>
      </w:r>
      <w:proofErr w:type="spellStart"/>
      <w:r w:rsidRPr="00892CA2">
        <w:rPr>
          <w:szCs w:val="24"/>
          <w:lang w:val="en-US"/>
        </w:rPr>
        <w:t>Ferre-Aracil</w:t>
      </w:r>
      <w:proofErr w:type="spellEnd"/>
      <w:r w:rsidRPr="00892CA2">
        <w:rPr>
          <w:szCs w:val="24"/>
          <w:lang w:val="en-US"/>
        </w:rPr>
        <w:t xml:space="preserve"> C, Garcia-Garcia-de-Paredes A, Rodriguez-de-Santiago E, Lopez-</w:t>
      </w:r>
      <w:proofErr w:type="spellStart"/>
      <w:r w:rsidRPr="00892CA2">
        <w:rPr>
          <w:szCs w:val="24"/>
          <w:lang w:val="en-US"/>
        </w:rPr>
        <w:t>Sanroman</w:t>
      </w:r>
      <w:proofErr w:type="spellEnd"/>
      <w:r w:rsidRPr="00892CA2">
        <w:rPr>
          <w:szCs w:val="24"/>
          <w:lang w:val="en-US"/>
        </w:rPr>
        <w:t xml:space="preserve"> A. Management of complex perianal Crohn's disease. </w:t>
      </w:r>
      <w:r w:rsidRPr="00892CA2">
        <w:rPr>
          <w:i/>
          <w:iCs/>
          <w:szCs w:val="24"/>
          <w:lang w:val="en-US"/>
        </w:rPr>
        <w:t>Ann Gastroenterol</w:t>
      </w:r>
      <w:r w:rsidRPr="00892CA2">
        <w:rPr>
          <w:szCs w:val="24"/>
          <w:lang w:val="en-US"/>
        </w:rPr>
        <w:t> 2017; </w:t>
      </w:r>
      <w:r w:rsidRPr="00892CA2">
        <w:rPr>
          <w:b/>
          <w:bCs/>
          <w:szCs w:val="24"/>
          <w:lang w:val="en-US"/>
        </w:rPr>
        <w:t>30</w:t>
      </w:r>
      <w:r w:rsidRPr="00892CA2">
        <w:rPr>
          <w:szCs w:val="24"/>
          <w:lang w:val="en-US"/>
        </w:rPr>
        <w:t>: 33-44 [PMID: 28042236 DOI: 10.20524/aog.2016.0099]</w:t>
      </w:r>
    </w:p>
    <w:p w14:paraId="4BE95CC0"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proofErr w:type="gramStart"/>
      <w:r w:rsidRPr="00892CA2">
        <w:rPr>
          <w:szCs w:val="24"/>
          <w:lang w:val="en-US"/>
        </w:rPr>
        <w:t>9 </w:t>
      </w:r>
      <w:proofErr w:type="spellStart"/>
      <w:r w:rsidRPr="00892CA2">
        <w:rPr>
          <w:b/>
          <w:bCs/>
          <w:szCs w:val="24"/>
          <w:lang w:val="en-US"/>
        </w:rPr>
        <w:t>Scharl</w:t>
      </w:r>
      <w:proofErr w:type="spellEnd"/>
      <w:r w:rsidRPr="00892CA2">
        <w:rPr>
          <w:b/>
          <w:bCs/>
          <w:szCs w:val="24"/>
          <w:lang w:val="en-US"/>
        </w:rPr>
        <w:t xml:space="preserve"> M</w:t>
      </w:r>
      <w:r w:rsidRPr="00892CA2">
        <w:rPr>
          <w:szCs w:val="24"/>
          <w:lang w:val="en-US"/>
        </w:rPr>
        <w:t xml:space="preserve">, </w:t>
      </w:r>
      <w:proofErr w:type="spellStart"/>
      <w:r w:rsidRPr="00892CA2">
        <w:rPr>
          <w:szCs w:val="24"/>
          <w:lang w:val="en-US"/>
        </w:rPr>
        <w:t>Rogler</w:t>
      </w:r>
      <w:proofErr w:type="spellEnd"/>
      <w:r w:rsidRPr="00892CA2">
        <w:rPr>
          <w:szCs w:val="24"/>
          <w:lang w:val="en-US"/>
        </w:rPr>
        <w:t xml:space="preserve"> G. Pathophysiology of fistula formation in Crohn's disease.</w:t>
      </w:r>
      <w:proofErr w:type="gramEnd"/>
      <w:r w:rsidRPr="00892CA2">
        <w:rPr>
          <w:szCs w:val="24"/>
          <w:lang w:val="en-US"/>
        </w:rPr>
        <w:t> </w:t>
      </w:r>
      <w:r w:rsidRPr="00892CA2">
        <w:rPr>
          <w:i/>
          <w:iCs/>
          <w:szCs w:val="24"/>
          <w:lang w:val="en-US"/>
        </w:rPr>
        <w:t xml:space="preserve">World J </w:t>
      </w:r>
      <w:proofErr w:type="spellStart"/>
      <w:r w:rsidRPr="00892CA2">
        <w:rPr>
          <w:i/>
          <w:iCs/>
          <w:szCs w:val="24"/>
          <w:lang w:val="en-US"/>
        </w:rPr>
        <w:t>Gastrointest</w:t>
      </w:r>
      <w:proofErr w:type="spellEnd"/>
      <w:r w:rsidRPr="00892CA2">
        <w:rPr>
          <w:i/>
          <w:iCs/>
          <w:szCs w:val="24"/>
          <w:lang w:val="en-US"/>
        </w:rPr>
        <w:t xml:space="preserve"> </w:t>
      </w:r>
      <w:proofErr w:type="spellStart"/>
      <w:r w:rsidRPr="00892CA2">
        <w:rPr>
          <w:i/>
          <w:iCs/>
          <w:szCs w:val="24"/>
          <w:lang w:val="en-US"/>
        </w:rPr>
        <w:t>Pathophysiol</w:t>
      </w:r>
      <w:proofErr w:type="spellEnd"/>
      <w:r w:rsidRPr="00892CA2">
        <w:rPr>
          <w:szCs w:val="24"/>
          <w:lang w:val="en-US"/>
        </w:rPr>
        <w:t> 2014; </w:t>
      </w:r>
      <w:r w:rsidRPr="00892CA2">
        <w:rPr>
          <w:b/>
          <w:bCs/>
          <w:szCs w:val="24"/>
          <w:lang w:val="en-US"/>
        </w:rPr>
        <w:t>5</w:t>
      </w:r>
      <w:r w:rsidRPr="00892CA2">
        <w:rPr>
          <w:szCs w:val="24"/>
          <w:lang w:val="en-US"/>
        </w:rPr>
        <w:t>: 205-212 [PMID: 25133023 DOI: 10.4291/wjgp.v5.i3.205]</w:t>
      </w:r>
    </w:p>
    <w:p w14:paraId="529819AD"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r w:rsidRPr="00892CA2">
        <w:rPr>
          <w:szCs w:val="24"/>
          <w:lang w:val="en-US"/>
        </w:rPr>
        <w:t>10 </w:t>
      </w:r>
      <w:proofErr w:type="spellStart"/>
      <w:r w:rsidRPr="00892CA2">
        <w:rPr>
          <w:b/>
          <w:bCs/>
          <w:szCs w:val="24"/>
          <w:lang w:val="en-US"/>
        </w:rPr>
        <w:t>Bataille</w:t>
      </w:r>
      <w:proofErr w:type="spellEnd"/>
      <w:r w:rsidRPr="00892CA2">
        <w:rPr>
          <w:b/>
          <w:bCs/>
          <w:szCs w:val="24"/>
          <w:lang w:val="en-US"/>
        </w:rPr>
        <w:t xml:space="preserve"> F</w:t>
      </w:r>
      <w:r w:rsidRPr="00892CA2">
        <w:rPr>
          <w:szCs w:val="24"/>
          <w:lang w:val="en-US"/>
        </w:rPr>
        <w:t xml:space="preserve">, </w:t>
      </w:r>
      <w:proofErr w:type="spellStart"/>
      <w:r w:rsidRPr="00892CA2">
        <w:rPr>
          <w:szCs w:val="24"/>
          <w:lang w:val="en-US"/>
        </w:rPr>
        <w:t>Klebl</w:t>
      </w:r>
      <w:proofErr w:type="spellEnd"/>
      <w:r w:rsidRPr="00892CA2">
        <w:rPr>
          <w:szCs w:val="24"/>
          <w:lang w:val="en-US"/>
        </w:rPr>
        <w:t xml:space="preserve"> F, </w:t>
      </w:r>
      <w:proofErr w:type="spellStart"/>
      <w:r w:rsidRPr="00892CA2">
        <w:rPr>
          <w:szCs w:val="24"/>
          <w:lang w:val="en-US"/>
        </w:rPr>
        <w:t>Rümmele</w:t>
      </w:r>
      <w:proofErr w:type="spellEnd"/>
      <w:r w:rsidRPr="00892CA2">
        <w:rPr>
          <w:szCs w:val="24"/>
          <w:lang w:val="en-US"/>
        </w:rPr>
        <w:t xml:space="preserve"> P, Schroeder J, Farkas S, Wild PJ, </w:t>
      </w:r>
      <w:proofErr w:type="spellStart"/>
      <w:r w:rsidRPr="00892CA2">
        <w:rPr>
          <w:szCs w:val="24"/>
          <w:lang w:val="en-US"/>
        </w:rPr>
        <w:t>Fürst</w:t>
      </w:r>
      <w:proofErr w:type="spellEnd"/>
      <w:r w:rsidRPr="00892CA2">
        <w:rPr>
          <w:szCs w:val="24"/>
          <w:lang w:val="en-US"/>
        </w:rPr>
        <w:t xml:space="preserve"> A, </w:t>
      </w:r>
      <w:proofErr w:type="spellStart"/>
      <w:r w:rsidRPr="00892CA2">
        <w:rPr>
          <w:szCs w:val="24"/>
          <w:lang w:val="en-US"/>
        </w:rPr>
        <w:t>Hofstädter</w:t>
      </w:r>
      <w:proofErr w:type="spellEnd"/>
      <w:r w:rsidRPr="00892CA2">
        <w:rPr>
          <w:szCs w:val="24"/>
          <w:lang w:val="en-US"/>
        </w:rPr>
        <w:t xml:space="preserve"> F, </w:t>
      </w:r>
      <w:proofErr w:type="spellStart"/>
      <w:r w:rsidRPr="00892CA2">
        <w:rPr>
          <w:szCs w:val="24"/>
          <w:lang w:val="en-US"/>
        </w:rPr>
        <w:t>Schölmerich</w:t>
      </w:r>
      <w:proofErr w:type="spellEnd"/>
      <w:r w:rsidRPr="00892CA2">
        <w:rPr>
          <w:szCs w:val="24"/>
          <w:lang w:val="en-US"/>
        </w:rPr>
        <w:t xml:space="preserve"> J, </w:t>
      </w:r>
      <w:proofErr w:type="spellStart"/>
      <w:r w:rsidRPr="00892CA2">
        <w:rPr>
          <w:szCs w:val="24"/>
          <w:lang w:val="en-US"/>
        </w:rPr>
        <w:t>Herfarth</w:t>
      </w:r>
      <w:proofErr w:type="spellEnd"/>
      <w:r w:rsidRPr="00892CA2">
        <w:rPr>
          <w:szCs w:val="24"/>
          <w:lang w:val="en-US"/>
        </w:rPr>
        <w:t xml:space="preserve"> H, </w:t>
      </w:r>
      <w:proofErr w:type="spellStart"/>
      <w:r w:rsidRPr="00892CA2">
        <w:rPr>
          <w:szCs w:val="24"/>
          <w:lang w:val="en-US"/>
        </w:rPr>
        <w:t>Rogler</w:t>
      </w:r>
      <w:proofErr w:type="spellEnd"/>
      <w:r w:rsidRPr="00892CA2">
        <w:rPr>
          <w:szCs w:val="24"/>
          <w:lang w:val="en-US"/>
        </w:rPr>
        <w:t xml:space="preserve"> G. Morphological </w:t>
      </w:r>
      <w:proofErr w:type="spellStart"/>
      <w:r w:rsidRPr="00892CA2">
        <w:rPr>
          <w:szCs w:val="24"/>
          <w:lang w:val="en-US"/>
        </w:rPr>
        <w:t>characterisation</w:t>
      </w:r>
      <w:proofErr w:type="spellEnd"/>
      <w:r w:rsidRPr="00892CA2">
        <w:rPr>
          <w:szCs w:val="24"/>
          <w:lang w:val="en-US"/>
        </w:rPr>
        <w:t xml:space="preserve"> of Crohn's disease fistulae. </w:t>
      </w:r>
      <w:r w:rsidRPr="00892CA2">
        <w:rPr>
          <w:i/>
          <w:iCs/>
          <w:szCs w:val="24"/>
          <w:lang w:val="en-US"/>
        </w:rPr>
        <w:t>Gut</w:t>
      </w:r>
      <w:r w:rsidRPr="00892CA2">
        <w:rPr>
          <w:szCs w:val="24"/>
          <w:lang w:val="en-US"/>
        </w:rPr>
        <w:t> 2004; </w:t>
      </w:r>
      <w:r w:rsidRPr="00892CA2">
        <w:rPr>
          <w:b/>
          <w:bCs/>
          <w:szCs w:val="24"/>
          <w:lang w:val="en-US"/>
        </w:rPr>
        <w:t>53</w:t>
      </w:r>
      <w:r w:rsidRPr="00892CA2">
        <w:rPr>
          <w:szCs w:val="24"/>
          <w:lang w:val="en-US"/>
        </w:rPr>
        <w:t>: 1314-1321 [PMID: 15306592 DOI: 10.1136/gut.2003.038208]</w:t>
      </w:r>
    </w:p>
    <w:p w14:paraId="301DD937"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r w:rsidRPr="00892CA2">
        <w:rPr>
          <w:szCs w:val="24"/>
          <w:lang w:val="en-US"/>
        </w:rPr>
        <w:t>11 </w:t>
      </w:r>
      <w:proofErr w:type="spellStart"/>
      <w:r w:rsidRPr="00892CA2">
        <w:rPr>
          <w:b/>
          <w:bCs/>
          <w:szCs w:val="24"/>
          <w:lang w:val="en-US"/>
        </w:rPr>
        <w:t>Bataille</w:t>
      </w:r>
      <w:proofErr w:type="spellEnd"/>
      <w:r w:rsidRPr="00892CA2">
        <w:rPr>
          <w:b/>
          <w:bCs/>
          <w:szCs w:val="24"/>
          <w:lang w:val="en-US"/>
        </w:rPr>
        <w:t xml:space="preserve"> F</w:t>
      </w:r>
      <w:r w:rsidRPr="00892CA2">
        <w:rPr>
          <w:szCs w:val="24"/>
          <w:lang w:val="en-US"/>
        </w:rPr>
        <w:t xml:space="preserve">, </w:t>
      </w:r>
      <w:proofErr w:type="spellStart"/>
      <w:r w:rsidRPr="00892CA2">
        <w:rPr>
          <w:szCs w:val="24"/>
          <w:lang w:val="en-US"/>
        </w:rPr>
        <w:t>Rohrmeier</w:t>
      </w:r>
      <w:proofErr w:type="spellEnd"/>
      <w:r w:rsidRPr="00892CA2">
        <w:rPr>
          <w:szCs w:val="24"/>
          <w:lang w:val="en-US"/>
        </w:rPr>
        <w:t xml:space="preserve"> C, Bates R, Weber A, </w:t>
      </w:r>
      <w:proofErr w:type="spellStart"/>
      <w:r w:rsidRPr="00892CA2">
        <w:rPr>
          <w:szCs w:val="24"/>
          <w:lang w:val="en-US"/>
        </w:rPr>
        <w:t>Rieder</w:t>
      </w:r>
      <w:proofErr w:type="spellEnd"/>
      <w:r w:rsidRPr="00892CA2">
        <w:rPr>
          <w:szCs w:val="24"/>
          <w:lang w:val="en-US"/>
        </w:rPr>
        <w:t xml:space="preserve"> F, </w:t>
      </w:r>
      <w:proofErr w:type="spellStart"/>
      <w:r w:rsidRPr="00892CA2">
        <w:rPr>
          <w:szCs w:val="24"/>
          <w:lang w:val="en-US"/>
        </w:rPr>
        <w:t>Brenmoehl</w:t>
      </w:r>
      <w:proofErr w:type="spellEnd"/>
      <w:r w:rsidRPr="00892CA2">
        <w:rPr>
          <w:szCs w:val="24"/>
          <w:lang w:val="en-US"/>
        </w:rPr>
        <w:t xml:space="preserve"> J, </w:t>
      </w:r>
      <w:proofErr w:type="spellStart"/>
      <w:r w:rsidRPr="00892CA2">
        <w:rPr>
          <w:szCs w:val="24"/>
          <w:lang w:val="en-US"/>
        </w:rPr>
        <w:t>Strauch</w:t>
      </w:r>
      <w:proofErr w:type="spellEnd"/>
      <w:r w:rsidRPr="00892CA2">
        <w:rPr>
          <w:szCs w:val="24"/>
          <w:lang w:val="en-US"/>
        </w:rPr>
        <w:t xml:space="preserve"> U, </w:t>
      </w:r>
      <w:proofErr w:type="spellStart"/>
      <w:r w:rsidRPr="00892CA2">
        <w:rPr>
          <w:szCs w:val="24"/>
          <w:lang w:val="en-US"/>
        </w:rPr>
        <w:t>Farkas</w:t>
      </w:r>
      <w:proofErr w:type="spellEnd"/>
      <w:r w:rsidRPr="00892CA2">
        <w:rPr>
          <w:szCs w:val="24"/>
          <w:lang w:val="en-US"/>
        </w:rPr>
        <w:t xml:space="preserve"> S, </w:t>
      </w:r>
      <w:proofErr w:type="spellStart"/>
      <w:r w:rsidRPr="00892CA2">
        <w:rPr>
          <w:szCs w:val="24"/>
          <w:lang w:val="en-US"/>
        </w:rPr>
        <w:t>Fürst</w:t>
      </w:r>
      <w:proofErr w:type="spellEnd"/>
      <w:r w:rsidRPr="00892CA2">
        <w:rPr>
          <w:szCs w:val="24"/>
          <w:lang w:val="en-US"/>
        </w:rPr>
        <w:t xml:space="preserve"> A, </w:t>
      </w:r>
      <w:proofErr w:type="spellStart"/>
      <w:r w:rsidRPr="00892CA2">
        <w:rPr>
          <w:szCs w:val="24"/>
          <w:lang w:val="en-US"/>
        </w:rPr>
        <w:t>Hofstädter</w:t>
      </w:r>
      <w:proofErr w:type="spellEnd"/>
      <w:r w:rsidRPr="00892CA2">
        <w:rPr>
          <w:szCs w:val="24"/>
          <w:lang w:val="en-US"/>
        </w:rPr>
        <w:t xml:space="preserve"> F, </w:t>
      </w:r>
      <w:proofErr w:type="spellStart"/>
      <w:r w:rsidRPr="00892CA2">
        <w:rPr>
          <w:szCs w:val="24"/>
          <w:lang w:val="en-US"/>
        </w:rPr>
        <w:t>Schölmerich</w:t>
      </w:r>
      <w:proofErr w:type="spellEnd"/>
      <w:r w:rsidRPr="00892CA2">
        <w:rPr>
          <w:szCs w:val="24"/>
          <w:lang w:val="en-US"/>
        </w:rPr>
        <w:t xml:space="preserve"> J, </w:t>
      </w:r>
      <w:proofErr w:type="spellStart"/>
      <w:r w:rsidRPr="00892CA2">
        <w:rPr>
          <w:szCs w:val="24"/>
          <w:lang w:val="en-US"/>
        </w:rPr>
        <w:t>Herfarth</w:t>
      </w:r>
      <w:proofErr w:type="spellEnd"/>
      <w:r w:rsidRPr="00892CA2">
        <w:rPr>
          <w:szCs w:val="24"/>
          <w:lang w:val="en-US"/>
        </w:rPr>
        <w:t xml:space="preserve"> H, </w:t>
      </w:r>
      <w:proofErr w:type="spellStart"/>
      <w:r w:rsidRPr="00892CA2">
        <w:rPr>
          <w:szCs w:val="24"/>
          <w:lang w:val="en-US"/>
        </w:rPr>
        <w:t>Rogler</w:t>
      </w:r>
      <w:proofErr w:type="spellEnd"/>
      <w:r w:rsidRPr="00892CA2">
        <w:rPr>
          <w:szCs w:val="24"/>
          <w:lang w:val="en-US"/>
        </w:rPr>
        <w:t xml:space="preserve"> G. Evidence for a role of epithelial mesenchymal transition during pathogenesis of fistulae in Crohn's disease. </w:t>
      </w:r>
      <w:proofErr w:type="spellStart"/>
      <w:r w:rsidRPr="00892CA2">
        <w:rPr>
          <w:i/>
          <w:iCs/>
          <w:szCs w:val="24"/>
          <w:lang w:val="en-US"/>
        </w:rPr>
        <w:t>Inflamm</w:t>
      </w:r>
      <w:proofErr w:type="spellEnd"/>
      <w:r w:rsidRPr="00892CA2">
        <w:rPr>
          <w:i/>
          <w:iCs/>
          <w:szCs w:val="24"/>
          <w:lang w:val="en-US"/>
        </w:rPr>
        <w:t xml:space="preserve"> Bowel Dis</w:t>
      </w:r>
      <w:r w:rsidRPr="00892CA2">
        <w:rPr>
          <w:szCs w:val="24"/>
          <w:lang w:val="en-US"/>
        </w:rPr>
        <w:t> 2008; </w:t>
      </w:r>
      <w:r w:rsidRPr="00892CA2">
        <w:rPr>
          <w:b/>
          <w:bCs/>
          <w:szCs w:val="24"/>
          <w:lang w:val="en-US"/>
        </w:rPr>
        <w:t>14</w:t>
      </w:r>
      <w:r w:rsidRPr="00892CA2">
        <w:rPr>
          <w:szCs w:val="24"/>
          <w:lang w:val="en-US"/>
        </w:rPr>
        <w:t>: 1514-1527 [PMID: 18626977 DOI: 10.1002/ibd.20590]</w:t>
      </w:r>
    </w:p>
    <w:p w14:paraId="0422E4E2"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r w:rsidRPr="00892CA2">
        <w:rPr>
          <w:szCs w:val="24"/>
          <w:lang w:val="en-US"/>
        </w:rPr>
        <w:t>12 </w:t>
      </w:r>
      <w:proofErr w:type="spellStart"/>
      <w:r w:rsidRPr="00892CA2">
        <w:rPr>
          <w:b/>
          <w:bCs/>
          <w:szCs w:val="24"/>
          <w:lang w:val="en-US"/>
        </w:rPr>
        <w:t>Kirkegaard</w:t>
      </w:r>
      <w:proofErr w:type="spellEnd"/>
      <w:r w:rsidRPr="00892CA2">
        <w:rPr>
          <w:b/>
          <w:bCs/>
          <w:szCs w:val="24"/>
          <w:lang w:val="en-US"/>
        </w:rPr>
        <w:t xml:space="preserve"> T</w:t>
      </w:r>
      <w:r w:rsidRPr="00892CA2">
        <w:rPr>
          <w:szCs w:val="24"/>
          <w:lang w:val="en-US"/>
        </w:rPr>
        <w:t xml:space="preserve">, Hansen A, </w:t>
      </w:r>
      <w:proofErr w:type="spellStart"/>
      <w:r w:rsidRPr="00892CA2">
        <w:rPr>
          <w:szCs w:val="24"/>
          <w:lang w:val="en-US"/>
        </w:rPr>
        <w:t>Bruun</w:t>
      </w:r>
      <w:proofErr w:type="spellEnd"/>
      <w:r w:rsidRPr="00892CA2">
        <w:rPr>
          <w:szCs w:val="24"/>
          <w:lang w:val="en-US"/>
        </w:rPr>
        <w:t xml:space="preserve"> E, </w:t>
      </w:r>
      <w:proofErr w:type="spellStart"/>
      <w:r w:rsidRPr="00892CA2">
        <w:rPr>
          <w:szCs w:val="24"/>
          <w:lang w:val="en-US"/>
        </w:rPr>
        <w:t>Brynskov</w:t>
      </w:r>
      <w:proofErr w:type="spellEnd"/>
      <w:r w:rsidRPr="00892CA2">
        <w:rPr>
          <w:szCs w:val="24"/>
          <w:lang w:val="en-US"/>
        </w:rPr>
        <w:t xml:space="preserve"> J. Expression and </w:t>
      </w:r>
      <w:proofErr w:type="spellStart"/>
      <w:r w:rsidRPr="00892CA2">
        <w:rPr>
          <w:szCs w:val="24"/>
          <w:lang w:val="en-US"/>
        </w:rPr>
        <w:t>localisation</w:t>
      </w:r>
      <w:proofErr w:type="spellEnd"/>
      <w:r w:rsidRPr="00892CA2">
        <w:rPr>
          <w:szCs w:val="24"/>
          <w:lang w:val="en-US"/>
        </w:rPr>
        <w:t xml:space="preserve"> of matrix metalloproteinases and their natural inhibitors in fistulae of patients with Crohn's disease. </w:t>
      </w:r>
      <w:r w:rsidRPr="00892CA2">
        <w:rPr>
          <w:i/>
          <w:iCs/>
          <w:szCs w:val="24"/>
          <w:lang w:val="en-US"/>
        </w:rPr>
        <w:t>Gut</w:t>
      </w:r>
      <w:r w:rsidRPr="00892CA2">
        <w:rPr>
          <w:szCs w:val="24"/>
          <w:lang w:val="en-US"/>
        </w:rPr>
        <w:t> 2004; </w:t>
      </w:r>
      <w:r w:rsidRPr="00892CA2">
        <w:rPr>
          <w:b/>
          <w:bCs/>
          <w:szCs w:val="24"/>
          <w:lang w:val="en-US"/>
        </w:rPr>
        <w:t>53</w:t>
      </w:r>
      <w:r w:rsidRPr="00892CA2">
        <w:rPr>
          <w:szCs w:val="24"/>
          <w:lang w:val="en-US"/>
        </w:rPr>
        <w:t>: 701-709 [PMID: 15082589 DOI: 10.1136/gut.2003.017442]</w:t>
      </w:r>
    </w:p>
    <w:p w14:paraId="49B353AB" w14:textId="38A5616E" w:rsidR="00090DE6" w:rsidRPr="00892CA2" w:rsidRDefault="00090DE6" w:rsidP="007E3B89">
      <w:pPr>
        <w:pStyle w:val="af3"/>
        <w:adjustRightInd w:val="0"/>
        <w:snapToGrid w:val="0"/>
        <w:spacing w:before="0" w:after="0"/>
        <w:ind w:left="0" w:firstLine="0"/>
        <w:contextualSpacing w:val="0"/>
        <w:jc w:val="both"/>
        <w:rPr>
          <w:szCs w:val="24"/>
          <w:lang w:val="en-US"/>
        </w:rPr>
      </w:pPr>
      <w:r w:rsidRPr="00892CA2">
        <w:rPr>
          <w:szCs w:val="24"/>
          <w:lang w:val="en-US"/>
        </w:rPr>
        <w:t xml:space="preserve">13 </w:t>
      </w:r>
      <w:r w:rsidRPr="00892CA2">
        <w:rPr>
          <w:b/>
          <w:szCs w:val="24"/>
          <w:lang w:val="en-US"/>
        </w:rPr>
        <w:t>T</w:t>
      </w:r>
      <w:r w:rsidRPr="00892CA2">
        <w:rPr>
          <w:b/>
          <w:bCs/>
          <w:szCs w:val="24"/>
          <w:lang w:val="en-US"/>
        </w:rPr>
        <w:t>ozer P</w:t>
      </w:r>
      <w:r w:rsidRPr="00892CA2">
        <w:rPr>
          <w:szCs w:val="24"/>
          <w:lang w:val="en-US"/>
        </w:rPr>
        <w:t>. Clinical and experimental studies in idiopathic and Crohn’s-related anal fistula [</w:t>
      </w:r>
      <w:proofErr w:type="gramStart"/>
      <w:r w:rsidRPr="00892CA2">
        <w:rPr>
          <w:szCs w:val="24"/>
          <w:lang w:val="en-US"/>
        </w:rPr>
        <w:t>MD(</w:t>
      </w:r>
      <w:proofErr w:type="gramEnd"/>
      <w:r w:rsidRPr="00892CA2">
        <w:rPr>
          <w:szCs w:val="24"/>
          <w:lang w:val="en-US"/>
        </w:rPr>
        <w:t>Res)]. London: Imperial College</w:t>
      </w:r>
      <w:r w:rsidR="006B2E3E" w:rsidRPr="00892CA2">
        <w:rPr>
          <w:szCs w:val="24"/>
          <w:lang w:val="en-US"/>
        </w:rPr>
        <w:t>;</w:t>
      </w:r>
      <w:r w:rsidRPr="00892CA2">
        <w:rPr>
          <w:szCs w:val="24"/>
          <w:lang w:val="en-US"/>
        </w:rPr>
        <w:t xml:space="preserve"> 2011</w:t>
      </w:r>
    </w:p>
    <w:p w14:paraId="7F9DAF58"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proofErr w:type="gramStart"/>
      <w:r w:rsidRPr="00892CA2">
        <w:rPr>
          <w:szCs w:val="24"/>
          <w:lang w:val="en-US"/>
        </w:rPr>
        <w:t>14 </w:t>
      </w:r>
      <w:r w:rsidRPr="00892CA2">
        <w:rPr>
          <w:b/>
          <w:bCs/>
          <w:szCs w:val="24"/>
          <w:lang w:val="en-US"/>
        </w:rPr>
        <w:t>Irvine EJ</w:t>
      </w:r>
      <w:r w:rsidRPr="00892CA2">
        <w:rPr>
          <w:szCs w:val="24"/>
          <w:lang w:val="en-US"/>
        </w:rPr>
        <w:t>.</w:t>
      </w:r>
      <w:proofErr w:type="gramEnd"/>
      <w:r w:rsidRPr="00892CA2">
        <w:rPr>
          <w:szCs w:val="24"/>
          <w:lang w:val="en-US"/>
        </w:rPr>
        <w:t xml:space="preserve"> Usual therapy improves perianal Crohn's disease as measured by a new disease activity index. McMaster IBD Study Group. </w:t>
      </w:r>
      <w:r w:rsidRPr="00892CA2">
        <w:rPr>
          <w:i/>
          <w:iCs/>
          <w:szCs w:val="24"/>
          <w:lang w:val="en-US"/>
        </w:rPr>
        <w:t>J Clin Gastroenterol</w:t>
      </w:r>
      <w:r w:rsidRPr="00892CA2">
        <w:rPr>
          <w:szCs w:val="24"/>
          <w:lang w:val="en-US"/>
        </w:rPr>
        <w:t> 1995; </w:t>
      </w:r>
      <w:r w:rsidRPr="00892CA2">
        <w:rPr>
          <w:b/>
          <w:bCs/>
          <w:szCs w:val="24"/>
          <w:lang w:val="en-US"/>
        </w:rPr>
        <w:t>20</w:t>
      </w:r>
      <w:r w:rsidRPr="00892CA2">
        <w:rPr>
          <w:szCs w:val="24"/>
          <w:lang w:val="en-US"/>
        </w:rPr>
        <w:t>: 27-32 [PMID: 7884173 DOI: 10.1097/00004836-199501000-00008]</w:t>
      </w:r>
    </w:p>
    <w:p w14:paraId="5F5CB635"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r w:rsidRPr="00892CA2">
        <w:rPr>
          <w:szCs w:val="24"/>
          <w:lang w:val="en-US"/>
        </w:rPr>
        <w:t>15 </w:t>
      </w:r>
      <w:proofErr w:type="spellStart"/>
      <w:r w:rsidRPr="00892CA2">
        <w:rPr>
          <w:b/>
          <w:bCs/>
          <w:szCs w:val="24"/>
          <w:lang w:val="en-US"/>
        </w:rPr>
        <w:t>Herdman</w:t>
      </w:r>
      <w:proofErr w:type="spellEnd"/>
      <w:r w:rsidRPr="00892CA2">
        <w:rPr>
          <w:b/>
          <w:bCs/>
          <w:szCs w:val="24"/>
          <w:lang w:val="en-US"/>
        </w:rPr>
        <w:t xml:space="preserve"> M</w:t>
      </w:r>
      <w:r w:rsidRPr="00892CA2">
        <w:rPr>
          <w:szCs w:val="24"/>
          <w:lang w:val="en-US"/>
        </w:rPr>
        <w:t xml:space="preserve">, </w:t>
      </w:r>
      <w:proofErr w:type="spellStart"/>
      <w:r w:rsidRPr="00892CA2">
        <w:rPr>
          <w:szCs w:val="24"/>
          <w:lang w:val="en-US"/>
        </w:rPr>
        <w:t>Gudex</w:t>
      </w:r>
      <w:proofErr w:type="spellEnd"/>
      <w:r w:rsidRPr="00892CA2">
        <w:rPr>
          <w:szCs w:val="24"/>
          <w:lang w:val="en-US"/>
        </w:rPr>
        <w:t xml:space="preserve"> C, Lloyd A, Janssen M, Kind P, </w:t>
      </w:r>
      <w:proofErr w:type="spellStart"/>
      <w:r w:rsidRPr="00892CA2">
        <w:rPr>
          <w:szCs w:val="24"/>
          <w:lang w:val="en-US"/>
        </w:rPr>
        <w:t>Parkin</w:t>
      </w:r>
      <w:proofErr w:type="spellEnd"/>
      <w:r w:rsidRPr="00892CA2">
        <w:rPr>
          <w:szCs w:val="24"/>
          <w:lang w:val="en-US"/>
        </w:rPr>
        <w:t xml:space="preserve"> D, </w:t>
      </w:r>
      <w:proofErr w:type="spellStart"/>
      <w:r w:rsidRPr="00892CA2">
        <w:rPr>
          <w:szCs w:val="24"/>
          <w:lang w:val="en-US"/>
        </w:rPr>
        <w:t>Bonsel</w:t>
      </w:r>
      <w:proofErr w:type="spellEnd"/>
      <w:r w:rsidRPr="00892CA2">
        <w:rPr>
          <w:szCs w:val="24"/>
          <w:lang w:val="en-US"/>
        </w:rPr>
        <w:t xml:space="preserve"> G, </w:t>
      </w:r>
      <w:proofErr w:type="spellStart"/>
      <w:r w:rsidRPr="00892CA2">
        <w:rPr>
          <w:szCs w:val="24"/>
          <w:lang w:val="en-US"/>
        </w:rPr>
        <w:t>Badia</w:t>
      </w:r>
      <w:proofErr w:type="spellEnd"/>
      <w:r w:rsidRPr="00892CA2">
        <w:rPr>
          <w:szCs w:val="24"/>
          <w:lang w:val="en-US"/>
        </w:rPr>
        <w:t xml:space="preserve"> X. Development and preliminary testing of the new five-level version of EQ-5D (EQ-5D-5L). </w:t>
      </w:r>
      <w:r w:rsidRPr="00892CA2">
        <w:rPr>
          <w:i/>
          <w:iCs/>
          <w:szCs w:val="24"/>
          <w:lang w:val="en-US"/>
        </w:rPr>
        <w:t>Qual Life Res</w:t>
      </w:r>
      <w:r w:rsidRPr="00892CA2">
        <w:rPr>
          <w:szCs w:val="24"/>
          <w:lang w:val="en-US"/>
        </w:rPr>
        <w:t> 2011; </w:t>
      </w:r>
      <w:r w:rsidRPr="00892CA2">
        <w:rPr>
          <w:b/>
          <w:bCs/>
          <w:szCs w:val="24"/>
          <w:lang w:val="en-US"/>
        </w:rPr>
        <w:t>20</w:t>
      </w:r>
      <w:r w:rsidRPr="00892CA2">
        <w:rPr>
          <w:szCs w:val="24"/>
          <w:lang w:val="en-US"/>
        </w:rPr>
        <w:t>: 1727-1736 [PMID: 21479777 DOI: 10.1007/s11136-011-9903-x]</w:t>
      </w:r>
    </w:p>
    <w:p w14:paraId="02C6F72F" w14:textId="41CE9E7D" w:rsidR="00090DE6" w:rsidRPr="00892CA2" w:rsidRDefault="00090DE6" w:rsidP="007E3B89">
      <w:pPr>
        <w:pStyle w:val="af3"/>
        <w:adjustRightInd w:val="0"/>
        <w:snapToGrid w:val="0"/>
        <w:spacing w:before="0" w:after="0"/>
        <w:ind w:left="0" w:firstLine="0"/>
        <w:contextualSpacing w:val="0"/>
        <w:jc w:val="both"/>
        <w:rPr>
          <w:szCs w:val="24"/>
          <w:lang w:val="en-US"/>
        </w:rPr>
      </w:pPr>
      <w:r w:rsidRPr="00892CA2">
        <w:rPr>
          <w:szCs w:val="24"/>
          <w:lang w:val="en-US"/>
        </w:rPr>
        <w:t>16 </w:t>
      </w:r>
      <w:r w:rsidRPr="00892CA2">
        <w:rPr>
          <w:b/>
          <w:bCs/>
          <w:szCs w:val="24"/>
          <w:lang w:val="en-US"/>
        </w:rPr>
        <w:t xml:space="preserve">Merck </w:t>
      </w:r>
      <w:proofErr w:type="gramStart"/>
      <w:r w:rsidRPr="00892CA2">
        <w:rPr>
          <w:b/>
          <w:bCs/>
          <w:szCs w:val="24"/>
          <w:lang w:val="en-US"/>
        </w:rPr>
        <w:t>Millipore</w:t>
      </w:r>
      <w:proofErr w:type="gramEnd"/>
      <w:r w:rsidRPr="00892CA2">
        <w:rPr>
          <w:szCs w:val="24"/>
          <w:lang w:val="en-US"/>
        </w:rPr>
        <w:t xml:space="preserve">. </w:t>
      </w:r>
      <w:proofErr w:type="gramStart"/>
      <w:r w:rsidRPr="00892CA2">
        <w:rPr>
          <w:szCs w:val="24"/>
          <w:lang w:val="en-US"/>
        </w:rPr>
        <w:t>MILLIPLEX MAP Human Cytokine/Chemokine Magnetic Bead Panel - Immunology Multiplex Assay [Internet].</w:t>
      </w:r>
      <w:proofErr w:type="gramEnd"/>
      <w:r w:rsidRPr="00892CA2">
        <w:rPr>
          <w:szCs w:val="24"/>
          <w:lang w:val="en-US"/>
        </w:rPr>
        <w:t xml:space="preserve"> Merck Millipore [cited 2019 Sep 21]. Available from: http://www.merckmillipore.com/NZ/en/product/MILLIPLEX-MAP-Human-Cytokine-Chemokine-Magnetic-Bead-Panel-Immunology-Multiplex-Assay</w:t>
      </w:r>
    </w:p>
    <w:p w14:paraId="26057714"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r w:rsidRPr="00892CA2">
        <w:rPr>
          <w:szCs w:val="24"/>
          <w:lang w:val="en-US"/>
        </w:rPr>
        <w:t>17 </w:t>
      </w:r>
      <w:proofErr w:type="spellStart"/>
      <w:r w:rsidRPr="00892CA2">
        <w:rPr>
          <w:b/>
          <w:bCs/>
          <w:szCs w:val="24"/>
          <w:lang w:val="en-US"/>
        </w:rPr>
        <w:t>Vossenkämper</w:t>
      </w:r>
      <w:proofErr w:type="spellEnd"/>
      <w:r w:rsidRPr="00892CA2">
        <w:rPr>
          <w:b/>
          <w:bCs/>
          <w:szCs w:val="24"/>
          <w:lang w:val="en-US"/>
        </w:rPr>
        <w:t xml:space="preserve"> A</w:t>
      </w:r>
      <w:r w:rsidRPr="00892CA2">
        <w:rPr>
          <w:szCs w:val="24"/>
          <w:lang w:val="en-US"/>
        </w:rPr>
        <w:t xml:space="preserve">, </w:t>
      </w:r>
      <w:proofErr w:type="spellStart"/>
      <w:r w:rsidRPr="00892CA2">
        <w:rPr>
          <w:szCs w:val="24"/>
          <w:lang w:val="en-US"/>
        </w:rPr>
        <w:t>Hundsrucker</w:t>
      </w:r>
      <w:proofErr w:type="spellEnd"/>
      <w:r w:rsidRPr="00892CA2">
        <w:rPr>
          <w:szCs w:val="24"/>
          <w:lang w:val="en-US"/>
        </w:rPr>
        <w:t xml:space="preserve"> C, Page K, van </w:t>
      </w:r>
      <w:proofErr w:type="spellStart"/>
      <w:r w:rsidRPr="00892CA2">
        <w:rPr>
          <w:szCs w:val="24"/>
          <w:lang w:val="en-US"/>
        </w:rPr>
        <w:t>Maurik</w:t>
      </w:r>
      <w:proofErr w:type="spellEnd"/>
      <w:r w:rsidRPr="00892CA2">
        <w:rPr>
          <w:szCs w:val="24"/>
          <w:lang w:val="en-US"/>
        </w:rPr>
        <w:t xml:space="preserve"> A, Sanders TJ, Stagg AJ, Das L, MacDonald TT. A CD3-specific antibody reduces cytokine production and alters phosphoprotein profiles in intestinal tissues from patients with inflammatory bowel disease. </w:t>
      </w:r>
      <w:r w:rsidRPr="00892CA2">
        <w:rPr>
          <w:i/>
          <w:iCs/>
          <w:szCs w:val="24"/>
          <w:lang w:val="en-US"/>
        </w:rPr>
        <w:t>Gastroenterology</w:t>
      </w:r>
      <w:r w:rsidRPr="00892CA2">
        <w:rPr>
          <w:szCs w:val="24"/>
          <w:lang w:val="en-US"/>
        </w:rPr>
        <w:t> 2014; </w:t>
      </w:r>
      <w:r w:rsidRPr="00892CA2">
        <w:rPr>
          <w:b/>
          <w:bCs/>
          <w:szCs w:val="24"/>
          <w:lang w:val="en-US"/>
        </w:rPr>
        <w:t>147</w:t>
      </w:r>
      <w:r w:rsidRPr="00892CA2">
        <w:rPr>
          <w:szCs w:val="24"/>
          <w:lang w:val="en-US"/>
        </w:rPr>
        <w:t>: 172-183 [PMID: 24704524 DOI: 10.1053/j.gastro.2014.03.049]</w:t>
      </w:r>
    </w:p>
    <w:p w14:paraId="3AB60C2A"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r w:rsidRPr="00892CA2">
        <w:rPr>
          <w:szCs w:val="24"/>
          <w:lang w:val="en-US"/>
        </w:rPr>
        <w:t>18 </w:t>
      </w:r>
      <w:r w:rsidRPr="00892CA2">
        <w:rPr>
          <w:b/>
          <w:bCs/>
          <w:szCs w:val="24"/>
          <w:lang w:val="en-US"/>
        </w:rPr>
        <w:t>von Elm E</w:t>
      </w:r>
      <w:r w:rsidRPr="00892CA2">
        <w:rPr>
          <w:szCs w:val="24"/>
          <w:lang w:val="en-US"/>
        </w:rPr>
        <w:t xml:space="preserve">, Altman DG, Egger M, </w:t>
      </w:r>
      <w:proofErr w:type="spellStart"/>
      <w:r w:rsidRPr="00892CA2">
        <w:rPr>
          <w:szCs w:val="24"/>
          <w:lang w:val="en-US"/>
        </w:rPr>
        <w:t>Pocock</w:t>
      </w:r>
      <w:proofErr w:type="spellEnd"/>
      <w:r w:rsidRPr="00892CA2">
        <w:rPr>
          <w:szCs w:val="24"/>
          <w:lang w:val="en-US"/>
        </w:rPr>
        <w:t xml:space="preserve"> SJ, </w:t>
      </w:r>
      <w:proofErr w:type="spellStart"/>
      <w:r w:rsidRPr="00892CA2">
        <w:rPr>
          <w:szCs w:val="24"/>
          <w:lang w:val="en-US"/>
        </w:rPr>
        <w:t>Gøtzsche</w:t>
      </w:r>
      <w:proofErr w:type="spellEnd"/>
      <w:r w:rsidRPr="00892CA2">
        <w:rPr>
          <w:szCs w:val="24"/>
          <w:lang w:val="en-US"/>
        </w:rPr>
        <w:t xml:space="preserve"> PC, </w:t>
      </w:r>
      <w:proofErr w:type="spellStart"/>
      <w:r w:rsidRPr="00892CA2">
        <w:rPr>
          <w:szCs w:val="24"/>
          <w:lang w:val="en-US"/>
        </w:rPr>
        <w:t>Vandenbroucke</w:t>
      </w:r>
      <w:proofErr w:type="spellEnd"/>
      <w:r w:rsidRPr="00892CA2">
        <w:rPr>
          <w:szCs w:val="24"/>
          <w:lang w:val="en-US"/>
        </w:rPr>
        <w:t xml:space="preserve"> JP; STROBE Initiative. </w:t>
      </w:r>
      <w:proofErr w:type="gramStart"/>
      <w:r w:rsidRPr="00892CA2">
        <w:rPr>
          <w:szCs w:val="24"/>
          <w:lang w:val="en-US"/>
        </w:rPr>
        <w:t>Strengthening the Reporting of Observational Studies in Epidemiology (STROBE) statement: guidelines for reporting observational studies.</w:t>
      </w:r>
      <w:proofErr w:type="gramEnd"/>
      <w:r w:rsidRPr="00892CA2">
        <w:rPr>
          <w:szCs w:val="24"/>
          <w:lang w:val="en-US"/>
        </w:rPr>
        <w:t> </w:t>
      </w:r>
      <w:r w:rsidRPr="00892CA2">
        <w:rPr>
          <w:i/>
          <w:iCs/>
          <w:szCs w:val="24"/>
          <w:lang w:val="en-US"/>
        </w:rPr>
        <w:t>BMJ</w:t>
      </w:r>
      <w:r w:rsidRPr="00892CA2">
        <w:rPr>
          <w:szCs w:val="24"/>
          <w:lang w:val="en-US"/>
        </w:rPr>
        <w:t> 2007; </w:t>
      </w:r>
      <w:r w:rsidRPr="00892CA2">
        <w:rPr>
          <w:b/>
          <w:bCs/>
          <w:szCs w:val="24"/>
          <w:lang w:val="en-US"/>
        </w:rPr>
        <w:t>335</w:t>
      </w:r>
      <w:r w:rsidRPr="00892CA2">
        <w:rPr>
          <w:szCs w:val="24"/>
          <w:lang w:val="en-US"/>
        </w:rPr>
        <w:t>: 806-808 [PMID: 17947786 DOI: 10.1136/bmj.39335.541782.AD]</w:t>
      </w:r>
    </w:p>
    <w:p w14:paraId="74FD8630"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r w:rsidRPr="00892CA2">
        <w:rPr>
          <w:szCs w:val="24"/>
          <w:lang w:val="en-US"/>
        </w:rPr>
        <w:t>19 </w:t>
      </w:r>
      <w:proofErr w:type="spellStart"/>
      <w:r w:rsidRPr="00892CA2">
        <w:rPr>
          <w:b/>
          <w:bCs/>
          <w:szCs w:val="24"/>
          <w:lang w:val="en-US"/>
        </w:rPr>
        <w:t>Ruffolo</w:t>
      </w:r>
      <w:proofErr w:type="spellEnd"/>
      <w:r w:rsidRPr="00892CA2">
        <w:rPr>
          <w:b/>
          <w:bCs/>
          <w:szCs w:val="24"/>
          <w:lang w:val="en-US"/>
        </w:rPr>
        <w:t xml:space="preserve"> C</w:t>
      </w:r>
      <w:r w:rsidRPr="00892CA2">
        <w:rPr>
          <w:szCs w:val="24"/>
          <w:lang w:val="en-US"/>
        </w:rPr>
        <w:t xml:space="preserve">, </w:t>
      </w:r>
      <w:proofErr w:type="spellStart"/>
      <w:r w:rsidRPr="00892CA2">
        <w:rPr>
          <w:szCs w:val="24"/>
          <w:lang w:val="en-US"/>
        </w:rPr>
        <w:t>Scarpa</w:t>
      </w:r>
      <w:proofErr w:type="spellEnd"/>
      <w:r w:rsidRPr="00892CA2">
        <w:rPr>
          <w:szCs w:val="24"/>
          <w:lang w:val="en-US"/>
        </w:rPr>
        <w:t xml:space="preserve"> M, </w:t>
      </w:r>
      <w:proofErr w:type="spellStart"/>
      <w:r w:rsidRPr="00892CA2">
        <w:rPr>
          <w:szCs w:val="24"/>
          <w:lang w:val="en-US"/>
        </w:rPr>
        <w:t>Faggian</w:t>
      </w:r>
      <w:proofErr w:type="spellEnd"/>
      <w:r w:rsidRPr="00892CA2">
        <w:rPr>
          <w:szCs w:val="24"/>
          <w:lang w:val="en-US"/>
        </w:rPr>
        <w:t xml:space="preserve"> D, </w:t>
      </w:r>
      <w:proofErr w:type="spellStart"/>
      <w:r w:rsidRPr="00892CA2">
        <w:rPr>
          <w:szCs w:val="24"/>
          <w:lang w:val="en-US"/>
        </w:rPr>
        <w:t>Pozza</w:t>
      </w:r>
      <w:proofErr w:type="spellEnd"/>
      <w:r w:rsidRPr="00892CA2">
        <w:rPr>
          <w:szCs w:val="24"/>
          <w:lang w:val="en-US"/>
        </w:rPr>
        <w:t xml:space="preserve"> A, </w:t>
      </w:r>
      <w:proofErr w:type="spellStart"/>
      <w:r w:rsidRPr="00892CA2">
        <w:rPr>
          <w:szCs w:val="24"/>
          <w:lang w:val="en-US"/>
        </w:rPr>
        <w:t>Navaglia</w:t>
      </w:r>
      <w:proofErr w:type="spellEnd"/>
      <w:r w:rsidRPr="00892CA2">
        <w:rPr>
          <w:szCs w:val="24"/>
          <w:lang w:val="en-US"/>
        </w:rPr>
        <w:t xml:space="preserve"> F, </w:t>
      </w:r>
      <w:proofErr w:type="spellStart"/>
      <w:r w:rsidRPr="00892CA2">
        <w:rPr>
          <w:szCs w:val="24"/>
          <w:lang w:val="en-US"/>
        </w:rPr>
        <w:t>D'Incà</w:t>
      </w:r>
      <w:proofErr w:type="spellEnd"/>
      <w:r w:rsidRPr="00892CA2">
        <w:rPr>
          <w:szCs w:val="24"/>
          <w:lang w:val="en-US"/>
        </w:rPr>
        <w:t xml:space="preserve"> R, </w:t>
      </w:r>
      <w:proofErr w:type="spellStart"/>
      <w:r w:rsidRPr="00892CA2">
        <w:rPr>
          <w:szCs w:val="24"/>
          <w:lang w:val="en-US"/>
        </w:rPr>
        <w:t>Hoxha</w:t>
      </w:r>
      <w:proofErr w:type="spellEnd"/>
      <w:r w:rsidRPr="00892CA2">
        <w:rPr>
          <w:szCs w:val="24"/>
          <w:lang w:val="en-US"/>
        </w:rPr>
        <w:t xml:space="preserve"> P, </w:t>
      </w:r>
      <w:proofErr w:type="spellStart"/>
      <w:r w:rsidRPr="00892CA2">
        <w:rPr>
          <w:szCs w:val="24"/>
          <w:lang w:val="en-US"/>
        </w:rPr>
        <w:t>Romanato</w:t>
      </w:r>
      <w:proofErr w:type="spellEnd"/>
      <w:r w:rsidRPr="00892CA2">
        <w:rPr>
          <w:szCs w:val="24"/>
          <w:lang w:val="en-US"/>
        </w:rPr>
        <w:t xml:space="preserve"> G, </w:t>
      </w:r>
      <w:proofErr w:type="spellStart"/>
      <w:r w:rsidRPr="00892CA2">
        <w:rPr>
          <w:szCs w:val="24"/>
          <w:lang w:val="en-US"/>
        </w:rPr>
        <w:t>Polese</w:t>
      </w:r>
      <w:proofErr w:type="spellEnd"/>
      <w:r w:rsidRPr="00892CA2">
        <w:rPr>
          <w:szCs w:val="24"/>
          <w:lang w:val="en-US"/>
        </w:rPr>
        <w:t xml:space="preserve"> L, </w:t>
      </w:r>
      <w:proofErr w:type="spellStart"/>
      <w:r w:rsidRPr="00892CA2">
        <w:rPr>
          <w:szCs w:val="24"/>
          <w:lang w:val="en-US"/>
        </w:rPr>
        <w:t>Sturniolo</w:t>
      </w:r>
      <w:proofErr w:type="spellEnd"/>
      <w:r w:rsidRPr="00892CA2">
        <w:rPr>
          <w:szCs w:val="24"/>
          <w:lang w:val="en-US"/>
        </w:rPr>
        <w:t xml:space="preserve"> GC, </w:t>
      </w:r>
      <w:proofErr w:type="spellStart"/>
      <w:r w:rsidRPr="00892CA2">
        <w:rPr>
          <w:szCs w:val="24"/>
          <w:lang w:val="en-US"/>
        </w:rPr>
        <w:t>Plebani</w:t>
      </w:r>
      <w:proofErr w:type="spellEnd"/>
      <w:r w:rsidRPr="00892CA2">
        <w:rPr>
          <w:szCs w:val="24"/>
          <w:lang w:val="en-US"/>
        </w:rPr>
        <w:t xml:space="preserve"> M, D'Amico DF, </w:t>
      </w:r>
      <w:proofErr w:type="spellStart"/>
      <w:r w:rsidRPr="00892CA2">
        <w:rPr>
          <w:szCs w:val="24"/>
          <w:lang w:val="en-US"/>
        </w:rPr>
        <w:t>Angriman</w:t>
      </w:r>
      <w:proofErr w:type="spellEnd"/>
      <w:r w:rsidRPr="00892CA2">
        <w:rPr>
          <w:szCs w:val="24"/>
          <w:lang w:val="en-US"/>
        </w:rPr>
        <w:t xml:space="preserve"> I. Cytokine network in rectal mucosa in perianal Crohn's disease: relations with inflammatory parameters and need for surgery. </w:t>
      </w:r>
      <w:proofErr w:type="spellStart"/>
      <w:r w:rsidRPr="00892CA2">
        <w:rPr>
          <w:i/>
          <w:iCs/>
          <w:szCs w:val="24"/>
          <w:lang w:val="en-US"/>
        </w:rPr>
        <w:t>Inflamm</w:t>
      </w:r>
      <w:proofErr w:type="spellEnd"/>
      <w:r w:rsidRPr="00892CA2">
        <w:rPr>
          <w:i/>
          <w:iCs/>
          <w:szCs w:val="24"/>
          <w:lang w:val="en-US"/>
        </w:rPr>
        <w:t xml:space="preserve"> Bowel Dis</w:t>
      </w:r>
      <w:r w:rsidRPr="00892CA2">
        <w:rPr>
          <w:szCs w:val="24"/>
          <w:lang w:val="en-US"/>
        </w:rPr>
        <w:t> 2008; </w:t>
      </w:r>
      <w:r w:rsidRPr="00892CA2">
        <w:rPr>
          <w:b/>
          <w:bCs/>
          <w:szCs w:val="24"/>
          <w:lang w:val="en-US"/>
        </w:rPr>
        <w:t>14</w:t>
      </w:r>
      <w:r w:rsidRPr="00892CA2">
        <w:rPr>
          <w:szCs w:val="24"/>
          <w:lang w:val="en-US"/>
        </w:rPr>
        <w:t>: 1406-1412 [PMID: 18452203 DOI: 10.1002/ibd.20486]</w:t>
      </w:r>
    </w:p>
    <w:p w14:paraId="3D11E4F6"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r w:rsidRPr="00892CA2">
        <w:rPr>
          <w:szCs w:val="24"/>
          <w:lang w:val="en-US"/>
        </w:rPr>
        <w:t>20 </w:t>
      </w:r>
      <w:proofErr w:type="spellStart"/>
      <w:r w:rsidRPr="00892CA2">
        <w:rPr>
          <w:b/>
          <w:bCs/>
          <w:szCs w:val="24"/>
          <w:lang w:val="en-US"/>
        </w:rPr>
        <w:t>Ruffolo</w:t>
      </w:r>
      <w:proofErr w:type="spellEnd"/>
      <w:r w:rsidRPr="00892CA2">
        <w:rPr>
          <w:b/>
          <w:bCs/>
          <w:szCs w:val="24"/>
          <w:lang w:val="en-US"/>
        </w:rPr>
        <w:t xml:space="preserve"> C</w:t>
      </w:r>
      <w:r w:rsidRPr="00892CA2">
        <w:rPr>
          <w:szCs w:val="24"/>
          <w:lang w:val="en-US"/>
        </w:rPr>
        <w:t xml:space="preserve">, </w:t>
      </w:r>
      <w:proofErr w:type="spellStart"/>
      <w:r w:rsidRPr="00892CA2">
        <w:rPr>
          <w:szCs w:val="24"/>
          <w:lang w:val="en-US"/>
        </w:rPr>
        <w:t>Scarpa</w:t>
      </w:r>
      <w:proofErr w:type="spellEnd"/>
      <w:r w:rsidRPr="00892CA2">
        <w:rPr>
          <w:szCs w:val="24"/>
          <w:lang w:val="en-US"/>
        </w:rPr>
        <w:t xml:space="preserve"> M, </w:t>
      </w:r>
      <w:proofErr w:type="spellStart"/>
      <w:r w:rsidRPr="00892CA2">
        <w:rPr>
          <w:szCs w:val="24"/>
          <w:lang w:val="en-US"/>
        </w:rPr>
        <w:t>Faggian</w:t>
      </w:r>
      <w:proofErr w:type="spellEnd"/>
      <w:r w:rsidRPr="00892CA2">
        <w:rPr>
          <w:szCs w:val="24"/>
          <w:lang w:val="en-US"/>
        </w:rPr>
        <w:t xml:space="preserve"> D, </w:t>
      </w:r>
      <w:proofErr w:type="spellStart"/>
      <w:r w:rsidRPr="00892CA2">
        <w:rPr>
          <w:szCs w:val="24"/>
          <w:lang w:val="en-US"/>
        </w:rPr>
        <w:t>Romanato</w:t>
      </w:r>
      <w:proofErr w:type="spellEnd"/>
      <w:r w:rsidRPr="00892CA2">
        <w:rPr>
          <w:szCs w:val="24"/>
          <w:lang w:val="en-US"/>
        </w:rPr>
        <w:t xml:space="preserve"> G, De </w:t>
      </w:r>
      <w:proofErr w:type="spellStart"/>
      <w:r w:rsidRPr="00892CA2">
        <w:rPr>
          <w:szCs w:val="24"/>
          <w:lang w:val="en-US"/>
        </w:rPr>
        <w:t>Pellegrin</w:t>
      </w:r>
      <w:proofErr w:type="spellEnd"/>
      <w:r w:rsidRPr="00892CA2">
        <w:rPr>
          <w:szCs w:val="24"/>
          <w:lang w:val="en-US"/>
        </w:rPr>
        <w:t xml:space="preserve"> A, </w:t>
      </w:r>
      <w:proofErr w:type="spellStart"/>
      <w:r w:rsidRPr="00892CA2">
        <w:rPr>
          <w:szCs w:val="24"/>
          <w:lang w:val="en-US"/>
        </w:rPr>
        <w:t>Filosa</w:t>
      </w:r>
      <w:proofErr w:type="spellEnd"/>
      <w:r w:rsidRPr="00892CA2">
        <w:rPr>
          <w:szCs w:val="24"/>
          <w:lang w:val="en-US"/>
        </w:rPr>
        <w:t xml:space="preserve"> T, </w:t>
      </w:r>
      <w:proofErr w:type="spellStart"/>
      <w:r w:rsidRPr="00892CA2">
        <w:rPr>
          <w:szCs w:val="24"/>
          <w:lang w:val="en-US"/>
        </w:rPr>
        <w:t>Prando</w:t>
      </w:r>
      <w:proofErr w:type="spellEnd"/>
      <w:r w:rsidRPr="00892CA2">
        <w:rPr>
          <w:szCs w:val="24"/>
          <w:lang w:val="en-US"/>
        </w:rPr>
        <w:t xml:space="preserve"> D, </w:t>
      </w:r>
      <w:proofErr w:type="spellStart"/>
      <w:r w:rsidRPr="00892CA2">
        <w:rPr>
          <w:szCs w:val="24"/>
          <w:lang w:val="en-US"/>
        </w:rPr>
        <w:t>Polese</w:t>
      </w:r>
      <w:proofErr w:type="spellEnd"/>
      <w:r w:rsidRPr="00892CA2">
        <w:rPr>
          <w:szCs w:val="24"/>
          <w:lang w:val="en-US"/>
        </w:rPr>
        <w:t xml:space="preserve"> L, </w:t>
      </w:r>
      <w:proofErr w:type="spellStart"/>
      <w:r w:rsidRPr="00892CA2">
        <w:rPr>
          <w:szCs w:val="24"/>
          <w:lang w:val="en-US"/>
        </w:rPr>
        <w:t>Scopelliti</w:t>
      </w:r>
      <w:proofErr w:type="spellEnd"/>
      <w:r w:rsidRPr="00892CA2">
        <w:rPr>
          <w:szCs w:val="24"/>
          <w:lang w:val="en-US"/>
        </w:rPr>
        <w:t xml:space="preserve"> M, Pilon F, </w:t>
      </w:r>
      <w:proofErr w:type="spellStart"/>
      <w:r w:rsidRPr="00892CA2">
        <w:rPr>
          <w:szCs w:val="24"/>
          <w:lang w:val="en-US"/>
        </w:rPr>
        <w:t>Ossi</w:t>
      </w:r>
      <w:proofErr w:type="spellEnd"/>
      <w:r w:rsidRPr="00892CA2">
        <w:rPr>
          <w:szCs w:val="24"/>
          <w:lang w:val="en-US"/>
        </w:rPr>
        <w:t xml:space="preserve"> E, </w:t>
      </w:r>
      <w:proofErr w:type="spellStart"/>
      <w:r w:rsidRPr="00892CA2">
        <w:rPr>
          <w:szCs w:val="24"/>
          <w:lang w:val="en-US"/>
        </w:rPr>
        <w:t>Frego</w:t>
      </w:r>
      <w:proofErr w:type="spellEnd"/>
      <w:r w:rsidRPr="00892CA2">
        <w:rPr>
          <w:szCs w:val="24"/>
          <w:lang w:val="en-US"/>
        </w:rPr>
        <w:t xml:space="preserve"> M, D'Amico DF, </w:t>
      </w:r>
      <w:proofErr w:type="spellStart"/>
      <w:r w:rsidRPr="00892CA2">
        <w:rPr>
          <w:szCs w:val="24"/>
          <w:lang w:val="en-US"/>
        </w:rPr>
        <w:t>Angriman</w:t>
      </w:r>
      <w:proofErr w:type="spellEnd"/>
      <w:r w:rsidRPr="00892CA2">
        <w:rPr>
          <w:szCs w:val="24"/>
          <w:lang w:val="en-US"/>
        </w:rPr>
        <w:t xml:space="preserve"> I. Cytokine network in chronic perianal Crohn's disease and indeterminate colitis after colectomy. </w:t>
      </w:r>
      <w:r w:rsidRPr="00892CA2">
        <w:rPr>
          <w:i/>
          <w:iCs/>
          <w:szCs w:val="24"/>
          <w:lang w:val="en-US"/>
        </w:rPr>
        <w:t xml:space="preserve">J </w:t>
      </w:r>
      <w:proofErr w:type="spellStart"/>
      <w:r w:rsidRPr="00892CA2">
        <w:rPr>
          <w:i/>
          <w:iCs/>
          <w:szCs w:val="24"/>
          <w:lang w:val="en-US"/>
        </w:rPr>
        <w:t>Gastrointest</w:t>
      </w:r>
      <w:proofErr w:type="spellEnd"/>
      <w:r w:rsidRPr="00892CA2">
        <w:rPr>
          <w:i/>
          <w:iCs/>
          <w:szCs w:val="24"/>
          <w:lang w:val="en-US"/>
        </w:rPr>
        <w:t xml:space="preserve"> </w:t>
      </w:r>
      <w:proofErr w:type="spellStart"/>
      <w:r w:rsidRPr="00892CA2">
        <w:rPr>
          <w:i/>
          <w:iCs/>
          <w:szCs w:val="24"/>
          <w:lang w:val="en-US"/>
        </w:rPr>
        <w:t>Surg</w:t>
      </w:r>
      <w:proofErr w:type="spellEnd"/>
      <w:r w:rsidRPr="00892CA2">
        <w:rPr>
          <w:szCs w:val="24"/>
          <w:lang w:val="en-US"/>
        </w:rPr>
        <w:t> 2007; </w:t>
      </w:r>
      <w:r w:rsidRPr="00892CA2">
        <w:rPr>
          <w:b/>
          <w:bCs/>
          <w:szCs w:val="24"/>
          <w:lang w:val="en-US"/>
        </w:rPr>
        <w:t>11</w:t>
      </w:r>
      <w:r w:rsidRPr="00892CA2">
        <w:rPr>
          <w:szCs w:val="24"/>
          <w:lang w:val="en-US"/>
        </w:rPr>
        <w:t>: 16-21 [PMID: 17390181 DOI: 10.1007/s11605-006-0021-y]</w:t>
      </w:r>
    </w:p>
    <w:p w14:paraId="72897F37"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r w:rsidRPr="00892CA2">
        <w:rPr>
          <w:szCs w:val="24"/>
          <w:lang w:val="en-US"/>
        </w:rPr>
        <w:t>21 </w:t>
      </w:r>
      <w:proofErr w:type="spellStart"/>
      <w:r w:rsidRPr="00892CA2">
        <w:rPr>
          <w:b/>
          <w:bCs/>
          <w:szCs w:val="24"/>
          <w:lang w:val="en-US"/>
        </w:rPr>
        <w:t>Műzes</w:t>
      </w:r>
      <w:proofErr w:type="spellEnd"/>
      <w:r w:rsidRPr="00892CA2">
        <w:rPr>
          <w:b/>
          <w:bCs/>
          <w:szCs w:val="24"/>
          <w:lang w:val="en-US"/>
        </w:rPr>
        <w:t xml:space="preserve"> G</w:t>
      </w:r>
      <w:r w:rsidRPr="00892CA2">
        <w:rPr>
          <w:szCs w:val="24"/>
          <w:lang w:val="en-US"/>
        </w:rPr>
        <w:t xml:space="preserve">, </w:t>
      </w:r>
      <w:proofErr w:type="spellStart"/>
      <w:r w:rsidRPr="00892CA2">
        <w:rPr>
          <w:szCs w:val="24"/>
          <w:lang w:val="en-US"/>
        </w:rPr>
        <w:t>Molnár</w:t>
      </w:r>
      <w:proofErr w:type="spellEnd"/>
      <w:r w:rsidRPr="00892CA2">
        <w:rPr>
          <w:szCs w:val="24"/>
          <w:lang w:val="en-US"/>
        </w:rPr>
        <w:t xml:space="preserve"> B, </w:t>
      </w:r>
      <w:proofErr w:type="spellStart"/>
      <w:r w:rsidRPr="00892CA2">
        <w:rPr>
          <w:szCs w:val="24"/>
          <w:lang w:val="en-US"/>
        </w:rPr>
        <w:t>Tulassay</w:t>
      </w:r>
      <w:proofErr w:type="spellEnd"/>
      <w:r w:rsidRPr="00892CA2">
        <w:rPr>
          <w:szCs w:val="24"/>
          <w:lang w:val="en-US"/>
        </w:rPr>
        <w:t xml:space="preserve"> Z, Sipos F. Changes of the cytokine profile in inflammatory bowel diseases. </w:t>
      </w:r>
      <w:r w:rsidRPr="00892CA2">
        <w:rPr>
          <w:i/>
          <w:iCs/>
          <w:szCs w:val="24"/>
          <w:lang w:val="en-US"/>
        </w:rPr>
        <w:t>World J Gastroenterol</w:t>
      </w:r>
      <w:r w:rsidRPr="00892CA2">
        <w:rPr>
          <w:szCs w:val="24"/>
          <w:lang w:val="en-US"/>
        </w:rPr>
        <w:t> 2012; </w:t>
      </w:r>
      <w:r w:rsidRPr="00892CA2">
        <w:rPr>
          <w:b/>
          <w:bCs/>
          <w:szCs w:val="24"/>
          <w:lang w:val="en-US"/>
        </w:rPr>
        <w:t>18</w:t>
      </w:r>
      <w:r w:rsidRPr="00892CA2">
        <w:rPr>
          <w:szCs w:val="24"/>
          <w:lang w:val="en-US"/>
        </w:rPr>
        <w:t>: 5848-5861 [PMID: 23139600 DOI: 10.3748/wjg.v18.i41.5848]</w:t>
      </w:r>
    </w:p>
    <w:p w14:paraId="1FE2569F"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proofErr w:type="gramStart"/>
      <w:r w:rsidRPr="00892CA2">
        <w:rPr>
          <w:szCs w:val="24"/>
          <w:lang w:val="en-US"/>
        </w:rPr>
        <w:t>22 </w:t>
      </w:r>
      <w:proofErr w:type="spellStart"/>
      <w:r w:rsidRPr="00892CA2">
        <w:rPr>
          <w:b/>
          <w:bCs/>
          <w:szCs w:val="24"/>
          <w:lang w:val="en-US"/>
        </w:rPr>
        <w:t>Trinchieri</w:t>
      </w:r>
      <w:proofErr w:type="spellEnd"/>
      <w:r w:rsidRPr="00892CA2">
        <w:rPr>
          <w:b/>
          <w:bCs/>
          <w:szCs w:val="24"/>
          <w:lang w:val="en-US"/>
        </w:rPr>
        <w:t xml:space="preserve"> G</w:t>
      </w:r>
      <w:r w:rsidRPr="00892CA2">
        <w:rPr>
          <w:szCs w:val="24"/>
          <w:lang w:val="en-US"/>
        </w:rPr>
        <w:t>. Interleukin-12 and the regulation of innate resistance and adaptive immunity.</w:t>
      </w:r>
      <w:proofErr w:type="gramEnd"/>
      <w:r w:rsidRPr="00892CA2">
        <w:rPr>
          <w:szCs w:val="24"/>
          <w:lang w:val="en-US"/>
        </w:rPr>
        <w:t> </w:t>
      </w:r>
      <w:r w:rsidRPr="00892CA2">
        <w:rPr>
          <w:i/>
          <w:iCs/>
          <w:szCs w:val="24"/>
          <w:lang w:val="en-US"/>
        </w:rPr>
        <w:t>Nat Rev Immunol</w:t>
      </w:r>
      <w:r w:rsidRPr="00892CA2">
        <w:rPr>
          <w:szCs w:val="24"/>
          <w:lang w:val="en-US"/>
        </w:rPr>
        <w:t> 2003; </w:t>
      </w:r>
      <w:r w:rsidRPr="00892CA2">
        <w:rPr>
          <w:b/>
          <w:bCs/>
          <w:szCs w:val="24"/>
          <w:lang w:val="en-US"/>
        </w:rPr>
        <w:t>3</w:t>
      </w:r>
      <w:r w:rsidRPr="00892CA2">
        <w:rPr>
          <w:szCs w:val="24"/>
          <w:lang w:val="en-US"/>
        </w:rPr>
        <w:t>: 133-146 [PMID: 12563297 DOI: 10.1038/nri1001]</w:t>
      </w:r>
    </w:p>
    <w:p w14:paraId="4921CC21"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r w:rsidRPr="00892CA2">
        <w:rPr>
          <w:szCs w:val="24"/>
          <w:lang w:val="en-US"/>
        </w:rPr>
        <w:t>23 </w:t>
      </w:r>
      <w:proofErr w:type="spellStart"/>
      <w:r w:rsidRPr="00892CA2">
        <w:rPr>
          <w:b/>
          <w:bCs/>
          <w:szCs w:val="24"/>
          <w:lang w:val="en-US"/>
        </w:rPr>
        <w:t>Monteleone</w:t>
      </w:r>
      <w:proofErr w:type="spellEnd"/>
      <w:r w:rsidRPr="00892CA2">
        <w:rPr>
          <w:b/>
          <w:bCs/>
          <w:szCs w:val="24"/>
          <w:lang w:val="en-US"/>
        </w:rPr>
        <w:t xml:space="preserve"> G</w:t>
      </w:r>
      <w:r w:rsidRPr="00892CA2">
        <w:rPr>
          <w:szCs w:val="24"/>
          <w:lang w:val="en-US"/>
        </w:rPr>
        <w:t xml:space="preserve">, </w:t>
      </w:r>
      <w:proofErr w:type="spellStart"/>
      <w:r w:rsidRPr="00892CA2">
        <w:rPr>
          <w:szCs w:val="24"/>
          <w:lang w:val="en-US"/>
        </w:rPr>
        <w:t>Biancone</w:t>
      </w:r>
      <w:proofErr w:type="spellEnd"/>
      <w:r w:rsidRPr="00892CA2">
        <w:rPr>
          <w:szCs w:val="24"/>
          <w:lang w:val="en-US"/>
        </w:rPr>
        <w:t xml:space="preserve"> L, </w:t>
      </w:r>
      <w:proofErr w:type="spellStart"/>
      <w:r w:rsidRPr="00892CA2">
        <w:rPr>
          <w:szCs w:val="24"/>
          <w:lang w:val="en-US"/>
        </w:rPr>
        <w:t>Marasco</w:t>
      </w:r>
      <w:proofErr w:type="spellEnd"/>
      <w:r w:rsidRPr="00892CA2">
        <w:rPr>
          <w:szCs w:val="24"/>
          <w:lang w:val="en-US"/>
        </w:rPr>
        <w:t xml:space="preserve"> R, </w:t>
      </w:r>
      <w:proofErr w:type="spellStart"/>
      <w:r w:rsidRPr="00892CA2">
        <w:rPr>
          <w:szCs w:val="24"/>
          <w:lang w:val="en-US"/>
        </w:rPr>
        <w:t>Morrone</w:t>
      </w:r>
      <w:proofErr w:type="spellEnd"/>
      <w:r w:rsidRPr="00892CA2">
        <w:rPr>
          <w:szCs w:val="24"/>
          <w:lang w:val="en-US"/>
        </w:rPr>
        <w:t xml:space="preserve"> G, </w:t>
      </w:r>
      <w:proofErr w:type="spellStart"/>
      <w:r w:rsidRPr="00892CA2">
        <w:rPr>
          <w:szCs w:val="24"/>
          <w:lang w:val="en-US"/>
        </w:rPr>
        <w:t>Marasco</w:t>
      </w:r>
      <w:proofErr w:type="spellEnd"/>
      <w:r w:rsidRPr="00892CA2">
        <w:rPr>
          <w:szCs w:val="24"/>
          <w:lang w:val="en-US"/>
        </w:rPr>
        <w:t xml:space="preserve"> O, </w:t>
      </w:r>
      <w:proofErr w:type="spellStart"/>
      <w:r w:rsidRPr="00892CA2">
        <w:rPr>
          <w:szCs w:val="24"/>
          <w:lang w:val="en-US"/>
        </w:rPr>
        <w:t>Luzza</w:t>
      </w:r>
      <w:proofErr w:type="spellEnd"/>
      <w:r w:rsidRPr="00892CA2">
        <w:rPr>
          <w:szCs w:val="24"/>
          <w:lang w:val="en-US"/>
        </w:rPr>
        <w:t xml:space="preserve"> F, Pallone F. Interleukin 12 is expressed and actively released by Crohn's disease intestinal lamina propria mononuclear cells. </w:t>
      </w:r>
      <w:r w:rsidRPr="00892CA2">
        <w:rPr>
          <w:i/>
          <w:iCs/>
          <w:szCs w:val="24"/>
          <w:lang w:val="en-US"/>
        </w:rPr>
        <w:t>Gastroenterology</w:t>
      </w:r>
      <w:r w:rsidRPr="00892CA2">
        <w:rPr>
          <w:szCs w:val="24"/>
          <w:lang w:val="en-US"/>
        </w:rPr>
        <w:t> 1997; </w:t>
      </w:r>
      <w:r w:rsidRPr="00892CA2">
        <w:rPr>
          <w:b/>
          <w:bCs/>
          <w:szCs w:val="24"/>
          <w:lang w:val="en-US"/>
        </w:rPr>
        <w:t>112</w:t>
      </w:r>
      <w:r w:rsidRPr="00892CA2">
        <w:rPr>
          <w:szCs w:val="24"/>
          <w:lang w:val="en-US"/>
        </w:rPr>
        <w:t>: 1169-1178 [PMID: 9098000 DOI: 10.1016/S0016-5085(97)70128-8]</w:t>
      </w:r>
    </w:p>
    <w:p w14:paraId="30A0FAEF"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proofErr w:type="gramStart"/>
      <w:r w:rsidRPr="00892CA2">
        <w:rPr>
          <w:szCs w:val="24"/>
          <w:lang w:val="en-US"/>
        </w:rPr>
        <w:t>24 </w:t>
      </w:r>
      <w:r w:rsidRPr="00892CA2">
        <w:rPr>
          <w:b/>
          <w:bCs/>
          <w:szCs w:val="24"/>
          <w:lang w:val="en-US"/>
        </w:rPr>
        <w:t>Dionne S</w:t>
      </w:r>
      <w:r w:rsidRPr="00892CA2">
        <w:rPr>
          <w:szCs w:val="24"/>
          <w:lang w:val="en-US"/>
        </w:rPr>
        <w:t xml:space="preserve">, </w:t>
      </w:r>
      <w:proofErr w:type="spellStart"/>
      <w:r w:rsidRPr="00892CA2">
        <w:rPr>
          <w:szCs w:val="24"/>
          <w:lang w:val="en-US"/>
        </w:rPr>
        <w:t>D'Agata</w:t>
      </w:r>
      <w:proofErr w:type="spellEnd"/>
      <w:r w:rsidRPr="00892CA2">
        <w:rPr>
          <w:szCs w:val="24"/>
          <w:lang w:val="en-US"/>
        </w:rPr>
        <w:t xml:space="preserve"> ID, Hiscott J, </w:t>
      </w:r>
      <w:proofErr w:type="spellStart"/>
      <w:r w:rsidRPr="00892CA2">
        <w:rPr>
          <w:szCs w:val="24"/>
          <w:lang w:val="en-US"/>
        </w:rPr>
        <w:t>Vanounou</w:t>
      </w:r>
      <w:proofErr w:type="spellEnd"/>
      <w:r w:rsidRPr="00892CA2">
        <w:rPr>
          <w:szCs w:val="24"/>
          <w:lang w:val="en-US"/>
        </w:rPr>
        <w:t xml:space="preserve"> T, Seidman EG.</w:t>
      </w:r>
      <w:proofErr w:type="gramEnd"/>
      <w:r w:rsidRPr="00892CA2">
        <w:rPr>
          <w:szCs w:val="24"/>
          <w:lang w:val="en-US"/>
        </w:rPr>
        <w:t xml:space="preserve"> Colonic explant production of IL-1and its receptor antagonist is imbalanced in inflammatory bowel disease (IBD). </w:t>
      </w:r>
      <w:r w:rsidRPr="00892CA2">
        <w:rPr>
          <w:i/>
          <w:iCs/>
          <w:szCs w:val="24"/>
          <w:lang w:val="en-US"/>
        </w:rPr>
        <w:t>Clin Exp Immunol</w:t>
      </w:r>
      <w:r w:rsidRPr="00892CA2">
        <w:rPr>
          <w:szCs w:val="24"/>
          <w:lang w:val="en-US"/>
        </w:rPr>
        <w:t> 1998; </w:t>
      </w:r>
      <w:r w:rsidRPr="00892CA2">
        <w:rPr>
          <w:b/>
          <w:bCs/>
          <w:szCs w:val="24"/>
          <w:lang w:val="en-US"/>
        </w:rPr>
        <w:t>112</w:t>
      </w:r>
      <w:r w:rsidRPr="00892CA2">
        <w:rPr>
          <w:szCs w:val="24"/>
          <w:lang w:val="en-US"/>
        </w:rPr>
        <w:t>: 435-442 [PMID: 9649212 DOI: 10.1046/j.1365-2249.1998.00595.x]</w:t>
      </w:r>
    </w:p>
    <w:p w14:paraId="2AC780B6" w14:textId="3B977B20" w:rsidR="00090DE6" w:rsidRPr="00892CA2" w:rsidRDefault="00090DE6" w:rsidP="007E3B89">
      <w:pPr>
        <w:pStyle w:val="af3"/>
        <w:adjustRightInd w:val="0"/>
        <w:snapToGrid w:val="0"/>
        <w:spacing w:before="0" w:after="0"/>
        <w:ind w:left="0" w:firstLine="0"/>
        <w:contextualSpacing w:val="0"/>
        <w:jc w:val="both"/>
        <w:rPr>
          <w:szCs w:val="24"/>
          <w:lang w:val="en-US"/>
        </w:rPr>
      </w:pPr>
      <w:proofErr w:type="gramStart"/>
      <w:r w:rsidRPr="00892CA2">
        <w:rPr>
          <w:szCs w:val="24"/>
          <w:lang w:val="en-US"/>
        </w:rPr>
        <w:t xml:space="preserve">25 </w:t>
      </w:r>
      <w:r w:rsidRPr="00892CA2">
        <w:rPr>
          <w:b/>
          <w:bCs/>
          <w:szCs w:val="24"/>
          <w:lang w:val="en-US"/>
        </w:rPr>
        <w:t>Gilbert SF</w:t>
      </w:r>
      <w:r w:rsidRPr="00892CA2">
        <w:rPr>
          <w:szCs w:val="24"/>
          <w:lang w:val="en-US"/>
        </w:rPr>
        <w:t>. Cell Surface Receptors and Their Signal Transduction Pathways.</w:t>
      </w:r>
      <w:proofErr w:type="gramEnd"/>
      <w:r w:rsidRPr="00892CA2">
        <w:rPr>
          <w:szCs w:val="24"/>
          <w:lang w:val="en-US"/>
        </w:rPr>
        <w:t xml:space="preserve"> 2000 [cited 2016 May 10]</w:t>
      </w:r>
      <w:r w:rsidR="006B2E3E" w:rsidRPr="00892CA2">
        <w:rPr>
          <w:szCs w:val="24"/>
          <w:lang w:val="en-US"/>
        </w:rPr>
        <w:t>.</w:t>
      </w:r>
      <w:r w:rsidRPr="00892CA2">
        <w:rPr>
          <w:szCs w:val="24"/>
          <w:lang w:val="en-US"/>
        </w:rPr>
        <w:t xml:space="preserve"> Available from: http://www.ncbi.nlm.nih.gov/books/NBK10043/</w:t>
      </w:r>
    </w:p>
    <w:p w14:paraId="42A19072"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proofErr w:type="gramStart"/>
      <w:r w:rsidRPr="00892CA2">
        <w:rPr>
          <w:szCs w:val="24"/>
          <w:lang w:val="en-US"/>
        </w:rPr>
        <w:t>26 </w:t>
      </w:r>
      <w:r w:rsidRPr="00892CA2">
        <w:rPr>
          <w:b/>
          <w:bCs/>
          <w:szCs w:val="24"/>
          <w:lang w:val="en-US"/>
        </w:rPr>
        <w:t>Watford WT</w:t>
      </w:r>
      <w:r w:rsidRPr="00892CA2">
        <w:rPr>
          <w:szCs w:val="24"/>
          <w:lang w:val="en-US"/>
        </w:rPr>
        <w:t xml:space="preserve">, </w:t>
      </w:r>
      <w:proofErr w:type="spellStart"/>
      <w:r w:rsidRPr="00892CA2">
        <w:rPr>
          <w:szCs w:val="24"/>
          <w:lang w:val="en-US"/>
        </w:rPr>
        <w:t>Hissong</w:t>
      </w:r>
      <w:proofErr w:type="spellEnd"/>
      <w:r w:rsidRPr="00892CA2">
        <w:rPr>
          <w:szCs w:val="24"/>
          <w:lang w:val="en-US"/>
        </w:rPr>
        <w:t xml:space="preserve"> BD, Bream JH, </w:t>
      </w:r>
      <w:proofErr w:type="spellStart"/>
      <w:r w:rsidRPr="00892CA2">
        <w:rPr>
          <w:szCs w:val="24"/>
          <w:lang w:val="en-US"/>
        </w:rPr>
        <w:t>Kanno</w:t>
      </w:r>
      <w:proofErr w:type="spellEnd"/>
      <w:r w:rsidRPr="00892CA2">
        <w:rPr>
          <w:szCs w:val="24"/>
          <w:lang w:val="en-US"/>
        </w:rPr>
        <w:t xml:space="preserve"> Y, </w:t>
      </w:r>
      <w:proofErr w:type="spellStart"/>
      <w:r w:rsidRPr="00892CA2">
        <w:rPr>
          <w:szCs w:val="24"/>
          <w:lang w:val="en-US"/>
        </w:rPr>
        <w:t>Muul</w:t>
      </w:r>
      <w:proofErr w:type="spellEnd"/>
      <w:r w:rsidRPr="00892CA2">
        <w:rPr>
          <w:szCs w:val="24"/>
          <w:lang w:val="en-US"/>
        </w:rPr>
        <w:t xml:space="preserve"> L, O'Shea JJ.</w:t>
      </w:r>
      <w:proofErr w:type="gramEnd"/>
      <w:r w:rsidRPr="00892CA2">
        <w:rPr>
          <w:szCs w:val="24"/>
          <w:lang w:val="en-US"/>
        </w:rPr>
        <w:t xml:space="preserve"> </w:t>
      </w:r>
      <w:proofErr w:type="gramStart"/>
      <w:r w:rsidRPr="00892CA2">
        <w:rPr>
          <w:szCs w:val="24"/>
          <w:lang w:val="en-US"/>
        </w:rPr>
        <w:t>Signaling by IL-12 and IL-23 and the immunoregulatory roles of STAT4.</w:t>
      </w:r>
      <w:proofErr w:type="gramEnd"/>
      <w:r w:rsidRPr="00892CA2">
        <w:rPr>
          <w:szCs w:val="24"/>
          <w:lang w:val="en-US"/>
        </w:rPr>
        <w:t> </w:t>
      </w:r>
      <w:r w:rsidRPr="00892CA2">
        <w:rPr>
          <w:i/>
          <w:iCs/>
          <w:szCs w:val="24"/>
          <w:lang w:val="en-US"/>
        </w:rPr>
        <w:t>Immunol Rev</w:t>
      </w:r>
      <w:r w:rsidRPr="00892CA2">
        <w:rPr>
          <w:szCs w:val="24"/>
          <w:lang w:val="en-US"/>
        </w:rPr>
        <w:t> 2004; </w:t>
      </w:r>
      <w:r w:rsidRPr="00892CA2">
        <w:rPr>
          <w:b/>
          <w:bCs/>
          <w:szCs w:val="24"/>
          <w:lang w:val="en-US"/>
        </w:rPr>
        <w:t>202</w:t>
      </w:r>
      <w:r w:rsidRPr="00892CA2">
        <w:rPr>
          <w:szCs w:val="24"/>
          <w:lang w:val="en-US"/>
        </w:rPr>
        <w:t>: 139-156 [PMID: 15546391 DOI: 10.1111/j.0105-2896.2004.00211.x]</w:t>
      </w:r>
    </w:p>
    <w:p w14:paraId="4B2F4672"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r w:rsidRPr="00892CA2">
        <w:rPr>
          <w:szCs w:val="24"/>
          <w:lang w:val="en-US"/>
        </w:rPr>
        <w:t>27 </w:t>
      </w:r>
      <w:r w:rsidRPr="00892CA2">
        <w:rPr>
          <w:b/>
          <w:bCs/>
          <w:szCs w:val="24"/>
          <w:lang w:val="en-US"/>
        </w:rPr>
        <w:t>Kotze PG</w:t>
      </w:r>
      <w:r w:rsidRPr="00892CA2">
        <w:rPr>
          <w:szCs w:val="24"/>
          <w:lang w:val="en-US"/>
        </w:rPr>
        <w:t xml:space="preserve">, Ma C, </w:t>
      </w:r>
      <w:proofErr w:type="spellStart"/>
      <w:r w:rsidRPr="00892CA2">
        <w:rPr>
          <w:szCs w:val="24"/>
          <w:lang w:val="en-US"/>
        </w:rPr>
        <w:t>Almutairdi</w:t>
      </w:r>
      <w:proofErr w:type="spellEnd"/>
      <w:r w:rsidRPr="00892CA2">
        <w:rPr>
          <w:szCs w:val="24"/>
          <w:lang w:val="en-US"/>
        </w:rPr>
        <w:t xml:space="preserve"> A, </w:t>
      </w:r>
      <w:proofErr w:type="spellStart"/>
      <w:r w:rsidRPr="00892CA2">
        <w:rPr>
          <w:szCs w:val="24"/>
          <w:lang w:val="en-US"/>
        </w:rPr>
        <w:t>Panaccione</w:t>
      </w:r>
      <w:proofErr w:type="spellEnd"/>
      <w:r w:rsidRPr="00892CA2">
        <w:rPr>
          <w:szCs w:val="24"/>
          <w:lang w:val="en-US"/>
        </w:rPr>
        <w:t xml:space="preserve"> R. Clinical utility of </w:t>
      </w:r>
      <w:proofErr w:type="spellStart"/>
      <w:r w:rsidRPr="00892CA2">
        <w:rPr>
          <w:szCs w:val="24"/>
          <w:lang w:val="en-US"/>
        </w:rPr>
        <w:t>ustekinumab</w:t>
      </w:r>
      <w:proofErr w:type="spellEnd"/>
      <w:r w:rsidRPr="00892CA2">
        <w:rPr>
          <w:szCs w:val="24"/>
          <w:lang w:val="en-US"/>
        </w:rPr>
        <w:t xml:space="preserve"> in Crohn's disease. </w:t>
      </w:r>
      <w:r w:rsidRPr="00892CA2">
        <w:rPr>
          <w:i/>
          <w:iCs/>
          <w:szCs w:val="24"/>
          <w:lang w:val="en-US"/>
        </w:rPr>
        <w:t xml:space="preserve">J </w:t>
      </w:r>
      <w:proofErr w:type="spellStart"/>
      <w:r w:rsidRPr="00892CA2">
        <w:rPr>
          <w:i/>
          <w:iCs/>
          <w:szCs w:val="24"/>
          <w:lang w:val="en-US"/>
        </w:rPr>
        <w:t>Inflamm</w:t>
      </w:r>
      <w:proofErr w:type="spellEnd"/>
      <w:r w:rsidRPr="00892CA2">
        <w:rPr>
          <w:i/>
          <w:iCs/>
          <w:szCs w:val="24"/>
          <w:lang w:val="en-US"/>
        </w:rPr>
        <w:t xml:space="preserve"> Res</w:t>
      </w:r>
      <w:r w:rsidRPr="00892CA2">
        <w:rPr>
          <w:szCs w:val="24"/>
          <w:lang w:val="en-US"/>
        </w:rPr>
        <w:t> 2018; </w:t>
      </w:r>
      <w:r w:rsidRPr="00892CA2">
        <w:rPr>
          <w:b/>
          <w:bCs/>
          <w:szCs w:val="24"/>
          <w:lang w:val="en-US"/>
        </w:rPr>
        <w:t>11</w:t>
      </w:r>
      <w:r w:rsidRPr="00892CA2">
        <w:rPr>
          <w:szCs w:val="24"/>
          <w:lang w:val="en-US"/>
        </w:rPr>
        <w:t>: 35-47 [PMID: 29445293 DOI: 10.2147/JIR.S157358]</w:t>
      </w:r>
    </w:p>
    <w:p w14:paraId="6FAE65DE"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r w:rsidRPr="00892CA2">
        <w:rPr>
          <w:szCs w:val="24"/>
          <w:lang w:val="en-US"/>
        </w:rPr>
        <w:t>28 </w:t>
      </w:r>
      <w:r w:rsidRPr="00892CA2">
        <w:rPr>
          <w:b/>
          <w:bCs/>
          <w:szCs w:val="24"/>
          <w:lang w:val="en-US"/>
        </w:rPr>
        <w:t xml:space="preserve">Perez White </w:t>
      </w:r>
      <w:proofErr w:type="gramStart"/>
      <w:r w:rsidRPr="00892CA2">
        <w:rPr>
          <w:b/>
          <w:bCs/>
          <w:szCs w:val="24"/>
          <w:lang w:val="en-US"/>
        </w:rPr>
        <w:t>BE</w:t>
      </w:r>
      <w:proofErr w:type="gramEnd"/>
      <w:r w:rsidRPr="00892CA2">
        <w:rPr>
          <w:szCs w:val="24"/>
          <w:lang w:val="en-US"/>
        </w:rPr>
        <w:t xml:space="preserve">, </w:t>
      </w:r>
      <w:proofErr w:type="spellStart"/>
      <w:r w:rsidRPr="00892CA2">
        <w:rPr>
          <w:szCs w:val="24"/>
          <w:lang w:val="en-US"/>
        </w:rPr>
        <w:t>Getsios</w:t>
      </w:r>
      <w:proofErr w:type="spellEnd"/>
      <w:r w:rsidRPr="00892CA2">
        <w:rPr>
          <w:szCs w:val="24"/>
          <w:lang w:val="en-US"/>
        </w:rPr>
        <w:t xml:space="preserve"> S. Eph receptor and ephrin function in breast, gut, and skin epithelia. </w:t>
      </w:r>
      <w:r w:rsidRPr="00892CA2">
        <w:rPr>
          <w:i/>
          <w:iCs/>
          <w:szCs w:val="24"/>
          <w:lang w:val="en-US"/>
        </w:rPr>
        <w:t xml:space="preserve">Cell </w:t>
      </w:r>
      <w:proofErr w:type="spellStart"/>
      <w:proofErr w:type="gramStart"/>
      <w:r w:rsidRPr="00892CA2">
        <w:rPr>
          <w:i/>
          <w:iCs/>
          <w:szCs w:val="24"/>
          <w:lang w:val="en-US"/>
        </w:rPr>
        <w:t>Adh</w:t>
      </w:r>
      <w:proofErr w:type="spellEnd"/>
      <w:proofErr w:type="gramEnd"/>
      <w:r w:rsidRPr="00892CA2">
        <w:rPr>
          <w:i/>
          <w:iCs/>
          <w:szCs w:val="24"/>
          <w:lang w:val="en-US"/>
        </w:rPr>
        <w:t xml:space="preserve"> </w:t>
      </w:r>
      <w:proofErr w:type="spellStart"/>
      <w:r w:rsidRPr="00892CA2">
        <w:rPr>
          <w:i/>
          <w:iCs/>
          <w:szCs w:val="24"/>
          <w:lang w:val="en-US"/>
        </w:rPr>
        <w:t>Migr</w:t>
      </w:r>
      <w:proofErr w:type="spellEnd"/>
      <w:r w:rsidRPr="00892CA2">
        <w:rPr>
          <w:szCs w:val="24"/>
          <w:lang w:val="en-US"/>
        </w:rPr>
        <w:t> 2014; </w:t>
      </w:r>
      <w:r w:rsidRPr="00892CA2">
        <w:rPr>
          <w:b/>
          <w:bCs/>
          <w:szCs w:val="24"/>
          <w:lang w:val="en-US"/>
        </w:rPr>
        <w:t>8</w:t>
      </w:r>
      <w:r w:rsidRPr="00892CA2">
        <w:rPr>
          <w:szCs w:val="24"/>
          <w:lang w:val="en-US"/>
        </w:rPr>
        <w:t>: 327-338 [PMID: 25482622 DOI: 10.4161/19336918.2014.970012]</w:t>
      </w:r>
    </w:p>
    <w:p w14:paraId="1086E96A"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proofErr w:type="gramStart"/>
      <w:r w:rsidRPr="00892CA2">
        <w:rPr>
          <w:szCs w:val="24"/>
          <w:lang w:val="en-US"/>
        </w:rPr>
        <w:t>29 </w:t>
      </w:r>
      <w:proofErr w:type="spellStart"/>
      <w:r w:rsidRPr="00892CA2">
        <w:rPr>
          <w:b/>
          <w:bCs/>
          <w:szCs w:val="24"/>
          <w:lang w:val="en-US"/>
        </w:rPr>
        <w:t>Rothlin</w:t>
      </w:r>
      <w:proofErr w:type="spellEnd"/>
      <w:r w:rsidRPr="00892CA2">
        <w:rPr>
          <w:b/>
          <w:bCs/>
          <w:szCs w:val="24"/>
          <w:lang w:val="en-US"/>
        </w:rPr>
        <w:t xml:space="preserve"> CV</w:t>
      </w:r>
      <w:r w:rsidRPr="00892CA2">
        <w:rPr>
          <w:szCs w:val="24"/>
          <w:lang w:val="en-US"/>
        </w:rPr>
        <w:t xml:space="preserve">, Leighton JA, Ghosh S. Tyro3, </w:t>
      </w:r>
      <w:proofErr w:type="spellStart"/>
      <w:r w:rsidRPr="00892CA2">
        <w:rPr>
          <w:szCs w:val="24"/>
          <w:lang w:val="en-US"/>
        </w:rPr>
        <w:t>Axl</w:t>
      </w:r>
      <w:proofErr w:type="spellEnd"/>
      <w:r w:rsidRPr="00892CA2">
        <w:rPr>
          <w:szCs w:val="24"/>
          <w:lang w:val="en-US"/>
        </w:rPr>
        <w:t xml:space="preserve">, and </w:t>
      </w:r>
      <w:proofErr w:type="spellStart"/>
      <w:r w:rsidRPr="00892CA2">
        <w:rPr>
          <w:szCs w:val="24"/>
          <w:lang w:val="en-US"/>
        </w:rPr>
        <w:t>Mertk</w:t>
      </w:r>
      <w:proofErr w:type="spellEnd"/>
      <w:r w:rsidRPr="00892CA2">
        <w:rPr>
          <w:szCs w:val="24"/>
          <w:lang w:val="en-US"/>
        </w:rPr>
        <w:t xml:space="preserve"> receptor signaling in inflammatory bowel disease and colitis-associated cancer.</w:t>
      </w:r>
      <w:proofErr w:type="gramEnd"/>
      <w:r w:rsidRPr="00892CA2">
        <w:rPr>
          <w:szCs w:val="24"/>
          <w:lang w:val="en-US"/>
        </w:rPr>
        <w:t> </w:t>
      </w:r>
      <w:proofErr w:type="spellStart"/>
      <w:r w:rsidRPr="00892CA2">
        <w:rPr>
          <w:i/>
          <w:iCs/>
          <w:szCs w:val="24"/>
          <w:lang w:val="en-US"/>
        </w:rPr>
        <w:t>Inflamm</w:t>
      </w:r>
      <w:proofErr w:type="spellEnd"/>
      <w:r w:rsidRPr="00892CA2">
        <w:rPr>
          <w:i/>
          <w:iCs/>
          <w:szCs w:val="24"/>
          <w:lang w:val="en-US"/>
        </w:rPr>
        <w:t xml:space="preserve"> Bowel Dis</w:t>
      </w:r>
      <w:r w:rsidRPr="00892CA2">
        <w:rPr>
          <w:szCs w:val="24"/>
          <w:lang w:val="en-US"/>
        </w:rPr>
        <w:t> 2014; </w:t>
      </w:r>
      <w:r w:rsidRPr="00892CA2">
        <w:rPr>
          <w:b/>
          <w:bCs/>
          <w:szCs w:val="24"/>
          <w:lang w:val="en-US"/>
        </w:rPr>
        <w:t>20</w:t>
      </w:r>
      <w:r w:rsidRPr="00892CA2">
        <w:rPr>
          <w:szCs w:val="24"/>
          <w:lang w:val="en-US"/>
        </w:rPr>
        <w:t>: 1472-1480 [PMID: 24846720 DOI: 10.1097/MIB.0000000000000050]</w:t>
      </w:r>
    </w:p>
    <w:p w14:paraId="22B5536A" w14:textId="77777777" w:rsidR="00090DE6" w:rsidRPr="00892CA2" w:rsidRDefault="00090DE6" w:rsidP="007E3B89">
      <w:pPr>
        <w:pStyle w:val="af3"/>
        <w:adjustRightInd w:val="0"/>
        <w:snapToGrid w:val="0"/>
        <w:spacing w:before="0" w:after="0"/>
        <w:ind w:left="0" w:firstLine="0"/>
        <w:contextualSpacing w:val="0"/>
        <w:jc w:val="both"/>
        <w:rPr>
          <w:szCs w:val="24"/>
          <w:lang w:val="en-US"/>
        </w:rPr>
      </w:pPr>
      <w:r w:rsidRPr="00892CA2">
        <w:rPr>
          <w:szCs w:val="24"/>
          <w:lang w:val="en-US"/>
        </w:rPr>
        <w:t>30 </w:t>
      </w:r>
      <w:proofErr w:type="spellStart"/>
      <w:r w:rsidRPr="00892CA2">
        <w:rPr>
          <w:b/>
          <w:bCs/>
          <w:szCs w:val="24"/>
          <w:lang w:val="en-US"/>
        </w:rPr>
        <w:t>Algaba</w:t>
      </w:r>
      <w:proofErr w:type="spellEnd"/>
      <w:r w:rsidRPr="00892CA2">
        <w:rPr>
          <w:b/>
          <w:bCs/>
          <w:szCs w:val="24"/>
          <w:lang w:val="en-US"/>
        </w:rPr>
        <w:t xml:space="preserve"> A</w:t>
      </w:r>
      <w:r w:rsidRPr="00892CA2">
        <w:rPr>
          <w:szCs w:val="24"/>
          <w:lang w:val="en-US"/>
        </w:rPr>
        <w:t xml:space="preserve">, Linares PM, </w:t>
      </w:r>
      <w:proofErr w:type="spellStart"/>
      <w:r w:rsidRPr="00892CA2">
        <w:rPr>
          <w:szCs w:val="24"/>
          <w:lang w:val="en-US"/>
        </w:rPr>
        <w:t>Fernández</w:t>
      </w:r>
      <w:proofErr w:type="spellEnd"/>
      <w:r w:rsidRPr="00892CA2">
        <w:rPr>
          <w:szCs w:val="24"/>
          <w:lang w:val="en-US"/>
        </w:rPr>
        <w:t xml:space="preserve">-Contreras ME, </w:t>
      </w:r>
      <w:proofErr w:type="spellStart"/>
      <w:r w:rsidRPr="00892CA2">
        <w:rPr>
          <w:szCs w:val="24"/>
          <w:lang w:val="en-US"/>
        </w:rPr>
        <w:t>Ordoñez</w:t>
      </w:r>
      <w:proofErr w:type="spellEnd"/>
      <w:r w:rsidRPr="00892CA2">
        <w:rPr>
          <w:szCs w:val="24"/>
          <w:lang w:val="en-US"/>
        </w:rPr>
        <w:t xml:space="preserve"> A, </w:t>
      </w:r>
      <w:proofErr w:type="spellStart"/>
      <w:r w:rsidRPr="00892CA2">
        <w:rPr>
          <w:szCs w:val="24"/>
          <w:lang w:val="en-US"/>
        </w:rPr>
        <w:t>Trápaga</w:t>
      </w:r>
      <w:proofErr w:type="spellEnd"/>
      <w:r w:rsidRPr="00892CA2">
        <w:rPr>
          <w:szCs w:val="24"/>
          <w:lang w:val="en-US"/>
        </w:rPr>
        <w:t xml:space="preserve"> J, Guerra I, Chaparro M, de la Poza G, </w:t>
      </w:r>
      <w:proofErr w:type="spellStart"/>
      <w:r w:rsidRPr="00892CA2">
        <w:rPr>
          <w:szCs w:val="24"/>
          <w:lang w:val="en-US"/>
        </w:rPr>
        <w:t>Gisbert</w:t>
      </w:r>
      <w:proofErr w:type="spellEnd"/>
      <w:r w:rsidRPr="00892CA2">
        <w:rPr>
          <w:szCs w:val="24"/>
          <w:lang w:val="en-US"/>
        </w:rPr>
        <w:t xml:space="preserve"> JP, Bermejo F. Relationship between levels of angiogenic and lymphangiogenic factors and the endoscopic, histological and clinical activity, and acute-phase reactants in patients with inflammatory bowel disease. </w:t>
      </w:r>
      <w:r w:rsidRPr="00892CA2">
        <w:rPr>
          <w:i/>
          <w:iCs/>
          <w:szCs w:val="24"/>
          <w:lang w:val="en-US"/>
        </w:rPr>
        <w:t xml:space="preserve">J </w:t>
      </w:r>
      <w:proofErr w:type="spellStart"/>
      <w:r w:rsidRPr="00892CA2">
        <w:rPr>
          <w:i/>
          <w:iCs/>
          <w:szCs w:val="24"/>
          <w:lang w:val="en-US"/>
        </w:rPr>
        <w:t>Crohns</w:t>
      </w:r>
      <w:proofErr w:type="spellEnd"/>
      <w:r w:rsidRPr="00892CA2">
        <w:rPr>
          <w:i/>
          <w:iCs/>
          <w:szCs w:val="24"/>
          <w:lang w:val="en-US"/>
        </w:rPr>
        <w:t xml:space="preserve"> Colitis</w:t>
      </w:r>
      <w:r w:rsidRPr="00892CA2">
        <w:rPr>
          <w:szCs w:val="24"/>
          <w:lang w:val="en-US"/>
        </w:rPr>
        <w:t> 2013; </w:t>
      </w:r>
      <w:r w:rsidRPr="00892CA2">
        <w:rPr>
          <w:b/>
          <w:bCs/>
          <w:szCs w:val="24"/>
          <w:lang w:val="en-US"/>
        </w:rPr>
        <w:t>7</w:t>
      </w:r>
      <w:r w:rsidRPr="00892CA2">
        <w:rPr>
          <w:szCs w:val="24"/>
          <w:lang w:val="en-US"/>
        </w:rPr>
        <w:t>: e569-e579 [PMID: 23642997 DOI: 10.1016/j.crohns.2013.04.005]</w:t>
      </w:r>
    </w:p>
    <w:p w14:paraId="4C2F8737" w14:textId="39E77476" w:rsidR="00F71D7A" w:rsidRPr="00892CA2" w:rsidRDefault="00F71D7A" w:rsidP="007E3B89">
      <w:pPr>
        <w:pStyle w:val="af3"/>
        <w:adjustRightInd w:val="0"/>
        <w:snapToGrid w:val="0"/>
        <w:spacing w:before="0" w:after="0"/>
        <w:ind w:left="0" w:firstLine="0"/>
        <w:contextualSpacing w:val="0"/>
        <w:jc w:val="both"/>
        <w:rPr>
          <w:rFonts w:eastAsia="Calibri"/>
          <w:b/>
          <w:bCs/>
          <w:szCs w:val="24"/>
          <w:lang w:val="en-US" w:eastAsia="en-GB"/>
        </w:rPr>
      </w:pPr>
    </w:p>
    <w:p w14:paraId="1E1B7E8B" w14:textId="1C990DF7" w:rsidR="00013CF2" w:rsidRPr="00892CA2" w:rsidRDefault="00013CF2" w:rsidP="00013CF2">
      <w:pPr>
        <w:widowControl w:val="0"/>
        <w:adjustRightInd w:val="0"/>
        <w:snapToGrid w:val="0"/>
        <w:spacing w:before="0" w:after="0"/>
        <w:jc w:val="right"/>
        <w:rPr>
          <w:rFonts w:eastAsia="宋体"/>
          <w:color w:val="000000"/>
          <w:kern w:val="2"/>
          <w:szCs w:val="24"/>
          <w:lang w:val="en-US" w:eastAsia="zh-CN"/>
        </w:rPr>
      </w:pPr>
      <w:bookmarkStart w:id="123" w:name="OLE_LINK139"/>
      <w:bookmarkStart w:id="124" w:name="OLE_LINK140"/>
      <w:bookmarkStart w:id="125" w:name="OLE_LINK287"/>
      <w:bookmarkStart w:id="126" w:name="OLE_LINK288"/>
      <w:bookmarkStart w:id="127" w:name="OLE_LINK70"/>
      <w:bookmarkStart w:id="128" w:name="OLE_LINK110"/>
      <w:bookmarkStart w:id="129" w:name="OLE_LINK109"/>
      <w:bookmarkStart w:id="130" w:name="OLE_LINK138"/>
      <w:bookmarkStart w:id="131" w:name="OLE_LINK72"/>
      <w:bookmarkStart w:id="132" w:name="OLE_LINK95"/>
      <w:bookmarkStart w:id="133" w:name="OLE_LINK118"/>
      <w:bookmarkStart w:id="134" w:name="OLE_LINK198"/>
      <w:bookmarkStart w:id="135" w:name="OLE_LINK154"/>
      <w:bookmarkStart w:id="136" w:name="OLE_LINK251"/>
      <w:bookmarkStart w:id="137" w:name="OLE_LINK126"/>
      <w:bookmarkStart w:id="138" w:name="OLE_LINK234"/>
      <w:bookmarkStart w:id="139" w:name="OLE_LINK157"/>
      <w:bookmarkStart w:id="140" w:name="OLE_LINK187"/>
      <w:bookmarkStart w:id="141" w:name="OLE_LINK204"/>
      <w:bookmarkStart w:id="142" w:name="OLE_LINK229"/>
      <w:bookmarkStart w:id="143" w:name="OLE_LINK268"/>
      <w:bookmarkStart w:id="144" w:name="OLE_LINK310"/>
      <w:bookmarkStart w:id="145" w:name="OLE_LINK338"/>
      <w:bookmarkStart w:id="146" w:name="OLE_LINK264"/>
      <w:bookmarkStart w:id="147" w:name="OLE_LINK345"/>
      <w:bookmarkStart w:id="148" w:name="OLE_LINK256"/>
      <w:bookmarkStart w:id="149" w:name="OLE_LINK299"/>
      <w:bookmarkStart w:id="150" w:name="OLE_LINK265"/>
      <w:bookmarkStart w:id="151" w:name="OLE_LINK254"/>
      <w:bookmarkStart w:id="152" w:name="OLE_LINK357"/>
      <w:bookmarkStart w:id="153" w:name="OLE_LINK382"/>
      <w:bookmarkStart w:id="154" w:name="OLE_LINK333"/>
      <w:bookmarkStart w:id="155" w:name="OLE_LINK334"/>
      <w:bookmarkStart w:id="156" w:name="OLE_LINK400"/>
      <w:bookmarkStart w:id="157" w:name="OLE_LINK467"/>
      <w:bookmarkStart w:id="158" w:name="OLE_LINK399"/>
      <w:bookmarkStart w:id="159" w:name="OLE_LINK443"/>
      <w:bookmarkStart w:id="160" w:name="OLE_LINK425"/>
      <w:bookmarkStart w:id="161" w:name="OLE_LINK450"/>
      <w:bookmarkStart w:id="162" w:name="OLE_LINK402"/>
      <w:bookmarkStart w:id="163" w:name="OLE_LINK385"/>
      <w:bookmarkStart w:id="164" w:name="OLE_LINK396"/>
      <w:bookmarkStart w:id="165" w:name="OLE_LINK436"/>
      <w:bookmarkStart w:id="166" w:name="OLE_LINK421"/>
      <w:bookmarkStart w:id="167" w:name="OLE_LINK426"/>
      <w:bookmarkStart w:id="168" w:name="OLE_LINK456"/>
      <w:bookmarkStart w:id="169" w:name="OLE_LINK505"/>
      <w:bookmarkStart w:id="170" w:name="OLE_LINK490"/>
      <w:bookmarkStart w:id="171" w:name="OLE_LINK531"/>
      <w:bookmarkStart w:id="172" w:name="OLE_LINK460"/>
      <w:bookmarkStart w:id="173" w:name="OLE_LINK463"/>
      <w:bookmarkStart w:id="174" w:name="OLE_LINK515"/>
      <w:bookmarkStart w:id="175" w:name="OLE_LINK509"/>
      <w:bookmarkStart w:id="176" w:name="OLE_LINK538"/>
      <w:bookmarkStart w:id="177" w:name="OLE_LINK606"/>
      <w:bookmarkStart w:id="178" w:name="OLE_LINK662"/>
      <w:bookmarkStart w:id="179" w:name="OLE_LINK663"/>
      <w:bookmarkStart w:id="180" w:name="OLE_LINK738"/>
      <w:bookmarkStart w:id="181" w:name="OLE_LINK666"/>
      <w:bookmarkStart w:id="182" w:name="OLE_LINK667"/>
      <w:bookmarkStart w:id="183" w:name="OLE_LINK672"/>
      <w:bookmarkStart w:id="184" w:name="OLE_LINK727"/>
      <w:bookmarkStart w:id="185" w:name="OLE_LINK765"/>
      <w:bookmarkStart w:id="186" w:name="OLE_LINK879"/>
      <w:bookmarkStart w:id="187" w:name="OLE_LINK903"/>
      <w:bookmarkStart w:id="188" w:name="OLE_LINK880"/>
      <w:bookmarkStart w:id="189" w:name="OLE_LINK944"/>
      <w:bookmarkStart w:id="190" w:name="OLE_LINK881"/>
      <w:bookmarkStart w:id="191" w:name="OLE_LINK882"/>
      <w:bookmarkStart w:id="192" w:name="OLE_LINK883"/>
      <w:bookmarkStart w:id="193" w:name="OLE_LINK884"/>
      <w:bookmarkStart w:id="194" w:name="OLE_LINK907"/>
      <w:bookmarkStart w:id="195" w:name="OLE_LINK941"/>
      <w:bookmarkStart w:id="196" w:name="OLE_LINK886"/>
      <w:bookmarkStart w:id="197" w:name="OLE_LINK887"/>
      <w:bookmarkStart w:id="198" w:name="OLE_LINK918"/>
      <w:bookmarkStart w:id="199" w:name="OLE_LINK894"/>
      <w:bookmarkStart w:id="200" w:name="OLE_LINK899"/>
      <w:bookmarkStart w:id="201" w:name="OLE_LINK953"/>
      <w:bookmarkStart w:id="202" w:name="OLE_LINK954"/>
      <w:bookmarkStart w:id="203" w:name="OLE_LINK977"/>
      <w:bookmarkStart w:id="204" w:name="OLE_LINK978"/>
      <w:bookmarkStart w:id="205" w:name="OLE_LINK1034"/>
      <w:bookmarkStart w:id="206" w:name="OLE_LINK991"/>
      <w:bookmarkStart w:id="207" w:name="OLE_LINK1013"/>
      <w:bookmarkStart w:id="208" w:name="OLE_LINK1022"/>
      <w:bookmarkStart w:id="209" w:name="OLE_LINK1030"/>
      <w:bookmarkStart w:id="210" w:name="OLE_LINK1063"/>
      <w:bookmarkStart w:id="211" w:name="OLE_LINK1009"/>
      <w:bookmarkStart w:id="212" w:name="OLE_LINK1064"/>
      <w:bookmarkStart w:id="213" w:name="OLE_LINK1035"/>
      <w:bookmarkStart w:id="214" w:name="OLE_LINK1012"/>
      <w:bookmarkStart w:id="215" w:name="OLE_LINK731"/>
      <w:bookmarkStart w:id="216" w:name="OLE_LINK732"/>
      <w:r w:rsidRPr="00892CA2">
        <w:rPr>
          <w:rFonts w:eastAsia="宋体"/>
          <w:b/>
          <w:bCs/>
          <w:color w:val="000000"/>
          <w:kern w:val="2"/>
          <w:szCs w:val="24"/>
          <w:lang w:val="en-US" w:eastAsia="zh-CN"/>
        </w:rPr>
        <w:t>P-Reviewer:</w:t>
      </w:r>
      <w:r w:rsidRPr="00892CA2">
        <w:rPr>
          <w:rFonts w:eastAsia="宋体"/>
          <w:bCs/>
          <w:color w:val="000000"/>
          <w:kern w:val="2"/>
          <w:szCs w:val="24"/>
          <w:lang w:val="en-US" w:eastAsia="zh-CN"/>
        </w:rPr>
        <w:t xml:space="preserve"> </w:t>
      </w:r>
      <w:r w:rsidR="00A627D0" w:rsidRPr="00892CA2">
        <w:rPr>
          <w:rFonts w:eastAsia="宋体"/>
          <w:bCs/>
          <w:color w:val="000000"/>
          <w:kern w:val="2"/>
          <w:szCs w:val="24"/>
          <w:lang w:val="el-GR" w:eastAsia="zh-CN"/>
        </w:rPr>
        <w:t>Abdolghaffari</w:t>
      </w:r>
      <w:r w:rsidR="00A627D0" w:rsidRPr="00892CA2">
        <w:rPr>
          <w:rFonts w:eastAsia="宋体"/>
          <w:bCs/>
          <w:color w:val="000000"/>
          <w:kern w:val="2"/>
          <w:szCs w:val="24"/>
          <w:lang w:val="en-US" w:eastAsia="zh-CN"/>
        </w:rPr>
        <w:t xml:space="preserve"> AH, </w:t>
      </w:r>
      <w:proofErr w:type="spellStart"/>
      <w:r w:rsidR="00A627D0" w:rsidRPr="00892CA2">
        <w:rPr>
          <w:rFonts w:eastAsia="宋体"/>
          <w:bCs/>
          <w:color w:val="000000"/>
          <w:kern w:val="2"/>
          <w:szCs w:val="24"/>
          <w:lang w:val="en-US" w:eastAsia="zh-CN"/>
        </w:rPr>
        <w:t>Rath</w:t>
      </w:r>
      <w:proofErr w:type="spellEnd"/>
      <w:r w:rsidR="00A627D0" w:rsidRPr="00892CA2">
        <w:rPr>
          <w:rFonts w:eastAsia="宋体"/>
          <w:bCs/>
          <w:color w:val="000000"/>
          <w:kern w:val="2"/>
          <w:szCs w:val="24"/>
          <w:lang w:val="en-US" w:eastAsia="zh-CN"/>
        </w:rPr>
        <w:t xml:space="preserve"> T</w:t>
      </w:r>
      <w:r w:rsidRPr="00892CA2">
        <w:rPr>
          <w:rFonts w:eastAsia="宋体"/>
          <w:bCs/>
          <w:color w:val="000000"/>
          <w:kern w:val="2"/>
          <w:szCs w:val="24"/>
          <w:lang w:val="el-GR" w:eastAsia="zh-CN"/>
        </w:rPr>
        <w:t xml:space="preserve"> </w:t>
      </w:r>
      <w:r w:rsidRPr="00892CA2">
        <w:rPr>
          <w:rFonts w:eastAsia="宋体"/>
          <w:b/>
          <w:bCs/>
          <w:color w:val="000000"/>
          <w:kern w:val="2"/>
          <w:szCs w:val="24"/>
          <w:lang w:val="en-US" w:eastAsia="zh-CN"/>
        </w:rPr>
        <w:t>S-Editor:</w:t>
      </w:r>
      <w:r w:rsidRPr="00892CA2">
        <w:rPr>
          <w:rFonts w:eastAsia="宋体"/>
          <w:color w:val="000000"/>
          <w:kern w:val="2"/>
          <w:szCs w:val="24"/>
          <w:lang w:val="en-US" w:eastAsia="zh-CN"/>
        </w:rPr>
        <w:t xml:space="preserve"> Ma RY</w:t>
      </w:r>
    </w:p>
    <w:p w14:paraId="1FD2699F" w14:textId="5F0EBE85" w:rsidR="00013CF2" w:rsidRPr="00892CA2" w:rsidRDefault="00013CF2" w:rsidP="009C6C7D">
      <w:pPr>
        <w:widowControl w:val="0"/>
        <w:wordWrap w:val="0"/>
        <w:adjustRightInd w:val="0"/>
        <w:snapToGrid w:val="0"/>
        <w:spacing w:before="0" w:after="0"/>
        <w:jc w:val="right"/>
        <w:rPr>
          <w:rFonts w:eastAsia="宋体"/>
          <w:b/>
          <w:bCs/>
          <w:color w:val="000000"/>
          <w:kern w:val="2"/>
          <w:szCs w:val="24"/>
          <w:lang w:val="en-US" w:eastAsia="zh-CN"/>
        </w:rPr>
      </w:pPr>
      <w:r w:rsidRPr="00892CA2">
        <w:rPr>
          <w:rFonts w:eastAsia="宋体"/>
          <w:b/>
          <w:bCs/>
          <w:color w:val="000000"/>
          <w:kern w:val="2"/>
          <w:szCs w:val="24"/>
          <w:lang w:val="en-US" w:eastAsia="zh-CN"/>
        </w:rPr>
        <w:t>L-Editor:</w:t>
      </w:r>
      <w:r w:rsidRPr="00892CA2">
        <w:rPr>
          <w:rFonts w:eastAsia="宋体"/>
          <w:color w:val="000000"/>
          <w:kern w:val="2"/>
          <w:szCs w:val="24"/>
          <w:lang w:val="en-US" w:eastAsia="zh-CN"/>
        </w:rPr>
        <w:t xml:space="preserve"> </w:t>
      </w:r>
      <w:proofErr w:type="gramStart"/>
      <w:r w:rsidR="009C6C7D" w:rsidRPr="00892CA2">
        <w:rPr>
          <w:rFonts w:eastAsia="宋体" w:hint="eastAsia"/>
          <w:color w:val="000000"/>
          <w:kern w:val="2"/>
          <w:szCs w:val="24"/>
          <w:lang w:val="en-US" w:eastAsia="zh-CN"/>
        </w:rPr>
        <w:t>A</w:t>
      </w:r>
      <w:proofErr w:type="gramEnd"/>
      <w:r w:rsidR="009C6C7D" w:rsidRPr="00892CA2">
        <w:rPr>
          <w:rFonts w:eastAsia="宋体" w:hint="eastAsia"/>
          <w:color w:val="000000"/>
          <w:kern w:val="2"/>
          <w:szCs w:val="24"/>
          <w:lang w:val="en-US" w:eastAsia="zh-CN"/>
        </w:rPr>
        <w:t xml:space="preserve"> </w:t>
      </w:r>
      <w:r w:rsidRPr="00892CA2">
        <w:rPr>
          <w:rFonts w:eastAsia="宋体"/>
          <w:b/>
          <w:bCs/>
          <w:color w:val="000000"/>
          <w:kern w:val="2"/>
          <w:szCs w:val="24"/>
          <w:lang w:val="en-US" w:eastAsia="zh-CN"/>
        </w:rPr>
        <w:t>E-Editor:</w:t>
      </w:r>
      <w:r w:rsidR="009C6C7D" w:rsidRPr="00892CA2">
        <w:rPr>
          <w:rFonts w:eastAsia="宋体" w:hint="eastAsia"/>
          <w:b/>
          <w:bCs/>
          <w:color w:val="000000"/>
          <w:kern w:val="2"/>
          <w:szCs w:val="24"/>
          <w:lang w:val="en-US" w:eastAsia="zh-CN"/>
        </w:rPr>
        <w:t xml:space="preserve"> </w:t>
      </w:r>
      <w:r w:rsidR="009C6C7D" w:rsidRPr="00892CA2">
        <w:rPr>
          <w:rFonts w:eastAsia="宋体" w:hint="eastAsia"/>
          <w:bCs/>
          <w:color w:val="000000"/>
          <w:kern w:val="2"/>
          <w:szCs w:val="24"/>
          <w:lang w:val="en-US" w:eastAsia="zh-CN"/>
        </w:rPr>
        <w:t>Qi LL</w:t>
      </w:r>
    </w:p>
    <w:bookmarkEnd w:id="123"/>
    <w:bookmarkEnd w:id="124"/>
    <w:p w14:paraId="662ACB68" w14:textId="77777777" w:rsidR="00013CF2" w:rsidRPr="00892CA2" w:rsidRDefault="00013CF2" w:rsidP="00013CF2">
      <w:pPr>
        <w:widowControl w:val="0"/>
        <w:adjustRightInd w:val="0"/>
        <w:snapToGrid w:val="0"/>
        <w:spacing w:before="0" w:after="0"/>
        <w:jc w:val="both"/>
        <w:rPr>
          <w:rFonts w:eastAsia="宋体"/>
          <w:color w:val="000000"/>
          <w:kern w:val="2"/>
          <w:szCs w:val="24"/>
          <w:lang w:val="en-US" w:eastAsia="zh-CN"/>
        </w:rPr>
      </w:pPr>
    </w:p>
    <w:p w14:paraId="12CA3C09" w14:textId="77777777" w:rsidR="00013CF2" w:rsidRPr="00892CA2" w:rsidRDefault="00013CF2" w:rsidP="00013CF2">
      <w:pPr>
        <w:spacing w:before="0" w:after="0"/>
        <w:jc w:val="both"/>
        <w:rPr>
          <w:rFonts w:eastAsia="宋体" w:cs="宋体"/>
          <w:szCs w:val="24"/>
          <w:lang w:val="en-US" w:eastAsia="zh-CN"/>
        </w:rPr>
      </w:pPr>
      <w:r w:rsidRPr="00892CA2">
        <w:rPr>
          <w:rFonts w:eastAsia="宋体" w:cs="宋体"/>
          <w:b/>
          <w:szCs w:val="24"/>
          <w:lang w:val="en-US" w:eastAsia="zh-CN"/>
        </w:rPr>
        <w:t xml:space="preserve">Specialty type: </w:t>
      </w:r>
      <w:r w:rsidRPr="00892CA2">
        <w:rPr>
          <w:rFonts w:eastAsia="微软雅黑" w:cs="宋体"/>
          <w:szCs w:val="24"/>
          <w:lang w:val="en-US" w:eastAsia="zh-CN"/>
        </w:rPr>
        <w:t>Gastroenterology and hepatology</w:t>
      </w:r>
      <w:r w:rsidRPr="00892CA2">
        <w:rPr>
          <w:rFonts w:eastAsia="宋体" w:cs="宋体"/>
          <w:szCs w:val="24"/>
          <w:lang w:val="en-US" w:eastAsia="zh-CN"/>
        </w:rPr>
        <w:t xml:space="preserve"> </w:t>
      </w:r>
    </w:p>
    <w:p w14:paraId="736DE448" w14:textId="274459F5" w:rsidR="00013CF2" w:rsidRPr="00892CA2" w:rsidRDefault="00013CF2" w:rsidP="00013CF2">
      <w:pPr>
        <w:spacing w:before="0" w:after="0"/>
        <w:jc w:val="both"/>
        <w:rPr>
          <w:rFonts w:eastAsia="宋体" w:cs="宋体"/>
          <w:szCs w:val="24"/>
          <w:lang w:val="en-US" w:eastAsia="zh-CN"/>
        </w:rPr>
      </w:pPr>
      <w:r w:rsidRPr="00892CA2">
        <w:rPr>
          <w:rFonts w:eastAsia="宋体" w:cs="宋体"/>
          <w:b/>
          <w:szCs w:val="24"/>
          <w:lang w:val="en-US" w:eastAsia="zh-CN"/>
        </w:rPr>
        <w:t xml:space="preserve">Country of origin: </w:t>
      </w:r>
      <w:r w:rsidR="00A627D0" w:rsidRPr="00892CA2">
        <w:rPr>
          <w:rFonts w:eastAsia="宋体" w:cs="宋体"/>
          <w:szCs w:val="24"/>
          <w:lang w:val="en-US" w:eastAsia="zh-CN"/>
        </w:rPr>
        <w:t>United Kingdom</w:t>
      </w:r>
    </w:p>
    <w:p w14:paraId="59DB9524" w14:textId="77777777" w:rsidR="00013CF2" w:rsidRPr="00892CA2" w:rsidRDefault="00013CF2" w:rsidP="00013CF2">
      <w:pPr>
        <w:spacing w:before="0" w:after="0"/>
        <w:jc w:val="both"/>
        <w:rPr>
          <w:rFonts w:eastAsia="宋体" w:cs="宋体"/>
          <w:szCs w:val="24"/>
          <w:lang w:val="en-US" w:eastAsia="zh-CN"/>
        </w:rPr>
      </w:pPr>
      <w:r w:rsidRPr="00892CA2">
        <w:rPr>
          <w:rFonts w:eastAsia="宋体" w:cs="宋体"/>
          <w:b/>
          <w:szCs w:val="24"/>
          <w:lang w:val="en-US" w:eastAsia="zh-CN"/>
        </w:rPr>
        <w:t>Peer-review report classification</w:t>
      </w:r>
    </w:p>
    <w:p w14:paraId="57F57100" w14:textId="77777777" w:rsidR="00013CF2" w:rsidRPr="00892CA2" w:rsidRDefault="00013CF2" w:rsidP="00013CF2">
      <w:pPr>
        <w:spacing w:before="0" w:after="0"/>
        <w:jc w:val="both"/>
        <w:rPr>
          <w:rFonts w:eastAsia="宋体" w:cs="宋体"/>
          <w:szCs w:val="24"/>
          <w:lang w:val="en-US" w:eastAsia="zh-CN"/>
        </w:rPr>
      </w:pPr>
      <w:r w:rsidRPr="00892CA2">
        <w:rPr>
          <w:rFonts w:eastAsia="宋体" w:cs="宋体"/>
          <w:b/>
          <w:szCs w:val="24"/>
          <w:lang w:val="en-US" w:eastAsia="zh-CN"/>
        </w:rPr>
        <w:t>Grade </w:t>
      </w:r>
      <w:proofErr w:type="gramStart"/>
      <w:r w:rsidRPr="00892CA2">
        <w:rPr>
          <w:rFonts w:eastAsia="宋体" w:cs="宋体"/>
          <w:b/>
          <w:szCs w:val="24"/>
          <w:lang w:val="en-US" w:eastAsia="zh-CN"/>
        </w:rPr>
        <w:t>A</w:t>
      </w:r>
      <w:proofErr w:type="gramEnd"/>
      <w:r w:rsidRPr="00892CA2">
        <w:rPr>
          <w:rFonts w:eastAsia="宋体" w:cs="宋体"/>
          <w:b/>
          <w:szCs w:val="24"/>
          <w:lang w:val="en-US" w:eastAsia="zh-CN"/>
        </w:rPr>
        <w:t xml:space="preserve"> (Excellent): </w:t>
      </w:r>
      <w:r w:rsidRPr="00892CA2">
        <w:rPr>
          <w:rFonts w:eastAsia="宋体" w:cs="宋体"/>
          <w:szCs w:val="24"/>
          <w:lang w:val="en-US" w:eastAsia="zh-CN"/>
        </w:rPr>
        <w:t>0</w:t>
      </w:r>
    </w:p>
    <w:p w14:paraId="7DFCEE8E" w14:textId="649EEC3F" w:rsidR="00013CF2" w:rsidRPr="00892CA2" w:rsidRDefault="00013CF2" w:rsidP="00013CF2">
      <w:pPr>
        <w:spacing w:before="0" w:after="0"/>
        <w:jc w:val="both"/>
        <w:rPr>
          <w:rFonts w:eastAsia="宋体" w:cs="宋体"/>
          <w:szCs w:val="24"/>
          <w:lang w:val="en-US" w:eastAsia="zh-CN"/>
        </w:rPr>
      </w:pPr>
      <w:r w:rsidRPr="00892CA2">
        <w:rPr>
          <w:rFonts w:eastAsia="宋体" w:cs="宋体"/>
          <w:b/>
          <w:szCs w:val="24"/>
          <w:lang w:val="en-US" w:eastAsia="zh-CN"/>
        </w:rPr>
        <w:t xml:space="preserve">Grade B (Very good): </w:t>
      </w:r>
      <w:r w:rsidRPr="00892CA2">
        <w:rPr>
          <w:rFonts w:eastAsia="宋体" w:cs="宋体"/>
          <w:szCs w:val="24"/>
          <w:lang w:val="en-US" w:eastAsia="zh-CN"/>
        </w:rPr>
        <w:t>B</w:t>
      </w:r>
    </w:p>
    <w:p w14:paraId="6B58AA74" w14:textId="628505E5" w:rsidR="00013CF2" w:rsidRPr="00892CA2" w:rsidRDefault="00013CF2" w:rsidP="00013CF2">
      <w:pPr>
        <w:spacing w:before="0" w:after="0"/>
        <w:jc w:val="both"/>
        <w:rPr>
          <w:rFonts w:eastAsia="宋体" w:cs="宋体"/>
          <w:szCs w:val="24"/>
          <w:lang w:val="en-US" w:eastAsia="zh-CN"/>
        </w:rPr>
      </w:pPr>
      <w:r w:rsidRPr="00892CA2">
        <w:rPr>
          <w:rFonts w:eastAsia="宋体" w:cs="宋体"/>
          <w:b/>
          <w:szCs w:val="24"/>
          <w:lang w:val="en-US" w:eastAsia="zh-CN"/>
        </w:rPr>
        <w:t xml:space="preserve">Grade C (Good): </w:t>
      </w:r>
      <w:r w:rsidR="00A627D0" w:rsidRPr="00892CA2">
        <w:rPr>
          <w:rFonts w:eastAsia="宋体" w:cs="宋体"/>
          <w:szCs w:val="24"/>
          <w:lang w:val="en-US" w:eastAsia="zh-CN"/>
        </w:rPr>
        <w:t>C</w:t>
      </w:r>
    </w:p>
    <w:p w14:paraId="4390217F" w14:textId="471340CD" w:rsidR="00013CF2" w:rsidRPr="00892CA2" w:rsidRDefault="00013CF2" w:rsidP="00013CF2">
      <w:pPr>
        <w:spacing w:before="0" w:after="0"/>
        <w:jc w:val="both"/>
        <w:rPr>
          <w:rFonts w:eastAsia="宋体" w:cs="宋体"/>
          <w:b/>
          <w:szCs w:val="24"/>
          <w:lang w:val="en-US" w:eastAsia="zh-CN"/>
        </w:rPr>
      </w:pPr>
      <w:r w:rsidRPr="00892CA2">
        <w:rPr>
          <w:rFonts w:eastAsia="宋体" w:cs="宋体"/>
          <w:b/>
          <w:szCs w:val="24"/>
          <w:lang w:val="en-US" w:eastAsia="zh-CN"/>
        </w:rPr>
        <w:t xml:space="preserve">Grade D (Fair): </w:t>
      </w:r>
      <w:r w:rsidR="00A627D0" w:rsidRPr="00892CA2">
        <w:rPr>
          <w:rFonts w:eastAsia="宋体" w:cs="宋体"/>
          <w:szCs w:val="24"/>
          <w:lang w:val="en-US" w:eastAsia="zh-CN"/>
        </w:rPr>
        <w:t>0</w:t>
      </w:r>
    </w:p>
    <w:p w14:paraId="0B61DAA2" w14:textId="77777777" w:rsidR="00013CF2" w:rsidRPr="00892CA2" w:rsidRDefault="00013CF2" w:rsidP="00013CF2">
      <w:pPr>
        <w:spacing w:before="0" w:after="0"/>
        <w:jc w:val="both"/>
        <w:rPr>
          <w:rFonts w:eastAsia="宋体" w:cs="宋体"/>
          <w:szCs w:val="24"/>
          <w:lang w:val="en-US" w:eastAsia="zh-CN"/>
        </w:rPr>
      </w:pPr>
      <w:r w:rsidRPr="00892CA2">
        <w:rPr>
          <w:rFonts w:eastAsia="宋体" w:cs="宋体"/>
          <w:b/>
          <w:szCs w:val="24"/>
          <w:lang w:val="en-US" w:eastAsia="zh-CN"/>
        </w:rPr>
        <w:t xml:space="preserve">Grade E (Poor): </w:t>
      </w:r>
      <w:r w:rsidRPr="00892CA2">
        <w:rPr>
          <w:rFonts w:eastAsia="宋体" w:cs="宋体"/>
          <w:szCs w:val="24"/>
          <w:lang w:val="en-US" w:eastAsia="zh-CN"/>
        </w:rPr>
        <w:t>0</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bookmarkEnd w:id="215"/>
    <w:bookmarkEnd w:id="216"/>
    <w:p w14:paraId="7F6B9420" w14:textId="77777777" w:rsidR="00D90CBC" w:rsidRPr="00892CA2" w:rsidRDefault="00D90CBC" w:rsidP="00D90CBC">
      <w:pPr>
        <w:rPr>
          <w:rFonts w:eastAsia="Calibri"/>
          <w:lang w:val="en-US" w:eastAsia="en-GB"/>
        </w:rPr>
      </w:pPr>
    </w:p>
    <w:p w14:paraId="5523D103" w14:textId="4A1195D5" w:rsidR="00E17808" w:rsidRPr="00892CA2" w:rsidRDefault="00E17808" w:rsidP="007E3B89">
      <w:pPr>
        <w:pStyle w:val="CaptionTables"/>
        <w:adjustRightInd w:val="0"/>
        <w:snapToGrid w:val="0"/>
        <w:spacing w:after="0" w:line="360" w:lineRule="auto"/>
        <w:jc w:val="both"/>
        <w:rPr>
          <w:sz w:val="24"/>
          <w:szCs w:val="24"/>
          <w:lang w:val="en-US"/>
        </w:rPr>
      </w:pPr>
      <w:bookmarkStart w:id="217" w:name="_Ref498114382"/>
      <w:r w:rsidRPr="00892CA2">
        <w:rPr>
          <w:sz w:val="24"/>
          <w:szCs w:val="24"/>
          <w:lang w:val="en-US"/>
        </w:rPr>
        <w:t xml:space="preserve">Table </w:t>
      </w:r>
      <w:r w:rsidR="00FB6502" w:rsidRPr="00892CA2">
        <w:rPr>
          <w:sz w:val="24"/>
          <w:szCs w:val="24"/>
          <w:lang w:val="en-US"/>
        </w:rPr>
        <w:t>1</w:t>
      </w:r>
      <w:bookmarkEnd w:id="217"/>
      <w:r w:rsidR="009B40C2" w:rsidRPr="00892CA2">
        <w:rPr>
          <w:sz w:val="24"/>
          <w:szCs w:val="24"/>
          <w:lang w:val="en-US"/>
        </w:rPr>
        <w:t xml:space="preserve"> </w:t>
      </w:r>
      <w:r w:rsidRPr="00892CA2">
        <w:rPr>
          <w:bCs w:val="0"/>
          <w:sz w:val="24"/>
          <w:szCs w:val="24"/>
          <w:lang w:val="en-US"/>
        </w:rPr>
        <w:t>Clinical features</w:t>
      </w:r>
    </w:p>
    <w:tbl>
      <w:tblPr>
        <w:tblStyle w:val="a7"/>
        <w:tblW w:w="5000" w:type="pct"/>
        <w:tblLook w:val="00A0" w:firstRow="1" w:lastRow="0" w:firstColumn="1" w:lastColumn="0" w:noHBand="0" w:noVBand="0"/>
      </w:tblPr>
      <w:tblGrid>
        <w:gridCol w:w="2320"/>
        <w:gridCol w:w="2320"/>
        <w:gridCol w:w="2320"/>
        <w:gridCol w:w="2320"/>
      </w:tblGrid>
      <w:tr w:rsidR="00E17808" w:rsidRPr="00892CA2" w14:paraId="1E8C490C" w14:textId="77777777" w:rsidTr="00FE0D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A1653ED" w14:textId="77777777" w:rsidR="00E17808" w:rsidRPr="00892CA2" w:rsidRDefault="00E17808" w:rsidP="007E3B89">
            <w:pPr>
              <w:pStyle w:val="Tables"/>
              <w:adjustRightInd w:val="0"/>
              <w:snapToGrid w:val="0"/>
              <w:spacing w:before="0" w:after="0" w:line="360" w:lineRule="auto"/>
              <w:jc w:val="both"/>
              <w:rPr>
                <w:b/>
                <w:bCs/>
                <w:sz w:val="24"/>
                <w:szCs w:val="24"/>
                <w:lang w:val="en-US"/>
              </w:rPr>
            </w:pPr>
          </w:p>
        </w:tc>
        <w:tc>
          <w:tcPr>
            <w:tcW w:w="1250" w:type="pct"/>
          </w:tcPr>
          <w:p w14:paraId="259EA442" w14:textId="77777777" w:rsidR="00E17808" w:rsidRPr="00892CA2" w:rsidRDefault="00E17808" w:rsidP="007E3B89">
            <w:pPr>
              <w:pStyle w:val="Tables"/>
              <w:adjustRightInd w:val="0"/>
              <w:snapToGrid w:val="0"/>
              <w:spacing w:before="0" w:after="0" w:line="360" w:lineRule="auto"/>
              <w:jc w:val="both"/>
              <w:cnfStyle w:val="100000000000" w:firstRow="1" w:lastRow="0" w:firstColumn="0" w:lastColumn="0" w:oddVBand="0" w:evenVBand="0" w:oddHBand="0" w:evenHBand="0" w:firstRowFirstColumn="0" w:firstRowLastColumn="0" w:lastRowFirstColumn="0" w:lastRowLastColumn="0"/>
              <w:rPr>
                <w:b/>
                <w:bCs/>
                <w:sz w:val="24"/>
                <w:szCs w:val="24"/>
                <w:lang w:val="en-US"/>
              </w:rPr>
            </w:pPr>
            <w:r w:rsidRPr="00892CA2">
              <w:rPr>
                <w:b/>
                <w:bCs/>
                <w:sz w:val="24"/>
                <w:szCs w:val="24"/>
                <w:lang w:val="en-US"/>
              </w:rPr>
              <w:t>Idiopathic</w:t>
            </w:r>
          </w:p>
        </w:tc>
        <w:tc>
          <w:tcPr>
            <w:tcW w:w="1250" w:type="pct"/>
          </w:tcPr>
          <w:p w14:paraId="521046CD" w14:textId="77777777" w:rsidR="00E17808" w:rsidRPr="00892CA2" w:rsidRDefault="00E17808" w:rsidP="007E3B89">
            <w:pPr>
              <w:pStyle w:val="Tables"/>
              <w:adjustRightInd w:val="0"/>
              <w:snapToGrid w:val="0"/>
              <w:spacing w:before="0" w:after="0" w:line="360" w:lineRule="auto"/>
              <w:jc w:val="both"/>
              <w:cnfStyle w:val="100000000000" w:firstRow="1" w:lastRow="0" w:firstColumn="0" w:lastColumn="0" w:oddVBand="0" w:evenVBand="0" w:oddHBand="0" w:evenHBand="0" w:firstRowFirstColumn="0" w:firstRowLastColumn="0" w:lastRowFirstColumn="0" w:lastRowLastColumn="0"/>
              <w:rPr>
                <w:b/>
                <w:bCs/>
                <w:sz w:val="24"/>
                <w:szCs w:val="24"/>
                <w:lang w:val="en-US"/>
              </w:rPr>
            </w:pPr>
            <w:r w:rsidRPr="00892CA2">
              <w:rPr>
                <w:b/>
                <w:bCs/>
                <w:sz w:val="24"/>
                <w:szCs w:val="24"/>
                <w:lang w:val="en-US"/>
              </w:rPr>
              <w:t>Crohn’s Disease</w:t>
            </w:r>
          </w:p>
        </w:tc>
        <w:tc>
          <w:tcPr>
            <w:tcW w:w="1250" w:type="pct"/>
          </w:tcPr>
          <w:p w14:paraId="5579039C" w14:textId="1D59867F" w:rsidR="00E17808" w:rsidRPr="00892CA2" w:rsidRDefault="00E17808" w:rsidP="007E3B89">
            <w:pPr>
              <w:pStyle w:val="Tables"/>
              <w:adjustRightInd w:val="0"/>
              <w:snapToGrid w:val="0"/>
              <w:spacing w:before="0" w:after="0" w:line="360" w:lineRule="auto"/>
              <w:jc w:val="both"/>
              <w:cnfStyle w:val="100000000000" w:firstRow="1" w:lastRow="0" w:firstColumn="0" w:lastColumn="0" w:oddVBand="0" w:evenVBand="0" w:oddHBand="0" w:evenHBand="0" w:firstRowFirstColumn="0" w:firstRowLastColumn="0" w:lastRowFirstColumn="0" w:lastRowLastColumn="0"/>
              <w:rPr>
                <w:b/>
                <w:bCs/>
                <w:iCs/>
                <w:sz w:val="24"/>
                <w:szCs w:val="24"/>
                <w:lang w:val="en-US"/>
              </w:rPr>
            </w:pPr>
            <w:r w:rsidRPr="00892CA2">
              <w:rPr>
                <w:b/>
                <w:bCs/>
                <w:i/>
                <w:sz w:val="24"/>
                <w:szCs w:val="24"/>
                <w:lang w:val="en-US"/>
              </w:rPr>
              <w:t>P</w:t>
            </w:r>
            <w:r w:rsidR="003C334E" w:rsidRPr="00892CA2">
              <w:rPr>
                <w:b/>
                <w:bCs/>
                <w:iCs/>
                <w:sz w:val="24"/>
                <w:szCs w:val="24"/>
                <w:lang w:val="en-US"/>
              </w:rPr>
              <w:t xml:space="preserve"> value</w:t>
            </w:r>
          </w:p>
        </w:tc>
      </w:tr>
      <w:tr w:rsidR="00E17808" w:rsidRPr="00892CA2" w14:paraId="66061701" w14:textId="77777777" w:rsidTr="00FE0D29">
        <w:tblPrEx>
          <w:tblLook w:val="0020" w:firstRow="1" w:lastRow="0" w:firstColumn="0" w:lastColumn="0" w:noHBand="0" w:noVBand="0"/>
        </w:tblPrEx>
        <w:tc>
          <w:tcPr>
            <w:tcW w:w="1250" w:type="pct"/>
          </w:tcPr>
          <w:p w14:paraId="06DB0EE1" w14:textId="77777777" w:rsidR="00E17808" w:rsidRPr="00892CA2" w:rsidRDefault="00E17808" w:rsidP="007E3B89">
            <w:pPr>
              <w:pStyle w:val="Tables"/>
              <w:adjustRightInd w:val="0"/>
              <w:snapToGrid w:val="0"/>
              <w:spacing w:before="0" w:after="0" w:line="360" w:lineRule="auto"/>
              <w:jc w:val="both"/>
              <w:rPr>
                <w:rFonts w:eastAsiaTheme="minorEastAsia"/>
                <w:sz w:val="24"/>
                <w:szCs w:val="24"/>
                <w:lang w:val="en-US"/>
              </w:rPr>
            </w:pPr>
            <w:r w:rsidRPr="00892CA2">
              <w:rPr>
                <w:rFonts w:eastAsiaTheme="minorEastAsia"/>
                <w:sz w:val="24"/>
                <w:szCs w:val="24"/>
                <w:lang w:val="en-US"/>
              </w:rPr>
              <w:t>Mean PDAI (SD)</w:t>
            </w:r>
          </w:p>
        </w:tc>
        <w:tc>
          <w:tcPr>
            <w:tcW w:w="1250" w:type="pct"/>
          </w:tcPr>
          <w:p w14:paraId="1CD68616" w14:textId="77777777" w:rsidR="00E17808" w:rsidRPr="00892CA2" w:rsidRDefault="00E17808" w:rsidP="007E3B89">
            <w:pPr>
              <w:pStyle w:val="Tables"/>
              <w:adjustRightInd w:val="0"/>
              <w:snapToGrid w:val="0"/>
              <w:spacing w:before="0" w:after="0" w:line="360" w:lineRule="auto"/>
              <w:jc w:val="both"/>
              <w:rPr>
                <w:rFonts w:eastAsiaTheme="minorEastAsia"/>
                <w:sz w:val="24"/>
                <w:szCs w:val="24"/>
                <w:lang w:val="en-US"/>
              </w:rPr>
            </w:pPr>
            <w:r w:rsidRPr="00892CA2">
              <w:rPr>
                <w:rFonts w:eastAsiaTheme="minorEastAsia"/>
                <w:sz w:val="24"/>
                <w:szCs w:val="24"/>
                <w:lang w:val="en-US"/>
              </w:rPr>
              <w:t>5.67 (2.76)</w:t>
            </w:r>
          </w:p>
        </w:tc>
        <w:tc>
          <w:tcPr>
            <w:tcW w:w="1250" w:type="pct"/>
          </w:tcPr>
          <w:p w14:paraId="6CE2C43E" w14:textId="77777777" w:rsidR="00E17808" w:rsidRPr="00892CA2" w:rsidRDefault="00E17808" w:rsidP="007E3B89">
            <w:pPr>
              <w:pStyle w:val="Tables"/>
              <w:adjustRightInd w:val="0"/>
              <w:snapToGrid w:val="0"/>
              <w:spacing w:before="0" w:after="0" w:line="360" w:lineRule="auto"/>
              <w:jc w:val="both"/>
              <w:rPr>
                <w:rFonts w:eastAsiaTheme="minorEastAsia"/>
                <w:sz w:val="24"/>
                <w:szCs w:val="24"/>
                <w:lang w:val="en-US"/>
              </w:rPr>
            </w:pPr>
            <w:r w:rsidRPr="00892CA2">
              <w:rPr>
                <w:rFonts w:eastAsiaTheme="minorEastAsia"/>
                <w:sz w:val="24"/>
                <w:szCs w:val="24"/>
                <w:lang w:val="en-US"/>
              </w:rPr>
              <w:t>8.07 (3.99)</w:t>
            </w:r>
          </w:p>
        </w:tc>
        <w:tc>
          <w:tcPr>
            <w:tcW w:w="1250" w:type="pct"/>
          </w:tcPr>
          <w:p w14:paraId="528F7EF3" w14:textId="6CCEC2DC" w:rsidR="00E17808" w:rsidRPr="00892CA2" w:rsidRDefault="00E17808" w:rsidP="007E3B89">
            <w:pPr>
              <w:pStyle w:val="Tables"/>
              <w:adjustRightInd w:val="0"/>
              <w:snapToGrid w:val="0"/>
              <w:spacing w:before="0" w:after="0" w:line="360" w:lineRule="auto"/>
              <w:jc w:val="both"/>
              <w:rPr>
                <w:rFonts w:eastAsiaTheme="minorEastAsia"/>
                <w:sz w:val="24"/>
                <w:szCs w:val="24"/>
                <w:lang w:val="en-US"/>
              </w:rPr>
            </w:pPr>
            <w:r w:rsidRPr="00892CA2">
              <w:rPr>
                <w:rFonts w:eastAsiaTheme="minorEastAsia"/>
                <w:sz w:val="24"/>
                <w:szCs w:val="24"/>
                <w:lang w:val="en-US"/>
              </w:rPr>
              <w:t>0.01</w:t>
            </w:r>
            <w:r w:rsidR="007D008C" w:rsidRPr="00892CA2">
              <w:rPr>
                <w:sz w:val="24"/>
                <w:szCs w:val="24"/>
                <w:vertAlign w:val="superscript"/>
                <w:lang w:val="en-US"/>
              </w:rPr>
              <w:t>a</w:t>
            </w:r>
          </w:p>
        </w:tc>
      </w:tr>
      <w:tr w:rsidR="00E17808" w:rsidRPr="00892CA2" w14:paraId="637A4EB0" w14:textId="77777777" w:rsidTr="00FE0D29">
        <w:tc>
          <w:tcPr>
            <w:cnfStyle w:val="001000000000" w:firstRow="0" w:lastRow="0" w:firstColumn="1" w:lastColumn="0" w:oddVBand="0" w:evenVBand="0" w:oddHBand="0" w:evenHBand="0" w:firstRowFirstColumn="0" w:firstRowLastColumn="0" w:lastRowFirstColumn="0" w:lastRowLastColumn="0"/>
            <w:tcW w:w="1250" w:type="pct"/>
          </w:tcPr>
          <w:p w14:paraId="12AD5C54" w14:textId="77777777" w:rsidR="00E17808" w:rsidRPr="00892CA2" w:rsidRDefault="00E17808" w:rsidP="007E3B89">
            <w:pPr>
              <w:pStyle w:val="Tables"/>
              <w:adjustRightInd w:val="0"/>
              <w:snapToGrid w:val="0"/>
              <w:spacing w:before="0" w:after="0" w:line="360" w:lineRule="auto"/>
              <w:jc w:val="both"/>
              <w:rPr>
                <w:sz w:val="24"/>
                <w:szCs w:val="24"/>
                <w:lang w:val="en-US"/>
              </w:rPr>
            </w:pPr>
            <w:r w:rsidRPr="00892CA2">
              <w:rPr>
                <w:rFonts w:eastAsiaTheme="minorEastAsia"/>
                <w:sz w:val="24"/>
                <w:szCs w:val="24"/>
                <w:lang w:val="en-US"/>
              </w:rPr>
              <w:t>Mean EQ VAS (SD)</w:t>
            </w:r>
          </w:p>
        </w:tc>
        <w:tc>
          <w:tcPr>
            <w:tcW w:w="1250" w:type="pct"/>
          </w:tcPr>
          <w:p w14:paraId="1FBBC9A0" w14:textId="77777777"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rFonts w:eastAsiaTheme="minorEastAsia"/>
                <w:sz w:val="24"/>
                <w:szCs w:val="24"/>
                <w:lang w:val="en-US"/>
              </w:rPr>
              <w:t>71.2 (21.1)</w:t>
            </w:r>
          </w:p>
        </w:tc>
        <w:tc>
          <w:tcPr>
            <w:tcW w:w="1250" w:type="pct"/>
          </w:tcPr>
          <w:p w14:paraId="0232C111" w14:textId="77777777"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rFonts w:eastAsiaTheme="minorEastAsia"/>
                <w:sz w:val="24"/>
                <w:szCs w:val="24"/>
                <w:lang w:val="en-US"/>
              </w:rPr>
              <w:t>63.4 (20.2)</w:t>
            </w:r>
          </w:p>
        </w:tc>
        <w:tc>
          <w:tcPr>
            <w:tcW w:w="1250" w:type="pct"/>
          </w:tcPr>
          <w:p w14:paraId="702556A8" w14:textId="77777777"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0.22</w:t>
            </w:r>
          </w:p>
        </w:tc>
      </w:tr>
      <w:tr w:rsidR="00E17808" w:rsidRPr="00892CA2" w14:paraId="348AD5D9" w14:textId="77777777" w:rsidTr="00FE0D29">
        <w:tc>
          <w:tcPr>
            <w:cnfStyle w:val="001000000000" w:firstRow="0" w:lastRow="0" w:firstColumn="1" w:lastColumn="0" w:oddVBand="0" w:evenVBand="0" w:oddHBand="0" w:evenHBand="0" w:firstRowFirstColumn="0" w:firstRowLastColumn="0" w:lastRowFirstColumn="0" w:lastRowLastColumn="0"/>
            <w:tcW w:w="1250" w:type="pct"/>
          </w:tcPr>
          <w:p w14:paraId="662996D1" w14:textId="77777777" w:rsidR="00E17808" w:rsidRPr="00892CA2" w:rsidRDefault="00E17808" w:rsidP="007E3B89">
            <w:pPr>
              <w:pStyle w:val="Tables"/>
              <w:adjustRightInd w:val="0"/>
              <w:snapToGrid w:val="0"/>
              <w:spacing w:before="0" w:after="0" w:line="360" w:lineRule="auto"/>
              <w:jc w:val="both"/>
              <w:rPr>
                <w:sz w:val="24"/>
                <w:szCs w:val="24"/>
                <w:lang w:val="en-US"/>
              </w:rPr>
            </w:pPr>
            <w:r w:rsidRPr="00892CA2">
              <w:rPr>
                <w:rFonts w:eastAsiaTheme="minorEastAsia"/>
                <w:sz w:val="24"/>
                <w:szCs w:val="24"/>
                <w:lang w:val="en-US"/>
              </w:rPr>
              <w:t>Mean EQ index (SD)</w:t>
            </w:r>
          </w:p>
        </w:tc>
        <w:tc>
          <w:tcPr>
            <w:tcW w:w="1250" w:type="pct"/>
          </w:tcPr>
          <w:p w14:paraId="648BCACE" w14:textId="77777777"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rFonts w:eastAsiaTheme="minorEastAsia"/>
                <w:sz w:val="24"/>
                <w:szCs w:val="24"/>
                <w:lang w:val="en-US"/>
              </w:rPr>
              <w:t>0.734 (0.259)</w:t>
            </w:r>
          </w:p>
        </w:tc>
        <w:tc>
          <w:tcPr>
            <w:tcW w:w="1250" w:type="pct"/>
          </w:tcPr>
          <w:p w14:paraId="61F03CD7" w14:textId="77777777"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rFonts w:eastAsiaTheme="minorEastAsia"/>
                <w:sz w:val="24"/>
                <w:szCs w:val="24"/>
                <w:lang w:val="en-US"/>
              </w:rPr>
              <w:t>0.715 (0.214)</w:t>
            </w:r>
          </w:p>
        </w:tc>
        <w:tc>
          <w:tcPr>
            <w:tcW w:w="1250" w:type="pct"/>
          </w:tcPr>
          <w:p w14:paraId="585AF58C" w14:textId="77777777"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0.80</w:t>
            </w:r>
          </w:p>
        </w:tc>
      </w:tr>
      <w:tr w:rsidR="00E17808" w:rsidRPr="00892CA2" w14:paraId="3A49C588" w14:textId="77777777" w:rsidTr="00FE0D29">
        <w:tc>
          <w:tcPr>
            <w:cnfStyle w:val="001000000000" w:firstRow="0" w:lastRow="0" w:firstColumn="1" w:lastColumn="0" w:oddVBand="0" w:evenVBand="0" w:oddHBand="0" w:evenHBand="0" w:firstRowFirstColumn="0" w:firstRowLastColumn="0" w:lastRowFirstColumn="0" w:lastRowLastColumn="0"/>
            <w:tcW w:w="1250" w:type="pct"/>
          </w:tcPr>
          <w:p w14:paraId="4D3AC571" w14:textId="4264469A" w:rsidR="00E17808" w:rsidRPr="00892CA2" w:rsidRDefault="00E17808" w:rsidP="007E3B89">
            <w:pPr>
              <w:pStyle w:val="Tables"/>
              <w:adjustRightInd w:val="0"/>
              <w:snapToGrid w:val="0"/>
              <w:spacing w:before="0" w:after="0" w:line="360" w:lineRule="auto"/>
              <w:jc w:val="both"/>
              <w:rPr>
                <w:i/>
                <w:sz w:val="24"/>
                <w:szCs w:val="24"/>
                <w:lang w:val="en-US"/>
              </w:rPr>
            </w:pPr>
            <w:r w:rsidRPr="00892CA2">
              <w:rPr>
                <w:sz w:val="24"/>
                <w:szCs w:val="24"/>
                <w:lang w:val="en-US"/>
              </w:rPr>
              <w:t xml:space="preserve">Seton </w:t>
            </w:r>
            <w:r w:rsidRPr="00892CA2">
              <w:rPr>
                <w:i/>
                <w:sz w:val="24"/>
                <w:szCs w:val="24"/>
                <w:lang w:val="en-US"/>
              </w:rPr>
              <w:t>in situ</w:t>
            </w:r>
            <w:r w:rsidR="003C334E" w:rsidRPr="00892CA2">
              <w:rPr>
                <w:iCs/>
                <w:sz w:val="24"/>
                <w:szCs w:val="24"/>
                <w:lang w:val="en-US"/>
              </w:rPr>
              <w:t xml:space="preserve">, </w:t>
            </w:r>
            <w:r w:rsidR="003C334E" w:rsidRPr="00892CA2">
              <w:rPr>
                <w:i/>
                <w:sz w:val="24"/>
                <w:szCs w:val="24"/>
                <w:lang w:val="en-US"/>
              </w:rPr>
              <w:t xml:space="preserve">n </w:t>
            </w:r>
            <w:r w:rsidR="003C334E" w:rsidRPr="00892CA2">
              <w:rPr>
                <w:iCs/>
                <w:sz w:val="24"/>
                <w:szCs w:val="24"/>
                <w:lang w:val="en-US"/>
              </w:rPr>
              <w:t>(%)</w:t>
            </w:r>
          </w:p>
        </w:tc>
        <w:tc>
          <w:tcPr>
            <w:tcW w:w="1250" w:type="pct"/>
          </w:tcPr>
          <w:p w14:paraId="62B55132" w14:textId="2BCF8239"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21 (44)</w:t>
            </w:r>
          </w:p>
        </w:tc>
        <w:tc>
          <w:tcPr>
            <w:tcW w:w="1250" w:type="pct"/>
          </w:tcPr>
          <w:p w14:paraId="60F8E080" w14:textId="52C391E2"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3 (23)</w:t>
            </w:r>
          </w:p>
        </w:tc>
        <w:tc>
          <w:tcPr>
            <w:tcW w:w="1250" w:type="pct"/>
          </w:tcPr>
          <w:p w14:paraId="46C97993" w14:textId="77777777"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0.22</w:t>
            </w:r>
          </w:p>
        </w:tc>
      </w:tr>
      <w:tr w:rsidR="00E17808" w:rsidRPr="00892CA2" w14:paraId="581C8C44" w14:textId="77777777" w:rsidTr="00FE0D29">
        <w:trPr>
          <w:trHeight w:val="654"/>
        </w:trPr>
        <w:tc>
          <w:tcPr>
            <w:cnfStyle w:val="001000000000" w:firstRow="0" w:lastRow="0" w:firstColumn="1" w:lastColumn="0" w:oddVBand="0" w:evenVBand="0" w:oddHBand="0" w:evenHBand="0" w:firstRowFirstColumn="0" w:firstRowLastColumn="0" w:lastRowFirstColumn="0" w:lastRowLastColumn="0"/>
            <w:tcW w:w="1250" w:type="pct"/>
          </w:tcPr>
          <w:p w14:paraId="62D5F0FF" w14:textId="77777777" w:rsidR="003C334E" w:rsidRPr="00892CA2" w:rsidRDefault="00E17808" w:rsidP="007E3B89">
            <w:pPr>
              <w:pStyle w:val="Tables"/>
              <w:adjustRightInd w:val="0"/>
              <w:snapToGrid w:val="0"/>
              <w:spacing w:before="0" w:after="0" w:line="360" w:lineRule="auto"/>
              <w:jc w:val="both"/>
              <w:rPr>
                <w:sz w:val="24"/>
                <w:szCs w:val="24"/>
                <w:lang w:val="en-US"/>
              </w:rPr>
            </w:pPr>
            <w:r w:rsidRPr="00892CA2">
              <w:rPr>
                <w:sz w:val="24"/>
                <w:szCs w:val="24"/>
                <w:lang w:val="en-US"/>
              </w:rPr>
              <w:t>Number of fistulae:</w:t>
            </w:r>
          </w:p>
          <w:p w14:paraId="7066E62B" w14:textId="77777777" w:rsidR="003C334E" w:rsidRPr="00892CA2" w:rsidRDefault="00E17808" w:rsidP="007E3B89">
            <w:pPr>
              <w:pStyle w:val="Tables"/>
              <w:adjustRightInd w:val="0"/>
              <w:snapToGrid w:val="0"/>
              <w:spacing w:before="0" w:after="0" w:line="360" w:lineRule="auto"/>
              <w:jc w:val="both"/>
              <w:rPr>
                <w:sz w:val="24"/>
                <w:szCs w:val="24"/>
                <w:lang w:val="en-US"/>
              </w:rPr>
            </w:pPr>
            <w:r w:rsidRPr="00892CA2">
              <w:rPr>
                <w:sz w:val="24"/>
                <w:szCs w:val="24"/>
                <w:lang w:val="en-US"/>
              </w:rPr>
              <w:t>Single unbranched</w:t>
            </w:r>
          </w:p>
          <w:p w14:paraId="3C06C8FE" w14:textId="77777777" w:rsidR="003C334E" w:rsidRPr="00892CA2" w:rsidRDefault="00E17808" w:rsidP="007E3B89">
            <w:pPr>
              <w:pStyle w:val="Tables"/>
              <w:adjustRightInd w:val="0"/>
              <w:snapToGrid w:val="0"/>
              <w:spacing w:before="0" w:after="0" w:line="360" w:lineRule="auto"/>
              <w:jc w:val="both"/>
              <w:rPr>
                <w:sz w:val="24"/>
                <w:szCs w:val="24"/>
                <w:lang w:val="en-US"/>
              </w:rPr>
            </w:pPr>
            <w:r w:rsidRPr="00892CA2">
              <w:rPr>
                <w:sz w:val="24"/>
                <w:szCs w:val="24"/>
                <w:lang w:val="en-US"/>
              </w:rPr>
              <w:t>Single branched</w:t>
            </w:r>
          </w:p>
          <w:p w14:paraId="3B2BD709" w14:textId="25F17AF5" w:rsidR="00E17808" w:rsidRPr="00892CA2" w:rsidRDefault="00E17808" w:rsidP="007E3B89">
            <w:pPr>
              <w:pStyle w:val="Tables"/>
              <w:adjustRightInd w:val="0"/>
              <w:snapToGrid w:val="0"/>
              <w:spacing w:before="0" w:after="0" w:line="360" w:lineRule="auto"/>
              <w:jc w:val="both"/>
              <w:rPr>
                <w:sz w:val="24"/>
                <w:szCs w:val="24"/>
                <w:lang w:val="en-US"/>
              </w:rPr>
            </w:pPr>
            <w:r w:rsidRPr="00892CA2">
              <w:rPr>
                <w:sz w:val="24"/>
                <w:szCs w:val="24"/>
                <w:lang w:val="en-US"/>
              </w:rPr>
              <w:t>Multiple</w:t>
            </w:r>
          </w:p>
        </w:tc>
        <w:tc>
          <w:tcPr>
            <w:tcW w:w="1250" w:type="pct"/>
          </w:tcPr>
          <w:p w14:paraId="57DFC211" w14:textId="77777777" w:rsidR="003C334E" w:rsidRPr="00892CA2" w:rsidRDefault="003C334E"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p>
          <w:p w14:paraId="4E0ED3B4" w14:textId="29DC8B17" w:rsidR="003C334E"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31 (65)</w:t>
            </w:r>
          </w:p>
          <w:p w14:paraId="4FAD3460" w14:textId="42BF1FE4" w:rsidR="003C334E"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15 (31)</w:t>
            </w:r>
          </w:p>
          <w:p w14:paraId="1BE54BF0" w14:textId="39373F93"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2 (4)</w:t>
            </w:r>
          </w:p>
        </w:tc>
        <w:tc>
          <w:tcPr>
            <w:tcW w:w="1250" w:type="pct"/>
          </w:tcPr>
          <w:p w14:paraId="1B50C274" w14:textId="77777777" w:rsidR="003C334E" w:rsidRPr="00892CA2" w:rsidRDefault="003C334E"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p>
          <w:p w14:paraId="2879DFBD" w14:textId="66892CCD" w:rsidR="003C334E"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3 (23)</w:t>
            </w:r>
          </w:p>
          <w:p w14:paraId="33BBE1CD" w14:textId="49D24CEA" w:rsidR="003C334E"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7 (54)</w:t>
            </w:r>
          </w:p>
          <w:p w14:paraId="469EFD98" w14:textId="0E357450"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3 (23)</w:t>
            </w:r>
          </w:p>
        </w:tc>
        <w:tc>
          <w:tcPr>
            <w:tcW w:w="1250" w:type="pct"/>
          </w:tcPr>
          <w:p w14:paraId="5C738E07" w14:textId="77777777"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0.09</w:t>
            </w:r>
          </w:p>
        </w:tc>
      </w:tr>
      <w:tr w:rsidR="00E17808" w:rsidRPr="00892CA2" w14:paraId="3C5E7BE6" w14:textId="77777777" w:rsidTr="00FE0D29">
        <w:trPr>
          <w:trHeight w:val="654"/>
        </w:trPr>
        <w:tc>
          <w:tcPr>
            <w:cnfStyle w:val="001000000000" w:firstRow="0" w:lastRow="0" w:firstColumn="1" w:lastColumn="0" w:oddVBand="0" w:evenVBand="0" w:oddHBand="0" w:evenHBand="0" w:firstRowFirstColumn="0" w:firstRowLastColumn="0" w:lastRowFirstColumn="0" w:lastRowLastColumn="0"/>
            <w:tcW w:w="1250" w:type="pct"/>
          </w:tcPr>
          <w:p w14:paraId="056D6C36" w14:textId="7A7E0DC3" w:rsidR="003C334E" w:rsidRPr="00892CA2" w:rsidRDefault="00E17808" w:rsidP="007E3B89">
            <w:pPr>
              <w:pStyle w:val="Tables"/>
              <w:adjustRightInd w:val="0"/>
              <w:snapToGrid w:val="0"/>
              <w:spacing w:before="0" w:after="0" w:line="360" w:lineRule="auto"/>
              <w:jc w:val="both"/>
              <w:rPr>
                <w:iCs/>
                <w:sz w:val="24"/>
                <w:szCs w:val="24"/>
                <w:lang w:val="en-US"/>
              </w:rPr>
            </w:pPr>
            <w:r w:rsidRPr="00892CA2">
              <w:rPr>
                <w:sz w:val="24"/>
                <w:szCs w:val="24"/>
                <w:lang w:val="en-US"/>
              </w:rPr>
              <w:t>Parks’ classification</w:t>
            </w:r>
            <w:r w:rsidR="003C334E" w:rsidRPr="00892CA2">
              <w:rPr>
                <w:iCs/>
                <w:sz w:val="24"/>
                <w:szCs w:val="24"/>
                <w:lang w:val="en-US"/>
              </w:rPr>
              <w:t xml:space="preserve">, </w:t>
            </w:r>
            <w:r w:rsidR="003C334E" w:rsidRPr="00892CA2">
              <w:rPr>
                <w:i/>
                <w:sz w:val="24"/>
                <w:szCs w:val="24"/>
                <w:lang w:val="en-US"/>
              </w:rPr>
              <w:t xml:space="preserve">n </w:t>
            </w:r>
            <w:r w:rsidR="003C334E" w:rsidRPr="00892CA2">
              <w:rPr>
                <w:iCs/>
                <w:sz w:val="24"/>
                <w:szCs w:val="24"/>
                <w:lang w:val="en-US"/>
              </w:rPr>
              <w:t>(%)</w:t>
            </w:r>
          </w:p>
          <w:p w14:paraId="5228C0AC" w14:textId="77777777" w:rsidR="003C334E" w:rsidRPr="00892CA2" w:rsidRDefault="00E17808" w:rsidP="007E3B89">
            <w:pPr>
              <w:pStyle w:val="Tables"/>
              <w:adjustRightInd w:val="0"/>
              <w:snapToGrid w:val="0"/>
              <w:spacing w:before="0" w:after="0" w:line="360" w:lineRule="auto"/>
              <w:jc w:val="both"/>
              <w:rPr>
                <w:sz w:val="24"/>
                <w:szCs w:val="24"/>
                <w:lang w:val="en-US"/>
              </w:rPr>
            </w:pPr>
            <w:r w:rsidRPr="00892CA2">
              <w:rPr>
                <w:sz w:val="24"/>
                <w:szCs w:val="24"/>
                <w:lang w:val="en-US"/>
              </w:rPr>
              <w:t>Inter-sphincteric</w:t>
            </w:r>
          </w:p>
          <w:p w14:paraId="19003AD5" w14:textId="77777777" w:rsidR="003C334E" w:rsidRPr="00892CA2" w:rsidRDefault="00E17808" w:rsidP="007E3B89">
            <w:pPr>
              <w:pStyle w:val="Tables"/>
              <w:adjustRightInd w:val="0"/>
              <w:snapToGrid w:val="0"/>
              <w:spacing w:before="0" w:after="0" w:line="360" w:lineRule="auto"/>
              <w:jc w:val="both"/>
              <w:rPr>
                <w:sz w:val="24"/>
                <w:szCs w:val="24"/>
                <w:lang w:val="en-US"/>
              </w:rPr>
            </w:pPr>
            <w:r w:rsidRPr="00892CA2">
              <w:rPr>
                <w:sz w:val="24"/>
                <w:szCs w:val="24"/>
                <w:lang w:val="en-US"/>
              </w:rPr>
              <w:t>Trans-sphincteric</w:t>
            </w:r>
          </w:p>
          <w:p w14:paraId="5A3DF1DB" w14:textId="0D15D104" w:rsidR="00E17808" w:rsidRPr="00892CA2" w:rsidRDefault="00E17808" w:rsidP="007E3B89">
            <w:pPr>
              <w:pStyle w:val="Tables"/>
              <w:adjustRightInd w:val="0"/>
              <w:snapToGrid w:val="0"/>
              <w:spacing w:before="0" w:after="0" w:line="360" w:lineRule="auto"/>
              <w:jc w:val="both"/>
              <w:rPr>
                <w:sz w:val="24"/>
                <w:szCs w:val="24"/>
                <w:lang w:val="en-US"/>
              </w:rPr>
            </w:pPr>
            <w:r w:rsidRPr="00892CA2">
              <w:rPr>
                <w:sz w:val="24"/>
                <w:szCs w:val="24"/>
                <w:lang w:val="en-US"/>
              </w:rPr>
              <w:t>Supra-sphincteric</w:t>
            </w:r>
          </w:p>
        </w:tc>
        <w:tc>
          <w:tcPr>
            <w:tcW w:w="1250" w:type="pct"/>
          </w:tcPr>
          <w:p w14:paraId="2E668DF0" w14:textId="62D31E66" w:rsidR="003C334E"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br/>
              <w:t>7 (15)</w:t>
            </w:r>
          </w:p>
          <w:p w14:paraId="7C805894" w14:textId="584219FA" w:rsidR="003C334E"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38 (79)</w:t>
            </w:r>
          </w:p>
          <w:p w14:paraId="157440A5" w14:textId="7AEB6D60"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3 (6)</w:t>
            </w:r>
          </w:p>
        </w:tc>
        <w:tc>
          <w:tcPr>
            <w:tcW w:w="1250" w:type="pct"/>
          </w:tcPr>
          <w:p w14:paraId="2E3464A8" w14:textId="74D38141" w:rsidR="003C334E"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br/>
              <w:t>1 (8)</w:t>
            </w:r>
          </w:p>
          <w:p w14:paraId="78306D06" w14:textId="7112810A" w:rsidR="003C334E"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10 (77)</w:t>
            </w:r>
          </w:p>
          <w:p w14:paraId="27E0A481" w14:textId="6DED4228"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2 (15)</w:t>
            </w:r>
          </w:p>
        </w:tc>
        <w:tc>
          <w:tcPr>
            <w:tcW w:w="1250" w:type="pct"/>
          </w:tcPr>
          <w:p w14:paraId="7013A2EE" w14:textId="77777777"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0.54</w:t>
            </w:r>
          </w:p>
        </w:tc>
      </w:tr>
      <w:tr w:rsidR="00E17808" w:rsidRPr="00892CA2" w14:paraId="765AB912" w14:textId="77777777" w:rsidTr="00FE0D29">
        <w:tc>
          <w:tcPr>
            <w:cnfStyle w:val="001000000000" w:firstRow="0" w:lastRow="0" w:firstColumn="1" w:lastColumn="0" w:oddVBand="0" w:evenVBand="0" w:oddHBand="0" w:evenHBand="0" w:firstRowFirstColumn="0" w:firstRowLastColumn="0" w:lastRowFirstColumn="0" w:lastRowLastColumn="0"/>
            <w:tcW w:w="1250" w:type="pct"/>
          </w:tcPr>
          <w:p w14:paraId="0FC3EEB7" w14:textId="77777777" w:rsidR="00E17808" w:rsidRPr="00892CA2" w:rsidRDefault="00E17808" w:rsidP="007E3B89">
            <w:pPr>
              <w:pStyle w:val="Tables"/>
              <w:adjustRightInd w:val="0"/>
              <w:snapToGrid w:val="0"/>
              <w:spacing w:before="0" w:after="0" w:line="360" w:lineRule="auto"/>
              <w:jc w:val="both"/>
              <w:rPr>
                <w:sz w:val="24"/>
                <w:szCs w:val="24"/>
                <w:lang w:val="en-US"/>
              </w:rPr>
            </w:pPr>
            <w:r w:rsidRPr="00892CA2">
              <w:rPr>
                <w:sz w:val="24"/>
                <w:szCs w:val="24"/>
                <w:lang w:val="en-US"/>
              </w:rPr>
              <w:t>High primary tract</w:t>
            </w:r>
          </w:p>
        </w:tc>
        <w:tc>
          <w:tcPr>
            <w:tcW w:w="1250" w:type="pct"/>
          </w:tcPr>
          <w:p w14:paraId="6AA992E2" w14:textId="77777777"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15 (31%)</w:t>
            </w:r>
          </w:p>
        </w:tc>
        <w:tc>
          <w:tcPr>
            <w:tcW w:w="1250" w:type="pct"/>
          </w:tcPr>
          <w:p w14:paraId="0674CEFB" w14:textId="77777777"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6 (46%)</w:t>
            </w:r>
          </w:p>
        </w:tc>
        <w:tc>
          <w:tcPr>
            <w:tcW w:w="1250" w:type="pct"/>
          </w:tcPr>
          <w:p w14:paraId="4A3535B8" w14:textId="77777777"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0.34</w:t>
            </w:r>
          </w:p>
        </w:tc>
      </w:tr>
      <w:tr w:rsidR="00E17808" w:rsidRPr="00892CA2" w14:paraId="061D9E34" w14:textId="77777777" w:rsidTr="00FE0D29">
        <w:trPr>
          <w:trHeight w:val="654"/>
        </w:trPr>
        <w:tc>
          <w:tcPr>
            <w:cnfStyle w:val="001000000000" w:firstRow="0" w:lastRow="0" w:firstColumn="1" w:lastColumn="0" w:oddVBand="0" w:evenVBand="0" w:oddHBand="0" w:evenHBand="0" w:firstRowFirstColumn="0" w:firstRowLastColumn="0" w:lastRowFirstColumn="0" w:lastRowLastColumn="0"/>
            <w:tcW w:w="1250" w:type="pct"/>
          </w:tcPr>
          <w:p w14:paraId="71A7A799" w14:textId="77777777" w:rsidR="003C334E" w:rsidRPr="00892CA2" w:rsidRDefault="00E17808" w:rsidP="007E3B89">
            <w:pPr>
              <w:pStyle w:val="Tables"/>
              <w:adjustRightInd w:val="0"/>
              <w:snapToGrid w:val="0"/>
              <w:spacing w:before="0" w:after="0" w:line="360" w:lineRule="auto"/>
              <w:jc w:val="both"/>
              <w:rPr>
                <w:iCs/>
                <w:sz w:val="24"/>
                <w:szCs w:val="24"/>
                <w:lang w:val="en-US"/>
              </w:rPr>
            </w:pPr>
            <w:r w:rsidRPr="00892CA2">
              <w:rPr>
                <w:sz w:val="24"/>
                <w:szCs w:val="24"/>
                <w:lang w:val="en-US"/>
              </w:rPr>
              <w:t>Secondary tract(s)</w:t>
            </w:r>
            <w:r w:rsidR="003C334E" w:rsidRPr="00892CA2">
              <w:rPr>
                <w:iCs/>
                <w:sz w:val="24"/>
                <w:szCs w:val="24"/>
                <w:lang w:val="en-US"/>
              </w:rPr>
              <w:t xml:space="preserve">, </w:t>
            </w:r>
            <w:r w:rsidR="003C334E" w:rsidRPr="00892CA2">
              <w:rPr>
                <w:i/>
                <w:sz w:val="24"/>
                <w:szCs w:val="24"/>
                <w:lang w:val="en-US"/>
              </w:rPr>
              <w:t xml:space="preserve">n </w:t>
            </w:r>
            <w:r w:rsidR="003C334E" w:rsidRPr="00892CA2">
              <w:rPr>
                <w:iCs/>
                <w:sz w:val="24"/>
                <w:szCs w:val="24"/>
                <w:lang w:val="en-US"/>
              </w:rPr>
              <w:t>(%)</w:t>
            </w:r>
          </w:p>
          <w:p w14:paraId="2E7F454D" w14:textId="77777777" w:rsidR="003C334E" w:rsidRPr="00892CA2" w:rsidRDefault="00E17808" w:rsidP="007E3B89">
            <w:pPr>
              <w:pStyle w:val="Tables"/>
              <w:adjustRightInd w:val="0"/>
              <w:snapToGrid w:val="0"/>
              <w:spacing w:before="0" w:after="0" w:line="360" w:lineRule="auto"/>
              <w:jc w:val="both"/>
              <w:rPr>
                <w:sz w:val="24"/>
                <w:szCs w:val="24"/>
                <w:lang w:val="en-US"/>
              </w:rPr>
            </w:pPr>
            <w:r w:rsidRPr="00892CA2">
              <w:rPr>
                <w:sz w:val="24"/>
                <w:szCs w:val="24"/>
                <w:lang w:val="en-US"/>
              </w:rPr>
              <w:t>None</w:t>
            </w:r>
          </w:p>
          <w:p w14:paraId="35E5C3E8" w14:textId="77777777" w:rsidR="003C334E" w:rsidRPr="00892CA2" w:rsidRDefault="00E17808" w:rsidP="007E3B89">
            <w:pPr>
              <w:pStyle w:val="Tables"/>
              <w:adjustRightInd w:val="0"/>
              <w:snapToGrid w:val="0"/>
              <w:spacing w:before="0" w:after="0" w:line="360" w:lineRule="auto"/>
              <w:jc w:val="both"/>
              <w:rPr>
                <w:sz w:val="24"/>
                <w:szCs w:val="24"/>
                <w:lang w:val="en-US"/>
              </w:rPr>
            </w:pPr>
            <w:proofErr w:type="spellStart"/>
            <w:r w:rsidRPr="00892CA2">
              <w:rPr>
                <w:sz w:val="24"/>
                <w:szCs w:val="24"/>
                <w:lang w:val="en-US"/>
              </w:rPr>
              <w:t>Infralevator</w:t>
            </w:r>
            <w:proofErr w:type="spellEnd"/>
          </w:p>
          <w:p w14:paraId="117AD097" w14:textId="043665A3" w:rsidR="00E17808" w:rsidRPr="00892CA2" w:rsidRDefault="00E17808" w:rsidP="007E3B89">
            <w:pPr>
              <w:pStyle w:val="Tables"/>
              <w:adjustRightInd w:val="0"/>
              <w:snapToGrid w:val="0"/>
              <w:spacing w:before="0" w:after="0" w:line="360" w:lineRule="auto"/>
              <w:jc w:val="both"/>
              <w:rPr>
                <w:sz w:val="24"/>
                <w:szCs w:val="24"/>
                <w:lang w:val="en-US"/>
              </w:rPr>
            </w:pPr>
            <w:proofErr w:type="spellStart"/>
            <w:r w:rsidRPr="00892CA2">
              <w:rPr>
                <w:sz w:val="24"/>
                <w:szCs w:val="24"/>
                <w:lang w:val="en-US"/>
              </w:rPr>
              <w:t>Supralevator</w:t>
            </w:r>
            <w:proofErr w:type="spellEnd"/>
          </w:p>
        </w:tc>
        <w:tc>
          <w:tcPr>
            <w:tcW w:w="1250" w:type="pct"/>
          </w:tcPr>
          <w:p w14:paraId="3185F6C0" w14:textId="77777777" w:rsidR="003C334E" w:rsidRPr="00892CA2" w:rsidRDefault="003C334E"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p>
          <w:p w14:paraId="2FAF3643" w14:textId="6FC175E3" w:rsidR="003C334E"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31 (65)</w:t>
            </w:r>
          </w:p>
          <w:p w14:paraId="09B51511" w14:textId="02F5D365" w:rsidR="003C334E"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14 (29)</w:t>
            </w:r>
          </w:p>
          <w:p w14:paraId="2FA0FDCF" w14:textId="2BBB6F3B"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3 (6)</w:t>
            </w:r>
          </w:p>
        </w:tc>
        <w:tc>
          <w:tcPr>
            <w:tcW w:w="1250" w:type="pct"/>
          </w:tcPr>
          <w:p w14:paraId="77117805" w14:textId="74364D9A" w:rsidR="003C334E"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br/>
              <w:t>4 (31)</w:t>
            </w:r>
          </w:p>
          <w:p w14:paraId="0DB32F63" w14:textId="2E2DA762" w:rsidR="003C334E"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5 (38)</w:t>
            </w:r>
          </w:p>
          <w:p w14:paraId="4E35B694" w14:textId="287B19D8"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4 (31)</w:t>
            </w:r>
          </w:p>
        </w:tc>
        <w:tc>
          <w:tcPr>
            <w:tcW w:w="1250" w:type="pct"/>
          </w:tcPr>
          <w:p w14:paraId="7DAA376F" w14:textId="53165E58"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0.02</w:t>
            </w:r>
            <w:r w:rsidR="007D008C" w:rsidRPr="00892CA2">
              <w:rPr>
                <w:sz w:val="24"/>
                <w:szCs w:val="24"/>
                <w:vertAlign w:val="superscript"/>
                <w:lang w:val="en-US"/>
              </w:rPr>
              <w:t>a</w:t>
            </w:r>
          </w:p>
        </w:tc>
      </w:tr>
      <w:tr w:rsidR="00E17808" w:rsidRPr="00892CA2" w14:paraId="2AD04925" w14:textId="77777777" w:rsidTr="00FE0D29">
        <w:tc>
          <w:tcPr>
            <w:cnfStyle w:val="001000000000" w:firstRow="0" w:lastRow="0" w:firstColumn="1" w:lastColumn="0" w:oddVBand="0" w:evenVBand="0" w:oddHBand="0" w:evenHBand="0" w:firstRowFirstColumn="0" w:firstRowLastColumn="0" w:lastRowFirstColumn="0" w:lastRowLastColumn="0"/>
            <w:tcW w:w="1250" w:type="pct"/>
          </w:tcPr>
          <w:p w14:paraId="394AF48D" w14:textId="53DD51D3" w:rsidR="00E17808" w:rsidRPr="00892CA2" w:rsidRDefault="00E17808" w:rsidP="007E3B89">
            <w:pPr>
              <w:pStyle w:val="Tables"/>
              <w:adjustRightInd w:val="0"/>
              <w:snapToGrid w:val="0"/>
              <w:spacing w:before="0" w:after="0" w:line="360" w:lineRule="auto"/>
              <w:jc w:val="both"/>
              <w:rPr>
                <w:sz w:val="24"/>
                <w:szCs w:val="24"/>
                <w:lang w:val="en-US"/>
              </w:rPr>
            </w:pPr>
            <w:r w:rsidRPr="00892CA2">
              <w:rPr>
                <w:sz w:val="24"/>
                <w:szCs w:val="24"/>
                <w:lang w:val="en-US"/>
              </w:rPr>
              <w:t>Horseshoe</w:t>
            </w:r>
            <w:bookmarkStart w:id="218" w:name="OLE_LINK734"/>
            <w:bookmarkStart w:id="219" w:name="OLE_LINK735"/>
            <w:r w:rsidR="003C334E" w:rsidRPr="00892CA2">
              <w:rPr>
                <w:iCs/>
                <w:sz w:val="24"/>
                <w:szCs w:val="24"/>
                <w:lang w:val="en-US"/>
              </w:rPr>
              <w:t xml:space="preserve">, </w:t>
            </w:r>
            <w:r w:rsidR="003C334E" w:rsidRPr="00892CA2">
              <w:rPr>
                <w:i/>
                <w:sz w:val="24"/>
                <w:szCs w:val="24"/>
                <w:lang w:val="en-US"/>
              </w:rPr>
              <w:t xml:space="preserve">n </w:t>
            </w:r>
            <w:r w:rsidR="003C334E" w:rsidRPr="00892CA2">
              <w:rPr>
                <w:iCs/>
                <w:sz w:val="24"/>
                <w:szCs w:val="24"/>
                <w:lang w:val="en-US"/>
              </w:rPr>
              <w:t>(%)</w:t>
            </w:r>
            <w:bookmarkEnd w:id="218"/>
            <w:bookmarkEnd w:id="219"/>
            <w:r w:rsidRPr="00892CA2">
              <w:rPr>
                <w:sz w:val="24"/>
                <w:szCs w:val="24"/>
                <w:lang w:val="en-US"/>
              </w:rPr>
              <w:t xml:space="preserve"> extension(s)</w:t>
            </w:r>
          </w:p>
        </w:tc>
        <w:tc>
          <w:tcPr>
            <w:tcW w:w="1250" w:type="pct"/>
          </w:tcPr>
          <w:p w14:paraId="0B949FE4" w14:textId="41F095B4"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12 (25)</w:t>
            </w:r>
          </w:p>
        </w:tc>
        <w:tc>
          <w:tcPr>
            <w:tcW w:w="1250" w:type="pct"/>
          </w:tcPr>
          <w:p w14:paraId="5FC6990F" w14:textId="7FDD44A0"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5 (38)</w:t>
            </w:r>
          </w:p>
        </w:tc>
        <w:tc>
          <w:tcPr>
            <w:tcW w:w="1250" w:type="pct"/>
          </w:tcPr>
          <w:p w14:paraId="60EACD3B" w14:textId="77777777"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0.49</w:t>
            </w:r>
          </w:p>
        </w:tc>
      </w:tr>
      <w:tr w:rsidR="00E17808" w:rsidRPr="00892CA2" w14:paraId="65462D43" w14:textId="77777777" w:rsidTr="00FE0D29">
        <w:tc>
          <w:tcPr>
            <w:cnfStyle w:val="001000000000" w:firstRow="0" w:lastRow="0" w:firstColumn="1" w:lastColumn="0" w:oddVBand="0" w:evenVBand="0" w:oddHBand="0" w:evenHBand="0" w:firstRowFirstColumn="0" w:firstRowLastColumn="0" w:lastRowFirstColumn="0" w:lastRowLastColumn="0"/>
            <w:tcW w:w="1250" w:type="pct"/>
          </w:tcPr>
          <w:p w14:paraId="1392DBD3" w14:textId="0A9F39F4" w:rsidR="00E17808" w:rsidRPr="00892CA2" w:rsidRDefault="00E17808" w:rsidP="007E3B89">
            <w:pPr>
              <w:pStyle w:val="Tables"/>
              <w:adjustRightInd w:val="0"/>
              <w:snapToGrid w:val="0"/>
              <w:spacing w:before="0" w:after="0" w:line="360" w:lineRule="auto"/>
              <w:jc w:val="both"/>
              <w:rPr>
                <w:sz w:val="24"/>
                <w:szCs w:val="24"/>
                <w:lang w:val="en-US"/>
              </w:rPr>
            </w:pPr>
            <w:r w:rsidRPr="00892CA2">
              <w:rPr>
                <w:sz w:val="24"/>
                <w:szCs w:val="24"/>
                <w:lang w:val="en-US"/>
              </w:rPr>
              <w:t>Collection(s</w:t>
            </w:r>
            <w:proofErr w:type="gramStart"/>
            <w:r w:rsidRPr="00892CA2">
              <w:rPr>
                <w:sz w:val="24"/>
                <w:szCs w:val="24"/>
                <w:lang w:val="en-US"/>
              </w:rPr>
              <w:t>)</w:t>
            </w:r>
            <w:r w:rsidR="003019F5" w:rsidRPr="00892CA2">
              <w:rPr>
                <w:iCs/>
                <w:sz w:val="24"/>
                <w:szCs w:val="24"/>
                <w:lang w:val="en-US"/>
              </w:rPr>
              <w:t xml:space="preserve"> ,</w:t>
            </w:r>
            <w:proofErr w:type="gramEnd"/>
            <w:r w:rsidR="003019F5" w:rsidRPr="00892CA2">
              <w:rPr>
                <w:iCs/>
                <w:sz w:val="24"/>
                <w:szCs w:val="24"/>
                <w:lang w:val="en-US"/>
              </w:rPr>
              <w:t xml:space="preserve"> </w:t>
            </w:r>
            <w:r w:rsidR="003019F5" w:rsidRPr="00892CA2">
              <w:rPr>
                <w:i/>
                <w:sz w:val="24"/>
                <w:szCs w:val="24"/>
                <w:lang w:val="en-US"/>
              </w:rPr>
              <w:t xml:space="preserve">n </w:t>
            </w:r>
            <w:r w:rsidR="003019F5" w:rsidRPr="00892CA2">
              <w:rPr>
                <w:iCs/>
                <w:sz w:val="24"/>
                <w:szCs w:val="24"/>
                <w:lang w:val="en-US"/>
              </w:rPr>
              <w:t>(%)</w:t>
            </w:r>
          </w:p>
        </w:tc>
        <w:tc>
          <w:tcPr>
            <w:tcW w:w="1250" w:type="pct"/>
          </w:tcPr>
          <w:p w14:paraId="0407D6CB" w14:textId="45ABEA57"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16 (33)</w:t>
            </w:r>
          </w:p>
        </w:tc>
        <w:tc>
          <w:tcPr>
            <w:tcW w:w="1250" w:type="pct"/>
          </w:tcPr>
          <w:p w14:paraId="3BC7D282" w14:textId="669EBE0F"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12 (92)</w:t>
            </w:r>
          </w:p>
        </w:tc>
        <w:tc>
          <w:tcPr>
            <w:tcW w:w="1250" w:type="pct"/>
          </w:tcPr>
          <w:p w14:paraId="7BE397DE" w14:textId="73FFE69A"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&lt; 0.0</w:t>
            </w:r>
            <w:r w:rsidR="0090023D" w:rsidRPr="00892CA2">
              <w:rPr>
                <w:sz w:val="24"/>
                <w:szCs w:val="24"/>
                <w:lang w:val="en-US"/>
              </w:rPr>
              <w:t>0</w:t>
            </w:r>
            <w:r w:rsidRPr="00892CA2">
              <w:rPr>
                <w:sz w:val="24"/>
                <w:szCs w:val="24"/>
                <w:lang w:val="en-US"/>
              </w:rPr>
              <w:t>1</w:t>
            </w:r>
            <w:r w:rsidR="0090023D" w:rsidRPr="00892CA2">
              <w:rPr>
                <w:sz w:val="24"/>
                <w:szCs w:val="24"/>
                <w:vertAlign w:val="superscript"/>
                <w:lang w:val="en-US"/>
              </w:rPr>
              <w:t>a</w:t>
            </w:r>
          </w:p>
        </w:tc>
      </w:tr>
      <w:tr w:rsidR="00E17808" w:rsidRPr="00892CA2" w14:paraId="4B9A00D1" w14:textId="77777777" w:rsidTr="00FE0D29">
        <w:tc>
          <w:tcPr>
            <w:cnfStyle w:val="001000000000" w:firstRow="0" w:lastRow="0" w:firstColumn="1" w:lastColumn="0" w:oddVBand="0" w:evenVBand="0" w:oddHBand="0" w:evenHBand="0" w:firstRowFirstColumn="0" w:firstRowLastColumn="0" w:lastRowFirstColumn="0" w:lastRowLastColumn="0"/>
            <w:tcW w:w="1250" w:type="pct"/>
            <w:tcBorders>
              <w:bottom w:val="single" w:sz="4" w:space="0" w:color="000000" w:themeColor="text1"/>
            </w:tcBorders>
          </w:tcPr>
          <w:p w14:paraId="504348DE" w14:textId="197EF586" w:rsidR="00E17808" w:rsidRPr="00892CA2" w:rsidRDefault="00E17808" w:rsidP="007E3B89">
            <w:pPr>
              <w:pStyle w:val="Tables"/>
              <w:adjustRightInd w:val="0"/>
              <w:snapToGrid w:val="0"/>
              <w:spacing w:before="0" w:after="0" w:line="360" w:lineRule="auto"/>
              <w:jc w:val="both"/>
              <w:rPr>
                <w:sz w:val="24"/>
                <w:szCs w:val="24"/>
                <w:lang w:val="en-US"/>
              </w:rPr>
            </w:pPr>
            <w:r w:rsidRPr="00892CA2">
              <w:rPr>
                <w:sz w:val="24"/>
                <w:szCs w:val="24"/>
                <w:lang w:val="en-US"/>
              </w:rPr>
              <w:t>Thickened rectum</w:t>
            </w:r>
            <w:r w:rsidR="003019F5" w:rsidRPr="00892CA2">
              <w:rPr>
                <w:iCs/>
                <w:sz w:val="24"/>
                <w:szCs w:val="24"/>
                <w:lang w:val="en-US"/>
              </w:rPr>
              <w:t xml:space="preserve">, </w:t>
            </w:r>
            <w:r w:rsidR="003019F5" w:rsidRPr="00892CA2">
              <w:rPr>
                <w:i/>
                <w:sz w:val="24"/>
                <w:szCs w:val="24"/>
                <w:lang w:val="en-US"/>
              </w:rPr>
              <w:t xml:space="preserve">n </w:t>
            </w:r>
            <w:r w:rsidR="003019F5" w:rsidRPr="00892CA2">
              <w:rPr>
                <w:iCs/>
                <w:sz w:val="24"/>
                <w:szCs w:val="24"/>
                <w:lang w:val="en-US"/>
              </w:rPr>
              <w:t>(%)</w:t>
            </w:r>
          </w:p>
        </w:tc>
        <w:tc>
          <w:tcPr>
            <w:tcW w:w="1250" w:type="pct"/>
            <w:tcBorders>
              <w:bottom w:val="single" w:sz="4" w:space="0" w:color="000000" w:themeColor="text1"/>
            </w:tcBorders>
          </w:tcPr>
          <w:p w14:paraId="404F4B35" w14:textId="6F49DE2D"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1 (2)</w:t>
            </w:r>
          </w:p>
        </w:tc>
        <w:tc>
          <w:tcPr>
            <w:tcW w:w="1250" w:type="pct"/>
            <w:tcBorders>
              <w:bottom w:val="single" w:sz="4" w:space="0" w:color="000000" w:themeColor="text1"/>
            </w:tcBorders>
          </w:tcPr>
          <w:p w14:paraId="3D0512EF" w14:textId="72EE431A"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7 (54)</w:t>
            </w:r>
          </w:p>
        </w:tc>
        <w:tc>
          <w:tcPr>
            <w:tcW w:w="1250" w:type="pct"/>
            <w:tcBorders>
              <w:bottom w:val="single" w:sz="4" w:space="0" w:color="000000" w:themeColor="text1"/>
            </w:tcBorders>
          </w:tcPr>
          <w:p w14:paraId="06B43D22" w14:textId="3B4D3E1A" w:rsidR="00E17808" w:rsidRPr="00892CA2" w:rsidRDefault="00E17808" w:rsidP="007E3B89">
            <w:pPr>
              <w:pStyle w:val="Tables"/>
              <w:adjustRightInd w:val="0"/>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892CA2">
              <w:rPr>
                <w:sz w:val="24"/>
                <w:szCs w:val="24"/>
                <w:lang w:val="en-US"/>
              </w:rPr>
              <w:t>&lt; 0.0</w:t>
            </w:r>
            <w:r w:rsidR="0090023D" w:rsidRPr="00892CA2">
              <w:rPr>
                <w:sz w:val="24"/>
                <w:szCs w:val="24"/>
                <w:lang w:val="en-US"/>
              </w:rPr>
              <w:t>0</w:t>
            </w:r>
            <w:r w:rsidRPr="00892CA2">
              <w:rPr>
                <w:sz w:val="24"/>
                <w:szCs w:val="24"/>
                <w:lang w:val="en-US"/>
              </w:rPr>
              <w:t>1</w:t>
            </w:r>
            <w:r w:rsidR="0090023D" w:rsidRPr="00892CA2">
              <w:rPr>
                <w:sz w:val="24"/>
                <w:szCs w:val="24"/>
                <w:vertAlign w:val="superscript"/>
                <w:lang w:val="en-US"/>
              </w:rPr>
              <w:t>a</w:t>
            </w:r>
          </w:p>
        </w:tc>
      </w:tr>
    </w:tbl>
    <w:p w14:paraId="6E1E25FE" w14:textId="2E619629" w:rsidR="00E17808" w:rsidRPr="00892CA2" w:rsidRDefault="009B40C2" w:rsidP="007E3B89">
      <w:pPr>
        <w:pStyle w:val="Tablefooter"/>
        <w:adjustRightInd w:val="0"/>
        <w:snapToGrid w:val="0"/>
        <w:spacing w:line="360" w:lineRule="auto"/>
        <w:jc w:val="both"/>
        <w:rPr>
          <w:bCs/>
          <w:i w:val="0"/>
          <w:iCs/>
          <w:sz w:val="24"/>
          <w:szCs w:val="24"/>
          <w:lang w:val="en-US"/>
        </w:rPr>
      </w:pPr>
      <w:r w:rsidRPr="00892CA2">
        <w:rPr>
          <w:bCs/>
          <w:i w:val="0"/>
          <w:iCs/>
          <w:sz w:val="24"/>
          <w:szCs w:val="24"/>
          <w:lang w:val="en-US"/>
        </w:rPr>
        <w:t xml:space="preserve">Perineal Disease Activity Index, </w:t>
      </w:r>
      <w:proofErr w:type="spellStart"/>
      <w:r w:rsidRPr="00892CA2">
        <w:rPr>
          <w:bCs/>
          <w:i w:val="0"/>
          <w:iCs/>
          <w:sz w:val="24"/>
          <w:szCs w:val="24"/>
          <w:lang w:val="en-US"/>
        </w:rPr>
        <w:t>EuroQoL</w:t>
      </w:r>
      <w:proofErr w:type="spellEnd"/>
      <w:r w:rsidRPr="00892CA2">
        <w:rPr>
          <w:bCs/>
          <w:i w:val="0"/>
          <w:iCs/>
          <w:sz w:val="24"/>
          <w:szCs w:val="24"/>
          <w:lang w:val="en-US"/>
        </w:rPr>
        <w:t xml:space="preserve"> visual analogue score and index measured at pre-operative clinic assessment. Continuous data was compared using </w:t>
      </w:r>
      <w:r w:rsidR="00A17EAD" w:rsidRPr="00892CA2">
        <w:rPr>
          <w:bCs/>
          <w:sz w:val="24"/>
          <w:szCs w:val="24"/>
          <w:lang w:val="en-US"/>
        </w:rPr>
        <w:t>t</w:t>
      </w:r>
      <w:r w:rsidRPr="00892CA2">
        <w:rPr>
          <w:bCs/>
          <w:i w:val="0"/>
          <w:iCs/>
          <w:sz w:val="24"/>
          <w:szCs w:val="24"/>
          <w:lang w:val="en-US"/>
        </w:rPr>
        <w:t xml:space="preserve">-test. Discrete data compared using Fisher’s </w:t>
      </w:r>
      <w:proofErr w:type="gramStart"/>
      <w:r w:rsidRPr="00892CA2">
        <w:rPr>
          <w:bCs/>
          <w:i w:val="0"/>
          <w:iCs/>
          <w:sz w:val="24"/>
          <w:szCs w:val="24"/>
          <w:lang w:val="en-US"/>
        </w:rPr>
        <w:t>Exact</w:t>
      </w:r>
      <w:proofErr w:type="gramEnd"/>
      <w:r w:rsidRPr="00892CA2">
        <w:rPr>
          <w:bCs/>
          <w:i w:val="0"/>
          <w:iCs/>
          <w:sz w:val="24"/>
          <w:szCs w:val="24"/>
          <w:lang w:val="en-US"/>
        </w:rPr>
        <w:t xml:space="preserve"> test. </w:t>
      </w:r>
      <w:r w:rsidRPr="00892CA2">
        <w:rPr>
          <w:bCs/>
          <w:sz w:val="24"/>
          <w:szCs w:val="24"/>
          <w:lang w:val="en-US"/>
        </w:rPr>
        <w:t>P</w:t>
      </w:r>
      <w:r w:rsidRPr="00892CA2">
        <w:rPr>
          <w:bCs/>
          <w:i w:val="0"/>
          <w:iCs/>
          <w:sz w:val="24"/>
          <w:szCs w:val="24"/>
          <w:lang w:val="en-US"/>
        </w:rPr>
        <w:t xml:space="preserve"> &lt; 0.05 was considered significant. </w:t>
      </w:r>
      <w:proofErr w:type="spellStart"/>
      <w:proofErr w:type="gramStart"/>
      <w:r w:rsidR="008B1D27" w:rsidRPr="00892CA2">
        <w:rPr>
          <w:bCs/>
          <w:i w:val="0"/>
          <w:iCs/>
          <w:sz w:val="24"/>
          <w:szCs w:val="24"/>
          <w:vertAlign w:val="superscript"/>
          <w:lang w:val="en-US"/>
        </w:rPr>
        <w:t>a</w:t>
      </w:r>
      <w:r w:rsidR="008B1D27" w:rsidRPr="00892CA2">
        <w:rPr>
          <w:bCs/>
          <w:sz w:val="24"/>
          <w:szCs w:val="24"/>
          <w:lang w:val="en-US"/>
        </w:rPr>
        <w:t>P</w:t>
      </w:r>
      <w:proofErr w:type="spellEnd"/>
      <w:proofErr w:type="gramEnd"/>
      <w:r w:rsidR="008B1D27" w:rsidRPr="00892CA2">
        <w:rPr>
          <w:bCs/>
          <w:i w:val="0"/>
          <w:iCs/>
          <w:sz w:val="24"/>
          <w:szCs w:val="24"/>
          <w:lang w:val="en-US"/>
        </w:rPr>
        <w:t xml:space="preserve"> &lt; 0.05</w:t>
      </w:r>
      <w:r w:rsidR="003C334E" w:rsidRPr="00892CA2">
        <w:rPr>
          <w:bCs/>
          <w:i w:val="0"/>
          <w:iCs/>
          <w:sz w:val="24"/>
          <w:szCs w:val="24"/>
          <w:lang w:val="en-US"/>
        </w:rPr>
        <w:t xml:space="preserve">. PDAI: </w:t>
      </w:r>
      <w:r w:rsidR="008B1D27" w:rsidRPr="00892CA2">
        <w:rPr>
          <w:bCs/>
          <w:i w:val="0"/>
          <w:iCs/>
          <w:sz w:val="24"/>
          <w:szCs w:val="24"/>
          <w:lang w:val="en-US"/>
        </w:rPr>
        <w:t>Perineal Disease Activity Index</w:t>
      </w:r>
      <w:r w:rsidR="003C334E" w:rsidRPr="00892CA2">
        <w:rPr>
          <w:bCs/>
          <w:i w:val="0"/>
          <w:iCs/>
          <w:sz w:val="24"/>
          <w:szCs w:val="24"/>
          <w:lang w:val="en-US"/>
        </w:rPr>
        <w:t>;</w:t>
      </w:r>
      <w:r w:rsidR="008B1D27" w:rsidRPr="00892CA2">
        <w:rPr>
          <w:bCs/>
          <w:i w:val="0"/>
          <w:iCs/>
          <w:sz w:val="24"/>
          <w:szCs w:val="24"/>
          <w:lang w:val="en-US"/>
        </w:rPr>
        <w:t xml:space="preserve"> </w:t>
      </w:r>
      <w:r w:rsidR="003C334E" w:rsidRPr="00892CA2">
        <w:rPr>
          <w:bCs/>
          <w:i w:val="0"/>
          <w:iCs/>
          <w:sz w:val="24"/>
          <w:szCs w:val="24"/>
          <w:lang w:val="en-US"/>
        </w:rPr>
        <w:t>SD: S</w:t>
      </w:r>
      <w:r w:rsidR="008B1D27" w:rsidRPr="00892CA2">
        <w:rPr>
          <w:bCs/>
          <w:i w:val="0"/>
          <w:iCs/>
          <w:sz w:val="24"/>
          <w:szCs w:val="24"/>
          <w:lang w:val="en-US"/>
        </w:rPr>
        <w:t>tandard deviation</w:t>
      </w:r>
      <w:r w:rsidR="003C334E" w:rsidRPr="00892CA2">
        <w:rPr>
          <w:bCs/>
          <w:i w:val="0"/>
          <w:iCs/>
          <w:sz w:val="24"/>
          <w:szCs w:val="24"/>
          <w:lang w:val="en-US"/>
        </w:rPr>
        <w:t>;</w:t>
      </w:r>
      <w:r w:rsidR="008B1D27" w:rsidRPr="00892CA2">
        <w:rPr>
          <w:bCs/>
          <w:i w:val="0"/>
          <w:iCs/>
          <w:sz w:val="24"/>
          <w:szCs w:val="24"/>
          <w:lang w:val="en-US"/>
        </w:rPr>
        <w:t xml:space="preserve"> </w:t>
      </w:r>
      <w:r w:rsidR="003C334E" w:rsidRPr="00892CA2">
        <w:rPr>
          <w:bCs/>
          <w:i w:val="0"/>
          <w:iCs/>
          <w:sz w:val="24"/>
          <w:szCs w:val="24"/>
          <w:lang w:val="en-US"/>
        </w:rPr>
        <w:t xml:space="preserve">EQ: </w:t>
      </w:r>
      <w:proofErr w:type="spellStart"/>
      <w:r w:rsidR="008B1D27" w:rsidRPr="00892CA2">
        <w:rPr>
          <w:bCs/>
          <w:i w:val="0"/>
          <w:iCs/>
          <w:sz w:val="24"/>
          <w:szCs w:val="24"/>
          <w:lang w:val="en-US"/>
        </w:rPr>
        <w:t>EuroQol</w:t>
      </w:r>
      <w:proofErr w:type="spellEnd"/>
      <w:r w:rsidR="003C334E" w:rsidRPr="00892CA2">
        <w:rPr>
          <w:bCs/>
          <w:i w:val="0"/>
          <w:iCs/>
          <w:sz w:val="24"/>
          <w:szCs w:val="24"/>
          <w:lang w:val="en-US"/>
        </w:rPr>
        <w:t>;</w:t>
      </w:r>
      <w:r w:rsidR="008B1D27" w:rsidRPr="00892CA2">
        <w:rPr>
          <w:bCs/>
          <w:i w:val="0"/>
          <w:iCs/>
          <w:sz w:val="24"/>
          <w:szCs w:val="24"/>
          <w:lang w:val="en-US"/>
        </w:rPr>
        <w:t xml:space="preserve"> </w:t>
      </w:r>
      <w:r w:rsidR="003C334E" w:rsidRPr="00892CA2">
        <w:rPr>
          <w:bCs/>
          <w:i w:val="0"/>
          <w:iCs/>
          <w:sz w:val="24"/>
          <w:szCs w:val="24"/>
          <w:lang w:val="en-US"/>
        </w:rPr>
        <w:t>VAS: V</w:t>
      </w:r>
      <w:r w:rsidR="008B1D27" w:rsidRPr="00892CA2">
        <w:rPr>
          <w:bCs/>
          <w:i w:val="0"/>
          <w:iCs/>
          <w:sz w:val="24"/>
          <w:szCs w:val="24"/>
          <w:lang w:val="en-US"/>
        </w:rPr>
        <w:t>isual analogue score</w:t>
      </w:r>
      <w:r w:rsidR="003C334E" w:rsidRPr="00892CA2">
        <w:rPr>
          <w:bCs/>
          <w:i w:val="0"/>
          <w:iCs/>
          <w:sz w:val="24"/>
          <w:szCs w:val="24"/>
          <w:lang w:val="en-US"/>
        </w:rPr>
        <w:t>.</w:t>
      </w:r>
    </w:p>
    <w:p w14:paraId="70CA6E58" w14:textId="20F822CD" w:rsidR="00A17EAD" w:rsidRPr="00892CA2" w:rsidRDefault="00A17EAD">
      <w:pPr>
        <w:spacing w:before="0" w:after="0" w:line="240" w:lineRule="auto"/>
        <w:rPr>
          <w:bCs/>
          <w:iCs/>
          <w:szCs w:val="24"/>
          <w:lang w:val="en-US"/>
        </w:rPr>
      </w:pPr>
      <w:r w:rsidRPr="00892CA2">
        <w:rPr>
          <w:bCs/>
          <w:i/>
          <w:iCs/>
          <w:szCs w:val="24"/>
          <w:lang w:val="en-US"/>
        </w:rPr>
        <w:br w:type="page"/>
      </w:r>
    </w:p>
    <w:p w14:paraId="15A479D6" w14:textId="748A8E09" w:rsidR="00E17808" w:rsidRPr="00892CA2" w:rsidRDefault="00E17808" w:rsidP="007E3B89">
      <w:pPr>
        <w:pStyle w:val="CaptionTables"/>
        <w:adjustRightInd w:val="0"/>
        <w:snapToGrid w:val="0"/>
        <w:spacing w:after="0" w:line="360" w:lineRule="auto"/>
        <w:jc w:val="both"/>
        <w:rPr>
          <w:sz w:val="24"/>
          <w:szCs w:val="24"/>
          <w:lang w:val="en-US"/>
        </w:rPr>
      </w:pPr>
      <w:bookmarkStart w:id="220" w:name="_Ref352358297"/>
      <w:bookmarkStart w:id="221" w:name="_Toc356078406"/>
      <w:r w:rsidRPr="00892CA2">
        <w:rPr>
          <w:sz w:val="24"/>
          <w:szCs w:val="24"/>
          <w:lang w:val="en-US"/>
        </w:rPr>
        <w:t xml:space="preserve">Table </w:t>
      </w:r>
      <w:r w:rsidR="00FB6502" w:rsidRPr="00892CA2">
        <w:rPr>
          <w:sz w:val="24"/>
          <w:szCs w:val="24"/>
          <w:lang w:val="en-US"/>
        </w:rPr>
        <w:t>2</w:t>
      </w:r>
      <w:bookmarkEnd w:id="220"/>
      <w:r w:rsidR="003C334E" w:rsidRPr="00892CA2">
        <w:rPr>
          <w:sz w:val="24"/>
          <w:szCs w:val="24"/>
          <w:lang w:val="en-US"/>
        </w:rPr>
        <w:t xml:space="preserve"> </w:t>
      </w:r>
      <w:r w:rsidRPr="00892CA2">
        <w:rPr>
          <w:sz w:val="24"/>
          <w:szCs w:val="24"/>
          <w:lang w:val="en-US"/>
        </w:rPr>
        <w:t>Summary of comparisons between idiopathic and Crohn's disease perianal fistulae</w:t>
      </w:r>
      <w:bookmarkEnd w:id="221"/>
    </w:p>
    <w:tbl>
      <w:tblPr>
        <w:tblStyle w:val="a7"/>
        <w:tblW w:w="5000" w:type="pct"/>
        <w:tblLook w:val="04A0" w:firstRow="1" w:lastRow="0" w:firstColumn="1" w:lastColumn="0" w:noHBand="0" w:noVBand="1"/>
      </w:tblPr>
      <w:tblGrid>
        <w:gridCol w:w="2510"/>
        <w:gridCol w:w="3385"/>
        <w:gridCol w:w="3385"/>
      </w:tblGrid>
      <w:tr w:rsidR="00735346" w:rsidRPr="00892CA2" w14:paraId="2C3E0E74" w14:textId="77777777" w:rsidTr="00A17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pct"/>
            <w:vAlign w:val="top"/>
          </w:tcPr>
          <w:p w14:paraId="7FA8B072" w14:textId="77777777" w:rsidR="00735346" w:rsidRPr="00892CA2" w:rsidRDefault="00735346" w:rsidP="00735346">
            <w:pPr>
              <w:jc w:val="left"/>
              <w:rPr>
                <w:b/>
                <w:bCs/>
                <w:sz w:val="24"/>
                <w:lang w:val="en-US" w:eastAsia="en-GB"/>
              </w:rPr>
            </w:pPr>
          </w:p>
        </w:tc>
        <w:tc>
          <w:tcPr>
            <w:tcW w:w="1824" w:type="pct"/>
            <w:vAlign w:val="top"/>
          </w:tcPr>
          <w:p w14:paraId="0585FB94" w14:textId="77777777" w:rsidR="00735346" w:rsidRPr="00892CA2" w:rsidRDefault="00735346" w:rsidP="00735346">
            <w:pPr>
              <w:jc w:val="left"/>
              <w:cnfStyle w:val="100000000000" w:firstRow="1" w:lastRow="0" w:firstColumn="0" w:lastColumn="0" w:oddVBand="0" w:evenVBand="0" w:oddHBand="0" w:evenHBand="0" w:firstRowFirstColumn="0" w:firstRowLastColumn="0" w:lastRowFirstColumn="0" w:lastRowLastColumn="0"/>
              <w:rPr>
                <w:b/>
                <w:bCs/>
                <w:sz w:val="24"/>
                <w:lang w:val="en-US" w:eastAsia="en-GB"/>
              </w:rPr>
            </w:pPr>
            <w:r w:rsidRPr="00892CA2">
              <w:rPr>
                <w:b/>
                <w:bCs/>
                <w:sz w:val="24"/>
                <w:lang w:val="en-US" w:eastAsia="en-GB"/>
              </w:rPr>
              <w:t>Similarities</w:t>
            </w:r>
          </w:p>
        </w:tc>
        <w:tc>
          <w:tcPr>
            <w:tcW w:w="1824" w:type="pct"/>
            <w:vAlign w:val="top"/>
          </w:tcPr>
          <w:p w14:paraId="0011217B" w14:textId="77777777" w:rsidR="00735346" w:rsidRPr="00892CA2" w:rsidRDefault="00735346" w:rsidP="00735346">
            <w:pPr>
              <w:jc w:val="left"/>
              <w:cnfStyle w:val="100000000000" w:firstRow="1" w:lastRow="0" w:firstColumn="0" w:lastColumn="0" w:oddVBand="0" w:evenVBand="0" w:oddHBand="0" w:evenHBand="0" w:firstRowFirstColumn="0" w:firstRowLastColumn="0" w:lastRowFirstColumn="0" w:lastRowLastColumn="0"/>
              <w:rPr>
                <w:b/>
                <w:bCs/>
                <w:sz w:val="24"/>
                <w:lang w:val="en-US" w:eastAsia="en-GB"/>
              </w:rPr>
            </w:pPr>
            <w:r w:rsidRPr="00892CA2">
              <w:rPr>
                <w:b/>
                <w:bCs/>
                <w:sz w:val="24"/>
                <w:lang w:val="en-US" w:eastAsia="en-GB"/>
              </w:rPr>
              <w:t>Differences</w:t>
            </w:r>
          </w:p>
        </w:tc>
      </w:tr>
      <w:tr w:rsidR="00735346" w:rsidRPr="00892CA2" w14:paraId="2F28EB10" w14:textId="77777777" w:rsidTr="00A17EAD">
        <w:tc>
          <w:tcPr>
            <w:cnfStyle w:val="001000000000" w:firstRow="0" w:lastRow="0" w:firstColumn="1" w:lastColumn="0" w:oddVBand="0" w:evenVBand="0" w:oddHBand="0" w:evenHBand="0" w:firstRowFirstColumn="0" w:firstRowLastColumn="0" w:lastRowFirstColumn="0" w:lastRowLastColumn="0"/>
            <w:tcW w:w="1352" w:type="pct"/>
            <w:vAlign w:val="top"/>
          </w:tcPr>
          <w:p w14:paraId="63BD3668" w14:textId="77777777" w:rsidR="00735346" w:rsidRPr="00892CA2" w:rsidRDefault="00735346" w:rsidP="00735346">
            <w:pPr>
              <w:rPr>
                <w:sz w:val="24"/>
                <w:lang w:val="en-US" w:eastAsia="en-GB"/>
              </w:rPr>
            </w:pPr>
            <w:r w:rsidRPr="00892CA2">
              <w:rPr>
                <w:sz w:val="24"/>
                <w:lang w:val="en-US" w:eastAsia="en-GB"/>
              </w:rPr>
              <w:t>PDAI</w:t>
            </w:r>
          </w:p>
        </w:tc>
        <w:tc>
          <w:tcPr>
            <w:tcW w:w="1824" w:type="pct"/>
            <w:vAlign w:val="top"/>
          </w:tcPr>
          <w:p w14:paraId="6CDD1915" w14:textId="77777777" w:rsidR="00735346" w:rsidRPr="00892CA2"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p>
        </w:tc>
        <w:tc>
          <w:tcPr>
            <w:tcW w:w="1824" w:type="pct"/>
            <w:vAlign w:val="top"/>
          </w:tcPr>
          <w:p w14:paraId="79182AA5" w14:textId="77777777" w:rsidR="00735346" w:rsidRPr="00892CA2"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892CA2">
              <w:rPr>
                <w:sz w:val="24"/>
                <w:lang w:val="en-US" w:eastAsia="en-GB"/>
              </w:rPr>
              <w:t>Significantly higher PDAI in Crohn’s disease</w:t>
            </w:r>
          </w:p>
        </w:tc>
      </w:tr>
      <w:tr w:rsidR="00735346" w:rsidRPr="00892CA2" w14:paraId="49698BFA" w14:textId="77777777" w:rsidTr="00A17EAD">
        <w:tc>
          <w:tcPr>
            <w:cnfStyle w:val="001000000000" w:firstRow="0" w:lastRow="0" w:firstColumn="1" w:lastColumn="0" w:oddVBand="0" w:evenVBand="0" w:oddHBand="0" w:evenHBand="0" w:firstRowFirstColumn="0" w:firstRowLastColumn="0" w:lastRowFirstColumn="0" w:lastRowLastColumn="0"/>
            <w:tcW w:w="1352" w:type="pct"/>
            <w:vAlign w:val="top"/>
          </w:tcPr>
          <w:p w14:paraId="4FCE86AD" w14:textId="77777777" w:rsidR="00735346" w:rsidRPr="00892CA2" w:rsidRDefault="00735346" w:rsidP="00735346">
            <w:pPr>
              <w:rPr>
                <w:sz w:val="24"/>
                <w:lang w:val="en-US" w:eastAsia="en-GB"/>
              </w:rPr>
            </w:pPr>
            <w:r w:rsidRPr="00892CA2">
              <w:rPr>
                <w:sz w:val="24"/>
                <w:lang w:val="en-US" w:eastAsia="en-GB"/>
              </w:rPr>
              <w:t>EQ-5D-5L</w:t>
            </w:r>
          </w:p>
        </w:tc>
        <w:tc>
          <w:tcPr>
            <w:tcW w:w="1824" w:type="pct"/>
            <w:vAlign w:val="top"/>
          </w:tcPr>
          <w:p w14:paraId="411167B9" w14:textId="77777777" w:rsidR="00735346" w:rsidRPr="00892CA2"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892CA2">
              <w:rPr>
                <w:sz w:val="24"/>
                <w:lang w:val="en-US" w:eastAsia="en-GB"/>
              </w:rPr>
              <w:t>Similar EQ VAS and EQ index</w:t>
            </w:r>
          </w:p>
        </w:tc>
        <w:tc>
          <w:tcPr>
            <w:tcW w:w="1824" w:type="pct"/>
            <w:vAlign w:val="top"/>
          </w:tcPr>
          <w:p w14:paraId="53C50BFB" w14:textId="77777777" w:rsidR="00735346" w:rsidRPr="00892CA2"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p>
        </w:tc>
      </w:tr>
      <w:tr w:rsidR="00735346" w:rsidRPr="00892CA2" w14:paraId="0580BC3D" w14:textId="77777777" w:rsidTr="00A17EAD">
        <w:tc>
          <w:tcPr>
            <w:cnfStyle w:val="001000000000" w:firstRow="0" w:lastRow="0" w:firstColumn="1" w:lastColumn="0" w:oddVBand="0" w:evenVBand="0" w:oddHBand="0" w:evenHBand="0" w:firstRowFirstColumn="0" w:firstRowLastColumn="0" w:lastRowFirstColumn="0" w:lastRowLastColumn="0"/>
            <w:tcW w:w="1352" w:type="pct"/>
            <w:vAlign w:val="top"/>
          </w:tcPr>
          <w:p w14:paraId="712BCFF5" w14:textId="77777777" w:rsidR="00735346" w:rsidRPr="00892CA2" w:rsidRDefault="00735346" w:rsidP="00735346">
            <w:pPr>
              <w:rPr>
                <w:sz w:val="24"/>
                <w:lang w:val="en-US" w:eastAsia="en-GB"/>
              </w:rPr>
            </w:pPr>
            <w:r w:rsidRPr="00892CA2">
              <w:rPr>
                <w:sz w:val="24"/>
                <w:lang w:val="en-US" w:eastAsia="en-GB"/>
              </w:rPr>
              <w:t>Morphology</w:t>
            </w:r>
          </w:p>
        </w:tc>
        <w:tc>
          <w:tcPr>
            <w:tcW w:w="1824" w:type="pct"/>
            <w:vAlign w:val="top"/>
          </w:tcPr>
          <w:p w14:paraId="38D5D78D" w14:textId="77777777" w:rsidR="00735346" w:rsidRPr="00892CA2"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892CA2">
              <w:rPr>
                <w:sz w:val="24"/>
                <w:lang w:val="en-US" w:eastAsia="en-GB"/>
              </w:rPr>
              <w:t>Similar distribution of types by Parks’ classification</w:t>
            </w:r>
          </w:p>
          <w:p w14:paraId="7EBB0546" w14:textId="77777777" w:rsidR="00735346" w:rsidRPr="00892CA2"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892CA2">
              <w:rPr>
                <w:sz w:val="24"/>
                <w:lang w:val="en-US" w:eastAsia="en-GB"/>
              </w:rPr>
              <w:t>Similar prevalence of high fistulae and horseshoe extensions</w:t>
            </w:r>
          </w:p>
        </w:tc>
        <w:tc>
          <w:tcPr>
            <w:tcW w:w="1824" w:type="pct"/>
            <w:vAlign w:val="top"/>
          </w:tcPr>
          <w:p w14:paraId="67C65274" w14:textId="77777777" w:rsidR="00735346" w:rsidRPr="00892CA2"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892CA2">
              <w:rPr>
                <w:sz w:val="24"/>
                <w:lang w:val="en-US" w:eastAsia="en-GB"/>
              </w:rPr>
              <w:t>More multiple fistulae in Crohn’s disease</w:t>
            </w:r>
          </w:p>
          <w:p w14:paraId="3E560814" w14:textId="77777777" w:rsidR="00735346" w:rsidRPr="00892CA2"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892CA2">
              <w:rPr>
                <w:sz w:val="24"/>
                <w:lang w:val="en-US" w:eastAsia="en-GB"/>
              </w:rPr>
              <w:t xml:space="preserve">Significantly more </w:t>
            </w:r>
            <w:proofErr w:type="spellStart"/>
            <w:r w:rsidRPr="00892CA2">
              <w:rPr>
                <w:sz w:val="24"/>
                <w:lang w:val="en-US" w:eastAsia="en-GB"/>
              </w:rPr>
              <w:t>supralevator</w:t>
            </w:r>
            <w:proofErr w:type="spellEnd"/>
            <w:r w:rsidRPr="00892CA2">
              <w:rPr>
                <w:sz w:val="24"/>
                <w:lang w:val="en-US" w:eastAsia="en-GB"/>
              </w:rPr>
              <w:t xml:space="preserve"> extensions, collections and rectal thickening in Crohn’s disease</w:t>
            </w:r>
          </w:p>
        </w:tc>
      </w:tr>
      <w:tr w:rsidR="00735346" w:rsidRPr="00892CA2" w14:paraId="3CC19215" w14:textId="77777777" w:rsidTr="00A17EAD">
        <w:tc>
          <w:tcPr>
            <w:cnfStyle w:val="001000000000" w:firstRow="0" w:lastRow="0" w:firstColumn="1" w:lastColumn="0" w:oddVBand="0" w:evenVBand="0" w:oddHBand="0" w:evenHBand="0" w:firstRowFirstColumn="0" w:firstRowLastColumn="0" w:lastRowFirstColumn="0" w:lastRowLastColumn="0"/>
            <w:tcW w:w="1352" w:type="pct"/>
            <w:vAlign w:val="top"/>
          </w:tcPr>
          <w:p w14:paraId="36C222E3" w14:textId="77777777" w:rsidR="00735346" w:rsidRPr="00892CA2" w:rsidRDefault="00735346" w:rsidP="00735346">
            <w:pPr>
              <w:rPr>
                <w:sz w:val="24"/>
                <w:lang w:val="en-US" w:eastAsia="en-GB"/>
              </w:rPr>
            </w:pPr>
            <w:r w:rsidRPr="00892CA2">
              <w:rPr>
                <w:sz w:val="24"/>
                <w:lang w:val="en-US" w:eastAsia="en-GB"/>
              </w:rPr>
              <w:t>Cytokine concentrations</w:t>
            </w:r>
          </w:p>
        </w:tc>
        <w:tc>
          <w:tcPr>
            <w:tcW w:w="1824" w:type="pct"/>
            <w:vAlign w:val="top"/>
          </w:tcPr>
          <w:p w14:paraId="74419882" w14:textId="77777777" w:rsidR="00735346" w:rsidRPr="00892CA2"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892CA2">
              <w:rPr>
                <w:sz w:val="24"/>
                <w:lang w:val="en-US" w:eastAsia="en-GB"/>
              </w:rPr>
              <w:t>Similar concentrations of 27 cytokines at all four biopsy sites</w:t>
            </w:r>
          </w:p>
          <w:p w14:paraId="50C1372E" w14:textId="4C47A995" w:rsidR="00735346" w:rsidRPr="00892CA2"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892CA2">
              <w:rPr>
                <w:sz w:val="24"/>
                <w:lang w:val="en-US" w:eastAsia="en-GB"/>
              </w:rPr>
              <w:t xml:space="preserve">(EGF, </w:t>
            </w:r>
            <w:proofErr w:type="spellStart"/>
            <w:r w:rsidRPr="00892CA2">
              <w:rPr>
                <w:sz w:val="24"/>
                <w:lang w:val="en-US" w:eastAsia="en-GB"/>
              </w:rPr>
              <w:t>eotaxin</w:t>
            </w:r>
            <w:proofErr w:type="spellEnd"/>
            <w:r w:rsidRPr="00892CA2">
              <w:rPr>
                <w:sz w:val="24"/>
                <w:lang w:val="en-US" w:eastAsia="en-GB"/>
              </w:rPr>
              <w:t>, G-CSF, GM-CSF, IFN-α2, IFN-γ, IL-10, IL-12p40, IL-13, IL-15, IL-17, IL-1α, IL-2, IL-3, IL-4, IL-5, IL-6, IL-7, IL-8, IP-10, MCP-1, MIP-1α, MIP-1β, TNF-α, TNF-β, RANTES and VEGF)</w:t>
            </w:r>
          </w:p>
        </w:tc>
        <w:tc>
          <w:tcPr>
            <w:tcW w:w="1824" w:type="pct"/>
            <w:vAlign w:val="top"/>
          </w:tcPr>
          <w:p w14:paraId="1F6EBBF3" w14:textId="77777777" w:rsidR="00735346" w:rsidRPr="00892CA2"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892CA2">
              <w:rPr>
                <w:sz w:val="24"/>
                <w:lang w:val="en-US" w:eastAsia="en-GB"/>
              </w:rPr>
              <w:t>Significantly higher IL-12p70 concentration at internal opening in Crohn’s disease</w:t>
            </w:r>
          </w:p>
          <w:p w14:paraId="762D23C1" w14:textId="77777777" w:rsidR="00735346" w:rsidRPr="00892CA2"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892CA2">
              <w:rPr>
                <w:sz w:val="24"/>
                <w:lang w:val="en-US" w:eastAsia="en-GB"/>
              </w:rPr>
              <w:t>Significantly lower IL-1RA/IL-1</w:t>
            </w:r>
            <w:r w:rsidRPr="00892CA2">
              <w:rPr>
                <w:sz w:val="24"/>
                <w:lang w:val="en-US" w:eastAsia="en-GB"/>
              </w:rPr>
              <w:sym w:font="Symbol" w:char="F062"/>
            </w:r>
            <w:r w:rsidRPr="00892CA2">
              <w:rPr>
                <w:sz w:val="24"/>
                <w:lang w:val="en-US" w:eastAsia="en-GB"/>
              </w:rPr>
              <w:t xml:space="preserve"> ratio concentration at internal opening in Crohn’s disease</w:t>
            </w:r>
          </w:p>
        </w:tc>
      </w:tr>
      <w:tr w:rsidR="00735346" w:rsidRPr="00892CA2" w14:paraId="5C8B0C29" w14:textId="77777777" w:rsidTr="00A17EAD">
        <w:tc>
          <w:tcPr>
            <w:cnfStyle w:val="001000000000" w:firstRow="0" w:lastRow="0" w:firstColumn="1" w:lastColumn="0" w:oddVBand="0" w:evenVBand="0" w:oddHBand="0" w:evenHBand="0" w:firstRowFirstColumn="0" w:firstRowLastColumn="0" w:lastRowFirstColumn="0" w:lastRowLastColumn="0"/>
            <w:tcW w:w="1352" w:type="pct"/>
            <w:tcBorders>
              <w:bottom w:val="single" w:sz="4" w:space="0" w:color="000000" w:themeColor="text1"/>
            </w:tcBorders>
            <w:vAlign w:val="top"/>
          </w:tcPr>
          <w:p w14:paraId="690E09EA" w14:textId="77777777" w:rsidR="00735346" w:rsidRPr="00892CA2" w:rsidRDefault="00735346" w:rsidP="00735346">
            <w:pPr>
              <w:rPr>
                <w:sz w:val="24"/>
                <w:lang w:val="en-US" w:eastAsia="en-GB"/>
              </w:rPr>
            </w:pPr>
            <w:r w:rsidRPr="00892CA2">
              <w:rPr>
                <w:sz w:val="24"/>
                <w:lang w:val="en-US" w:eastAsia="en-GB"/>
              </w:rPr>
              <w:t>Phosphoprotein concentrations</w:t>
            </w:r>
          </w:p>
        </w:tc>
        <w:tc>
          <w:tcPr>
            <w:tcW w:w="1824" w:type="pct"/>
            <w:tcBorders>
              <w:bottom w:val="single" w:sz="4" w:space="0" w:color="000000" w:themeColor="text1"/>
            </w:tcBorders>
            <w:vAlign w:val="top"/>
          </w:tcPr>
          <w:p w14:paraId="0CBE0974" w14:textId="77777777" w:rsidR="00735346" w:rsidRPr="00892CA2"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892CA2">
              <w:rPr>
                <w:sz w:val="24"/>
                <w:lang w:val="en-US" w:eastAsia="en-GB"/>
              </w:rPr>
              <w:t>Similar levels of 39 phosphoproteins at the four specimen sites</w:t>
            </w:r>
          </w:p>
          <w:p w14:paraId="5A9F517D" w14:textId="6634A580" w:rsidR="00735346" w:rsidRPr="00892CA2"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r w:rsidRPr="00892CA2">
              <w:rPr>
                <w:sz w:val="24"/>
                <w:lang w:val="en-US" w:eastAsia="en-GB"/>
              </w:rPr>
              <w:t xml:space="preserve">(EGFR/ErbB1, HER2/ErbB2, HER3/ErbB3, FGFR1, FGFR3, FGFR4, </w:t>
            </w:r>
            <w:proofErr w:type="spellStart"/>
            <w:r w:rsidRPr="00892CA2">
              <w:rPr>
                <w:sz w:val="24"/>
                <w:lang w:val="en-US" w:eastAsia="en-GB"/>
              </w:rPr>
              <w:t>InsR</w:t>
            </w:r>
            <w:proofErr w:type="spellEnd"/>
            <w:r w:rsidRPr="00892CA2">
              <w:rPr>
                <w:sz w:val="24"/>
                <w:lang w:val="en-US" w:eastAsia="en-GB"/>
              </w:rPr>
              <w:t xml:space="preserve">, IGF-IR, </w:t>
            </w:r>
            <w:proofErr w:type="spellStart"/>
            <w:r w:rsidRPr="00892CA2">
              <w:rPr>
                <w:sz w:val="24"/>
                <w:lang w:val="en-US" w:eastAsia="en-GB"/>
              </w:rPr>
              <w:t>TrkA</w:t>
            </w:r>
            <w:proofErr w:type="spellEnd"/>
            <w:r w:rsidRPr="00892CA2">
              <w:rPr>
                <w:sz w:val="24"/>
                <w:lang w:val="en-US" w:eastAsia="en-GB"/>
              </w:rPr>
              <w:t xml:space="preserve">/NTRK1, </w:t>
            </w:r>
            <w:proofErr w:type="spellStart"/>
            <w:r w:rsidRPr="00892CA2">
              <w:rPr>
                <w:sz w:val="24"/>
                <w:lang w:val="en-US" w:eastAsia="en-GB"/>
              </w:rPr>
              <w:t>TrkB</w:t>
            </w:r>
            <w:proofErr w:type="spellEnd"/>
            <w:r w:rsidRPr="00892CA2">
              <w:rPr>
                <w:sz w:val="24"/>
                <w:lang w:val="en-US" w:eastAsia="en-GB"/>
              </w:rPr>
              <w:t>/NTRK2, Met/HGFR, Ron/MST1R, Ret, ALK, PDGFR, c-Kit/SCFR, FLT3/Flk2, M-CSFR/CSF-1R, EphA1, EphA2, EphA3, EphB1, EphB3, EphB4, Tyro3/</w:t>
            </w:r>
            <w:proofErr w:type="spellStart"/>
            <w:r w:rsidRPr="00892CA2">
              <w:rPr>
                <w:sz w:val="24"/>
                <w:lang w:val="en-US" w:eastAsia="en-GB"/>
              </w:rPr>
              <w:t>Dtk</w:t>
            </w:r>
            <w:proofErr w:type="spellEnd"/>
            <w:r w:rsidRPr="00892CA2">
              <w:rPr>
                <w:sz w:val="24"/>
                <w:lang w:val="en-US" w:eastAsia="en-GB"/>
              </w:rPr>
              <w:t xml:space="preserve">, </w:t>
            </w:r>
            <w:proofErr w:type="spellStart"/>
            <w:r w:rsidRPr="00892CA2">
              <w:rPr>
                <w:sz w:val="24"/>
                <w:lang w:val="en-US" w:eastAsia="en-GB"/>
              </w:rPr>
              <w:t>Axl</w:t>
            </w:r>
            <w:proofErr w:type="spellEnd"/>
            <w:r w:rsidRPr="00892CA2">
              <w:rPr>
                <w:sz w:val="24"/>
                <w:lang w:val="en-US" w:eastAsia="en-GB"/>
              </w:rPr>
              <w:t xml:space="preserve">, Tie2/TEK, VEGFR2/KDR, </w:t>
            </w:r>
            <w:proofErr w:type="spellStart"/>
            <w:r w:rsidRPr="00892CA2">
              <w:rPr>
                <w:sz w:val="24"/>
                <w:lang w:val="en-US" w:eastAsia="en-GB"/>
              </w:rPr>
              <w:t>Akt</w:t>
            </w:r>
            <w:proofErr w:type="spellEnd"/>
            <w:r w:rsidRPr="00892CA2">
              <w:rPr>
                <w:sz w:val="24"/>
                <w:lang w:val="en-US" w:eastAsia="en-GB"/>
              </w:rPr>
              <w:t>/PKB/</w:t>
            </w:r>
            <w:proofErr w:type="spellStart"/>
            <w:r w:rsidRPr="00892CA2">
              <w:rPr>
                <w:sz w:val="24"/>
                <w:lang w:val="en-US" w:eastAsia="en-GB"/>
              </w:rPr>
              <w:t>Rac</w:t>
            </w:r>
            <w:proofErr w:type="spellEnd"/>
            <w:r w:rsidRPr="00892CA2">
              <w:rPr>
                <w:sz w:val="24"/>
                <w:lang w:val="en-US" w:eastAsia="en-GB"/>
              </w:rPr>
              <w:t xml:space="preserve"> (at Thr308), </w:t>
            </w:r>
            <w:proofErr w:type="spellStart"/>
            <w:r w:rsidRPr="00892CA2">
              <w:rPr>
                <w:sz w:val="24"/>
                <w:lang w:val="en-US" w:eastAsia="en-GB"/>
              </w:rPr>
              <w:t>Akt</w:t>
            </w:r>
            <w:proofErr w:type="spellEnd"/>
            <w:r w:rsidRPr="00892CA2">
              <w:rPr>
                <w:sz w:val="24"/>
                <w:lang w:val="en-US" w:eastAsia="en-GB"/>
              </w:rPr>
              <w:t>/PKB/</w:t>
            </w:r>
            <w:proofErr w:type="spellStart"/>
            <w:r w:rsidRPr="00892CA2">
              <w:rPr>
                <w:sz w:val="24"/>
                <w:lang w:val="en-US" w:eastAsia="en-GB"/>
              </w:rPr>
              <w:t>Rac</w:t>
            </w:r>
            <w:proofErr w:type="spellEnd"/>
            <w:r w:rsidRPr="00892CA2">
              <w:rPr>
                <w:sz w:val="24"/>
                <w:lang w:val="en-US" w:eastAsia="en-GB"/>
              </w:rPr>
              <w:t xml:space="preserve"> (at Ser473), p44/42 MAPK, S6 Ribosomal Protein, c-</w:t>
            </w:r>
            <w:proofErr w:type="spellStart"/>
            <w:r w:rsidRPr="00892CA2">
              <w:rPr>
                <w:sz w:val="24"/>
                <w:lang w:val="en-US" w:eastAsia="en-GB"/>
              </w:rPr>
              <w:t>Abl</w:t>
            </w:r>
            <w:proofErr w:type="spellEnd"/>
            <w:r w:rsidRPr="00892CA2">
              <w:rPr>
                <w:sz w:val="24"/>
                <w:lang w:val="en-US" w:eastAsia="en-GB"/>
              </w:rPr>
              <w:t xml:space="preserve">, IRS-1, Zap-70, </w:t>
            </w:r>
            <w:proofErr w:type="spellStart"/>
            <w:r w:rsidRPr="00892CA2">
              <w:rPr>
                <w:sz w:val="24"/>
                <w:lang w:val="en-US" w:eastAsia="en-GB"/>
              </w:rPr>
              <w:t>Src</w:t>
            </w:r>
            <w:proofErr w:type="spellEnd"/>
            <w:r w:rsidRPr="00892CA2">
              <w:rPr>
                <w:sz w:val="24"/>
                <w:lang w:val="en-US" w:eastAsia="en-GB"/>
              </w:rPr>
              <w:t xml:space="preserve">, </w:t>
            </w:r>
            <w:proofErr w:type="spellStart"/>
            <w:r w:rsidRPr="00892CA2">
              <w:rPr>
                <w:sz w:val="24"/>
                <w:lang w:val="en-US" w:eastAsia="en-GB"/>
              </w:rPr>
              <w:t>Lck</w:t>
            </w:r>
            <w:proofErr w:type="spellEnd"/>
            <w:r w:rsidRPr="00892CA2">
              <w:rPr>
                <w:sz w:val="24"/>
                <w:lang w:val="en-US" w:eastAsia="en-GB"/>
              </w:rPr>
              <w:t>, Stat1 and Stat3)</w:t>
            </w:r>
          </w:p>
        </w:tc>
        <w:tc>
          <w:tcPr>
            <w:tcW w:w="1824" w:type="pct"/>
            <w:tcBorders>
              <w:bottom w:val="single" w:sz="4" w:space="0" w:color="000000" w:themeColor="text1"/>
            </w:tcBorders>
            <w:vAlign w:val="top"/>
          </w:tcPr>
          <w:p w14:paraId="2D060F70" w14:textId="77777777" w:rsidR="00735346" w:rsidRPr="00892CA2" w:rsidRDefault="00735346" w:rsidP="00735346">
            <w:pPr>
              <w:jc w:val="left"/>
              <w:cnfStyle w:val="000000000000" w:firstRow="0" w:lastRow="0" w:firstColumn="0" w:lastColumn="0" w:oddVBand="0" w:evenVBand="0" w:oddHBand="0" w:evenHBand="0" w:firstRowFirstColumn="0" w:firstRowLastColumn="0" w:lastRowFirstColumn="0" w:lastRowLastColumn="0"/>
              <w:rPr>
                <w:sz w:val="24"/>
                <w:lang w:val="en-US" w:eastAsia="en-GB"/>
              </w:rPr>
            </w:pPr>
          </w:p>
        </w:tc>
      </w:tr>
    </w:tbl>
    <w:p w14:paraId="7E992C78" w14:textId="1300BC4C" w:rsidR="00E17808" w:rsidRPr="00892CA2" w:rsidRDefault="00735346" w:rsidP="007E3B89">
      <w:pPr>
        <w:pStyle w:val="Tablefooter"/>
        <w:adjustRightInd w:val="0"/>
        <w:snapToGrid w:val="0"/>
        <w:spacing w:line="360" w:lineRule="auto"/>
        <w:jc w:val="both"/>
        <w:rPr>
          <w:sz w:val="24"/>
          <w:szCs w:val="24"/>
          <w:lang w:val="en-US" w:eastAsia="en-GB"/>
        </w:rPr>
      </w:pPr>
      <w:r w:rsidRPr="00892CA2">
        <w:rPr>
          <w:i w:val="0"/>
          <w:iCs/>
          <w:sz w:val="24"/>
          <w:szCs w:val="24"/>
          <w:lang w:val="en-US"/>
        </w:rPr>
        <w:t>See supplementary material for cytokine and phosphoprotein names in full</w:t>
      </w:r>
      <w:r w:rsidRPr="00892CA2">
        <w:rPr>
          <w:i w:val="0"/>
          <w:iCs/>
          <w:sz w:val="24"/>
          <w:szCs w:val="24"/>
          <w:lang w:val="en-US" w:eastAsia="en-GB"/>
        </w:rPr>
        <w:t>.</w:t>
      </w:r>
      <w:r w:rsidRPr="00892CA2">
        <w:rPr>
          <w:sz w:val="24"/>
          <w:szCs w:val="24"/>
          <w:lang w:val="en-US" w:eastAsia="en-GB"/>
        </w:rPr>
        <w:t xml:space="preserve"> </w:t>
      </w:r>
      <w:r w:rsidRPr="00892CA2">
        <w:rPr>
          <w:i w:val="0"/>
          <w:iCs/>
          <w:sz w:val="24"/>
          <w:szCs w:val="24"/>
          <w:lang w:val="en-US"/>
        </w:rPr>
        <w:t xml:space="preserve">PDAI: </w:t>
      </w:r>
      <w:r w:rsidR="008B1D27" w:rsidRPr="00892CA2">
        <w:rPr>
          <w:i w:val="0"/>
          <w:iCs/>
          <w:sz w:val="24"/>
          <w:szCs w:val="24"/>
          <w:lang w:val="en-US"/>
        </w:rPr>
        <w:t>Perineal Disease Activity Index</w:t>
      </w:r>
      <w:r w:rsidRPr="00892CA2">
        <w:rPr>
          <w:i w:val="0"/>
          <w:iCs/>
          <w:sz w:val="24"/>
          <w:szCs w:val="24"/>
          <w:lang w:val="en-US"/>
        </w:rPr>
        <w:t>;</w:t>
      </w:r>
      <w:r w:rsidR="008B1D27" w:rsidRPr="00892CA2">
        <w:rPr>
          <w:sz w:val="24"/>
          <w:szCs w:val="24"/>
          <w:lang w:val="en-US"/>
        </w:rPr>
        <w:t xml:space="preserve"> </w:t>
      </w:r>
      <w:r w:rsidRPr="00892CA2">
        <w:rPr>
          <w:i w:val="0"/>
          <w:iCs/>
          <w:sz w:val="24"/>
          <w:szCs w:val="24"/>
          <w:lang w:val="en-US"/>
        </w:rPr>
        <w:t xml:space="preserve">EQ: </w:t>
      </w:r>
      <w:proofErr w:type="spellStart"/>
      <w:r w:rsidR="008B1D27" w:rsidRPr="00892CA2">
        <w:rPr>
          <w:i w:val="0"/>
          <w:iCs/>
          <w:sz w:val="24"/>
          <w:szCs w:val="24"/>
          <w:lang w:val="en-US"/>
        </w:rPr>
        <w:t>EuroQol</w:t>
      </w:r>
      <w:proofErr w:type="spellEnd"/>
      <w:r w:rsidRPr="00892CA2">
        <w:rPr>
          <w:i w:val="0"/>
          <w:iCs/>
          <w:sz w:val="24"/>
          <w:szCs w:val="24"/>
          <w:lang w:val="en-US"/>
        </w:rPr>
        <w:t>;</w:t>
      </w:r>
      <w:r w:rsidR="008B1D27" w:rsidRPr="00892CA2">
        <w:rPr>
          <w:sz w:val="24"/>
          <w:szCs w:val="24"/>
          <w:lang w:val="en-US"/>
        </w:rPr>
        <w:t xml:space="preserve"> </w:t>
      </w:r>
      <w:r w:rsidRPr="00892CA2">
        <w:rPr>
          <w:i w:val="0"/>
          <w:iCs/>
          <w:sz w:val="24"/>
          <w:szCs w:val="24"/>
          <w:lang w:val="en-US"/>
        </w:rPr>
        <w:t>VAS: V</w:t>
      </w:r>
      <w:r w:rsidR="008B1D27" w:rsidRPr="00892CA2">
        <w:rPr>
          <w:i w:val="0"/>
          <w:iCs/>
          <w:sz w:val="24"/>
          <w:szCs w:val="24"/>
          <w:lang w:val="en-US"/>
        </w:rPr>
        <w:t>isual analogue score</w:t>
      </w:r>
      <w:r w:rsidRPr="00892CA2">
        <w:rPr>
          <w:i w:val="0"/>
          <w:iCs/>
          <w:sz w:val="24"/>
          <w:szCs w:val="24"/>
          <w:lang w:val="en-US"/>
        </w:rPr>
        <w:t>.</w:t>
      </w:r>
      <w:r w:rsidR="008B1D27" w:rsidRPr="00892CA2">
        <w:rPr>
          <w:sz w:val="24"/>
          <w:szCs w:val="24"/>
          <w:lang w:val="en-US" w:eastAsia="en-GB"/>
        </w:rPr>
        <w:t xml:space="preserve"> </w:t>
      </w:r>
      <w:r w:rsidR="00E17808" w:rsidRPr="00892CA2">
        <w:rPr>
          <w:sz w:val="24"/>
          <w:szCs w:val="24"/>
          <w:lang w:val="en-US" w:eastAsia="en-GB"/>
        </w:rPr>
        <w:br w:type="page"/>
      </w:r>
    </w:p>
    <w:p w14:paraId="017D5221" w14:textId="4C3D7D55" w:rsidR="00735346" w:rsidRPr="00892CA2" w:rsidRDefault="00B54233" w:rsidP="007E3B89">
      <w:pPr>
        <w:pStyle w:val="a8"/>
        <w:adjustRightInd w:val="0"/>
        <w:snapToGrid w:val="0"/>
        <w:spacing w:after="0" w:line="360" w:lineRule="auto"/>
        <w:jc w:val="both"/>
        <w:rPr>
          <w:sz w:val="24"/>
          <w:szCs w:val="24"/>
          <w:lang w:val="en-US"/>
        </w:rPr>
      </w:pPr>
      <w:bookmarkStart w:id="222" w:name="_Ref496213726"/>
      <w:r w:rsidRPr="00892CA2">
        <w:rPr>
          <w:noProof/>
          <w:sz w:val="24"/>
          <w:szCs w:val="24"/>
          <w:lang w:val="en-US" w:eastAsia="zh-CN"/>
        </w:rPr>
        <w:drawing>
          <wp:inline distT="0" distB="0" distL="0" distR="0" wp14:anchorId="6DFE1419" wp14:editId="4525AEC1">
            <wp:extent cx="2997200" cy="4686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7CAD203-EEC1-4CAD-8886-38C00A416A7F.png"/>
                    <pic:cNvPicPr/>
                  </pic:nvPicPr>
                  <pic:blipFill>
                    <a:blip r:embed="rId9"/>
                    <a:stretch>
                      <a:fillRect/>
                    </a:stretch>
                  </pic:blipFill>
                  <pic:spPr>
                    <a:xfrm>
                      <a:off x="0" y="0"/>
                      <a:ext cx="2997200" cy="4686300"/>
                    </a:xfrm>
                    <a:prstGeom prst="rect">
                      <a:avLst/>
                    </a:prstGeom>
                  </pic:spPr>
                </pic:pic>
              </a:graphicData>
            </a:graphic>
          </wp:inline>
        </w:drawing>
      </w:r>
    </w:p>
    <w:p w14:paraId="5B589E30" w14:textId="6C8948ED" w:rsidR="00B53711" w:rsidRPr="00892CA2" w:rsidRDefault="00E17808" w:rsidP="00504A91">
      <w:pPr>
        <w:pStyle w:val="a8"/>
        <w:adjustRightInd w:val="0"/>
        <w:snapToGrid w:val="0"/>
        <w:spacing w:after="0" w:line="360" w:lineRule="auto"/>
        <w:jc w:val="both"/>
        <w:rPr>
          <w:rFonts w:cs="Baskerville"/>
          <w:b w:val="0"/>
          <w:sz w:val="24"/>
          <w:szCs w:val="24"/>
          <w:lang w:val="en-US"/>
        </w:rPr>
      </w:pPr>
      <w:r w:rsidRPr="00892CA2">
        <w:rPr>
          <w:sz w:val="24"/>
          <w:szCs w:val="24"/>
          <w:lang w:val="en-US"/>
        </w:rPr>
        <w:t xml:space="preserve">Figure </w:t>
      </w:r>
      <w:r w:rsidR="00FB6502" w:rsidRPr="00892CA2">
        <w:rPr>
          <w:sz w:val="24"/>
          <w:szCs w:val="24"/>
          <w:lang w:val="en-US"/>
        </w:rPr>
        <w:t>1</w:t>
      </w:r>
      <w:bookmarkEnd w:id="222"/>
      <w:r w:rsidRPr="00892CA2">
        <w:rPr>
          <w:sz w:val="24"/>
          <w:szCs w:val="24"/>
          <w:lang w:val="en-US"/>
        </w:rPr>
        <w:t xml:space="preserve"> </w:t>
      </w:r>
      <w:r w:rsidRPr="00892CA2">
        <w:rPr>
          <w:bCs w:val="0"/>
          <w:sz w:val="24"/>
          <w:szCs w:val="24"/>
          <w:lang w:val="en-US"/>
        </w:rPr>
        <w:t xml:space="preserve">Median cytokine concentrations (log-10 scale) in the supernatants from 24-h fresh tissue cultures using a 30-plex </w:t>
      </w:r>
      <w:proofErr w:type="spellStart"/>
      <w:r w:rsidRPr="00892CA2">
        <w:rPr>
          <w:bCs w:val="0"/>
          <w:sz w:val="24"/>
          <w:szCs w:val="24"/>
          <w:lang w:val="en-US"/>
        </w:rPr>
        <w:t>Milliplex</w:t>
      </w:r>
      <w:proofErr w:type="spellEnd"/>
      <w:r w:rsidRPr="00892CA2">
        <w:rPr>
          <w:bCs w:val="0"/>
          <w:sz w:val="24"/>
          <w:szCs w:val="24"/>
          <w:lang w:val="en-US"/>
        </w:rPr>
        <w:t xml:space="preserve"> MAP Human Cytokine/Chemokine Magnetic Bead Panel (EMD Millipore, Billerica, </w:t>
      </w:r>
      <w:bookmarkStart w:id="223" w:name="OLE_LINK739"/>
      <w:bookmarkStart w:id="224" w:name="OLE_LINK740"/>
      <w:r w:rsidRPr="00892CA2">
        <w:rPr>
          <w:bCs w:val="0"/>
          <w:sz w:val="24"/>
          <w:szCs w:val="24"/>
          <w:lang w:val="en-US"/>
        </w:rPr>
        <w:t>M</w:t>
      </w:r>
      <w:r w:rsidR="00B54233" w:rsidRPr="00892CA2">
        <w:rPr>
          <w:bCs w:val="0"/>
          <w:sz w:val="24"/>
          <w:szCs w:val="24"/>
          <w:lang w:val="en-US"/>
        </w:rPr>
        <w:t>A, United States</w:t>
      </w:r>
      <w:bookmarkEnd w:id="223"/>
      <w:bookmarkEnd w:id="224"/>
      <w:r w:rsidRPr="00892CA2">
        <w:rPr>
          <w:bCs w:val="0"/>
          <w:sz w:val="24"/>
          <w:szCs w:val="24"/>
          <w:lang w:val="en-US"/>
        </w:rPr>
        <w:t>) and a MAGPIX multiplexing instrument (Luminex Corporation, Austin, TX</w:t>
      </w:r>
      <w:r w:rsidR="00A17EAD" w:rsidRPr="00892CA2">
        <w:rPr>
          <w:bCs w:val="0"/>
          <w:sz w:val="24"/>
          <w:szCs w:val="24"/>
          <w:lang w:val="en-US"/>
        </w:rPr>
        <w:t>, United States</w:t>
      </w:r>
      <w:r w:rsidRPr="00892CA2">
        <w:rPr>
          <w:bCs w:val="0"/>
          <w:sz w:val="24"/>
          <w:szCs w:val="24"/>
          <w:lang w:val="en-US"/>
        </w:rPr>
        <w:t>).</w:t>
      </w:r>
      <w:r w:rsidRPr="00892CA2">
        <w:rPr>
          <w:b w:val="0"/>
          <w:sz w:val="24"/>
          <w:szCs w:val="24"/>
          <w:lang w:val="en-US"/>
        </w:rPr>
        <w:t xml:space="preserve"> The median IL-12p70 concentration at the internal opening was higher in the Crohn’s disease group (a). The median difference was 19.7 </w:t>
      </w:r>
      <w:proofErr w:type="spellStart"/>
      <w:r w:rsidRPr="00892CA2">
        <w:rPr>
          <w:b w:val="0"/>
          <w:sz w:val="24"/>
          <w:szCs w:val="24"/>
          <w:lang w:val="en-US"/>
        </w:rPr>
        <w:t>pg</w:t>
      </w:r>
      <w:proofErr w:type="spellEnd"/>
      <w:r w:rsidRPr="00892CA2">
        <w:rPr>
          <w:b w:val="0"/>
          <w:sz w:val="24"/>
          <w:szCs w:val="24"/>
          <w:lang w:val="en-US"/>
        </w:rPr>
        <w:t>/m</w:t>
      </w:r>
      <w:r w:rsidR="00B53711" w:rsidRPr="00892CA2">
        <w:rPr>
          <w:b w:val="0"/>
          <w:sz w:val="24"/>
          <w:szCs w:val="24"/>
          <w:lang w:val="en-US"/>
        </w:rPr>
        <w:t>L</w:t>
      </w:r>
      <w:r w:rsidRPr="00892CA2">
        <w:rPr>
          <w:b w:val="0"/>
          <w:sz w:val="24"/>
          <w:szCs w:val="24"/>
          <w:lang w:val="en-US"/>
        </w:rPr>
        <w:t xml:space="preserve"> (Hodges-Lehman, 99%CI</w:t>
      </w:r>
      <w:r w:rsidR="00B53711" w:rsidRPr="00892CA2">
        <w:rPr>
          <w:b w:val="0"/>
          <w:sz w:val="24"/>
          <w:szCs w:val="24"/>
          <w:lang w:val="en-US"/>
        </w:rPr>
        <w:t>:</w:t>
      </w:r>
      <w:r w:rsidRPr="00892CA2">
        <w:rPr>
          <w:b w:val="0"/>
          <w:sz w:val="24"/>
          <w:szCs w:val="24"/>
          <w:lang w:val="en-US"/>
        </w:rPr>
        <w:t xml:space="preserve"> 0.2</w:t>
      </w:r>
      <w:r w:rsidR="00E97C8C" w:rsidRPr="00892CA2">
        <w:rPr>
          <w:b w:val="0"/>
          <w:sz w:val="24"/>
          <w:szCs w:val="24"/>
          <w:lang w:val="en-US"/>
        </w:rPr>
        <w:t>-</w:t>
      </w:r>
      <w:r w:rsidRPr="00892CA2">
        <w:rPr>
          <w:b w:val="0"/>
          <w:sz w:val="24"/>
          <w:szCs w:val="24"/>
          <w:lang w:val="en-US"/>
        </w:rPr>
        <w:t xml:space="preserve">40.4; Mann-Whitney </w:t>
      </w:r>
      <w:r w:rsidRPr="00892CA2">
        <w:rPr>
          <w:b w:val="0"/>
          <w:i/>
          <w:iCs/>
          <w:sz w:val="24"/>
          <w:szCs w:val="24"/>
          <w:lang w:val="en-US"/>
        </w:rPr>
        <w:t>U</w:t>
      </w:r>
      <w:r w:rsidRPr="00892CA2">
        <w:rPr>
          <w:b w:val="0"/>
          <w:sz w:val="24"/>
          <w:szCs w:val="24"/>
          <w:lang w:val="en-US"/>
        </w:rPr>
        <w:t xml:space="preserve">, </w:t>
      </w:r>
      <w:r w:rsidRPr="00892CA2">
        <w:rPr>
          <w:b w:val="0"/>
          <w:i/>
          <w:sz w:val="24"/>
          <w:szCs w:val="24"/>
          <w:lang w:val="en-US"/>
        </w:rPr>
        <w:t>P</w:t>
      </w:r>
      <w:r w:rsidRPr="00892CA2">
        <w:rPr>
          <w:b w:val="0"/>
          <w:sz w:val="24"/>
          <w:szCs w:val="24"/>
          <w:lang w:val="en-US"/>
        </w:rPr>
        <w:t xml:space="preserve"> = 0.008). The IL-1RA/IL-1</w:t>
      </w:r>
      <w:r w:rsidRPr="00892CA2">
        <w:rPr>
          <w:b w:val="0"/>
          <w:sz w:val="24"/>
          <w:szCs w:val="24"/>
          <w:lang w:val="en-US"/>
        </w:rPr>
        <w:sym w:font="Symbol" w:char="F062"/>
      </w:r>
      <w:r w:rsidRPr="00892CA2">
        <w:rPr>
          <w:b w:val="0"/>
          <w:sz w:val="24"/>
          <w:szCs w:val="24"/>
          <w:lang w:val="en-US"/>
        </w:rPr>
        <w:t xml:space="preserve"> concentration ratio was significantly lower in the Crohn’s disease group at the internal opening (b). The median difference was 15.0 (99%CI</w:t>
      </w:r>
      <w:r w:rsidR="00B53711" w:rsidRPr="00892CA2">
        <w:rPr>
          <w:b w:val="0"/>
          <w:sz w:val="24"/>
          <w:szCs w:val="24"/>
          <w:lang w:val="en-US"/>
        </w:rPr>
        <w:t>:</w:t>
      </w:r>
      <w:r w:rsidRPr="00892CA2">
        <w:rPr>
          <w:b w:val="0"/>
          <w:sz w:val="24"/>
          <w:szCs w:val="24"/>
          <w:lang w:val="en-US"/>
        </w:rPr>
        <w:t xml:space="preserve"> 0.4</w:t>
      </w:r>
      <w:r w:rsidR="00E97C8C" w:rsidRPr="00892CA2">
        <w:rPr>
          <w:b w:val="0"/>
          <w:sz w:val="24"/>
          <w:szCs w:val="24"/>
          <w:lang w:val="en-US"/>
        </w:rPr>
        <w:t>-</w:t>
      </w:r>
      <w:r w:rsidRPr="00892CA2">
        <w:rPr>
          <w:b w:val="0"/>
          <w:sz w:val="24"/>
          <w:szCs w:val="24"/>
          <w:lang w:val="en-US"/>
        </w:rPr>
        <w:t xml:space="preserve">50.5, </w:t>
      </w:r>
      <w:r w:rsidRPr="00892CA2">
        <w:rPr>
          <w:b w:val="0"/>
          <w:i/>
          <w:sz w:val="24"/>
          <w:szCs w:val="24"/>
          <w:lang w:val="en-US"/>
        </w:rPr>
        <w:t>P</w:t>
      </w:r>
      <w:r w:rsidRPr="00892CA2">
        <w:rPr>
          <w:b w:val="0"/>
          <w:sz w:val="24"/>
          <w:szCs w:val="24"/>
          <w:lang w:val="en-US"/>
        </w:rPr>
        <w:t xml:space="preserve"> = 0.008). There were no other statistically significant differences between the groups in the remaining 27 cytokines at the four biopsy sites. </w:t>
      </w:r>
      <w:r w:rsidR="00B53711" w:rsidRPr="00892CA2">
        <w:rPr>
          <w:rFonts w:cs="Baskerville"/>
          <w:b w:val="0"/>
          <w:sz w:val="24"/>
          <w:szCs w:val="24"/>
          <w:vertAlign w:val="superscript"/>
          <w:lang w:val="en-US"/>
        </w:rPr>
        <w:t>1</w:t>
      </w:r>
      <w:r w:rsidR="00B53711" w:rsidRPr="00892CA2">
        <w:rPr>
          <w:b w:val="0"/>
          <w:sz w:val="24"/>
          <w:szCs w:val="24"/>
          <w:lang w:val="en-US"/>
        </w:rPr>
        <w:t xml:space="preserve">Results should be interpreted cautiously as they were below the minimum detectable concentration for the assay. </w:t>
      </w:r>
      <w:bookmarkStart w:id="225" w:name="OLE_LINK741"/>
      <w:bookmarkStart w:id="226" w:name="OLE_LINK742"/>
      <w:r w:rsidR="00B53711" w:rsidRPr="00892CA2">
        <w:rPr>
          <w:b w:val="0"/>
          <w:sz w:val="24"/>
          <w:szCs w:val="24"/>
          <w:lang w:val="en-US"/>
        </w:rPr>
        <w:t xml:space="preserve">Id: </w:t>
      </w:r>
      <w:r w:rsidR="008B1D27" w:rsidRPr="00892CA2">
        <w:rPr>
          <w:b w:val="0"/>
          <w:sz w:val="24"/>
          <w:szCs w:val="24"/>
          <w:lang w:val="en-US"/>
        </w:rPr>
        <w:t>Idiopathic</w:t>
      </w:r>
      <w:r w:rsidR="00B53711" w:rsidRPr="00892CA2">
        <w:rPr>
          <w:b w:val="0"/>
          <w:sz w:val="24"/>
          <w:szCs w:val="24"/>
          <w:lang w:val="en-US"/>
        </w:rPr>
        <w:t>;</w:t>
      </w:r>
      <w:r w:rsidR="008B1D27" w:rsidRPr="00892CA2">
        <w:rPr>
          <w:b w:val="0"/>
          <w:sz w:val="24"/>
          <w:szCs w:val="24"/>
          <w:lang w:val="en-US"/>
        </w:rPr>
        <w:t xml:space="preserve"> </w:t>
      </w:r>
      <w:r w:rsidR="00B53711" w:rsidRPr="00892CA2">
        <w:rPr>
          <w:b w:val="0"/>
          <w:sz w:val="24"/>
          <w:szCs w:val="24"/>
          <w:lang w:val="en-US"/>
        </w:rPr>
        <w:t xml:space="preserve">CD: </w:t>
      </w:r>
      <w:r w:rsidR="008B1D27" w:rsidRPr="00892CA2">
        <w:rPr>
          <w:b w:val="0"/>
          <w:sz w:val="24"/>
          <w:szCs w:val="24"/>
          <w:lang w:val="en-US"/>
        </w:rPr>
        <w:t>Crohn’s disease</w:t>
      </w:r>
      <w:r w:rsidR="00B53711" w:rsidRPr="00892CA2">
        <w:rPr>
          <w:b w:val="0"/>
          <w:sz w:val="24"/>
          <w:szCs w:val="24"/>
          <w:lang w:val="en-US"/>
        </w:rPr>
        <w:t>;</w:t>
      </w:r>
      <w:r w:rsidR="008B1D27" w:rsidRPr="00892CA2">
        <w:rPr>
          <w:b w:val="0"/>
          <w:sz w:val="24"/>
          <w:szCs w:val="24"/>
          <w:lang w:val="en-US"/>
        </w:rPr>
        <w:t xml:space="preserve"> </w:t>
      </w:r>
      <w:r w:rsidR="00B53711" w:rsidRPr="00892CA2">
        <w:rPr>
          <w:b w:val="0"/>
          <w:sz w:val="24"/>
          <w:szCs w:val="24"/>
          <w:lang w:val="en-US"/>
        </w:rPr>
        <w:t>HC: H</w:t>
      </w:r>
      <w:r w:rsidR="008B1D27" w:rsidRPr="00892CA2">
        <w:rPr>
          <w:b w:val="0"/>
          <w:sz w:val="24"/>
          <w:szCs w:val="24"/>
          <w:lang w:val="en-US"/>
        </w:rPr>
        <w:t>ealthy controls</w:t>
      </w:r>
      <w:r w:rsidR="00B53711" w:rsidRPr="00892CA2">
        <w:rPr>
          <w:b w:val="0"/>
          <w:sz w:val="24"/>
          <w:szCs w:val="24"/>
          <w:lang w:val="en-US"/>
        </w:rPr>
        <w:t>; F: F</w:t>
      </w:r>
      <w:r w:rsidR="008B1D27" w:rsidRPr="00892CA2">
        <w:rPr>
          <w:b w:val="0"/>
          <w:sz w:val="24"/>
          <w:szCs w:val="24"/>
          <w:lang w:val="en-US"/>
        </w:rPr>
        <w:t>istula tract</w:t>
      </w:r>
      <w:r w:rsidR="00B53711" w:rsidRPr="00892CA2">
        <w:rPr>
          <w:b w:val="0"/>
          <w:sz w:val="24"/>
          <w:szCs w:val="24"/>
          <w:lang w:val="en-US"/>
        </w:rPr>
        <w:t>;</w:t>
      </w:r>
      <w:r w:rsidR="008B1D27" w:rsidRPr="00892CA2">
        <w:rPr>
          <w:b w:val="0"/>
          <w:sz w:val="24"/>
          <w:szCs w:val="24"/>
          <w:lang w:val="en-US"/>
        </w:rPr>
        <w:t xml:space="preserve"> </w:t>
      </w:r>
      <w:bookmarkStart w:id="227" w:name="OLE_LINK736"/>
      <w:bookmarkStart w:id="228" w:name="OLE_LINK737"/>
      <w:r w:rsidR="00B53711" w:rsidRPr="00892CA2">
        <w:rPr>
          <w:b w:val="0"/>
          <w:sz w:val="24"/>
          <w:szCs w:val="24"/>
          <w:lang w:val="en-US"/>
        </w:rPr>
        <w:t>G</w:t>
      </w:r>
      <w:bookmarkEnd w:id="227"/>
      <w:bookmarkEnd w:id="228"/>
      <w:r w:rsidR="00B53711" w:rsidRPr="00892CA2">
        <w:rPr>
          <w:b w:val="0"/>
          <w:sz w:val="24"/>
          <w:szCs w:val="24"/>
          <w:lang w:val="en-US"/>
        </w:rPr>
        <w:t xml:space="preserve">: </w:t>
      </w:r>
      <w:r w:rsidR="008B1D27" w:rsidRPr="00892CA2">
        <w:rPr>
          <w:b w:val="0"/>
          <w:sz w:val="24"/>
          <w:szCs w:val="24"/>
          <w:lang w:val="en-US"/>
        </w:rPr>
        <w:t>granulation tissue</w:t>
      </w:r>
      <w:r w:rsidR="00B53711" w:rsidRPr="00892CA2">
        <w:rPr>
          <w:b w:val="0"/>
          <w:sz w:val="24"/>
          <w:szCs w:val="24"/>
          <w:lang w:val="en-US"/>
        </w:rPr>
        <w:t>;</w:t>
      </w:r>
      <w:r w:rsidR="008B1D27" w:rsidRPr="00892CA2">
        <w:rPr>
          <w:b w:val="0"/>
          <w:sz w:val="24"/>
          <w:szCs w:val="24"/>
          <w:lang w:val="en-US"/>
        </w:rPr>
        <w:t xml:space="preserve"> </w:t>
      </w:r>
      <w:r w:rsidR="00B53711" w:rsidRPr="00892CA2">
        <w:rPr>
          <w:b w:val="0"/>
          <w:sz w:val="24"/>
          <w:szCs w:val="24"/>
          <w:lang w:val="en-US"/>
        </w:rPr>
        <w:t>I: I</w:t>
      </w:r>
      <w:r w:rsidR="008B1D27" w:rsidRPr="00892CA2">
        <w:rPr>
          <w:b w:val="0"/>
          <w:sz w:val="24"/>
          <w:szCs w:val="24"/>
          <w:lang w:val="en-US"/>
        </w:rPr>
        <w:t>nternal opening</w:t>
      </w:r>
      <w:r w:rsidR="00B53711" w:rsidRPr="00892CA2">
        <w:rPr>
          <w:b w:val="0"/>
          <w:sz w:val="24"/>
          <w:szCs w:val="24"/>
          <w:lang w:val="en-US"/>
        </w:rPr>
        <w:t>;</w:t>
      </w:r>
      <w:r w:rsidR="008B1D27" w:rsidRPr="00892CA2">
        <w:rPr>
          <w:b w:val="0"/>
          <w:sz w:val="24"/>
          <w:szCs w:val="24"/>
          <w:lang w:val="en-US"/>
        </w:rPr>
        <w:t xml:space="preserve"> </w:t>
      </w:r>
      <w:r w:rsidR="00B53711" w:rsidRPr="00892CA2">
        <w:rPr>
          <w:b w:val="0"/>
          <w:sz w:val="24"/>
          <w:szCs w:val="24"/>
          <w:lang w:val="en-US"/>
        </w:rPr>
        <w:t>R: R</w:t>
      </w:r>
      <w:r w:rsidR="008B1D27" w:rsidRPr="00892CA2">
        <w:rPr>
          <w:b w:val="0"/>
          <w:sz w:val="24"/>
          <w:szCs w:val="24"/>
          <w:lang w:val="en-US"/>
        </w:rPr>
        <w:t>ectal mucosa</w:t>
      </w:r>
      <w:r w:rsidR="00B53711" w:rsidRPr="00892CA2">
        <w:rPr>
          <w:b w:val="0"/>
          <w:sz w:val="24"/>
          <w:szCs w:val="24"/>
          <w:lang w:val="en-US"/>
        </w:rPr>
        <w:t>.</w:t>
      </w:r>
      <w:bookmarkStart w:id="229" w:name="_Ref320451273"/>
      <w:bookmarkStart w:id="230" w:name="_Ref6407445"/>
      <w:bookmarkStart w:id="231" w:name="_Toc356078447"/>
      <w:bookmarkEnd w:id="225"/>
      <w:bookmarkEnd w:id="226"/>
      <w:r w:rsidR="00B53711" w:rsidRPr="00892CA2">
        <w:rPr>
          <w:szCs w:val="24"/>
          <w:lang w:val="en-US"/>
        </w:rPr>
        <w:br w:type="page"/>
      </w:r>
    </w:p>
    <w:p w14:paraId="76015702" w14:textId="59AA5BF2" w:rsidR="00B53711" w:rsidRPr="00892CA2" w:rsidRDefault="00B53711" w:rsidP="007E3B89">
      <w:pPr>
        <w:pStyle w:val="a8"/>
        <w:adjustRightInd w:val="0"/>
        <w:snapToGrid w:val="0"/>
        <w:spacing w:after="0" w:line="360" w:lineRule="auto"/>
        <w:jc w:val="both"/>
        <w:rPr>
          <w:sz w:val="24"/>
          <w:szCs w:val="24"/>
          <w:lang w:val="en-US"/>
        </w:rPr>
      </w:pPr>
      <w:r w:rsidRPr="00892CA2">
        <w:rPr>
          <w:noProof/>
          <w:sz w:val="24"/>
          <w:szCs w:val="24"/>
          <w:lang w:val="en-US" w:eastAsia="zh-CN"/>
        </w:rPr>
        <w:drawing>
          <wp:inline distT="0" distB="0" distL="0" distR="0" wp14:anchorId="77962F73" wp14:editId="57A73521">
            <wp:extent cx="5219700" cy="2108200"/>
            <wp:effectExtent l="0" t="0" r="0" b="0"/>
            <wp:docPr id="16385" name="Pictur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AC98413-1AE4-A340-A0D7-1E3317AE84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5" name="Pictur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AC98413-1AE4-A340-A0D7-1E3317AE845D}"/>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210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B38B3E7" w14:textId="15285B3A" w:rsidR="00E17808" w:rsidRPr="00892CA2" w:rsidRDefault="00E17808" w:rsidP="007E3B89">
      <w:pPr>
        <w:pStyle w:val="a8"/>
        <w:adjustRightInd w:val="0"/>
        <w:snapToGrid w:val="0"/>
        <w:spacing w:after="0" w:line="360" w:lineRule="auto"/>
        <w:jc w:val="both"/>
        <w:rPr>
          <w:b w:val="0"/>
          <w:sz w:val="24"/>
          <w:szCs w:val="24"/>
          <w:lang w:val="en-US"/>
        </w:rPr>
      </w:pPr>
      <w:r w:rsidRPr="00892CA2">
        <w:rPr>
          <w:sz w:val="24"/>
          <w:szCs w:val="24"/>
          <w:lang w:val="en-US"/>
        </w:rPr>
        <w:t xml:space="preserve">Figure </w:t>
      </w:r>
      <w:r w:rsidR="00FB6502" w:rsidRPr="00892CA2">
        <w:rPr>
          <w:sz w:val="24"/>
          <w:szCs w:val="24"/>
          <w:lang w:val="en-US"/>
        </w:rPr>
        <w:t>2</w:t>
      </w:r>
      <w:bookmarkEnd w:id="229"/>
      <w:bookmarkEnd w:id="230"/>
      <w:r w:rsidR="00B53711" w:rsidRPr="00892CA2">
        <w:rPr>
          <w:sz w:val="24"/>
          <w:szCs w:val="24"/>
          <w:lang w:val="en-US"/>
        </w:rPr>
        <w:t xml:space="preserve"> </w:t>
      </w:r>
      <w:r w:rsidRPr="00892CA2">
        <w:rPr>
          <w:bCs w:val="0"/>
          <w:sz w:val="24"/>
          <w:szCs w:val="24"/>
          <w:lang w:val="en-US"/>
        </w:rPr>
        <w:t>Boxplots for IL-12p70 concentration (left) and IL-1RA/IL-1</w:t>
      </w:r>
      <w:r w:rsidRPr="00892CA2">
        <w:rPr>
          <w:bCs w:val="0"/>
          <w:sz w:val="24"/>
          <w:szCs w:val="24"/>
          <w:lang w:val="en-US"/>
        </w:rPr>
        <w:sym w:font="Symbol" w:char="F062"/>
      </w:r>
      <w:r w:rsidRPr="00892CA2">
        <w:rPr>
          <w:bCs w:val="0"/>
          <w:sz w:val="24"/>
          <w:szCs w:val="24"/>
          <w:lang w:val="en-US"/>
        </w:rPr>
        <w:t xml:space="preserve"> concentration ratios (right) in the supernatants from 24-h fresh tissue cultures using a 30-plex </w:t>
      </w:r>
      <w:proofErr w:type="spellStart"/>
      <w:r w:rsidRPr="00892CA2">
        <w:rPr>
          <w:bCs w:val="0"/>
          <w:sz w:val="24"/>
          <w:szCs w:val="24"/>
          <w:lang w:val="en-US"/>
        </w:rPr>
        <w:t>Milliplex</w:t>
      </w:r>
      <w:proofErr w:type="spellEnd"/>
      <w:r w:rsidRPr="00892CA2">
        <w:rPr>
          <w:bCs w:val="0"/>
          <w:sz w:val="24"/>
          <w:szCs w:val="24"/>
          <w:lang w:val="en-US"/>
        </w:rPr>
        <w:t xml:space="preserve"> MAP Human Cytokine/Chemokine Magnetic Bead Panel (EMD Millipore, Billerica, </w:t>
      </w:r>
      <w:r w:rsidR="00B53711" w:rsidRPr="00892CA2">
        <w:rPr>
          <w:bCs w:val="0"/>
          <w:sz w:val="24"/>
          <w:szCs w:val="24"/>
          <w:lang w:val="en-US"/>
        </w:rPr>
        <w:t>MA, United States</w:t>
      </w:r>
      <w:r w:rsidRPr="00892CA2">
        <w:rPr>
          <w:bCs w:val="0"/>
          <w:sz w:val="24"/>
          <w:szCs w:val="24"/>
          <w:lang w:val="en-US"/>
        </w:rPr>
        <w:t>) and a MAGPIX multiplexing instrument (Luminex Corporation, Austin, TX</w:t>
      </w:r>
      <w:r w:rsidR="00B53711" w:rsidRPr="00892CA2">
        <w:rPr>
          <w:bCs w:val="0"/>
          <w:sz w:val="24"/>
          <w:szCs w:val="24"/>
          <w:lang w:val="en-US"/>
        </w:rPr>
        <w:t>, United States</w:t>
      </w:r>
      <w:r w:rsidRPr="00892CA2">
        <w:rPr>
          <w:bCs w:val="0"/>
          <w:sz w:val="24"/>
          <w:szCs w:val="24"/>
          <w:lang w:val="en-US"/>
        </w:rPr>
        <w:t xml:space="preserve">). </w:t>
      </w:r>
      <w:r w:rsidRPr="00892CA2">
        <w:rPr>
          <w:b w:val="0"/>
          <w:sz w:val="24"/>
          <w:szCs w:val="24"/>
          <w:lang w:val="en-US"/>
        </w:rPr>
        <w:t xml:space="preserve">At the internal opening, differences between the idiopathic and Crohn’s disease groups were statistically significant. Median difference in IL-12p70 concentration at the internal opening was 19.7 </w:t>
      </w:r>
      <w:proofErr w:type="spellStart"/>
      <w:r w:rsidRPr="00892CA2">
        <w:rPr>
          <w:b w:val="0"/>
          <w:sz w:val="24"/>
          <w:szCs w:val="24"/>
          <w:lang w:val="en-US"/>
        </w:rPr>
        <w:t>pg</w:t>
      </w:r>
      <w:proofErr w:type="spellEnd"/>
      <w:r w:rsidRPr="00892CA2">
        <w:rPr>
          <w:b w:val="0"/>
          <w:sz w:val="24"/>
          <w:szCs w:val="24"/>
          <w:lang w:val="en-US"/>
        </w:rPr>
        <w:t>/m</w:t>
      </w:r>
      <w:r w:rsidR="00B53711" w:rsidRPr="00892CA2">
        <w:rPr>
          <w:b w:val="0"/>
          <w:sz w:val="24"/>
          <w:szCs w:val="24"/>
          <w:lang w:val="en-US"/>
        </w:rPr>
        <w:t>L</w:t>
      </w:r>
      <w:r w:rsidRPr="00892CA2">
        <w:rPr>
          <w:b w:val="0"/>
          <w:sz w:val="24"/>
          <w:szCs w:val="24"/>
          <w:lang w:val="en-US"/>
        </w:rPr>
        <w:t xml:space="preserve"> (Hodges-Lehman, 99%CI</w:t>
      </w:r>
      <w:r w:rsidR="00B53711" w:rsidRPr="00892CA2">
        <w:rPr>
          <w:b w:val="0"/>
          <w:sz w:val="24"/>
          <w:szCs w:val="24"/>
          <w:lang w:val="en-US"/>
        </w:rPr>
        <w:t>:</w:t>
      </w:r>
      <w:r w:rsidRPr="00892CA2">
        <w:rPr>
          <w:b w:val="0"/>
          <w:sz w:val="24"/>
          <w:szCs w:val="24"/>
          <w:lang w:val="en-US"/>
        </w:rPr>
        <w:t xml:space="preserve"> 0.2</w:t>
      </w:r>
      <w:r w:rsidR="00E97C8C" w:rsidRPr="00892CA2">
        <w:rPr>
          <w:b w:val="0"/>
          <w:sz w:val="24"/>
          <w:szCs w:val="24"/>
          <w:lang w:val="en-US"/>
        </w:rPr>
        <w:t>-</w:t>
      </w:r>
      <w:r w:rsidRPr="00892CA2">
        <w:rPr>
          <w:b w:val="0"/>
          <w:sz w:val="24"/>
          <w:szCs w:val="24"/>
          <w:lang w:val="en-US"/>
        </w:rPr>
        <w:t xml:space="preserve">40.4; Mann-Whitney </w:t>
      </w:r>
      <w:r w:rsidRPr="00892CA2">
        <w:rPr>
          <w:b w:val="0"/>
          <w:i/>
          <w:iCs/>
          <w:sz w:val="24"/>
          <w:szCs w:val="24"/>
          <w:lang w:val="en-US"/>
        </w:rPr>
        <w:t>U</w:t>
      </w:r>
      <w:r w:rsidRPr="00892CA2">
        <w:rPr>
          <w:b w:val="0"/>
          <w:sz w:val="24"/>
          <w:szCs w:val="24"/>
          <w:lang w:val="en-US"/>
        </w:rPr>
        <w:t xml:space="preserve">, </w:t>
      </w:r>
      <w:r w:rsidRPr="00892CA2">
        <w:rPr>
          <w:b w:val="0"/>
          <w:i/>
          <w:sz w:val="24"/>
          <w:szCs w:val="24"/>
          <w:lang w:val="en-US"/>
        </w:rPr>
        <w:t>P</w:t>
      </w:r>
      <w:r w:rsidRPr="00892CA2">
        <w:rPr>
          <w:b w:val="0"/>
          <w:sz w:val="24"/>
          <w:szCs w:val="24"/>
          <w:lang w:val="en-US"/>
        </w:rPr>
        <w:t xml:space="preserve"> = 0.008). The median difference in IL-1RA/IL-1</w:t>
      </w:r>
      <w:r w:rsidRPr="00892CA2">
        <w:rPr>
          <w:b w:val="0"/>
          <w:sz w:val="24"/>
          <w:szCs w:val="24"/>
          <w:lang w:val="en-US"/>
        </w:rPr>
        <w:sym w:font="Symbol" w:char="F062"/>
      </w:r>
      <w:r w:rsidRPr="00892CA2">
        <w:rPr>
          <w:b w:val="0"/>
          <w:sz w:val="24"/>
          <w:szCs w:val="24"/>
          <w:lang w:val="en-US"/>
        </w:rPr>
        <w:t xml:space="preserve"> at the internal opening was 15.0 (Hodges-Lehman, 99%CI</w:t>
      </w:r>
      <w:r w:rsidR="00B53711" w:rsidRPr="00892CA2">
        <w:rPr>
          <w:b w:val="0"/>
          <w:sz w:val="24"/>
          <w:szCs w:val="24"/>
          <w:lang w:val="en-US"/>
        </w:rPr>
        <w:t>:</w:t>
      </w:r>
      <w:r w:rsidRPr="00892CA2">
        <w:rPr>
          <w:b w:val="0"/>
          <w:sz w:val="24"/>
          <w:szCs w:val="24"/>
          <w:lang w:val="en-US"/>
        </w:rPr>
        <w:t xml:space="preserve"> 0.4</w:t>
      </w:r>
      <w:r w:rsidR="00E97C8C" w:rsidRPr="00892CA2">
        <w:rPr>
          <w:b w:val="0"/>
          <w:sz w:val="24"/>
          <w:szCs w:val="24"/>
          <w:lang w:val="en-US"/>
        </w:rPr>
        <w:t>-</w:t>
      </w:r>
      <w:r w:rsidRPr="00892CA2">
        <w:rPr>
          <w:b w:val="0"/>
          <w:sz w:val="24"/>
          <w:szCs w:val="24"/>
          <w:lang w:val="en-US"/>
        </w:rPr>
        <w:t xml:space="preserve">50.5; Mann-Whitney </w:t>
      </w:r>
      <w:r w:rsidRPr="00892CA2">
        <w:rPr>
          <w:b w:val="0"/>
          <w:i/>
          <w:iCs/>
          <w:sz w:val="24"/>
          <w:szCs w:val="24"/>
          <w:lang w:val="en-US"/>
        </w:rPr>
        <w:t>U</w:t>
      </w:r>
      <w:r w:rsidRPr="00892CA2">
        <w:rPr>
          <w:b w:val="0"/>
          <w:sz w:val="24"/>
          <w:szCs w:val="24"/>
          <w:lang w:val="en-US"/>
        </w:rPr>
        <w:t xml:space="preserve">, </w:t>
      </w:r>
      <w:r w:rsidRPr="00892CA2">
        <w:rPr>
          <w:b w:val="0"/>
          <w:i/>
          <w:sz w:val="24"/>
          <w:szCs w:val="24"/>
          <w:lang w:val="en-US"/>
        </w:rPr>
        <w:t>P</w:t>
      </w:r>
      <w:r w:rsidRPr="00892CA2">
        <w:rPr>
          <w:b w:val="0"/>
          <w:sz w:val="24"/>
          <w:szCs w:val="24"/>
          <w:lang w:val="en-US"/>
        </w:rPr>
        <w:t xml:space="preserve"> = 0.008). Circle marker, outlier within 1.5 </w:t>
      </w:r>
      <w:r w:rsidR="006111FE" w:rsidRPr="00892CA2">
        <w:rPr>
          <w:b w:val="0"/>
          <w:sz w:val="24"/>
          <w:szCs w:val="24"/>
          <w:lang w:val="en-US"/>
        </w:rPr>
        <w:t>×</w:t>
      </w:r>
      <w:r w:rsidRPr="00892CA2">
        <w:rPr>
          <w:b w:val="0"/>
          <w:sz w:val="24"/>
          <w:szCs w:val="24"/>
          <w:lang w:val="en-US"/>
        </w:rPr>
        <w:t xml:space="preserve"> interquartile range (IQR); Star marker, outlier out</w:t>
      </w:r>
      <w:r w:rsidR="006B2E3E" w:rsidRPr="00892CA2">
        <w:rPr>
          <w:b w:val="0"/>
          <w:sz w:val="24"/>
          <w:szCs w:val="24"/>
          <w:lang w:val="en-US"/>
        </w:rPr>
        <w:t xml:space="preserve"> </w:t>
      </w:r>
      <w:r w:rsidRPr="00892CA2">
        <w:rPr>
          <w:b w:val="0"/>
          <w:sz w:val="24"/>
          <w:szCs w:val="24"/>
          <w:lang w:val="en-US"/>
        </w:rPr>
        <w:t xml:space="preserve">with 1.5 </w:t>
      </w:r>
      <w:r w:rsidR="006111FE" w:rsidRPr="00892CA2">
        <w:rPr>
          <w:b w:val="0"/>
          <w:sz w:val="24"/>
          <w:szCs w:val="24"/>
          <w:lang w:val="en-US"/>
        </w:rPr>
        <w:t>×</w:t>
      </w:r>
      <w:r w:rsidRPr="00892CA2">
        <w:rPr>
          <w:b w:val="0"/>
          <w:sz w:val="24"/>
          <w:szCs w:val="24"/>
          <w:lang w:val="en-US"/>
        </w:rPr>
        <w:t xml:space="preserve"> IQR. </w:t>
      </w:r>
      <w:proofErr w:type="gramStart"/>
      <w:r w:rsidRPr="00892CA2">
        <w:rPr>
          <w:b w:val="0"/>
          <w:sz w:val="24"/>
          <w:szCs w:val="24"/>
          <w:lang w:val="en-US"/>
        </w:rPr>
        <w:t xml:space="preserve">One outlier not shown to limit </w:t>
      </w:r>
      <w:r w:rsidR="006111FE" w:rsidRPr="00892CA2">
        <w:rPr>
          <w:b w:val="0"/>
          <w:sz w:val="24"/>
          <w:szCs w:val="24"/>
          <w:lang w:val="en-US"/>
        </w:rPr>
        <w:t>Y</w:t>
      </w:r>
      <w:r w:rsidRPr="00892CA2">
        <w:rPr>
          <w:b w:val="0"/>
          <w:sz w:val="24"/>
          <w:szCs w:val="24"/>
          <w:lang w:val="en-US"/>
        </w:rPr>
        <w:t>-axis scale.</w:t>
      </w:r>
      <w:bookmarkEnd w:id="231"/>
      <w:proofErr w:type="gramEnd"/>
      <w:r w:rsidRPr="00892CA2">
        <w:rPr>
          <w:b w:val="0"/>
          <w:sz w:val="24"/>
          <w:szCs w:val="24"/>
          <w:lang w:val="en-US"/>
        </w:rPr>
        <w:t xml:space="preserve"> </w:t>
      </w:r>
    </w:p>
    <w:p w14:paraId="4C28BF4E" w14:textId="6F890E8D" w:rsidR="006111FE" w:rsidRPr="00892CA2" w:rsidRDefault="006111FE">
      <w:pPr>
        <w:spacing w:before="0" w:after="0" w:line="240" w:lineRule="auto"/>
        <w:rPr>
          <w:lang w:val="en-US" w:eastAsia="en-GB"/>
        </w:rPr>
      </w:pPr>
      <w:r w:rsidRPr="00892CA2">
        <w:rPr>
          <w:lang w:val="en-US" w:eastAsia="en-GB"/>
        </w:rPr>
        <w:br w:type="page"/>
      </w:r>
    </w:p>
    <w:p w14:paraId="7800193A" w14:textId="0E095535" w:rsidR="006111FE" w:rsidRPr="00892CA2" w:rsidRDefault="006111FE" w:rsidP="006111FE">
      <w:pPr>
        <w:rPr>
          <w:lang w:val="en-US" w:eastAsia="en-GB"/>
        </w:rPr>
      </w:pPr>
      <w:r w:rsidRPr="00892CA2">
        <w:rPr>
          <w:noProof/>
          <w:lang w:val="en-US" w:eastAsia="zh-CN"/>
        </w:rPr>
        <w:drawing>
          <wp:inline distT="0" distB="0" distL="0" distR="0" wp14:anchorId="17168D86" wp14:editId="515EA054">
            <wp:extent cx="3530600" cy="5765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C8F33AF-EF92-4417-BCB1-3897E8F22685.png"/>
                    <pic:cNvPicPr/>
                  </pic:nvPicPr>
                  <pic:blipFill>
                    <a:blip r:embed="rId11"/>
                    <a:stretch>
                      <a:fillRect/>
                    </a:stretch>
                  </pic:blipFill>
                  <pic:spPr>
                    <a:xfrm>
                      <a:off x="0" y="0"/>
                      <a:ext cx="3530600" cy="5765800"/>
                    </a:xfrm>
                    <a:prstGeom prst="rect">
                      <a:avLst/>
                    </a:prstGeom>
                  </pic:spPr>
                </pic:pic>
              </a:graphicData>
            </a:graphic>
          </wp:inline>
        </w:drawing>
      </w:r>
    </w:p>
    <w:p w14:paraId="49214AA3" w14:textId="690A8A86" w:rsidR="00137B77" w:rsidRPr="00892CA2" w:rsidRDefault="00E17808" w:rsidP="007E3B89">
      <w:pPr>
        <w:pStyle w:val="a8"/>
        <w:adjustRightInd w:val="0"/>
        <w:snapToGrid w:val="0"/>
        <w:spacing w:after="0" w:line="360" w:lineRule="auto"/>
        <w:jc w:val="both"/>
        <w:rPr>
          <w:b w:val="0"/>
          <w:sz w:val="24"/>
          <w:szCs w:val="24"/>
          <w:lang w:val="en-US"/>
        </w:rPr>
      </w:pPr>
      <w:bookmarkStart w:id="232" w:name="_Ref372059957"/>
      <w:bookmarkStart w:id="233" w:name="_Ref496216014"/>
      <w:bookmarkStart w:id="234" w:name="_Ref513632025"/>
      <w:bookmarkStart w:id="235" w:name="_Ref6407505"/>
      <w:r w:rsidRPr="00892CA2">
        <w:rPr>
          <w:sz w:val="24"/>
          <w:szCs w:val="24"/>
          <w:lang w:val="en-US"/>
        </w:rPr>
        <w:t>Figure</w:t>
      </w:r>
      <w:bookmarkEnd w:id="232"/>
      <w:r w:rsidRPr="00892CA2">
        <w:rPr>
          <w:sz w:val="24"/>
          <w:szCs w:val="24"/>
          <w:lang w:val="en-US"/>
        </w:rPr>
        <w:t xml:space="preserve"> </w:t>
      </w:r>
      <w:r w:rsidR="00FB6502" w:rsidRPr="00892CA2">
        <w:rPr>
          <w:sz w:val="24"/>
          <w:szCs w:val="24"/>
          <w:lang w:val="en-US"/>
        </w:rPr>
        <w:t>3</w:t>
      </w:r>
      <w:bookmarkEnd w:id="233"/>
      <w:bookmarkEnd w:id="234"/>
      <w:bookmarkEnd w:id="235"/>
      <w:r w:rsidRPr="00892CA2">
        <w:rPr>
          <w:sz w:val="24"/>
          <w:szCs w:val="24"/>
          <w:lang w:val="en-US"/>
        </w:rPr>
        <w:t xml:space="preserve"> </w:t>
      </w:r>
      <w:r w:rsidRPr="00892CA2">
        <w:rPr>
          <w:bCs w:val="0"/>
          <w:sz w:val="24"/>
          <w:szCs w:val="24"/>
          <w:lang w:val="en-US"/>
        </w:rPr>
        <w:t xml:space="preserve">Median signal intensities (%) quantifying the phosphorylation status of receptor tyrosine kinases in the cell lysates of the fresh tissue samples using the </w:t>
      </w:r>
      <w:proofErr w:type="spellStart"/>
      <w:r w:rsidRPr="00892CA2">
        <w:rPr>
          <w:bCs w:val="0"/>
          <w:sz w:val="24"/>
          <w:szCs w:val="24"/>
          <w:lang w:val="en-US"/>
        </w:rPr>
        <w:t>PathScan</w:t>
      </w:r>
      <w:proofErr w:type="spellEnd"/>
      <w:r w:rsidRPr="00892CA2">
        <w:rPr>
          <w:bCs w:val="0"/>
          <w:sz w:val="24"/>
          <w:szCs w:val="24"/>
          <w:lang w:val="en-US"/>
        </w:rPr>
        <w:t xml:space="preserve"> RTK Signaling Antibody Array, Chemiluminescent Readout (Cell Signaling Technology, Danvers, Massachusetts).</w:t>
      </w:r>
      <w:r w:rsidRPr="00892CA2">
        <w:rPr>
          <w:b w:val="0"/>
          <w:sz w:val="24"/>
          <w:szCs w:val="24"/>
          <w:lang w:val="en-US"/>
        </w:rPr>
        <w:t xml:space="preserve"> The signal intensities were similar in the idiopathic and Crohn’s disease groups at the four specimen sites. When the Crohn’s disease group was compared to healthy controls, a statistically significant difference (Mann </w:t>
      </w:r>
      <w:proofErr w:type="spellStart"/>
      <w:r w:rsidRPr="00892CA2">
        <w:rPr>
          <w:b w:val="0"/>
          <w:sz w:val="24"/>
          <w:szCs w:val="24"/>
          <w:lang w:val="en-US"/>
        </w:rPr>
        <w:t>Witney</w:t>
      </w:r>
      <w:proofErr w:type="spellEnd"/>
      <w:r w:rsidRPr="00892CA2">
        <w:rPr>
          <w:b w:val="0"/>
          <w:sz w:val="24"/>
          <w:szCs w:val="24"/>
          <w:lang w:val="en-US"/>
        </w:rPr>
        <w:t xml:space="preserve"> </w:t>
      </w:r>
      <w:r w:rsidRPr="00892CA2">
        <w:rPr>
          <w:b w:val="0"/>
          <w:i/>
          <w:iCs/>
          <w:sz w:val="24"/>
          <w:szCs w:val="24"/>
          <w:lang w:val="en-US"/>
        </w:rPr>
        <w:t>U</w:t>
      </w:r>
      <w:r w:rsidRPr="00892CA2">
        <w:rPr>
          <w:b w:val="0"/>
          <w:sz w:val="24"/>
          <w:szCs w:val="24"/>
          <w:lang w:val="en-US"/>
        </w:rPr>
        <w:t xml:space="preserve">, </w:t>
      </w:r>
      <w:r w:rsidRPr="00892CA2">
        <w:rPr>
          <w:b w:val="0"/>
          <w:i/>
          <w:sz w:val="24"/>
          <w:szCs w:val="24"/>
          <w:lang w:val="en-US"/>
        </w:rPr>
        <w:t xml:space="preserve">P </w:t>
      </w:r>
      <w:r w:rsidRPr="00892CA2">
        <w:rPr>
          <w:b w:val="0"/>
          <w:sz w:val="24"/>
          <w:szCs w:val="24"/>
          <w:lang w:val="en-US"/>
        </w:rPr>
        <w:t xml:space="preserve">&lt; 0.01) was seen for EphA1, EphB1, EphB4, Tyro3 and VEGFR2. </w:t>
      </w:r>
      <w:r w:rsidR="00FA2350" w:rsidRPr="00892CA2">
        <w:rPr>
          <w:b w:val="0"/>
          <w:sz w:val="24"/>
          <w:szCs w:val="24"/>
          <w:lang w:val="en-US"/>
        </w:rPr>
        <w:t xml:space="preserve">Id: Idiopathic; CD: Crohn’s disease; HC: Healthy controls; F: Fistula tract; G: </w:t>
      </w:r>
      <w:r w:rsidR="006B2E3E" w:rsidRPr="00892CA2">
        <w:rPr>
          <w:b w:val="0"/>
          <w:sz w:val="24"/>
          <w:szCs w:val="24"/>
          <w:lang w:val="en-US"/>
        </w:rPr>
        <w:t>G</w:t>
      </w:r>
      <w:r w:rsidR="00FA2350" w:rsidRPr="00892CA2">
        <w:rPr>
          <w:b w:val="0"/>
          <w:sz w:val="24"/>
          <w:szCs w:val="24"/>
          <w:lang w:val="en-US"/>
        </w:rPr>
        <w:t>ranulation tissue; I: Internal opening; R: Rectal mucosa.</w:t>
      </w:r>
      <w:bookmarkStart w:id="236" w:name="_Ref352245734"/>
      <w:bookmarkStart w:id="237" w:name="_Toc356078462"/>
    </w:p>
    <w:p w14:paraId="36B17FED" w14:textId="10ED086C" w:rsidR="00FA2350" w:rsidRPr="00892CA2" w:rsidRDefault="00FA2350">
      <w:pPr>
        <w:spacing w:before="0" w:after="0" w:line="240" w:lineRule="auto"/>
        <w:rPr>
          <w:lang w:val="en-US" w:eastAsia="en-GB"/>
        </w:rPr>
      </w:pPr>
      <w:r w:rsidRPr="00892CA2">
        <w:rPr>
          <w:lang w:val="en-US" w:eastAsia="en-GB"/>
        </w:rPr>
        <w:br w:type="page"/>
      </w:r>
    </w:p>
    <w:p w14:paraId="7068CC18" w14:textId="01C172E1" w:rsidR="00FA2350" w:rsidRPr="00892CA2" w:rsidRDefault="00DE41AD" w:rsidP="00FA2350">
      <w:pPr>
        <w:rPr>
          <w:lang w:val="en-US" w:eastAsia="en-GB"/>
        </w:rPr>
      </w:pPr>
      <w:r w:rsidRPr="00892CA2">
        <w:rPr>
          <w:noProof/>
          <w:lang w:val="en-US" w:eastAsia="zh-CN"/>
        </w:rPr>
        <w:drawing>
          <wp:inline distT="0" distB="0" distL="0" distR="0" wp14:anchorId="7560E279" wp14:editId="2E328798">
            <wp:extent cx="4288726" cy="4428781"/>
            <wp:effectExtent l="0" t="0" r="4445"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198916-2D2A-49C9-A42D-320D14691D36.png"/>
                    <pic:cNvPicPr/>
                  </pic:nvPicPr>
                  <pic:blipFill>
                    <a:blip r:embed="rId12"/>
                    <a:stretch>
                      <a:fillRect/>
                    </a:stretch>
                  </pic:blipFill>
                  <pic:spPr>
                    <a:xfrm>
                      <a:off x="0" y="0"/>
                      <a:ext cx="4296365" cy="4436669"/>
                    </a:xfrm>
                    <a:prstGeom prst="rect">
                      <a:avLst/>
                    </a:prstGeom>
                  </pic:spPr>
                </pic:pic>
              </a:graphicData>
            </a:graphic>
          </wp:inline>
        </w:drawing>
      </w:r>
    </w:p>
    <w:p w14:paraId="3601A20F" w14:textId="461507A9" w:rsidR="00E17808" w:rsidRPr="007018B5" w:rsidRDefault="00E17808" w:rsidP="007E3B89">
      <w:pPr>
        <w:pStyle w:val="a8"/>
        <w:adjustRightInd w:val="0"/>
        <w:snapToGrid w:val="0"/>
        <w:spacing w:after="0" w:line="360" w:lineRule="auto"/>
        <w:jc w:val="both"/>
        <w:rPr>
          <w:b w:val="0"/>
          <w:sz w:val="24"/>
          <w:szCs w:val="24"/>
          <w:lang w:val="en-US"/>
        </w:rPr>
      </w:pPr>
      <w:bookmarkStart w:id="238" w:name="_Ref6407532"/>
      <w:r w:rsidRPr="00892CA2">
        <w:rPr>
          <w:sz w:val="24"/>
          <w:szCs w:val="24"/>
          <w:lang w:val="en-US"/>
        </w:rPr>
        <w:t xml:space="preserve">Figure </w:t>
      </w:r>
      <w:r w:rsidR="00FB6502" w:rsidRPr="00892CA2">
        <w:rPr>
          <w:sz w:val="24"/>
          <w:szCs w:val="24"/>
          <w:lang w:val="en-US"/>
        </w:rPr>
        <w:t>4</w:t>
      </w:r>
      <w:bookmarkEnd w:id="236"/>
      <w:bookmarkEnd w:id="238"/>
      <w:r w:rsidRPr="00892CA2">
        <w:rPr>
          <w:sz w:val="24"/>
          <w:szCs w:val="24"/>
          <w:lang w:val="en-US"/>
        </w:rPr>
        <w:t xml:space="preserve"> </w:t>
      </w:r>
      <w:r w:rsidRPr="00892CA2">
        <w:rPr>
          <w:bCs w:val="0"/>
          <w:sz w:val="24"/>
          <w:szCs w:val="24"/>
          <w:lang w:val="en-US"/>
        </w:rPr>
        <w:t>Example microarray images acquired to quantify</w:t>
      </w:r>
      <w:r w:rsidRPr="00892CA2">
        <w:rPr>
          <w:rFonts w:cs="Arial"/>
          <w:bCs w:val="0"/>
          <w:sz w:val="24"/>
          <w:szCs w:val="24"/>
          <w:lang w:val="en-US"/>
        </w:rPr>
        <w:t xml:space="preserve"> the phosphorylation status of receptor tyrosine kinases in the cell lysates of the fresh tissue samples using the </w:t>
      </w:r>
      <w:proofErr w:type="spellStart"/>
      <w:r w:rsidRPr="00892CA2">
        <w:rPr>
          <w:rFonts w:cs="Arial"/>
          <w:bCs w:val="0"/>
          <w:sz w:val="24"/>
          <w:szCs w:val="24"/>
          <w:lang w:val="en-US"/>
        </w:rPr>
        <w:t>PathScan</w:t>
      </w:r>
      <w:proofErr w:type="spellEnd"/>
      <w:r w:rsidRPr="00892CA2">
        <w:rPr>
          <w:rFonts w:cs="Arial"/>
          <w:bCs w:val="0"/>
          <w:sz w:val="24"/>
          <w:szCs w:val="24"/>
          <w:lang w:val="en-US"/>
        </w:rPr>
        <w:t xml:space="preserve"> RTK Signaling Antibody Array, Chemiluminescent Readout (Cell Signaling Technology, Danvers, Massachusetts).</w:t>
      </w:r>
      <w:r w:rsidRPr="00892CA2">
        <w:rPr>
          <w:bCs w:val="0"/>
          <w:sz w:val="24"/>
          <w:szCs w:val="24"/>
          <w:lang w:val="en-US"/>
        </w:rPr>
        <w:t xml:space="preserve"> </w:t>
      </w:r>
      <w:proofErr w:type="gramStart"/>
      <w:r w:rsidRPr="00892CA2">
        <w:rPr>
          <w:b w:val="0"/>
          <w:sz w:val="24"/>
          <w:szCs w:val="24"/>
          <w:lang w:val="en-US"/>
        </w:rPr>
        <w:t>Fistula tract samples from (A) idiopathic and (B) Crohn’s disease patients.</w:t>
      </w:r>
      <w:proofErr w:type="gramEnd"/>
      <w:r w:rsidRPr="00892CA2">
        <w:rPr>
          <w:b w:val="0"/>
          <w:sz w:val="24"/>
          <w:szCs w:val="24"/>
          <w:lang w:val="en-US"/>
        </w:rPr>
        <w:t xml:space="preserve"> Granulation tissue samples from (C) idiopathic and (D) Crohn’s disease patients. </w:t>
      </w:r>
      <w:proofErr w:type="gramStart"/>
      <w:r w:rsidRPr="00892CA2">
        <w:rPr>
          <w:b w:val="0"/>
          <w:sz w:val="24"/>
          <w:szCs w:val="24"/>
          <w:lang w:val="en-US"/>
        </w:rPr>
        <w:t>Internal opening samples from (E) idiopathic and (F) Crohn’s disease patients.</w:t>
      </w:r>
      <w:bookmarkEnd w:id="237"/>
      <w:proofErr w:type="gramEnd"/>
      <w:r w:rsidRPr="00892CA2">
        <w:rPr>
          <w:b w:val="0"/>
          <w:sz w:val="24"/>
          <w:szCs w:val="24"/>
          <w:lang w:val="en-US"/>
        </w:rPr>
        <w:t xml:space="preserve"> G</w:t>
      </w:r>
      <w:r w:rsidR="00DE41AD" w:rsidRPr="00892CA2">
        <w:rPr>
          <w:b w:val="0"/>
          <w:sz w:val="24"/>
          <w:szCs w:val="24"/>
          <w:lang w:val="en-US"/>
        </w:rPr>
        <w:t>:</w:t>
      </w:r>
      <w:r w:rsidRPr="00892CA2">
        <w:rPr>
          <w:b w:val="0"/>
          <w:sz w:val="24"/>
          <w:szCs w:val="24"/>
          <w:lang w:val="en-US"/>
        </w:rPr>
        <w:t xml:space="preserve"> </w:t>
      </w:r>
      <w:r w:rsidR="00500CFC" w:rsidRPr="00892CA2">
        <w:rPr>
          <w:b w:val="0"/>
          <w:sz w:val="24"/>
          <w:szCs w:val="24"/>
          <w:lang w:val="en-US"/>
        </w:rPr>
        <w:t>C</w:t>
      </w:r>
      <w:r w:rsidRPr="00892CA2">
        <w:rPr>
          <w:b w:val="0"/>
          <w:sz w:val="24"/>
          <w:szCs w:val="24"/>
          <w:lang w:val="en-US"/>
        </w:rPr>
        <w:t xml:space="preserve">ontrol array containing lysis buffer only, showing an absent signal from all </w:t>
      </w:r>
      <w:r w:rsidR="00500CFC" w:rsidRPr="00892CA2">
        <w:rPr>
          <w:b w:val="0"/>
          <w:sz w:val="24"/>
          <w:szCs w:val="24"/>
          <w:lang w:val="en-US"/>
        </w:rPr>
        <w:t xml:space="preserve">test </w:t>
      </w:r>
      <w:r w:rsidRPr="00892CA2">
        <w:rPr>
          <w:b w:val="0"/>
          <w:sz w:val="24"/>
          <w:szCs w:val="24"/>
          <w:lang w:val="en-US"/>
        </w:rPr>
        <w:t>spots</w:t>
      </w:r>
      <w:r w:rsidR="00500CFC" w:rsidRPr="00892CA2">
        <w:rPr>
          <w:b w:val="0"/>
          <w:sz w:val="24"/>
          <w:szCs w:val="24"/>
          <w:lang w:val="en-US"/>
        </w:rPr>
        <w:t xml:space="preserve"> and the negative control spots (-)</w:t>
      </w:r>
      <w:r w:rsidRPr="00892CA2">
        <w:rPr>
          <w:b w:val="0"/>
          <w:sz w:val="24"/>
          <w:szCs w:val="24"/>
          <w:lang w:val="en-US"/>
        </w:rPr>
        <w:t xml:space="preserve">, </w:t>
      </w:r>
      <w:r w:rsidR="00500CFC" w:rsidRPr="00892CA2">
        <w:rPr>
          <w:b w:val="0"/>
          <w:sz w:val="24"/>
          <w:szCs w:val="24"/>
          <w:lang w:val="en-US"/>
        </w:rPr>
        <w:t>and 100% signal from the</w:t>
      </w:r>
      <w:r w:rsidRPr="00892CA2">
        <w:rPr>
          <w:b w:val="0"/>
          <w:sz w:val="24"/>
          <w:szCs w:val="24"/>
          <w:lang w:val="en-US"/>
        </w:rPr>
        <w:t xml:space="preserve"> positive control spots</w:t>
      </w:r>
      <w:r w:rsidR="00CF4A49" w:rsidRPr="00892CA2">
        <w:rPr>
          <w:b w:val="0"/>
          <w:sz w:val="24"/>
          <w:szCs w:val="24"/>
          <w:lang w:val="en-US"/>
        </w:rPr>
        <w:t xml:space="preserve"> </w:t>
      </w:r>
      <w:r w:rsidR="00500CFC" w:rsidRPr="00892CA2">
        <w:rPr>
          <w:b w:val="0"/>
          <w:sz w:val="24"/>
          <w:szCs w:val="24"/>
          <w:lang w:val="en-US"/>
        </w:rPr>
        <w:t>(+)</w:t>
      </w:r>
      <w:r w:rsidR="00504A91" w:rsidRPr="00892CA2">
        <w:rPr>
          <w:b w:val="0"/>
          <w:sz w:val="24"/>
          <w:szCs w:val="24"/>
          <w:lang w:val="en-US"/>
        </w:rPr>
        <w:t>;</w:t>
      </w:r>
      <w:r w:rsidRPr="00892CA2">
        <w:rPr>
          <w:b w:val="0"/>
          <w:sz w:val="24"/>
          <w:szCs w:val="24"/>
          <w:lang w:val="en-US"/>
        </w:rPr>
        <w:t xml:space="preserve"> H</w:t>
      </w:r>
      <w:r w:rsidR="00DE41AD" w:rsidRPr="00892CA2">
        <w:rPr>
          <w:b w:val="0"/>
          <w:sz w:val="24"/>
          <w:szCs w:val="24"/>
          <w:lang w:val="en-US"/>
        </w:rPr>
        <w:t>:</w:t>
      </w:r>
      <w:r w:rsidRPr="00892CA2">
        <w:rPr>
          <w:b w:val="0"/>
          <w:sz w:val="24"/>
          <w:szCs w:val="24"/>
          <w:lang w:val="en-US"/>
        </w:rPr>
        <w:t xml:space="preserve"> Healthy control rectal mucosa showing positive signal from numerous spots including EphA1 (19), EphB1 (22), EphB4 (24), Tyro3/</w:t>
      </w:r>
      <w:proofErr w:type="spellStart"/>
      <w:r w:rsidRPr="00892CA2">
        <w:rPr>
          <w:b w:val="0"/>
          <w:sz w:val="24"/>
          <w:szCs w:val="24"/>
          <w:lang w:val="en-US"/>
        </w:rPr>
        <w:t>Dtk</w:t>
      </w:r>
      <w:proofErr w:type="spellEnd"/>
      <w:r w:rsidRPr="00892CA2">
        <w:rPr>
          <w:b w:val="0"/>
          <w:sz w:val="24"/>
          <w:szCs w:val="24"/>
          <w:lang w:val="en-US"/>
        </w:rPr>
        <w:t xml:space="preserve"> (25) and VEGFR (28)</w:t>
      </w:r>
      <w:r w:rsidR="00504A91" w:rsidRPr="00892CA2">
        <w:rPr>
          <w:b w:val="0"/>
          <w:sz w:val="24"/>
          <w:szCs w:val="24"/>
          <w:lang w:val="en-US"/>
        </w:rPr>
        <w:t>;</w:t>
      </w:r>
      <w:r w:rsidRPr="00892CA2">
        <w:rPr>
          <w:b w:val="0"/>
          <w:sz w:val="24"/>
          <w:szCs w:val="24"/>
          <w:lang w:val="en-US"/>
        </w:rPr>
        <w:t xml:space="preserve"> I</w:t>
      </w:r>
      <w:r w:rsidR="00DE41AD" w:rsidRPr="00892CA2">
        <w:rPr>
          <w:b w:val="0"/>
          <w:sz w:val="24"/>
          <w:szCs w:val="24"/>
          <w:lang w:val="en-US"/>
        </w:rPr>
        <w:t>:</w:t>
      </w:r>
      <w:r w:rsidRPr="00892CA2">
        <w:rPr>
          <w:b w:val="0"/>
          <w:sz w:val="24"/>
          <w:szCs w:val="24"/>
          <w:lang w:val="en-US"/>
        </w:rPr>
        <w:t xml:space="preserve"> Idiopathic rectal mucosa showing significantly lower signal from the same highlighted spots</w:t>
      </w:r>
      <w:r w:rsidR="00504A91" w:rsidRPr="00892CA2">
        <w:rPr>
          <w:b w:val="0"/>
          <w:sz w:val="24"/>
          <w:szCs w:val="24"/>
          <w:lang w:val="en-US"/>
        </w:rPr>
        <w:t>;</w:t>
      </w:r>
      <w:r w:rsidRPr="00892CA2">
        <w:rPr>
          <w:b w:val="0"/>
          <w:sz w:val="24"/>
          <w:szCs w:val="24"/>
          <w:lang w:val="en-US"/>
        </w:rPr>
        <w:t xml:space="preserve"> J</w:t>
      </w:r>
      <w:r w:rsidR="00DE41AD" w:rsidRPr="00892CA2">
        <w:rPr>
          <w:b w:val="0"/>
          <w:sz w:val="24"/>
          <w:szCs w:val="24"/>
          <w:lang w:val="en-US"/>
        </w:rPr>
        <w:t>:</w:t>
      </w:r>
      <w:r w:rsidRPr="00892CA2">
        <w:rPr>
          <w:b w:val="0"/>
          <w:sz w:val="24"/>
          <w:szCs w:val="24"/>
          <w:lang w:val="en-US"/>
        </w:rPr>
        <w:t xml:space="preserve"> Crohn’s disease rectal mucosa, again showing significantly lower signal from the same highlighted spots.</w:t>
      </w:r>
      <w:bookmarkStart w:id="239" w:name="_GoBack"/>
      <w:bookmarkEnd w:id="239"/>
    </w:p>
    <w:p w14:paraId="352C3ABB" w14:textId="29B3B2C6" w:rsidR="00576490" w:rsidRPr="007018B5" w:rsidRDefault="00576490" w:rsidP="007E3B89">
      <w:pPr>
        <w:adjustRightInd w:val="0"/>
        <w:snapToGrid w:val="0"/>
        <w:spacing w:before="0" w:after="0"/>
        <w:jc w:val="both"/>
        <w:rPr>
          <w:szCs w:val="24"/>
          <w:lang w:val="en-US" w:eastAsia="en-GB"/>
        </w:rPr>
      </w:pPr>
    </w:p>
    <w:sectPr w:rsidR="00576490" w:rsidRPr="007018B5" w:rsidSect="006F4478">
      <w:footerReference w:type="default" r:id="rId13"/>
      <w:pgSz w:w="11900" w:h="16820"/>
      <w:pgMar w:top="1418" w:right="1418" w:bottom="141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1CA01" w14:textId="77777777" w:rsidR="00C34F1E" w:rsidRDefault="00C34F1E" w:rsidP="00F10BB2">
      <w:pPr>
        <w:spacing w:before="0" w:after="0"/>
      </w:pPr>
      <w:r>
        <w:separator/>
      </w:r>
    </w:p>
  </w:endnote>
  <w:endnote w:type="continuationSeparator" w:id="0">
    <w:p w14:paraId="3EE403EC" w14:textId="77777777" w:rsidR="00C34F1E" w:rsidRDefault="00C34F1E" w:rsidP="00F10BB2">
      <w:pPr>
        <w:spacing w:before="0" w:after="0"/>
      </w:pPr>
      <w:r>
        <w:continuationSeparator/>
      </w:r>
    </w:p>
  </w:endnote>
  <w:endnote w:type="continuationNotice" w:id="1">
    <w:p w14:paraId="1A0AF830" w14:textId="77777777" w:rsidR="00C34F1E" w:rsidRDefault="00C34F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
    <w:altName w:val="Yu Gothic"/>
    <w:charset w:val="80"/>
    <w:family w:val="auto"/>
    <w:pitch w:val="variable"/>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dvTimes">
    <w:altName w:val="Arial Unicode MS"/>
    <w:charset w:val="88"/>
    <w:family w:val="auto"/>
    <w:pitch w:val="default"/>
    <w:sig w:usb0="00000000" w:usb1="0000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Baskerville">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EA042" w14:textId="0BAD269A" w:rsidR="009C6C7D" w:rsidRPr="00C64F71" w:rsidRDefault="009C6C7D" w:rsidP="001A6837">
    <w:pPr>
      <w:pStyle w:val="ab"/>
      <w:tabs>
        <w:tab w:val="clear" w:pos="4513"/>
        <w:tab w:val="clear" w:pos="9026"/>
        <w:tab w:val="right" w:pos="8222"/>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2D1E0" w14:textId="77777777" w:rsidR="00C34F1E" w:rsidRDefault="00C34F1E" w:rsidP="00F10BB2">
      <w:pPr>
        <w:spacing w:before="0" w:after="0"/>
      </w:pPr>
      <w:r>
        <w:separator/>
      </w:r>
    </w:p>
  </w:footnote>
  <w:footnote w:type="continuationSeparator" w:id="0">
    <w:p w14:paraId="3C357DB6" w14:textId="77777777" w:rsidR="00C34F1E" w:rsidRDefault="00C34F1E" w:rsidP="00F10BB2">
      <w:pPr>
        <w:spacing w:before="0" w:after="0"/>
      </w:pPr>
      <w:r>
        <w:continuationSeparator/>
      </w:r>
    </w:p>
  </w:footnote>
  <w:footnote w:type="continuationNotice" w:id="1">
    <w:p w14:paraId="75112061" w14:textId="77777777" w:rsidR="00C34F1E" w:rsidRDefault="00C34F1E">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CA26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86427BA"/>
    <w:lvl w:ilvl="0">
      <w:start w:val="1"/>
      <w:numFmt w:val="decimal"/>
      <w:lvlText w:val="%1."/>
      <w:lvlJc w:val="left"/>
      <w:pPr>
        <w:tabs>
          <w:tab w:val="num" w:pos="1492"/>
        </w:tabs>
        <w:ind w:left="1492" w:hanging="360"/>
      </w:pPr>
    </w:lvl>
  </w:abstractNum>
  <w:abstractNum w:abstractNumId="2">
    <w:nsid w:val="FFFFFF7D"/>
    <w:multiLevelType w:val="singleLevel"/>
    <w:tmpl w:val="67440F16"/>
    <w:lvl w:ilvl="0">
      <w:start w:val="1"/>
      <w:numFmt w:val="decimal"/>
      <w:lvlText w:val="%1."/>
      <w:lvlJc w:val="left"/>
      <w:pPr>
        <w:tabs>
          <w:tab w:val="num" w:pos="1209"/>
        </w:tabs>
        <w:ind w:left="1209" w:hanging="360"/>
      </w:pPr>
    </w:lvl>
  </w:abstractNum>
  <w:abstractNum w:abstractNumId="3">
    <w:nsid w:val="FFFFFF7E"/>
    <w:multiLevelType w:val="singleLevel"/>
    <w:tmpl w:val="0D72298C"/>
    <w:lvl w:ilvl="0">
      <w:start w:val="1"/>
      <w:numFmt w:val="decimal"/>
      <w:lvlText w:val="%1."/>
      <w:lvlJc w:val="left"/>
      <w:pPr>
        <w:tabs>
          <w:tab w:val="num" w:pos="926"/>
        </w:tabs>
        <w:ind w:left="926" w:hanging="360"/>
      </w:pPr>
    </w:lvl>
  </w:abstractNum>
  <w:abstractNum w:abstractNumId="4">
    <w:nsid w:val="FFFFFF7F"/>
    <w:multiLevelType w:val="singleLevel"/>
    <w:tmpl w:val="6A8635B4"/>
    <w:lvl w:ilvl="0">
      <w:start w:val="1"/>
      <w:numFmt w:val="decimal"/>
      <w:lvlText w:val="%1."/>
      <w:lvlJc w:val="left"/>
      <w:pPr>
        <w:tabs>
          <w:tab w:val="num" w:pos="643"/>
        </w:tabs>
        <w:ind w:left="643" w:hanging="360"/>
      </w:pPr>
    </w:lvl>
  </w:abstractNum>
  <w:abstractNum w:abstractNumId="5">
    <w:nsid w:val="FFFFFF80"/>
    <w:multiLevelType w:val="singleLevel"/>
    <w:tmpl w:val="B54E01B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AEEC87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F147B9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2ADD1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34837CA"/>
    <w:lvl w:ilvl="0">
      <w:start w:val="1"/>
      <w:numFmt w:val="decimal"/>
      <w:lvlText w:val="%1."/>
      <w:lvlJc w:val="left"/>
      <w:pPr>
        <w:tabs>
          <w:tab w:val="num" w:pos="360"/>
        </w:tabs>
        <w:ind w:left="360" w:hanging="360"/>
      </w:pPr>
    </w:lvl>
  </w:abstractNum>
  <w:abstractNum w:abstractNumId="10">
    <w:nsid w:val="FFFFFF89"/>
    <w:multiLevelType w:val="singleLevel"/>
    <w:tmpl w:val="EDE02C6A"/>
    <w:lvl w:ilvl="0">
      <w:start w:val="1"/>
      <w:numFmt w:val="bullet"/>
      <w:lvlText w:val=""/>
      <w:lvlJc w:val="left"/>
      <w:pPr>
        <w:tabs>
          <w:tab w:val="num" w:pos="360"/>
        </w:tabs>
        <w:ind w:left="360" w:hanging="360"/>
      </w:pPr>
      <w:rPr>
        <w:rFonts w:ascii="Symbol" w:hAnsi="Symbol" w:hint="default"/>
      </w:rPr>
    </w:lvl>
  </w:abstractNum>
  <w:abstractNum w:abstractNumId="11">
    <w:nsid w:val="021D40B9"/>
    <w:multiLevelType w:val="multilevel"/>
    <w:tmpl w:val="52E6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6153AB"/>
    <w:multiLevelType w:val="multilevel"/>
    <w:tmpl w:val="2EB0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022CAB"/>
    <w:multiLevelType w:val="multilevel"/>
    <w:tmpl w:val="AE1A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A25CCF"/>
    <w:multiLevelType w:val="hybridMultilevel"/>
    <w:tmpl w:val="998071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5E45AAC"/>
    <w:multiLevelType w:val="multilevel"/>
    <w:tmpl w:val="7140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8A7EEA"/>
    <w:multiLevelType w:val="multilevel"/>
    <w:tmpl w:val="7AAA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67497"/>
    <w:multiLevelType w:val="multilevel"/>
    <w:tmpl w:val="0654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A20F00"/>
    <w:multiLevelType w:val="multilevel"/>
    <w:tmpl w:val="6942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202BD3"/>
    <w:multiLevelType w:val="hybridMultilevel"/>
    <w:tmpl w:val="11F42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AA57AF"/>
    <w:multiLevelType w:val="multilevel"/>
    <w:tmpl w:val="2C70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CD5879"/>
    <w:multiLevelType w:val="multilevel"/>
    <w:tmpl w:val="B594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D73DEF"/>
    <w:multiLevelType w:val="multilevel"/>
    <w:tmpl w:val="5DD4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600DDB"/>
    <w:multiLevelType w:val="multilevel"/>
    <w:tmpl w:val="9ED8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484FD5"/>
    <w:multiLevelType w:val="multilevel"/>
    <w:tmpl w:val="E180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527558"/>
    <w:multiLevelType w:val="hybridMultilevel"/>
    <w:tmpl w:val="ECE8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8D470A"/>
    <w:multiLevelType w:val="hybridMultilevel"/>
    <w:tmpl w:val="3A2650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DB6046A"/>
    <w:multiLevelType w:val="multilevel"/>
    <w:tmpl w:val="F34A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5B6DC4"/>
    <w:multiLevelType w:val="multilevel"/>
    <w:tmpl w:val="8774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CB17D0"/>
    <w:multiLevelType w:val="multilevel"/>
    <w:tmpl w:val="59B0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7053EC"/>
    <w:multiLevelType w:val="multilevel"/>
    <w:tmpl w:val="7EE6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CB4D99"/>
    <w:multiLevelType w:val="multilevel"/>
    <w:tmpl w:val="3E48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122AEC"/>
    <w:multiLevelType w:val="hybridMultilevel"/>
    <w:tmpl w:val="96F4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425704"/>
    <w:multiLevelType w:val="hybridMultilevel"/>
    <w:tmpl w:val="D7207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6B4C14"/>
    <w:multiLevelType w:val="multilevel"/>
    <w:tmpl w:val="BB06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7E1D37"/>
    <w:multiLevelType w:val="hybridMultilevel"/>
    <w:tmpl w:val="14A2DD1E"/>
    <w:lvl w:ilvl="0" w:tplc="6588744A">
      <w:start w:val="1"/>
      <w:numFmt w:val="lowerLetter"/>
      <w:pStyle w:val="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3E38C6"/>
    <w:multiLevelType w:val="multilevel"/>
    <w:tmpl w:val="6AEE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433596"/>
    <w:multiLevelType w:val="multilevel"/>
    <w:tmpl w:val="F8C6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5D240D"/>
    <w:multiLevelType w:val="multilevel"/>
    <w:tmpl w:val="5B72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E3666F"/>
    <w:multiLevelType w:val="multilevel"/>
    <w:tmpl w:val="1866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96407E"/>
    <w:multiLevelType w:val="hybridMultilevel"/>
    <w:tmpl w:val="B448E0B0"/>
    <w:lvl w:ilvl="0" w:tplc="08090001">
      <w:start w:val="143"/>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277A52"/>
    <w:multiLevelType w:val="hybridMultilevel"/>
    <w:tmpl w:val="EB525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830C2A"/>
    <w:multiLevelType w:val="hybridMultilevel"/>
    <w:tmpl w:val="97F66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20"/>
  </w:num>
  <w:num w:numId="4">
    <w:abstractNumId w:val="38"/>
  </w:num>
  <w:num w:numId="5">
    <w:abstractNumId w:val="16"/>
  </w:num>
  <w:num w:numId="6">
    <w:abstractNumId w:val="39"/>
  </w:num>
  <w:num w:numId="7">
    <w:abstractNumId w:val="37"/>
  </w:num>
  <w:num w:numId="8">
    <w:abstractNumId w:val="34"/>
  </w:num>
  <w:num w:numId="9">
    <w:abstractNumId w:val="22"/>
  </w:num>
  <w:num w:numId="10">
    <w:abstractNumId w:val="21"/>
  </w:num>
  <w:num w:numId="11">
    <w:abstractNumId w:val="28"/>
  </w:num>
  <w:num w:numId="12">
    <w:abstractNumId w:val="13"/>
  </w:num>
  <w:num w:numId="13">
    <w:abstractNumId w:val="30"/>
  </w:num>
  <w:num w:numId="14">
    <w:abstractNumId w:val="11"/>
  </w:num>
  <w:num w:numId="15">
    <w:abstractNumId w:val="31"/>
  </w:num>
  <w:num w:numId="16">
    <w:abstractNumId w:val="29"/>
  </w:num>
  <w:num w:numId="17">
    <w:abstractNumId w:val="24"/>
  </w:num>
  <w:num w:numId="18">
    <w:abstractNumId w:val="23"/>
  </w:num>
  <w:num w:numId="19">
    <w:abstractNumId w:val="18"/>
  </w:num>
  <w:num w:numId="20">
    <w:abstractNumId w:val="36"/>
  </w:num>
  <w:num w:numId="21">
    <w:abstractNumId w:val="17"/>
  </w:num>
  <w:num w:numId="22">
    <w:abstractNumId w:val="27"/>
  </w:num>
  <w:num w:numId="23">
    <w:abstractNumId w:val="40"/>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19"/>
  </w:num>
  <w:num w:numId="35">
    <w:abstractNumId w:val="0"/>
  </w:num>
  <w:num w:numId="36">
    <w:abstractNumId w:val="33"/>
  </w:num>
  <w:num w:numId="37">
    <w:abstractNumId w:val="42"/>
  </w:num>
  <w:num w:numId="38">
    <w:abstractNumId w:val="32"/>
  </w:num>
  <w:num w:numId="39">
    <w:abstractNumId w:val="25"/>
  </w:num>
  <w:num w:numId="40">
    <w:abstractNumId w:val="14"/>
  </w:num>
  <w:num w:numId="41">
    <w:abstractNumId w:val="26"/>
  </w:num>
  <w:num w:numId="42">
    <w:abstractNumId w:val="35"/>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bordersDoNotSurroundHeader/>
  <w:bordersDoNotSurroundFooter/>
  <w:hideGrammaticalError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pl-PL" w:vendorID="64" w:dllVersion="4096" w:nlCheck="1" w:checkStyle="0"/>
  <w:activeWritingStyle w:appName="MSWord" w:lang="it-IT"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asrrd25aawww1ea90uv05audtassfwvpw9f&quot;&gt;sas&lt;record-ids&gt;&lt;item&gt;3&lt;/item&gt;&lt;/record-ids&gt;&lt;/item&gt;&lt;/Libraries&gt;"/>
  </w:docVars>
  <w:rsids>
    <w:rsidRoot w:val="00DC5F05"/>
    <w:rsid w:val="000004F4"/>
    <w:rsid w:val="00000DBA"/>
    <w:rsid w:val="0000184D"/>
    <w:rsid w:val="00001FD1"/>
    <w:rsid w:val="00007581"/>
    <w:rsid w:val="00007687"/>
    <w:rsid w:val="00007AAB"/>
    <w:rsid w:val="00007E42"/>
    <w:rsid w:val="00007EBD"/>
    <w:rsid w:val="000106B9"/>
    <w:rsid w:val="00011467"/>
    <w:rsid w:val="00011D51"/>
    <w:rsid w:val="00012802"/>
    <w:rsid w:val="00012F2F"/>
    <w:rsid w:val="00013CF2"/>
    <w:rsid w:val="000144A6"/>
    <w:rsid w:val="00015461"/>
    <w:rsid w:val="00015CB1"/>
    <w:rsid w:val="000162BC"/>
    <w:rsid w:val="00017335"/>
    <w:rsid w:val="00017889"/>
    <w:rsid w:val="000178FD"/>
    <w:rsid w:val="0002234A"/>
    <w:rsid w:val="00022759"/>
    <w:rsid w:val="00022EC5"/>
    <w:rsid w:val="00026A98"/>
    <w:rsid w:val="0002730F"/>
    <w:rsid w:val="0003031E"/>
    <w:rsid w:val="000314E6"/>
    <w:rsid w:val="00032237"/>
    <w:rsid w:val="0003247B"/>
    <w:rsid w:val="00032A00"/>
    <w:rsid w:val="00033F18"/>
    <w:rsid w:val="00034698"/>
    <w:rsid w:val="000357E7"/>
    <w:rsid w:val="000357FD"/>
    <w:rsid w:val="00035D79"/>
    <w:rsid w:val="00036136"/>
    <w:rsid w:val="00036FA2"/>
    <w:rsid w:val="0003747C"/>
    <w:rsid w:val="000377F5"/>
    <w:rsid w:val="0004184A"/>
    <w:rsid w:val="000438CF"/>
    <w:rsid w:val="00045003"/>
    <w:rsid w:val="00045203"/>
    <w:rsid w:val="000469C8"/>
    <w:rsid w:val="00047BF5"/>
    <w:rsid w:val="00051442"/>
    <w:rsid w:val="000523C8"/>
    <w:rsid w:val="00052DF8"/>
    <w:rsid w:val="00053DAF"/>
    <w:rsid w:val="0005648A"/>
    <w:rsid w:val="00061640"/>
    <w:rsid w:val="00061743"/>
    <w:rsid w:val="00061F3F"/>
    <w:rsid w:val="00062A93"/>
    <w:rsid w:val="00062DAA"/>
    <w:rsid w:val="000631B8"/>
    <w:rsid w:val="000642E3"/>
    <w:rsid w:val="00064C65"/>
    <w:rsid w:val="000664B8"/>
    <w:rsid w:val="00070323"/>
    <w:rsid w:val="00070F2B"/>
    <w:rsid w:val="0007180D"/>
    <w:rsid w:val="00072822"/>
    <w:rsid w:val="00073B24"/>
    <w:rsid w:val="00073EF4"/>
    <w:rsid w:val="000744CE"/>
    <w:rsid w:val="00074DD3"/>
    <w:rsid w:val="000750F7"/>
    <w:rsid w:val="00075608"/>
    <w:rsid w:val="00076484"/>
    <w:rsid w:val="00076A5B"/>
    <w:rsid w:val="00076DD0"/>
    <w:rsid w:val="000773CB"/>
    <w:rsid w:val="0008027C"/>
    <w:rsid w:val="00080A0D"/>
    <w:rsid w:val="00081FCF"/>
    <w:rsid w:val="00083A5F"/>
    <w:rsid w:val="000847D7"/>
    <w:rsid w:val="000860BF"/>
    <w:rsid w:val="000906F3"/>
    <w:rsid w:val="00090DE6"/>
    <w:rsid w:val="00091767"/>
    <w:rsid w:val="00092C5D"/>
    <w:rsid w:val="0009311A"/>
    <w:rsid w:val="0009361E"/>
    <w:rsid w:val="0009382E"/>
    <w:rsid w:val="00093881"/>
    <w:rsid w:val="00095AD8"/>
    <w:rsid w:val="00095E35"/>
    <w:rsid w:val="000977D0"/>
    <w:rsid w:val="000978FE"/>
    <w:rsid w:val="000A0C23"/>
    <w:rsid w:val="000A1A5C"/>
    <w:rsid w:val="000A2D53"/>
    <w:rsid w:val="000A320B"/>
    <w:rsid w:val="000A4032"/>
    <w:rsid w:val="000A4223"/>
    <w:rsid w:val="000A57DF"/>
    <w:rsid w:val="000A5E17"/>
    <w:rsid w:val="000B0B66"/>
    <w:rsid w:val="000B2DD1"/>
    <w:rsid w:val="000B5EFA"/>
    <w:rsid w:val="000C021B"/>
    <w:rsid w:val="000C3604"/>
    <w:rsid w:val="000C40D0"/>
    <w:rsid w:val="000C5EC4"/>
    <w:rsid w:val="000C7CE8"/>
    <w:rsid w:val="000D467E"/>
    <w:rsid w:val="000D486A"/>
    <w:rsid w:val="000D4B00"/>
    <w:rsid w:val="000D5D9F"/>
    <w:rsid w:val="000D615C"/>
    <w:rsid w:val="000D637B"/>
    <w:rsid w:val="000D6660"/>
    <w:rsid w:val="000D666B"/>
    <w:rsid w:val="000D68B0"/>
    <w:rsid w:val="000D782F"/>
    <w:rsid w:val="000D7EF5"/>
    <w:rsid w:val="000E0CA4"/>
    <w:rsid w:val="000E2280"/>
    <w:rsid w:val="000E73FC"/>
    <w:rsid w:val="000E76B3"/>
    <w:rsid w:val="000E7B6F"/>
    <w:rsid w:val="000F0BC0"/>
    <w:rsid w:val="000F3D39"/>
    <w:rsid w:val="000F3EFE"/>
    <w:rsid w:val="000F4D89"/>
    <w:rsid w:val="000F6A19"/>
    <w:rsid w:val="000F7FDE"/>
    <w:rsid w:val="00101AB1"/>
    <w:rsid w:val="00103054"/>
    <w:rsid w:val="0010384E"/>
    <w:rsid w:val="00105762"/>
    <w:rsid w:val="0010777E"/>
    <w:rsid w:val="0011060B"/>
    <w:rsid w:val="0011138D"/>
    <w:rsid w:val="00112AE2"/>
    <w:rsid w:val="001146EB"/>
    <w:rsid w:val="00116796"/>
    <w:rsid w:val="001169CC"/>
    <w:rsid w:val="00117632"/>
    <w:rsid w:val="00117B9A"/>
    <w:rsid w:val="00117DE1"/>
    <w:rsid w:val="0012202C"/>
    <w:rsid w:val="00123AEE"/>
    <w:rsid w:val="00131850"/>
    <w:rsid w:val="00132651"/>
    <w:rsid w:val="0013609F"/>
    <w:rsid w:val="00137B48"/>
    <w:rsid w:val="00137B77"/>
    <w:rsid w:val="00142FFB"/>
    <w:rsid w:val="00143749"/>
    <w:rsid w:val="0014397B"/>
    <w:rsid w:val="001459A9"/>
    <w:rsid w:val="00146CC4"/>
    <w:rsid w:val="00152A33"/>
    <w:rsid w:val="00155CD1"/>
    <w:rsid w:val="00156490"/>
    <w:rsid w:val="0015720C"/>
    <w:rsid w:val="00157CC2"/>
    <w:rsid w:val="0016073A"/>
    <w:rsid w:val="0016248C"/>
    <w:rsid w:val="001629C0"/>
    <w:rsid w:val="0016454B"/>
    <w:rsid w:val="00164CA0"/>
    <w:rsid w:val="0016638D"/>
    <w:rsid w:val="001667EF"/>
    <w:rsid w:val="00166EF2"/>
    <w:rsid w:val="001720B4"/>
    <w:rsid w:val="0017217F"/>
    <w:rsid w:val="001722F5"/>
    <w:rsid w:val="001733DA"/>
    <w:rsid w:val="001753CE"/>
    <w:rsid w:val="00175B37"/>
    <w:rsid w:val="001768DD"/>
    <w:rsid w:val="001819AD"/>
    <w:rsid w:val="00182520"/>
    <w:rsid w:val="00182711"/>
    <w:rsid w:val="001837CF"/>
    <w:rsid w:val="001838BF"/>
    <w:rsid w:val="00183F42"/>
    <w:rsid w:val="00184293"/>
    <w:rsid w:val="001869BA"/>
    <w:rsid w:val="0018740C"/>
    <w:rsid w:val="001908BC"/>
    <w:rsid w:val="00190A50"/>
    <w:rsid w:val="00191F25"/>
    <w:rsid w:val="00192234"/>
    <w:rsid w:val="00193270"/>
    <w:rsid w:val="00193287"/>
    <w:rsid w:val="00194072"/>
    <w:rsid w:val="00197EC9"/>
    <w:rsid w:val="001A0A8E"/>
    <w:rsid w:val="001A1416"/>
    <w:rsid w:val="001A2132"/>
    <w:rsid w:val="001A2944"/>
    <w:rsid w:val="001A5431"/>
    <w:rsid w:val="001A60AE"/>
    <w:rsid w:val="001A6837"/>
    <w:rsid w:val="001A6CF6"/>
    <w:rsid w:val="001B2705"/>
    <w:rsid w:val="001B32A2"/>
    <w:rsid w:val="001B3D2B"/>
    <w:rsid w:val="001B48A4"/>
    <w:rsid w:val="001B4BEC"/>
    <w:rsid w:val="001B4DF3"/>
    <w:rsid w:val="001B5D16"/>
    <w:rsid w:val="001B6092"/>
    <w:rsid w:val="001B6B07"/>
    <w:rsid w:val="001C0760"/>
    <w:rsid w:val="001C2FC4"/>
    <w:rsid w:val="001C47CB"/>
    <w:rsid w:val="001C4808"/>
    <w:rsid w:val="001C5544"/>
    <w:rsid w:val="001C57C3"/>
    <w:rsid w:val="001C6B7E"/>
    <w:rsid w:val="001D3938"/>
    <w:rsid w:val="001D722C"/>
    <w:rsid w:val="001E04E9"/>
    <w:rsid w:val="001E2D76"/>
    <w:rsid w:val="001E3157"/>
    <w:rsid w:val="001E42AD"/>
    <w:rsid w:val="001E459D"/>
    <w:rsid w:val="001E5427"/>
    <w:rsid w:val="001E55C9"/>
    <w:rsid w:val="001E6530"/>
    <w:rsid w:val="001E79DD"/>
    <w:rsid w:val="001F0CFC"/>
    <w:rsid w:val="001F3A44"/>
    <w:rsid w:val="001F64D8"/>
    <w:rsid w:val="001F7EFE"/>
    <w:rsid w:val="00200606"/>
    <w:rsid w:val="002012B2"/>
    <w:rsid w:val="00202667"/>
    <w:rsid w:val="002056CA"/>
    <w:rsid w:val="00205CD4"/>
    <w:rsid w:val="00205E33"/>
    <w:rsid w:val="002101F1"/>
    <w:rsid w:val="0021261A"/>
    <w:rsid w:val="002128D3"/>
    <w:rsid w:val="00214059"/>
    <w:rsid w:val="00215D15"/>
    <w:rsid w:val="00216ED0"/>
    <w:rsid w:val="0021736E"/>
    <w:rsid w:val="002176AB"/>
    <w:rsid w:val="002176DE"/>
    <w:rsid w:val="002178B6"/>
    <w:rsid w:val="00217CF0"/>
    <w:rsid w:val="00220323"/>
    <w:rsid w:val="002219D7"/>
    <w:rsid w:val="0022278B"/>
    <w:rsid w:val="00222E44"/>
    <w:rsid w:val="00223825"/>
    <w:rsid w:val="00224C57"/>
    <w:rsid w:val="002258D7"/>
    <w:rsid w:val="00225C92"/>
    <w:rsid w:val="0022640E"/>
    <w:rsid w:val="00226723"/>
    <w:rsid w:val="0023068D"/>
    <w:rsid w:val="00230B66"/>
    <w:rsid w:val="00230FE2"/>
    <w:rsid w:val="0023257D"/>
    <w:rsid w:val="00232913"/>
    <w:rsid w:val="00236A53"/>
    <w:rsid w:val="00236DA0"/>
    <w:rsid w:val="00237D4E"/>
    <w:rsid w:val="00237DBE"/>
    <w:rsid w:val="002420D0"/>
    <w:rsid w:val="00243156"/>
    <w:rsid w:val="00243FE8"/>
    <w:rsid w:val="002445A0"/>
    <w:rsid w:val="00250302"/>
    <w:rsid w:val="00250426"/>
    <w:rsid w:val="00251FF4"/>
    <w:rsid w:val="00252A73"/>
    <w:rsid w:val="002535A3"/>
    <w:rsid w:val="002537F0"/>
    <w:rsid w:val="002554A5"/>
    <w:rsid w:val="0025600E"/>
    <w:rsid w:val="002566E8"/>
    <w:rsid w:val="00256B1E"/>
    <w:rsid w:val="00257281"/>
    <w:rsid w:val="002600FF"/>
    <w:rsid w:val="00263198"/>
    <w:rsid w:val="0026432B"/>
    <w:rsid w:val="00264DC6"/>
    <w:rsid w:val="002653B1"/>
    <w:rsid w:val="0026651F"/>
    <w:rsid w:val="00267719"/>
    <w:rsid w:val="00267794"/>
    <w:rsid w:val="002678AC"/>
    <w:rsid w:val="002742FB"/>
    <w:rsid w:val="002748C0"/>
    <w:rsid w:val="0027522A"/>
    <w:rsid w:val="00276F21"/>
    <w:rsid w:val="00277729"/>
    <w:rsid w:val="0028068F"/>
    <w:rsid w:val="0028255C"/>
    <w:rsid w:val="00283FF1"/>
    <w:rsid w:val="00284292"/>
    <w:rsid w:val="002862DE"/>
    <w:rsid w:val="00290211"/>
    <w:rsid w:val="00290ACD"/>
    <w:rsid w:val="00291A90"/>
    <w:rsid w:val="00291F7E"/>
    <w:rsid w:val="002927DA"/>
    <w:rsid w:val="0029415A"/>
    <w:rsid w:val="002945FB"/>
    <w:rsid w:val="002949BE"/>
    <w:rsid w:val="002A0B35"/>
    <w:rsid w:val="002A171C"/>
    <w:rsid w:val="002A30E2"/>
    <w:rsid w:val="002A5EA4"/>
    <w:rsid w:val="002B17AE"/>
    <w:rsid w:val="002B197F"/>
    <w:rsid w:val="002B2755"/>
    <w:rsid w:val="002B4B0D"/>
    <w:rsid w:val="002B5A9F"/>
    <w:rsid w:val="002B5F42"/>
    <w:rsid w:val="002B6C6D"/>
    <w:rsid w:val="002B71BA"/>
    <w:rsid w:val="002B786B"/>
    <w:rsid w:val="002C1432"/>
    <w:rsid w:val="002C1C09"/>
    <w:rsid w:val="002C250E"/>
    <w:rsid w:val="002C2C70"/>
    <w:rsid w:val="002C3945"/>
    <w:rsid w:val="002C3D42"/>
    <w:rsid w:val="002C3DB5"/>
    <w:rsid w:val="002C6E2A"/>
    <w:rsid w:val="002D0C10"/>
    <w:rsid w:val="002D2421"/>
    <w:rsid w:val="002D4616"/>
    <w:rsid w:val="002D464E"/>
    <w:rsid w:val="002D4EDC"/>
    <w:rsid w:val="002D5DC0"/>
    <w:rsid w:val="002D7238"/>
    <w:rsid w:val="002D74D5"/>
    <w:rsid w:val="002E094A"/>
    <w:rsid w:val="002E1301"/>
    <w:rsid w:val="002E19F7"/>
    <w:rsid w:val="002E2C67"/>
    <w:rsid w:val="002E4A9C"/>
    <w:rsid w:val="002E4F63"/>
    <w:rsid w:val="002E52A4"/>
    <w:rsid w:val="002E6C7E"/>
    <w:rsid w:val="002E7BC1"/>
    <w:rsid w:val="002F0822"/>
    <w:rsid w:val="002F0949"/>
    <w:rsid w:val="002F1338"/>
    <w:rsid w:val="002F2B54"/>
    <w:rsid w:val="002F3484"/>
    <w:rsid w:val="002F3CE2"/>
    <w:rsid w:val="002F43E7"/>
    <w:rsid w:val="002F5B5F"/>
    <w:rsid w:val="002F6104"/>
    <w:rsid w:val="002F63F0"/>
    <w:rsid w:val="002F77BC"/>
    <w:rsid w:val="002F78AD"/>
    <w:rsid w:val="002F7D7F"/>
    <w:rsid w:val="003019F5"/>
    <w:rsid w:val="0030271D"/>
    <w:rsid w:val="00302A6B"/>
    <w:rsid w:val="00305490"/>
    <w:rsid w:val="003056C1"/>
    <w:rsid w:val="0030656E"/>
    <w:rsid w:val="00307C62"/>
    <w:rsid w:val="0031018E"/>
    <w:rsid w:val="003101E3"/>
    <w:rsid w:val="00310E5B"/>
    <w:rsid w:val="00311A5A"/>
    <w:rsid w:val="00313077"/>
    <w:rsid w:val="0031369A"/>
    <w:rsid w:val="003151FC"/>
    <w:rsid w:val="003160F7"/>
    <w:rsid w:val="003225DA"/>
    <w:rsid w:val="00322997"/>
    <w:rsid w:val="0032345B"/>
    <w:rsid w:val="00325F91"/>
    <w:rsid w:val="00327EC7"/>
    <w:rsid w:val="00330A02"/>
    <w:rsid w:val="00331B5E"/>
    <w:rsid w:val="00332FFC"/>
    <w:rsid w:val="00333BB4"/>
    <w:rsid w:val="00334DBE"/>
    <w:rsid w:val="0033514E"/>
    <w:rsid w:val="003354F0"/>
    <w:rsid w:val="003362C9"/>
    <w:rsid w:val="00336509"/>
    <w:rsid w:val="0033682E"/>
    <w:rsid w:val="00340044"/>
    <w:rsid w:val="003422AB"/>
    <w:rsid w:val="00342499"/>
    <w:rsid w:val="0034383A"/>
    <w:rsid w:val="00346249"/>
    <w:rsid w:val="00346597"/>
    <w:rsid w:val="003476EB"/>
    <w:rsid w:val="003476EC"/>
    <w:rsid w:val="003502FF"/>
    <w:rsid w:val="00350F79"/>
    <w:rsid w:val="00355A39"/>
    <w:rsid w:val="0035715A"/>
    <w:rsid w:val="00360B94"/>
    <w:rsid w:val="00360D06"/>
    <w:rsid w:val="0036194A"/>
    <w:rsid w:val="00363D5C"/>
    <w:rsid w:val="00363E3E"/>
    <w:rsid w:val="00365563"/>
    <w:rsid w:val="00366D50"/>
    <w:rsid w:val="00367007"/>
    <w:rsid w:val="003670BE"/>
    <w:rsid w:val="00370FFC"/>
    <w:rsid w:val="0037106C"/>
    <w:rsid w:val="0037141A"/>
    <w:rsid w:val="00371ADB"/>
    <w:rsid w:val="00372349"/>
    <w:rsid w:val="0037299D"/>
    <w:rsid w:val="003738E2"/>
    <w:rsid w:val="00374136"/>
    <w:rsid w:val="00374B78"/>
    <w:rsid w:val="003764BB"/>
    <w:rsid w:val="00377051"/>
    <w:rsid w:val="00380F16"/>
    <w:rsid w:val="003825EE"/>
    <w:rsid w:val="00382644"/>
    <w:rsid w:val="00383380"/>
    <w:rsid w:val="0038539B"/>
    <w:rsid w:val="00385783"/>
    <w:rsid w:val="00386D3E"/>
    <w:rsid w:val="0039328D"/>
    <w:rsid w:val="00393461"/>
    <w:rsid w:val="00394027"/>
    <w:rsid w:val="00394106"/>
    <w:rsid w:val="003961B5"/>
    <w:rsid w:val="003A027A"/>
    <w:rsid w:val="003A16D9"/>
    <w:rsid w:val="003A178A"/>
    <w:rsid w:val="003A31F8"/>
    <w:rsid w:val="003B10EE"/>
    <w:rsid w:val="003B1C44"/>
    <w:rsid w:val="003B4966"/>
    <w:rsid w:val="003B58B0"/>
    <w:rsid w:val="003B647C"/>
    <w:rsid w:val="003B7FE7"/>
    <w:rsid w:val="003C114C"/>
    <w:rsid w:val="003C1965"/>
    <w:rsid w:val="003C1A65"/>
    <w:rsid w:val="003C30BC"/>
    <w:rsid w:val="003C334E"/>
    <w:rsid w:val="003C3939"/>
    <w:rsid w:val="003C5BE0"/>
    <w:rsid w:val="003C5E2F"/>
    <w:rsid w:val="003C67A0"/>
    <w:rsid w:val="003C77A4"/>
    <w:rsid w:val="003C7EC3"/>
    <w:rsid w:val="003D10C5"/>
    <w:rsid w:val="003D2B55"/>
    <w:rsid w:val="003D2C69"/>
    <w:rsid w:val="003D3D39"/>
    <w:rsid w:val="003D51A1"/>
    <w:rsid w:val="003D55C8"/>
    <w:rsid w:val="003D56CB"/>
    <w:rsid w:val="003D7D17"/>
    <w:rsid w:val="003D7DE3"/>
    <w:rsid w:val="003E036A"/>
    <w:rsid w:val="003E0EF2"/>
    <w:rsid w:val="003E12C4"/>
    <w:rsid w:val="003E3099"/>
    <w:rsid w:val="003E65C2"/>
    <w:rsid w:val="003E6A79"/>
    <w:rsid w:val="003E74E5"/>
    <w:rsid w:val="003E7C23"/>
    <w:rsid w:val="003E7EBA"/>
    <w:rsid w:val="003F0982"/>
    <w:rsid w:val="003F3240"/>
    <w:rsid w:val="003F4A87"/>
    <w:rsid w:val="003F5D5B"/>
    <w:rsid w:val="003F61CF"/>
    <w:rsid w:val="003F6ADC"/>
    <w:rsid w:val="003F70FC"/>
    <w:rsid w:val="00401DFF"/>
    <w:rsid w:val="00402F2B"/>
    <w:rsid w:val="00405255"/>
    <w:rsid w:val="004056E6"/>
    <w:rsid w:val="00410A58"/>
    <w:rsid w:val="00411684"/>
    <w:rsid w:val="00411CF4"/>
    <w:rsid w:val="00413091"/>
    <w:rsid w:val="004169DD"/>
    <w:rsid w:val="0042123F"/>
    <w:rsid w:val="004213C5"/>
    <w:rsid w:val="0042369A"/>
    <w:rsid w:val="004258E8"/>
    <w:rsid w:val="00425C96"/>
    <w:rsid w:val="0042766C"/>
    <w:rsid w:val="00431E4D"/>
    <w:rsid w:val="00433B83"/>
    <w:rsid w:val="00433FFA"/>
    <w:rsid w:val="00434022"/>
    <w:rsid w:val="004348FD"/>
    <w:rsid w:val="00434CAA"/>
    <w:rsid w:val="00435A82"/>
    <w:rsid w:val="004367D5"/>
    <w:rsid w:val="00437F5F"/>
    <w:rsid w:val="004407CD"/>
    <w:rsid w:val="00442CAB"/>
    <w:rsid w:val="00442D98"/>
    <w:rsid w:val="004443A1"/>
    <w:rsid w:val="00445C21"/>
    <w:rsid w:val="00447D7E"/>
    <w:rsid w:val="00455502"/>
    <w:rsid w:val="00462917"/>
    <w:rsid w:val="00462BEE"/>
    <w:rsid w:val="00462F50"/>
    <w:rsid w:val="00463C73"/>
    <w:rsid w:val="004640CC"/>
    <w:rsid w:val="0046570B"/>
    <w:rsid w:val="00473901"/>
    <w:rsid w:val="004746E8"/>
    <w:rsid w:val="00475028"/>
    <w:rsid w:val="00476F04"/>
    <w:rsid w:val="00477F1E"/>
    <w:rsid w:val="0048159C"/>
    <w:rsid w:val="004837E1"/>
    <w:rsid w:val="00483B70"/>
    <w:rsid w:val="00484202"/>
    <w:rsid w:val="00486BC8"/>
    <w:rsid w:val="00487404"/>
    <w:rsid w:val="004874A6"/>
    <w:rsid w:val="00490098"/>
    <w:rsid w:val="0049193C"/>
    <w:rsid w:val="00491F15"/>
    <w:rsid w:val="00492EF9"/>
    <w:rsid w:val="00495B57"/>
    <w:rsid w:val="00497C07"/>
    <w:rsid w:val="00497EE6"/>
    <w:rsid w:val="004A06AE"/>
    <w:rsid w:val="004A0FAE"/>
    <w:rsid w:val="004A2D6A"/>
    <w:rsid w:val="004A4202"/>
    <w:rsid w:val="004A5A0F"/>
    <w:rsid w:val="004A61A7"/>
    <w:rsid w:val="004A71AF"/>
    <w:rsid w:val="004B627A"/>
    <w:rsid w:val="004C0669"/>
    <w:rsid w:val="004C527A"/>
    <w:rsid w:val="004C675C"/>
    <w:rsid w:val="004C7CDC"/>
    <w:rsid w:val="004D0851"/>
    <w:rsid w:val="004D08B1"/>
    <w:rsid w:val="004D11EA"/>
    <w:rsid w:val="004D17A5"/>
    <w:rsid w:val="004D1852"/>
    <w:rsid w:val="004D3880"/>
    <w:rsid w:val="004D3BE2"/>
    <w:rsid w:val="004D73AE"/>
    <w:rsid w:val="004E05BC"/>
    <w:rsid w:val="004E0FE3"/>
    <w:rsid w:val="004E10C9"/>
    <w:rsid w:val="004E113B"/>
    <w:rsid w:val="004E1468"/>
    <w:rsid w:val="004E1849"/>
    <w:rsid w:val="004E1925"/>
    <w:rsid w:val="004E1D3B"/>
    <w:rsid w:val="004F0139"/>
    <w:rsid w:val="004F2324"/>
    <w:rsid w:val="004F26FE"/>
    <w:rsid w:val="004F2DD1"/>
    <w:rsid w:val="004F68B5"/>
    <w:rsid w:val="005002EE"/>
    <w:rsid w:val="0050072A"/>
    <w:rsid w:val="00500CFC"/>
    <w:rsid w:val="00501DEE"/>
    <w:rsid w:val="00502998"/>
    <w:rsid w:val="0050471E"/>
    <w:rsid w:val="00504A91"/>
    <w:rsid w:val="00505266"/>
    <w:rsid w:val="00505E67"/>
    <w:rsid w:val="00506328"/>
    <w:rsid w:val="00506956"/>
    <w:rsid w:val="00510946"/>
    <w:rsid w:val="005134CB"/>
    <w:rsid w:val="00514623"/>
    <w:rsid w:val="00515162"/>
    <w:rsid w:val="00516568"/>
    <w:rsid w:val="00520B96"/>
    <w:rsid w:val="00521383"/>
    <w:rsid w:val="00522A4B"/>
    <w:rsid w:val="00522F5E"/>
    <w:rsid w:val="00523D41"/>
    <w:rsid w:val="00523E92"/>
    <w:rsid w:val="00523F7B"/>
    <w:rsid w:val="00525F82"/>
    <w:rsid w:val="00526622"/>
    <w:rsid w:val="0052774B"/>
    <w:rsid w:val="005302B1"/>
    <w:rsid w:val="00530C27"/>
    <w:rsid w:val="005323D0"/>
    <w:rsid w:val="005326A2"/>
    <w:rsid w:val="005423D8"/>
    <w:rsid w:val="005455F1"/>
    <w:rsid w:val="005505D6"/>
    <w:rsid w:val="00551C00"/>
    <w:rsid w:val="00552AFF"/>
    <w:rsid w:val="005530AB"/>
    <w:rsid w:val="00553D02"/>
    <w:rsid w:val="005546A2"/>
    <w:rsid w:val="00555749"/>
    <w:rsid w:val="00555A5E"/>
    <w:rsid w:val="005566BC"/>
    <w:rsid w:val="00556B1F"/>
    <w:rsid w:val="00556F33"/>
    <w:rsid w:val="005577F8"/>
    <w:rsid w:val="0056155A"/>
    <w:rsid w:val="00561C00"/>
    <w:rsid w:val="00562E29"/>
    <w:rsid w:val="00563C39"/>
    <w:rsid w:val="00565966"/>
    <w:rsid w:val="00565B42"/>
    <w:rsid w:val="00565B84"/>
    <w:rsid w:val="00566C72"/>
    <w:rsid w:val="00570580"/>
    <w:rsid w:val="00570724"/>
    <w:rsid w:val="00570C08"/>
    <w:rsid w:val="0057153A"/>
    <w:rsid w:val="005715FC"/>
    <w:rsid w:val="005725E1"/>
    <w:rsid w:val="0057285A"/>
    <w:rsid w:val="00573B39"/>
    <w:rsid w:val="00574BD9"/>
    <w:rsid w:val="00576490"/>
    <w:rsid w:val="00580B18"/>
    <w:rsid w:val="0058141A"/>
    <w:rsid w:val="00583ACF"/>
    <w:rsid w:val="00584E11"/>
    <w:rsid w:val="00587226"/>
    <w:rsid w:val="00590CB1"/>
    <w:rsid w:val="00590F63"/>
    <w:rsid w:val="005910B3"/>
    <w:rsid w:val="00592F98"/>
    <w:rsid w:val="0059468E"/>
    <w:rsid w:val="00595201"/>
    <w:rsid w:val="005952B4"/>
    <w:rsid w:val="0059598C"/>
    <w:rsid w:val="00596140"/>
    <w:rsid w:val="005964AF"/>
    <w:rsid w:val="00596DF4"/>
    <w:rsid w:val="005974D3"/>
    <w:rsid w:val="00597F02"/>
    <w:rsid w:val="005A0265"/>
    <w:rsid w:val="005A06AB"/>
    <w:rsid w:val="005A1E7A"/>
    <w:rsid w:val="005A4272"/>
    <w:rsid w:val="005A519B"/>
    <w:rsid w:val="005B1DF1"/>
    <w:rsid w:val="005B206C"/>
    <w:rsid w:val="005B5B94"/>
    <w:rsid w:val="005B695D"/>
    <w:rsid w:val="005B6C85"/>
    <w:rsid w:val="005C0505"/>
    <w:rsid w:val="005C148A"/>
    <w:rsid w:val="005C249A"/>
    <w:rsid w:val="005C28CB"/>
    <w:rsid w:val="005C4D25"/>
    <w:rsid w:val="005C5117"/>
    <w:rsid w:val="005C522E"/>
    <w:rsid w:val="005C57F1"/>
    <w:rsid w:val="005C6D05"/>
    <w:rsid w:val="005C7076"/>
    <w:rsid w:val="005D23C5"/>
    <w:rsid w:val="005D5523"/>
    <w:rsid w:val="005D5C54"/>
    <w:rsid w:val="005D6060"/>
    <w:rsid w:val="005D7021"/>
    <w:rsid w:val="005D7E7F"/>
    <w:rsid w:val="005E0245"/>
    <w:rsid w:val="005E0EA6"/>
    <w:rsid w:val="005E1CB8"/>
    <w:rsid w:val="005E4009"/>
    <w:rsid w:val="005E58B5"/>
    <w:rsid w:val="005E5D4B"/>
    <w:rsid w:val="005E6057"/>
    <w:rsid w:val="005E64C1"/>
    <w:rsid w:val="005E7462"/>
    <w:rsid w:val="005E7FA6"/>
    <w:rsid w:val="005F2A4B"/>
    <w:rsid w:val="005F43D8"/>
    <w:rsid w:val="005F5714"/>
    <w:rsid w:val="005F6FF6"/>
    <w:rsid w:val="006000DC"/>
    <w:rsid w:val="00601215"/>
    <w:rsid w:val="00601AB0"/>
    <w:rsid w:val="00602CE6"/>
    <w:rsid w:val="00603489"/>
    <w:rsid w:val="00605C70"/>
    <w:rsid w:val="00605EFF"/>
    <w:rsid w:val="00605F4D"/>
    <w:rsid w:val="006111FE"/>
    <w:rsid w:val="00611D58"/>
    <w:rsid w:val="00612B99"/>
    <w:rsid w:val="00613271"/>
    <w:rsid w:val="00616EF4"/>
    <w:rsid w:val="0061747F"/>
    <w:rsid w:val="006206EA"/>
    <w:rsid w:val="00621457"/>
    <w:rsid w:val="00624507"/>
    <w:rsid w:val="00624EE0"/>
    <w:rsid w:val="00625741"/>
    <w:rsid w:val="0062622A"/>
    <w:rsid w:val="00627896"/>
    <w:rsid w:val="00627B9E"/>
    <w:rsid w:val="00634B16"/>
    <w:rsid w:val="00634C36"/>
    <w:rsid w:val="00634E12"/>
    <w:rsid w:val="00635856"/>
    <w:rsid w:val="0063658E"/>
    <w:rsid w:val="0063690D"/>
    <w:rsid w:val="006413C3"/>
    <w:rsid w:val="00641DB9"/>
    <w:rsid w:val="00642D62"/>
    <w:rsid w:val="006434C2"/>
    <w:rsid w:val="00643ACF"/>
    <w:rsid w:val="00644792"/>
    <w:rsid w:val="00645112"/>
    <w:rsid w:val="0064524F"/>
    <w:rsid w:val="00645633"/>
    <w:rsid w:val="00645F81"/>
    <w:rsid w:val="006462DA"/>
    <w:rsid w:val="00646C80"/>
    <w:rsid w:val="00647D7E"/>
    <w:rsid w:val="0065078A"/>
    <w:rsid w:val="00650E61"/>
    <w:rsid w:val="00651316"/>
    <w:rsid w:val="00651B6F"/>
    <w:rsid w:val="00652677"/>
    <w:rsid w:val="006527C6"/>
    <w:rsid w:val="00654382"/>
    <w:rsid w:val="0065443B"/>
    <w:rsid w:val="00654C72"/>
    <w:rsid w:val="00654D9A"/>
    <w:rsid w:val="00655316"/>
    <w:rsid w:val="00655A48"/>
    <w:rsid w:val="00661559"/>
    <w:rsid w:val="0066396F"/>
    <w:rsid w:val="0066592F"/>
    <w:rsid w:val="00666794"/>
    <w:rsid w:val="00667F08"/>
    <w:rsid w:val="0067362F"/>
    <w:rsid w:val="006752AD"/>
    <w:rsid w:val="0067602C"/>
    <w:rsid w:val="0067606E"/>
    <w:rsid w:val="00682A16"/>
    <w:rsid w:val="00682C90"/>
    <w:rsid w:val="00683F7D"/>
    <w:rsid w:val="006846B2"/>
    <w:rsid w:val="00684A30"/>
    <w:rsid w:val="00685A9A"/>
    <w:rsid w:val="0068670D"/>
    <w:rsid w:val="0069097F"/>
    <w:rsid w:val="0069183B"/>
    <w:rsid w:val="00691EB5"/>
    <w:rsid w:val="0069271D"/>
    <w:rsid w:val="006930CE"/>
    <w:rsid w:val="00693E79"/>
    <w:rsid w:val="006943A6"/>
    <w:rsid w:val="00694EF4"/>
    <w:rsid w:val="00695A97"/>
    <w:rsid w:val="00695D41"/>
    <w:rsid w:val="0069624F"/>
    <w:rsid w:val="006962FC"/>
    <w:rsid w:val="00696331"/>
    <w:rsid w:val="00697B27"/>
    <w:rsid w:val="006A0F26"/>
    <w:rsid w:val="006A1B44"/>
    <w:rsid w:val="006A206A"/>
    <w:rsid w:val="006A26F5"/>
    <w:rsid w:val="006A2B0B"/>
    <w:rsid w:val="006A4179"/>
    <w:rsid w:val="006A455B"/>
    <w:rsid w:val="006A5898"/>
    <w:rsid w:val="006B06E0"/>
    <w:rsid w:val="006B1C82"/>
    <w:rsid w:val="006B2474"/>
    <w:rsid w:val="006B2E3E"/>
    <w:rsid w:val="006B3193"/>
    <w:rsid w:val="006B372B"/>
    <w:rsid w:val="006B38D4"/>
    <w:rsid w:val="006B6367"/>
    <w:rsid w:val="006B6D4B"/>
    <w:rsid w:val="006B7835"/>
    <w:rsid w:val="006C064E"/>
    <w:rsid w:val="006C0960"/>
    <w:rsid w:val="006C0A72"/>
    <w:rsid w:val="006C1BC5"/>
    <w:rsid w:val="006C423D"/>
    <w:rsid w:val="006C51DE"/>
    <w:rsid w:val="006C575E"/>
    <w:rsid w:val="006C6B37"/>
    <w:rsid w:val="006C787E"/>
    <w:rsid w:val="006D0078"/>
    <w:rsid w:val="006D0237"/>
    <w:rsid w:val="006D0C30"/>
    <w:rsid w:val="006D0CE2"/>
    <w:rsid w:val="006D1776"/>
    <w:rsid w:val="006D24E0"/>
    <w:rsid w:val="006D287D"/>
    <w:rsid w:val="006D2A0B"/>
    <w:rsid w:val="006D349F"/>
    <w:rsid w:val="006D4869"/>
    <w:rsid w:val="006D69D5"/>
    <w:rsid w:val="006D7A3C"/>
    <w:rsid w:val="006D7B6D"/>
    <w:rsid w:val="006E0EEE"/>
    <w:rsid w:val="006E7F2B"/>
    <w:rsid w:val="006F368D"/>
    <w:rsid w:val="006F4478"/>
    <w:rsid w:val="006F4E1D"/>
    <w:rsid w:val="006F79DB"/>
    <w:rsid w:val="006F7E88"/>
    <w:rsid w:val="007018B5"/>
    <w:rsid w:val="0070249D"/>
    <w:rsid w:val="00704C90"/>
    <w:rsid w:val="00704D1E"/>
    <w:rsid w:val="007078DC"/>
    <w:rsid w:val="00707AA6"/>
    <w:rsid w:val="00707D38"/>
    <w:rsid w:val="00707E6F"/>
    <w:rsid w:val="007103E4"/>
    <w:rsid w:val="00711B79"/>
    <w:rsid w:val="0071383B"/>
    <w:rsid w:val="00717D2A"/>
    <w:rsid w:val="007206B5"/>
    <w:rsid w:val="00720B9B"/>
    <w:rsid w:val="00720DC6"/>
    <w:rsid w:val="00722AE2"/>
    <w:rsid w:val="00724AA7"/>
    <w:rsid w:val="00725EE7"/>
    <w:rsid w:val="007262B5"/>
    <w:rsid w:val="00726D04"/>
    <w:rsid w:val="00730ED8"/>
    <w:rsid w:val="00731546"/>
    <w:rsid w:val="00732BC3"/>
    <w:rsid w:val="0073368C"/>
    <w:rsid w:val="00733C07"/>
    <w:rsid w:val="00733FA6"/>
    <w:rsid w:val="0073468F"/>
    <w:rsid w:val="00734C55"/>
    <w:rsid w:val="00735346"/>
    <w:rsid w:val="00736864"/>
    <w:rsid w:val="007401B0"/>
    <w:rsid w:val="007403C5"/>
    <w:rsid w:val="007413B4"/>
    <w:rsid w:val="00742B8F"/>
    <w:rsid w:val="00742D6D"/>
    <w:rsid w:val="00742EC7"/>
    <w:rsid w:val="00742F70"/>
    <w:rsid w:val="00743A3A"/>
    <w:rsid w:val="00744756"/>
    <w:rsid w:val="00747E2C"/>
    <w:rsid w:val="00751A6E"/>
    <w:rsid w:val="00753B12"/>
    <w:rsid w:val="00754DE4"/>
    <w:rsid w:val="007557A7"/>
    <w:rsid w:val="00755858"/>
    <w:rsid w:val="00756D8C"/>
    <w:rsid w:val="00756E17"/>
    <w:rsid w:val="00757BF6"/>
    <w:rsid w:val="00757CBC"/>
    <w:rsid w:val="00757F91"/>
    <w:rsid w:val="00757FF0"/>
    <w:rsid w:val="007608E3"/>
    <w:rsid w:val="00761280"/>
    <w:rsid w:val="00761FDA"/>
    <w:rsid w:val="00762CA5"/>
    <w:rsid w:val="0076340E"/>
    <w:rsid w:val="00763965"/>
    <w:rsid w:val="00765142"/>
    <w:rsid w:val="007654F4"/>
    <w:rsid w:val="00765DF8"/>
    <w:rsid w:val="00767492"/>
    <w:rsid w:val="007715FD"/>
    <w:rsid w:val="007716D9"/>
    <w:rsid w:val="007725BD"/>
    <w:rsid w:val="0077265E"/>
    <w:rsid w:val="00774FEF"/>
    <w:rsid w:val="00775FDE"/>
    <w:rsid w:val="007766C9"/>
    <w:rsid w:val="0077727F"/>
    <w:rsid w:val="00777D32"/>
    <w:rsid w:val="007808CF"/>
    <w:rsid w:val="00780DAB"/>
    <w:rsid w:val="007810D6"/>
    <w:rsid w:val="00782848"/>
    <w:rsid w:val="00782CBA"/>
    <w:rsid w:val="00783D57"/>
    <w:rsid w:val="00784114"/>
    <w:rsid w:val="00784F56"/>
    <w:rsid w:val="00785E3A"/>
    <w:rsid w:val="007865BE"/>
    <w:rsid w:val="007913C7"/>
    <w:rsid w:val="00791794"/>
    <w:rsid w:val="00791E8F"/>
    <w:rsid w:val="00793490"/>
    <w:rsid w:val="00795E86"/>
    <w:rsid w:val="00797585"/>
    <w:rsid w:val="007A269A"/>
    <w:rsid w:val="007A4D37"/>
    <w:rsid w:val="007B0B74"/>
    <w:rsid w:val="007B0CB3"/>
    <w:rsid w:val="007B313D"/>
    <w:rsid w:val="007B3427"/>
    <w:rsid w:val="007B3C5E"/>
    <w:rsid w:val="007B4B6B"/>
    <w:rsid w:val="007B61FD"/>
    <w:rsid w:val="007B6A87"/>
    <w:rsid w:val="007B7B32"/>
    <w:rsid w:val="007B7F5D"/>
    <w:rsid w:val="007C02D2"/>
    <w:rsid w:val="007C170C"/>
    <w:rsid w:val="007C4897"/>
    <w:rsid w:val="007C557C"/>
    <w:rsid w:val="007C6351"/>
    <w:rsid w:val="007D008C"/>
    <w:rsid w:val="007D0B54"/>
    <w:rsid w:val="007D0EFC"/>
    <w:rsid w:val="007D1E38"/>
    <w:rsid w:val="007D22B5"/>
    <w:rsid w:val="007D35E1"/>
    <w:rsid w:val="007D42B0"/>
    <w:rsid w:val="007D4B04"/>
    <w:rsid w:val="007D7666"/>
    <w:rsid w:val="007E185F"/>
    <w:rsid w:val="007E1F37"/>
    <w:rsid w:val="007E3441"/>
    <w:rsid w:val="007E3B89"/>
    <w:rsid w:val="007E4D38"/>
    <w:rsid w:val="007E5305"/>
    <w:rsid w:val="007E5679"/>
    <w:rsid w:val="007E5AE3"/>
    <w:rsid w:val="007F2108"/>
    <w:rsid w:val="007F24DA"/>
    <w:rsid w:val="007F49C7"/>
    <w:rsid w:val="00800B9C"/>
    <w:rsid w:val="00801F8E"/>
    <w:rsid w:val="008040FC"/>
    <w:rsid w:val="00805166"/>
    <w:rsid w:val="008065C0"/>
    <w:rsid w:val="00807AF8"/>
    <w:rsid w:val="0081131A"/>
    <w:rsid w:val="0081443C"/>
    <w:rsid w:val="00814773"/>
    <w:rsid w:val="00817F2F"/>
    <w:rsid w:val="008236B1"/>
    <w:rsid w:val="00824D63"/>
    <w:rsid w:val="0082576E"/>
    <w:rsid w:val="00825D7B"/>
    <w:rsid w:val="00826F82"/>
    <w:rsid w:val="00826FC8"/>
    <w:rsid w:val="008317C1"/>
    <w:rsid w:val="008329B0"/>
    <w:rsid w:val="008339B4"/>
    <w:rsid w:val="00833CC7"/>
    <w:rsid w:val="00834465"/>
    <w:rsid w:val="0083577D"/>
    <w:rsid w:val="00835CC5"/>
    <w:rsid w:val="008363ED"/>
    <w:rsid w:val="00837282"/>
    <w:rsid w:val="00837C80"/>
    <w:rsid w:val="00837CDD"/>
    <w:rsid w:val="00840D16"/>
    <w:rsid w:val="00841588"/>
    <w:rsid w:val="00841899"/>
    <w:rsid w:val="00843AA1"/>
    <w:rsid w:val="00844E35"/>
    <w:rsid w:val="0084515E"/>
    <w:rsid w:val="00846FAD"/>
    <w:rsid w:val="00850C98"/>
    <w:rsid w:val="00850DEB"/>
    <w:rsid w:val="00850E90"/>
    <w:rsid w:val="00852CC1"/>
    <w:rsid w:val="00853543"/>
    <w:rsid w:val="00854068"/>
    <w:rsid w:val="0085425A"/>
    <w:rsid w:val="00856B45"/>
    <w:rsid w:val="00856FE6"/>
    <w:rsid w:val="00860BC1"/>
    <w:rsid w:val="00860CC3"/>
    <w:rsid w:val="00862350"/>
    <w:rsid w:val="00862A51"/>
    <w:rsid w:val="00863F2F"/>
    <w:rsid w:val="00864CD3"/>
    <w:rsid w:val="00872D35"/>
    <w:rsid w:val="00874C0A"/>
    <w:rsid w:val="00874DE0"/>
    <w:rsid w:val="00875BAB"/>
    <w:rsid w:val="008806A3"/>
    <w:rsid w:val="00880939"/>
    <w:rsid w:val="00886C17"/>
    <w:rsid w:val="00887A9F"/>
    <w:rsid w:val="00890987"/>
    <w:rsid w:val="008917F7"/>
    <w:rsid w:val="00891B69"/>
    <w:rsid w:val="008926EA"/>
    <w:rsid w:val="00892CA2"/>
    <w:rsid w:val="00894591"/>
    <w:rsid w:val="00894F7C"/>
    <w:rsid w:val="00895128"/>
    <w:rsid w:val="0089684A"/>
    <w:rsid w:val="0089777B"/>
    <w:rsid w:val="00897F2B"/>
    <w:rsid w:val="008A20B1"/>
    <w:rsid w:val="008A2119"/>
    <w:rsid w:val="008A3F1C"/>
    <w:rsid w:val="008A6176"/>
    <w:rsid w:val="008A72A1"/>
    <w:rsid w:val="008A7374"/>
    <w:rsid w:val="008A7A66"/>
    <w:rsid w:val="008B1D27"/>
    <w:rsid w:val="008B3C22"/>
    <w:rsid w:val="008B4EBA"/>
    <w:rsid w:val="008B50E6"/>
    <w:rsid w:val="008B6B0B"/>
    <w:rsid w:val="008B70A5"/>
    <w:rsid w:val="008B771A"/>
    <w:rsid w:val="008C0855"/>
    <w:rsid w:val="008C1567"/>
    <w:rsid w:val="008C248A"/>
    <w:rsid w:val="008C4483"/>
    <w:rsid w:val="008C7E57"/>
    <w:rsid w:val="008D089F"/>
    <w:rsid w:val="008D0E11"/>
    <w:rsid w:val="008D2EC9"/>
    <w:rsid w:val="008D48B4"/>
    <w:rsid w:val="008D7A0D"/>
    <w:rsid w:val="008D7A33"/>
    <w:rsid w:val="008E0138"/>
    <w:rsid w:val="008E0BDB"/>
    <w:rsid w:val="008E225E"/>
    <w:rsid w:val="008E2847"/>
    <w:rsid w:val="008E2F77"/>
    <w:rsid w:val="008E4DD4"/>
    <w:rsid w:val="008E5E25"/>
    <w:rsid w:val="008F17F7"/>
    <w:rsid w:val="008F24DA"/>
    <w:rsid w:val="008F582C"/>
    <w:rsid w:val="008F62C6"/>
    <w:rsid w:val="008F634A"/>
    <w:rsid w:val="008F6DBE"/>
    <w:rsid w:val="0090023D"/>
    <w:rsid w:val="00901172"/>
    <w:rsid w:val="00901F59"/>
    <w:rsid w:val="009021A5"/>
    <w:rsid w:val="0090301F"/>
    <w:rsid w:val="009033D8"/>
    <w:rsid w:val="00906CBD"/>
    <w:rsid w:val="00910556"/>
    <w:rsid w:val="00910C49"/>
    <w:rsid w:val="009124AF"/>
    <w:rsid w:val="009141E2"/>
    <w:rsid w:val="009147B5"/>
    <w:rsid w:val="00914EF9"/>
    <w:rsid w:val="00915449"/>
    <w:rsid w:val="00915616"/>
    <w:rsid w:val="009165CE"/>
    <w:rsid w:val="009172DE"/>
    <w:rsid w:val="009178C9"/>
    <w:rsid w:val="009179C7"/>
    <w:rsid w:val="00920B2D"/>
    <w:rsid w:val="009212DA"/>
    <w:rsid w:val="00921EAC"/>
    <w:rsid w:val="0092276C"/>
    <w:rsid w:val="00922C61"/>
    <w:rsid w:val="0092365D"/>
    <w:rsid w:val="00923FD7"/>
    <w:rsid w:val="00924980"/>
    <w:rsid w:val="00924EAF"/>
    <w:rsid w:val="009311C6"/>
    <w:rsid w:val="00931DED"/>
    <w:rsid w:val="009323C0"/>
    <w:rsid w:val="00933050"/>
    <w:rsid w:val="0093381B"/>
    <w:rsid w:val="00934520"/>
    <w:rsid w:val="0093516F"/>
    <w:rsid w:val="00935F6A"/>
    <w:rsid w:val="00937B6E"/>
    <w:rsid w:val="00937DE2"/>
    <w:rsid w:val="009405CA"/>
    <w:rsid w:val="009409CA"/>
    <w:rsid w:val="00941049"/>
    <w:rsid w:val="0094236B"/>
    <w:rsid w:val="0094394F"/>
    <w:rsid w:val="00946B79"/>
    <w:rsid w:val="00947905"/>
    <w:rsid w:val="00947D1E"/>
    <w:rsid w:val="00947E68"/>
    <w:rsid w:val="009507E9"/>
    <w:rsid w:val="009524B6"/>
    <w:rsid w:val="009552DD"/>
    <w:rsid w:val="00956080"/>
    <w:rsid w:val="00956601"/>
    <w:rsid w:val="00956F66"/>
    <w:rsid w:val="00960B09"/>
    <w:rsid w:val="0096432F"/>
    <w:rsid w:val="009649A3"/>
    <w:rsid w:val="009659EA"/>
    <w:rsid w:val="00966368"/>
    <w:rsid w:val="00966B11"/>
    <w:rsid w:val="00966EEB"/>
    <w:rsid w:val="00970BB6"/>
    <w:rsid w:val="009716AF"/>
    <w:rsid w:val="00971B91"/>
    <w:rsid w:val="00971C9B"/>
    <w:rsid w:val="00974F26"/>
    <w:rsid w:val="009768D3"/>
    <w:rsid w:val="00976A13"/>
    <w:rsid w:val="0097724D"/>
    <w:rsid w:val="00980056"/>
    <w:rsid w:val="00980CA3"/>
    <w:rsid w:val="00981AB9"/>
    <w:rsid w:val="00982CDD"/>
    <w:rsid w:val="00982D09"/>
    <w:rsid w:val="00986026"/>
    <w:rsid w:val="0098619B"/>
    <w:rsid w:val="0098638E"/>
    <w:rsid w:val="0099157F"/>
    <w:rsid w:val="009915B0"/>
    <w:rsid w:val="009938B3"/>
    <w:rsid w:val="00994229"/>
    <w:rsid w:val="00995B0B"/>
    <w:rsid w:val="009A028F"/>
    <w:rsid w:val="009A1502"/>
    <w:rsid w:val="009A2F95"/>
    <w:rsid w:val="009A3469"/>
    <w:rsid w:val="009A3E70"/>
    <w:rsid w:val="009A4201"/>
    <w:rsid w:val="009A4C63"/>
    <w:rsid w:val="009A52F4"/>
    <w:rsid w:val="009A6003"/>
    <w:rsid w:val="009A643D"/>
    <w:rsid w:val="009A7FCB"/>
    <w:rsid w:val="009B0000"/>
    <w:rsid w:val="009B11FA"/>
    <w:rsid w:val="009B1A0F"/>
    <w:rsid w:val="009B40C2"/>
    <w:rsid w:val="009B423E"/>
    <w:rsid w:val="009B572C"/>
    <w:rsid w:val="009B6478"/>
    <w:rsid w:val="009B6C3C"/>
    <w:rsid w:val="009C37E1"/>
    <w:rsid w:val="009C390C"/>
    <w:rsid w:val="009C3DE7"/>
    <w:rsid w:val="009C588C"/>
    <w:rsid w:val="009C6C7D"/>
    <w:rsid w:val="009C7BAE"/>
    <w:rsid w:val="009D06AA"/>
    <w:rsid w:val="009D12C4"/>
    <w:rsid w:val="009D1C49"/>
    <w:rsid w:val="009D1E4C"/>
    <w:rsid w:val="009D258B"/>
    <w:rsid w:val="009D4E8A"/>
    <w:rsid w:val="009D58AC"/>
    <w:rsid w:val="009D7F6A"/>
    <w:rsid w:val="009E13D7"/>
    <w:rsid w:val="009E173B"/>
    <w:rsid w:val="009E1D7F"/>
    <w:rsid w:val="009E1E46"/>
    <w:rsid w:val="009E2995"/>
    <w:rsid w:val="009E4FAA"/>
    <w:rsid w:val="009E73D3"/>
    <w:rsid w:val="009E7889"/>
    <w:rsid w:val="009F015C"/>
    <w:rsid w:val="009F069F"/>
    <w:rsid w:val="009F1FF7"/>
    <w:rsid w:val="009F25B6"/>
    <w:rsid w:val="009F3409"/>
    <w:rsid w:val="009F4332"/>
    <w:rsid w:val="009F4DF8"/>
    <w:rsid w:val="009F7470"/>
    <w:rsid w:val="009F7F54"/>
    <w:rsid w:val="00A00725"/>
    <w:rsid w:val="00A01BC6"/>
    <w:rsid w:val="00A03068"/>
    <w:rsid w:val="00A032A0"/>
    <w:rsid w:val="00A03967"/>
    <w:rsid w:val="00A03A32"/>
    <w:rsid w:val="00A03E79"/>
    <w:rsid w:val="00A04561"/>
    <w:rsid w:val="00A055C4"/>
    <w:rsid w:val="00A10428"/>
    <w:rsid w:val="00A106D2"/>
    <w:rsid w:val="00A146D3"/>
    <w:rsid w:val="00A15514"/>
    <w:rsid w:val="00A165F9"/>
    <w:rsid w:val="00A1714A"/>
    <w:rsid w:val="00A17EAD"/>
    <w:rsid w:val="00A20964"/>
    <w:rsid w:val="00A20A26"/>
    <w:rsid w:val="00A21915"/>
    <w:rsid w:val="00A21C79"/>
    <w:rsid w:val="00A2245D"/>
    <w:rsid w:val="00A22BD5"/>
    <w:rsid w:val="00A22C32"/>
    <w:rsid w:val="00A2344A"/>
    <w:rsid w:val="00A242A3"/>
    <w:rsid w:val="00A24ADD"/>
    <w:rsid w:val="00A266E3"/>
    <w:rsid w:val="00A3060D"/>
    <w:rsid w:val="00A309BD"/>
    <w:rsid w:val="00A33C40"/>
    <w:rsid w:val="00A3487F"/>
    <w:rsid w:val="00A34942"/>
    <w:rsid w:val="00A35802"/>
    <w:rsid w:val="00A36573"/>
    <w:rsid w:val="00A40DE3"/>
    <w:rsid w:val="00A419F6"/>
    <w:rsid w:val="00A41B10"/>
    <w:rsid w:val="00A41C69"/>
    <w:rsid w:val="00A422E9"/>
    <w:rsid w:val="00A452D8"/>
    <w:rsid w:val="00A455A2"/>
    <w:rsid w:val="00A468E2"/>
    <w:rsid w:val="00A47A16"/>
    <w:rsid w:val="00A47BE5"/>
    <w:rsid w:val="00A5004A"/>
    <w:rsid w:val="00A52ABC"/>
    <w:rsid w:val="00A54039"/>
    <w:rsid w:val="00A55105"/>
    <w:rsid w:val="00A5560D"/>
    <w:rsid w:val="00A56F91"/>
    <w:rsid w:val="00A57724"/>
    <w:rsid w:val="00A607B0"/>
    <w:rsid w:val="00A60F7B"/>
    <w:rsid w:val="00A625FE"/>
    <w:rsid w:val="00A62624"/>
    <w:rsid w:val="00A627D0"/>
    <w:rsid w:val="00A62A8A"/>
    <w:rsid w:val="00A63031"/>
    <w:rsid w:val="00A63783"/>
    <w:rsid w:val="00A64FFF"/>
    <w:rsid w:val="00A665D3"/>
    <w:rsid w:val="00A67CB2"/>
    <w:rsid w:val="00A70F8E"/>
    <w:rsid w:val="00A70FC4"/>
    <w:rsid w:val="00A73322"/>
    <w:rsid w:val="00A741B2"/>
    <w:rsid w:val="00A76D4B"/>
    <w:rsid w:val="00A805CE"/>
    <w:rsid w:val="00A81D0D"/>
    <w:rsid w:val="00A82942"/>
    <w:rsid w:val="00A82EA8"/>
    <w:rsid w:val="00A83668"/>
    <w:rsid w:val="00A838CC"/>
    <w:rsid w:val="00A8423A"/>
    <w:rsid w:val="00A85600"/>
    <w:rsid w:val="00A86719"/>
    <w:rsid w:val="00A91CF2"/>
    <w:rsid w:val="00A91DDA"/>
    <w:rsid w:val="00A92476"/>
    <w:rsid w:val="00A93127"/>
    <w:rsid w:val="00A938D7"/>
    <w:rsid w:val="00A9419A"/>
    <w:rsid w:val="00A941BD"/>
    <w:rsid w:val="00A95F98"/>
    <w:rsid w:val="00A96777"/>
    <w:rsid w:val="00A970E6"/>
    <w:rsid w:val="00A97D3E"/>
    <w:rsid w:val="00A97F93"/>
    <w:rsid w:val="00AA0F8B"/>
    <w:rsid w:val="00AA1335"/>
    <w:rsid w:val="00AA1BCD"/>
    <w:rsid w:val="00AA1D78"/>
    <w:rsid w:val="00AA2E06"/>
    <w:rsid w:val="00AA3921"/>
    <w:rsid w:val="00AA428B"/>
    <w:rsid w:val="00AA4FE9"/>
    <w:rsid w:val="00AA635F"/>
    <w:rsid w:val="00AA63BC"/>
    <w:rsid w:val="00AA773C"/>
    <w:rsid w:val="00AA7B9F"/>
    <w:rsid w:val="00AA7E77"/>
    <w:rsid w:val="00AB1793"/>
    <w:rsid w:val="00AB216F"/>
    <w:rsid w:val="00AB2222"/>
    <w:rsid w:val="00AB4050"/>
    <w:rsid w:val="00AB5798"/>
    <w:rsid w:val="00AB57B0"/>
    <w:rsid w:val="00AB7A94"/>
    <w:rsid w:val="00AC122B"/>
    <w:rsid w:val="00AC42E4"/>
    <w:rsid w:val="00AC5F7A"/>
    <w:rsid w:val="00AC78B1"/>
    <w:rsid w:val="00AC7C83"/>
    <w:rsid w:val="00AD0144"/>
    <w:rsid w:val="00AD18EA"/>
    <w:rsid w:val="00AD1B65"/>
    <w:rsid w:val="00AD3D7E"/>
    <w:rsid w:val="00AD4A63"/>
    <w:rsid w:val="00AD58D3"/>
    <w:rsid w:val="00AD7A07"/>
    <w:rsid w:val="00AE0D6B"/>
    <w:rsid w:val="00AE2BF3"/>
    <w:rsid w:val="00AE3535"/>
    <w:rsid w:val="00AE37CA"/>
    <w:rsid w:val="00AE3A6C"/>
    <w:rsid w:val="00AE49F9"/>
    <w:rsid w:val="00AE4BD2"/>
    <w:rsid w:val="00AE4F79"/>
    <w:rsid w:val="00AE6C9D"/>
    <w:rsid w:val="00AE717C"/>
    <w:rsid w:val="00AF065D"/>
    <w:rsid w:val="00AF0EB5"/>
    <w:rsid w:val="00AF108A"/>
    <w:rsid w:val="00AF11D9"/>
    <w:rsid w:val="00AF1F98"/>
    <w:rsid w:val="00AF2F75"/>
    <w:rsid w:val="00AF353B"/>
    <w:rsid w:val="00AF4AA7"/>
    <w:rsid w:val="00AF5A5B"/>
    <w:rsid w:val="00AF64BC"/>
    <w:rsid w:val="00AF7B32"/>
    <w:rsid w:val="00B00233"/>
    <w:rsid w:val="00B01D63"/>
    <w:rsid w:val="00B05448"/>
    <w:rsid w:val="00B06968"/>
    <w:rsid w:val="00B07D62"/>
    <w:rsid w:val="00B1050D"/>
    <w:rsid w:val="00B106CF"/>
    <w:rsid w:val="00B106DD"/>
    <w:rsid w:val="00B10709"/>
    <w:rsid w:val="00B1261D"/>
    <w:rsid w:val="00B14911"/>
    <w:rsid w:val="00B15262"/>
    <w:rsid w:val="00B2159C"/>
    <w:rsid w:val="00B21EB3"/>
    <w:rsid w:val="00B221D7"/>
    <w:rsid w:val="00B222A7"/>
    <w:rsid w:val="00B224FA"/>
    <w:rsid w:val="00B23955"/>
    <w:rsid w:val="00B23F06"/>
    <w:rsid w:val="00B241F8"/>
    <w:rsid w:val="00B24937"/>
    <w:rsid w:val="00B25752"/>
    <w:rsid w:val="00B2604E"/>
    <w:rsid w:val="00B26B37"/>
    <w:rsid w:val="00B3018C"/>
    <w:rsid w:val="00B305B8"/>
    <w:rsid w:val="00B308A5"/>
    <w:rsid w:val="00B319C4"/>
    <w:rsid w:val="00B31B87"/>
    <w:rsid w:val="00B3255A"/>
    <w:rsid w:val="00B32BEC"/>
    <w:rsid w:val="00B32EC9"/>
    <w:rsid w:val="00B3453A"/>
    <w:rsid w:val="00B3479A"/>
    <w:rsid w:val="00B37DA3"/>
    <w:rsid w:val="00B400F4"/>
    <w:rsid w:val="00B408A8"/>
    <w:rsid w:val="00B40DF9"/>
    <w:rsid w:val="00B42A4B"/>
    <w:rsid w:val="00B42C56"/>
    <w:rsid w:val="00B44058"/>
    <w:rsid w:val="00B44DC5"/>
    <w:rsid w:val="00B46C97"/>
    <w:rsid w:val="00B52A36"/>
    <w:rsid w:val="00B53347"/>
    <w:rsid w:val="00B53711"/>
    <w:rsid w:val="00B53FAE"/>
    <w:rsid w:val="00B53FF9"/>
    <w:rsid w:val="00B54233"/>
    <w:rsid w:val="00B54A98"/>
    <w:rsid w:val="00B55635"/>
    <w:rsid w:val="00B559F9"/>
    <w:rsid w:val="00B55D9C"/>
    <w:rsid w:val="00B5659F"/>
    <w:rsid w:val="00B56650"/>
    <w:rsid w:val="00B56C58"/>
    <w:rsid w:val="00B572B8"/>
    <w:rsid w:val="00B62500"/>
    <w:rsid w:val="00B64429"/>
    <w:rsid w:val="00B662B3"/>
    <w:rsid w:val="00B662C0"/>
    <w:rsid w:val="00B67A6F"/>
    <w:rsid w:val="00B67C67"/>
    <w:rsid w:val="00B72387"/>
    <w:rsid w:val="00B75998"/>
    <w:rsid w:val="00B7709C"/>
    <w:rsid w:val="00B81AEE"/>
    <w:rsid w:val="00B83565"/>
    <w:rsid w:val="00B83E2C"/>
    <w:rsid w:val="00B83FA3"/>
    <w:rsid w:val="00B85279"/>
    <w:rsid w:val="00B853A1"/>
    <w:rsid w:val="00B90920"/>
    <w:rsid w:val="00B92C30"/>
    <w:rsid w:val="00B92F55"/>
    <w:rsid w:val="00B93DD2"/>
    <w:rsid w:val="00B954F6"/>
    <w:rsid w:val="00B9589C"/>
    <w:rsid w:val="00B95DE9"/>
    <w:rsid w:val="00B97041"/>
    <w:rsid w:val="00B97E73"/>
    <w:rsid w:val="00BA0F2E"/>
    <w:rsid w:val="00BA11A4"/>
    <w:rsid w:val="00BA12D2"/>
    <w:rsid w:val="00BA3B13"/>
    <w:rsid w:val="00BA4432"/>
    <w:rsid w:val="00BA4A32"/>
    <w:rsid w:val="00BA4C02"/>
    <w:rsid w:val="00BA52F1"/>
    <w:rsid w:val="00BA73C0"/>
    <w:rsid w:val="00BB3F55"/>
    <w:rsid w:val="00BB4329"/>
    <w:rsid w:val="00BB47B3"/>
    <w:rsid w:val="00BB58FB"/>
    <w:rsid w:val="00BB5AA5"/>
    <w:rsid w:val="00BB6615"/>
    <w:rsid w:val="00BB7174"/>
    <w:rsid w:val="00BB7EE6"/>
    <w:rsid w:val="00BC024D"/>
    <w:rsid w:val="00BC1841"/>
    <w:rsid w:val="00BC3BDD"/>
    <w:rsid w:val="00BC3FE0"/>
    <w:rsid w:val="00BC4248"/>
    <w:rsid w:val="00BC47FD"/>
    <w:rsid w:val="00BC5ED4"/>
    <w:rsid w:val="00BC6BFD"/>
    <w:rsid w:val="00BD081F"/>
    <w:rsid w:val="00BD1D73"/>
    <w:rsid w:val="00BD1E59"/>
    <w:rsid w:val="00BD2D72"/>
    <w:rsid w:val="00BD3D4A"/>
    <w:rsid w:val="00BD46C3"/>
    <w:rsid w:val="00BD4D90"/>
    <w:rsid w:val="00BE0A9B"/>
    <w:rsid w:val="00BE0BC4"/>
    <w:rsid w:val="00BE1236"/>
    <w:rsid w:val="00BE1D54"/>
    <w:rsid w:val="00BE272A"/>
    <w:rsid w:val="00BE2819"/>
    <w:rsid w:val="00BE2A3D"/>
    <w:rsid w:val="00BE3BA3"/>
    <w:rsid w:val="00BE55C6"/>
    <w:rsid w:val="00BE6F07"/>
    <w:rsid w:val="00BF17A6"/>
    <w:rsid w:val="00BF573B"/>
    <w:rsid w:val="00BF580B"/>
    <w:rsid w:val="00BF7009"/>
    <w:rsid w:val="00C01D90"/>
    <w:rsid w:val="00C03A0D"/>
    <w:rsid w:val="00C03B84"/>
    <w:rsid w:val="00C040AD"/>
    <w:rsid w:val="00C04CC2"/>
    <w:rsid w:val="00C06AD2"/>
    <w:rsid w:val="00C07611"/>
    <w:rsid w:val="00C076B7"/>
    <w:rsid w:val="00C07BF0"/>
    <w:rsid w:val="00C07C7D"/>
    <w:rsid w:val="00C07D74"/>
    <w:rsid w:val="00C10680"/>
    <w:rsid w:val="00C1084E"/>
    <w:rsid w:val="00C12D14"/>
    <w:rsid w:val="00C14424"/>
    <w:rsid w:val="00C14606"/>
    <w:rsid w:val="00C151BF"/>
    <w:rsid w:val="00C15374"/>
    <w:rsid w:val="00C153F3"/>
    <w:rsid w:val="00C15AD3"/>
    <w:rsid w:val="00C17CDE"/>
    <w:rsid w:val="00C213E7"/>
    <w:rsid w:val="00C22E61"/>
    <w:rsid w:val="00C24692"/>
    <w:rsid w:val="00C24922"/>
    <w:rsid w:val="00C27154"/>
    <w:rsid w:val="00C27C5D"/>
    <w:rsid w:val="00C31BB8"/>
    <w:rsid w:val="00C32A92"/>
    <w:rsid w:val="00C33CBD"/>
    <w:rsid w:val="00C340A1"/>
    <w:rsid w:val="00C34F1E"/>
    <w:rsid w:val="00C367C0"/>
    <w:rsid w:val="00C368CC"/>
    <w:rsid w:val="00C3723C"/>
    <w:rsid w:val="00C3764A"/>
    <w:rsid w:val="00C37817"/>
    <w:rsid w:val="00C37D8E"/>
    <w:rsid w:val="00C4023D"/>
    <w:rsid w:val="00C41909"/>
    <w:rsid w:val="00C449EC"/>
    <w:rsid w:val="00C45CB5"/>
    <w:rsid w:val="00C47888"/>
    <w:rsid w:val="00C51B1B"/>
    <w:rsid w:val="00C52174"/>
    <w:rsid w:val="00C534EB"/>
    <w:rsid w:val="00C5452C"/>
    <w:rsid w:val="00C5454A"/>
    <w:rsid w:val="00C552C3"/>
    <w:rsid w:val="00C55712"/>
    <w:rsid w:val="00C5797F"/>
    <w:rsid w:val="00C614BE"/>
    <w:rsid w:val="00C61CBC"/>
    <w:rsid w:val="00C61D3F"/>
    <w:rsid w:val="00C6211B"/>
    <w:rsid w:val="00C643BF"/>
    <w:rsid w:val="00C64F71"/>
    <w:rsid w:val="00C650C3"/>
    <w:rsid w:val="00C655C4"/>
    <w:rsid w:val="00C660F3"/>
    <w:rsid w:val="00C70995"/>
    <w:rsid w:val="00C7107C"/>
    <w:rsid w:val="00C751A8"/>
    <w:rsid w:val="00C769CA"/>
    <w:rsid w:val="00C76AF2"/>
    <w:rsid w:val="00C77B4E"/>
    <w:rsid w:val="00C77F53"/>
    <w:rsid w:val="00C827E7"/>
    <w:rsid w:val="00C82D9E"/>
    <w:rsid w:val="00C83B54"/>
    <w:rsid w:val="00C84516"/>
    <w:rsid w:val="00C84D47"/>
    <w:rsid w:val="00C85817"/>
    <w:rsid w:val="00C867BB"/>
    <w:rsid w:val="00C877A7"/>
    <w:rsid w:val="00C87BC4"/>
    <w:rsid w:val="00C9001C"/>
    <w:rsid w:val="00C90975"/>
    <w:rsid w:val="00C91E23"/>
    <w:rsid w:val="00C92CA4"/>
    <w:rsid w:val="00C94908"/>
    <w:rsid w:val="00C94948"/>
    <w:rsid w:val="00C94D16"/>
    <w:rsid w:val="00C95BDD"/>
    <w:rsid w:val="00C95E9A"/>
    <w:rsid w:val="00C9666F"/>
    <w:rsid w:val="00C97323"/>
    <w:rsid w:val="00C978AE"/>
    <w:rsid w:val="00CA02EE"/>
    <w:rsid w:val="00CA0CD0"/>
    <w:rsid w:val="00CA1A45"/>
    <w:rsid w:val="00CA34FB"/>
    <w:rsid w:val="00CA3FB0"/>
    <w:rsid w:val="00CA4F37"/>
    <w:rsid w:val="00CA519F"/>
    <w:rsid w:val="00CA5E36"/>
    <w:rsid w:val="00CA644D"/>
    <w:rsid w:val="00CB1E90"/>
    <w:rsid w:val="00CB2527"/>
    <w:rsid w:val="00CB3C41"/>
    <w:rsid w:val="00CB512E"/>
    <w:rsid w:val="00CB6293"/>
    <w:rsid w:val="00CB7E20"/>
    <w:rsid w:val="00CC2F98"/>
    <w:rsid w:val="00CC540E"/>
    <w:rsid w:val="00CC7766"/>
    <w:rsid w:val="00CD0D45"/>
    <w:rsid w:val="00CD3C57"/>
    <w:rsid w:val="00CD5119"/>
    <w:rsid w:val="00CD5A74"/>
    <w:rsid w:val="00CD5EE3"/>
    <w:rsid w:val="00CD6AAC"/>
    <w:rsid w:val="00CE264A"/>
    <w:rsid w:val="00CF01A3"/>
    <w:rsid w:val="00CF2802"/>
    <w:rsid w:val="00CF482F"/>
    <w:rsid w:val="00CF4882"/>
    <w:rsid w:val="00CF4A49"/>
    <w:rsid w:val="00CF4E04"/>
    <w:rsid w:val="00CF572A"/>
    <w:rsid w:val="00CF5882"/>
    <w:rsid w:val="00CF5A74"/>
    <w:rsid w:val="00D00992"/>
    <w:rsid w:val="00D010C4"/>
    <w:rsid w:val="00D011BB"/>
    <w:rsid w:val="00D01393"/>
    <w:rsid w:val="00D01879"/>
    <w:rsid w:val="00D03166"/>
    <w:rsid w:val="00D04DD8"/>
    <w:rsid w:val="00D06066"/>
    <w:rsid w:val="00D062DD"/>
    <w:rsid w:val="00D07BED"/>
    <w:rsid w:val="00D10C3B"/>
    <w:rsid w:val="00D11B66"/>
    <w:rsid w:val="00D13749"/>
    <w:rsid w:val="00D13EA4"/>
    <w:rsid w:val="00D15734"/>
    <w:rsid w:val="00D157E4"/>
    <w:rsid w:val="00D17869"/>
    <w:rsid w:val="00D22C8E"/>
    <w:rsid w:val="00D23A67"/>
    <w:rsid w:val="00D2423F"/>
    <w:rsid w:val="00D25675"/>
    <w:rsid w:val="00D26C9B"/>
    <w:rsid w:val="00D27708"/>
    <w:rsid w:val="00D2781B"/>
    <w:rsid w:val="00D313AB"/>
    <w:rsid w:val="00D31C72"/>
    <w:rsid w:val="00D34361"/>
    <w:rsid w:val="00D359CF"/>
    <w:rsid w:val="00D35C55"/>
    <w:rsid w:val="00D35D5C"/>
    <w:rsid w:val="00D35F80"/>
    <w:rsid w:val="00D448CA"/>
    <w:rsid w:val="00D44DE5"/>
    <w:rsid w:val="00D45873"/>
    <w:rsid w:val="00D46D87"/>
    <w:rsid w:val="00D47584"/>
    <w:rsid w:val="00D47627"/>
    <w:rsid w:val="00D5034D"/>
    <w:rsid w:val="00D504BD"/>
    <w:rsid w:val="00D511B9"/>
    <w:rsid w:val="00D51678"/>
    <w:rsid w:val="00D5226B"/>
    <w:rsid w:val="00D522B3"/>
    <w:rsid w:val="00D53586"/>
    <w:rsid w:val="00D53A48"/>
    <w:rsid w:val="00D541A6"/>
    <w:rsid w:val="00D56FB9"/>
    <w:rsid w:val="00D618DA"/>
    <w:rsid w:val="00D61C20"/>
    <w:rsid w:val="00D61EBE"/>
    <w:rsid w:val="00D624E6"/>
    <w:rsid w:val="00D6396D"/>
    <w:rsid w:val="00D673B5"/>
    <w:rsid w:val="00D70B89"/>
    <w:rsid w:val="00D71974"/>
    <w:rsid w:val="00D71BB0"/>
    <w:rsid w:val="00D754FF"/>
    <w:rsid w:val="00D757F1"/>
    <w:rsid w:val="00D7614D"/>
    <w:rsid w:val="00D76EC8"/>
    <w:rsid w:val="00D76F5C"/>
    <w:rsid w:val="00D77AA7"/>
    <w:rsid w:val="00D82426"/>
    <w:rsid w:val="00D82885"/>
    <w:rsid w:val="00D85FE0"/>
    <w:rsid w:val="00D873E2"/>
    <w:rsid w:val="00D873FC"/>
    <w:rsid w:val="00D9003D"/>
    <w:rsid w:val="00D9036D"/>
    <w:rsid w:val="00D90818"/>
    <w:rsid w:val="00D90B98"/>
    <w:rsid w:val="00D90CBC"/>
    <w:rsid w:val="00D925C5"/>
    <w:rsid w:val="00D94DDA"/>
    <w:rsid w:val="00D9608F"/>
    <w:rsid w:val="00D96DA4"/>
    <w:rsid w:val="00D97FF0"/>
    <w:rsid w:val="00DA05DD"/>
    <w:rsid w:val="00DA0D70"/>
    <w:rsid w:val="00DA29AA"/>
    <w:rsid w:val="00DA525A"/>
    <w:rsid w:val="00DA720A"/>
    <w:rsid w:val="00DA75F3"/>
    <w:rsid w:val="00DB0327"/>
    <w:rsid w:val="00DB1EDE"/>
    <w:rsid w:val="00DB5DF3"/>
    <w:rsid w:val="00DB7B78"/>
    <w:rsid w:val="00DB7B7C"/>
    <w:rsid w:val="00DC0F4B"/>
    <w:rsid w:val="00DC178B"/>
    <w:rsid w:val="00DC3809"/>
    <w:rsid w:val="00DC4029"/>
    <w:rsid w:val="00DC46C6"/>
    <w:rsid w:val="00DC5F05"/>
    <w:rsid w:val="00DC6A3C"/>
    <w:rsid w:val="00DC726D"/>
    <w:rsid w:val="00DD1E54"/>
    <w:rsid w:val="00DD23E6"/>
    <w:rsid w:val="00DD28F2"/>
    <w:rsid w:val="00DD309A"/>
    <w:rsid w:val="00DD31EA"/>
    <w:rsid w:val="00DD44E4"/>
    <w:rsid w:val="00DD4550"/>
    <w:rsid w:val="00DD5048"/>
    <w:rsid w:val="00DD5C04"/>
    <w:rsid w:val="00DD6343"/>
    <w:rsid w:val="00DD6C59"/>
    <w:rsid w:val="00DD716F"/>
    <w:rsid w:val="00DE019B"/>
    <w:rsid w:val="00DE2124"/>
    <w:rsid w:val="00DE299D"/>
    <w:rsid w:val="00DE3197"/>
    <w:rsid w:val="00DE3724"/>
    <w:rsid w:val="00DE3F99"/>
    <w:rsid w:val="00DE41AD"/>
    <w:rsid w:val="00DE47C5"/>
    <w:rsid w:val="00DE5EAB"/>
    <w:rsid w:val="00DF0D52"/>
    <w:rsid w:val="00DF13F9"/>
    <w:rsid w:val="00DF1CF3"/>
    <w:rsid w:val="00DF747A"/>
    <w:rsid w:val="00DF762D"/>
    <w:rsid w:val="00E0016D"/>
    <w:rsid w:val="00E00EF4"/>
    <w:rsid w:val="00E02BB9"/>
    <w:rsid w:val="00E02C36"/>
    <w:rsid w:val="00E02E3C"/>
    <w:rsid w:val="00E03E43"/>
    <w:rsid w:val="00E04901"/>
    <w:rsid w:val="00E06253"/>
    <w:rsid w:val="00E10723"/>
    <w:rsid w:val="00E110A6"/>
    <w:rsid w:val="00E1133E"/>
    <w:rsid w:val="00E1316D"/>
    <w:rsid w:val="00E14CAA"/>
    <w:rsid w:val="00E14E45"/>
    <w:rsid w:val="00E160BE"/>
    <w:rsid w:val="00E16152"/>
    <w:rsid w:val="00E16E5F"/>
    <w:rsid w:val="00E173C6"/>
    <w:rsid w:val="00E17808"/>
    <w:rsid w:val="00E17996"/>
    <w:rsid w:val="00E21469"/>
    <w:rsid w:val="00E24773"/>
    <w:rsid w:val="00E249DF"/>
    <w:rsid w:val="00E25C63"/>
    <w:rsid w:val="00E27A4F"/>
    <w:rsid w:val="00E27D39"/>
    <w:rsid w:val="00E30206"/>
    <w:rsid w:val="00E302B8"/>
    <w:rsid w:val="00E318F4"/>
    <w:rsid w:val="00E32CFF"/>
    <w:rsid w:val="00E32DAD"/>
    <w:rsid w:val="00E33DC4"/>
    <w:rsid w:val="00E36011"/>
    <w:rsid w:val="00E37891"/>
    <w:rsid w:val="00E37AD5"/>
    <w:rsid w:val="00E40306"/>
    <w:rsid w:val="00E40CD5"/>
    <w:rsid w:val="00E425A0"/>
    <w:rsid w:val="00E431DA"/>
    <w:rsid w:val="00E43BDD"/>
    <w:rsid w:val="00E43E72"/>
    <w:rsid w:val="00E476DC"/>
    <w:rsid w:val="00E50D46"/>
    <w:rsid w:val="00E52B45"/>
    <w:rsid w:val="00E55ACE"/>
    <w:rsid w:val="00E57360"/>
    <w:rsid w:val="00E57F04"/>
    <w:rsid w:val="00E60BA8"/>
    <w:rsid w:val="00E61DB0"/>
    <w:rsid w:val="00E62F0E"/>
    <w:rsid w:val="00E638D3"/>
    <w:rsid w:val="00E6725A"/>
    <w:rsid w:val="00E7153F"/>
    <w:rsid w:val="00E73E5E"/>
    <w:rsid w:val="00E74BFD"/>
    <w:rsid w:val="00E74EC7"/>
    <w:rsid w:val="00E75BC7"/>
    <w:rsid w:val="00E75FA7"/>
    <w:rsid w:val="00E77E2E"/>
    <w:rsid w:val="00E81A0E"/>
    <w:rsid w:val="00E81AB9"/>
    <w:rsid w:val="00E82298"/>
    <w:rsid w:val="00E82810"/>
    <w:rsid w:val="00E83624"/>
    <w:rsid w:val="00E84751"/>
    <w:rsid w:val="00E8544C"/>
    <w:rsid w:val="00E858BA"/>
    <w:rsid w:val="00E85BAB"/>
    <w:rsid w:val="00E86E77"/>
    <w:rsid w:val="00E900A0"/>
    <w:rsid w:val="00E90DB9"/>
    <w:rsid w:val="00E91EB4"/>
    <w:rsid w:val="00E91FF5"/>
    <w:rsid w:val="00E9237A"/>
    <w:rsid w:val="00E92789"/>
    <w:rsid w:val="00E92CBF"/>
    <w:rsid w:val="00E949CA"/>
    <w:rsid w:val="00E97287"/>
    <w:rsid w:val="00E97C8C"/>
    <w:rsid w:val="00EA010C"/>
    <w:rsid w:val="00EA15CB"/>
    <w:rsid w:val="00EA1A2C"/>
    <w:rsid w:val="00EA1B53"/>
    <w:rsid w:val="00EA2DA1"/>
    <w:rsid w:val="00EA38CC"/>
    <w:rsid w:val="00EA38F3"/>
    <w:rsid w:val="00EA3D3F"/>
    <w:rsid w:val="00EA4212"/>
    <w:rsid w:val="00EA53E7"/>
    <w:rsid w:val="00EA6382"/>
    <w:rsid w:val="00EA6674"/>
    <w:rsid w:val="00EA7144"/>
    <w:rsid w:val="00EA7992"/>
    <w:rsid w:val="00EB3576"/>
    <w:rsid w:val="00EB579E"/>
    <w:rsid w:val="00EB5B4B"/>
    <w:rsid w:val="00EB766D"/>
    <w:rsid w:val="00EC027E"/>
    <w:rsid w:val="00EC1E06"/>
    <w:rsid w:val="00EC2A5D"/>
    <w:rsid w:val="00EC69F0"/>
    <w:rsid w:val="00EC6EFE"/>
    <w:rsid w:val="00EC6F5B"/>
    <w:rsid w:val="00ED033D"/>
    <w:rsid w:val="00ED1F42"/>
    <w:rsid w:val="00ED64FA"/>
    <w:rsid w:val="00ED6C36"/>
    <w:rsid w:val="00ED6EA9"/>
    <w:rsid w:val="00EE0334"/>
    <w:rsid w:val="00EE0B78"/>
    <w:rsid w:val="00EE0FE5"/>
    <w:rsid w:val="00EE178B"/>
    <w:rsid w:val="00EE2064"/>
    <w:rsid w:val="00EE25B8"/>
    <w:rsid w:val="00EE39EA"/>
    <w:rsid w:val="00EE4683"/>
    <w:rsid w:val="00EE56C2"/>
    <w:rsid w:val="00EE6948"/>
    <w:rsid w:val="00EE6C95"/>
    <w:rsid w:val="00EF15CF"/>
    <w:rsid w:val="00EF213B"/>
    <w:rsid w:val="00EF2262"/>
    <w:rsid w:val="00EF5B98"/>
    <w:rsid w:val="00EF6DF3"/>
    <w:rsid w:val="00EF7086"/>
    <w:rsid w:val="00EF7B2B"/>
    <w:rsid w:val="00F0086F"/>
    <w:rsid w:val="00F01B8E"/>
    <w:rsid w:val="00F021EA"/>
    <w:rsid w:val="00F0221E"/>
    <w:rsid w:val="00F02322"/>
    <w:rsid w:val="00F0326A"/>
    <w:rsid w:val="00F03478"/>
    <w:rsid w:val="00F03AED"/>
    <w:rsid w:val="00F0472D"/>
    <w:rsid w:val="00F04898"/>
    <w:rsid w:val="00F0506C"/>
    <w:rsid w:val="00F068DC"/>
    <w:rsid w:val="00F1015C"/>
    <w:rsid w:val="00F10BB2"/>
    <w:rsid w:val="00F13079"/>
    <w:rsid w:val="00F13918"/>
    <w:rsid w:val="00F13AB5"/>
    <w:rsid w:val="00F14692"/>
    <w:rsid w:val="00F16277"/>
    <w:rsid w:val="00F20729"/>
    <w:rsid w:val="00F214EE"/>
    <w:rsid w:val="00F21D59"/>
    <w:rsid w:val="00F226EC"/>
    <w:rsid w:val="00F23643"/>
    <w:rsid w:val="00F237A7"/>
    <w:rsid w:val="00F25900"/>
    <w:rsid w:val="00F25F63"/>
    <w:rsid w:val="00F276C7"/>
    <w:rsid w:val="00F310D2"/>
    <w:rsid w:val="00F325B6"/>
    <w:rsid w:val="00F32872"/>
    <w:rsid w:val="00F3351F"/>
    <w:rsid w:val="00F34D7D"/>
    <w:rsid w:val="00F34DCC"/>
    <w:rsid w:val="00F371EB"/>
    <w:rsid w:val="00F37580"/>
    <w:rsid w:val="00F37D00"/>
    <w:rsid w:val="00F40087"/>
    <w:rsid w:val="00F439D0"/>
    <w:rsid w:val="00F4489C"/>
    <w:rsid w:val="00F4522C"/>
    <w:rsid w:val="00F45A31"/>
    <w:rsid w:val="00F45ED3"/>
    <w:rsid w:val="00F46D8C"/>
    <w:rsid w:val="00F47340"/>
    <w:rsid w:val="00F479D1"/>
    <w:rsid w:val="00F47AE0"/>
    <w:rsid w:val="00F47CD5"/>
    <w:rsid w:val="00F50D8C"/>
    <w:rsid w:val="00F51025"/>
    <w:rsid w:val="00F518CE"/>
    <w:rsid w:val="00F53ABD"/>
    <w:rsid w:val="00F5409D"/>
    <w:rsid w:val="00F5463A"/>
    <w:rsid w:val="00F54B91"/>
    <w:rsid w:val="00F56381"/>
    <w:rsid w:val="00F5722B"/>
    <w:rsid w:val="00F57492"/>
    <w:rsid w:val="00F57FA9"/>
    <w:rsid w:val="00F61BEE"/>
    <w:rsid w:val="00F61FA5"/>
    <w:rsid w:val="00F63135"/>
    <w:rsid w:val="00F63B4C"/>
    <w:rsid w:val="00F64DE1"/>
    <w:rsid w:val="00F651C6"/>
    <w:rsid w:val="00F6733D"/>
    <w:rsid w:val="00F70473"/>
    <w:rsid w:val="00F71CBA"/>
    <w:rsid w:val="00F71D7A"/>
    <w:rsid w:val="00F72657"/>
    <w:rsid w:val="00F72AD3"/>
    <w:rsid w:val="00F74121"/>
    <w:rsid w:val="00F76151"/>
    <w:rsid w:val="00F76638"/>
    <w:rsid w:val="00F772E1"/>
    <w:rsid w:val="00F777CE"/>
    <w:rsid w:val="00F77FAF"/>
    <w:rsid w:val="00F81E4F"/>
    <w:rsid w:val="00F82873"/>
    <w:rsid w:val="00F8399E"/>
    <w:rsid w:val="00F84C17"/>
    <w:rsid w:val="00F86A95"/>
    <w:rsid w:val="00F8729E"/>
    <w:rsid w:val="00F90BC6"/>
    <w:rsid w:val="00F91057"/>
    <w:rsid w:val="00F91896"/>
    <w:rsid w:val="00F92288"/>
    <w:rsid w:val="00F923F0"/>
    <w:rsid w:val="00F924E7"/>
    <w:rsid w:val="00F93480"/>
    <w:rsid w:val="00F938D2"/>
    <w:rsid w:val="00F9462B"/>
    <w:rsid w:val="00F94772"/>
    <w:rsid w:val="00F9745D"/>
    <w:rsid w:val="00FA187C"/>
    <w:rsid w:val="00FA2350"/>
    <w:rsid w:val="00FA2B27"/>
    <w:rsid w:val="00FA3BB1"/>
    <w:rsid w:val="00FA47BD"/>
    <w:rsid w:val="00FA54DA"/>
    <w:rsid w:val="00FA59E8"/>
    <w:rsid w:val="00FA5EFB"/>
    <w:rsid w:val="00FA6362"/>
    <w:rsid w:val="00FA65E8"/>
    <w:rsid w:val="00FA7133"/>
    <w:rsid w:val="00FA78D6"/>
    <w:rsid w:val="00FB10EB"/>
    <w:rsid w:val="00FB1DFC"/>
    <w:rsid w:val="00FB2DFF"/>
    <w:rsid w:val="00FB4FF8"/>
    <w:rsid w:val="00FB6502"/>
    <w:rsid w:val="00FB6541"/>
    <w:rsid w:val="00FB67DD"/>
    <w:rsid w:val="00FB6B87"/>
    <w:rsid w:val="00FB771B"/>
    <w:rsid w:val="00FC0098"/>
    <w:rsid w:val="00FC06AE"/>
    <w:rsid w:val="00FC10D6"/>
    <w:rsid w:val="00FC2BC7"/>
    <w:rsid w:val="00FC2D7C"/>
    <w:rsid w:val="00FC36F7"/>
    <w:rsid w:val="00FC48F9"/>
    <w:rsid w:val="00FC78DE"/>
    <w:rsid w:val="00FC7BE4"/>
    <w:rsid w:val="00FD3FF8"/>
    <w:rsid w:val="00FD64AB"/>
    <w:rsid w:val="00FD6E23"/>
    <w:rsid w:val="00FE0C92"/>
    <w:rsid w:val="00FE0D29"/>
    <w:rsid w:val="00FE2480"/>
    <w:rsid w:val="00FE24FE"/>
    <w:rsid w:val="00FE30D2"/>
    <w:rsid w:val="00FE3159"/>
    <w:rsid w:val="00FE3D94"/>
    <w:rsid w:val="00FE45D4"/>
    <w:rsid w:val="00FF16EE"/>
    <w:rsid w:val="00FF22F5"/>
    <w:rsid w:val="00FF3658"/>
    <w:rsid w:val="00FF3D8D"/>
    <w:rsid w:val="00FF4D9D"/>
    <w:rsid w:val="00FF4E37"/>
    <w:rsid w:val="00FF5927"/>
    <w:rsid w:val="00FF6434"/>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63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4"/>
        <w:szCs w:val="24"/>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caption" w:locked="1"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iPriority="10" w:unhideWhenUsed="0" w:qFormat="1"/>
    <w:lsdException w:name="Default Paragraph Font" w:locked="1" w:uiPriority="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iPriority="20" w:unhideWhenUsed="0" w:qFormat="1"/>
    <w:lsdException w:name="No List" w:uiPriority="99"/>
    <w:lsdException w:name="Table Grid" w:locked="1" w:semiHidden="0" w:uiPriority="9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0">
    <w:name w:val="Normal"/>
    <w:qFormat/>
    <w:rsid w:val="00C37D8E"/>
    <w:pPr>
      <w:spacing w:before="120" w:after="120" w:line="360" w:lineRule="auto"/>
    </w:pPr>
    <w:rPr>
      <w:rFonts w:ascii="Book Antiqua" w:eastAsia="Times New Roman" w:hAnsi="Book Antiqua"/>
      <w:szCs w:val="22"/>
      <w:lang w:eastAsia="en-US"/>
    </w:rPr>
  </w:style>
  <w:style w:type="paragraph" w:styleId="1">
    <w:name w:val="heading 1"/>
    <w:basedOn w:val="a0"/>
    <w:next w:val="a0"/>
    <w:link w:val="1Char"/>
    <w:qFormat/>
    <w:rsid w:val="00627B9E"/>
    <w:pPr>
      <w:keepNext/>
      <w:keepLines/>
      <w:spacing w:before="480" w:after="0"/>
      <w:outlineLvl w:val="0"/>
    </w:pPr>
    <w:rPr>
      <w:rFonts w:eastAsia="Calibri"/>
      <w:b/>
      <w:bCs/>
      <w:caps/>
      <w:szCs w:val="28"/>
      <w:lang w:eastAsia="en-GB"/>
    </w:rPr>
  </w:style>
  <w:style w:type="paragraph" w:styleId="2">
    <w:name w:val="heading 2"/>
    <w:basedOn w:val="a0"/>
    <w:next w:val="a0"/>
    <w:link w:val="2Char"/>
    <w:qFormat/>
    <w:rsid w:val="00592F98"/>
    <w:pPr>
      <w:keepNext/>
      <w:keepLines/>
      <w:outlineLvl w:val="1"/>
    </w:pPr>
    <w:rPr>
      <w:rFonts w:eastAsia="MS ????"/>
      <w:b/>
      <w:bCs/>
      <w:i/>
      <w:szCs w:val="26"/>
    </w:rPr>
  </w:style>
  <w:style w:type="paragraph" w:styleId="3">
    <w:name w:val="heading 3"/>
    <w:basedOn w:val="2"/>
    <w:next w:val="a0"/>
    <w:link w:val="3Char"/>
    <w:unhideWhenUsed/>
    <w:qFormat/>
    <w:locked/>
    <w:rsid w:val="00685A9A"/>
    <w:pPr>
      <w:outlineLvl w:val="2"/>
    </w:pPr>
    <w:rPr>
      <w:i w:val="0"/>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semiHidden/>
    <w:rsid w:val="00075608"/>
    <w:pPr>
      <w:spacing w:before="100" w:beforeAutospacing="1" w:after="100" w:afterAutospacing="1"/>
    </w:pPr>
    <w:rPr>
      <w:rFonts w:eastAsia="Calibri"/>
      <w:szCs w:val="24"/>
      <w:lang w:eastAsia="en-GB"/>
    </w:rPr>
  </w:style>
  <w:style w:type="paragraph" w:styleId="HTML">
    <w:name w:val="HTML Preformatted"/>
    <w:basedOn w:val="a0"/>
    <w:link w:val="HTMLChar"/>
    <w:semiHidden/>
    <w:rsid w:val="00075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alibri" w:hAnsi="Courier New"/>
      <w:sz w:val="20"/>
      <w:szCs w:val="20"/>
      <w:lang w:eastAsia="en-GB"/>
    </w:rPr>
  </w:style>
  <w:style w:type="character" w:customStyle="1" w:styleId="HTMLChar">
    <w:name w:val="HTML 预设格式 Char"/>
    <w:link w:val="HTML"/>
    <w:semiHidden/>
    <w:locked/>
    <w:rsid w:val="00075608"/>
    <w:rPr>
      <w:rFonts w:ascii="Courier New" w:hAnsi="Courier New" w:cs="Courier New"/>
      <w:sz w:val="20"/>
      <w:szCs w:val="20"/>
      <w:lang w:eastAsia="en-GB"/>
    </w:rPr>
  </w:style>
  <w:style w:type="character" w:styleId="a5">
    <w:name w:val="Hyperlink"/>
    <w:rsid w:val="00075608"/>
    <w:rPr>
      <w:rFonts w:cs="Times New Roman"/>
      <w:color w:val="0000FF"/>
      <w:u w:val="single"/>
    </w:rPr>
  </w:style>
  <w:style w:type="paragraph" w:customStyle="1" w:styleId="mstext">
    <w:name w:val="m/s text"/>
    <w:basedOn w:val="a0"/>
    <w:rsid w:val="00075608"/>
    <w:pPr>
      <w:tabs>
        <w:tab w:val="left" w:pos="420"/>
      </w:tabs>
      <w:spacing w:before="0" w:after="360"/>
    </w:pPr>
    <w:rPr>
      <w:rFonts w:ascii="Helvetica" w:eastAsia="Calibri" w:hAnsi="Helvetica"/>
      <w:szCs w:val="20"/>
    </w:rPr>
  </w:style>
  <w:style w:type="character" w:styleId="a6">
    <w:name w:val="Strong"/>
    <w:qFormat/>
    <w:rsid w:val="00C01D90"/>
    <w:rPr>
      <w:rFonts w:cs="Times New Roman"/>
      <w:b/>
      <w:bCs/>
    </w:rPr>
  </w:style>
  <w:style w:type="paragraph" w:customStyle="1" w:styleId="SubtleEmphasis1">
    <w:name w:val="Subtle Emphasis1"/>
    <w:basedOn w:val="a0"/>
    <w:qFormat/>
    <w:rsid w:val="00E110A6"/>
    <w:pPr>
      <w:ind w:left="720"/>
      <w:contextualSpacing/>
    </w:pPr>
  </w:style>
  <w:style w:type="table" w:styleId="a7">
    <w:name w:val="Table Grid"/>
    <w:basedOn w:val="a2"/>
    <w:uiPriority w:val="99"/>
    <w:rsid w:val="00711B79"/>
    <w:pPr>
      <w:jc w:val="center"/>
    </w:pPr>
    <w:rPr>
      <w:rFonts w:ascii="Times New Roman" w:eastAsia="Times New Roman" w:hAnsi="Times New Roman"/>
      <w:sz w:val="20"/>
    </w:rPr>
    <w:tblPr/>
    <w:tcPr>
      <w:vAlign w:val="center"/>
    </w:tcPr>
    <w:tblStylePr w:type="firstRow">
      <w:pPr>
        <w:jc w:val="center"/>
      </w:pPr>
      <w:rPr>
        <w:b w:val="0"/>
      </w:rPr>
      <w:tblPr/>
      <w:tcPr>
        <w:tcBorders>
          <w:top w:val="single" w:sz="4" w:space="0" w:color="auto"/>
          <w:bottom w:val="single" w:sz="4" w:space="0" w:color="auto"/>
        </w:tcBorders>
      </w:tcPr>
    </w:tblStylePr>
    <w:tblStylePr w:type="lastRow">
      <w:tblPr/>
      <w:tcPr>
        <w:tcBorders>
          <w:bottom w:val="single" w:sz="4" w:space="0" w:color="auto"/>
        </w:tcBorders>
      </w:tcPr>
    </w:tblStylePr>
    <w:tblStylePr w:type="firstCol">
      <w:pPr>
        <w:wordWrap/>
        <w:jc w:val="left"/>
      </w:pPr>
    </w:tblStylePr>
  </w:style>
  <w:style w:type="paragraph" w:styleId="a8">
    <w:name w:val="caption"/>
    <w:basedOn w:val="a0"/>
    <w:next w:val="a0"/>
    <w:uiPriority w:val="35"/>
    <w:unhideWhenUsed/>
    <w:qFormat/>
    <w:rsid w:val="00155CD1"/>
    <w:pPr>
      <w:keepLines/>
      <w:spacing w:before="0" w:after="240" w:line="264" w:lineRule="auto"/>
    </w:pPr>
    <w:rPr>
      <w:b/>
      <w:bCs/>
      <w:sz w:val="18"/>
      <w:szCs w:val="18"/>
      <w:lang w:eastAsia="en-GB"/>
    </w:rPr>
  </w:style>
  <w:style w:type="paragraph" w:styleId="a9">
    <w:name w:val="Balloon Text"/>
    <w:basedOn w:val="a0"/>
    <w:link w:val="Char"/>
    <w:semiHidden/>
    <w:rsid w:val="002653B1"/>
    <w:pPr>
      <w:spacing w:before="0" w:after="0"/>
    </w:pPr>
    <w:rPr>
      <w:rFonts w:ascii="Tahoma" w:eastAsia="Calibri" w:hAnsi="Tahoma"/>
      <w:sz w:val="16"/>
      <w:szCs w:val="16"/>
    </w:rPr>
  </w:style>
  <w:style w:type="character" w:customStyle="1" w:styleId="Char">
    <w:name w:val="批注框文本 Char"/>
    <w:link w:val="a9"/>
    <w:semiHidden/>
    <w:locked/>
    <w:rsid w:val="002653B1"/>
    <w:rPr>
      <w:rFonts w:ascii="Tahoma" w:hAnsi="Tahoma" w:cs="Tahoma"/>
      <w:sz w:val="16"/>
      <w:szCs w:val="16"/>
    </w:rPr>
  </w:style>
  <w:style w:type="table" w:customStyle="1" w:styleId="LightShading-Accent51">
    <w:name w:val="Light Shading - Accent 51"/>
    <w:rsid w:val="00655A48"/>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Grid-Accent11">
    <w:name w:val="Light Grid - Accent 11"/>
    <w:rsid w:val="00655A48"/>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Grid1-Accent51">
    <w:name w:val="Medium Grid 1 - Accent 51"/>
    <w:rsid w:val="00655A48"/>
    <w:rPr>
      <w:rFonts w:eastAsia="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character" w:customStyle="1" w:styleId="contentforperma">
    <w:name w:val="content_for_perma"/>
    <w:rsid w:val="00914EF9"/>
    <w:rPr>
      <w:rFonts w:cs="Times New Roman"/>
    </w:rPr>
  </w:style>
  <w:style w:type="character" w:customStyle="1" w:styleId="1Char">
    <w:name w:val="标题 1 Char"/>
    <w:link w:val="1"/>
    <w:locked/>
    <w:rsid w:val="00627B9E"/>
    <w:rPr>
      <w:rFonts w:ascii="Times New Roman" w:hAnsi="Times New Roman"/>
      <w:b/>
      <w:bCs/>
      <w:caps/>
      <w:szCs w:val="28"/>
    </w:rPr>
  </w:style>
  <w:style w:type="character" w:customStyle="1" w:styleId="2Char">
    <w:name w:val="标题 2 Char"/>
    <w:link w:val="2"/>
    <w:locked/>
    <w:rsid w:val="00592F98"/>
    <w:rPr>
      <w:rFonts w:ascii="Book Antiqua" w:eastAsia="MS ????" w:hAnsi="Book Antiqua"/>
      <w:b/>
      <w:bCs/>
      <w:i/>
      <w:szCs w:val="26"/>
      <w:lang w:eastAsia="en-US"/>
    </w:rPr>
  </w:style>
  <w:style w:type="paragraph" w:styleId="aa">
    <w:name w:val="header"/>
    <w:basedOn w:val="a0"/>
    <w:link w:val="Char0"/>
    <w:rsid w:val="00515162"/>
    <w:pPr>
      <w:tabs>
        <w:tab w:val="center" w:pos="4513"/>
        <w:tab w:val="right" w:pos="9026"/>
      </w:tabs>
      <w:spacing w:before="0" w:after="0"/>
    </w:pPr>
    <w:rPr>
      <w:rFonts w:eastAsia="Calibri"/>
      <w:sz w:val="18"/>
      <w:szCs w:val="20"/>
    </w:rPr>
  </w:style>
  <w:style w:type="character" w:customStyle="1" w:styleId="Char0">
    <w:name w:val="页眉 Char"/>
    <w:link w:val="aa"/>
    <w:locked/>
    <w:rsid w:val="00515162"/>
    <w:rPr>
      <w:rFonts w:ascii="Times New Roman" w:hAnsi="Times New Roman" w:cs="Times New Roman"/>
      <w:sz w:val="18"/>
    </w:rPr>
  </w:style>
  <w:style w:type="paragraph" w:styleId="ab">
    <w:name w:val="footer"/>
    <w:basedOn w:val="a0"/>
    <w:link w:val="Char1"/>
    <w:rsid w:val="009A028F"/>
    <w:pPr>
      <w:tabs>
        <w:tab w:val="center" w:pos="4513"/>
        <w:tab w:val="right" w:pos="9026"/>
      </w:tabs>
      <w:spacing w:before="0" w:after="0"/>
    </w:pPr>
    <w:rPr>
      <w:rFonts w:eastAsia="Calibri"/>
      <w:sz w:val="18"/>
    </w:rPr>
  </w:style>
  <w:style w:type="character" w:customStyle="1" w:styleId="Char1">
    <w:name w:val="页脚 Char"/>
    <w:link w:val="ab"/>
    <w:locked/>
    <w:rsid w:val="009A028F"/>
    <w:rPr>
      <w:rFonts w:ascii="Times New Roman" w:hAnsi="Times New Roman"/>
      <w:sz w:val="18"/>
      <w:szCs w:val="22"/>
      <w:lang w:val="en-GB"/>
    </w:rPr>
  </w:style>
  <w:style w:type="paragraph" w:styleId="ac">
    <w:name w:val="Document Map"/>
    <w:basedOn w:val="a0"/>
    <w:link w:val="Char2"/>
    <w:semiHidden/>
    <w:rsid w:val="00F86A95"/>
    <w:pPr>
      <w:spacing w:before="0" w:after="0"/>
    </w:pPr>
    <w:rPr>
      <w:rFonts w:ascii="Tahoma" w:eastAsia="Calibri" w:hAnsi="Tahoma"/>
      <w:sz w:val="16"/>
      <w:szCs w:val="16"/>
    </w:rPr>
  </w:style>
  <w:style w:type="character" w:customStyle="1" w:styleId="Char2">
    <w:name w:val="文档结构图 Char"/>
    <w:link w:val="ac"/>
    <w:semiHidden/>
    <w:locked/>
    <w:rsid w:val="00F86A95"/>
    <w:rPr>
      <w:rFonts w:ascii="Tahoma" w:hAnsi="Tahoma" w:cs="Tahoma"/>
      <w:sz w:val="16"/>
      <w:szCs w:val="16"/>
    </w:rPr>
  </w:style>
  <w:style w:type="character" w:styleId="ad">
    <w:name w:val="annotation reference"/>
    <w:uiPriority w:val="99"/>
    <w:semiHidden/>
    <w:rsid w:val="00F86A95"/>
    <w:rPr>
      <w:rFonts w:cs="Times New Roman"/>
      <w:sz w:val="16"/>
      <w:szCs w:val="16"/>
    </w:rPr>
  </w:style>
  <w:style w:type="paragraph" w:styleId="ae">
    <w:name w:val="annotation text"/>
    <w:basedOn w:val="a0"/>
    <w:link w:val="Char3"/>
    <w:uiPriority w:val="99"/>
    <w:rsid w:val="00F86A95"/>
    <w:rPr>
      <w:rFonts w:ascii="Calibri" w:eastAsia="Calibri" w:hAnsi="Calibri"/>
      <w:sz w:val="20"/>
      <w:szCs w:val="20"/>
    </w:rPr>
  </w:style>
  <w:style w:type="character" w:customStyle="1" w:styleId="Char3">
    <w:name w:val="批注文字 Char"/>
    <w:link w:val="ae"/>
    <w:uiPriority w:val="99"/>
    <w:locked/>
    <w:rsid w:val="00F86A95"/>
    <w:rPr>
      <w:rFonts w:cs="Times New Roman"/>
      <w:sz w:val="20"/>
      <w:szCs w:val="20"/>
    </w:rPr>
  </w:style>
  <w:style w:type="paragraph" w:styleId="af">
    <w:name w:val="annotation subject"/>
    <w:basedOn w:val="ae"/>
    <w:next w:val="ae"/>
    <w:link w:val="Char4"/>
    <w:semiHidden/>
    <w:rsid w:val="00F86A95"/>
    <w:rPr>
      <w:b/>
      <w:bCs/>
    </w:rPr>
  </w:style>
  <w:style w:type="character" w:customStyle="1" w:styleId="Char4">
    <w:name w:val="批注主题 Char"/>
    <w:link w:val="af"/>
    <w:semiHidden/>
    <w:locked/>
    <w:rsid w:val="00F86A95"/>
    <w:rPr>
      <w:rFonts w:cs="Times New Roman"/>
      <w:b/>
      <w:bCs/>
      <w:sz w:val="20"/>
      <w:szCs w:val="20"/>
    </w:rPr>
  </w:style>
  <w:style w:type="paragraph" w:customStyle="1" w:styleId="ColorfulGrid-Accent61">
    <w:name w:val="Colorful Grid - Accent 61"/>
    <w:hidden/>
    <w:semiHidden/>
    <w:rsid w:val="003B4966"/>
    <w:rPr>
      <w:rFonts w:eastAsia="Times New Roman"/>
      <w:sz w:val="22"/>
      <w:szCs w:val="22"/>
      <w:lang w:eastAsia="en-US"/>
    </w:rPr>
  </w:style>
  <w:style w:type="paragraph" w:styleId="af0">
    <w:name w:val="endnote text"/>
    <w:basedOn w:val="a0"/>
    <w:link w:val="Char5"/>
    <w:rsid w:val="00CB512E"/>
    <w:pPr>
      <w:spacing w:before="0" w:after="0"/>
      <w:ind w:left="567" w:hanging="567"/>
    </w:pPr>
    <w:rPr>
      <w:rFonts w:eastAsia="Calibri"/>
      <w:szCs w:val="24"/>
    </w:rPr>
  </w:style>
  <w:style w:type="character" w:customStyle="1" w:styleId="Char5">
    <w:name w:val="尾注文本 Char"/>
    <w:link w:val="af0"/>
    <w:locked/>
    <w:rsid w:val="00CB512E"/>
    <w:rPr>
      <w:rFonts w:ascii="Times New Roman" w:hAnsi="Times New Roman" w:cs="Times New Roman"/>
      <w:sz w:val="24"/>
      <w:szCs w:val="24"/>
    </w:rPr>
  </w:style>
  <w:style w:type="character" w:customStyle="1" w:styleId="apple-converted-space">
    <w:name w:val="apple-converted-space"/>
    <w:rsid w:val="00A20A26"/>
    <w:rPr>
      <w:rFonts w:cs="Times New Roman"/>
    </w:rPr>
  </w:style>
  <w:style w:type="paragraph" w:customStyle="1" w:styleId="Tablefooter">
    <w:name w:val="Table footer"/>
    <w:basedOn w:val="a0"/>
    <w:qFormat/>
    <w:rsid w:val="00C84D47"/>
    <w:pPr>
      <w:spacing w:before="0" w:after="0" w:line="264" w:lineRule="auto"/>
    </w:pPr>
    <w:rPr>
      <w:i/>
      <w:sz w:val="18"/>
      <w:szCs w:val="20"/>
    </w:rPr>
  </w:style>
  <w:style w:type="paragraph" w:customStyle="1" w:styleId="Bibliography1">
    <w:name w:val="Bibliography1"/>
    <w:basedOn w:val="a0"/>
    <w:next w:val="a0"/>
    <w:uiPriority w:val="37"/>
    <w:unhideWhenUsed/>
    <w:rsid w:val="006A0F26"/>
    <w:pPr>
      <w:tabs>
        <w:tab w:val="left" w:pos="380"/>
      </w:tabs>
      <w:spacing w:after="240"/>
      <w:ind w:left="384" w:hanging="384"/>
    </w:pPr>
  </w:style>
  <w:style w:type="paragraph" w:customStyle="1" w:styleId="Bibliography2">
    <w:name w:val="Bibliography2"/>
    <w:basedOn w:val="a0"/>
    <w:next w:val="a0"/>
    <w:uiPriority w:val="70"/>
    <w:rsid w:val="00834465"/>
  </w:style>
  <w:style w:type="paragraph" w:customStyle="1" w:styleId="MediumShading2-Accent61">
    <w:name w:val="Medium Shading 2 - Accent 61"/>
    <w:hidden/>
    <w:uiPriority w:val="71"/>
    <w:rsid w:val="00E40306"/>
    <w:rPr>
      <w:rFonts w:ascii="Times New Roman" w:eastAsia="Times New Roman" w:hAnsi="Times New Roman"/>
      <w:szCs w:val="22"/>
      <w:lang w:eastAsia="en-US"/>
    </w:rPr>
  </w:style>
  <w:style w:type="paragraph" w:customStyle="1" w:styleId="Bibliography3">
    <w:name w:val="Bibliography3"/>
    <w:basedOn w:val="a0"/>
    <w:next w:val="a0"/>
    <w:uiPriority w:val="70"/>
    <w:rsid w:val="00654382"/>
    <w:pPr>
      <w:tabs>
        <w:tab w:val="left" w:pos="500"/>
      </w:tabs>
      <w:spacing w:before="0" w:after="0"/>
      <w:ind w:left="505" w:hanging="505"/>
    </w:pPr>
  </w:style>
  <w:style w:type="character" w:styleId="af1">
    <w:name w:val="Emphasis"/>
    <w:uiPriority w:val="20"/>
    <w:qFormat/>
    <w:locked/>
    <w:rsid w:val="00A81D0D"/>
    <w:rPr>
      <w:i/>
      <w:iCs/>
    </w:rPr>
  </w:style>
  <w:style w:type="paragraph" w:customStyle="1" w:styleId="MediumGrid3-Accent51">
    <w:name w:val="Medium Grid 3 - Accent 51"/>
    <w:hidden/>
    <w:uiPriority w:val="71"/>
    <w:rsid w:val="00DE2124"/>
    <w:rPr>
      <w:rFonts w:ascii="Times New Roman" w:eastAsia="Times New Roman" w:hAnsi="Times New Roman"/>
      <w:szCs w:val="22"/>
      <w:lang w:eastAsia="en-US"/>
    </w:rPr>
  </w:style>
  <w:style w:type="paragraph" w:customStyle="1" w:styleId="MediumList1-Accent41">
    <w:name w:val="Medium List 1 - Accent 41"/>
    <w:hidden/>
    <w:uiPriority w:val="71"/>
    <w:rsid w:val="00590F63"/>
    <w:rPr>
      <w:rFonts w:ascii="Times New Roman" w:eastAsia="Times New Roman" w:hAnsi="Times New Roman"/>
      <w:szCs w:val="22"/>
      <w:lang w:eastAsia="en-US"/>
    </w:rPr>
  </w:style>
  <w:style w:type="paragraph" w:customStyle="1" w:styleId="DarkList-Accent31">
    <w:name w:val="Dark List - Accent 31"/>
    <w:hidden/>
    <w:uiPriority w:val="71"/>
    <w:rsid w:val="000D666B"/>
    <w:rPr>
      <w:rFonts w:ascii="Times New Roman" w:eastAsia="Times New Roman" w:hAnsi="Times New Roman"/>
      <w:szCs w:val="22"/>
      <w:lang w:eastAsia="en-US"/>
    </w:rPr>
  </w:style>
  <w:style w:type="paragraph" w:customStyle="1" w:styleId="Bibliography4">
    <w:name w:val="Bibliography4"/>
    <w:basedOn w:val="a0"/>
    <w:next w:val="a0"/>
    <w:uiPriority w:val="70"/>
    <w:rsid w:val="008B4EBA"/>
    <w:pPr>
      <w:tabs>
        <w:tab w:val="left" w:pos="500"/>
      </w:tabs>
      <w:spacing w:after="240"/>
      <w:ind w:left="504" w:hanging="504"/>
    </w:pPr>
  </w:style>
  <w:style w:type="paragraph" w:customStyle="1" w:styleId="ColorfulShading-Accent11">
    <w:name w:val="Colorful Shading - Accent 11"/>
    <w:hidden/>
    <w:uiPriority w:val="71"/>
    <w:rsid w:val="00C17CDE"/>
    <w:rPr>
      <w:rFonts w:ascii="Times New Roman" w:eastAsia="Times New Roman" w:hAnsi="Times New Roman"/>
      <w:szCs w:val="22"/>
      <w:lang w:eastAsia="en-US"/>
    </w:rPr>
  </w:style>
  <w:style w:type="paragraph" w:styleId="af2">
    <w:name w:val="Revision"/>
    <w:hidden/>
    <w:uiPriority w:val="71"/>
    <w:rsid w:val="00AA1BCD"/>
    <w:rPr>
      <w:rFonts w:ascii="Times New Roman" w:eastAsia="Times New Roman" w:hAnsi="Times New Roman"/>
      <w:szCs w:val="22"/>
      <w:lang w:eastAsia="en-US"/>
    </w:rPr>
  </w:style>
  <w:style w:type="paragraph" w:styleId="af3">
    <w:name w:val="Bibliography"/>
    <w:basedOn w:val="a0"/>
    <w:next w:val="a0"/>
    <w:uiPriority w:val="70"/>
    <w:rsid w:val="00F6733D"/>
    <w:pPr>
      <w:tabs>
        <w:tab w:val="left" w:pos="500"/>
      </w:tabs>
      <w:ind w:left="505" w:hanging="505"/>
      <w:contextualSpacing/>
    </w:pPr>
  </w:style>
  <w:style w:type="paragraph" w:styleId="af4">
    <w:name w:val="Title"/>
    <w:basedOn w:val="a0"/>
    <w:next w:val="a0"/>
    <w:link w:val="Char6"/>
    <w:uiPriority w:val="10"/>
    <w:qFormat/>
    <w:locked/>
    <w:rsid w:val="00C37D8E"/>
    <w:pPr>
      <w:spacing w:before="0"/>
    </w:pPr>
    <w:rPr>
      <w:b/>
      <w:bCs/>
      <w:szCs w:val="24"/>
      <w:lang w:eastAsia="en-GB"/>
    </w:rPr>
  </w:style>
  <w:style w:type="character" w:customStyle="1" w:styleId="Char6">
    <w:name w:val="标题 Char"/>
    <w:basedOn w:val="a1"/>
    <w:link w:val="af4"/>
    <w:uiPriority w:val="10"/>
    <w:rsid w:val="00C37D8E"/>
    <w:rPr>
      <w:rFonts w:ascii="Book Antiqua" w:eastAsia="Times New Roman" w:hAnsi="Book Antiqua"/>
      <w:b/>
      <w:bCs/>
    </w:rPr>
  </w:style>
  <w:style w:type="paragraph" w:styleId="af5">
    <w:name w:val="Subtitle"/>
    <w:basedOn w:val="a0"/>
    <w:next w:val="a0"/>
    <w:link w:val="Char7"/>
    <w:qFormat/>
    <w:locked/>
    <w:rsid w:val="00F226EC"/>
    <w:pPr>
      <w:spacing w:before="0" w:after="0"/>
    </w:pPr>
    <w:rPr>
      <w:sz w:val="28"/>
      <w:szCs w:val="24"/>
      <w:lang w:eastAsia="en-GB"/>
    </w:rPr>
  </w:style>
  <w:style w:type="character" w:customStyle="1" w:styleId="Char7">
    <w:name w:val="副标题 Char"/>
    <w:basedOn w:val="a1"/>
    <w:link w:val="af5"/>
    <w:rsid w:val="00F226EC"/>
    <w:rPr>
      <w:rFonts w:ascii="Times New Roman" w:eastAsia="Times New Roman" w:hAnsi="Times New Roman"/>
      <w:sz w:val="28"/>
    </w:rPr>
  </w:style>
  <w:style w:type="paragraph" w:customStyle="1" w:styleId="Tables">
    <w:name w:val="Tables"/>
    <w:basedOn w:val="a0"/>
    <w:link w:val="TablesChar"/>
    <w:qFormat/>
    <w:rsid w:val="00155CD1"/>
    <w:pPr>
      <w:keepNext/>
      <w:keepLines/>
      <w:spacing w:line="240" w:lineRule="auto"/>
      <w:jc w:val="center"/>
    </w:pPr>
    <w:rPr>
      <w:rFonts w:cs="Arial"/>
      <w:sz w:val="20"/>
      <w:szCs w:val="20"/>
      <w:lang w:eastAsia="en-GB"/>
    </w:rPr>
  </w:style>
  <w:style w:type="character" w:customStyle="1" w:styleId="TablesChar">
    <w:name w:val="Tables Char"/>
    <w:basedOn w:val="a1"/>
    <w:link w:val="Tables"/>
    <w:rsid w:val="00155CD1"/>
    <w:rPr>
      <w:rFonts w:ascii="Book Antiqua" w:eastAsia="Times New Roman" w:hAnsi="Book Antiqua" w:cs="Arial"/>
      <w:sz w:val="20"/>
      <w:szCs w:val="20"/>
    </w:rPr>
  </w:style>
  <w:style w:type="paragraph" w:customStyle="1" w:styleId="CaptionTables">
    <w:name w:val="Caption (Tables)"/>
    <w:basedOn w:val="a8"/>
    <w:next w:val="a0"/>
    <w:qFormat/>
    <w:rsid w:val="00155CD1"/>
    <w:pPr>
      <w:keepNext/>
      <w:spacing w:after="60"/>
    </w:pPr>
  </w:style>
  <w:style w:type="paragraph" w:customStyle="1" w:styleId="Figures">
    <w:name w:val="Figures"/>
    <w:basedOn w:val="a0"/>
    <w:next w:val="a0"/>
    <w:qFormat/>
    <w:rsid w:val="00F71D7A"/>
    <w:pPr>
      <w:keepNext/>
      <w:spacing w:before="0" w:after="0" w:line="264" w:lineRule="auto"/>
    </w:pPr>
    <w:rPr>
      <w:rFonts w:asciiTheme="minorHAnsi" w:hAnsiTheme="minorHAnsi"/>
      <w:noProof/>
      <w:szCs w:val="24"/>
      <w:lang w:val="en-US"/>
    </w:rPr>
  </w:style>
  <w:style w:type="paragraph" w:customStyle="1" w:styleId="TablesAfter0pt">
    <w:name w:val="Tables (After 0pt)"/>
    <w:basedOn w:val="Tables"/>
    <w:qFormat/>
    <w:rsid w:val="00123AEE"/>
    <w:pPr>
      <w:spacing w:after="0"/>
    </w:pPr>
    <w:rPr>
      <w:lang w:eastAsia="en-US"/>
    </w:rPr>
  </w:style>
  <w:style w:type="paragraph" w:customStyle="1" w:styleId="Tablesnospacing">
    <w:name w:val="Tables (no spacing)"/>
    <w:basedOn w:val="Tables"/>
    <w:qFormat/>
    <w:rsid w:val="00123AEE"/>
    <w:pPr>
      <w:spacing w:before="0" w:after="0"/>
    </w:pPr>
    <w:rPr>
      <w:lang w:eastAsia="en-US"/>
    </w:rPr>
  </w:style>
  <w:style w:type="paragraph" w:customStyle="1" w:styleId="TablesBefore0pt">
    <w:name w:val="Tables (Before 0pt)"/>
    <w:basedOn w:val="Tables"/>
    <w:qFormat/>
    <w:rsid w:val="00123AEE"/>
    <w:pPr>
      <w:spacing w:before="0"/>
    </w:pPr>
    <w:rPr>
      <w:lang w:eastAsia="en-US"/>
    </w:rPr>
  </w:style>
  <w:style w:type="character" w:styleId="af6">
    <w:name w:val="FollowedHyperlink"/>
    <w:basedOn w:val="a1"/>
    <w:rsid w:val="0016073A"/>
    <w:rPr>
      <w:color w:val="954F72" w:themeColor="followedHyperlink"/>
      <w:u w:val="single"/>
    </w:rPr>
  </w:style>
  <w:style w:type="character" w:customStyle="1" w:styleId="3Char">
    <w:name w:val="标题 3 Char"/>
    <w:basedOn w:val="a1"/>
    <w:link w:val="3"/>
    <w:rsid w:val="00685A9A"/>
    <w:rPr>
      <w:rFonts w:ascii="Book Antiqua" w:eastAsia="MS ????" w:hAnsi="Book Antiqua"/>
      <w:b/>
      <w:bCs/>
      <w:iCs/>
      <w:szCs w:val="26"/>
      <w:lang w:eastAsia="en-US"/>
    </w:rPr>
  </w:style>
  <w:style w:type="paragraph" w:styleId="a">
    <w:name w:val="List Paragraph"/>
    <w:basedOn w:val="a0"/>
    <w:link w:val="Char8"/>
    <w:uiPriority w:val="34"/>
    <w:qFormat/>
    <w:rsid w:val="001A6837"/>
    <w:pPr>
      <w:numPr>
        <w:numId w:val="42"/>
      </w:numPr>
      <w:spacing w:before="0" w:after="240"/>
      <w:contextualSpacing/>
    </w:pPr>
    <w:rPr>
      <w:rFonts w:asciiTheme="minorHAnsi" w:hAnsiTheme="minorHAnsi"/>
      <w:szCs w:val="24"/>
      <w:lang w:eastAsia="en-GB"/>
    </w:rPr>
  </w:style>
  <w:style w:type="character" w:customStyle="1" w:styleId="Char8">
    <w:name w:val="列出段落 Char"/>
    <w:basedOn w:val="a1"/>
    <w:link w:val="a"/>
    <w:locked/>
    <w:rsid w:val="001A6837"/>
    <w:rPr>
      <w:rFonts w:asciiTheme="minorHAnsi" w:eastAsia="Times New Roman" w:hAnsiTheme="minorHAnsi"/>
    </w:rPr>
  </w:style>
  <w:style w:type="paragraph" w:styleId="af7">
    <w:name w:val="footnote text"/>
    <w:basedOn w:val="a0"/>
    <w:link w:val="Char9"/>
    <w:uiPriority w:val="99"/>
    <w:unhideWhenUsed/>
    <w:rsid w:val="00CE264A"/>
    <w:pPr>
      <w:spacing w:before="0" w:after="0" w:line="264" w:lineRule="auto"/>
    </w:pPr>
    <w:rPr>
      <w:sz w:val="20"/>
      <w:szCs w:val="20"/>
      <w:lang w:eastAsia="en-GB"/>
    </w:rPr>
  </w:style>
  <w:style w:type="character" w:customStyle="1" w:styleId="Char9">
    <w:name w:val="脚注文本 Char"/>
    <w:basedOn w:val="a1"/>
    <w:link w:val="af7"/>
    <w:uiPriority w:val="99"/>
    <w:rsid w:val="00CE264A"/>
    <w:rPr>
      <w:rFonts w:ascii="Times New Roman" w:eastAsia="Times New Roman" w:hAnsi="Times New Roman"/>
      <w:sz w:val="20"/>
      <w:szCs w:val="20"/>
    </w:rPr>
  </w:style>
  <w:style w:type="character" w:styleId="af8">
    <w:name w:val="footnote reference"/>
    <w:uiPriority w:val="99"/>
    <w:unhideWhenUsed/>
    <w:rsid w:val="00CE264A"/>
    <w:rPr>
      <w:vertAlign w:val="superscript"/>
    </w:rPr>
  </w:style>
  <w:style w:type="paragraph" w:customStyle="1" w:styleId="ColorfulList-Accent11">
    <w:name w:val="Colorful List - Accent 11"/>
    <w:basedOn w:val="a0"/>
    <w:link w:val="ColorfulList-Accent1Char"/>
    <w:qFormat/>
    <w:rsid w:val="007716D9"/>
    <w:pPr>
      <w:spacing w:before="0" w:after="240"/>
      <w:ind w:left="720" w:hanging="360"/>
      <w:contextualSpacing/>
    </w:pPr>
    <w:rPr>
      <w:szCs w:val="24"/>
      <w:lang w:eastAsia="en-GB"/>
    </w:rPr>
  </w:style>
  <w:style w:type="character" w:customStyle="1" w:styleId="ColorfulList-Accent1Char">
    <w:name w:val="Colorful List - Accent 1 Char"/>
    <w:link w:val="ColorfulList-Accent11"/>
    <w:locked/>
    <w:rsid w:val="007716D9"/>
    <w:rPr>
      <w:rFonts w:ascii="Times New Roman" w:eastAsia="Times New Roman" w:hAnsi="Times New Roman"/>
    </w:rPr>
  </w:style>
  <w:style w:type="character" w:customStyle="1" w:styleId="UnresolvedMention1">
    <w:name w:val="Unresolved Mention1"/>
    <w:basedOn w:val="a1"/>
    <w:uiPriority w:val="99"/>
    <w:semiHidden/>
    <w:unhideWhenUsed/>
    <w:rsid w:val="006F4478"/>
    <w:rPr>
      <w:color w:val="808080"/>
      <w:shd w:val="clear" w:color="auto" w:fill="E6E6E6"/>
    </w:rPr>
  </w:style>
  <w:style w:type="character" w:customStyle="1" w:styleId="10">
    <w:name w:val="未处理的提及1"/>
    <w:basedOn w:val="a1"/>
    <w:uiPriority w:val="99"/>
    <w:semiHidden/>
    <w:unhideWhenUsed/>
    <w:rsid w:val="002F43E7"/>
    <w:rPr>
      <w:color w:val="605E5C"/>
      <w:shd w:val="clear" w:color="auto" w:fill="E1DFDD"/>
    </w:rPr>
  </w:style>
  <w:style w:type="paragraph" w:customStyle="1" w:styleId="11">
    <w:name w:val="正文1"/>
    <w:uiPriority w:val="99"/>
    <w:rsid w:val="00AF11D9"/>
    <w:pPr>
      <w:spacing w:line="276" w:lineRule="auto"/>
    </w:pPr>
    <w:rPr>
      <w:rFonts w:ascii="Arial" w:hAnsi="Arial" w:cs="Arial"/>
      <w:color w:val="000000"/>
      <w:sz w:val="22"/>
      <w:szCs w:val="20"/>
      <w:lang w:val="pl-PL" w:eastAsia="pl-PL"/>
    </w:rPr>
  </w:style>
  <w:style w:type="paragraph" w:customStyle="1" w:styleId="p1">
    <w:name w:val="p1"/>
    <w:basedOn w:val="a0"/>
    <w:rsid w:val="00AF11D9"/>
    <w:pPr>
      <w:spacing w:before="0" w:after="0" w:line="240" w:lineRule="auto"/>
    </w:pPr>
    <w:rPr>
      <w:rFonts w:ascii="Helvetica" w:eastAsiaTheme="minorEastAsia" w:hAnsi="Helvetica"/>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4"/>
        <w:szCs w:val="24"/>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caption" w:locked="1"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iPriority="10" w:unhideWhenUsed="0" w:qFormat="1"/>
    <w:lsdException w:name="Default Paragraph Font" w:locked="1" w:uiPriority="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iPriority="20" w:unhideWhenUsed="0" w:qFormat="1"/>
    <w:lsdException w:name="No List" w:uiPriority="99"/>
    <w:lsdException w:name="Table Grid" w:locked="1" w:semiHidden="0" w:uiPriority="9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0">
    <w:name w:val="Normal"/>
    <w:qFormat/>
    <w:rsid w:val="00C37D8E"/>
    <w:pPr>
      <w:spacing w:before="120" w:after="120" w:line="360" w:lineRule="auto"/>
    </w:pPr>
    <w:rPr>
      <w:rFonts w:ascii="Book Antiqua" w:eastAsia="Times New Roman" w:hAnsi="Book Antiqua"/>
      <w:szCs w:val="22"/>
      <w:lang w:eastAsia="en-US"/>
    </w:rPr>
  </w:style>
  <w:style w:type="paragraph" w:styleId="1">
    <w:name w:val="heading 1"/>
    <w:basedOn w:val="a0"/>
    <w:next w:val="a0"/>
    <w:link w:val="1Char"/>
    <w:qFormat/>
    <w:rsid w:val="00627B9E"/>
    <w:pPr>
      <w:keepNext/>
      <w:keepLines/>
      <w:spacing w:before="480" w:after="0"/>
      <w:outlineLvl w:val="0"/>
    </w:pPr>
    <w:rPr>
      <w:rFonts w:eastAsia="Calibri"/>
      <w:b/>
      <w:bCs/>
      <w:caps/>
      <w:szCs w:val="28"/>
      <w:lang w:eastAsia="en-GB"/>
    </w:rPr>
  </w:style>
  <w:style w:type="paragraph" w:styleId="2">
    <w:name w:val="heading 2"/>
    <w:basedOn w:val="a0"/>
    <w:next w:val="a0"/>
    <w:link w:val="2Char"/>
    <w:qFormat/>
    <w:rsid w:val="00592F98"/>
    <w:pPr>
      <w:keepNext/>
      <w:keepLines/>
      <w:outlineLvl w:val="1"/>
    </w:pPr>
    <w:rPr>
      <w:rFonts w:eastAsia="MS ????"/>
      <w:b/>
      <w:bCs/>
      <w:i/>
      <w:szCs w:val="26"/>
    </w:rPr>
  </w:style>
  <w:style w:type="paragraph" w:styleId="3">
    <w:name w:val="heading 3"/>
    <w:basedOn w:val="2"/>
    <w:next w:val="a0"/>
    <w:link w:val="3Char"/>
    <w:unhideWhenUsed/>
    <w:qFormat/>
    <w:locked/>
    <w:rsid w:val="00685A9A"/>
    <w:pPr>
      <w:outlineLvl w:val="2"/>
    </w:pPr>
    <w:rPr>
      <w:i w:val="0"/>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semiHidden/>
    <w:rsid w:val="00075608"/>
    <w:pPr>
      <w:spacing w:before="100" w:beforeAutospacing="1" w:after="100" w:afterAutospacing="1"/>
    </w:pPr>
    <w:rPr>
      <w:rFonts w:eastAsia="Calibri"/>
      <w:szCs w:val="24"/>
      <w:lang w:eastAsia="en-GB"/>
    </w:rPr>
  </w:style>
  <w:style w:type="paragraph" w:styleId="HTML">
    <w:name w:val="HTML Preformatted"/>
    <w:basedOn w:val="a0"/>
    <w:link w:val="HTMLChar"/>
    <w:semiHidden/>
    <w:rsid w:val="00075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alibri" w:hAnsi="Courier New"/>
      <w:sz w:val="20"/>
      <w:szCs w:val="20"/>
      <w:lang w:eastAsia="en-GB"/>
    </w:rPr>
  </w:style>
  <w:style w:type="character" w:customStyle="1" w:styleId="HTMLChar">
    <w:name w:val="HTML 预设格式 Char"/>
    <w:link w:val="HTML"/>
    <w:semiHidden/>
    <w:locked/>
    <w:rsid w:val="00075608"/>
    <w:rPr>
      <w:rFonts w:ascii="Courier New" w:hAnsi="Courier New" w:cs="Courier New"/>
      <w:sz w:val="20"/>
      <w:szCs w:val="20"/>
      <w:lang w:eastAsia="en-GB"/>
    </w:rPr>
  </w:style>
  <w:style w:type="character" w:styleId="a5">
    <w:name w:val="Hyperlink"/>
    <w:rsid w:val="00075608"/>
    <w:rPr>
      <w:rFonts w:cs="Times New Roman"/>
      <w:color w:val="0000FF"/>
      <w:u w:val="single"/>
    </w:rPr>
  </w:style>
  <w:style w:type="paragraph" w:customStyle="1" w:styleId="mstext">
    <w:name w:val="m/s text"/>
    <w:basedOn w:val="a0"/>
    <w:rsid w:val="00075608"/>
    <w:pPr>
      <w:tabs>
        <w:tab w:val="left" w:pos="420"/>
      </w:tabs>
      <w:spacing w:before="0" w:after="360"/>
    </w:pPr>
    <w:rPr>
      <w:rFonts w:ascii="Helvetica" w:eastAsia="Calibri" w:hAnsi="Helvetica"/>
      <w:szCs w:val="20"/>
    </w:rPr>
  </w:style>
  <w:style w:type="character" w:styleId="a6">
    <w:name w:val="Strong"/>
    <w:qFormat/>
    <w:rsid w:val="00C01D90"/>
    <w:rPr>
      <w:rFonts w:cs="Times New Roman"/>
      <w:b/>
      <w:bCs/>
    </w:rPr>
  </w:style>
  <w:style w:type="paragraph" w:customStyle="1" w:styleId="SubtleEmphasis1">
    <w:name w:val="Subtle Emphasis1"/>
    <w:basedOn w:val="a0"/>
    <w:qFormat/>
    <w:rsid w:val="00E110A6"/>
    <w:pPr>
      <w:ind w:left="720"/>
      <w:contextualSpacing/>
    </w:pPr>
  </w:style>
  <w:style w:type="table" w:styleId="a7">
    <w:name w:val="Table Grid"/>
    <w:basedOn w:val="a2"/>
    <w:uiPriority w:val="99"/>
    <w:rsid w:val="00711B79"/>
    <w:pPr>
      <w:jc w:val="center"/>
    </w:pPr>
    <w:rPr>
      <w:rFonts w:ascii="Times New Roman" w:eastAsia="Times New Roman" w:hAnsi="Times New Roman"/>
      <w:sz w:val="20"/>
    </w:rPr>
    <w:tblPr/>
    <w:tcPr>
      <w:vAlign w:val="center"/>
    </w:tcPr>
    <w:tblStylePr w:type="firstRow">
      <w:pPr>
        <w:jc w:val="center"/>
      </w:pPr>
      <w:rPr>
        <w:b w:val="0"/>
      </w:rPr>
      <w:tblPr/>
      <w:tcPr>
        <w:tcBorders>
          <w:top w:val="single" w:sz="4" w:space="0" w:color="auto"/>
          <w:bottom w:val="single" w:sz="4" w:space="0" w:color="auto"/>
        </w:tcBorders>
      </w:tcPr>
    </w:tblStylePr>
    <w:tblStylePr w:type="lastRow">
      <w:tblPr/>
      <w:tcPr>
        <w:tcBorders>
          <w:bottom w:val="single" w:sz="4" w:space="0" w:color="auto"/>
        </w:tcBorders>
      </w:tcPr>
    </w:tblStylePr>
    <w:tblStylePr w:type="firstCol">
      <w:pPr>
        <w:wordWrap/>
        <w:jc w:val="left"/>
      </w:pPr>
    </w:tblStylePr>
  </w:style>
  <w:style w:type="paragraph" w:styleId="a8">
    <w:name w:val="caption"/>
    <w:basedOn w:val="a0"/>
    <w:next w:val="a0"/>
    <w:uiPriority w:val="35"/>
    <w:unhideWhenUsed/>
    <w:qFormat/>
    <w:rsid w:val="00155CD1"/>
    <w:pPr>
      <w:keepLines/>
      <w:spacing w:before="0" w:after="240" w:line="264" w:lineRule="auto"/>
    </w:pPr>
    <w:rPr>
      <w:b/>
      <w:bCs/>
      <w:sz w:val="18"/>
      <w:szCs w:val="18"/>
      <w:lang w:eastAsia="en-GB"/>
    </w:rPr>
  </w:style>
  <w:style w:type="paragraph" w:styleId="a9">
    <w:name w:val="Balloon Text"/>
    <w:basedOn w:val="a0"/>
    <w:link w:val="Char"/>
    <w:semiHidden/>
    <w:rsid w:val="002653B1"/>
    <w:pPr>
      <w:spacing w:before="0" w:after="0"/>
    </w:pPr>
    <w:rPr>
      <w:rFonts w:ascii="Tahoma" w:eastAsia="Calibri" w:hAnsi="Tahoma"/>
      <w:sz w:val="16"/>
      <w:szCs w:val="16"/>
    </w:rPr>
  </w:style>
  <w:style w:type="character" w:customStyle="1" w:styleId="Char">
    <w:name w:val="批注框文本 Char"/>
    <w:link w:val="a9"/>
    <w:semiHidden/>
    <w:locked/>
    <w:rsid w:val="002653B1"/>
    <w:rPr>
      <w:rFonts w:ascii="Tahoma" w:hAnsi="Tahoma" w:cs="Tahoma"/>
      <w:sz w:val="16"/>
      <w:szCs w:val="16"/>
    </w:rPr>
  </w:style>
  <w:style w:type="table" w:customStyle="1" w:styleId="LightShading-Accent51">
    <w:name w:val="Light Shading - Accent 51"/>
    <w:rsid w:val="00655A48"/>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LightGrid-Accent11">
    <w:name w:val="Light Grid - Accent 11"/>
    <w:rsid w:val="00655A48"/>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Grid1-Accent51">
    <w:name w:val="Medium Grid 1 - Accent 51"/>
    <w:rsid w:val="00655A48"/>
    <w:rPr>
      <w:rFonts w:eastAsia="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character" w:customStyle="1" w:styleId="contentforperma">
    <w:name w:val="content_for_perma"/>
    <w:rsid w:val="00914EF9"/>
    <w:rPr>
      <w:rFonts w:cs="Times New Roman"/>
    </w:rPr>
  </w:style>
  <w:style w:type="character" w:customStyle="1" w:styleId="1Char">
    <w:name w:val="标题 1 Char"/>
    <w:link w:val="1"/>
    <w:locked/>
    <w:rsid w:val="00627B9E"/>
    <w:rPr>
      <w:rFonts w:ascii="Times New Roman" w:hAnsi="Times New Roman"/>
      <w:b/>
      <w:bCs/>
      <w:caps/>
      <w:szCs w:val="28"/>
    </w:rPr>
  </w:style>
  <w:style w:type="character" w:customStyle="1" w:styleId="2Char">
    <w:name w:val="标题 2 Char"/>
    <w:link w:val="2"/>
    <w:locked/>
    <w:rsid w:val="00592F98"/>
    <w:rPr>
      <w:rFonts w:ascii="Book Antiqua" w:eastAsia="MS ????" w:hAnsi="Book Antiqua"/>
      <w:b/>
      <w:bCs/>
      <w:i/>
      <w:szCs w:val="26"/>
      <w:lang w:eastAsia="en-US"/>
    </w:rPr>
  </w:style>
  <w:style w:type="paragraph" w:styleId="aa">
    <w:name w:val="header"/>
    <w:basedOn w:val="a0"/>
    <w:link w:val="Char0"/>
    <w:rsid w:val="00515162"/>
    <w:pPr>
      <w:tabs>
        <w:tab w:val="center" w:pos="4513"/>
        <w:tab w:val="right" w:pos="9026"/>
      </w:tabs>
      <w:spacing w:before="0" w:after="0"/>
    </w:pPr>
    <w:rPr>
      <w:rFonts w:eastAsia="Calibri"/>
      <w:sz w:val="18"/>
      <w:szCs w:val="20"/>
    </w:rPr>
  </w:style>
  <w:style w:type="character" w:customStyle="1" w:styleId="Char0">
    <w:name w:val="页眉 Char"/>
    <w:link w:val="aa"/>
    <w:locked/>
    <w:rsid w:val="00515162"/>
    <w:rPr>
      <w:rFonts w:ascii="Times New Roman" w:hAnsi="Times New Roman" w:cs="Times New Roman"/>
      <w:sz w:val="18"/>
    </w:rPr>
  </w:style>
  <w:style w:type="paragraph" w:styleId="ab">
    <w:name w:val="footer"/>
    <w:basedOn w:val="a0"/>
    <w:link w:val="Char1"/>
    <w:rsid w:val="009A028F"/>
    <w:pPr>
      <w:tabs>
        <w:tab w:val="center" w:pos="4513"/>
        <w:tab w:val="right" w:pos="9026"/>
      </w:tabs>
      <w:spacing w:before="0" w:after="0"/>
    </w:pPr>
    <w:rPr>
      <w:rFonts w:eastAsia="Calibri"/>
      <w:sz w:val="18"/>
    </w:rPr>
  </w:style>
  <w:style w:type="character" w:customStyle="1" w:styleId="Char1">
    <w:name w:val="页脚 Char"/>
    <w:link w:val="ab"/>
    <w:locked/>
    <w:rsid w:val="009A028F"/>
    <w:rPr>
      <w:rFonts w:ascii="Times New Roman" w:hAnsi="Times New Roman"/>
      <w:sz w:val="18"/>
      <w:szCs w:val="22"/>
      <w:lang w:val="en-GB"/>
    </w:rPr>
  </w:style>
  <w:style w:type="paragraph" w:styleId="ac">
    <w:name w:val="Document Map"/>
    <w:basedOn w:val="a0"/>
    <w:link w:val="Char2"/>
    <w:semiHidden/>
    <w:rsid w:val="00F86A95"/>
    <w:pPr>
      <w:spacing w:before="0" w:after="0"/>
    </w:pPr>
    <w:rPr>
      <w:rFonts w:ascii="Tahoma" w:eastAsia="Calibri" w:hAnsi="Tahoma"/>
      <w:sz w:val="16"/>
      <w:szCs w:val="16"/>
    </w:rPr>
  </w:style>
  <w:style w:type="character" w:customStyle="1" w:styleId="Char2">
    <w:name w:val="文档结构图 Char"/>
    <w:link w:val="ac"/>
    <w:semiHidden/>
    <w:locked/>
    <w:rsid w:val="00F86A95"/>
    <w:rPr>
      <w:rFonts w:ascii="Tahoma" w:hAnsi="Tahoma" w:cs="Tahoma"/>
      <w:sz w:val="16"/>
      <w:szCs w:val="16"/>
    </w:rPr>
  </w:style>
  <w:style w:type="character" w:styleId="ad">
    <w:name w:val="annotation reference"/>
    <w:uiPriority w:val="99"/>
    <w:semiHidden/>
    <w:rsid w:val="00F86A95"/>
    <w:rPr>
      <w:rFonts w:cs="Times New Roman"/>
      <w:sz w:val="16"/>
      <w:szCs w:val="16"/>
    </w:rPr>
  </w:style>
  <w:style w:type="paragraph" w:styleId="ae">
    <w:name w:val="annotation text"/>
    <w:basedOn w:val="a0"/>
    <w:link w:val="Char3"/>
    <w:uiPriority w:val="99"/>
    <w:rsid w:val="00F86A95"/>
    <w:rPr>
      <w:rFonts w:ascii="Calibri" w:eastAsia="Calibri" w:hAnsi="Calibri"/>
      <w:sz w:val="20"/>
      <w:szCs w:val="20"/>
    </w:rPr>
  </w:style>
  <w:style w:type="character" w:customStyle="1" w:styleId="Char3">
    <w:name w:val="批注文字 Char"/>
    <w:link w:val="ae"/>
    <w:uiPriority w:val="99"/>
    <w:locked/>
    <w:rsid w:val="00F86A95"/>
    <w:rPr>
      <w:rFonts w:cs="Times New Roman"/>
      <w:sz w:val="20"/>
      <w:szCs w:val="20"/>
    </w:rPr>
  </w:style>
  <w:style w:type="paragraph" w:styleId="af">
    <w:name w:val="annotation subject"/>
    <w:basedOn w:val="ae"/>
    <w:next w:val="ae"/>
    <w:link w:val="Char4"/>
    <w:semiHidden/>
    <w:rsid w:val="00F86A95"/>
    <w:rPr>
      <w:b/>
      <w:bCs/>
    </w:rPr>
  </w:style>
  <w:style w:type="character" w:customStyle="1" w:styleId="Char4">
    <w:name w:val="批注主题 Char"/>
    <w:link w:val="af"/>
    <w:semiHidden/>
    <w:locked/>
    <w:rsid w:val="00F86A95"/>
    <w:rPr>
      <w:rFonts w:cs="Times New Roman"/>
      <w:b/>
      <w:bCs/>
      <w:sz w:val="20"/>
      <w:szCs w:val="20"/>
    </w:rPr>
  </w:style>
  <w:style w:type="paragraph" w:customStyle="1" w:styleId="ColorfulGrid-Accent61">
    <w:name w:val="Colorful Grid - Accent 61"/>
    <w:hidden/>
    <w:semiHidden/>
    <w:rsid w:val="003B4966"/>
    <w:rPr>
      <w:rFonts w:eastAsia="Times New Roman"/>
      <w:sz w:val="22"/>
      <w:szCs w:val="22"/>
      <w:lang w:eastAsia="en-US"/>
    </w:rPr>
  </w:style>
  <w:style w:type="paragraph" w:styleId="af0">
    <w:name w:val="endnote text"/>
    <w:basedOn w:val="a0"/>
    <w:link w:val="Char5"/>
    <w:rsid w:val="00CB512E"/>
    <w:pPr>
      <w:spacing w:before="0" w:after="0"/>
      <w:ind w:left="567" w:hanging="567"/>
    </w:pPr>
    <w:rPr>
      <w:rFonts w:eastAsia="Calibri"/>
      <w:szCs w:val="24"/>
    </w:rPr>
  </w:style>
  <w:style w:type="character" w:customStyle="1" w:styleId="Char5">
    <w:name w:val="尾注文本 Char"/>
    <w:link w:val="af0"/>
    <w:locked/>
    <w:rsid w:val="00CB512E"/>
    <w:rPr>
      <w:rFonts w:ascii="Times New Roman" w:hAnsi="Times New Roman" w:cs="Times New Roman"/>
      <w:sz w:val="24"/>
      <w:szCs w:val="24"/>
    </w:rPr>
  </w:style>
  <w:style w:type="character" w:customStyle="1" w:styleId="apple-converted-space">
    <w:name w:val="apple-converted-space"/>
    <w:rsid w:val="00A20A26"/>
    <w:rPr>
      <w:rFonts w:cs="Times New Roman"/>
    </w:rPr>
  </w:style>
  <w:style w:type="paragraph" w:customStyle="1" w:styleId="Tablefooter">
    <w:name w:val="Table footer"/>
    <w:basedOn w:val="a0"/>
    <w:qFormat/>
    <w:rsid w:val="00C84D47"/>
    <w:pPr>
      <w:spacing w:before="0" w:after="0" w:line="264" w:lineRule="auto"/>
    </w:pPr>
    <w:rPr>
      <w:i/>
      <w:sz w:val="18"/>
      <w:szCs w:val="20"/>
    </w:rPr>
  </w:style>
  <w:style w:type="paragraph" w:customStyle="1" w:styleId="Bibliography1">
    <w:name w:val="Bibliography1"/>
    <w:basedOn w:val="a0"/>
    <w:next w:val="a0"/>
    <w:uiPriority w:val="37"/>
    <w:unhideWhenUsed/>
    <w:rsid w:val="006A0F26"/>
    <w:pPr>
      <w:tabs>
        <w:tab w:val="left" w:pos="380"/>
      </w:tabs>
      <w:spacing w:after="240"/>
      <w:ind w:left="384" w:hanging="384"/>
    </w:pPr>
  </w:style>
  <w:style w:type="paragraph" w:customStyle="1" w:styleId="Bibliography2">
    <w:name w:val="Bibliography2"/>
    <w:basedOn w:val="a0"/>
    <w:next w:val="a0"/>
    <w:uiPriority w:val="70"/>
    <w:rsid w:val="00834465"/>
  </w:style>
  <w:style w:type="paragraph" w:customStyle="1" w:styleId="MediumShading2-Accent61">
    <w:name w:val="Medium Shading 2 - Accent 61"/>
    <w:hidden/>
    <w:uiPriority w:val="71"/>
    <w:rsid w:val="00E40306"/>
    <w:rPr>
      <w:rFonts w:ascii="Times New Roman" w:eastAsia="Times New Roman" w:hAnsi="Times New Roman"/>
      <w:szCs w:val="22"/>
      <w:lang w:eastAsia="en-US"/>
    </w:rPr>
  </w:style>
  <w:style w:type="paragraph" w:customStyle="1" w:styleId="Bibliography3">
    <w:name w:val="Bibliography3"/>
    <w:basedOn w:val="a0"/>
    <w:next w:val="a0"/>
    <w:uiPriority w:val="70"/>
    <w:rsid w:val="00654382"/>
    <w:pPr>
      <w:tabs>
        <w:tab w:val="left" w:pos="500"/>
      </w:tabs>
      <w:spacing w:before="0" w:after="0"/>
      <w:ind w:left="505" w:hanging="505"/>
    </w:pPr>
  </w:style>
  <w:style w:type="character" w:styleId="af1">
    <w:name w:val="Emphasis"/>
    <w:uiPriority w:val="20"/>
    <w:qFormat/>
    <w:locked/>
    <w:rsid w:val="00A81D0D"/>
    <w:rPr>
      <w:i/>
      <w:iCs/>
    </w:rPr>
  </w:style>
  <w:style w:type="paragraph" w:customStyle="1" w:styleId="MediumGrid3-Accent51">
    <w:name w:val="Medium Grid 3 - Accent 51"/>
    <w:hidden/>
    <w:uiPriority w:val="71"/>
    <w:rsid w:val="00DE2124"/>
    <w:rPr>
      <w:rFonts w:ascii="Times New Roman" w:eastAsia="Times New Roman" w:hAnsi="Times New Roman"/>
      <w:szCs w:val="22"/>
      <w:lang w:eastAsia="en-US"/>
    </w:rPr>
  </w:style>
  <w:style w:type="paragraph" w:customStyle="1" w:styleId="MediumList1-Accent41">
    <w:name w:val="Medium List 1 - Accent 41"/>
    <w:hidden/>
    <w:uiPriority w:val="71"/>
    <w:rsid w:val="00590F63"/>
    <w:rPr>
      <w:rFonts w:ascii="Times New Roman" w:eastAsia="Times New Roman" w:hAnsi="Times New Roman"/>
      <w:szCs w:val="22"/>
      <w:lang w:eastAsia="en-US"/>
    </w:rPr>
  </w:style>
  <w:style w:type="paragraph" w:customStyle="1" w:styleId="DarkList-Accent31">
    <w:name w:val="Dark List - Accent 31"/>
    <w:hidden/>
    <w:uiPriority w:val="71"/>
    <w:rsid w:val="000D666B"/>
    <w:rPr>
      <w:rFonts w:ascii="Times New Roman" w:eastAsia="Times New Roman" w:hAnsi="Times New Roman"/>
      <w:szCs w:val="22"/>
      <w:lang w:eastAsia="en-US"/>
    </w:rPr>
  </w:style>
  <w:style w:type="paragraph" w:customStyle="1" w:styleId="Bibliography4">
    <w:name w:val="Bibliography4"/>
    <w:basedOn w:val="a0"/>
    <w:next w:val="a0"/>
    <w:uiPriority w:val="70"/>
    <w:rsid w:val="008B4EBA"/>
    <w:pPr>
      <w:tabs>
        <w:tab w:val="left" w:pos="500"/>
      </w:tabs>
      <w:spacing w:after="240"/>
      <w:ind w:left="504" w:hanging="504"/>
    </w:pPr>
  </w:style>
  <w:style w:type="paragraph" w:customStyle="1" w:styleId="ColorfulShading-Accent11">
    <w:name w:val="Colorful Shading - Accent 11"/>
    <w:hidden/>
    <w:uiPriority w:val="71"/>
    <w:rsid w:val="00C17CDE"/>
    <w:rPr>
      <w:rFonts w:ascii="Times New Roman" w:eastAsia="Times New Roman" w:hAnsi="Times New Roman"/>
      <w:szCs w:val="22"/>
      <w:lang w:eastAsia="en-US"/>
    </w:rPr>
  </w:style>
  <w:style w:type="paragraph" w:styleId="af2">
    <w:name w:val="Revision"/>
    <w:hidden/>
    <w:uiPriority w:val="71"/>
    <w:rsid w:val="00AA1BCD"/>
    <w:rPr>
      <w:rFonts w:ascii="Times New Roman" w:eastAsia="Times New Roman" w:hAnsi="Times New Roman"/>
      <w:szCs w:val="22"/>
      <w:lang w:eastAsia="en-US"/>
    </w:rPr>
  </w:style>
  <w:style w:type="paragraph" w:styleId="af3">
    <w:name w:val="Bibliography"/>
    <w:basedOn w:val="a0"/>
    <w:next w:val="a0"/>
    <w:uiPriority w:val="70"/>
    <w:rsid w:val="00F6733D"/>
    <w:pPr>
      <w:tabs>
        <w:tab w:val="left" w:pos="500"/>
      </w:tabs>
      <w:ind w:left="505" w:hanging="505"/>
      <w:contextualSpacing/>
    </w:pPr>
  </w:style>
  <w:style w:type="paragraph" w:styleId="af4">
    <w:name w:val="Title"/>
    <w:basedOn w:val="a0"/>
    <w:next w:val="a0"/>
    <w:link w:val="Char6"/>
    <w:uiPriority w:val="10"/>
    <w:qFormat/>
    <w:locked/>
    <w:rsid w:val="00C37D8E"/>
    <w:pPr>
      <w:spacing w:before="0"/>
    </w:pPr>
    <w:rPr>
      <w:b/>
      <w:bCs/>
      <w:szCs w:val="24"/>
      <w:lang w:eastAsia="en-GB"/>
    </w:rPr>
  </w:style>
  <w:style w:type="character" w:customStyle="1" w:styleId="Char6">
    <w:name w:val="标题 Char"/>
    <w:basedOn w:val="a1"/>
    <w:link w:val="af4"/>
    <w:uiPriority w:val="10"/>
    <w:rsid w:val="00C37D8E"/>
    <w:rPr>
      <w:rFonts w:ascii="Book Antiqua" w:eastAsia="Times New Roman" w:hAnsi="Book Antiqua"/>
      <w:b/>
      <w:bCs/>
    </w:rPr>
  </w:style>
  <w:style w:type="paragraph" w:styleId="af5">
    <w:name w:val="Subtitle"/>
    <w:basedOn w:val="a0"/>
    <w:next w:val="a0"/>
    <w:link w:val="Char7"/>
    <w:qFormat/>
    <w:locked/>
    <w:rsid w:val="00F226EC"/>
    <w:pPr>
      <w:spacing w:before="0" w:after="0"/>
    </w:pPr>
    <w:rPr>
      <w:sz w:val="28"/>
      <w:szCs w:val="24"/>
      <w:lang w:eastAsia="en-GB"/>
    </w:rPr>
  </w:style>
  <w:style w:type="character" w:customStyle="1" w:styleId="Char7">
    <w:name w:val="副标题 Char"/>
    <w:basedOn w:val="a1"/>
    <w:link w:val="af5"/>
    <w:rsid w:val="00F226EC"/>
    <w:rPr>
      <w:rFonts w:ascii="Times New Roman" w:eastAsia="Times New Roman" w:hAnsi="Times New Roman"/>
      <w:sz w:val="28"/>
    </w:rPr>
  </w:style>
  <w:style w:type="paragraph" w:customStyle="1" w:styleId="Tables">
    <w:name w:val="Tables"/>
    <w:basedOn w:val="a0"/>
    <w:link w:val="TablesChar"/>
    <w:qFormat/>
    <w:rsid w:val="00155CD1"/>
    <w:pPr>
      <w:keepNext/>
      <w:keepLines/>
      <w:spacing w:line="240" w:lineRule="auto"/>
      <w:jc w:val="center"/>
    </w:pPr>
    <w:rPr>
      <w:rFonts w:cs="Arial"/>
      <w:sz w:val="20"/>
      <w:szCs w:val="20"/>
      <w:lang w:eastAsia="en-GB"/>
    </w:rPr>
  </w:style>
  <w:style w:type="character" w:customStyle="1" w:styleId="TablesChar">
    <w:name w:val="Tables Char"/>
    <w:basedOn w:val="a1"/>
    <w:link w:val="Tables"/>
    <w:rsid w:val="00155CD1"/>
    <w:rPr>
      <w:rFonts w:ascii="Book Antiqua" w:eastAsia="Times New Roman" w:hAnsi="Book Antiqua" w:cs="Arial"/>
      <w:sz w:val="20"/>
      <w:szCs w:val="20"/>
    </w:rPr>
  </w:style>
  <w:style w:type="paragraph" w:customStyle="1" w:styleId="CaptionTables">
    <w:name w:val="Caption (Tables)"/>
    <w:basedOn w:val="a8"/>
    <w:next w:val="a0"/>
    <w:qFormat/>
    <w:rsid w:val="00155CD1"/>
    <w:pPr>
      <w:keepNext/>
      <w:spacing w:after="60"/>
    </w:pPr>
  </w:style>
  <w:style w:type="paragraph" w:customStyle="1" w:styleId="Figures">
    <w:name w:val="Figures"/>
    <w:basedOn w:val="a0"/>
    <w:next w:val="a0"/>
    <w:qFormat/>
    <w:rsid w:val="00F71D7A"/>
    <w:pPr>
      <w:keepNext/>
      <w:spacing w:before="0" w:after="0" w:line="264" w:lineRule="auto"/>
    </w:pPr>
    <w:rPr>
      <w:rFonts w:asciiTheme="minorHAnsi" w:hAnsiTheme="minorHAnsi"/>
      <w:noProof/>
      <w:szCs w:val="24"/>
      <w:lang w:val="en-US"/>
    </w:rPr>
  </w:style>
  <w:style w:type="paragraph" w:customStyle="1" w:styleId="TablesAfter0pt">
    <w:name w:val="Tables (After 0pt)"/>
    <w:basedOn w:val="Tables"/>
    <w:qFormat/>
    <w:rsid w:val="00123AEE"/>
    <w:pPr>
      <w:spacing w:after="0"/>
    </w:pPr>
    <w:rPr>
      <w:lang w:eastAsia="en-US"/>
    </w:rPr>
  </w:style>
  <w:style w:type="paragraph" w:customStyle="1" w:styleId="Tablesnospacing">
    <w:name w:val="Tables (no spacing)"/>
    <w:basedOn w:val="Tables"/>
    <w:qFormat/>
    <w:rsid w:val="00123AEE"/>
    <w:pPr>
      <w:spacing w:before="0" w:after="0"/>
    </w:pPr>
    <w:rPr>
      <w:lang w:eastAsia="en-US"/>
    </w:rPr>
  </w:style>
  <w:style w:type="paragraph" w:customStyle="1" w:styleId="TablesBefore0pt">
    <w:name w:val="Tables (Before 0pt)"/>
    <w:basedOn w:val="Tables"/>
    <w:qFormat/>
    <w:rsid w:val="00123AEE"/>
    <w:pPr>
      <w:spacing w:before="0"/>
    </w:pPr>
    <w:rPr>
      <w:lang w:eastAsia="en-US"/>
    </w:rPr>
  </w:style>
  <w:style w:type="character" w:styleId="af6">
    <w:name w:val="FollowedHyperlink"/>
    <w:basedOn w:val="a1"/>
    <w:rsid w:val="0016073A"/>
    <w:rPr>
      <w:color w:val="954F72" w:themeColor="followedHyperlink"/>
      <w:u w:val="single"/>
    </w:rPr>
  </w:style>
  <w:style w:type="character" w:customStyle="1" w:styleId="3Char">
    <w:name w:val="标题 3 Char"/>
    <w:basedOn w:val="a1"/>
    <w:link w:val="3"/>
    <w:rsid w:val="00685A9A"/>
    <w:rPr>
      <w:rFonts w:ascii="Book Antiqua" w:eastAsia="MS ????" w:hAnsi="Book Antiqua"/>
      <w:b/>
      <w:bCs/>
      <w:iCs/>
      <w:szCs w:val="26"/>
      <w:lang w:eastAsia="en-US"/>
    </w:rPr>
  </w:style>
  <w:style w:type="paragraph" w:styleId="a">
    <w:name w:val="List Paragraph"/>
    <w:basedOn w:val="a0"/>
    <w:link w:val="Char8"/>
    <w:uiPriority w:val="34"/>
    <w:qFormat/>
    <w:rsid w:val="001A6837"/>
    <w:pPr>
      <w:numPr>
        <w:numId w:val="42"/>
      </w:numPr>
      <w:spacing w:before="0" w:after="240"/>
      <w:contextualSpacing/>
    </w:pPr>
    <w:rPr>
      <w:rFonts w:asciiTheme="minorHAnsi" w:hAnsiTheme="minorHAnsi"/>
      <w:szCs w:val="24"/>
      <w:lang w:eastAsia="en-GB"/>
    </w:rPr>
  </w:style>
  <w:style w:type="character" w:customStyle="1" w:styleId="Char8">
    <w:name w:val="列出段落 Char"/>
    <w:basedOn w:val="a1"/>
    <w:link w:val="a"/>
    <w:locked/>
    <w:rsid w:val="001A6837"/>
    <w:rPr>
      <w:rFonts w:asciiTheme="minorHAnsi" w:eastAsia="Times New Roman" w:hAnsiTheme="minorHAnsi"/>
    </w:rPr>
  </w:style>
  <w:style w:type="paragraph" w:styleId="af7">
    <w:name w:val="footnote text"/>
    <w:basedOn w:val="a0"/>
    <w:link w:val="Char9"/>
    <w:uiPriority w:val="99"/>
    <w:unhideWhenUsed/>
    <w:rsid w:val="00CE264A"/>
    <w:pPr>
      <w:spacing w:before="0" w:after="0" w:line="264" w:lineRule="auto"/>
    </w:pPr>
    <w:rPr>
      <w:sz w:val="20"/>
      <w:szCs w:val="20"/>
      <w:lang w:eastAsia="en-GB"/>
    </w:rPr>
  </w:style>
  <w:style w:type="character" w:customStyle="1" w:styleId="Char9">
    <w:name w:val="脚注文本 Char"/>
    <w:basedOn w:val="a1"/>
    <w:link w:val="af7"/>
    <w:uiPriority w:val="99"/>
    <w:rsid w:val="00CE264A"/>
    <w:rPr>
      <w:rFonts w:ascii="Times New Roman" w:eastAsia="Times New Roman" w:hAnsi="Times New Roman"/>
      <w:sz w:val="20"/>
      <w:szCs w:val="20"/>
    </w:rPr>
  </w:style>
  <w:style w:type="character" w:styleId="af8">
    <w:name w:val="footnote reference"/>
    <w:uiPriority w:val="99"/>
    <w:unhideWhenUsed/>
    <w:rsid w:val="00CE264A"/>
    <w:rPr>
      <w:vertAlign w:val="superscript"/>
    </w:rPr>
  </w:style>
  <w:style w:type="paragraph" w:customStyle="1" w:styleId="ColorfulList-Accent11">
    <w:name w:val="Colorful List - Accent 11"/>
    <w:basedOn w:val="a0"/>
    <w:link w:val="ColorfulList-Accent1Char"/>
    <w:qFormat/>
    <w:rsid w:val="007716D9"/>
    <w:pPr>
      <w:spacing w:before="0" w:after="240"/>
      <w:ind w:left="720" w:hanging="360"/>
      <w:contextualSpacing/>
    </w:pPr>
    <w:rPr>
      <w:szCs w:val="24"/>
      <w:lang w:eastAsia="en-GB"/>
    </w:rPr>
  </w:style>
  <w:style w:type="character" w:customStyle="1" w:styleId="ColorfulList-Accent1Char">
    <w:name w:val="Colorful List - Accent 1 Char"/>
    <w:link w:val="ColorfulList-Accent11"/>
    <w:locked/>
    <w:rsid w:val="007716D9"/>
    <w:rPr>
      <w:rFonts w:ascii="Times New Roman" w:eastAsia="Times New Roman" w:hAnsi="Times New Roman"/>
    </w:rPr>
  </w:style>
  <w:style w:type="character" w:customStyle="1" w:styleId="UnresolvedMention1">
    <w:name w:val="Unresolved Mention1"/>
    <w:basedOn w:val="a1"/>
    <w:uiPriority w:val="99"/>
    <w:semiHidden/>
    <w:unhideWhenUsed/>
    <w:rsid w:val="006F4478"/>
    <w:rPr>
      <w:color w:val="808080"/>
      <w:shd w:val="clear" w:color="auto" w:fill="E6E6E6"/>
    </w:rPr>
  </w:style>
  <w:style w:type="character" w:customStyle="1" w:styleId="10">
    <w:name w:val="未处理的提及1"/>
    <w:basedOn w:val="a1"/>
    <w:uiPriority w:val="99"/>
    <w:semiHidden/>
    <w:unhideWhenUsed/>
    <w:rsid w:val="002F43E7"/>
    <w:rPr>
      <w:color w:val="605E5C"/>
      <w:shd w:val="clear" w:color="auto" w:fill="E1DFDD"/>
    </w:rPr>
  </w:style>
  <w:style w:type="paragraph" w:customStyle="1" w:styleId="11">
    <w:name w:val="正文1"/>
    <w:uiPriority w:val="99"/>
    <w:rsid w:val="00AF11D9"/>
    <w:pPr>
      <w:spacing w:line="276" w:lineRule="auto"/>
    </w:pPr>
    <w:rPr>
      <w:rFonts w:ascii="Arial" w:hAnsi="Arial" w:cs="Arial"/>
      <w:color w:val="000000"/>
      <w:sz w:val="22"/>
      <w:szCs w:val="20"/>
      <w:lang w:val="pl-PL" w:eastAsia="pl-PL"/>
    </w:rPr>
  </w:style>
  <w:style w:type="paragraph" w:customStyle="1" w:styleId="p1">
    <w:name w:val="p1"/>
    <w:basedOn w:val="a0"/>
    <w:rsid w:val="00AF11D9"/>
    <w:pPr>
      <w:spacing w:before="0" w:after="0" w:line="240" w:lineRule="auto"/>
    </w:pPr>
    <w:rPr>
      <w:rFonts w:ascii="Helvetica" w:eastAsiaTheme="minorEastAsia" w:hAnsi="Helvetica"/>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7461373">
      <w:bodyDiv w:val="1"/>
      <w:marLeft w:val="0"/>
      <w:marRight w:val="0"/>
      <w:marTop w:val="0"/>
      <w:marBottom w:val="0"/>
      <w:divBdr>
        <w:top w:val="none" w:sz="0" w:space="0" w:color="auto"/>
        <w:left w:val="none" w:sz="0" w:space="0" w:color="auto"/>
        <w:bottom w:val="none" w:sz="0" w:space="0" w:color="auto"/>
        <w:right w:val="none" w:sz="0" w:space="0" w:color="auto"/>
      </w:divBdr>
    </w:div>
    <w:div w:id="106438714">
      <w:bodyDiv w:val="1"/>
      <w:marLeft w:val="0"/>
      <w:marRight w:val="0"/>
      <w:marTop w:val="0"/>
      <w:marBottom w:val="0"/>
      <w:divBdr>
        <w:top w:val="none" w:sz="0" w:space="0" w:color="auto"/>
        <w:left w:val="none" w:sz="0" w:space="0" w:color="auto"/>
        <w:bottom w:val="none" w:sz="0" w:space="0" w:color="auto"/>
        <w:right w:val="none" w:sz="0" w:space="0" w:color="auto"/>
      </w:divBdr>
      <w:divsChild>
        <w:div w:id="1284270845">
          <w:marLeft w:val="0"/>
          <w:marRight w:val="0"/>
          <w:marTop w:val="0"/>
          <w:marBottom w:val="0"/>
          <w:divBdr>
            <w:top w:val="none" w:sz="0" w:space="0" w:color="auto"/>
            <w:left w:val="none" w:sz="0" w:space="0" w:color="auto"/>
            <w:bottom w:val="none" w:sz="0" w:space="0" w:color="auto"/>
            <w:right w:val="none" w:sz="0" w:space="0" w:color="auto"/>
          </w:divBdr>
          <w:divsChild>
            <w:div w:id="2007129797">
              <w:marLeft w:val="0"/>
              <w:marRight w:val="0"/>
              <w:marTop w:val="0"/>
              <w:marBottom w:val="0"/>
              <w:divBdr>
                <w:top w:val="none" w:sz="0" w:space="0" w:color="auto"/>
                <w:left w:val="none" w:sz="0" w:space="0" w:color="auto"/>
                <w:bottom w:val="none" w:sz="0" w:space="0" w:color="auto"/>
                <w:right w:val="none" w:sz="0" w:space="0" w:color="auto"/>
              </w:divBdr>
              <w:divsChild>
                <w:div w:id="54784027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22378940">
      <w:bodyDiv w:val="1"/>
      <w:marLeft w:val="0"/>
      <w:marRight w:val="0"/>
      <w:marTop w:val="0"/>
      <w:marBottom w:val="0"/>
      <w:divBdr>
        <w:top w:val="none" w:sz="0" w:space="0" w:color="auto"/>
        <w:left w:val="none" w:sz="0" w:space="0" w:color="auto"/>
        <w:bottom w:val="none" w:sz="0" w:space="0" w:color="auto"/>
        <w:right w:val="none" w:sz="0" w:space="0" w:color="auto"/>
      </w:divBdr>
    </w:div>
    <w:div w:id="306982686">
      <w:bodyDiv w:val="1"/>
      <w:marLeft w:val="0"/>
      <w:marRight w:val="0"/>
      <w:marTop w:val="0"/>
      <w:marBottom w:val="0"/>
      <w:divBdr>
        <w:top w:val="none" w:sz="0" w:space="0" w:color="auto"/>
        <w:left w:val="none" w:sz="0" w:space="0" w:color="auto"/>
        <w:bottom w:val="none" w:sz="0" w:space="0" w:color="auto"/>
        <w:right w:val="none" w:sz="0" w:space="0" w:color="auto"/>
      </w:divBdr>
    </w:div>
    <w:div w:id="411466050">
      <w:bodyDiv w:val="1"/>
      <w:marLeft w:val="0"/>
      <w:marRight w:val="0"/>
      <w:marTop w:val="0"/>
      <w:marBottom w:val="0"/>
      <w:divBdr>
        <w:top w:val="none" w:sz="0" w:space="0" w:color="auto"/>
        <w:left w:val="none" w:sz="0" w:space="0" w:color="auto"/>
        <w:bottom w:val="none" w:sz="0" w:space="0" w:color="auto"/>
        <w:right w:val="none" w:sz="0" w:space="0" w:color="auto"/>
      </w:divBdr>
    </w:div>
    <w:div w:id="497161253">
      <w:bodyDiv w:val="1"/>
      <w:marLeft w:val="0"/>
      <w:marRight w:val="0"/>
      <w:marTop w:val="0"/>
      <w:marBottom w:val="0"/>
      <w:divBdr>
        <w:top w:val="none" w:sz="0" w:space="0" w:color="auto"/>
        <w:left w:val="none" w:sz="0" w:space="0" w:color="auto"/>
        <w:bottom w:val="none" w:sz="0" w:space="0" w:color="auto"/>
        <w:right w:val="none" w:sz="0" w:space="0" w:color="auto"/>
      </w:divBdr>
      <w:divsChild>
        <w:div w:id="1222062955">
          <w:marLeft w:val="0"/>
          <w:marRight w:val="0"/>
          <w:marTop w:val="0"/>
          <w:marBottom w:val="0"/>
          <w:divBdr>
            <w:top w:val="none" w:sz="0" w:space="0" w:color="auto"/>
            <w:left w:val="none" w:sz="0" w:space="0" w:color="auto"/>
            <w:bottom w:val="none" w:sz="0" w:space="0" w:color="auto"/>
            <w:right w:val="none" w:sz="0" w:space="0" w:color="auto"/>
          </w:divBdr>
          <w:divsChild>
            <w:div w:id="517235404">
              <w:marLeft w:val="0"/>
              <w:marRight w:val="0"/>
              <w:marTop w:val="0"/>
              <w:marBottom w:val="0"/>
              <w:divBdr>
                <w:top w:val="none" w:sz="0" w:space="0" w:color="auto"/>
                <w:left w:val="none" w:sz="0" w:space="0" w:color="auto"/>
                <w:bottom w:val="none" w:sz="0" w:space="0" w:color="auto"/>
                <w:right w:val="none" w:sz="0" w:space="0" w:color="auto"/>
              </w:divBdr>
              <w:divsChild>
                <w:div w:id="11296669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58856572">
      <w:bodyDiv w:val="1"/>
      <w:marLeft w:val="0"/>
      <w:marRight w:val="0"/>
      <w:marTop w:val="0"/>
      <w:marBottom w:val="0"/>
      <w:divBdr>
        <w:top w:val="none" w:sz="0" w:space="0" w:color="auto"/>
        <w:left w:val="none" w:sz="0" w:space="0" w:color="auto"/>
        <w:bottom w:val="none" w:sz="0" w:space="0" w:color="auto"/>
        <w:right w:val="none" w:sz="0" w:space="0" w:color="auto"/>
      </w:divBdr>
    </w:div>
    <w:div w:id="581912312">
      <w:bodyDiv w:val="1"/>
      <w:marLeft w:val="0"/>
      <w:marRight w:val="0"/>
      <w:marTop w:val="0"/>
      <w:marBottom w:val="0"/>
      <w:divBdr>
        <w:top w:val="none" w:sz="0" w:space="0" w:color="auto"/>
        <w:left w:val="none" w:sz="0" w:space="0" w:color="auto"/>
        <w:bottom w:val="none" w:sz="0" w:space="0" w:color="auto"/>
        <w:right w:val="none" w:sz="0" w:space="0" w:color="auto"/>
      </w:divBdr>
    </w:div>
    <w:div w:id="592931942">
      <w:bodyDiv w:val="1"/>
      <w:marLeft w:val="0"/>
      <w:marRight w:val="0"/>
      <w:marTop w:val="0"/>
      <w:marBottom w:val="0"/>
      <w:divBdr>
        <w:top w:val="none" w:sz="0" w:space="0" w:color="auto"/>
        <w:left w:val="none" w:sz="0" w:space="0" w:color="auto"/>
        <w:bottom w:val="none" w:sz="0" w:space="0" w:color="auto"/>
        <w:right w:val="none" w:sz="0" w:space="0" w:color="auto"/>
      </w:divBdr>
    </w:div>
    <w:div w:id="594438652">
      <w:bodyDiv w:val="1"/>
      <w:marLeft w:val="0"/>
      <w:marRight w:val="0"/>
      <w:marTop w:val="0"/>
      <w:marBottom w:val="0"/>
      <w:divBdr>
        <w:top w:val="none" w:sz="0" w:space="0" w:color="auto"/>
        <w:left w:val="none" w:sz="0" w:space="0" w:color="auto"/>
        <w:bottom w:val="none" w:sz="0" w:space="0" w:color="auto"/>
        <w:right w:val="none" w:sz="0" w:space="0" w:color="auto"/>
      </w:divBdr>
    </w:div>
    <w:div w:id="624509627">
      <w:bodyDiv w:val="1"/>
      <w:marLeft w:val="0"/>
      <w:marRight w:val="0"/>
      <w:marTop w:val="0"/>
      <w:marBottom w:val="0"/>
      <w:divBdr>
        <w:top w:val="none" w:sz="0" w:space="0" w:color="auto"/>
        <w:left w:val="none" w:sz="0" w:space="0" w:color="auto"/>
        <w:bottom w:val="none" w:sz="0" w:space="0" w:color="auto"/>
        <w:right w:val="none" w:sz="0" w:space="0" w:color="auto"/>
      </w:divBdr>
    </w:div>
    <w:div w:id="670253198">
      <w:bodyDiv w:val="1"/>
      <w:marLeft w:val="0"/>
      <w:marRight w:val="0"/>
      <w:marTop w:val="0"/>
      <w:marBottom w:val="0"/>
      <w:divBdr>
        <w:top w:val="none" w:sz="0" w:space="0" w:color="auto"/>
        <w:left w:val="none" w:sz="0" w:space="0" w:color="auto"/>
        <w:bottom w:val="none" w:sz="0" w:space="0" w:color="auto"/>
        <w:right w:val="none" w:sz="0" w:space="0" w:color="auto"/>
      </w:divBdr>
    </w:div>
    <w:div w:id="749424935">
      <w:bodyDiv w:val="1"/>
      <w:marLeft w:val="0"/>
      <w:marRight w:val="0"/>
      <w:marTop w:val="0"/>
      <w:marBottom w:val="0"/>
      <w:divBdr>
        <w:top w:val="none" w:sz="0" w:space="0" w:color="auto"/>
        <w:left w:val="none" w:sz="0" w:space="0" w:color="auto"/>
        <w:bottom w:val="none" w:sz="0" w:space="0" w:color="auto"/>
        <w:right w:val="none" w:sz="0" w:space="0" w:color="auto"/>
      </w:divBdr>
    </w:div>
    <w:div w:id="778722236">
      <w:bodyDiv w:val="1"/>
      <w:marLeft w:val="0"/>
      <w:marRight w:val="0"/>
      <w:marTop w:val="0"/>
      <w:marBottom w:val="0"/>
      <w:divBdr>
        <w:top w:val="none" w:sz="0" w:space="0" w:color="auto"/>
        <w:left w:val="none" w:sz="0" w:space="0" w:color="auto"/>
        <w:bottom w:val="none" w:sz="0" w:space="0" w:color="auto"/>
        <w:right w:val="none" w:sz="0" w:space="0" w:color="auto"/>
      </w:divBdr>
      <w:divsChild>
        <w:div w:id="761953070">
          <w:marLeft w:val="0"/>
          <w:marRight w:val="0"/>
          <w:marTop w:val="0"/>
          <w:marBottom w:val="0"/>
          <w:divBdr>
            <w:top w:val="none" w:sz="0" w:space="0" w:color="auto"/>
            <w:left w:val="none" w:sz="0" w:space="0" w:color="auto"/>
            <w:bottom w:val="none" w:sz="0" w:space="0" w:color="auto"/>
            <w:right w:val="none" w:sz="0" w:space="0" w:color="auto"/>
          </w:divBdr>
          <w:divsChild>
            <w:div w:id="1827745700">
              <w:marLeft w:val="0"/>
              <w:marRight w:val="0"/>
              <w:marTop w:val="0"/>
              <w:marBottom w:val="0"/>
              <w:divBdr>
                <w:top w:val="none" w:sz="0" w:space="0" w:color="auto"/>
                <w:left w:val="none" w:sz="0" w:space="0" w:color="auto"/>
                <w:bottom w:val="none" w:sz="0" w:space="0" w:color="auto"/>
                <w:right w:val="none" w:sz="0" w:space="0" w:color="auto"/>
              </w:divBdr>
              <w:divsChild>
                <w:div w:id="199185849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89738660">
      <w:bodyDiv w:val="1"/>
      <w:marLeft w:val="0"/>
      <w:marRight w:val="0"/>
      <w:marTop w:val="0"/>
      <w:marBottom w:val="0"/>
      <w:divBdr>
        <w:top w:val="none" w:sz="0" w:space="0" w:color="auto"/>
        <w:left w:val="none" w:sz="0" w:space="0" w:color="auto"/>
        <w:bottom w:val="none" w:sz="0" w:space="0" w:color="auto"/>
        <w:right w:val="none" w:sz="0" w:space="0" w:color="auto"/>
      </w:divBdr>
      <w:divsChild>
        <w:div w:id="946690963">
          <w:marLeft w:val="0"/>
          <w:marRight w:val="0"/>
          <w:marTop w:val="0"/>
          <w:marBottom w:val="0"/>
          <w:divBdr>
            <w:top w:val="none" w:sz="0" w:space="0" w:color="auto"/>
            <w:left w:val="none" w:sz="0" w:space="0" w:color="auto"/>
            <w:bottom w:val="none" w:sz="0" w:space="0" w:color="auto"/>
            <w:right w:val="none" w:sz="0" w:space="0" w:color="auto"/>
          </w:divBdr>
          <w:divsChild>
            <w:div w:id="399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8634">
      <w:bodyDiv w:val="1"/>
      <w:marLeft w:val="0"/>
      <w:marRight w:val="0"/>
      <w:marTop w:val="0"/>
      <w:marBottom w:val="0"/>
      <w:divBdr>
        <w:top w:val="none" w:sz="0" w:space="0" w:color="auto"/>
        <w:left w:val="none" w:sz="0" w:space="0" w:color="auto"/>
        <w:bottom w:val="none" w:sz="0" w:space="0" w:color="auto"/>
        <w:right w:val="none" w:sz="0" w:space="0" w:color="auto"/>
      </w:divBdr>
    </w:div>
    <w:div w:id="1004749246">
      <w:bodyDiv w:val="1"/>
      <w:marLeft w:val="0"/>
      <w:marRight w:val="0"/>
      <w:marTop w:val="0"/>
      <w:marBottom w:val="0"/>
      <w:divBdr>
        <w:top w:val="none" w:sz="0" w:space="0" w:color="auto"/>
        <w:left w:val="none" w:sz="0" w:space="0" w:color="auto"/>
        <w:bottom w:val="none" w:sz="0" w:space="0" w:color="auto"/>
        <w:right w:val="none" w:sz="0" w:space="0" w:color="auto"/>
      </w:divBdr>
    </w:div>
    <w:div w:id="1039622670">
      <w:bodyDiv w:val="1"/>
      <w:marLeft w:val="0"/>
      <w:marRight w:val="0"/>
      <w:marTop w:val="0"/>
      <w:marBottom w:val="0"/>
      <w:divBdr>
        <w:top w:val="none" w:sz="0" w:space="0" w:color="auto"/>
        <w:left w:val="none" w:sz="0" w:space="0" w:color="auto"/>
        <w:bottom w:val="none" w:sz="0" w:space="0" w:color="auto"/>
        <w:right w:val="none" w:sz="0" w:space="0" w:color="auto"/>
      </w:divBdr>
    </w:div>
    <w:div w:id="1044253275">
      <w:bodyDiv w:val="1"/>
      <w:marLeft w:val="0"/>
      <w:marRight w:val="0"/>
      <w:marTop w:val="0"/>
      <w:marBottom w:val="0"/>
      <w:divBdr>
        <w:top w:val="none" w:sz="0" w:space="0" w:color="auto"/>
        <w:left w:val="none" w:sz="0" w:space="0" w:color="auto"/>
        <w:bottom w:val="none" w:sz="0" w:space="0" w:color="auto"/>
        <w:right w:val="none" w:sz="0" w:space="0" w:color="auto"/>
      </w:divBdr>
    </w:div>
    <w:div w:id="1103259604">
      <w:bodyDiv w:val="1"/>
      <w:marLeft w:val="0"/>
      <w:marRight w:val="0"/>
      <w:marTop w:val="0"/>
      <w:marBottom w:val="0"/>
      <w:divBdr>
        <w:top w:val="none" w:sz="0" w:space="0" w:color="auto"/>
        <w:left w:val="none" w:sz="0" w:space="0" w:color="auto"/>
        <w:bottom w:val="none" w:sz="0" w:space="0" w:color="auto"/>
        <w:right w:val="none" w:sz="0" w:space="0" w:color="auto"/>
      </w:divBdr>
    </w:div>
    <w:div w:id="1153176521">
      <w:bodyDiv w:val="1"/>
      <w:marLeft w:val="0"/>
      <w:marRight w:val="0"/>
      <w:marTop w:val="0"/>
      <w:marBottom w:val="0"/>
      <w:divBdr>
        <w:top w:val="none" w:sz="0" w:space="0" w:color="auto"/>
        <w:left w:val="none" w:sz="0" w:space="0" w:color="auto"/>
        <w:bottom w:val="none" w:sz="0" w:space="0" w:color="auto"/>
        <w:right w:val="none" w:sz="0" w:space="0" w:color="auto"/>
      </w:divBdr>
    </w:div>
    <w:div w:id="1229997282">
      <w:bodyDiv w:val="1"/>
      <w:marLeft w:val="0"/>
      <w:marRight w:val="0"/>
      <w:marTop w:val="0"/>
      <w:marBottom w:val="0"/>
      <w:divBdr>
        <w:top w:val="none" w:sz="0" w:space="0" w:color="auto"/>
        <w:left w:val="none" w:sz="0" w:space="0" w:color="auto"/>
        <w:bottom w:val="none" w:sz="0" w:space="0" w:color="auto"/>
        <w:right w:val="none" w:sz="0" w:space="0" w:color="auto"/>
      </w:divBdr>
    </w:div>
    <w:div w:id="1257901378">
      <w:bodyDiv w:val="1"/>
      <w:marLeft w:val="0"/>
      <w:marRight w:val="0"/>
      <w:marTop w:val="0"/>
      <w:marBottom w:val="0"/>
      <w:divBdr>
        <w:top w:val="none" w:sz="0" w:space="0" w:color="auto"/>
        <w:left w:val="none" w:sz="0" w:space="0" w:color="auto"/>
        <w:bottom w:val="none" w:sz="0" w:space="0" w:color="auto"/>
        <w:right w:val="none" w:sz="0" w:space="0" w:color="auto"/>
      </w:divBdr>
    </w:div>
    <w:div w:id="1275164553">
      <w:bodyDiv w:val="1"/>
      <w:marLeft w:val="0"/>
      <w:marRight w:val="0"/>
      <w:marTop w:val="0"/>
      <w:marBottom w:val="0"/>
      <w:divBdr>
        <w:top w:val="none" w:sz="0" w:space="0" w:color="auto"/>
        <w:left w:val="none" w:sz="0" w:space="0" w:color="auto"/>
        <w:bottom w:val="none" w:sz="0" w:space="0" w:color="auto"/>
        <w:right w:val="none" w:sz="0" w:space="0" w:color="auto"/>
      </w:divBdr>
    </w:div>
    <w:div w:id="1299192271">
      <w:bodyDiv w:val="1"/>
      <w:marLeft w:val="0"/>
      <w:marRight w:val="0"/>
      <w:marTop w:val="0"/>
      <w:marBottom w:val="0"/>
      <w:divBdr>
        <w:top w:val="none" w:sz="0" w:space="0" w:color="auto"/>
        <w:left w:val="none" w:sz="0" w:space="0" w:color="auto"/>
        <w:bottom w:val="none" w:sz="0" w:space="0" w:color="auto"/>
        <w:right w:val="none" w:sz="0" w:space="0" w:color="auto"/>
      </w:divBdr>
    </w:div>
    <w:div w:id="1375304143">
      <w:bodyDiv w:val="1"/>
      <w:marLeft w:val="0"/>
      <w:marRight w:val="0"/>
      <w:marTop w:val="0"/>
      <w:marBottom w:val="0"/>
      <w:divBdr>
        <w:top w:val="none" w:sz="0" w:space="0" w:color="auto"/>
        <w:left w:val="none" w:sz="0" w:space="0" w:color="auto"/>
        <w:bottom w:val="none" w:sz="0" w:space="0" w:color="auto"/>
        <w:right w:val="none" w:sz="0" w:space="0" w:color="auto"/>
      </w:divBdr>
    </w:div>
    <w:div w:id="1408960306">
      <w:bodyDiv w:val="1"/>
      <w:marLeft w:val="0"/>
      <w:marRight w:val="0"/>
      <w:marTop w:val="0"/>
      <w:marBottom w:val="0"/>
      <w:divBdr>
        <w:top w:val="none" w:sz="0" w:space="0" w:color="auto"/>
        <w:left w:val="none" w:sz="0" w:space="0" w:color="auto"/>
        <w:bottom w:val="none" w:sz="0" w:space="0" w:color="auto"/>
        <w:right w:val="none" w:sz="0" w:space="0" w:color="auto"/>
      </w:divBdr>
    </w:div>
    <w:div w:id="1421676449">
      <w:bodyDiv w:val="1"/>
      <w:marLeft w:val="0"/>
      <w:marRight w:val="0"/>
      <w:marTop w:val="0"/>
      <w:marBottom w:val="0"/>
      <w:divBdr>
        <w:top w:val="none" w:sz="0" w:space="0" w:color="auto"/>
        <w:left w:val="none" w:sz="0" w:space="0" w:color="auto"/>
        <w:bottom w:val="none" w:sz="0" w:space="0" w:color="auto"/>
        <w:right w:val="none" w:sz="0" w:space="0" w:color="auto"/>
      </w:divBdr>
      <w:divsChild>
        <w:div w:id="1369837695">
          <w:marLeft w:val="0"/>
          <w:marRight w:val="0"/>
          <w:marTop w:val="0"/>
          <w:marBottom w:val="0"/>
          <w:divBdr>
            <w:top w:val="none" w:sz="0" w:space="0" w:color="auto"/>
            <w:left w:val="none" w:sz="0" w:space="0" w:color="auto"/>
            <w:bottom w:val="none" w:sz="0" w:space="0" w:color="auto"/>
            <w:right w:val="none" w:sz="0" w:space="0" w:color="auto"/>
          </w:divBdr>
          <w:divsChild>
            <w:div w:id="1613436178">
              <w:marLeft w:val="0"/>
              <w:marRight w:val="0"/>
              <w:marTop w:val="0"/>
              <w:marBottom w:val="0"/>
              <w:divBdr>
                <w:top w:val="none" w:sz="0" w:space="0" w:color="auto"/>
                <w:left w:val="none" w:sz="0" w:space="0" w:color="auto"/>
                <w:bottom w:val="none" w:sz="0" w:space="0" w:color="auto"/>
                <w:right w:val="none" w:sz="0" w:space="0" w:color="auto"/>
              </w:divBdr>
              <w:divsChild>
                <w:div w:id="17350028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41163145">
      <w:bodyDiv w:val="1"/>
      <w:marLeft w:val="0"/>
      <w:marRight w:val="0"/>
      <w:marTop w:val="0"/>
      <w:marBottom w:val="0"/>
      <w:divBdr>
        <w:top w:val="none" w:sz="0" w:space="0" w:color="auto"/>
        <w:left w:val="none" w:sz="0" w:space="0" w:color="auto"/>
        <w:bottom w:val="none" w:sz="0" w:space="0" w:color="auto"/>
        <w:right w:val="none" w:sz="0" w:space="0" w:color="auto"/>
      </w:divBdr>
    </w:div>
    <w:div w:id="1650205931">
      <w:bodyDiv w:val="1"/>
      <w:marLeft w:val="0"/>
      <w:marRight w:val="0"/>
      <w:marTop w:val="0"/>
      <w:marBottom w:val="0"/>
      <w:divBdr>
        <w:top w:val="none" w:sz="0" w:space="0" w:color="auto"/>
        <w:left w:val="none" w:sz="0" w:space="0" w:color="auto"/>
        <w:bottom w:val="none" w:sz="0" w:space="0" w:color="auto"/>
        <w:right w:val="none" w:sz="0" w:space="0" w:color="auto"/>
      </w:divBdr>
    </w:div>
    <w:div w:id="1682201375">
      <w:bodyDiv w:val="1"/>
      <w:marLeft w:val="0"/>
      <w:marRight w:val="0"/>
      <w:marTop w:val="0"/>
      <w:marBottom w:val="0"/>
      <w:divBdr>
        <w:top w:val="none" w:sz="0" w:space="0" w:color="auto"/>
        <w:left w:val="none" w:sz="0" w:space="0" w:color="auto"/>
        <w:bottom w:val="none" w:sz="0" w:space="0" w:color="auto"/>
        <w:right w:val="none" w:sz="0" w:space="0" w:color="auto"/>
      </w:divBdr>
    </w:div>
    <w:div w:id="1765758648">
      <w:bodyDiv w:val="1"/>
      <w:marLeft w:val="0"/>
      <w:marRight w:val="0"/>
      <w:marTop w:val="0"/>
      <w:marBottom w:val="0"/>
      <w:divBdr>
        <w:top w:val="none" w:sz="0" w:space="0" w:color="auto"/>
        <w:left w:val="none" w:sz="0" w:space="0" w:color="auto"/>
        <w:bottom w:val="none" w:sz="0" w:space="0" w:color="auto"/>
        <w:right w:val="none" w:sz="0" w:space="0" w:color="auto"/>
      </w:divBdr>
    </w:div>
    <w:div w:id="1852984034">
      <w:bodyDiv w:val="1"/>
      <w:marLeft w:val="0"/>
      <w:marRight w:val="0"/>
      <w:marTop w:val="0"/>
      <w:marBottom w:val="0"/>
      <w:divBdr>
        <w:top w:val="none" w:sz="0" w:space="0" w:color="auto"/>
        <w:left w:val="none" w:sz="0" w:space="0" w:color="auto"/>
        <w:bottom w:val="none" w:sz="0" w:space="0" w:color="auto"/>
        <w:right w:val="none" w:sz="0" w:space="0" w:color="auto"/>
      </w:divBdr>
    </w:div>
    <w:div w:id="1876195768">
      <w:bodyDiv w:val="1"/>
      <w:marLeft w:val="0"/>
      <w:marRight w:val="0"/>
      <w:marTop w:val="0"/>
      <w:marBottom w:val="0"/>
      <w:divBdr>
        <w:top w:val="none" w:sz="0" w:space="0" w:color="auto"/>
        <w:left w:val="none" w:sz="0" w:space="0" w:color="auto"/>
        <w:bottom w:val="none" w:sz="0" w:space="0" w:color="auto"/>
        <w:right w:val="none" w:sz="0" w:space="0" w:color="auto"/>
      </w:divBdr>
    </w:div>
    <w:div w:id="1893886703">
      <w:bodyDiv w:val="1"/>
      <w:marLeft w:val="0"/>
      <w:marRight w:val="0"/>
      <w:marTop w:val="0"/>
      <w:marBottom w:val="0"/>
      <w:divBdr>
        <w:top w:val="none" w:sz="0" w:space="0" w:color="auto"/>
        <w:left w:val="none" w:sz="0" w:space="0" w:color="auto"/>
        <w:bottom w:val="none" w:sz="0" w:space="0" w:color="auto"/>
        <w:right w:val="none" w:sz="0" w:space="0" w:color="auto"/>
      </w:divBdr>
    </w:div>
    <w:div w:id="1944143832">
      <w:bodyDiv w:val="1"/>
      <w:marLeft w:val="0"/>
      <w:marRight w:val="0"/>
      <w:marTop w:val="0"/>
      <w:marBottom w:val="0"/>
      <w:divBdr>
        <w:top w:val="none" w:sz="0" w:space="0" w:color="auto"/>
        <w:left w:val="none" w:sz="0" w:space="0" w:color="auto"/>
        <w:bottom w:val="none" w:sz="0" w:space="0" w:color="auto"/>
        <w:right w:val="none" w:sz="0" w:space="0" w:color="auto"/>
      </w:divBdr>
      <w:divsChild>
        <w:div w:id="2035575401">
          <w:marLeft w:val="0"/>
          <w:marRight w:val="0"/>
          <w:marTop w:val="0"/>
          <w:marBottom w:val="0"/>
          <w:divBdr>
            <w:top w:val="none" w:sz="0" w:space="0" w:color="auto"/>
            <w:left w:val="none" w:sz="0" w:space="0" w:color="auto"/>
            <w:bottom w:val="none" w:sz="0" w:space="0" w:color="auto"/>
            <w:right w:val="none" w:sz="0" w:space="0" w:color="auto"/>
          </w:divBdr>
          <w:divsChild>
            <w:div w:id="1657225981">
              <w:marLeft w:val="0"/>
              <w:marRight w:val="0"/>
              <w:marTop w:val="0"/>
              <w:marBottom w:val="0"/>
              <w:divBdr>
                <w:top w:val="none" w:sz="0" w:space="0" w:color="auto"/>
                <w:left w:val="none" w:sz="0" w:space="0" w:color="auto"/>
                <w:bottom w:val="none" w:sz="0" w:space="0" w:color="auto"/>
                <w:right w:val="none" w:sz="0" w:space="0" w:color="auto"/>
              </w:divBdr>
              <w:divsChild>
                <w:div w:id="16653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25303">
      <w:bodyDiv w:val="1"/>
      <w:marLeft w:val="0"/>
      <w:marRight w:val="0"/>
      <w:marTop w:val="0"/>
      <w:marBottom w:val="0"/>
      <w:divBdr>
        <w:top w:val="none" w:sz="0" w:space="0" w:color="auto"/>
        <w:left w:val="none" w:sz="0" w:space="0" w:color="auto"/>
        <w:bottom w:val="none" w:sz="0" w:space="0" w:color="auto"/>
        <w:right w:val="none" w:sz="0" w:space="0" w:color="auto"/>
      </w:divBdr>
    </w:div>
    <w:div w:id="1971354212">
      <w:bodyDiv w:val="1"/>
      <w:marLeft w:val="0"/>
      <w:marRight w:val="0"/>
      <w:marTop w:val="0"/>
      <w:marBottom w:val="0"/>
      <w:divBdr>
        <w:top w:val="none" w:sz="0" w:space="0" w:color="auto"/>
        <w:left w:val="none" w:sz="0" w:space="0" w:color="auto"/>
        <w:bottom w:val="none" w:sz="0" w:space="0" w:color="auto"/>
        <w:right w:val="none" w:sz="0" w:space="0" w:color="auto"/>
      </w:divBdr>
      <w:divsChild>
        <w:div w:id="707990269">
          <w:marLeft w:val="0"/>
          <w:marRight w:val="0"/>
          <w:marTop w:val="0"/>
          <w:marBottom w:val="0"/>
          <w:divBdr>
            <w:top w:val="none" w:sz="0" w:space="0" w:color="auto"/>
            <w:left w:val="none" w:sz="0" w:space="0" w:color="auto"/>
            <w:bottom w:val="none" w:sz="0" w:space="0" w:color="auto"/>
            <w:right w:val="none" w:sz="0" w:space="0" w:color="auto"/>
          </w:divBdr>
          <w:divsChild>
            <w:div w:id="965164668">
              <w:marLeft w:val="0"/>
              <w:marRight w:val="0"/>
              <w:marTop w:val="0"/>
              <w:marBottom w:val="0"/>
              <w:divBdr>
                <w:top w:val="none" w:sz="0" w:space="0" w:color="auto"/>
                <w:left w:val="none" w:sz="0" w:space="0" w:color="auto"/>
                <w:bottom w:val="none" w:sz="0" w:space="0" w:color="auto"/>
                <w:right w:val="none" w:sz="0" w:space="0" w:color="auto"/>
              </w:divBdr>
              <w:divsChild>
                <w:div w:id="127182163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99188277">
      <w:bodyDiv w:val="1"/>
      <w:marLeft w:val="0"/>
      <w:marRight w:val="0"/>
      <w:marTop w:val="0"/>
      <w:marBottom w:val="0"/>
      <w:divBdr>
        <w:top w:val="none" w:sz="0" w:space="0" w:color="auto"/>
        <w:left w:val="none" w:sz="0" w:space="0" w:color="auto"/>
        <w:bottom w:val="none" w:sz="0" w:space="0" w:color="auto"/>
        <w:right w:val="none" w:sz="0" w:space="0" w:color="auto"/>
      </w:divBdr>
    </w:div>
    <w:div w:id="2031761460">
      <w:bodyDiv w:val="1"/>
      <w:marLeft w:val="0"/>
      <w:marRight w:val="0"/>
      <w:marTop w:val="0"/>
      <w:marBottom w:val="0"/>
      <w:divBdr>
        <w:top w:val="none" w:sz="0" w:space="0" w:color="auto"/>
        <w:left w:val="none" w:sz="0" w:space="0" w:color="auto"/>
        <w:bottom w:val="none" w:sz="0" w:space="0" w:color="auto"/>
        <w:right w:val="none" w:sz="0" w:space="0" w:color="auto"/>
      </w:divBdr>
    </w:div>
    <w:div w:id="2074422184">
      <w:bodyDiv w:val="1"/>
      <w:marLeft w:val="0"/>
      <w:marRight w:val="0"/>
      <w:marTop w:val="0"/>
      <w:marBottom w:val="0"/>
      <w:divBdr>
        <w:top w:val="none" w:sz="0" w:space="0" w:color="auto"/>
        <w:left w:val="none" w:sz="0" w:space="0" w:color="auto"/>
        <w:bottom w:val="none" w:sz="0" w:space="0" w:color="auto"/>
        <w:right w:val="none" w:sz="0" w:space="0" w:color="auto"/>
      </w:divBdr>
    </w:div>
    <w:div w:id="2084720190">
      <w:bodyDiv w:val="1"/>
      <w:marLeft w:val="0"/>
      <w:marRight w:val="0"/>
      <w:marTop w:val="0"/>
      <w:marBottom w:val="0"/>
      <w:divBdr>
        <w:top w:val="none" w:sz="0" w:space="0" w:color="auto"/>
        <w:left w:val="none" w:sz="0" w:space="0" w:color="auto"/>
        <w:bottom w:val="none" w:sz="0" w:space="0" w:color="auto"/>
        <w:right w:val="none" w:sz="0" w:space="0" w:color="auto"/>
      </w:divBdr>
    </w:div>
    <w:div w:id="2087190751">
      <w:bodyDiv w:val="1"/>
      <w:marLeft w:val="0"/>
      <w:marRight w:val="0"/>
      <w:marTop w:val="0"/>
      <w:marBottom w:val="0"/>
      <w:divBdr>
        <w:top w:val="none" w:sz="0" w:space="0" w:color="auto"/>
        <w:left w:val="none" w:sz="0" w:space="0" w:color="auto"/>
        <w:bottom w:val="none" w:sz="0" w:space="0" w:color="auto"/>
        <w:right w:val="none" w:sz="0" w:space="0" w:color="auto"/>
      </w:divBdr>
    </w:div>
    <w:div w:id="2089881172">
      <w:bodyDiv w:val="1"/>
      <w:marLeft w:val="0"/>
      <w:marRight w:val="0"/>
      <w:marTop w:val="0"/>
      <w:marBottom w:val="0"/>
      <w:divBdr>
        <w:top w:val="none" w:sz="0" w:space="0" w:color="auto"/>
        <w:left w:val="none" w:sz="0" w:space="0" w:color="auto"/>
        <w:bottom w:val="none" w:sz="0" w:space="0" w:color="auto"/>
        <w:right w:val="none" w:sz="0" w:space="0" w:color="auto"/>
      </w:divBdr>
    </w:div>
    <w:div w:id="2128887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esi">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lnDef>
      <a:spPr>
        <a:ln w="12700">
          <a:solidFill>
            <a:schemeClr val="tx1"/>
          </a:solidFill>
          <a:tailEnd type="arrow"/>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B3667-56C4-4476-8C5C-34574C8F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6738</Words>
  <Characters>38407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Title</vt:lpstr>
    </vt:vector>
  </TitlesOfParts>
  <Company>London School of Hygiene &amp; Tropical Medicine</Company>
  <LinksUpToDate>false</LinksUpToDate>
  <CharactersWithSpaces>45055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James Haddow</dc:creator>
  <cp:lastModifiedBy>染奇</cp:lastModifiedBy>
  <cp:revision>7</cp:revision>
  <cp:lastPrinted>2019-04-17T04:24:00Z</cp:lastPrinted>
  <dcterms:created xsi:type="dcterms:W3CDTF">2019-10-18T21:51:00Z</dcterms:created>
  <dcterms:modified xsi:type="dcterms:W3CDTF">2019-11-08T07:00:00Z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id="fA8mcbWa"/&gt;&lt;style id="http://www.zotero.org/styles/baishideng-vancouver" locale="en-GB" hasBibliography="1" bibliographyStyleHasBeenSet="1"/&gt;&lt;prefs&gt;&lt;pref name="fieldType" value="Field"/&gt;&lt;pref nam</vt:lpwstr>
  </property>
  <property fmtid="{D5CDD505-2E9C-101B-9397-08002B2CF9AE}" pid="3" name="ZOTERO_PREF_2">
    <vt:lpwstr>e="automaticJournalAbbreviations" value="true"/&gt;&lt;pref name="dontAskDelayCitationUpdates" value="true"/&gt;&lt;/prefs&gt;&lt;/data&gt;</vt:lpwstr>
  </property>
</Properties>
</file>