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348B21" w14:textId="77777777" w:rsidR="00C51843" w:rsidRPr="00C51843" w:rsidRDefault="00C51843" w:rsidP="00C51843">
      <w:pPr>
        <w:widowControl/>
        <w:spacing w:line="360" w:lineRule="auto"/>
        <w:rPr>
          <w:rFonts w:ascii="Book Antiqua" w:hAnsi="Book Antiqua"/>
          <w:b/>
          <w:color w:val="000000"/>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73"/>
      <w:bookmarkStart w:id="12" w:name="OLE_LINK3"/>
      <w:bookmarkStart w:id="13" w:name="OLE_LINK4"/>
      <w:bookmarkStart w:id="14" w:name="OLE_LINK106"/>
      <w:bookmarkStart w:id="15" w:name="OLE_LINK91"/>
      <w:bookmarkStart w:id="16" w:name="OLE_LINK113"/>
      <w:bookmarkStart w:id="17" w:name="OLE_LINK30"/>
      <w:r w:rsidRPr="00C51843">
        <w:rPr>
          <w:rFonts w:ascii="Book Antiqua" w:hAnsi="Book Antiqua"/>
          <w:b/>
          <w:color w:val="000000"/>
          <w:kern w:val="0"/>
          <w:sz w:val="24"/>
          <w:szCs w:val="24"/>
          <w:highlight w:val="white"/>
        </w:rPr>
        <w:t xml:space="preserve">Name of </w:t>
      </w:r>
      <w:r w:rsidRPr="00C51843">
        <w:rPr>
          <w:rFonts w:ascii="Book Antiqua" w:hAnsi="Book Antiqua"/>
          <w:b/>
          <w:caps/>
          <w:color w:val="000000"/>
          <w:kern w:val="0"/>
          <w:sz w:val="24"/>
          <w:szCs w:val="24"/>
          <w:highlight w:val="white"/>
        </w:rPr>
        <w:t>j</w:t>
      </w:r>
      <w:r w:rsidRPr="00C51843">
        <w:rPr>
          <w:rFonts w:ascii="Book Antiqua" w:hAnsi="Book Antiqua"/>
          <w:b/>
          <w:color w:val="000000"/>
          <w:kern w:val="0"/>
          <w:sz w:val="24"/>
          <w:szCs w:val="24"/>
          <w:highlight w:val="white"/>
        </w:rPr>
        <w:t xml:space="preserve">ournal: </w:t>
      </w:r>
      <w:bookmarkStart w:id="18" w:name="OLE_LINK718"/>
      <w:bookmarkStart w:id="19" w:name="OLE_LINK719"/>
      <w:r w:rsidRPr="00C51843">
        <w:rPr>
          <w:rFonts w:ascii="Book Antiqua" w:hAnsi="Book Antiqua"/>
          <w:b/>
          <w:i/>
          <w:color w:val="000000"/>
          <w:kern w:val="0"/>
          <w:sz w:val="24"/>
          <w:szCs w:val="24"/>
          <w:highlight w:val="white"/>
        </w:rPr>
        <w:t>World Journal of Gastroenterology</w:t>
      </w:r>
      <w:bookmarkEnd w:id="18"/>
      <w:bookmarkEnd w:id="19"/>
    </w:p>
    <w:p w14:paraId="4BCA2F7B" w14:textId="765DB2AB" w:rsidR="00C51843" w:rsidRPr="00C51843" w:rsidRDefault="00C51843" w:rsidP="00C51843">
      <w:pPr>
        <w:widowControl/>
        <w:spacing w:line="360" w:lineRule="auto"/>
        <w:rPr>
          <w:rFonts w:ascii="Book Antiqua" w:hAnsi="Book Antiqua"/>
          <w:b/>
          <w:i/>
          <w:color w:val="000000"/>
          <w:kern w:val="0"/>
          <w:sz w:val="24"/>
          <w:szCs w:val="24"/>
          <w:highlight w:val="white"/>
        </w:rPr>
      </w:pPr>
      <w:bookmarkStart w:id="20" w:name="OLE_LINK485"/>
      <w:bookmarkStart w:id="21" w:name="OLE_LINK486"/>
      <w:bookmarkStart w:id="22" w:name="OLE_LINK661"/>
      <w:bookmarkStart w:id="23" w:name="OLE_LINK768"/>
      <w:bookmarkStart w:id="24" w:name="OLE_LINK514"/>
      <w:bookmarkStart w:id="25" w:name="OLE_LINK515"/>
      <w:r w:rsidRPr="00C51843">
        <w:rPr>
          <w:rFonts w:ascii="Book Antiqua" w:hAnsi="Book Antiqua"/>
          <w:b/>
          <w:color w:val="000000"/>
          <w:kern w:val="0"/>
          <w:sz w:val="24"/>
          <w:szCs w:val="24"/>
          <w:highlight w:val="white"/>
        </w:rPr>
        <w:t>Manuscript NO:</w:t>
      </w:r>
      <w:bookmarkEnd w:id="20"/>
      <w:bookmarkEnd w:id="21"/>
      <w:bookmarkEnd w:id="22"/>
      <w:bookmarkEnd w:id="23"/>
      <w:r w:rsidRPr="00C51843">
        <w:rPr>
          <w:rFonts w:ascii="Book Antiqua" w:hAnsi="Book Antiqua"/>
          <w:b/>
          <w:color w:val="000000"/>
          <w:kern w:val="0"/>
          <w:sz w:val="24"/>
          <w:szCs w:val="24"/>
          <w:highlight w:val="white"/>
        </w:rPr>
        <w:t xml:space="preserve"> </w:t>
      </w:r>
      <w:r>
        <w:rPr>
          <w:rFonts w:ascii="Book Antiqua" w:hAnsi="Book Antiqua"/>
          <w:b/>
          <w:color w:val="000000"/>
          <w:kern w:val="0"/>
          <w:sz w:val="24"/>
          <w:szCs w:val="24"/>
        </w:rPr>
        <w:t>48242</w:t>
      </w:r>
    </w:p>
    <w:bookmarkEnd w:id="24"/>
    <w:bookmarkEnd w:id="25"/>
    <w:p w14:paraId="268C5EE3" w14:textId="77777777" w:rsidR="00C51843" w:rsidRPr="00C51843" w:rsidRDefault="00C51843" w:rsidP="00C51843">
      <w:pPr>
        <w:widowControl/>
        <w:spacing w:line="360" w:lineRule="auto"/>
        <w:rPr>
          <w:rFonts w:ascii="Book Antiqua" w:hAnsi="Book Antiqua"/>
          <w:b/>
          <w:color w:val="000000"/>
          <w:kern w:val="0"/>
          <w:sz w:val="24"/>
          <w:szCs w:val="24"/>
        </w:rPr>
      </w:pPr>
      <w:r w:rsidRPr="00C51843">
        <w:rPr>
          <w:rFonts w:ascii="Book Antiqua" w:hAnsi="Book Antiqua"/>
          <w:b/>
          <w:color w:val="000000"/>
          <w:kern w:val="0"/>
          <w:sz w:val="24"/>
          <w:szCs w:val="24"/>
          <w:highlight w:val="white"/>
        </w:rPr>
        <w:t xml:space="preserve">Manuscript </w:t>
      </w:r>
      <w:r w:rsidRPr="00C51843">
        <w:rPr>
          <w:rFonts w:ascii="Book Antiqua" w:hAnsi="Book Antiqua"/>
          <w:b/>
          <w:caps/>
          <w:color w:val="000000"/>
          <w:kern w:val="0"/>
          <w:sz w:val="24"/>
          <w:szCs w:val="24"/>
          <w:highlight w:val="white"/>
        </w:rPr>
        <w:t>t</w:t>
      </w:r>
      <w:r w:rsidRPr="00C51843">
        <w:rPr>
          <w:rFonts w:ascii="Book Antiqua" w:hAnsi="Book Antiqua"/>
          <w:b/>
          <w:color w:val="000000"/>
          <w:kern w:val="0"/>
          <w:sz w:val="24"/>
          <w:szCs w:val="24"/>
          <w:highlight w:val="white"/>
        </w:rPr>
        <w:t>ype</w:t>
      </w:r>
      <w:r w:rsidRPr="00C51843">
        <w:rPr>
          <w:rFonts w:ascii="Book Antiqua" w:hAnsi="Book Antiqua"/>
          <w:b/>
          <w:color w:val="000000"/>
          <w:kern w:val="0"/>
          <w:sz w:val="24"/>
          <w:szCs w:val="24"/>
        </w:rPr>
        <w:t>:</w:t>
      </w:r>
      <w:bookmarkEnd w:id="0"/>
      <w:bookmarkEnd w:id="1"/>
      <w:bookmarkEnd w:id="2"/>
      <w:bookmarkEnd w:id="3"/>
      <w:bookmarkEnd w:id="4"/>
      <w:bookmarkEnd w:id="5"/>
      <w:bookmarkEnd w:id="6"/>
      <w:bookmarkEnd w:id="7"/>
      <w:bookmarkEnd w:id="8"/>
      <w:bookmarkEnd w:id="9"/>
      <w:bookmarkEnd w:id="10"/>
      <w:r w:rsidRPr="00C51843">
        <w:rPr>
          <w:rFonts w:ascii="Book Antiqua" w:hAnsi="Book Antiqua"/>
          <w:b/>
          <w:color w:val="000000"/>
          <w:kern w:val="0"/>
          <w:sz w:val="24"/>
          <w:szCs w:val="24"/>
        </w:rPr>
        <w:t xml:space="preserve"> ORIGINAL ARTICLE</w:t>
      </w:r>
    </w:p>
    <w:p w14:paraId="7220F384" w14:textId="77777777" w:rsidR="00C51843" w:rsidRPr="00C51843" w:rsidRDefault="00C51843" w:rsidP="00C51843">
      <w:pPr>
        <w:widowControl/>
        <w:spacing w:line="360" w:lineRule="auto"/>
        <w:rPr>
          <w:rFonts w:ascii="Book Antiqua" w:hAnsi="Book Antiqua"/>
          <w:b/>
          <w:color w:val="000000"/>
          <w:kern w:val="0"/>
          <w:sz w:val="24"/>
          <w:szCs w:val="24"/>
        </w:rPr>
      </w:pPr>
    </w:p>
    <w:p w14:paraId="351882F4" w14:textId="77777777" w:rsidR="00C51843" w:rsidRDefault="00C51843" w:rsidP="00C51843">
      <w:pPr>
        <w:adjustRightInd w:val="0"/>
        <w:snapToGrid w:val="0"/>
        <w:spacing w:line="360" w:lineRule="auto"/>
        <w:rPr>
          <w:rFonts w:ascii="Book Antiqua" w:hAnsi="Book Antiqua"/>
          <w:b/>
          <w:color w:val="000000"/>
          <w:sz w:val="24"/>
          <w:szCs w:val="24"/>
        </w:rPr>
      </w:pPr>
      <w:r w:rsidRPr="00C51843">
        <w:rPr>
          <w:rFonts w:ascii="Book Antiqua" w:eastAsia="幼圆" w:hAnsi="Book Antiqua"/>
          <w:b/>
          <w:i/>
          <w:kern w:val="0"/>
          <w:sz w:val="24"/>
          <w:szCs w:val="24"/>
        </w:rPr>
        <w:t>Retrospective Study</w:t>
      </w:r>
      <w:bookmarkEnd w:id="11"/>
    </w:p>
    <w:p w14:paraId="07D8C170" w14:textId="0BE99CAC" w:rsidR="00DD5A5C" w:rsidRPr="00813AEE" w:rsidRDefault="00F61339" w:rsidP="00C51843">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Quantitative</w:t>
      </w:r>
      <w:bookmarkEnd w:id="12"/>
      <w:bookmarkEnd w:id="13"/>
      <w:r w:rsidRPr="00813AEE">
        <w:rPr>
          <w:rFonts w:ascii="Book Antiqua" w:hAnsi="Book Antiqua"/>
          <w:b/>
          <w:color w:val="000000" w:themeColor="text1"/>
          <w:sz w:val="24"/>
          <w:szCs w:val="24"/>
        </w:rPr>
        <w:t xml:space="preserve"> diffusion-weighte</w:t>
      </w:r>
      <w:r w:rsidR="00584057" w:rsidRPr="00813AEE">
        <w:rPr>
          <w:rFonts w:ascii="Book Antiqua" w:hAnsi="Book Antiqua"/>
          <w:b/>
          <w:color w:val="000000" w:themeColor="text1"/>
          <w:sz w:val="24"/>
          <w:szCs w:val="24"/>
        </w:rPr>
        <w:t xml:space="preserve">d </w:t>
      </w:r>
      <w:r w:rsidR="00584057" w:rsidRPr="00584057">
        <w:rPr>
          <w:rFonts w:ascii="Book Antiqua" w:hAnsi="Book Antiqua"/>
          <w:b/>
          <w:color w:val="000000" w:themeColor="text1"/>
          <w:sz w:val="24"/>
          <w:szCs w:val="24"/>
        </w:rPr>
        <w:t>magnetic resonance</w:t>
      </w:r>
      <w:r w:rsidR="00101C84">
        <w:rPr>
          <w:rFonts w:ascii="Book Antiqua" w:hAnsi="Book Antiqua"/>
          <w:b/>
          <w:color w:val="000000" w:themeColor="text1"/>
          <w:sz w:val="24"/>
          <w:szCs w:val="24"/>
        </w:rPr>
        <w:t xml:space="preserve"> </w:t>
      </w:r>
      <w:r w:rsidR="00584057" w:rsidRPr="00813AEE">
        <w:rPr>
          <w:rFonts w:ascii="Book Antiqua" w:hAnsi="Book Antiqua"/>
          <w:b/>
          <w:color w:val="000000" w:themeColor="text1"/>
          <w:sz w:val="24"/>
          <w:szCs w:val="24"/>
        </w:rPr>
        <w:t xml:space="preserve">enterography in </w:t>
      </w:r>
      <w:r w:rsidRPr="00813AEE">
        <w:rPr>
          <w:rFonts w:ascii="Book Antiqua" w:hAnsi="Book Antiqua"/>
          <w:b/>
          <w:color w:val="000000" w:themeColor="text1"/>
          <w:sz w:val="24"/>
          <w:szCs w:val="24"/>
        </w:rPr>
        <w:t xml:space="preserve">ileal Crohn's disease: </w:t>
      </w:r>
      <w:r w:rsidR="00101C84">
        <w:rPr>
          <w:rFonts w:ascii="Book Antiqua" w:hAnsi="Book Antiqua"/>
          <w:b/>
          <w:color w:val="000000" w:themeColor="text1"/>
          <w:sz w:val="24"/>
          <w:szCs w:val="24"/>
        </w:rPr>
        <w:t>A s</w:t>
      </w:r>
      <w:r w:rsidR="00101C84" w:rsidRPr="00813AEE">
        <w:rPr>
          <w:rFonts w:ascii="Book Antiqua" w:hAnsi="Book Antiqua"/>
          <w:b/>
          <w:color w:val="000000" w:themeColor="text1"/>
          <w:sz w:val="24"/>
          <w:szCs w:val="24"/>
        </w:rPr>
        <w:t xml:space="preserve">ystematic </w:t>
      </w:r>
      <w:r w:rsidRPr="00813AEE">
        <w:rPr>
          <w:rFonts w:ascii="Book Antiqua" w:hAnsi="Book Antiqua"/>
          <w:b/>
          <w:color w:val="000000" w:themeColor="text1"/>
          <w:sz w:val="24"/>
          <w:szCs w:val="24"/>
        </w:rPr>
        <w:t>analysis of intra and interobserver reproducibility</w:t>
      </w:r>
      <w:bookmarkEnd w:id="14"/>
      <w:bookmarkEnd w:id="15"/>
    </w:p>
    <w:bookmarkEnd w:id="16"/>
    <w:p w14:paraId="3D9CAA57" w14:textId="77777777" w:rsidR="00F61339" w:rsidRPr="00101C84" w:rsidRDefault="00F61339" w:rsidP="00813AEE">
      <w:pPr>
        <w:adjustRightInd w:val="0"/>
        <w:snapToGrid w:val="0"/>
        <w:spacing w:line="360" w:lineRule="auto"/>
        <w:rPr>
          <w:rFonts w:ascii="Book Antiqua" w:hAnsi="Book Antiqua"/>
          <w:b/>
          <w:color w:val="000000" w:themeColor="text1"/>
          <w:sz w:val="24"/>
          <w:szCs w:val="24"/>
        </w:rPr>
      </w:pPr>
    </w:p>
    <w:p w14:paraId="21818A68" w14:textId="5311DFC7" w:rsidR="00DD5A5C" w:rsidRPr="00813AEE" w:rsidRDefault="00F61339" w:rsidP="00813AEE">
      <w:pPr>
        <w:adjustRightInd w:val="0"/>
        <w:snapToGrid w:val="0"/>
        <w:spacing w:line="360" w:lineRule="auto"/>
        <w:rPr>
          <w:rFonts w:ascii="Book Antiqua" w:hAnsi="Book Antiqua"/>
          <w:color w:val="000000" w:themeColor="text1"/>
          <w:sz w:val="24"/>
          <w:szCs w:val="24"/>
        </w:rPr>
      </w:pPr>
      <w:bookmarkStart w:id="26" w:name="OLE_LINK27"/>
      <w:bookmarkStart w:id="27" w:name="OLE_LINK28"/>
      <w:r w:rsidRPr="00813AEE">
        <w:rPr>
          <w:rFonts w:ascii="Book Antiqua" w:hAnsi="Book Antiqua"/>
          <w:color w:val="000000" w:themeColor="text1"/>
          <w:sz w:val="24"/>
          <w:szCs w:val="24"/>
        </w:rPr>
        <w:t>Yu</w:t>
      </w:r>
      <w:r w:rsidR="00DD5A5C" w:rsidRPr="00813AEE">
        <w:rPr>
          <w:rFonts w:ascii="Book Antiqua" w:hAnsi="Book Antiqua"/>
          <w:color w:val="000000" w:themeColor="text1"/>
          <w:sz w:val="24"/>
          <w:szCs w:val="24"/>
        </w:rPr>
        <w:t xml:space="preserve"> H</w:t>
      </w:r>
      <w:r w:rsidR="00DD5A5C" w:rsidRPr="00813AEE">
        <w:rPr>
          <w:rFonts w:ascii="Book Antiqua" w:hAnsi="Book Antiqua"/>
          <w:i/>
          <w:color w:val="000000" w:themeColor="text1"/>
          <w:sz w:val="24"/>
          <w:szCs w:val="24"/>
        </w:rPr>
        <w:t xml:space="preserve"> et al.</w:t>
      </w:r>
      <w:bookmarkEnd w:id="26"/>
      <w:bookmarkEnd w:id="27"/>
      <w:r w:rsidR="00DD5A5C" w:rsidRPr="00813AEE">
        <w:rPr>
          <w:rFonts w:ascii="Book Antiqua" w:hAnsi="Book Antiqua"/>
          <w:b/>
          <w:i/>
          <w:color w:val="000000" w:themeColor="text1"/>
          <w:sz w:val="24"/>
          <w:szCs w:val="24"/>
        </w:rPr>
        <w:t xml:space="preserve"> </w:t>
      </w:r>
      <w:bookmarkStart w:id="28" w:name="OLE_LINK107"/>
      <w:r w:rsidRPr="00813AEE">
        <w:rPr>
          <w:rFonts w:ascii="Book Antiqua" w:hAnsi="Book Antiqua"/>
          <w:color w:val="000000" w:themeColor="text1"/>
          <w:sz w:val="24"/>
          <w:szCs w:val="24"/>
        </w:rPr>
        <w:t>Reproducibility</w:t>
      </w:r>
      <w:r w:rsidR="00DD5A5C"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of quantitative DW-MRE in CD</w:t>
      </w:r>
    </w:p>
    <w:bookmarkEnd w:id="28"/>
    <w:p w14:paraId="01A76B69" w14:textId="77777777" w:rsidR="00DD5A5C" w:rsidRPr="00813AEE" w:rsidRDefault="00DD5A5C" w:rsidP="00813AEE">
      <w:pPr>
        <w:adjustRightInd w:val="0"/>
        <w:snapToGrid w:val="0"/>
        <w:spacing w:line="360" w:lineRule="auto"/>
        <w:rPr>
          <w:rFonts w:ascii="Book Antiqua" w:hAnsi="Book Antiqua"/>
          <w:color w:val="000000" w:themeColor="text1"/>
          <w:sz w:val="24"/>
          <w:szCs w:val="24"/>
        </w:rPr>
      </w:pPr>
    </w:p>
    <w:p w14:paraId="0ED05465" w14:textId="15466261" w:rsidR="00DD5A5C" w:rsidRPr="00813AEE" w:rsidRDefault="00F61339" w:rsidP="00813AEE">
      <w:pPr>
        <w:adjustRightInd w:val="0"/>
        <w:snapToGrid w:val="0"/>
        <w:spacing w:line="360" w:lineRule="auto"/>
        <w:rPr>
          <w:rFonts w:ascii="Book Antiqua" w:hAnsi="Book Antiqua"/>
          <w:color w:val="000000" w:themeColor="text1"/>
          <w:sz w:val="24"/>
          <w:szCs w:val="24"/>
        </w:rPr>
      </w:pPr>
      <w:bookmarkStart w:id="29" w:name="OLE_LINK14"/>
      <w:bookmarkStart w:id="30" w:name="OLE_LINK51"/>
      <w:bookmarkStart w:id="31" w:name="OLE_LINK42"/>
      <w:bookmarkStart w:id="32" w:name="OLE_LINK35"/>
      <w:r w:rsidRPr="00813AEE">
        <w:rPr>
          <w:rFonts w:ascii="Book Antiqua" w:hAnsi="Book Antiqua"/>
          <w:color w:val="000000" w:themeColor="text1"/>
          <w:sz w:val="24"/>
          <w:szCs w:val="24"/>
        </w:rPr>
        <w:t>Hao Yu</w:t>
      </w:r>
      <w:bookmarkEnd w:id="29"/>
      <w:bookmarkEnd w:id="30"/>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Ya-Qi Shen</w:t>
      </w:r>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Fang-Qin Tan</w:t>
      </w:r>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Zi-Ling Zhou</w:t>
      </w:r>
      <w:r w:rsidRPr="00813AEE">
        <w:rPr>
          <w:rFonts w:ascii="Book Antiqua" w:hAnsi="Book Antiqua"/>
          <w:color w:val="000000" w:themeColor="text1"/>
          <w:sz w:val="24"/>
          <w:szCs w:val="24"/>
        </w:rPr>
        <w:t xml:space="preserve">, </w:t>
      </w:r>
      <w:bookmarkStart w:id="33" w:name="OLE_LINK46"/>
      <w:r w:rsidRPr="00813AEE">
        <w:rPr>
          <w:rFonts w:ascii="Book Antiqua" w:hAnsi="Book Antiqua"/>
          <w:color w:val="000000" w:themeColor="text1"/>
          <w:sz w:val="24"/>
          <w:szCs w:val="24"/>
        </w:rPr>
        <w:t>Zhen Li</w:t>
      </w:r>
      <w:bookmarkEnd w:id="33"/>
      <w:r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Dao-Yu Hu</w:t>
      </w:r>
      <w:r w:rsidRPr="00813AEE">
        <w:rPr>
          <w:rFonts w:ascii="Book Antiqua" w:hAnsi="Book Antiqua"/>
          <w:color w:val="000000" w:themeColor="text1"/>
          <w:sz w:val="24"/>
          <w:szCs w:val="24"/>
        </w:rPr>
        <w:t>,</w:t>
      </w:r>
      <w:bookmarkStart w:id="34" w:name="OLE_LINK38"/>
      <w:r w:rsidRPr="00813AEE">
        <w:rPr>
          <w:rFonts w:ascii="Book Antiqua" w:hAnsi="Book Antiqua"/>
          <w:color w:val="000000" w:themeColor="text1"/>
          <w:sz w:val="24"/>
          <w:szCs w:val="24"/>
        </w:rPr>
        <w:t xml:space="preserve"> John N Morelli</w:t>
      </w:r>
      <w:bookmarkEnd w:id="31"/>
      <w:bookmarkEnd w:id="34"/>
    </w:p>
    <w:bookmarkEnd w:id="32"/>
    <w:p w14:paraId="69425179" w14:textId="77777777" w:rsidR="00D41E21" w:rsidRPr="00813AEE" w:rsidRDefault="00D41E21" w:rsidP="00813AEE">
      <w:pPr>
        <w:adjustRightInd w:val="0"/>
        <w:snapToGrid w:val="0"/>
        <w:spacing w:line="360" w:lineRule="auto"/>
        <w:rPr>
          <w:rFonts w:ascii="Book Antiqua" w:hAnsi="Book Antiqua"/>
          <w:color w:val="000000" w:themeColor="text1"/>
          <w:sz w:val="24"/>
          <w:szCs w:val="24"/>
          <w:vertAlign w:val="superscript"/>
        </w:rPr>
      </w:pPr>
    </w:p>
    <w:p w14:paraId="303C8FCC" w14:textId="0E79CAD8" w:rsidR="00CD4E55" w:rsidRPr="00813AEE" w:rsidRDefault="00F61339"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color w:val="000000" w:themeColor="text1"/>
          <w:sz w:val="24"/>
          <w:szCs w:val="24"/>
        </w:rPr>
        <w:t xml:space="preserve">Hao Yu, </w:t>
      </w:r>
      <w:r w:rsidR="00584057">
        <w:rPr>
          <w:rFonts w:ascii="Book Antiqua" w:hAnsi="Book Antiqua"/>
          <w:b/>
          <w:color w:val="000000" w:themeColor="text1"/>
          <w:sz w:val="24"/>
          <w:szCs w:val="24"/>
        </w:rPr>
        <w:t>Ya-Qi Shen</w:t>
      </w:r>
      <w:r w:rsidRPr="00813AEE">
        <w:rPr>
          <w:rFonts w:ascii="Book Antiqua" w:hAnsi="Book Antiqua"/>
          <w:b/>
          <w:color w:val="000000" w:themeColor="text1"/>
          <w:sz w:val="24"/>
          <w:szCs w:val="24"/>
        </w:rPr>
        <w:t xml:space="preserve">, </w:t>
      </w:r>
      <w:r w:rsidR="00584057">
        <w:rPr>
          <w:rFonts w:ascii="Book Antiqua" w:hAnsi="Book Antiqua"/>
          <w:b/>
          <w:color w:val="000000" w:themeColor="text1"/>
          <w:sz w:val="24"/>
          <w:szCs w:val="24"/>
        </w:rPr>
        <w:t>Fang-Qin Tan</w:t>
      </w:r>
      <w:r w:rsidRPr="00813AEE">
        <w:rPr>
          <w:rFonts w:ascii="Book Antiqua" w:hAnsi="Book Antiqua"/>
          <w:b/>
          <w:color w:val="000000" w:themeColor="text1"/>
          <w:sz w:val="24"/>
          <w:szCs w:val="24"/>
        </w:rPr>
        <w:t xml:space="preserve">, </w:t>
      </w:r>
      <w:r w:rsidR="00584057">
        <w:rPr>
          <w:rFonts w:ascii="Book Antiqua" w:hAnsi="Book Antiqua"/>
          <w:b/>
          <w:color w:val="000000" w:themeColor="text1"/>
          <w:sz w:val="24"/>
          <w:szCs w:val="24"/>
        </w:rPr>
        <w:t>Zi-Ling Zhou</w:t>
      </w:r>
      <w:r w:rsidRPr="00813AEE">
        <w:rPr>
          <w:rFonts w:ascii="Book Antiqua" w:hAnsi="Book Antiqua"/>
          <w:b/>
          <w:color w:val="000000" w:themeColor="text1"/>
          <w:sz w:val="24"/>
          <w:szCs w:val="24"/>
        </w:rPr>
        <w:t xml:space="preserve">, Zhen Li, </w:t>
      </w:r>
      <w:r w:rsidR="00584057">
        <w:rPr>
          <w:rFonts w:ascii="Book Antiqua" w:hAnsi="Book Antiqua"/>
          <w:b/>
          <w:color w:val="000000" w:themeColor="text1"/>
          <w:sz w:val="24"/>
          <w:szCs w:val="24"/>
        </w:rPr>
        <w:t>Dao-Yu Hu</w:t>
      </w:r>
      <w:r w:rsidR="00DD5A5C" w:rsidRPr="00813AEE">
        <w:rPr>
          <w:rFonts w:ascii="Book Antiqua" w:hAnsi="Book Antiqua"/>
          <w:b/>
          <w:color w:val="000000" w:themeColor="text1"/>
          <w:sz w:val="24"/>
          <w:szCs w:val="24"/>
        </w:rPr>
        <w:t xml:space="preserve">, </w:t>
      </w:r>
      <w:r w:rsidR="00CD4E55" w:rsidRPr="00813AEE">
        <w:rPr>
          <w:rFonts w:ascii="Book Antiqua" w:hAnsi="Book Antiqua"/>
          <w:color w:val="000000" w:themeColor="text1"/>
          <w:sz w:val="24"/>
          <w:szCs w:val="24"/>
        </w:rPr>
        <w:t xml:space="preserve">Department of Radiology, </w:t>
      </w:r>
      <w:bookmarkStart w:id="35" w:name="OLE_LINK84"/>
      <w:bookmarkStart w:id="36" w:name="OLE_LINK85"/>
      <w:r w:rsidRPr="00813AEE">
        <w:rPr>
          <w:rFonts w:ascii="Book Antiqua" w:hAnsi="Book Antiqua"/>
          <w:color w:val="000000" w:themeColor="text1"/>
          <w:sz w:val="24"/>
          <w:szCs w:val="24"/>
        </w:rPr>
        <w:t xml:space="preserve">Tongji Hospital, Tongji Medical College, Huazhong University of Science and Technology, </w:t>
      </w:r>
      <w:bookmarkEnd w:id="35"/>
      <w:bookmarkEnd w:id="36"/>
      <w:r w:rsidRPr="00813AEE">
        <w:rPr>
          <w:rFonts w:ascii="Book Antiqua" w:hAnsi="Book Antiqua"/>
          <w:color w:val="000000" w:themeColor="text1"/>
          <w:sz w:val="24"/>
          <w:szCs w:val="24"/>
        </w:rPr>
        <w:t>Wuhan 430030, Hubei</w:t>
      </w:r>
      <w:r w:rsidR="001B7C13">
        <w:rPr>
          <w:rFonts w:ascii="Book Antiqua" w:hAnsi="Book Antiqua"/>
          <w:color w:val="000000" w:themeColor="text1"/>
          <w:sz w:val="24"/>
          <w:szCs w:val="24"/>
        </w:rPr>
        <w:t xml:space="preserve"> Province</w:t>
      </w:r>
      <w:r w:rsidRPr="00813AEE">
        <w:rPr>
          <w:rFonts w:ascii="Book Antiqua" w:hAnsi="Book Antiqua"/>
          <w:color w:val="000000" w:themeColor="text1"/>
          <w:sz w:val="24"/>
          <w:szCs w:val="24"/>
        </w:rPr>
        <w:t>, China</w:t>
      </w:r>
    </w:p>
    <w:p w14:paraId="5DA78263" w14:textId="77777777" w:rsidR="00F56E49" w:rsidRPr="00813AEE" w:rsidRDefault="00F56E49" w:rsidP="00813AEE">
      <w:pPr>
        <w:adjustRightInd w:val="0"/>
        <w:snapToGrid w:val="0"/>
        <w:spacing w:line="360" w:lineRule="auto"/>
        <w:rPr>
          <w:rFonts w:ascii="Book Antiqua" w:hAnsi="Book Antiqua"/>
          <w:b/>
          <w:color w:val="000000" w:themeColor="text1"/>
          <w:sz w:val="24"/>
          <w:szCs w:val="24"/>
        </w:rPr>
      </w:pPr>
    </w:p>
    <w:p w14:paraId="1E65586F" w14:textId="29587096" w:rsidR="00DD5A5C" w:rsidRPr="00813AEE" w:rsidRDefault="00584057" w:rsidP="00813AEE">
      <w:pPr>
        <w:adjustRightInd w:val="0"/>
        <w:snapToGrid w:val="0"/>
        <w:spacing w:line="360" w:lineRule="auto"/>
        <w:rPr>
          <w:rFonts w:ascii="Book Antiqua" w:hAnsi="Book Antiqua"/>
          <w:color w:val="000000" w:themeColor="text1"/>
          <w:sz w:val="24"/>
          <w:szCs w:val="24"/>
        </w:rPr>
      </w:pPr>
      <w:r>
        <w:rPr>
          <w:rFonts w:ascii="Book Antiqua" w:hAnsi="Book Antiqua"/>
          <w:b/>
          <w:color w:val="000000" w:themeColor="text1"/>
          <w:sz w:val="24"/>
          <w:szCs w:val="24"/>
        </w:rPr>
        <w:t>John N Morelli</w:t>
      </w:r>
      <w:r w:rsidR="00DD5A5C" w:rsidRPr="00813AEE">
        <w:rPr>
          <w:rFonts w:ascii="Book Antiqua" w:hAnsi="Book Antiqua"/>
          <w:b/>
          <w:color w:val="000000" w:themeColor="text1"/>
          <w:sz w:val="24"/>
          <w:szCs w:val="24"/>
        </w:rPr>
        <w:t>,</w:t>
      </w:r>
      <w:r w:rsidR="00DD5A5C" w:rsidRPr="00813AEE">
        <w:rPr>
          <w:rFonts w:ascii="Book Antiqua" w:hAnsi="Book Antiqua"/>
          <w:color w:val="000000" w:themeColor="text1"/>
          <w:sz w:val="24"/>
          <w:szCs w:val="24"/>
        </w:rPr>
        <w:t xml:space="preserve"> </w:t>
      </w:r>
      <w:r w:rsidR="00B3639E" w:rsidRPr="00813AEE">
        <w:rPr>
          <w:rFonts w:ascii="Book Antiqua" w:hAnsi="Book Antiqua"/>
          <w:color w:val="000000" w:themeColor="text1"/>
          <w:sz w:val="24"/>
          <w:szCs w:val="24"/>
        </w:rPr>
        <w:t xml:space="preserve">St. John’s Medical Center, Tulsa, </w:t>
      </w:r>
      <w:bookmarkStart w:id="37" w:name="OLE_LINK6"/>
      <w:bookmarkStart w:id="38" w:name="OLE_LINK7"/>
      <w:r w:rsidR="00B3639E" w:rsidRPr="00813AEE">
        <w:rPr>
          <w:rFonts w:ascii="Book Antiqua" w:hAnsi="Book Antiqua"/>
          <w:color w:val="000000" w:themeColor="text1"/>
          <w:sz w:val="24"/>
          <w:szCs w:val="24"/>
        </w:rPr>
        <w:t>OK</w:t>
      </w:r>
      <w:bookmarkEnd w:id="37"/>
      <w:bookmarkEnd w:id="38"/>
      <w:r w:rsidR="00C22310" w:rsidRPr="00813AEE">
        <w:rPr>
          <w:rFonts w:ascii="Book Antiqua" w:hAnsi="Book Antiqua"/>
          <w:color w:val="000000" w:themeColor="text1"/>
          <w:sz w:val="24"/>
          <w:szCs w:val="24"/>
        </w:rPr>
        <w:t xml:space="preserve"> </w:t>
      </w:r>
      <w:bookmarkStart w:id="39" w:name="OLE_LINK92"/>
      <w:r w:rsidR="00C22310" w:rsidRPr="00813AEE">
        <w:rPr>
          <w:rFonts w:ascii="Book Antiqua" w:hAnsi="Book Antiqua"/>
          <w:color w:val="000000" w:themeColor="text1"/>
          <w:sz w:val="24"/>
          <w:szCs w:val="24"/>
        </w:rPr>
        <w:t>74133</w:t>
      </w:r>
      <w:bookmarkEnd w:id="39"/>
      <w:r w:rsidR="00B3639E" w:rsidRPr="00813AEE">
        <w:rPr>
          <w:rFonts w:ascii="Book Antiqua" w:hAnsi="Book Antiqua"/>
          <w:color w:val="000000" w:themeColor="text1"/>
          <w:sz w:val="24"/>
          <w:szCs w:val="24"/>
        </w:rPr>
        <w:t>, United States</w:t>
      </w:r>
    </w:p>
    <w:p w14:paraId="30FE4D34" w14:textId="77777777" w:rsidR="00D41E21" w:rsidRPr="00813AEE" w:rsidRDefault="00D41E21" w:rsidP="00813AEE">
      <w:pPr>
        <w:adjustRightInd w:val="0"/>
        <w:snapToGrid w:val="0"/>
        <w:spacing w:line="360" w:lineRule="auto"/>
        <w:rPr>
          <w:rFonts w:ascii="Book Antiqua" w:hAnsi="Book Antiqua"/>
          <w:b/>
          <w:bCs/>
          <w:color w:val="000000" w:themeColor="text1"/>
          <w:kern w:val="0"/>
          <w:sz w:val="24"/>
          <w:szCs w:val="24"/>
        </w:rPr>
      </w:pPr>
    </w:p>
    <w:p w14:paraId="2510708A" w14:textId="03C9A21C" w:rsidR="00092839" w:rsidRPr="00813AEE" w:rsidRDefault="00D60F54" w:rsidP="00813AEE">
      <w:pPr>
        <w:autoSpaceDE w:val="0"/>
        <w:autoSpaceDN w:val="0"/>
        <w:adjustRightInd w:val="0"/>
        <w:snapToGrid w:val="0"/>
        <w:spacing w:line="360" w:lineRule="auto"/>
        <w:rPr>
          <w:rFonts w:ascii="Book Antiqua" w:hAnsi="Book Antiqua"/>
          <w:color w:val="000000" w:themeColor="text1"/>
          <w:sz w:val="24"/>
          <w:szCs w:val="24"/>
        </w:rPr>
      </w:pPr>
      <w:bookmarkStart w:id="40" w:name="OLE_LINK167"/>
      <w:bookmarkStart w:id="41" w:name="OLE_LINK170"/>
      <w:r w:rsidRPr="00813AEE">
        <w:rPr>
          <w:rFonts w:ascii="Book Antiqua" w:hAnsi="Book Antiqua"/>
          <w:b/>
          <w:color w:val="000000" w:themeColor="text1"/>
          <w:sz w:val="24"/>
          <w:szCs w:val="24"/>
        </w:rPr>
        <w:t xml:space="preserve">ORCID </w:t>
      </w:r>
      <w:r w:rsidR="00DD5A5C" w:rsidRPr="00813AEE">
        <w:rPr>
          <w:rFonts w:ascii="Book Antiqua" w:hAnsi="Book Antiqua"/>
          <w:b/>
          <w:color w:val="000000" w:themeColor="text1"/>
          <w:sz w:val="24"/>
          <w:szCs w:val="24"/>
        </w:rPr>
        <w:t xml:space="preserve">number: </w:t>
      </w:r>
      <w:bookmarkEnd w:id="40"/>
      <w:bookmarkEnd w:id="41"/>
      <w:r w:rsidR="00C22310" w:rsidRPr="00813AEE">
        <w:rPr>
          <w:rFonts w:ascii="Book Antiqua" w:hAnsi="Book Antiqua"/>
          <w:color w:val="000000" w:themeColor="text1"/>
          <w:sz w:val="24"/>
          <w:szCs w:val="24"/>
        </w:rPr>
        <w:t>Hao Yu (</w:t>
      </w:r>
      <w:r w:rsidR="00AD7954" w:rsidRPr="00813AEE">
        <w:rPr>
          <w:rFonts w:ascii="Book Antiqua" w:hAnsi="Book Antiqua"/>
          <w:color w:val="000000" w:themeColor="text1"/>
          <w:sz w:val="24"/>
          <w:szCs w:val="24"/>
        </w:rPr>
        <w:t>0000-0002-4495-897X</w:t>
      </w:r>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Ya-Qi Shen</w:t>
      </w:r>
      <w:r w:rsidR="00C22310" w:rsidRPr="00813AEE">
        <w:rPr>
          <w:rFonts w:ascii="Book Antiqua" w:hAnsi="Book Antiqua"/>
          <w:color w:val="000000" w:themeColor="text1"/>
          <w:sz w:val="24"/>
          <w:szCs w:val="24"/>
        </w:rPr>
        <w:t xml:space="preserve"> (</w:t>
      </w:r>
      <w:bookmarkStart w:id="42" w:name="OLE_LINK111"/>
      <w:bookmarkStart w:id="43" w:name="OLE_LINK36"/>
      <w:r w:rsidR="00AD7954" w:rsidRPr="00813AEE">
        <w:rPr>
          <w:rFonts w:ascii="Book Antiqua" w:hAnsi="Book Antiqua"/>
          <w:color w:val="000000" w:themeColor="text1"/>
          <w:sz w:val="24"/>
          <w:szCs w:val="24"/>
          <w:shd w:val="clear" w:color="auto" w:fill="FFFFFF"/>
        </w:rPr>
        <w:t>0000-0003-0589-8975</w:t>
      </w:r>
      <w:bookmarkEnd w:id="42"/>
      <w:bookmarkEnd w:id="43"/>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Fang-Qin Tan</w:t>
      </w:r>
      <w:r w:rsidR="00C22310" w:rsidRPr="00813AEE">
        <w:rPr>
          <w:rFonts w:ascii="Book Antiqua" w:hAnsi="Book Antiqua"/>
          <w:color w:val="000000" w:themeColor="text1"/>
          <w:sz w:val="24"/>
          <w:szCs w:val="24"/>
        </w:rPr>
        <w:t xml:space="preserve"> (</w:t>
      </w:r>
      <w:r w:rsidR="005A347C" w:rsidRPr="00813AEE">
        <w:rPr>
          <w:rFonts w:ascii="Book Antiqua" w:hAnsi="Book Antiqua"/>
          <w:color w:val="000000" w:themeColor="text1"/>
          <w:sz w:val="24"/>
          <w:szCs w:val="24"/>
        </w:rPr>
        <w:t>0000-0003-0738-8573</w:t>
      </w:r>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Zi-Ling Zhou</w:t>
      </w:r>
      <w:r w:rsidR="00C22310" w:rsidRPr="00813AEE">
        <w:rPr>
          <w:rFonts w:ascii="Book Antiqua" w:hAnsi="Book Antiqua"/>
          <w:color w:val="000000" w:themeColor="text1"/>
          <w:sz w:val="24"/>
          <w:szCs w:val="24"/>
        </w:rPr>
        <w:t xml:space="preserve"> </w:t>
      </w:r>
      <w:bookmarkStart w:id="44" w:name="OLE_LINK13"/>
      <w:r w:rsidR="00C22310" w:rsidRPr="00813AEE">
        <w:rPr>
          <w:rFonts w:ascii="Book Antiqua" w:hAnsi="Book Antiqua"/>
          <w:color w:val="000000" w:themeColor="text1"/>
          <w:sz w:val="24"/>
          <w:szCs w:val="24"/>
        </w:rPr>
        <w:t>(</w:t>
      </w:r>
      <w:bookmarkStart w:id="45" w:name="OLE_LINK72"/>
      <w:bookmarkStart w:id="46" w:name="OLE_LINK73"/>
      <w:r w:rsidR="00676BC0" w:rsidRPr="00813AEE">
        <w:rPr>
          <w:rFonts w:ascii="Book Antiqua" w:hAnsi="Book Antiqua"/>
          <w:color w:val="000000" w:themeColor="text1"/>
          <w:sz w:val="24"/>
          <w:szCs w:val="24"/>
        </w:rPr>
        <w:t>0000-0002-9793-8382</w:t>
      </w:r>
      <w:bookmarkEnd w:id="45"/>
      <w:bookmarkEnd w:id="46"/>
      <w:r w:rsidR="00C22310" w:rsidRPr="00813AEE">
        <w:rPr>
          <w:rFonts w:ascii="Book Antiqua" w:hAnsi="Book Antiqua"/>
          <w:color w:val="000000" w:themeColor="text1"/>
          <w:sz w:val="24"/>
          <w:szCs w:val="24"/>
        </w:rPr>
        <w:t>)</w:t>
      </w:r>
      <w:bookmarkEnd w:id="44"/>
      <w:r w:rsidR="00C22310" w:rsidRPr="00813AEE">
        <w:rPr>
          <w:rFonts w:ascii="Book Antiqua" w:hAnsi="Book Antiqua"/>
          <w:color w:val="000000" w:themeColor="text1"/>
          <w:sz w:val="24"/>
          <w:szCs w:val="24"/>
        </w:rPr>
        <w:t xml:space="preserve">; </w:t>
      </w:r>
      <w:bookmarkStart w:id="47" w:name="OLE_LINK16"/>
      <w:bookmarkStart w:id="48" w:name="OLE_LINK17"/>
      <w:r w:rsidR="00C22310" w:rsidRPr="00813AEE">
        <w:rPr>
          <w:rFonts w:ascii="Book Antiqua" w:hAnsi="Book Antiqua"/>
          <w:color w:val="000000" w:themeColor="text1"/>
          <w:sz w:val="24"/>
          <w:szCs w:val="24"/>
        </w:rPr>
        <w:t>Zhen Li</w:t>
      </w:r>
      <w:bookmarkEnd w:id="47"/>
      <w:bookmarkEnd w:id="48"/>
      <w:r w:rsidR="00C22310" w:rsidRPr="00813AEE">
        <w:rPr>
          <w:rFonts w:ascii="Book Antiqua" w:hAnsi="Book Antiqua"/>
          <w:color w:val="000000" w:themeColor="text1"/>
          <w:sz w:val="24"/>
          <w:szCs w:val="24"/>
        </w:rPr>
        <w:t xml:space="preserve"> (</w:t>
      </w:r>
      <w:r w:rsidR="00170070" w:rsidRPr="00813AEE">
        <w:rPr>
          <w:rFonts w:ascii="Book Antiqua" w:hAnsi="Book Antiqua"/>
          <w:color w:val="000000" w:themeColor="text1"/>
          <w:sz w:val="24"/>
          <w:szCs w:val="24"/>
          <w:shd w:val="clear" w:color="auto" w:fill="FFFFFF"/>
        </w:rPr>
        <w:t>0000-0002-9289-6785</w:t>
      </w:r>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Dao-Yu Hu</w:t>
      </w:r>
      <w:r w:rsidR="00C22310" w:rsidRPr="00813AEE">
        <w:rPr>
          <w:rFonts w:ascii="Book Antiqua" w:hAnsi="Book Antiqua"/>
          <w:color w:val="000000" w:themeColor="text1"/>
          <w:sz w:val="24"/>
          <w:szCs w:val="24"/>
        </w:rPr>
        <w:t xml:space="preserve"> (</w:t>
      </w:r>
      <w:bookmarkStart w:id="49" w:name="OLE_LINK83"/>
      <w:r w:rsidR="00AD7954" w:rsidRPr="00813AEE">
        <w:rPr>
          <w:rFonts w:ascii="Book Antiqua" w:hAnsi="Book Antiqua"/>
          <w:color w:val="000000" w:themeColor="text1"/>
          <w:sz w:val="24"/>
          <w:szCs w:val="24"/>
          <w:shd w:val="clear" w:color="auto" w:fill="FFFFFF"/>
        </w:rPr>
        <w:t>0000-0001-9281-8552</w:t>
      </w:r>
      <w:bookmarkEnd w:id="49"/>
      <w:r w:rsidR="00C22310" w:rsidRPr="00813AEE">
        <w:rPr>
          <w:rFonts w:ascii="Book Antiqua" w:hAnsi="Book Antiqua"/>
          <w:color w:val="000000" w:themeColor="text1"/>
          <w:sz w:val="24"/>
          <w:szCs w:val="24"/>
        </w:rPr>
        <w:t xml:space="preserve">); </w:t>
      </w:r>
      <w:r w:rsidR="00584057">
        <w:rPr>
          <w:rFonts w:ascii="Book Antiqua" w:hAnsi="Book Antiqua"/>
          <w:color w:val="000000" w:themeColor="text1"/>
          <w:sz w:val="24"/>
          <w:szCs w:val="24"/>
        </w:rPr>
        <w:t>John N Morelli</w:t>
      </w:r>
      <w:r w:rsidR="00C22310" w:rsidRPr="00813AEE">
        <w:rPr>
          <w:rFonts w:ascii="Book Antiqua" w:hAnsi="Book Antiqua"/>
          <w:color w:val="000000" w:themeColor="text1"/>
          <w:sz w:val="24"/>
          <w:szCs w:val="24"/>
        </w:rPr>
        <w:t xml:space="preserve"> (</w:t>
      </w:r>
      <w:bookmarkStart w:id="50" w:name="OLE_LINK88"/>
      <w:r w:rsidR="00AD7954" w:rsidRPr="00813AEE">
        <w:rPr>
          <w:rFonts w:ascii="Book Antiqua" w:hAnsi="Book Antiqua"/>
          <w:color w:val="000000" w:themeColor="text1"/>
          <w:sz w:val="24"/>
          <w:szCs w:val="24"/>
          <w:shd w:val="clear" w:color="auto" w:fill="FFFFFF"/>
        </w:rPr>
        <w:t>0000-0002-6451-6984</w:t>
      </w:r>
      <w:bookmarkEnd w:id="50"/>
      <w:r w:rsidR="00C22310" w:rsidRPr="00813AEE">
        <w:rPr>
          <w:rFonts w:ascii="Book Antiqua" w:hAnsi="Book Antiqua"/>
          <w:color w:val="000000" w:themeColor="text1"/>
          <w:sz w:val="24"/>
          <w:szCs w:val="24"/>
        </w:rPr>
        <w:t>)</w:t>
      </w:r>
      <w:r w:rsidR="00FD7C32" w:rsidRPr="00813AEE">
        <w:rPr>
          <w:rFonts w:ascii="Book Antiqua" w:hAnsi="Book Antiqua"/>
          <w:color w:val="000000" w:themeColor="text1"/>
          <w:sz w:val="24"/>
          <w:szCs w:val="24"/>
        </w:rPr>
        <w:t>.</w:t>
      </w:r>
    </w:p>
    <w:p w14:paraId="02BA3009" w14:textId="77777777" w:rsidR="00092839" w:rsidRPr="00813AEE" w:rsidRDefault="00092839"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3BD16AD7" w14:textId="7E42EF19" w:rsidR="00DD5A5C" w:rsidRPr="00813AEE" w:rsidRDefault="00DD5A5C" w:rsidP="00813AEE">
      <w:pPr>
        <w:autoSpaceDE w:val="0"/>
        <w:autoSpaceDN w:val="0"/>
        <w:adjustRightInd w:val="0"/>
        <w:snapToGrid w:val="0"/>
        <w:spacing w:line="360" w:lineRule="auto"/>
        <w:rPr>
          <w:rFonts w:ascii="Book Antiqua" w:hAnsi="Book Antiqua" w:cs="Book Antiqua"/>
          <w:color w:val="000000" w:themeColor="text1"/>
          <w:kern w:val="0"/>
          <w:sz w:val="24"/>
          <w:szCs w:val="24"/>
        </w:rPr>
      </w:pPr>
      <w:r w:rsidRPr="00813AEE">
        <w:rPr>
          <w:rFonts w:ascii="Book Antiqua" w:hAnsi="Book Antiqua" w:cs="Book Antiqua"/>
          <w:b/>
          <w:bCs/>
          <w:color w:val="000000" w:themeColor="text1"/>
          <w:kern w:val="0"/>
          <w:sz w:val="24"/>
          <w:szCs w:val="24"/>
        </w:rPr>
        <w:t>Author contributions</w:t>
      </w:r>
      <w:r w:rsidRPr="00813AEE">
        <w:rPr>
          <w:rFonts w:ascii="Book Antiqua" w:hAnsi="Book Antiqua" w:cs="Book Antiqua"/>
          <w:color w:val="000000" w:themeColor="text1"/>
          <w:kern w:val="0"/>
          <w:sz w:val="24"/>
          <w:szCs w:val="24"/>
        </w:rPr>
        <w:t xml:space="preserve">: </w:t>
      </w:r>
      <w:r w:rsidR="00AD7954" w:rsidRPr="00813AEE">
        <w:rPr>
          <w:rFonts w:ascii="Book Antiqua" w:hAnsi="Book Antiqua" w:cs="Book Antiqua"/>
          <w:color w:val="000000" w:themeColor="text1"/>
          <w:sz w:val="24"/>
          <w:szCs w:val="24"/>
        </w:rPr>
        <w:t>H</w:t>
      </w:r>
      <w:r w:rsidRPr="00813AEE">
        <w:rPr>
          <w:rFonts w:ascii="Book Antiqua" w:hAnsi="Book Antiqua" w:cs="Book Antiqua"/>
          <w:color w:val="000000" w:themeColor="text1"/>
          <w:sz w:val="24"/>
          <w:szCs w:val="24"/>
        </w:rPr>
        <w:t>u</w:t>
      </w:r>
      <w:r w:rsidRPr="00813AEE">
        <w:rPr>
          <w:rFonts w:ascii="Book Antiqua" w:hAnsi="Book Antiqua" w:cs="Book Antiqua"/>
          <w:color w:val="000000" w:themeColor="text1"/>
          <w:kern w:val="0"/>
          <w:sz w:val="24"/>
          <w:szCs w:val="24"/>
        </w:rPr>
        <w:t xml:space="preserve"> </w:t>
      </w:r>
      <w:r w:rsidR="00AD7954" w:rsidRPr="00813AEE">
        <w:rPr>
          <w:rFonts w:ascii="Book Antiqua" w:hAnsi="Book Antiqua" w:cs="Book Antiqua"/>
          <w:color w:val="000000" w:themeColor="text1"/>
          <w:kern w:val="0"/>
          <w:sz w:val="24"/>
          <w:szCs w:val="24"/>
        </w:rPr>
        <w:t>DY</w:t>
      </w:r>
      <w:r w:rsidRPr="00813AEE">
        <w:rPr>
          <w:rFonts w:ascii="Book Antiqua" w:hAnsi="Book Antiqua" w:cs="Book Antiqua"/>
          <w:color w:val="000000" w:themeColor="text1"/>
          <w:kern w:val="0"/>
          <w:sz w:val="24"/>
          <w:szCs w:val="24"/>
        </w:rPr>
        <w:t xml:space="preserve"> </w:t>
      </w:r>
      <w:r w:rsidR="000109EA" w:rsidRPr="00813AEE">
        <w:rPr>
          <w:rFonts w:ascii="Book Antiqua" w:hAnsi="Book Antiqua" w:cs="Book Antiqua"/>
          <w:color w:val="000000" w:themeColor="text1"/>
          <w:kern w:val="0"/>
          <w:sz w:val="24"/>
          <w:szCs w:val="24"/>
        </w:rPr>
        <w:t xml:space="preserve">and Shen YQ </w:t>
      </w:r>
      <w:r w:rsidRPr="00813AEE">
        <w:rPr>
          <w:rFonts w:ascii="Book Antiqua" w:hAnsi="Book Antiqua" w:cs="Book Antiqua"/>
          <w:color w:val="000000" w:themeColor="text1"/>
          <w:kern w:val="0"/>
          <w:sz w:val="24"/>
          <w:szCs w:val="24"/>
        </w:rPr>
        <w:t xml:space="preserve">designed the research; </w:t>
      </w:r>
      <w:r w:rsidR="00E96E80" w:rsidRPr="00813AEE">
        <w:rPr>
          <w:rFonts w:ascii="Book Antiqua" w:hAnsi="Book Antiqua" w:cs="Book Antiqua"/>
          <w:color w:val="000000" w:themeColor="text1"/>
          <w:sz w:val="24"/>
          <w:szCs w:val="24"/>
        </w:rPr>
        <w:t>Yu H and Tan</w:t>
      </w:r>
      <w:r w:rsidR="0043079F" w:rsidRPr="00813AEE">
        <w:rPr>
          <w:rFonts w:ascii="Book Antiqua" w:hAnsi="Book Antiqua" w:cs="Book Antiqua"/>
          <w:color w:val="000000" w:themeColor="text1"/>
          <w:sz w:val="24"/>
          <w:szCs w:val="24"/>
        </w:rPr>
        <w:t xml:space="preserve"> FQ</w:t>
      </w:r>
      <w:r w:rsidRPr="00813AEE">
        <w:rPr>
          <w:rFonts w:ascii="Book Antiqua" w:hAnsi="Book Antiqua" w:cs="Book Antiqua"/>
          <w:color w:val="000000" w:themeColor="text1"/>
          <w:kern w:val="0"/>
          <w:sz w:val="24"/>
          <w:szCs w:val="24"/>
        </w:rPr>
        <w:t xml:space="preserve"> performed the </w:t>
      </w:r>
      <w:r w:rsidR="0043079F" w:rsidRPr="00813AEE">
        <w:rPr>
          <w:rFonts w:ascii="Book Antiqua" w:hAnsi="Book Antiqua" w:cs="Book Antiqua"/>
          <w:color w:val="000000" w:themeColor="text1"/>
          <w:kern w:val="0"/>
          <w:sz w:val="24"/>
          <w:szCs w:val="24"/>
        </w:rPr>
        <w:t>MR examinations</w:t>
      </w:r>
      <w:r w:rsidRPr="00813AEE">
        <w:rPr>
          <w:rFonts w:ascii="Book Antiqua" w:hAnsi="Book Antiqua" w:cs="Book Antiqua"/>
          <w:color w:val="000000" w:themeColor="text1"/>
          <w:kern w:val="0"/>
          <w:sz w:val="24"/>
          <w:szCs w:val="24"/>
        </w:rPr>
        <w:t xml:space="preserve">; </w:t>
      </w:r>
      <w:r w:rsidR="006B50BE" w:rsidRPr="00813AEE">
        <w:rPr>
          <w:rFonts w:ascii="Book Antiqua" w:hAnsi="Book Antiqua" w:cs="Book Antiqua"/>
          <w:color w:val="000000" w:themeColor="text1"/>
          <w:sz w:val="24"/>
          <w:szCs w:val="24"/>
        </w:rPr>
        <w:t>Yu H and Zhou ZL</w:t>
      </w:r>
      <w:r w:rsidRPr="00813AEE">
        <w:rPr>
          <w:rFonts w:ascii="Book Antiqua" w:hAnsi="Book Antiqua" w:cs="Book Antiqua"/>
          <w:color w:val="000000" w:themeColor="text1"/>
          <w:kern w:val="0"/>
          <w:sz w:val="24"/>
          <w:szCs w:val="24"/>
        </w:rPr>
        <w:t xml:space="preserve"> analyzed the data;</w:t>
      </w:r>
      <w:r w:rsidRPr="00813AEE">
        <w:rPr>
          <w:rFonts w:ascii="Book Antiqua" w:hAnsi="Book Antiqua" w:cs="Book Antiqua"/>
          <w:color w:val="000000" w:themeColor="text1"/>
          <w:sz w:val="24"/>
          <w:szCs w:val="24"/>
        </w:rPr>
        <w:t xml:space="preserve"> </w:t>
      </w:r>
      <w:r w:rsidR="006B50BE" w:rsidRPr="00813AEE">
        <w:rPr>
          <w:rFonts w:ascii="Book Antiqua" w:hAnsi="Book Antiqua" w:cs="Book Antiqua"/>
          <w:color w:val="000000" w:themeColor="text1"/>
          <w:sz w:val="24"/>
          <w:szCs w:val="24"/>
        </w:rPr>
        <w:t xml:space="preserve">Yu H </w:t>
      </w:r>
      <w:r w:rsidRPr="00813AEE">
        <w:rPr>
          <w:rFonts w:ascii="Book Antiqua" w:hAnsi="Book Antiqua" w:cs="Book Antiqua"/>
          <w:color w:val="000000" w:themeColor="text1"/>
          <w:kern w:val="0"/>
          <w:sz w:val="24"/>
          <w:szCs w:val="24"/>
        </w:rPr>
        <w:t xml:space="preserve">wrote the paper; </w:t>
      </w:r>
      <w:r w:rsidR="006B50BE" w:rsidRPr="00813AEE">
        <w:rPr>
          <w:rFonts w:ascii="Book Antiqua" w:hAnsi="Book Antiqua" w:cs="Book Antiqua"/>
          <w:color w:val="000000" w:themeColor="text1"/>
          <w:sz w:val="24"/>
          <w:szCs w:val="24"/>
        </w:rPr>
        <w:t>Morelli JN, Li Z, Shen YQ</w:t>
      </w:r>
      <w:r w:rsidR="00101C84">
        <w:rPr>
          <w:rFonts w:ascii="Book Antiqua" w:hAnsi="Book Antiqua" w:cs="Book Antiqua"/>
          <w:color w:val="000000" w:themeColor="text1"/>
          <w:sz w:val="24"/>
          <w:szCs w:val="24"/>
        </w:rPr>
        <w:t>,</w:t>
      </w:r>
      <w:r w:rsidR="006B50BE" w:rsidRPr="00813AEE">
        <w:rPr>
          <w:rFonts w:ascii="Book Antiqua" w:hAnsi="Book Antiqua" w:cs="Book Antiqua"/>
          <w:color w:val="000000" w:themeColor="text1"/>
          <w:sz w:val="24"/>
          <w:szCs w:val="24"/>
        </w:rPr>
        <w:t xml:space="preserve"> and Hu DY</w:t>
      </w:r>
      <w:r w:rsidR="006B50BE" w:rsidRPr="00813AEE">
        <w:rPr>
          <w:rFonts w:ascii="Book Antiqua" w:hAnsi="Book Antiqua" w:cs="Book Antiqua"/>
          <w:color w:val="000000" w:themeColor="text1"/>
          <w:kern w:val="0"/>
          <w:sz w:val="24"/>
          <w:szCs w:val="24"/>
        </w:rPr>
        <w:t xml:space="preserve"> </w:t>
      </w:r>
      <w:r w:rsidRPr="00813AEE">
        <w:rPr>
          <w:rFonts w:ascii="Book Antiqua" w:hAnsi="Book Antiqua" w:cs="Book Antiqua"/>
          <w:color w:val="000000" w:themeColor="text1"/>
          <w:kern w:val="0"/>
          <w:sz w:val="24"/>
          <w:szCs w:val="24"/>
        </w:rPr>
        <w:t>revised the paper.</w:t>
      </w:r>
    </w:p>
    <w:p w14:paraId="6BFC7BF8"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293BC4CC" w14:textId="68DB973A" w:rsidR="00320142" w:rsidRPr="00813AEE" w:rsidRDefault="00320142" w:rsidP="00813AEE">
      <w:pPr>
        <w:widowControl/>
        <w:adjustRightInd w:val="0"/>
        <w:snapToGrid w:val="0"/>
        <w:spacing w:line="360" w:lineRule="auto"/>
        <w:rPr>
          <w:rFonts w:ascii="Book Antiqua" w:eastAsia="等线" w:hAnsi="Book Antiqua"/>
          <w:bCs/>
          <w:color w:val="000000" w:themeColor="text1"/>
          <w:sz w:val="24"/>
          <w:szCs w:val="24"/>
        </w:rPr>
      </w:pPr>
      <w:r w:rsidRPr="00813AEE">
        <w:rPr>
          <w:rFonts w:ascii="Book Antiqua" w:eastAsia="等线" w:hAnsi="Book Antiqua"/>
          <w:b/>
          <w:bCs/>
          <w:color w:val="000000" w:themeColor="text1"/>
          <w:sz w:val="24"/>
          <w:szCs w:val="24"/>
        </w:rPr>
        <w:t xml:space="preserve">Supported by </w:t>
      </w:r>
      <w:bookmarkStart w:id="51" w:name="OLE_LINK86"/>
      <w:bookmarkStart w:id="52" w:name="OLE_LINK87"/>
      <w:r w:rsidRPr="00813AEE">
        <w:rPr>
          <w:rFonts w:ascii="Book Antiqua" w:eastAsia="等线" w:hAnsi="Book Antiqua"/>
          <w:bCs/>
          <w:color w:val="000000" w:themeColor="text1"/>
          <w:sz w:val="24"/>
          <w:szCs w:val="24"/>
        </w:rPr>
        <w:t>National Natural Science Foundation of China</w:t>
      </w:r>
      <w:bookmarkEnd w:id="51"/>
      <w:bookmarkEnd w:id="52"/>
      <w:r w:rsidRPr="00813AEE">
        <w:rPr>
          <w:rFonts w:ascii="Book Antiqua" w:eastAsia="等线" w:hAnsi="Book Antiqua"/>
          <w:bCs/>
          <w:color w:val="000000" w:themeColor="text1"/>
          <w:sz w:val="24"/>
          <w:szCs w:val="24"/>
        </w:rPr>
        <w:t xml:space="preserve">, </w:t>
      </w:r>
      <w:bookmarkStart w:id="53" w:name="OLE_LINK37"/>
      <w:bookmarkStart w:id="54" w:name="OLE_LINK108"/>
      <w:bookmarkStart w:id="55" w:name="OLE_LINK109"/>
      <w:bookmarkStart w:id="56" w:name="OLE_LINK39"/>
      <w:r w:rsidRPr="00813AEE">
        <w:rPr>
          <w:rFonts w:ascii="Book Antiqua" w:eastAsia="等线" w:hAnsi="Book Antiqua"/>
          <w:bCs/>
          <w:color w:val="000000" w:themeColor="text1"/>
          <w:sz w:val="24"/>
          <w:szCs w:val="24"/>
        </w:rPr>
        <w:t xml:space="preserve">No. </w:t>
      </w:r>
      <w:r w:rsidR="00E72B9D" w:rsidRPr="00813AEE">
        <w:rPr>
          <w:rFonts w:ascii="Book Antiqua" w:eastAsia="等线" w:hAnsi="Book Antiqua"/>
          <w:bCs/>
          <w:color w:val="000000" w:themeColor="text1"/>
          <w:sz w:val="24"/>
          <w:szCs w:val="24"/>
        </w:rPr>
        <w:t>81571642</w:t>
      </w:r>
      <w:r w:rsidR="009F5D69" w:rsidRPr="00813AEE">
        <w:rPr>
          <w:rFonts w:ascii="Book Antiqua" w:eastAsia="等线" w:hAnsi="Book Antiqua"/>
          <w:bCs/>
          <w:color w:val="000000" w:themeColor="text1"/>
          <w:sz w:val="24"/>
          <w:szCs w:val="24"/>
        </w:rPr>
        <w:t xml:space="preserve">, </w:t>
      </w:r>
      <w:bookmarkStart w:id="57" w:name="OLE_LINK31"/>
      <w:r w:rsidR="003E5393" w:rsidRPr="00813AEE">
        <w:rPr>
          <w:rFonts w:ascii="Book Antiqua" w:eastAsia="等线" w:hAnsi="Book Antiqua"/>
          <w:bCs/>
          <w:color w:val="000000" w:themeColor="text1"/>
          <w:sz w:val="24"/>
          <w:szCs w:val="24"/>
        </w:rPr>
        <w:t xml:space="preserve">No. </w:t>
      </w:r>
      <w:r w:rsidR="00B3639E" w:rsidRPr="00813AEE">
        <w:rPr>
          <w:rFonts w:ascii="Book Antiqua" w:eastAsia="等线" w:hAnsi="Book Antiqua"/>
          <w:bCs/>
          <w:color w:val="000000" w:themeColor="text1"/>
          <w:sz w:val="24"/>
          <w:szCs w:val="24"/>
        </w:rPr>
        <w:t>81701657</w:t>
      </w:r>
      <w:bookmarkEnd w:id="57"/>
      <w:r w:rsidR="00101C84">
        <w:rPr>
          <w:rFonts w:ascii="Book Antiqua" w:eastAsia="等线" w:hAnsi="Book Antiqua"/>
          <w:bCs/>
          <w:color w:val="000000" w:themeColor="text1"/>
          <w:sz w:val="24"/>
          <w:szCs w:val="24"/>
        </w:rPr>
        <w:t>,</w:t>
      </w:r>
      <w:r w:rsidR="009F5D69" w:rsidRPr="00813AEE">
        <w:rPr>
          <w:rFonts w:ascii="Book Antiqua" w:eastAsia="等线" w:hAnsi="Book Antiqua"/>
          <w:bCs/>
          <w:color w:val="000000" w:themeColor="text1"/>
          <w:sz w:val="24"/>
          <w:szCs w:val="24"/>
        </w:rPr>
        <w:t xml:space="preserve"> </w:t>
      </w:r>
      <w:bookmarkEnd w:id="53"/>
      <w:r w:rsidR="009F5D69" w:rsidRPr="00813AEE">
        <w:rPr>
          <w:rFonts w:ascii="Book Antiqua" w:eastAsia="等线" w:hAnsi="Book Antiqua"/>
          <w:bCs/>
          <w:color w:val="000000" w:themeColor="text1"/>
          <w:sz w:val="24"/>
          <w:szCs w:val="24"/>
        </w:rPr>
        <w:t xml:space="preserve">and </w:t>
      </w:r>
      <w:bookmarkStart w:id="58" w:name="OLE_LINK32"/>
      <w:r w:rsidR="003E5393" w:rsidRPr="00813AEE">
        <w:rPr>
          <w:rFonts w:ascii="Book Antiqua" w:eastAsia="等线" w:hAnsi="Book Antiqua"/>
          <w:bCs/>
          <w:color w:val="000000" w:themeColor="text1"/>
          <w:sz w:val="24"/>
          <w:szCs w:val="24"/>
        </w:rPr>
        <w:t xml:space="preserve">No. </w:t>
      </w:r>
      <w:r w:rsidR="00B3639E" w:rsidRPr="00813AEE">
        <w:rPr>
          <w:rFonts w:ascii="Book Antiqua" w:eastAsia="等线" w:hAnsi="Book Antiqua"/>
          <w:bCs/>
          <w:color w:val="000000" w:themeColor="text1"/>
          <w:sz w:val="24"/>
          <w:szCs w:val="24"/>
        </w:rPr>
        <w:t>81771801</w:t>
      </w:r>
      <w:bookmarkEnd w:id="54"/>
      <w:bookmarkEnd w:id="55"/>
      <w:bookmarkEnd w:id="56"/>
      <w:bookmarkEnd w:id="58"/>
      <w:r w:rsidRPr="00813AEE">
        <w:rPr>
          <w:rFonts w:ascii="Book Antiqua" w:eastAsia="等线" w:hAnsi="Book Antiqua"/>
          <w:bCs/>
          <w:color w:val="000000" w:themeColor="text1"/>
          <w:sz w:val="24"/>
          <w:szCs w:val="24"/>
        </w:rPr>
        <w:t xml:space="preserve">; and </w:t>
      </w:r>
      <w:r w:rsidR="00B3639E" w:rsidRPr="00813AEE">
        <w:rPr>
          <w:rFonts w:ascii="Book Antiqua" w:eastAsia="等线" w:hAnsi="Book Antiqua"/>
          <w:bCs/>
          <w:color w:val="000000" w:themeColor="text1"/>
          <w:sz w:val="24"/>
          <w:szCs w:val="24"/>
        </w:rPr>
        <w:t>the Fundamental Research Funds for the Central Universities</w:t>
      </w:r>
      <w:bookmarkStart w:id="59" w:name="OLE_LINK40"/>
      <w:r w:rsidR="001B7C13">
        <w:rPr>
          <w:rFonts w:ascii="Book Antiqua" w:eastAsia="等线" w:hAnsi="Book Antiqua"/>
          <w:bCs/>
          <w:color w:val="000000" w:themeColor="text1"/>
          <w:sz w:val="24"/>
          <w:szCs w:val="24"/>
        </w:rPr>
        <w:t xml:space="preserve">, </w:t>
      </w:r>
      <w:r w:rsidR="00B3639E" w:rsidRPr="00813AEE">
        <w:rPr>
          <w:rFonts w:ascii="Book Antiqua" w:eastAsia="等线" w:hAnsi="Book Antiqua"/>
          <w:bCs/>
          <w:color w:val="000000" w:themeColor="text1"/>
          <w:sz w:val="24"/>
          <w:szCs w:val="24"/>
        </w:rPr>
        <w:t>N</w:t>
      </w:r>
      <w:r w:rsidR="001B7C13">
        <w:rPr>
          <w:rFonts w:ascii="Book Antiqua" w:eastAsia="等线" w:hAnsi="Book Antiqua"/>
          <w:bCs/>
          <w:color w:val="000000" w:themeColor="text1"/>
          <w:sz w:val="24"/>
          <w:szCs w:val="24"/>
        </w:rPr>
        <w:t>o</w:t>
      </w:r>
      <w:r w:rsidR="00B3639E" w:rsidRPr="00813AEE">
        <w:rPr>
          <w:rFonts w:ascii="Book Antiqua" w:eastAsia="等线" w:hAnsi="Book Antiqua"/>
          <w:bCs/>
          <w:color w:val="000000" w:themeColor="text1"/>
          <w:sz w:val="24"/>
          <w:szCs w:val="24"/>
        </w:rPr>
        <w:t>.</w:t>
      </w:r>
      <w:r w:rsidR="001B7C13">
        <w:rPr>
          <w:rFonts w:ascii="Book Antiqua" w:eastAsia="等线" w:hAnsi="Book Antiqua"/>
          <w:bCs/>
          <w:color w:val="000000" w:themeColor="text1"/>
          <w:sz w:val="24"/>
          <w:szCs w:val="24"/>
        </w:rPr>
        <w:t xml:space="preserve"> </w:t>
      </w:r>
      <w:r w:rsidR="00B3639E" w:rsidRPr="00813AEE">
        <w:rPr>
          <w:rFonts w:ascii="Book Antiqua" w:eastAsia="等线" w:hAnsi="Book Antiqua"/>
          <w:bCs/>
          <w:color w:val="000000" w:themeColor="text1"/>
          <w:sz w:val="24"/>
          <w:szCs w:val="24"/>
        </w:rPr>
        <w:t>2017KFYXJJ126</w:t>
      </w:r>
      <w:bookmarkEnd w:id="59"/>
      <w:r w:rsidRPr="00813AEE">
        <w:rPr>
          <w:rFonts w:ascii="Book Antiqua" w:eastAsia="等线" w:hAnsi="Book Antiqua"/>
          <w:bCs/>
          <w:color w:val="000000" w:themeColor="text1"/>
          <w:sz w:val="24"/>
          <w:szCs w:val="24"/>
        </w:rPr>
        <w:t>.</w:t>
      </w:r>
    </w:p>
    <w:p w14:paraId="048F97C4" w14:textId="77777777" w:rsidR="00320142" w:rsidRPr="00813AEE" w:rsidRDefault="00320142"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502CBCF9" w14:textId="0A475E17" w:rsidR="00D41E21" w:rsidRPr="00813AEE" w:rsidRDefault="00D41E21" w:rsidP="00813AEE">
      <w:pPr>
        <w:autoSpaceDE w:val="0"/>
        <w:autoSpaceDN w:val="0"/>
        <w:adjustRightInd w:val="0"/>
        <w:snapToGrid w:val="0"/>
        <w:spacing w:line="360" w:lineRule="auto"/>
        <w:rPr>
          <w:rFonts w:ascii="Book Antiqua" w:hAnsi="Book Antiqua"/>
          <w:bCs/>
          <w:color w:val="000000" w:themeColor="text1"/>
          <w:kern w:val="0"/>
          <w:sz w:val="24"/>
          <w:szCs w:val="24"/>
        </w:rPr>
      </w:pPr>
      <w:r w:rsidRPr="00813AEE">
        <w:rPr>
          <w:rFonts w:ascii="Book Antiqua" w:hAnsi="Book Antiqua"/>
          <w:b/>
          <w:bCs/>
          <w:iCs/>
          <w:color w:val="000000" w:themeColor="text1"/>
          <w:sz w:val="24"/>
          <w:szCs w:val="24"/>
        </w:rPr>
        <w:t xml:space="preserve">Institutional review board statement: </w:t>
      </w:r>
      <w:r w:rsidR="00A03CFF" w:rsidRPr="00813AEE">
        <w:rPr>
          <w:rFonts w:ascii="Book Antiqua" w:hAnsi="Book Antiqua"/>
          <w:bCs/>
          <w:color w:val="000000" w:themeColor="text1"/>
          <w:sz w:val="24"/>
          <w:szCs w:val="24"/>
        </w:rPr>
        <w:t xml:space="preserve">This study was approved by the Ethics Committee of the </w:t>
      </w:r>
      <w:r w:rsidR="00B3639E" w:rsidRPr="00813AEE">
        <w:rPr>
          <w:rFonts w:ascii="Book Antiqua" w:hAnsi="Book Antiqua"/>
          <w:bCs/>
          <w:color w:val="000000" w:themeColor="text1"/>
          <w:sz w:val="24"/>
          <w:szCs w:val="24"/>
        </w:rPr>
        <w:t>Tongji Hospital of Huazhong University of Science and Technology</w:t>
      </w:r>
      <w:r w:rsidR="00A03CFF" w:rsidRPr="00813AEE">
        <w:rPr>
          <w:rFonts w:ascii="Book Antiqua" w:hAnsi="Book Antiqua"/>
          <w:bCs/>
          <w:color w:val="000000" w:themeColor="text1"/>
          <w:sz w:val="24"/>
          <w:szCs w:val="24"/>
        </w:rPr>
        <w:t>.</w:t>
      </w:r>
    </w:p>
    <w:p w14:paraId="5F5A7B3D" w14:textId="77777777" w:rsidR="00D41E21" w:rsidRPr="00813AEE" w:rsidRDefault="00D41E21" w:rsidP="00813AEE">
      <w:pPr>
        <w:autoSpaceDE w:val="0"/>
        <w:autoSpaceDN w:val="0"/>
        <w:adjustRightInd w:val="0"/>
        <w:snapToGrid w:val="0"/>
        <w:spacing w:line="360" w:lineRule="auto"/>
        <w:rPr>
          <w:rFonts w:ascii="Book Antiqua" w:hAnsi="Book Antiqua"/>
          <w:b/>
          <w:bCs/>
          <w:color w:val="000000" w:themeColor="text1"/>
          <w:kern w:val="0"/>
          <w:sz w:val="24"/>
          <w:szCs w:val="24"/>
        </w:rPr>
      </w:pPr>
    </w:p>
    <w:p w14:paraId="2D36CABF" w14:textId="0890517C"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60" w:name="OLE_LINK339"/>
      <w:bookmarkStart w:id="61" w:name="OLE_LINK340"/>
      <w:bookmarkStart w:id="62" w:name="OLE_LINK352"/>
      <w:bookmarkStart w:id="63" w:name="OLE_LINK365"/>
      <w:bookmarkStart w:id="64" w:name="OLE_LINK464"/>
      <w:bookmarkStart w:id="65" w:name="OLE_LINK815"/>
      <w:bookmarkStart w:id="66" w:name="OLE_LINK863"/>
      <w:bookmarkStart w:id="67" w:name="OLE_LINK960"/>
      <w:bookmarkStart w:id="68" w:name="OLE_LINK657"/>
      <w:bookmarkStart w:id="69" w:name="OLE_LINK1104"/>
      <w:bookmarkStart w:id="70" w:name="OLE_LINK270"/>
      <w:r w:rsidRPr="00813AEE">
        <w:rPr>
          <w:rFonts w:ascii="Book Antiqua" w:hAnsi="Book Antiqua" w:cs="Times New Roman"/>
          <w:b/>
          <w:bCs/>
          <w:iCs/>
          <w:color w:val="000000" w:themeColor="text1"/>
          <w:sz w:val="24"/>
          <w:szCs w:val="24"/>
          <w:lang w:val="en-US" w:eastAsia="zh-CN"/>
        </w:rPr>
        <w:t>Informed consent statement:</w:t>
      </w:r>
      <w:bookmarkEnd w:id="60"/>
      <w:bookmarkEnd w:id="61"/>
      <w:bookmarkEnd w:id="62"/>
      <w:bookmarkEnd w:id="63"/>
      <w:bookmarkEnd w:id="64"/>
      <w:r w:rsidR="00D41E21" w:rsidRPr="00813AEE">
        <w:rPr>
          <w:rFonts w:ascii="Book Antiqua" w:hAnsi="Book Antiqua" w:cs="Times New Roman"/>
          <w:b/>
          <w:bCs/>
          <w:iCs/>
          <w:color w:val="000000" w:themeColor="text1"/>
          <w:sz w:val="24"/>
          <w:szCs w:val="24"/>
          <w:lang w:val="en-US" w:eastAsia="zh-CN"/>
        </w:rPr>
        <w:t xml:space="preserve"> </w:t>
      </w:r>
      <w:r w:rsidR="00A03CFF" w:rsidRPr="00813AEE">
        <w:rPr>
          <w:rFonts w:ascii="Book Antiqua" w:hAnsi="Book Antiqua" w:cs="Times New Roman"/>
          <w:bCs/>
          <w:color w:val="000000" w:themeColor="text1"/>
          <w:sz w:val="24"/>
          <w:szCs w:val="24"/>
          <w:lang w:val="en-US"/>
        </w:rPr>
        <w:t>Informed consent for this study was waived due to its retrospective nature.</w:t>
      </w:r>
    </w:p>
    <w:p w14:paraId="2A0CD755"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1" w:name="OLE_LINK235"/>
      <w:bookmarkStart w:id="72" w:name="OLE_LINK236"/>
      <w:bookmarkStart w:id="73" w:name="OLE_LINK684"/>
    </w:p>
    <w:p w14:paraId="49AD9878" w14:textId="3B178904"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813AEE">
        <w:rPr>
          <w:rFonts w:ascii="Book Antiqua" w:hAnsi="Book Antiqua" w:cs="Times New Roman"/>
          <w:b/>
          <w:bCs/>
          <w:iCs/>
          <w:color w:val="000000" w:themeColor="text1"/>
          <w:sz w:val="24"/>
          <w:szCs w:val="24"/>
          <w:lang w:val="en-US" w:eastAsia="zh-CN"/>
        </w:rPr>
        <w:t>Conflict-of-interest statement:</w:t>
      </w:r>
      <w:bookmarkEnd w:id="71"/>
      <w:bookmarkEnd w:id="72"/>
      <w:bookmarkEnd w:id="73"/>
      <w:r w:rsidR="00D41E21" w:rsidRPr="00813AEE">
        <w:rPr>
          <w:rFonts w:ascii="Book Antiqua" w:hAnsi="Book Antiqua" w:cs="Times New Roman"/>
          <w:b/>
          <w:bCs/>
          <w:iCs/>
          <w:color w:val="000000" w:themeColor="text1"/>
          <w:sz w:val="24"/>
          <w:szCs w:val="24"/>
          <w:lang w:val="en-US" w:eastAsia="zh-CN"/>
        </w:rPr>
        <w:t xml:space="preserve"> </w:t>
      </w:r>
      <w:bookmarkStart w:id="74" w:name="OLE_LINK29"/>
      <w:r w:rsidR="00320142" w:rsidRPr="00813AEE">
        <w:rPr>
          <w:rFonts w:ascii="Book Antiqua" w:hAnsi="Book Antiqua" w:cs="Book Antiqua"/>
          <w:color w:val="000000" w:themeColor="text1"/>
          <w:sz w:val="24"/>
          <w:szCs w:val="24"/>
          <w:lang w:val="en-US"/>
        </w:rPr>
        <w:t>All</w:t>
      </w:r>
      <w:r w:rsidRPr="00813AEE">
        <w:rPr>
          <w:rFonts w:ascii="Book Antiqua" w:hAnsi="Book Antiqua" w:cs="Book Antiqua"/>
          <w:color w:val="000000" w:themeColor="text1"/>
          <w:sz w:val="24"/>
          <w:szCs w:val="24"/>
          <w:lang w:val="en-US"/>
        </w:rPr>
        <w:t xml:space="preserve"> authors declare no conflict of interest related to this study.</w:t>
      </w:r>
      <w:bookmarkEnd w:id="74"/>
    </w:p>
    <w:p w14:paraId="23BEFD1A"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p w14:paraId="71008930" w14:textId="77777777" w:rsidR="003D1E03" w:rsidRPr="00813AEE" w:rsidRDefault="003D1E03"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5" w:name="OLE_LINK824"/>
      <w:bookmarkStart w:id="76" w:name="OLE_LINK825"/>
      <w:bookmarkStart w:id="77" w:name="OLE_LINK2"/>
      <w:bookmarkStart w:id="78" w:name="OLE_LINK5"/>
      <w:bookmarkStart w:id="79" w:name="OLE_LINK587"/>
      <w:bookmarkStart w:id="80" w:name="OLE_LINK765"/>
      <w:bookmarkStart w:id="81" w:name="OLE_LINK186"/>
      <w:r w:rsidRPr="00813AEE">
        <w:rPr>
          <w:rFonts w:ascii="Book Antiqua" w:hAnsi="Book Antiqua" w:cs="Times New Roman"/>
          <w:b/>
          <w:bCs/>
          <w:iCs/>
          <w:color w:val="000000" w:themeColor="text1"/>
          <w:sz w:val="24"/>
          <w:szCs w:val="24"/>
          <w:lang w:val="en-US" w:eastAsia="zh-CN"/>
        </w:rPr>
        <w:t>Data sharing statement:</w:t>
      </w:r>
      <w:bookmarkEnd w:id="75"/>
      <w:bookmarkEnd w:id="76"/>
      <w:r w:rsidRPr="00813AEE">
        <w:rPr>
          <w:rFonts w:ascii="Book Antiqua" w:hAnsi="Book Antiqua" w:cs="Times New Roman"/>
          <w:b/>
          <w:bCs/>
          <w:iCs/>
          <w:color w:val="000000" w:themeColor="text1"/>
          <w:sz w:val="24"/>
          <w:szCs w:val="24"/>
          <w:lang w:val="en-US" w:eastAsia="zh-CN"/>
        </w:rPr>
        <w:t xml:space="preserve"> </w:t>
      </w:r>
      <w:bookmarkEnd w:id="77"/>
      <w:bookmarkEnd w:id="78"/>
      <w:bookmarkEnd w:id="79"/>
      <w:bookmarkEnd w:id="80"/>
      <w:bookmarkEnd w:id="81"/>
      <w:r w:rsidRPr="00813AEE">
        <w:rPr>
          <w:rFonts w:ascii="Book Antiqua" w:hAnsi="Book Antiqua"/>
          <w:bCs/>
          <w:iCs/>
          <w:color w:val="000000" w:themeColor="text1"/>
          <w:sz w:val="24"/>
          <w:szCs w:val="24"/>
          <w:lang w:val="en-US"/>
        </w:rPr>
        <w:t>No additional data are available.</w:t>
      </w:r>
    </w:p>
    <w:p w14:paraId="3C9BDFDD" w14:textId="4F1D755A" w:rsidR="00DD5A5C" w:rsidRDefault="00DD5A5C" w:rsidP="00813AE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82" w:name="OLE_LINK474"/>
      <w:bookmarkStart w:id="83" w:name="OLE_LINK328"/>
      <w:bookmarkStart w:id="84" w:name="OLE_LINK472"/>
      <w:bookmarkEnd w:id="65"/>
      <w:bookmarkEnd w:id="66"/>
      <w:bookmarkEnd w:id="67"/>
      <w:bookmarkEnd w:id="68"/>
      <w:bookmarkEnd w:id="69"/>
      <w:bookmarkEnd w:id="70"/>
    </w:p>
    <w:p w14:paraId="229F0FB9" w14:textId="77777777" w:rsidR="001B7C13" w:rsidRPr="001B7C13" w:rsidRDefault="001B7C13" w:rsidP="001B7C13">
      <w:pPr>
        <w:widowControl/>
        <w:snapToGrid w:val="0"/>
        <w:spacing w:line="360" w:lineRule="auto"/>
        <w:rPr>
          <w:rFonts w:ascii="Book Antiqua" w:hAnsi="Book Antiqua"/>
          <w:kern w:val="0"/>
          <w:sz w:val="24"/>
          <w:szCs w:val="24"/>
        </w:rPr>
      </w:pPr>
      <w:bookmarkStart w:id="85" w:name="OLE_LINK375"/>
      <w:bookmarkStart w:id="86" w:name="OLE_LINK381"/>
      <w:bookmarkStart w:id="87" w:name="OLE_LINK413"/>
      <w:r w:rsidRPr="001B7C13">
        <w:rPr>
          <w:rFonts w:ascii="Book Antiqua" w:hAnsi="Book Antiqua"/>
          <w:b/>
          <w:color w:val="000000"/>
          <w:kern w:val="0"/>
          <w:sz w:val="24"/>
          <w:szCs w:val="24"/>
        </w:rPr>
        <w:t xml:space="preserve">Open-Access: </w:t>
      </w:r>
      <w:r w:rsidRPr="001B7C13">
        <w:rPr>
          <w:rFonts w:ascii="Book Antiqua" w:hAnsi="Book Antiqua"/>
          <w:color w:val="000000"/>
          <w:kern w:val="0"/>
          <w:sz w:val="24"/>
          <w:szCs w:val="24"/>
        </w:rPr>
        <w:t xml:space="preserve">This is an </w:t>
      </w:r>
      <w:r w:rsidRPr="001B7C13">
        <w:rPr>
          <w:rFonts w:ascii="Book Antiqua" w:hAnsi="Book Antiqua" w:cs="宋体"/>
          <w:kern w:val="0"/>
          <w:sz w:val="24"/>
          <w:szCs w:val="24"/>
        </w:rPr>
        <w:t xml:space="preserve">open-access article that was </w:t>
      </w:r>
      <w:r w:rsidRPr="001B7C13">
        <w:rPr>
          <w:rFonts w:ascii="Book Antiqua" w:hAnsi="Book Antiqua"/>
          <w:kern w:val="0"/>
          <w:sz w:val="24"/>
          <w:szCs w:val="24"/>
        </w:rPr>
        <w:t xml:space="preserve">selected by an in-house editor and fully peer-reviewed by external reviewers. It is </w:t>
      </w:r>
      <w:r w:rsidRPr="001B7C13">
        <w:rPr>
          <w:rFonts w:ascii="Book Antiqua" w:hAnsi="Book Antiqua" w:cs="宋体"/>
          <w:kern w:val="0"/>
          <w:sz w:val="24"/>
          <w:szCs w:val="24"/>
        </w:rPr>
        <w:t xml:space="preserve">distributed in accordance with </w:t>
      </w:r>
      <w:r w:rsidRPr="001B7C13">
        <w:rPr>
          <w:rFonts w:ascii="Book Antiqua" w:hAnsi="Book Antiqua"/>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1B7C13">
          <w:rPr>
            <w:rFonts w:ascii="Book Antiqua" w:hAnsi="Book Antiqua"/>
            <w:color w:val="0000FF"/>
            <w:kern w:val="0"/>
            <w:sz w:val="24"/>
            <w:szCs w:val="24"/>
            <w:u w:val="single"/>
          </w:rPr>
          <w:t>http://creativecommons.org/licenses/by-nc/4.0/</w:t>
        </w:r>
      </w:hyperlink>
    </w:p>
    <w:p w14:paraId="4B2AEB4C" w14:textId="77777777" w:rsidR="001B7C13" w:rsidRPr="001B7C13" w:rsidRDefault="001B7C13" w:rsidP="001B7C13">
      <w:pPr>
        <w:widowControl/>
        <w:snapToGrid w:val="0"/>
        <w:spacing w:line="360" w:lineRule="auto"/>
        <w:rPr>
          <w:rFonts w:ascii="Book Antiqua" w:hAnsi="Book Antiqua"/>
          <w:kern w:val="0"/>
          <w:sz w:val="24"/>
          <w:szCs w:val="24"/>
        </w:rPr>
      </w:pPr>
    </w:p>
    <w:p w14:paraId="382BEB77" w14:textId="67039304" w:rsidR="001B7C13" w:rsidRDefault="001B7C13" w:rsidP="001B7C13">
      <w:pPr>
        <w:pStyle w:val="10"/>
        <w:adjustRightInd w:val="0"/>
        <w:snapToGrid w:val="0"/>
        <w:spacing w:line="360" w:lineRule="auto"/>
        <w:jc w:val="both"/>
        <w:rPr>
          <w:rFonts w:ascii="Book Antiqua" w:hAnsi="Book Antiqua" w:cs="Times New Roman"/>
          <w:bCs/>
          <w:color w:val="auto"/>
          <w:sz w:val="24"/>
          <w:szCs w:val="24"/>
          <w:lang w:val="en-US" w:eastAsia="zh-CN"/>
        </w:rPr>
      </w:pPr>
      <w:r w:rsidRPr="001B7C13">
        <w:rPr>
          <w:rFonts w:ascii="Book Antiqua" w:hAnsi="Book Antiqua" w:cs="Times New Roman"/>
          <w:b/>
          <w:bCs/>
          <w:color w:val="auto"/>
          <w:sz w:val="24"/>
          <w:szCs w:val="24"/>
          <w:highlight w:val="white"/>
          <w:lang w:val="en-US" w:eastAsia="zh-CN"/>
        </w:rPr>
        <w:t>Manuscript source:</w:t>
      </w:r>
      <w:r w:rsidRPr="001B7C13">
        <w:rPr>
          <w:rFonts w:ascii="Book Antiqua" w:hAnsi="Book Antiqua" w:cs="Times New Roman" w:hint="eastAsia"/>
          <w:b/>
          <w:bCs/>
          <w:color w:val="auto"/>
          <w:sz w:val="24"/>
          <w:szCs w:val="24"/>
          <w:highlight w:val="white"/>
          <w:lang w:val="en-US" w:eastAsia="zh-CN"/>
        </w:rPr>
        <w:t xml:space="preserve"> </w:t>
      </w:r>
      <w:r w:rsidRPr="001B7C13">
        <w:rPr>
          <w:rFonts w:ascii="Book Antiqua" w:hAnsi="Book Antiqua" w:cs="Times New Roman"/>
          <w:bCs/>
          <w:color w:val="auto"/>
          <w:sz w:val="24"/>
          <w:szCs w:val="24"/>
          <w:highlight w:val="white"/>
          <w:lang w:val="en-US" w:eastAsia="zh-CN"/>
        </w:rPr>
        <w:t>Unsolicited manuscript</w:t>
      </w:r>
      <w:bookmarkEnd w:id="85"/>
      <w:bookmarkEnd w:id="86"/>
      <w:bookmarkEnd w:id="87"/>
    </w:p>
    <w:p w14:paraId="0F2BE1F0" w14:textId="77777777" w:rsidR="001B7C13" w:rsidRPr="00813AEE" w:rsidRDefault="001B7C13" w:rsidP="001B7C13">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bookmarkEnd w:id="82"/>
    <w:bookmarkEnd w:id="83"/>
    <w:bookmarkEnd w:id="84"/>
    <w:p w14:paraId="57891EA5" w14:textId="5CB05658" w:rsidR="00D41E21" w:rsidRPr="00813AEE" w:rsidRDefault="00DD5A5C"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b/>
          <w:bCs/>
          <w:color w:val="000000" w:themeColor="text1"/>
          <w:kern w:val="0"/>
          <w:sz w:val="24"/>
          <w:szCs w:val="24"/>
        </w:rPr>
        <w:t>Correspond</w:t>
      </w:r>
      <w:r w:rsidR="000D6DF9" w:rsidRPr="00813AEE">
        <w:rPr>
          <w:rFonts w:ascii="Book Antiqua" w:hAnsi="Book Antiqua"/>
          <w:b/>
          <w:bCs/>
          <w:color w:val="000000" w:themeColor="text1"/>
          <w:kern w:val="0"/>
          <w:sz w:val="24"/>
          <w:szCs w:val="24"/>
        </w:rPr>
        <w:t>ing</w:t>
      </w:r>
      <w:r w:rsidRPr="00813AEE">
        <w:rPr>
          <w:rFonts w:ascii="Book Antiqua" w:hAnsi="Book Antiqua"/>
          <w:b/>
          <w:bCs/>
          <w:color w:val="000000" w:themeColor="text1"/>
          <w:kern w:val="0"/>
          <w:sz w:val="24"/>
          <w:szCs w:val="24"/>
        </w:rPr>
        <w:t xml:space="preserve"> </w:t>
      </w:r>
      <w:r w:rsidR="007D21DC" w:rsidRPr="00813AEE">
        <w:rPr>
          <w:rFonts w:ascii="Book Antiqua" w:hAnsi="Book Antiqua"/>
          <w:b/>
          <w:bCs/>
          <w:color w:val="000000" w:themeColor="text1"/>
          <w:kern w:val="0"/>
          <w:sz w:val="24"/>
          <w:szCs w:val="24"/>
        </w:rPr>
        <w:t>author</w:t>
      </w:r>
      <w:r w:rsidRPr="00813AEE">
        <w:rPr>
          <w:rFonts w:ascii="Book Antiqua" w:hAnsi="Book Antiqua"/>
          <w:b/>
          <w:bCs/>
          <w:color w:val="000000" w:themeColor="text1"/>
          <w:kern w:val="0"/>
          <w:sz w:val="24"/>
          <w:szCs w:val="24"/>
        </w:rPr>
        <w:t>:</w:t>
      </w:r>
      <w:r w:rsidRPr="00813AEE">
        <w:rPr>
          <w:rFonts w:ascii="Book Antiqua" w:hAnsi="Book Antiqua"/>
          <w:bCs/>
          <w:color w:val="000000" w:themeColor="text1"/>
          <w:kern w:val="0"/>
          <w:sz w:val="24"/>
          <w:szCs w:val="24"/>
        </w:rPr>
        <w:t xml:space="preserve"> </w:t>
      </w:r>
      <w:bookmarkStart w:id="88" w:name="OLE_LINK43"/>
      <w:r w:rsidR="00584057">
        <w:rPr>
          <w:rFonts w:ascii="Book Antiqua" w:hAnsi="Book Antiqua"/>
          <w:b/>
          <w:color w:val="000000" w:themeColor="text1"/>
          <w:sz w:val="24"/>
          <w:szCs w:val="24"/>
        </w:rPr>
        <w:t>Dao-Yu Hu</w:t>
      </w:r>
      <w:r w:rsidR="001B7C13">
        <w:rPr>
          <w:rFonts w:ascii="Book Antiqua" w:hAnsi="Book Antiqua"/>
          <w:b/>
          <w:color w:val="000000" w:themeColor="text1"/>
          <w:sz w:val="24"/>
          <w:szCs w:val="24"/>
        </w:rPr>
        <w:t>,</w:t>
      </w:r>
      <w:r w:rsidR="00A95C9E" w:rsidRPr="00813AEE">
        <w:rPr>
          <w:rFonts w:ascii="Book Antiqua" w:hAnsi="Book Antiqua"/>
          <w:b/>
          <w:color w:val="000000" w:themeColor="text1"/>
          <w:sz w:val="24"/>
          <w:szCs w:val="24"/>
        </w:rPr>
        <w:t xml:space="preserve"> MD, PhD</w:t>
      </w:r>
      <w:r w:rsidR="00D41E21" w:rsidRPr="00813AEE">
        <w:rPr>
          <w:rFonts w:ascii="Book Antiqua" w:hAnsi="Book Antiqua"/>
          <w:b/>
          <w:color w:val="000000" w:themeColor="text1"/>
          <w:kern w:val="0"/>
          <w:sz w:val="24"/>
          <w:szCs w:val="24"/>
        </w:rPr>
        <w:t xml:space="preserve">, </w:t>
      </w:r>
      <w:r w:rsidR="00AD36A5" w:rsidRPr="00813AEE">
        <w:rPr>
          <w:rFonts w:ascii="Book Antiqua" w:hAnsi="Book Antiqua"/>
          <w:b/>
          <w:color w:val="000000" w:themeColor="text1"/>
          <w:kern w:val="0"/>
          <w:sz w:val="24"/>
          <w:szCs w:val="24"/>
        </w:rPr>
        <w:t xml:space="preserve">Doctor, </w:t>
      </w:r>
      <w:r w:rsidR="00D41E21" w:rsidRPr="00813AEE">
        <w:rPr>
          <w:rFonts w:ascii="Book Antiqua" w:hAnsi="Book Antiqua"/>
          <w:b/>
          <w:color w:val="000000" w:themeColor="text1"/>
          <w:kern w:val="0"/>
          <w:sz w:val="24"/>
          <w:szCs w:val="24"/>
        </w:rPr>
        <w:t>Professor,</w:t>
      </w:r>
      <w:r w:rsidR="00D41E21" w:rsidRPr="00813AEE">
        <w:rPr>
          <w:rFonts w:ascii="Book Antiqua" w:hAnsi="Book Antiqua"/>
          <w:color w:val="000000" w:themeColor="text1"/>
          <w:kern w:val="0"/>
          <w:sz w:val="24"/>
          <w:szCs w:val="24"/>
        </w:rPr>
        <w:t xml:space="preserve"> </w:t>
      </w:r>
      <w:r w:rsidRPr="00813AEE">
        <w:rPr>
          <w:rFonts w:ascii="Book Antiqua" w:hAnsi="Book Antiqua"/>
          <w:color w:val="000000" w:themeColor="text1"/>
          <w:kern w:val="0"/>
          <w:sz w:val="24"/>
          <w:szCs w:val="24"/>
        </w:rPr>
        <w:t xml:space="preserve">Department of Radiology, </w:t>
      </w:r>
      <w:r w:rsidR="00A95C9E" w:rsidRPr="00813AEE">
        <w:rPr>
          <w:rFonts w:ascii="Book Antiqua" w:hAnsi="Book Antiqua"/>
          <w:color w:val="000000" w:themeColor="text1"/>
          <w:kern w:val="0"/>
          <w:sz w:val="24"/>
          <w:szCs w:val="24"/>
        </w:rPr>
        <w:t>Tongji Hospital, Tongji Medical College, Huazhong University of Science and Technology, 1095 Jiefang Avenue, Wuhan 430030, Hubei</w:t>
      </w:r>
      <w:r w:rsidR="001B7C13">
        <w:rPr>
          <w:rFonts w:ascii="Book Antiqua" w:hAnsi="Book Antiqua"/>
          <w:color w:val="000000" w:themeColor="text1"/>
          <w:kern w:val="0"/>
          <w:sz w:val="24"/>
          <w:szCs w:val="24"/>
        </w:rPr>
        <w:t xml:space="preserve"> Province</w:t>
      </w:r>
      <w:r w:rsidR="00A95C9E" w:rsidRPr="00813AEE">
        <w:rPr>
          <w:rFonts w:ascii="Book Antiqua" w:hAnsi="Book Antiqua"/>
          <w:color w:val="000000" w:themeColor="text1"/>
          <w:kern w:val="0"/>
          <w:sz w:val="24"/>
          <w:szCs w:val="24"/>
        </w:rPr>
        <w:t>, China. daoyuhu@hust.edu.cn</w:t>
      </w:r>
    </w:p>
    <w:bookmarkEnd w:id="88"/>
    <w:p w14:paraId="42697236" w14:textId="2D5193D5" w:rsidR="00D41E21"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b/>
          <w:color w:val="000000" w:themeColor="text1"/>
          <w:kern w:val="0"/>
          <w:sz w:val="24"/>
          <w:szCs w:val="24"/>
        </w:rPr>
        <w:t>Telephone:</w:t>
      </w:r>
      <w:r w:rsidRPr="00813AEE">
        <w:rPr>
          <w:rFonts w:ascii="Book Antiqua" w:hAnsi="Book Antiqua"/>
          <w:color w:val="000000" w:themeColor="text1"/>
          <w:kern w:val="0"/>
          <w:sz w:val="24"/>
          <w:szCs w:val="24"/>
        </w:rPr>
        <w:t xml:space="preserve"> +86-</w:t>
      </w:r>
      <w:r w:rsidR="00A95C9E" w:rsidRPr="00813AEE">
        <w:rPr>
          <w:rFonts w:ascii="Book Antiqua" w:hAnsi="Book Antiqua"/>
          <w:color w:val="000000" w:themeColor="text1"/>
          <w:kern w:val="0"/>
          <w:sz w:val="24"/>
          <w:szCs w:val="24"/>
        </w:rPr>
        <w:t>13986297890</w:t>
      </w:r>
    </w:p>
    <w:p w14:paraId="624F6C63" w14:textId="73ED4E66" w:rsidR="00DD5A5C"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b/>
          <w:color w:val="000000" w:themeColor="text1"/>
          <w:kern w:val="0"/>
          <w:sz w:val="24"/>
          <w:szCs w:val="24"/>
        </w:rPr>
        <w:t>Fax:</w:t>
      </w:r>
      <w:r w:rsidRPr="00813AEE">
        <w:rPr>
          <w:rFonts w:ascii="Book Antiqua" w:hAnsi="Book Antiqua"/>
          <w:color w:val="000000" w:themeColor="text1"/>
          <w:kern w:val="0"/>
          <w:sz w:val="24"/>
          <w:szCs w:val="24"/>
        </w:rPr>
        <w:t xml:space="preserve"> </w:t>
      </w:r>
      <w:r w:rsidRPr="00813AEE">
        <w:rPr>
          <w:rFonts w:ascii="Book Antiqua" w:hAnsi="Book Antiqua"/>
          <w:color w:val="000000" w:themeColor="text1"/>
          <w:sz w:val="24"/>
          <w:szCs w:val="24"/>
        </w:rPr>
        <w:t>+86-</w:t>
      </w:r>
      <w:r w:rsidR="00A95C9E" w:rsidRPr="00813AEE">
        <w:rPr>
          <w:rFonts w:ascii="Book Antiqua" w:hAnsi="Book Antiqua"/>
          <w:color w:val="000000" w:themeColor="text1"/>
          <w:sz w:val="24"/>
          <w:szCs w:val="24"/>
        </w:rPr>
        <w:t>27-83662640</w:t>
      </w:r>
    </w:p>
    <w:bookmarkEnd w:id="17"/>
    <w:p w14:paraId="1BFE0BF3" w14:textId="175B3408" w:rsidR="00BA25D8" w:rsidRDefault="00BA25D8" w:rsidP="00813AEE">
      <w:pPr>
        <w:adjustRightInd w:val="0"/>
        <w:snapToGrid w:val="0"/>
        <w:spacing w:line="360" w:lineRule="auto"/>
        <w:rPr>
          <w:rFonts w:ascii="Book Antiqua" w:hAnsi="Book Antiqua"/>
          <w:b/>
          <w:bCs/>
          <w:color w:val="000000" w:themeColor="text1"/>
          <w:sz w:val="24"/>
          <w:szCs w:val="24"/>
        </w:rPr>
      </w:pPr>
    </w:p>
    <w:p w14:paraId="4A1BE18B" w14:textId="3482ABD2" w:rsidR="000A37CC" w:rsidRPr="000A37CC" w:rsidRDefault="000A37CC" w:rsidP="000A37CC">
      <w:pPr>
        <w:widowControl/>
        <w:adjustRightInd w:val="0"/>
        <w:snapToGrid w:val="0"/>
        <w:spacing w:line="360" w:lineRule="auto"/>
        <w:rPr>
          <w:rFonts w:ascii="Book Antiqua" w:hAnsi="Book Antiqua"/>
          <w:b/>
          <w:kern w:val="0"/>
          <w:sz w:val="24"/>
          <w:szCs w:val="24"/>
        </w:rPr>
      </w:pPr>
      <w:bookmarkStart w:id="89" w:name="OLE_LINK382"/>
      <w:bookmarkStart w:id="90" w:name="OLE_LINK376"/>
      <w:r w:rsidRPr="000A37CC">
        <w:rPr>
          <w:rFonts w:ascii="Book Antiqua" w:hAnsi="Book Antiqua"/>
          <w:b/>
          <w:kern w:val="0"/>
          <w:sz w:val="24"/>
          <w:szCs w:val="24"/>
        </w:rPr>
        <w:t xml:space="preserve">Received: </w:t>
      </w:r>
      <w:r>
        <w:rPr>
          <w:rFonts w:ascii="Book Antiqua" w:hAnsi="Book Antiqua"/>
          <w:kern w:val="0"/>
          <w:sz w:val="24"/>
          <w:szCs w:val="24"/>
        </w:rPr>
        <w:t>April</w:t>
      </w:r>
      <w:r w:rsidRPr="000A37CC">
        <w:rPr>
          <w:rFonts w:ascii="Book Antiqua" w:eastAsia="等线" w:hAnsi="Book Antiqua"/>
          <w:kern w:val="0"/>
          <w:sz w:val="24"/>
          <w:szCs w:val="24"/>
        </w:rPr>
        <w:t xml:space="preserve"> </w:t>
      </w:r>
      <w:r>
        <w:rPr>
          <w:rFonts w:ascii="Book Antiqua" w:eastAsia="等线" w:hAnsi="Book Antiqua"/>
          <w:kern w:val="0"/>
          <w:sz w:val="24"/>
          <w:szCs w:val="24"/>
        </w:rPr>
        <w:t>1</w:t>
      </w:r>
      <w:r w:rsidRPr="000A37CC">
        <w:rPr>
          <w:rFonts w:ascii="Book Antiqua" w:eastAsia="等线" w:hAnsi="Book Antiqua"/>
          <w:kern w:val="0"/>
          <w:sz w:val="24"/>
          <w:szCs w:val="24"/>
        </w:rPr>
        <w:t>7, 201</w:t>
      </w:r>
      <w:r w:rsidR="004612AF">
        <w:rPr>
          <w:rFonts w:ascii="Book Antiqua" w:eastAsia="等线" w:hAnsi="Book Antiqua"/>
          <w:kern w:val="0"/>
          <w:sz w:val="24"/>
          <w:szCs w:val="24"/>
        </w:rPr>
        <w:t>9</w:t>
      </w:r>
    </w:p>
    <w:p w14:paraId="2AA87680" w14:textId="1265A280" w:rsidR="000A37CC" w:rsidRPr="000A37CC" w:rsidRDefault="000A37CC" w:rsidP="000A37CC">
      <w:pPr>
        <w:widowControl/>
        <w:adjustRightInd w:val="0"/>
        <w:snapToGrid w:val="0"/>
        <w:spacing w:line="360" w:lineRule="auto"/>
        <w:rPr>
          <w:rFonts w:ascii="Book Antiqua" w:eastAsia="等线" w:hAnsi="Book Antiqua"/>
          <w:b/>
          <w:kern w:val="0"/>
          <w:sz w:val="24"/>
          <w:szCs w:val="24"/>
        </w:rPr>
      </w:pPr>
      <w:r w:rsidRPr="000A37CC">
        <w:rPr>
          <w:rFonts w:ascii="Book Antiqua" w:hAnsi="Book Antiqua"/>
          <w:b/>
          <w:kern w:val="0"/>
          <w:sz w:val="24"/>
          <w:szCs w:val="24"/>
        </w:rPr>
        <w:t>Peer-review started:</w:t>
      </w:r>
      <w:r w:rsidRPr="000A37CC">
        <w:rPr>
          <w:rFonts w:ascii="Book Antiqua" w:eastAsia="等线" w:hAnsi="Book Antiqua"/>
          <w:b/>
          <w:kern w:val="0"/>
          <w:sz w:val="24"/>
          <w:szCs w:val="24"/>
        </w:rPr>
        <w:t xml:space="preserve"> </w:t>
      </w:r>
      <w:r w:rsidR="004612AF">
        <w:rPr>
          <w:rFonts w:ascii="Book Antiqua" w:hAnsi="Book Antiqua"/>
          <w:kern w:val="0"/>
          <w:sz w:val="24"/>
          <w:szCs w:val="24"/>
        </w:rPr>
        <w:t>April</w:t>
      </w:r>
      <w:r w:rsidR="004612AF"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1</w:t>
      </w:r>
      <w:r w:rsidR="004612AF" w:rsidRPr="000A37CC">
        <w:rPr>
          <w:rFonts w:ascii="Book Antiqua" w:eastAsia="等线" w:hAnsi="Book Antiqua"/>
          <w:kern w:val="0"/>
          <w:sz w:val="24"/>
          <w:szCs w:val="24"/>
        </w:rPr>
        <w:t>7, 201</w:t>
      </w:r>
      <w:r w:rsidR="004612AF">
        <w:rPr>
          <w:rFonts w:ascii="Book Antiqua" w:eastAsia="等线" w:hAnsi="Book Antiqua"/>
          <w:kern w:val="0"/>
          <w:sz w:val="24"/>
          <w:szCs w:val="24"/>
        </w:rPr>
        <w:t>9</w:t>
      </w:r>
    </w:p>
    <w:p w14:paraId="1BD6E0A6" w14:textId="644C7B7B" w:rsidR="000A37CC" w:rsidRPr="000A37CC" w:rsidRDefault="000A37CC" w:rsidP="000A37CC">
      <w:pPr>
        <w:widowControl/>
        <w:adjustRightInd w:val="0"/>
        <w:snapToGrid w:val="0"/>
        <w:spacing w:line="360" w:lineRule="auto"/>
        <w:rPr>
          <w:rFonts w:ascii="Book Antiqua" w:eastAsia="等线" w:hAnsi="Book Antiqua"/>
          <w:b/>
          <w:kern w:val="0"/>
          <w:sz w:val="24"/>
          <w:szCs w:val="24"/>
        </w:rPr>
      </w:pPr>
      <w:r w:rsidRPr="000A37CC">
        <w:rPr>
          <w:rFonts w:ascii="Book Antiqua" w:hAnsi="Book Antiqua"/>
          <w:b/>
          <w:kern w:val="0"/>
          <w:sz w:val="24"/>
          <w:szCs w:val="24"/>
        </w:rPr>
        <w:lastRenderedPageBreak/>
        <w:t>First decision:</w:t>
      </w:r>
      <w:r w:rsidRPr="000A37CC">
        <w:rPr>
          <w:rFonts w:ascii="Book Antiqua" w:eastAsia="等线" w:hAnsi="Book Antiqua"/>
          <w:b/>
          <w:kern w:val="0"/>
          <w:sz w:val="24"/>
          <w:szCs w:val="24"/>
        </w:rPr>
        <w:t xml:space="preserve"> </w:t>
      </w:r>
      <w:bookmarkStart w:id="91" w:name="OLE_LINK63"/>
      <w:bookmarkStart w:id="92" w:name="OLE_LINK64"/>
      <w:r w:rsidRPr="000A37CC">
        <w:rPr>
          <w:rFonts w:ascii="Book Antiqua" w:hAnsi="Book Antiqua"/>
          <w:kern w:val="0"/>
          <w:sz w:val="24"/>
          <w:szCs w:val="24"/>
        </w:rPr>
        <w:t>May</w:t>
      </w:r>
      <w:r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9</w:t>
      </w:r>
      <w:r w:rsidRPr="000A37CC">
        <w:rPr>
          <w:rFonts w:ascii="Book Antiqua" w:eastAsia="等线" w:hAnsi="Book Antiqua"/>
          <w:kern w:val="0"/>
          <w:sz w:val="24"/>
          <w:szCs w:val="24"/>
        </w:rPr>
        <w:t>, 201</w:t>
      </w:r>
      <w:r w:rsidR="004612AF">
        <w:rPr>
          <w:rFonts w:ascii="Book Antiqua" w:eastAsia="等线" w:hAnsi="Book Antiqua"/>
          <w:kern w:val="0"/>
          <w:sz w:val="24"/>
          <w:szCs w:val="24"/>
        </w:rPr>
        <w:t>9</w:t>
      </w:r>
      <w:bookmarkEnd w:id="91"/>
      <w:bookmarkEnd w:id="92"/>
    </w:p>
    <w:p w14:paraId="1D74F31C" w14:textId="06AFDA56"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 xml:space="preserve">Revised: </w:t>
      </w:r>
      <w:r w:rsidR="004612AF" w:rsidRPr="000A37CC">
        <w:rPr>
          <w:rFonts w:ascii="Book Antiqua" w:hAnsi="Book Antiqua"/>
          <w:kern w:val="0"/>
          <w:sz w:val="24"/>
          <w:szCs w:val="24"/>
        </w:rPr>
        <w:t>May</w:t>
      </w:r>
      <w:r w:rsidR="004612AF" w:rsidRPr="000A37CC">
        <w:rPr>
          <w:rFonts w:ascii="Book Antiqua" w:eastAsia="等线" w:hAnsi="Book Antiqua"/>
          <w:kern w:val="0"/>
          <w:sz w:val="24"/>
          <w:szCs w:val="24"/>
        </w:rPr>
        <w:t xml:space="preserve"> </w:t>
      </w:r>
      <w:r w:rsidR="004612AF">
        <w:rPr>
          <w:rFonts w:ascii="Book Antiqua" w:eastAsia="等线" w:hAnsi="Book Antiqua"/>
          <w:kern w:val="0"/>
          <w:sz w:val="24"/>
          <w:szCs w:val="24"/>
        </w:rPr>
        <w:t>20</w:t>
      </w:r>
      <w:r w:rsidR="004612AF" w:rsidRPr="000A37CC">
        <w:rPr>
          <w:rFonts w:ascii="Book Antiqua" w:eastAsia="等线" w:hAnsi="Book Antiqua"/>
          <w:kern w:val="0"/>
          <w:sz w:val="24"/>
          <w:szCs w:val="24"/>
        </w:rPr>
        <w:t>, 201</w:t>
      </w:r>
      <w:r w:rsidR="004612AF">
        <w:rPr>
          <w:rFonts w:ascii="Book Antiqua" w:eastAsia="等线" w:hAnsi="Book Antiqua"/>
          <w:kern w:val="0"/>
          <w:sz w:val="24"/>
          <w:szCs w:val="24"/>
        </w:rPr>
        <w:t>9</w:t>
      </w:r>
    </w:p>
    <w:p w14:paraId="2A9F327E" w14:textId="6ACBADB0"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Accepted:</w:t>
      </w:r>
      <w:r w:rsidR="00125A35" w:rsidRPr="00125A35">
        <w:t xml:space="preserve"> </w:t>
      </w:r>
      <w:r w:rsidR="00125A35" w:rsidRPr="00125A35">
        <w:rPr>
          <w:rFonts w:ascii="Book Antiqua" w:hAnsi="Book Antiqua"/>
          <w:bCs/>
          <w:kern w:val="0"/>
          <w:sz w:val="24"/>
          <w:szCs w:val="24"/>
        </w:rPr>
        <w:t>June 8, 2019</w:t>
      </w:r>
      <w:r w:rsidRPr="000A37CC">
        <w:rPr>
          <w:rFonts w:ascii="Book Antiqua" w:hAnsi="Book Antiqua"/>
          <w:b/>
          <w:kern w:val="0"/>
          <w:sz w:val="24"/>
          <w:szCs w:val="24"/>
        </w:rPr>
        <w:t xml:space="preserve"> </w:t>
      </w:r>
    </w:p>
    <w:p w14:paraId="3860E3E4" w14:textId="77777777" w:rsidR="000A37CC" w:rsidRPr="000A37CC" w:rsidRDefault="000A37CC" w:rsidP="000A37CC">
      <w:pPr>
        <w:widowControl/>
        <w:adjustRightInd w:val="0"/>
        <w:snapToGrid w:val="0"/>
        <w:spacing w:line="360" w:lineRule="auto"/>
        <w:rPr>
          <w:rFonts w:ascii="Book Antiqua" w:hAnsi="Book Antiqua"/>
          <w:b/>
          <w:kern w:val="0"/>
          <w:sz w:val="24"/>
          <w:szCs w:val="24"/>
        </w:rPr>
      </w:pPr>
      <w:r w:rsidRPr="000A37CC">
        <w:rPr>
          <w:rFonts w:ascii="Book Antiqua" w:hAnsi="Book Antiqua"/>
          <w:b/>
          <w:kern w:val="0"/>
          <w:sz w:val="24"/>
          <w:szCs w:val="24"/>
        </w:rPr>
        <w:t>Article in press:</w:t>
      </w:r>
    </w:p>
    <w:p w14:paraId="78136CAE" w14:textId="77777777" w:rsidR="000A37CC" w:rsidRPr="000A37CC" w:rsidRDefault="000A37CC" w:rsidP="000A37CC">
      <w:pPr>
        <w:widowControl/>
        <w:snapToGrid w:val="0"/>
        <w:spacing w:line="360" w:lineRule="auto"/>
        <w:rPr>
          <w:rFonts w:ascii="Book Antiqua" w:hAnsi="Book Antiqua"/>
          <w:color w:val="000000"/>
          <w:kern w:val="0"/>
          <w:sz w:val="24"/>
          <w:szCs w:val="24"/>
        </w:rPr>
      </w:pPr>
      <w:r w:rsidRPr="000A37CC">
        <w:rPr>
          <w:rFonts w:ascii="Book Antiqua" w:hAnsi="Book Antiqua"/>
          <w:b/>
          <w:kern w:val="0"/>
          <w:sz w:val="24"/>
          <w:szCs w:val="24"/>
        </w:rPr>
        <w:t>Published online:</w:t>
      </w:r>
      <w:bookmarkEnd w:id="89"/>
    </w:p>
    <w:bookmarkEnd w:id="90"/>
    <w:p w14:paraId="070FE7F4" w14:textId="2EB72F4D" w:rsidR="00DD5A5C" w:rsidRPr="00813AEE" w:rsidRDefault="000A37CC" w:rsidP="00813AEE">
      <w:pPr>
        <w:adjustRightInd w:val="0"/>
        <w:snapToGrid w:val="0"/>
        <w:spacing w:line="360" w:lineRule="auto"/>
        <w:rPr>
          <w:rFonts w:ascii="Book Antiqua" w:hAnsi="Book Antiqua"/>
          <w:b/>
          <w:bCs/>
          <w:color w:val="000000" w:themeColor="text1"/>
          <w:sz w:val="24"/>
          <w:szCs w:val="24"/>
        </w:rPr>
      </w:pPr>
      <w:r w:rsidRPr="000A37CC">
        <w:rPr>
          <w:rFonts w:ascii="Book Antiqua" w:hAnsi="Book Antiqua"/>
          <w:kern w:val="0"/>
          <w:sz w:val="24"/>
          <w:szCs w:val="24"/>
        </w:rPr>
        <w:br w:type="page"/>
      </w:r>
      <w:r w:rsidR="00DD5A5C" w:rsidRPr="00813AEE">
        <w:rPr>
          <w:rFonts w:ascii="Book Antiqua" w:hAnsi="Book Antiqua"/>
          <w:b/>
          <w:bCs/>
          <w:color w:val="000000" w:themeColor="text1"/>
          <w:sz w:val="24"/>
          <w:szCs w:val="24"/>
        </w:rPr>
        <w:lastRenderedPageBreak/>
        <w:t>Abstract</w:t>
      </w:r>
    </w:p>
    <w:p w14:paraId="084240BA" w14:textId="77777777" w:rsidR="0052524D" w:rsidRPr="00813AEE" w:rsidRDefault="0052524D" w:rsidP="00813AEE">
      <w:pPr>
        <w:adjustRightInd w:val="0"/>
        <w:snapToGrid w:val="0"/>
        <w:spacing w:line="360" w:lineRule="auto"/>
        <w:rPr>
          <w:rFonts w:ascii="Book Antiqua" w:hAnsi="Book Antiqua"/>
          <w:b/>
          <w:i/>
          <w:color w:val="000000" w:themeColor="text1"/>
          <w:sz w:val="24"/>
          <w:szCs w:val="24"/>
        </w:rPr>
      </w:pPr>
      <w:bookmarkStart w:id="93" w:name="OLE_LINK61"/>
      <w:r w:rsidRPr="00813AEE">
        <w:rPr>
          <w:rFonts w:ascii="Book Antiqua" w:hAnsi="Book Antiqua"/>
          <w:b/>
          <w:i/>
          <w:color w:val="000000" w:themeColor="text1"/>
          <w:sz w:val="24"/>
          <w:szCs w:val="24"/>
        </w:rPr>
        <w:t>BACKGROUND</w:t>
      </w:r>
      <w:bookmarkEnd w:id="93"/>
    </w:p>
    <w:p w14:paraId="70B9E52D" w14:textId="0795CBA3" w:rsidR="0052524D" w:rsidRPr="00813AEE" w:rsidRDefault="00922B15" w:rsidP="00813AEE">
      <w:pPr>
        <w:autoSpaceDE w:val="0"/>
        <w:autoSpaceDN w:val="0"/>
        <w:adjustRightInd w:val="0"/>
        <w:snapToGrid w:val="0"/>
        <w:spacing w:line="360" w:lineRule="auto"/>
        <w:rPr>
          <w:rFonts w:ascii="Book Antiqua" w:hAnsi="Book Antiqua"/>
          <w:color w:val="000000" w:themeColor="text1"/>
          <w:sz w:val="24"/>
          <w:szCs w:val="24"/>
        </w:rPr>
      </w:pPr>
      <w:bookmarkStart w:id="94" w:name="OLE_LINK41"/>
      <w:bookmarkStart w:id="95" w:name="OLE_LINK53"/>
      <w:r w:rsidRPr="00813AEE">
        <w:rPr>
          <w:rFonts w:ascii="Book Antiqua" w:hAnsi="Book Antiqua"/>
          <w:color w:val="000000" w:themeColor="text1"/>
          <w:sz w:val="24"/>
          <w:szCs w:val="24"/>
        </w:rPr>
        <w:t>Magnetic resonance</w:t>
      </w:r>
      <w:bookmarkStart w:id="96" w:name="OLE_LINK25"/>
      <w:bookmarkEnd w:id="94"/>
      <w:bookmarkEnd w:id="95"/>
      <w:r w:rsidRPr="00813AEE">
        <w:rPr>
          <w:rFonts w:ascii="Book Antiqua" w:hAnsi="Book Antiqua"/>
          <w:color w:val="000000" w:themeColor="text1"/>
          <w:sz w:val="24"/>
          <w:szCs w:val="24"/>
        </w:rPr>
        <w:t xml:space="preserve"> enterography </w:t>
      </w:r>
      <w:bookmarkEnd w:id="96"/>
      <w:r w:rsidRPr="00813AEE">
        <w:rPr>
          <w:rFonts w:ascii="Book Antiqua" w:hAnsi="Book Antiqua"/>
          <w:color w:val="000000" w:themeColor="text1"/>
          <w:sz w:val="24"/>
          <w:szCs w:val="24"/>
        </w:rPr>
        <w:t xml:space="preserve">(MRE) is increasingly attractive as </w:t>
      </w:r>
      <w:r w:rsidR="00006114" w:rsidRPr="00813AEE">
        <w:rPr>
          <w:rFonts w:ascii="Book Antiqua" w:hAnsi="Book Antiqua"/>
          <w:color w:val="000000" w:themeColor="text1"/>
          <w:sz w:val="24"/>
          <w:szCs w:val="24"/>
        </w:rPr>
        <w:t>a</w:t>
      </w:r>
      <w:r w:rsidRPr="00813AEE">
        <w:rPr>
          <w:rFonts w:ascii="Book Antiqua" w:hAnsi="Book Antiqua"/>
          <w:color w:val="000000" w:themeColor="text1"/>
          <w:sz w:val="24"/>
          <w:szCs w:val="24"/>
        </w:rPr>
        <w:t xml:space="preserve"> noninvasive and radiation-free tool for assessing </w:t>
      </w:r>
      <w:r w:rsidR="002975A4" w:rsidRPr="00813AEE">
        <w:rPr>
          <w:rFonts w:ascii="Book Antiqua" w:hAnsi="Book Antiqua"/>
          <w:color w:val="000000" w:themeColor="text1"/>
          <w:sz w:val="24"/>
          <w:szCs w:val="24"/>
        </w:rPr>
        <w:t>Crohn’s</w:t>
      </w:r>
      <w:r w:rsidRPr="00813AEE">
        <w:rPr>
          <w:rFonts w:ascii="Book Antiqua" w:hAnsi="Book Antiqua"/>
          <w:color w:val="000000" w:themeColor="text1"/>
          <w:sz w:val="24"/>
          <w:szCs w:val="24"/>
        </w:rPr>
        <w:t xml:space="preserve"> disease (CD).</w:t>
      </w:r>
      <w:r w:rsidR="002B01D6" w:rsidRPr="00813AEE">
        <w:rPr>
          <w:rFonts w:ascii="Book Antiqua" w:hAnsi="Book Antiqua"/>
          <w:color w:val="000000" w:themeColor="text1"/>
          <w:sz w:val="24"/>
          <w:szCs w:val="24"/>
        </w:rPr>
        <w:t xml:space="preserve">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2B01D6" w:rsidRPr="00813AEE">
        <w:rPr>
          <w:rFonts w:ascii="Book Antiqua" w:hAnsi="Book Antiqua"/>
          <w:color w:val="000000" w:themeColor="text1"/>
          <w:sz w:val="24"/>
          <w:szCs w:val="24"/>
        </w:rPr>
        <w:t xml:space="preserve">weighted imaging (DWI) is recommended as an optional MRE sequence for CD by </w:t>
      </w:r>
      <w:r w:rsidR="00101C84">
        <w:rPr>
          <w:rFonts w:ascii="Book Antiqua" w:hAnsi="Book Antiqua"/>
          <w:color w:val="000000" w:themeColor="text1"/>
          <w:sz w:val="24"/>
          <w:szCs w:val="24"/>
        </w:rPr>
        <w:t xml:space="preserve">the </w:t>
      </w:r>
      <w:r w:rsidR="002B01D6" w:rsidRPr="00813AEE">
        <w:rPr>
          <w:rFonts w:ascii="Book Antiqua" w:hAnsi="Book Antiqua"/>
          <w:color w:val="000000" w:themeColor="text1"/>
          <w:sz w:val="24"/>
          <w:szCs w:val="24"/>
        </w:rPr>
        <w:t xml:space="preserve">European Society of Gastrointestinal and Abdominal Radiology, and has shown </w:t>
      </w:r>
      <w:r w:rsidR="00101C84">
        <w:rPr>
          <w:rFonts w:ascii="Book Antiqua" w:hAnsi="Book Antiqua"/>
          <w:color w:val="000000" w:themeColor="text1"/>
          <w:sz w:val="24"/>
          <w:szCs w:val="24"/>
        </w:rPr>
        <w:t xml:space="preserve">a </w:t>
      </w:r>
      <w:r w:rsidR="005F2E42" w:rsidRPr="00813AEE">
        <w:rPr>
          <w:rFonts w:ascii="Book Antiqua" w:hAnsi="Book Antiqua"/>
          <w:color w:val="000000" w:themeColor="text1"/>
          <w:sz w:val="24"/>
          <w:szCs w:val="24"/>
        </w:rPr>
        <w:t xml:space="preserve">superb </w:t>
      </w:r>
      <w:r w:rsidR="002B01D6" w:rsidRPr="00813AEE">
        <w:rPr>
          <w:rFonts w:ascii="Book Antiqua" w:hAnsi="Book Antiqua"/>
          <w:color w:val="000000" w:themeColor="text1"/>
          <w:sz w:val="24"/>
          <w:szCs w:val="24"/>
        </w:rPr>
        <w:t xml:space="preserve">potential as </w:t>
      </w:r>
      <w:r w:rsidR="00101C84">
        <w:rPr>
          <w:rFonts w:ascii="Book Antiqua" w:hAnsi="Book Antiqua"/>
          <w:color w:val="000000" w:themeColor="text1"/>
          <w:sz w:val="24"/>
          <w:szCs w:val="24"/>
        </w:rPr>
        <w:t xml:space="preserve">a </w:t>
      </w:r>
      <w:r w:rsidR="002B01D6" w:rsidRPr="00813AEE">
        <w:rPr>
          <w:rFonts w:ascii="Book Antiqua" w:hAnsi="Book Antiqua"/>
          <w:color w:val="000000" w:themeColor="text1"/>
          <w:sz w:val="24"/>
          <w:szCs w:val="24"/>
        </w:rPr>
        <w:t xml:space="preserve">quantitative </w:t>
      </w:r>
      <w:r w:rsidR="00006114" w:rsidRPr="00813AEE">
        <w:rPr>
          <w:rFonts w:ascii="Book Antiqua" w:hAnsi="Book Antiqua"/>
          <w:color w:val="000000" w:themeColor="text1"/>
          <w:sz w:val="24"/>
          <w:szCs w:val="24"/>
        </w:rPr>
        <w:t>modality</w:t>
      </w:r>
      <w:r w:rsidR="002B01D6" w:rsidRPr="00813AEE">
        <w:rPr>
          <w:rFonts w:ascii="Book Antiqua" w:hAnsi="Book Antiqua"/>
          <w:color w:val="000000" w:themeColor="text1"/>
          <w:sz w:val="24"/>
          <w:szCs w:val="24"/>
        </w:rPr>
        <w:t xml:space="preserve"> for bowel inflammation evaluation.</w:t>
      </w:r>
      <w:r w:rsidRPr="00813AEE">
        <w:rPr>
          <w:rFonts w:ascii="Book Antiqua" w:hAnsi="Book Antiqua"/>
          <w:color w:val="000000" w:themeColor="text1"/>
          <w:sz w:val="24"/>
          <w:szCs w:val="24"/>
        </w:rPr>
        <w:t xml:space="preserve"> </w:t>
      </w:r>
      <w:r w:rsidR="00006114" w:rsidRPr="00813AEE">
        <w:rPr>
          <w:rFonts w:ascii="Book Antiqua" w:hAnsi="Book Antiqua"/>
          <w:color w:val="000000" w:themeColor="text1"/>
          <w:sz w:val="24"/>
          <w:szCs w:val="24"/>
        </w:rPr>
        <w:t>However, the measurement reproducibility of quantitative DWI analysis in MRE ha</w:t>
      </w:r>
      <w:r w:rsidR="00A4123F" w:rsidRPr="00813AEE">
        <w:rPr>
          <w:rFonts w:ascii="Book Antiqua" w:hAnsi="Book Antiqua"/>
          <w:color w:val="000000" w:themeColor="text1"/>
          <w:sz w:val="24"/>
          <w:szCs w:val="24"/>
        </w:rPr>
        <w:t>s</w:t>
      </w:r>
      <w:r w:rsidR="00006114" w:rsidRPr="00813AEE">
        <w:rPr>
          <w:rFonts w:ascii="Book Antiqua" w:hAnsi="Book Antiqua"/>
          <w:color w:val="000000" w:themeColor="text1"/>
          <w:sz w:val="24"/>
          <w:szCs w:val="24"/>
        </w:rPr>
        <w:t xml:space="preserve"> not been ascertained so far. </w:t>
      </w:r>
      <w:r w:rsidR="00A50739" w:rsidRPr="00813AEE">
        <w:rPr>
          <w:rFonts w:ascii="Book Antiqua" w:hAnsi="Book Antiqua"/>
          <w:color w:val="000000" w:themeColor="text1"/>
          <w:sz w:val="24"/>
          <w:szCs w:val="24"/>
        </w:rPr>
        <w:t xml:space="preserve">To facilitate the application of quantitative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894B23" w:rsidRPr="00813AEE">
        <w:rPr>
          <w:rFonts w:ascii="Book Antiqua" w:hAnsi="Book Antiqua"/>
          <w:color w:val="000000" w:themeColor="text1"/>
          <w:sz w:val="24"/>
          <w:szCs w:val="24"/>
        </w:rPr>
        <w:t xml:space="preserve">weighted </w:t>
      </w:r>
      <w:r w:rsidR="00A50739" w:rsidRPr="00813AEE">
        <w:rPr>
          <w:rFonts w:ascii="Book Antiqua" w:hAnsi="Book Antiqua"/>
          <w:color w:val="000000" w:themeColor="text1"/>
          <w:sz w:val="24"/>
          <w:szCs w:val="24"/>
        </w:rPr>
        <w:t xml:space="preserve">MRE in the clinical routine, </w:t>
      </w:r>
      <w:r w:rsidR="00217C00" w:rsidRPr="00813AEE">
        <w:rPr>
          <w:rFonts w:ascii="Book Antiqua" w:hAnsi="Book Antiqua"/>
          <w:color w:val="000000" w:themeColor="text1"/>
          <w:sz w:val="24"/>
          <w:szCs w:val="24"/>
        </w:rPr>
        <w:t>systematic investigations</w:t>
      </w:r>
      <w:r w:rsidR="00A50739" w:rsidRPr="00813AEE">
        <w:rPr>
          <w:rFonts w:ascii="Book Antiqua" w:hAnsi="Book Antiqua"/>
          <w:color w:val="000000" w:themeColor="text1"/>
          <w:sz w:val="24"/>
          <w:szCs w:val="24"/>
        </w:rPr>
        <w:t xml:space="preserve"> of the intra and interobserver reproducibility of DWI quantitative parameters should be performed.</w:t>
      </w:r>
    </w:p>
    <w:p w14:paraId="2699E5BC"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790F36D5" w14:textId="329DB63F"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AIM</w:t>
      </w:r>
    </w:p>
    <w:p w14:paraId="57B78BE7" w14:textId="412F0513" w:rsidR="00DD5A5C" w:rsidRPr="00813AEE" w:rsidRDefault="00F56E7A" w:rsidP="00813AEE">
      <w:pPr>
        <w:adjustRightInd w:val="0"/>
        <w:snapToGrid w:val="0"/>
        <w:spacing w:line="360" w:lineRule="auto"/>
        <w:rPr>
          <w:rFonts w:ascii="Book Antiqua" w:hAnsi="Book Antiqua"/>
          <w:bCs/>
          <w:color w:val="000000" w:themeColor="text1"/>
          <w:sz w:val="24"/>
          <w:szCs w:val="24"/>
        </w:rPr>
      </w:pPr>
      <w:r w:rsidRPr="00813AEE">
        <w:rPr>
          <w:rFonts w:ascii="Book Antiqua" w:hAnsi="Book Antiqua"/>
          <w:bCs/>
          <w:color w:val="000000" w:themeColor="text1"/>
          <w:sz w:val="24"/>
          <w:szCs w:val="24"/>
        </w:rPr>
        <w:t xml:space="preserve">To evaluate </w:t>
      </w:r>
      <w:r w:rsidR="00101C84">
        <w:rPr>
          <w:rFonts w:ascii="Book Antiqua" w:hAnsi="Book Antiqua"/>
          <w:bCs/>
          <w:color w:val="000000" w:themeColor="text1"/>
          <w:sz w:val="24"/>
          <w:szCs w:val="24"/>
        </w:rPr>
        <w:t xml:space="preserve">the </w:t>
      </w:r>
      <w:r w:rsidRPr="00813AEE">
        <w:rPr>
          <w:rFonts w:ascii="Book Antiqua" w:hAnsi="Book Antiqua"/>
          <w:bCs/>
          <w:color w:val="000000" w:themeColor="text1"/>
          <w:sz w:val="24"/>
          <w:szCs w:val="24"/>
        </w:rPr>
        <w:t xml:space="preserve">intra and interobserver reproducibility of </w:t>
      </w:r>
      <w:r w:rsidR="00CC047E" w:rsidRPr="00813AEE">
        <w:rPr>
          <w:rFonts w:ascii="Book Antiqua" w:hAnsi="Book Antiqua"/>
          <w:bCs/>
          <w:color w:val="000000" w:themeColor="text1"/>
          <w:sz w:val="24"/>
          <w:szCs w:val="24"/>
        </w:rPr>
        <w:t xml:space="preserve">quantitative analysis for </w:t>
      </w:r>
      <w:r w:rsidR="00101C84" w:rsidRPr="00813AEE">
        <w:rPr>
          <w:rFonts w:ascii="Book Antiqua" w:hAnsi="Book Antiqua"/>
          <w:color w:val="000000" w:themeColor="text1"/>
          <w:sz w:val="24"/>
          <w:szCs w:val="24"/>
        </w:rPr>
        <w:t>diffusion</w:t>
      </w:r>
      <w:r w:rsidR="00101C84">
        <w:rPr>
          <w:rFonts w:ascii="Book Antiqua" w:hAnsi="Book Antiqua"/>
          <w:color w:val="000000" w:themeColor="text1"/>
          <w:sz w:val="24"/>
          <w:szCs w:val="24"/>
        </w:rPr>
        <w:t>-</w:t>
      </w:r>
      <w:r w:rsidR="00CC047E" w:rsidRPr="00813AEE">
        <w:rPr>
          <w:rFonts w:ascii="Book Antiqua" w:hAnsi="Book Antiqua"/>
          <w:color w:val="000000" w:themeColor="text1"/>
          <w:sz w:val="24"/>
          <w:szCs w:val="24"/>
        </w:rPr>
        <w:t>weighted</w:t>
      </w:r>
      <w:r w:rsidR="00CC047E" w:rsidRPr="00813AEE">
        <w:rPr>
          <w:rFonts w:ascii="Book Antiqua" w:hAnsi="Book Antiqua"/>
          <w:bCs/>
          <w:color w:val="000000" w:themeColor="text1"/>
          <w:sz w:val="24"/>
          <w:szCs w:val="24"/>
        </w:rPr>
        <w:t xml:space="preserve"> MR</w:t>
      </w:r>
      <w:r w:rsidR="00CC0FD7">
        <w:rPr>
          <w:rFonts w:ascii="Book Antiqua" w:hAnsi="Book Antiqua"/>
          <w:bCs/>
          <w:color w:val="000000" w:themeColor="text1"/>
          <w:sz w:val="24"/>
          <w:szCs w:val="24"/>
        </w:rPr>
        <w:t>E</w:t>
      </w:r>
      <w:r w:rsidR="00CC047E" w:rsidRPr="00813AEE">
        <w:rPr>
          <w:rFonts w:ascii="Book Antiqua" w:hAnsi="Book Antiqua"/>
          <w:bCs/>
          <w:color w:val="000000" w:themeColor="text1"/>
          <w:sz w:val="24"/>
          <w:szCs w:val="24"/>
        </w:rPr>
        <w:t xml:space="preserve"> (DW-MRE)</w:t>
      </w:r>
      <w:r w:rsidRPr="00813AEE">
        <w:rPr>
          <w:rFonts w:ascii="Book Antiqua" w:hAnsi="Book Antiqua"/>
          <w:bCs/>
          <w:color w:val="000000" w:themeColor="text1"/>
          <w:sz w:val="24"/>
          <w:szCs w:val="24"/>
        </w:rPr>
        <w:t xml:space="preserve"> in ileal</w:t>
      </w:r>
      <w:r w:rsidR="00101C84">
        <w:rPr>
          <w:rFonts w:ascii="Book Antiqua" w:hAnsi="Book Antiqua"/>
          <w:bCs/>
          <w:color w:val="000000" w:themeColor="text1"/>
          <w:sz w:val="24"/>
          <w:szCs w:val="24"/>
        </w:rPr>
        <w:t xml:space="preserve"> </w:t>
      </w:r>
      <w:r w:rsidR="004A5935" w:rsidRPr="00813AEE">
        <w:rPr>
          <w:rFonts w:ascii="Book Antiqua" w:hAnsi="Book Antiqua"/>
          <w:bCs/>
          <w:color w:val="000000" w:themeColor="text1"/>
          <w:sz w:val="24"/>
          <w:szCs w:val="24"/>
        </w:rPr>
        <w:t>CD</w:t>
      </w:r>
      <w:r w:rsidRPr="00813AEE">
        <w:rPr>
          <w:rFonts w:ascii="Book Antiqua" w:hAnsi="Book Antiqua"/>
          <w:bCs/>
          <w:color w:val="000000" w:themeColor="text1"/>
          <w:sz w:val="24"/>
          <w:szCs w:val="24"/>
        </w:rPr>
        <w:t>.</w:t>
      </w:r>
    </w:p>
    <w:p w14:paraId="377F06F1"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1F3A2637" w14:textId="59BFA7C1"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METHODS</w:t>
      </w:r>
    </w:p>
    <w:p w14:paraId="14D8DD95" w14:textId="4AC252FF" w:rsidR="00DD5A5C" w:rsidRPr="00813AEE" w:rsidRDefault="00F56E7A" w:rsidP="00813AEE">
      <w:pPr>
        <w:adjustRightInd w:val="0"/>
        <w:snapToGrid w:val="0"/>
        <w:spacing w:line="360" w:lineRule="auto"/>
        <w:rPr>
          <w:rFonts w:ascii="Book Antiqua" w:hAnsi="Book Antiqua"/>
          <w:bCs/>
          <w:iCs/>
          <w:color w:val="000000" w:themeColor="text1"/>
          <w:sz w:val="24"/>
          <w:szCs w:val="24"/>
        </w:rPr>
      </w:pPr>
      <w:r w:rsidRPr="00813AEE">
        <w:rPr>
          <w:rFonts w:ascii="Book Antiqua" w:hAnsi="Book Antiqua"/>
          <w:bCs/>
          <w:iCs/>
          <w:color w:val="000000" w:themeColor="text1"/>
          <w:sz w:val="24"/>
          <w:szCs w:val="24"/>
        </w:rPr>
        <w:t>Forty-four subjects (21 with CD</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 xml:space="preserve">and 23 control subjects) who </w:t>
      </w:r>
      <w:r w:rsidR="00101C84" w:rsidRPr="00813AEE">
        <w:rPr>
          <w:rFonts w:ascii="Book Antiqua" w:hAnsi="Book Antiqua"/>
          <w:bCs/>
          <w:iCs/>
          <w:color w:val="000000" w:themeColor="text1"/>
          <w:sz w:val="24"/>
          <w:szCs w:val="24"/>
        </w:rPr>
        <w:t>under</w:t>
      </w:r>
      <w:r w:rsidR="00101C84">
        <w:rPr>
          <w:rFonts w:ascii="Book Antiqua" w:hAnsi="Book Antiqua"/>
          <w:bCs/>
          <w:iCs/>
          <w:color w:val="000000" w:themeColor="text1"/>
          <w:sz w:val="24"/>
          <w:szCs w:val="24"/>
        </w:rPr>
        <w:t xml:space="preserve">went </w:t>
      </w:r>
      <w:r w:rsidRPr="00813AEE">
        <w:rPr>
          <w:rFonts w:ascii="Book Antiqua" w:hAnsi="Book Antiqua"/>
          <w:bCs/>
          <w:iCs/>
          <w:color w:val="000000" w:themeColor="text1"/>
          <w:sz w:val="24"/>
          <w:szCs w:val="24"/>
        </w:rPr>
        <w:t>ileocolonoscopy and DW-MRE (b</w:t>
      </w:r>
      <w:r w:rsidR="00CC047E" w:rsidRPr="00813AEE">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w:t>
      </w:r>
      <w:r w:rsidR="00CC047E" w:rsidRPr="00813AEE">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800 s/mm</w:t>
      </w:r>
      <w:r w:rsidRPr="00813AEE">
        <w:rPr>
          <w:rFonts w:ascii="Book Antiqua" w:hAnsi="Book Antiqua"/>
          <w:bCs/>
          <w:iCs/>
          <w:color w:val="000000" w:themeColor="text1"/>
          <w:sz w:val="24"/>
          <w:szCs w:val="24"/>
          <w:vertAlign w:val="superscript"/>
        </w:rPr>
        <w:t>2</w:t>
      </w:r>
      <w:r w:rsidRPr="00813AEE">
        <w:rPr>
          <w:rFonts w:ascii="Book Antiqua" w:hAnsi="Book Antiqua"/>
          <w:bCs/>
          <w:iCs/>
          <w:color w:val="000000" w:themeColor="text1"/>
          <w:sz w:val="24"/>
          <w:szCs w:val="24"/>
        </w:rPr>
        <w:t xml:space="preserve">) within </w:t>
      </w:r>
      <w:r w:rsidR="00C424D1" w:rsidRPr="00813AEE">
        <w:rPr>
          <w:rFonts w:ascii="Book Antiqua" w:hAnsi="Book Antiqua"/>
          <w:bCs/>
          <w:iCs/>
          <w:color w:val="000000" w:themeColor="text1"/>
          <w:sz w:val="24"/>
          <w:szCs w:val="24"/>
        </w:rPr>
        <w:t>one</w:t>
      </w:r>
      <w:r w:rsidRPr="00813AEE">
        <w:rPr>
          <w:rFonts w:ascii="Book Antiqua" w:hAnsi="Book Antiqua"/>
          <w:bCs/>
          <w:iCs/>
          <w:color w:val="000000" w:themeColor="text1"/>
          <w:sz w:val="24"/>
          <w:szCs w:val="24"/>
        </w:rPr>
        <w:t xml:space="preserve"> week were included. Two radiologists independently measured </w:t>
      </w:r>
      <w:bookmarkStart w:id="97" w:name="OLE_LINK52"/>
      <w:r w:rsidRPr="00813AEE">
        <w:rPr>
          <w:rFonts w:ascii="Book Antiqua" w:hAnsi="Book Antiqua"/>
          <w:bCs/>
          <w:iCs/>
          <w:color w:val="000000" w:themeColor="text1"/>
          <w:sz w:val="24"/>
          <w:szCs w:val="24"/>
        </w:rPr>
        <w:t>apparent diffusion coefficient</w:t>
      </w:r>
      <w:bookmarkEnd w:id="97"/>
      <w:r w:rsidRPr="00813AEE">
        <w:rPr>
          <w:rFonts w:ascii="Book Antiqua" w:hAnsi="Book Antiqua"/>
          <w:bCs/>
          <w:iCs/>
          <w:color w:val="000000" w:themeColor="text1"/>
          <w:sz w:val="24"/>
          <w:szCs w:val="24"/>
        </w:rPr>
        <w:t xml:space="preserve">s (ADC) of </w:t>
      </w:r>
      <w:r w:rsidR="00101C84">
        <w:rPr>
          <w:rFonts w:ascii="Book Antiqua" w:hAnsi="Book Antiqua"/>
          <w:bCs/>
          <w:iCs/>
          <w:color w:val="000000" w:themeColor="text1"/>
          <w:sz w:val="24"/>
          <w:szCs w:val="24"/>
        </w:rPr>
        <w:t xml:space="preserve">the </w:t>
      </w:r>
      <w:r w:rsidRPr="00813AEE">
        <w:rPr>
          <w:rFonts w:ascii="Book Antiqua" w:hAnsi="Book Antiqua"/>
          <w:bCs/>
          <w:iCs/>
          <w:color w:val="000000" w:themeColor="text1"/>
          <w:sz w:val="24"/>
          <w:szCs w:val="24"/>
        </w:rPr>
        <w:t xml:space="preserve">terminal ileum and signal intensity ratio (SR) of </w:t>
      </w:r>
      <w:r w:rsidR="00496A13">
        <w:rPr>
          <w:rFonts w:ascii="Book Antiqua" w:hAnsi="Book Antiqua"/>
          <w:bCs/>
          <w:iCs/>
          <w:color w:val="000000" w:themeColor="text1"/>
          <w:sz w:val="24"/>
          <w:szCs w:val="24"/>
        </w:rPr>
        <w:t>th</w:t>
      </w:r>
      <w:r w:rsidR="00496A13">
        <w:rPr>
          <w:rFonts w:ascii="Book Antiqua" w:hAnsi="Book Antiqua"/>
          <w:bCs/>
          <w:iCs/>
          <w:color w:val="000000" w:themeColor="text1"/>
          <w:sz w:val="24"/>
          <w:szCs w:val="24"/>
        </w:rPr>
        <w:t>e</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ter</w:t>
      </w:r>
      <w:r w:rsidRPr="00813AEE">
        <w:rPr>
          <w:rFonts w:ascii="Book Antiqua" w:hAnsi="Book Antiqua"/>
          <w:bCs/>
          <w:iCs/>
          <w:color w:val="000000" w:themeColor="text1"/>
          <w:sz w:val="24"/>
          <w:szCs w:val="24"/>
        </w:rPr>
        <w:t>minal ileum to ipsilateral psoas muscle on</w:t>
      </w:r>
      <w:r w:rsidR="00101C84">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DWI images</w:t>
      </w:r>
      <w:r w:rsidR="00101C84">
        <w:rPr>
          <w:rFonts w:ascii="Book Antiqua" w:hAnsi="Book Antiqua"/>
          <w:bCs/>
          <w:iCs/>
          <w:color w:val="000000" w:themeColor="text1"/>
          <w:sz w:val="24"/>
          <w:szCs w:val="24"/>
        </w:rPr>
        <w:t xml:space="preserve"> (</w:t>
      </w:r>
      <w:r w:rsidR="00101C84" w:rsidRPr="00813AEE">
        <w:rPr>
          <w:rFonts w:ascii="Book Antiqua" w:hAnsi="Book Antiqua"/>
          <w:bCs/>
          <w:iCs/>
          <w:color w:val="000000" w:themeColor="text1"/>
          <w:sz w:val="24"/>
          <w:szCs w:val="24"/>
        </w:rPr>
        <w:t>b = 800 s/mm</w:t>
      </w:r>
      <w:r w:rsidR="00101C84" w:rsidRPr="00813AEE">
        <w:rPr>
          <w:rFonts w:ascii="Book Antiqua" w:hAnsi="Book Antiqua"/>
          <w:bCs/>
          <w:iCs/>
          <w:color w:val="000000" w:themeColor="text1"/>
          <w:sz w:val="24"/>
          <w:szCs w:val="24"/>
          <w:vertAlign w:val="superscript"/>
        </w:rPr>
        <w:t>2</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 Between</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 xml:space="preserve"> and </w:t>
      </w:r>
      <w:r w:rsidR="00101C84" w:rsidRPr="00813AEE">
        <w:rPr>
          <w:rFonts w:ascii="Book Antiqua" w:hAnsi="Book Antiqua"/>
          <w:bCs/>
          <w:iCs/>
          <w:color w:val="000000" w:themeColor="text1"/>
          <w:sz w:val="24"/>
          <w:szCs w:val="24"/>
        </w:rPr>
        <w:t>within</w:t>
      </w:r>
      <w:r w:rsidR="00101C84">
        <w:rPr>
          <w:rFonts w:ascii="Book Antiqua" w:hAnsi="Book Antiqua"/>
          <w:bCs/>
          <w:iCs/>
          <w:color w:val="000000" w:themeColor="text1"/>
          <w:sz w:val="24"/>
          <w:szCs w:val="24"/>
        </w:rPr>
        <w:t>-</w:t>
      </w:r>
      <w:r w:rsidRPr="00813AEE">
        <w:rPr>
          <w:rFonts w:ascii="Book Antiqua" w:hAnsi="Book Antiqua"/>
          <w:bCs/>
          <w:iCs/>
          <w:color w:val="000000" w:themeColor="text1"/>
          <w:sz w:val="24"/>
          <w:szCs w:val="24"/>
        </w:rPr>
        <w:t>reader agreements were assessed using intraclass correlation coefficients (ICC), coefficients of variation (CoV), and</w:t>
      </w:r>
      <w:r w:rsidR="00BE084D">
        <w:rPr>
          <w:rFonts w:ascii="Book Antiqua" w:hAnsi="Book Antiqua"/>
          <w:bCs/>
          <w:iCs/>
          <w:color w:val="000000" w:themeColor="text1"/>
          <w:sz w:val="24"/>
          <w:szCs w:val="24"/>
        </w:rPr>
        <w:t xml:space="preserve"> </w:t>
      </w:r>
      <w:r w:rsidRPr="00813AEE">
        <w:rPr>
          <w:rFonts w:ascii="Book Antiqua" w:hAnsi="Book Antiqua"/>
          <w:bCs/>
          <w:iCs/>
          <w:color w:val="000000" w:themeColor="text1"/>
          <w:sz w:val="24"/>
          <w:szCs w:val="24"/>
        </w:rPr>
        <w:t>95% limits of agreement</w:t>
      </w:r>
      <w:r w:rsidR="00BE084D">
        <w:rPr>
          <w:rFonts w:ascii="Book Antiqua" w:hAnsi="Book Antiqua"/>
          <w:bCs/>
          <w:iCs/>
          <w:color w:val="000000" w:themeColor="text1"/>
          <w:sz w:val="24"/>
          <w:szCs w:val="24"/>
        </w:rPr>
        <w:t xml:space="preserve"> of </w:t>
      </w:r>
      <w:r w:rsidR="00BE084D" w:rsidRPr="00813AEE">
        <w:rPr>
          <w:rFonts w:ascii="Book Antiqua" w:hAnsi="Book Antiqua"/>
          <w:bCs/>
          <w:iCs/>
          <w:color w:val="000000" w:themeColor="text1"/>
          <w:sz w:val="24"/>
          <w:szCs w:val="24"/>
        </w:rPr>
        <w:t>Bland-Altman plots</w:t>
      </w:r>
      <w:r w:rsidRPr="00813AEE">
        <w:rPr>
          <w:rFonts w:ascii="Book Antiqua" w:hAnsi="Book Antiqua"/>
          <w:bCs/>
          <w:iCs/>
          <w:color w:val="000000" w:themeColor="text1"/>
          <w:sz w:val="24"/>
          <w:szCs w:val="24"/>
        </w:rPr>
        <w:t xml:space="preserve"> (BA-LA LoA). Diagnostic performances of ADC and SR for identifying inflamed terminal ileum from </w:t>
      </w:r>
      <w:r w:rsidR="008D4AFF">
        <w:rPr>
          <w:rFonts w:ascii="Book Antiqua" w:hAnsi="Book Antiqua"/>
          <w:bCs/>
          <w:iCs/>
          <w:color w:val="000000" w:themeColor="text1"/>
          <w:sz w:val="24"/>
          <w:szCs w:val="24"/>
        </w:rPr>
        <w:t xml:space="preserve">the </w:t>
      </w:r>
      <w:r w:rsidRPr="00813AEE">
        <w:rPr>
          <w:rFonts w:ascii="Book Antiqua" w:hAnsi="Book Antiqua"/>
          <w:bCs/>
          <w:iCs/>
          <w:color w:val="000000" w:themeColor="text1"/>
          <w:sz w:val="24"/>
          <w:szCs w:val="24"/>
        </w:rPr>
        <w:t>normal were evaluated by receiver operating characteristic (ROC) curve</w:t>
      </w:r>
      <w:r w:rsidR="00BE084D">
        <w:rPr>
          <w:rFonts w:ascii="Book Antiqua" w:hAnsi="Book Antiqua"/>
          <w:bCs/>
          <w:iCs/>
          <w:color w:val="000000" w:themeColor="text1"/>
          <w:sz w:val="24"/>
          <w:szCs w:val="24"/>
        </w:rPr>
        <w:t xml:space="preserve"> analysis</w:t>
      </w:r>
      <w:r w:rsidRPr="00813AEE">
        <w:rPr>
          <w:rFonts w:ascii="Book Antiqua" w:hAnsi="Book Antiqua"/>
          <w:bCs/>
          <w:iCs/>
          <w:color w:val="000000" w:themeColor="text1"/>
          <w:sz w:val="24"/>
          <w:szCs w:val="24"/>
        </w:rPr>
        <w:t>.</w:t>
      </w:r>
    </w:p>
    <w:p w14:paraId="5EB9492F" w14:textId="77777777" w:rsidR="0052524D" w:rsidRPr="00813AEE" w:rsidRDefault="0052524D" w:rsidP="00813AEE">
      <w:pPr>
        <w:adjustRightInd w:val="0"/>
        <w:snapToGrid w:val="0"/>
        <w:spacing w:line="360" w:lineRule="auto"/>
        <w:rPr>
          <w:rFonts w:ascii="Book Antiqua" w:hAnsi="Book Antiqua"/>
          <w:b/>
          <w:bCs/>
          <w:i/>
          <w:iCs/>
          <w:color w:val="000000" w:themeColor="text1"/>
          <w:sz w:val="24"/>
          <w:szCs w:val="24"/>
        </w:rPr>
      </w:pPr>
    </w:p>
    <w:p w14:paraId="053988CA" w14:textId="77777777" w:rsidR="00DD5A5C" w:rsidRPr="00813AEE" w:rsidRDefault="00DD5A5C" w:rsidP="00813AEE">
      <w:pPr>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RESULTS</w:t>
      </w:r>
      <w:r w:rsidRPr="00813AEE">
        <w:rPr>
          <w:rFonts w:ascii="Book Antiqua" w:hAnsi="Book Antiqua"/>
          <w:i/>
          <w:iCs/>
          <w:color w:val="000000" w:themeColor="text1"/>
          <w:sz w:val="24"/>
          <w:szCs w:val="24"/>
        </w:rPr>
        <w:t xml:space="preserve"> </w:t>
      </w:r>
    </w:p>
    <w:p w14:paraId="3624EBE0" w14:textId="0FEA6D8D" w:rsidR="00F222F3" w:rsidRPr="00813AEE" w:rsidRDefault="00185856"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There were no significant differences in ADC </w:t>
      </w:r>
      <w:r w:rsidR="00BE084D">
        <w:rPr>
          <w:rFonts w:ascii="Book Antiqua" w:hAnsi="Book Antiqua"/>
          <w:color w:val="000000" w:themeColor="text1"/>
          <w:sz w:val="24"/>
          <w:szCs w:val="24"/>
        </w:rPr>
        <w:t>or</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SR values between the two sessions or between the </w:t>
      </w:r>
      <w:r w:rsidR="00CC047E" w:rsidRPr="00813AEE">
        <w:rPr>
          <w:rFonts w:ascii="Book Antiqua" w:hAnsi="Book Antiqua"/>
          <w:color w:val="000000" w:themeColor="text1"/>
          <w:sz w:val="24"/>
          <w:szCs w:val="24"/>
        </w:rPr>
        <w:t>two</w:t>
      </w:r>
      <w:r w:rsidRPr="00813AEE">
        <w:rPr>
          <w:rFonts w:ascii="Book Antiqua" w:hAnsi="Book Antiqua"/>
          <w:color w:val="000000" w:themeColor="text1"/>
          <w:sz w:val="24"/>
          <w:szCs w:val="24"/>
        </w:rPr>
        <w:t xml:space="preserve"> radiologists either in the CD or control group (paired </w:t>
      </w:r>
      <w:r w:rsidR="00BE084D" w:rsidRPr="00813AEE">
        <w:rPr>
          <w:rFonts w:ascii="Book Antiqua" w:hAnsi="Book Antiqua"/>
          <w:i/>
          <w:color w:val="000000" w:themeColor="text1"/>
          <w:sz w:val="24"/>
          <w:szCs w:val="24"/>
        </w:rPr>
        <w:t>t</w:t>
      </w:r>
      <w:r w:rsidR="00BE084D">
        <w:rPr>
          <w:rFonts w:ascii="Book Antiqua" w:hAnsi="Book Antiqua"/>
          <w:color w:val="000000" w:themeColor="text1"/>
          <w:sz w:val="24"/>
          <w:szCs w:val="24"/>
        </w:rPr>
        <w:t>-</w:t>
      </w:r>
      <w:r w:rsidRPr="00813AEE">
        <w:rPr>
          <w:rFonts w:ascii="Book Antiqua" w:hAnsi="Book Antiqua"/>
          <w:color w:val="000000" w:themeColor="text1"/>
          <w:sz w:val="24"/>
          <w:szCs w:val="24"/>
        </w:rPr>
        <w:t>test</w:t>
      </w:r>
      <w:r w:rsidR="00E6189D">
        <w:rPr>
          <w:rFonts w:ascii="Book Antiqua" w:hAnsi="Book Antiqua"/>
          <w:color w:val="000000" w:themeColor="text1"/>
          <w:sz w:val="24"/>
          <w:szCs w:val="24"/>
        </w:rPr>
        <w:t>,</w:t>
      </w:r>
      <w:r w:rsidRPr="00813AEE">
        <w:rPr>
          <w:rFonts w:ascii="Book Antiqua" w:hAnsi="Book Antiqua"/>
          <w:color w:val="000000" w:themeColor="text1"/>
          <w:sz w:val="24"/>
          <w:szCs w:val="24"/>
        </w:rPr>
        <w:t xml:space="preserve">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&gt; 0.05). </w:t>
      </w:r>
      <w:r w:rsidR="00F222F3" w:rsidRPr="00813AEE">
        <w:rPr>
          <w:rFonts w:ascii="Book Antiqua" w:hAnsi="Book Antiqua"/>
          <w:color w:val="000000" w:themeColor="text1"/>
          <w:sz w:val="24"/>
          <w:szCs w:val="24"/>
        </w:rPr>
        <w:t>The intra and interobserver reproducibility of ADC (ICC: 0.952-0.984</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00F222F3" w:rsidRPr="00813AEE">
        <w:rPr>
          <w:rFonts w:ascii="Book Antiqua" w:hAnsi="Book Antiqua"/>
          <w:color w:val="000000" w:themeColor="text1"/>
          <w:sz w:val="24"/>
          <w:szCs w:val="24"/>
        </w:rPr>
        <w:t>CoV: 3.73-</w:t>
      </w:r>
      <w:r w:rsidR="00F222F3" w:rsidRPr="00813AEE">
        <w:rPr>
          <w:rFonts w:ascii="Book Antiqua" w:hAnsi="Book Antiqua"/>
          <w:color w:val="000000" w:themeColor="text1"/>
          <w:sz w:val="24"/>
          <w:szCs w:val="24"/>
        </w:rPr>
        <w:lastRenderedPageBreak/>
        <w:t>6.28</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BA-LA LoA: ±11.27% to ±15.88%</w:t>
      </w:r>
      <w:r w:rsidR="00F222F3" w:rsidRPr="00813AEE">
        <w:rPr>
          <w:rFonts w:ascii="Book Antiqua" w:hAnsi="Book Antiqua"/>
          <w:color w:val="000000" w:themeColor="text1"/>
          <w:sz w:val="24"/>
          <w:szCs w:val="24"/>
        </w:rPr>
        <w:t>) and SR (ICC: 0.969-0.989</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00F222F3" w:rsidRPr="00813AEE">
        <w:rPr>
          <w:rFonts w:ascii="Book Antiqua" w:hAnsi="Book Antiqua"/>
          <w:color w:val="000000" w:themeColor="text1"/>
          <w:sz w:val="24"/>
          <w:szCs w:val="24"/>
        </w:rPr>
        <w:t>CoV: 3.51</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-4.64</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BA-LA LoA: ±10.62% to ±15.45%</w:t>
      </w:r>
      <w:r w:rsidR="00F222F3" w:rsidRPr="00813AEE">
        <w:rPr>
          <w:rFonts w:ascii="Book Antiqua" w:hAnsi="Book Antiqua"/>
          <w:color w:val="000000" w:themeColor="text1"/>
          <w:sz w:val="24"/>
          <w:szCs w:val="24"/>
        </w:rPr>
        <w:t>) was excellent for CD. Agreement of ADC measurements was slightly less in control subjects (ICC: 0.641-0.736</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00F222F3" w:rsidRPr="00813AEE">
        <w:rPr>
          <w:rFonts w:ascii="Book Antiqua" w:hAnsi="Book Antiqua"/>
          <w:color w:val="000000" w:themeColor="text1"/>
          <w:sz w:val="24"/>
          <w:szCs w:val="24"/>
        </w:rPr>
        <w:t>CoV: 10.47</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-11.43</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BA-LA LoA: ±26.59% to ±30.83%</w:t>
      </w:r>
      <w:r w:rsidR="00F222F3" w:rsidRPr="00813AEE">
        <w:rPr>
          <w:rFonts w:ascii="Book Antiqua" w:hAnsi="Book Antiqua"/>
          <w:color w:val="000000" w:themeColor="text1"/>
          <w:sz w:val="24"/>
          <w:szCs w:val="24"/>
        </w:rPr>
        <w:t>). SR of normal terminal ileum demonstrated high intra and interobserver reproducibility (ICC: 0.944-0.974</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00F222F3" w:rsidRPr="00813AEE">
        <w:rPr>
          <w:rFonts w:ascii="Book Antiqua" w:hAnsi="Book Antiqua"/>
          <w:color w:val="000000" w:themeColor="text1"/>
          <w:sz w:val="24"/>
          <w:szCs w:val="24"/>
        </w:rPr>
        <w:t>CoV: 3.73</w:t>
      </w:r>
      <w:r w:rsidR="00CC0FD7">
        <w:rPr>
          <w:rFonts w:ascii="Book Antiqua" w:hAnsi="Book Antiqua"/>
          <w:color w:val="000000" w:themeColor="text1"/>
          <w:sz w:val="24"/>
          <w:szCs w:val="24"/>
        </w:rPr>
        <w:t>%</w:t>
      </w:r>
      <w:r w:rsidR="00F222F3" w:rsidRPr="00813AEE">
        <w:rPr>
          <w:rFonts w:ascii="Book Antiqua" w:hAnsi="Book Antiqua"/>
          <w:color w:val="000000" w:themeColor="text1"/>
          <w:sz w:val="24"/>
          <w:szCs w:val="24"/>
        </w:rPr>
        <w:t>-6.28</w:t>
      </w:r>
      <w:r w:rsidR="00BE084D" w:rsidRPr="00813AEE">
        <w:rPr>
          <w:rFonts w:ascii="Book Antiqua" w:hAnsi="Book Antiqua"/>
          <w:color w:val="000000" w:themeColor="text1"/>
          <w:sz w:val="24"/>
          <w:szCs w:val="24"/>
        </w:rPr>
        <w:t>%</w:t>
      </w:r>
      <w:r w:rsidR="00BE084D">
        <w:rPr>
          <w:rFonts w:ascii="Book Antiqua" w:hAnsi="Book Antiqua"/>
          <w:color w:val="000000" w:themeColor="text1"/>
          <w:sz w:val="24"/>
          <w:szCs w:val="24"/>
        </w:rPr>
        <w:t>;</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BA-LA LoA: ±18.58% to ±24.43%</w:t>
      </w:r>
      <w:r w:rsidR="00F222F3" w:rsidRPr="00813AEE">
        <w:rPr>
          <w:rFonts w:ascii="Book Antiqua" w:hAnsi="Book Antiqua"/>
          <w:color w:val="000000" w:themeColor="text1"/>
          <w:sz w:val="24"/>
          <w:szCs w:val="24"/>
        </w:rPr>
        <w:t xml:space="preserve">). ADC and SR of two readers had outstanding diagnostic efficiencies (area under </w:t>
      </w:r>
      <w:r w:rsidR="00BE084D">
        <w:rPr>
          <w:rFonts w:ascii="Book Antiqua" w:hAnsi="Book Antiqua"/>
          <w:color w:val="000000" w:themeColor="text1"/>
          <w:sz w:val="24"/>
          <w:szCs w:val="24"/>
        </w:rPr>
        <w:t>the ROC</w:t>
      </w:r>
      <w:r w:rsidR="00CC0FD7" w:rsidRPr="00CC0FD7">
        <w:rPr>
          <w:rFonts w:ascii="Book Antiqua" w:hAnsi="Book Antiqua"/>
          <w:color w:val="000000" w:themeColor="text1"/>
          <w:sz w:val="24"/>
          <w:szCs w:val="24"/>
        </w:rPr>
        <w:t xml:space="preserve"> curve</w:t>
      </w:r>
      <w:r w:rsidR="00F222F3" w:rsidRPr="00813AEE">
        <w:rPr>
          <w:rFonts w:ascii="Book Antiqua" w:hAnsi="Book Antiqua"/>
          <w:color w:val="000000" w:themeColor="text1"/>
          <w:sz w:val="24"/>
          <w:szCs w:val="24"/>
        </w:rPr>
        <w:t>: 0.923-0.988).</w:t>
      </w:r>
    </w:p>
    <w:p w14:paraId="6402E28D" w14:textId="77777777" w:rsidR="00360DA2" w:rsidRPr="00813AEE" w:rsidRDefault="00360DA2" w:rsidP="00813AEE">
      <w:pPr>
        <w:adjustRightInd w:val="0"/>
        <w:snapToGrid w:val="0"/>
        <w:spacing w:line="360" w:lineRule="auto"/>
        <w:rPr>
          <w:rFonts w:ascii="Book Antiqua" w:hAnsi="Book Antiqua"/>
          <w:color w:val="000000" w:themeColor="text1"/>
          <w:sz w:val="24"/>
          <w:szCs w:val="24"/>
        </w:rPr>
      </w:pPr>
    </w:p>
    <w:p w14:paraId="5DBA30B5" w14:textId="77777777" w:rsidR="00DD5A5C" w:rsidRPr="00813AEE" w:rsidRDefault="00DD5A5C" w:rsidP="00813AEE">
      <w:pPr>
        <w:autoSpaceDE w:val="0"/>
        <w:autoSpaceDN w:val="0"/>
        <w:adjustRightInd w:val="0"/>
        <w:snapToGrid w:val="0"/>
        <w:spacing w:line="360" w:lineRule="auto"/>
        <w:rPr>
          <w:rFonts w:ascii="Book Antiqua" w:hAnsi="Book Antiqua"/>
          <w:i/>
          <w:iCs/>
          <w:color w:val="000000" w:themeColor="text1"/>
          <w:sz w:val="24"/>
          <w:szCs w:val="24"/>
        </w:rPr>
      </w:pPr>
      <w:r w:rsidRPr="00813AEE">
        <w:rPr>
          <w:rFonts w:ascii="Book Antiqua" w:hAnsi="Book Antiqua"/>
          <w:b/>
          <w:bCs/>
          <w:i/>
          <w:iCs/>
          <w:color w:val="000000" w:themeColor="text1"/>
          <w:sz w:val="24"/>
          <w:szCs w:val="24"/>
        </w:rPr>
        <w:t>CONCLUSION</w:t>
      </w:r>
    </w:p>
    <w:p w14:paraId="4AEB88C3" w14:textId="4794D8D4" w:rsidR="00DD5A5C" w:rsidRPr="00813AEE" w:rsidRDefault="00744826"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Quantitative parameters derived from DW-MRE </w:t>
      </w:r>
      <w:r w:rsidR="00BE084D">
        <w:rPr>
          <w:rFonts w:ascii="Book Antiqua" w:hAnsi="Book Antiqua"/>
          <w:color w:val="000000" w:themeColor="text1"/>
          <w:sz w:val="24"/>
          <w:szCs w:val="24"/>
        </w:rPr>
        <w:t xml:space="preserve">have </w:t>
      </w:r>
      <w:r w:rsidRPr="00813AEE">
        <w:rPr>
          <w:rFonts w:ascii="Book Antiqua" w:hAnsi="Book Antiqua"/>
          <w:color w:val="000000" w:themeColor="text1"/>
          <w:sz w:val="24"/>
          <w:szCs w:val="24"/>
        </w:rPr>
        <w:t>good to excellent intra and interobserver agreement</w:t>
      </w:r>
      <w:r w:rsidR="00F14D55">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with high diagnostic accuracy, and </w:t>
      </w:r>
      <w:r w:rsidR="00BE084D" w:rsidRPr="00813AEE">
        <w:rPr>
          <w:rFonts w:ascii="Book Antiqua" w:hAnsi="Book Antiqua"/>
          <w:color w:val="000000" w:themeColor="text1"/>
          <w:sz w:val="24"/>
          <w:szCs w:val="24"/>
        </w:rPr>
        <w:t>c</w:t>
      </w:r>
      <w:r w:rsidR="00BE084D">
        <w:rPr>
          <w:rFonts w:ascii="Book Antiqua" w:hAnsi="Book Antiqua"/>
          <w:color w:val="000000" w:themeColor="text1"/>
          <w:sz w:val="24"/>
          <w:szCs w:val="24"/>
        </w:rPr>
        <w:t>an</w:t>
      </w:r>
      <w:r w:rsidR="00BE084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serve as robust and efficient quantitative biomarkers </w:t>
      </w:r>
      <w:bookmarkStart w:id="98" w:name="OLE_LINK89"/>
      <w:bookmarkStart w:id="99" w:name="OLE_LINK90"/>
      <w:r w:rsidRPr="00813AEE">
        <w:rPr>
          <w:rFonts w:ascii="Book Antiqua" w:hAnsi="Book Antiqua"/>
          <w:color w:val="000000" w:themeColor="text1"/>
          <w:sz w:val="24"/>
          <w:szCs w:val="24"/>
        </w:rPr>
        <w:t>for CD evaluation</w:t>
      </w:r>
      <w:bookmarkEnd w:id="98"/>
      <w:bookmarkEnd w:id="99"/>
      <w:r w:rsidRPr="00813AEE">
        <w:rPr>
          <w:rFonts w:ascii="Book Antiqua" w:hAnsi="Book Antiqua"/>
          <w:color w:val="000000" w:themeColor="text1"/>
          <w:sz w:val="24"/>
          <w:szCs w:val="24"/>
        </w:rPr>
        <w:t>.</w:t>
      </w:r>
    </w:p>
    <w:p w14:paraId="48EA8817" w14:textId="77777777" w:rsidR="00DD5A5C" w:rsidRPr="00813AEE" w:rsidRDefault="00DD5A5C" w:rsidP="00813AEE">
      <w:pPr>
        <w:adjustRightInd w:val="0"/>
        <w:snapToGrid w:val="0"/>
        <w:spacing w:line="360" w:lineRule="auto"/>
        <w:rPr>
          <w:rFonts w:ascii="Book Antiqua" w:hAnsi="Book Antiqua"/>
          <w:b/>
          <w:bCs/>
          <w:color w:val="000000" w:themeColor="text1"/>
          <w:sz w:val="24"/>
          <w:szCs w:val="24"/>
        </w:rPr>
      </w:pPr>
    </w:p>
    <w:p w14:paraId="6873BFBB" w14:textId="344F1954" w:rsidR="00DD5A5C" w:rsidRPr="00813AEE" w:rsidRDefault="00DD5A5C"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bCs/>
          <w:color w:val="000000" w:themeColor="text1"/>
          <w:sz w:val="24"/>
          <w:szCs w:val="24"/>
        </w:rPr>
        <w:t>Key words</w:t>
      </w:r>
      <w:r w:rsidRPr="00813AEE">
        <w:rPr>
          <w:rFonts w:ascii="Book Antiqua" w:hAnsi="Book Antiqua"/>
          <w:b/>
          <w:color w:val="000000" w:themeColor="text1"/>
          <w:sz w:val="24"/>
          <w:szCs w:val="24"/>
        </w:rPr>
        <w:t>:</w:t>
      </w:r>
      <w:r w:rsidRPr="00813AEE">
        <w:rPr>
          <w:rFonts w:ascii="Book Antiqua" w:hAnsi="Book Antiqua"/>
          <w:color w:val="000000" w:themeColor="text1"/>
          <w:sz w:val="24"/>
          <w:szCs w:val="24"/>
        </w:rPr>
        <w:t xml:space="preserve"> </w:t>
      </w:r>
      <w:r w:rsidR="00744826" w:rsidRPr="00813AEE">
        <w:rPr>
          <w:rFonts w:ascii="Book Antiqua" w:hAnsi="Book Antiqua"/>
          <w:color w:val="000000" w:themeColor="text1"/>
          <w:sz w:val="24"/>
          <w:szCs w:val="24"/>
        </w:rPr>
        <w:t xml:space="preserve">Magnetic resonance imaging; </w:t>
      </w:r>
      <w:r w:rsidR="00BE084D" w:rsidRPr="00813AEE">
        <w:rPr>
          <w:rFonts w:ascii="Book Antiqua" w:hAnsi="Book Antiqua"/>
          <w:color w:val="000000" w:themeColor="text1"/>
          <w:sz w:val="24"/>
          <w:szCs w:val="24"/>
        </w:rPr>
        <w:t>Diffusion</w:t>
      </w:r>
      <w:r w:rsidR="00BE084D">
        <w:rPr>
          <w:rFonts w:ascii="Book Antiqua" w:hAnsi="Book Antiqua"/>
          <w:color w:val="000000" w:themeColor="text1"/>
          <w:sz w:val="24"/>
          <w:szCs w:val="24"/>
        </w:rPr>
        <w:t>-</w:t>
      </w:r>
      <w:r w:rsidR="00744826" w:rsidRPr="00813AEE">
        <w:rPr>
          <w:rFonts w:ascii="Book Antiqua" w:hAnsi="Book Antiqua"/>
          <w:color w:val="000000" w:themeColor="text1"/>
          <w:sz w:val="24"/>
          <w:szCs w:val="24"/>
        </w:rPr>
        <w:t>weighted imaging; Crohn's disease; Ileum; Reproducibility</w:t>
      </w:r>
    </w:p>
    <w:p w14:paraId="3B8F5FEC" w14:textId="33991DCF" w:rsidR="00DD5A5C" w:rsidRDefault="00DD5A5C" w:rsidP="00813AEE">
      <w:pPr>
        <w:adjustRightInd w:val="0"/>
        <w:snapToGrid w:val="0"/>
        <w:spacing w:line="360" w:lineRule="auto"/>
        <w:rPr>
          <w:rFonts w:ascii="Book Antiqua" w:hAnsi="Book Antiqua"/>
          <w:b/>
          <w:color w:val="000000" w:themeColor="text1"/>
          <w:sz w:val="24"/>
          <w:szCs w:val="24"/>
        </w:rPr>
      </w:pPr>
    </w:p>
    <w:p w14:paraId="141961AC" w14:textId="4C2745FE" w:rsidR="00AE05D0" w:rsidRDefault="00423726" w:rsidP="00813AEE">
      <w:pPr>
        <w:adjustRightInd w:val="0"/>
        <w:snapToGrid w:val="0"/>
        <w:spacing w:line="360" w:lineRule="auto"/>
        <w:rPr>
          <w:rFonts w:ascii="Book Antiqua" w:hAnsi="Book Antiqua"/>
          <w:kern w:val="0"/>
          <w:sz w:val="24"/>
          <w:szCs w:val="24"/>
        </w:rPr>
      </w:pPr>
      <w:bookmarkStart w:id="100" w:name="OLE_LINK44"/>
      <w:r w:rsidRPr="00423726">
        <w:rPr>
          <w:rFonts w:ascii="Book Antiqua" w:hAnsi="Book Antiqua"/>
          <w:b/>
          <w:kern w:val="0"/>
          <w:sz w:val="24"/>
          <w:szCs w:val="24"/>
        </w:rPr>
        <w:t>© The Author(s) 201</w:t>
      </w:r>
      <w:r w:rsidRPr="00423726">
        <w:rPr>
          <w:rFonts w:ascii="Book Antiqua" w:hAnsi="Book Antiqua" w:hint="eastAsia"/>
          <w:b/>
          <w:kern w:val="0"/>
          <w:sz w:val="24"/>
          <w:szCs w:val="24"/>
        </w:rPr>
        <w:t>9</w:t>
      </w:r>
      <w:r w:rsidRPr="00423726">
        <w:rPr>
          <w:rFonts w:ascii="Book Antiqua" w:hAnsi="Book Antiqua"/>
          <w:b/>
          <w:kern w:val="0"/>
          <w:sz w:val="24"/>
          <w:szCs w:val="24"/>
        </w:rPr>
        <w:t xml:space="preserve">. </w:t>
      </w:r>
      <w:r w:rsidRPr="00423726">
        <w:rPr>
          <w:rFonts w:ascii="Book Antiqua" w:hAnsi="Book Antiqua"/>
          <w:kern w:val="0"/>
          <w:sz w:val="24"/>
          <w:szCs w:val="24"/>
        </w:rPr>
        <w:t>Published by Baishideng Publishing Group Inc. All rights reserved.</w:t>
      </w:r>
      <w:bookmarkEnd w:id="100"/>
    </w:p>
    <w:p w14:paraId="19B4F040" w14:textId="77777777" w:rsidR="00423726" w:rsidRPr="00813AEE" w:rsidRDefault="00423726" w:rsidP="00813AEE">
      <w:pPr>
        <w:adjustRightInd w:val="0"/>
        <w:snapToGrid w:val="0"/>
        <w:spacing w:line="360" w:lineRule="auto"/>
        <w:rPr>
          <w:rFonts w:ascii="Book Antiqua" w:hAnsi="Book Antiqua"/>
          <w:b/>
          <w:color w:val="000000" w:themeColor="text1"/>
          <w:sz w:val="24"/>
          <w:szCs w:val="24"/>
        </w:rPr>
      </w:pPr>
    </w:p>
    <w:p w14:paraId="404C1858" w14:textId="586591A9" w:rsidR="00DD5A5C" w:rsidRPr="00813AEE" w:rsidRDefault="00DD5A5C"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color w:val="000000" w:themeColor="text1"/>
          <w:sz w:val="24"/>
          <w:szCs w:val="24"/>
        </w:rPr>
        <w:t xml:space="preserve">Core tip: </w:t>
      </w:r>
      <w:bookmarkStart w:id="101" w:name="OLE_LINK110"/>
      <w:r w:rsidR="00423726">
        <w:rPr>
          <w:rFonts w:ascii="Book Antiqua" w:hAnsi="Book Antiqua"/>
          <w:color w:val="000000" w:themeColor="text1"/>
          <w:sz w:val="24"/>
          <w:szCs w:val="24"/>
        </w:rPr>
        <w:t>W</w:t>
      </w:r>
      <w:r w:rsidR="00793CE2" w:rsidRPr="00813AEE">
        <w:rPr>
          <w:rFonts w:ascii="Book Antiqua" w:hAnsi="Book Antiqua"/>
          <w:color w:val="000000" w:themeColor="text1"/>
          <w:sz w:val="24"/>
          <w:szCs w:val="24"/>
        </w:rPr>
        <w:t xml:space="preserve">e evaluated the measured reproducibility of quantitative </w:t>
      </w:r>
      <w:r w:rsidR="009D2C46" w:rsidRPr="00813AEE">
        <w:rPr>
          <w:rFonts w:ascii="Book Antiqua" w:hAnsi="Book Antiqua"/>
          <w:color w:val="000000" w:themeColor="text1"/>
          <w:sz w:val="24"/>
          <w:szCs w:val="24"/>
        </w:rPr>
        <w:t>apparent diffusion coefficients (</w:t>
      </w:r>
      <w:r w:rsidR="00793CE2" w:rsidRPr="00813AEE">
        <w:rPr>
          <w:rFonts w:ascii="Book Antiqua" w:hAnsi="Book Antiqua"/>
          <w:color w:val="000000" w:themeColor="text1"/>
          <w:sz w:val="24"/>
          <w:szCs w:val="24"/>
        </w:rPr>
        <w:t>ADC</w:t>
      </w:r>
      <w:r w:rsidR="009D2C46" w:rsidRPr="00813AEE">
        <w:rPr>
          <w:rFonts w:ascii="Book Antiqua" w:hAnsi="Book Antiqua"/>
          <w:color w:val="000000" w:themeColor="text1"/>
          <w:sz w:val="24"/>
          <w:szCs w:val="24"/>
        </w:rPr>
        <w:t>)</w:t>
      </w:r>
      <w:r w:rsidR="00793CE2" w:rsidRPr="00813AEE">
        <w:rPr>
          <w:rFonts w:ascii="Book Antiqua" w:hAnsi="Book Antiqua"/>
          <w:color w:val="000000" w:themeColor="text1"/>
          <w:sz w:val="24"/>
          <w:szCs w:val="24"/>
        </w:rPr>
        <w:t xml:space="preserve"> and signal contrast ratio (SR) of </w:t>
      </w:r>
      <w:r w:rsidR="00BE084D">
        <w:rPr>
          <w:rFonts w:ascii="Book Antiqua" w:hAnsi="Book Antiqua"/>
          <w:color w:val="000000" w:themeColor="text1"/>
          <w:sz w:val="24"/>
          <w:szCs w:val="24"/>
        </w:rPr>
        <w:t xml:space="preserve">the </w:t>
      </w:r>
      <w:r w:rsidR="00793CE2" w:rsidRPr="00813AEE">
        <w:rPr>
          <w:rFonts w:ascii="Book Antiqua" w:hAnsi="Book Antiqua"/>
          <w:color w:val="000000" w:themeColor="text1"/>
          <w:sz w:val="24"/>
          <w:szCs w:val="24"/>
        </w:rPr>
        <w:t>terminal ileum to ipsilateral psoas muscle on</w:t>
      </w:r>
      <w:r w:rsidR="00BE084D">
        <w:rPr>
          <w:rFonts w:ascii="Book Antiqua" w:hAnsi="Book Antiqua"/>
          <w:color w:val="000000" w:themeColor="text1"/>
          <w:sz w:val="24"/>
          <w:szCs w:val="24"/>
        </w:rPr>
        <w:t xml:space="preserve"> </w:t>
      </w:r>
      <w:r w:rsidR="00BE084D" w:rsidRPr="00813AEE">
        <w:rPr>
          <w:rFonts w:ascii="Book Antiqua" w:hAnsi="Book Antiqua"/>
          <w:color w:val="000000" w:themeColor="text1"/>
          <w:sz w:val="24"/>
          <w:szCs w:val="24"/>
        </w:rPr>
        <w:t>diffusion</w:t>
      </w:r>
      <w:r w:rsidR="00BE084D">
        <w:rPr>
          <w:rFonts w:ascii="Book Antiqua" w:hAnsi="Book Antiqua"/>
          <w:color w:val="000000" w:themeColor="text1"/>
          <w:sz w:val="24"/>
          <w:szCs w:val="24"/>
        </w:rPr>
        <w:t>-</w:t>
      </w:r>
      <w:r w:rsidR="00793CE2" w:rsidRPr="00813AEE">
        <w:rPr>
          <w:rFonts w:ascii="Book Antiqua" w:hAnsi="Book Antiqua"/>
          <w:color w:val="000000" w:themeColor="text1"/>
          <w:sz w:val="24"/>
          <w:szCs w:val="24"/>
        </w:rPr>
        <w:t>weighted imaging (DWI</w:t>
      </w:r>
      <w:r w:rsidR="00BE084D">
        <w:rPr>
          <w:rFonts w:ascii="Book Antiqua" w:hAnsi="Book Antiqua"/>
          <w:color w:val="000000" w:themeColor="text1"/>
          <w:sz w:val="24"/>
          <w:szCs w:val="24"/>
        </w:rPr>
        <w:t xml:space="preserve">; </w:t>
      </w:r>
      <w:r w:rsidR="00BE084D" w:rsidRPr="00813AEE">
        <w:rPr>
          <w:rFonts w:ascii="Book Antiqua" w:hAnsi="Book Antiqua"/>
          <w:color w:val="000000" w:themeColor="text1"/>
          <w:sz w:val="24"/>
          <w:szCs w:val="24"/>
        </w:rPr>
        <w:t>b = 800 s/mm</w:t>
      </w:r>
      <w:r w:rsidR="00BE084D" w:rsidRPr="00813AEE">
        <w:rPr>
          <w:rFonts w:ascii="Book Antiqua" w:hAnsi="Book Antiqua"/>
          <w:color w:val="000000" w:themeColor="text1"/>
          <w:sz w:val="24"/>
          <w:szCs w:val="24"/>
          <w:vertAlign w:val="superscript"/>
        </w:rPr>
        <w:t>2</w:t>
      </w:r>
      <w:r w:rsidR="00793CE2" w:rsidRPr="00813AEE">
        <w:rPr>
          <w:rFonts w:ascii="Book Antiqua" w:hAnsi="Book Antiqua"/>
          <w:color w:val="000000" w:themeColor="text1"/>
          <w:sz w:val="24"/>
          <w:szCs w:val="24"/>
        </w:rPr>
        <w:t xml:space="preserve">). The intra and interobserver reproducibility of ADC and SR values was good to excellent for </w:t>
      </w:r>
      <w:r w:rsidR="002975A4" w:rsidRPr="00813AEE">
        <w:rPr>
          <w:rFonts w:ascii="Book Antiqua" w:hAnsi="Book Antiqua"/>
          <w:color w:val="000000" w:themeColor="text1"/>
          <w:sz w:val="24"/>
          <w:szCs w:val="24"/>
        </w:rPr>
        <w:t>Crohn’s</w:t>
      </w:r>
      <w:r w:rsidR="00793CE2" w:rsidRPr="00813AEE">
        <w:rPr>
          <w:rFonts w:ascii="Book Antiqua" w:hAnsi="Book Antiqua"/>
          <w:color w:val="000000" w:themeColor="text1"/>
          <w:sz w:val="24"/>
          <w:szCs w:val="24"/>
        </w:rPr>
        <w:t xml:space="preserve"> disease (CD) and normal control subjects. Quantitative parameters of ADC and SR derived from DW</w:t>
      </w:r>
      <w:r w:rsidR="00E35AB7" w:rsidRPr="00813AEE">
        <w:rPr>
          <w:rFonts w:ascii="Book Antiqua" w:hAnsi="Book Antiqua"/>
          <w:color w:val="000000" w:themeColor="text1"/>
          <w:sz w:val="24"/>
          <w:szCs w:val="24"/>
        </w:rPr>
        <w:t>I</w:t>
      </w:r>
      <w:r w:rsidR="00793CE2" w:rsidRPr="00813AEE">
        <w:rPr>
          <w:rFonts w:ascii="Book Antiqua" w:hAnsi="Book Antiqua"/>
          <w:color w:val="000000" w:themeColor="text1"/>
          <w:sz w:val="24"/>
          <w:szCs w:val="24"/>
        </w:rPr>
        <w:t xml:space="preserve"> had outstanding diagnostic efficacy for</w:t>
      </w:r>
      <w:r w:rsidR="00BE084D">
        <w:rPr>
          <w:rFonts w:ascii="Book Antiqua" w:hAnsi="Book Antiqua"/>
          <w:color w:val="000000" w:themeColor="text1"/>
          <w:sz w:val="24"/>
          <w:szCs w:val="24"/>
        </w:rPr>
        <w:t xml:space="preserve"> </w:t>
      </w:r>
      <w:r w:rsidR="00793CE2" w:rsidRPr="00813AEE">
        <w:rPr>
          <w:rFonts w:ascii="Book Antiqua" w:hAnsi="Book Antiqua"/>
          <w:color w:val="000000" w:themeColor="text1"/>
          <w:sz w:val="24"/>
          <w:szCs w:val="24"/>
        </w:rPr>
        <w:t>CD. Therefore, both ADC and SR could serve as robust and efficient quantitative biomarkers for the evaluation of CD</w:t>
      </w:r>
      <w:r w:rsidRPr="00813AEE">
        <w:rPr>
          <w:rFonts w:ascii="Book Antiqua" w:hAnsi="Book Antiqua"/>
          <w:color w:val="000000" w:themeColor="text1"/>
          <w:sz w:val="24"/>
          <w:szCs w:val="24"/>
        </w:rPr>
        <w:t>.</w:t>
      </w:r>
      <w:bookmarkEnd w:id="101"/>
    </w:p>
    <w:p w14:paraId="424EBEE3" w14:textId="77777777" w:rsidR="00DD5A5C" w:rsidRPr="00813AEE" w:rsidRDefault="00DD5A5C" w:rsidP="00813AEE">
      <w:pPr>
        <w:adjustRightInd w:val="0"/>
        <w:snapToGrid w:val="0"/>
        <w:spacing w:line="360" w:lineRule="auto"/>
        <w:rPr>
          <w:rFonts w:ascii="Book Antiqua" w:hAnsi="Book Antiqua"/>
          <w:b/>
          <w:color w:val="000000" w:themeColor="text1"/>
          <w:sz w:val="24"/>
          <w:szCs w:val="24"/>
        </w:rPr>
      </w:pPr>
    </w:p>
    <w:p w14:paraId="06CBDF73" w14:textId="39FFECD5" w:rsidR="002A4025" w:rsidRPr="00813AEE" w:rsidRDefault="00894DEB"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Yu H, Shen YQ, Tan FQ, Zhou ZL, Li Z, Hu DY, Morelli JN. </w:t>
      </w:r>
      <w:r w:rsidR="006821AB" w:rsidRPr="006821AB">
        <w:rPr>
          <w:rFonts w:ascii="Book Antiqua" w:hAnsi="Book Antiqua"/>
          <w:color w:val="000000" w:themeColor="text1"/>
          <w:sz w:val="24"/>
          <w:szCs w:val="24"/>
        </w:rPr>
        <w:t>Quantitative diffusion-weighted magnetic resonance</w:t>
      </w:r>
      <w:r w:rsidR="00BE084D">
        <w:rPr>
          <w:rFonts w:ascii="Book Antiqua" w:hAnsi="Book Antiqua"/>
          <w:color w:val="000000" w:themeColor="text1"/>
          <w:sz w:val="24"/>
          <w:szCs w:val="24"/>
        </w:rPr>
        <w:t xml:space="preserve"> </w:t>
      </w:r>
      <w:r w:rsidR="006821AB" w:rsidRPr="006821AB">
        <w:rPr>
          <w:rFonts w:ascii="Book Antiqua" w:hAnsi="Book Antiqua"/>
          <w:color w:val="000000" w:themeColor="text1"/>
          <w:sz w:val="24"/>
          <w:szCs w:val="24"/>
        </w:rPr>
        <w:t xml:space="preserve">enterography in ileal Crohn's disease: </w:t>
      </w:r>
      <w:r w:rsidR="00BE084D">
        <w:rPr>
          <w:rFonts w:ascii="Book Antiqua" w:hAnsi="Book Antiqua"/>
          <w:color w:val="000000" w:themeColor="text1"/>
          <w:sz w:val="24"/>
          <w:szCs w:val="24"/>
        </w:rPr>
        <w:t>A s</w:t>
      </w:r>
      <w:r w:rsidR="00BE084D" w:rsidRPr="006821AB">
        <w:rPr>
          <w:rFonts w:ascii="Book Antiqua" w:hAnsi="Book Antiqua"/>
          <w:color w:val="000000" w:themeColor="text1"/>
          <w:sz w:val="24"/>
          <w:szCs w:val="24"/>
        </w:rPr>
        <w:t xml:space="preserve">ystematic </w:t>
      </w:r>
      <w:r w:rsidR="006821AB" w:rsidRPr="006821AB">
        <w:rPr>
          <w:rFonts w:ascii="Book Antiqua" w:hAnsi="Book Antiqua"/>
          <w:color w:val="000000" w:themeColor="text1"/>
          <w:sz w:val="24"/>
          <w:szCs w:val="24"/>
        </w:rPr>
        <w:t>analysis of intra and interobserver reproducibility</w:t>
      </w:r>
      <w:r w:rsidRPr="00813AEE">
        <w:rPr>
          <w:rFonts w:ascii="Book Antiqua" w:hAnsi="Book Antiqua"/>
          <w:color w:val="000000" w:themeColor="text1"/>
          <w:sz w:val="24"/>
          <w:szCs w:val="24"/>
        </w:rPr>
        <w:t xml:space="preserve">. </w:t>
      </w:r>
      <w:r w:rsidRPr="00813AEE">
        <w:rPr>
          <w:rFonts w:ascii="Book Antiqua" w:hAnsi="Book Antiqua"/>
          <w:i/>
          <w:color w:val="000000" w:themeColor="text1"/>
          <w:sz w:val="24"/>
          <w:szCs w:val="24"/>
        </w:rPr>
        <w:t xml:space="preserve">World J Gastroenterol </w:t>
      </w:r>
      <w:r w:rsidRPr="00813AEE">
        <w:rPr>
          <w:rFonts w:ascii="Book Antiqua" w:hAnsi="Book Antiqua"/>
          <w:color w:val="000000" w:themeColor="text1"/>
          <w:sz w:val="24"/>
          <w:szCs w:val="24"/>
        </w:rPr>
        <w:t>2019; In press</w:t>
      </w:r>
    </w:p>
    <w:p w14:paraId="627769AA" w14:textId="2D8C6D5A" w:rsidR="00DD5A5C" w:rsidRPr="00813AEE" w:rsidRDefault="00360DA2"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00DD5A5C" w:rsidRPr="00813AEE">
        <w:rPr>
          <w:rFonts w:ascii="Book Antiqua" w:hAnsi="Book Antiqua"/>
          <w:b/>
          <w:color w:val="000000" w:themeColor="text1"/>
          <w:sz w:val="24"/>
          <w:szCs w:val="24"/>
        </w:rPr>
        <w:lastRenderedPageBreak/>
        <w:t>INTRODUCTION</w:t>
      </w:r>
    </w:p>
    <w:p w14:paraId="6B5E5AF3" w14:textId="0AF63F78" w:rsidR="00320F55"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Crohn’s disease (CD) is a life-long, relapsing, chronic inflammatory disease of the gastrointestinal tract that most frequently involves the terminal ileum</w:t>
      </w:r>
      <w:r w:rsidR="00B92FFD" w:rsidRPr="00813AEE">
        <w:rPr>
          <w:rFonts w:ascii="Book Antiqua" w:hAnsi="Book Antiqua" w:cs="Book Antiqua"/>
          <w:color w:val="000000" w:themeColor="text1"/>
          <w:kern w:val="0"/>
          <w:sz w:val="24"/>
          <w:szCs w:val="24"/>
          <w:vertAlign w:val="superscript"/>
        </w:rPr>
        <w:t>[1]</w:t>
      </w:r>
      <w:r w:rsidRPr="00813AEE">
        <w:rPr>
          <w:rFonts w:ascii="Book Antiqua" w:hAnsi="Book Antiqua"/>
          <w:color w:val="000000" w:themeColor="text1"/>
          <w:sz w:val="24"/>
          <w:szCs w:val="24"/>
        </w:rPr>
        <w:t>. Serial evaluation including monitoring of disease and assessment of treatment efficacy is important throughout the patient’s life</w:t>
      </w:r>
      <w:r w:rsidR="00B92FFD" w:rsidRPr="00813AEE">
        <w:rPr>
          <w:rFonts w:ascii="Book Antiqua" w:hAnsi="Book Antiqua" w:cs="Book Antiqua"/>
          <w:color w:val="000000" w:themeColor="text1"/>
          <w:kern w:val="0"/>
          <w:sz w:val="24"/>
          <w:szCs w:val="24"/>
          <w:vertAlign w:val="superscript"/>
        </w:rPr>
        <w:t>[2-4]</w:t>
      </w:r>
      <w:r w:rsidRPr="00813AEE">
        <w:rPr>
          <w:rFonts w:ascii="Book Antiqua" w:hAnsi="Book Antiqua"/>
          <w:color w:val="000000" w:themeColor="text1"/>
          <w:sz w:val="24"/>
          <w:szCs w:val="24"/>
        </w:rPr>
        <w:t xml:space="preserve">. For non-invasive assessment, magnetic resonance </w:t>
      </w:r>
      <w:r w:rsidR="00284C19">
        <w:rPr>
          <w:rFonts w:ascii="Book Antiqua" w:hAnsi="Book Antiqua"/>
          <w:color w:val="000000" w:themeColor="text1"/>
          <w:sz w:val="24"/>
          <w:szCs w:val="24"/>
        </w:rPr>
        <w:t xml:space="preserve">(MR) </w:t>
      </w:r>
      <w:r w:rsidRPr="00813AEE">
        <w:rPr>
          <w:rFonts w:ascii="Book Antiqua" w:hAnsi="Book Antiqua"/>
          <w:color w:val="000000" w:themeColor="text1"/>
          <w:sz w:val="24"/>
          <w:szCs w:val="24"/>
        </w:rPr>
        <w:t>enterography (MRE) is increasingly attractive as an ionizing radiation-free supplement to endoscopy in assessment of CD patients</w:t>
      </w:r>
      <w:r w:rsidR="00B92FFD" w:rsidRPr="00813AEE">
        <w:rPr>
          <w:rFonts w:ascii="Book Antiqua" w:hAnsi="Book Antiqua" w:cs="Book Antiqua"/>
          <w:color w:val="000000" w:themeColor="text1"/>
          <w:kern w:val="0"/>
          <w:sz w:val="24"/>
          <w:szCs w:val="24"/>
          <w:vertAlign w:val="superscript"/>
        </w:rPr>
        <w:t>[5-8]</w:t>
      </w:r>
      <w:r w:rsidRPr="00813AEE">
        <w:rPr>
          <w:rFonts w:ascii="Book Antiqua" w:hAnsi="Book Antiqua"/>
          <w:color w:val="000000" w:themeColor="text1"/>
          <w:sz w:val="24"/>
          <w:szCs w:val="24"/>
        </w:rPr>
        <w:t>. MRE presents several advantages as it not only assesses abnormalities of the bowel lumen</w:t>
      </w:r>
      <w:r w:rsidR="00B92FFD" w:rsidRPr="00813AEE">
        <w:rPr>
          <w:rFonts w:ascii="Book Antiqua" w:hAnsi="Book Antiqua" w:cs="Book Antiqua"/>
          <w:color w:val="000000" w:themeColor="text1"/>
          <w:kern w:val="0"/>
          <w:sz w:val="24"/>
          <w:szCs w:val="24"/>
          <w:vertAlign w:val="superscript"/>
        </w:rPr>
        <w:t>[5]</w:t>
      </w:r>
      <w:r w:rsidRPr="00813AEE">
        <w:rPr>
          <w:rFonts w:ascii="Book Antiqua" w:hAnsi="Book Antiqua"/>
          <w:color w:val="000000" w:themeColor="text1"/>
          <w:sz w:val="24"/>
          <w:szCs w:val="24"/>
        </w:rPr>
        <w:t>, but also identifies extra-intestinal complications (abscesses or fistulae)</w:t>
      </w:r>
      <w:r w:rsidR="00B92FFD" w:rsidRPr="00813AEE">
        <w:rPr>
          <w:rFonts w:ascii="Book Antiqua" w:hAnsi="Book Antiqua" w:cs="Book Antiqua"/>
          <w:color w:val="000000" w:themeColor="text1"/>
          <w:kern w:val="0"/>
          <w:sz w:val="24"/>
          <w:szCs w:val="24"/>
          <w:vertAlign w:val="superscript"/>
        </w:rPr>
        <w:t>[2,6]</w:t>
      </w:r>
      <w:r w:rsidRPr="00813AEE">
        <w:rPr>
          <w:rFonts w:ascii="Book Antiqua" w:hAnsi="Book Antiqua"/>
          <w:color w:val="000000" w:themeColor="text1"/>
          <w:sz w:val="24"/>
          <w:szCs w:val="24"/>
        </w:rPr>
        <w:t>, offers an assessment of the whole gastrointestinal tract</w:t>
      </w:r>
      <w:r w:rsidR="00B92FFD" w:rsidRPr="00813AEE">
        <w:rPr>
          <w:rFonts w:ascii="Book Antiqua" w:hAnsi="Book Antiqua" w:cs="Book Antiqua"/>
          <w:color w:val="000000" w:themeColor="text1"/>
          <w:kern w:val="0"/>
          <w:sz w:val="24"/>
          <w:szCs w:val="24"/>
          <w:vertAlign w:val="superscript"/>
        </w:rPr>
        <w:t>[8]</w:t>
      </w:r>
      <w:r w:rsidRPr="00813AEE">
        <w:rPr>
          <w:rFonts w:ascii="Book Antiqua" w:hAnsi="Book Antiqua"/>
          <w:color w:val="000000" w:themeColor="text1"/>
          <w:sz w:val="24"/>
          <w:szCs w:val="24"/>
        </w:rPr>
        <w:t>, and has the merit owing to its high soft tissue</w:t>
      </w:r>
      <w:r w:rsidR="00E768BC"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contrast</w:t>
      </w:r>
      <w:r w:rsidR="00B92FFD" w:rsidRPr="00813AEE">
        <w:rPr>
          <w:rFonts w:ascii="Book Antiqua" w:hAnsi="Book Antiqua" w:cs="Book Antiqua"/>
          <w:color w:val="000000" w:themeColor="text1"/>
          <w:kern w:val="0"/>
          <w:sz w:val="24"/>
          <w:szCs w:val="24"/>
          <w:vertAlign w:val="superscript"/>
        </w:rPr>
        <w:t>[9,10]</w:t>
      </w:r>
      <w:r w:rsidRPr="00813AEE">
        <w:rPr>
          <w:rFonts w:ascii="Book Antiqua" w:hAnsi="Book Antiqua"/>
          <w:color w:val="000000" w:themeColor="text1"/>
          <w:sz w:val="24"/>
          <w:szCs w:val="24"/>
        </w:rPr>
        <w:t>. Since the conventional MRE is based upon the qualitative morphological assessment of a lesion, an accurate quantitative MR technique may enable a more objective assessment of clinical therapeutic effect</w:t>
      </w:r>
      <w:r w:rsidR="00B92FFD" w:rsidRPr="00813AEE">
        <w:rPr>
          <w:rFonts w:ascii="Book Antiqua" w:hAnsi="Book Antiqua" w:cs="Book Antiqua"/>
          <w:color w:val="000000" w:themeColor="text1"/>
          <w:kern w:val="0"/>
          <w:sz w:val="24"/>
          <w:szCs w:val="24"/>
          <w:vertAlign w:val="superscript"/>
        </w:rPr>
        <w:t>[6,9]</w:t>
      </w:r>
      <w:r w:rsidRPr="00813AEE">
        <w:rPr>
          <w:rFonts w:ascii="Book Antiqua" w:hAnsi="Book Antiqua"/>
          <w:color w:val="000000" w:themeColor="text1"/>
          <w:sz w:val="24"/>
          <w:szCs w:val="24"/>
        </w:rPr>
        <w:t xml:space="preserve">. </w:t>
      </w:r>
    </w:p>
    <w:p w14:paraId="1DD414D7" w14:textId="106C04DE" w:rsidR="00320F55"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As a promising functional </w:t>
      </w:r>
      <w:bookmarkStart w:id="102" w:name="OLE_LINK66"/>
      <w:bookmarkStart w:id="103" w:name="OLE_LINK67"/>
      <w:r w:rsidRPr="00813AEE">
        <w:rPr>
          <w:rFonts w:ascii="Book Antiqua" w:hAnsi="Book Antiqua"/>
          <w:color w:val="000000" w:themeColor="text1"/>
          <w:sz w:val="24"/>
          <w:szCs w:val="24"/>
        </w:rPr>
        <w:t>MR imaging</w:t>
      </w:r>
      <w:bookmarkEnd w:id="102"/>
      <w:bookmarkEnd w:id="103"/>
      <w:r w:rsidR="00284C19">
        <w:rPr>
          <w:rFonts w:ascii="Book Antiqua" w:hAnsi="Book Antiqua"/>
          <w:color w:val="000000" w:themeColor="text1"/>
          <w:sz w:val="24"/>
          <w:szCs w:val="24"/>
        </w:rPr>
        <w:t xml:space="preserve"> (MRI)</w:t>
      </w:r>
      <w:r w:rsidRPr="00813AEE">
        <w:rPr>
          <w:rFonts w:ascii="Book Antiqua" w:hAnsi="Book Antiqua"/>
          <w:color w:val="000000" w:themeColor="text1"/>
          <w:sz w:val="24"/>
          <w:szCs w:val="24"/>
        </w:rPr>
        <w:t xml:space="preserve"> technique</w:t>
      </w:r>
      <w:r w:rsidR="00B92FFD" w:rsidRPr="00813AEE">
        <w:rPr>
          <w:rFonts w:ascii="Book Antiqua" w:hAnsi="Book Antiqua" w:cs="Book Antiqua"/>
          <w:color w:val="000000" w:themeColor="text1"/>
          <w:kern w:val="0"/>
          <w:sz w:val="24"/>
          <w:szCs w:val="24"/>
          <w:vertAlign w:val="superscript"/>
        </w:rPr>
        <w:t>[7,9-12]</w:t>
      </w:r>
      <w:r w:rsidRPr="00813AEE">
        <w:rPr>
          <w:rFonts w:ascii="Book Antiqua" w:hAnsi="Book Antiqua"/>
          <w:color w:val="000000" w:themeColor="text1"/>
          <w:sz w:val="24"/>
          <w:szCs w:val="24"/>
        </w:rPr>
        <w:t xml:space="preserve">, </w:t>
      </w:r>
      <w:r w:rsidR="0046424F" w:rsidRPr="00813AEE">
        <w:rPr>
          <w:rFonts w:ascii="Book Antiqua" w:hAnsi="Book Antiqua"/>
          <w:color w:val="000000" w:themeColor="text1"/>
          <w:sz w:val="24"/>
          <w:szCs w:val="24"/>
        </w:rPr>
        <w:t>diffusion</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weighted imaging (DWI) could qualitatively and quantitatively evaluate random motion of water molecules at the microstructural level in biological tissues, and is recommended as an optional sequence for CD by </w:t>
      </w:r>
      <w:r w:rsidR="0046424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European Society of Gastrointestinal and Abdominal Radiology in the latest consensus statements</w:t>
      </w:r>
      <w:r w:rsidR="00B92FFD" w:rsidRPr="00813AEE">
        <w:rPr>
          <w:rFonts w:ascii="Book Antiqua" w:hAnsi="Book Antiqua" w:cs="Book Antiqua"/>
          <w:color w:val="000000" w:themeColor="text1"/>
          <w:kern w:val="0"/>
          <w:sz w:val="24"/>
          <w:szCs w:val="24"/>
          <w:vertAlign w:val="superscript"/>
        </w:rPr>
        <w:t>[13]</w:t>
      </w:r>
      <w:r w:rsidRPr="00813AEE">
        <w:rPr>
          <w:rFonts w:ascii="Book Antiqua" w:hAnsi="Book Antiqua"/>
          <w:color w:val="000000" w:themeColor="text1"/>
          <w:sz w:val="24"/>
          <w:szCs w:val="24"/>
        </w:rPr>
        <w:t>. Meanwhile, DWI has been shown to be an alternative to contrast-enhanced MRI for the detection of inflamed segments in CD patients, and is suitable for the patients who cannot receive intravenous contrast agent</w:t>
      </w:r>
      <w:r w:rsidR="0046424F">
        <w:rPr>
          <w:rFonts w:ascii="Book Antiqua" w:hAnsi="Book Antiqua"/>
          <w:color w:val="000000" w:themeColor="text1"/>
          <w:sz w:val="24"/>
          <w:szCs w:val="24"/>
        </w:rPr>
        <w:t>s</w:t>
      </w:r>
      <w:r w:rsidR="00B92FFD" w:rsidRPr="00813AEE">
        <w:rPr>
          <w:rFonts w:ascii="Book Antiqua" w:hAnsi="Book Antiqua" w:cs="Book Antiqua"/>
          <w:color w:val="000000" w:themeColor="text1"/>
          <w:kern w:val="0"/>
          <w:sz w:val="24"/>
          <w:szCs w:val="24"/>
          <w:vertAlign w:val="superscript"/>
        </w:rPr>
        <w:t>[6,14]</w:t>
      </w:r>
      <w:r w:rsidRPr="00813AEE">
        <w:rPr>
          <w:rFonts w:ascii="Book Antiqua" w:hAnsi="Book Antiqua"/>
          <w:color w:val="000000" w:themeColor="text1"/>
          <w:sz w:val="24"/>
          <w:szCs w:val="24"/>
        </w:rPr>
        <w:t xml:space="preserve">. Furthermore, the latest consensus recommendations pointed out that restricted diffusion on DWI was a valuable and supportive sign correlating with the inflammatory lesions demonstrated </w:t>
      </w:r>
      <w:r w:rsidR="0046424F">
        <w:rPr>
          <w:rFonts w:ascii="Book Antiqua" w:hAnsi="Book Antiqua"/>
          <w:color w:val="000000" w:themeColor="text1"/>
          <w:sz w:val="24"/>
          <w:szCs w:val="24"/>
        </w:rPr>
        <w:t>on</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endoscopy</w:t>
      </w:r>
      <w:r w:rsidR="00B92FFD" w:rsidRPr="00813AEE">
        <w:rPr>
          <w:rFonts w:ascii="Book Antiqua" w:hAnsi="Book Antiqua" w:cs="Book Antiqua"/>
          <w:color w:val="000000" w:themeColor="text1"/>
          <w:kern w:val="0"/>
          <w:sz w:val="24"/>
          <w:szCs w:val="24"/>
          <w:vertAlign w:val="superscript"/>
        </w:rPr>
        <w:t>[15,16]</w:t>
      </w:r>
      <w:r w:rsidRPr="00813AEE">
        <w:rPr>
          <w:rFonts w:ascii="Book Antiqua" w:hAnsi="Book Antiqua"/>
          <w:color w:val="000000" w:themeColor="text1"/>
          <w:sz w:val="24"/>
          <w:szCs w:val="24"/>
        </w:rPr>
        <w:t xml:space="preserve">. The apparent diffusion coefficient (ADC) derived from DWI </w:t>
      </w:r>
      <w:r w:rsidR="0046424F" w:rsidRPr="00813AEE">
        <w:rPr>
          <w:rFonts w:ascii="Book Antiqua" w:hAnsi="Book Antiqua"/>
          <w:color w:val="000000" w:themeColor="text1"/>
          <w:sz w:val="24"/>
          <w:szCs w:val="24"/>
        </w:rPr>
        <w:t>ha</w:t>
      </w:r>
      <w:r w:rsidR="0046424F">
        <w:rPr>
          <w:rFonts w:ascii="Book Antiqua" w:hAnsi="Book Antiqua"/>
          <w:color w:val="000000" w:themeColor="text1"/>
          <w:sz w:val="24"/>
          <w:szCs w:val="24"/>
        </w:rPr>
        <w:t>s</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been reported as a potential quantitative biomarker for monitoring the course of disease and therapeutic efficiency in patients with CD</w:t>
      </w:r>
      <w:r w:rsidR="00B92FFD" w:rsidRPr="00813AEE">
        <w:rPr>
          <w:rFonts w:ascii="Book Antiqua" w:hAnsi="Book Antiqua" w:cs="Book Antiqua"/>
          <w:color w:val="000000" w:themeColor="text1"/>
          <w:kern w:val="0"/>
          <w:sz w:val="24"/>
          <w:szCs w:val="24"/>
          <w:vertAlign w:val="superscript"/>
        </w:rPr>
        <w:t>[17]</w:t>
      </w:r>
      <w:r w:rsidRPr="00813AEE">
        <w:rPr>
          <w:rFonts w:ascii="Book Antiqua" w:hAnsi="Book Antiqua"/>
          <w:color w:val="000000" w:themeColor="text1"/>
          <w:sz w:val="24"/>
          <w:szCs w:val="24"/>
        </w:rPr>
        <w:t xml:space="preserve">. </w:t>
      </w:r>
    </w:p>
    <w:p w14:paraId="6C30399F" w14:textId="6D8B96F7" w:rsidR="00320F55"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However, ADC values calculated from DWI could be degraded by variations in field homogeneity, eddy currents</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motion, particularly in hollow organs like the gastrointestinal tract or gallbladder</w:t>
      </w:r>
      <w:r w:rsidR="00B92FFD" w:rsidRPr="00813AEE">
        <w:rPr>
          <w:rFonts w:ascii="Book Antiqua" w:hAnsi="Book Antiqua" w:cs="Book Antiqua"/>
          <w:color w:val="000000" w:themeColor="text1"/>
          <w:kern w:val="0"/>
          <w:sz w:val="24"/>
          <w:szCs w:val="24"/>
          <w:vertAlign w:val="superscript"/>
        </w:rPr>
        <w:t>[5,18]</w:t>
      </w:r>
      <w:r w:rsidRPr="00813AEE">
        <w:rPr>
          <w:rFonts w:ascii="Book Antiqua" w:hAnsi="Book Antiqua"/>
          <w:color w:val="000000" w:themeColor="text1"/>
          <w:sz w:val="24"/>
          <w:szCs w:val="24"/>
        </w:rPr>
        <w:t>. And</w:t>
      </w:r>
      <w:r w:rsidR="0046424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systematic investigations on measurement reproducibility of quantitative DWI analysis in MRE have not been ascertained so far. The characterization of reader agreement and variability with </w:t>
      </w:r>
      <w:r w:rsidRPr="00813AEE">
        <w:rPr>
          <w:rFonts w:ascii="Book Antiqua" w:hAnsi="Book Antiqua"/>
          <w:color w:val="000000" w:themeColor="text1"/>
          <w:sz w:val="24"/>
          <w:szCs w:val="24"/>
        </w:rPr>
        <w:lastRenderedPageBreak/>
        <w:t>quantitative parameters is imperative before such parameters are to be incorporated into clinical practice</w:t>
      </w:r>
      <w:r w:rsidR="00B92FFD" w:rsidRPr="00813AEE">
        <w:rPr>
          <w:rFonts w:ascii="Book Antiqua" w:hAnsi="Book Antiqua" w:cs="Book Antiqua"/>
          <w:color w:val="000000" w:themeColor="text1"/>
          <w:kern w:val="0"/>
          <w:sz w:val="24"/>
          <w:szCs w:val="24"/>
          <w:vertAlign w:val="superscript"/>
        </w:rPr>
        <w:t>[19-21]</w:t>
      </w:r>
      <w:r w:rsidRPr="00813AEE">
        <w:rPr>
          <w:rFonts w:ascii="Book Antiqua" w:hAnsi="Book Antiqua"/>
          <w:color w:val="000000" w:themeColor="text1"/>
          <w:sz w:val="24"/>
          <w:szCs w:val="24"/>
        </w:rPr>
        <w:t>. As ADC values could be affected by the image mismatch calculated from DWI with at least two b values</w:t>
      </w:r>
      <w:r w:rsidR="00B92FFD" w:rsidRPr="00813AEE">
        <w:rPr>
          <w:rFonts w:ascii="Book Antiqua" w:hAnsi="Book Antiqua" w:cs="Book Antiqua"/>
          <w:color w:val="000000" w:themeColor="text1"/>
          <w:kern w:val="0"/>
          <w:sz w:val="24"/>
          <w:szCs w:val="24"/>
          <w:vertAlign w:val="superscript"/>
        </w:rPr>
        <w:t>[5,8]</w:t>
      </w:r>
      <w:r w:rsidRPr="00813AEE">
        <w:rPr>
          <w:rFonts w:ascii="Book Antiqua" w:hAnsi="Book Antiqua"/>
          <w:color w:val="000000" w:themeColor="text1"/>
          <w:sz w:val="24"/>
          <w:szCs w:val="24"/>
        </w:rPr>
        <w:t>, we propose</w:t>
      </w:r>
      <w:r w:rsidR="0046424F">
        <w:rPr>
          <w:rFonts w:ascii="Book Antiqua" w:hAnsi="Book Antiqua"/>
          <w:color w:val="000000" w:themeColor="text1"/>
          <w:sz w:val="24"/>
          <w:szCs w:val="24"/>
        </w:rPr>
        <w:t>d</w:t>
      </w:r>
      <w:r w:rsidRPr="00813AEE">
        <w:rPr>
          <w:rFonts w:ascii="Book Antiqua" w:hAnsi="Book Antiqua"/>
          <w:color w:val="000000" w:themeColor="text1"/>
          <w:sz w:val="24"/>
          <w:szCs w:val="24"/>
        </w:rPr>
        <w:t xml:space="preserve"> an abbreviated proxy for diffusion restriction</w:t>
      </w:r>
      <w:r w:rsidR="0046424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 signal intensity ratio (SR)</w:t>
      </w:r>
      <w:r w:rsidR="0046424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between the terminal ileum and ipsilateral psoas muscle on DWI with an appropriate b value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and explore</w:t>
      </w:r>
      <w:r w:rsidR="0046424F">
        <w:rPr>
          <w:rFonts w:ascii="Book Antiqua" w:hAnsi="Book Antiqua"/>
          <w:color w:val="000000" w:themeColor="text1"/>
          <w:sz w:val="24"/>
          <w:szCs w:val="24"/>
        </w:rPr>
        <w:t>d</w:t>
      </w:r>
      <w:r w:rsidRPr="00813AEE">
        <w:rPr>
          <w:rFonts w:ascii="Book Antiqua" w:hAnsi="Book Antiqua"/>
          <w:color w:val="000000" w:themeColor="text1"/>
          <w:sz w:val="24"/>
          <w:szCs w:val="24"/>
        </w:rPr>
        <w:t xml:space="preserve"> the application of SR and ADC values in CD patients.</w:t>
      </w:r>
    </w:p>
    <w:p w14:paraId="075DDF84" w14:textId="1F2B8408" w:rsidR="00DD5A5C" w:rsidRPr="00813AEE" w:rsidRDefault="00320F55" w:rsidP="00284C19">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The purpose of this study </w:t>
      </w:r>
      <w:r w:rsidR="0046424F">
        <w:rPr>
          <w:rFonts w:ascii="Book Antiqua" w:hAnsi="Book Antiqua"/>
          <w:color w:val="000000" w:themeColor="text1"/>
          <w:sz w:val="24"/>
          <w:szCs w:val="24"/>
        </w:rPr>
        <w:t>was</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to investigate the level of inter and intraobserver agreement for ADC and SR measurements from DWI in the terminal ileum, and then to assess the diagnosis efficiency of quantitative ADC and SR for the evaluation of CD.</w:t>
      </w:r>
    </w:p>
    <w:p w14:paraId="37547C42"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p>
    <w:p w14:paraId="3F2FB762"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r w:rsidRPr="00813AEE">
        <w:rPr>
          <w:rFonts w:ascii="Book Antiqua" w:hAnsi="Book Antiqua"/>
          <w:b/>
          <w:bCs/>
          <w:color w:val="000000" w:themeColor="text1"/>
          <w:sz w:val="24"/>
          <w:szCs w:val="24"/>
        </w:rPr>
        <w:t>MATERIALS AND METHODS</w:t>
      </w:r>
    </w:p>
    <w:p w14:paraId="249B086A" w14:textId="05CD47E2" w:rsidR="00DD5A5C" w:rsidRPr="00813AEE" w:rsidRDefault="00477AC9" w:rsidP="00813AEE">
      <w:pPr>
        <w:autoSpaceDE w:val="0"/>
        <w:autoSpaceDN w:val="0"/>
        <w:adjustRightInd w:val="0"/>
        <w:snapToGrid w:val="0"/>
        <w:spacing w:line="360" w:lineRule="auto"/>
        <w:rPr>
          <w:rFonts w:ascii="Book Antiqua" w:hAnsi="Book Antiqua"/>
          <w:i/>
          <w:iCs/>
          <w:color w:val="000000" w:themeColor="text1"/>
          <w:kern w:val="0"/>
          <w:sz w:val="24"/>
          <w:szCs w:val="24"/>
        </w:rPr>
      </w:pPr>
      <w:r w:rsidRPr="00813AEE">
        <w:rPr>
          <w:rFonts w:ascii="Book Antiqua" w:hAnsi="Book Antiqua"/>
          <w:b/>
          <w:bCs/>
          <w:i/>
          <w:iCs/>
          <w:color w:val="000000" w:themeColor="text1"/>
          <w:kern w:val="0"/>
          <w:sz w:val="24"/>
          <w:szCs w:val="24"/>
        </w:rPr>
        <w:t>Patients</w:t>
      </w:r>
    </w:p>
    <w:p w14:paraId="6A9E8DDE" w14:textId="6087CCBA" w:rsidR="00DD5A5C"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study was approved by our institutional review board, and informed consent was waived for the retrospective study design. From </w:t>
      </w:r>
      <w:bookmarkStart w:id="104" w:name="OLE_LINK26"/>
      <w:r w:rsidRPr="00813AEE">
        <w:rPr>
          <w:rFonts w:ascii="Book Antiqua" w:hAnsi="Book Antiqua"/>
          <w:color w:val="000000" w:themeColor="text1"/>
          <w:sz w:val="24"/>
          <w:szCs w:val="24"/>
        </w:rPr>
        <w:t>November 201</w:t>
      </w:r>
      <w:r w:rsidR="00567A0D" w:rsidRPr="00813AEE">
        <w:rPr>
          <w:rFonts w:ascii="Book Antiqua" w:hAnsi="Book Antiqua"/>
          <w:color w:val="000000" w:themeColor="text1"/>
          <w:sz w:val="24"/>
          <w:szCs w:val="24"/>
        </w:rPr>
        <w:t>5</w:t>
      </w:r>
      <w:r w:rsidRPr="00813AEE">
        <w:rPr>
          <w:rFonts w:ascii="Book Antiqua" w:hAnsi="Book Antiqua"/>
          <w:color w:val="000000" w:themeColor="text1"/>
          <w:sz w:val="24"/>
          <w:szCs w:val="24"/>
        </w:rPr>
        <w:t xml:space="preserve"> to </w:t>
      </w:r>
      <w:r w:rsidR="00567A0D" w:rsidRPr="00813AEE">
        <w:rPr>
          <w:rFonts w:ascii="Book Antiqua" w:hAnsi="Book Antiqua"/>
          <w:color w:val="000000" w:themeColor="text1"/>
          <w:sz w:val="24"/>
          <w:szCs w:val="24"/>
        </w:rPr>
        <w:t>May</w:t>
      </w:r>
      <w:r w:rsidRPr="00813AEE">
        <w:rPr>
          <w:rFonts w:ascii="Book Antiqua" w:hAnsi="Book Antiqua"/>
          <w:color w:val="000000" w:themeColor="text1"/>
          <w:sz w:val="24"/>
          <w:szCs w:val="24"/>
        </w:rPr>
        <w:t xml:space="preserve"> 201</w:t>
      </w:r>
      <w:r w:rsidR="00567A0D" w:rsidRPr="00813AEE">
        <w:rPr>
          <w:rFonts w:ascii="Book Antiqua" w:hAnsi="Book Antiqua"/>
          <w:color w:val="000000" w:themeColor="text1"/>
          <w:sz w:val="24"/>
          <w:szCs w:val="24"/>
        </w:rPr>
        <w:t>8</w:t>
      </w:r>
      <w:bookmarkEnd w:id="104"/>
      <w:r w:rsidRPr="00813AEE">
        <w:rPr>
          <w:rFonts w:ascii="Book Antiqua" w:hAnsi="Book Antiqua"/>
          <w:color w:val="000000" w:themeColor="text1"/>
          <w:sz w:val="24"/>
          <w:szCs w:val="24"/>
        </w:rPr>
        <w:t xml:space="preserve">, a total of </w:t>
      </w:r>
      <w:r w:rsidR="00567A0D" w:rsidRPr="00813AEE">
        <w:rPr>
          <w:rFonts w:ascii="Book Antiqua" w:hAnsi="Book Antiqua"/>
          <w:color w:val="000000" w:themeColor="text1"/>
          <w:sz w:val="24"/>
          <w:szCs w:val="24"/>
        </w:rPr>
        <w:t>2</w:t>
      </w:r>
      <w:r w:rsidRPr="00813AEE">
        <w:rPr>
          <w:rFonts w:ascii="Book Antiqua" w:hAnsi="Book Antiqua"/>
          <w:color w:val="000000" w:themeColor="text1"/>
          <w:sz w:val="24"/>
          <w:szCs w:val="24"/>
        </w:rPr>
        <w:t xml:space="preserve">97 patients underwent MRE examinations for suspected gastrointestinal disorders </w:t>
      </w:r>
      <w:r w:rsidR="0046424F">
        <w:rPr>
          <w:rFonts w:ascii="Book Antiqua" w:hAnsi="Book Antiqua"/>
          <w:color w:val="000000" w:themeColor="text1"/>
          <w:sz w:val="24"/>
          <w:szCs w:val="24"/>
        </w:rPr>
        <w:t>at</w:t>
      </w:r>
      <w:r w:rsidR="0046424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our gastrointestinal medical center of the referral university-based hospital. Sixty-one patients were included based on the follow criteria: (1) </w:t>
      </w:r>
      <w:r w:rsidR="00567475">
        <w:rPr>
          <w:rFonts w:ascii="Book Antiqua" w:hAnsi="Book Antiqua"/>
          <w:color w:val="000000" w:themeColor="text1"/>
          <w:sz w:val="24"/>
          <w:szCs w:val="24"/>
        </w:rPr>
        <w:t>c</w:t>
      </w:r>
      <w:r w:rsidR="00567475" w:rsidRPr="00813AEE">
        <w:rPr>
          <w:rFonts w:ascii="Book Antiqua" w:hAnsi="Book Antiqua"/>
          <w:color w:val="000000" w:themeColor="text1"/>
          <w:sz w:val="24"/>
          <w:szCs w:val="24"/>
        </w:rPr>
        <w:t xml:space="preserve">omplete </w:t>
      </w:r>
      <w:r w:rsidRPr="00813AEE">
        <w:rPr>
          <w:rFonts w:ascii="Book Antiqua" w:hAnsi="Book Antiqua"/>
          <w:color w:val="000000" w:themeColor="text1"/>
          <w:sz w:val="24"/>
          <w:szCs w:val="24"/>
        </w:rPr>
        <w:t xml:space="preserve">clinical data available; (2) DWI with </w:t>
      </w:r>
      <w:r w:rsidR="0056747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b</w:t>
      </w:r>
      <w:r w:rsidR="00E6189D">
        <w:rPr>
          <w:rFonts w:ascii="Book Antiqua" w:hAnsi="Book Antiqua"/>
          <w:color w:val="000000" w:themeColor="text1"/>
          <w:sz w:val="24"/>
          <w:szCs w:val="24"/>
        </w:rPr>
        <w:t>-</w:t>
      </w:r>
      <w:r w:rsidRPr="00813AEE">
        <w:rPr>
          <w:rFonts w:ascii="Book Antiqua" w:hAnsi="Book Antiqua"/>
          <w:color w:val="000000" w:themeColor="text1"/>
          <w:sz w:val="24"/>
          <w:szCs w:val="24"/>
        </w:rPr>
        <w:t>value of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included in the MRE protocol; (3) </w:t>
      </w:r>
      <w:r w:rsidR="00567475">
        <w:rPr>
          <w:rFonts w:ascii="Book Antiqua" w:hAnsi="Book Antiqua"/>
          <w:color w:val="000000" w:themeColor="text1"/>
          <w:sz w:val="24"/>
          <w:szCs w:val="24"/>
        </w:rPr>
        <w:t>c</w:t>
      </w:r>
      <w:r w:rsidR="00567475" w:rsidRPr="00813AEE">
        <w:rPr>
          <w:rFonts w:ascii="Book Antiqua" w:hAnsi="Book Antiqua"/>
          <w:color w:val="000000" w:themeColor="text1"/>
          <w:sz w:val="24"/>
          <w:szCs w:val="24"/>
        </w:rPr>
        <w:t xml:space="preserve">olonoscopy </w:t>
      </w:r>
      <w:r w:rsidRPr="00813AEE">
        <w:rPr>
          <w:rFonts w:ascii="Book Antiqua" w:hAnsi="Book Antiqua"/>
          <w:color w:val="000000" w:themeColor="text1"/>
          <w:sz w:val="24"/>
          <w:szCs w:val="24"/>
        </w:rPr>
        <w:t xml:space="preserve">was successfully conducted to assess the terminal ileum within </w:t>
      </w:r>
      <w:r w:rsidR="00C424D1" w:rsidRPr="00813AEE">
        <w:rPr>
          <w:rFonts w:ascii="Book Antiqua" w:hAnsi="Book Antiqua"/>
          <w:color w:val="000000" w:themeColor="text1"/>
          <w:sz w:val="24"/>
          <w:szCs w:val="24"/>
        </w:rPr>
        <w:t>one</w:t>
      </w:r>
      <w:r w:rsidRPr="00813AEE">
        <w:rPr>
          <w:rFonts w:ascii="Book Antiqua" w:hAnsi="Book Antiqua"/>
          <w:color w:val="000000" w:themeColor="text1"/>
          <w:sz w:val="24"/>
          <w:szCs w:val="24"/>
        </w:rPr>
        <w:t xml:space="preserve"> week of the MR </w:t>
      </w:r>
      <w:r w:rsidR="00567475">
        <w:rPr>
          <w:rFonts w:ascii="Book Antiqua" w:hAnsi="Book Antiqua"/>
          <w:color w:val="000000" w:themeColor="text1"/>
          <w:sz w:val="24"/>
          <w:szCs w:val="24"/>
        </w:rPr>
        <w:t>e</w:t>
      </w:r>
      <w:r w:rsidR="00567475" w:rsidRPr="00813AEE">
        <w:rPr>
          <w:rFonts w:ascii="Book Antiqua" w:hAnsi="Book Antiqua"/>
          <w:color w:val="000000" w:themeColor="text1"/>
          <w:sz w:val="24"/>
          <w:szCs w:val="24"/>
        </w:rPr>
        <w:t>nterography</w:t>
      </w:r>
      <w:r w:rsidRPr="00813AEE">
        <w:rPr>
          <w:rFonts w:ascii="Book Antiqua" w:hAnsi="Book Antiqua"/>
          <w:color w:val="000000" w:themeColor="text1"/>
          <w:sz w:val="24"/>
          <w:szCs w:val="24"/>
        </w:rPr>
        <w:t xml:space="preserve">; </w:t>
      </w:r>
      <w:r w:rsidR="00422BE9">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 xml:space="preserve">(4) </w:t>
      </w:r>
      <w:r w:rsidR="00567475">
        <w:rPr>
          <w:rFonts w:ascii="Book Antiqua" w:hAnsi="Book Antiqua"/>
          <w:color w:val="000000" w:themeColor="text1"/>
          <w:sz w:val="24"/>
          <w:szCs w:val="24"/>
        </w:rPr>
        <w:t>n</w:t>
      </w:r>
      <w:r w:rsidR="00567475" w:rsidRPr="00813AEE">
        <w:rPr>
          <w:rFonts w:ascii="Book Antiqua" w:hAnsi="Book Antiqua"/>
          <w:color w:val="000000" w:themeColor="text1"/>
          <w:sz w:val="24"/>
          <w:szCs w:val="24"/>
        </w:rPr>
        <w:t xml:space="preserve">o </w:t>
      </w:r>
      <w:r w:rsidRPr="00813AEE">
        <w:rPr>
          <w:rFonts w:ascii="Book Antiqua" w:hAnsi="Book Antiqua"/>
          <w:color w:val="000000" w:themeColor="text1"/>
          <w:sz w:val="24"/>
          <w:szCs w:val="24"/>
        </w:rPr>
        <w:t xml:space="preserve">bowel surgery performed prior to MRI examination. Among the 61 patients, </w:t>
      </w:r>
      <w:r w:rsidR="00567475">
        <w:rPr>
          <w:rFonts w:ascii="Book Antiqua" w:hAnsi="Book Antiqua"/>
          <w:color w:val="000000" w:themeColor="text1"/>
          <w:sz w:val="24"/>
          <w:szCs w:val="24"/>
        </w:rPr>
        <w:t>12</w:t>
      </w:r>
      <w:r w:rsidRPr="00813AEE">
        <w:rPr>
          <w:rFonts w:ascii="Book Antiqua" w:hAnsi="Book Antiqua"/>
          <w:color w:val="000000" w:themeColor="text1"/>
          <w:sz w:val="24"/>
          <w:szCs w:val="24"/>
        </w:rPr>
        <w:t xml:space="preserve"> diagnosed with other diseases and 5</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with inadequate MRE images due to serious artifacts were excluded. Finally, </w:t>
      </w:r>
      <w:r w:rsidR="00567475">
        <w:rPr>
          <w:rFonts w:ascii="Book Antiqua" w:hAnsi="Book Antiqua"/>
          <w:color w:val="000000" w:themeColor="text1"/>
          <w:sz w:val="24"/>
          <w:szCs w:val="24"/>
        </w:rPr>
        <w:t xml:space="preserve">the </w:t>
      </w:r>
      <w:r w:rsidR="00567475" w:rsidRPr="00813AEE">
        <w:rPr>
          <w:rFonts w:ascii="Book Antiqua" w:hAnsi="Book Antiqua"/>
          <w:color w:val="000000" w:themeColor="text1"/>
          <w:sz w:val="24"/>
          <w:szCs w:val="24"/>
        </w:rPr>
        <w:t xml:space="preserve">remaining </w:t>
      </w:r>
      <w:r w:rsidRPr="00813AEE">
        <w:rPr>
          <w:rFonts w:ascii="Book Antiqua" w:hAnsi="Book Antiqua"/>
          <w:color w:val="000000" w:themeColor="text1"/>
          <w:sz w:val="24"/>
          <w:szCs w:val="24"/>
        </w:rPr>
        <w:t>44</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patients, </w:t>
      </w:r>
      <w:r w:rsidR="00567475">
        <w:rPr>
          <w:rFonts w:ascii="Book Antiqua" w:hAnsi="Book Antiqua"/>
          <w:color w:val="000000" w:themeColor="text1"/>
          <w:sz w:val="24"/>
          <w:szCs w:val="24"/>
        </w:rPr>
        <w:t xml:space="preserve">including </w:t>
      </w:r>
      <w:r w:rsidRPr="00813AEE">
        <w:rPr>
          <w:rFonts w:ascii="Book Antiqua" w:hAnsi="Book Antiqua"/>
          <w:color w:val="000000" w:themeColor="text1"/>
          <w:sz w:val="24"/>
          <w:szCs w:val="24"/>
        </w:rPr>
        <w:t xml:space="preserve">21 with CD </w:t>
      </w:r>
      <w:r w:rsidR="001E78A8" w:rsidRPr="00813AEE">
        <w:rPr>
          <w:rFonts w:ascii="Book Antiqua" w:hAnsi="Book Antiqua"/>
          <w:color w:val="000000" w:themeColor="text1"/>
          <w:sz w:val="24"/>
          <w:szCs w:val="24"/>
        </w:rPr>
        <w:t>involving</w:t>
      </w:r>
      <w:r w:rsidR="00567475">
        <w:rPr>
          <w:rFonts w:ascii="Book Antiqua" w:hAnsi="Book Antiqua"/>
          <w:color w:val="000000" w:themeColor="text1"/>
          <w:sz w:val="24"/>
          <w:szCs w:val="24"/>
        </w:rPr>
        <w:t xml:space="preserve"> the</w:t>
      </w:r>
      <w:r w:rsidRPr="00813AEE">
        <w:rPr>
          <w:rFonts w:ascii="Book Antiqua" w:hAnsi="Book Antiqua"/>
          <w:color w:val="000000" w:themeColor="text1"/>
          <w:sz w:val="24"/>
          <w:szCs w:val="24"/>
        </w:rPr>
        <w:t xml:space="preserve"> terminal ileum and 23 with </w:t>
      </w:r>
      <w:r w:rsidR="00F14D5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normal terminal ileum as control subjects, were included for the further analysis. A flowchart of the study population </w:t>
      </w:r>
      <w:r w:rsidR="00567475">
        <w:rPr>
          <w:rFonts w:ascii="Book Antiqua" w:hAnsi="Book Antiqua"/>
          <w:color w:val="000000" w:themeColor="text1"/>
          <w:sz w:val="24"/>
          <w:szCs w:val="24"/>
        </w:rPr>
        <w:t>i</w:t>
      </w:r>
      <w:r w:rsidR="00567475" w:rsidRPr="00813AEE">
        <w:rPr>
          <w:rFonts w:ascii="Book Antiqua" w:hAnsi="Book Antiqua"/>
          <w:color w:val="000000" w:themeColor="text1"/>
          <w:sz w:val="24"/>
          <w:szCs w:val="24"/>
        </w:rPr>
        <w:t xml:space="preserve">s </w:t>
      </w:r>
      <w:r w:rsidRPr="00813AEE">
        <w:rPr>
          <w:rFonts w:ascii="Book Antiqua" w:hAnsi="Book Antiqua"/>
          <w:color w:val="000000" w:themeColor="text1"/>
          <w:sz w:val="24"/>
          <w:szCs w:val="24"/>
        </w:rPr>
        <w:t xml:space="preserve">shown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1. The diagnosis of CD was confirmed by clinical information and a combination of endoscopic, histological, </w:t>
      </w:r>
      <w:r w:rsidR="00567475">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radiological investigations according to the European Crohn's and Colitis Organization criterion</w:t>
      </w:r>
      <w:r w:rsidR="00B92FFD" w:rsidRPr="00813AEE">
        <w:rPr>
          <w:rFonts w:ascii="Book Antiqua" w:hAnsi="Book Antiqua" w:cs="Book Antiqua"/>
          <w:color w:val="000000" w:themeColor="text1"/>
          <w:kern w:val="0"/>
          <w:sz w:val="24"/>
          <w:szCs w:val="24"/>
          <w:vertAlign w:val="superscript"/>
        </w:rPr>
        <w:t>[22]</w:t>
      </w:r>
      <w:r w:rsidR="00DD5A5C" w:rsidRPr="00813AEE">
        <w:rPr>
          <w:rFonts w:ascii="Book Antiqua" w:hAnsi="Book Antiqua"/>
          <w:color w:val="000000" w:themeColor="text1"/>
          <w:sz w:val="24"/>
          <w:szCs w:val="24"/>
        </w:rPr>
        <w:t xml:space="preserve">. </w:t>
      </w:r>
    </w:p>
    <w:p w14:paraId="5FB562CD" w14:textId="77777777" w:rsidR="00DD5A5C" w:rsidRPr="00813AEE" w:rsidRDefault="00DD5A5C" w:rsidP="00813AEE">
      <w:pPr>
        <w:adjustRightInd w:val="0"/>
        <w:snapToGrid w:val="0"/>
        <w:spacing w:line="360" w:lineRule="auto"/>
        <w:rPr>
          <w:rFonts w:ascii="Book Antiqua" w:hAnsi="Book Antiqua"/>
          <w:b/>
          <w:bCs/>
          <w:i/>
          <w:iCs/>
          <w:color w:val="000000" w:themeColor="text1"/>
          <w:sz w:val="24"/>
          <w:szCs w:val="24"/>
        </w:rPr>
      </w:pPr>
    </w:p>
    <w:p w14:paraId="4C9C348E" w14:textId="4F58EC9C" w:rsidR="00DD5A5C" w:rsidRPr="00813AEE" w:rsidRDefault="00320F55"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 xml:space="preserve">MRI </w:t>
      </w:r>
      <w:r w:rsidR="00422BE9" w:rsidRPr="00813AEE">
        <w:rPr>
          <w:rFonts w:ascii="Book Antiqua" w:hAnsi="Book Antiqua"/>
          <w:b/>
          <w:bCs/>
          <w:i/>
          <w:iCs/>
          <w:color w:val="000000" w:themeColor="text1"/>
          <w:sz w:val="24"/>
          <w:szCs w:val="24"/>
        </w:rPr>
        <w:t>data acquisition</w:t>
      </w:r>
    </w:p>
    <w:p w14:paraId="37E541AA" w14:textId="0013133F" w:rsidR="00320F55"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MRE was performed in a supine position using a 3.0-T GE scanner (Discovery MR750; GE Healthcare, Milwaukee, WI, United States) with a 32-channel torso phased array </w:t>
      </w:r>
      <w:r w:rsidRPr="00813AEE">
        <w:rPr>
          <w:rFonts w:ascii="Book Antiqua" w:hAnsi="Book Antiqua"/>
          <w:color w:val="000000" w:themeColor="text1"/>
          <w:sz w:val="24"/>
          <w:szCs w:val="24"/>
        </w:rPr>
        <w:lastRenderedPageBreak/>
        <w:t xml:space="preserve">body coil. Per protocol, all patients had fasted for at least 6 h before MRE. To achieve adequate distension of the small bowel, about 1500 </w:t>
      </w:r>
      <w:bookmarkStart w:id="105" w:name="OLE_LINK68"/>
      <w:bookmarkStart w:id="106" w:name="OLE_LINK69"/>
      <w:r w:rsidRPr="00813AEE">
        <w:rPr>
          <w:rFonts w:ascii="Book Antiqua" w:hAnsi="Book Antiqua"/>
          <w:color w:val="000000" w:themeColor="text1"/>
          <w:sz w:val="24"/>
          <w:szCs w:val="24"/>
        </w:rPr>
        <w:t>m</w:t>
      </w:r>
      <w:bookmarkEnd w:id="105"/>
      <w:bookmarkEnd w:id="106"/>
      <w:r w:rsidR="00422BE9">
        <w:rPr>
          <w:rFonts w:ascii="Book Antiqua" w:hAnsi="Book Antiqua"/>
          <w:color w:val="000000" w:themeColor="text1"/>
          <w:sz w:val="24"/>
          <w:szCs w:val="24"/>
        </w:rPr>
        <w:t>L</w:t>
      </w:r>
      <w:r w:rsidRPr="00813AEE">
        <w:rPr>
          <w:rFonts w:ascii="Book Antiqua" w:hAnsi="Book Antiqua"/>
          <w:color w:val="000000" w:themeColor="text1"/>
          <w:sz w:val="24"/>
          <w:szCs w:val="24"/>
        </w:rPr>
        <w:t xml:space="preserve"> </w:t>
      </w:r>
      <w:r w:rsidR="00567475">
        <w:rPr>
          <w:rFonts w:ascii="Book Antiqua" w:hAnsi="Book Antiqua"/>
          <w:color w:val="000000" w:themeColor="text1"/>
          <w:sz w:val="24"/>
          <w:szCs w:val="24"/>
        </w:rPr>
        <w:t xml:space="preserve">of </w:t>
      </w:r>
      <w:r w:rsidRPr="00813AEE">
        <w:rPr>
          <w:rFonts w:ascii="Book Antiqua" w:hAnsi="Book Antiqua"/>
          <w:color w:val="000000" w:themeColor="text1"/>
          <w:sz w:val="24"/>
          <w:szCs w:val="24"/>
        </w:rPr>
        <w:t xml:space="preserve">2.5% </w:t>
      </w:r>
      <w:r w:rsidR="00CC314A" w:rsidRPr="00813AEE">
        <w:rPr>
          <w:rFonts w:ascii="Book Antiqua" w:hAnsi="Book Antiqua"/>
          <w:color w:val="000000" w:themeColor="text1"/>
          <w:sz w:val="24"/>
          <w:szCs w:val="24"/>
        </w:rPr>
        <w:t xml:space="preserve">isosmotic </w:t>
      </w:r>
      <w:r w:rsidRPr="00813AEE">
        <w:rPr>
          <w:rFonts w:ascii="Book Antiqua" w:hAnsi="Book Antiqua"/>
          <w:color w:val="000000" w:themeColor="text1"/>
          <w:sz w:val="24"/>
          <w:szCs w:val="24"/>
        </w:rPr>
        <w:t>mannitol solution was administered orally to the patients 45 min prior to MR scanning. Anisodamine 10 mg was administered intramuscularly 5 min before the MR examination to reduce bowel peristalsis. Conventional MRE was acquired including T2-weighted single shot fast spin</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echo (SSFSE</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TR/TE: a respiratory cycle/68 </w:t>
      </w:r>
      <w:r w:rsidR="00422BE9">
        <w:rPr>
          <w:rFonts w:ascii="Book Antiqua" w:hAnsi="Book Antiqua"/>
          <w:color w:val="000000" w:themeColor="text1"/>
          <w:sz w:val="24"/>
          <w:szCs w:val="24"/>
        </w:rPr>
        <w:t>ms</w:t>
      </w:r>
      <w:r w:rsidRPr="00813AEE">
        <w:rPr>
          <w:rFonts w:ascii="Book Antiqua" w:hAnsi="Book Antiqua"/>
          <w:color w:val="000000" w:themeColor="text1"/>
          <w:sz w:val="24"/>
          <w:szCs w:val="24"/>
        </w:rPr>
        <w:t>, matrix: 288</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288, slice thickness: 4 mm for coronal/5 mm for axial), the fast imaging employing steady</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state acquisition (FIESTA</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TR/TE: 3.2/1.2 </w:t>
      </w:r>
      <w:r w:rsidR="00422BE9">
        <w:rPr>
          <w:rFonts w:ascii="Book Antiqua" w:hAnsi="Book Antiqua"/>
          <w:color w:val="000000" w:themeColor="text1"/>
          <w:sz w:val="24"/>
          <w:szCs w:val="24"/>
        </w:rPr>
        <w:t>ms</w:t>
      </w:r>
      <w:r w:rsidRPr="00813AEE">
        <w:rPr>
          <w:rFonts w:ascii="Book Antiqua" w:hAnsi="Book Antiqua"/>
          <w:color w:val="000000" w:themeColor="text1"/>
          <w:sz w:val="24"/>
          <w:szCs w:val="24"/>
        </w:rPr>
        <w:t>, matrix: 288</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288, slice thickness: 4 mm for coronal/5 mm for axial, flip angle: 45 degrees), and coronal and axial T1 weighted three-dimensional fast spoiled gradient echo (liver acquisition with volume acceleration sequence, LAVA; TR/TE: 3.8/1.7 </w:t>
      </w:r>
      <w:r w:rsidR="00422BE9">
        <w:rPr>
          <w:rFonts w:ascii="Book Antiqua" w:hAnsi="Book Antiqua"/>
          <w:color w:val="000000" w:themeColor="text1"/>
          <w:sz w:val="24"/>
          <w:szCs w:val="24"/>
        </w:rPr>
        <w:t>ms</w:t>
      </w:r>
      <w:r w:rsidRPr="00813AEE">
        <w:rPr>
          <w:rFonts w:ascii="Book Antiqua" w:hAnsi="Book Antiqua"/>
          <w:color w:val="000000" w:themeColor="text1"/>
          <w:sz w:val="24"/>
          <w:szCs w:val="24"/>
        </w:rPr>
        <w:t>, matrix: 260</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210, slice thickness:</w:t>
      </w:r>
      <w:r w:rsidR="00C461B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4 mm, flip angle: 15 degrees).</w:t>
      </w:r>
    </w:p>
    <w:p w14:paraId="4B1BE7A9" w14:textId="6695879F" w:rsidR="00DD5A5C" w:rsidRPr="00813AEE" w:rsidRDefault="00320F55" w:rsidP="004A2575">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The axial DWI sequence was obtained using single shot echo planar imaging (SS-EPI</w:t>
      </w:r>
      <w:r w:rsidR="00567475">
        <w:rPr>
          <w:rFonts w:ascii="Book Antiqua" w:hAnsi="Book Antiqua"/>
          <w:color w:val="000000" w:themeColor="text1"/>
          <w:sz w:val="24"/>
          <w:szCs w:val="24"/>
        </w:rPr>
        <w:t>;</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TR/TE: a respiratory cycle/minimum, field of view: 38.0</w:t>
      </w:r>
      <w:r w:rsidR="00CC314A" w:rsidRPr="00813AEE">
        <w:rPr>
          <w:rFonts w:ascii="Book Antiqua" w:hAnsi="Book Antiqua"/>
          <w:color w:val="000000" w:themeColor="text1"/>
          <w:sz w:val="24"/>
          <w:szCs w:val="24"/>
        </w:rPr>
        <w:t xml:space="preserve"> </w:t>
      </w:r>
      <w:r w:rsidR="004A2575">
        <w:rPr>
          <w:rFonts w:ascii="Book Antiqua" w:hAnsi="Book Antiqua"/>
          <w:color w:val="000000" w:themeColor="text1"/>
          <w:sz w:val="24"/>
          <w:szCs w:val="24"/>
        </w:rPr>
        <w:t xml:space="preserve">cm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30.4 cm, matrix: 160</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CC314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128, slice thickness: 6 mm) with b values of 0 and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the number of excitations (NEX) was 6. The total acquisition time of the whole examination for every patient was approximately 25 min depending on the patient’s respiratory rate.</w:t>
      </w:r>
    </w:p>
    <w:p w14:paraId="47935AF7" w14:textId="77777777" w:rsidR="00320F55" w:rsidRPr="00813AEE" w:rsidRDefault="00320F55" w:rsidP="00813AEE">
      <w:pPr>
        <w:adjustRightInd w:val="0"/>
        <w:snapToGrid w:val="0"/>
        <w:spacing w:line="360" w:lineRule="auto"/>
        <w:rPr>
          <w:rFonts w:ascii="Book Antiqua" w:hAnsi="Book Antiqua"/>
          <w:b/>
          <w:bCs/>
          <w:iCs/>
          <w:color w:val="000000" w:themeColor="text1"/>
          <w:sz w:val="24"/>
          <w:szCs w:val="24"/>
        </w:rPr>
      </w:pPr>
    </w:p>
    <w:p w14:paraId="08930F78" w14:textId="6F6224A4" w:rsidR="00DD5A5C" w:rsidRPr="00813AEE" w:rsidRDefault="00320F55"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 xml:space="preserve">Image </w:t>
      </w:r>
      <w:r w:rsidR="004A2575">
        <w:rPr>
          <w:rFonts w:ascii="Book Antiqua" w:hAnsi="Book Antiqua"/>
          <w:b/>
          <w:bCs/>
          <w:i/>
          <w:iCs/>
          <w:color w:val="000000" w:themeColor="text1"/>
          <w:sz w:val="24"/>
          <w:szCs w:val="24"/>
        </w:rPr>
        <w:t>a</w:t>
      </w:r>
      <w:r w:rsidRPr="00813AEE">
        <w:rPr>
          <w:rFonts w:ascii="Book Antiqua" w:hAnsi="Book Antiqua"/>
          <w:b/>
          <w:bCs/>
          <w:i/>
          <w:iCs/>
          <w:color w:val="000000" w:themeColor="text1"/>
          <w:sz w:val="24"/>
          <w:szCs w:val="24"/>
        </w:rPr>
        <w:t>nalysis</w:t>
      </w:r>
    </w:p>
    <w:p w14:paraId="0CC5369A" w14:textId="60D54555" w:rsidR="00C13186" w:rsidRPr="00813AEE" w:rsidRDefault="00320F55" w:rsidP="00813AEE">
      <w:pPr>
        <w:pStyle w:val="10"/>
        <w:adjustRightInd w:val="0"/>
        <w:snapToGrid w:val="0"/>
        <w:spacing w:line="360" w:lineRule="auto"/>
        <w:jc w:val="both"/>
        <w:rPr>
          <w:rFonts w:ascii="Book Antiqua" w:hAnsi="Book Antiqua" w:cs="Book Antiqua"/>
          <w:color w:val="000000" w:themeColor="text1"/>
          <w:kern w:val="2"/>
          <w:sz w:val="24"/>
          <w:szCs w:val="24"/>
          <w:lang w:val="en-US" w:eastAsia="zh-CN"/>
        </w:rPr>
      </w:pPr>
      <w:r w:rsidRPr="00813AEE">
        <w:rPr>
          <w:rFonts w:ascii="Book Antiqua" w:hAnsi="Book Antiqua"/>
          <w:color w:val="000000" w:themeColor="text1"/>
          <w:sz w:val="24"/>
          <w:szCs w:val="24"/>
          <w:lang w:val="en-US"/>
        </w:rPr>
        <w:t>All images were transferred to a workstation (Advantage Workstation 4.6, GE Healthcare) where ADC maps were generated by using a mono-exponential fit. Two gastrointestinal radiologists (R1 with 5 years</w:t>
      </w:r>
      <w:r w:rsidR="00567475">
        <w:rPr>
          <w:rFonts w:ascii="Book Antiqua" w:hAnsi="Book Antiqua"/>
          <w:color w:val="000000" w:themeColor="text1"/>
          <w:sz w:val="24"/>
          <w:szCs w:val="24"/>
          <w:lang w:val="en-US"/>
        </w:rPr>
        <w:t xml:space="preserve"> of</w:t>
      </w:r>
      <w:r w:rsidR="00567475" w:rsidRPr="00813AEE">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experience and R2 with 3 years</w:t>
      </w:r>
      <w:r w:rsidR="00567475">
        <w:rPr>
          <w:rFonts w:ascii="Book Antiqua" w:hAnsi="Book Antiqua"/>
          <w:color w:val="000000" w:themeColor="text1"/>
          <w:sz w:val="24"/>
          <w:szCs w:val="24"/>
          <w:lang w:val="en-US"/>
        </w:rPr>
        <w:t xml:space="preserve"> of </w:t>
      </w:r>
      <w:r w:rsidRPr="00813AEE">
        <w:rPr>
          <w:rFonts w:ascii="Book Antiqua" w:hAnsi="Book Antiqua"/>
          <w:color w:val="000000" w:themeColor="text1"/>
          <w:sz w:val="24"/>
          <w:szCs w:val="24"/>
          <w:lang w:val="en-US"/>
        </w:rPr>
        <w:t xml:space="preserve">experience), both blinded to clinical details as well as endoscopy results, measured the signal intensity (SI) of the terminal ileum (defined as the final 10 cm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small bowel) and ipsilateral psoas muscle on DWI images with b = 800 s/mm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xml:space="preserve">. Separately and simultaneously, ADC values for the terminal ileum were recorded. For the SI and ADC measurements in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terminal ileum, the images were magnified, and three oval regions of interest (ROI), as large as possible (12-30 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to encompass the bowel wall, were placed on the area of brightest signal on the DWI along with hypointensity on ADC maps (</w:t>
      </w:r>
      <w:r w:rsidR="00CC314A" w:rsidRPr="00813AEE">
        <w:rPr>
          <w:rFonts w:ascii="Book Antiqua" w:hAnsi="Book Antiqua"/>
          <w:color w:val="000000" w:themeColor="text1"/>
          <w:sz w:val="24"/>
          <w:szCs w:val="24"/>
          <w:lang w:val="en-US"/>
        </w:rPr>
        <w:t>Figure</w:t>
      </w:r>
      <w:r w:rsidRPr="00813AEE">
        <w:rPr>
          <w:rFonts w:ascii="Book Antiqua" w:hAnsi="Book Antiqua"/>
          <w:color w:val="000000" w:themeColor="text1"/>
          <w:sz w:val="24"/>
          <w:szCs w:val="24"/>
          <w:lang w:val="en-US"/>
        </w:rPr>
        <w:t xml:space="preserve"> 2), as having been described in previous studies</w:t>
      </w:r>
      <w:r w:rsidR="00B92FFD" w:rsidRPr="00813AEE">
        <w:rPr>
          <w:rFonts w:ascii="Book Antiqua" w:hAnsi="Book Antiqua" w:cs="Book Antiqua"/>
          <w:color w:val="000000" w:themeColor="text1"/>
          <w:sz w:val="24"/>
          <w:szCs w:val="24"/>
          <w:vertAlign w:val="superscript"/>
          <w:lang w:val="en-US"/>
        </w:rPr>
        <w:t>[9,23]</w:t>
      </w:r>
      <w:r w:rsidRPr="00813AEE">
        <w:rPr>
          <w:rFonts w:ascii="Book Antiqua" w:hAnsi="Book Antiqua"/>
          <w:color w:val="000000" w:themeColor="text1"/>
          <w:sz w:val="24"/>
          <w:szCs w:val="24"/>
          <w:lang w:val="en-US"/>
        </w:rPr>
        <w:t>. The means of the three measurements (SI and ADC) were used for the further analysis. Then</w:t>
      </w:r>
      <w:r w:rsidR="00567475">
        <w:rPr>
          <w:rFonts w:ascii="Book Antiqua" w:hAnsi="Book Antiqua"/>
          <w:color w:val="000000" w:themeColor="text1"/>
          <w:sz w:val="24"/>
          <w:szCs w:val="24"/>
          <w:lang w:val="en-US"/>
        </w:rPr>
        <w:t>,</w:t>
      </w:r>
      <w:r w:rsidRPr="00813AEE">
        <w:rPr>
          <w:rFonts w:ascii="Book Antiqua" w:hAnsi="Book Antiqua"/>
          <w:color w:val="000000" w:themeColor="text1"/>
          <w:sz w:val="24"/>
          <w:szCs w:val="24"/>
          <w:lang w:val="en-US"/>
        </w:rPr>
        <w:t xml:space="preserve"> SI of </w:t>
      </w:r>
      <w:r w:rsidR="00567475">
        <w:rPr>
          <w:rFonts w:ascii="Book Antiqua" w:hAnsi="Book Antiqua"/>
          <w:color w:val="000000" w:themeColor="text1"/>
          <w:sz w:val="24"/>
          <w:szCs w:val="24"/>
          <w:lang w:val="en-US"/>
        </w:rPr>
        <w:lastRenderedPageBreak/>
        <w:t xml:space="preserve">the </w:t>
      </w:r>
      <w:r w:rsidRPr="00813AEE">
        <w:rPr>
          <w:rFonts w:ascii="Book Antiqua" w:hAnsi="Book Antiqua"/>
          <w:color w:val="000000" w:themeColor="text1"/>
          <w:sz w:val="24"/>
          <w:szCs w:val="24"/>
          <w:lang w:val="en-US"/>
        </w:rPr>
        <w:t>psoas muscle on DWI with b = 800 s/mm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xml:space="preserve"> was measured by placing a larger oval ROI (60-100 mm</w:t>
      </w:r>
      <w:r w:rsidRPr="00813AEE">
        <w:rPr>
          <w:rFonts w:ascii="Book Antiqua" w:hAnsi="Book Antiqua"/>
          <w:color w:val="000000" w:themeColor="text1"/>
          <w:sz w:val="24"/>
          <w:szCs w:val="24"/>
          <w:vertAlign w:val="superscript"/>
          <w:lang w:val="en-US"/>
        </w:rPr>
        <w:t>2</w:t>
      </w:r>
      <w:r w:rsidRPr="00813AEE">
        <w:rPr>
          <w:rFonts w:ascii="Book Antiqua" w:hAnsi="Book Antiqua"/>
          <w:color w:val="000000" w:themeColor="text1"/>
          <w:sz w:val="24"/>
          <w:szCs w:val="24"/>
          <w:lang w:val="en-US"/>
        </w:rPr>
        <w:t>). The</w:t>
      </w:r>
      <w:r w:rsidR="00567475">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 xml:space="preserve">SR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 xml:space="preserve">terminal ileum to ipsilateral psoas muscle was calculated according to </w:t>
      </w:r>
      <w:r w:rsidR="00E903B1" w:rsidRPr="00813AEE">
        <w:rPr>
          <w:rFonts w:ascii="Book Antiqua" w:hAnsi="Book Antiqua"/>
          <w:color w:val="000000" w:themeColor="text1"/>
          <w:sz w:val="24"/>
          <w:szCs w:val="24"/>
          <w:lang w:val="en-US"/>
        </w:rPr>
        <w:t>the</w:t>
      </w:r>
      <w:r w:rsidRPr="00813AEE">
        <w:rPr>
          <w:rFonts w:ascii="Book Antiqua" w:hAnsi="Book Antiqua"/>
          <w:color w:val="000000" w:themeColor="text1"/>
          <w:sz w:val="24"/>
          <w:szCs w:val="24"/>
          <w:lang w:val="en-US"/>
        </w:rPr>
        <w:t xml:space="preserve"> prior stud</w:t>
      </w:r>
      <w:r w:rsidR="00E903B1" w:rsidRPr="00813AEE">
        <w:rPr>
          <w:rFonts w:ascii="Book Antiqua" w:hAnsi="Book Antiqua"/>
          <w:color w:val="000000" w:themeColor="text1"/>
          <w:sz w:val="24"/>
          <w:szCs w:val="24"/>
          <w:lang w:val="en-US"/>
        </w:rPr>
        <w:t>ies</w:t>
      </w:r>
      <w:r w:rsidR="00B92FFD" w:rsidRPr="00813AEE">
        <w:rPr>
          <w:rFonts w:ascii="Book Antiqua" w:hAnsi="Book Antiqua" w:cs="Book Antiqua"/>
          <w:color w:val="000000" w:themeColor="text1"/>
          <w:sz w:val="24"/>
          <w:szCs w:val="24"/>
          <w:vertAlign w:val="superscript"/>
          <w:lang w:val="en-US"/>
        </w:rPr>
        <w:t>[24,25]</w:t>
      </w:r>
      <w:r w:rsidRPr="00813AEE">
        <w:rPr>
          <w:rFonts w:ascii="Book Antiqua" w:hAnsi="Book Antiqua"/>
          <w:color w:val="000000" w:themeColor="text1"/>
          <w:sz w:val="24"/>
          <w:szCs w:val="24"/>
          <w:lang w:val="en-US"/>
        </w:rPr>
        <w:t xml:space="preserve"> by the equation: SR = SI</w:t>
      </w:r>
      <w:r w:rsidRPr="00E35FB0">
        <w:rPr>
          <w:rFonts w:ascii="Book Antiqua" w:hAnsi="Book Antiqua"/>
          <w:color w:val="000000" w:themeColor="text1"/>
          <w:sz w:val="24"/>
          <w:szCs w:val="24"/>
          <w:vertAlign w:val="subscript"/>
          <w:lang w:val="en-US"/>
        </w:rPr>
        <w:t>ileum</w:t>
      </w:r>
      <w:r w:rsidRPr="00813AEE">
        <w:rPr>
          <w:rFonts w:ascii="Book Antiqua" w:hAnsi="Book Antiqua"/>
          <w:color w:val="000000" w:themeColor="text1"/>
          <w:sz w:val="24"/>
          <w:szCs w:val="24"/>
          <w:lang w:val="en-US"/>
        </w:rPr>
        <w:t>/SI</w:t>
      </w:r>
      <w:r w:rsidRPr="00E35FB0">
        <w:rPr>
          <w:rFonts w:ascii="Book Antiqua" w:hAnsi="Book Antiqua"/>
          <w:color w:val="000000" w:themeColor="text1"/>
          <w:sz w:val="24"/>
          <w:szCs w:val="24"/>
          <w:vertAlign w:val="subscript"/>
          <w:lang w:val="en-US"/>
        </w:rPr>
        <w:t>muscle</w:t>
      </w:r>
      <w:r w:rsidRPr="00813AEE">
        <w:rPr>
          <w:rFonts w:ascii="Book Antiqua" w:hAnsi="Book Antiqua"/>
          <w:color w:val="000000" w:themeColor="text1"/>
          <w:sz w:val="24"/>
          <w:szCs w:val="24"/>
          <w:lang w:val="en-US"/>
        </w:rPr>
        <w:t>, where SI</w:t>
      </w:r>
      <w:r w:rsidRPr="00E35FB0">
        <w:rPr>
          <w:rFonts w:ascii="Book Antiqua" w:hAnsi="Book Antiqua"/>
          <w:color w:val="000000" w:themeColor="text1"/>
          <w:sz w:val="24"/>
          <w:szCs w:val="24"/>
          <w:vertAlign w:val="subscript"/>
          <w:lang w:val="en-US"/>
        </w:rPr>
        <w:t>ileum</w:t>
      </w:r>
      <w:r w:rsidRPr="00813AEE">
        <w:rPr>
          <w:rFonts w:ascii="Book Antiqua" w:hAnsi="Book Antiqua"/>
          <w:color w:val="000000" w:themeColor="text1"/>
          <w:sz w:val="24"/>
          <w:szCs w:val="24"/>
          <w:lang w:val="en-US"/>
        </w:rPr>
        <w:t xml:space="preserve"> and SI</w:t>
      </w:r>
      <w:r w:rsidRPr="00E35FB0">
        <w:rPr>
          <w:rFonts w:ascii="Book Antiqua" w:hAnsi="Book Antiqua"/>
          <w:color w:val="000000" w:themeColor="text1"/>
          <w:sz w:val="24"/>
          <w:szCs w:val="24"/>
          <w:vertAlign w:val="subscript"/>
          <w:lang w:val="en-US"/>
        </w:rPr>
        <w:t>muscle</w:t>
      </w:r>
      <w:r w:rsidRPr="00813AEE">
        <w:rPr>
          <w:rFonts w:ascii="Book Antiqua" w:hAnsi="Book Antiqua"/>
          <w:color w:val="000000" w:themeColor="text1"/>
          <w:sz w:val="24"/>
          <w:szCs w:val="24"/>
          <w:lang w:val="en-US"/>
        </w:rPr>
        <w:t xml:space="preserve"> </w:t>
      </w:r>
      <w:r w:rsidR="00567475" w:rsidRPr="00813AEE">
        <w:rPr>
          <w:rFonts w:ascii="Book Antiqua" w:hAnsi="Book Antiqua"/>
          <w:color w:val="000000" w:themeColor="text1"/>
          <w:sz w:val="24"/>
          <w:szCs w:val="24"/>
          <w:lang w:val="en-US"/>
        </w:rPr>
        <w:t>represent</w:t>
      </w:r>
      <w:r w:rsidR="00567475">
        <w:rPr>
          <w:rFonts w:ascii="Book Antiqua" w:hAnsi="Book Antiqua"/>
          <w:color w:val="000000" w:themeColor="text1"/>
          <w:sz w:val="24"/>
          <w:szCs w:val="24"/>
          <w:lang w:val="en-US"/>
        </w:rPr>
        <w:t xml:space="preserve"> </w:t>
      </w:r>
      <w:r w:rsidRPr="00813AEE">
        <w:rPr>
          <w:rFonts w:ascii="Book Antiqua" w:hAnsi="Book Antiqua"/>
          <w:color w:val="000000" w:themeColor="text1"/>
          <w:sz w:val="24"/>
          <w:szCs w:val="24"/>
          <w:lang w:val="en-US"/>
        </w:rPr>
        <w:t xml:space="preserve">the measured SI of </w:t>
      </w:r>
      <w:r w:rsidR="00567475">
        <w:rPr>
          <w:rFonts w:ascii="Book Antiqua" w:hAnsi="Book Antiqua"/>
          <w:color w:val="000000" w:themeColor="text1"/>
          <w:sz w:val="24"/>
          <w:szCs w:val="24"/>
          <w:lang w:val="en-US"/>
        </w:rPr>
        <w:t xml:space="preserve">the </w:t>
      </w:r>
      <w:r w:rsidRPr="00813AEE">
        <w:rPr>
          <w:rFonts w:ascii="Book Antiqua" w:hAnsi="Book Antiqua"/>
          <w:color w:val="000000" w:themeColor="text1"/>
          <w:sz w:val="24"/>
          <w:szCs w:val="24"/>
          <w:lang w:val="en-US"/>
        </w:rPr>
        <w:t>terminal ileum and ipsilateral psoas muscle, respectively. After a washout period of 4 w</w:t>
      </w:r>
      <w:r w:rsidR="009A16E2">
        <w:rPr>
          <w:rFonts w:ascii="Book Antiqua" w:hAnsi="Book Antiqua"/>
          <w:color w:val="000000" w:themeColor="text1"/>
          <w:sz w:val="24"/>
          <w:szCs w:val="24"/>
          <w:lang w:val="en-US"/>
        </w:rPr>
        <w:t>k</w:t>
      </w:r>
      <w:r w:rsidRPr="00813AEE">
        <w:rPr>
          <w:rFonts w:ascii="Book Antiqua" w:hAnsi="Book Antiqua"/>
          <w:color w:val="000000" w:themeColor="text1"/>
          <w:sz w:val="24"/>
          <w:szCs w:val="24"/>
          <w:lang w:val="en-US"/>
        </w:rPr>
        <w:t>, the same two radiologists repeated the above described measurements to assess intraobserver agreement</w:t>
      </w:r>
      <w:r w:rsidR="00C13186" w:rsidRPr="00813AEE">
        <w:rPr>
          <w:rFonts w:ascii="Book Antiqua" w:hAnsi="Book Antiqua" w:cs="Book Antiqua"/>
          <w:color w:val="000000" w:themeColor="text1"/>
          <w:kern w:val="2"/>
          <w:sz w:val="24"/>
          <w:szCs w:val="24"/>
          <w:lang w:val="en-US" w:eastAsia="zh-CN"/>
        </w:rPr>
        <w:t>.</w:t>
      </w:r>
    </w:p>
    <w:p w14:paraId="04CC7AC8" w14:textId="77777777" w:rsidR="00DD5A5C" w:rsidRPr="00813AEE" w:rsidRDefault="00DD5A5C" w:rsidP="00813AEE">
      <w:pPr>
        <w:adjustRightInd w:val="0"/>
        <w:snapToGrid w:val="0"/>
        <w:spacing w:line="360" w:lineRule="auto"/>
        <w:rPr>
          <w:rFonts w:ascii="Book Antiqua" w:hAnsi="Book Antiqua"/>
          <w:i/>
          <w:color w:val="000000" w:themeColor="text1"/>
          <w:sz w:val="24"/>
          <w:szCs w:val="24"/>
        </w:rPr>
      </w:pPr>
    </w:p>
    <w:p w14:paraId="338EED0D" w14:textId="424D6254" w:rsidR="00DD5A5C" w:rsidRPr="00813AEE" w:rsidRDefault="00320F55" w:rsidP="00813AEE">
      <w:pPr>
        <w:adjustRightInd w:val="0"/>
        <w:snapToGrid w:val="0"/>
        <w:spacing w:line="360" w:lineRule="auto"/>
        <w:rPr>
          <w:rFonts w:ascii="Book Antiqua" w:hAnsi="Book Antiqua"/>
          <w:b/>
          <w:bCs/>
          <w:iCs/>
          <w:color w:val="000000" w:themeColor="text1"/>
          <w:sz w:val="24"/>
          <w:szCs w:val="24"/>
        </w:rPr>
      </w:pPr>
      <w:r w:rsidRPr="00813AEE">
        <w:rPr>
          <w:rFonts w:ascii="Book Antiqua" w:hAnsi="Book Antiqua"/>
          <w:b/>
          <w:bCs/>
          <w:i/>
          <w:iCs/>
          <w:color w:val="000000" w:themeColor="text1"/>
          <w:sz w:val="24"/>
          <w:szCs w:val="24"/>
        </w:rPr>
        <w:t>Referen</w:t>
      </w:r>
      <w:r w:rsidR="009A16E2" w:rsidRPr="00813AEE">
        <w:rPr>
          <w:rFonts w:ascii="Book Antiqua" w:hAnsi="Book Antiqua"/>
          <w:b/>
          <w:bCs/>
          <w:i/>
          <w:iCs/>
          <w:color w:val="000000" w:themeColor="text1"/>
          <w:sz w:val="24"/>
          <w:szCs w:val="24"/>
        </w:rPr>
        <w:t>ce standar</w:t>
      </w:r>
      <w:r w:rsidRPr="00813AEE">
        <w:rPr>
          <w:rFonts w:ascii="Book Antiqua" w:hAnsi="Book Antiqua"/>
          <w:b/>
          <w:bCs/>
          <w:i/>
          <w:iCs/>
          <w:color w:val="000000" w:themeColor="text1"/>
          <w:sz w:val="24"/>
          <w:szCs w:val="24"/>
        </w:rPr>
        <w:t xml:space="preserve">d: Endoscopy </w:t>
      </w:r>
      <w:r w:rsidR="009A16E2">
        <w:rPr>
          <w:rFonts w:ascii="Book Antiqua" w:hAnsi="Book Antiqua"/>
          <w:b/>
          <w:bCs/>
          <w:i/>
          <w:iCs/>
          <w:color w:val="000000" w:themeColor="text1"/>
          <w:sz w:val="24"/>
          <w:szCs w:val="24"/>
        </w:rPr>
        <w:t>a</w:t>
      </w:r>
      <w:r w:rsidRPr="00813AEE">
        <w:rPr>
          <w:rFonts w:ascii="Book Antiqua" w:hAnsi="Book Antiqua"/>
          <w:b/>
          <w:bCs/>
          <w:i/>
          <w:iCs/>
          <w:color w:val="000000" w:themeColor="text1"/>
          <w:sz w:val="24"/>
          <w:szCs w:val="24"/>
        </w:rPr>
        <w:t>ssessment</w:t>
      </w:r>
    </w:p>
    <w:p w14:paraId="0D28CD83" w14:textId="52A23576" w:rsidR="00666D7A" w:rsidRPr="00813AEE" w:rsidRDefault="00320F5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w:t>
      </w:r>
      <w:r w:rsidR="00567475">
        <w:rPr>
          <w:rFonts w:ascii="Book Antiqua" w:hAnsi="Book Antiqua"/>
          <w:color w:val="000000" w:themeColor="text1"/>
          <w:sz w:val="24"/>
          <w:szCs w:val="24"/>
        </w:rPr>
        <w:t>he t</w:t>
      </w:r>
      <w:r w:rsidRPr="00813AEE">
        <w:rPr>
          <w:rFonts w:ascii="Book Antiqua" w:hAnsi="Book Antiqua"/>
          <w:color w:val="000000" w:themeColor="text1"/>
          <w:sz w:val="24"/>
          <w:szCs w:val="24"/>
        </w:rPr>
        <w:t xml:space="preserve">erminal ileum of all the subjects was assessed by ileocolonoscopy as the reference standard. Prior endoscopy, bowel preparation was performed </w:t>
      </w:r>
      <w:r w:rsidRPr="00813AEE">
        <w:rPr>
          <w:rFonts w:ascii="Book Antiqua" w:hAnsi="Book Antiqua"/>
          <w:i/>
          <w:color w:val="000000" w:themeColor="text1"/>
          <w:sz w:val="24"/>
          <w:szCs w:val="24"/>
        </w:rPr>
        <w:t>via</w:t>
      </w:r>
      <w:r w:rsidRPr="00813AEE">
        <w:rPr>
          <w:rFonts w:ascii="Book Antiqua" w:hAnsi="Book Antiqua"/>
          <w:color w:val="000000" w:themeColor="text1"/>
          <w:sz w:val="24"/>
          <w:szCs w:val="24"/>
        </w:rPr>
        <w:t xml:space="preserve"> oral ingestion of about 4 L </w:t>
      </w:r>
      <w:r w:rsidR="00567475">
        <w:rPr>
          <w:rFonts w:ascii="Book Antiqua" w:hAnsi="Book Antiqua"/>
          <w:color w:val="000000" w:themeColor="text1"/>
          <w:sz w:val="24"/>
          <w:szCs w:val="24"/>
        </w:rPr>
        <w:t xml:space="preserve">of </w:t>
      </w:r>
      <w:r w:rsidRPr="00813AEE">
        <w:rPr>
          <w:rFonts w:ascii="Book Antiqua" w:hAnsi="Book Antiqua"/>
          <w:color w:val="000000" w:themeColor="text1"/>
          <w:sz w:val="24"/>
          <w:szCs w:val="24"/>
        </w:rPr>
        <w:t xml:space="preserve">polyethylene glycol solution according to the standard protocol. Endoscopy was successfully conducted to assess the terminal ileum in all of the included patients. Endoscopic analysis of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terminal ileum was performed by an endoscopist with 10 years of e</w:t>
      </w:r>
      <w:r w:rsidR="00744A52" w:rsidRPr="00813AEE">
        <w:rPr>
          <w:rFonts w:ascii="Book Antiqua" w:hAnsi="Book Antiqua"/>
          <w:color w:val="000000" w:themeColor="text1"/>
          <w:sz w:val="24"/>
          <w:szCs w:val="24"/>
        </w:rPr>
        <w:t>xperience who was blinded to MR</w:t>
      </w:r>
      <w:r w:rsidRPr="00813AEE">
        <w:rPr>
          <w:rFonts w:ascii="Book Antiqua" w:hAnsi="Book Antiqua"/>
          <w:color w:val="000000" w:themeColor="text1"/>
          <w:sz w:val="24"/>
          <w:szCs w:val="24"/>
        </w:rPr>
        <w:t xml:space="preserve">E results and clinical data. The colonoscopy findings of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terminal ileum, such as overt ulcers, aphthoid lesions, and erythema or edema, were considered as</w:t>
      </w:r>
      <w:r w:rsidR="00567475">
        <w:rPr>
          <w:rFonts w:ascii="Book Antiqua" w:hAnsi="Book Antiqua"/>
          <w:color w:val="000000" w:themeColor="text1"/>
          <w:sz w:val="24"/>
          <w:szCs w:val="24"/>
        </w:rPr>
        <w:t xml:space="preserve"> </w:t>
      </w:r>
      <w:r w:rsidRPr="00813AEE">
        <w:rPr>
          <w:rFonts w:ascii="Book Antiqua" w:hAnsi="Book Antiqua"/>
          <w:color w:val="000000" w:themeColor="text1"/>
          <w:sz w:val="24"/>
          <w:szCs w:val="24"/>
        </w:rPr>
        <w:t>inflammatory conditions</w:t>
      </w:r>
      <w:r w:rsidR="00B92FFD" w:rsidRPr="00813AEE">
        <w:rPr>
          <w:rFonts w:ascii="Book Antiqua" w:hAnsi="Book Antiqua" w:cs="Book Antiqua"/>
          <w:color w:val="000000" w:themeColor="text1"/>
          <w:kern w:val="0"/>
          <w:sz w:val="24"/>
          <w:szCs w:val="24"/>
          <w:vertAlign w:val="superscript"/>
        </w:rPr>
        <w:t>[17,22]</w:t>
      </w:r>
      <w:r w:rsidR="00666D7A" w:rsidRPr="00813AEE">
        <w:rPr>
          <w:rFonts w:ascii="Book Antiqua" w:hAnsi="Book Antiqua"/>
          <w:color w:val="000000" w:themeColor="text1"/>
          <w:sz w:val="24"/>
          <w:szCs w:val="24"/>
        </w:rPr>
        <w:t xml:space="preserve">. </w:t>
      </w:r>
    </w:p>
    <w:p w14:paraId="7160E07F" w14:textId="77777777" w:rsidR="00DD5A5C" w:rsidRPr="00567475" w:rsidRDefault="00DD5A5C" w:rsidP="00813AEE">
      <w:pPr>
        <w:autoSpaceDE w:val="0"/>
        <w:autoSpaceDN w:val="0"/>
        <w:adjustRightInd w:val="0"/>
        <w:snapToGrid w:val="0"/>
        <w:spacing w:line="360" w:lineRule="auto"/>
        <w:rPr>
          <w:rFonts w:ascii="Book Antiqua" w:hAnsi="Book Antiqua"/>
          <w:b/>
          <w:bCs/>
          <w:iCs/>
          <w:color w:val="000000" w:themeColor="text1"/>
          <w:sz w:val="24"/>
          <w:szCs w:val="24"/>
        </w:rPr>
      </w:pPr>
    </w:p>
    <w:p w14:paraId="2C915409" w14:textId="77777777" w:rsidR="00DD5A5C" w:rsidRPr="00813AEE" w:rsidRDefault="00DD5A5C" w:rsidP="00813AEE">
      <w:pPr>
        <w:adjustRightInd w:val="0"/>
        <w:snapToGrid w:val="0"/>
        <w:spacing w:line="360" w:lineRule="auto"/>
        <w:rPr>
          <w:rFonts w:ascii="Book Antiqua" w:hAnsi="Book Antiqua"/>
          <w:b/>
          <w:bCs/>
          <w:i/>
          <w:iCs/>
          <w:color w:val="000000" w:themeColor="text1"/>
          <w:sz w:val="24"/>
          <w:szCs w:val="24"/>
        </w:rPr>
      </w:pPr>
      <w:r w:rsidRPr="00813AEE">
        <w:rPr>
          <w:rFonts w:ascii="Book Antiqua" w:hAnsi="Book Antiqua"/>
          <w:b/>
          <w:bCs/>
          <w:i/>
          <w:iCs/>
          <w:color w:val="000000" w:themeColor="text1"/>
          <w:sz w:val="24"/>
          <w:szCs w:val="24"/>
        </w:rPr>
        <w:t>Statistical analysis</w:t>
      </w:r>
    </w:p>
    <w:p w14:paraId="5E51A653" w14:textId="57FCCA76" w:rsidR="00DD5A5C"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Statistical calculations were performed using the Statistical Package for the Social Sciences Software Package (SPSS Statistics, version 20.0; SPSS Inc., Chicago, IL</w:t>
      </w:r>
      <w:r w:rsidR="009A16E2">
        <w:rPr>
          <w:rFonts w:ascii="Book Antiqua" w:hAnsi="Book Antiqua"/>
          <w:color w:val="000000" w:themeColor="text1"/>
          <w:sz w:val="24"/>
          <w:szCs w:val="24"/>
        </w:rPr>
        <w:t>, United States</w:t>
      </w:r>
      <w:r w:rsidRPr="00813AEE">
        <w:rPr>
          <w:rFonts w:ascii="Book Antiqua" w:hAnsi="Book Antiqua"/>
          <w:color w:val="000000" w:themeColor="text1"/>
          <w:sz w:val="24"/>
          <w:szCs w:val="24"/>
        </w:rPr>
        <w:t xml:space="preserve">) and MedCalc (release 15.2.2; MedCalc Software, Mariakerke, Belgium). The normal distribution of quantitative parameters was ascertained by </w:t>
      </w:r>
      <w:r w:rsidR="0056747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Kolmogorov-Smirnov test. Differences in ADC and SR between the two readers and two sessions within the CD and control groups were compared using a paired </w:t>
      </w:r>
      <w:r w:rsidRPr="00813AEE">
        <w:rPr>
          <w:rFonts w:ascii="Book Antiqua" w:hAnsi="Book Antiqua"/>
          <w:i/>
          <w:color w:val="000000" w:themeColor="text1"/>
          <w:sz w:val="24"/>
          <w:szCs w:val="24"/>
        </w:rPr>
        <w:t>t</w:t>
      </w:r>
      <w:r w:rsidRPr="00813AEE">
        <w:rPr>
          <w:rFonts w:ascii="Book Antiqua" w:hAnsi="Book Antiqua"/>
          <w:color w:val="000000" w:themeColor="text1"/>
          <w:sz w:val="24"/>
          <w:szCs w:val="24"/>
        </w:rPr>
        <w:t xml:space="preserve"> </w:t>
      </w:r>
      <w:r w:rsidR="00567475" w:rsidRPr="00813AEE">
        <w:rPr>
          <w:rFonts w:ascii="Book Antiqua" w:hAnsi="Book Antiqua"/>
          <w:i/>
          <w:color w:val="000000" w:themeColor="text1"/>
          <w:sz w:val="24"/>
          <w:szCs w:val="24"/>
        </w:rPr>
        <w:t>t</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test. Inter and intraobserver agreement</w:t>
      </w:r>
      <w:r w:rsidR="00E6189D">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for SR and ADC measurements </w:t>
      </w:r>
      <w:r w:rsidR="00567475" w:rsidRPr="00813AEE">
        <w:rPr>
          <w:rFonts w:ascii="Book Antiqua" w:hAnsi="Book Antiqua"/>
          <w:color w:val="000000" w:themeColor="text1"/>
          <w:sz w:val="24"/>
          <w:szCs w:val="24"/>
        </w:rPr>
        <w:t>w</w:t>
      </w:r>
      <w:r w:rsidR="00E6189D">
        <w:rPr>
          <w:rFonts w:ascii="Book Antiqua" w:hAnsi="Book Antiqua"/>
          <w:color w:val="000000" w:themeColor="text1"/>
          <w:sz w:val="24"/>
          <w:szCs w:val="24"/>
        </w:rPr>
        <w:t>ere</w:t>
      </w:r>
      <w:r w:rsidR="0056747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assessed using the intraclass correlation coefficient (ICC), coefficients of variation (CoV) from duplicate measurements, and the Bland-Altman analysis with 95% limits of agreement (LoA). ICC was interpreted as follows: 0.00-0.20, poor; 0.21-0.40, fair; 0.41-0.60, moderate; 0.61-0.80</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 xml:space="preserve"> good; 0.81-1.00, excellent. Diagnostic efficiency of the DWI parameters was determined by receiver operating characteristic (ROC) curve analyses. The </w:t>
      </w:r>
      <w:r w:rsidRPr="00813AEE">
        <w:rPr>
          <w:rFonts w:ascii="Book Antiqua" w:hAnsi="Book Antiqua"/>
          <w:color w:val="000000" w:themeColor="text1"/>
          <w:sz w:val="24"/>
          <w:szCs w:val="24"/>
        </w:rPr>
        <w:lastRenderedPageBreak/>
        <w:t>comparison of</w:t>
      </w:r>
      <w:r w:rsidR="00567475">
        <w:rPr>
          <w:rFonts w:ascii="Book Antiqua" w:hAnsi="Book Antiqua"/>
          <w:color w:val="000000" w:themeColor="text1"/>
          <w:sz w:val="24"/>
          <w:szCs w:val="24"/>
        </w:rPr>
        <w:t xml:space="preserve"> the</w:t>
      </w:r>
      <w:r w:rsidRPr="00813AEE">
        <w:rPr>
          <w:rFonts w:ascii="Book Antiqua" w:hAnsi="Book Antiqua"/>
          <w:color w:val="000000" w:themeColor="text1"/>
          <w:sz w:val="24"/>
          <w:szCs w:val="24"/>
        </w:rPr>
        <w:t xml:space="preserve"> areas under ROC </w:t>
      </w:r>
      <w:r w:rsidR="00567475">
        <w:rPr>
          <w:rFonts w:ascii="Book Antiqua" w:hAnsi="Book Antiqua"/>
          <w:color w:val="000000" w:themeColor="text1"/>
          <w:sz w:val="24"/>
          <w:szCs w:val="24"/>
        </w:rPr>
        <w:t xml:space="preserve">curve </w:t>
      </w:r>
      <w:r w:rsidRPr="00813AEE">
        <w:rPr>
          <w:rFonts w:ascii="Book Antiqua" w:hAnsi="Book Antiqua"/>
          <w:color w:val="000000" w:themeColor="text1"/>
          <w:sz w:val="24"/>
          <w:szCs w:val="24"/>
        </w:rPr>
        <w:t xml:space="preserve">(AUROC) was performed between SR and ADC using the method of Delong </w:t>
      </w:r>
      <w:r w:rsidRPr="00E35FB0">
        <w:rPr>
          <w:rFonts w:ascii="Book Antiqua" w:hAnsi="Book Antiqua"/>
          <w:i/>
          <w:color w:val="000000" w:themeColor="text1"/>
          <w:sz w:val="24"/>
          <w:szCs w:val="24"/>
        </w:rPr>
        <w:t>et al</w:t>
      </w:r>
      <w:r w:rsidRPr="00813AEE">
        <w:rPr>
          <w:rFonts w:ascii="Book Antiqua" w:hAnsi="Book Antiqua"/>
          <w:color w:val="000000" w:themeColor="text1"/>
          <w:sz w:val="24"/>
          <w:szCs w:val="24"/>
        </w:rPr>
        <w:t xml:space="preserve">. Spearman’s correlation test was used to identify correlation between SR and ADC values in CD patients. </w:t>
      </w:r>
      <w:r w:rsidR="00567475" w:rsidRPr="00813AEE">
        <w:rPr>
          <w:rFonts w:ascii="Book Antiqua" w:hAnsi="Book Antiqua"/>
          <w:i/>
          <w:color w:val="000000" w:themeColor="text1"/>
          <w:sz w:val="24"/>
          <w:szCs w:val="24"/>
        </w:rPr>
        <w:t>P</w:t>
      </w:r>
      <w:r w:rsidR="00567475">
        <w:rPr>
          <w:rFonts w:ascii="Book Antiqua" w:hAnsi="Book Antiqua"/>
          <w:color w:val="000000" w:themeColor="text1"/>
          <w:sz w:val="24"/>
          <w:szCs w:val="24"/>
        </w:rPr>
        <w:t>-</w:t>
      </w:r>
      <w:r w:rsidRPr="00813AEE">
        <w:rPr>
          <w:rFonts w:ascii="Book Antiqua" w:hAnsi="Book Antiqua"/>
          <w:color w:val="000000" w:themeColor="text1"/>
          <w:sz w:val="24"/>
          <w:szCs w:val="24"/>
        </w:rPr>
        <w:t>values less than 0.05 were considered statistically significant</w:t>
      </w:r>
      <w:r w:rsidR="00DD5A5C" w:rsidRPr="00813AEE">
        <w:rPr>
          <w:rFonts w:ascii="Book Antiqua" w:hAnsi="Book Antiqua"/>
          <w:color w:val="000000" w:themeColor="text1"/>
          <w:sz w:val="24"/>
          <w:szCs w:val="24"/>
        </w:rPr>
        <w:t>.</w:t>
      </w:r>
    </w:p>
    <w:p w14:paraId="7D669BCF" w14:textId="77777777" w:rsidR="00DD5A5C" w:rsidRPr="00813AEE" w:rsidRDefault="00DD5A5C" w:rsidP="00813AEE">
      <w:pPr>
        <w:autoSpaceDE w:val="0"/>
        <w:autoSpaceDN w:val="0"/>
        <w:adjustRightInd w:val="0"/>
        <w:snapToGrid w:val="0"/>
        <w:spacing w:line="360" w:lineRule="auto"/>
        <w:rPr>
          <w:rFonts w:ascii="Book Antiqua" w:hAnsi="Book Antiqua"/>
          <w:b/>
          <w:bCs/>
          <w:color w:val="000000" w:themeColor="text1"/>
          <w:sz w:val="24"/>
          <w:szCs w:val="24"/>
        </w:rPr>
      </w:pPr>
    </w:p>
    <w:p w14:paraId="61D9B5E1" w14:textId="77777777" w:rsidR="00DE0807" w:rsidRPr="00813AEE" w:rsidRDefault="00DE080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RESULTS</w:t>
      </w:r>
    </w:p>
    <w:p w14:paraId="7823689A" w14:textId="77777777" w:rsidR="00DE0807" w:rsidRPr="00813AEE" w:rsidRDefault="00DE0807"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Patient characteristics</w:t>
      </w:r>
    </w:p>
    <w:p w14:paraId="0170E36B" w14:textId="22020B6F"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 total of 44 subjects (</w:t>
      </w:r>
      <w:r w:rsidR="00F22553" w:rsidRPr="00813AEE">
        <w:rPr>
          <w:rFonts w:ascii="Book Antiqua" w:hAnsi="Book Antiqua"/>
          <w:color w:val="000000" w:themeColor="text1"/>
          <w:sz w:val="24"/>
          <w:szCs w:val="24"/>
        </w:rPr>
        <w:t xml:space="preserve">age: </w:t>
      </w:r>
      <w:r w:rsidRPr="00813AEE">
        <w:rPr>
          <w:rFonts w:ascii="Book Antiqua" w:hAnsi="Book Antiqua"/>
          <w:color w:val="000000" w:themeColor="text1"/>
          <w:sz w:val="24"/>
          <w:szCs w:val="24"/>
        </w:rPr>
        <w:t>mean</w:t>
      </w:r>
      <w:r w:rsidR="00E82F81" w:rsidRPr="00813AEE">
        <w:rPr>
          <w:rFonts w:ascii="Book Antiqua" w:hAnsi="Book Antiqua"/>
          <w:color w:val="000000" w:themeColor="text1"/>
          <w:sz w:val="24"/>
          <w:szCs w:val="24"/>
        </w:rPr>
        <w:t xml:space="preserve"> ± SD</w:t>
      </w:r>
      <w:r w:rsidR="00F22553" w:rsidRPr="00813AEE">
        <w:rPr>
          <w:rFonts w:ascii="Book Antiqua" w:hAnsi="Book Antiqua"/>
          <w:color w:val="000000" w:themeColor="text1"/>
          <w:sz w:val="24"/>
          <w:szCs w:val="24"/>
        </w:rPr>
        <w:t>,</w:t>
      </w:r>
      <w:r w:rsidR="00E82F81" w:rsidRPr="00813AEE">
        <w:rPr>
          <w:rFonts w:ascii="Book Antiqua" w:hAnsi="Book Antiqua"/>
          <w:color w:val="000000" w:themeColor="text1"/>
          <w:sz w:val="24"/>
          <w:szCs w:val="24"/>
        </w:rPr>
        <w:t xml:space="preserve"> 44.9 ± 15.7</w:t>
      </w:r>
      <w:r w:rsidRPr="00813AEE">
        <w:rPr>
          <w:rFonts w:ascii="Book Antiqua" w:hAnsi="Book Antiqua"/>
          <w:color w:val="000000" w:themeColor="text1"/>
          <w:sz w:val="24"/>
          <w:szCs w:val="24"/>
        </w:rPr>
        <w:t xml:space="preserve"> years</w:t>
      </w:r>
      <w:r w:rsidR="00F22553" w:rsidRPr="00813AEE">
        <w:rPr>
          <w:rFonts w:ascii="Book Antiqua" w:hAnsi="Book Antiqua"/>
          <w:color w:val="000000" w:themeColor="text1"/>
          <w:sz w:val="24"/>
          <w:szCs w:val="24"/>
        </w:rPr>
        <w:t>;</w:t>
      </w:r>
      <w:r w:rsidRPr="00813AEE">
        <w:rPr>
          <w:rFonts w:ascii="Book Antiqua" w:hAnsi="Book Antiqua"/>
          <w:color w:val="000000" w:themeColor="text1"/>
          <w:sz w:val="24"/>
          <w:szCs w:val="24"/>
        </w:rPr>
        <w:t xml:space="preserve"> 22 males and 22 females) were included in this study, and all of the DWI images were eligible for evaluation. Twenty-three control subjects had </w:t>
      </w:r>
      <w:r w:rsidR="0056747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normal terminal ileum in colonoscopy examination. The remaining 21 CD patients </w:t>
      </w:r>
      <w:r w:rsidR="00567475">
        <w:rPr>
          <w:rFonts w:ascii="Book Antiqua" w:hAnsi="Book Antiqua"/>
          <w:color w:val="000000" w:themeColor="text1"/>
          <w:sz w:val="24"/>
          <w:szCs w:val="24"/>
        </w:rPr>
        <w:t xml:space="preserve">with </w:t>
      </w:r>
      <w:r w:rsidRPr="00813AEE">
        <w:rPr>
          <w:rFonts w:ascii="Book Antiqua" w:hAnsi="Book Antiqua"/>
          <w:color w:val="000000" w:themeColor="text1"/>
          <w:sz w:val="24"/>
          <w:szCs w:val="24"/>
        </w:rPr>
        <w:t xml:space="preserve">the terminal ileum </w:t>
      </w:r>
      <w:r w:rsidR="00567475">
        <w:rPr>
          <w:rFonts w:ascii="Book Antiqua" w:hAnsi="Book Antiqua"/>
          <w:color w:val="000000" w:themeColor="text1"/>
          <w:sz w:val="24"/>
          <w:szCs w:val="24"/>
        </w:rPr>
        <w:t xml:space="preserve">involved </w:t>
      </w:r>
      <w:r w:rsidRPr="00813AEE">
        <w:rPr>
          <w:rFonts w:ascii="Book Antiqua" w:hAnsi="Book Antiqua"/>
          <w:color w:val="000000" w:themeColor="text1"/>
          <w:sz w:val="24"/>
          <w:szCs w:val="24"/>
        </w:rPr>
        <w:t xml:space="preserve">presented 12 overt ulcers, 5 aphthoid lesions, and 4 erythema or edema conditions according to endoscopy. The patients’ data of this cohort </w:t>
      </w:r>
      <w:r w:rsidR="00F14D55">
        <w:rPr>
          <w:rFonts w:ascii="Book Antiqua" w:hAnsi="Book Antiqua"/>
          <w:color w:val="000000" w:themeColor="text1"/>
          <w:sz w:val="24"/>
          <w:szCs w:val="24"/>
        </w:rPr>
        <w:t>are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summarized in Table 1</w:t>
      </w:r>
      <w:r w:rsidR="00DE0807" w:rsidRPr="00813AEE">
        <w:rPr>
          <w:rFonts w:ascii="Book Antiqua" w:hAnsi="Book Antiqua"/>
          <w:color w:val="000000" w:themeColor="text1"/>
          <w:sz w:val="24"/>
          <w:szCs w:val="24"/>
        </w:rPr>
        <w:t>.</w:t>
      </w:r>
    </w:p>
    <w:p w14:paraId="62D142EE" w14:textId="77777777" w:rsidR="00DE0807" w:rsidRPr="00F14D55"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1101941C" w14:textId="50480050"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Comparisons of quantitative ADC and SR between two reading sessions or two radiologists</w:t>
      </w:r>
    </w:p>
    <w:p w14:paraId="049BA77B" w14:textId="2EA3DC42"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There were no significant differences (paired</w:t>
      </w:r>
      <w:r w:rsidRPr="00813AEE">
        <w:rPr>
          <w:rFonts w:ascii="Book Antiqua" w:hAnsi="Book Antiqua"/>
          <w:i/>
          <w:color w:val="000000" w:themeColor="text1"/>
          <w:sz w:val="24"/>
          <w:szCs w:val="24"/>
        </w:rPr>
        <w:t xml:space="preserve"> </w:t>
      </w:r>
      <w:r w:rsidR="00F14D55" w:rsidRPr="00813AEE">
        <w:rPr>
          <w:rFonts w:ascii="Book Antiqua" w:hAnsi="Book Antiqua"/>
          <w:i/>
          <w:color w:val="000000" w:themeColor="text1"/>
          <w:sz w:val="24"/>
          <w:szCs w:val="24"/>
        </w:rPr>
        <w:t>t</w:t>
      </w:r>
      <w:r w:rsidR="00F14D55">
        <w:rPr>
          <w:rFonts w:ascii="Book Antiqua" w:hAnsi="Book Antiqua"/>
          <w:i/>
          <w:color w:val="000000" w:themeColor="text1"/>
          <w:sz w:val="24"/>
          <w:szCs w:val="24"/>
        </w:rPr>
        <w:t>-</w:t>
      </w:r>
      <w:r w:rsidRPr="00813AEE">
        <w:rPr>
          <w:rFonts w:ascii="Book Antiqua" w:hAnsi="Book Antiqua"/>
          <w:color w:val="000000" w:themeColor="text1"/>
          <w:sz w:val="24"/>
          <w:szCs w:val="24"/>
        </w:rPr>
        <w:t>test</w:t>
      </w:r>
      <w:r w:rsidR="003E2D37">
        <w:rPr>
          <w:rFonts w:ascii="Book Antiqua" w:hAnsi="Book Antiqua"/>
          <w:color w:val="000000" w:themeColor="text1"/>
          <w:sz w:val="24"/>
          <w:szCs w:val="24"/>
        </w:rPr>
        <w:t>,</w:t>
      </w:r>
      <w:r w:rsidRPr="00813AEE">
        <w:rPr>
          <w:rFonts w:ascii="Book Antiqua" w:hAnsi="Book Antiqua"/>
          <w:color w:val="000000" w:themeColor="text1"/>
          <w:sz w:val="24"/>
          <w:szCs w:val="24"/>
        </w:rPr>
        <w:t xml:space="preserve">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&gt; 0.05) in ADC </w:t>
      </w:r>
      <w:r w:rsidR="00F14D55">
        <w:rPr>
          <w:rFonts w:ascii="Book Antiqua" w:hAnsi="Book Antiqua"/>
          <w:color w:val="000000" w:themeColor="text1"/>
          <w:sz w:val="24"/>
          <w:szCs w:val="24"/>
        </w:rPr>
        <w:t>or</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SR values between the two sessions or between the </w:t>
      </w:r>
      <w:r w:rsidR="00F14D55">
        <w:rPr>
          <w:rFonts w:ascii="Book Antiqua" w:hAnsi="Book Antiqua"/>
          <w:color w:val="000000" w:themeColor="text1"/>
          <w:sz w:val="24"/>
          <w:szCs w:val="24"/>
        </w:rPr>
        <w:t>two</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radiologists either in the CD or control group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 and </w:t>
      </w:r>
      <w:r w:rsidR="009A16E2">
        <w:rPr>
          <w:rFonts w:ascii="Book Antiqua" w:hAnsi="Book Antiqua"/>
          <w:color w:val="000000" w:themeColor="text1"/>
          <w:sz w:val="24"/>
          <w:szCs w:val="24"/>
        </w:rPr>
        <w:t>3</w:t>
      </w:r>
      <w:r w:rsidRPr="00813AEE">
        <w:rPr>
          <w:rFonts w:ascii="Book Antiqua" w:hAnsi="Book Antiqua"/>
          <w:color w:val="000000" w:themeColor="text1"/>
          <w:sz w:val="24"/>
          <w:szCs w:val="24"/>
        </w:rPr>
        <w:t xml:space="preserve">). The intra and interobserver agreements of quantitative DWI parameters measurements </w:t>
      </w:r>
      <w:r w:rsidR="00F14D55">
        <w:rPr>
          <w:rFonts w:ascii="Book Antiqua" w:hAnsi="Book Antiqua"/>
          <w:color w:val="000000" w:themeColor="text1"/>
          <w:sz w:val="24"/>
          <w:szCs w:val="24"/>
        </w:rPr>
        <w:t>are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shown in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w:t>
      </w:r>
      <w:r w:rsidR="009A16E2">
        <w:rPr>
          <w:rFonts w:ascii="Book Antiqua" w:hAnsi="Book Antiqua"/>
          <w:color w:val="000000" w:themeColor="text1"/>
          <w:sz w:val="24"/>
          <w:szCs w:val="24"/>
        </w:rPr>
        <w:t xml:space="preserve"> and </w:t>
      </w:r>
      <w:r w:rsidRPr="00813AEE">
        <w:rPr>
          <w:rFonts w:ascii="Book Antiqua" w:hAnsi="Book Antiqua"/>
          <w:color w:val="000000" w:themeColor="text1"/>
          <w:sz w:val="24"/>
          <w:szCs w:val="24"/>
        </w:rPr>
        <w:t xml:space="preserve">3 and </w:t>
      </w:r>
      <w:r w:rsidR="00CC314A" w:rsidRPr="00813AEE">
        <w:rPr>
          <w:rFonts w:ascii="Book Antiqua" w:hAnsi="Book Antiqua"/>
          <w:color w:val="000000" w:themeColor="text1"/>
          <w:sz w:val="24"/>
          <w:szCs w:val="24"/>
        </w:rPr>
        <w:t>Figure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3</w:t>
      </w:r>
      <w:r w:rsidR="009A16E2">
        <w:rPr>
          <w:rFonts w:ascii="Book Antiqua" w:hAnsi="Book Antiqua"/>
          <w:color w:val="000000" w:themeColor="text1"/>
          <w:sz w:val="24"/>
          <w:szCs w:val="24"/>
        </w:rPr>
        <w:t xml:space="preserve"> and </w:t>
      </w:r>
      <w:r w:rsidRPr="00813AEE">
        <w:rPr>
          <w:rFonts w:ascii="Book Antiqua" w:hAnsi="Book Antiqua"/>
          <w:color w:val="000000" w:themeColor="text1"/>
          <w:sz w:val="24"/>
          <w:szCs w:val="24"/>
        </w:rPr>
        <w:t>4</w:t>
      </w:r>
      <w:r w:rsidR="00DE0807" w:rsidRPr="00813AEE">
        <w:rPr>
          <w:rFonts w:ascii="Book Antiqua" w:hAnsi="Book Antiqua"/>
          <w:color w:val="000000" w:themeColor="text1"/>
          <w:sz w:val="24"/>
          <w:szCs w:val="24"/>
        </w:rPr>
        <w:t>.</w:t>
      </w:r>
    </w:p>
    <w:p w14:paraId="6274BABA"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332C4F62" w14:textId="01009730" w:rsidR="00DE0807" w:rsidRPr="00813AEE" w:rsidRDefault="00320F55" w:rsidP="00813AEE">
      <w:pPr>
        <w:autoSpaceDE w:val="0"/>
        <w:autoSpaceDN w:val="0"/>
        <w:adjustRightInd w:val="0"/>
        <w:snapToGrid w:val="0"/>
        <w:spacing w:line="360" w:lineRule="auto"/>
        <w:rPr>
          <w:rFonts w:ascii="Book Antiqua" w:hAnsi="Book Antiqua"/>
          <w:i/>
          <w:color w:val="000000" w:themeColor="text1"/>
          <w:sz w:val="24"/>
          <w:szCs w:val="24"/>
        </w:rPr>
      </w:pPr>
      <w:r w:rsidRPr="00813AEE">
        <w:rPr>
          <w:rFonts w:ascii="Book Antiqua" w:hAnsi="Book Antiqua"/>
          <w:b/>
          <w:i/>
          <w:color w:val="000000" w:themeColor="text1"/>
          <w:sz w:val="24"/>
          <w:szCs w:val="24"/>
        </w:rPr>
        <w:t>Intraobserver agreement analysis</w:t>
      </w:r>
    </w:p>
    <w:p w14:paraId="45EE25F6" w14:textId="70BC5FD2"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intraobserver agreement for SR was excellent in both </w:t>
      </w:r>
      <w:r w:rsidR="00F14D5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CD and control groups with similar results obtained by the two readers (R1: ICC = 0.989, CoV = 3.51%; R2: ICC = 0.979, CoV = 4.64% for CD and R1: ICC = 0.974, CoV = 5.93%; R2: ICC = 0.944, CoV = 8.69% for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normal). Similarly, the ADC measurements in the CD group showed excellent intraobserver reproducibility (R1: ICC = 0.952, CoV = 6.28%; R2: ICC = 0.977, CoV = 4.71%). However, intraobserver agreement was inferior when measuring the ADC on the normal terminal ileum (R1: ICC = 0.736, CoV = 10.47%; R2: ICC = 0.711, CoV = 10.64%). Bland-Altman plots for intraobserver agreement showed rather narrow 95% LoA ranges except for the ADC measurements in the control group; </w:t>
      </w:r>
      <w:r w:rsidRPr="00813AEE">
        <w:rPr>
          <w:rFonts w:ascii="Book Antiqua" w:hAnsi="Book Antiqua"/>
          <w:color w:val="000000" w:themeColor="text1"/>
          <w:sz w:val="24"/>
          <w:szCs w:val="24"/>
        </w:rPr>
        <w:lastRenderedPageBreak/>
        <w:t>no systematic bias between sessions was present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3)</w:t>
      </w:r>
      <w:r w:rsidR="00DE0807" w:rsidRPr="00813AEE">
        <w:rPr>
          <w:rFonts w:ascii="Book Antiqua" w:hAnsi="Book Antiqua"/>
          <w:color w:val="000000" w:themeColor="text1"/>
          <w:sz w:val="24"/>
          <w:szCs w:val="24"/>
        </w:rPr>
        <w:t>.</w:t>
      </w:r>
    </w:p>
    <w:p w14:paraId="5C333385"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334C5766" w14:textId="52AC1681"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Interobserver agreement analysis</w:t>
      </w:r>
    </w:p>
    <w:p w14:paraId="12C1B4FB" w14:textId="3A3588A9"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Similar to the analysis of intraobserver reproducibility, all ADC measurements in the CD group and SR in both </w:t>
      </w:r>
      <w:r w:rsidR="00F14D5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CD and normal groups demonstrated excellent interobserver agreement (Table 3). The lowest agreement and highest variability between readers </w:t>
      </w:r>
      <w:r w:rsidR="00F14D55" w:rsidRPr="00813AEE">
        <w:rPr>
          <w:rFonts w:ascii="Book Antiqua" w:hAnsi="Book Antiqua"/>
          <w:color w:val="000000" w:themeColor="text1"/>
          <w:sz w:val="24"/>
          <w:szCs w:val="24"/>
        </w:rPr>
        <w:t>w</w:t>
      </w:r>
      <w:r w:rsidR="00F14D55">
        <w:rPr>
          <w:rFonts w:ascii="Book Antiqua" w:hAnsi="Book Antiqua"/>
          <w:color w:val="000000" w:themeColor="text1"/>
          <w:sz w:val="24"/>
          <w:szCs w:val="24"/>
        </w:rPr>
        <w:t>ere</w:t>
      </w:r>
      <w:r w:rsidR="00F14D55"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observed in ADC measurements of the control group (first session: ICC = 0.641, CoV = 11.43%; second session: ICC = 0.736, CoV = 11.07%). Similarly, only the interreader ADC measurements for the control group demonstrated broad 95% LoA ranges (-33.93% to 25.96% for first session; -32.03% to 29.62% for second session) as illustrated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4</w:t>
      </w:r>
      <w:r w:rsidR="00DE0807" w:rsidRPr="00813AEE">
        <w:rPr>
          <w:rFonts w:ascii="Book Antiqua" w:hAnsi="Book Antiqua"/>
          <w:color w:val="000000" w:themeColor="text1"/>
          <w:sz w:val="24"/>
          <w:szCs w:val="24"/>
        </w:rPr>
        <w:t>.</w:t>
      </w:r>
    </w:p>
    <w:p w14:paraId="2C48BB41"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7D447DAF" w14:textId="4835ED2E"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Spearman’s correlation analysis between SR and ADC values in the CD patients</w:t>
      </w:r>
    </w:p>
    <w:p w14:paraId="479690F2" w14:textId="32C88D5E" w:rsidR="00DE0807" w:rsidRPr="00813AEE" w:rsidRDefault="00320F55"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The correlation between the quantitative DWI parameters of SR and ADC </w:t>
      </w:r>
      <w:r w:rsidR="00F14D55">
        <w:rPr>
          <w:rFonts w:ascii="Book Antiqua" w:hAnsi="Book Antiqua"/>
          <w:color w:val="000000" w:themeColor="text1"/>
          <w:sz w:val="24"/>
          <w:szCs w:val="24"/>
        </w:rPr>
        <w:t>i</w:t>
      </w:r>
      <w:r w:rsidR="00F14D55" w:rsidRPr="00813AEE">
        <w:rPr>
          <w:rFonts w:ascii="Book Antiqua" w:hAnsi="Book Antiqua"/>
          <w:color w:val="000000" w:themeColor="text1"/>
          <w:sz w:val="24"/>
          <w:szCs w:val="24"/>
        </w:rPr>
        <w:t xml:space="preserve">s </w:t>
      </w:r>
      <w:r w:rsidRPr="00813AEE">
        <w:rPr>
          <w:rFonts w:ascii="Book Antiqua" w:hAnsi="Book Antiqua"/>
          <w:color w:val="000000" w:themeColor="text1"/>
          <w:sz w:val="24"/>
          <w:szCs w:val="24"/>
        </w:rPr>
        <w:t xml:space="preserve">shown in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5. SR was moderately and negatively correlated with ADC values in CD patients for both readers (R1: </w:t>
      </w:r>
      <w:r w:rsidRPr="00E35FB0">
        <w:rPr>
          <w:rFonts w:ascii="Book Antiqua" w:hAnsi="Book Antiqua"/>
          <w:i/>
          <w:color w:val="000000" w:themeColor="text1"/>
          <w:sz w:val="24"/>
          <w:szCs w:val="24"/>
        </w:rPr>
        <w:t>r</w:t>
      </w:r>
      <w:r w:rsidRPr="00813AEE">
        <w:rPr>
          <w:rFonts w:ascii="Book Antiqua" w:hAnsi="Book Antiqua"/>
          <w:color w:val="000000" w:themeColor="text1"/>
          <w:sz w:val="24"/>
          <w:szCs w:val="24"/>
        </w:rPr>
        <w:t xml:space="preserve"> = - 0.438,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 0.047; R2: </w:t>
      </w:r>
      <w:r w:rsidRPr="00E35FB0">
        <w:rPr>
          <w:rFonts w:ascii="Book Antiqua" w:hAnsi="Book Antiqua"/>
          <w:i/>
          <w:color w:val="000000" w:themeColor="text1"/>
          <w:sz w:val="24"/>
          <w:szCs w:val="24"/>
        </w:rPr>
        <w:t>r</w:t>
      </w:r>
      <w:r w:rsidRPr="00813AEE">
        <w:rPr>
          <w:rFonts w:ascii="Book Antiqua" w:hAnsi="Book Antiqua"/>
          <w:color w:val="000000" w:themeColor="text1"/>
          <w:sz w:val="24"/>
          <w:szCs w:val="24"/>
        </w:rPr>
        <w:t xml:space="preserve"> = - 0.485, </w:t>
      </w:r>
      <w:r w:rsidRPr="00813AEE">
        <w:rPr>
          <w:rFonts w:ascii="Book Antiqua" w:hAnsi="Book Antiqua"/>
          <w:i/>
          <w:color w:val="000000" w:themeColor="text1"/>
          <w:sz w:val="24"/>
          <w:szCs w:val="24"/>
        </w:rPr>
        <w:t>P</w:t>
      </w:r>
      <w:r w:rsidRPr="00813AEE">
        <w:rPr>
          <w:rFonts w:ascii="Book Antiqua" w:hAnsi="Book Antiqua"/>
          <w:color w:val="000000" w:themeColor="text1"/>
          <w:sz w:val="24"/>
          <w:szCs w:val="24"/>
        </w:rPr>
        <w:t xml:space="preserve"> = 0.026)</w:t>
      </w:r>
      <w:r w:rsidR="00DE0807" w:rsidRPr="00813AEE">
        <w:rPr>
          <w:rFonts w:ascii="Book Antiqua" w:hAnsi="Book Antiqua"/>
          <w:color w:val="000000" w:themeColor="text1"/>
          <w:sz w:val="24"/>
          <w:szCs w:val="24"/>
        </w:rPr>
        <w:t xml:space="preserve">. </w:t>
      </w:r>
    </w:p>
    <w:p w14:paraId="76435CD1" w14:textId="77777777" w:rsidR="00DE0807" w:rsidRPr="00813AEE" w:rsidRDefault="00DE0807" w:rsidP="00813AEE">
      <w:pPr>
        <w:autoSpaceDE w:val="0"/>
        <w:autoSpaceDN w:val="0"/>
        <w:adjustRightInd w:val="0"/>
        <w:snapToGrid w:val="0"/>
        <w:spacing w:line="360" w:lineRule="auto"/>
        <w:rPr>
          <w:rFonts w:ascii="Book Antiqua" w:hAnsi="Book Antiqua"/>
          <w:color w:val="000000" w:themeColor="text1"/>
          <w:sz w:val="24"/>
          <w:szCs w:val="24"/>
        </w:rPr>
      </w:pPr>
    </w:p>
    <w:p w14:paraId="114CB404" w14:textId="05B4E744" w:rsidR="00DE0807" w:rsidRPr="00813AEE" w:rsidRDefault="00320F55" w:rsidP="00813AEE">
      <w:pPr>
        <w:autoSpaceDE w:val="0"/>
        <w:autoSpaceDN w:val="0"/>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 xml:space="preserve">Diagnostic efficiency of ADC and SR for differentiating inflammatory bowel segments from </w:t>
      </w:r>
      <w:r w:rsidR="008D4AFF">
        <w:rPr>
          <w:rFonts w:ascii="Book Antiqua" w:hAnsi="Book Antiqua"/>
          <w:b/>
          <w:i/>
          <w:color w:val="000000" w:themeColor="text1"/>
          <w:sz w:val="24"/>
          <w:szCs w:val="24"/>
        </w:rPr>
        <w:t xml:space="preserve">the </w:t>
      </w:r>
      <w:r w:rsidRPr="00813AEE">
        <w:rPr>
          <w:rFonts w:ascii="Book Antiqua" w:hAnsi="Book Antiqua"/>
          <w:b/>
          <w:i/>
          <w:color w:val="000000" w:themeColor="text1"/>
          <w:sz w:val="24"/>
          <w:szCs w:val="24"/>
        </w:rPr>
        <w:t>normal</w:t>
      </w:r>
    </w:p>
    <w:p w14:paraId="0FC75ACE" w14:textId="13E5A662" w:rsidR="00DE0807" w:rsidRPr="00813AEE" w:rsidRDefault="00320F55" w:rsidP="00813AEE">
      <w:pPr>
        <w:autoSpaceDE w:val="0"/>
        <w:autoSpaceDN w:val="0"/>
        <w:adjustRightInd w:val="0"/>
        <w:snapToGrid w:val="0"/>
        <w:spacing w:line="360" w:lineRule="auto"/>
        <w:rPr>
          <w:rFonts w:ascii="Book Antiqua" w:hAnsi="Book Antiqua"/>
          <w:b/>
          <w:bCs/>
          <w:color w:val="000000" w:themeColor="text1"/>
          <w:sz w:val="24"/>
          <w:szCs w:val="24"/>
        </w:rPr>
      </w:pPr>
      <w:r w:rsidRPr="00813AEE">
        <w:rPr>
          <w:rFonts w:ascii="Book Antiqua" w:hAnsi="Book Antiqua"/>
          <w:color w:val="000000" w:themeColor="text1"/>
          <w:sz w:val="24"/>
          <w:szCs w:val="24"/>
        </w:rPr>
        <w:t xml:space="preserve">Due to the good to excellent intraobserver agreement of ADC and SR measurements in two sessions of the two readers, the mean ADC and SR values were calculated based on an average from the two sessions for further analysis. ADC and SR from both readers achieved </w:t>
      </w:r>
      <w:r w:rsidR="00F14D55">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 xml:space="preserve">high diagnostic accuracy for differentiating inflammatory segments from the normal bowel with high sensitivities and specificities (Table 4 and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6). The areas under the ROC curve for SR (R1: 0.981; R2: 0.988) were slightly better than those of ADC (R1: 0.923; R2: 0.929), but these differences were not statistically significant (</w:t>
      </w:r>
      <w:r w:rsidR="00F14D55" w:rsidRPr="00813AEE">
        <w:rPr>
          <w:rFonts w:ascii="Book Antiqua" w:hAnsi="Book Antiqua"/>
          <w:i/>
          <w:color w:val="000000" w:themeColor="text1"/>
          <w:sz w:val="24"/>
          <w:szCs w:val="24"/>
        </w:rPr>
        <w:t>P</w:t>
      </w:r>
      <w:r w:rsidR="00F14D55">
        <w:rPr>
          <w:rFonts w:ascii="Book Antiqua" w:hAnsi="Book Antiqua"/>
          <w:color w:val="000000" w:themeColor="text1"/>
          <w:sz w:val="24"/>
          <w:szCs w:val="24"/>
        </w:rPr>
        <w:t>-</w:t>
      </w:r>
      <w:r w:rsidRPr="00813AEE">
        <w:rPr>
          <w:rFonts w:ascii="Book Antiqua" w:hAnsi="Book Antiqua"/>
          <w:color w:val="000000" w:themeColor="text1"/>
          <w:sz w:val="24"/>
          <w:szCs w:val="24"/>
        </w:rPr>
        <w:t>values: 0.117 for R1; 0.067 for R2). The cutoff values maximizing sensitivity and specificity for ADC and SR parameters were approximately 1.80 × 10</w:t>
      </w:r>
      <w:r w:rsidRPr="00813AEE">
        <w:rPr>
          <w:rFonts w:ascii="Book Antiqua" w:hAnsi="Book Antiqua"/>
          <w:color w:val="000000" w:themeColor="text1"/>
          <w:sz w:val="24"/>
          <w:szCs w:val="24"/>
          <w:vertAlign w:val="superscript"/>
        </w:rPr>
        <w:t xml:space="preserve">-3 </w:t>
      </w:r>
      <w:r w:rsidRPr="00813AEE">
        <w:rPr>
          <w:rFonts w:ascii="Book Antiqua" w:hAnsi="Book Antiqua"/>
          <w:color w:val="000000" w:themeColor="text1"/>
          <w:sz w:val="24"/>
          <w:szCs w:val="24"/>
        </w:rPr>
        <w:t>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 and 2.00</w:t>
      </w:r>
      <w:r w:rsidR="00F14D55">
        <w:rPr>
          <w:rFonts w:ascii="Book Antiqua" w:hAnsi="Book Antiqua"/>
          <w:color w:val="000000" w:themeColor="text1"/>
          <w:sz w:val="24"/>
          <w:szCs w:val="24"/>
        </w:rPr>
        <w:t>, respectively</w:t>
      </w:r>
      <w:r w:rsidR="00DE0807" w:rsidRPr="00813AEE">
        <w:rPr>
          <w:rFonts w:ascii="Book Antiqua" w:hAnsi="Book Antiqua"/>
          <w:color w:val="000000" w:themeColor="text1"/>
          <w:sz w:val="24"/>
          <w:szCs w:val="24"/>
        </w:rPr>
        <w:t>.</w:t>
      </w:r>
    </w:p>
    <w:p w14:paraId="19D37FC7" w14:textId="77777777" w:rsidR="00DE0807" w:rsidRPr="00813AEE" w:rsidRDefault="00DE0807" w:rsidP="00813AEE">
      <w:pPr>
        <w:autoSpaceDE w:val="0"/>
        <w:autoSpaceDN w:val="0"/>
        <w:adjustRightInd w:val="0"/>
        <w:snapToGrid w:val="0"/>
        <w:spacing w:line="360" w:lineRule="auto"/>
        <w:rPr>
          <w:rFonts w:ascii="Book Antiqua" w:hAnsi="Book Antiqua"/>
          <w:b/>
          <w:bCs/>
          <w:color w:val="000000" w:themeColor="text1"/>
          <w:sz w:val="24"/>
          <w:szCs w:val="24"/>
        </w:rPr>
      </w:pPr>
    </w:p>
    <w:p w14:paraId="70946825" w14:textId="77777777" w:rsidR="00DD5A5C" w:rsidRPr="00813AEE" w:rsidRDefault="00DD5A5C"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DISCUSSION</w:t>
      </w:r>
    </w:p>
    <w:p w14:paraId="4C39BDCF" w14:textId="6557F97C" w:rsidR="00F56D9A" w:rsidRPr="00813AEE" w:rsidRDefault="004A5937" w:rsidP="00813AEE">
      <w:pPr>
        <w:autoSpaceDE w:val="0"/>
        <w:autoSpaceDN w:val="0"/>
        <w:adjustRightInd w:val="0"/>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lastRenderedPageBreak/>
        <w:t>DW-MRE</w:t>
      </w:r>
      <w:r w:rsidR="00F56D9A" w:rsidRPr="00813AEE">
        <w:rPr>
          <w:rFonts w:ascii="Book Antiqua" w:hAnsi="Book Antiqua"/>
          <w:color w:val="000000" w:themeColor="text1"/>
          <w:sz w:val="24"/>
          <w:szCs w:val="24"/>
        </w:rPr>
        <w:t xml:space="preserve"> has been increasingly utilized for the noninvasive evaluation of CD over the last few years</w:t>
      </w:r>
      <w:r w:rsidR="00B92FFD" w:rsidRPr="00813AEE">
        <w:rPr>
          <w:rFonts w:ascii="Book Antiqua" w:hAnsi="Book Antiqua" w:cs="Book Antiqua"/>
          <w:color w:val="000000" w:themeColor="text1"/>
          <w:kern w:val="0"/>
          <w:sz w:val="24"/>
          <w:szCs w:val="24"/>
          <w:vertAlign w:val="superscript"/>
        </w:rPr>
        <w:t>[</w:t>
      </w:r>
      <w:r w:rsidR="00583DFE" w:rsidRPr="00813AEE">
        <w:rPr>
          <w:rFonts w:ascii="Book Antiqua" w:hAnsi="Book Antiqua" w:cs="Book Antiqua"/>
          <w:color w:val="000000" w:themeColor="text1"/>
          <w:kern w:val="0"/>
          <w:sz w:val="24"/>
          <w:szCs w:val="24"/>
          <w:vertAlign w:val="superscript"/>
        </w:rPr>
        <w:t>5-10,14,</w:t>
      </w:r>
      <w:r w:rsidR="00B92FFD" w:rsidRPr="00813AEE">
        <w:rPr>
          <w:rFonts w:ascii="Book Antiqua" w:hAnsi="Book Antiqua" w:cs="Book Antiqua"/>
          <w:color w:val="000000" w:themeColor="text1"/>
          <w:kern w:val="0"/>
          <w:sz w:val="24"/>
          <w:szCs w:val="24"/>
          <w:vertAlign w:val="superscript"/>
        </w:rPr>
        <w:t>26]</w:t>
      </w:r>
      <w:r w:rsidR="00F56D9A" w:rsidRPr="00813AEE">
        <w:rPr>
          <w:rFonts w:ascii="Book Antiqua" w:hAnsi="Book Antiqua"/>
          <w:color w:val="000000" w:themeColor="text1"/>
          <w:sz w:val="24"/>
          <w:szCs w:val="24"/>
        </w:rPr>
        <w:t>. Meanwhile, quantitative analysis of DW-MRE is gradually drawing attention as an objective biomarker for bowel inflammation</w:t>
      </w:r>
      <w:r w:rsidR="00B92FFD" w:rsidRPr="00813AEE">
        <w:rPr>
          <w:rFonts w:ascii="Book Antiqua" w:hAnsi="Book Antiqua" w:cs="Book Antiqua"/>
          <w:color w:val="000000" w:themeColor="text1"/>
          <w:kern w:val="0"/>
          <w:sz w:val="24"/>
          <w:szCs w:val="24"/>
          <w:vertAlign w:val="superscript"/>
        </w:rPr>
        <w:t>[</w:t>
      </w:r>
      <w:r w:rsidR="00583DFE" w:rsidRPr="00813AEE">
        <w:rPr>
          <w:rFonts w:ascii="Book Antiqua" w:hAnsi="Book Antiqua" w:cs="Book Antiqua"/>
          <w:color w:val="000000" w:themeColor="text1"/>
          <w:kern w:val="0"/>
          <w:sz w:val="24"/>
          <w:szCs w:val="24"/>
          <w:vertAlign w:val="superscript"/>
        </w:rPr>
        <w:t>9,17,</w:t>
      </w:r>
      <w:r w:rsidR="00B92FFD" w:rsidRPr="00813AEE">
        <w:rPr>
          <w:rFonts w:ascii="Book Antiqua" w:hAnsi="Book Antiqua" w:cs="Book Antiqua"/>
          <w:color w:val="000000" w:themeColor="text1"/>
          <w:kern w:val="0"/>
          <w:sz w:val="24"/>
          <w:szCs w:val="24"/>
          <w:vertAlign w:val="superscript"/>
        </w:rPr>
        <w:t>26-28]</w:t>
      </w:r>
      <w:r w:rsidR="00F56D9A" w:rsidRPr="00813AEE">
        <w:rPr>
          <w:rFonts w:ascii="Book Antiqua" w:hAnsi="Book Antiqua"/>
          <w:color w:val="000000" w:themeColor="text1"/>
          <w:sz w:val="24"/>
          <w:szCs w:val="24"/>
        </w:rPr>
        <w:t>. ADC values along with the Clermont score have been reported as having excellent accuracy for identifying inflamed bowel segments and evaluating therapeutic response in CD patients</w:t>
      </w:r>
      <w:r w:rsidR="00B92FFD" w:rsidRPr="00813AEE">
        <w:rPr>
          <w:rFonts w:ascii="Book Antiqua" w:hAnsi="Book Antiqua" w:cs="Book Antiqua"/>
          <w:color w:val="000000" w:themeColor="text1"/>
          <w:kern w:val="0"/>
          <w:sz w:val="24"/>
          <w:szCs w:val="24"/>
          <w:vertAlign w:val="superscript"/>
        </w:rPr>
        <w:t>[17,23,26]</w:t>
      </w:r>
      <w:r w:rsidR="00F56D9A" w:rsidRPr="00813AEE">
        <w:rPr>
          <w:rFonts w:ascii="Book Antiqua" w:hAnsi="Book Antiqua"/>
          <w:color w:val="000000" w:themeColor="text1"/>
          <w:sz w:val="24"/>
          <w:szCs w:val="24"/>
        </w:rPr>
        <w:t>. However, the measurement agreement for DW-MRE quantitative parameters has not been ascertained</w:t>
      </w:r>
      <w:r w:rsidR="008A6CE3" w:rsidRPr="00813AEE">
        <w:rPr>
          <w:rFonts w:ascii="Book Antiqua" w:hAnsi="Book Antiqua"/>
          <w:color w:val="000000" w:themeColor="text1"/>
          <w:sz w:val="24"/>
          <w:szCs w:val="24"/>
        </w:rPr>
        <w:t xml:space="preserve"> to date</w:t>
      </w:r>
      <w:r w:rsidR="00B92FFD" w:rsidRPr="00813AEE">
        <w:rPr>
          <w:rFonts w:ascii="Book Antiqua" w:hAnsi="Book Antiqua" w:cs="Book Antiqua"/>
          <w:color w:val="000000" w:themeColor="text1"/>
          <w:kern w:val="0"/>
          <w:sz w:val="24"/>
          <w:szCs w:val="24"/>
          <w:vertAlign w:val="superscript"/>
        </w:rPr>
        <w:t>[8]</w:t>
      </w:r>
      <w:r w:rsidR="00F56D9A" w:rsidRPr="00813AEE">
        <w:rPr>
          <w:rFonts w:ascii="Book Antiqua" w:hAnsi="Book Antiqua"/>
          <w:color w:val="000000" w:themeColor="text1"/>
          <w:sz w:val="24"/>
          <w:szCs w:val="24"/>
        </w:rPr>
        <w:t>. To facilitate the application of quantitative DW-MRE in</w:t>
      </w:r>
      <w:r w:rsidR="00676446" w:rsidRPr="00813AEE">
        <w:rPr>
          <w:rFonts w:ascii="Book Antiqua" w:hAnsi="Book Antiqua"/>
          <w:color w:val="000000" w:themeColor="text1"/>
          <w:sz w:val="24"/>
          <w:szCs w:val="24"/>
        </w:rPr>
        <w:t>to</w:t>
      </w:r>
      <w:r w:rsidR="00F56D9A" w:rsidRPr="00813AEE">
        <w:rPr>
          <w:rFonts w:ascii="Book Antiqua" w:hAnsi="Book Antiqua"/>
          <w:color w:val="000000" w:themeColor="text1"/>
          <w:sz w:val="24"/>
          <w:szCs w:val="24"/>
        </w:rPr>
        <w:t xml:space="preserve"> the clinical routine, a thorough study of the intra and interobserver reproducibility of DWI quantitative parameters should be performed, similar to what has been done in other organs</w:t>
      </w:r>
      <w:r w:rsidR="00B92FFD" w:rsidRPr="00813AEE">
        <w:rPr>
          <w:rFonts w:ascii="Book Antiqua" w:hAnsi="Book Antiqua" w:cs="Book Antiqua"/>
          <w:color w:val="000000" w:themeColor="text1"/>
          <w:kern w:val="0"/>
          <w:sz w:val="24"/>
          <w:szCs w:val="24"/>
          <w:vertAlign w:val="superscript"/>
        </w:rPr>
        <w:t>[19,20]</w:t>
      </w:r>
      <w:r w:rsidR="00F56D9A" w:rsidRPr="00813AEE">
        <w:rPr>
          <w:rFonts w:ascii="Book Antiqua" w:hAnsi="Book Antiqua"/>
          <w:color w:val="000000" w:themeColor="text1"/>
          <w:sz w:val="24"/>
          <w:szCs w:val="24"/>
        </w:rPr>
        <w:t>.</w:t>
      </w:r>
    </w:p>
    <w:p w14:paraId="5E337A8D" w14:textId="08A6A4C1"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In the current study, intra and interobserver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of ADC measurements in CD patients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ere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excellent with high ICC, low CoV, and a limited 95% LoA range (Table</w:t>
      </w:r>
      <w:r w:rsidR="009A16E2">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2 and</w:t>
      </w:r>
      <w:r w:rsidR="009A16E2">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3). ADC values of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in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CD group were robust both between and within individual readers, suggesting that different radiologists could obtain comparable ADC values in CD patients over time. In previous studies</w:t>
      </w:r>
      <w:r w:rsidR="00B92FFD" w:rsidRPr="00813AEE">
        <w:rPr>
          <w:rFonts w:ascii="Book Antiqua" w:hAnsi="Book Antiqua" w:cs="Book Antiqua"/>
          <w:color w:val="000000" w:themeColor="text1"/>
          <w:kern w:val="0"/>
          <w:sz w:val="24"/>
          <w:szCs w:val="24"/>
          <w:vertAlign w:val="superscript"/>
        </w:rPr>
        <w:t>[9,23,29]</w:t>
      </w:r>
      <w:r w:rsidRPr="00813AEE">
        <w:rPr>
          <w:rFonts w:ascii="Book Antiqua" w:hAnsi="Book Antiqua"/>
          <w:color w:val="000000" w:themeColor="text1"/>
          <w:sz w:val="24"/>
          <w:szCs w:val="24"/>
        </w:rPr>
        <w:t xml:space="preserve">, interobserver agreement of measured ADC values in CD patients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as</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also superb with high ICC, similar </w:t>
      </w:r>
      <w:r w:rsidR="00B23814">
        <w:rPr>
          <w:rFonts w:ascii="Book Antiqua" w:hAnsi="Book Antiqua"/>
          <w:color w:val="000000" w:themeColor="text1"/>
          <w:sz w:val="24"/>
          <w:szCs w:val="24"/>
        </w:rPr>
        <w:t>to</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our results of ADC analysis between </w:t>
      </w:r>
      <w:r w:rsidR="0058638A" w:rsidRPr="00813AEE">
        <w:rPr>
          <w:rFonts w:ascii="Book Antiqua" w:hAnsi="Book Antiqua"/>
          <w:color w:val="000000" w:themeColor="text1"/>
          <w:sz w:val="24"/>
          <w:szCs w:val="24"/>
        </w:rPr>
        <w:t>radiologists</w:t>
      </w:r>
      <w:r w:rsidRPr="00813AEE">
        <w:rPr>
          <w:rFonts w:ascii="Book Antiqua" w:hAnsi="Book Antiqua"/>
          <w:color w:val="000000" w:themeColor="text1"/>
          <w:sz w:val="24"/>
          <w:szCs w:val="24"/>
        </w:rPr>
        <w:t>. As the same with ADC values, excellent intra and interobserver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of SR measurement </w:t>
      </w:r>
      <w:r w:rsidR="00B23814" w:rsidRPr="00813AEE">
        <w:rPr>
          <w:rFonts w:ascii="Book Antiqua" w:hAnsi="Book Antiqua"/>
          <w:color w:val="000000" w:themeColor="text1"/>
          <w:sz w:val="24"/>
          <w:szCs w:val="24"/>
        </w:rPr>
        <w:t>w</w:t>
      </w:r>
      <w:r w:rsidR="00B23814">
        <w:rPr>
          <w:rFonts w:ascii="Book Antiqua" w:hAnsi="Book Antiqua"/>
          <w:color w:val="000000" w:themeColor="text1"/>
          <w:sz w:val="24"/>
          <w:szCs w:val="24"/>
        </w:rPr>
        <w:t>ere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found in inflamed terminal ileum. As expected, SR demonstrated moderately negative correlations with ADC in CD patients in both readers (</w:t>
      </w:r>
      <w:r w:rsidR="00CC314A" w:rsidRPr="00813AEE">
        <w:rPr>
          <w:rFonts w:ascii="Book Antiqua" w:hAnsi="Book Antiqua"/>
          <w:color w:val="000000" w:themeColor="text1"/>
          <w:sz w:val="24"/>
          <w:szCs w:val="24"/>
        </w:rPr>
        <w:t>Figure</w:t>
      </w:r>
      <w:r w:rsidRPr="00813AEE">
        <w:rPr>
          <w:rFonts w:ascii="Book Antiqua" w:hAnsi="Book Antiqua"/>
          <w:color w:val="000000" w:themeColor="text1"/>
          <w:sz w:val="24"/>
          <w:szCs w:val="24"/>
        </w:rPr>
        <w:t xml:space="preserve"> 5), indicating that SR could also represent the diffusion condition on DWI just like the ADC value. Therefore, both ADC and SR could act as the robust and quantitative methods for the evaluation of CD patients.</w:t>
      </w:r>
    </w:p>
    <w:p w14:paraId="77F15095" w14:textId="1B6E45E9"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Although the comprehensive Clermont score </w:t>
      </w:r>
      <w:r w:rsidR="00B23814" w:rsidRPr="00813AEE">
        <w:rPr>
          <w:rFonts w:ascii="Book Antiqua" w:hAnsi="Book Antiqua"/>
          <w:color w:val="000000" w:themeColor="text1"/>
          <w:sz w:val="24"/>
          <w:szCs w:val="24"/>
        </w:rPr>
        <w:t>ha</w:t>
      </w:r>
      <w:r w:rsidR="00B23814">
        <w:rPr>
          <w:rFonts w:ascii="Book Antiqua" w:hAnsi="Book Antiqua"/>
          <w:color w:val="000000" w:themeColor="text1"/>
          <w:sz w:val="24"/>
          <w:szCs w:val="24"/>
        </w:rPr>
        <w:t>s</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been introduced as a valuable tool for the ileal CD assessment in academic studies</w:t>
      </w:r>
      <w:r w:rsidR="00B92FFD" w:rsidRPr="00813AEE">
        <w:rPr>
          <w:rFonts w:ascii="Book Antiqua" w:hAnsi="Book Antiqua" w:cs="Book Antiqua"/>
          <w:color w:val="000000" w:themeColor="text1"/>
          <w:kern w:val="0"/>
          <w:sz w:val="24"/>
          <w:szCs w:val="24"/>
          <w:vertAlign w:val="superscript"/>
        </w:rPr>
        <w:t>[12,23,26]</w:t>
      </w:r>
      <w:r w:rsidRPr="00813AEE">
        <w:rPr>
          <w:rFonts w:ascii="Book Antiqua" w:hAnsi="Book Antiqua"/>
          <w:color w:val="000000" w:themeColor="text1"/>
          <w:sz w:val="24"/>
          <w:szCs w:val="24"/>
        </w:rPr>
        <w:t>, the calculation of Clermont score is based on quantitative ADC values and wall thickness along with qualitative signs of bowel ulcer and mural edema. As a completed quantitative analysis of DWI in this study, Clermont score was not applied for its qualitative signs on conventional MRE. And the Kappa values of inter-reader agreement were only fair for the presence of ulcer (0.34) and moderate for the presence of mural edema (0.47) on conventional MRE</w:t>
      </w:r>
      <w:r w:rsidR="00B92FFD" w:rsidRPr="00813AEE">
        <w:rPr>
          <w:rFonts w:ascii="Book Antiqua" w:hAnsi="Book Antiqua" w:cs="Book Antiqua"/>
          <w:color w:val="000000" w:themeColor="text1"/>
          <w:kern w:val="0"/>
          <w:sz w:val="24"/>
          <w:szCs w:val="24"/>
          <w:vertAlign w:val="superscript"/>
        </w:rPr>
        <w:t>[30]</w:t>
      </w:r>
      <w:r w:rsidRPr="00813AEE">
        <w:rPr>
          <w:rFonts w:ascii="Book Antiqua" w:hAnsi="Book Antiqua"/>
          <w:color w:val="000000" w:themeColor="text1"/>
          <w:sz w:val="24"/>
          <w:szCs w:val="24"/>
        </w:rPr>
        <w:t xml:space="preserve">. Furthermore, ADC values were reported </w:t>
      </w:r>
      <w:r w:rsidR="00B23814">
        <w:rPr>
          <w:rFonts w:ascii="Book Antiqua" w:hAnsi="Book Antiqua"/>
          <w:color w:val="000000" w:themeColor="text1"/>
          <w:sz w:val="24"/>
          <w:szCs w:val="24"/>
        </w:rPr>
        <w:t xml:space="preserve">to </w:t>
      </w:r>
      <w:r w:rsidR="00B23814" w:rsidRPr="00813AEE">
        <w:rPr>
          <w:rFonts w:ascii="Book Antiqua" w:hAnsi="Book Antiqua"/>
          <w:color w:val="000000" w:themeColor="text1"/>
          <w:sz w:val="24"/>
          <w:szCs w:val="24"/>
        </w:rPr>
        <w:t>hav</w:t>
      </w:r>
      <w:r w:rsidR="00B23814">
        <w:rPr>
          <w:rFonts w:ascii="Book Antiqua" w:hAnsi="Book Antiqua"/>
          <w:color w:val="000000" w:themeColor="text1"/>
          <w:sz w:val="24"/>
          <w:szCs w:val="24"/>
        </w:rPr>
        <w:t>e</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similarly high diagnostic </w:t>
      </w:r>
      <w:r w:rsidRPr="00813AEE">
        <w:rPr>
          <w:rFonts w:ascii="Book Antiqua" w:hAnsi="Book Antiqua"/>
          <w:color w:val="000000" w:themeColor="text1"/>
          <w:sz w:val="24"/>
          <w:szCs w:val="24"/>
        </w:rPr>
        <w:lastRenderedPageBreak/>
        <w:t xml:space="preserve">performance for CD patients </w:t>
      </w:r>
      <w:r w:rsidR="00B23814" w:rsidRPr="00813AEE">
        <w:rPr>
          <w:rFonts w:ascii="Book Antiqua" w:hAnsi="Book Antiqua"/>
          <w:color w:val="000000" w:themeColor="text1"/>
          <w:sz w:val="24"/>
          <w:szCs w:val="24"/>
        </w:rPr>
        <w:t>compar</w:t>
      </w:r>
      <w:r w:rsidR="00B23814">
        <w:rPr>
          <w:rFonts w:ascii="Book Antiqua" w:hAnsi="Book Antiqua"/>
          <w:color w:val="000000" w:themeColor="text1"/>
          <w:sz w:val="24"/>
          <w:szCs w:val="24"/>
        </w:rPr>
        <w:t>ed</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with Clermont score in prior studies</w:t>
      </w:r>
      <w:r w:rsidR="00B92FFD" w:rsidRPr="00813AEE">
        <w:rPr>
          <w:rFonts w:ascii="Book Antiqua" w:hAnsi="Book Antiqua" w:cs="Book Antiqua"/>
          <w:color w:val="000000" w:themeColor="text1"/>
          <w:kern w:val="0"/>
          <w:sz w:val="24"/>
          <w:szCs w:val="24"/>
          <w:vertAlign w:val="superscript"/>
        </w:rPr>
        <w:t>[9,23]</w:t>
      </w:r>
      <w:r w:rsidRPr="00813AEE">
        <w:rPr>
          <w:rFonts w:ascii="Book Antiqua" w:hAnsi="Book Antiqua"/>
          <w:color w:val="000000" w:themeColor="text1"/>
          <w:sz w:val="24"/>
          <w:szCs w:val="24"/>
        </w:rPr>
        <w:t xml:space="preserve">. In addition, ADC measurement from the post-processing ADC maps and SR of </w:t>
      </w:r>
      <w:r w:rsidR="00B23814">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to </w:t>
      </w:r>
      <w:r w:rsidR="007C103F" w:rsidRPr="00813AEE">
        <w:rPr>
          <w:rFonts w:ascii="Book Antiqua" w:hAnsi="Book Antiqua"/>
          <w:color w:val="000000" w:themeColor="text1"/>
          <w:sz w:val="24"/>
          <w:szCs w:val="24"/>
        </w:rPr>
        <w:t>ipsilateral</w:t>
      </w:r>
      <w:r w:rsidRPr="00813AEE">
        <w:rPr>
          <w:rFonts w:ascii="Book Antiqua" w:hAnsi="Book Antiqua"/>
          <w:color w:val="000000" w:themeColor="text1"/>
          <w:sz w:val="24"/>
          <w:szCs w:val="24"/>
        </w:rPr>
        <w:t xml:space="preserve"> psoas muscle on b = 800</w:t>
      </w:r>
      <w:r w:rsidR="0058638A"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images are relatively convenient to implement in the daily clinical practice.</w:t>
      </w:r>
    </w:p>
    <w:p w14:paraId="7FAD4A67" w14:textId="41541536"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However, the measured ADC in normal terminal ileum demonstrated lower agreement between sessions and readers (ICC: 0.641-0.736</w:t>
      </w:r>
      <w:r w:rsidR="00B23814">
        <w:rPr>
          <w:rFonts w:ascii="Book Antiqua" w:hAnsi="Book Antiqua"/>
          <w:color w:val="000000" w:themeColor="text1"/>
          <w:sz w:val="24"/>
          <w:szCs w:val="24"/>
        </w:rPr>
        <w:t>;</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CoV: 10.47%-11.43</w:t>
      </w:r>
      <w:r w:rsidR="00B23814" w:rsidRPr="00813AEE">
        <w:rPr>
          <w:rFonts w:ascii="Book Antiqua" w:hAnsi="Book Antiqua"/>
          <w:color w:val="000000" w:themeColor="text1"/>
          <w:sz w:val="24"/>
          <w:szCs w:val="24"/>
        </w:rPr>
        <w:t>%</w:t>
      </w:r>
      <w:r w:rsidR="00B23814">
        <w:rPr>
          <w:rFonts w:ascii="Book Antiqua" w:hAnsi="Book Antiqua"/>
          <w:color w:val="000000" w:themeColor="text1"/>
          <w:sz w:val="24"/>
          <w:szCs w:val="24"/>
        </w:rPr>
        <w:t>;</w:t>
      </w:r>
      <w:r w:rsidR="00B23814"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BA-LA LoA: ±26.59% to ±30.83%). This might be due to more pronounced partial volume effects of the thin normal intestinal tissues during the ROI placement compared to the thickened inflammatory segments</w:t>
      </w:r>
      <w:r w:rsidR="00B92FFD" w:rsidRPr="00813AEE">
        <w:rPr>
          <w:rFonts w:ascii="Book Antiqua" w:hAnsi="Book Antiqua" w:cs="Book Antiqua"/>
          <w:color w:val="000000" w:themeColor="text1"/>
          <w:kern w:val="0"/>
          <w:sz w:val="24"/>
          <w:szCs w:val="24"/>
          <w:vertAlign w:val="superscript"/>
        </w:rPr>
        <w:t>[5]</w:t>
      </w:r>
      <w:r w:rsidRPr="00813AEE">
        <w:rPr>
          <w:rFonts w:ascii="Book Antiqua" w:hAnsi="Book Antiqua"/>
          <w:color w:val="000000" w:themeColor="text1"/>
          <w:sz w:val="24"/>
          <w:szCs w:val="24"/>
        </w:rPr>
        <w:t>. Additionally, post-processing ADC maps are generated by applying a mono-exponential fit with at least two b values, a technique prone to image degradation due to bowel peristalsis</w:t>
      </w:r>
      <w:r w:rsidR="00B92FFD" w:rsidRPr="00813AEE">
        <w:rPr>
          <w:rFonts w:ascii="Book Antiqua" w:hAnsi="Book Antiqua" w:cs="Book Antiqua"/>
          <w:color w:val="000000" w:themeColor="text1"/>
          <w:kern w:val="0"/>
          <w:sz w:val="24"/>
          <w:szCs w:val="24"/>
          <w:vertAlign w:val="superscript"/>
        </w:rPr>
        <w:t>[9,31]</w:t>
      </w:r>
      <w:r w:rsidRPr="00813AEE">
        <w:rPr>
          <w:rFonts w:ascii="Book Antiqua" w:hAnsi="Book Antiqua"/>
          <w:color w:val="000000" w:themeColor="text1"/>
          <w:sz w:val="24"/>
          <w:szCs w:val="24"/>
        </w:rPr>
        <w:t>.</w:t>
      </w:r>
      <w:r w:rsidR="00B23814">
        <w:rPr>
          <w:rFonts w:ascii="Book Antiqua" w:hAnsi="Book Antiqua"/>
          <w:color w:val="000000" w:themeColor="text1"/>
          <w:sz w:val="24"/>
          <w:szCs w:val="24"/>
        </w:rPr>
        <w:t xml:space="preserve"> T</w:t>
      </w:r>
      <w:r w:rsidRPr="00813AEE">
        <w:rPr>
          <w:rFonts w:ascii="Book Antiqua" w:hAnsi="Book Antiqua"/>
          <w:color w:val="000000" w:themeColor="text1"/>
          <w:sz w:val="24"/>
          <w:szCs w:val="24"/>
        </w:rPr>
        <w:t xml:space="preserve">he SR in the subjects with </w:t>
      </w:r>
      <w:r w:rsidR="00B23814">
        <w:rPr>
          <w:rFonts w:ascii="Book Antiqua" w:hAnsi="Book Antiqua"/>
          <w:color w:val="000000" w:themeColor="text1"/>
          <w:sz w:val="24"/>
          <w:szCs w:val="24"/>
        </w:rPr>
        <w:t xml:space="preserve">a </w:t>
      </w:r>
      <w:r w:rsidRPr="00813AEE">
        <w:rPr>
          <w:rFonts w:ascii="Book Antiqua" w:hAnsi="Book Antiqua"/>
          <w:color w:val="000000" w:themeColor="text1"/>
          <w:sz w:val="24"/>
          <w:szCs w:val="24"/>
        </w:rPr>
        <w:t>normal terminal ileum still achieved high intra and interobserver agreement</w:t>
      </w:r>
      <w:r w:rsidR="00B23814">
        <w:rPr>
          <w:rFonts w:ascii="Book Antiqua" w:hAnsi="Book Antiqua"/>
          <w:color w:val="000000" w:themeColor="text1"/>
          <w:sz w:val="24"/>
          <w:szCs w:val="24"/>
        </w:rPr>
        <w:t>s</w:t>
      </w:r>
      <w:r w:rsidRPr="00813AEE">
        <w:rPr>
          <w:rFonts w:ascii="Book Antiqua" w:hAnsi="Book Antiqua"/>
          <w:color w:val="000000" w:themeColor="text1"/>
          <w:sz w:val="24"/>
          <w:szCs w:val="24"/>
        </w:rPr>
        <w:t xml:space="preserve"> (ICC: 0.944-0.974) and was less variable than ADC between sessions and readers. The main reasons could be that SR is calculated from a single b value DWI, limiting the propensity for motion degradation, and acquisition of a single b value DWI image using SS-EPI is rapid, sub-second using the latest acquisition techniques and hardware</w:t>
      </w:r>
      <w:r w:rsidR="00B92FFD" w:rsidRPr="00813AEE">
        <w:rPr>
          <w:rFonts w:ascii="Book Antiqua" w:hAnsi="Book Antiqua" w:cs="Book Antiqua"/>
          <w:color w:val="000000" w:themeColor="text1"/>
          <w:kern w:val="0"/>
          <w:sz w:val="24"/>
          <w:szCs w:val="24"/>
          <w:vertAlign w:val="superscript"/>
        </w:rPr>
        <w:t>[8,20]</w:t>
      </w:r>
      <w:r w:rsidRPr="00813AEE">
        <w:rPr>
          <w:rFonts w:ascii="Book Antiqua" w:hAnsi="Book Antiqua"/>
          <w:color w:val="000000" w:themeColor="text1"/>
          <w:sz w:val="24"/>
          <w:szCs w:val="24"/>
        </w:rPr>
        <w:t>. Hence, SR could be more robust for quantitative DWI assessment in normal or inflamed ileal segments of CD patients. And the measurement of SR avoids the post-processing maps compar</w:t>
      </w:r>
      <w:r w:rsidR="004E2781" w:rsidRPr="00813AEE">
        <w:rPr>
          <w:rFonts w:ascii="Book Antiqua" w:hAnsi="Book Antiqua"/>
          <w:color w:val="000000" w:themeColor="text1"/>
          <w:sz w:val="24"/>
          <w:szCs w:val="24"/>
        </w:rPr>
        <w:t>ed</w:t>
      </w:r>
      <w:r w:rsidRPr="00813AEE">
        <w:rPr>
          <w:rFonts w:ascii="Book Antiqua" w:hAnsi="Book Antiqua"/>
          <w:color w:val="000000" w:themeColor="text1"/>
          <w:sz w:val="24"/>
          <w:szCs w:val="24"/>
        </w:rPr>
        <w:t xml:space="preserve"> </w:t>
      </w:r>
      <w:r w:rsidR="004E2781" w:rsidRPr="00813AEE">
        <w:rPr>
          <w:rFonts w:ascii="Book Antiqua" w:hAnsi="Book Antiqua"/>
          <w:color w:val="000000" w:themeColor="text1"/>
          <w:sz w:val="24"/>
          <w:szCs w:val="24"/>
        </w:rPr>
        <w:t>to</w:t>
      </w:r>
      <w:r w:rsidRPr="00813AEE">
        <w:rPr>
          <w:rFonts w:ascii="Book Antiqua" w:hAnsi="Book Antiqua"/>
          <w:color w:val="000000" w:themeColor="text1"/>
          <w:sz w:val="24"/>
          <w:szCs w:val="24"/>
        </w:rPr>
        <w:t xml:space="preserve"> ADC, which would be easier and more applicable in clinic.</w:t>
      </w:r>
    </w:p>
    <w:p w14:paraId="360C4F60" w14:textId="074236B7"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In line with prior quantitative analysis of DWI on CD patients</w:t>
      </w:r>
      <w:r w:rsidR="00B92FFD" w:rsidRPr="00813AEE">
        <w:rPr>
          <w:rFonts w:ascii="Book Antiqua" w:hAnsi="Book Antiqua" w:cs="Book Antiqua"/>
          <w:color w:val="000000" w:themeColor="text1"/>
          <w:kern w:val="0"/>
          <w:sz w:val="24"/>
          <w:szCs w:val="24"/>
          <w:vertAlign w:val="superscript"/>
        </w:rPr>
        <w:t>[9,23,29]</w:t>
      </w:r>
      <w:r w:rsidRPr="00813AEE">
        <w:rPr>
          <w:rFonts w:ascii="Book Antiqua" w:hAnsi="Book Antiqua"/>
          <w:color w:val="000000" w:themeColor="text1"/>
          <w:sz w:val="24"/>
          <w:szCs w:val="24"/>
        </w:rPr>
        <w:t xml:space="preserve">, the ADC values </w:t>
      </w:r>
      <w:r w:rsidR="009A7910">
        <w:rPr>
          <w:rFonts w:ascii="Book Antiqua" w:hAnsi="Book Antiqua"/>
          <w:color w:val="000000" w:themeColor="text1"/>
          <w:sz w:val="24"/>
          <w:szCs w:val="24"/>
        </w:rPr>
        <w:t xml:space="preserve">of </w:t>
      </w:r>
      <w:r w:rsidR="009A7910" w:rsidRPr="00813AEE">
        <w:rPr>
          <w:rFonts w:ascii="Book Antiqua" w:hAnsi="Book Antiqua"/>
          <w:color w:val="000000" w:themeColor="text1"/>
          <w:sz w:val="24"/>
          <w:szCs w:val="24"/>
        </w:rPr>
        <w:t xml:space="preserve">inflammatory lesions </w:t>
      </w:r>
      <w:r w:rsidRPr="00813AEE">
        <w:rPr>
          <w:rFonts w:ascii="Book Antiqua" w:hAnsi="Book Antiqua"/>
          <w:color w:val="000000" w:themeColor="text1"/>
          <w:sz w:val="24"/>
          <w:szCs w:val="24"/>
        </w:rPr>
        <w:t>were significant lower</w:t>
      </w:r>
      <w:r w:rsidR="009A7910">
        <w:rPr>
          <w:rFonts w:ascii="Book Antiqua" w:hAnsi="Book Antiqua"/>
          <w:color w:val="000000" w:themeColor="text1"/>
          <w:sz w:val="24"/>
          <w:szCs w:val="24"/>
        </w:rPr>
        <w:t xml:space="preserve"> </w:t>
      </w:r>
      <w:r w:rsidRPr="00813AEE">
        <w:rPr>
          <w:rFonts w:ascii="Book Antiqua" w:hAnsi="Book Antiqua"/>
          <w:color w:val="000000" w:themeColor="text1"/>
          <w:sz w:val="24"/>
          <w:szCs w:val="24"/>
        </w:rPr>
        <w:t>than those of normal segments in this study, and achieved optimal AUROC (R1: 0.923 and R2: 0.929) with high sensitivities and specificities by a threshold value of 1.8 ×</w:t>
      </w:r>
      <w:r w:rsidR="0071121D"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/s. Furthermore, diagnostic efficiency of SR (AUROC: 0.981 for R1 and 0.988 for R2) was slightly superior to the ADC values. According to our results and Table 4, SR values greater than 2 (meaning more than twice signal intensity of </w:t>
      </w:r>
      <w:r w:rsidR="009A7910">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to ipsilateral psoas muscle) could be used to differentiate inflamed terminal ileum from the normal. Quantitative parameters of ADC and SR from DWI both had excellent diagnostic accuracy for CD. Similarly, the relative signal intensity (rSI) of lesion to muscle demonstrated higher diagnostic performance than ADC in assessing complete tumor response on post </w:t>
      </w:r>
      <w:r w:rsidRPr="00813AEE">
        <w:rPr>
          <w:rFonts w:ascii="Book Antiqua" w:hAnsi="Book Antiqua"/>
          <w:color w:val="000000" w:themeColor="text1"/>
          <w:sz w:val="24"/>
          <w:szCs w:val="24"/>
        </w:rPr>
        <w:lastRenderedPageBreak/>
        <w:t>neoadjuvant chemoradiotherapy DWI in rectal cancer</w:t>
      </w:r>
      <w:r w:rsidR="00B92FFD" w:rsidRPr="00813AEE">
        <w:rPr>
          <w:rFonts w:ascii="Book Antiqua" w:hAnsi="Book Antiqua" w:cs="Book Antiqua"/>
          <w:color w:val="000000" w:themeColor="text1"/>
          <w:kern w:val="0"/>
          <w:sz w:val="24"/>
          <w:szCs w:val="24"/>
          <w:vertAlign w:val="superscript"/>
        </w:rPr>
        <w:t>[24]</w:t>
      </w:r>
      <w:r w:rsidRPr="00813AEE">
        <w:rPr>
          <w:rFonts w:ascii="Book Antiqua" w:hAnsi="Book Antiqua"/>
          <w:color w:val="000000" w:themeColor="text1"/>
          <w:sz w:val="24"/>
          <w:szCs w:val="24"/>
        </w:rPr>
        <w:t>. The SR, as an alternative modality of ADC, would be a reliable and effective quantitative parameter of DW-MRE to identify the normal and inflamed bowel segments based on this initial study. The further exploration of SR in the differentiation of CD stages and medical therapy assessment during CD course is worthwh</w:t>
      </w:r>
      <w:r w:rsidR="00B737DE" w:rsidRPr="00813AEE">
        <w:rPr>
          <w:rFonts w:ascii="Book Antiqua" w:hAnsi="Book Antiqua"/>
          <w:color w:val="000000" w:themeColor="text1"/>
          <w:sz w:val="24"/>
          <w:szCs w:val="24"/>
        </w:rPr>
        <w:t>ile in the future study.</w:t>
      </w:r>
    </w:p>
    <w:p w14:paraId="114DD664" w14:textId="790DC01D" w:rsidR="00F56D9A"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However, our study had some limitations due to the retrospective nature and relatively small sample size included. Further prospective trials with larger sample sizes would help to confirm these results. </w:t>
      </w:r>
      <w:r w:rsidR="009A7910">
        <w:rPr>
          <w:rFonts w:ascii="Book Antiqua" w:hAnsi="Book Antiqua"/>
          <w:color w:val="000000" w:themeColor="text1"/>
          <w:sz w:val="24"/>
          <w:szCs w:val="24"/>
        </w:rPr>
        <w:t xml:space="preserve">Since </w:t>
      </w:r>
      <w:r w:rsidRPr="00813AEE">
        <w:rPr>
          <w:rFonts w:ascii="Book Antiqua" w:hAnsi="Book Antiqua"/>
          <w:color w:val="000000" w:themeColor="text1"/>
          <w:sz w:val="24"/>
          <w:szCs w:val="24"/>
        </w:rPr>
        <w:t>DW-MRE examinations of this primary study were acquired from a single center using a same 3.0-T MR scanner, a multicenter study with various MR systems could further increase the applicability of the data. Additionally, ROIs placement on the bowel wall was relatively challenging and subjective for the observers; improvements in automated approaches to ROI placement would be potentially of great value.</w:t>
      </w:r>
      <w:r w:rsidR="00257942" w:rsidRPr="00813AEE">
        <w:rPr>
          <w:rFonts w:ascii="Book Antiqua" w:hAnsi="Book Antiqua"/>
          <w:color w:val="000000" w:themeColor="text1"/>
          <w:sz w:val="24"/>
          <w:szCs w:val="24"/>
        </w:rPr>
        <w:t xml:space="preserve"> </w:t>
      </w:r>
      <w:r w:rsidR="009A7910">
        <w:rPr>
          <w:rFonts w:ascii="Book Antiqua" w:hAnsi="Book Antiqua"/>
          <w:color w:val="000000" w:themeColor="text1"/>
          <w:sz w:val="24"/>
          <w:szCs w:val="24"/>
        </w:rPr>
        <w:t>Finally</w:t>
      </w:r>
      <w:r w:rsidR="00257942" w:rsidRPr="00813AEE">
        <w:rPr>
          <w:rFonts w:ascii="Book Antiqua" w:hAnsi="Book Antiqua"/>
          <w:color w:val="000000" w:themeColor="text1"/>
          <w:sz w:val="24"/>
          <w:szCs w:val="24"/>
        </w:rPr>
        <w:t>, the quantitative endoscopic score was not acquired due to this retrospective study.</w:t>
      </w:r>
    </w:p>
    <w:p w14:paraId="02592CA6" w14:textId="75936218" w:rsidR="00DD5A5C" w:rsidRPr="00813AEE" w:rsidRDefault="00F56D9A" w:rsidP="009A16E2">
      <w:pPr>
        <w:autoSpaceDE w:val="0"/>
        <w:autoSpaceDN w:val="0"/>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In conclusion, </w:t>
      </w:r>
      <w:r w:rsidR="00257942" w:rsidRPr="00813AEE">
        <w:rPr>
          <w:rFonts w:ascii="Book Antiqua" w:hAnsi="Book Antiqua"/>
          <w:color w:val="000000" w:themeColor="text1"/>
          <w:sz w:val="24"/>
          <w:szCs w:val="24"/>
        </w:rPr>
        <w:t xml:space="preserve">the intra and interobserver agreements of </w:t>
      </w:r>
      <w:r w:rsidRPr="00813AEE">
        <w:rPr>
          <w:rFonts w:ascii="Book Antiqua" w:hAnsi="Book Antiqua"/>
          <w:color w:val="000000" w:themeColor="text1"/>
          <w:sz w:val="24"/>
          <w:szCs w:val="24"/>
        </w:rPr>
        <w:t xml:space="preserve">quantitative ADC and SR analysis </w:t>
      </w:r>
      <w:r w:rsidR="00257942" w:rsidRPr="00813AEE">
        <w:rPr>
          <w:rFonts w:ascii="Book Antiqua" w:hAnsi="Book Antiqua"/>
          <w:color w:val="000000" w:themeColor="text1"/>
          <w:sz w:val="24"/>
          <w:szCs w:val="24"/>
        </w:rPr>
        <w:t xml:space="preserve">on </w:t>
      </w:r>
      <w:r w:rsidRPr="00813AEE">
        <w:rPr>
          <w:rFonts w:ascii="Book Antiqua" w:hAnsi="Book Antiqua"/>
          <w:color w:val="000000" w:themeColor="text1"/>
          <w:sz w:val="24"/>
          <w:szCs w:val="24"/>
        </w:rPr>
        <w:t xml:space="preserve">DW-MRE images </w:t>
      </w:r>
      <w:r w:rsidR="00257942" w:rsidRPr="00813AEE">
        <w:rPr>
          <w:rFonts w:ascii="Book Antiqua" w:hAnsi="Book Antiqua"/>
          <w:color w:val="000000" w:themeColor="text1"/>
          <w:sz w:val="24"/>
          <w:szCs w:val="24"/>
        </w:rPr>
        <w:t xml:space="preserve">were found to be good or excellent </w:t>
      </w:r>
      <w:r w:rsidR="009A7910">
        <w:rPr>
          <w:rFonts w:ascii="Book Antiqua" w:hAnsi="Book Antiqua"/>
          <w:color w:val="000000" w:themeColor="text1"/>
          <w:sz w:val="24"/>
          <w:szCs w:val="24"/>
        </w:rPr>
        <w:t>in</w:t>
      </w:r>
      <w:r w:rsidR="009A7910" w:rsidRPr="00813AEE">
        <w:rPr>
          <w:rFonts w:ascii="Book Antiqua" w:hAnsi="Book Antiqua"/>
          <w:color w:val="000000" w:themeColor="text1"/>
          <w:sz w:val="24"/>
          <w:szCs w:val="24"/>
        </w:rPr>
        <w:t xml:space="preserve"> </w:t>
      </w:r>
      <w:r w:rsidR="00257942" w:rsidRPr="00813AEE">
        <w:rPr>
          <w:rFonts w:ascii="Book Antiqua" w:hAnsi="Book Antiqua"/>
          <w:color w:val="000000" w:themeColor="text1"/>
          <w:sz w:val="24"/>
          <w:szCs w:val="24"/>
        </w:rPr>
        <w:t>this initial study.</w:t>
      </w:r>
      <w:r w:rsidRPr="00813AEE">
        <w:rPr>
          <w:rFonts w:ascii="Book Antiqua" w:hAnsi="Book Antiqua"/>
          <w:color w:val="000000" w:themeColor="text1"/>
          <w:sz w:val="24"/>
          <w:szCs w:val="24"/>
        </w:rPr>
        <w:t xml:space="preserve"> Both the ADC and SR demonstrated high diagnostic yield for distinguishing inflamed terminal ileum in CD patients from the normal. </w:t>
      </w:r>
      <w:r w:rsidR="006725E5" w:rsidRPr="00813AEE">
        <w:rPr>
          <w:rFonts w:ascii="Book Antiqua" w:hAnsi="Book Antiqua"/>
          <w:color w:val="000000" w:themeColor="text1"/>
          <w:sz w:val="24"/>
          <w:szCs w:val="24"/>
        </w:rPr>
        <w:t>There</w:t>
      </w:r>
      <w:r w:rsidR="006725E5">
        <w:rPr>
          <w:rFonts w:ascii="Book Antiqua" w:hAnsi="Book Antiqua"/>
          <w:color w:val="000000" w:themeColor="text1"/>
          <w:sz w:val="24"/>
          <w:szCs w:val="24"/>
        </w:rPr>
        <w:t>fore</w:t>
      </w:r>
      <w:r w:rsidRPr="00813AEE">
        <w:rPr>
          <w:rFonts w:ascii="Book Antiqua" w:hAnsi="Book Antiqua"/>
          <w:color w:val="000000" w:themeColor="text1"/>
          <w:sz w:val="24"/>
          <w:szCs w:val="24"/>
        </w:rPr>
        <w:t>, ADC value or SR could serve as robust and efficient biomarkers to aid in the noninvasive evaluation of CD</w:t>
      </w:r>
      <w:r w:rsidR="00DD5A5C" w:rsidRPr="00813AEE">
        <w:rPr>
          <w:rFonts w:ascii="Book Antiqua" w:hAnsi="Book Antiqua"/>
          <w:color w:val="000000" w:themeColor="text1"/>
          <w:sz w:val="24"/>
          <w:szCs w:val="24"/>
        </w:rPr>
        <w:t>.</w:t>
      </w:r>
    </w:p>
    <w:p w14:paraId="56C0CAA0" w14:textId="06780CDC" w:rsidR="002A4025" w:rsidRPr="00813AEE" w:rsidRDefault="002A4025" w:rsidP="00813AEE">
      <w:pPr>
        <w:autoSpaceDE w:val="0"/>
        <w:autoSpaceDN w:val="0"/>
        <w:adjustRightInd w:val="0"/>
        <w:snapToGrid w:val="0"/>
        <w:spacing w:line="360" w:lineRule="auto"/>
        <w:rPr>
          <w:rFonts w:ascii="Book Antiqua" w:hAnsi="Book Antiqua"/>
          <w:color w:val="000000" w:themeColor="text1"/>
          <w:kern w:val="0"/>
          <w:sz w:val="24"/>
          <w:szCs w:val="24"/>
        </w:rPr>
      </w:pPr>
    </w:p>
    <w:p w14:paraId="2289C795" w14:textId="4928C3B7" w:rsidR="002A4025" w:rsidRPr="00813AEE" w:rsidRDefault="002A4025" w:rsidP="00813AEE">
      <w:pPr>
        <w:adjustRightInd w:val="0"/>
        <w:snapToGrid w:val="0"/>
        <w:spacing w:line="360" w:lineRule="auto"/>
        <w:rPr>
          <w:rFonts w:ascii="Book Antiqua" w:hAnsi="Book Antiqua"/>
          <w:b/>
          <w:caps/>
          <w:color w:val="000000" w:themeColor="text1"/>
          <w:sz w:val="24"/>
          <w:szCs w:val="24"/>
        </w:rPr>
      </w:pPr>
      <w:bookmarkStart w:id="107" w:name="OLE_LINK403"/>
      <w:bookmarkStart w:id="108" w:name="OLE_LINK560"/>
      <w:r w:rsidRPr="00813AEE">
        <w:rPr>
          <w:rFonts w:ascii="Book Antiqua" w:hAnsi="Book Antiqua" w:cs="Segoe UI"/>
          <w:b/>
          <w:caps/>
          <w:color w:val="000000" w:themeColor="text1"/>
          <w:sz w:val="24"/>
          <w:szCs w:val="24"/>
          <w:shd w:val="clear" w:color="auto" w:fill="FFFFFF"/>
        </w:rPr>
        <w:t>Article Highlights</w:t>
      </w:r>
      <w:r w:rsidR="00313C6D">
        <w:rPr>
          <w:rFonts w:ascii="Book Antiqua" w:hAnsi="Book Antiqua" w:cs="Segoe UI"/>
          <w:b/>
          <w:caps/>
          <w:color w:val="000000" w:themeColor="text1"/>
          <w:sz w:val="24"/>
          <w:szCs w:val="24"/>
          <w:shd w:val="clear" w:color="auto" w:fill="FFFFFF"/>
        </w:rPr>
        <w:t xml:space="preserve"> </w:t>
      </w:r>
    </w:p>
    <w:p w14:paraId="1ABA67E3"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background</w:t>
      </w:r>
    </w:p>
    <w:p w14:paraId="63F955C6" w14:textId="32272EF3"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The diagnosis and monitor</w:t>
      </w:r>
      <w:r w:rsidR="0075504D" w:rsidRPr="00813AEE">
        <w:rPr>
          <w:rFonts w:ascii="Book Antiqua" w:eastAsiaTheme="minorEastAsia" w:hAnsi="Book Antiqua"/>
          <w:color w:val="000000" w:themeColor="text1"/>
          <w:sz w:val="24"/>
          <w:szCs w:val="24"/>
        </w:rPr>
        <w:t>ing</w:t>
      </w:r>
      <w:r w:rsidRPr="00813AEE">
        <w:rPr>
          <w:rFonts w:ascii="Book Antiqua" w:eastAsiaTheme="minorEastAsia" w:hAnsi="Book Antiqua"/>
          <w:color w:val="000000" w:themeColor="text1"/>
          <w:sz w:val="24"/>
          <w:szCs w:val="24"/>
        </w:rPr>
        <w:t xml:space="preserve"> of Crohn’s disease (CD) are important for the clinical therapy during its longstanding course. As avoiding the use of intravenous contrast agents, diffusion weighted</w:t>
      </w:r>
      <w:r w:rsidR="004A5937">
        <w:rPr>
          <w:rFonts w:ascii="Book Antiqua" w:eastAsiaTheme="minorEastAsia" w:hAnsi="Book Antiqua"/>
          <w:color w:val="000000" w:themeColor="text1"/>
          <w:sz w:val="24"/>
          <w:szCs w:val="24"/>
        </w:rPr>
        <w:t xml:space="preserve"> (DW)</w:t>
      </w:r>
      <w:r w:rsidRPr="00813AEE">
        <w:rPr>
          <w:rFonts w:ascii="Book Antiqua" w:eastAsiaTheme="minorEastAsia" w:hAnsi="Book Antiqua"/>
          <w:color w:val="000000" w:themeColor="text1"/>
          <w:sz w:val="24"/>
          <w:szCs w:val="24"/>
        </w:rPr>
        <w:t xml:space="preserve"> </w:t>
      </w:r>
      <w:r w:rsidR="008D4AFF" w:rsidRPr="00813AEE">
        <w:rPr>
          <w:rFonts w:ascii="Book Antiqua" w:eastAsiaTheme="minorEastAsia" w:hAnsi="Book Antiqua"/>
          <w:color w:val="000000" w:themeColor="text1"/>
          <w:sz w:val="24"/>
          <w:szCs w:val="24"/>
        </w:rPr>
        <w:t>imag</w:t>
      </w:r>
      <w:r w:rsidR="008D4AFF">
        <w:rPr>
          <w:rFonts w:ascii="Book Antiqua" w:eastAsiaTheme="minorEastAsia" w:hAnsi="Book Antiqua"/>
          <w:color w:val="000000" w:themeColor="text1"/>
          <w:sz w:val="24"/>
          <w:szCs w:val="24"/>
        </w:rPr>
        <w:t>ing</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(DWI) is increasingly considered as a promising </w:t>
      </w:r>
      <w:bookmarkStart w:id="109" w:name="OLE_LINK98"/>
      <w:bookmarkStart w:id="110" w:name="OLE_LINK99"/>
      <w:r w:rsidR="004A5937" w:rsidRPr="00813AEE">
        <w:rPr>
          <w:rFonts w:ascii="Book Antiqua" w:hAnsi="Book Antiqua"/>
          <w:color w:val="000000" w:themeColor="text1"/>
          <w:sz w:val="24"/>
          <w:szCs w:val="24"/>
        </w:rPr>
        <w:t xml:space="preserve">magnetic resonance </w:t>
      </w:r>
      <w:r w:rsidR="004A5937">
        <w:rPr>
          <w:rFonts w:ascii="Book Antiqua" w:hAnsi="Book Antiqua"/>
          <w:color w:val="000000" w:themeColor="text1"/>
          <w:sz w:val="24"/>
          <w:szCs w:val="24"/>
        </w:rPr>
        <w:t xml:space="preserve">(MR) </w:t>
      </w:r>
      <w:r w:rsidR="004A5937" w:rsidRPr="00813AEE">
        <w:rPr>
          <w:rFonts w:ascii="Book Antiqua" w:hAnsi="Book Antiqua"/>
          <w:color w:val="000000" w:themeColor="text1"/>
          <w:sz w:val="24"/>
          <w:szCs w:val="24"/>
        </w:rPr>
        <w:t>enterography</w:t>
      </w:r>
      <w:bookmarkEnd w:id="109"/>
      <w:bookmarkEnd w:id="110"/>
      <w:r w:rsidR="004A5937" w:rsidRPr="00813AEE">
        <w:rPr>
          <w:rFonts w:ascii="Book Antiqua" w:hAnsi="Book Antiqua"/>
          <w:color w:val="000000" w:themeColor="text1"/>
          <w:sz w:val="24"/>
          <w:szCs w:val="24"/>
        </w:rPr>
        <w:t xml:space="preserve"> (MRE)</w:t>
      </w:r>
      <w:r w:rsidRPr="00813AEE">
        <w:rPr>
          <w:rFonts w:ascii="Book Antiqua" w:eastAsiaTheme="minorEastAsia" w:hAnsi="Book Antiqua"/>
          <w:color w:val="000000" w:themeColor="text1"/>
          <w:sz w:val="24"/>
          <w:szCs w:val="24"/>
        </w:rPr>
        <w:t xml:space="preserve"> technique to the qualitative and quantitative evaluation of CD in recent years, and is recommended as an optional MR sequence for CD. The quantitative DWI analysis may be more objective for CD assessment. However, the measurement reproducibility of quantitative DWI analysis in MR</w:t>
      </w:r>
      <w:r w:rsidR="004A5937">
        <w:rPr>
          <w:rFonts w:ascii="Book Antiqua" w:eastAsiaTheme="minorEastAsia" w:hAnsi="Book Antiqua"/>
          <w:color w:val="000000" w:themeColor="text1"/>
          <w:sz w:val="24"/>
          <w:szCs w:val="24"/>
        </w:rPr>
        <w:t>E</w:t>
      </w:r>
      <w:r w:rsidRPr="00813AEE">
        <w:rPr>
          <w:rFonts w:ascii="Book Antiqua" w:eastAsiaTheme="minorEastAsia" w:hAnsi="Book Antiqua"/>
          <w:color w:val="000000" w:themeColor="text1"/>
          <w:sz w:val="24"/>
          <w:szCs w:val="24"/>
        </w:rPr>
        <w:t xml:space="preserve"> has not been ascertained so far. Thus, the investigation of intra and interobserver agreements of quantitative DWI parameters could be valuable to </w:t>
      </w:r>
      <w:r w:rsidRPr="00813AEE">
        <w:rPr>
          <w:rFonts w:ascii="Book Antiqua" w:eastAsiaTheme="minorEastAsia" w:hAnsi="Book Antiqua"/>
          <w:color w:val="000000" w:themeColor="text1"/>
          <w:sz w:val="24"/>
          <w:szCs w:val="24"/>
        </w:rPr>
        <w:lastRenderedPageBreak/>
        <w:t xml:space="preserve">facilitate the application of quantitative </w:t>
      </w:r>
      <w:bookmarkStart w:id="111" w:name="OLE_LINK74"/>
      <w:bookmarkStart w:id="112" w:name="OLE_LINK76"/>
      <w:r w:rsidRPr="00813AEE">
        <w:rPr>
          <w:rFonts w:ascii="Book Antiqua" w:eastAsiaTheme="minorEastAsia" w:hAnsi="Book Antiqua"/>
          <w:color w:val="000000" w:themeColor="text1"/>
          <w:sz w:val="24"/>
          <w:szCs w:val="24"/>
        </w:rPr>
        <w:t>DW-MR</w:t>
      </w:r>
      <w:r w:rsidR="004A5937">
        <w:rPr>
          <w:rFonts w:ascii="Book Antiqua" w:eastAsiaTheme="minorEastAsia" w:hAnsi="Book Antiqua"/>
          <w:color w:val="000000" w:themeColor="text1"/>
          <w:sz w:val="24"/>
          <w:szCs w:val="24"/>
        </w:rPr>
        <w:t>E</w:t>
      </w:r>
      <w:bookmarkEnd w:id="111"/>
      <w:bookmarkEnd w:id="112"/>
      <w:r w:rsidRPr="00813AEE">
        <w:rPr>
          <w:rFonts w:ascii="Book Antiqua" w:eastAsiaTheme="minorEastAsia" w:hAnsi="Book Antiqua"/>
          <w:color w:val="000000" w:themeColor="text1"/>
          <w:sz w:val="24"/>
          <w:szCs w:val="24"/>
        </w:rPr>
        <w:t xml:space="preserve"> into the clinical routine.</w:t>
      </w:r>
    </w:p>
    <w:p w14:paraId="3979E67E" w14:textId="77777777"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p>
    <w:p w14:paraId="6EC3EA49"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motivation</w:t>
      </w:r>
    </w:p>
    <w:p w14:paraId="29FD6EB5" w14:textId="2441006A" w:rsidR="001E5890" w:rsidRPr="00813AEE" w:rsidRDefault="001E5890"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 xml:space="preserve">DWI has shown </w:t>
      </w:r>
      <w:r w:rsidR="008D4AFF">
        <w:rPr>
          <w:rFonts w:ascii="Book Antiqua" w:eastAsiaTheme="minorEastAsia" w:hAnsi="Book Antiqua"/>
          <w:color w:val="000000" w:themeColor="text1"/>
          <w:sz w:val="24"/>
          <w:szCs w:val="24"/>
        </w:rPr>
        <w:t xml:space="preserve">a </w:t>
      </w:r>
      <w:r w:rsidRPr="00813AEE">
        <w:rPr>
          <w:rFonts w:ascii="Book Antiqua" w:eastAsiaTheme="minorEastAsia" w:hAnsi="Book Antiqua"/>
          <w:color w:val="000000" w:themeColor="text1"/>
          <w:sz w:val="24"/>
          <w:szCs w:val="24"/>
        </w:rPr>
        <w:t xml:space="preserve">superb potential as </w:t>
      </w:r>
      <w:r w:rsidR="008D4AFF">
        <w:rPr>
          <w:rFonts w:ascii="Book Antiqua" w:eastAsiaTheme="minorEastAsia" w:hAnsi="Book Antiqua"/>
          <w:color w:val="000000" w:themeColor="text1"/>
          <w:sz w:val="24"/>
          <w:szCs w:val="24"/>
        </w:rPr>
        <w:t>a</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quantitative modality for CD evaluation. The characterization of reader agreement and variability with quantitative DWI parameters is imperative before such parameters are to be incorporated into clinical practice. Therefore, it is necessary to investigate the level of measurement reproducibility of quantitative DWI parameters.</w:t>
      </w:r>
    </w:p>
    <w:p w14:paraId="3096E5D2" w14:textId="77777777" w:rsidR="002A4025" w:rsidRPr="00813AEE" w:rsidRDefault="002A4025" w:rsidP="00813AEE">
      <w:pPr>
        <w:adjustRightInd w:val="0"/>
        <w:snapToGrid w:val="0"/>
        <w:spacing w:line="360" w:lineRule="auto"/>
        <w:rPr>
          <w:rFonts w:ascii="Book Antiqua" w:eastAsiaTheme="minorEastAsia" w:hAnsi="Book Antiqua"/>
          <w:b/>
          <w:color w:val="000000" w:themeColor="text1"/>
          <w:sz w:val="24"/>
          <w:szCs w:val="24"/>
        </w:rPr>
      </w:pPr>
    </w:p>
    <w:p w14:paraId="27FB8587"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objectives</w:t>
      </w:r>
    </w:p>
    <w:p w14:paraId="078BB703" w14:textId="6CB997B4" w:rsidR="001E5890" w:rsidRPr="00813AEE" w:rsidRDefault="001E5890"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This study aimed to explore intra and interobserver reproducibility of quantitative analysis for </w:t>
      </w:r>
      <w:r w:rsidR="004A5937" w:rsidRPr="00813AEE">
        <w:rPr>
          <w:rFonts w:ascii="Book Antiqua" w:eastAsiaTheme="minorEastAsia" w:hAnsi="Book Antiqua"/>
          <w:color w:val="000000" w:themeColor="text1"/>
          <w:sz w:val="24"/>
          <w:szCs w:val="24"/>
        </w:rPr>
        <w:t>DW-MR</w:t>
      </w:r>
      <w:r w:rsidR="004A5937">
        <w:rPr>
          <w:rFonts w:ascii="Book Antiqua" w:eastAsiaTheme="minorEastAsia" w:hAnsi="Book Antiqua"/>
          <w:color w:val="000000" w:themeColor="text1"/>
          <w:sz w:val="24"/>
          <w:szCs w:val="24"/>
        </w:rPr>
        <w:t>E</w:t>
      </w:r>
      <w:r w:rsidRPr="00813AEE">
        <w:rPr>
          <w:rFonts w:ascii="Book Antiqua" w:hAnsi="Book Antiqua"/>
          <w:color w:val="000000" w:themeColor="text1"/>
          <w:sz w:val="24"/>
          <w:szCs w:val="24"/>
        </w:rPr>
        <w:t xml:space="preserve"> in CD, and then to assess the diagnosis efficiency of quantitative parameters for the evaluation of CD.</w:t>
      </w:r>
    </w:p>
    <w:p w14:paraId="7F0A6175" w14:textId="77777777" w:rsidR="001E5890" w:rsidRPr="00813AEE" w:rsidRDefault="001E5890" w:rsidP="00813AEE">
      <w:pPr>
        <w:adjustRightInd w:val="0"/>
        <w:snapToGrid w:val="0"/>
        <w:spacing w:line="360" w:lineRule="auto"/>
        <w:rPr>
          <w:rFonts w:ascii="Book Antiqua" w:eastAsiaTheme="minorEastAsia" w:hAnsi="Book Antiqua"/>
          <w:b/>
          <w:color w:val="000000" w:themeColor="text1"/>
          <w:sz w:val="24"/>
          <w:szCs w:val="24"/>
        </w:rPr>
      </w:pPr>
    </w:p>
    <w:p w14:paraId="264599CF"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t>Research methods</w:t>
      </w:r>
    </w:p>
    <w:p w14:paraId="04A64C43" w14:textId="43D70014" w:rsidR="004941F3" w:rsidRPr="00813AEE" w:rsidRDefault="004941F3"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hAnsi="Book Antiqua"/>
          <w:color w:val="000000" w:themeColor="text1"/>
          <w:sz w:val="24"/>
          <w:szCs w:val="24"/>
        </w:rPr>
        <w:t>Forty-four subjects (21 diagnosed with CD</w:t>
      </w:r>
      <w:r w:rsidR="008D4AF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and 23 normal control subjects) who </w:t>
      </w:r>
      <w:r w:rsidR="008D4AFF" w:rsidRPr="00813AEE">
        <w:rPr>
          <w:rFonts w:ascii="Book Antiqua" w:hAnsi="Book Antiqua"/>
          <w:color w:val="000000" w:themeColor="text1"/>
          <w:sz w:val="24"/>
          <w:szCs w:val="24"/>
        </w:rPr>
        <w:t>under</w:t>
      </w:r>
      <w:r w:rsidR="008D4AFF">
        <w:rPr>
          <w:rFonts w:ascii="Book Antiqua" w:hAnsi="Book Antiqua"/>
          <w:color w:val="000000" w:themeColor="text1"/>
          <w:sz w:val="24"/>
          <w:szCs w:val="24"/>
        </w:rPr>
        <w:t>went</w:t>
      </w:r>
      <w:r w:rsidR="008D4AFF"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ileocolonoscopy and </w:t>
      </w:r>
      <w:r w:rsidR="004A5937">
        <w:rPr>
          <w:rFonts w:ascii="Book Antiqua" w:hAnsi="Book Antiqua"/>
          <w:color w:val="000000" w:themeColor="text1"/>
          <w:sz w:val="24"/>
          <w:szCs w:val="24"/>
        </w:rPr>
        <w:t>DW-MRE</w:t>
      </w:r>
      <w:r w:rsidRPr="00813AEE">
        <w:rPr>
          <w:rFonts w:ascii="Book Antiqua" w:hAnsi="Book Antiqua"/>
          <w:color w:val="000000" w:themeColor="text1"/>
          <w:sz w:val="24"/>
          <w:szCs w:val="24"/>
        </w:rPr>
        <w:t xml:space="preserve">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within one week were included. Two radiologists, blinded to clinical details as well as endoscopy results, measured the signal intensity (SI) of the terminal ileum and ipsilateral psoas muscle on DWI with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Separately and simultaneously, apparent diffusion coefficients (ADC) of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were recorded. </w:t>
      </w:r>
      <w:bookmarkStart w:id="113" w:name="OLE_LINK79"/>
      <w:bookmarkStart w:id="114" w:name="OLE_LINK80"/>
      <w:r w:rsidRPr="00813AEE">
        <w:rPr>
          <w:rFonts w:ascii="Book Antiqua" w:hAnsi="Book Antiqua"/>
          <w:color w:val="000000" w:themeColor="text1"/>
          <w:sz w:val="24"/>
          <w:szCs w:val="24"/>
        </w:rPr>
        <w:t>Then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SI of ipsilateral psoas muscle on DWI with b = 800 s/mm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 xml:space="preserve"> was also measured by placing a larger oval ROI. Signal intensity ratio (SR) of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terminal ileum to ipsilateral psoas muscle was calculated according</w:t>
      </w:r>
      <w:r w:rsidR="003E2D37">
        <w:rPr>
          <w:rFonts w:ascii="Book Antiqua" w:hAnsi="Book Antiqua"/>
          <w:color w:val="000000" w:themeColor="text1"/>
          <w:sz w:val="24"/>
          <w:szCs w:val="24"/>
        </w:rPr>
        <w:t xml:space="preserve"> to the equation: SR = SI</w:t>
      </w:r>
      <w:r w:rsidR="003E2D37" w:rsidRPr="003E2D37">
        <w:rPr>
          <w:rFonts w:ascii="Book Antiqua" w:hAnsi="Book Antiqua"/>
          <w:color w:val="000000" w:themeColor="text1"/>
          <w:sz w:val="24"/>
          <w:szCs w:val="24"/>
          <w:vertAlign w:val="subscript"/>
        </w:rPr>
        <w:t>ileum</w:t>
      </w:r>
      <w:r w:rsidR="003E2D37">
        <w:rPr>
          <w:rFonts w:ascii="Book Antiqua" w:hAnsi="Book Antiqua"/>
          <w:color w:val="000000" w:themeColor="text1"/>
          <w:sz w:val="24"/>
          <w:szCs w:val="24"/>
        </w:rPr>
        <w:t>/SI</w:t>
      </w:r>
      <w:r w:rsidRPr="003E2D37">
        <w:rPr>
          <w:rFonts w:ascii="Book Antiqua" w:hAnsi="Book Antiqua"/>
          <w:color w:val="000000" w:themeColor="text1"/>
          <w:sz w:val="24"/>
          <w:szCs w:val="24"/>
          <w:vertAlign w:val="subscript"/>
        </w:rPr>
        <w:t>muscle</w:t>
      </w:r>
      <w:r w:rsidRPr="00813AEE">
        <w:rPr>
          <w:rFonts w:ascii="Book Antiqua" w:hAnsi="Book Antiqua"/>
          <w:color w:val="000000" w:themeColor="text1"/>
          <w:sz w:val="24"/>
          <w:szCs w:val="24"/>
        </w:rPr>
        <w:t>. After a washout period of 4 weeks, the same two radiologists repeated the above described measurements to assess intraobserver agreement.</w:t>
      </w:r>
      <w:bookmarkEnd w:id="113"/>
      <w:bookmarkEnd w:id="114"/>
      <w:r w:rsidRPr="00813AEE">
        <w:rPr>
          <w:rFonts w:ascii="Book Antiqua" w:hAnsi="Book Antiqua"/>
          <w:color w:val="000000" w:themeColor="text1"/>
          <w:sz w:val="24"/>
          <w:szCs w:val="24"/>
        </w:rPr>
        <w:t xml:space="preserve"> Between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sidR="008D4AFF" w:rsidRPr="00813AEE">
        <w:rPr>
          <w:rFonts w:ascii="Book Antiqua" w:hAnsi="Book Antiqua"/>
          <w:color w:val="000000" w:themeColor="text1"/>
          <w:sz w:val="24"/>
          <w:szCs w:val="24"/>
        </w:rPr>
        <w:t>within</w:t>
      </w:r>
      <w:r w:rsidR="008D4AFF">
        <w:rPr>
          <w:rFonts w:ascii="Book Antiqua" w:hAnsi="Book Antiqua"/>
          <w:color w:val="000000" w:themeColor="text1"/>
          <w:sz w:val="24"/>
          <w:szCs w:val="24"/>
        </w:rPr>
        <w:t>-</w:t>
      </w:r>
      <w:r w:rsidRPr="00813AEE">
        <w:rPr>
          <w:rFonts w:ascii="Book Antiqua" w:hAnsi="Book Antiqua"/>
          <w:color w:val="000000" w:themeColor="text1"/>
          <w:sz w:val="24"/>
          <w:szCs w:val="24"/>
        </w:rPr>
        <w:t>reader agreements were assessed using intraclass correlation coefficients (ICC), coefficients of variation (CoV), and</w:t>
      </w:r>
      <w:r w:rsidR="008D4AFF">
        <w:rPr>
          <w:rFonts w:ascii="Book Antiqua" w:hAnsi="Book Antiqua"/>
          <w:color w:val="000000" w:themeColor="text1"/>
          <w:sz w:val="24"/>
          <w:szCs w:val="24"/>
        </w:rPr>
        <w:t xml:space="preserve"> </w:t>
      </w:r>
      <w:r w:rsidRPr="00813AEE">
        <w:rPr>
          <w:rFonts w:ascii="Book Antiqua" w:hAnsi="Book Antiqua"/>
          <w:color w:val="000000" w:themeColor="text1"/>
          <w:sz w:val="24"/>
          <w:szCs w:val="24"/>
        </w:rPr>
        <w:t>95% limits of agreement</w:t>
      </w:r>
      <w:r w:rsidR="008D4AFF" w:rsidRPr="008D4AFF">
        <w:rPr>
          <w:rFonts w:ascii="Book Antiqua" w:hAnsi="Book Antiqua"/>
          <w:color w:val="000000" w:themeColor="text1"/>
          <w:sz w:val="24"/>
          <w:szCs w:val="24"/>
        </w:rPr>
        <w:t xml:space="preserve"> </w:t>
      </w:r>
      <w:r w:rsidR="008D4AFF">
        <w:rPr>
          <w:rFonts w:ascii="Book Antiqua" w:hAnsi="Book Antiqua"/>
          <w:color w:val="000000" w:themeColor="text1"/>
          <w:sz w:val="24"/>
          <w:szCs w:val="24"/>
        </w:rPr>
        <w:t xml:space="preserve">of </w:t>
      </w:r>
      <w:r w:rsidR="008D4AFF" w:rsidRPr="00813AEE">
        <w:rPr>
          <w:rFonts w:ascii="Book Antiqua" w:hAnsi="Book Antiqua"/>
          <w:color w:val="000000" w:themeColor="text1"/>
          <w:sz w:val="24"/>
          <w:szCs w:val="24"/>
        </w:rPr>
        <w:t>Bland-Altman plots</w:t>
      </w:r>
      <w:r w:rsidRPr="00813AEE">
        <w:rPr>
          <w:rFonts w:ascii="Book Antiqua" w:hAnsi="Book Antiqua"/>
          <w:color w:val="000000" w:themeColor="text1"/>
          <w:sz w:val="24"/>
          <w:szCs w:val="24"/>
        </w:rPr>
        <w:t xml:space="preserve"> (BA-LA LoA). Diagnostic performances of ADC and SR for identifying inflamed terminal ileum from </w:t>
      </w:r>
      <w:r w:rsidR="008D4AFF">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normal were evaluated by receiver operating characteristic (ROC) curve</w:t>
      </w:r>
      <w:r w:rsidR="008D4AFF">
        <w:rPr>
          <w:rFonts w:ascii="Book Antiqua" w:hAnsi="Book Antiqua"/>
          <w:color w:val="000000" w:themeColor="text1"/>
          <w:sz w:val="24"/>
          <w:szCs w:val="24"/>
        </w:rPr>
        <w:t xml:space="preserve"> analysis</w:t>
      </w:r>
      <w:r w:rsidRPr="00813AEE">
        <w:rPr>
          <w:rFonts w:ascii="Book Antiqua" w:hAnsi="Book Antiqua"/>
          <w:color w:val="000000" w:themeColor="text1"/>
          <w:sz w:val="24"/>
          <w:szCs w:val="24"/>
        </w:rPr>
        <w:t>.</w:t>
      </w:r>
    </w:p>
    <w:p w14:paraId="11FD5D75" w14:textId="77777777" w:rsidR="002A4025" w:rsidRPr="00813AEE" w:rsidRDefault="002A4025" w:rsidP="00813AEE">
      <w:pPr>
        <w:adjustRightInd w:val="0"/>
        <w:snapToGrid w:val="0"/>
        <w:spacing w:line="360" w:lineRule="auto"/>
        <w:rPr>
          <w:rFonts w:ascii="Book Antiqua" w:eastAsiaTheme="minorEastAsia" w:hAnsi="Book Antiqua"/>
          <w:b/>
          <w:color w:val="000000" w:themeColor="text1"/>
          <w:sz w:val="24"/>
          <w:szCs w:val="24"/>
        </w:rPr>
      </w:pPr>
    </w:p>
    <w:p w14:paraId="3FF6FB9D" w14:textId="77777777" w:rsidR="002A4025" w:rsidRPr="00813AEE" w:rsidRDefault="002A4025" w:rsidP="00813AEE">
      <w:pPr>
        <w:adjustRightInd w:val="0"/>
        <w:snapToGrid w:val="0"/>
        <w:spacing w:line="360" w:lineRule="auto"/>
        <w:rPr>
          <w:rFonts w:ascii="Book Antiqua" w:hAnsi="Book Antiqua"/>
          <w:b/>
          <w:i/>
          <w:color w:val="000000" w:themeColor="text1"/>
          <w:sz w:val="24"/>
          <w:szCs w:val="24"/>
        </w:rPr>
      </w:pPr>
      <w:r w:rsidRPr="00813AEE">
        <w:rPr>
          <w:rFonts w:ascii="Book Antiqua" w:hAnsi="Book Antiqua"/>
          <w:b/>
          <w:i/>
          <w:color w:val="000000" w:themeColor="text1"/>
          <w:sz w:val="24"/>
          <w:szCs w:val="24"/>
        </w:rPr>
        <w:lastRenderedPageBreak/>
        <w:t>Research results</w:t>
      </w:r>
    </w:p>
    <w:p w14:paraId="29BED036" w14:textId="0DFE8CB8" w:rsidR="004941F3" w:rsidRPr="00813AEE" w:rsidRDefault="004941F3" w:rsidP="00813AEE">
      <w:pPr>
        <w:adjustRightInd w:val="0"/>
        <w:snapToGrid w:val="0"/>
        <w:spacing w:line="360" w:lineRule="auto"/>
        <w:rPr>
          <w:rFonts w:ascii="Book Antiqua" w:eastAsiaTheme="minorEastAsia" w:hAnsi="Book Antiqua"/>
          <w:color w:val="000000" w:themeColor="text1"/>
          <w:sz w:val="24"/>
          <w:szCs w:val="24"/>
        </w:rPr>
      </w:pPr>
      <w:r w:rsidRPr="00813AEE">
        <w:rPr>
          <w:rFonts w:ascii="Book Antiqua" w:eastAsiaTheme="minorEastAsia" w:hAnsi="Book Antiqua"/>
          <w:color w:val="000000" w:themeColor="text1"/>
          <w:sz w:val="24"/>
          <w:szCs w:val="24"/>
        </w:rPr>
        <w:t xml:space="preserve">There were no significant differences in quantitative DWI parameters (ADC and SR) between the two sessions or between the two radiologists either in the CD or control group (paired </w:t>
      </w:r>
      <w:r w:rsidR="008D4AFF" w:rsidRPr="007918CD">
        <w:rPr>
          <w:rFonts w:ascii="Book Antiqua" w:eastAsiaTheme="minorEastAsia" w:hAnsi="Book Antiqua"/>
          <w:i/>
          <w:color w:val="000000" w:themeColor="text1"/>
          <w:sz w:val="24"/>
          <w:szCs w:val="24"/>
        </w:rPr>
        <w:t>t</w:t>
      </w:r>
      <w:r w:rsidR="008D4AFF">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test</w:t>
      </w:r>
      <w:r w:rsidR="00880335">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i/>
          <w:color w:val="000000" w:themeColor="text1"/>
          <w:sz w:val="24"/>
          <w:szCs w:val="24"/>
        </w:rPr>
        <w:t>P</w:t>
      </w:r>
      <w:r w:rsidRPr="00813AEE">
        <w:rPr>
          <w:rFonts w:ascii="Book Antiqua" w:eastAsiaTheme="minorEastAsia" w:hAnsi="Book Antiqua"/>
          <w:color w:val="000000" w:themeColor="text1"/>
          <w:sz w:val="24"/>
          <w:szCs w:val="24"/>
        </w:rPr>
        <w:t xml:space="preserve"> &gt;</w:t>
      </w:r>
      <w:r w:rsidR="004A5937">
        <w:rPr>
          <w:rFonts w:ascii="Book Antiqua" w:eastAsiaTheme="minorEastAsia" w:hAnsi="Book Antiqua" w:hint="eastAsia"/>
          <w:color w:val="000000" w:themeColor="text1"/>
          <w:sz w:val="24"/>
          <w:szCs w:val="24"/>
        </w:rPr>
        <w:t xml:space="preserve"> </w:t>
      </w:r>
      <w:r w:rsidRPr="00813AEE">
        <w:rPr>
          <w:rFonts w:ascii="Book Antiqua" w:eastAsiaTheme="minorEastAsia" w:hAnsi="Book Antiqua"/>
          <w:color w:val="000000" w:themeColor="text1"/>
          <w:sz w:val="24"/>
          <w:szCs w:val="24"/>
        </w:rPr>
        <w:t>0.05). The intra and interobserver reproducibility of ADC (ICC: 0.952-0.984</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CoV: 3.73</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-6.28</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BA-LA LoA: ±11.27% to ±15.88%) and SR (ICC: 0.969-0.989</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CoV: 3.51</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-4.64</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BA-LA LoA: ±10.62% to ±15.45%) was excellent for CD. Agreement of ADC measurements was slightly less in control subjects (ICC: 0.641-0.736</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CoV: 10.47</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-11.43</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 xml:space="preserve">BA-LA LoA: ±26.59% to ±30.83%). SR of </w:t>
      </w:r>
      <w:r w:rsidR="008D4AFF">
        <w:rPr>
          <w:rFonts w:ascii="Book Antiqua" w:eastAsiaTheme="minorEastAsia" w:hAnsi="Book Antiqua"/>
          <w:color w:val="000000" w:themeColor="text1"/>
          <w:sz w:val="24"/>
          <w:szCs w:val="24"/>
        </w:rPr>
        <w:t xml:space="preserve">the </w:t>
      </w:r>
      <w:r w:rsidRPr="00813AEE">
        <w:rPr>
          <w:rFonts w:ascii="Book Antiqua" w:eastAsiaTheme="minorEastAsia" w:hAnsi="Book Antiqua"/>
          <w:color w:val="000000" w:themeColor="text1"/>
          <w:sz w:val="24"/>
          <w:szCs w:val="24"/>
        </w:rPr>
        <w:t>normal terminal ileum demonstrated high intra and interobserver reproducibility (ICC: 0.944-0.974</w:t>
      </w:r>
      <w:r w:rsidR="008D4AFF">
        <w:rPr>
          <w:rFonts w:ascii="Book Antiqua" w:eastAsiaTheme="minorEastAsia" w:hAnsi="Book Antiqua"/>
          <w:color w:val="000000" w:themeColor="text1"/>
          <w:sz w:val="24"/>
          <w:szCs w:val="24"/>
        </w:rPr>
        <w:t>;</w:t>
      </w:r>
      <w:r w:rsidR="008D4AFF" w:rsidRPr="00813AEE">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CoV: 3.73</w:t>
      </w:r>
      <w:r w:rsidR="004A5937">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-6.28</w:t>
      </w:r>
      <w:r w:rsidR="008D4AFF" w:rsidRPr="00813AEE">
        <w:rPr>
          <w:rFonts w:ascii="Book Antiqua" w:eastAsiaTheme="minorEastAsia" w:hAnsi="Book Antiqua"/>
          <w:color w:val="000000" w:themeColor="text1"/>
          <w:sz w:val="24"/>
          <w:szCs w:val="24"/>
        </w:rPr>
        <w:t>%</w:t>
      </w:r>
      <w:r w:rsidR="008D4AFF">
        <w:rPr>
          <w:rFonts w:ascii="Book Antiqua" w:eastAsiaTheme="minorEastAsia" w:hAnsi="Book Antiqua"/>
          <w:color w:val="000000" w:themeColor="text1"/>
          <w:sz w:val="24"/>
          <w:szCs w:val="24"/>
        </w:rPr>
        <w:t xml:space="preserve">; </w:t>
      </w:r>
      <w:r w:rsidRPr="00813AEE">
        <w:rPr>
          <w:rFonts w:ascii="Book Antiqua" w:eastAsiaTheme="minorEastAsia" w:hAnsi="Book Antiqua"/>
          <w:color w:val="000000" w:themeColor="text1"/>
          <w:sz w:val="24"/>
          <w:szCs w:val="24"/>
        </w:rPr>
        <w:t>BA-LA LoA: ±18.58% to ±24.43%). The areas under the ROC curve for SR (reader 1: 0.981; reader 2: 0.988) were slightly better than those of ADC (reader 1: 0.923; reader 2: 0.929), but these differences were not statistically significant (</w:t>
      </w:r>
      <w:r w:rsidR="008D4AFF" w:rsidRPr="007918CD">
        <w:rPr>
          <w:rFonts w:ascii="Book Antiqua" w:eastAsiaTheme="minorEastAsia" w:hAnsi="Book Antiqua"/>
          <w:i/>
          <w:color w:val="000000" w:themeColor="text1"/>
          <w:sz w:val="24"/>
          <w:szCs w:val="24"/>
        </w:rPr>
        <w:t>P</w:t>
      </w:r>
      <w:r w:rsidR="008D4AFF">
        <w:rPr>
          <w:rFonts w:ascii="Book Antiqua" w:eastAsiaTheme="minorEastAsia" w:hAnsi="Book Antiqua"/>
          <w:color w:val="000000" w:themeColor="text1"/>
          <w:sz w:val="24"/>
          <w:szCs w:val="24"/>
        </w:rPr>
        <w:t>-</w:t>
      </w:r>
      <w:r w:rsidRPr="00813AEE">
        <w:rPr>
          <w:rFonts w:ascii="Book Antiqua" w:eastAsiaTheme="minorEastAsia" w:hAnsi="Book Antiqua"/>
          <w:color w:val="000000" w:themeColor="text1"/>
          <w:sz w:val="24"/>
          <w:szCs w:val="24"/>
        </w:rPr>
        <w:t>values: 0.117 for reader 1; 0.067 for reader 2). The cutoff values maximizing sensitivity and specificity for ADC and SR parameters were approximately 1.80 × 10</w:t>
      </w:r>
      <w:r w:rsidRPr="00813AEE">
        <w:rPr>
          <w:rFonts w:ascii="Book Antiqua" w:eastAsiaTheme="minorEastAsia" w:hAnsi="Book Antiqua"/>
          <w:color w:val="000000" w:themeColor="text1"/>
          <w:sz w:val="24"/>
          <w:szCs w:val="24"/>
          <w:vertAlign w:val="superscript"/>
        </w:rPr>
        <w:t>-3</w:t>
      </w:r>
      <w:r w:rsidRPr="00813AEE">
        <w:rPr>
          <w:rFonts w:ascii="Book Antiqua" w:eastAsiaTheme="minorEastAsia" w:hAnsi="Book Antiqua"/>
          <w:color w:val="000000" w:themeColor="text1"/>
          <w:sz w:val="24"/>
          <w:szCs w:val="24"/>
        </w:rPr>
        <w:t xml:space="preserve"> </w:t>
      </w:r>
      <w:r w:rsidRPr="00813AEE">
        <w:rPr>
          <w:rFonts w:ascii="Book Antiqua" w:hAnsi="Book Antiqua"/>
          <w:color w:val="000000" w:themeColor="text1"/>
          <w:sz w:val="24"/>
          <w:szCs w:val="24"/>
        </w:rPr>
        <w:t>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 and 2.00</w:t>
      </w:r>
      <w:r w:rsidR="008D4AFF">
        <w:rPr>
          <w:rFonts w:ascii="Book Antiqua" w:hAnsi="Book Antiqua"/>
          <w:color w:val="000000" w:themeColor="text1"/>
          <w:sz w:val="24"/>
          <w:szCs w:val="24"/>
        </w:rPr>
        <w:t>, respectively</w:t>
      </w:r>
      <w:r w:rsidRPr="00813AEE">
        <w:rPr>
          <w:rFonts w:ascii="Book Antiqua" w:hAnsi="Book Antiqua"/>
          <w:color w:val="000000" w:themeColor="text1"/>
          <w:sz w:val="24"/>
          <w:szCs w:val="24"/>
        </w:rPr>
        <w:t>.</w:t>
      </w:r>
      <w:r w:rsidRPr="00813AEE">
        <w:rPr>
          <w:rFonts w:ascii="Book Antiqua" w:eastAsiaTheme="minorEastAsia" w:hAnsi="Book Antiqua"/>
          <w:color w:val="000000" w:themeColor="text1"/>
          <w:sz w:val="24"/>
          <w:szCs w:val="24"/>
        </w:rPr>
        <w:t xml:space="preserve"> In addition,</w:t>
      </w:r>
      <w:r w:rsidRPr="00813AEE">
        <w:rPr>
          <w:rFonts w:ascii="Book Antiqua" w:hAnsi="Book Antiqua"/>
          <w:color w:val="000000" w:themeColor="text1"/>
          <w:sz w:val="24"/>
          <w:szCs w:val="24"/>
        </w:rPr>
        <w:t xml:space="preserve"> </w:t>
      </w:r>
      <w:r w:rsidRPr="00813AEE">
        <w:rPr>
          <w:rFonts w:ascii="Book Antiqua" w:eastAsiaTheme="minorEastAsia" w:hAnsi="Book Antiqua"/>
          <w:color w:val="000000" w:themeColor="text1"/>
          <w:sz w:val="24"/>
          <w:szCs w:val="24"/>
        </w:rPr>
        <w:t>SR was moderately and negatively correlated with ADC values in CD patients for both readers (</w:t>
      </w:r>
      <w:bookmarkStart w:id="115" w:name="OLE_LINK96"/>
      <w:r w:rsidRPr="00813AEE">
        <w:rPr>
          <w:rFonts w:ascii="Book Antiqua" w:eastAsiaTheme="minorEastAsia" w:hAnsi="Book Antiqua"/>
          <w:color w:val="000000" w:themeColor="text1"/>
          <w:sz w:val="24"/>
          <w:szCs w:val="24"/>
        </w:rPr>
        <w:t xml:space="preserve">reader </w:t>
      </w:r>
      <w:bookmarkEnd w:id="115"/>
      <w:r w:rsidRPr="00813AEE">
        <w:rPr>
          <w:rFonts w:ascii="Book Antiqua" w:eastAsiaTheme="minorEastAsia" w:hAnsi="Book Antiqua"/>
          <w:color w:val="000000" w:themeColor="text1"/>
          <w:sz w:val="24"/>
          <w:szCs w:val="24"/>
        </w:rPr>
        <w:t xml:space="preserve">1: </w:t>
      </w:r>
      <w:r w:rsidRPr="007918CD">
        <w:rPr>
          <w:rFonts w:ascii="Book Antiqua" w:eastAsiaTheme="minorEastAsia" w:hAnsi="Book Antiqua"/>
          <w:i/>
          <w:color w:val="000000" w:themeColor="text1"/>
          <w:sz w:val="24"/>
          <w:szCs w:val="24"/>
        </w:rPr>
        <w:t>r</w:t>
      </w:r>
      <w:r w:rsidRPr="00813AEE">
        <w:rPr>
          <w:rFonts w:ascii="Book Antiqua" w:eastAsiaTheme="minorEastAsia" w:hAnsi="Book Antiqua"/>
          <w:color w:val="000000" w:themeColor="text1"/>
          <w:sz w:val="24"/>
          <w:szCs w:val="24"/>
        </w:rPr>
        <w:t xml:space="preserve"> = - 0.438, </w:t>
      </w:r>
      <w:r w:rsidRPr="004A5937">
        <w:rPr>
          <w:rFonts w:ascii="Book Antiqua" w:eastAsiaTheme="minorEastAsia" w:hAnsi="Book Antiqua"/>
          <w:i/>
          <w:iCs/>
          <w:color w:val="000000" w:themeColor="text1"/>
          <w:sz w:val="24"/>
          <w:szCs w:val="24"/>
        </w:rPr>
        <w:t xml:space="preserve">P </w:t>
      </w:r>
      <w:r w:rsidRPr="00813AEE">
        <w:rPr>
          <w:rFonts w:ascii="Book Antiqua" w:eastAsiaTheme="minorEastAsia" w:hAnsi="Book Antiqua"/>
          <w:color w:val="000000" w:themeColor="text1"/>
          <w:sz w:val="24"/>
          <w:szCs w:val="24"/>
        </w:rPr>
        <w:t xml:space="preserve">= 0.047; reader 2: </w:t>
      </w:r>
      <w:r w:rsidRPr="007918CD">
        <w:rPr>
          <w:rFonts w:ascii="Book Antiqua" w:eastAsiaTheme="minorEastAsia" w:hAnsi="Book Antiqua"/>
          <w:i/>
          <w:color w:val="000000" w:themeColor="text1"/>
          <w:sz w:val="24"/>
          <w:szCs w:val="24"/>
        </w:rPr>
        <w:t>r</w:t>
      </w:r>
      <w:r w:rsidRPr="00813AEE">
        <w:rPr>
          <w:rFonts w:ascii="Book Antiqua" w:eastAsiaTheme="minorEastAsia" w:hAnsi="Book Antiqua"/>
          <w:color w:val="000000" w:themeColor="text1"/>
          <w:sz w:val="24"/>
          <w:szCs w:val="24"/>
        </w:rPr>
        <w:t xml:space="preserve"> = - 0.485, </w:t>
      </w:r>
      <w:r w:rsidRPr="004A5937">
        <w:rPr>
          <w:rFonts w:ascii="Book Antiqua" w:eastAsiaTheme="minorEastAsia" w:hAnsi="Book Antiqua"/>
          <w:i/>
          <w:iCs/>
          <w:color w:val="000000" w:themeColor="text1"/>
          <w:sz w:val="24"/>
          <w:szCs w:val="24"/>
        </w:rPr>
        <w:t xml:space="preserve">P </w:t>
      </w:r>
      <w:r w:rsidRPr="00813AEE">
        <w:rPr>
          <w:rFonts w:ascii="Book Antiqua" w:eastAsiaTheme="minorEastAsia" w:hAnsi="Book Antiqua"/>
          <w:color w:val="000000" w:themeColor="text1"/>
          <w:sz w:val="24"/>
          <w:szCs w:val="24"/>
        </w:rPr>
        <w:t>= 0.026).</w:t>
      </w:r>
    </w:p>
    <w:p w14:paraId="3358109E" w14:textId="77777777" w:rsidR="002A4025" w:rsidRPr="00813AEE" w:rsidRDefault="002A4025"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p>
    <w:p w14:paraId="2BF141A8" w14:textId="11310F92" w:rsidR="004941F3" w:rsidRPr="00813AEE" w:rsidRDefault="002A4025" w:rsidP="00813AEE">
      <w:pPr>
        <w:adjustRightInd w:val="0"/>
        <w:snapToGrid w:val="0"/>
        <w:spacing w:line="360" w:lineRule="auto"/>
        <w:rPr>
          <w:rFonts w:ascii="Book Antiqua" w:hAnsi="Book Antiqua" w:cs="Segoe UI"/>
          <w:b/>
          <w:i/>
          <w:color w:val="000000" w:themeColor="text1"/>
          <w:sz w:val="24"/>
          <w:szCs w:val="24"/>
          <w:shd w:val="clear" w:color="auto" w:fill="FFFFFF"/>
        </w:rPr>
      </w:pPr>
      <w:r w:rsidRPr="00813AEE">
        <w:rPr>
          <w:rFonts w:ascii="Book Antiqua" w:hAnsi="Book Antiqua"/>
          <w:b/>
          <w:i/>
          <w:color w:val="000000" w:themeColor="text1"/>
          <w:sz w:val="24"/>
          <w:szCs w:val="24"/>
        </w:rPr>
        <w:t>Research conclusions</w:t>
      </w:r>
    </w:p>
    <w:p w14:paraId="6170A3DE" w14:textId="3C4DBD19" w:rsidR="004941F3" w:rsidRPr="00813AEE" w:rsidRDefault="004941F3"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r w:rsidRPr="00813AEE">
        <w:rPr>
          <w:rFonts w:ascii="Book Antiqua" w:eastAsiaTheme="minorEastAsia" w:hAnsi="Book Antiqua" w:cs="Segoe UI"/>
          <w:color w:val="000000" w:themeColor="text1"/>
          <w:sz w:val="24"/>
          <w:szCs w:val="24"/>
          <w:shd w:val="clear" w:color="auto" w:fill="FFFFFF"/>
        </w:rPr>
        <w:t xml:space="preserve">From this study, the intra and interobserver agreements of </w:t>
      </w:r>
      <w:r w:rsidRPr="00813AEE">
        <w:rPr>
          <w:rFonts w:ascii="Book Antiqua" w:hAnsi="Book Antiqua"/>
          <w:color w:val="000000" w:themeColor="text1"/>
          <w:sz w:val="24"/>
          <w:szCs w:val="24"/>
        </w:rPr>
        <w:t xml:space="preserve">quantitative ADC and SR analysis from </w:t>
      </w:r>
      <w:r w:rsidR="004A5937">
        <w:rPr>
          <w:rFonts w:ascii="Book Antiqua" w:hAnsi="Book Antiqua"/>
          <w:color w:val="000000" w:themeColor="text1"/>
          <w:sz w:val="24"/>
          <w:szCs w:val="24"/>
        </w:rPr>
        <w:t>DW-MRE</w:t>
      </w:r>
      <w:r w:rsidRPr="00813AEE">
        <w:rPr>
          <w:rFonts w:ascii="Book Antiqua" w:hAnsi="Book Antiqua"/>
          <w:color w:val="000000" w:themeColor="text1"/>
          <w:sz w:val="24"/>
          <w:szCs w:val="24"/>
        </w:rPr>
        <w:t xml:space="preserve"> images were found to be good or excellent. Both the ADC and SR demonstrated high diagnostic yield for distinguishing inflamed terminal ileum in CD patients from the normal.</w:t>
      </w:r>
      <w:r w:rsidR="006725E5">
        <w:rPr>
          <w:rFonts w:ascii="Book Antiqua" w:hAnsi="Book Antiqua"/>
          <w:color w:val="000000" w:themeColor="text1"/>
          <w:sz w:val="24"/>
          <w:szCs w:val="24"/>
        </w:rPr>
        <w:t xml:space="preserve"> </w:t>
      </w:r>
      <w:r w:rsidR="00484AE0" w:rsidRPr="00813AEE">
        <w:rPr>
          <w:rFonts w:ascii="Book Antiqua" w:hAnsi="Book Antiqua"/>
          <w:color w:val="000000" w:themeColor="text1"/>
          <w:sz w:val="24"/>
          <w:szCs w:val="24"/>
        </w:rPr>
        <w:t>A</w:t>
      </w:r>
      <w:r w:rsidRPr="00813AEE">
        <w:rPr>
          <w:rFonts w:ascii="Book Antiqua" w:hAnsi="Book Antiqua"/>
          <w:color w:val="000000" w:themeColor="text1"/>
          <w:sz w:val="24"/>
          <w:szCs w:val="24"/>
        </w:rPr>
        <w:t>ddition</w:t>
      </w:r>
      <w:r w:rsidR="00484AE0" w:rsidRPr="00813AEE">
        <w:rPr>
          <w:rFonts w:ascii="Book Antiqua" w:hAnsi="Book Antiqua"/>
          <w:color w:val="000000" w:themeColor="text1"/>
          <w:sz w:val="24"/>
          <w:szCs w:val="24"/>
        </w:rPr>
        <w:t>ly</w:t>
      </w:r>
      <w:r w:rsidRPr="00813AEE">
        <w:rPr>
          <w:rFonts w:ascii="Book Antiqua" w:hAnsi="Book Antiqua"/>
          <w:color w:val="000000" w:themeColor="text1"/>
          <w:sz w:val="24"/>
          <w:szCs w:val="24"/>
        </w:rPr>
        <w:t xml:space="preserve">, SR demonstrated moderately negative correlations with ADC in CD patients, </w:t>
      </w:r>
      <w:r w:rsidR="006725E5">
        <w:rPr>
          <w:rFonts w:ascii="Book Antiqua" w:hAnsi="Book Antiqua"/>
          <w:color w:val="000000" w:themeColor="text1"/>
          <w:sz w:val="24"/>
          <w:szCs w:val="24"/>
        </w:rPr>
        <w:t xml:space="preserve">and </w:t>
      </w:r>
      <w:r w:rsidRPr="00813AEE">
        <w:rPr>
          <w:rFonts w:ascii="Book Antiqua" w:hAnsi="Book Antiqua"/>
          <w:color w:val="000000" w:themeColor="text1"/>
          <w:sz w:val="24"/>
          <w:szCs w:val="24"/>
        </w:rPr>
        <w:t xml:space="preserve">could also represent the diffusion condition of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terminal ileum. </w:t>
      </w:r>
      <w:r w:rsidR="006725E5" w:rsidRPr="00813AEE">
        <w:rPr>
          <w:rFonts w:ascii="Book Antiqua" w:hAnsi="Book Antiqua"/>
          <w:color w:val="000000" w:themeColor="text1"/>
          <w:sz w:val="24"/>
          <w:szCs w:val="24"/>
        </w:rPr>
        <w:t>There</w:t>
      </w:r>
      <w:r w:rsidR="006725E5">
        <w:rPr>
          <w:rFonts w:ascii="Book Antiqua" w:hAnsi="Book Antiqua"/>
          <w:color w:val="000000" w:themeColor="text1"/>
          <w:sz w:val="24"/>
          <w:szCs w:val="24"/>
        </w:rPr>
        <w:t>fore</w:t>
      </w:r>
      <w:r w:rsidRPr="00813AEE">
        <w:rPr>
          <w:rFonts w:ascii="Book Antiqua" w:hAnsi="Book Antiqua"/>
          <w:color w:val="000000" w:themeColor="text1"/>
          <w:sz w:val="24"/>
          <w:szCs w:val="24"/>
        </w:rPr>
        <w:t>, ADC value or SR could serve as robust and efficient biomarkers to aid in the noninvasive evaluation of CD.</w:t>
      </w:r>
    </w:p>
    <w:p w14:paraId="07B5D121" w14:textId="77777777" w:rsidR="002A4025" w:rsidRPr="00813AEE" w:rsidRDefault="002A4025" w:rsidP="00813AEE">
      <w:pPr>
        <w:adjustRightInd w:val="0"/>
        <w:snapToGrid w:val="0"/>
        <w:spacing w:line="360" w:lineRule="auto"/>
        <w:rPr>
          <w:rFonts w:ascii="Book Antiqua" w:eastAsiaTheme="minorEastAsia" w:hAnsi="Book Antiqua" w:cs="Segoe UI"/>
          <w:color w:val="000000" w:themeColor="text1"/>
          <w:sz w:val="24"/>
          <w:szCs w:val="24"/>
          <w:shd w:val="clear" w:color="auto" w:fill="FFFFFF"/>
        </w:rPr>
      </w:pPr>
    </w:p>
    <w:p w14:paraId="652497A2" w14:textId="77777777" w:rsidR="002A4025" w:rsidRPr="00813AEE" w:rsidRDefault="002A4025" w:rsidP="00813AEE">
      <w:pPr>
        <w:adjustRightInd w:val="0"/>
        <w:snapToGrid w:val="0"/>
        <w:spacing w:line="360" w:lineRule="auto"/>
        <w:rPr>
          <w:rFonts w:ascii="Book Antiqua" w:hAnsi="Book Antiqua" w:cs="Segoe UI"/>
          <w:b/>
          <w:i/>
          <w:color w:val="000000" w:themeColor="text1"/>
          <w:sz w:val="24"/>
          <w:szCs w:val="24"/>
          <w:shd w:val="clear" w:color="auto" w:fill="FFFFFF"/>
        </w:rPr>
      </w:pPr>
      <w:r w:rsidRPr="00813AEE">
        <w:rPr>
          <w:rFonts w:ascii="Book Antiqua" w:hAnsi="Book Antiqua" w:cs="Segoe UI"/>
          <w:b/>
          <w:i/>
          <w:color w:val="000000" w:themeColor="text1"/>
          <w:sz w:val="24"/>
          <w:szCs w:val="24"/>
          <w:shd w:val="clear" w:color="auto" w:fill="FFFFFF"/>
        </w:rPr>
        <w:t>Research perspectives</w:t>
      </w:r>
    </w:p>
    <w:p w14:paraId="39ACFBAC" w14:textId="69DB1365" w:rsidR="004941F3" w:rsidRPr="00813AEE" w:rsidRDefault="004941F3" w:rsidP="00813AEE">
      <w:pPr>
        <w:adjustRightInd w:val="0"/>
        <w:snapToGrid w:val="0"/>
        <w:spacing w:line="360" w:lineRule="auto"/>
        <w:rPr>
          <w:rFonts w:ascii="Book Antiqua" w:hAnsi="Book Antiqua" w:cs="Segoe UI"/>
          <w:color w:val="000000" w:themeColor="text1"/>
          <w:sz w:val="24"/>
          <w:szCs w:val="24"/>
          <w:shd w:val="clear" w:color="auto" w:fill="FFFFFF"/>
        </w:rPr>
      </w:pPr>
      <w:r w:rsidRPr="00813AEE">
        <w:rPr>
          <w:rFonts w:ascii="Book Antiqua" w:hAnsi="Book Antiqua" w:cs="Segoe UI"/>
          <w:color w:val="000000" w:themeColor="text1"/>
          <w:sz w:val="24"/>
          <w:szCs w:val="24"/>
          <w:shd w:val="clear" w:color="auto" w:fill="FFFFFF"/>
        </w:rPr>
        <w:t xml:space="preserve">Quantitative ADC and SR values derived from </w:t>
      </w:r>
      <w:r w:rsidR="004A5937">
        <w:rPr>
          <w:rFonts w:ascii="Book Antiqua" w:hAnsi="Book Antiqua" w:cs="Segoe UI"/>
          <w:color w:val="000000" w:themeColor="text1"/>
          <w:sz w:val="24"/>
          <w:szCs w:val="24"/>
          <w:shd w:val="clear" w:color="auto" w:fill="FFFFFF"/>
        </w:rPr>
        <w:t>DW-MRE</w:t>
      </w:r>
      <w:r w:rsidRPr="00813AEE">
        <w:rPr>
          <w:rFonts w:ascii="Book Antiqua" w:hAnsi="Book Antiqua" w:cs="Segoe UI"/>
          <w:color w:val="000000" w:themeColor="text1"/>
          <w:sz w:val="24"/>
          <w:szCs w:val="24"/>
          <w:shd w:val="clear" w:color="auto" w:fill="FFFFFF"/>
        </w:rPr>
        <w:t xml:space="preserve"> achieved good to excellent intra and interobserver agreement</w:t>
      </w:r>
      <w:r w:rsidR="006725E5">
        <w:rPr>
          <w:rFonts w:ascii="Book Antiqua" w:hAnsi="Book Antiqua" w:cs="Segoe UI"/>
          <w:color w:val="000000" w:themeColor="text1"/>
          <w:sz w:val="24"/>
          <w:szCs w:val="24"/>
          <w:shd w:val="clear" w:color="auto" w:fill="FFFFFF"/>
        </w:rPr>
        <w:t>s</w:t>
      </w:r>
      <w:r w:rsidRPr="00813AEE">
        <w:rPr>
          <w:rFonts w:ascii="Book Antiqua" w:hAnsi="Book Antiqua" w:cs="Segoe UI"/>
          <w:color w:val="000000" w:themeColor="text1"/>
          <w:sz w:val="24"/>
          <w:szCs w:val="24"/>
          <w:shd w:val="clear" w:color="auto" w:fill="FFFFFF"/>
        </w:rPr>
        <w:t xml:space="preserve"> with high diagnostic accuracy</w:t>
      </w:r>
      <w:r w:rsidRPr="00813AEE">
        <w:rPr>
          <w:rFonts w:ascii="Book Antiqua" w:hAnsi="Book Antiqua"/>
          <w:color w:val="000000" w:themeColor="text1"/>
          <w:sz w:val="24"/>
          <w:szCs w:val="24"/>
        </w:rPr>
        <w:t xml:space="preserve"> </w:t>
      </w:r>
      <w:r w:rsidRPr="00813AEE">
        <w:rPr>
          <w:rFonts w:ascii="Book Antiqua" w:hAnsi="Book Antiqua" w:cs="Segoe UI"/>
          <w:color w:val="000000" w:themeColor="text1"/>
          <w:sz w:val="24"/>
          <w:szCs w:val="24"/>
          <w:shd w:val="clear" w:color="auto" w:fill="FFFFFF"/>
        </w:rPr>
        <w:t xml:space="preserve">based on this initial study. The further exploration of these quantitative parameters in the differentiation </w:t>
      </w:r>
      <w:r w:rsidRPr="00813AEE">
        <w:rPr>
          <w:rFonts w:ascii="Book Antiqua" w:hAnsi="Book Antiqua" w:cs="Segoe UI"/>
          <w:color w:val="000000" w:themeColor="text1"/>
          <w:sz w:val="24"/>
          <w:szCs w:val="24"/>
          <w:shd w:val="clear" w:color="auto" w:fill="FFFFFF"/>
        </w:rPr>
        <w:lastRenderedPageBreak/>
        <w:t>of CD stages and medical therapy assessment during CD course is worthwhile in the future study.</w:t>
      </w:r>
    </w:p>
    <w:p w14:paraId="65D7CF4F" w14:textId="77777777" w:rsidR="002A4025" w:rsidRPr="00813AEE" w:rsidRDefault="002A4025" w:rsidP="00813AEE">
      <w:pPr>
        <w:adjustRightInd w:val="0"/>
        <w:snapToGrid w:val="0"/>
        <w:spacing w:line="360" w:lineRule="auto"/>
        <w:rPr>
          <w:rFonts w:ascii="Book Antiqua" w:hAnsi="Book Antiqua"/>
          <w:b/>
          <w:color w:val="000000" w:themeColor="text1"/>
          <w:sz w:val="24"/>
          <w:szCs w:val="24"/>
        </w:rPr>
      </w:pPr>
    </w:p>
    <w:bookmarkEnd w:id="107"/>
    <w:bookmarkEnd w:id="108"/>
    <w:p w14:paraId="50587FBC" w14:textId="77777777" w:rsidR="009A16E2" w:rsidRPr="00813AEE" w:rsidRDefault="009A16E2" w:rsidP="009A16E2">
      <w:pPr>
        <w:autoSpaceDE w:val="0"/>
        <w:autoSpaceDN w:val="0"/>
        <w:adjustRightInd w:val="0"/>
        <w:snapToGrid w:val="0"/>
        <w:spacing w:line="360" w:lineRule="auto"/>
        <w:rPr>
          <w:rFonts w:ascii="Book Antiqua" w:hAnsi="Book Antiqua"/>
          <w:color w:val="000000" w:themeColor="text1"/>
          <w:sz w:val="24"/>
          <w:szCs w:val="24"/>
          <w:vertAlign w:val="superscript"/>
        </w:rPr>
      </w:pPr>
      <w:r w:rsidRPr="00813AEE">
        <w:rPr>
          <w:rFonts w:ascii="Book Antiqua" w:hAnsi="Book Antiqua"/>
          <w:b/>
          <w:bCs/>
          <w:color w:val="000000" w:themeColor="text1"/>
          <w:kern w:val="0"/>
          <w:sz w:val="24"/>
          <w:szCs w:val="24"/>
        </w:rPr>
        <w:t>ACKNOWLEDGEMENTS</w:t>
      </w:r>
    </w:p>
    <w:p w14:paraId="6E292743" w14:textId="77777777" w:rsidR="009A16E2" w:rsidRPr="00813AEE" w:rsidRDefault="009A16E2" w:rsidP="009A16E2">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olor w:val="000000" w:themeColor="text1"/>
          <w:kern w:val="0"/>
          <w:sz w:val="24"/>
          <w:szCs w:val="24"/>
        </w:rPr>
        <w:t>The authors thank Jian Han from our gastrointestinal medical center for analysis of endoscopy examinations, whose important contributions to this study are indispensable to its success.</w:t>
      </w:r>
    </w:p>
    <w:p w14:paraId="556099B8" w14:textId="77777777" w:rsidR="004A5937" w:rsidRDefault="004A5937">
      <w:pPr>
        <w:widowControl/>
        <w:jc w:val="left"/>
        <w:rPr>
          <w:rFonts w:ascii="Book Antiqua" w:hAnsi="Book Antiqua"/>
          <w:color w:val="000000" w:themeColor="text1"/>
          <w:kern w:val="0"/>
          <w:sz w:val="24"/>
          <w:szCs w:val="24"/>
        </w:rPr>
      </w:pPr>
      <w:r>
        <w:rPr>
          <w:rFonts w:ascii="Book Antiqua" w:hAnsi="Book Antiqua"/>
          <w:color w:val="000000" w:themeColor="text1"/>
          <w:kern w:val="0"/>
          <w:sz w:val="24"/>
          <w:szCs w:val="24"/>
        </w:rPr>
        <w:br w:type="page"/>
      </w:r>
    </w:p>
    <w:p w14:paraId="70A4797A" w14:textId="1BB3A228" w:rsidR="00DD5A5C" w:rsidRPr="00813AEE" w:rsidRDefault="00DD5A5C"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REFERENCES</w:t>
      </w:r>
    </w:p>
    <w:p w14:paraId="722054B6" w14:textId="36878968"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bookmarkStart w:id="116" w:name="OLE_LINK33"/>
      <w:bookmarkStart w:id="117" w:name="OLE_LINK34"/>
      <w:r w:rsidRPr="00D47250">
        <w:rPr>
          <w:rFonts w:ascii="Book Antiqua" w:hAnsi="Book Antiqua"/>
          <w:color w:val="000000" w:themeColor="text1"/>
          <w:kern w:val="0"/>
          <w:sz w:val="24"/>
          <w:szCs w:val="24"/>
        </w:rPr>
        <w:t>1 </w:t>
      </w:r>
      <w:r w:rsidRPr="00D47250">
        <w:rPr>
          <w:rFonts w:ascii="Book Antiqua" w:hAnsi="Book Antiqua"/>
          <w:b/>
          <w:bCs/>
          <w:color w:val="000000" w:themeColor="text1"/>
          <w:kern w:val="0"/>
          <w:sz w:val="24"/>
          <w:szCs w:val="24"/>
        </w:rPr>
        <w:t>Torres J</w:t>
      </w:r>
      <w:r w:rsidRPr="00D47250">
        <w:rPr>
          <w:rFonts w:ascii="Book Antiqua" w:hAnsi="Book Antiqua"/>
          <w:color w:val="000000" w:themeColor="text1"/>
          <w:kern w:val="0"/>
          <w:sz w:val="24"/>
          <w:szCs w:val="24"/>
        </w:rPr>
        <w:t>, Mehandru S, Colombel JF, Peyrin-Biroulet L. Crohn's disease.</w:t>
      </w:r>
      <w:r w:rsidR="00F275C5">
        <w:rPr>
          <w:rFonts w:ascii="Book Antiqua" w:hAnsi="Book Antiqua"/>
          <w:color w:val="000000" w:themeColor="text1"/>
          <w:kern w:val="0"/>
          <w:sz w:val="24"/>
          <w:szCs w:val="24"/>
        </w:rPr>
        <w:t xml:space="preserve"> </w:t>
      </w:r>
      <w:r w:rsidRPr="00D47250">
        <w:rPr>
          <w:rFonts w:ascii="Book Antiqua" w:hAnsi="Book Antiqua"/>
          <w:i/>
          <w:iCs/>
          <w:color w:val="000000" w:themeColor="text1"/>
          <w:kern w:val="0"/>
          <w:sz w:val="24"/>
          <w:szCs w:val="24"/>
        </w:rPr>
        <w:t>Lancet</w:t>
      </w:r>
      <w:r w:rsidR="00F275C5">
        <w:rPr>
          <w:rFonts w:ascii="Book Antiqua" w:hAnsi="Book Antiqua"/>
          <w:color w:val="000000" w:themeColor="text1"/>
          <w:kern w:val="0"/>
          <w:sz w:val="24"/>
          <w:szCs w:val="24"/>
        </w:rPr>
        <w:t xml:space="preserve"> </w:t>
      </w:r>
      <w:r w:rsidRPr="00D47250">
        <w:rPr>
          <w:rFonts w:ascii="Book Antiqua" w:hAnsi="Book Antiqua"/>
          <w:color w:val="000000" w:themeColor="text1"/>
          <w:kern w:val="0"/>
          <w:sz w:val="24"/>
          <w:szCs w:val="24"/>
        </w:rPr>
        <w:t>2017; </w:t>
      </w:r>
      <w:r w:rsidRPr="00D47250">
        <w:rPr>
          <w:rFonts w:ascii="Book Antiqua" w:hAnsi="Book Antiqua"/>
          <w:b/>
          <w:bCs/>
          <w:color w:val="000000" w:themeColor="text1"/>
          <w:kern w:val="0"/>
          <w:sz w:val="24"/>
          <w:szCs w:val="24"/>
        </w:rPr>
        <w:t>389</w:t>
      </w:r>
      <w:r w:rsidRPr="00D47250">
        <w:rPr>
          <w:rFonts w:ascii="Book Antiqua" w:hAnsi="Book Antiqua"/>
          <w:color w:val="000000" w:themeColor="text1"/>
          <w:kern w:val="0"/>
          <w:sz w:val="24"/>
          <w:szCs w:val="24"/>
        </w:rPr>
        <w:t>: 1741-1755 [PMID: 27914655 DOI: 10.1016/S0140-6736(16)31711-1]</w:t>
      </w:r>
    </w:p>
    <w:p w14:paraId="5D5EAD78"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2 </w:t>
      </w:r>
      <w:r w:rsidRPr="00D47250">
        <w:rPr>
          <w:rFonts w:ascii="Book Antiqua" w:hAnsi="Book Antiqua"/>
          <w:b/>
          <w:bCs/>
          <w:color w:val="000000" w:themeColor="text1"/>
          <w:kern w:val="0"/>
          <w:sz w:val="24"/>
          <w:szCs w:val="24"/>
        </w:rPr>
        <w:t>Panes J</w:t>
      </w:r>
      <w:r w:rsidRPr="00D47250">
        <w:rPr>
          <w:rFonts w:ascii="Book Antiqua" w:hAnsi="Book Antiqua"/>
          <w:color w:val="000000" w:themeColor="text1"/>
          <w:kern w:val="0"/>
          <w:sz w:val="24"/>
          <w:szCs w:val="24"/>
        </w:rPr>
        <w:t>, Jairath V, Levesque BG. Advances in Use of Endoscopy, Radiology, and Biomarkers to Monitor Inflammatory Bowel Diseases. </w:t>
      </w:r>
      <w:r w:rsidRPr="00D47250">
        <w:rPr>
          <w:rFonts w:ascii="Book Antiqua" w:hAnsi="Book Antiqua"/>
          <w:i/>
          <w:iCs/>
          <w:color w:val="000000" w:themeColor="text1"/>
          <w:kern w:val="0"/>
          <w:sz w:val="24"/>
          <w:szCs w:val="24"/>
        </w:rPr>
        <w:t>Gastroenterology</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152</w:t>
      </w:r>
      <w:r w:rsidRPr="00D47250">
        <w:rPr>
          <w:rFonts w:ascii="Book Antiqua" w:hAnsi="Book Antiqua"/>
          <w:color w:val="000000" w:themeColor="text1"/>
          <w:kern w:val="0"/>
          <w:sz w:val="24"/>
          <w:szCs w:val="24"/>
        </w:rPr>
        <w:t>: 362-373.e3 [PMID: 27751880 DOI: 10.1053/j.gastro.2016.10.005]</w:t>
      </w:r>
    </w:p>
    <w:p w14:paraId="1431CF67"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3 </w:t>
      </w:r>
      <w:r w:rsidRPr="00D47250">
        <w:rPr>
          <w:rFonts w:ascii="Book Antiqua" w:hAnsi="Book Antiqua"/>
          <w:b/>
          <w:bCs/>
          <w:color w:val="000000" w:themeColor="text1"/>
          <w:kern w:val="0"/>
          <w:sz w:val="24"/>
          <w:szCs w:val="24"/>
        </w:rPr>
        <w:t>Kilcoyne A</w:t>
      </w:r>
      <w:r w:rsidRPr="00D47250">
        <w:rPr>
          <w:rFonts w:ascii="Book Antiqua" w:hAnsi="Book Antiqua"/>
          <w:color w:val="000000" w:themeColor="text1"/>
          <w:kern w:val="0"/>
          <w:sz w:val="24"/>
          <w:szCs w:val="24"/>
        </w:rPr>
        <w:t>, Kaplan JL, Gee MS. Inflammatory bowel disease imaging: Current practice and future directions. </w:t>
      </w:r>
      <w:r w:rsidRPr="00D47250">
        <w:rPr>
          <w:rFonts w:ascii="Book Antiqua" w:hAnsi="Book Antiqua"/>
          <w:i/>
          <w:iCs/>
          <w:color w:val="000000" w:themeColor="text1"/>
          <w:kern w:val="0"/>
          <w:sz w:val="24"/>
          <w:szCs w:val="24"/>
        </w:rPr>
        <w:t>World J Gastroenterol</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22</w:t>
      </w:r>
      <w:r w:rsidRPr="00D47250">
        <w:rPr>
          <w:rFonts w:ascii="Book Antiqua" w:hAnsi="Book Antiqua"/>
          <w:color w:val="000000" w:themeColor="text1"/>
          <w:kern w:val="0"/>
          <w:sz w:val="24"/>
          <w:szCs w:val="24"/>
        </w:rPr>
        <w:t>: 917-932 [PMID: 26811637 DOI: 10.3748/wjg.v22.i3.917]</w:t>
      </w:r>
    </w:p>
    <w:p w14:paraId="55EE7117"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4 </w:t>
      </w:r>
      <w:r w:rsidRPr="00D47250">
        <w:rPr>
          <w:rFonts w:ascii="Book Antiqua" w:hAnsi="Book Antiqua"/>
          <w:b/>
          <w:bCs/>
          <w:color w:val="000000" w:themeColor="text1"/>
          <w:kern w:val="0"/>
          <w:sz w:val="24"/>
          <w:szCs w:val="24"/>
        </w:rPr>
        <w:t>Papay P</w:t>
      </w:r>
      <w:r w:rsidRPr="00D47250">
        <w:rPr>
          <w:rFonts w:ascii="Book Antiqua" w:hAnsi="Book Antiqua"/>
          <w:color w:val="000000" w:themeColor="text1"/>
          <w:kern w:val="0"/>
          <w:sz w:val="24"/>
          <w:szCs w:val="24"/>
        </w:rPr>
        <w:t>, Ignjatovic A, Karmiris K, Amarante H, Milheller P, Feagan B, D'Haens G, Marteau P, Reinisch W, Sturm A, Steinwurz F, Egan L, Panés J, Louis E, Colombel JF, Panaccione R. Optimising monitoring in the management of Crohn's disease: a physician's perspective. </w:t>
      </w:r>
      <w:r w:rsidRPr="00D47250">
        <w:rPr>
          <w:rFonts w:ascii="Book Antiqua" w:hAnsi="Book Antiqua"/>
          <w:i/>
          <w:iCs/>
          <w:color w:val="000000" w:themeColor="text1"/>
          <w:kern w:val="0"/>
          <w:sz w:val="24"/>
          <w:szCs w:val="24"/>
        </w:rPr>
        <w:t>J Crohns Colitis</w:t>
      </w:r>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7</w:t>
      </w:r>
      <w:r w:rsidRPr="00D47250">
        <w:rPr>
          <w:rFonts w:ascii="Book Antiqua" w:hAnsi="Book Antiqua"/>
          <w:color w:val="000000" w:themeColor="text1"/>
          <w:kern w:val="0"/>
          <w:sz w:val="24"/>
          <w:szCs w:val="24"/>
        </w:rPr>
        <w:t>: 653-669 [PMID: 23562672 DOI: 10.1016/j.crohns.2013.02.005]</w:t>
      </w:r>
    </w:p>
    <w:p w14:paraId="377574EB"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5 </w:t>
      </w:r>
      <w:r w:rsidRPr="00D47250">
        <w:rPr>
          <w:rFonts w:ascii="Book Antiqua" w:hAnsi="Book Antiqua"/>
          <w:b/>
          <w:bCs/>
          <w:color w:val="000000" w:themeColor="text1"/>
          <w:kern w:val="0"/>
          <w:sz w:val="24"/>
          <w:szCs w:val="24"/>
        </w:rPr>
        <w:t>Dohan A</w:t>
      </w:r>
      <w:r w:rsidRPr="00D47250">
        <w:rPr>
          <w:rFonts w:ascii="Book Antiqua" w:hAnsi="Book Antiqua"/>
          <w:color w:val="000000" w:themeColor="text1"/>
          <w:kern w:val="0"/>
          <w:sz w:val="24"/>
          <w:szCs w:val="24"/>
        </w:rPr>
        <w:t>, Taylor S, Hoeffel C, Barret M, Allez M, Dautry R, Zappa M, Savoye-Collet C, Dray X, Boudiaf M, Reinhold C, Soyer P. Diffusion-weighted MRI in Crohn's disease: Current status and recommendations. </w:t>
      </w:r>
      <w:r w:rsidRPr="00D47250">
        <w:rPr>
          <w:rFonts w:ascii="Book Antiqua" w:hAnsi="Book Antiqua"/>
          <w:i/>
          <w:iCs/>
          <w:color w:val="000000" w:themeColor="text1"/>
          <w:kern w:val="0"/>
          <w:sz w:val="24"/>
          <w:szCs w:val="24"/>
        </w:rPr>
        <w:t>J Magn Reson Imaging</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44</w:t>
      </w:r>
      <w:r w:rsidRPr="00D47250">
        <w:rPr>
          <w:rFonts w:ascii="Book Antiqua" w:hAnsi="Book Antiqua"/>
          <w:color w:val="000000" w:themeColor="text1"/>
          <w:kern w:val="0"/>
          <w:sz w:val="24"/>
          <w:szCs w:val="24"/>
        </w:rPr>
        <w:t>: 1381-1396 [PMID: 27249184 DOI: 10.1002/jmri.25325]</w:t>
      </w:r>
    </w:p>
    <w:p w14:paraId="301334F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6 </w:t>
      </w:r>
      <w:r w:rsidRPr="00D47250">
        <w:rPr>
          <w:rFonts w:ascii="Book Antiqua" w:hAnsi="Book Antiqua"/>
          <w:b/>
          <w:bCs/>
          <w:color w:val="000000" w:themeColor="text1"/>
          <w:kern w:val="0"/>
          <w:sz w:val="24"/>
          <w:szCs w:val="24"/>
        </w:rPr>
        <w:t>Seo N</w:t>
      </w:r>
      <w:r w:rsidRPr="00D47250">
        <w:rPr>
          <w:rFonts w:ascii="Book Antiqua" w:hAnsi="Book Antiqua"/>
          <w:color w:val="000000" w:themeColor="text1"/>
          <w:kern w:val="0"/>
          <w:sz w:val="24"/>
          <w:szCs w:val="24"/>
        </w:rPr>
        <w:t>, Park SH, Kim KJ, Kang BK, Lee Y, Yang SK, Ye BD, Park SH, Kim SY, Baek S, Han K, Ha HK. MR Enterography for the Evaluation of Small-Bowel Inflammation in Crohn Disease by Using Diffusion-weighted Imaging without Intravenous Contrast Material: A Prospective Noninferiority Study. </w:t>
      </w:r>
      <w:r w:rsidRPr="00D47250">
        <w:rPr>
          <w:rFonts w:ascii="Book Antiqua" w:hAnsi="Book Antiqua"/>
          <w:i/>
          <w:iCs/>
          <w:color w:val="000000" w:themeColor="text1"/>
          <w:kern w:val="0"/>
          <w:sz w:val="24"/>
          <w:szCs w:val="24"/>
        </w:rPr>
        <w:t>Radiology</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278</w:t>
      </w:r>
      <w:r w:rsidRPr="00D47250">
        <w:rPr>
          <w:rFonts w:ascii="Book Antiqua" w:hAnsi="Book Antiqua"/>
          <w:color w:val="000000" w:themeColor="text1"/>
          <w:kern w:val="0"/>
          <w:sz w:val="24"/>
          <w:szCs w:val="24"/>
        </w:rPr>
        <w:t>: 762-772 [PMID: 26348103 DOI: 10.1148/radiol.2015150809]</w:t>
      </w:r>
    </w:p>
    <w:p w14:paraId="6BE48AA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7 </w:t>
      </w:r>
      <w:r w:rsidRPr="00D47250">
        <w:rPr>
          <w:rFonts w:ascii="Book Antiqua" w:hAnsi="Book Antiqua"/>
          <w:b/>
          <w:bCs/>
          <w:color w:val="000000" w:themeColor="text1"/>
          <w:kern w:val="0"/>
          <w:sz w:val="24"/>
          <w:szCs w:val="24"/>
        </w:rPr>
        <w:t>Baillet P</w:t>
      </w:r>
      <w:r w:rsidRPr="00D47250">
        <w:rPr>
          <w:rFonts w:ascii="Book Antiqua" w:hAnsi="Book Antiqua"/>
          <w:color w:val="000000" w:themeColor="text1"/>
          <w:kern w:val="0"/>
          <w:sz w:val="24"/>
          <w:szCs w:val="24"/>
        </w:rPr>
        <w:t>, Cadiot G, Goutte M, Goutorbe F, Brixi H, Hoeffel C, Allimant C, Reymond M, Obritin-Guilhen H, Magnin B, Bommelaer G, Pereira B, Hordonneau C, Buisson A. Faecal calprotectin and magnetic resonance imaging in detecting Crohn's disease endoscopic postoperative recurrence. </w:t>
      </w:r>
      <w:r w:rsidRPr="00D47250">
        <w:rPr>
          <w:rFonts w:ascii="Book Antiqua" w:hAnsi="Book Antiqua"/>
          <w:i/>
          <w:iCs/>
          <w:color w:val="000000" w:themeColor="text1"/>
          <w:kern w:val="0"/>
          <w:sz w:val="24"/>
          <w:szCs w:val="24"/>
        </w:rPr>
        <w:t>World J Gastroenterol</w:t>
      </w:r>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641-650 [PMID: 29434453 DOI: 10.3748/wjg.v24.i5.641]</w:t>
      </w:r>
    </w:p>
    <w:p w14:paraId="39A8F49A"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8 </w:t>
      </w:r>
      <w:r w:rsidRPr="00D47250">
        <w:rPr>
          <w:rFonts w:ascii="Book Antiqua" w:hAnsi="Book Antiqua"/>
          <w:b/>
          <w:bCs/>
          <w:color w:val="000000" w:themeColor="text1"/>
          <w:kern w:val="0"/>
          <w:sz w:val="24"/>
          <w:szCs w:val="24"/>
        </w:rPr>
        <w:t>Park SH</w:t>
      </w:r>
      <w:r w:rsidRPr="00D47250">
        <w:rPr>
          <w:rFonts w:ascii="Book Antiqua" w:hAnsi="Book Antiqua"/>
          <w:color w:val="000000" w:themeColor="text1"/>
          <w:kern w:val="0"/>
          <w:sz w:val="24"/>
          <w:szCs w:val="24"/>
        </w:rPr>
        <w:t>. DWI at MR Enterography for Evaluating Bowel Inflammation in Crohn Disease. </w:t>
      </w:r>
      <w:r w:rsidRPr="00D47250">
        <w:rPr>
          <w:rFonts w:ascii="Book Antiqua" w:hAnsi="Book Antiqua"/>
          <w:i/>
          <w:iCs/>
          <w:color w:val="000000" w:themeColor="text1"/>
          <w:kern w:val="0"/>
          <w:sz w:val="24"/>
          <w:szCs w:val="24"/>
        </w:rPr>
        <w:t>AJR Am J Roentgenol</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207</w:t>
      </w:r>
      <w:r w:rsidRPr="00D47250">
        <w:rPr>
          <w:rFonts w:ascii="Book Antiqua" w:hAnsi="Book Antiqua"/>
          <w:color w:val="000000" w:themeColor="text1"/>
          <w:kern w:val="0"/>
          <w:sz w:val="24"/>
          <w:szCs w:val="24"/>
        </w:rPr>
        <w:t>: 40-48 [PMID: 26959382 DOI: 10.2214/AJR.15.15862]</w:t>
      </w:r>
    </w:p>
    <w:p w14:paraId="21BC853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lastRenderedPageBreak/>
        <w:t>9 </w:t>
      </w:r>
      <w:r w:rsidRPr="00D47250">
        <w:rPr>
          <w:rFonts w:ascii="Book Antiqua" w:hAnsi="Book Antiqua"/>
          <w:b/>
          <w:bCs/>
          <w:color w:val="000000" w:themeColor="text1"/>
          <w:kern w:val="0"/>
          <w:sz w:val="24"/>
          <w:szCs w:val="24"/>
        </w:rPr>
        <w:t>Li XH</w:t>
      </w:r>
      <w:r w:rsidRPr="00D47250">
        <w:rPr>
          <w:rFonts w:ascii="Book Antiqua" w:hAnsi="Book Antiqua"/>
          <w:color w:val="000000" w:themeColor="text1"/>
          <w:kern w:val="0"/>
          <w:sz w:val="24"/>
          <w:szCs w:val="24"/>
        </w:rPr>
        <w:t>, Sun CH, Mao R, Huang SY, Zhang ZW, Yang XF, Huang L, Lin JJ, Zhang J, Ben-Horin S, Feng ST, Chen MH, Li ZP. Diffusion-weighted MRI Enables to Accurately Grade Inflammatory Activity in Patients of Ileocolonic Crohn's Disease: Results from an Observational Study. </w:t>
      </w:r>
      <w:r w:rsidRPr="00D47250">
        <w:rPr>
          <w:rFonts w:ascii="Book Antiqua" w:hAnsi="Book Antiqua"/>
          <w:i/>
          <w:iCs/>
          <w:color w:val="000000" w:themeColor="text1"/>
          <w:kern w:val="0"/>
          <w:sz w:val="24"/>
          <w:szCs w:val="24"/>
        </w:rPr>
        <w:t>Inflamm Bowel Dis</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23</w:t>
      </w:r>
      <w:r w:rsidRPr="00D47250">
        <w:rPr>
          <w:rFonts w:ascii="Book Antiqua" w:hAnsi="Book Antiqua"/>
          <w:color w:val="000000" w:themeColor="text1"/>
          <w:kern w:val="0"/>
          <w:sz w:val="24"/>
          <w:szCs w:val="24"/>
        </w:rPr>
        <w:t>: 244-253 [PMID: 28079618 DOI: 10.1097/MIB.0000000000001001]</w:t>
      </w:r>
    </w:p>
    <w:p w14:paraId="584EB36B"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10 </w:t>
      </w:r>
      <w:r w:rsidRPr="00D47250">
        <w:rPr>
          <w:rFonts w:ascii="Book Antiqua" w:hAnsi="Book Antiqua"/>
          <w:b/>
          <w:bCs/>
          <w:color w:val="000000" w:themeColor="text1"/>
          <w:kern w:val="0"/>
          <w:sz w:val="24"/>
          <w:szCs w:val="24"/>
        </w:rPr>
        <w:t>Tielbeek JA</w:t>
      </w:r>
      <w:r w:rsidRPr="00D47250">
        <w:rPr>
          <w:rFonts w:ascii="Book Antiqua" w:hAnsi="Book Antiqua"/>
          <w:color w:val="000000" w:themeColor="text1"/>
          <w:kern w:val="0"/>
          <w:sz w:val="24"/>
          <w:szCs w:val="24"/>
        </w:rPr>
        <w:t>, Ziech ML, Li Z, Lavini C, Bipat S, Bemelman WA, Roelofs JJ, Ponsioen CY, Vos FM, Stoker J. Evaluation of conventional, dynamic contrast enhanced and diffusion weighted MRI for quantitative Crohn's disease assessment with histopathology of surgical specimens. </w:t>
      </w:r>
      <w:r w:rsidRPr="00D47250">
        <w:rPr>
          <w:rFonts w:ascii="Book Antiqua" w:hAnsi="Book Antiqua"/>
          <w:i/>
          <w:iCs/>
          <w:color w:val="000000" w:themeColor="text1"/>
          <w:kern w:val="0"/>
          <w:sz w:val="24"/>
          <w:szCs w:val="24"/>
        </w:rPr>
        <w:t>Eur Radiol</w:t>
      </w:r>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619-629 [PMID: 24037299 DOI: 10.1007/s00330-013-3015-7]</w:t>
      </w:r>
    </w:p>
    <w:p w14:paraId="5E45EB0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11 </w:t>
      </w:r>
      <w:r w:rsidRPr="00D47250">
        <w:rPr>
          <w:rFonts w:ascii="Book Antiqua" w:hAnsi="Book Antiqua"/>
          <w:b/>
          <w:bCs/>
          <w:color w:val="000000" w:themeColor="text1"/>
          <w:kern w:val="0"/>
          <w:sz w:val="24"/>
          <w:szCs w:val="24"/>
        </w:rPr>
        <w:t>Zou X</w:t>
      </w:r>
      <w:r w:rsidRPr="00D47250">
        <w:rPr>
          <w:rFonts w:ascii="Book Antiqua" w:hAnsi="Book Antiqua"/>
          <w:color w:val="000000" w:themeColor="text1"/>
          <w:kern w:val="0"/>
          <w:sz w:val="24"/>
          <w:szCs w:val="24"/>
        </w:rPr>
        <w:t>, Luo Y, Li Z, Hu Y, Li H, Tang H, Shen Y, Hu D, Kamel IR. Volumetric Apparent Diffusion Coefficient Histogram Analysis in Differentiating Intrahepatic Mass-Forming Cholangiocarcinoma From Hepatocellular Carcinoma. </w:t>
      </w:r>
      <w:r w:rsidRPr="00D47250">
        <w:rPr>
          <w:rFonts w:ascii="Book Antiqua" w:hAnsi="Book Antiqua"/>
          <w:i/>
          <w:iCs/>
          <w:color w:val="000000" w:themeColor="text1"/>
          <w:kern w:val="0"/>
          <w:sz w:val="24"/>
          <w:szCs w:val="24"/>
        </w:rPr>
        <w:t>J Magn Reson Imaging</w:t>
      </w:r>
      <w:r w:rsidRPr="00D47250">
        <w:rPr>
          <w:rFonts w:ascii="Book Antiqua" w:hAnsi="Book Antiqua"/>
          <w:color w:val="000000" w:themeColor="text1"/>
          <w:kern w:val="0"/>
          <w:sz w:val="24"/>
          <w:szCs w:val="24"/>
        </w:rPr>
        <w:t> 2019; </w:t>
      </w:r>
      <w:r w:rsidRPr="00D47250">
        <w:rPr>
          <w:rFonts w:ascii="Book Antiqua" w:hAnsi="Book Antiqua"/>
          <w:b/>
          <w:bCs/>
          <w:color w:val="000000" w:themeColor="text1"/>
          <w:kern w:val="0"/>
          <w:sz w:val="24"/>
          <w:szCs w:val="24"/>
        </w:rPr>
        <w:t>49</w:t>
      </w:r>
      <w:r w:rsidRPr="00D47250">
        <w:rPr>
          <w:rFonts w:ascii="Book Antiqua" w:hAnsi="Book Antiqua"/>
          <w:color w:val="000000" w:themeColor="text1"/>
          <w:kern w:val="0"/>
          <w:sz w:val="24"/>
          <w:szCs w:val="24"/>
        </w:rPr>
        <w:t>: 975-983 [PMID: 30277628 DOI: 10.1002/jmri.26253]</w:t>
      </w:r>
    </w:p>
    <w:p w14:paraId="3B577A76"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12 </w:t>
      </w:r>
      <w:r w:rsidRPr="00D47250">
        <w:rPr>
          <w:rFonts w:ascii="Book Antiqua" w:hAnsi="Book Antiqua"/>
          <w:b/>
          <w:bCs/>
          <w:color w:val="000000" w:themeColor="text1"/>
          <w:kern w:val="0"/>
          <w:sz w:val="24"/>
          <w:szCs w:val="24"/>
        </w:rPr>
        <w:t>Buisson A</w:t>
      </w:r>
      <w:r w:rsidRPr="00D47250">
        <w:rPr>
          <w:rFonts w:ascii="Book Antiqua" w:hAnsi="Book Antiqua"/>
          <w:color w:val="000000" w:themeColor="text1"/>
          <w:kern w:val="0"/>
          <w:sz w:val="24"/>
          <w:szCs w:val="24"/>
        </w:rPr>
        <w:t>, Hordonneau C, Goutte M, Boyer L, Pereira B, Bommelaer G. Diffusion-weighted magnetic resonance imaging is effective to detect ileocolonic ulcerations in Crohn's disease. </w:t>
      </w:r>
      <w:r w:rsidRPr="00D47250">
        <w:rPr>
          <w:rFonts w:ascii="Book Antiqua" w:hAnsi="Book Antiqua"/>
          <w:i/>
          <w:iCs/>
          <w:color w:val="000000" w:themeColor="text1"/>
          <w:kern w:val="0"/>
          <w:sz w:val="24"/>
          <w:szCs w:val="24"/>
        </w:rPr>
        <w:t>Aliment Pharmacol Ther</w:t>
      </w:r>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42</w:t>
      </w:r>
      <w:r w:rsidRPr="00D47250">
        <w:rPr>
          <w:rFonts w:ascii="Book Antiqua" w:hAnsi="Book Antiqua"/>
          <w:color w:val="000000" w:themeColor="text1"/>
          <w:kern w:val="0"/>
          <w:sz w:val="24"/>
          <w:szCs w:val="24"/>
        </w:rPr>
        <w:t>: 452-460 [PMID: 26088810 DOI: 10.1111/apt.13287]</w:t>
      </w:r>
    </w:p>
    <w:p w14:paraId="2601DCC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13 </w:t>
      </w:r>
      <w:r w:rsidRPr="00D47250">
        <w:rPr>
          <w:rFonts w:ascii="Book Antiqua" w:hAnsi="Book Antiqua"/>
          <w:b/>
          <w:bCs/>
          <w:color w:val="000000" w:themeColor="text1"/>
          <w:kern w:val="0"/>
          <w:sz w:val="24"/>
          <w:szCs w:val="24"/>
        </w:rPr>
        <w:t>Taylor SA</w:t>
      </w:r>
      <w:r w:rsidRPr="00D47250">
        <w:rPr>
          <w:rFonts w:ascii="Book Antiqua" w:hAnsi="Book Antiqua"/>
          <w:color w:val="000000" w:themeColor="text1"/>
          <w:kern w:val="0"/>
          <w:sz w:val="24"/>
          <w:szCs w:val="24"/>
        </w:rPr>
        <w:t>, Avni F, Cronin CG, Hoeffel C, Kim SH, Laghi A, Napolitano M, Petit P, Rimola J, Tolan DJ, Torkzad MR, Zappa M, Bhatnagar G, Puylaert CAJ, Stoker J. The first joint ESGAR/ ESPR consensus statement on the technical performance of cross-sectional small bowel and colonic imaging. </w:t>
      </w:r>
      <w:r w:rsidRPr="00D47250">
        <w:rPr>
          <w:rFonts w:ascii="Book Antiqua" w:hAnsi="Book Antiqua"/>
          <w:i/>
          <w:iCs/>
          <w:color w:val="000000" w:themeColor="text1"/>
          <w:kern w:val="0"/>
          <w:sz w:val="24"/>
          <w:szCs w:val="24"/>
        </w:rPr>
        <w:t>Eur Radiol</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27</w:t>
      </w:r>
      <w:r w:rsidRPr="00D47250">
        <w:rPr>
          <w:rFonts w:ascii="Book Antiqua" w:hAnsi="Book Antiqua"/>
          <w:color w:val="000000" w:themeColor="text1"/>
          <w:kern w:val="0"/>
          <w:sz w:val="24"/>
          <w:szCs w:val="24"/>
        </w:rPr>
        <w:t>: 2570-2582 [PMID: 27757521 DOI: 10.1007/s00330-016-4615-9]</w:t>
      </w:r>
    </w:p>
    <w:p w14:paraId="30809FC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14 </w:t>
      </w:r>
      <w:r w:rsidRPr="00D47250">
        <w:rPr>
          <w:rFonts w:ascii="Book Antiqua" w:hAnsi="Book Antiqua"/>
          <w:b/>
          <w:bCs/>
          <w:color w:val="000000" w:themeColor="text1"/>
          <w:kern w:val="0"/>
          <w:sz w:val="24"/>
          <w:szCs w:val="24"/>
        </w:rPr>
        <w:t>Sirin S</w:t>
      </w:r>
      <w:r w:rsidRPr="00D47250">
        <w:rPr>
          <w:rFonts w:ascii="Book Antiqua" w:hAnsi="Book Antiqua"/>
          <w:color w:val="000000" w:themeColor="text1"/>
          <w:kern w:val="0"/>
          <w:sz w:val="24"/>
          <w:szCs w:val="24"/>
        </w:rPr>
        <w:t>, Kathemann S, Schweiger B, Hahnemann ML, Forsting M, Lauenstein TC, Kinner S. Magnetic resonance colonography including diffusion-weighted imaging in children and adolescents with inflammatory bowel disease: do we really need intravenous contrast? </w:t>
      </w:r>
      <w:r w:rsidRPr="00D47250">
        <w:rPr>
          <w:rFonts w:ascii="Book Antiqua" w:hAnsi="Book Antiqua"/>
          <w:i/>
          <w:iCs/>
          <w:color w:val="000000" w:themeColor="text1"/>
          <w:kern w:val="0"/>
          <w:sz w:val="24"/>
          <w:szCs w:val="24"/>
        </w:rPr>
        <w:t>Invest Radiol</w:t>
      </w:r>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50</w:t>
      </w:r>
      <w:r w:rsidRPr="00D47250">
        <w:rPr>
          <w:rFonts w:ascii="Book Antiqua" w:hAnsi="Book Antiqua"/>
          <w:color w:val="000000" w:themeColor="text1"/>
          <w:kern w:val="0"/>
          <w:sz w:val="24"/>
          <w:szCs w:val="24"/>
        </w:rPr>
        <w:t>: 32-39 [PMID: 25215934 DOI: 10.1097/RLI.0000000000000092]</w:t>
      </w:r>
    </w:p>
    <w:p w14:paraId="517F7AE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15 </w:t>
      </w:r>
      <w:r w:rsidRPr="00D47250">
        <w:rPr>
          <w:rFonts w:ascii="Book Antiqua" w:hAnsi="Book Antiqua"/>
          <w:b/>
          <w:bCs/>
          <w:color w:val="000000" w:themeColor="text1"/>
          <w:kern w:val="0"/>
          <w:sz w:val="24"/>
          <w:szCs w:val="24"/>
        </w:rPr>
        <w:t>Bruining DH</w:t>
      </w:r>
      <w:r w:rsidRPr="00D47250">
        <w:rPr>
          <w:rFonts w:ascii="Book Antiqua" w:hAnsi="Book Antiqua"/>
          <w:color w:val="000000" w:themeColor="text1"/>
          <w:kern w:val="0"/>
          <w:sz w:val="24"/>
          <w:szCs w:val="24"/>
        </w:rPr>
        <w:t xml:space="preserve">, Zimmermann EM, Loftus EV Jr, Sandborn WJ, Sauer CG, Strong SA; Society of Abdominal Radiology Crohn’s Disease-Focused Panel. Consensus Recommendations for Evaluation, Interpretation, and Utilization of Computed </w:t>
      </w:r>
      <w:r w:rsidRPr="00D47250">
        <w:rPr>
          <w:rFonts w:ascii="Book Antiqua" w:hAnsi="Book Antiqua"/>
          <w:color w:val="000000" w:themeColor="text1"/>
          <w:kern w:val="0"/>
          <w:sz w:val="24"/>
          <w:szCs w:val="24"/>
        </w:rPr>
        <w:lastRenderedPageBreak/>
        <w:t>Tomography and Magnetic Resonance Enterography in Patients With Small Bowel Crohn's Disease. </w:t>
      </w:r>
      <w:r w:rsidRPr="00D47250">
        <w:rPr>
          <w:rFonts w:ascii="Book Antiqua" w:hAnsi="Book Antiqua"/>
          <w:i/>
          <w:iCs/>
          <w:color w:val="000000" w:themeColor="text1"/>
          <w:kern w:val="0"/>
          <w:sz w:val="24"/>
          <w:szCs w:val="24"/>
        </w:rPr>
        <w:t>Radiology</w:t>
      </w:r>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286</w:t>
      </w:r>
      <w:r w:rsidRPr="00D47250">
        <w:rPr>
          <w:rFonts w:ascii="Book Antiqua" w:hAnsi="Book Antiqua"/>
          <w:color w:val="000000" w:themeColor="text1"/>
          <w:kern w:val="0"/>
          <w:sz w:val="24"/>
          <w:szCs w:val="24"/>
        </w:rPr>
        <w:t>: 776-799 [PMID: 29319414 DOI: 10.1148/radiol.2018171737]</w:t>
      </w:r>
    </w:p>
    <w:p w14:paraId="229BAED1"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16 </w:t>
      </w:r>
      <w:r w:rsidRPr="00D47250">
        <w:rPr>
          <w:rFonts w:ascii="Book Antiqua" w:hAnsi="Book Antiqua"/>
          <w:b/>
          <w:bCs/>
          <w:color w:val="000000" w:themeColor="text1"/>
          <w:kern w:val="0"/>
          <w:sz w:val="24"/>
          <w:szCs w:val="24"/>
        </w:rPr>
        <w:t>Bruining DH</w:t>
      </w:r>
      <w:r w:rsidRPr="00D47250">
        <w:rPr>
          <w:rFonts w:ascii="Book Antiqua" w:hAnsi="Book Antiqua"/>
          <w:color w:val="000000" w:themeColor="text1"/>
          <w:kern w:val="0"/>
          <w:sz w:val="24"/>
          <w:szCs w:val="24"/>
        </w:rPr>
        <w:t>, Zimmermann EM, Loftus EV Jr, Sandborn WJ, Sauer CG, Strong SA; Society of Abdominal Radiology Crohn’s Disease-Focused Panel. Consensus Recommendations for Evaluation, Interpretation, and Utilization of Computed Tomography and Magnetic Resonance Enterography in Patients With Small Bowel Crohn's Disease. </w:t>
      </w:r>
      <w:r w:rsidRPr="00D47250">
        <w:rPr>
          <w:rFonts w:ascii="Book Antiqua" w:hAnsi="Book Antiqua"/>
          <w:i/>
          <w:iCs/>
          <w:color w:val="000000" w:themeColor="text1"/>
          <w:kern w:val="0"/>
          <w:sz w:val="24"/>
          <w:szCs w:val="24"/>
        </w:rPr>
        <w:t>Gastroenterology</w:t>
      </w:r>
      <w:r w:rsidRPr="00D47250">
        <w:rPr>
          <w:rFonts w:ascii="Book Antiqua" w:hAnsi="Book Antiqua"/>
          <w:color w:val="000000" w:themeColor="text1"/>
          <w:kern w:val="0"/>
          <w:sz w:val="24"/>
          <w:szCs w:val="24"/>
        </w:rPr>
        <w:t> 2018; </w:t>
      </w:r>
      <w:r w:rsidRPr="00D47250">
        <w:rPr>
          <w:rFonts w:ascii="Book Antiqua" w:hAnsi="Book Antiqua"/>
          <w:b/>
          <w:bCs/>
          <w:color w:val="000000" w:themeColor="text1"/>
          <w:kern w:val="0"/>
          <w:sz w:val="24"/>
          <w:szCs w:val="24"/>
        </w:rPr>
        <w:t>154</w:t>
      </w:r>
      <w:r w:rsidRPr="00D47250">
        <w:rPr>
          <w:rFonts w:ascii="Book Antiqua" w:hAnsi="Book Antiqua"/>
          <w:color w:val="000000" w:themeColor="text1"/>
          <w:kern w:val="0"/>
          <w:sz w:val="24"/>
          <w:szCs w:val="24"/>
        </w:rPr>
        <w:t>: 1172-1194 [PMID: 29329905 DOI: 10.1053/j.gastro.2017.11.274]</w:t>
      </w:r>
    </w:p>
    <w:p w14:paraId="498E3DC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17 </w:t>
      </w:r>
      <w:r w:rsidRPr="00D47250">
        <w:rPr>
          <w:rFonts w:ascii="Book Antiqua" w:hAnsi="Book Antiqua"/>
          <w:b/>
          <w:bCs/>
          <w:color w:val="000000" w:themeColor="text1"/>
          <w:kern w:val="0"/>
          <w:sz w:val="24"/>
          <w:szCs w:val="24"/>
        </w:rPr>
        <w:t>Huh J</w:t>
      </w:r>
      <w:r w:rsidRPr="00D47250">
        <w:rPr>
          <w:rFonts w:ascii="Book Antiqua" w:hAnsi="Book Antiqua"/>
          <w:color w:val="000000" w:themeColor="text1"/>
          <w:kern w:val="0"/>
          <w:sz w:val="24"/>
          <w:szCs w:val="24"/>
        </w:rPr>
        <w:t>, Kim KJ, Park SH, Park SH, Yang SK, Ye BD, Park SH, Han K, Kim AY. Diffusion-Weighted MR Enterography to Monitor Bowel Inflammation after Medical Therapy in Crohn's Disease: A Prospective Longitudinal Study. </w:t>
      </w:r>
      <w:r w:rsidRPr="00D47250">
        <w:rPr>
          <w:rFonts w:ascii="Book Antiqua" w:hAnsi="Book Antiqua"/>
          <w:i/>
          <w:iCs/>
          <w:color w:val="000000" w:themeColor="text1"/>
          <w:kern w:val="0"/>
          <w:sz w:val="24"/>
          <w:szCs w:val="24"/>
        </w:rPr>
        <w:t>Korean J Radiol</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18</w:t>
      </w:r>
      <w:r w:rsidRPr="00D47250">
        <w:rPr>
          <w:rFonts w:ascii="Book Antiqua" w:hAnsi="Book Antiqua"/>
          <w:color w:val="000000" w:themeColor="text1"/>
          <w:kern w:val="0"/>
          <w:sz w:val="24"/>
          <w:szCs w:val="24"/>
        </w:rPr>
        <w:t>: 162-172 [PMID: 28096726 DOI: 10.3348/kjr.2017.18.1.162]</w:t>
      </w:r>
    </w:p>
    <w:p w14:paraId="70E5ABF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18 </w:t>
      </w:r>
      <w:r w:rsidRPr="00D47250">
        <w:rPr>
          <w:rFonts w:ascii="Book Antiqua" w:hAnsi="Book Antiqua"/>
          <w:b/>
          <w:bCs/>
          <w:color w:val="000000" w:themeColor="text1"/>
          <w:kern w:val="0"/>
          <w:sz w:val="24"/>
          <w:szCs w:val="24"/>
        </w:rPr>
        <w:t>Kim SJ</w:t>
      </w:r>
      <w:r w:rsidRPr="00D47250">
        <w:rPr>
          <w:rFonts w:ascii="Book Antiqua" w:hAnsi="Book Antiqua"/>
          <w:color w:val="000000" w:themeColor="text1"/>
          <w:kern w:val="0"/>
          <w:sz w:val="24"/>
          <w:szCs w:val="24"/>
        </w:rPr>
        <w:t>, Lee JM, Kim H, Yoon JH, Han JK, Choi BI. Role of diffusion-weighted magnetic resonance imaging in the diagnosis of gallbladder cancer. </w:t>
      </w:r>
      <w:r w:rsidRPr="00D47250">
        <w:rPr>
          <w:rFonts w:ascii="Book Antiqua" w:hAnsi="Book Antiqua"/>
          <w:i/>
          <w:iCs/>
          <w:color w:val="000000" w:themeColor="text1"/>
          <w:kern w:val="0"/>
          <w:sz w:val="24"/>
          <w:szCs w:val="24"/>
        </w:rPr>
        <w:t>J Magn Reson Imaging</w:t>
      </w:r>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38</w:t>
      </w:r>
      <w:r w:rsidRPr="00D47250">
        <w:rPr>
          <w:rFonts w:ascii="Book Antiqua" w:hAnsi="Book Antiqua"/>
          <w:color w:val="000000" w:themeColor="text1"/>
          <w:kern w:val="0"/>
          <w:sz w:val="24"/>
          <w:szCs w:val="24"/>
        </w:rPr>
        <w:t>: 127-137 [PMID: 23281048 DOI: 10.1002/jmri.23956]</w:t>
      </w:r>
    </w:p>
    <w:p w14:paraId="3602783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19 </w:t>
      </w:r>
      <w:r w:rsidRPr="00D47250">
        <w:rPr>
          <w:rFonts w:ascii="Book Antiqua" w:hAnsi="Book Antiqua"/>
          <w:b/>
          <w:bCs/>
          <w:color w:val="000000" w:themeColor="text1"/>
          <w:kern w:val="0"/>
          <w:sz w:val="24"/>
          <w:szCs w:val="24"/>
        </w:rPr>
        <w:t>Priola AM</w:t>
      </w:r>
      <w:r w:rsidRPr="00D47250">
        <w:rPr>
          <w:rFonts w:ascii="Book Antiqua" w:hAnsi="Book Antiqua"/>
          <w:color w:val="000000" w:themeColor="text1"/>
          <w:kern w:val="0"/>
          <w:sz w:val="24"/>
          <w:szCs w:val="24"/>
        </w:rPr>
        <w:t>, Priola SM, Gned D, Giraudo MT, Brundu M, Righi L, Veltri A. Diffusion-weighted quantitative MRI of pleural abnormalities: Intra- and interobserver variability in the apparent diffusion coefficient measurements. </w:t>
      </w:r>
      <w:r w:rsidRPr="00D47250">
        <w:rPr>
          <w:rFonts w:ascii="Book Antiqua" w:hAnsi="Book Antiqua"/>
          <w:i/>
          <w:iCs/>
          <w:color w:val="000000" w:themeColor="text1"/>
          <w:kern w:val="0"/>
          <w:sz w:val="24"/>
          <w:szCs w:val="24"/>
        </w:rPr>
        <w:t>J Magn Reson Imaging</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46</w:t>
      </w:r>
      <w:r w:rsidRPr="00D47250">
        <w:rPr>
          <w:rFonts w:ascii="Book Antiqua" w:hAnsi="Book Antiqua"/>
          <w:color w:val="000000" w:themeColor="text1"/>
          <w:kern w:val="0"/>
          <w:sz w:val="24"/>
          <w:szCs w:val="24"/>
        </w:rPr>
        <w:t>: 769-782 [PMID: 28117923 DOI: 10.1002/jmri.25633]</w:t>
      </w:r>
    </w:p>
    <w:p w14:paraId="17CBE32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20 </w:t>
      </w:r>
      <w:r w:rsidRPr="00D47250">
        <w:rPr>
          <w:rFonts w:ascii="Book Antiqua" w:hAnsi="Book Antiqua"/>
          <w:b/>
          <w:bCs/>
          <w:color w:val="000000" w:themeColor="text1"/>
          <w:kern w:val="0"/>
          <w:sz w:val="24"/>
          <w:szCs w:val="24"/>
        </w:rPr>
        <w:t>Clauser P</w:t>
      </w:r>
      <w:r w:rsidRPr="00D47250">
        <w:rPr>
          <w:rFonts w:ascii="Book Antiqua" w:hAnsi="Book Antiqua"/>
          <w:color w:val="000000" w:themeColor="text1"/>
          <w:kern w:val="0"/>
          <w:sz w:val="24"/>
          <w:szCs w:val="24"/>
        </w:rPr>
        <w:t>, Marcon M, Maieron M, Zuiani C, Bazzocchi M, Baltzer PA. Is there a systematic bias of apparent diffusion coefficient (ADC) measurements of the breast if measured on different workstations? An inter- and intra-reader agreement study. </w:t>
      </w:r>
      <w:r w:rsidRPr="00D47250">
        <w:rPr>
          <w:rFonts w:ascii="Book Antiqua" w:hAnsi="Book Antiqua"/>
          <w:i/>
          <w:iCs/>
          <w:color w:val="000000" w:themeColor="text1"/>
          <w:kern w:val="0"/>
          <w:sz w:val="24"/>
          <w:szCs w:val="24"/>
        </w:rPr>
        <w:t>Eur Radiol</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26</w:t>
      </w:r>
      <w:r w:rsidRPr="00D47250">
        <w:rPr>
          <w:rFonts w:ascii="Book Antiqua" w:hAnsi="Book Antiqua"/>
          <w:color w:val="000000" w:themeColor="text1"/>
          <w:kern w:val="0"/>
          <w:sz w:val="24"/>
          <w:szCs w:val="24"/>
        </w:rPr>
        <w:t>: 2291-2296 [PMID: 26443604 DOI: 10.1007/s00330-015-4051-2]</w:t>
      </w:r>
    </w:p>
    <w:p w14:paraId="03D70A78"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21 </w:t>
      </w:r>
      <w:r w:rsidRPr="00D47250">
        <w:rPr>
          <w:rFonts w:ascii="Book Antiqua" w:hAnsi="Book Antiqua"/>
          <w:b/>
          <w:bCs/>
          <w:color w:val="000000" w:themeColor="text1"/>
          <w:kern w:val="0"/>
          <w:sz w:val="24"/>
          <w:szCs w:val="24"/>
        </w:rPr>
        <w:t>Krajewski KM</w:t>
      </w:r>
      <w:r w:rsidRPr="00D47250">
        <w:rPr>
          <w:rFonts w:ascii="Book Antiqua" w:hAnsi="Book Antiqua"/>
          <w:color w:val="000000" w:themeColor="text1"/>
          <w:kern w:val="0"/>
          <w:sz w:val="24"/>
          <w:szCs w:val="24"/>
        </w:rPr>
        <w:t>, Nishino M, Franchetti Y, Ramaiya NH, Van den Abbeele AD, Choueiri TK. Intraobserver and interobserver variability in computed tomography size and attenuation measurements in patients with renal cell carcinoma receiving antiangiogenic therapy: implications for alternative response criteria. </w:t>
      </w:r>
      <w:r w:rsidRPr="00D47250">
        <w:rPr>
          <w:rFonts w:ascii="Book Antiqua" w:hAnsi="Book Antiqua"/>
          <w:i/>
          <w:iCs/>
          <w:color w:val="000000" w:themeColor="text1"/>
          <w:kern w:val="0"/>
          <w:sz w:val="24"/>
          <w:szCs w:val="24"/>
        </w:rPr>
        <w:t>Cancer</w:t>
      </w:r>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120</w:t>
      </w:r>
      <w:r w:rsidRPr="00D47250">
        <w:rPr>
          <w:rFonts w:ascii="Book Antiqua" w:hAnsi="Book Antiqua"/>
          <w:color w:val="000000" w:themeColor="text1"/>
          <w:kern w:val="0"/>
          <w:sz w:val="24"/>
          <w:szCs w:val="24"/>
        </w:rPr>
        <w:t>: 711-721 [PMID: 24264883 DOI: 10.1002/cncr.28493]</w:t>
      </w:r>
    </w:p>
    <w:p w14:paraId="6BB95E41"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22 </w:t>
      </w:r>
      <w:r w:rsidRPr="00D47250">
        <w:rPr>
          <w:rFonts w:ascii="Book Antiqua" w:hAnsi="Book Antiqua"/>
          <w:b/>
          <w:bCs/>
          <w:color w:val="000000" w:themeColor="text1"/>
          <w:kern w:val="0"/>
          <w:sz w:val="24"/>
          <w:szCs w:val="24"/>
        </w:rPr>
        <w:t>Van Assche G</w:t>
      </w:r>
      <w:r w:rsidRPr="00D47250">
        <w:rPr>
          <w:rFonts w:ascii="Book Antiqua" w:hAnsi="Book Antiqua"/>
          <w:color w:val="000000" w:themeColor="text1"/>
          <w:kern w:val="0"/>
          <w:sz w:val="24"/>
          <w:szCs w:val="24"/>
        </w:rPr>
        <w:t xml:space="preserve">, Dignass A, Panes J, Beaugerie L, Karagiannis J, Allez M, Ochsenkühn T, Orchard T, Rogler G, Louis E, Kupcinskas L, Mantzaris G, Travis S, </w:t>
      </w:r>
      <w:r w:rsidRPr="00D47250">
        <w:rPr>
          <w:rFonts w:ascii="Book Antiqua" w:hAnsi="Book Antiqua"/>
          <w:color w:val="000000" w:themeColor="text1"/>
          <w:kern w:val="0"/>
          <w:sz w:val="24"/>
          <w:szCs w:val="24"/>
        </w:rPr>
        <w:lastRenderedPageBreak/>
        <w:t>Stange E; European Crohn's and Colitis Organisation (ECCO). The second European evidence-based Consensus on the diagnosis and management of Crohn's disease: Definitions and diagnosis. </w:t>
      </w:r>
      <w:r w:rsidRPr="00D47250">
        <w:rPr>
          <w:rFonts w:ascii="Book Antiqua" w:hAnsi="Book Antiqua"/>
          <w:i/>
          <w:iCs/>
          <w:color w:val="000000" w:themeColor="text1"/>
          <w:kern w:val="0"/>
          <w:sz w:val="24"/>
          <w:szCs w:val="24"/>
        </w:rPr>
        <w:t>J Crohns Colitis</w:t>
      </w:r>
      <w:r w:rsidRPr="00D47250">
        <w:rPr>
          <w:rFonts w:ascii="Book Antiqua" w:hAnsi="Book Antiqua"/>
          <w:color w:val="000000" w:themeColor="text1"/>
          <w:kern w:val="0"/>
          <w:sz w:val="24"/>
          <w:szCs w:val="24"/>
        </w:rPr>
        <w:t> 2010; </w:t>
      </w:r>
      <w:r w:rsidRPr="00D47250">
        <w:rPr>
          <w:rFonts w:ascii="Book Antiqua" w:hAnsi="Book Antiqua"/>
          <w:b/>
          <w:bCs/>
          <w:color w:val="000000" w:themeColor="text1"/>
          <w:kern w:val="0"/>
          <w:sz w:val="24"/>
          <w:szCs w:val="24"/>
        </w:rPr>
        <w:t>4</w:t>
      </w:r>
      <w:r w:rsidRPr="00D47250">
        <w:rPr>
          <w:rFonts w:ascii="Book Antiqua" w:hAnsi="Book Antiqua"/>
          <w:color w:val="000000" w:themeColor="text1"/>
          <w:kern w:val="0"/>
          <w:sz w:val="24"/>
          <w:szCs w:val="24"/>
        </w:rPr>
        <w:t>: 7-27 [PMID: 21122488 DOI: 10.1016/j.crohns.2009.12.003]</w:t>
      </w:r>
    </w:p>
    <w:p w14:paraId="4161DA73"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23 </w:t>
      </w:r>
      <w:r w:rsidRPr="00D47250">
        <w:rPr>
          <w:rFonts w:ascii="Book Antiqua" w:hAnsi="Book Antiqua"/>
          <w:b/>
          <w:bCs/>
          <w:color w:val="000000" w:themeColor="text1"/>
          <w:kern w:val="0"/>
          <w:sz w:val="24"/>
          <w:szCs w:val="24"/>
        </w:rPr>
        <w:t>Hordonneau C</w:t>
      </w:r>
      <w:r w:rsidRPr="00D47250">
        <w:rPr>
          <w:rFonts w:ascii="Book Antiqua" w:hAnsi="Book Antiqua"/>
          <w:color w:val="000000" w:themeColor="text1"/>
          <w:kern w:val="0"/>
          <w:sz w:val="24"/>
          <w:szCs w:val="24"/>
        </w:rPr>
        <w:t>, Buisson A, Scanzi J, Goutorbe F, Pereira B, Borderon C, Da Ines D, Montoriol PF, Garcier JM, Boyer L, Bommelaer G, Petitcolin V. Diffusion-weighted magnetic resonance imaging in ileocolonic Crohn's disease: validation of quantitative index of activity. </w:t>
      </w:r>
      <w:r w:rsidRPr="00D47250">
        <w:rPr>
          <w:rFonts w:ascii="Book Antiqua" w:hAnsi="Book Antiqua"/>
          <w:i/>
          <w:iCs/>
          <w:color w:val="000000" w:themeColor="text1"/>
          <w:kern w:val="0"/>
          <w:sz w:val="24"/>
          <w:szCs w:val="24"/>
        </w:rPr>
        <w:t>Am J Gastroenterol</w:t>
      </w:r>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109</w:t>
      </w:r>
      <w:r w:rsidRPr="00D47250">
        <w:rPr>
          <w:rFonts w:ascii="Book Antiqua" w:hAnsi="Book Antiqua"/>
          <w:color w:val="000000" w:themeColor="text1"/>
          <w:kern w:val="0"/>
          <w:sz w:val="24"/>
          <w:szCs w:val="24"/>
        </w:rPr>
        <w:t>: 89-98 [PMID: 24247212 DOI: 10.1038/ajg.2013.385]</w:t>
      </w:r>
    </w:p>
    <w:p w14:paraId="62064AE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24 </w:t>
      </w:r>
      <w:r w:rsidRPr="00D47250">
        <w:rPr>
          <w:rFonts w:ascii="Book Antiqua" w:hAnsi="Book Antiqua"/>
          <w:b/>
          <w:bCs/>
          <w:color w:val="000000" w:themeColor="text1"/>
          <w:kern w:val="0"/>
          <w:sz w:val="24"/>
          <w:szCs w:val="24"/>
        </w:rPr>
        <w:t>Cai PQ</w:t>
      </w:r>
      <w:r w:rsidRPr="00D47250">
        <w:rPr>
          <w:rFonts w:ascii="Book Antiqua" w:hAnsi="Book Antiqua"/>
          <w:color w:val="000000" w:themeColor="text1"/>
          <w:kern w:val="0"/>
          <w:sz w:val="24"/>
          <w:szCs w:val="24"/>
        </w:rPr>
        <w:t>, Wu YP, An X, Qiu X, Kong LH, Liu GC, Xie CM, Pan ZZ, Wu PH, Ding PR. Simple measurements on diffusion-weighted MR imaging for assessment of complete response to neoadjuvant chemoradiotherapy in locally advanced rectal cancer. </w:t>
      </w:r>
      <w:r w:rsidRPr="00D47250">
        <w:rPr>
          <w:rFonts w:ascii="Book Antiqua" w:hAnsi="Book Antiqua"/>
          <w:i/>
          <w:iCs/>
          <w:color w:val="000000" w:themeColor="text1"/>
          <w:kern w:val="0"/>
          <w:sz w:val="24"/>
          <w:szCs w:val="24"/>
        </w:rPr>
        <w:t>Eur Radiol</w:t>
      </w:r>
      <w:r w:rsidRPr="00D47250">
        <w:rPr>
          <w:rFonts w:ascii="Book Antiqua" w:hAnsi="Book Antiqua"/>
          <w:color w:val="000000" w:themeColor="text1"/>
          <w:kern w:val="0"/>
          <w:sz w:val="24"/>
          <w:szCs w:val="24"/>
        </w:rPr>
        <w:t> 2014; </w:t>
      </w:r>
      <w:r w:rsidRPr="00D47250">
        <w:rPr>
          <w:rFonts w:ascii="Book Antiqua" w:hAnsi="Book Antiqua"/>
          <w:b/>
          <w:bCs/>
          <w:color w:val="000000" w:themeColor="text1"/>
          <w:kern w:val="0"/>
          <w:sz w:val="24"/>
          <w:szCs w:val="24"/>
        </w:rPr>
        <w:t>24</w:t>
      </w:r>
      <w:r w:rsidRPr="00D47250">
        <w:rPr>
          <w:rFonts w:ascii="Book Antiqua" w:hAnsi="Book Antiqua"/>
          <w:color w:val="000000" w:themeColor="text1"/>
          <w:kern w:val="0"/>
          <w:sz w:val="24"/>
          <w:szCs w:val="24"/>
        </w:rPr>
        <w:t>: 2962-2970 [PMID: 25038851 DOI: 10.1007/s00330-014-3251-5]</w:t>
      </w:r>
    </w:p>
    <w:p w14:paraId="2674C462" w14:textId="6F6CD53B"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25 </w:t>
      </w:r>
      <w:r w:rsidRPr="00D47250">
        <w:rPr>
          <w:rFonts w:ascii="Book Antiqua" w:hAnsi="Book Antiqua"/>
          <w:b/>
          <w:bCs/>
          <w:color w:val="000000" w:themeColor="text1"/>
          <w:kern w:val="0"/>
          <w:sz w:val="24"/>
          <w:szCs w:val="24"/>
        </w:rPr>
        <w:t>Mottola JC</w:t>
      </w:r>
      <w:r w:rsidRPr="00D47250">
        <w:rPr>
          <w:rFonts w:ascii="Book Antiqua" w:hAnsi="Book Antiqua"/>
          <w:color w:val="000000" w:themeColor="text1"/>
          <w:kern w:val="0"/>
          <w:sz w:val="24"/>
          <w:szCs w:val="24"/>
        </w:rPr>
        <w:t>, Sahni VA, Erturk SM, Swanson R, Banks PA, Mortele KJ. Diffusion-weighted MRI of focal cystic pancreatic lesions at 3.0-Tesla: preliminary results. </w:t>
      </w:r>
      <w:r w:rsidRPr="00D47250">
        <w:rPr>
          <w:rFonts w:ascii="Book Antiqua" w:hAnsi="Book Antiqua"/>
          <w:i/>
          <w:iCs/>
          <w:color w:val="000000" w:themeColor="text1"/>
          <w:kern w:val="0"/>
          <w:sz w:val="24"/>
          <w:szCs w:val="24"/>
        </w:rPr>
        <w:t>Abdom Imaging</w:t>
      </w:r>
      <w:r w:rsidR="00401374">
        <w:rPr>
          <w:rFonts w:ascii="Book Antiqua" w:hAnsi="Book Antiqua"/>
          <w:i/>
          <w:iCs/>
          <w:color w:val="000000" w:themeColor="text1"/>
          <w:kern w:val="0"/>
          <w:sz w:val="24"/>
          <w:szCs w:val="24"/>
        </w:rPr>
        <w:t xml:space="preserve"> </w:t>
      </w:r>
      <w:r w:rsidRPr="00D47250">
        <w:rPr>
          <w:rFonts w:ascii="Book Antiqua" w:hAnsi="Book Antiqua"/>
          <w:color w:val="000000" w:themeColor="text1"/>
          <w:kern w:val="0"/>
          <w:sz w:val="24"/>
          <w:szCs w:val="24"/>
        </w:rPr>
        <w:t>2012; </w:t>
      </w:r>
      <w:r w:rsidRPr="00D47250">
        <w:rPr>
          <w:rFonts w:ascii="Book Antiqua" w:hAnsi="Book Antiqua"/>
          <w:b/>
          <w:bCs/>
          <w:color w:val="000000" w:themeColor="text1"/>
          <w:kern w:val="0"/>
          <w:sz w:val="24"/>
          <w:szCs w:val="24"/>
        </w:rPr>
        <w:t>37</w:t>
      </w:r>
      <w:r w:rsidRPr="00D47250">
        <w:rPr>
          <w:rFonts w:ascii="Book Antiqua" w:hAnsi="Book Antiqua"/>
          <w:color w:val="000000" w:themeColor="text1"/>
          <w:kern w:val="0"/>
          <w:sz w:val="24"/>
          <w:szCs w:val="24"/>
        </w:rPr>
        <w:t>: 110-117 [PMID: 21512724 DOI: 10.1007/s00261-011-9737-6]</w:t>
      </w:r>
    </w:p>
    <w:p w14:paraId="689EA11E"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26 </w:t>
      </w:r>
      <w:r w:rsidRPr="00D47250">
        <w:rPr>
          <w:rFonts w:ascii="Book Antiqua" w:hAnsi="Book Antiqua"/>
          <w:b/>
          <w:bCs/>
          <w:color w:val="000000" w:themeColor="text1"/>
          <w:kern w:val="0"/>
          <w:sz w:val="24"/>
          <w:szCs w:val="24"/>
        </w:rPr>
        <w:t>Buisson A</w:t>
      </w:r>
      <w:r w:rsidRPr="00D47250">
        <w:rPr>
          <w:rFonts w:ascii="Book Antiqua" w:hAnsi="Book Antiqua"/>
          <w:color w:val="000000" w:themeColor="text1"/>
          <w:kern w:val="0"/>
          <w:sz w:val="24"/>
          <w:szCs w:val="24"/>
        </w:rPr>
        <w:t>, Joubert A, Montoriol PF, Da Ines D, Hordonneau C, Pereira B, Garcier JM, Bommelaer G, Petitcolin V. Diffusion-weighted magnetic resonance imaging for detecting and assessing ileal inflammation in Crohn's disease. </w:t>
      </w:r>
      <w:r w:rsidRPr="00D47250">
        <w:rPr>
          <w:rFonts w:ascii="Book Antiqua" w:hAnsi="Book Antiqua"/>
          <w:i/>
          <w:iCs/>
          <w:color w:val="000000" w:themeColor="text1"/>
          <w:kern w:val="0"/>
          <w:sz w:val="24"/>
          <w:szCs w:val="24"/>
        </w:rPr>
        <w:t>Aliment Pharmacol Ther</w:t>
      </w:r>
      <w:r w:rsidRPr="00D47250">
        <w:rPr>
          <w:rFonts w:ascii="Book Antiqua" w:hAnsi="Book Antiqua"/>
          <w:color w:val="000000" w:themeColor="text1"/>
          <w:kern w:val="0"/>
          <w:sz w:val="24"/>
          <w:szCs w:val="24"/>
        </w:rPr>
        <w:t> 2013; </w:t>
      </w:r>
      <w:r w:rsidRPr="00D47250">
        <w:rPr>
          <w:rFonts w:ascii="Book Antiqua" w:hAnsi="Book Antiqua"/>
          <w:b/>
          <w:bCs/>
          <w:color w:val="000000" w:themeColor="text1"/>
          <w:kern w:val="0"/>
          <w:sz w:val="24"/>
          <w:szCs w:val="24"/>
        </w:rPr>
        <w:t>37</w:t>
      </w:r>
      <w:r w:rsidRPr="00D47250">
        <w:rPr>
          <w:rFonts w:ascii="Book Antiqua" w:hAnsi="Book Antiqua"/>
          <w:color w:val="000000" w:themeColor="text1"/>
          <w:kern w:val="0"/>
          <w:sz w:val="24"/>
          <w:szCs w:val="24"/>
        </w:rPr>
        <w:t>: 537-545 [PMID: 23289713 DOI: 10.1111/apt.12201]</w:t>
      </w:r>
    </w:p>
    <w:p w14:paraId="2897DA9C"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27 </w:t>
      </w:r>
      <w:r w:rsidRPr="00D47250">
        <w:rPr>
          <w:rFonts w:ascii="Book Antiqua" w:hAnsi="Book Antiqua"/>
          <w:b/>
          <w:bCs/>
          <w:color w:val="000000" w:themeColor="text1"/>
          <w:kern w:val="0"/>
          <w:sz w:val="24"/>
          <w:szCs w:val="24"/>
        </w:rPr>
        <w:t>Choi SH</w:t>
      </w:r>
      <w:r w:rsidRPr="00D47250">
        <w:rPr>
          <w:rFonts w:ascii="Book Antiqua" w:hAnsi="Book Antiqua"/>
          <w:color w:val="000000" w:themeColor="text1"/>
          <w:kern w:val="0"/>
          <w:sz w:val="24"/>
          <w:szCs w:val="24"/>
        </w:rPr>
        <w:t>, Kim KW, Lee JY, Kim KJ, Park SH. Diffusion-weighted Magnetic Resonance Enterography for Evaluating Bowel Inflammation in Crohn's Disease: A Systematic Review and Meta-analysis. </w:t>
      </w:r>
      <w:r w:rsidRPr="00D47250">
        <w:rPr>
          <w:rFonts w:ascii="Book Antiqua" w:hAnsi="Book Antiqua"/>
          <w:i/>
          <w:iCs/>
          <w:color w:val="000000" w:themeColor="text1"/>
          <w:kern w:val="0"/>
          <w:sz w:val="24"/>
          <w:szCs w:val="24"/>
        </w:rPr>
        <w:t>Inflamm Bowel Dis</w:t>
      </w:r>
      <w:r w:rsidRPr="00D47250">
        <w:rPr>
          <w:rFonts w:ascii="Book Antiqua" w:hAnsi="Book Antiqua"/>
          <w:color w:val="000000" w:themeColor="text1"/>
          <w:kern w:val="0"/>
          <w:sz w:val="24"/>
          <w:szCs w:val="24"/>
        </w:rPr>
        <w:t> 2016; </w:t>
      </w:r>
      <w:r w:rsidRPr="00D47250">
        <w:rPr>
          <w:rFonts w:ascii="Book Antiqua" w:hAnsi="Book Antiqua"/>
          <w:b/>
          <w:bCs/>
          <w:color w:val="000000" w:themeColor="text1"/>
          <w:kern w:val="0"/>
          <w:sz w:val="24"/>
          <w:szCs w:val="24"/>
        </w:rPr>
        <w:t>22</w:t>
      </w:r>
      <w:r w:rsidRPr="00D47250">
        <w:rPr>
          <w:rFonts w:ascii="Book Antiqua" w:hAnsi="Book Antiqua"/>
          <w:color w:val="000000" w:themeColor="text1"/>
          <w:kern w:val="0"/>
          <w:sz w:val="24"/>
          <w:szCs w:val="24"/>
        </w:rPr>
        <w:t>: 669-679 [PMID: 26457380 DOI: 10.1097/MIB.0000000000000607]</w:t>
      </w:r>
    </w:p>
    <w:p w14:paraId="64AA5CED"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28 </w:t>
      </w:r>
      <w:r w:rsidRPr="00D47250">
        <w:rPr>
          <w:rFonts w:ascii="Book Antiqua" w:hAnsi="Book Antiqua"/>
          <w:b/>
          <w:bCs/>
          <w:color w:val="000000" w:themeColor="text1"/>
          <w:kern w:val="0"/>
          <w:sz w:val="24"/>
          <w:szCs w:val="24"/>
        </w:rPr>
        <w:t>Sato H</w:t>
      </w:r>
      <w:r w:rsidRPr="00D47250">
        <w:rPr>
          <w:rFonts w:ascii="Book Antiqua" w:hAnsi="Book Antiqua"/>
          <w:color w:val="000000" w:themeColor="text1"/>
          <w:kern w:val="0"/>
          <w:sz w:val="24"/>
          <w:szCs w:val="24"/>
        </w:rPr>
        <w:t>, Tamura C, Narimatsu K, Shimizu M, Takajyo T, Yamashita M, Inoue Y, Ozaki H, Furuhashi H, Maruta K, Yasutake Y, Yoshikawa K, Watanabe C, Komoto S, Tomita K, Nagao S, Miura S, Shinmoto H, Hokari R. Magnetic resonance enterocolonography in detecting erosion and redness in intestinal mucosa of patients with Crohn's disease. </w:t>
      </w:r>
      <w:r w:rsidRPr="00D47250">
        <w:rPr>
          <w:rFonts w:ascii="Book Antiqua" w:hAnsi="Book Antiqua"/>
          <w:i/>
          <w:iCs/>
          <w:color w:val="000000" w:themeColor="text1"/>
          <w:kern w:val="0"/>
          <w:sz w:val="24"/>
          <w:szCs w:val="24"/>
        </w:rPr>
        <w:t>J Gastroenterol Hepatol</w:t>
      </w:r>
      <w:r w:rsidRPr="00D47250">
        <w:rPr>
          <w:rFonts w:ascii="Book Antiqua" w:hAnsi="Book Antiqua"/>
          <w:color w:val="000000" w:themeColor="text1"/>
          <w:kern w:val="0"/>
          <w:sz w:val="24"/>
          <w:szCs w:val="24"/>
        </w:rPr>
        <w:t> 2015; </w:t>
      </w:r>
      <w:r w:rsidRPr="00D47250">
        <w:rPr>
          <w:rFonts w:ascii="Book Antiqua" w:hAnsi="Book Antiqua"/>
          <w:b/>
          <w:bCs/>
          <w:color w:val="000000" w:themeColor="text1"/>
          <w:kern w:val="0"/>
          <w:sz w:val="24"/>
          <w:szCs w:val="24"/>
        </w:rPr>
        <w:t>30</w:t>
      </w:r>
      <w:r w:rsidRPr="00D47250">
        <w:rPr>
          <w:rFonts w:ascii="Book Antiqua" w:hAnsi="Book Antiqua"/>
          <w:color w:val="000000" w:themeColor="text1"/>
          <w:kern w:val="0"/>
          <w:sz w:val="24"/>
          <w:szCs w:val="24"/>
        </w:rPr>
        <w:t>: 667-673 [PMID: 25387770 DOI: 10.1111/jgh.12851]</w:t>
      </w:r>
    </w:p>
    <w:p w14:paraId="76BBCA2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lastRenderedPageBreak/>
        <w:t>29 </w:t>
      </w:r>
      <w:r w:rsidRPr="00D47250">
        <w:rPr>
          <w:rFonts w:ascii="Book Antiqua" w:hAnsi="Book Antiqua"/>
          <w:b/>
          <w:bCs/>
          <w:color w:val="000000" w:themeColor="text1"/>
          <w:kern w:val="0"/>
          <w:sz w:val="24"/>
          <w:szCs w:val="24"/>
        </w:rPr>
        <w:t>Stanescu-Siegmund N</w:t>
      </w:r>
      <w:r w:rsidRPr="00D47250">
        <w:rPr>
          <w:rFonts w:ascii="Book Antiqua" w:hAnsi="Book Antiqua"/>
          <w:color w:val="000000" w:themeColor="text1"/>
          <w:kern w:val="0"/>
          <w:sz w:val="24"/>
          <w:szCs w:val="24"/>
        </w:rPr>
        <w:t>, Nimsch Y, Wunderlich AP, Wagner M, Meier R, Juchems MS, Beer M, Schmidt SA. Quantification of inflammatory activity in patients with Crohn's disease using diffusion weighted imaging (DWI) in MR enteroclysis and MR enterography. </w:t>
      </w:r>
      <w:r w:rsidRPr="00D47250">
        <w:rPr>
          <w:rFonts w:ascii="Book Antiqua" w:hAnsi="Book Antiqua"/>
          <w:i/>
          <w:iCs/>
          <w:color w:val="000000" w:themeColor="text1"/>
          <w:kern w:val="0"/>
          <w:sz w:val="24"/>
          <w:szCs w:val="24"/>
        </w:rPr>
        <w:t>Acta Radiol</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58</w:t>
      </w:r>
      <w:r w:rsidRPr="00D47250">
        <w:rPr>
          <w:rFonts w:ascii="Book Antiqua" w:hAnsi="Book Antiqua"/>
          <w:color w:val="000000" w:themeColor="text1"/>
          <w:kern w:val="0"/>
          <w:sz w:val="24"/>
          <w:szCs w:val="24"/>
        </w:rPr>
        <w:t>: 264-271 [PMID: 27178031 DOI: 10.1177/0284185116648503]</w:t>
      </w:r>
    </w:p>
    <w:p w14:paraId="1D476D79"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30 </w:t>
      </w:r>
      <w:r w:rsidRPr="00D47250">
        <w:rPr>
          <w:rFonts w:ascii="Book Antiqua" w:hAnsi="Book Antiqua"/>
          <w:b/>
          <w:bCs/>
          <w:color w:val="000000" w:themeColor="text1"/>
          <w:kern w:val="0"/>
          <w:sz w:val="24"/>
          <w:szCs w:val="24"/>
        </w:rPr>
        <w:t>Rees MA</w:t>
      </w:r>
      <w:r w:rsidRPr="00D47250">
        <w:rPr>
          <w:rFonts w:ascii="Book Antiqua" w:hAnsi="Book Antiqua"/>
          <w:color w:val="000000" w:themeColor="text1"/>
          <w:kern w:val="0"/>
          <w:sz w:val="24"/>
          <w:szCs w:val="24"/>
        </w:rPr>
        <w:t>, Dillman JR, Anton CG, Rattan MS, Smith EA, Towbin AJ, Zhang B, Trout AT. Inter-radiologist agreement using Society of Abdominal Radiology-American Gastroenterological Association (SAR-AGA) consensus nomenclature for reporting CT and MR enterography in children and young adults with small bowel Crohn disease. </w:t>
      </w:r>
      <w:r w:rsidRPr="00D47250">
        <w:rPr>
          <w:rFonts w:ascii="Book Antiqua" w:hAnsi="Book Antiqua"/>
          <w:i/>
          <w:iCs/>
          <w:color w:val="000000" w:themeColor="text1"/>
          <w:kern w:val="0"/>
          <w:sz w:val="24"/>
          <w:szCs w:val="24"/>
        </w:rPr>
        <w:t xml:space="preserve">Abdom Radiol </w:t>
      </w:r>
      <w:r w:rsidRPr="00D47250">
        <w:rPr>
          <w:rFonts w:ascii="Book Antiqua" w:hAnsi="Book Antiqua"/>
          <w:color w:val="000000" w:themeColor="text1"/>
          <w:kern w:val="0"/>
          <w:sz w:val="24"/>
          <w:szCs w:val="24"/>
        </w:rPr>
        <w:t>(NY) 2019; </w:t>
      </w:r>
      <w:r w:rsidRPr="00D47250">
        <w:rPr>
          <w:rFonts w:ascii="Book Antiqua" w:hAnsi="Book Antiqua"/>
          <w:b/>
          <w:bCs/>
          <w:color w:val="000000" w:themeColor="text1"/>
          <w:kern w:val="0"/>
          <w:sz w:val="24"/>
          <w:szCs w:val="24"/>
        </w:rPr>
        <w:t>44</w:t>
      </w:r>
      <w:r w:rsidRPr="00D47250">
        <w:rPr>
          <w:rFonts w:ascii="Book Antiqua" w:hAnsi="Book Antiqua"/>
          <w:color w:val="000000" w:themeColor="text1"/>
          <w:kern w:val="0"/>
          <w:sz w:val="24"/>
          <w:szCs w:val="24"/>
        </w:rPr>
        <w:t>: 391-397 [PMID: 30120514 DOI: 10.1007/s00261-018-1743-5]</w:t>
      </w:r>
    </w:p>
    <w:p w14:paraId="583F880F" w14:textId="77777777" w:rsidR="00D47250" w:rsidRPr="00D47250" w:rsidRDefault="00D47250" w:rsidP="00D47250">
      <w:pPr>
        <w:autoSpaceDE w:val="0"/>
        <w:autoSpaceDN w:val="0"/>
        <w:adjustRightInd w:val="0"/>
        <w:snapToGrid w:val="0"/>
        <w:spacing w:line="360" w:lineRule="auto"/>
        <w:rPr>
          <w:rFonts w:ascii="Book Antiqua" w:hAnsi="Book Antiqua"/>
          <w:color w:val="000000" w:themeColor="text1"/>
          <w:kern w:val="0"/>
          <w:sz w:val="24"/>
          <w:szCs w:val="24"/>
        </w:rPr>
      </w:pPr>
      <w:r w:rsidRPr="00D47250">
        <w:rPr>
          <w:rFonts w:ascii="Book Antiqua" w:hAnsi="Book Antiqua"/>
          <w:color w:val="000000" w:themeColor="text1"/>
          <w:kern w:val="0"/>
          <w:sz w:val="24"/>
          <w:szCs w:val="24"/>
        </w:rPr>
        <w:t>31 </w:t>
      </w:r>
      <w:r w:rsidRPr="00D47250">
        <w:rPr>
          <w:rFonts w:ascii="Book Antiqua" w:hAnsi="Book Antiqua"/>
          <w:b/>
          <w:bCs/>
          <w:color w:val="000000" w:themeColor="text1"/>
          <w:kern w:val="0"/>
          <w:sz w:val="24"/>
          <w:szCs w:val="24"/>
        </w:rPr>
        <w:t>Kurugol S</w:t>
      </w:r>
      <w:r w:rsidRPr="00D47250">
        <w:rPr>
          <w:rFonts w:ascii="Book Antiqua" w:hAnsi="Book Antiqua"/>
          <w:color w:val="000000" w:themeColor="text1"/>
          <w:kern w:val="0"/>
          <w:sz w:val="24"/>
          <w:szCs w:val="24"/>
        </w:rPr>
        <w:t>, Freiman M, Afacan O, Domachevsky L, Perez-Rossello JM, Callahan MJ, Warfield SK. Motion-robust parameter estimation in abdominal diffusion-weighted MRI by simultaneous image registration and model estimation. </w:t>
      </w:r>
      <w:r w:rsidRPr="00D47250">
        <w:rPr>
          <w:rFonts w:ascii="Book Antiqua" w:hAnsi="Book Antiqua"/>
          <w:i/>
          <w:iCs/>
          <w:color w:val="000000" w:themeColor="text1"/>
          <w:kern w:val="0"/>
          <w:sz w:val="24"/>
          <w:szCs w:val="24"/>
        </w:rPr>
        <w:t>Med Image Anal</w:t>
      </w:r>
      <w:r w:rsidRPr="00D47250">
        <w:rPr>
          <w:rFonts w:ascii="Book Antiqua" w:hAnsi="Book Antiqua"/>
          <w:color w:val="000000" w:themeColor="text1"/>
          <w:kern w:val="0"/>
          <w:sz w:val="24"/>
          <w:szCs w:val="24"/>
        </w:rPr>
        <w:t> 2017; </w:t>
      </w:r>
      <w:r w:rsidRPr="00D47250">
        <w:rPr>
          <w:rFonts w:ascii="Book Antiqua" w:hAnsi="Book Antiqua"/>
          <w:b/>
          <w:bCs/>
          <w:color w:val="000000" w:themeColor="text1"/>
          <w:kern w:val="0"/>
          <w:sz w:val="24"/>
          <w:szCs w:val="24"/>
        </w:rPr>
        <w:t>39</w:t>
      </w:r>
      <w:r w:rsidRPr="00D47250">
        <w:rPr>
          <w:rFonts w:ascii="Book Antiqua" w:hAnsi="Book Antiqua"/>
          <w:color w:val="000000" w:themeColor="text1"/>
          <w:kern w:val="0"/>
          <w:sz w:val="24"/>
          <w:szCs w:val="24"/>
        </w:rPr>
        <w:t>: 124-132 [PMID: 28494271 DOI: 10.1016/j.media.2017.04.006]</w:t>
      </w:r>
    </w:p>
    <w:p w14:paraId="058EB79B" w14:textId="71F0F3CE" w:rsidR="00824F35" w:rsidRDefault="00824F35" w:rsidP="00813AEE">
      <w:pPr>
        <w:autoSpaceDE w:val="0"/>
        <w:autoSpaceDN w:val="0"/>
        <w:adjustRightInd w:val="0"/>
        <w:snapToGrid w:val="0"/>
        <w:spacing w:line="360" w:lineRule="auto"/>
        <w:rPr>
          <w:rFonts w:ascii="Book Antiqua" w:hAnsi="Book Antiqua"/>
          <w:b/>
          <w:iCs/>
          <w:color w:val="000000" w:themeColor="text1"/>
          <w:sz w:val="24"/>
          <w:szCs w:val="24"/>
        </w:rPr>
      </w:pPr>
    </w:p>
    <w:p w14:paraId="37B2D7BC" w14:textId="381A8A21" w:rsidR="008548CD" w:rsidRPr="008548CD" w:rsidRDefault="008548CD" w:rsidP="008548CD">
      <w:pPr>
        <w:widowControl/>
        <w:wordWrap w:val="0"/>
        <w:snapToGrid w:val="0"/>
        <w:spacing w:line="360" w:lineRule="auto"/>
        <w:jc w:val="right"/>
        <w:rPr>
          <w:rFonts w:ascii="Book Antiqua" w:hAnsi="Book Antiqua"/>
          <w:b/>
          <w:bCs/>
          <w:kern w:val="0"/>
          <w:sz w:val="24"/>
          <w:szCs w:val="24"/>
        </w:rPr>
      </w:pPr>
      <w:bookmarkStart w:id="118" w:name="OLE_LINK148"/>
      <w:bookmarkStart w:id="119" w:name="OLE_LINK320"/>
      <w:bookmarkStart w:id="120" w:name="OLE_LINK387"/>
      <w:bookmarkStart w:id="121" w:name="OLE_LINK254"/>
      <w:bookmarkStart w:id="122" w:name="OLE_LINK149"/>
      <w:bookmarkStart w:id="123" w:name="OLE_LINK225"/>
      <w:bookmarkStart w:id="124" w:name="OLE_LINK207"/>
      <w:bookmarkStart w:id="125" w:name="OLE_LINK226"/>
      <w:bookmarkStart w:id="126" w:name="OLE_LINK212"/>
      <w:bookmarkStart w:id="127" w:name="OLE_LINK250"/>
      <w:bookmarkStart w:id="128" w:name="OLE_LINK281"/>
      <w:bookmarkStart w:id="129" w:name="OLE_LINK282"/>
      <w:bookmarkStart w:id="130" w:name="OLE_LINK313"/>
      <w:bookmarkStart w:id="131" w:name="OLE_LINK304"/>
      <w:bookmarkStart w:id="132" w:name="OLE_LINK321"/>
      <w:bookmarkStart w:id="133" w:name="OLE_LINK385"/>
      <w:bookmarkStart w:id="134" w:name="OLE_LINK400"/>
      <w:bookmarkStart w:id="135" w:name="OLE_LINK346"/>
      <w:bookmarkStart w:id="136" w:name="OLE_LINK371"/>
      <w:bookmarkStart w:id="137" w:name="OLE_LINK334"/>
      <w:bookmarkStart w:id="138" w:name="OLE_LINK1830"/>
      <w:bookmarkStart w:id="139" w:name="OLE_LINK457"/>
      <w:bookmarkStart w:id="140" w:name="OLE_LINK288"/>
      <w:bookmarkStart w:id="141" w:name="OLE_LINK384"/>
      <w:bookmarkStart w:id="142" w:name="OLE_LINK379"/>
      <w:bookmarkStart w:id="143" w:name="OLE_LINK303"/>
      <w:bookmarkStart w:id="144" w:name="OLE_LINK450"/>
      <w:bookmarkStart w:id="145" w:name="OLE_LINK489"/>
      <w:bookmarkStart w:id="146" w:name="OLE_LINK535"/>
      <w:bookmarkStart w:id="147" w:name="OLE_LINK648"/>
      <w:bookmarkStart w:id="148" w:name="OLE_LINK686"/>
      <w:bookmarkStart w:id="149" w:name="OLE_LINK471"/>
      <w:bookmarkStart w:id="150" w:name="OLE_LINK462"/>
      <w:bookmarkStart w:id="151" w:name="OLE_LINK519"/>
      <w:bookmarkStart w:id="152" w:name="OLE_LINK575"/>
      <w:bookmarkStart w:id="153" w:name="OLE_LINK491"/>
      <w:bookmarkStart w:id="154" w:name="OLE_LINK532"/>
      <w:bookmarkStart w:id="155" w:name="OLE_LINK572"/>
      <w:bookmarkStart w:id="156" w:name="OLE_LINK574"/>
      <w:bookmarkStart w:id="157" w:name="OLE_LINK480"/>
      <w:bookmarkStart w:id="158" w:name="OLE_LINK567"/>
      <w:bookmarkStart w:id="159" w:name="OLE_LINK2700"/>
      <w:bookmarkStart w:id="160" w:name="OLE_LINK581"/>
      <w:bookmarkStart w:id="161" w:name="OLE_LINK639"/>
      <w:bookmarkStart w:id="162" w:name="OLE_LINK688"/>
      <w:bookmarkStart w:id="163" w:name="OLE_LINK722"/>
      <w:bookmarkStart w:id="164" w:name="OLE_LINK542"/>
      <w:bookmarkStart w:id="165" w:name="OLE_LINK589"/>
      <w:bookmarkStart w:id="166" w:name="OLE_LINK582"/>
      <w:bookmarkStart w:id="167" w:name="OLE_LINK640"/>
      <w:bookmarkStart w:id="168" w:name="OLE_LINK714"/>
      <w:bookmarkStart w:id="169" w:name="OLE_LINK593"/>
      <w:bookmarkStart w:id="170" w:name="OLE_LINK716"/>
      <w:bookmarkStart w:id="171" w:name="OLE_LINK770"/>
      <w:bookmarkStart w:id="172" w:name="OLE_LINK801"/>
      <w:bookmarkStart w:id="173" w:name="OLE_LINK660"/>
      <w:bookmarkStart w:id="174" w:name="OLE_LINK781"/>
      <w:bookmarkStart w:id="175" w:name="OLE_LINK833"/>
      <w:bookmarkStart w:id="176" w:name="OLE_LINK642"/>
      <w:bookmarkStart w:id="177" w:name="OLE_LINK700"/>
      <w:bookmarkStart w:id="178" w:name="OLE_LINK792"/>
      <w:bookmarkStart w:id="179" w:name="OLE_LINK2882"/>
      <w:bookmarkStart w:id="180" w:name="OLE_LINK836"/>
      <w:bookmarkStart w:id="181" w:name="OLE_LINK889"/>
      <w:bookmarkStart w:id="182" w:name="OLE_LINK782"/>
      <w:bookmarkStart w:id="183" w:name="OLE_LINK826"/>
      <w:bookmarkStart w:id="184" w:name="OLE_LINK865"/>
      <w:bookmarkStart w:id="185" w:name="OLE_LINK856"/>
      <w:bookmarkStart w:id="186" w:name="OLE_LINK908"/>
      <w:bookmarkStart w:id="187" w:name="OLE_LINK980"/>
      <w:bookmarkStart w:id="188" w:name="OLE_LINK1018"/>
      <w:bookmarkStart w:id="189" w:name="OLE_LINK1049"/>
      <w:bookmarkStart w:id="190" w:name="OLE_LINK1076"/>
      <w:bookmarkStart w:id="191" w:name="OLE_LINK1106"/>
      <w:bookmarkStart w:id="192" w:name="OLE_LINK891"/>
      <w:bookmarkStart w:id="193" w:name="OLE_LINK943"/>
      <w:bookmarkStart w:id="194" w:name="OLE_LINK981"/>
      <w:bookmarkStart w:id="195" w:name="OLE_LINK1030"/>
      <w:bookmarkStart w:id="196" w:name="OLE_LINK847"/>
      <w:bookmarkStart w:id="197" w:name="OLE_LINK909"/>
      <w:bookmarkStart w:id="198" w:name="OLE_LINK906"/>
      <w:bookmarkStart w:id="199" w:name="OLE_LINK992"/>
      <w:bookmarkStart w:id="200" w:name="OLE_LINK993"/>
      <w:bookmarkStart w:id="201" w:name="OLE_LINK1052"/>
      <w:bookmarkStart w:id="202" w:name="OLE_LINK946"/>
      <w:bookmarkStart w:id="203" w:name="OLE_LINK911"/>
      <w:bookmarkStart w:id="204" w:name="OLE_LINK930"/>
      <w:bookmarkStart w:id="205" w:name="OLE_LINK1059"/>
      <w:bookmarkStart w:id="206" w:name="OLE_LINK1174"/>
      <w:bookmarkStart w:id="207" w:name="OLE_LINK1137"/>
      <w:bookmarkStart w:id="208" w:name="OLE_LINK1167"/>
      <w:bookmarkStart w:id="209" w:name="OLE_LINK1200"/>
      <w:bookmarkStart w:id="210" w:name="OLE_LINK1241"/>
      <w:bookmarkStart w:id="211" w:name="OLE_LINK1288"/>
      <w:bookmarkStart w:id="212" w:name="OLE_LINK1056"/>
      <w:bookmarkStart w:id="213" w:name="OLE_LINK1158"/>
      <w:bookmarkStart w:id="214" w:name="OLE_LINK1175"/>
      <w:bookmarkStart w:id="215" w:name="OLE_LINK1074"/>
      <w:bookmarkStart w:id="216" w:name="OLE_LINK1169"/>
      <w:bookmarkStart w:id="217" w:name="OLE_LINK386"/>
      <w:r w:rsidRPr="008548CD">
        <w:rPr>
          <w:rFonts w:ascii="Book Antiqua" w:hAnsi="Book Antiqua"/>
          <w:b/>
          <w:bCs/>
          <w:kern w:val="0"/>
          <w:sz w:val="24"/>
          <w:szCs w:val="24"/>
        </w:rPr>
        <w:t>P-Reviewer:</w:t>
      </w:r>
      <w:r w:rsidRPr="008548CD">
        <w:rPr>
          <w:rFonts w:ascii="Book Antiqua" w:hAnsi="Book Antiqua" w:hint="eastAsia"/>
          <w:b/>
          <w:bCs/>
          <w:kern w:val="0"/>
          <w:sz w:val="24"/>
          <w:szCs w:val="24"/>
        </w:rPr>
        <w:t xml:space="preserve"> </w:t>
      </w:r>
      <w:r w:rsidRPr="008548CD">
        <w:rPr>
          <w:rFonts w:ascii="Book Antiqua" w:hAnsi="Book Antiqua"/>
          <w:bCs/>
          <w:kern w:val="0"/>
          <w:sz w:val="24"/>
          <w:szCs w:val="24"/>
        </w:rPr>
        <w:t>Bruining</w:t>
      </w:r>
      <w:r>
        <w:rPr>
          <w:rFonts w:ascii="Book Antiqua" w:hAnsi="Book Antiqua"/>
          <w:bCs/>
          <w:kern w:val="0"/>
          <w:sz w:val="24"/>
          <w:szCs w:val="24"/>
        </w:rPr>
        <w:t xml:space="preserve"> DH, </w:t>
      </w:r>
      <w:r w:rsidRPr="008548CD">
        <w:rPr>
          <w:rFonts w:ascii="Book Antiqua" w:hAnsi="Book Antiqua"/>
          <w:bCs/>
          <w:kern w:val="0"/>
          <w:sz w:val="24"/>
          <w:szCs w:val="24"/>
        </w:rPr>
        <w:t>Gallego</w:t>
      </w:r>
      <w:r>
        <w:rPr>
          <w:rFonts w:ascii="Book Antiqua" w:hAnsi="Book Antiqua"/>
          <w:bCs/>
          <w:kern w:val="0"/>
          <w:sz w:val="24"/>
          <w:szCs w:val="24"/>
        </w:rPr>
        <w:t xml:space="preserve"> J, </w:t>
      </w:r>
      <w:r w:rsidRPr="008548CD">
        <w:rPr>
          <w:rFonts w:ascii="Book Antiqua" w:hAnsi="Book Antiqua"/>
          <w:bCs/>
          <w:kern w:val="0"/>
          <w:sz w:val="24"/>
          <w:szCs w:val="24"/>
        </w:rPr>
        <w:t>López-Serrano</w:t>
      </w:r>
      <w:r>
        <w:rPr>
          <w:rFonts w:ascii="Book Antiqua" w:hAnsi="Book Antiqua"/>
          <w:bCs/>
          <w:kern w:val="0"/>
          <w:sz w:val="24"/>
          <w:szCs w:val="24"/>
        </w:rPr>
        <w:t xml:space="preserve"> A</w:t>
      </w:r>
    </w:p>
    <w:p w14:paraId="630B17D8" w14:textId="258B49C0" w:rsidR="008548CD" w:rsidRPr="008548CD" w:rsidRDefault="008548CD" w:rsidP="00496A13">
      <w:pPr>
        <w:widowControl/>
        <w:wordWrap w:val="0"/>
        <w:snapToGrid w:val="0"/>
        <w:spacing w:line="360" w:lineRule="auto"/>
        <w:jc w:val="right"/>
        <w:rPr>
          <w:rFonts w:ascii="Book Antiqua" w:hAnsi="Book Antiqua"/>
          <w:kern w:val="0"/>
          <w:sz w:val="24"/>
          <w:szCs w:val="24"/>
        </w:rPr>
      </w:pPr>
      <w:r w:rsidRPr="008548CD">
        <w:rPr>
          <w:rFonts w:ascii="Book Antiqua" w:hAnsi="Book Antiqua"/>
          <w:b/>
          <w:bCs/>
          <w:kern w:val="0"/>
          <w:sz w:val="24"/>
          <w:szCs w:val="24"/>
        </w:rPr>
        <w:t>S-Editor:</w:t>
      </w:r>
      <w:r w:rsidRPr="008548CD">
        <w:rPr>
          <w:rFonts w:ascii="Book Antiqua" w:hAnsi="Book Antiqua" w:hint="eastAsia"/>
          <w:kern w:val="0"/>
          <w:sz w:val="24"/>
          <w:szCs w:val="24"/>
        </w:rPr>
        <w:t xml:space="preserve"> </w:t>
      </w:r>
      <w:r w:rsidRPr="008548CD">
        <w:rPr>
          <w:rFonts w:ascii="Book Antiqua" w:hAnsi="Book Antiqua"/>
          <w:kern w:val="0"/>
          <w:sz w:val="24"/>
          <w:szCs w:val="24"/>
        </w:rPr>
        <w:t>Ma</w:t>
      </w:r>
      <w:r w:rsidRPr="008548CD">
        <w:rPr>
          <w:rFonts w:ascii="Book Antiqua" w:hAnsi="Book Antiqua" w:hint="eastAsia"/>
          <w:kern w:val="0"/>
          <w:sz w:val="24"/>
          <w:szCs w:val="24"/>
        </w:rPr>
        <w:t xml:space="preserve"> </w:t>
      </w:r>
      <w:r w:rsidRPr="008548CD">
        <w:rPr>
          <w:rFonts w:ascii="Book Antiqua" w:hAnsi="Book Antiqua"/>
          <w:kern w:val="0"/>
          <w:sz w:val="24"/>
          <w:szCs w:val="24"/>
        </w:rPr>
        <w:t>RY</w:t>
      </w:r>
      <w:r w:rsidRPr="008548CD">
        <w:rPr>
          <w:rFonts w:ascii="Book Antiqua" w:hAnsi="Book Antiqua" w:hint="eastAsia"/>
          <w:kern w:val="0"/>
          <w:sz w:val="24"/>
          <w:szCs w:val="24"/>
        </w:rPr>
        <w:t xml:space="preserve"> </w:t>
      </w:r>
      <w:r w:rsidRPr="008548CD">
        <w:rPr>
          <w:rFonts w:ascii="Book Antiqua" w:hAnsi="Book Antiqua"/>
          <w:b/>
          <w:bCs/>
          <w:kern w:val="0"/>
          <w:sz w:val="24"/>
          <w:szCs w:val="24"/>
        </w:rPr>
        <w:t>L-Editor:</w:t>
      </w:r>
      <w:r w:rsidRPr="008548CD">
        <w:rPr>
          <w:rFonts w:ascii="Book Antiqua" w:hAnsi="Book Antiqua"/>
          <w:kern w:val="0"/>
          <w:sz w:val="24"/>
          <w:szCs w:val="24"/>
        </w:rPr>
        <w:t xml:space="preserve"> </w:t>
      </w:r>
      <w:r w:rsidR="006725E5">
        <w:rPr>
          <w:rFonts w:ascii="Book Antiqua" w:hAnsi="Book Antiqua"/>
          <w:kern w:val="0"/>
          <w:sz w:val="24"/>
          <w:szCs w:val="24"/>
        </w:rPr>
        <w:t xml:space="preserve">Wang TQ </w:t>
      </w:r>
      <w:r w:rsidRPr="008548CD">
        <w:rPr>
          <w:rFonts w:ascii="Book Antiqua" w:hAnsi="Book Antiqua"/>
          <w:b/>
          <w:bCs/>
          <w:kern w:val="0"/>
          <w:sz w:val="24"/>
          <w:szCs w:val="24"/>
        </w:rPr>
        <w:t>E-Editor:</w:t>
      </w:r>
    </w:p>
    <w:p w14:paraId="3B9E9D6C"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bookmarkStart w:id="218" w:name="OLE_LINK880"/>
      <w:bookmarkStart w:id="219" w:name="OLE_LINK881"/>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sidRPr="008548CD">
        <w:rPr>
          <w:rFonts w:ascii="Book Antiqua" w:hAnsi="Book Antiqua" w:cs="Helvetica"/>
          <w:b/>
          <w:kern w:val="0"/>
          <w:sz w:val="24"/>
          <w:szCs w:val="24"/>
        </w:rPr>
        <w:t xml:space="preserve">Specialty type: </w:t>
      </w:r>
      <w:r w:rsidRPr="008548CD">
        <w:rPr>
          <w:rFonts w:ascii="Book Antiqua" w:hAnsi="Book Antiqua" w:cs="Helvetica"/>
          <w:kern w:val="0"/>
          <w:sz w:val="24"/>
          <w:szCs w:val="24"/>
        </w:rPr>
        <w:t>Gastroenterology and</w:t>
      </w:r>
      <w:r w:rsidRPr="008548CD">
        <w:rPr>
          <w:rFonts w:ascii="Book Antiqua" w:hAnsi="Book Antiqua" w:cs="Helvetica" w:hint="eastAsia"/>
          <w:kern w:val="0"/>
          <w:sz w:val="24"/>
          <w:szCs w:val="24"/>
        </w:rPr>
        <w:t xml:space="preserve"> </w:t>
      </w:r>
      <w:r w:rsidRPr="008548CD">
        <w:rPr>
          <w:rFonts w:ascii="Book Antiqua" w:hAnsi="Book Antiqua" w:cs="Helvetica"/>
          <w:kern w:val="0"/>
          <w:sz w:val="24"/>
          <w:szCs w:val="24"/>
        </w:rPr>
        <w:t>hepatology</w:t>
      </w:r>
    </w:p>
    <w:p w14:paraId="4F0A1DE9"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r w:rsidRPr="008548CD">
        <w:rPr>
          <w:rFonts w:ascii="Book Antiqua" w:hAnsi="Book Antiqua" w:cs="Helvetica"/>
          <w:b/>
          <w:kern w:val="0"/>
          <w:sz w:val="24"/>
          <w:szCs w:val="24"/>
        </w:rPr>
        <w:t xml:space="preserve">Country of origin: </w:t>
      </w:r>
      <w:r w:rsidRPr="008548CD">
        <w:rPr>
          <w:rFonts w:ascii="Book Antiqua" w:hAnsi="Book Antiqua" w:cs="Helvetica"/>
          <w:kern w:val="0"/>
          <w:sz w:val="24"/>
          <w:szCs w:val="24"/>
        </w:rPr>
        <w:t>China</w:t>
      </w:r>
    </w:p>
    <w:p w14:paraId="522A6024" w14:textId="77777777" w:rsidR="008548CD" w:rsidRPr="008548CD" w:rsidRDefault="008548CD" w:rsidP="008548CD">
      <w:pPr>
        <w:widowControl/>
        <w:shd w:val="clear" w:color="auto" w:fill="FFFFFF"/>
        <w:snapToGrid w:val="0"/>
        <w:spacing w:line="360" w:lineRule="auto"/>
        <w:rPr>
          <w:rFonts w:ascii="Book Antiqua" w:hAnsi="Book Antiqua" w:cs="Helvetica"/>
          <w:b/>
          <w:kern w:val="0"/>
          <w:sz w:val="24"/>
          <w:szCs w:val="24"/>
        </w:rPr>
      </w:pPr>
      <w:r w:rsidRPr="008548CD">
        <w:rPr>
          <w:rFonts w:ascii="Book Antiqua" w:hAnsi="Book Antiqua" w:cs="Helvetica"/>
          <w:b/>
          <w:kern w:val="0"/>
          <w:sz w:val="24"/>
          <w:szCs w:val="24"/>
        </w:rPr>
        <w:t>Peer-review report classification</w:t>
      </w:r>
    </w:p>
    <w:p w14:paraId="3EB71F84" w14:textId="4F1FEB36"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A (Excellent): </w:t>
      </w:r>
      <w:r>
        <w:rPr>
          <w:rFonts w:ascii="Book Antiqua" w:hAnsi="Book Antiqua" w:cs="Helvetica"/>
          <w:kern w:val="0"/>
          <w:sz w:val="24"/>
          <w:szCs w:val="24"/>
        </w:rPr>
        <w:t>A</w:t>
      </w:r>
    </w:p>
    <w:p w14:paraId="1240EE03" w14:textId="77777777"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B (Very good): </w:t>
      </w:r>
      <w:r w:rsidRPr="008548CD">
        <w:rPr>
          <w:rFonts w:ascii="Book Antiqua" w:hAnsi="Book Antiqua" w:cs="Helvetica" w:hint="eastAsia"/>
          <w:kern w:val="0"/>
          <w:sz w:val="24"/>
          <w:szCs w:val="24"/>
        </w:rPr>
        <w:t>B</w:t>
      </w:r>
    </w:p>
    <w:p w14:paraId="5FF7A182" w14:textId="4CEE6884"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C (Good): </w:t>
      </w:r>
      <w:r w:rsidRPr="008548CD">
        <w:rPr>
          <w:rFonts w:ascii="Book Antiqua" w:hAnsi="Book Antiqua" w:cs="Helvetica" w:hint="eastAsia"/>
          <w:kern w:val="0"/>
          <w:sz w:val="24"/>
          <w:szCs w:val="24"/>
        </w:rPr>
        <w:t>C</w:t>
      </w:r>
    </w:p>
    <w:p w14:paraId="39FBEFD0" w14:textId="77777777" w:rsidR="008548CD" w:rsidRPr="008548CD" w:rsidRDefault="008548CD" w:rsidP="008548CD">
      <w:pPr>
        <w:widowControl/>
        <w:shd w:val="clear" w:color="auto" w:fill="FFFFFF"/>
        <w:snapToGrid w:val="0"/>
        <w:spacing w:line="360" w:lineRule="auto"/>
        <w:rPr>
          <w:rFonts w:ascii="Book Antiqua" w:hAnsi="Book Antiqua" w:cs="Helvetica"/>
          <w:kern w:val="0"/>
          <w:sz w:val="24"/>
          <w:szCs w:val="24"/>
        </w:rPr>
      </w:pPr>
      <w:r w:rsidRPr="008548CD">
        <w:rPr>
          <w:rFonts w:ascii="Book Antiqua" w:hAnsi="Book Antiqua" w:cs="Helvetica"/>
          <w:kern w:val="0"/>
          <w:sz w:val="24"/>
          <w:szCs w:val="24"/>
        </w:rPr>
        <w:t xml:space="preserve">Grade D (Fair): </w:t>
      </w:r>
      <w:r w:rsidRPr="008548CD">
        <w:rPr>
          <w:rFonts w:ascii="Book Antiqua" w:hAnsi="Book Antiqua" w:cs="Helvetica" w:hint="eastAsia"/>
          <w:kern w:val="0"/>
          <w:sz w:val="24"/>
          <w:szCs w:val="24"/>
        </w:rPr>
        <w:t>0</w:t>
      </w:r>
    </w:p>
    <w:p w14:paraId="112BD482" w14:textId="77777777" w:rsidR="008548CD" w:rsidRPr="008548CD" w:rsidRDefault="008548CD" w:rsidP="008548CD">
      <w:pPr>
        <w:widowControl/>
        <w:snapToGrid w:val="0"/>
        <w:spacing w:line="360" w:lineRule="auto"/>
        <w:rPr>
          <w:rFonts w:ascii="Book Antiqua" w:hAnsi="Book Antiqua"/>
          <w:b/>
          <w:iCs/>
          <w:kern w:val="0"/>
          <w:sz w:val="24"/>
          <w:szCs w:val="24"/>
        </w:rPr>
      </w:pPr>
      <w:r w:rsidRPr="008548CD">
        <w:rPr>
          <w:rFonts w:ascii="Book Antiqua" w:hAnsi="Book Antiqua" w:cs="Helvetica"/>
          <w:kern w:val="0"/>
          <w:sz w:val="24"/>
          <w:szCs w:val="24"/>
        </w:rPr>
        <w:t xml:space="preserve">Grade E (Poor): </w:t>
      </w:r>
      <w:r w:rsidRPr="008548CD">
        <w:rPr>
          <w:rFonts w:ascii="Book Antiqua" w:hAnsi="Book Antiqua" w:cs="Helvetica" w:hint="eastAsia"/>
          <w:kern w:val="0"/>
          <w:sz w:val="24"/>
          <w:szCs w:val="24"/>
        </w:rPr>
        <w:t>0</w:t>
      </w:r>
      <w:bookmarkEnd w:id="217"/>
      <w:bookmarkEnd w:id="218"/>
      <w:bookmarkEnd w:id="219"/>
    </w:p>
    <w:p w14:paraId="43C61D92" w14:textId="77777777" w:rsidR="00D47250" w:rsidRPr="00813AEE" w:rsidRDefault="00D47250" w:rsidP="00813AEE">
      <w:pPr>
        <w:autoSpaceDE w:val="0"/>
        <w:autoSpaceDN w:val="0"/>
        <w:adjustRightInd w:val="0"/>
        <w:snapToGrid w:val="0"/>
        <w:spacing w:line="360" w:lineRule="auto"/>
        <w:rPr>
          <w:rFonts w:ascii="Book Antiqua" w:hAnsi="Book Antiqua"/>
          <w:b/>
          <w:iCs/>
          <w:color w:val="000000" w:themeColor="text1"/>
          <w:sz w:val="24"/>
          <w:szCs w:val="24"/>
        </w:rPr>
      </w:pPr>
    </w:p>
    <w:bookmarkEnd w:id="116"/>
    <w:bookmarkEnd w:id="117"/>
    <w:p w14:paraId="3F366B85" w14:textId="4A31285C" w:rsidR="00DD5A5C" w:rsidRPr="00813AEE" w:rsidRDefault="00824F3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b/>
          <w:color w:val="000000" w:themeColor="text1"/>
          <w:sz w:val="24"/>
          <w:szCs w:val="24"/>
        </w:rPr>
        <w:br w:type="page"/>
      </w:r>
      <w:r w:rsidR="00DD5A5C" w:rsidRPr="00813AEE">
        <w:rPr>
          <w:rFonts w:ascii="Book Antiqua" w:hAnsi="Book Antiqua"/>
          <w:color w:val="000000" w:themeColor="text1"/>
          <w:sz w:val="24"/>
          <w:szCs w:val="24"/>
        </w:rPr>
        <w:lastRenderedPageBreak/>
        <w:t xml:space="preserve"> </w:t>
      </w:r>
      <w:r w:rsidR="00566E5A" w:rsidRPr="00813AEE">
        <w:rPr>
          <w:rFonts w:ascii="Book Antiqua" w:hAnsi="Book Antiqua"/>
          <w:noProof/>
          <w:color w:val="000000" w:themeColor="text1"/>
          <w:sz w:val="24"/>
          <w:szCs w:val="24"/>
        </w:rPr>
        <w:drawing>
          <wp:inline distT="0" distB="0" distL="0" distR="0" wp14:anchorId="5AE63573" wp14:editId="48F7FF95">
            <wp:extent cx="5731510" cy="38887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888740"/>
                    </a:xfrm>
                    <a:prstGeom prst="rect">
                      <a:avLst/>
                    </a:prstGeom>
                  </pic:spPr>
                </pic:pic>
              </a:graphicData>
            </a:graphic>
          </wp:inline>
        </w:drawing>
      </w:r>
    </w:p>
    <w:p w14:paraId="256FF332" w14:textId="5F1B1BDC" w:rsidR="00541BD7" w:rsidRPr="00813AEE" w:rsidRDefault="00541BD7" w:rsidP="00813AEE">
      <w:pPr>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1 Flow chart illustrating study design. </w:t>
      </w:r>
      <w:r w:rsidRPr="00813AEE">
        <w:rPr>
          <w:rFonts w:ascii="Book Antiqua" w:hAnsi="Book Antiqua"/>
          <w:color w:val="000000" w:themeColor="text1"/>
          <w:sz w:val="24"/>
          <w:szCs w:val="24"/>
        </w:rPr>
        <w:t xml:space="preserve">DWI: </w:t>
      </w:r>
      <w:r w:rsidR="007448D5">
        <w:rPr>
          <w:rFonts w:ascii="Book Antiqua" w:hAnsi="Book Antiqua"/>
          <w:color w:val="000000" w:themeColor="text1"/>
          <w:sz w:val="24"/>
          <w:szCs w:val="24"/>
        </w:rPr>
        <w:t>D</w:t>
      </w:r>
      <w:r w:rsidRPr="00813AEE">
        <w:rPr>
          <w:rFonts w:ascii="Book Antiqua" w:hAnsi="Book Antiqua"/>
          <w:color w:val="000000" w:themeColor="text1"/>
          <w:sz w:val="24"/>
          <w:szCs w:val="24"/>
        </w:rPr>
        <w:t xml:space="preserve">iffusion weighted imaging; CD: </w:t>
      </w:r>
      <w:r w:rsidR="002975A4" w:rsidRPr="00813AEE">
        <w:rPr>
          <w:rFonts w:ascii="Book Antiqua" w:hAnsi="Book Antiqua"/>
          <w:color w:val="000000" w:themeColor="text1"/>
          <w:sz w:val="24"/>
          <w:szCs w:val="24"/>
        </w:rPr>
        <w:t>Crohn’s</w:t>
      </w:r>
      <w:r w:rsidRPr="00813AEE">
        <w:rPr>
          <w:rFonts w:ascii="Book Antiqua" w:hAnsi="Book Antiqua"/>
          <w:color w:val="000000" w:themeColor="text1"/>
          <w:sz w:val="24"/>
          <w:szCs w:val="24"/>
        </w:rPr>
        <w:t xml:space="preserve"> disease.</w:t>
      </w:r>
    </w:p>
    <w:p w14:paraId="25C7ACC7" w14:textId="77777777" w:rsidR="00DD5A5C" w:rsidRPr="00813AEE" w:rsidRDefault="002C3092"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olor w:val="000000" w:themeColor="text1"/>
          <w:kern w:val="0"/>
          <w:sz w:val="24"/>
          <w:szCs w:val="24"/>
        </w:rPr>
        <w:br w:type="page"/>
      </w:r>
    </w:p>
    <w:p w14:paraId="783C1180" w14:textId="53E869B6" w:rsidR="00DD5A5C" w:rsidRPr="00813AEE" w:rsidRDefault="004F5C7B"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noProof/>
          <w:color w:val="000000" w:themeColor="text1"/>
          <w:sz w:val="24"/>
          <w:szCs w:val="24"/>
        </w:rPr>
        <w:lastRenderedPageBreak/>
        <w:drawing>
          <wp:inline distT="0" distB="0" distL="0" distR="0" wp14:anchorId="51FEF1D2" wp14:editId="3A085F09">
            <wp:extent cx="4248269" cy="3331597"/>
            <wp:effectExtent l="0" t="0" r="0" b="2540"/>
            <wp:docPr id="14" name="图片 14" descr="E:\EJR\投稿文件夹\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JR\投稿文件夹\Fig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1043" cy="3333772"/>
                    </a:xfrm>
                    <a:prstGeom prst="rect">
                      <a:avLst/>
                    </a:prstGeom>
                    <a:noFill/>
                    <a:ln>
                      <a:noFill/>
                    </a:ln>
                  </pic:spPr>
                </pic:pic>
              </a:graphicData>
            </a:graphic>
          </wp:inline>
        </w:drawing>
      </w:r>
    </w:p>
    <w:p w14:paraId="33785915" w14:textId="31254BC5" w:rsidR="00DD5A5C" w:rsidRPr="00813AEE" w:rsidRDefault="00DD5A5C"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Fig</w:t>
      </w:r>
      <w:r w:rsidR="002C3092" w:rsidRPr="00813AEE">
        <w:rPr>
          <w:rFonts w:ascii="Book Antiqua" w:hAnsi="Book Antiqua" w:cs="Book Antiqua"/>
          <w:b/>
          <w:bCs/>
          <w:color w:val="000000" w:themeColor="text1"/>
          <w:sz w:val="24"/>
          <w:szCs w:val="24"/>
        </w:rPr>
        <w:t xml:space="preserve">ure </w:t>
      </w:r>
      <w:r w:rsidR="00541BD7" w:rsidRPr="00813AEE">
        <w:rPr>
          <w:rFonts w:ascii="Book Antiqua" w:hAnsi="Book Antiqua" w:cs="Book Antiqua"/>
          <w:b/>
          <w:bCs/>
          <w:color w:val="000000" w:themeColor="text1"/>
          <w:sz w:val="24"/>
          <w:szCs w:val="24"/>
        </w:rPr>
        <w:t xml:space="preserve">2 A 48-year-old man with </w:t>
      </w:r>
      <w:r w:rsidR="002975A4" w:rsidRPr="00813AEE">
        <w:rPr>
          <w:rFonts w:ascii="Book Antiqua" w:hAnsi="Book Antiqua" w:cs="Book Antiqua"/>
          <w:b/>
          <w:bCs/>
          <w:color w:val="000000" w:themeColor="text1"/>
          <w:sz w:val="24"/>
          <w:szCs w:val="24"/>
        </w:rPr>
        <w:t>Crohn’s</w:t>
      </w:r>
      <w:r w:rsidR="008C4461" w:rsidRPr="00813AEE">
        <w:rPr>
          <w:rFonts w:ascii="Book Antiqua" w:hAnsi="Book Antiqua" w:cs="Book Antiqua"/>
          <w:b/>
          <w:bCs/>
          <w:color w:val="000000" w:themeColor="text1"/>
          <w:sz w:val="24"/>
          <w:szCs w:val="24"/>
        </w:rPr>
        <w:t xml:space="preserve"> disease</w:t>
      </w:r>
      <w:r w:rsidR="00541BD7" w:rsidRPr="00813AEE">
        <w:rPr>
          <w:rFonts w:ascii="Book Antiqua" w:hAnsi="Book Antiqua" w:cs="Book Antiqua"/>
          <w:b/>
          <w:bCs/>
          <w:color w:val="000000" w:themeColor="text1"/>
          <w:sz w:val="24"/>
          <w:szCs w:val="24"/>
        </w:rPr>
        <w:t xml:space="preserve"> involving </w:t>
      </w:r>
      <w:r w:rsidR="006725E5">
        <w:rPr>
          <w:rFonts w:ascii="Book Antiqua" w:hAnsi="Book Antiqua" w:cs="Book Antiqua"/>
          <w:b/>
          <w:bCs/>
          <w:color w:val="000000" w:themeColor="text1"/>
          <w:sz w:val="24"/>
          <w:szCs w:val="24"/>
        </w:rPr>
        <w:t xml:space="preserve">the </w:t>
      </w:r>
      <w:r w:rsidR="00541BD7" w:rsidRPr="00813AEE">
        <w:rPr>
          <w:rFonts w:ascii="Book Antiqua" w:hAnsi="Book Antiqua" w:cs="Book Antiqua"/>
          <w:b/>
          <w:bCs/>
          <w:color w:val="000000" w:themeColor="text1"/>
          <w:sz w:val="24"/>
          <w:szCs w:val="24"/>
        </w:rPr>
        <w:t>terminal ileum.</w:t>
      </w:r>
      <w:r w:rsidRPr="00813AEE">
        <w:rPr>
          <w:rFonts w:ascii="Book Antiqua" w:hAnsi="Book Antiqua"/>
          <w:b/>
          <w:bCs/>
          <w:color w:val="000000" w:themeColor="text1"/>
          <w:kern w:val="0"/>
          <w:sz w:val="24"/>
          <w:szCs w:val="24"/>
        </w:rPr>
        <w:t xml:space="preserve"> </w:t>
      </w:r>
      <w:r w:rsidR="00541BD7" w:rsidRPr="00813AEE">
        <w:rPr>
          <w:rFonts w:ascii="Book Antiqua" w:hAnsi="Book Antiqua"/>
          <w:color w:val="000000" w:themeColor="text1"/>
          <w:sz w:val="24"/>
          <w:szCs w:val="24"/>
        </w:rPr>
        <w:t xml:space="preserve">A: Axial </w:t>
      </w:r>
      <w:r w:rsidR="006725E5">
        <w:rPr>
          <w:rFonts w:ascii="Book Antiqua" w:hAnsi="Book Antiqua"/>
          <w:color w:val="000000" w:themeColor="text1"/>
          <w:sz w:val="24"/>
          <w:szCs w:val="24"/>
        </w:rPr>
        <w:t>d</w:t>
      </w:r>
      <w:r w:rsidR="006725E5" w:rsidRPr="00813AEE">
        <w:rPr>
          <w:rFonts w:ascii="Book Antiqua" w:hAnsi="Book Antiqua"/>
          <w:color w:val="000000" w:themeColor="text1"/>
          <w:sz w:val="24"/>
          <w:szCs w:val="24"/>
        </w:rPr>
        <w:t>iffusion</w:t>
      </w:r>
      <w:r w:rsidR="006725E5">
        <w:rPr>
          <w:rFonts w:ascii="Book Antiqua" w:hAnsi="Book Antiqua"/>
          <w:color w:val="000000" w:themeColor="text1"/>
          <w:sz w:val="24"/>
          <w:szCs w:val="24"/>
        </w:rPr>
        <w:t>-</w:t>
      </w:r>
      <w:r w:rsidR="007448D5" w:rsidRPr="00813AEE">
        <w:rPr>
          <w:rFonts w:ascii="Book Antiqua" w:hAnsi="Book Antiqua"/>
          <w:color w:val="000000" w:themeColor="text1"/>
          <w:sz w:val="24"/>
          <w:szCs w:val="24"/>
        </w:rPr>
        <w:t>weighted imaging</w:t>
      </w:r>
      <w:r w:rsidR="00541BD7" w:rsidRPr="00813AEE">
        <w:rPr>
          <w:rFonts w:ascii="Book Antiqua" w:hAnsi="Book Antiqua"/>
          <w:color w:val="000000" w:themeColor="text1"/>
          <w:sz w:val="24"/>
          <w:szCs w:val="24"/>
        </w:rPr>
        <w:t xml:space="preserve"> with b = 800 s/mm</w:t>
      </w:r>
      <w:r w:rsidR="00541BD7" w:rsidRPr="00813AEE">
        <w:rPr>
          <w:rFonts w:ascii="Book Antiqua" w:hAnsi="Book Antiqua"/>
          <w:color w:val="000000" w:themeColor="text1"/>
          <w:sz w:val="24"/>
          <w:szCs w:val="24"/>
          <w:vertAlign w:val="superscript"/>
        </w:rPr>
        <w:t>2</w:t>
      </w:r>
      <w:r w:rsidR="00541BD7" w:rsidRPr="00813AEE">
        <w:rPr>
          <w:rFonts w:ascii="Book Antiqua" w:hAnsi="Book Antiqua"/>
          <w:color w:val="000000" w:themeColor="text1"/>
          <w:sz w:val="24"/>
          <w:szCs w:val="24"/>
        </w:rPr>
        <w:t xml:space="preserve"> demonstrated high si</w:t>
      </w:r>
      <w:r w:rsidR="006725E5">
        <w:rPr>
          <w:rFonts w:ascii="Book Antiqua" w:hAnsi="Book Antiqua"/>
          <w:color w:val="000000" w:themeColor="text1"/>
          <w:sz w:val="24"/>
          <w:szCs w:val="24"/>
        </w:rPr>
        <w:t>g</w:t>
      </w:r>
      <w:r w:rsidR="00541BD7" w:rsidRPr="00813AEE">
        <w:rPr>
          <w:rFonts w:ascii="Book Antiqua" w:hAnsi="Book Antiqua"/>
          <w:color w:val="000000" w:themeColor="text1"/>
          <w:sz w:val="24"/>
          <w:szCs w:val="24"/>
        </w:rPr>
        <w:t xml:space="preserve">nal intensity of the terminal ileum (arrow). B: The terminal ileum was </w:t>
      </w:r>
      <w:r w:rsidR="006725E5" w:rsidRPr="00813AEE">
        <w:rPr>
          <w:rFonts w:ascii="Book Antiqua" w:hAnsi="Book Antiqua"/>
          <w:color w:val="000000" w:themeColor="text1"/>
          <w:sz w:val="24"/>
          <w:szCs w:val="24"/>
        </w:rPr>
        <w:t>hypointens</w:t>
      </w:r>
      <w:r w:rsidR="006725E5">
        <w:rPr>
          <w:rFonts w:ascii="Book Antiqua" w:hAnsi="Book Antiqua"/>
          <w:color w:val="000000" w:themeColor="text1"/>
          <w:sz w:val="24"/>
          <w:szCs w:val="24"/>
        </w:rPr>
        <w:t xml:space="preserve">e </w:t>
      </w:r>
      <w:r w:rsidR="00541BD7" w:rsidRPr="00813AEE">
        <w:rPr>
          <w:rFonts w:ascii="Book Antiqua" w:hAnsi="Book Antiqua"/>
          <w:color w:val="000000" w:themeColor="text1"/>
          <w:sz w:val="24"/>
          <w:szCs w:val="24"/>
        </w:rPr>
        <w:t xml:space="preserve">(arrow) on the corresponding </w:t>
      </w:r>
      <w:r w:rsidR="00257942" w:rsidRPr="00813AEE">
        <w:rPr>
          <w:rFonts w:ascii="Book Antiqua" w:hAnsi="Book Antiqua"/>
          <w:color w:val="000000" w:themeColor="text1"/>
          <w:sz w:val="24"/>
          <w:szCs w:val="24"/>
        </w:rPr>
        <w:t>apparent diffusion coefficient</w:t>
      </w:r>
      <w:r w:rsidR="00541BD7" w:rsidRPr="00813AEE">
        <w:rPr>
          <w:rFonts w:ascii="Book Antiqua" w:hAnsi="Book Antiqua"/>
          <w:color w:val="000000" w:themeColor="text1"/>
          <w:sz w:val="24"/>
          <w:szCs w:val="24"/>
        </w:rPr>
        <w:t xml:space="preserve"> map. C: Ileocolonoscopy showed mucosal ulcers. D: Histopathology demonstrated neutrophil infiltration</w:t>
      </w:r>
      <w:r w:rsidRPr="00813AEE">
        <w:rPr>
          <w:rFonts w:ascii="Book Antiqua" w:hAnsi="Book Antiqua"/>
          <w:color w:val="000000" w:themeColor="text1"/>
          <w:sz w:val="24"/>
          <w:szCs w:val="24"/>
        </w:rPr>
        <w:t>.</w:t>
      </w:r>
    </w:p>
    <w:p w14:paraId="2AFE3E97" w14:textId="77777777" w:rsidR="00DD5A5C" w:rsidRPr="00813AEE" w:rsidRDefault="00AE1D22"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76B3F707" w14:textId="1BEC3EC6" w:rsidR="00DD5A5C" w:rsidRPr="00813AEE" w:rsidRDefault="004F5C7B" w:rsidP="00813AEE">
      <w:pPr>
        <w:autoSpaceDE w:val="0"/>
        <w:autoSpaceDN w:val="0"/>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noProof/>
          <w:color w:val="000000" w:themeColor="text1"/>
          <w:sz w:val="24"/>
          <w:szCs w:val="24"/>
        </w:rPr>
        <w:lastRenderedPageBreak/>
        <w:drawing>
          <wp:inline distT="0" distB="0" distL="0" distR="0" wp14:anchorId="2A651187" wp14:editId="7F8B6FE8">
            <wp:extent cx="5723890" cy="8360410"/>
            <wp:effectExtent l="0" t="0" r="0" b="2540"/>
            <wp:docPr id="12" name="图片 12" descr="E:\ART-SELECT\1WJG\acta\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T-SELECT\1WJG\acta\Fig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3890" cy="8360410"/>
                    </a:xfrm>
                    <a:prstGeom prst="rect">
                      <a:avLst/>
                    </a:prstGeom>
                    <a:noFill/>
                    <a:ln>
                      <a:noFill/>
                    </a:ln>
                  </pic:spPr>
                </pic:pic>
              </a:graphicData>
            </a:graphic>
          </wp:inline>
        </w:drawing>
      </w:r>
      <w:r w:rsidR="000F7142" w:rsidRPr="00813AEE">
        <w:rPr>
          <w:rFonts w:ascii="Book Antiqua" w:hAnsi="Book Antiqua" w:cs="Book Antiqua"/>
          <w:b/>
          <w:bCs/>
          <w:color w:val="000000" w:themeColor="text1"/>
          <w:sz w:val="24"/>
          <w:szCs w:val="24"/>
        </w:rPr>
        <w:t xml:space="preserve"> </w:t>
      </w:r>
    </w:p>
    <w:p w14:paraId="7118AF04" w14:textId="4870CBA4" w:rsidR="00DD5A5C" w:rsidRPr="00813AEE" w:rsidRDefault="00AE1D22"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w:t>
      </w:r>
      <w:r w:rsidR="00541BD7" w:rsidRPr="00813AEE">
        <w:rPr>
          <w:rFonts w:ascii="Book Antiqua" w:hAnsi="Book Antiqua" w:cs="Book Antiqua"/>
          <w:b/>
          <w:bCs/>
          <w:color w:val="000000" w:themeColor="text1"/>
          <w:sz w:val="24"/>
          <w:szCs w:val="24"/>
        </w:rPr>
        <w:t xml:space="preserve">3 Bland-Altman plots of intraobserver agreement between 2 </w:t>
      </w:r>
      <w:r w:rsidR="006725E5">
        <w:rPr>
          <w:rFonts w:ascii="Book Antiqua" w:hAnsi="Book Antiqua" w:cs="Book Antiqua"/>
          <w:b/>
          <w:bCs/>
          <w:color w:val="000000" w:themeColor="text1"/>
          <w:sz w:val="24"/>
          <w:szCs w:val="24"/>
        </w:rPr>
        <w:t>two</w:t>
      </w:r>
      <w:r w:rsidR="006725E5" w:rsidRPr="00813AEE">
        <w:rPr>
          <w:rFonts w:ascii="Book Antiqua" w:hAnsi="Book Antiqua" w:cs="Book Antiqua"/>
          <w:b/>
          <w:bCs/>
          <w:color w:val="000000" w:themeColor="text1"/>
          <w:sz w:val="24"/>
          <w:szCs w:val="24"/>
        </w:rPr>
        <w:t xml:space="preserve"> </w:t>
      </w:r>
      <w:r w:rsidR="00541BD7" w:rsidRPr="00813AEE">
        <w:rPr>
          <w:rFonts w:ascii="Book Antiqua" w:hAnsi="Book Antiqua" w:cs="Book Antiqua"/>
          <w:b/>
          <w:bCs/>
          <w:color w:val="000000" w:themeColor="text1"/>
          <w:sz w:val="24"/>
          <w:szCs w:val="24"/>
        </w:rPr>
        <w:t xml:space="preserve">sessions of </w:t>
      </w:r>
      <w:r w:rsidR="00541BD7" w:rsidRPr="00813AEE">
        <w:rPr>
          <w:rFonts w:ascii="Book Antiqua" w:hAnsi="Book Antiqua" w:cs="Book Antiqua"/>
          <w:b/>
          <w:bCs/>
          <w:color w:val="000000" w:themeColor="text1"/>
          <w:sz w:val="24"/>
          <w:szCs w:val="24"/>
        </w:rPr>
        <w:lastRenderedPageBreak/>
        <w:t>two readers.</w:t>
      </w:r>
      <w:r w:rsidR="00DD5A5C" w:rsidRPr="00813AEE">
        <w:rPr>
          <w:rFonts w:ascii="Book Antiqua" w:hAnsi="Book Antiqua"/>
          <w:color w:val="000000" w:themeColor="text1"/>
          <w:kern w:val="0"/>
          <w:sz w:val="24"/>
          <w:szCs w:val="24"/>
        </w:rPr>
        <w:t xml:space="preserve"> </w:t>
      </w:r>
      <w:r w:rsidR="00541BD7" w:rsidRPr="00813AEE">
        <w:rPr>
          <w:rFonts w:ascii="Book Antiqua" w:hAnsi="Book Antiqua" w:cs="Book Antiqua"/>
          <w:color w:val="000000" w:themeColor="text1"/>
          <w:sz w:val="24"/>
          <w:szCs w:val="24"/>
        </w:rPr>
        <w:t xml:space="preserve">Bland-Altman 95% limits of agreement with </w:t>
      </w:r>
      <w:r w:rsidR="007448D5" w:rsidRPr="00813AEE">
        <w:rPr>
          <w:rFonts w:ascii="Book Antiqua" w:hAnsi="Book Antiqua"/>
          <w:color w:val="000000" w:themeColor="text1"/>
          <w:sz w:val="24"/>
          <w:szCs w:val="24"/>
        </w:rPr>
        <w:t>diffusion weighted imaging</w:t>
      </w:r>
      <w:r w:rsidR="00541BD7" w:rsidRPr="00813AEE">
        <w:rPr>
          <w:rFonts w:ascii="Book Antiqua" w:hAnsi="Book Antiqua" w:cs="Book Antiqua"/>
          <w:color w:val="000000" w:themeColor="text1"/>
          <w:sz w:val="24"/>
          <w:szCs w:val="24"/>
        </w:rPr>
        <w:t xml:space="preserve"> parameters including </w:t>
      </w:r>
      <w:r w:rsidR="007448D5" w:rsidRPr="00813AEE">
        <w:rPr>
          <w:rFonts w:ascii="Book Antiqua" w:hAnsi="Book Antiqua" w:cs="Book Antiqua"/>
          <w:color w:val="000000" w:themeColor="text1"/>
          <w:sz w:val="24"/>
          <w:szCs w:val="24"/>
        </w:rPr>
        <w:t>apparent diffusion coefficient</w:t>
      </w:r>
      <w:r w:rsidR="00541BD7" w:rsidRPr="00813AEE">
        <w:rPr>
          <w:rFonts w:ascii="Book Antiqua" w:hAnsi="Book Antiqua" w:cs="Book Antiqua"/>
          <w:color w:val="000000" w:themeColor="text1"/>
          <w:sz w:val="24"/>
          <w:szCs w:val="24"/>
        </w:rPr>
        <w:t xml:space="preserve"> and </w:t>
      </w:r>
      <w:r w:rsidR="007448D5" w:rsidRPr="00813AEE">
        <w:rPr>
          <w:rFonts w:ascii="Book Antiqua" w:hAnsi="Book Antiqua" w:cs="Book Antiqua"/>
          <w:color w:val="000000" w:themeColor="text1"/>
          <w:sz w:val="24"/>
          <w:szCs w:val="24"/>
        </w:rPr>
        <w:t>signal ratio</w:t>
      </w:r>
      <w:r w:rsidR="00541BD7" w:rsidRPr="00813AEE">
        <w:rPr>
          <w:rFonts w:ascii="Book Antiqua" w:hAnsi="Book Antiqua" w:cs="Book Antiqua"/>
          <w:color w:val="000000" w:themeColor="text1"/>
          <w:sz w:val="24"/>
          <w:szCs w:val="24"/>
        </w:rPr>
        <w:t xml:space="preserve"> from the </w:t>
      </w:r>
      <w:r w:rsidR="007448D5" w:rsidRPr="00813AEE">
        <w:rPr>
          <w:rFonts w:ascii="Book Antiqua" w:hAnsi="Book Antiqua" w:cs="Book Antiqua"/>
          <w:color w:val="000000" w:themeColor="text1"/>
          <w:sz w:val="24"/>
          <w:szCs w:val="24"/>
        </w:rPr>
        <w:t>Crohn’s disease</w:t>
      </w:r>
      <w:r w:rsidR="00541BD7" w:rsidRPr="00813AEE">
        <w:rPr>
          <w:rFonts w:ascii="Book Antiqua" w:hAnsi="Book Antiqua" w:cs="Book Antiqua"/>
          <w:color w:val="000000" w:themeColor="text1"/>
          <w:sz w:val="24"/>
          <w:szCs w:val="24"/>
        </w:rPr>
        <w:t xml:space="preserve"> group and normal group. The solid line represents the mean relative difference as a percentage and the dashed lines represent the upper and lower 95% limits of agreement. </w:t>
      </w:r>
      <w:r w:rsidR="00257942"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257942"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257942" w:rsidRPr="00813AEE">
        <w:rPr>
          <w:rFonts w:ascii="Book Antiqua" w:hAnsi="Book Antiqua" w:cs="Book Antiqua"/>
          <w:color w:val="000000" w:themeColor="text1"/>
          <w:sz w:val="24"/>
          <w:szCs w:val="24"/>
        </w:rPr>
        <w:t xml:space="preserve">ignal ratio; CD: Crohn’s disease; SD: </w:t>
      </w:r>
      <w:r w:rsidR="007448D5">
        <w:rPr>
          <w:rFonts w:ascii="Book Antiqua" w:hAnsi="Book Antiqua" w:cs="Book Antiqua"/>
          <w:color w:val="000000" w:themeColor="text1"/>
          <w:sz w:val="24"/>
          <w:szCs w:val="24"/>
        </w:rPr>
        <w:t>S</w:t>
      </w:r>
      <w:r w:rsidR="00257942" w:rsidRPr="00813AEE">
        <w:rPr>
          <w:rFonts w:ascii="Book Antiqua" w:hAnsi="Book Antiqua" w:cs="Book Antiqua"/>
          <w:color w:val="000000" w:themeColor="text1"/>
          <w:sz w:val="24"/>
          <w:szCs w:val="24"/>
        </w:rPr>
        <w:t xml:space="preserve">tandard deviation; </w:t>
      </w:r>
      <w:r w:rsidR="00541BD7" w:rsidRPr="00813AEE">
        <w:rPr>
          <w:rFonts w:ascii="Book Antiqua" w:hAnsi="Book Antiqua" w:cs="Book Antiqua"/>
          <w:color w:val="000000" w:themeColor="text1"/>
          <w:sz w:val="24"/>
          <w:szCs w:val="24"/>
        </w:rPr>
        <w:t xml:space="preserve">R1S1: </w:t>
      </w:r>
      <w:r w:rsidR="007448D5">
        <w:rPr>
          <w:rFonts w:ascii="Book Antiqua" w:hAnsi="Book Antiqua" w:cs="Book Antiqua"/>
          <w:color w:val="000000" w:themeColor="text1"/>
          <w:sz w:val="24"/>
          <w:szCs w:val="24"/>
        </w:rPr>
        <w:t>F</w:t>
      </w:r>
      <w:r w:rsidR="00541BD7" w:rsidRPr="00813AEE">
        <w:rPr>
          <w:rFonts w:ascii="Book Antiqua" w:hAnsi="Book Antiqua" w:cs="Book Antiqua"/>
          <w:color w:val="000000" w:themeColor="text1"/>
          <w:sz w:val="24"/>
          <w:szCs w:val="24"/>
        </w:rPr>
        <w:t xml:space="preserve">irst session of reader 1; R1S2: </w:t>
      </w:r>
      <w:r w:rsidR="007448D5">
        <w:rPr>
          <w:rFonts w:ascii="Book Antiqua" w:hAnsi="Book Antiqua" w:cs="Book Antiqua"/>
          <w:color w:val="000000" w:themeColor="text1"/>
          <w:sz w:val="24"/>
          <w:szCs w:val="24"/>
        </w:rPr>
        <w:t>S</w:t>
      </w:r>
      <w:r w:rsidR="00541BD7" w:rsidRPr="00813AEE">
        <w:rPr>
          <w:rFonts w:ascii="Book Antiqua" w:hAnsi="Book Antiqua" w:cs="Book Antiqua"/>
          <w:color w:val="000000" w:themeColor="text1"/>
          <w:sz w:val="24"/>
          <w:szCs w:val="24"/>
        </w:rPr>
        <w:t xml:space="preserve">econd session of reader 1; R1S2: </w:t>
      </w:r>
      <w:r w:rsidR="007448D5">
        <w:rPr>
          <w:rFonts w:ascii="Book Antiqua" w:hAnsi="Book Antiqua" w:cs="Book Antiqua"/>
          <w:color w:val="000000" w:themeColor="text1"/>
          <w:sz w:val="24"/>
          <w:szCs w:val="24"/>
        </w:rPr>
        <w:t>F</w:t>
      </w:r>
      <w:r w:rsidR="00541BD7" w:rsidRPr="00813AEE">
        <w:rPr>
          <w:rFonts w:ascii="Book Antiqua" w:hAnsi="Book Antiqua" w:cs="Book Antiqua"/>
          <w:color w:val="000000" w:themeColor="text1"/>
          <w:sz w:val="24"/>
          <w:szCs w:val="24"/>
        </w:rPr>
        <w:t xml:space="preserve">irst session of reader 2; R2S2: </w:t>
      </w:r>
      <w:r w:rsidR="007448D5">
        <w:rPr>
          <w:rFonts w:ascii="Book Antiqua" w:hAnsi="Book Antiqua" w:cs="Book Antiqua"/>
          <w:color w:val="000000" w:themeColor="text1"/>
          <w:sz w:val="24"/>
          <w:szCs w:val="24"/>
        </w:rPr>
        <w:t>S</w:t>
      </w:r>
      <w:r w:rsidR="00541BD7" w:rsidRPr="00813AEE">
        <w:rPr>
          <w:rFonts w:ascii="Book Antiqua" w:hAnsi="Book Antiqua" w:cs="Book Antiqua"/>
          <w:color w:val="000000" w:themeColor="text1"/>
          <w:sz w:val="24"/>
          <w:szCs w:val="24"/>
        </w:rPr>
        <w:t>econd session of reader 2.</w:t>
      </w:r>
    </w:p>
    <w:p w14:paraId="5AFF26CF" w14:textId="77777777" w:rsidR="00812D64" w:rsidRPr="00813AEE" w:rsidRDefault="00812D64" w:rsidP="00813AEE">
      <w:pPr>
        <w:widowControl/>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2C0D412E" w14:textId="68B0AE9D" w:rsidR="00DD5A5C" w:rsidRPr="00813AEE" w:rsidRDefault="004F5C7B"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57DA936E" wp14:editId="63BD4096">
            <wp:extent cx="5723890" cy="8526780"/>
            <wp:effectExtent l="0" t="0" r="0" b="7620"/>
            <wp:docPr id="11" name="图片 11" descr="E:\ART-SELECT\1WJG\acta\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T-SELECT\1WJG\acta\Fig 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3890" cy="8526780"/>
                    </a:xfrm>
                    <a:prstGeom prst="rect">
                      <a:avLst/>
                    </a:prstGeom>
                    <a:noFill/>
                    <a:ln>
                      <a:noFill/>
                    </a:ln>
                  </pic:spPr>
                </pic:pic>
              </a:graphicData>
            </a:graphic>
          </wp:inline>
        </w:drawing>
      </w:r>
    </w:p>
    <w:p w14:paraId="3CEA0D47" w14:textId="6F8B5ABC" w:rsidR="00812D64" w:rsidRPr="00813AEE" w:rsidRDefault="00812D64" w:rsidP="00813AEE">
      <w:pPr>
        <w:autoSpaceDE w:val="0"/>
        <w:autoSpaceDN w:val="0"/>
        <w:adjustRightInd w:val="0"/>
        <w:snapToGrid w:val="0"/>
        <w:spacing w:line="360" w:lineRule="auto"/>
        <w:rPr>
          <w:rFonts w:ascii="Book Antiqua" w:hAnsi="Book Antiqua"/>
          <w:color w:val="000000" w:themeColor="text1"/>
          <w:kern w:val="0"/>
          <w:sz w:val="24"/>
          <w:szCs w:val="24"/>
        </w:rPr>
      </w:pPr>
      <w:r w:rsidRPr="00813AEE">
        <w:rPr>
          <w:rFonts w:ascii="Book Antiqua" w:hAnsi="Book Antiqua" w:cs="Book Antiqua"/>
          <w:b/>
          <w:bCs/>
          <w:color w:val="000000" w:themeColor="text1"/>
          <w:sz w:val="24"/>
          <w:szCs w:val="24"/>
        </w:rPr>
        <w:t xml:space="preserve">Figure </w:t>
      </w:r>
      <w:r w:rsidR="00541BD7" w:rsidRPr="00813AEE">
        <w:rPr>
          <w:rFonts w:ascii="Book Antiqua" w:hAnsi="Book Antiqua" w:cs="Book Antiqua"/>
          <w:b/>
          <w:bCs/>
          <w:color w:val="000000" w:themeColor="text1"/>
          <w:sz w:val="24"/>
          <w:szCs w:val="24"/>
        </w:rPr>
        <w:t xml:space="preserve">4 Bland-Altman plots of interobserver agreement between </w:t>
      </w:r>
      <w:r w:rsidR="006725E5">
        <w:rPr>
          <w:rFonts w:ascii="Book Antiqua" w:hAnsi="Book Antiqua" w:cs="Book Antiqua"/>
          <w:b/>
          <w:bCs/>
          <w:color w:val="000000" w:themeColor="text1"/>
          <w:sz w:val="24"/>
          <w:szCs w:val="24"/>
        </w:rPr>
        <w:t>two</w:t>
      </w:r>
      <w:r w:rsidR="006725E5" w:rsidRPr="00813AEE">
        <w:rPr>
          <w:rFonts w:ascii="Book Antiqua" w:hAnsi="Book Antiqua" w:cs="Book Antiqua"/>
          <w:b/>
          <w:bCs/>
          <w:color w:val="000000" w:themeColor="text1"/>
          <w:sz w:val="24"/>
          <w:szCs w:val="24"/>
        </w:rPr>
        <w:t xml:space="preserve"> </w:t>
      </w:r>
      <w:r w:rsidR="00541BD7" w:rsidRPr="00813AEE">
        <w:rPr>
          <w:rFonts w:ascii="Book Antiqua" w:hAnsi="Book Antiqua" w:cs="Book Antiqua"/>
          <w:b/>
          <w:bCs/>
          <w:color w:val="000000" w:themeColor="text1"/>
          <w:sz w:val="24"/>
          <w:szCs w:val="24"/>
        </w:rPr>
        <w:t xml:space="preserve">readers at </w:t>
      </w:r>
      <w:r w:rsidR="00541BD7" w:rsidRPr="00813AEE">
        <w:rPr>
          <w:rFonts w:ascii="Book Antiqua" w:hAnsi="Book Antiqua" w:cs="Book Antiqua"/>
          <w:b/>
          <w:bCs/>
          <w:color w:val="000000" w:themeColor="text1"/>
          <w:sz w:val="24"/>
          <w:szCs w:val="24"/>
        </w:rPr>
        <w:lastRenderedPageBreak/>
        <w:t>two sessions.</w:t>
      </w:r>
      <w:r w:rsidR="00DD5A5C" w:rsidRPr="00813AEE">
        <w:rPr>
          <w:rFonts w:ascii="Book Antiqua" w:hAnsi="Book Antiqua"/>
          <w:color w:val="000000" w:themeColor="text1"/>
          <w:kern w:val="0"/>
          <w:sz w:val="24"/>
          <w:szCs w:val="24"/>
        </w:rPr>
        <w:t xml:space="preserve"> </w:t>
      </w:r>
      <w:r w:rsidR="00541BD7" w:rsidRPr="00813AEE">
        <w:rPr>
          <w:rFonts w:ascii="Book Antiqua" w:hAnsi="Book Antiqua"/>
          <w:color w:val="000000" w:themeColor="text1"/>
          <w:sz w:val="24"/>
          <w:szCs w:val="24"/>
        </w:rPr>
        <w:t xml:space="preserve">Bland-Altman 95% limits of agreement with </w:t>
      </w:r>
      <w:r w:rsidR="007448D5" w:rsidRPr="00813AEE">
        <w:rPr>
          <w:rFonts w:ascii="Book Antiqua" w:hAnsi="Book Antiqua" w:cs="Book Antiqua"/>
          <w:color w:val="000000" w:themeColor="text1"/>
          <w:sz w:val="24"/>
          <w:szCs w:val="24"/>
        </w:rPr>
        <w:t>Crohn’s disease</w:t>
      </w:r>
      <w:r w:rsidR="00541BD7" w:rsidRPr="00813AEE">
        <w:rPr>
          <w:rFonts w:ascii="Book Antiqua" w:hAnsi="Book Antiqua"/>
          <w:color w:val="000000" w:themeColor="text1"/>
          <w:sz w:val="24"/>
          <w:szCs w:val="24"/>
        </w:rPr>
        <w:t xml:space="preserve"> parameters including </w:t>
      </w:r>
      <w:r w:rsidR="007448D5" w:rsidRPr="00813AEE">
        <w:rPr>
          <w:rFonts w:ascii="Book Antiqua" w:hAnsi="Book Antiqua" w:cs="Book Antiqua"/>
          <w:color w:val="000000" w:themeColor="text1"/>
          <w:sz w:val="24"/>
          <w:szCs w:val="24"/>
        </w:rPr>
        <w:t>apparent diffusion coefficient</w:t>
      </w:r>
      <w:r w:rsidR="00541BD7" w:rsidRPr="00813AEE">
        <w:rPr>
          <w:rFonts w:ascii="Book Antiqua" w:hAnsi="Book Antiqua"/>
          <w:color w:val="000000" w:themeColor="text1"/>
          <w:sz w:val="24"/>
          <w:szCs w:val="24"/>
        </w:rPr>
        <w:t xml:space="preserve"> and </w:t>
      </w:r>
      <w:r w:rsidR="007448D5" w:rsidRPr="00813AEE">
        <w:rPr>
          <w:rFonts w:ascii="Book Antiqua" w:hAnsi="Book Antiqua" w:cs="Book Antiqua"/>
          <w:color w:val="000000" w:themeColor="text1"/>
          <w:sz w:val="24"/>
          <w:szCs w:val="24"/>
        </w:rPr>
        <w:t>signal ratio</w:t>
      </w:r>
      <w:r w:rsidR="00541BD7" w:rsidRPr="00813AEE">
        <w:rPr>
          <w:rFonts w:ascii="Book Antiqua" w:hAnsi="Book Antiqua"/>
          <w:color w:val="000000" w:themeColor="text1"/>
          <w:sz w:val="24"/>
          <w:szCs w:val="24"/>
        </w:rPr>
        <w:t xml:space="preserve"> from the </w:t>
      </w:r>
      <w:r w:rsidR="007448D5" w:rsidRPr="00813AEE">
        <w:rPr>
          <w:rFonts w:ascii="Book Antiqua" w:hAnsi="Book Antiqua" w:cs="Book Antiqua"/>
          <w:color w:val="000000" w:themeColor="text1"/>
          <w:sz w:val="24"/>
          <w:szCs w:val="24"/>
        </w:rPr>
        <w:t>Crohn’s disease</w:t>
      </w:r>
      <w:r w:rsidR="00541BD7" w:rsidRPr="00813AEE">
        <w:rPr>
          <w:rFonts w:ascii="Book Antiqua" w:hAnsi="Book Antiqua"/>
          <w:color w:val="000000" w:themeColor="text1"/>
          <w:sz w:val="24"/>
          <w:szCs w:val="24"/>
        </w:rPr>
        <w:t xml:space="preserve"> group and normal group. The solid line represents the mean relative difference as a percentage and the dashed lines represent the upper and lower 95% limits of agreement. </w:t>
      </w:r>
      <w:r w:rsidR="007448D5"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7448D5"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ignal ratio; CD: Crohn’s disease; SD: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tandard deviation; R1S1: </w:t>
      </w:r>
      <w:r w:rsidR="007448D5">
        <w:rPr>
          <w:rFonts w:ascii="Book Antiqua" w:hAnsi="Book Antiqua" w:cs="Book Antiqua"/>
          <w:color w:val="000000" w:themeColor="text1"/>
          <w:sz w:val="24"/>
          <w:szCs w:val="24"/>
        </w:rPr>
        <w:t>F</w:t>
      </w:r>
      <w:r w:rsidR="007448D5" w:rsidRPr="00813AEE">
        <w:rPr>
          <w:rFonts w:ascii="Book Antiqua" w:hAnsi="Book Antiqua" w:cs="Book Antiqua"/>
          <w:color w:val="000000" w:themeColor="text1"/>
          <w:sz w:val="24"/>
          <w:szCs w:val="24"/>
        </w:rPr>
        <w:t xml:space="preserve">irst session of reader 1; R1S2: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 xml:space="preserve">econd session of reader 1; R1S2: </w:t>
      </w:r>
      <w:r w:rsidR="007448D5">
        <w:rPr>
          <w:rFonts w:ascii="Book Antiqua" w:hAnsi="Book Antiqua" w:cs="Book Antiqua"/>
          <w:color w:val="000000" w:themeColor="text1"/>
          <w:sz w:val="24"/>
          <w:szCs w:val="24"/>
        </w:rPr>
        <w:t>F</w:t>
      </w:r>
      <w:r w:rsidR="007448D5" w:rsidRPr="00813AEE">
        <w:rPr>
          <w:rFonts w:ascii="Book Antiqua" w:hAnsi="Book Antiqua" w:cs="Book Antiqua"/>
          <w:color w:val="000000" w:themeColor="text1"/>
          <w:sz w:val="24"/>
          <w:szCs w:val="24"/>
        </w:rPr>
        <w:t xml:space="preserve">irst session of reader 2; R2S2: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econd session of reader 2.</w:t>
      </w:r>
    </w:p>
    <w:p w14:paraId="7A0C2133" w14:textId="77777777" w:rsidR="00812D64" w:rsidRPr="00813AEE" w:rsidRDefault="00812D64" w:rsidP="00813AEE">
      <w:pPr>
        <w:widowControl/>
        <w:adjustRightInd w:val="0"/>
        <w:snapToGrid w:val="0"/>
        <w:spacing w:line="360" w:lineRule="auto"/>
        <w:rPr>
          <w:rFonts w:ascii="Book Antiqua" w:hAnsi="Book Antiqua" w:cs="Book Antiqua"/>
          <w:b/>
          <w:bCs/>
          <w:color w:val="000000" w:themeColor="text1"/>
          <w:sz w:val="24"/>
          <w:szCs w:val="24"/>
        </w:rPr>
      </w:pPr>
      <w:r w:rsidRPr="00813AEE">
        <w:rPr>
          <w:rFonts w:ascii="Book Antiqua" w:hAnsi="Book Antiqua" w:cs="Book Antiqua"/>
          <w:b/>
          <w:bCs/>
          <w:color w:val="000000" w:themeColor="text1"/>
          <w:sz w:val="24"/>
          <w:szCs w:val="24"/>
        </w:rPr>
        <w:br w:type="page"/>
      </w:r>
    </w:p>
    <w:p w14:paraId="67F4BF56" w14:textId="3B0E748C" w:rsidR="00DD5A5C" w:rsidRPr="00813AEE" w:rsidRDefault="004F5C7B"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2798156D" wp14:editId="7C7A0D46">
            <wp:extent cx="5262505" cy="2194560"/>
            <wp:effectExtent l="0" t="0" r="0" b="0"/>
            <wp:docPr id="10" name="图片 10" descr="E:\ART-SELECT\1WJG\acta\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T-SELECT\1WJG\acta\Fig 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604" cy="2196686"/>
                    </a:xfrm>
                    <a:prstGeom prst="rect">
                      <a:avLst/>
                    </a:prstGeom>
                    <a:noFill/>
                    <a:ln>
                      <a:noFill/>
                    </a:ln>
                  </pic:spPr>
                </pic:pic>
              </a:graphicData>
            </a:graphic>
          </wp:inline>
        </w:drawing>
      </w:r>
    </w:p>
    <w:p w14:paraId="335D42C6" w14:textId="2A4F2DAB" w:rsidR="00541BD7" w:rsidRPr="00813AEE" w:rsidRDefault="005F0868"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s="Book Antiqua"/>
          <w:b/>
          <w:bCs/>
          <w:color w:val="000000" w:themeColor="text1"/>
          <w:sz w:val="24"/>
          <w:szCs w:val="24"/>
        </w:rPr>
        <w:t xml:space="preserve">Figure </w:t>
      </w:r>
      <w:r w:rsidR="004F5C7B" w:rsidRPr="00813AEE">
        <w:rPr>
          <w:rFonts w:ascii="Book Antiqua" w:hAnsi="Book Antiqua" w:cs="Book Antiqua"/>
          <w:b/>
          <w:bCs/>
          <w:color w:val="000000" w:themeColor="text1"/>
          <w:sz w:val="24"/>
          <w:szCs w:val="24"/>
        </w:rPr>
        <w:t xml:space="preserve">5 Scatterplots between </w:t>
      </w:r>
      <w:r w:rsidR="00257942" w:rsidRPr="00813AEE">
        <w:rPr>
          <w:rFonts w:ascii="Book Antiqua" w:hAnsi="Book Antiqua" w:cs="Book Antiqua"/>
          <w:b/>
          <w:bCs/>
          <w:color w:val="000000" w:themeColor="text1"/>
          <w:sz w:val="24"/>
          <w:szCs w:val="24"/>
        </w:rPr>
        <w:t>apparent diffusion coefficient</w:t>
      </w:r>
      <w:r w:rsidR="004F5C7B" w:rsidRPr="00813AEE">
        <w:rPr>
          <w:rFonts w:ascii="Book Antiqua" w:hAnsi="Book Antiqua" w:cs="Book Antiqua"/>
          <w:b/>
          <w:bCs/>
          <w:color w:val="000000" w:themeColor="text1"/>
          <w:sz w:val="24"/>
          <w:szCs w:val="24"/>
        </w:rPr>
        <w:t xml:space="preserve"> and </w:t>
      </w:r>
      <w:bookmarkStart w:id="220" w:name="OLE_LINK70"/>
      <w:bookmarkStart w:id="221" w:name="OLE_LINK75"/>
      <w:r w:rsidR="00257942" w:rsidRPr="00813AEE">
        <w:rPr>
          <w:rFonts w:ascii="Book Antiqua" w:hAnsi="Book Antiqua" w:cs="Book Antiqua"/>
          <w:b/>
          <w:bCs/>
          <w:color w:val="000000" w:themeColor="text1"/>
          <w:sz w:val="24"/>
          <w:szCs w:val="24"/>
        </w:rPr>
        <w:t>signal ratio</w:t>
      </w:r>
      <w:bookmarkEnd w:id="220"/>
      <w:bookmarkEnd w:id="221"/>
      <w:r w:rsidR="004F5C7B" w:rsidRPr="00813AEE">
        <w:rPr>
          <w:rFonts w:ascii="Book Antiqua" w:hAnsi="Book Antiqua" w:cs="Book Antiqua"/>
          <w:b/>
          <w:bCs/>
          <w:color w:val="000000" w:themeColor="text1"/>
          <w:sz w:val="24"/>
          <w:szCs w:val="24"/>
        </w:rPr>
        <w:t xml:space="preserve"> </w:t>
      </w:r>
      <w:r w:rsidR="00880335">
        <w:rPr>
          <w:rFonts w:ascii="Book Antiqua" w:hAnsi="Book Antiqua" w:cs="Book Antiqua"/>
          <w:b/>
          <w:bCs/>
          <w:color w:val="000000" w:themeColor="text1"/>
          <w:sz w:val="24"/>
          <w:szCs w:val="24"/>
        </w:rPr>
        <w:t>of</w:t>
      </w:r>
      <w:r w:rsidR="006725E5" w:rsidRPr="00813AEE">
        <w:rPr>
          <w:rFonts w:ascii="Book Antiqua" w:hAnsi="Book Antiqua" w:cs="Book Antiqua"/>
          <w:b/>
          <w:bCs/>
          <w:color w:val="000000" w:themeColor="text1"/>
          <w:sz w:val="24"/>
          <w:szCs w:val="24"/>
        </w:rPr>
        <w:t xml:space="preserve"> </w:t>
      </w:r>
      <w:r w:rsidR="004F5C7B" w:rsidRPr="00813AEE">
        <w:rPr>
          <w:rFonts w:ascii="Book Antiqua" w:hAnsi="Book Antiqua" w:cs="Book Antiqua"/>
          <w:b/>
          <w:bCs/>
          <w:color w:val="000000" w:themeColor="text1"/>
          <w:sz w:val="24"/>
          <w:szCs w:val="24"/>
        </w:rPr>
        <w:t>reader 1 and reader 2.</w:t>
      </w:r>
      <w:r w:rsidR="00DD5A5C" w:rsidRPr="00813AEE">
        <w:rPr>
          <w:rFonts w:ascii="Book Antiqua" w:hAnsi="Book Antiqua"/>
          <w:b/>
          <w:bCs/>
          <w:color w:val="000000" w:themeColor="text1"/>
          <w:sz w:val="24"/>
          <w:szCs w:val="24"/>
        </w:rPr>
        <w:t xml:space="preserve">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1</w:t>
      </w:r>
      <w:r w:rsidR="004F5C7B" w:rsidRPr="00813AEE">
        <w:rPr>
          <w:rFonts w:ascii="Book Antiqua" w:hAnsi="Book Antiqua"/>
          <w:color w:val="000000" w:themeColor="text1"/>
          <w:sz w:val="24"/>
          <w:szCs w:val="24"/>
        </w:rPr>
        <w:t xml:space="preserve">: </w:t>
      </w:r>
      <w:r w:rsidR="004F5C7B" w:rsidRPr="007918CD">
        <w:rPr>
          <w:rFonts w:ascii="Book Antiqua" w:hAnsi="Book Antiqua"/>
          <w:i/>
          <w:color w:val="000000" w:themeColor="text1"/>
          <w:sz w:val="24"/>
          <w:szCs w:val="24"/>
        </w:rPr>
        <w:t>r</w:t>
      </w:r>
      <w:r w:rsidR="004F5C7B" w:rsidRPr="00813AEE">
        <w:rPr>
          <w:rFonts w:ascii="Book Antiqua" w:hAnsi="Book Antiqua"/>
          <w:color w:val="000000" w:themeColor="text1"/>
          <w:sz w:val="24"/>
          <w:szCs w:val="24"/>
        </w:rPr>
        <w:t xml:space="preserve"> = -0.438, </w:t>
      </w:r>
      <w:r w:rsidR="004F5C7B" w:rsidRPr="00813AEE">
        <w:rPr>
          <w:rFonts w:ascii="Book Antiqua" w:hAnsi="Book Antiqua"/>
          <w:i/>
          <w:color w:val="000000" w:themeColor="text1"/>
          <w:sz w:val="24"/>
          <w:szCs w:val="24"/>
        </w:rPr>
        <w:t>P</w:t>
      </w:r>
      <w:r w:rsidR="004F5C7B" w:rsidRPr="00813AEE">
        <w:rPr>
          <w:rFonts w:ascii="Book Antiqua" w:hAnsi="Book Antiqua"/>
          <w:color w:val="000000" w:themeColor="text1"/>
          <w:sz w:val="24"/>
          <w:szCs w:val="24"/>
        </w:rPr>
        <w:t xml:space="preserve"> = 0.047;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2</w:t>
      </w:r>
      <w:r w:rsidR="004F5C7B" w:rsidRPr="00813AEE">
        <w:rPr>
          <w:rFonts w:ascii="Book Antiqua" w:hAnsi="Book Antiqua"/>
          <w:color w:val="000000" w:themeColor="text1"/>
          <w:sz w:val="24"/>
          <w:szCs w:val="24"/>
        </w:rPr>
        <w:t xml:space="preserve">: </w:t>
      </w:r>
      <w:r w:rsidR="004F5C7B" w:rsidRPr="007918CD">
        <w:rPr>
          <w:rFonts w:ascii="Book Antiqua" w:hAnsi="Book Antiqua"/>
          <w:i/>
          <w:color w:val="000000" w:themeColor="text1"/>
          <w:sz w:val="24"/>
          <w:szCs w:val="24"/>
        </w:rPr>
        <w:t>r</w:t>
      </w:r>
      <w:r w:rsidR="004F5C7B" w:rsidRPr="00813AEE">
        <w:rPr>
          <w:rFonts w:ascii="Book Antiqua" w:hAnsi="Book Antiqua"/>
          <w:color w:val="000000" w:themeColor="text1"/>
          <w:sz w:val="24"/>
          <w:szCs w:val="24"/>
        </w:rPr>
        <w:t xml:space="preserve"> = -0.485, </w:t>
      </w:r>
      <w:r w:rsidR="004F5C7B" w:rsidRPr="00813AEE">
        <w:rPr>
          <w:rFonts w:ascii="Book Antiqua" w:hAnsi="Book Antiqua"/>
          <w:i/>
          <w:color w:val="000000" w:themeColor="text1"/>
          <w:sz w:val="24"/>
          <w:szCs w:val="24"/>
        </w:rPr>
        <w:t>P</w:t>
      </w:r>
      <w:r w:rsidR="004F5C7B" w:rsidRPr="00813AEE">
        <w:rPr>
          <w:rFonts w:ascii="Book Antiqua" w:hAnsi="Book Antiqua"/>
          <w:color w:val="000000" w:themeColor="text1"/>
          <w:sz w:val="24"/>
          <w:szCs w:val="24"/>
        </w:rPr>
        <w:t xml:space="preserve"> = 0.026</w:t>
      </w:r>
      <w:r w:rsidR="00257942" w:rsidRPr="00813AEE">
        <w:rPr>
          <w:rFonts w:ascii="Book Antiqua" w:hAnsi="Book Antiqua"/>
          <w:color w:val="000000" w:themeColor="text1"/>
          <w:sz w:val="24"/>
          <w:szCs w:val="24"/>
        </w:rPr>
        <w:t>; R1: reader 1; R2: reader 2</w:t>
      </w:r>
      <w:r w:rsidR="004F5C7B" w:rsidRPr="00813AEE">
        <w:rPr>
          <w:rFonts w:ascii="Book Antiqua" w:hAnsi="Book Antiqua"/>
          <w:color w:val="000000" w:themeColor="text1"/>
          <w:sz w:val="24"/>
          <w:szCs w:val="24"/>
        </w:rPr>
        <w:t>.</w:t>
      </w:r>
      <w:r w:rsidR="007448D5">
        <w:rPr>
          <w:rFonts w:ascii="Book Antiqua" w:hAnsi="Book Antiqua"/>
          <w:color w:val="000000" w:themeColor="text1"/>
          <w:sz w:val="24"/>
          <w:szCs w:val="24"/>
        </w:rPr>
        <w:t xml:space="preserve"> </w:t>
      </w:r>
      <w:r w:rsidR="007448D5" w:rsidRPr="00813AEE">
        <w:rPr>
          <w:rFonts w:ascii="Book Antiqua" w:hAnsi="Book Antiqua" w:cs="Book Antiqua"/>
          <w:color w:val="000000" w:themeColor="text1"/>
          <w:sz w:val="24"/>
          <w:szCs w:val="24"/>
        </w:rPr>
        <w:t xml:space="preserve">ADC: </w:t>
      </w:r>
      <w:r w:rsidR="007448D5">
        <w:rPr>
          <w:rFonts w:ascii="Book Antiqua" w:hAnsi="Book Antiqua" w:cs="Book Antiqua"/>
          <w:color w:val="000000" w:themeColor="text1"/>
          <w:sz w:val="24"/>
          <w:szCs w:val="24"/>
        </w:rPr>
        <w:t>A</w:t>
      </w:r>
      <w:r w:rsidR="007448D5" w:rsidRPr="00813AEE">
        <w:rPr>
          <w:rFonts w:ascii="Book Antiqua" w:hAnsi="Book Antiqua" w:cs="Book Antiqua"/>
          <w:color w:val="000000" w:themeColor="text1"/>
          <w:sz w:val="24"/>
          <w:szCs w:val="24"/>
        </w:rPr>
        <w:t xml:space="preserve">pparent diffusion coefficient; SR: </w:t>
      </w:r>
      <w:r w:rsidR="007448D5">
        <w:rPr>
          <w:rFonts w:ascii="Book Antiqua" w:hAnsi="Book Antiqua" w:cs="Book Antiqua"/>
          <w:color w:val="000000" w:themeColor="text1"/>
          <w:sz w:val="24"/>
          <w:szCs w:val="24"/>
        </w:rPr>
        <w:t>S</w:t>
      </w:r>
      <w:r w:rsidR="007448D5" w:rsidRPr="00813AEE">
        <w:rPr>
          <w:rFonts w:ascii="Book Antiqua" w:hAnsi="Book Antiqua" w:cs="Book Antiqua"/>
          <w:color w:val="000000" w:themeColor="text1"/>
          <w:sz w:val="24"/>
          <w:szCs w:val="24"/>
        </w:rPr>
        <w:t>ignal ratio</w:t>
      </w:r>
      <w:r w:rsidR="007448D5">
        <w:rPr>
          <w:rFonts w:ascii="Book Antiqua" w:hAnsi="Book Antiqua" w:cs="Book Antiqua"/>
          <w:color w:val="000000" w:themeColor="text1"/>
          <w:sz w:val="24"/>
          <w:szCs w:val="24"/>
        </w:rPr>
        <w:t xml:space="preserve">; </w:t>
      </w:r>
      <w:r w:rsidR="007448D5" w:rsidRPr="00813AEE">
        <w:rPr>
          <w:rFonts w:ascii="Book Antiqua" w:hAnsi="Book Antiqua"/>
          <w:color w:val="000000" w:themeColor="text1"/>
          <w:sz w:val="24"/>
          <w:szCs w:val="24"/>
        </w:rPr>
        <w:t xml:space="preserve">R1: </w:t>
      </w:r>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 xml:space="preserve">eader 1; R2: </w:t>
      </w:r>
      <w:bookmarkStart w:id="222" w:name="OLE_LINK93"/>
      <w:bookmarkStart w:id="223" w:name="OLE_LINK94"/>
      <w:r w:rsidR="007448D5">
        <w:rPr>
          <w:rFonts w:ascii="Book Antiqua" w:hAnsi="Book Antiqua"/>
          <w:color w:val="000000" w:themeColor="text1"/>
          <w:sz w:val="24"/>
          <w:szCs w:val="24"/>
        </w:rPr>
        <w:t>R</w:t>
      </w:r>
      <w:r w:rsidR="007448D5" w:rsidRPr="00813AEE">
        <w:rPr>
          <w:rFonts w:ascii="Book Antiqua" w:hAnsi="Book Antiqua"/>
          <w:color w:val="000000" w:themeColor="text1"/>
          <w:sz w:val="24"/>
          <w:szCs w:val="24"/>
        </w:rPr>
        <w:t>eader 2</w:t>
      </w:r>
      <w:bookmarkEnd w:id="222"/>
      <w:bookmarkEnd w:id="223"/>
      <w:r w:rsidR="007448D5" w:rsidRPr="00813AEE">
        <w:rPr>
          <w:rFonts w:ascii="Book Antiqua" w:hAnsi="Book Antiqua"/>
          <w:color w:val="000000" w:themeColor="text1"/>
          <w:sz w:val="24"/>
          <w:szCs w:val="24"/>
        </w:rPr>
        <w:t>.</w:t>
      </w:r>
    </w:p>
    <w:p w14:paraId="535D4AB1" w14:textId="77777777" w:rsidR="00541BD7" w:rsidRPr="00813AEE" w:rsidRDefault="00541BD7"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br w:type="page"/>
      </w:r>
    </w:p>
    <w:p w14:paraId="5512EFC1" w14:textId="7DECAB0C"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noProof/>
          <w:color w:val="000000" w:themeColor="text1"/>
          <w:sz w:val="24"/>
          <w:szCs w:val="24"/>
        </w:rPr>
        <w:lastRenderedPageBreak/>
        <w:drawing>
          <wp:inline distT="0" distB="0" distL="0" distR="0" wp14:anchorId="0F4A8B58" wp14:editId="445D4E38">
            <wp:extent cx="2773434" cy="2695492"/>
            <wp:effectExtent l="0" t="0" r="8255" b="0"/>
            <wp:docPr id="9" name="图片 9" descr="E:\ART-SELECT\1WJG\acta\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SELECT\1WJG\acta\Fig 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3617" cy="2705388"/>
                    </a:xfrm>
                    <a:prstGeom prst="rect">
                      <a:avLst/>
                    </a:prstGeom>
                    <a:noFill/>
                    <a:ln>
                      <a:noFill/>
                    </a:ln>
                  </pic:spPr>
                </pic:pic>
              </a:graphicData>
            </a:graphic>
          </wp:inline>
        </w:drawing>
      </w:r>
    </w:p>
    <w:p w14:paraId="52849A4D" w14:textId="517E6BBD"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cs="Book Antiqua"/>
          <w:b/>
          <w:bCs/>
          <w:color w:val="000000" w:themeColor="text1"/>
          <w:sz w:val="24"/>
          <w:szCs w:val="24"/>
        </w:rPr>
        <w:t>Figure 6</w:t>
      </w:r>
      <w:r w:rsidR="00313C6D">
        <w:rPr>
          <w:rFonts w:ascii="Book Antiqua" w:hAnsi="Book Antiqua" w:cs="Book Antiqua"/>
          <w:b/>
          <w:bCs/>
          <w:color w:val="000000" w:themeColor="text1"/>
          <w:sz w:val="24"/>
          <w:szCs w:val="24"/>
        </w:rPr>
        <w:t xml:space="preserve"> </w:t>
      </w:r>
      <w:r w:rsidR="00257942" w:rsidRPr="00813AEE">
        <w:rPr>
          <w:rFonts w:ascii="Book Antiqua" w:hAnsi="Book Antiqua" w:cs="Book Antiqua"/>
          <w:b/>
          <w:bCs/>
          <w:color w:val="000000" w:themeColor="text1"/>
          <w:sz w:val="24"/>
          <w:szCs w:val="24"/>
        </w:rPr>
        <w:t>Receiver operating characteristic</w:t>
      </w:r>
      <w:r w:rsidRPr="00813AEE">
        <w:rPr>
          <w:rFonts w:ascii="Book Antiqua" w:hAnsi="Book Antiqua" w:cs="Book Antiqua"/>
          <w:b/>
          <w:bCs/>
          <w:color w:val="000000" w:themeColor="text1"/>
          <w:sz w:val="24"/>
          <w:szCs w:val="24"/>
        </w:rPr>
        <w:t xml:space="preserve"> curve for quantitative </w:t>
      </w:r>
      <w:r w:rsidR="00484AE0" w:rsidRPr="00813AEE">
        <w:rPr>
          <w:rFonts w:ascii="Book Antiqua" w:hAnsi="Book Antiqua" w:cs="Book Antiqua"/>
          <w:b/>
          <w:bCs/>
          <w:color w:val="000000" w:themeColor="text1"/>
          <w:sz w:val="24"/>
          <w:szCs w:val="24"/>
        </w:rPr>
        <w:t>apparent diffusion coefficient</w:t>
      </w:r>
      <w:r w:rsidRPr="00813AEE">
        <w:rPr>
          <w:rFonts w:ascii="Book Antiqua" w:hAnsi="Book Antiqua" w:cs="Book Antiqua"/>
          <w:b/>
          <w:bCs/>
          <w:color w:val="000000" w:themeColor="text1"/>
          <w:sz w:val="24"/>
          <w:szCs w:val="24"/>
        </w:rPr>
        <w:t xml:space="preserve"> and </w:t>
      </w:r>
      <w:r w:rsidR="00484AE0" w:rsidRPr="00813AEE">
        <w:rPr>
          <w:rFonts w:ascii="Book Antiqua" w:hAnsi="Book Antiqua" w:cs="Book Antiqua"/>
          <w:b/>
          <w:bCs/>
          <w:color w:val="000000" w:themeColor="text1"/>
          <w:sz w:val="24"/>
          <w:szCs w:val="24"/>
        </w:rPr>
        <w:t>signal ratio</w:t>
      </w:r>
      <w:r w:rsidRPr="00813AEE">
        <w:rPr>
          <w:rFonts w:ascii="Book Antiqua" w:hAnsi="Book Antiqua" w:cs="Book Antiqua"/>
          <w:b/>
          <w:bCs/>
          <w:color w:val="000000" w:themeColor="text1"/>
          <w:sz w:val="24"/>
          <w:szCs w:val="24"/>
        </w:rPr>
        <w:t xml:space="preserve"> of the two readers.</w:t>
      </w:r>
      <w:r w:rsidR="00257942" w:rsidRPr="00813AEE">
        <w:rPr>
          <w:rFonts w:ascii="Book Antiqua" w:hAnsi="Book Antiqua"/>
          <w:color w:val="000000" w:themeColor="text1"/>
          <w:sz w:val="24"/>
          <w:szCs w:val="24"/>
        </w:rPr>
        <w:t xml:space="preserve"> ADC: </w:t>
      </w:r>
      <w:r w:rsidR="007448D5">
        <w:rPr>
          <w:rFonts w:ascii="Book Antiqua" w:hAnsi="Book Antiqua"/>
          <w:color w:val="000000" w:themeColor="text1"/>
          <w:sz w:val="24"/>
          <w:szCs w:val="24"/>
        </w:rPr>
        <w:t>A</w:t>
      </w:r>
      <w:r w:rsidR="00257942" w:rsidRPr="00813AEE">
        <w:rPr>
          <w:rFonts w:ascii="Book Antiqua" w:hAnsi="Book Antiqua"/>
          <w:color w:val="000000" w:themeColor="text1"/>
          <w:sz w:val="24"/>
          <w:szCs w:val="24"/>
        </w:rPr>
        <w:t xml:space="preserve">pparent diffusion coefficient; SR: </w:t>
      </w:r>
      <w:r w:rsidR="007448D5">
        <w:rPr>
          <w:rFonts w:ascii="Book Antiqua" w:hAnsi="Book Antiqua"/>
          <w:color w:val="000000" w:themeColor="text1"/>
          <w:sz w:val="24"/>
          <w:szCs w:val="24"/>
        </w:rPr>
        <w:t>S</w:t>
      </w:r>
      <w:r w:rsidR="00257942" w:rsidRPr="00813AEE">
        <w:rPr>
          <w:rFonts w:ascii="Book Antiqua" w:hAnsi="Book Antiqua"/>
          <w:color w:val="000000" w:themeColor="text1"/>
          <w:sz w:val="24"/>
          <w:szCs w:val="24"/>
        </w:rPr>
        <w:t xml:space="preserve">ignal ratio; R1: </w:t>
      </w:r>
      <w:r w:rsidR="007448D5">
        <w:rPr>
          <w:rFonts w:ascii="Book Antiqua" w:hAnsi="Book Antiqua"/>
          <w:color w:val="000000" w:themeColor="text1"/>
          <w:sz w:val="24"/>
          <w:szCs w:val="24"/>
        </w:rPr>
        <w:t>R</w:t>
      </w:r>
      <w:r w:rsidR="00257942" w:rsidRPr="00813AEE">
        <w:rPr>
          <w:rFonts w:ascii="Book Antiqua" w:hAnsi="Book Antiqua"/>
          <w:color w:val="000000" w:themeColor="text1"/>
          <w:sz w:val="24"/>
          <w:szCs w:val="24"/>
        </w:rPr>
        <w:t xml:space="preserve">eader 1; R2: </w:t>
      </w:r>
      <w:r w:rsidR="007448D5">
        <w:rPr>
          <w:rFonts w:ascii="Book Antiqua" w:hAnsi="Book Antiqua"/>
          <w:color w:val="000000" w:themeColor="text1"/>
          <w:sz w:val="24"/>
          <w:szCs w:val="24"/>
        </w:rPr>
        <w:t>R</w:t>
      </w:r>
      <w:r w:rsidR="00257942" w:rsidRPr="00813AEE">
        <w:rPr>
          <w:rFonts w:ascii="Book Antiqua" w:hAnsi="Book Antiqua"/>
          <w:color w:val="000000" w:themeColor="text1"/>
          <w:sz w:val="24"/>
          <w:szCs w:val="24"/>
        </w:rPr>
        <w:t>eader 2.</w:t>
      </w:r>
    </w:p>
    <w:p w14:paraId="405A706A" w14:textId="54908576" w:rsidR="004F5C7B" w:rsidRPr="00813AEE" w:rsidRDefault="004F5C7B" w:rsidP="00813AEE">
      <w:pPr>
        <w:widowControl/>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br w:type="page"/>
      </w:r>
    </w:p>
    <w:p w14:paraId="332AA379" w14:textId="5A91AEF7" w:rsidR="00450BDE"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 xml:space="preserve">Table 1 </w:t>
      </w:r>
      <w:r w:rsidR="004F5C7B" w:rsidRPr="00813AEE">
        <w:rPr>
          <w:rFonts w:ascii="Book Antiqua" w:hAnsi="Book Antiqua"/>
          <w:b/>
          <w:color w:val="000000" w:themeColor="text1"/>
          <w:sz w:val="24"/>
          <w:szCs w:val="24"/>
        </w:rPr>
        <w:t>Clinical characteristics of included subjects</w:t>
      </w:r>
    </w:p>
    <w:tbl>
      <w:tblPr>
        <w:tblStyle w:val="11"/>
        <w:tblW w:w="893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1847"/>
      </w:tblGrid>
      <w:tr w:rsidR="00813AEE" w:rsidRPr="00813AEE" w14:paraId="1A78DEE2" w14:textId="77777777" w:rsidTr="00450BDE">
        <w:trPr>
          <w:trHeight w:val="328"/>
        </w:trPr>
        <w:tc>
          <w:tcPr>
            <w:tcW w:w="7088" w:type="dxa"/>
            <w:tcBorders>
              <w:bottom w:val="single" w:sz="4" w:space="0" w:color="auto"/>
            </w:tcBorders>
          </w:tcPr>
          <w:p w14:paraId="05CE2277" w14:textId="646DD10D" w:rsidR="00450BDE" w:rsidRPr="00813AEE" w:rsidRDefault="00450BDE"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t>Characteristic</w:t>
            </w:r>
          </w:p>
        </w:tc>
        <w:tc>
          <w:tcPr>
            <w:tcW w:w="1847" w:type="dxa"/>
            <w:tcBorders>
              <w:bottom w:val="single" w:sz="4" w:space="0" w:color="auto"/>
            </w:tcBorders>
          </w:tcPr>
          <w:p w14:paraId="500CE9F9" w14:textId="77777777" w:rsidR="00450BDE" w:rsidRPr="00813AEE" w:rsidRDefault="00450BDE" w:rsidP="004B565D">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Value</w:t>
            </w:r>
          </w:p>
        </w:tc>
      </w:tr>
      <w:tr w:rsidR="00813AEE" w:rsidRPr="00813AEE" w14:paraId="5621D242" w14:textId="77777777" w:rsidTr="00450BDE">
        <w:trPr>
          <w:trHeight w:val="344"/>
        </w:trPr>
        <w:tc>
          <w:tcPr>
            <w:tcW w:w="7088" w:type="dxa"/>
            <w:tcBorders>
              <w:top w:val="single" w:sz="4" w:space="0" w:color="auto"/>
            </w:tcBorders>
          </w:tcPr>
          <w:p w14:paraId="2A0B4D62" w14:textId="385BE8C8"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CD patients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Borders>
              <w:top w:val="single" w:sz="4" w:space="0" w:color="auto"/>
            </w:tcBorders>
          </w:tcPr>
          <w:p w14:paraId="0EA474CF"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21</w:t>
            </w:r>
          </w:p>
        </w:tc>
      </w:tr>
      <w:tr w:rsidR="00813AEE" w:rsidRPr="00813AEE" w14:paraId="2D6526CC" w14:textId="77777777" w:rsidTr="00450BDE">
        <w:trPr>
          <w:trHeight w:val="344"/>
        </w:trPr>
        <w:tc>
          <w:tcPr>
            <w:tcW w:w="7088" w:type="dxa"/>
          </w:tcPr>
          <w:p w14:paraId="6A8C1C7E" w14:textId="5C0C0221"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(y</w:t>
            </w:r>
            <w:r w:rsidR="0066091F">
              <w:rPr>
                <w:rFonts w:ascii="Book Antiqua" w:hAnsi="Book Antiqua"/>
                <w:color w:val="000000" w:themeColor="text1"/>
                <w:sz w:val="24"/>
                <w:szCs w:val="24"/>
              </w:rPr>
              <w:t>r</w:t>
            </w:r>
            <w:r w:rsidRPr="00813AEE">
              <w:rPr>
                <w:rFonts w:ascii="Book Antiqua" w:hAnsi="Book Antiqua"/>
                <w:color w:val="000000" w:themeColor="text1"/>
                <w:sz w:val="24"/>
                <w:szCs w:val="24"/>
              </w:rPr>
              <w:t>) (</w:t>
            </w:r>
            <w:bookmarkStart w:id="224" w:name="OLE_LINK22"/>
            <w:r w:rsidRPr="00813AEE">
              <w:rPr>
                <w:rFonts w:ascii="Book Antiqua" w:hAnsi="Book Antiqua"/>
                <w:color w:val="000000" w:themeColor="text1"/>
                <w:sz w:val="24"/>
                <w:szCs w:val="24"/>
              </w:rPr>
              <w:t>mean</w:t>
            </w:r>
            <w:bookmarkStart w:id="225" w:name="OLE_LINK9"/>
            <w:bookmarkStart w:id="226" w:name="OLE_LINK10"/>
            <w:r w:rsidRPr="00813AEE">
              <w:rPr>
                <w:rFonts w:ascii="Book Antiqua" w:hAnsi="Book Antiqua"/>
                <w:color w:val="000000" w:themeColor="text1"/>
                <w:sz w:val="24"/>
                <w:szCs w:val="24"/>
              </w:rPr>
              <w:t xml:space="preserve"> </w:t>
            </w:r>
            <w:r w:rsidR="00622E98" w:rsidRPr="00813AEE">
              <w:rPr>
                <w:rFonts w:ascii="Book Antiqua" w:hAnsi="Book Antiqua"/>
                <w:color w:val="000000" w:themeColor="text1"/>
                <w:sz w:val="24"/>
                <w:szCs w:val="24"/>
              </w:rPr>
              <w:t>± SD</w:t>
            </w:r>
            <w:bookmarkEnd w:id="224"/>
            <w:bookmarkEnd w:id="225"/>
            <w:bookmarkEnd w:id="226"/>
            <w:r w:rsidRPr="00813AEE">
              <w:rPr>
                <w:rFonts w:ascii="Book Antiqua" w:hAnsi="Book Antiqua"/>
                <w:color w:val="000000" w:themeColor="text1"/>
                <w:sz w:val="24"/>
                <w:szCs w:val="24"/>
              </w:rPr>
              <w:t>)</w:t>
            </w:r>
          </w:p>
        </w:tc>
        <w:tc>
          <w:tcPr>
            <w:tcW w:w="1847" w:type="dxa"/>
          </w:tcPr>
          <w:p w14:paraId="1C2E0AE8" w14:textId="24C7E3BB"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43.4 </w:t>
            </w:r>
            <w:bookmarkStart w:id="227" w:name="OLE_LINK20"/>
            <w:bookmarkStart w:id="228" w:name="OLE_LINK21"/>
            <w:r w:rsidRPr="00813AEE">
              <w:rPr>
                <w:rFonts w:ascii="Book Antiqua" w:hAnsi="Book Antiqua"/>
                <w:color w:val="000000" w:themeColor="text1"/>
                <w:sz w:val="24"/>
                <w:szCs w:val="24"/>
              </w:rPr>
              <w:t>± 16.1</w:t>
            </w:r>
            <w:bookmarkEnd w:id="227"/>
            <w:bookmarkEnd w:id="228"/>
          </w:p>
        </w:tc>
      </w:tr>
      <w:tr w:rsidR="00813AEE" w:rsidRPr="00813AEE" w14:paraId="460ACFAC" w14:textId="77777777" w:rsidTr="00450BDE">
        <w:trPr>
          <w:trHeight w:val="344"/>
        </w:trPr>
        <w:tc>
          <w:tcPr>
            <w:tcW w:w="7088" w:type="dxa"/>
          </w:tcPr>
          <w:p w14:paraId="1C8E22A6"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(males: females)</w:t>
            </w:r>
          </w:p>
        </w:tc>
        <w:tc>
          <w:tcPr>
            <w:tcW w:w="1847" w:type="dxa"/>
          </w:tcPr>
          <w:p w14:paraId="13D3F92C"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11:10</w:t>
            </w:r>
          </w:p>
        </w:tc>
      </w:tr>
      <w:tr w:rsidR="00813AEE" w:rsidRPr="00813AEE" w14:paraId="6184C711" w14:textId="77777777" w:rsidTr="00450BDE">
        <w:trPr>
          <w:trHeight w:val="344"/>
        </w:trPr>
        <w:tc>
          <w:tcPr>
            <w:tcW w:w="7088" w:type="dxa"/>
          </w:tcPr>
          <w:p w14:paraId="27CDC64A" w14:textId="7666E4BE"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CRP (mg/d</w:t>
            </w:r>
            <w:r w:rsidR="0066091F">
              <w:rPr>
                <w:rFonts w:ascii="Book Antiqua" w:hAnsi="Book Antiqua"/>
                <w:color w:val="000000" w:themeColor="text1"/>
                <w:sz w:val="24"/>
                <w:szCs w:val="24"/>
              </w:rPr>
              <w:t>L</w:t>
            </w:r>
            <w:r w:rsidRPr="00813AEE">
              <w:rPr>
                <w:rFonts w:ascii="Book Antiqua" w:hAnsi="Book Antiqua"/>
                <w:color w:val="000000" w:themeColor="text1"/>
                <w:sz w:val="24"/>
                <w:szCs w:val="24"/>
              </w:rPr>
              <w:t xml:space="preserve">) </w:t>
            </w:r>
            <w:bookmarkStart w:id="229" w:name="OLE_LINK95"/>
            <w:bookmarkStart w:id="230" w:name="OLE_LINK97"/>
            <w:r w:rsidR="0066091F">
              <w:rPr>
                <w:rFonts w:ascii="Book Antiqua" w:hAnsi="Book Antiqua"/>
                <w:color w:val="000000" w:themeColor="text1"/>
                <w:sz w:val="24"/>
                <w:szCs w:val="24"/>
              </w:rPr>
              <w:t>[</w:t>
            </w:r>
            <w:r w:rsidRPr="00813AEE">
              <w:rPr>
                <w:rFonts w:ascii="Book Antiqua" w:hAnsi="Book Antiqua"/>
                <w:color w:val="000000" w:themeColor="text1"/>
                <w:sz w:val="24"/>
                <w:szCs w:val="24"/>
              </w:rPr>
              <w:t xml:space="preserve">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range</w:t>
            </w:r>
            <w:r w:rsidR="0066091F">
              <w:rPr>
                <w:rFonts w:ascii="Book Antiqua" w:hAnsi="Book Antiqua"/>
                <w:color w:val="000000" w:themeColor="text1"/>
                <w:sz w:val="24"/>
                <w:szCs w:val="24"/>
              </w:rPr>
              <w:t>)]</w:t>
            </w:r>
            <w:bookmarkEnd w:id="229"/>
            <w:bookmarkEnd w:id="230"/>
          </w:p>
        </w:tc>
        <w:tc>
          <w:tcPr>
            <w:tcW w:w="1847" w:type="dxa"/>
          </w:tcPr>
          <w:p w14:paraId="1C3CBF54" w14:textId="5259F275"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21.0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0.9-94.0</w:t>
            </w:r>
            <w:r w:rsidR="0066091F">
              <w:rPr>
                <w:rFonts w:ascii="Book Antiqua" w:hAnsi="Book Antiqua"/>
                <w:color w:val="000000" w:themeColor="text1"/>
                <w:sz w:val="24"/>
                <w:szCs w:val="24"/>
              </w:rPr>
              <w:t>)</w:t>
            </w:r>
          </w:p>
        </w:tc>
      </w:tr>
      <w:tr w:rsidR="00813AEE" w:rsidRPr="00813AEE" w14:paraId="5E02131F" w14:textId="77777777" w:rsidTr="00450BDE">
        <w:trPr>
          <w:trHeight w:val="344"/>
        </w:trPr>
        <w:tc>
          <w:tcPr>
            <w:tcW w:w="7088" w:type="dxa"/>
          </w:tcPr>
          <w:p w14:paraId="3DD5B0F1" w14:textId="692B005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ESR (mm/h) </w:t>
            </w:r>
            <w:r w:rsidR="0066091F">
              <w:rPr>
                <w:rFonts w:ascii="Book Antiqua" w:hAnsi="Book Antiqua"/>
                <w:color w:val="000000" w:themeColor="text1"/>
                <w:sz w:val="24"/>
                <w:szCs w:val="24"/>
              </w:rPr>
              <w:t>[median (range)]</w:t>
            </w:r>
          </w:p>
        </w:tc>
        <w:tc>
          <w:tcPr>
            <w:tcW w:w="1847" w:type="dxa"/>
          </w:tcPr>
          <w:p w14:paraId="49F1D841" w14:textId="689AB148"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19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7-51</w:t>
            </w:r>
            <w:r w:rsidR="0066091F">
              <w:rPr>
                <w:rFonts w:ascii="Book Antiqua" w:hAnsi="Book Antiqua"/>
                <w:color w:val="000000" w:themeColor="text1"/>
                <w:sz w:val="24"/>
                <w:szCs w:val="24"/>
              </w:rPr>
              <w:t>)</w:t>
            </w:r>
          </w:p>
        </w:tc>
      </w:tr>
      <w:tr w:rsidR="00813AEE" w:rsidRPr="00813AEE" w14:paraId="168182CE" w14:textId="77777777" w:rsidTr="00450BDE">
        <w:trPr>
          <w:trHeight w:val="344"/>
        </w:trPr>
        <w:tc>
          <w:tcPr>
            <w:tcW w:w="7088" w:type="dxa"/>
          </w:tcPr>
          <w:p w14:paraId="10A4807B" w14:textId="6907E658"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 xml:space="preserve">median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range</w:t>
            </w:r>
            <w:r w:rsidR="0066091F">
              <w:rPr>
                <w:rFonts w:ascii="Book Antiqua" w:hAnsi="Book Antiqua"/>
                <w:color w:val="000000" w:themeColor="text1"/>
                <w:sz w:val="24"/>
                <w:szCs w:val="24"/>
              </w:rPr>
              <w:t>)]</w:t>
            </w:r>
          </w:p>
        </w:tc>
        <w:tc>
          <w:tcPr>
            <w:tcW w:w="1847" w:type="dxa"/>
          </w:tcPr>
          <w:p w14:paraId="11E19799" w14:textId="0F468502"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0-7</w:t>
            </w:r>
            <w:r w:rsidR="0066091F">
              <w:rPr>
                <w:rFonts w:ascii="Book Antiqua" w:hAnsi="Book Antiqua"/>
                <w:color w:val="000000" w:themeColor="text1"/>
                <w:sz w:val="24"/>
                <w:szCs w:val="24"/>
              </w:rPr>
              <w:t>)</w:t>
            </w:r>
          </w:p>
        </w:tc>
      </w:tr>
      <w:tr w:rsidR="00813AEE" w:rsidRPr="00813AEE" w14:paraId="0CD19226" w14:textId="77777777" w:rsidTr="00450BDE">
        <w:trPr>
          <w:trHeight w:val="344"/>
        </w:trPr>
        <w:tc>
          <w:tcPr>
            <w:tcW w:w="7088" w:type="dxa"/>
          </w:tcPr>
          <w:p w14:paraId="0183D17C" w14:textId="02D23573"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Endoscopic findings </w:t>
            </w:r>
            <w:bookmarkStart w:id="231" w:name="OLE_LINK71"/>
            <w:r w:rsidRPr="00813AEE">
              <w:rPr>
                <w:rFonts w:ascii="Book Antiqua" w:hAnsi="Book Antiqua"/>
                <w:color w:val="000000" w:themeColor="text1"/>
                <w:sz w:val="24"/>
                <w:szCs w:val="24"/>
              </w:rPr>
              <w:t>of terminal ileum</w:t>
            </w:r>
            <w:bookmarkEnd w:id="231"/>
            <w:r w:rsidRPr="00813AEE">
              <w:rPr>
                <w:rFonts w:ascii="Book Antiqua" w:hAnsi="Book Antiqua"/>
                <w:color w:val="000000" w:themeColor="text1"/>
                <w:sz w:val="24"/>
                <w:szCs w:val="24"/>
              </w:rPr>
              <w:t xml:space="preserve">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390841D0"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p>
        </w:tc>
      </w:tr>
      <w:tr w:rsidR="00813AEE" w:rsidRPr="00813AEE" w14:paraId="28702CE3" w14:textId="77777777" w:rsidTr="00450BDE">
        <w:trPr>
          <w:trHeight w:val="344"/>
        </w:trPr>
        <w:tc>
          <w:tcPr>
            <w:tcW w:w="7088" w:type="dxa"/>
          </w:tcPr>
          <w:p w14:paraId="5EE0629E"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Overt ulcers</w:t>
            </w:r>
          </w:p>
        </w:tc>
        <w:tc>
          <w:tcPr>
            <w:tcW w:w="1847" w:type="dxa"/>
          </w:tcPr>
          <w:p w14:paraId="613424AF"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12</w:t>
            </w:r>
          </w:p>
        </w:tc>
      </w:tr>
      <w:tr w:rsidR="00813AEE" w:rsidRPr="00813AEE" w14:paraId="2449AFA0" w14:textId="77777777" w:rsidTr="00450BDE">
        <w:trPr>
          <w:trHeight w:val="344"/>
        </w:trPr>
        <w:tc>
          <w:tcPr>
            <w:tcW w:w="7088" w:type="dxa"/>
          </w:tcPr>
          <w:p w14:paraId="7276B5BC"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Aphthoid lesions</w:t>
            </w:r>
          </w:p>
        </w:tc>
        <w:tc>
          <w:tcPr>
            <w:tcW w:w="1847" w:type="dxa"/>
          </w:tcPr>
          <w:p w14:paraId="4F26F31E"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5</w:t>
            </w:r>
          </w:p>
        </w:tc>
      </w:tr>
      <w:tr w:rsidR="00813AEE" w:rsidRPr="00813AEE" w14:paraId="50626D47" w14:textId="77777777" w:rsidTr="00450BDE">
        <w:trPr>
          <w:trHeight w:val="344"/>
        </w:trPr>
        <w:tc>
          <w:tcPr>
            <w:tcW w:w="7088" w:type="dxa"/>
          </w:tcPr>
          <w:p w14:paraId="39E34BEA" w14:textId="77777777"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 Erythema or edema conditions</w:t>
            </w:r>
          </w:p>
        </w:tc>
        <w:tc>
          <w:tcPr>
            <w:tcW w:w="1847" w:type="dxa"/>
          </w:tcPr>
          <w:p w14:paraId="5FE43216"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w:t>
            </w:r>
          </w:p>
        </w:tc>
      </w:tr>
      <w:tr w:rsidR="00813AEE" w:rsidRPr="00813AEE" w14:paraId="0F2D529A" w14:textId="77777777" w:rsidTr="00450BDE">
        <w:trPr>
          <w:trHeight w:val="344"/>
        </w:trPr>
        <w:tc>
          <w:tcPr>
            <w:tcW w:w="7088" w:type="dxa"/>
          </w:tcPr>
          <w:p w14:paraId="6B071D39" w14:textId="49C6A929"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Control group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0AF90B25"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23</w:t>
            </w:r>
          </w:p>
        </w:tc>
      </w:tr>
      <w:tr w:rsidR="00813AEE" w:rsidRPr="00813AEE" w14:paraId="15668128" w14:textId="77777777" w:rsidTr="00450BDE">
        <w:trPr>
          <w:trHeight w:val="344"/>
        </w:trPr>
        <w:tc>
          <w:tcPr>
            <w:tcW w:w="7088" w:type="dxa"/>
          </w:tcPr>
          <w:p w14:paraId="58C68E59" w14:textId="2877340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(y</w:t>
            </w:r>
            <w:r w:rsidR="0066091F">
              <w:rPr>
                <w:rFonts w:ascii="Book Antiqua" w:hAnsi="Book Antiqua"/>
                <w:color w:val="000000" w:themeColor="text1"/>
                <w:sz w:val="24"/>
                <w:szCs w:val="24"/>
              </w:rPr>
              <w:t>r</w:t>
            </w:r>
            <w:r w:rsidRPr="00813AEE">
              <w:rPr>
                <w:rFonts w:ascii="Book Antiqua" w:hAnsi="Book Antiqua"/>
                <w:color w:val="000000" w:themeColor="text1"/>
                <w:sz w:val="24"/>
                <w:szCs w:val="24"/>
              </w:rPr>
              <w:t>) (</w:t>
            </w:r>
            <w:r w:rsidR="00622E98" w:rsidRPr="00813AEE">
              <w:rPr>
                <w:rFonts w:ascii="Book Antiqua" w:hAnsi="Book Antiqua"/>
                <w:color w:val="000000" w:themeColor="text1"/>
                <w:sz w:val="24"/>
                <w:szCs w:val="24"/>
              </w:rPr>
              <w:t>mean ± SD</w:t>
            </w:r>
            <w:r w:rsidRPr="00813AEE">
              <w:rPr>
                <w:rFonts w:ascii="Book Antiqua" w:hAnsi="Book Antiqua"/>
                <w:color w:val="000000" w:themeColor="text1"/>
                <w:sz w:val="24"/>
                <w:szCs w:val="24"/>
              </w:rPr>
              <w:t>)</w:t>
            </w:r>
          </w:p>
        </w:tc>
        <w:tc>
          <w:tcPr>
            <w:tcW w:w="1847" w:type="dxa"/>
          </w:tcPr>
          <w:p w14:paraId="544FD335" w14:textId="37C39C43"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46.3 ± 15.4</w:t>
            </w:r>
          </w:p>
        </w:tc>
      </w:tr>
      <w:tr w:rsidR="00813AEE" w:rsidRPr="00813AEE" w14:paraId="0B032ED4" w14:textId="77777777" w:rsidTr="00450BDE">
        <w:trPr>
          <w:trHeight w:val="344"/>
        </w:trPr>
        <w:tc>
          <w:tcPr>
            <w:tcW w:w="7088" w:type="dxa"/>
          </w:tcPr>
          <w:p w14:paraId="18759A66" w14:textId="5B936729"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(males:females)</w:t>
            </w:r>
          </w:p>
        </w:tc>
        <w:tc>
          <w:tcPr>
            <w:tcW w:w="1847" w:type="dxa"/>
          </w:tcPr>
          <w:p w14:paraId="72B0FDBD"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11:12</w:t>
            </w:r>
          </w:p>
        </w:tc>
      </w:tr>
      <w:tr w:rsidR="00813AEE" w:rsidRPr="00813AEE" w14:paraId="7790F586" w14:textId="77777777" w:rsidTr="00450BDE">
        <w:trPr>
          <w:trHeight w:val="344"/>
        </w:trPr>
        <w:tc>
          <w:tcPr>
            <w:tcW w:w="7088" w:type="dxa"/>
          </w:tcPr>
          <w:p w14:paraId="1428358A" w14:textId="1AD276EB"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w:t>
            </w:r>
            <w:r w:rsidR="0066091F">
              <w:rPr>
                <w:rFonts w:ascii="Book Antiqua" w:hAnsi="Book Antiqua"/>
                <w:color w:val="000000" w:themeColor="text1"/>
                <w:sz w:val="24"/>
                <w:szCs w:val="24"/>
              </w:rPr>
              <w:t>[median (range)]</w:t>
            </w:r>
          </w:p>
        </w:tc>
        <w:tc>
          <w:tcPr>
            <w:tcW w:w="1847" w:type="dxa"/>
          </w:tcPr>
          <w:p w14:paraId="659A9D49" w14:textId="6CDCEE68"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3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1-7</w:t>
            </w:r>
            <w:r w:rsidR="0066091F">
              <w:rPr>
                <w:rFonts w:ascii="Book Antiqua" w:hAnsi="Book Antiqua"/>
                <w:color w:val="000000" w:themeColor="text1"/>
                <w:sz w:val="24"/>
                <w:szCs w:val="24"/>
              </w:rPr>
              <w:t>)</w:t>
            </w:r>
          </w:p>
        </w:tc>
      </w:tr>
      <w:tr w:rsidR="00813AEE" w:rsidRPr="00813AEE" w14:paraId="35E9D89A" w14:textId="77777777" w:rsidTr="00450BDE">
        <w:trPr>
          <w:trHeight w:val="344"/>
        </w:trPr>
        <w:tc>
          <w:tcPr>
            <w:tcW w:w="7088" w:type="dxa"/>
          </w:tcPr>
          <w:p w14:paraId="0F280720" w14:textId="0EE2FFED" w:rsidR="00450BDE"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Total (</w:t>
            </w:r>
            <w:r w:rsidR="0066091F">
              <w:rPr>
                <w:rFonts w:ascii="Book Antiqua" w:hAnsi="Book Antiqua"/>
                <w:i/>
                <w:iCs/>
                <w:color w:val="000000" w:themeColor="text1"/>
                <w:sz w:val="24"/>
                <w:szCs w:val="24"/>
              </w:rPr>
              <w:t>n</w:t>
            </w:r>
            <w:r w:rsidRPr="00813AEE">
              <w:rPr>
                <w:rFonts w:ascii="Book Antiqua" w:hAnsi="Book Antiqua"/>
                <w:color w:val="000000" w:themeColor="text1"/>
                <w:sz w:val="24"/>
                <w:szCs w:val="24"/>
              </w:rPr>
              <w:t>)</w:t>
            </w:r>
          </w:p>
        </w:tc>
        <w:tc>
          <w:tcPr>
            <w:tcW w:w="1847" w:type="dxa"/>
          </w:tcPr>
          <w:p w14:paraId="0DA60A67"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44</w:t>
            </w:r>
          </w:p>
        </w:tc>
      </w:tr>
      <w:tr w:rsidR="00813AEE" w:rsidRPr="00813AEE" w14:paraId="6DB66166" w14:textId="77777777" w:rsidTr="00450BDE">
        <w:trPr>
          <w:trHeight w:val="344"/>
        </w:trPr>
        <w:tc>
          <w:tcPr>
            <w:tcW w:w="7088" w:type="dxa"/>
          </w:tcPr>
          <w:p w14:paraId="672754D9" w14:textId="72D66E38"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Age (y</w:t>
            </w:r>
            <w:r w:rsidR="0066091F">
              <w:rPr>
                <w:rFonts w:ascii="Book Antiqua" w:hAnsi="Book Antiqua"/>
                <w:color w:val="000000" w:themeColor="text1"/>
                <w:sz w:val="24"/>
                <w:szCs w:val="24"/>
              </w:rPr>
              <w:t>r</w:t>
            </w:r>
            <w:r w:rsidRPr="00813AEE">
              <w:rPr>
                <w:rFonts w:ascii="Book Antiqua" w:hAnsi="Book Antiqua"/>
                <w:color w:val="000000" w:themeColor="text1"/>
                <w:sz w:val="24"/>
                <w:szCs w:val="24"/>
              </w:rPr>
              <w:t>) (</w:t>
            </w:r>
            <w:r w:rsidR="00622E98" w:rsidRPr="00813AEE">
              <w:rPr>
                <w:rFonts w:ascii="Book Antiqua" w:hAnsi="Book Antiqua"/>
                <w:color w:val="000000" w:themeColor="text1"/>
                <w:sz w:val="24"/>
                <w:szCs w:val="24"/>
              </w:rPr>
              <w:t>mean ± SD</w:t>
            </w:r>
            <w:r w:rsidRPr="00813AEE">
              <w:rPr>
                <w:rFonts w:ascii="Book Antiqua" w:hAnsi="Book Antiqua"/>
                <w:color w:val="000000" w:themeColor="text1"/>
                <w:sz w:val="24"/>
                <w:szCs w:val="24"/>
              </w:rPr>
              <w:t>)</w:t>
            </w:r>
          </w:p>
        </w:tc>
        <w:tc>
          <w:tcPr>
            <w:tcW w:w="1847" w:type="dxa"/>
          </w:tcPr>
          <w:p w14:paraId="6AEEFEEB" w14:textId="70DC7C11" w:rsidR="00450BDE" w:rsidRPr="00813AEE" w:rsidRDefault="00622E98"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44.9 ± 15.7</w:t>
            </w:r>
          </w:p>
        </w:tc>
      </w:tr>
      <w:tr w:rsidR="00813AEE" w:rsidRPr="00813AEE" w14:paraId="073504FF" w14:textId="77777777" w:rsidTr="00450BDE">
        <w:trPr>
          <w:trHeight w:val="344"/>
        </w:trPr>
        <w:tc>
          <w:tcPr>
            <w:tcW w:w="7088" w:type="dxa"/>
          </w:tcPr>
          <w:p w14:paraId="08C372C8" w14:textId="40E966D0"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Gender (males:females)</w:t>
            </w:r>
          </w:p>
        </w:tc>
        <w:tc>
          <w:tcPr>
            <w:tcW w:w="1847" w:type="dxa"/>
          </w:tcPr>
          <w:p w14:paraId="4D170559" w14:textId="77777777"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22:22</w:t>
            </w:r>
          </w:p>
        </w:tc>
      </w:tr>
      <w:tr w:rsidR="00813AEE" w:rsidRPr="00813AEE" w14:paraId="12989BCE" w14:textId="77777777" w:rsidTr="00450BDE">
        <w:trPr>
          <w:trHeight w:val="344"/>
        </w:trPr>
        <w:tc>
          <w:tcPr>
            <w:tcW w:w="7088" w:type="dxa"/>
          </w:tcPr>
          <w:p w14:paraId="180D6010" w14:textId="163495E6" w:rsidR="00450BDE" w:rsidRPr="00813AEE" w:rsidRDefault="00450BDE"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 xml:space="preserve">Days between MRE and endoscopy </w:t>
            </w:r>
            <w:r w:rsidR="0066091F">
              <w:rPr>
                <w:rFonts w:ascii="Book Antiqua" w:hAnsi="Book Antiqua"/>
                <w:color w:val="000000" w:themeColor="text1"/>
                <w:sz w:val="24"/>
                <w:szCs w:val="24"/>
              </w:rPr>
              <w:t>[median (range)]</w:t>
            </w:r>
          </w:p>
        </w:tc>
        <w:tc>
          <w:tcPr>
            <w:tcW w:w="1847" w:type="dxa"/>
          </w:tcPr>
          <w:p w14:paraId="542B0CD8" w14:textId="6C9E1783" w:rsidR="00450BDE" w:rsidRPr="00813AEE" w:rsidRDefault="00450BDE" w:rsidP="004B565D">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 xml:space="preserve">4 </w:t>
            </w:r>
            <w:r w:rsidR="0066091F">
              <w:rPr>
                <w:rFonts w:ascii="Book Antiqua" w:hAnsi="Book Antiqua"/>
                <w:color w:val="000000" w:themeColor="text1"/>
                <w:sz w:val="24"/>
                <w:szCs w:val="24"/>
              </w:rPr>
              <w:t>(</w:t>
            </w:r>
            <w:r w:rsidRPr="00813AEE">
              <w:rPr>
                <w:rFonts w:ascii="Book Antiqua" w:hAnsi="Book Antiqua"/>
                <w:color w:val="000000" w:themeColor="text1"/>
                <w:sz w:val="24"/>
                <w:szCs w:val="24"/>
              </w:rPr>
              <w:t>0-7</w:t>
            </w:r>
            <w:r w:rsidR="0066091F">
              <w:rPr>
                <w:rFonts w:ascii="Book Antiqua" w:hAnsi="Book Antiqua"/>
                <w:color w:val="000000" w:themeColor="text1"/>
                <w:sz w:val="24"/>
                <w:szCs w:val="24"/>
              </w:rPr>
              <w:t>)</w:t>
            </w:r>
          </w:p>
        </w:tc>
      </w:tr>
    </w:tbl>
    <w:p w14:paraId="2D432CE3" w14:textId="7474D2AC" w:rsidR="00541BD7" w:rsidRPr="00813AEE" w:rsidRDefault="00450BDE"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 xml:space="preserve">CD: </w:t>
      </w:r>
      <w:bookmarkStart w:id="232" w:name="OLE_LINK105"/>
      <w:r w:rsidR="002975A4" w:rsidRPr="00813AEE">
        <w:rPr>
          <w:rFonts w:ascii="Book Antiqua" w:hAnsi="Book Antiqua"/>
          <w:color w:val="000000" w:themeColor="text1"/>
          <w:sz w:val="24"/>
          <w:szCs w:val="24"/>
        </w:rPr>
        <w:t>Crohn’s</w:t>
      </w:r>
      <w:r w:rsidRPr="00813AEE">
        <w:rPr>
          <w:rFonts w:ascii="Book Antiqua" w:hAnsi="Book Antiqua"/>
          <w:color w:val="000000" w:themeColor="text1"/>
          <w:sz w:val="24"/>
          <w:szCs w:val="24"/>
        </w:rPr>
        <w:t xml:space="preserve"> disease</w:t>
      </w:r>
      <w:bookmarkEnd w:id="232"/>
      <w:r w:rsidRPr="00813AEE">
        <w:rPr>
          <w:rFonts w:ascii="Book Antiqua" w:hAnsi="Book Antiqua"/>
          <w:color w:val="000000" w:themeColor="text1"/>
          <w:sz w:val="24"/>
          <w:szCs w:val="24"/>
        </w:rPr>
        <w:t>;</w:t>
      </w:r>
      <w:r w:rsidR="007A4F7D" w:rsidRPr="00813AEE">
        <w:rPr>
          <w:rFonts w:ascii="Book Antiqua" w:hAnsi="Book Antiqua"/>
          <w:color w:val="000000" w:themeColor="text1"/>
          <w:sz w:val="24"/>
          <w:szCs w:val="24"/>
        </w:rPr>
        <w:t xml:space="preserve"> SD: </w:t>
      </w:r>
      <w:r w:rsidR="0066091F">
        <w:rPr>
          <w:rFonts w:ascii="Book Antiqua" w:hAnsi="Book Antiqua"/>
          <w:color w:val="000000" w:themeColor="text1"/>
          <w:sz w:val="24"/>
          <w:szCs w:val="24"/>
        </w:rPr>
        <w:t>S</w:t>
      </w:r>
      <w:r w:rsidR="007A4F7D" w:rsidRPr="00813AEE">
        <w:rPr>
          <w:rFonts w:ascii="Book Antiqua" w:hAnsi="Book Antiqua"/>
          <w:color w:val="000000" w:themeColor="text1"/>
          <w:sz w:val="24"/>
          <w:szCs w:val="24"/>
        </w:rPr>
        <w:t>tandard deviation;</w:t>
      </w:r>
      <w:r w:rsidRPr="00813AEE">
        <w:rPr>
          <w:rFonts w:ascii="Book Antiqua" w:hAnsi="Book Antiqua"/>
          <w:color w:val="000000" w:themeColor="text1"/>
          <w:sz w:val="24"/>
          <w:szCs w:val="24"/>
        </w:rPr>
        <w:t xml:space="preserve"> CRP: C-reactive protein; ESR: </w:t>
      </w:r>
      <w:r w:rsidR="0066091F">
        <w:rPr>
          <w:rFonts w:ascii="Book Antiqua" w:hAnsi="Book Antiqua"/>
          <w:color w:val="000000" w:themeColor="text1"/>
          <w:sz w:val="24"/>
          <w:szCs w:val="24"/>
        </w:rPr>
        <w:t>E</w:t>
      </w:r>
      <w:r w:rsidRPr="00813AEE">
        <w:rPr>
          <w:rFonts w:ascii="Book Antiqua" w:hAnsi="Book Antiqua"/>
          <w:color w:val="000000" w:themeColor="text1"/>
          <w:sz w:val="24"/>
          <w:szCs w:val="24"/>
        </w:rPr>
        <w:t>rythrocyte sedimentation rate</w:t>
      </w:r>
      <w:r w:rsidR="0066091F">
        <w:rPr>
          <w:rFonts w:ascii="Book Antiqua" w:hAnsi="Book Antiqua"/>
          <w:color w:val="000000" w:themeColor="text1"/>
          <w:sz w:val="24"/>
          <w:szCs w:val="24"/>
        </w:rPr>
        <w:t>; MRE: M</w:t>
      </w:r>
      <w:r w:rsidR="0066091F" w:rsidRPr="00813AEE">
        <w:rPr>
          <w:rFonts w:ascii="Book Antiqua" w:hAnsi="Book Antiqua"/>
          <w:color w:val="000000" w:themeColor="text1"/>
          <w:sz w:val="24"/>
          <w:szCs w:val="24"/>
        </w:rPr>
        <w:t>agnetic resonance</w:t>
      </w:r>
      <w:r w:rsidR="0066091F">
        <w:rPr>
          <w:rFonts w:ascii="Book Antiqua" w:hAnsi="Book Antiqua"/>
          <w:color w:val="000000" w:themeColor="text1"/>
          <w:sz w:val="24"/>
          <w:szCs w:val="24"/>
        </w:rPr>
        <w:t xml:space="preserve"> </w:t>
      </w:r>
      <w:r w:rsidR="0066091F" w:rsidRPr="00813AEE">
        <w:rPr>
          <w:rFonts w:ascii="Book Antiqua" w:hAnsi="Book Antiqua"/>
          <w:color w:val="000000" w:themeColor="text1"/>
          <w:sz w:val="24"/>
          <w:szCs w:val="24"/>
        </w:rPr>
        <w:t>enterography</w:t>
      </w:r>
      <w:r w:rsidR="0066091F">
        <w:rPr>
          <w:rFonts w:ascii="Book Antiqua" w:hAnsi="Book Antiqua"/>
          <w:color w:val="000000" w:themeColor="text1"/>
          <w:sz w:val="24"/>
          <w:szCs w:val="24"/>
        </w:rPr>
        <w:t>.</w:t>
      </w:r>
    </w:p>
    <w:p w14:paraId="47033D1A" w14:textId="3C9592D6" w:rsidR="00450BDE" w:rsidRPr="00813AEE" w:rsidRDefault="00541BD7" w:rsidP="00813AEE">
      <w:pPr>
        <w:adjustRightInd w:val="0"/>
        <w:snapToGrid w:val="0"/>
        <w:spacing w:line="360" w:lineRule="auto"/>
        <w:rPr>
          <w:rFonts w:ascii="Book Antiqua" w:hAnsi="Book Antiqua"/>
          <w:color w:val="000000" w:themeColor="text1"/>
          <w:kern w:val="0"/>
          <w:sz w:val="24"/>
          <w:szCs w:val="24"/>
        </w:rPr>
        <w:sectPr w:rsidR="00450BDE" w:rsidRPr="00813AEE">
          <w:footerReference w:type="even" r:id="rId15"/>
          <w:footerReference w:type="default" r:id="rId16"/>
          <w:pgSz w:w="11906" w:h="16838"/>
          <w:pgMar w:top="1440" w:right="1440" w:bottom="1440" w:left="1440" w:header="851" w:footer="992" w:gutter="0"/>
          <w:cols w:space="720"/>
          <w:docGrid w:type="lines" w:linePitch="312"/>
        </w:sectPr>
      </w:pPr>
      <w:r w:rsidRPr="00813AEE">
        <w:rPr>
          <w:rFonts w:ascii="Book Antiqua" w:hAnsi="Book Antiqua"/>
          <w:color w:val="000000" w:themeColor="text1"/>
          <w:kern w:val="0"/>
          <w:sz w:val="24"/>
          <w:szCs w:val="24"/>
        </w:rPr>
        <w:br w:type="page"/>
      </w:r>
    </w:p>
    <w:p w14:paraId="051DC2B5" w14:textId="40C310D6"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lastRenderedPageBreak/>
        <w:t xml:space="preserve">Table 2 </w:t>
      </w:r>
      <w:r w:rsidR="00103D54" w:rsidRPr="00813AEE">
        <w:rPr>
          <w:rFonts w:ascii="Book Antiqua" w:hAnsi="Book Antiqua"/>
          <w:b/>
          <w:color w:val="000000" w:themeColor="text1"/>
          <w:sz w:val="24"/>
          <w:szCs w:val="24"/>
        </w:rPr>
        <w:t>Intraobserver agreement a</w:t>
      </w:r>
      <w:r w:rsidR="00450BDE" w:rsidRPr="00813AEE">
        <w:rPr>
          <w:rFonts w:ascii="Book Antiqua" w:hAnsi="Book Antiqua"/>
          <w:b/>
          <w:color w:val="000000" w:themeColor="text1"/>
          <w:sz w:val="24"/>
          <w:szCs w:val="24"/>
        </w:rPr>
        <w:t xml:space="preserve">nd variability of </w:t>
      </w:r>
      <w:r w:rsidR="00257942" w:rsidRPr="00813AEE">
        <w:rPr>
          <w:rFonts w:ascii="Book Antiqua" w:hAnsi="Book Antiqua"/>
          <w:b/>
          <w:color w:val="000000" w:themeColor="text1"/>
          <w:sz w:val="24"/>
          <w:szCs w:val="24"/>
        </w:rPr>
        <w:t>apparent diffusion coefficient</w:t>
      </w:r>
      <w:r w:rsidR="00450BDE"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450BDE" w:rsidRPr="00813AEE">
        <w:rPr>
          <w:rFonts w:ascii="Book Antiqua" w:hAnsi="Book Antiqua"/>
          <w:b/>
          <w:color w:val="000000" w:themeColor="text1"/>
          <w:sz w:val="24"/>
          <w:szCs w:val="24"/>
        </w:rPr>
        <w:t xml:space="preserve"> measurements between the two readers over two sessions</w:t>
      </w:r>
    </w:p>
    <w:tbl>
      <w:tblPr>
        <w:tblStyle w:val="21"/>
        <w:tblW w:w="15104" w:type="dxa"/>
        <w:tblInd w:w="-6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2"/>
        <w:gridCol w:w="1352"/>
        <w:gridCol w:w="1356"/>
        <w:gridCol w:w="96"/>
        <w:gridCol w:w="664"/>
        <w:gridCol w:w="1321"/>
        <w:gridCol w:w="24"/>
        <w:gridCol w:w="1252"/>
        <w:gridCol w:w="141"/>
        <w:gridCol w:w="734"/>
        <w:gridCol w:w="1251"/>
        <w:gridCol w:w="84"/>
        <w:gridCol w:w="58"/>
        <w:gridCol w:w="1275"/>
        <w:gridCol w:w="142"/>
        <w:gridCol w:w="664"/>
        <w:gridCol w:w="1323"/>
        <w:gridCol w:w="1354"/>
        <w:gridCol w:w="61"/>
        <w:gridCol w:w="733"/>
        <w:gridCol w:w="17"/>
      </w:tblGrid>
      <w:tr w:rsidR="00813AEE" w:rsidRPr="00813AEE" w14:paraId="1F2DBF7A" w14:textId="77777777" w:rsidTr="0066091F">
        <w:trPr>
          <w:trHeight w:val="430"/>
        </w:trPr>
        <w:tc>
          <w:tcPr>
            <w:tcW w:w="1202" w:type="dxa"/>
            <w:vMerge w:val="restart"/>
            <w:tcBorders>
              <w:top w:val="single" w:sz="4" w:space="0" w:color="auto"/>
              <w:left w:val="nil"/>
              <w:bottom w:val="single" w:sz="4" w:space="0" w:color="auto"/>
              <w:right w:val="nil"/>
            </w:tcBorders>
            <w:vAlign w:val="center"/>
            <w:hideMark/>
          </w:tcPr>
          <w:p w14:paraId="23D27529" w14:textId="77777777" w:rsidR="00450BDE" w:rsidRPr="00813AEE" w:rsidRDefault="00450BDE" w:rsidP="00813AEE">
            <w:pPr>
              <w:adjustRightInd w:val="0"/>
              <w:snapToGrid w:val="0"/>
              <w:spacing w:line="360" w:lineRule="auto"/>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Group</w:t>
            </w:r>
          </w:p>
        </w:tc>
        <w:tc>
          <w:tcPr>
            <w:tcW w:w="6940" w:type="dxa"/>
            <w:gridSpan w:val="9"/>
            <w:tcBorders>
              <w:top w:val="single" w:sz="4" w:space="0" w:color="auto"/>
              <w:left w:val="nil"/>
              <w:bottom w:val="nil"/>
              <w:right w:val="nil"/>
            </w:tcBorders>
            <w:vAlign w:val="center"/>
            <w:hideMark/>
          </w:tcPr>
          <w:p w14:paraId="5BE56C8D"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CD (</w:t>
            </w:r>
            <w:r w:rsidRPr="0066091F">
              <w:rPr>
                <w:rFonts w:ascii="Book Antiqua" w:eastAsia="宋体" w:hAnsi="Book Antiqua"/>
                <w:b/>
                <w:i/>
                <w:iCs/>
                <w:color w:val="000000" w:themeColor="text1"/>
                <w:sz w:val="24"/>
                <w:szCs w:val="24"/>
              </w:rPr>
              <w:t xml:space="preserve">n </w:t>
            </w:r>
            <w:r w:rsidRPr="00813AEE">
              <w:rPr>
                <w:rFonts w:ascii="Book Antiqua" w:eastAsia="宋体" w:hAnsi="Book Antiqua"/>
                <w:b/>
                <w:color w:val="000000" w:themeColor="text1"/>
                <w:sz w:val="24"/>
                <w:szCs w:val="24"/>
              </w:rPr>
              <w:t>= 21)</w:t>
            </w:r>
          </w:p>
        </w:tc>
        <w:tc>
          <w:tcPr>
            <w:tcW w:w="6962" w:type="dxa"/>
            <w:gridSpan w:val="11"/>
            <w:tcBorders>
              <w:top w:val="single" w:sz="4" w:space="0" w:color="auto"/>
              <w:left w:val="nil"/>
              <w:bottom w:val="nil"/>
              <w:right w:val="nil"/>
            </w:tcBorders>
            <w:vAlign w:val="center"/>
            <w:hideMark/>
          </w:tcPr>
          <w:p w14:paraId="0B824214"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Normal (</w:t>
            </w:r>
            <w:r w:rsidRPr="0066091F">
              <w:rPr>
                <w:rFonts w:ascii="Book Antiqua" w:eastAsia="宋体" w:hAnsi="Book Antiqua"/>
                <w:b/>
                <w:i/>
                <w:iCs/>
                <w:color w:val="000000" w:themeColor="text1"/>
                <w:sz w:val="24"/>
                <w:szCs w:val="24"/>
              </w:rPr>
              <w:t xml:space="preserve">n </w:t>
            </w:r>
            <w:r w:rsidRPr="00813AEE">
              <w:rPr>
                <w:rFonts w:ascii="Book Antiqua" w:eastAsia="宋体" w:hAnsi="Book Antiqua"/>
                <w:b/>
                <w:color w:val="000000" w:themeColor="text1"/>
                <w:sz w:val="24"/>
                <w:szCs w:val="24"/>
              </w:rPr>
              <w:t>= 23)</w:t>
            </w:r>
          </w:p>
        </w:tc>
      </w:tr>
      <w:tr w:rsidR="00813AEE" w:rsidRPr="00813AEE" w14:paraId="0730FF2C" w14:textId="77777777" w:rsidTr="0066091F">
        <w:trPr>
          <w:gridAfter w:val="1"/>
          <w:wAfter w:w="17" w:type="dxa"/>
          <w:trHeight w:val="451"/>
        </w:trPr>
        <w:tc>
          <w:tcPr>
            <w:tcW w:w="1202" w:type="dxa"/>
            <w:vMerge/>
            <w:tcBorders>
              <w:top w:val="single" w:sz="4" w:space="0" w:color="auto"/>
              <w:left w:val="nil"/>
              <w:bottom w:val="single" w:sz="4" w:space="0" w:color="auto"/>
              <w:right w:val="nil"/>
            </w:tcBorders>
            <w:vAlign w:val="center"/>
            <w:hideMark/>
          </w:tcPr>
          <w:p w14:paraId="3917665D" w14:textId="77777777" w:rsidR="00450BDE" w:rsidRPr="00813AEE" w:rsidRDefault="00450BDE" w:rsidP="00813AEE">
            <w:pPr>
              <w:widowControl/>
              <w:adjustRightInd w:val="0"/>
              <w:snapToGrid w:val="0"/>
              <w:spacing w:line="360" w:lineRule="auto"/>
              <w:rPr>
                <w:rFonts w:ascii="Book Antiqua" w:eastAsia="宋体" w:hAnsi="Book Antiqua"/>
                <w:b/>
                <w:color w:val="000000" w:themeColor="text1"/>
                <w:sz w:val="24"/>
                <w:szCs w:val="24"/>
              </w:rPr>
            </w:pPr>
          </w:p>
        </w:tc>
        <w:tc>
          <w:tcPr>
            <w:tcW w:w="1352" w:type="dxa"/>
            <w:tcBorders>
              <w:top w:val="nil"/>
              <w:left w:val="nil"/>
              <w:bottom w:val="single" w:sz="4" w:space="0" w:color="auto"/>
              <w:right w:val="nil"/>
            </w:tcBorders>
            <w:vAlign w:val="center"/>
            <w:hideMark/>
          </w:tcPr>
          <w:p w14:paraId="51BEDCB8" w14:textId="39AD8F0F"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1</w:t>
            </w:r>
          </w:p>
        </w:tc>
        <w:tc>
          <w:tcPr>
            <w:tcW w:w="1452" w:type="dxa"/>
            <w:gridSpan w:val="2"/>
            <w:tcBorders>
              <w:top w:val="nil"/>
              <w:left w:val="nil"/>
              <w:bottom w:val="single" w:sz="4" w:space="0" w:color="auto"/>
              <w:right w:val="nil"/>
            </w:tcBorders>
            <w:vAlign w:val="center"/>
            <w:hideMark/>
          </w:tcPr>
          <w:p w14:paraId="22265E01" w14:textId="525604CB"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1</w:t>
            </w:r>
          </w:p>
        </w:tc>
        <w:tc>
          <w:tcPr>
            <w:tcW w:w="664" w:type="dxa"/>
            <w:tcBorders>
              <w:top w:val="nil"/>
              <w:left w:val="nil"/>
              <w:bottom w:val="single" w:sz="4" w:space="0" w:color="auto"/>
              <w:right w:val="nil"/>
            </w:tcBorders>
            <w:vAlign w:val="center"/>
            <w:hideMark/>
          </w:tcPr>
          <w:p w14:paraId="34F11A11" w14:textId="551A0803" w:rsidR="00450BDE" w:rsidRPr="0066091F" w:rsidRDefault="00450BDE" w:rsidP="00CB7004">
            <w:pPr>
              <w:adjustRightInd w:val="0"/>
              <w:snapToGrid w:val="0"/>
              <w:spacing w:line="360" w:lineRule="auto"/>
              <w:jc w:val="center"/>
              <w:rPr>
                <w:rFonts w:ascii="Book Antiqua" w:eastAsia="宋体" w:hAnsi="Book Antiqua"/>
                <w:b/>
                <w:iCs/>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bookmarkStart w:id="233" w:name="OLE_LINK100"/>
            <w:bookmarkStart w:id="234" w:name="OLE_LINK101"/>
            <w:bookmarkStart w:id="235" w:name="OLE_LINK104"/>
            <w:r w:rsidR="0066091F">
              <w:rPr>
                <w:rFonts w:ascii="Book Antiqua" w:eastAsia="宋体" w:hAnsi="Book Antiqua"/>
                <w:b/>
                <w:iCs/>
                <w:color w:val="000000" w:themeColor="text1"/>
                <w:sz w:val="24"/>
                <w:szCs w:val="24"/>
              </w:rPr>
              <w:t>value</w:t>
            </w:r>
            <w:bookmarkEnd w:id="233"/>
            <w:bookmarkEnd w:id="234"/>
            <w:bookmarkEnd w:id="235"/>
          </w:p>
        </w:tc>
        <w:tc>
          <w:tcPr>
            <w:tcW w:w="1321" w:type="dxa"/>
            <w:tcBorders>
              <w:top w:val="nil"/>
              <w:left w:val="nil"/>
              <w:bottom w:val="single" w:sz="4" w:space="0" w:color="auto"/>
              <w:right w:val="nil"/>
            </w:tcBorders>
            <w:vAlign w:val="center"/>
            <w:hideMark/>
          </w:tcPr>
          <w:p w14:paraId="2081BF84"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2</w:t>
            </w:r>
          </w:p>
        </w:tc>
        <w:tc>
          <w:tcPr>
            <w:tcW w:w="1417" w:type="dxa"/>
            <w:gridSpan w:val="3"/>
            <w:tcBorders>
              <w:top w:val="nil"/>
              <w:left w:val="nil"/>
              <w:bottom w:val="single" w:sz="4" w:space="0" w:color="auto"/>
              <w:right w:val="nil"/>
            </w:tcBorders>
            <w:vAlign w:val="center"/>
            <w:hideMark/>
          </w:tcPr>
          <w:p w14:paraId="2C9CED6B"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2</w:t>
            </w:r>
          </w:p>
        </w:tc>
        <w:tc>
          <w:tcPr>
            <w:tcW w:w="734" w:type="dxa"/>
            <w:tcBorders>
              <w:top w:val="nil"/>
              <w:left w:val="nil"/>
              <w:bottom w:val="single" w:sz="4" w:space="0" w:color="auto"/>
              <w:right w:val="nil"/>
            </w:tcBorders>
            <w:vAlign w:val="center"/>
            <w:hideMark/>
          </w:tcPr>
          <w:p w14:paraId="1B4CD9C5" w14:textId="62B23BBF" w:rsidR="00450BDE" w:rsidRPr="00813AEE" w:rsidRDefault="00450BDE" w:rsidP="00CB7004">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c>
          <w:tcPr>
            <w:tcW w:w="1393" w:type="dxa"/>
            <w:gridSpan w:val="3"/>
            <w:tcBorders>
              <w:top w:val="nil"/>
              <w:left w:val="nil"/>
              <w:bottom w:val="single" w:sz="4" w:space="0" w:color="auto"/>
              <w:right w:val="nil"/>
            </w:tcBorders>
            <w:vAlign w:val="center"/>
            <w:hideMark/>
          </w:tcPr>
          <w:p w14:paraId="6E4B215F"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417" w:type="dxa"/>
            <w:gridSpan w:val="2"/>
            <w:tcBorders>
              <w:top w:val="nil"/>
              <w:left w:val="nil"/>
              <w:bottom w:val="single" w:sz="4" w:space="0" w:color="auto"/>
              <w:right w:val="nil"/>
            </w:tcBorders>
            <w:vAlign w:val="center"/>
            <w:hideMark/>
          </w:tcPr>
          <w:p w14:paraId="534C2C4D"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664" w:type="dxa"/>
            <w:tcBorders>
              <w:top w:val="nil"/>
              <w:left w:val="nil"/>
              <w:bottom w:val="single" w:sz="4" w:space="0" w:color="auto"/>
              <w:right w:val="nil"/>
            </w:tcBorders>
            <w:vAlign w:val="center"/>
            <w:hideMark/>
          </w:tcPr>
          <w:p w14:paraId="2C4C6A4E" w14:textId="6AAAF45D" w:rsidR="00450BDE" w:rsidRPr="00813AEE" w:rsidRDefault="00450BDE" w:rsidP="00CB7004">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c>
          <w:tcPr>
            <w:tcW w:w="1323" w:type="dxa"/>
            <w:tcBorders>
              <w:top w:val="nil"/>
              <w:left w:val="nil"/>
              <w:bottom w:val="single" w:sz="4" w:space="0" w:color="auto"/>
              <w:right w:val="nil"/>
            </w:tcBorders>
            <w:vAlign w:val="center"/>
            <w:hideMark/>
          </w:tcPr>
          <w:p w14:paraId="0A96EE22"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2</w:t>
            </w:r>
          </w:p>
        </w:tc>
        <w:tc>
          <w:tcPr>
            <w:tcW w:w="1415" w:type="dxa"/>
            <w:gridSpan w:val="2"/>
            <w:tcBorders>
              <w:top w:val="nil"/>
              <w:left w:val="nil"/>
              <w:bottom w:val="single" w:sz="4" w:space="0" w:color="auto"/>
              <w:right w:val="nil"/>
            </w:tcBorders>
            <w:vAlign w:val="center"/>
            <w:hideMark/>
          </w:tcPr>
          <w:p w14:paraId="5B3A3FE1" w14:textId="77777777" w:rsidR="00450BDE" w:rsidRPr="00813AEE" w:rsidRDefault="00450BDE" w:rsidP="00CB7004">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2</w:t>
            </w:r>
          </w:p>
        </w:tc>
        <w:tc>
          <w:tcPr>
            <w:tcW w:w="733" w:type="dxa"/>
            <w:tcBorders>
              <w:top w:val="nil"/>
              <w:left w:val="nil"/>
              <w:bottom w:val="single" w:sz="4" w:space="0" w:color="auto"/>
              <w:right w:val="nil"/>
            </w:tcBorders>
            <w:vAlign w:val="center"/>
            <w:hideMark/>
          </w:tcPr>
          <w:p w14:paraId="64B1770C" w14:textId="3B6D75CB" w:rsidR="00450BDE" w:rsidRPr="00813AEE" w:rsidRDefault="00450BDE" w:rsidP="00CB7004">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66091F">
              <w:rPr>
                <w:rFonts w:ascii="Book Antiqua" w:eastAsia="宋体" w:hAnsi="Book Antiqua"/>
                <w:b/>
                <w:iCs/>
                <w:color w:val="000000" w:themeColor="text1"/>
                <w:sz w:val="24"/>
                <w:szCs w:val="24"/>
              </w:rPr>
              <w:t>value</w:t>
            </w:r>
          </w:p>
        </w:tc>
      </w:tr>
      <w:tr w:rsidR="00813AEE" w:rsidRPr="00813AEE" w14:paraId="5506D039" w14:textId="77777777" w:rsidTr="00DD3804">
        <w:trPr>
          <w:gridAfter w:val="1"/>
          <w:wAfter w:w="17" w:type="dxa"/>
          <w:trHeight w:val="445"/>
        </w:trPr>
        <w:tc>
          <w:tcPr>
            <w:tcW w:w="1202" w:type="dxa"/>
            <w:tcBorders>
              <w:top w:val="single" w:sz="4" w:space="0" w:color="auto"/>
              <w:left w:val="nil"/>
              <w:bottom w:val="nil"/>
              <w:right w:val="nil"/>
            </w:tcBorders>
            <w:vAlign w:val="center"/>
            <w:hideMark/>
          </w:tcPr>
          <w:p w14:paraId="7DB9FF77"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ADC</w:t>
            </w:r>
          </w:p>
        </w:tc>
        <w:tc>
          <w:tcPr>
            <w:tcW w:w="1352" w:type="dxa"/>
            <w:tcBorders>
              <w:top w:val="single" w:sz="4" w:space="0" w:color="auto"/>
              <w:left w:val="nil"/>
              <w:bottom w:val="nil"/>
              <w:right w:val="nil"/>
            </w:tcBorders>
            <w:vAlign w:val="center"/>
            <w:hideMark/>
          </w:tcPr>
          <w:p w14:paraId="638A792E" w14:textId="2A50EFB8"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1.50</w:t>
            </w:r>
            <w:r w:rsidR="00313C6D">
              <w:rPr>
                <w:rFonts w:ascii="Book Antiqua" w:eastAsia="宋体" w:hAnsi="Book Antiqua"/>
                <w:color w:val="000000" w:themeColor="text1"/>
                <w:sz w:val="24"/>
                <w:szCs w:val="24"/>
              </w:rPr>
              <w:t xml:space="preserve"> </w:t>
            </w:r>
            <w:r w:rsidR="00CB7004">
              <w:rPr>
                <w:rFonts w:ascii="Book Antiqua" w:eastAsia="宋体" w:hAnsi="Book Antiqua"/>
                <w:color w:val="000000" w:themeColor="text1"/>
                <w:sz w:val="24"/>
                <w:szCs w:val="24"/>
              </w:rPr>
              <w:t>±</w:t>
            </w:r>
            <w:r w:rsidR="00313C6D">
              <w:rPr>
                <w:rFonts w:ascii="Book Antiqua" w:eastAsia="宋体" w:hAnsi="Book Antiqua"/>
                <w:color w:val="000000" w:themeColor="text1"/>
                <w:sz w:val="24"/>
                <w:szCs w:val="24"/>
              </w:rPr>
              <w:t xml:space="preserve"> </w:t>
            </w:r>
            <w:r w:rsidRPr="00813AEE">
              <w:rPr>
                <w:rFonts w:ascii="Book Antiqua" w:eastAsia="宋体" w:hAnsi="Book Antiqua"/>
                <w:color w:val="000000" w:themeColor="text1"/>
                <w:sz w:val="24"/>
                <w:szCs w:val="24"/>
              </w:rPr>
              <w:t>0.40</w:t>
            </w:r>
          </w:p>
        </w:tc>
        <w:tc>
          <w:tcPr>
            <w:tcW w:w="1356" w:type="dxa"/>
            <w:tcBorders>
              <w:top w:val="single" w:sz="4" w:space="0" w:color="auto"/>
              <w:left w:val="nil"/>
              <w:bottom w:val="nil"/>
              <w:right w:val="nil"/>
            </w:tcBorders>
            <w:vAlign w:val="center"/>
            <w:hideMark/>
          </w:tcPr>
          <w:p w14:paraId="5257CAC7" w14:textId="049D36F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0.45</w:t>
            </w:r>
          </w:p>
        </w:tc>
        <w:tc>
          <w:tcPr>
            <w:tcW w:w="760" w:type="dxa"/>
            <w:gridSpan w:val="2"/>
            <w:tcBorders>
              <w:top w:val="single" w:sz="4" w:space="0" w:color="auto"/>
              <w:left w:val="nil"/>
              <w:bottom w:val="nil"/>
              <w:right w:val="nil"/>
            </w:tcBorders>
            <w:vAlign w:val="center"/>
            <w:hideMark/>
          </w:tcPr>
          <w:p w14:paraId="0D0B11C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0.201</w:t>
            </w:r>
          </w:p>
        </w:tc>
        <w:tc>
          <w:tcPr>
            <w:tcW w:w="1345" w:type="dxa"/>
            <w:gridSpan w:val="2"/>
            <w:tcBorders>
              <w:top w:val="single" w:sz="4" w:space="0" w:color="auto"/>
              <w:left w:val="nil"/>
              <w:bottom w:val="nil"/>
              <w:right w:val="nil"/>
            </w:tcBorders>
            <w:vAlign w:val="center"/>
            <w:hideMark/>
          </w:tcPr>
          <w:p w14:paraId="7CB6D9AF" w14:textId="6DB1C58A"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1.52</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0.45</w:t>
            </w:r>
          </w:p>
        </w:tc>
        <w:tc>
          <w:tcPr>
            <w:tcW w:w="1252" w:type="dxa"/>
            <w:tcBorders>
              <w:top w:val="single" w:sz="4" w:space="0" w:color="auto"/>
              <w:left w:val="nil"/>
              <w:bottom w:val="nil"/>
              <w:right w:val="nil"/>
            </w:tcBorders>
            <w:vAlign w:val="center"/>
            <w:hideMark/>
          </w:tcPr>
          <w:p w14:paraId="0DCA0437" w14:textId="4E658C7A"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1.56</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0.47</w:t>
            </w:r>
          </w:p>
        </w:tc>
        <w:tc>
          <w:tcPr>
            <w:tcW w:w="875" w:type="dxa"/>
            <w:gridSpan w:val="2"/>
            <w:tcBorders>
              <w:top w:val="single" w:sz="4" w:space="0" w:color="auto"/>
              <w:left w:val="nil"/>
              <w:bottom w:val="nil"/>
              <w:right w:val="nil"/>
            </w:tcBorders>
            <w:vAlign w:val="center"/>
            <w:hideMark/>
          </w:tcPr>
          <w:p w14:paraId="1A106C5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0.125</w:t>
            </w:r>
          </w:p>
        </w:tc>
        <w:tc>
          <w:tcPr>
            <w:tcW w:w="1335" w:type="dxa"/>
            <w:gridSpan w:val="2"/>
            <w:tcBorders>
              <w:top w:val="single" w:sz="4" w:space="0" w:color="auto"/>
              <w:left w:val="nil"/>
              <w:bottom w:val="nil"/>
              <w:right w:val="nil"/>
            </w:tcBorders>
            <w:vAlign w:val="center"/>
            <w:hideMark/>
          </w:tcPr>
          <w:p w14:paraId="03197F48" w14:textId="0EE9D80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1333" w:type="dxa"/>
            <w:gridSpan w:val="2"/>
            <w:tcBorders>
              <w:top w:val="single" w:sz="4" w:space="0" w:color="auto"/>
              <w:left w:val="nil"/>
              <w:bottom w:val="nil"/>
              <w:right w:val="nil"/>
            </w:tcBorders>
            <w:vAlign w:val="center"/>
            <w:hideMark/>
          </w:tcPr>
          <w:p w14:paraId="0434A4AF" w14:textId="13EE318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2.53</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806" w:type="dxa"/>
            <w:gridSpan w:val="2"/>
            <w:tcBorders>
              <w:top w:val="single" w:sz="4" w:space="0" w:color="auto"/>
              <w:left w:val="nil"/>
              <w:bottom w:val="nil"/>
              <w:right w:val="nil"/>
            </w:tcBorders>
            <w:vAlign w:val="center"/>
            <w:hideMark/>
          </w:tcPr>
          <w:p w14:paraId="729E718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0.772</w:t>
            </w:r>
          </w:p>
        </w:tc>
        <w:tc>
          <w:tcPr>
            <w:tcW w:w="1323" w:type="dxa"/>
            <w:tcBorders>
              <w:top w:val="single" w:sz="4" w:space="0" w:color="auto"/>
              <w:left w:val="nil"/>
              <w:bottom w:val="nil"/>
              <w:right w:val="nil"/>
            </w:tcBorders>
            <w:vAlign w:val="center"/>
            <w:hideMark/>
          </w:tcPr>
          <w:p w14:paraId="4376B329" w14:textId="42C882B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2.57</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0.50</w:t>
            </w:r>
          </w:p>
        </w:tc>
        <w:tc>
          <w:tcPr>
            <w:tcW w:w="1354" w:type="dxa"/>
            <w:tcBorders>
              <w:top w:val="single" w:sz="4" w:space="0" w:color="auto"/>
              <w:left w:val="nil"/>
              <w:bottom w:val="nil"/>
              <w:right w:val="nil"/>
            </w:tcBorders>
            <w:vAlign w:val="center"/>
            <w:hideMark/>
          </w:tcPr>
          <w:p w14:paraId="3BC3F626" w14:textId="3FAA5214"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2.64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0.57</w:t>
            </w:r>
          </w:p>
        </w:tc>
        <w:tc>
          <w:tcPr>
            <w:tcW w:w="794" w:type="dxa"/>
            <w:gridSpan w:val="2"/>
            <w:tcBorders>
              <w:top w:val="single" w:sz="4" w:space="0" w:color="auto"/>
              <w:left w:val="nil"/>
              <w:bottom w:val="nil"/>
              <w:right w:val="nil"/>
            </w:tcBorders>
            <w:vAlign w:val="center"/>
            <w:hideMark/>
          </w:tcPr>
          <w:p w14:paraId="67C6E9DE"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0.450</w:t>
            </w:r>
          </w:p>
        </w:tc>
      </w:tr>
      <w:tr w:rsidR="00813AEE" w:rsidRPr="00813AEE" w14:paraId="7F4717BB" w14:textId="77777777" w:rsidTr="00DD3804">
        <w:trPr>
          <w:trHeight w:val="445"/>
        </w:trPr>
        <w:tc>
          <w:tcPr>
            <w:tcW w:w="1202" w:type="dxa"/>
            <w:tcBorders>
              <w:top w:val="nil"/>
              <w:left w:val="nil"/>
              <w:bottom w:val="nil"/>
              <w:right w:val="nil"/>
            </w:tcBorders>
            <w:vAlign w:val="center"/>
            <w:hideMark/>
          </w:tcPr>
          <w:p w14:paraId="016F0E1A"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4"/>
            <w:tcBorders>
              <w:top w:val="nil"/>
              <w:left w:val="nil"/>
              <w:bottom w:val="nil"/>
              <w:right w:val="nil"/>
            </w:tcBorders>
            <w:vAlign w:val="center"/>
            <w:hideMark/>
          </w:tcPr>
          <w:p w14:paraId="1C7CA46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0.952</w:t>
            </w:r>
          </w:p>
        </w:tc>
        <w:tc>
          <w:tcPr>
            <w:tcW w:w="3472" w:type="dxa"/>
            <w:gridSpan w:val="5"/>
            <w:tcBorders>
              <w:top w:val="nil"/>
              <w:left w:val="nil"/>
              <w:bottom w:val="nil"/>
              <w:right w:val="nil"/>
            </w:tcBorders>
            <w:vAlign w:val="center"/>
            <w:hideMark/>
          </w:tcPr>
          <w:p w14:paraId="74BCF78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0.977</w:t>
            </w:r>
          </w:p>
        </w:tc>
        <w:tc>
          <w:tcPr>
            <w:tcW w:w="3474" w:type="dxa"/>
            <w:gridSpan w:val="6"/>
            <w:tcBorders>
              <w:top w:val="nil"/>
              <w:left w:val="nil"/>
              <w:bottom w:val="nil"/>
              <w:right w:val="nil"/>
            </w:tcBorders>
            <w:vAlign w:val="center"/>
            <w:hideMark/>
          </w:tcPr>
          <w:p w14:paraId="107042F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0.736</w:t>
            </w:r>
          </w:p>
        </w:tc>
        <w:tc>
          <w:tcPr>
            <w:tcW w:w="3488" w:type="dxa"/>
            <w:gridSpan w:val="5"/>
            <w:tcBorders>
              <w:top w:val="nil"/>
              <w:left w:val="nil"/>
              <w:bottom w:val="nil"/>
              <w:right w:val="nil"/>
            </w:tcBorders>
            <w:vAlign w:val="center"/>
            <w:hideMark/>
          </w:tcPr>
          <w:p w14:paraId="3DC6661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0.711</w:t>
            </w:r>
          </w:p>
        </w:tc>
      </w:tr>
      <w:tr w:rsidR="00813AEE" w:rsidRPr="00813AEE" w14:paraId="58C8857E" w14:textId="77777777" w:rsidTr="00DD3804">
        <w:trPr>
          <w:trHeight w:val="445"/>
        </w:trPr>
        <w:tc>
          <w:tcPr>
            <w:tcW w:w="1202" w:type="dxa"/>
            <w:tcBorders>
              <w:top w:val="nil"/>
              <w:left w:val="nil"/>
              <w:bottom w:val="nil"/>
              <w:right w:val="nil"/>
            </w:tcBorders>
            <w:vAlign w:val="center"/>
            <w:hideMark/>
          </w:tcPr>
          <w:p w14:paraId="6566548C"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CoV</w:t>
            </w:r>
          </w:p>
        </w:tc>
        <w:tc>
          <w:tcPr>
            <w:tcW w:w="3468" w:type="dxa"/>
            <w:gridSpan w:val="4"/>
            <w:tcBorders>
              <w:top w:val="nil"/>
              <w:left w:val="nil"/>
              <w:bottom w:val="nil"/>
              <w:right w:val="nil"/>
            </w:tcBorders>
            <w:vAlign w:val="center"/>
            <w:hideMark/>
          </w:tcPr>
          <w:p w14:paraId="21C6633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6.28</w:t>
            </w:r>
          </w:p>
        </w:tc>
        <w:tc>
          <w:tcPr>
            <w:tcW w:w="3472" w:type="dxa"/>
            <w:gridSpan w:val="5"/>
            <w:tcBorders>
              <w:top w:val="nil"/>
              <w:left w:val="nil"/>
              <w:bottom w:val="nil"/>
              <w:right w:val="nil"/>
            </w:tcBorders>
            <w:vAlign w:val="center"/>
            <w:hideMark/>
          </w:tcPr>
          <w:p w14:paraId="52D80A9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4.71</w:t>
            </w:r>
          </w:p>
        </w:tc>
        <w:tc>
          <w:tcPr>
            <w:tcW w:w="3474" w:type="dxa"/>
            <w:gridSpan w:val="6"/>
            <w:tcBorders>
              <w:top w:val="nil"/>
              <w:left w:val="nil"/>
              <w:bottom w:val="nil"/>
              <w:right w:val="nil"/>
            </w:tcBorders>
            <w:vAlign w:val="center"/>
            <w:hideMark/>
          </w:tcPr>
          <w:p w14:paraId="451B411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10.47</w:t>
            </w:r>
          </w:p>
        </w:tc>
        <w:tc>
          <w:tcPr>
            <w:tcW w:w="3488" w:type="dxa"/>
            <w:gridSpan w:val="5"/>
            <w:tcBorders>
              <w:top w:val="nil"/>
              <w:left w:val="nil"/>
              <w:bottom w:val="nil"/>
              <w:right w:val="nil"/>
            </w:tcBorders>
            <w:vAlign w:val="center"/>
            <w:hideMark/>
          </w:tcPr>
          <w:p w14:paraId="419DAB7C"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10.64</w:t>
            </w:r>
          </w:p>
        </w:tc>
      </w:tr>
      <w:tr w:rsidR="00813AEE" w:rsidRPr="00813AEE" w14:paraId="0C8C421E" w14:textId="77777777" w:rsidTr="00DD3804">
        <w:trPr>
          <w:trHeight w:val="445"/>
        </w:trPr>
        <w:tc>
          <w:tcPr>
            <w:tcW w:w="1202" w:type="dxa"/>
            <w:tcBorders>
              <w:top w:val="nil"/>
              <w:left w:val="nil"/>
              <w:bottom w:val="nil"/>
              <w:right w:val="nil"/>
            </w:tcBorders>
            <w:vAlign w:val="center"/>
            <w:hideMark/>
          </w:tcPr>
          <w:p w14:paraId="1FB61DA0"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4"/>
            <w:tcBorders>
              <w:top w:val="nil"/>
              <w:left w:val="nil"/>
              <w:bottom w:val="nil"/>
              <w:right w:val="nil"/>
            </w:tcBorders>
            <w:vAlign w:val="center"/>
            <w:hideMark/>
          </w:tcPr>
          <w:p w14:paraId="289B375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1.77</w:t>
            </w:r>
          </w:p>
        </w:tc>
        <w:tc>
          <w:tcPr>
            <w:tcW w:w="3472" w:type="dxa"/>
            <w:gridSpan w:val="5"/>
            <w:tcBorders>
              <w:top w:val="nil"/>
              <w:left w:val="nil"/>
              <w:bottom w:val="nil"/>
              <w:right w:val="nil"/>
            </w:tcBorders>
            <w:vAlign w:val="center"/>
            <w:hideMark/>
          </w:tcPr>
          <w:p w14:paraId="65A74252"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1.89</w:t>
            </w:r>
          </w:p>
        </w:tc>
        <w:tc>
          <w:tcPr>
            <w:tcW w:w="3474" w:type="dxa"/>
            <w:gridSpan w:val="6"/>
            <w:tcBorders>
              <w:top w:val="nil"/>
              <w:left w:val="nil"/>
              <w:bottom w:val="nil"/>
              <w:right w:val="nil"/>
            </w:tcBorders>
            <w:vAlign w:val="center"/>
            <w:hideMark/>
          </w:tcPr>
          <w:p w14:paraId="5CA840B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-1.07</w:t>
            </w:r>
          </w:p>
        </w:tc>
        <w:tc>
          <w:tcPr>
            <w:tcW w:w="3488" w:type="dxa"/>
            <w:gridSpan w:val="5"/>
            <w:tcBorders>
              <w:top w:val="nil"/>
              <w:left w:val="nil"/>
              <w:bottom w:val="nil"/>
              <w:right w:val="nil"/>
            </w:tcBorders>
            <w:vAlign w:val="center"/>
            <w:hideMark/>
          </w:tcPr>
          <w:p w14:paraId="3DC6BEA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-1.71</w:t>
            </w:r>
          </w:p>
        </w:tc>
      </w:tr>
      <w:tr w:rsidR="00813AEE" w:rsidRPr="00813AEE" w14:paraId="65E46802" w14:textId="77777777" w:rsidTr="00DD3804">
        <w:trPr>
          <w:trHeight w:val="445"/>
        </w:trPr>
        <w:tc>
          <w:tcPr>
            <w:tcW w:w="1202" w:type="dxa"/>
            <w:tcBorders>
              <w:top w:val="nil"/>
              <w:left w:val="nil"/>
              <w:bottom w:val="nil"/>
              <w:right w:val="nil"/>
            </w:tcBorders>
            <w:vAlign w:val="center"/>
            <w:hideMark/>
          </w:tcPr>
          <w:p w14:paraId="7BD136A3"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LoA (%)</w:t>
            </w:r>
          </w:p>
        </w:tc>
        <w:tc>
          <w:tcPr>
            <w:tcW w:w="3468" w:type="dxa"/>
            <w:gridSpan w:val="4"/>
            <w:tcBorders>
              <w:top w:val="nil"/>
              <w:left w:val="nil"/>
              <w:bottom w:val="nil"/>
              <w:right w:val="nil"/>
            </w:tcBorders>
            <w:vAlign w:val="center"/>
            <w:hideMark/>
          </w:tcPr>
          <w:p w14:paraId="2429FED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-14.10 to 17.65</w:t>
            </w:r>
          </w:p>
        </w:tc>
        <w:tc>
          <w:tcPr>
            <w:tcW w:w="3472" w:type="dxa"/>
            <w:gridSpan w:val="5"/>
            <w:tcBorders>
              <w:top w:val="nil"/>
              <w:left w:val="nil"/>
              <w:bottom w:val="nil"/>
              <w:right w:val="nil"/>
            </w:tcBorders>
            <w:vAlign w:val="center"/>
            <w:hideMark/>
          </w:tcPr>
          <w:p w14:paraId="7A21EF57"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-10.65 to 14.42</w:t>
            </w:r>
          </w:p>
        </w:tc>
        <w:tc>
          <w:tcPr>
            <w:tcW w:w="3474" w:type="dxa"/>
            <w:gridSpan w:val="6"/>
            <w:tcBorders>
              <w:top w:val="nil"/>
              <w:left w:val="nil"/>
              <w:bottom w:val="nil"/>
              <w:right w:val="nil"/>
            </w:tcBorders>
            <w:vAlign w:val="center"/>
            <w:hideMark/>
          </w:tcPr>
          <w:p w14:paraId="02E7E52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-30.75 to 28.62</w:t>
            </w:r>
          </w:p>
        </w:tc>
        <w:tc>
          <w:tcPr>
            <w:tcW w:w="3488" w:type="dxa"/>
            <w:gridSpan w:val="5"/>
            <w:tcBorders>
              <w:top w:val="nil"/>
              <w:left w:val="nil"/>
              <w:bottom w:val="nil"/>
              <w:right w:val="nil"/>
            </w:tcBorders>
            <w:vAlign w:val="center"/>
            <w:hideMark/>
          </w:tcPr>
          <w:p w14:paraId="154DD4AB"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-28.30 to 24.86</w:t>
            </w:r>
          </w:p>
        </w:tc>
      </w:tr>
      <w:tr w:rsidR="00813AEE" w:rsidRPr="00813AEE" w14:paraId="346AB7AF" w14:textId="77777777" w:rsidTr="00DD3804">
        <w:trPr>
          <w:gridAfter w:val="1"/>
          <w:wAfter w:w="17" w:type="dxa"/>
          <w:trHeight w:val="445"/>
        </w:trPr>
        <w:tc>
          <w:tcPr>
            <w:tcW w:w="1202" w:type="dxa"/>
            <w:tcBorders>
              <w:top w:val="nil"/>
              <w:left w:val="nil"/>
              <w:bottom w:val="nil"/>
              <w:right w:val="nil"/>
            </w:tcBorders>
            <w:vAlign w:val="center"/>
            <w:hideMark/>
          </w:tcPr>
          <w:p w14:paraId="0676F4F0"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SR</w:t>
            </w:r>
          </w:p>
        </w:tc>
        <w:tc>
          <w:tcPr>
            <w:tcW w:w="1352" w:type="dxa"/>
            <w:tcBorders>
              <w:top w:val="nil"/>
              <w:left w:val="nil"/>
              <w:bottom w:val="nil"/>
              <w:right w:val="nil"/>
            </w:tcBorders>
            <w:vAlign w:val="center"/>
            <w:hideMark/>
          </w:tcPr>
          <w:p w14:paraId="1C9F575B" w14:textId="32B4BB56"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4.17</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1.43</w:t>
            </w:r>
          </w:p>
        </w:tc>
        <w:tc>
          <w:tcPr>
            <w:tcW w:w="1356" w:type="dxa"/>
            <w:tcBorders>
              <w:top w:val="nil"/>
              <w:left w:val="nil"/>
              <w:bottom w:val="nil"/>
              <w:right w:val="nil"/>
            </w:tcBorders>
            <w:vAlign w:val="center"/>
            <w:hideMark/>
          </w:tcPr>
          <w:p w14:paraId="27E7126E" w14:textId="0698E862"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4.20</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1.36</w:t>
            </w:r>
          </w:p>
        </w:tc>
        <w:tc>
          <w:tcPr>
            <w:tcW w:w="760" w:type="dxa"/>
            <w:gridSpan w:val="2"/>
            <w:tcBorders>
              <w:top w:val="nil"/>
              <w:left w:val="nil"/>
              <w:bottom w:val="nil"/>
              <w:right w:val="nil"/>
            </w:tcBorders>
            <w:vAlign w:val="center"/>
            <w:hideMark/>
          </w:tcPr>
          <w:p w14:paraId="66BACDA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0.505</w:t>
            </w:r>
          </w:p>
        </w:tc>
        <w:tc>
          <w:tcPr>
            <w:tcW w:w="1321" w:type="dxa"/>
            <w:tcBorders>
              <w:top w:val="nil"/>
              <w:left w:val="nil"/>
              <w:bottom w:val="nil"/>
              <w:right w:val="nil"/>
            </w:tcBorders>
            <w:vAlign w:val="center"/>
            <w:hideMark/>
          </w:tcPr>
          <w:p w14:paraId="2770EC71" w14:textId="30E7EEF6"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4.21</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1.34</w:t>
            </w:r>
          </w:p>
        </w:tc>
        <w:tc>
          <w:tcPr>
            <w:tcW w:w="1276" w:type="dxa"/>
            <w:gridSpan w:val="2"/>
            <w:tcBorders>
              <w:top w:val="nil"/>
              <w:left w:val="nil"/>
              <w:bottom w:val="nil"/>
              <w:right w:val="nil"/>
            </w:tcBorders>
            <w:vAlign w:val="center"/>
            <w:hideMark/>
          </w:tcPr>
          <w:p w14:paraId="322B844B" w14:textId="0DCB16B3"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4.23</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1.42</w:t>
            </w:r>
          </w:p>
        </w:tc>
        <w:tc>
          <w:tcPr>
            <w:tcW w:w="875" w:type="dxa"/>
            <w:gridSpan w:val="2"/>
            <w:tcBorders>
              <w:top w:val="nil"/>
              <w:left w:val="nil"/>
              <w:bottom w:val="nil"/>
              <w:right w:val="nil"/>
            </w:tcBorders>
            <w:vAlign w:val="center"/>
            <w:hideMark/>
          </w:tcPr>
          <w:p w14:paraId="4A7EF189"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0.794</w:t>
            </w:r>
          </w:p>
        </w:tc>
        <w:tc>
          <w:tcPr>
            <w:tcW w:w="1251" w:type="dxa"/>
            <w:tcBorders>
              <w:top w:val="nil"/>
              <w:left w:val="nil"/>
              <w:bottom w:val="nil"/>
              <w:right w:val="nil"/>
            </w:tcBorders>
            <w:vAlign w:val="center"/>
            <w:hideMark/>
          </w:tcPr>
          <w:p w14:paraId="0304E8C5" w14:textId="055CABAB"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0.54</w:t>
            </w:r>
          </w:p>
        </w:tc>
        <w:tc>
          <w:tcPr>
            <w:tcW w:w="1417" w:type="dxa"/>
            <w:gridSpan w:val="3"/>
            <w:tcBorders>
              <w:top w:val="nil"/>
              <w:left w:val="nil"/>
              <w:bottom w:val="nil"/>
              <w:right w:val="nil"/>
            </w:tcBorders>
            <w:vAlign w:val="center"/>
            <w:hideMark/>
          </w:tcPr>
          <w:p w14:paraId="6E62726E" w14:textId="5B49A170"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0.53</w:t>
            </w:r>
          </w:p>
        </w:tc>
        <w:tc>
          <w:tcPr>
            <w:tcW w:w="806" w:type="dxa"/>
            <w:gridSpan w:val="2"/>
            <w:tcBorders>
              <w:top w:val="nil"/>
              <w:left w:val="nil"/>
              <w:bottom w:val="nil"/>
              <w:right w:val="nil"/>
            </w:tcBorders>
            <w:vAlign w:val="center"/>
            <w:hideMark/>
          </w:tcPr>
          <w:p w14:paraId="51CCCDE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0.697</w:t>
            </w:r>
          </w:p>
        </w:tc>
        <w:tc>
          <w:tcPr>
            <w:tcW w:w="1323" w:type="dxa"/>
            <w:tcBorders>
              <w:top w:val="nil"/>
              <w:left w:val="nil"/>
              <w:bottom w:val="nil"/>
              <w:right w:val="nil"/>
            </w:tcBorders>
            <w:vAlign w:val="center"/>
            <w:hideMark/>
          </w:tcPr>
          <w:p w14:paraId="39036BD6" w14:textId="030D6AAD"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1.44</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0.52</w:t>
            </w:r>
          </w:p>
        </w:tc>
        <w:tc>
          <w:tcPr>
            <w:tcW w:w="1354" w:type="dxa"/>
            <w:tcBorders>
              <w:top w:val="nil"/>
              <w:left w:val="nil"/>
              <w:bottom w:val="nil"/>
              <w:right w:val="nil"/>
            </w:tcBorders>
            <w:vAlign w:val="center"/>
            <w:hideMark/>
          </w:tcPr>
          <w:p w14:paraId="534CB992" w14:textId="5B1934F3"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1.45</w:t>
            </w:r>
            <w:r w:rsidR="00CB7004">
              <w:rPr>
                <w:rFonts w:ascii="Book Antiqua" w:eastAsia="宋体" w:hAnsi="Book Antiqua"/>
                <w:color w:val="000000" w:themeColor="text1"/>
                <w:sz w:val="24"/>
                <w:szCs w:val="24"/>
              </w:rPr>
              <w:t xml:space="preserve"> ± </w:t>
            </w:r>
            <w:r w:rsidRPr="00813AEE">
              <w:rPr>
                <w:rFonts w:ascii="Book Antiqua" w:eastAsia="宋体" w:hAnsi="Book Antiqua"/>
                <w:color w:val="000000" w:themeColor="text1"/>
                <w:sz w:val="24"/>
                <w:szCs w:val="24"/>
              </w:rPr>
              <w:t>0.56</w:t>
            </w:r>
          </w:p>
        </w:tc>
        <w:tc>
          <w:tcPr>
            <w:tcW w:w="794" w:type="dxa"/>
            <w:gridSpan w:val="2"/>
            <w:tcBorders>
              <w:top w:val="nil"/>
              <w:left w:val="nil"/>
              <w:bottom w:val="nil"/>
              <w:right w:val="nil"/>
            </w:tcBorders>
            <w:vAlign w:val="center"/>
            <w:hideMark/>
          </w:tcPr>
          <w:p w14:paraId="4178052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0.704</w:t>
            </w:r>
          </w:p>
        </w:tc>
      </w:tr>
      <w:tr w:rsidR="00813AEE" w:rsidRPr="00813AEE" w14:paraId="7AB12005" w14:textId="77777777" w:rsidTr="00DD3804">
        <w:trPr>
          <w:trHeight w:val="445"/>
        </w:trPr>
        <w:tc>
          <w:tcPr>
            <w:tcW w:w="1202" w:type="dxa"/>
            <w:tcBorders>
              <w:top w:val="nil"/>
              <w:left w:val="nil"/>
              <w:bottom w:val="nil"/>
              <w:right w:val="nil"/>
            </w:tcBorders>
            <w:vAlign w:val="center"/>
            <w:hideMark/>
          </w:tcPr>
          <w:p w14:paraId="7D157A7B"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4"/>
            <w:tcBorders>
              <w:top w:val="nil"/>
              <w:left w:val="nil"/>
              <w:bottom w:val="nil"/>
              <w:right w:val="nil"/>
            </w:tcBorders>
            <w:vAlign w:val="center"/>
            <w:hideMark/>
          </w:tcPr>
          <w:p w14:paraId="3C08AC9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0.989</w:t>
            </w:r>
          </w:p>
        </w:tc>
        <w:tc>
          <w:tcPr>
            <w:tcW w:w="3472" w:type="dxa"/>
            <w:gridSpan w:val="5"/>
            <w:tcBorders>
              <w:top w:val="nil"/>
              <w:left w:val="nil"/>
              <w:bottom w:val="nil"/>
              <w:right w:val="nil"/>
            </w:tcBorders>
            <w:vAlign w:val="center"/>
            <w:hideMark/>
          </w:tcPr>
          <w:p w14:paraId="33D1992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0.979</w:t>
            </w:r>
          </w:p>
        </w:tc>
        <w:tc>
          <w:tcPr>
            <w:tcW w:w="3474" w:type="dxa"/>
            <w:gridSpan w:val="6"/>
            <w:tcBorders>
              <w:top w:val="nil"/>
              <w:left w:val="nil"/>
              <w:bottom w:val="nil"/>
              <w:right w:val="nil"/>
            </w:tcBorders>
            <w:vAlign w:val="center"/>
            <w:hideMark/>
          </w:tcPr>
          <w:p w14:paraId="0AEE7DBD"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0.974</w:t>
            </w:r>
          </w:p>
        </w:tc>
        <w:tc>
          <w:tcPr>
            <w:tcW w:w="3488" w:type="dxa"/>
            <w:gridSpan w:val="5"/>
            <w:tcBorders>
              <w:top w:val="nil"/>
              <w:left w:val="nil"/>
              <w:bottom w:val="nil"/>
              <w:right w:val="nil"/>
            </w:tcBorders>
            <w:vAlign w:val="center"/>
            <w:hideMark/>
          </w:tcPr>
          <w:p w14:paraId="7A5A711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0.944</w:t>
            </w:r>
          </w:p>
        </w:tc>
      </w:tr>
      <w:tr w:rsidR="00813AEE" w:rsidRPr="00813AEE" w14:paraId="0FF239BE" w14:textId="77777777" w:rsidTr="00DD3804">
        <w:trPr>
          <w:trHeight w:val="445"/>
        </w:trPr>
        <w:tc>
          <w:tcPr>
            <w:tcW w:w="1202" w:type="dxa"/>
            <w:tcBorders>
              <w:top w:val="nil"/>
              <w:left w:val="nil"/>
              <w:bottom w:val="nil"/>
              <w:right w:val="nil"/>
            </w:tcBorders>
            <w:vAlign w:val="center"/>
            <w:hideMark/>
          </w:tcPr>
          <w:p w14:paraId="78266782"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CoV</w:t>
            </w:r>
          </w:p>
        </w:tc>
        <w:tc>
          <w:tcPr>
            <w:tcW w:w="3468" w:type="dxa"/>
            <w:gridSpan w:val="4"/>
            <w:tcBorders>
              <w:top w:val="nil"/>
              <w:left w:val="nil"/>
              <w:bottom w:val="nil"/>
              <w:right w:val="nil"/>
            </w:tcBorders>
            <w:vAlign w:val="center"/>
            <w:hideMark/>
          </w:tcPr>
          <w:p w14:paraId="745DE4A1"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3.51</w:t>
            </w:r>
          </w:p>
        </w:tc>
        <w:tc>
          <w:tcPr>
            <w:tcW w:w="3472" w:type="dxa"/>
            <w:gridSpan w:val="5"/>
            <w:tcBorders>
              <w:top w:val="nil"/>
              <w:left w:val="nil"/>
              <w:bottom w:val="nil"/>
              <w:right w:val="nil"/>
            </w:tcBorders>
            <w:vAlign w:val="center"/>
            <w:hideMark/>
          </w:tcPr>
          <w:p w14:paraId="5118DED0"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4.64</w:t>
            </w:r>
          </w:p>
        </w:tc>
        <w:tc>
          <w:tcPr>
            <w:tcW w:w="3474" w:type="dxa"/>
            <w:gridSpan w:val="6"/>
            <w:tcBorders>
              <w:top w:val="nil"/>
              <w:left w:val="nil"/>
              <w:bottom w:val="nil"/>
              <w:right w:val="nil"/>
            </w:tcBorders>
            <w:vAlign w:val="center"/>
            <w:hideMark/>
          </w:tcPr>
          <w:p w14:paraId="4228A1D0"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5.93</w:t>
            </w:r>
          </w:p>
        </w:tc>
        <w:tc>
          <w:tcPr>
            <w:tcW w:w="3488" w:type="dxa"/>
            <w:gridSpan w:val="5"/>
            <w:tcBorders>
              <w:top w:val="nil"/>
              <w:left w:val="nil"/>
              <w:bottom w:val="nil"/>
              <w:right w:val="nil"/>
            </w:tcBorders>
            <w:vAlign w:val="center"/>
            <w:hideMark/>
          </w:tcPr>
          <w:p w14:paraId="2BD470A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8.69</w:t>
            </w:r>
          </w:p>
        </w:tc>
      </w:tr>
      <w:tr w:rsidR="00813AEE" w:rsidRPr="00813AEE" w14:paraId="182945BC" w14:textId="77777777" w:rsidTr="00DD3804">
        <w:trPr>
          <w:trHeight w:val="445"/>
        </w:trPr>
        <w:tc>
          <w:tcPr>
            <w:tcW w:w="1202" w:type="dxa"/>
            <w:tcBorders>
              <w:top w:val="nil"/>
              <w:left w:val="nil"/>
              <w:bottom w:val="nil"/>
              <w:right w:val="nil"/>
            </w:tcBorders>
            <w:vAlign w:val="center"/>
            <w:hideMark/>
          </w:tcPr>
          <w:p w14:paraId="5A9DF2A8"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4"/>
            <w:tcBorders>
              <w:top w:val="nil"/>
              <w:left w:val="nil"/>
              <w:bottom w:val="nil"/>
              <w:right w:val="nil"/>
            </w:tcBorders>
            <w:vAlign w:val="center"/>
            <w:hideMark/>
          </w:tcPr>
          <w:p w14:paraId="7872FF8E"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1.39</w:t>
            </w:r>
          </w:p>
        </w:tc>
        <w:tc>
          <w:tcPr>
            <w:tcW w:w="3472" w:type="dxa"/>
            <w:gridSpan w:val="5"/>
            <w:tcBorders>
              <w:top w:val="nil"/>
              <w:left w:val="nil"/>
              <w:bottom w:val="nil"/>
              <w:right w:val="nil"/>
            </w:tcBorders>
            <w:vAlign w:val="center"/>
            <w:hideMark/>
          </w:tcPr>
          <w:p w14:paraId="6EC2D355"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-0.07</w:t>
            </w:r>
          </w:p>
        </w:tc>
        <w:tc>
          <w:tcPr>
            <w:tcW w:w="3474" w:type="dxa"/>
            <w:gridSpan w:val="6"/>
            <w:tcBorders>
              <w:top w:val="nil"/>
              <w:left w:val="nil"/>
              <w:bottom w:val="nil"/>
              <w:right w:val="nil"/>
            </w:tcBorders>
            <w:vAlign w:val="center"/>
            <w:hideMark/>
          </w:tcPr>
          <w:p w14:paraId="433261AF"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-0.58</w:t>
            </w:r>
          </w:p>
        </w:tc>
        <w:tc>
          <w:tcPr>
            <w:tcW w:w="3488" w:type="dxa"/>
            <w:gridSpan w:val="5"/>
            <w:tcBorders>
              <w:top w:val="nil"/>
              <w:left w:val="nil"/>
              <w:bottom w:val="nil"/>
              <w:right w:val="nil"/>
            </w:tcBorders>
            <w:vAlign w:val="center"/>
            <w:hideMark/>
          </w:tcPr>
          <w:p w14:paraId="7EDA4F83"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0.45</w:t>
            </w:r>
          </w:p>
        </w:tc>
      </w:tr>
      <w:tr w:rsidR="00813AEE" w:rsidRPr="00813AEE" w14:paraId="1A2AE346" w14:textId="77777777" w:rsidTr="00DD3804">
        <w:trPr>
          <w:trHeight w:val="445"/>
        </w:trPr>
        <w:tc>
          <w:tcPr>
            <w:tcW w:w="1202" w:type="dxa"/>
            <w:tcBorders>
              <w:top w:val="nil"/>
              <w:left w:val="nil"/>
              <w:bottom w:val="single" w:sz="4" w:space="0" w:color="auto"/>
              <w:right w:val="nil"/>
            </w:tcBorders>
            <w:vAlign w:val="center"/>
            <w:hideMark/>
          </w:tcPr>
          <w:p w14:paraId="0264FB91" w14:textId="77777777" w:rsidR="00450BDE" w:rsidRPr="00813AEE" w:rsidRDefault="00450BDE"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LoA (%)</w:t>
            </w:r>
          </w:p>
        </w:tc>
        <w:tc>
          <w:tcPr>
            <w:tcW w:w="3468" w:type="dxa"/>
            <w:gridSpan w:val="4"/>
            <w:tcBorders>
              <w:top w:val="nil"/>
              <w:left w:val="nil"/>
              <w:bottom w:val="single" w:sz="4" w:space="0" w:color="auto"/>
              <w:right w:val="nil"/>
            </w:tcBorders>
            <w:vAlign w:val="center"/>
            <w:hideMark/>
          </w:tcPr>
          <w:p w14:paraId="77139AFA"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-9.22 to 12.01</w:t>
            </w:r>
          </w:p>
        </w:tc>
        <w:tc>
          <w:tcPr>
            <w:tcW w:w="3472" w:type="dxa"/>
            <w:gridSpan w:val="5"/>
            <w:tcBorders>
              <w:top w:val="nil"/>
              <w:left w:val="nil"/>
              <w:bottom w:val="single" w:sz="4" w:space="0" w:color="auto"/>
              <w:right w:val="nil"/>
            </w:tcBorders>
            <w:vAlign w:val="center"/>
            <w:hideMark/>
          </w:tcPr>
          <w:p w14:paraId="462D5698"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-13.81 to 13.67</w:t>
            </w:r>
          </w:p>
        </w:tc>
        <w:tc>
          <w:tcPr>
            <w:tcW w:w="3474" w:type="dxa"/>
            <w:gridSpan w:val="6"/>
            <w:tcBorders>
              <w:top w:val="nil"/>
              <w:left w:val="nil"/>
              <w:bottom w:val="single" w:sz="4" w:space="0" w:color="auto"/>
              <w:right w:val="nil"/>
            </w:tcBorders>
            <w:vAlign w:val="center"/>
            <w:hideMark/>
          </w:tcPr>
          <w:p w14:paraId="545FD3AB"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-19.16 to 17.99</w:t>
            </w:r>
          </w:p>
        </w:tc>
        <w:tc>
          <w:tcPr>
            <w:tcW w:w="3488" w:type="dxa"/>
            <w:gridSpan w:val="5"/>
            <w:tcBorders>
              <w:top w:val="nil"/>
              <w:left w:val="nil"/>
              <w:bottom w:val="single" w:sz="4" w:space="0" w:color="auto"/>
              <w:right w:val="nil"/>
            </w:tcBorders>
            <w:vAlign w:val="center"/>
            <w:hideMark/>
          </w:tcPr>
          <w:p w14:paraId="7B4827C6" w14:textId="77777777" w:rsidR="00450BDE" w:rsidRPr="00813AEE" w:rsidRDefault="00450BDE" w:rsidP="00CB7004">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-23.99 to 24.88</w:t>
            </w:r>
          </w:p>
        </w:tc>
      </w:tr>
    </w:tbl>
    <w:p w14:paraId="26E5CB8E" w14:textId="2709D595" w:rsidR="00DD3804" w:rsidRPr="00813AEE" w:rsidRDefault="000B6861" w:rsidP="00813AEE">
      <w:pPr>
        <w:adjustRightInd w:val="0"/>
        <w:snapToGrid w:val="0"/>
        <w:spacing w:line="360" w:lineRule="auto"/>
        <w:rPr>
          <w:rFonts w:ascii="Book Antiqua" w:hAnsi="Book Antiqua"/>
          <w:color w:val="000000" w:themeColor="text1"/>
          <w:sz w:val="24"/>
          <w:szCs w:val="24"/>
        </w:rPr>
      </w:pPr>
      <w:bookmarkStart w:id="236" w:name="OLE_LINK112"/>
      <w:bookmarkStart w:id="237" w:name="OLE_LINK114"/>
      <w:r>
        <w:rPr>
          <w:rFonts w:ascii="Book Antiqua" w:hAnsi="Book Antiqua"/>
          <w:color w:val="000000" w:themeColor="text1"/>
          <w:sz w:val="24"/>
          <w:szCs w:val="24"/>
        </w:rPr>
        <w:t>A</w:t>
      </w:r>
      <w:r w:rsidRPr="00813AEE">
        <w:rPr>
          <w:rFonts w:ascii="Book Antiqua" w:hAnsi="Book Antiqua"/>
          <w:color w:val="000000" w:themeColor="text1"/>
          <w:sz w:val="24"/>
          <w:szCs w:val="24"/>
        </w:rPr>
        <w:t>pparent diffusion coefficient</w:t>
      </w:r>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ADC</w:t>
      </w:r>
      <w:r>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mean ±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tandard deviation, </w:t>
      </w:r>
      <w:bookmarkStart w:id="238" w:name="OLE_LINK102"/>
      <w:bookmarkStart w:id="239" w:name="OLE_LINK103"/>
      <w:r w:rsidRPr="00813AEE">
        <w:rPr>
          <w:rFonts w:ascii="Book Antiqua" w:hAnsi="Book Antiqua"/>
          <w:color w:val="000000" w:themeColor="text1"/>
          <w:sz w:val="24"/>
          <w:szCs w:val="24"/>
        </w:rPr>
        <w:t>ADC</w:t>
      </w:r>
      <w:bookmarkEnd w:id="238"/>
      <w:bookmarkEnd w:id="239"/>
      <w:r w:rsidRPr="00813AEE">
        <w:rPr>
          <w:rFonts w:ascii="Book Antiqua" w:hAnsi="Book Antiqua"/>
          <w:color w:val="000000" w:themeColor="text1"/>
          <w:sz w:val="24"/>
          <w:szCs w:val="24"/>
        </w:rPr>
        <w:t xml:space="preserve"> units: ×10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w:t>
      </w:r>
      <w:r>
        <w:rPr>
          <w:rFonts w:ascii="Book Antiqua" w:hAnsi="Book Antiqua"/>
          <w:color w:val="000000" w:themeColor="text1"/>
          <w:sz w:val="24"/>
          <w:szCs w:val="24"/>
        </w:rPr>
        <w:t xml:space="preserve"> </w:t>
      </w:r>
      <w:r w:rsidR="00DD3804" w:rsidRPr="00813AEE">
        <w:rPr>
          <w:rFonts w:ascii="Book Antiqua" w:hAnsi="Book Antiqua"/>
          <w:color w:val="000000" w:themeColor="text1"/>
          <w:sz w:val="24"/>
          <w:szCs w:val="24"/>
        </w:rPr>
        <w:t xml:space="preserve">ADC: </w:t>
      </w:r>
      <w:r>
        <w:rPr>
          <w:rFonts w:ascii="Book Antiqua" w:hAnsi="Book Antiqua"/>
          <w:color w:val="000000" w:themeColor="text1"/>
          <w:sz w:val="24"/>
          <w:szCs w:val="24"/>
        </w:rPr>
        <w:t>A</w:t>
      </w:r>
      <w:r w:rsidR="00DD3804" w:rsidRPr="00813AEE">
        <w:rPr>
          <w:rFonts w:ascii="Book Antiqua" w:hAnsi="Book Antiqua"/>
          <w:color w:val="000000" w:themeColor="text1"/>
          <w:sz w:val="24"/>
          <w:szCs w:val="24"/>
        </w:rPr>
        <w:t xml:space="preserve">pparent diffusion coefficient; SR: </w:t>
      </w:r>
      <w:r>
        <w:rPr>
          <w:rFonts w:ascii="Book Antiqua" w:hAnsi="Book Antiqua"/>
          <w:color w:val="000000" w:themeColor="text1"/>
          <w:sz w:val="24"/>
          <w:szCs w:val="24"/>
        </w:rPr>
        <w:t>S</w:t>
      </w:r>
      <w:r w:rsidR="00DD3804" w:rsidRPr="00813AEE">
        <w:rPr>
          <w:rFonts w:ascii="Book Antiqua" w:hAnsi="Book Antiqua"/>
          <w:color w:val="000000" w:themeColor="text1"/>
          <w:sz w:val="24"/>
          <w:szCs w:val="24"/>
        </w:rPr>
        <w:t xml:space="preserve">ignal ratio; CD: </w:t>
      </w:r>
      <w:r w:rsidR="002975A4" w:rsidRPr="00813AEE">
        <w:rPr>
          <w:rFonts w:ascii="Book Antiqua" w:hAnsi="Book Antiqua"/>
          <w:color w:val="000000" w:themeColor="text1"/>
          <w:sz w:val="24"/>
          <w:szCs w:val="24"/>
        </w:rPr>
        <w:t>Crohn’s</w:t>
      </w:r>
      <w:r w:rsidR="00DD3804" w:rsidRPr="00813AEE">
        <w:rPr>
          <w:rFonts w:ascii="Book Antiqua" w:hAnsi="Book Antiqua"/>
          <w:color w:val="000000" w:themeColor="text1"/>
          <w:sz w:val="24"/>
          <w:szCs w:val="24"/>
        </w:rPr>
        <w:t xml:space="preserve"> disease; ICC: </w:t>
      </w:r>
      <w:r>
        <w:rPr>
          <w:rFonts w:ascii="Book Antiqua" w:hAnsi="Book Antiqua"/>
          <w:color w:val="000000" w:themeColor="text1"/>
          <w:sz w:val="24"/>
          <w:szCs w:val="24"/>
        </w:rPr>
        <w:t>I</w:t>
      </w:r>
      <w:r w:rsidR="00DD3804" w:rsidRPr="00813AEE">
        <w:rPr>
          <w:rFonts w:ascii="Book Antiqua" w:hAnsi="Book Antiqua"/>
          <w:color w:val="000000" w:themeColor="text1"/>
          <w:sz w:val="24"/>
          <w:szCs w:val="24"/>
        </w:rPr>
        <w:t xml:space="preserve">ntraclass correlation coefficient; CoV: </w:t>
      </w:r>
      <w:r>
        <w:rPr>
          <w:rFonts w:ascii="Book Antiqua" w:hAnsi="Book Antiqua"/>
          <w:color w:val="000000" w:themeColor="text1"/>
          <w:sz w:val="24"/>
          <w:szCs w:val="24"/>
        </w:rPr>
        <w:lastRenderedPageBreak/>
        <w:t>C</w:t>
      </w:r>
      <w:r w:rsidR="00DD3804" w:rsidRPr="00813AEE">
        <w:rPr>
          <w:rFonts w:ascii="Book Antiqua" w:hAnsi="Book Antiqua"/>
          <w:color w:val="000000" w:themeColor="text1"/>
          <w:sz w:val="24"/>
          <w:szCs w:val="24"/>
        </w:rPr>
        <w:t>oefficients of variation; LoA: Bland-Altman analysis with 95% limits of agreement.</w:t>
      </w:r>
      <w:bookmarkEnd w:id="236"/>
      <w:bookmarkEnd w:id="237"/>
    </w:p>
    <w:p w14:paraId="2D75E072" w14:textId="4FB3D330" w:rsidR="00541BD7" w:rsidRPr="00813AEE" w:rsidRDefault="00541BD7" w:rsidP="00813AEE">
      <w:pPr>
        <w:adjustRightInd w:val="0"/>
        <w:snapToGrid w:val="0"/>
        <w:spacing w:line="360" w:lineRule="auto"/>
        <w:rPr>
          <w:rFonts w:ascii="Book Antiqua" w:hAnsi="Book Antiqua"/>
          <w:b/>
          <w:color w:val="000000" w:themeColor="text1"/>
          <w:sz w:val="24"/>
          <w:szCs w:val="24"/>
        </w:rPr>
      </w:pPr>
    </w:p>
    <w:p w14:paraId="1E304F08" w14:textId="740EEC1F"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Pr="00813AEE">
        <w:rPr>
          <w:rFonts w:ascii="Book Antiqua" w:hAnsi="Book Antiqua"/>
          <w:b/>
          <w:color w:val="000000" w:themeColor="text1"/>
          <w:sz w:val="24"/>
          <w:szCs w:val="24"/>
        </w:rPr>
        <w:lastRenderedPageBreak/>
        <w:t xml:space="preserve">Table 3 </w:t>
      </w:r>
      <w:r w:rsidR="00DD3804" w:rsidRPr="00813AEE">
        <w:rPr>
          <w:rFonts w:ascii="Book Antiqua" w:hAnsi="Book Antiqua"/>
          <w:b/>
          <w:color w:val="000000" w:themeColor="text1"/>
          <w:sz w:val="24"/>
          <w:szCs w:val="24"/>
        </w:rPr>
        <w:t xml:space="preserve">Interobserver agreement and variability of </w:t>
      </w:r>
      <w:r w:rsidR="00257942" w:rsidRPr="00813AEE">
        <w:rPr>
          <w:rFonts w:ascii="Book Antiqua" w:hAnsi="Book Antiqua"/>
          <w:b/>
          <w:color w:val="000000" w:themeColor="text1"/>
          <w:sz w:val="24"/>
          <w:szCs w:val="24"/>
        </w:rPr>
        <w:t>apparent diffusion coefficient</w:t>
      </w:r>
      <w:r w:rsidR="00DD3804"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DD3804" w:rsidRPr="00813AEE">
        <w:rPr>
          <w:rFonts w:ascii="Book Antiqua" w:hAnsi="Book Antiqua"/>
          <w:b/>
          <w:color w:val="000000" w:themeColor="text1"/>
          <w:sz w:val="24"/>
          <w:szCs w:val="24"/>
        </w:rPr>
        <w:t xml:space="preserve"> measurements between the two readers over two sessions</w:t>
      </w:r>
    </w:p>
    <w:tbl>
      <w:tblPr>
        <w:tblStyle w:val="21"/>
        <w:tblW w:w="15346" w:type="dxa"/>
        <w:tblInd w:w="-6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2"/>
        <w:gridCol w:w="1352"/>
        <w:gridCol w:w="1356"/>
        <w:gridCol w:w="760"/>
        <w:gridCol w:w="1463"/>
        <w:gridCol w:w="1275"/>
        <w:gridCol w:w="142"/>
        <w:gridCol w:w="709"/>
        <w:gridCol w:w="1218"/>
        <w:gridCol w:w="199"/>
        <w:gridCol w:w="1276"/>
        <w:gridCol w:w="142"/>
        <w:gridCol w:w="709"/>
        <w:gridCol w:w="1275"/>
        <w:gridCol w:w="142"/>
        <w:gridCol w:w="1134"/>
        <w:gridCol w:w="284"/>
        <w:gridCol w:w="449"/>
        <w:gridCol w:w="17"/>
        <w:gridCol w:w="101"/>
        <w:gridCol w:w="141"/>
      </w:tblGrid>
      <w:tr w:rsidR="00813AEE" w:rsidRPr="00813AEE" w14:paraId="021C0EC3" w14:textId="77777777" w:rsidTr="000B6861">
        <w:trPr>
          <w:gridAfter w:val="2"/>
          <w:wAfter w:w="242" w:type="dxa"/>
          <w:trHeight w:val="430"/>
        </w:trPr>
        <w:tc>
          <w:tcPr>
            <w:tcW w:w="1202" w:type="dxa"/>
            <w:vMerge w:val="restart"/>
            <w:tcBorders>
              <w:top w:val="single" w:sz="4" w:space="0" w:color="auto"/>
              <w:left w:val="nil"/>
              <w:bottom w:val="single" w:sz="4" w:space="0" w:color="auto"/>
              <w:right w:val="nil"/>
            </w:tcBorders>
            <w:vAlign w:val="center"/>
            <w:hideMark/>
          </w:tcPr>
          <w:p w14:paraId="0BB505A7" w14:textId="77777777" w:rsidR="00DD3804" w:rsidRPr="00813AEE" w:rsidRDefault="00DD3804" w:rsidP="00813AEE">
            <w:pPr>
              <w:adjustRightInd w:val="0"/>
              <w:snapToGrid w:val="0"/>
              <w:spacing w:line="360" w:lineRule="auto"/>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Group</w:t>
            </w:r>
          </w:p>
        </w:tc>
        <w:tc>
          <w:tcPr>
            <w:tcW w:w="7057" w:type="dxa"/>
            <w:gridSpan w:val="7"/>
            <w:tcBorders>
              <w:top w:val="single" w:sz="4" w:space="0" w:color="auto"/>
              <w:left w:val="nil"/>
              <w:bottom w:val="nil"/>
              <w:right w:val="nil"/>
            </w:tcBorders>
            <w:vAlign w:val="center"/>
            <w:hideMark/>
          </w:tcPr>
          <w:p w14:paraId="3AA696E8" w14:textId="77777777" w:rsidR="00DD3804" w:rsidRPr="00813AEE" w:rsidRDefault="00DD3804"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CD (</w:t>
            </w:r>
            <w:r w:rsidRPr="000B6861">
              <w:rPr>
                <w:rFonts w:ascii="Book Antiqua" w:eastAsia="宋体" w:hAnsi="Book Antiqua"/>
                <w:b/>
                <w:i/>
                <w:iCs/>
                <w:color w:val="000000" w:themeColor="text1"/>
                <w:sz w:val="24"/>
                <w:szCs w:val="24"/>
              </w:rPr>
              <w:t>n</w:t>
            </w:r>
            <w:r w:rsidRPr="00813AEE">
              <w:rPr>
                <w:rFonts w:ascii="Book Antiqua" w:eastAsia="宋体" w:hAnsi="Book Antiqua"/>
                <w:b/>
                <w:color w:val="000000" w:themeColor="text1"/>
                <w:sz w:val="24"/>
                <w:szCs w:val="24"/>
              </w:rPr>
              <w:t xml:space="preserve"> = 21)</w:t>
            </w:r>
          </w:p>
        </w:tc>
        <w:tc>
          <w:tcPr>
            <w:tcW w:w="6845" w:type="dxa"/>
            <w:gridSpan w:val="11"/>
            <w:tcBorders>
              <w:top w:val="single" w:sz="4" w:space="0" w:color="auto"/>
              <w:left w:val="nil"/>
              <w:bottom w:val="nil"/>
              <w:right w:val="nil"/>
            </w:tcBorders>
            <w:vAlign w:val="center"/>
            <w:hideMark/>
          </w:tcPr>
          <w:p w14:paraId="23F827D0" w14:textId="77777777" w:rsidR="00DD3804" w:rsidRPr="00813AEE" w:rsidRDefault="00DD3804"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Normal (</w:t>
            </w:r>
            <w:r w:rsidRPr="000B6861">
              <w:rPr>
                <w:rFonts w:ascii="Book Antiqua" w:eastAsia="宋体" w:hAnsi="Book Antiqua"/>
                <w:b/>
                <w:i/>
                <w:iCs/>
                <w:color w:val="000000" w:themeColor="text1"/>
                <w:sz w:val="24"/>
                <w:szCs w:val="24"/>
              </w:rPr>
              <w:t>n</w:t>
            </w:r>
            <w:r w:rsidRPr="00813AEE">
              <w:rPr>
                <w:rFonts w:ascii="Book Antiqua" w:eastAsia="宋体" w:hAnsi="Book Antiqua"/>
                <w:b/>
                <w:color w:val="000000" w:themeColor="text1"/>
                <w:sz w:val="24"/>
                <w:szCs w:val="24"/>
              </w:rPr>
              <w:t xml:space="preserve"> = 23)</w:t>
            </w:r>
          </w:p>
        </w:tc>
      </w:tr>
      <w:tr w:rsidR="00813AEE" w:rsidRPr="00813AEE" w14:paraId="631DD23E" w14:textId="77777777" w:rsidTr="000B6861">
        <w:trPr>
          <w:gridAfter w:val="3"/>
          <w:wAfter w:w="259" w:type="dxa"/>
          <w:trHeight w:val="451"/>
        </w:trPr>
        <w:tc>
          <w:tcPr>
            <w:tcW w:w="1202" w:type="dxa"/>
            <w:vMerge/>
            <w:tcBorders>
              <w:top w:val="single" w:sz="4" w:space="0" w:color="auto"/>
              <w:left w:val="nil"/>
              <w:bottom w:val="single" w:sz="4" w:space="0" w:color="auto"/>
              <w:right w:val="nil"/>
            </w:tcBorders>
            <w:vAlign w:val="center"/>
            <w:hideMark/>
          </w:tcPr>
          <w:p w14:paraId="096F0B29" w14:textId="77777777" w:rsidR="00532CC5" w:rsidRPr="00813AEE" w:rsidRDefault="00532CC5" w:rsidP="00813AEE">
            <w:pPr>
              <w:widowControl/>
              <w:adjustRightInd w:val="0"/>
              <w:snapToGrid w:val="0"/>
              <w:spacing w:line="360" w:lineRule="auto"/>
              <w:rPr>
                <w:rFonts w:ascii="Book Antiqua" w:eastAsia="宋体" w:hAnsi="Book Antiqua"/>
                <w:b/>
                <w:color w:val="000000" w:themeColor="text1"/>
                <w:sz w:val="24"/>
                <w:szCs w:val="24"/>
              </w:rPr>
            </w:pPr>
          </w:p>
        </w:tc>
        <w:tc>
          <w:tcPr>
            <w:tcW w:w="1352" w:type="dxa"/>
            <w:tcBorders>
              <w:top w:val="nil"/>
              <w:left w:val="nil"/>
              <w:bottom w:val="single" w:sz="4" w:space="0" w:color="auto"/>
              <w:right w:val="nil"/>
            </w:tcBorders>
            <w:vAlign w:val="center"/>
            <w:hideMark/>
          </w:tcPr>
          <w:p w14:paraId="040BDFD8" w14:textId="7679BEFE"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356" w:type="dxa"/>
            <w:tcBorders>
              <w:top w:val="nil"/>
              <w:left w:val="nil"/>
              <w:bottom w:val="single" w:sz="4" w:space="0" w:color="auto"/>
              <w:right w:val="nil"/>
            </w:tcBorders>
            <w:vAlign w:val="center"/>
            <w:hideMark/>
          </w:tcPr>
          <w:p w14:paraId="56971190" w14:textId="0D7C37AB"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 xml:space="preserve">st </w:t>
            </w:r>
            <w:r w:rsidRPr="00813AEE">
              <w:rPr>
                <w:rFonts w:ascii="Book Antiqua" w:eastAsia="宋体" w:hAnsi="Book Antiqua"/>
                <w:b/>
                <w:color w:val="000000" w:themeColor="text1"/>
                <w:sz w:val="24"/>
                <w:szCs w:val="24"/>
              </w:rPr>
              <w:t>session reader 2</w:t>
            </w:r>
          </w:p>
        </w:tc>
        <w:tc>
          <w:tcPr>
            <w:tcW w:w="760" w:type="dxa"/>
            <w:tcBorders>
              <w:top w:val="nil"/>
              <w:left w:val="nil"/>
              <w:bottom w:val="single" w:sz="4" w:space="0" w:color="auto"/>
              <w:right w:val="nil"/>
            </w:tcBorders>
            <w:vAlign w:val="center"/>
            <w:hideMark/>
          </w:tcPr>
          <w:p w14:paraId="7C89A36B" w14:textId="0247A14A" w:rsidR="00532CC5" w:rsidRPr="00813AEE" w:rsidRDefault="00532CC5" w:rsidP="00194CFF">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63" w:type="dxa"/>
            <w:tcBorders>
              <w:top w:val="nil"/>
              <w:left w:val="nil"/>
              <w:bottom w:val="single" w:sz="4" w:space="0" w:color="auto"/>
              <w:right w:val="nil"/>
            </w:tcBorders>
            <w:vAlign w:val="center"/>
            <w:hideMark/>
          </w:tcPr>
          <w:p w14:paraId="474F3E93" w14:textId="07D71E9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1417" w:type="dxa"/>
            <w:gridSpan w:val="2"/>
            <w:tcBorders>
              <w:top w:val="nil"/>
              <w:left w:val="nil"/>
              <w:bottom w:val="single" w:sz="4" w:space="0" w:color="auto"/>
              <w:right w:val="nil"/>
            </w:tcBorders>
            <w:vAlign w:val="center"/>
            <w:hideMark/>
          </w:tcPr>
          <w:p w14:paraId="46206D3C" w14:textId="709C5D20"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2</w:t>
            </w:r>
          </w:p>
        </w:tc>
        <w:tc>
          <w:tcPr>
            <w:tcW w:w="709" w:type="dxa"/>
            <w:tcBorders>
              <w:top w:val="nil"/>
              <w:left w:val="nil"/>
              <w:bottom w:val="single" w:sz="4" w:space="0" w:color="auto"/>
              <w:right w:val="nil"/>
            </w:tcBorders>
            <w:vAlign w:val="center"/>
            <w:hideMark/>
          </w:tcPr>
          <w:p w14:paraId="650B7CD9" w14:textId="110342B7" w:rsidR="00532CC5" w:rsidRPr="00813AEE" w:rsidRDefault="00532CC5" w:rsidP="00194CFF">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17" w:type="dxa"/>
            <w:gridSpan w:val="2"/>
            <w:tcBorders>
              <w:top w:val="nil"/>
              <w:left w:val="nil"/>
              <w:bottom w:val="single" w:sz="4" w:space="0" w:color="auto"/>
              <w:right w:val="nil"/>
            </w:tcBorders>
            <w:vAlign w:val="center"/>
            <w:hideMark/>
          </w:tcPr>
          <w:p w14:paraId="04C179CF" w14:textId="63784E1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st</w:t>
            </w:r>
            <w:r w:rsidRPr="00813AEE">
              <w:rPr>
                <w:rFonts w:ascii="Book Antiqua" w:eastAsia="宋体" w:hAnsi="Book Antiqua"/>
                <w:b/>
                <w:color w:val="000000" w:themeColor="text1"/>
                <w:sz w:val="24"/>
                <w:szCs w:val="24"/>
              </w:rPr>
              <w:t xml:space="preserve"> session reader 1</w:t>
            </w:r>
          </w:p>
        </w:tc>
        <w:tc>
          <w:tcPr>
            <w:tcW w:w="1418" w:type="dxa"/>
            <w:gridSpan w:val="2"/>
            <w:tcBorders>
              <w:top w:val="nil"/>
              <w:left w:val="nil"/>
              <w:bottom w:val="single" w:sz="4" w:space="0" w:color="auto"/>
              <w:right w:val="nil"/>
            </w:tcBorders>
            <w:vAlign w:val="center"/>
            <w:hideMark/>
          </w:tcPr>
          <w:p w14:paraId="0D6AC009" w14:textId="5F3D8AC0"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1</w:t>
            </w:r>
            <w:r w:rsidRPr="00813AEE">
              <w:rPr>
                <w:rFonts w:ascii="Book Antiqua" w:eastAsia="宋体" w:hAnsi="Book Antiqua"/>
                <w:b/>
                <w:color w:val="000000" w:themeColor="text1"/>
                <w:sz w:val="24"/>
                <w:szCs w:val="24"/>
                <w:vertAlign w:val="superscript"/>
              </w:rPr>
              <w:t xml:space="preserve">st </w:t>
            </w:r>
            <w:r w:rsidRPr="00813AEE">
              <w:rPr>
                <w:rFonts w:ascii="Book Antiqua" w:eastAsia="宋体" w:hAnsi="Book Antiqua"/>
                <w:b/>
                <w:color w:val="000000" w:themeColor="text1"/>
                <w:sz w:val="24"/>
                <w:szCs w:val="24"/>
              </w:rPr>
              <w:t>session reader 2</w:t>
            </w:r>
          </w:p>
        </w:tc>
        <w:tc>
          <w:tcPr>
            <w:tcW w:w="709" w:type="dxa"/>
            <w:tcBorders>
              <w:top w:val="nil"/>
              <w:left w:val="nil"/>
              <w:bottom w:val="single" w:sz="4" w:space="0" w:color="auto"/>
              <w:right w:val="nil"/>
            </w:tcBorders>
            <w:vAlign w:val="center"/>
            <w:hideMark/>
          </w:tcPr>
          <w:p w14:paraId="5355D7D5" w14:textId="45232E1D" w:rsidR="00532CC5" w:rsidRPr="00813AEE" w:rsidRDefault="00532CC5" w:rsidP="00194CFF">
            <w:pPr>
              <w:adjustRightInd w:val="0"/>
              <w:snapToGrid w:val="0"/>
              <w:spacing w:line="360" w:lineRule="auto"/>
              <w:ind w:firstLineChars="50" w:firstLine="120"/>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c>
          <w:tcPr>
            <w:tcW w:w="1417" w:type="dxa"/>
            <w:gridSpan w:val="2"/>
            <w:tcBorders>
              <w:top w:val="nil"/>
              <w:left w:val="nil"/>
              <w:bottom w:val="single" w:sz="4" w:space="0" w:color="auto"/>
              <w:right w:val="nil"/>
            </w:tcBorders>
            <w:vAlign w:val="center"/>
            <w:hideMark/>
          </w:tcPr>
          <w:p w14:paraId="1F45F9EC" w14:textId="006EBBCE"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 1</w:t>
            </w:r>
          </w:p>
        </w:tc>
        <w:tc>
          <w:tcPr>
            <w:tcW w:w="1418" w:type="dxa"/>
            <w:gridSpan w:val="2"/>
            <w:tcBorders>
              <w:top w:val="nil"/>
              <w:left w:val="nil"/>
              <w:bottom w:val="single" w:sz="4" w:space="0" w:color="auto"/>
              <w:right w:val="nil"/>
            </w:tcBorders>
            <w:vAlign w:val="center"/>
            <w:hideMark/>
          </w:tcPr>
          <w:p w14:paraId="5A9189A8" w14:textId="0DF7A5B2" w:rsidR="00532CC5" w:rsidRPr="00813AEE" w:rsidRDefault="00532CC5" w:rsidP="00194CFF">
            <w:pPr>
              <w:adjustRightInd w:val="0"/>
              <w:snapToGrid w:val="0"/>
              <w:spacing w:line="360" w:lineRule="auto"/>
              <w:jc w:val="center"/>
              <w:rPr>
                <w:rFonts w:ascii="Book Antiqua" w:eastAsia="宋体" w:hAnsi="Book Antiqua"/>
                <w:b/>
                <w:color w:val="000000" w:themeColor="text1"/>
                <w:sz w:val="24"/>
                <w:szCs w:val="24"/>
              </w:rPr>
            </w:pPr>
            <w:r w:rsidRPr="00813AEE">
              <w:rPr>
                <w:rFonts w:ascii="Book Antiqua" w:eastAsia="宋体" w:hAnsi="Book Antiqua"/>
                <w:b/>
                <w:color w:val="000000" w:themeColor="text1"/>
                <w:sz w:val="24"/>
                <w:szCs w:val="24"/>
              </w:rPr>
              <w:t>2</w:t>
            </w:r>
            <w:r w:rsidRPr="00813AEE">
              <w:rPr>
                <w:rFonts w:ascii="Book Antiqua" w:eastAsia="宋体" w:hAnsi="Book Antiqua"/>
                <w:b/>
                <w:color w:val="000000" w:themeColor="text1"/>
                <w:sz w:val="24"/>
                <w:szCs w:val="24"/>
                <w:vertAlign w:val="superscript"/>
              </w:rPr>
              <w:t>nd</w:t>
            </w:r>
            <w:r w:rsidRPr="00813AEE">
              <w:rPr>
                <w:rFonts w:ascii="Book Antiqua" w:eastAsia="宋体" w:hAnsi="Book Antiqua"/>
                <w:b/>
                <w:color w:val="000000" w:themeColor="text1"/>
                <w:sz w:val="24"/>
                <w:szCs w:val="24"/>
              </w:rPr>
              <w:t xml:space="preserve"> session reader</w:t>
            </w:r>
            <w:r w:rsidR="008C4461" w:rsidRPr="00813AEE">
              <w:rPr>
                <w:rFonts w:ascii="Book Antiqua" w:eastAsia="宋体" w:hAnsi="Book Antiqua"/>
                <w:b/>
                <w:color w:val="000000" w:themeColor="text1"/>
                <w:sz w:val="24"/>
                <w:szCs w:val="24"/>
              </w:rPr>
              <w:t xml:space="preserve"> </w:t>
            </w:r>
            <w:r w:rsidRPr="00813AEE">
              <w:rPr>
                <w:rFonts w:ascii="Book Antiqua" w:eastAsia="宋体" w:hAnsi="Book Antiqua"/>
                <w:b/>
                <w:color w:val="000000" w:themeColor="text1"/>
                <w:sz w:val="24"/>
                <w:szCs w:val="24"/>
              </w:rPr>
              <w:t>2</w:t>
            </w:r>
          </w:p>
        </w:tc>
        <w:tc>
          <w:tcPr>
            <w:tcW w:w="449" w:type="dxa"/>
            <w:tcBorders>
              <w:top w:val="nil"/>
              <w:left w:val="nil"/>
              <w:bottom w:val="single" w:sz="4" w:space="0" w:color="auto"/>
              <w:right w:val="nil"/>
            </w:tcBorders>
            <w:vAlign w:val="center"/>
            <w:hideMark/>
          </w:tcPr>
          <w:p w14:paraId="1C5AD158" w14:textId="3F5385FA" w:rsidR="00532CC5" w:rsidRPr="00813AEE" w:rsidRDefault="00532CC5" w:rsidP="00194CFF">
            <w:pPr>
              <w:adjustRightInd w:val="0"/>
              <w:snapToGrid w:val="0"/>
              <w:spacing w:line="360" w:lineRule="auto"/>
              <w:jc w:val="center"/>
              <w:rPr>
                <w:rFonts w:ascii="Book Antiqua" w:eastAsia="宋体" w:hAnsi="Book Antiqua"/>
                <w:b/>
                <w:i/>
                <w:color w:val="000000" w:themeColor="text1"/>
                <w:sz w:val="24"/>
                <w:szCs w:val="24"/>
              </w:rPr>
            </w:pPr>
            <w:r w:rsidRPr="00813AEE">
              <w:rPr>
                <w:rFonts w:ascii="Book Antiqua" w:eastAsia="宋体" w:hAnsi="Book Antiqua"/>
                <w:b/>
                <w:i/>
                <w:color w:val="000000" w:themeColor="text1"/>
                <w:sz w:val="24"/>
                <w:szCs w:val="24"/>
              </w:rPr>
              <w:t>P</w:t>
            </w:r>
            <w:r w:rsidR="006725E5">
              <w:rPr>
                <w:rFonts w:ascii="Book Antiqua" w:eastAsia="宋体" w:hAnsi="Book Antiqua"/>
                <w:b/>
                <w:i/>
                <w:color w:val="000000" w:themeColor="text1"/>
                <w:sz w:val="24"/>
                <w:szCs w:val="24"/>
              </w:rPr>
              <w:t>-</w:t>
            </w:r>
            <w:r w:rsidR="000B6861">
              <w:rPr>
                <w:rFonts w:ascii="Book Antiqua" w:eastAsia="宋体" w:hAnsi="Book Antiqua"/>
                <w:b/>
                <w:iCs/>
                <w:color w:val="000000" w:themeColor="text1"/>
                <w:sz w:val="24"/>
                <w:szCs w:val="24"/>
              </w:rPr>
              <w:t>value</w:t>
            </w:r>
          </w:p>
        </w:tc>
      </w:tr>
      <w:tr w:rsidR="00813AEE" w:rsidRPr="00813AEE" w14:paraId="559B913F" w14:textId="77777777" w:rsidTr="007C3A47">
        <w:trPr>
          <w:gridAfter w:val="1"/>
          <w:wAfter w:w="141" w:type="dxa"/>
          <w:trHeight w:val="445"/>
        </w:trPr>
        <w:tc>
          <w:tcPr>
            <w:tcW w:w="1202" w:type="dxa"/>
            <w:tcBorders>
              <w:top w:val="single" w:sz="4" w:space="0" w:color="auto"/>
              <w:left w:val="nil"/>
              <w:bottom w:val="nil"/>
              <w:right w:val="nil"/>
            </w:tcBorders>
            <w:vAlign w:val="center"/>
            <w:hideMark/>
          </w:tcPr>
          <w:p w14:paraId="0A1773FC"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ADC</w:t>
            </w:r>
          </w:p>
        </w:tc>
        <w:tc>
          <w:tcPr>
            <w:tcW w:w="1352" w:type="dxa"/>
            <w:tcBorders>
              <w:top w:val="single" w:sz="4" w:space="0" w:color="auto"/>
              <w:left w:val="nil"/>
              <w:bottom w:val="nil"/>
              <w:right w:val="nil"/>
            </w:tcBorders>
            <w:hideMark/>
          </w:tcPr>
          <w:p w14:paraId="40C94DC2" w14:textId="797AAEB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1.50</w:t>
            </w:r>
            <w:r w:rsidR="00313C6D">
              <w:rPr>
                <w:rFonts w:ascii="Book Antiqua" w:hAnsi="Book Antiqua"/>
                <w:color w:val="000000" w:themeColor="text1"/>
                <w:sz w:val="24"/>
                <w:szCs w:val="24"/>
              </w:rPr>
              <w:t xml:space="preserve"> </w:t>
            </w:r>
            <w:r w:rsidR="00194CFF">
              <w:rPr>
                <w:rFonts w:ascii="Book Antiqua" w:hAnsi="Book Antiqua"/>
                <w:color w:val="000000" w:themeColor="text1"/>
                <w:sz w:val="24"/>
                <w:szCs w:val="24"/>
              </w:rPr>
              <w:t>±</w:t>
            </w:r>
            <w:r w:rsidR="00313C6D">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0.40</w:t>
            </w:r>
          </w:p>
        </w:tc>
        <w:tc>
          <w:tcPr>
            <w:tcW w:w="1356" w:type="dxa"/>
            <w:tcBorders>
              <w:top w:val="single" w:sz="4" w:space="0" w:color="auto"/>
              <w:left w:val="nil"/>
              <w:bottom w:val="nil"/>
              <w:right w:val="nil"/>
            </w:tcBorders>
            <w:hideMark/>
          </w:tcPr>
          <w:p w14:paraId="05B8E2B2" w14:textId="4D2CD6A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1.52</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0.45</w:t>
            </w:r>
          </w:p>
        </w:tc>
        <w:tc>
          <w:tcPr>
            <w:tcW w:w="760" w:type="dxa"/>
            <w:tcBorders>
              <w:top w:val="single" w:sz="4" w:space="0" w:color="auto"/>
              <w:left w:val="nil"/>
              <w:bottom w:val="nil"/>
              <w:right w:val="nil"/>
            </w:tcBorders>
            <w:hideMark/>
          </w:tcPr>
          <w:p w14:paraId="20DD8AA0" w14:textId="52211C1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0.402</w:t>
            </w:r>
          </w:p>
        </w:tc>
        <w:tc>
          <w:tcPr>
            <w:tcW w:w="1463" w:type="dxa"/>
            <w:tcBorders>
              <w:top w:val="single" w:sz="4" w:space="0" w:color="auto"/>
              <w:left w:val="nil"/>
              <w:bottom w:val="nil"/>
              <w:right w:val="nil"/>
            </w:tcBorders>
            <w:hideMark/>
          </w:tcPr>
          <w:p w14:paraId="6E1BEC4C" w14:textId="1F86B5E0"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0.45</w:t>
            </w:r>
          </w:p>
        </w:tc>
        <w:tc>
          <w:tcPr>
            <w:tcW w:w="1275" w:type="dxa"/>
            <w:tcBorders>
              <w:top w:val="single" w:sz="4" w:space="0" w:color="auto"/>
              <w:left w:val="nil"/>
              <w:bottom w:val="nil"/>
              <w:right w:val="nil"/>
            </w:tcBorders>
            <w:hideMark/>
          </w:tcPr>
          <w:p w14:paraId="40450716" w14:textId="197C023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1.56</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0.47</w:t>
            </w:r>
          </w:p>
        </w:tc>
        <w:tc>
          <w:tcPr>
            <w:tcW w:w="851" w:type="dxa"/>
            <w:gridSpan w:val="2"/>
            <w:tcBorders>
              <w:top w:val="single" w:sz="4" w:space="0" w:color="auto"/>
              <w:left w:val="nil"/>
              <w:bottom w:val="nil"/>
              <w:right w:val="nil"/>
            </w:tcBorders>
            <w:hideMark/>
          </w:tcPr>
          <w:p w14:paraId="332DAAFD" w14:textId="44F2267A"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0.379</w:t>
            </w:r>
          </w:p>
        </w:tc>
        <w:tc>
          <w:tcPr>
            <w:tcW w:w="1218" w:type="dxa"/>
            <w:tcBorders>
              <w:top w:val="single" w:sz="4" w:space="0" w:color="auto"/>
              <w:left w:val="nil"/>
              <w:bottom w:val="nil"/>
              <w:right w:val="nil"/>
            </w:tcBorders>
            <w:hideMark/>
          </w:tcPr>
          <w:p w14:paraId="7A057723" w14:textId="342DDB1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475" w:type="dxa"/>
            <w:gridSpan w:val="2"/>
            <w:tcBorders>
              <w:top w:val="single" w:sz="4" w:space="0" w:color="auto"/>
              <w:left w:val="nil"/>
              <w:bottom w:val="nil"/>
              <w:right w:val="nil"/>
            </w:tcBorders>
            <w:hideMark/>
          </w:tcPr>
          <w:p w14:paraId="3EB861A4" w14:textId="2C18FD6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2.57</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0.50</w:t>
            </w:r>
          </w:p>
        </w:tc>
        <w:tc>
          <w:tcPr>
            <w:tcW w:w="851" w:type="dxa"/>
            <w:gridSpan w:val="2"/>
            <w:tcBorders>
              <w:top w:val="single" w:sz="4" w:space="0" w:color="auto"/>
              <w:left w:val="nil"/>
              <w:bottom w:val="nil"/>
              <w:right w:val="nil"/>
            </w:tcBorders>
            <w:hideMark/>
          </w:tcPr>
          <w:p w14:paraId="4286A805" w14:textId="44ED35D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0.815</w:t>
            </w:r>
          </w:p>
        </w:tc>
        <w:tc>
          <w:tcPr>
            <w:tcW w:w="1275" w:type="dxa"/>
            <w:tcBorders>
              <w:top w:val="single" w:sz="4" w:space="0" w:color="auto"/>
              <w:left w:val="nil"/>
              <w:bottom w:val="nil"/>
              <w:right w:val="nil"/>
            </w:tcBorders>
            <w:hideMark/>
          </w:tcPr>
          <w:p w14:paraId="42E8A0AE" w14:textId="7FEDB95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2.53</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276" w:type="dxa"/>
            <w:gridSpan w:val="2"/>
            <w:tcBorders>
              <w:top w:val="single" w:sz="4" w:space="0" w:color="auto"/>
              <w:left w:val="nil"/>
              <w:bottom w:val="nil"/>
              <w:right w:val="nil"/>
            </w:tcBorders>
            <w:hideMark/>
          </w:tcPr>
          <w:p w14:paraId="71691D62" w14:textId="6ECA82F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2.64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0.57</w:t>
            </w:r>
          </w:p>
        </w:tc>
        <w:tc>
          <w:tcPr>
            <w:tcW w:w="851" w:type="dxa"/>
            <w:gridSpan w:val="4"/>
            <w:tcBorders>
              <w:top w:val="single" w:sz="4" w:space="0" w:color="auto"/>
              <w:left w:val="nil"/>
              <w:bottom w:val="nil"/>
              <w:right w:val="nil"/>
            </w:tcBorders>
            <w:hideMark/>
          </w:tcPr>
          <w:p w14:paraId="68992133" w14:textId="03E6ECF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0.208</w:t>
            </w:r>
          </w:p>
        </w:tc>
      </w:tr>
      <w:tr w:rsidR="00813AEE" w:rsidRPr="00813AEE" w14:paraId="41776DBD" w14:textId="77777777" w:rsidTr="007C3A47">
        <w:trPr>
          <w:gridAfter w:val="2"/>
          <w:wAfter w:w="242" w:type="dxa"/>
          <w:trHeight w:val="445"/>
        </w:trPr>
        <w:tc>
          <w:tcPr>
            <w:tcW w:w="1202" w:type="dxa"/>
            <w:tcBorders>
              <w:top w:val="nil"/>
              <w:left w:val="nil"/>
              <w:bottom w:val="nil"/>
              <w:right w:val="nil"/>
            </w:tcBorders>
            <w:vAlign w:val="center"/>
            <w:hideMark/>
          </w:tcPr>
          <w:p w14:paraId="4C1FF10F"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3"/>
            <w:tcBorders>
              <w:top w:val="nil"/>
              <w:left w:val="nil"/>
              <w:bottom w:val="nil"/>
              <w:right w:val="nil"/>
            </w:tcBorders>
            <w:hideMark/>
          </w:tcPr>
          <w:p w14:paraId="006F97C2" w14:textId="1EDF6D9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0.969</w:t>
            </w:r>
          </w:p>
        </w:tc>
        <w:tc>
          <w:tcPr>
            <w:tcW w:w="3589" w:type="dxa"/>
            <w:gridSpan w:val="4"/>
            <w:tcBorders>
              <w:top w:val="nil"/>
              <w:left w:val="nil"/>
              <w:bottom w:val="nil"/>
              <w:right w:val="nil"/>
            </w:tcBorders>
            <w:hideMark/>
          </w:tcPr>
          <w:p w14:paraId="541D8FA5" w14:textId="2E2647F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0.984</w:t>
            </w:r>
          </w:p>
        </w:tc>
        <w:tc>
          <w:tcPr>
            <w:tcW w:w="3544" w:type="dxa"/>
            <w:gridSpan w:val="5"/>
            <w:tcBorders>
              <w:top w:val="nil"/>
              <w:left w:val="nil"/>
              <w:bottom w:val="nil"/>
              <w:right w:val="nil"/>
            </w:tcBorders>
            <w:hideMark/>
          </w:tcPr>
          <w:p w14:paraId="0D1C8031" w14:textId="64120CC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0.641</w:t>
            </w:r>
          </w:p>
        </w:tc>
        <w:tc>
          <w:tcPr>
            <w:tcW w:w="3301" w:type="dxa"/>
            <w:gridSpan w:val="6"/>
            <w:tcBorders>
              <w:top w:val="nil"/>
              <w:left w:val="nil"/>
              <w:bottom w:val="nil"/>
              <w:right w:val="nil"/>
            </w:tcBorders>
            <w:hideMark/>
          </w:tcPr>
          <w:p w14:paraId="196E8F2D" w14:textId="31C9E2C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0.736</w:t>
            </w:r>
          </w:p>
        </w:tc>
      </w:tr>
      <w:tr w:rsidR="00813AEE" w:rsidRPr="00813AEE" w14:paraId="3CF20D46" w14:textId="77777777" w:rsidTr="007C3A47">
        <w:trPr>
          <w:gridAfter w:val="2"/>
          <w:wAfter w:w="242" w:type="dxa"/>
          <w:trHeight w:val="445"/>
        </w:trPr>
        <w:tc>
          <w:tcPr>
            <w:tcW w:w="1202" w:type="dxa"/>
            <w:tcBorders>
              <w:top w:val="nil"/>
              <w:left w:val="nil"/>
              <w:bottom w:val="nil"/>
              <w:right w:val="nil"/>
            </w:tcBorders>
            <w:vAlign w:val="center"/>
            <w:hideMark/>
          </w:tcPr>
          <w:p w14:paraId="1DB9D4F0"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CoV</w:t>
            </w:r>
          </w:p>
        </w:tc>
        <w:tc>
          <w:tcPr>
            <w:tcW w:w="3468" w:type="dxa"/>
            <w:gridSpan w:val="3"/>
            <w:tcBorders>
              <w:top w:val="nil"/>
              <w:left w:val="nil"/>
              <w:bottom w:val="nil"/>
              <w:right w:val="nil"/>
            </w:tcBorders>
            <w:hideMark/>
          </w:tcPr>
          <w:p w14:paraId="7D2AB687" w14:textId="367062A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4.71</w:t>
            </w:r>
          </w:p>
        </w:tc>
        <w:tc>
          <w:tcPr>
            <w:tcW w:w="3589" w:type="dxa"/>
            <w:gridSpan w:val="4"/>
            <w:tcBorders>
              <w:top w:val="nil"/>
              <w:left w:val="nil"/>
              <w:bottom w:val="nil"/>
              <w:right w:val="nil"/>
            </w:tcBorders>
            <w:hideMark/>
          </w:tcPr>
          <w:p w14:paraId="6AA953D9" w14:textId="5E6E380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3.73</w:t>
            </w:r>
          </w:p>
        </w:tc>
        <w:tc>
          <w:tcPr>
            <w:tcW w:w="3544" w:type="dxa"/>
            <w:gridSpan w:val="5"/>
            <w:tcBorders>
              <w:top w:val="nil"/>
              <w:left w:val="nil"/>
              <w:bottom w:val="nil"/>
              <w:right w:val="nil"/>
            </w:tcBorders>
            <w:hideMark/>
          </w:tcPr>
          <w:p w14:paraId="7D02A0F1" w14:textId="40B14010"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11.43</w:t>
            </w:r>
          </w:p>
        </w:tc>
        <w:tc>
          <w:tcPr>
            <w:tcW w:w="3301" w:type="dxa"/>
            <w:gridSpan w:val="6"/>
            <w:tcBorders>
              <w:top w:val="nil"/>
              <w:left w:val="nil"/>
              <w:bottom w:val="nil"/>
              <w:right w:val="nil"/>
            </w:tcBorders>
            <w:hideMark/>
          </w:tcPr>
          <w:p w14:paraId="68E53A14" w14:textId="1C4C662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11.07</w:t>
            </w:r>
          </w:p>
        </w:tc>
      </w:tr>
      <w:tr w:rsidR="00813AEE" w:rsidRPr="00813AEE" w14:paraId="14791443" w14:textId="77777777" w:rsidTr="007C3A47">
        <w:trPr>
          <w:gridAfter w:val="2"/>
          <w:wAfter w:w="242" w:type="dxa"/>
          <w:trHeight w:val="445"/>
        </w:trPr>
        <w:tc>
          <w:tcPr>
            <w:tcW w:w="1202" w:type="dxa"/>
            <w:tcBorders>
              <w:top w:val="nil"/>
              <w:left w:val="nil"/>
              <w:bottom w:val="nil"/>
              <w:right w:val="nil"/>
            </w:tcBorders>
            <w:vAlign w:val="center"/>
            <w:hideMark/>
          </w:tcPr>
          <w:p w14:paraId="2CF4018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3"/>
            <w:tcBorders>
              <w:top w:val="nil"/>
              <w:left w:val="nil"/>
              <w:bottom w:val="nil"/>
              <w:right w:val="nil"/>
            </w:tcBorders>
            <w:hideMark/>
          </w:tcPr>
          <w:p w14:paraId="27EAB238" w14:textId="503752D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-0.72</w:t>
            </w:r>
          </w:p>
        </w:tc>
        <w:tc>
          <w:tcPr>
            <w:tcW w:w="3589" w:type="dxa"/>
            <w:gridSpan w:val="4"/>
            <w:tcBorders>
              <w:top w:val="nil"/>
              <w:left w:val="nil"/>
              <w:bottom w:val="nil"/>
              <w:right w:val="nil"/>
            </w:tcBorders>
            <w:hideMark/>
          </w:tcPr>
          <w:p w14:paraId="71C3C796" w14:textId="452543A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-0.82</w:t>
            </w:r>
          </w:p>
        </w:tc>
        <w:tc>
          <w:tcPr>
            <w:tcW w:w="3544" w:type="dxa"/>
            <w:gridSpan w:val="5"/>
            <w:tcBorders>
              <w:top w:val="nil"/>
              <w:left w:val="nil"/>
              <w:bottom w:val="nil"/>
              <w:right w:val="nil"/>
            </w:tcBorders>
            <w:hideMark/>
          </w:tcPr>
          <w:p w14:paraId="7ECCBD00" w14:textId="7DA57C4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-1.20</w:t>
            </w:r>
          </w:p>
        </w:tc>
        <w:tc>
          <w:tcPr>
            <w:tcW w:w="3301" w:type="dxa"/>
            <w:gridSpan w:val="6"/>
            <w:tcBorders>
              <w:top w:val="nil"/>
              <w:left w:val="nil"/>
              <w:bottom w:val="nil"/>
              <w:right w:val="nil"/>
            </w:tcBorders>
            <w:hideMark/>
          </w:tcPr>
          <w:p w14:paraId="0F7B9E6A" w14:textId="722A291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-3.98</w:t>
            </w:r>
          </w:p>
        </w:tc>
      </w:tr>
      <w:tr w:rsidR="00813AEE" w:rsidRPr="00813AEE" w14:paraId="789275C4" w14:textId="77777777" w:rsidTr="007C3A47">
        <w:trPr>
          <w:gridAfter w:val="2"/>
          <w:wAfter w:w="242" w:type="dxa"/>
          <w:trHeight w:val="445"/>
        </w:trPr>
        <w:tc>
          <w:tcPr>
            <w:tcW w:w="1202" w:type="dxa"/>
            <w:tcBorders>
              <w:top w:val="nil"/>
              <w:left w:val="nil"/>
              <w:bottom w:val="nil"/>
              <w:right w:val="nil"/>
            </w:tcBorders>
            <w:vAlign w:val="center"/>
            <w:hideMark/>
          </w:tcPr>
          <w:p w14:paraId="040B1A5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LoA (%)</w:t>
            </w:r>
          </w:p>
        </w:tc>
        <w:tc>
          <w:tcPr>
            <w:tcW w:w="3468" w:type="dxa"/>
            <w:gridSpan w:val="3"/>
            <w:tcBorders>
              <w:top w:val="nil"/>
              <w:left w:val="nil"/>
              <w:bottom w:val="nil"/>
              <w:right w:val="nil"/>
            </w:tcBorders>
            <w:hideMark/>
          </w:tcPr>
          <w:p w14:paraId="38FD764F" w14:textId="4F38565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-14.29 to 12.85</w:t>
            </w:r>
          </w:p>
        </w:tc>
        <w:tc>
          <w:tcPr>
            <w:tcW w:w="3589" w:type="dxa"/>
            <w:gridSpan w:val="4"/>
            <w:tcBorders>
              <w:top w:val="nil"/>
              <w:left w:val="nil"/>
              <w:bottom w:val="nil"/>
              <w:right w:val="nil"/>
            </w:tcBorders>
            <w:hideMark/>
          </w:tcPr>
          <w:p w14:paraId="6EB08937" w14:textId="5EEB9F46"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-12.09 to 10.44</w:t>
            </w:r>
          </w:p>
        </w:tc>
        <w:tc>
          <w:tcPr>
            <w:tcW w:w="3544" w:type="dxa"/>
            <w:gridSpan w:val="5"/>
            <w:tcBorders>
              <w:top w:val="nil"/>
              <w:left w:val="nil"/>
              <w:bottom w:val="nil"/>
              <w:right w:val="nil"/>
            </w:tcBorders>
            <w:hideMark/>
          </w:tcPr>
          <w:p w14:paraId="058CFEFE" w14:textId="0962524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-32.03 to 29.62</w:t>
            </w:r>
          </w:p>
        </w:tc>
        <w:tc>
          <w:tcPr>
            <w:tcW w:w="3301" w:type="dxa"/>
            <w:gridSpan w:val="6"/>
            <w:tcBorders>
              <w:top w:val="nil"/>
              <w:left w:val="nil"/>
              <w:bottom w:val="nil"/>
              <w:right w:val="nil"/>
            </w:tcBorders>
            <w:hideMark/>
          </w:tcPr>
          <w:p w14:paraId="0D1EFB11" w14:textId="7752B66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-33.93 to 25.96</w:t>
            </w:r>
          </w:p>
        </w:tc>
      </w:tr>
      <w:tr w:rsidR="00813AEE" w:rsidRPr="00813AEE" w14:paraId="23127143" w14:textId="77777777" w:rsidTr="007D2BF9">
        <w:trPr>
          <w:trHeight w:val="445"/>
        </w:trPr>
        <w:tc>
          <w:tcPr>
            <w:tcW w:w="1202" w:type="dxa"/>
            <w:tcBorders>
              <w:top w:val="nil"/>
              <w:left w:val="nil"/>
              <w:bottom w:val="nil"/>
              <w:right w:val="nil"/>
            </w:tcBorders>
            <w:vAlign w:val="center"/>
            <w:hideMark/>
          </w:tcPr>
          <w:p w14:paraId="25BCE20E"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SR</w:t>
            </w:r>
          </w:p>
        </w:tc>
        <w:tc>
          <w:tcPr>
            <w:tcW w:w="1352" w:type="dxa"/>
            <w:tcBorders>
              <w:top w:val="nil"/>
              <w:left w:val="nil"/>
              <w:bottom w:val="nil"/>
              <w:right w:val="nil"/>
            </w:tcBorders>
            <w:hideMark/>
          </w:tcPr>
          <w:p w14:paraId="5A3904AE" w14:textId="7AB8BA4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4.17</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1.43</w:t>
            </w:r>
          </w:p>
        </w:tc>
        <w:tc>
          <w:tcPr>
            <w:tcW w:w="1356" w:type="dxa"/>
            <w:tcBorders>
              <w:top w:val="nil"/>
              <w:left w:val="nil"/>
              <w:bottom w:val="nil"/>
              <w:right w:val="nil"/>
            </w:tcBorders>
            <w:hideMark/>
          </w:tcPr>
          <w:p w14:paraId="58757FFF" w14:textId="17CD7395"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4.21</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1.34</w:t>
            </w:r>
          </w:p>
        </w:tc>
        <w:tc>
          <w:tcPr>
            <w:tcW w:w="760" w:type="dxa"/>
            <w:tcBorders>
              <w:top w:val="nil"/>
              <w:left w:val="nil"/>
              <w:bottom w:val="nil"/>
              <w:right w:val="nil"/>
            </w:tcBorders>
            <w:hideMark/>
          </w:tcPr>
          <w:p w14:paraId="2EBC2BFC" w14:textId="2B5A212C"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0.473</w:t>
            </w:r>
          </w:p>
        </w:tc>
        <w:tc>
          <w:tcPr>
            <w:tcW w:w="1463" w:type="dxa"/>
            <w:tcBorders>
              <w:top w:val="nil"/>
              <w:left w:val="nil"/>
              <w:bottom w:val="nil"/>
              <w:right w:val="nil"/>
            </w:tcBorders>
            <w:hideMark/>
          </w:tcPr>
          <w:p w14:paraId="03F02DEE" w14:textId="53F00F8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4.20</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1.36</w:t>
            </w:r>
          </w:p>
        </w:tc>
        <w:tc>
          <w:tcPr>
            <w:tcW w:w="1275" w:type="dxa"/>
            <w:tcBorders>
              <w:top w:val="nil"/>
              <w:left w:val="nil"/>
              <w:bottom w:val="nil"/>
              <w:right w:val="nil"/>
            </w:tcBorders>
            <w:hideMark/>
          </w:tcPr>
          <w:p w14:paraId="301EAC99" w14:textId="62417756"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4.23</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1.42</w:t>
            </w:r>
          </w:p>
        </w:tc>
        <w:tc>
          <w:tcPr>
            <w:tcW w:w="851" w:type="dxa"/>
            <w:gridSpan w:val="2"/>
            <w:tcBorders>
              <w:top w:val="nil"/>
              <w:left w:val="nil"/>
              <w:bottom w:val="nil"/>
              <w:right w:val="nil"/>
            </w:tcBorders>
            <w:hideMark/>
          </w:tcPr>
          <w:p w14:paraId="23D038B5" w14:textId="23A9BCF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0.569</w:t>
            </w:r>
          </w:p>
        </w:tc>
        <w:tc>
          <w:tcPr>
            <w:tcW w:w="1417" w:type="dxa"/>
            <w:gridSpan w:val="2"/>
            <w:tcBorders>
              <w:top w:val="nil"/>
              <w:left w:val="nil"/>
              <w:bottom w:val="nil"/>
              <w:right w:val="nil"/>
            </w:tcBorders>
            <w:hideMark/>
          </w:tcPr>
          <w:p w14:paraId="061C4A67" w14:textId="0A489D54"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0.54</w:t>
            </w:r>
          </w:p>
        </w:tc>
        <w:tc>
          <w:tcPr>
            <w:tcW w:w="1276" w:type="dxa"/>
            <w:tcBorders>
              <w:top w:val="nil"/>
              <w:left w:val="nil"/>
              <w:bottom w:val="nil"/>
              <w:right w:val="nil"/>
            </w:tcBorders>
            <w:hideMark/>
          </w:tcPr>
          <w:p w14:paraId="065F124F" w14:textId="0678083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0.52</w:t>
            </w:r>
          </w:p>
        </w:tc>
        <w:tc>
          <w:tcPr>
            <w:tcW w:w="851" w:type="dxa"/>
            <w:gridSpan w:val="2"/>
            <w:tcBorders>
              <w:top w:val="nil"/>
              <w:left w:val="nil"/>
              <w:bottom w:val="nil"/>
              <w:right w:val="nil"/>
            </w:tcBorders>
            <w:hideMark/>
          </w:tcPr>
          <w:p w14:paraId="084E1FB8" w14:textId="5101831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0.760</w:t>
            </w:r>
          </w:p>
        </w:tc>
        <w:tc>
          <w:tcPr>
            <w:tcW w:w="1275" w:type="dxa"/>
            <w:tcBorders>
              <w:top w:val="nil"/>
              <w:left w:val="nil"/>
              <w:bottom w:val="nil"/>
              <w:right w:val="nil"/>
            </w:tcBorders>
            <w:hideMark/>
          </w:tcPr>
          <w:p w14:paraId="3823801B" w14:textId="1FEC607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1.44</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0.53</w:t>
            </w:r>
          </w:p>
        </w:tc>
        <w:tc>
          <w:tcPr>
            <w:tcW w:w="1276" w:type="dxa"/>
            <w:gridSpan w:val="2"/>
            <w:tcBorders>
              <w:top w:val="nil"/>
              <w:left w:val="nil"/>
              <w:bottom w:val="nil"/>
              <w:right w:val="nil"/>
            </w:tcBorders>
            <w:hideMark/>
          </w:tcPr>
          <w:p w14:paraId="44F6505E" w14:textId="13FCE67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1.45</w:t>
            </w:r>
            <w:r w:rsidR="00194CFF">
              <w:rPr>
                <w:rFonts w:ascii="Book Antiqua" w:hAnsi="Book Antiqua"/>
                <w:color w:val="000000" w:themeColor="text1"/>
                <w:sz w:val="24"/>
                <w:szCs w:val="24"/>
              </w:rPr>
              <w:t xml:space="preserve"> ± </w:t>
            </w:r>
            <w:r w:rsidRPr="00813AEE">
              <w:rPr>
                <w:rFonts w:ascii="Book Antiqua" w:hAnsi="Book Antiqua"/>
                <w:color w:val="000000" w:themeColor="text1"/>
                <w:sz w:val="24"/>
                <w:szCs w:val="24"/>
              </w:rPr>
              <w:t>0.56</w:t>
            </w:r>
          </w:p>
        </w:tc>
        <w:tc>
          <w:tcPr>
            <w:tcW w:w="992" w:type="dxa"/>
            <w:gridSpan w:val="5"/>
            <w:tcBorders>
              <w:top w:val="nil"/>
              <w:left w:val="nil"/>
              <w:bottom w:val="nil"/>
              <w:right w:val="nil"/>
            </w:tcBorders>
            <w:hideMark/>
          </w:tcPr>
          <w:p w14:paraId="387607B5" w14:textId="08DC123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0.618</w:t>
            </w:r>
          </w:p>
        </w:tc>
      </w:tr>
      <w:tr w:rsidR="00813AEE" w:rsidRPr="00813AEE" w14:paraId="1C6BD33E" w14:textId="77777777" w:rsidTr="007C3A47">
        <w:trPr>
          <w:gridAfter w:val="2"/>
          <w:wAfter w:w="242" w:type="dxa"/>
          <w:trHeight w:val="445"/>
        </w:trPr>
        <w:tc>
          <w:tcPr>
            <w:tcW w:w="1202" w:type="dxa"/>
            <w:tcBorders>
              <w:top w:val="nil"/>
              <w:left w:val="nil"/>
              <w:bottom w:val="nil"/>
              <w:right w:val="nil"/>
            </w:tcBorders>
            <w:vAlign w:val="center"/>
            <w:hideMark/>
          </w:tcPr>
          <w:p w14:paraId="158FEE42"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ICC</w:t>
            </w:r>
          </w:p>
        </w:tc>
        <w:tc>
          <w:tcPr>
            <w:tcW w:w="3468" w:type="dxa"/>
            <w:gridSpan w:val="3"/>
            <w:tcBorders>
              <w:top w:val="nil"/>
              <w:left w:val="nil"/>
              <w:bottom w:val="nil"/>
              <w:right w:val="nil"/>
            </w:tcBorders>
            <w:hideMark/>
          </w:tcPr>
          <w:p w14:paraId="4DB4286D" w14:textId="71A9AC0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0.981</w:t>
            </w:r>
          </w:p>
        </w:tc>
        <w:tc>
          <w:tcPr>
            <w:tcW w:w="3589" w:type="dxa"/>
            <w:gridSpan w:val="4"/>
            <w:tcBorders>
              <w:top w:val="nil"/>
              <w:left w:val="nil"/>
              <w:bottom w:val="nil"/>
              <w:right w:val="nil"/>
            </w:tcBorders>
            <w:hideMark/>
          </w:tcPr>
          <w:p w14:paraId="137FBE42" w14:textId="07385EB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0.989</w:t>
            </w:r>
          </w:p>
        </w:tc>
        <w:tc>
          <w:tcPr>
            <w:tcW w:w="3544" w:type="dxa"/>
            <w:gridSpan w:val="5"/>
            <w:tcBorders>
              <w:top w:val="nil"/>
              <w:left w:val="nil"/>
              <w:bottom w:val="nil"/>
              <w:right w:val="nil"/>
            </w:tcBorders>
            <w:hideMark/>
          </w:tcPr>
          <w:p w14:paraId="26B2A998" w14:textId="3E30634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0.950</w:t>
            </w:r>
          </w:p>
        </w:tc>
        <w:tc>
          <w:tcPr>
            <w:tcW w:w="3301" w:type="dxa"/>
            <w:gridSpan w:val="6"/>
            <w:tcBorders>
              <w:top w:val="nil"/>
              <w:left w:val="nil"/>
              <w:bottom w:val="nil"/>
              <w:right w:val="nil"/>
            </w:tcBorders>
            <w:hideMark/>
          </w:tcPr>
          <w:p w14:paraId="2F20E7DD" w14:textId="37C61ED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0.971</w:t>
            </w:r>
          </w:p>
        </w:tc>
      </w:tr>
      <w:tr w:rsidR="00813AEE" w:rsidRPr="00813AEE" w14:paraId="30A365D4" w14:textId="77777777" w:rsidTr="007C3A47">
        <w:trPr>
          <w:gridAfter w:val="2"/>
          <w:wAfter w:w="242" w:type="dxa"/>
          <w:trHeight w:val="445"/>
        </w:trPr>
        <w:tc>
          <w:tcPr>
            <w:tcW w:w="1202" w:type="dxa"/>
            <w:tcBorders>
              <w:top w:val="nil"/>
              <w:left w:val="nil"/>
              <w:bottom w:val="nil"/>
              <w:right w:val="nil"/>
            </w:tcBorders>
            <w:vAlign w:val="center"/>
            <w:hideMark/>
          </w:tcPr>
          <w:p w14:paraId="6F93AFB6"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CoV</w:t>
            </w:r>
          </w:p>
        </w:tc>
        <w:tc>
          <w:tcPr>
            <w:tcW w:w="3468" w:type="dxa"/>
            <w:gridSpan w:val="3"/>
            <w:tcBorders>
              <w:top w:val="nil"/>
              <w:left w:val="nil"/>
              <w:bottom w:val="nil"/>
              <w:right w:val="nil"/>
            </w:tcBorders>
            <w:hideMark/>
          </w:tcPr>
          <w:p w14:paraId="0FC8D02E" w14:textId="7E39451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4.53</w:t>
            </w:r>
          </w:p>
        </w:tc>
        <w:tc>
          <w:tcPr>
            <w:tcW w:w="3589" w:type="dxa"/>
            <w:gridSpan w:val="4"/>
            <w:tcBorders>
              <w:top w:val="nil"/>
              <w:left w:val="nil"/>
              <w:bottom w:val="nil"/>
              <w:right w:val="nil"/>
            </w:tcBorders>
            <w:hideMark/>
          </w:tcPr>
          <w:p w14:paraId="25E74051" w14:textId="49753D7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3.72</w:t>
            </w:r>
          </w:p>
        </w:tc>
        <w:tc>
          <w:tcPr>
            <w:tcW w:w="3544" w:type="dxa"/>
            <w:gridSpan w:val="5"/>
            <w:tcBorders>
              <w:top w:val="nil"/>
              <w:left w:val="nil"/>
              <w:bottom w:val="nil"/>
              <w:right w:val="nil"/>
            </w:tcBorders>
            <w:hideMark/>
          </w:tcPr>
          <w:p w14:paraId="339B2178" w14:textId="20B4F342"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8.12</w:t>
            </w:r>
          </w:p>
        </w:tc>
        <w:tc>
          <w:tcPr>
            <w:tcW w:w="3301" w:type="dxa"/>
            <w:gridSpan w:val="6"/>
            <w:tcBorders>
              <w:top w:val="nil"/>
              <w:left w:val="nil"/>
              <w:bottom w:val="nil"/>
              <w:right w:val="nil"/>
            </w:tcBorders>
            <w:hideMark/>
          </w:tcPr>
          <w:p w14:paraId="615FBB5A" w14:textId="6227F7ED"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6.27</w:t>
            </w:r>
          </w:p>
        </w:tc>
      </w:tr>
      <w:tr w:rsidR="00813AEE" w:rsidRPr="00813AEE" w14:paraId="1860A546" w14:textId="77777777" w:rsidTr="007C3A47">
        <w:trPr>
          <w:gridAfter w:val="2"/>
          <w:wAfter w:w="242" w:type="dxa"/>
          <w:trHeight w:val="445"/>
        </w:trPr>
        <w:tc>
          <w:tcPr>
            <w:tcW w:w="1202" w:type="dxa"/>
            <w:tcBorders>
              <w:top w:val="nil"/>
              <w:left w:val="nil"/>
              <w:bottom w:val="nil"/>
              <w:right w:val="nil"/>
            </w:tcBorders>
            <w:vAlign w:val="center"/>
            <w:hideMark/>
          </w:tcPr>
          <w:p w14:paraId="078652B5"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t>Bias (%)</w:t>
            </w:r>
          </w:p>
        </w:tc>
        <w:tc>
          <w:tcPr>
            <w:tcW w:w="3468" w:type="dxa"/>
            <w:gridSpan w:val="3"/>
            <w:tcBorders>
              <w:top w:val="nil"/>
              <w:left w:val="nil"/>
              <w:bottom w:val="nil"/>
              <w:right w:val="nil"/>
            </w:tcBorders>
            <w:hideMark/>
          </w:tcPr>
          <w:p w14:paraId="471F9151" w14:textId="0A2648FF"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-1.85</w:t>
            </w:r>
          </w:p>
        </w:tc>
        <w:tc>
          <w:tcPr>
            <w:tcW w:w="3589" w:type="dxa"/>
            <w:gridSpan w:val="4"/>
            <w:tcBorders>
              <w:top w:val="nil"/>
              <w:left w:val="nil"/>
              <w:bottom w:val="nil"/>
              <w:right w:val="nil"/>
            </w:tcBorders>
            <w:hideMark/>
          </w:tcPr>
          <w:p w14:paraId="2116A6AC" w14:textId="7C1B8FE1"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-0.39</w:t>
            </w:r>
          </w:p>
        </w:tc>
        <w:tc>
          <w:tcPr>
            <w:tcW w:w="3544" w:type="dxa"/>
            <w:gridSpan w:val="5"/>
            <w:tcBorders>
              <w:top w:val="nil"/>
              <w:left w:val="nil"/>
              <w:bottom w:val="nil"/>
              <w:right w:val="nil"/>
            </w:tcBorders>
            <w:hideMark/>
          </w:tcPr>
          <w:p w14:paraId="7D04CA94" w14:textId="656732D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0.43</w:t>
            </w:r>
          </w:p>
        </w:tc>
        <w:tc>
          <w:tcPr>
            <w:tcW w:w="3301" w:type="dxa"/>
            <w:gridSpan w:val="6"/>
            <w:tcBorders>
              <w:top w:val="nil"/>
              <w:left w:val="nil"/>
              <w:bottom w:val="nil"/>
              <w:right w:val="nil"/>
            </w:tcBorders>
            <w:hideMark/>
          </w:tcPr>
          <w:p w14:paraId="3BDC9583" w14:textId="552981C3"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-0.59</w:t>
            </w:r>
          </w:p>
        </w:tc>
      </w:tr>
      <w:tr w:rsidR="00813AEE" w:rsidRPr="00813AEE" w14:paraId="119F1500" w14:textId="77777777" w:rsidTr="007C3A47">
        <w:trPr>
          <w:gridAfter w:val="2"/>
          <w:wAfter w:w="242" w:type="dxa"/>
          <w:trHeight w:val="445"/>
        </w:trPr>
        <w:tc>
          <w:tcPr>
            <w:tcW w:w="1202" w:type="dxa"/>
            <w:tcBorders>
              <w:top w:val="nil"/>
              <w:left w:val="nil"/>
              <w:bottom w:val="single" w:sz="4" w:space="0" w:color="auto"/>
              <w:right w:val="nil"/>
            </w:tcBorders>
            <w:vAlign w:val="center"/>
            <w:hideMark/>
          </w:tcPr>
          <w:p w14:paraId="4EB12A5F" w14:textId="77777777" w:rsidR="00532CC5" w:rsidRPr="00813AEE" w:rsidRDefault="00532CC5" w:rsidP="00813AEE">
            <w:pPr>
              <w:adjustRightInd w:val="0"/>
              <w:snapToGrid w:val="0"/>
              <w:spacing w:line="360" w:lineRule="auto"/>
              <w:rPr>
                <w:rFonts w:ascii="Book Antiqua" w:eastAsia="宋体" w:hAnsi="Book Antiqua"/>
                <w:color w:val="000000" w:themeColor="text1"/>
                <w:sz w:val="24"/>
                <w:szCs w:val="24"/>
              </w:rPr>
            </w:pPr>
            <w:r w:rsidRPr="00813AEE">
              <w:rPr>
                <w:rFonts w:ascii="Book Antiqua" w:eastAsia="宋体" w:hAnsi="Book Antiqua"/>
                <w:color w:val="000000" w:themeColor="text1"/>
                <w:sz w:val="24"/>
                <w:szCs w:val="24"/>
              </w:rPr>
              <w:lastRenderedPageBreak/>
              <w:t>LoA (%)</w:t>
            </w:r>
          </w:p>
        </w:tc>
        <w:tc>
          <w:tcPr>
            <w:tcW w:w="3468" w:type="dxa"/>
            <w:gridSpan w:val="3"/>
            <w:tcBorders>
              <w:top w:val="nil"/>
              <w:left w:val="nil"/>
              <w:bottom w:val="single" w:sz="4" w:space="0" w:color="auto"/>
              <w:right w:val="nil"/>
            </w:tcBorders>
            <w:hideMark/>
          </w:tcPr>
          <w:p w14:paraId="7DB36456" w14:textId="7D35E69B"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-17.30 to 13.60</w:t>
            </w:r>
          </w:p>
        </w:tc>
        <w:tc>
          <w:tcPr>
            <w:tcW w:w="3589" w:type="dxa"/>
            <w:gridSpan w:val="4"/>
            <w:tcBorders>
              <w:top w:val="nil"/>
              <w:left w:val="nil"/>
              <w:bottom w:val="single" w:sz="4" w:space="0" w:color="auto"/>
              <w:right w:val="nil"/>
            </w:tcBorders>
            <w:hideMark/>
          </w:tcPr>
          <w:p w14:paraId="661D31AC" w14:textId="0C5E3768"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-12.38 to 11.61</w:t>
            </w:r>
          </w:p>
        </w:tc>
        <w:tc>
          <w:tcPr>
            <w:tcW w:w="3544" w:type="dxa"/>
            <w:gridSpan w:val="5"/>
            <w:tcBorders>
              <w:top w:val="nil"/>
              <w:left w:val="nil"/>
              <w:bottom w:val="single" w:sz="4" w:space="0" w:color="auto"/>
              <w:right w:val="nil"/>
            </w:tcBorders>
            <w:hideMark/>
          </w:tcPr>
          <w:p w14:paraId="09078C33" w14:textId="74E70839"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-22.17 to 23.04</w:t>
            </w:r>
          </w:p>
        </w:tc>
        <w:tc>
          <w:tcPr>
            <w:tcW w:w="3301" w:type="dxa"/>
            <w:gridSpan w:val="6"/>
            <w:tcBorders>
              <w:top w:val="nil"/>
              <w:left w:val="nil"/>
              <w:bottom w:val="single" w:sz="4" w:space="0" w:color="auto"/>
              <w:right w:val="nil"/>
            </w:tcBorders>
            <w:hideMark/>
          </w:tcPr>
          <w:p w14:paraId="019A258C" w14:textId="75AF931E" w:rsidR="00532CC5" w:rsidRPr="00813AEE" w:rsidRDefault="00532CC5" w:rsidP="00194CFF">
            <w:pPr>
              <w:adjustRightInd w:val="0"/>
              <w:snapToGrid w:val="0"/>
              <w:spacing w:line="360" w:lineRule="auto"/>
              <w:jc w:val="center"/>
              <w:rPr>
                <w:rFonts w:ascii="Book Antiqua" w:eastAsia="宋体" w:hAnsi="Book Antiqua"/>
                <w:color w:val="000000" w:themeColor="text1"/>
                <w:sz w:val="24"/>
                <w:szCs w:val="24"/>
              </w:rPr>
            </w:pPr>
            <w:r w:rsidRPr="00813AEE">
              <w:rPr>
                <w:rFonts w:ascii="Book Antiqua" w:hAnsi="Book Antiqua"/>
                <w:color w:val="000000" w:themeColor="text1"/>
                <w:sz w:val="24"/>
                <w:szCs w:val="24"/>
              </w:rPr>
              <w:t>-19.47 to 18.29</w:t>
            </w:r>
          </w:p>
        </w:tc>
      </w:tr>
    </w:tbl>
    <w:p w14:paraId="49429AE8" w14:textId="12C88C20" w:rsidR="00541BD7" w:rsidRPr="00813AEE" w:rsidRDefault="00194CFF" w:rsidP="00813AEE">
      <w:pPr>
        <w:adjustRightInd w:val="0"/>
        <w:snapToGrid w:val="0"/>
        <w:spacing w:line="360" w:lineRule="auto"/>
        <w:rPr>
          <w:rFonts w:ascii="Book Antiqua" w:hAnsi="Book Antiqua"/>
          <w:b/>
          <w:color w:val="000000" w:themeColor="text1"/>
          <w:sz w:val="24"/>
          <w:szCs w:val="24"/>
        </w:rPr>
      </w:pPr>
      <w:bookmarkStart w:id="240" w:name="OLE_LINK115"/>
      <w:bookmarkStart w:id="241" w:name="OLE_LINK116"/>
      <w:r>
        <w:rPr>
          <w:rFonts w:ascii="Book Antiqua" w:hAnsi="Book Antiqua"/>
          <w:color w:val="000000" w:themeColor="text1"/>
          <w:sz w:val="24"/>
          <w:szCs w:val="24"/>
        </w:rPr>
        <w:t>A</w:t>
      </w:r>
      <w:r w:rsidRPr="00813AEE">
        <w:rPr>
          <w:rFonts w:ascii="Book Antiqua" w:hAnsi="Book Antiqua"/>
          <w:color w:val="000000" w:themeColor="text1"/>
          <w:sz w:val="24"/>
          <w:szCs w:val="24"/>
        </w:rPr>
        <w:t>pparent diffusion coefficient</w:t>
      </w:r>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ADC</w:t>
      </w:r>
      <w:r>
        <w:rPr>
          <w:rFonts w:ascii="Book Antiqua" w:hAnsi="Book Antiqua"/>
          <w:color w:val="000000" w:themeColor="text1"/>
          <w:sz w:val="24"/>
          <w:szCs w:val="24"/>
        </w:rPr>
        <w:t>)</w:t>
      </w:r>
      <w:r w:rsidRPr="00813AEE">
        <w:rPr>
          <w:rFonts w:ascii="Book Antiqua" w:hAnsi="Book Antiqua"/>
          <w:color w:val="000000" w:themeColor="text1"/>
          <w:sz w:val="24"/>
          <w:szCs w:val="24"/>
        </w:rPr>
        <w:t xml:space="preserve"> and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Pr="00813AEE">
        <w:rPr>
          <w:rFonts w:ascii="Book Antiqua" w:hAnsi="Book Antiqua"/>
          <w:color w:val="000000" w:themeColor="text1"/>
          <w:sz w:val="24"/>
          <w:szCs w:val="24"/>
        </w:rPr>
        <w:t xml:space="preserve">mean ± </w:t>
      </w:r>
      <w:r>
        <w:rPr>
          <w:rFonts w:ascii="Book Antiqua" w:hAnsi="Book Antiqua"/>
          <w:color w:val="000000" w:themeColor="text1"/>
          <w:sz w:val="24"/>
          <w:szCs w:val="24"/>
        </w:rPr>
        <w:t>s</w:t>
      </w:r>
      <w:r w:rsidRPr="00813AEE">
        <w:rPr>
          <w:rFonts w:ascii="Book Antiqua" w:hAnsi="Book Antiqua"/>
          <w:color w:val="000000" w:themeColor="text1"/>
          <w:sz w:val="24"/>
          <w:szCs w:val="24"/>
        </w:rPr>
        <w:t>tandard deviation, ADC units: ×10</w:t>
      </w:r>
      <w:r w:rsidRPr="00813AEE">
        <w:rPr>
          <w:rFonts w:ascii="Book Antiqua" w:hAnsi="Book Antiqua"/>
          <w:color w:val="000000" w:themeColor="text1"/>
          <w:sz w:val="24"/>
          <w:szCs w:val="24"/>
          <w:vertAlign w:val="superscript"/>
        </w:rPr>
        <w:t>-3</w:t>
      </w:r>
      <w:r w:rsidRPr="00813AEE">
        <w:rPr>
          <w:rFonts w:ascii="Book Antiqua" w:hAnsi="Book Antiqua"/>
          <w:color w:val="000000" w:themeColor="text1"/>
          <w:sz w:val="24"/>
          <w:szCs w:val="24"/>
        </w:rPr>
        <w:t xml:space="preserve"> mm</w:t>
      </w:r>
      <w:r w:rsidRPr="00813AEE">
        <w:rPr>
          <w:rFonts w:ascii="Book Antiqua" w:hAnsi="Book Antiqua"/>
          <w:color w:val="000000" w:themeColor="text1"/>
          <w:sz w:val="24"/>
          <w:szCs w:val="24"/>
          <w:vertAlign w:val="superscript"/>
        </w:rPr>
        <w:t>2</w:t>
      </w:r>
      <w:r w:rsidRPr="00813AEE">
        <w:rPr>
          <w:rFonts w:ascii="Book Antiqua" w:hAnsi="Book Antiqua"/>
          <w:color w:val="000000" w:themeColor="text1"/>
          <w:sz w:val="24"/>
          <w:szCs w:val="24"/>
        </w:rPr>
        <w:t>/s.</w:t>
      </w:r>
      <w:bookmarkEnd w:id="240"/>
      <w:bookmarkEnd w:id="241"/>
      <w:r>
        <w:rPr>
          <w:rFonts w:ascii="Book Antiqua" w:hAnsi="Book Antiqua"/>
          <w:color w:val="000000" w:themeColor="text1"/>
          <w:sz w:val="24"/>
          <w:szCs w:val="24"/>
        </w:rPr>
        <w:t xml:space="preserve"> </w:t>
      </w:r>
      <w:r w:rsidRPr="00813AEE">
        <w:rPr>
          <w:rFonts w:ascii="Book Antiqua" w:hAnsi="Book Antiqua"/>
          <w:color w:val="000000" w:themeColor="text1"/>
          <w:sz w:val="24"/>
          <w:szCs w:val="24"/>
        </w:rPr>
        <w:t xml:space="preserve">ADC: </w:t>
      </w:r>
      <w:r>
        <w:rPr>
          <w:rFonts w:ascii="Book Antiqua" w:hAnsi="Book Antiqua"/>
          <w:color w:val="000000" w:themeColor="text1"/>
          <w:sz w:val="24"/>
          <w:szCs w:val="24"/>
        </w:rPr>
        <w:t>A</w:t>
      </w:r>
      <w:r w:rsidRPr="00813AEE">
        <w:rPr>
          <w:rFonts w:ascii="Book Antiqua" w:hAnsi="Book Antiqua"/>
          <w:color w:val="000000" w:themeColor="text1"/>
          <w:sz w:val="24"/>
          <w:szCs w:val="24"/>
        </w:rPr>
        <w:t xml:space="preserve">pparent diffusion coefficient; SR: </w:t>
      </w:r>
      <w:r>
        <w:rPr>
          <w:rFonts w:ascii="Book Antiqua" w:hAnsi="Book Antiqua"/>
          <w:color w:val="000000" w:themeColor="text1"/>
          <w:sz w:val="24"/>
          <w:szCs w:val="24"/>
        </w:rPr>
        <w:t>S</w:t>
      </w:r>
      <w:r w:rsidRPr="00813AEE">
        <w:rPr>
          <w:rFonts w:ascii="Book Antiqua" w:hAnsi="Book Antiqua"/>
          <w:color w:val="000000" w:themeColor="text1"/>
          <w:sz w:val="24"/>
          <w:szCs w:val="24"/>
        </w:rPr>
        <w:t xml:space="preserve">ignal ratio; CD: Crohn’s disease; ICC: </w:t>
      </w:r>
      <w:r>
        <w:rPr>
          <w:rFonts w:ascii="Book Antiqua" w:hAnsi="Book Antiqua"/>
          <w:color w:val="000000" w:themeColor="text1"/>
          <w:sz w:val="24"/>
          <w:szCs w:val="24"/>
        </w:rPr>
        <w:t>I</w:t>
      </w:r>
      <w:r w:rsidRPr="00813AEE">
        <w:rPr>
          <w:rFonts w:ascii="Book Antiqua" w:hAnsi="Book Antiqua"/>
          <w:color w:val="000000" w:themeColor="text1"/>
          <w:sz w:val="24"/>
          <w:szCs w:val="24"/>
        </w:rPr>
        <w:t xml:space="preserve">ntraclass correlation coefficient; CoV: </w:t>
      </w:r>
      <w:r>
        <w:rPr>
          <w:rFonts w:ascii="Book Antiqua" w:hAnsi="Book Antiqua"/>
          <w:color w:val="000000" w:themeColor="text1"/>
          <w:sz w:val="24"/>
          <w:szCs w:val="24"/>
        </w:rPr>
        <w:t>C</w:t>
      </w:r>
      <w:r w:rsidRPr="00813AEE">
        <w:rPr>
          <w:rFonts w:ascii="Book Antiqua" w:hAnsi="Book Antiqua"/>
          <w:color w:val="000000" w:themeColor="text1"/>
          <w:sz w:val="24"/>
          <w:szCs w:val="24"/>
        </w:rPr>
        <w:t>oefficients of variation; LoA: Bland-Altman analysis with 95% limits of agreement.</w:t>
      </w:r>
    </w:p>
    <w:p w14:paraId="28B50A15" w14:textId="32B46870" w:rsidR="00541BD7" w:rsidRPr="00813AEE" w:rsidRDefault="00541BD7" w:rsidP="00813AEE">
      <w:pPr>
        <w:adjustRightInd w:val="0"/>
        <w:snapToGrid w:val="0"/>
        <w:spacing w:line="360" w:lineRule="auto"/>
        <w:rPr>
          <w:rFonts w:ascii="Book Antiqua" w:hAnsi="Book Antiqua"/>
          <w:b/>
          <w:color w:val="000000" w:themeColor="text1"/>
          <w:sz w:val="24"/>
          <w:szCs w:val="24"/>
        </w:rPr>
      </w:pPr>
      <w:r w:rsidRPr="00813AEE">
        <w:rPr>
          <w:rFonts w:ascii="Book Antiqua" w:hAnsi="Book Antiqua"/>
          <w:b/>
          <w:color w:val="000000" w:themeColor="text1"/>
          <w:sz w:val="24"/>
          <w:szCs w:val="24"/>
        </w:rPr>
        <w:br w:type="page"/>
      </w:r>
      <w:r w:rsidRPr="00813AEE">
        <w:rPr>
          <w:rFonts w:ascii="Book Antiqua" w:hAnsi="Book Antiqua"/>
          <w:b/>
          <w:color w:val="000000" w:themeColor="text1"/>
          <w:sz w:val="24"/>
          <w:szCs w:val="24"/>
        </w:rPr>
        <w:lastRenderedPageBreak/>
        <w:t xml:space="preserve">Table 4 </w:t>
      </w:r>
      <w:r w:rsidR="006725E5">
        <w:rPr>
          <w:rFonts w:ascii="Book Antiqua" w:hAnsi="Book Antiqua"/>
          <w:b/>
          <w:color w:val="000000" w:themeColor="text1"/>
          <w:sz w:val="24"/>
          <w:szCs w:val="24"/>
        </w:rPr>
        <w:t>D</w:t>
      </w:r>
      <w:r w:rsidR="00532CC5" w:rsidRPr="00813AEE">
        <w:rPr>
          <w:rFonts w:ascii="Book Antiqua" w:hAnsi="Book Antiqua"/>
          <w:b/>
          <w:color w:val="000000" w:themeColor="text1"/>
          <w:sz w:val="24"/>
          <w:szCs w:val="24"/>
        </w:rPr>
        <w:t xml:space="preserve">iagnostic performance of </w:t>
      </w:r>
      <w:r w:rsidR="00257942" w:rsidRPr="00813AEE">
        <w:rPr>
          <w:rFonts w:ascii="Book Antiqua" w:hAnsi="Book Antiqua"/>
          <w:b/>
          <w:color w:val="000000" w:themeColor="text1"/>
          <w:sz w:val="24"/>
          <w:szCs w:val="24"/>
        </w:rPr>
        <w:t>apparent diffusion coefficient</w:t>
      </w:r>
      <w:r w:rsidR="00532CC5" w:rsidRPr="00813AEE">
        <w:rPr>
          <w:rFonts w:ascii="Book Antiqua" w:hAnsi="Book Antiqua"/>
          <w:b/>
          <w:color w:val="000000" w:themeColor="text1"/>
          <w:sz w:val="24"/>
          <w:szCs w:val="24"/>
        </w:rPr>
        <w:t xml:space="preserve"> and </w:t>
      </w:r>
      <w:r w:rsidR="00257942" w:rsidRPr="00813AEE">
        <w:rPr>
          <w:rFonts w:ascii="Book Antiqua" w:hAnsi="Book Antiqua"/>
          <w:b/>
          <w:color w:val="000000" w:themeColor="text1"/>
          <w:sz w:val="24"/>
          <w:szCs w:val="24"/>
        </w:rPr>
        <w:t>signal ratio</w:t>
      </w:r>
      <w:r w:rsidR="00532CC5" w:rsidRPr="00813AEE">
        <w:rPr>
          <w:rFonts w:ascii="Book Antiqua" w:hAnsi="Book Antiqua"/>
          <w:b/>
          <w:color w:val="000000" w:themeColor="text1"/>
          <w:sz w:val="24"/>
          <w:szCs w:val="24"/>
        </w:rPr>
        <w:t xml:space="preserve"> for differentiating inflammatory lesions from normal terminal ileum</w:t>
      </w:r>
    </w:p>
    <w:tbl>
      <w:tblPr>
        <w:tblStyle w:val="2"/>
        <w:tblW w:w="14317" w:type="dxa"/>
        <w:tblInd w:w="-14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126"/>
        <w:gridCol w:w="2235"/>
        <w:gridCol w:w="1254"/>
        <w:gridCol w:w="1661"/>
        <w:gridCol w:w="1371"/>
        <w:gridCol w:w="1843"/>
        <w:gridCol w:w="1842"/>
      </w:tblGrid>
      <w:tr w:rsidR="00813AEE" w:rsidRPr="00813AEE" w14:paraId="1C110996" w14:textId="77777777" w:rsidTr="007C3A47">
        <w:trPr>
          <w:trHeight w:val="431"/>
        </w:trPr>
        <w:tc>
          <w:tcPr>
            <w:tcW w:w="1985" w:type="dxa"/>
            <w:tcBorders>
              <w:bottom w:val="single" w:sz="4" w:space="0" w:color="auto"/>
            </w:tcBorders>
          </w:tcPr>
          <w:p w14:paraId="417146FB" w14:textId="77777777" w:rsidR="00532CC5" w:rsidRPr="00813AEE" w:rsidRDefault="00532CC5" w:rsidP="00813AEE">
            <w:pPr>
              <w:adjustRightInd w:val="0"/>
              <w:snapToGrid w:val="0"/>
              <w:spacing w:line="360" w:lineRule="auto"/>
              <w:rPr>
                <w:rFonts w:ascii="Book Antiqua" w:hAnsi="Book Antiqua"/>
                <w:b/>
                <w:color w:val="000000" w:themeColor="text1"/>
                <w:sz w:val="24"/>
                <w:szCs w:val="24"/>
              </w:rPr>
            </w:pPr>
          </w:p>
        </w:tc>
        <w:tc>
          <w:tcPr>
            <w:tcW w:w="2126" w:type="dxa"/>
            <w:tcBorders>
              <w:bottom w:val="single" w:sz="4" w:space="0" w:color="auto"/>
            </w:tcBorders>
          </w:tcPr>
          <w:p w14:paraId="31BCD8BC"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CD (</w:t>
            </w:r>
            <w:r w:rsidRPr="0052325B">
              <w:rPr>
                <w:rFonts w:ascii="Book Antiqua" w:hAnsi="Book Antiqua"/>
                <w:b/>
                <w:i/>
                <w:iCs/>
                <w:color w:val="000000" w:themeColor="text1"/>
                <w:sz w:val="24"/>
                <w:szCs w:val="24"/>
              </w:rPr>
              <w:t>n</w:t>
            </w:r>
            <w:r w:rsidRPr="00813AEE">
              <w:rPr>
                <w:rFonts w:ascii="Book Antiqua" w:hAnsi="Book Antiqua"/>
                <w:b/>
                <w:color w:val="000000" w:themeColor="text1"/>
                <w:sz w:val="24"/>
                <w:szCs w:val="24"/>
              </w:rPr>
              <w:t xml:space="preserve"> = 21)</w:t>
            </w:r>
          </w:p>
        </w:tc>
        <w:tc>
          <w:tcPr>
            <w:tcW w:w="2235" w:type="dxa"/>
            <w:tcBorders>
              <w:bottom w:val="single" w:sz="4" w:space="0" w:color="auto"/>
            </w:tcBorders>
          </w:tcPr>
          <w:p w14:paraId="34D37E10"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Normal (</w:t>
            </w:r>
            <w:r w:rsidRPr="0052325B">
              <w:rPr>
                <w:rFonts w:ascii="Book Antiqua" w:hAnsi="Book Antiqua"/>
                <w:b/>
                <w:i/>
                <w:iCs/>
                <w:color w:val="000000" w:themeColor="text1"/>
                <w:sz w:val="24"/>
                <w:szCs w:val="24"/>
              </w:rPr>
              <w:t>n</w:t>
            </w:r>
            <w:r w:rsidRPr="00813AEE">
              <w:rPr>
                <w:rFonts w:ascii="Book Antiqua" w:hAnsi="Book Antiqua"/>
                <w:b/>
                <w:color w:val="000000" w:themeColor="text1"/>
                <w:sz w:val="24"/>
                <w:szCs w:val="24"/>
              </w:rPr>
              <w:t xml:space="preserve"> = 23)</w:t>
            </w:r>
          </w:p>
        </w:tc>
        <w:tc>
          <w:tcPr>
            <w:tcW w:w="1254" w:type="dxa"/>
            <w:tcBorders>
              <w:bottom w:val="single" w:sz="4" w:space="0" w:color="auto"/>
            </w:tcBorders>
          </w:tcPr>
          <w:p w14:paraId="3097F684" w14:textId="740DE6D3" w:rsidR="00532CC5" w:rsidRPr="0052325B" w:rsidRDefault="006725E5">
            <w:pPr>
              <w:adjustRightInd w:val="0"/>
              <w:snapToGrid w:val="0"/>
              <w:spacing w:line="360" w:lineRule="auto"/>
              <w:jc w:val="center"/>
              <w:rPr>
                <w:rFonts w:ascii="Book Antiqua" w:hAnsi="Book Antiqua"/>
                <w:b/>
                <w:iCs/>
                <w:color w:val="000000" w:themeColor="text1"/>
                <w:sz w:val="24"/>
                <w:szCs w:val="24"/>
              </w:rPr>
            </w:pPr>
            <w:r w:rsidRPr="00813AEE">
              <w:rPr>
                <w:rFonts w:ascii="Book Antiqua" w:hAnsi="Book Antiqua"/>
                <w:b/>
                <w:i/>
                <w:color w:val="000000" w:themeColor="text1"/>
                <w:sz w:val="24"/>
                <w:szCs w:val="24"/>
              </w:rPr>
              <w:t>P</w:t>
            </w:r>
            <w:r>
              <w:rPr>
                <w:rFonts w:ascii="Book Antiqua" w:hAnsi="Book Antiqua"/>
                <w:b/>
                <w:iCs/>
                <w:color w:val="000000" w:themeColor="text1"/>
                <w:sz w:val="24"/>
                <w:szCs w:val="24"/>
              </w:rPr>
              <w:t>-</w:t>
            </w:r>
            <w:r w:rsidR="0052325B">
              <w:rPr>
                <w:rFonts w:ascii="Book Antiqua" w:hAnsi="Book Antiqua"/>
                <w:b/>
                <w:iCs/>
                <w:color w:val="000000" w:themeColor="text1"/>
                <w:sz w:val="24"/>
                <w:szCs w:val="24"/>
              </w:rPr>
              <w:t>value</w:t>
            </w:r>
          </w:p>
        </w:tc>
        <w:tc>
          <w:tcPr>
            <w:tcW w:w="1661" w:type="dxa"/>
            <w:tcBorders>
              <w:bottom w:val="single" w:sz="4" w:space="0" w:color="auto"/>
            </w:tcBorders>
          </w:tcPr>
          <w:p w14:paraId="50D90377" w14:textId="545D1733" w:rsidR="00532CC5" w:rsidRPr="00813AEE" w:rsidRDefault="006725E5" w:rsidP="0052325B">
            <w:pPr>
              <w:adjustRightInd w:val="0"/>
              <w:snapToGrid w:val="0"/>
              <w:spacing w:line="360" w:lineRule="auto"/>
              <w:jc w:val="center"/>
              <w:rPr>
                <w:rFonts w:ascii="Book Antiqua" w:hAnsi="Book Antiqua"/>
                <w:b/>
                <w:color w:val="000000" w:themeColor="text1"/>
                <w:sz w:val="24"/>
                <w:szCs w:val="24"/>
              </w:rPr>
            </w:pPr>
            <w:r>
              <w:rPr>
                <w:rFonts w:ascii="Book Antiqua" w:hAnsi="Book Antiqua"/>
                <w:b/>
                <w:color w:val="000000" w:themeColor="text1"/>
                <w:sz w:val="24"/>
                <w:szCs w:val="24"/>
              </w:rPr>
              <w:t>C</w:t>
            </w:r>
            <w:r w:rsidRPr="00813AEE">
              <w:rPr>
                <w:rFonts w:ascii="Book Antiqua" w:hAnsi="Book Antiqua"/>
                <w:b/>
                <w:color w:val="000000" w:themeColor="text1"/>
                <w:sz w:val="24"/>
                <w:szCs w:val="24"/>
              </w:rPr>
              <w:t>ut</w:t>
            </w:r>
            <w:r w:rsidR="00532CC5" w:rsidRPr="00813AEE">
              <w:rPr>
                <w:rFonts w:ascii="Book Antiqua" w:hAnsi="Book Antiqua"/>
                <w:b/>
                <w:color w:val="000000" w:themeColor="text1"/>
                <w:sz w:val="24"/>
                <w:szCs w:val="24"/>
              </w:rPr>
              <w:t>-off value</w:t>
            </w:r>
          </w:p>
        </w:tc>
        <w:tc>
          <w:tcPr>
            <w:tcW w:w="1371" w:type="dxa"/>
            <w:tcBorders>
              <w:bottom w:val="single" w:sz="4" w:space="0" w:color="auto"/>
            </w:tcBorders>
          </w:tcPr>
          <w:p w14:paraId="3066BA15"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AUROC</w:t>
            </w:r>
          </w:p>
        </w:tc>
        <w:tc>
          <w:tcPr>
            <w:tcW w:w="1843" w:type="dxa"/>
            <w:tcBorders>
              <w:bottom w:val="single" w:sz="4" w:space="0" w:color="auto"/>
            </w:tcBorders>
          </w:tcPr>
          <w:p w14:paraId="6FFD86E7"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Sensitivity (%)</w:t>
            </w:r>
          </w:p>
        </w:tc>
        <w:tc>
          <w:tcPr>
            <w:tcW w:w="1842" w:type="dxa"/>
            <w:tcBorders>
              <w:bottom w:val="single" w:sz="4" w:space="0" w:color="auto"/>
            </w:tcBorders>
          </w:tcPr>
          <w:p w14:paraId="6C2D2C80" w14:textId="77777777" w:rsidR="00532CC5" w:rsidRPr="00813AEE" w:rsidRDefault="00532CC5" w:rsidP="0052325B">
            <w:pPr>
              <w:adjustRightInd w:val="0"/>
              <w:snapToGrid w:val="0"/>
              <w:spacing w:line="360" w:lineRule="auto"/>
              <w:jc w:val="center"/>
              <w:rPr>
                <w:rFonts w:ascii="Book Antiqua" w:hAnsi="Book Antiqua"/>
                <w:b/>
                <w:color w:val="000000" w:themeColor="text1"/>
                <w:sz w:val="24"/>
                <w:szCs w:val="24"/>
              </w:rPr>
            </w:pPr>
            <w:r w:rsidRPr="00813AEE">
              <w:rPr>
                <w:rFonts w:ascii="Book Antiqua" w:hAnsi="Book Antiqua"/>
                <w:b/>
                <w:color w:val="000000" w:themeColor="text1"/>
                <w:sz w:val="24"/>
                <w:szCs w:val="24"/>
              </w:rPr>
              <w:t>Specificity (%)</w:t>
            </w:r>
          </w:p>
        </w:tc>
      </w:tr>
      <w:tr w:rsidR="00813AEE" w:rsidRPr="00813AEE" w14:paraId="3374EA3C" w14:textId="77777777" w:rsidTr="007C3A47">
        <w:trPr>
          <w:trHeight w:val="611"/>
        </w:trPr>
        <w:tc>
          <w:tcPr>
            <w:tcW w:w="1985" w:type="dxa"/>
            <w:tcBorders>
              <w:top w:val="single" w:sz="4" w:space="0" w:color="auto"/>
            </w:tcBorders>
          </w:tcPr>
          <w:p w14:paraId="54A9864C" w14:textId="7777777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First reader</w:t>
            </w:r>
          </w:p>
        </w:tc>
        <w:tc>
          <w:tcPr>
            <w:tcW w:w="2126" w:type="dxa"/>
          </w:tcPr>
          <w:p w14:paraId="0692046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2235" w:type="dxa"/>
          </w:tcPr>
          <w:p w14:paraId="2ABFA16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254" w:type="dxa"/>
          </w:tcPr>
          <w:p w14:paraId="149F0EC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661" w:type="dxa"/>
          </w:tcPr>
          <w:p w14:paraId="3506005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371" w:type="dxa"/>
          </w:tcPr>
          <w:p w14:paraId="4248F276"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3" w:type="dxa"/>
          </w:tcPr>
          <w:p w14:paraId="038A6A51"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2" w:type="dxa"/>
          </w:tcPr>
          <w:p w14:paraId="701D69E8"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r>
      <w:tr w:rsidR="00813AEE" w:rsidRPr="00813AEE" w14:paraId="4B704341" w14:textId="77777777" w:rsidTr="007C3A47">
        <w:trPr>
          <w:trHeight w:val="611"/>
        </w:trPr>
        <w:tc>
          <w:tcPr>
            <w:tcW w:w="1985" w:type="dxa"/>
          </w:tcPr>
          <w:p w14:paraId="274ACA81" w14:textId="124FE4C2"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ADC value</w:t>
            </w:r>
          </w:p>
        </w:tc>
        <w:tc>
          <w:tcPr>
            <w:tcW w:w="2126" w:type="dxa"/>
          </w:tcPr>
          <w:p w14:paraId="7B476E02" w14:textId="074E289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1.52</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0.42</w:t>
            </w:r>
          </w:p>
        </w:tc>
        <w:tc>
          <w:tcPr>
            <w:tcW w:w="2235" w:type="dxa"/>
          </w:tcPr>
          <w:p w14:paraId="7E5436F0" w14:textId="527D054B"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2.54</w:t>
            </w:r>
            <w:bookmarkStart w:id="242" w:name="OLE_LINK81"/>
            <w:bookmarkStart w:id="243" w:name="OLE_LINK82"/>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bookmarkEnd w:id="242"/>
            <w:bookmarkEnd w:id="243"/>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0.49</w:t>
            </w:r>
          </w:p>
        </w:tc>
        <w:tc>
          <w:tcPr>
            <w:tcW w:w="1254" w:type="dxa"/>
          </w:tcPr>
          <w:p w14:paraId="7FCC8AE5" w14:textId="1E07A92A"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64F9812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1.80</w:t>
            </w:r>
          </w:p>
        </w:tc>
        <w:tc>
          <w:tcPr>
            <w:tcW w:w="1371" w:type="dxa"/>
          </w:tcPr>
          <w:p w14:paraId="52DDA3A4"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0.923</w:t>
            </w:r>
          </w:p>
        </w:tc>
        <w:tc>
          <w:tcPr>
            <w:tcW w:w="1843" w:type="dxa"/>
          </w:tcPr>
          <w:p w14:paraId="1BDBB3E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85.7</w:t>
            </w:r>
          </w:p>
        </w:tc>
        <w:tc>
          <w:tcPr>
            <w:tcW w:w="1842" w:type="dxa"/>
          </w:tcPr>
          <w:p w14:paraId="569273C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01422C47" w14:textId="77777777" w:rsidTr="007C3A47">
        <w:trPr>
          <w:trHeight w:val="611"/>
        </w:trPr>
        <w:tc>
          <w:tcPr>
            <w:tcW w:w="1985" w:type="dxa"/>
          </w:tcPr>
          <w:p w14:paraId="2CD0E3AA" w14:textId="26F17D10" w:rsidR="00532CC5" w:rsidRPr="00813AEE" w:rsidRDefault="00532CC5"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SR value</w:t>
            </w:r>
          </w:p>
        </w:tc>
        <w:tc>
          <w:tcPr>
            <w:tcW w:w="2126" w:type="dxa"/>
          </w:tcPr>
          <w:p w14:paraId="64BABC6F" w14:textId="7BAE8D2C"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4.19</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1.39</w:t>
            </w:r>
          </w:p>
        </w:tc>
        <w:tc>
          <w:tcPr>
            <w:tcW w:w="2235" w:type="dxa"/>
          </w:tcPr>
          <w:p w14:paraId="6ADBD9B2" w14:textId="51AA0A73"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1.44</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0.53</w:t>
            </w:r>
          </w:p>
        </w:tc>
        <w:tc>
          <w:tcPr>
            <w:tcW w:w="1254" w:type="dxa"/>
          </w:tcPr>
          <w:p w14:paraId="0F3B66AC" w14:textId="19578942"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74DE8243"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2.24</w:t>
            </w:r>
          </w:p>
        </w:tc>
        <w:tc>
          <w:tcPr>
            <w:tcW w:w="1371" w:type="dxa"/>
          </w:tcPr>
          <w:p w14:paraId="173843DF"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0.981</w:t>
            </w:r>
          </w:p>
        </w:tc>
        <w:tc>
          <w:tcPr>
            <w:tcW w:w="1843" w:type="dxa"/>
          </w:tcPr>
          <w:p w14:paraId="64907B7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90.5</w:t>
            </w:r>
          </w:p>
        </w:tc>
        <w:tc>
          <w:tcPr>
            <w:tcW w:w="1842" w:type="dxa"/>
          </w:tcPr>
          <w:p w14:paraId="15DE03BD"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5096D6A2" w14:textId="77777777" w:rsidTr="007C3A47">
        <w:trPr>
          <w:trHeight w:val="611"/>
        </w:trPr>
        <w:tc>
          <w:tcPr>
            <w:tcW w:w="1985" w:type="dxa"/>
          </w:tcPr>
          <w:p w14:paraId="62A93F43" w14:textId="7777777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Second reader</w:t>
            </w:r>
          </w:p>
        </w:tc>
        <w:tc>
          <w:tcPr>
            <w:tcW w:w="2126" w:type="dxa"/>
          </w:tcPr>
          <w:p w14:paraId="11ECD246"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2235" w:type="dxa"/>
          </w:tcPr>
          <w:p w14:paraId="454B79B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254" w:type="dxa"/>
          </w:tcPr>
          <w:p w14:paraId="7B88EA0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661" w:type="dxa"/>
          </w:tcPr>
          <w:p w14:paraId="4E86B6C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371" w:type="dxa"/>
          </w:tcPr>
          <w:p w14:paraId="211EDEF7"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3" w:type="dxa"/>
          </w:tcPr>
          <w:p w14:paraId="385C6812"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c>
          <w:tcPr>
            <w:tcW w:w="1842" w:type="dxa"/>
          </w:tcPr>
          <w:p w14:paraId="4C11592C"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p>
        </w:tc>
      </w:tr>
      <w:tr w:rsidR="00813AEE" w:rsidRPr="00813AEE" w14:paraId="404819E3" w14:textId="77777777" w:rsidTr="007C3A47">
        <w:trPr>
          <w:trHeight w:val="611"/>
        </w:trPr>
        <w:tc>
          <w:tcPr>
            <w:tcW w:w="1985" w:type="dxa"/>
          </w:tcPr>
          <w:p w14:paraId="45B4E309" w14:textId="4E397687" w:rsidR="00532CC5" w:rsidRPr="00813AEE" w:rsidRDefault="00532CC5" w:rsidP="00813AEE">
            <w:pPr>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rPr>
              <w:t>ADC value</w:t>
            </w:r>
          </w:p>
        </w:tc>
        <w:tc>
          <w:tcPr>
            <w:tcW w:w="2126" w:type="dxa"/>
          </w:tcPr>
          <w:p w14:paraId="4776B679" w14:textId="36A6E546"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1.54</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0.46</w:t>
            </w:r>
          </w:p>
        </w:tc>
        <w:tc>
          <w:tcPr>
            <w:tcW w:w="2235" w:type="dxa"/>
          </w:tcPr>
          <w:p w14:paraId="30431082" w14:textId="6FE813D0"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2.61</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0.48</w:t>
            </w:r>
          </w:p>
        </w:tc>
        <w:tc>
          <w:tcPr>
            <w:tcW w:w="1254" w:type="dxa"/>
          </w:tcPr>
          <w:p w14:paraId="17DD08D2" w14:textId="0D84F2CF"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15A81F9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1.81</w:t>
            </w:r>
          </w:p>
        </w:tc>
        <w:tc>
          <w:tcPr>
            <w:tcW w:w="1371" w:type="dxa"/>
          </w:tcPr>
          <w:p w14:paraId="6DD14370"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0.929</w:t>
            </w:r>
          </w:p>
        </w:tc>
        <w:tc>
          <w:tcPr>
            <w:tcW w:w="1843" w:type="dxa"/>
          </w:tcPr>
          <w:p w14:paraId="1015207E"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85.7</w:t>
            </w:r>
          </w:p>
        </w:tc>
        <w:tc>
          <w:tcPr>
            <w:tcW w:w="1842" w:type="dxa"/>
          </w:tcPr>
          <w:p w14:paraId="158C3E8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r w:rsidR="00813AEE" w:rsidRPr="00813AEE" w14:paraId="248FFEDA" w14:textId="77777777" w:rsidTr="007C3A47">
        <w:trPr>
          <w:trHeight w:val="408"/>
        </w:trPr>
        <w:tc>
          <w:tcPr>
            <w:tcW w:w="1985" w:type="dxa"/>
          </w:tcPr>
          <w:p w14:paraId="2915E691" w14:textId="4063B9E7" w:rsidR="00532CC5" w:rsidRPr="00813AEE" w:rsidRDefault="00532CC5" w:rsidP="00813AEE">
            <w:pPr>
              <w:adjustRightInd w:val="0"/>
              <w:snapToGrid w:val="0"/>
              <w:spacing w:line="360" w:lineRule="auto"/>
              <w:ind w:firstLineChars="100" w:firstLine="240"/>
              <w:rPr>
                <w:rFonts w:ascii="Book Antiqua" w:hAnsi="Book Antiqua"/>
                <w:color w:val="000000" w:themeColor="text1"/>
                <w:sz w:val="24"/>
                <w:szCs w:val="24"/>
              </w:rPr>
            </w:pPr>
            <w:r w:rsidRPr="00813AEE">
              <w:rPr>
                <w:rFonts w:ascii="Book Antiqua" w:hAnsi="Book Antiqua"/>
                <w:color w:val="000000" w:themeColor="text1"/>
                <w:sz w:val="24"/>
                <w:szCs w:val="24"/>
              </w:rPr>
              <w:t>SR value</w:t>
            </w:r>
          </w:p>
        </w:tc>
        <w:tc>
          <w:tcPr>
            <w:tcW w:w="2126" w:type="dxa"/>
          </w:tcPr>
          <w:p w14:paraId="483B1EFE" w14:textId="6064C312"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4.22</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1.37</w:t>
            </w:r>
          </w:p>
        </w:tc>
        <w:tc>
          <w:tcPr>
            <w:tcW w:w="2235" w:type="dxa"/>
          </w:tcPr>
          <w:p w14:paraId="1F20D9B5" w14:textId="6779EAAC"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1.45</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w:t>
            </w:r>
            <w:r w:rsidR="008169A6" w:rsidRPr="00813AEE">
              <w:rPr>
                <w:rFonts w:ascii="Book Antiqua" w:hAnsi="Book Antiqua"/>
                <w:color w:val="000000" w:themeColor="text1"/>
                <w:sz w:val="24"/>
                <w:szCs w:val="24"/>
              </w:rPr>
              <w:t xml:space="preserve"> </w:t>
            </w:r>
            <w:r w:rsidRPr="00813AEE">
              <w:rPr>
                <w:rFonts w:ascii="Book Antiqua" w:hAnsi="Book Antiqua"/>
                <w:color w:val="000000" w:themeColor="text1"/>
                <w:sz w:val="24"/>
                <w:szCs w:val="24"/>
              </w:rPr>
              <w:t>0.53</w:t>
            </w:r>
          </w:p>
        </w:tc>
        <w:tc>
          <w:tcPr>
            <w:tcW w:w="1254" w:type="dxa"/>
          </w:tcPr>
          <w:p w14:paraId="4A4CA9A7" w14:textId="4CDFB06E"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&lt;0.001</w:t>
            </w:r>
            <w:r w:rsidR="00C260CC" w:rsidRPr="00813AEE">
              <w:rPr>
                <w:rFonts w:ascii="Book Antiqua" w:hAnsi="Book Antiqua"/>
                <w:color w:val="000000" w:themeColor="text1"/>
                <w:sz w:val="24"/>
                <w:szCs w:val="24"/>
                <w:vertAlign w:val="superscript"/>
              </w:rPr>
              <w:t>a</w:t>
            </w:r>
          </w:p>
        </w:tc>
        <w:tc>
          <w:tcPr>
            <w:tcW w:w="1661" w:type="dxa"/>
          </w:tcPr>
          <w:p w14:paraId="7A154EA5"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2.07</w:t>
            </w:r>
          </w:p>
        </w:tc>
        <w:tc>
          <w:tcPr>
            <w:tcW w:w="1371" w:type="dxa"/>
          </w:tcPr>
          <w:p w14:paraId="1E770E1F"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0.988</w:t>
            </w:r>
          </w:p>
        </w:tc>
        <w:tc>
          <w:tcPr>
            <w:tcW w:w="1843" w:type="dxa"/>
          </w:tcPr>
          <w:p w14:paraId="5865909B"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95.2</w:t>
            </w:r>
          </w:p>
        </w:tc>
        <w:tc>
          <w:tcPr>
            <w:tcW w:w="1842" w:type="dxa"/>
          </w:tcPr>
          <w:p w14:paraId="4B695FE0" w14:textId="77777777" w:rsidR="00532CC5" w:rsidRPr="00813AEE" w:rsidRDefault="00532CC5" w:rsidP="0052325B">
            <w:pPr>
              <w:adjustRightInd w:val="0"/>
              <w:snapToGrid w:val="0"/>
              <w:spacing w:line="360" w:lineRule="auto"/>
              <w:jc w:val="center"/>
              <w:rPr>
                <w:rFonts w:ascii="Book Antiqua" w:hAnsi="Book Antiqua"/>
                <w:color w:val="000000" w:themeColor="text1"/>
                <w:sz w:val="24"/>
                <w:szCs w:val="24"/>
              </w:rPr>
            </w:pPr>
            <w:r w:rsidRPr="00813AEE">
              <w:rPr>
                <w:rFonts w:ascii="Book Antiqua" w:hAnsi="Book Antiqua"/>
                <w:color w:val="000000" w:themeColor="text1"/>
                <w:sz w:val="24"/>
                <w:szCs w:val="24"/>
              </w:rPr>
              <w:t>95.7</w:t>
            </w:r>
          </w:p>
        </w:tc>
      </w:tr>
    </w:tbl>
    <w:p w14:paraId="3E4519AE" w14:textId="684F4C0C" w:rsidR="00B92FFD" w:rsidRPr="0052325B" w:rsidRDefault="00C260CC" w:rsidP="00813AEE">
      <w:pPr>
        <w:autoSpaceDE w:val="0"/>
        <w:autoSpaceDN w:val="0"/>
        <w:adjustRightInd w:val="0"/>
        <w:snapToGrid w:val="0"/>
        <w:spacing w:line="360" w:lineRule="auto"/>
        <w:rPr>
          <w:rFonts w:ascii="Book Antiqua" w:hAnsi="Book Antiqua"/>
          <w:color w:val="000000" w:themeColor="text1"/>
          <w:sz w:val="24"/>
          <w:szCs w:val="24"/>
        </w:rPr>
      </w:pPr>
      <w:r w:rsidRPr="00813AEE">
        <w:rPr>
          <w:rFonts w:ascii="Book Antiqua" w:hAnsi="Book Antiqua"/>
          <w:color w:val="000000" w:themeColor="text1"/>
          <w:sz w:val="24"/>
          <w:szCs w:val="24"/>
          <w:vertAlign w:val="superscript"/>
        </w:rPr>
        <w:t>a</w:t>
      </w:r>
      <w:r w:rsidRPr="0052325B">
        <w:rPr>
          <w:rFonts w:ascii="Book Antiqua" w:hAnsi="Book Antiqua"/>
          <w:i/>
          <w:iCs/>
          <w:color w:val="000000" w:themeColor="text1"/>
          <w:sz w:val="24"/>
          <w:szCs w:val="24"/>
        </w:rPr>
        <w:t>P</w:t>
      </w:r>
      <w:r w:rsidRPr="00813AEE">
        <w:rPr>
          <w:rFonts w:ascii="Book Antiqua" w:hAnsi="Book Antiqua"/>
          <w:color w:val="000000" w:themeColor="text1"/>
          <w:sz w:val="24"/>
          <w:szCs w:val="24"/>
        </w:rPr>
        <w:t xml:space="preserve"> &lt; 0.05 was considered statistically significant.</w:t>
      </w:r>
      <w:r w:rsidR="0052325B">
        <w:rPr>
          <w:rFonts w:ascii="Book Antiqua" w:hAnsi="Book Antiqua"/>
          <w:color w:val="000000" w:themeColor="text1"/>
          <w:sz w:val="24"/>
          <w:szCs w:val="24"/>
        </w:rPr>
        <w:t xml:space="preserve"> A</w:t>
      </w:r>
      <w:r w:rsidR="0052325B" w:rsidRPr="00813AEE">
        <w:rPr>
          <w:rFonts w:ascii="Book Antiqua" w:hAnsi="Book Antiqua"/>
          <w:color w:val="000000" w:themeColor="text1"/>
          <w:sz w:val="24"/>
          <w:szCs w:val="24"/>
        </w:rPr>
        <w:t>pparent diffusion coefficient</w:t>
      </w:r>
      <w:r w:rsidR="0052325B">
        <w:rPr>
          <w:rFonts w:ascii="Book Antiqua" w:hAnsi="Book Antiqua"/>
          <w:color w:val="000000" w:themeColor="text1"/>
          <w:sz w:val="24"/>
          <w:szCs w:val="24"/>
        </w:rPr>
        <w:t xml:space="preserve"> (</w:t>
      </w:r>
      <w:r w:rsidR="0052325B" w:rsidRPr="00813AEE">
        <w:rPr>
          <w:rFonts w:ascii="Book Antiqua" w:hAnsi="Book Antiqua"/>
          <w:color w:val="000000" w:themeColor="text1"/>
          <w:sz w:val="24"/>
          <w:szCs w:val="24"/>
        </w:rPr>
        <w:t>ADC</w:t>
      </w:r>
      <w:r w:rsidR="0052325B">
        <w:rPr>
          <w:rFonts w:ascii="Book Antiqua" w:hAnsi="Book Antiqua"/>
          <w:color w:val="000000" w:themeColor="text1"/>
          <w:sz w:val="24"/>
          <w:szCs w:val="24"/>
        </w:rPr>
        <w:t>)</w:t>
      </w:r>
      <w:r w:rsidR="0052325B" w:rsidRPr="00813AEE">
        <w:rPr>
          <w:rFonts w:ascii="Book Antiqua" w:hAnsi="Book Antiqua"/>
          <w:color w:val="000000" w:themeColor="text1"/>
          <w:sz w:val="24"/>
          <w:szCs w:val="24"/>
        </w:rPr>
        <w:t xml:space="preserve"> and </w:t>
      </w:r>
      <w:r w:rsidR="0052325B">
        <w:rPr>
          <w:rFonts w:ascii="Book Antiqua" w:hAnsi="Book Antiqua"/>
          <w:color w:val="000000" w:themeColor="text1"/>
          <w:sz w:val="24"/>
          <w:szCs w:val="24"/>
        </w:rPr>
        <w:t>s</w:t>
      </w:r>
      <w:r w:rsidR="0052325B" w:rsidRPr="00813AEE">
        <w:rPr>
          <w:rFonts w:ascii="Book Antiqua" w:hAnsi="Book Antiqua"/>
          <w:color w:val="000000" w:themeColor="text1"/>
          <w:sz w:val="24"/>
          <w:szCs w:val="24"/>
        </w:rPr>
        <w:t xml:space="preserve">ignal ratio parameters are expressed as </w:t>
      </w:r>
      <w:r w:rsidR="006725E5">
        <w:rPr>
          <w:rFonts w:ascii="Book Antiqua" w:hAnsi="Book Antiqua"/>
          <w:color w:val="000000" w:themeColor="text1"/>
          <w:sz w:val="24"/>
          <w:szCs w:val="24"/>
        </w:rPr>
        <w:t xml:space="preserve">the </w:t>
      </w:r>
      <w:r w:rsidR="0052325B" w:rsidRPr="00813AEE">
        <w:rPr>
          <w:rFonts w:ascii="Book Antiqua" w:hAnsi="Book Antiqua"/>
          <w:color w:val="000000" w:themeColor="text1"/>
          <w:sz w:val="24"/>
          <w:szCs w:val="24"/>
        </w:rPr>
        <w:t xml:space="preserve">mean ± </w:t>
      </w:r>
      <w:r w:rsidR="001C4DE6">
        <w:rPr>
          <w:rFonts w:ascii="Book Antiqua" w:hAnsi="Book Antiqua"/>
          <w:color w:val="000000" w:themeColor="text1"/>
          <w:sz w:val="24"/>
          <w:szCs w:val="24"/>
        </w:rPr>
        <w:t>SD</w:t>
      </w:r>
      <w:r w:rsidR="00880335">
        <w:rPr>
          <w:rFonts w:ascii="Book Antiqua" w:hAnsi="Book Antiqua"/>
          <w:color w:val="000000" w:themeColor="text1"/>
          <w:sz w:val="24"/>
          <w:szCs w:val="24"/>
        </w:rPr>
        <w:t>, ADC units: ×</w:t>
      </w:r>
      <w:r w:rsidR="0052325B" w:rsidRPr="00813AEE">
        <w:rPr>
          <w:rFonts w:ascii="Book Antiqua" w:hAnsi="Book Antiqua"/>
          <w:color w:val="000000" w:themeColor="text1"/>
          <w:sz w:val="24"/>
          <w:szCs w:val="24"/>
        </w:rPr>
        <w:t>10</w:t>
      </w:r>
      <w:r w:rsidR="0052325B" w:rsidRPr="00813AEE">
        <w:rPr>
          <w:rFonts w:ascii="Book Antiqua" w:hAnsi="Book Antiqua"/>
          <w:color w:val="000000" w:themeColor="text1"/>
          <w:sz w:val="24"/>
          <w:szCs w:val="24"/>
          <w:vertAlign w:val="superscript"/>
        </w:rPr>
        <w:t>-3</w:t>
      </w:r>
      <w:r w:rsidR="0052325B" w:rsidRPr="00813AEE">
        <w:rPr>
          <w:rFonts w:ascii="Book Antiqua" w:hAnsi="Book Antiqua"/>
          <w:color w:val="000000" w:themeColor="text1"/>
          <w:sz w:val="24"/>
          <w:szCs w:val="24"/>
        </w:rPr>
        <w:t xml:space="preserve"> mm</w:t>
      </w:r>
      <w:r w:rsidR="0052325B" w:rsidRPr="00813AEE">
        <w:rPr>
          <w:rFonts w:ascii="Book Antiqua" w:hAnsi="Book Antiqua"/>
          <w:color w:val="000000" w:themeColor="text1"/>
          <w:sz w:val="24"/>
          <w:szCs w:val="24"/>
          <w:vertAlign w:val="superscript"/>
        </w:rPr>
        <w:t>2</w:t>
      </w:r>
      <w:r w:rsidR="0052325B" w:rsidRPr="00813AEE">
        <w:rPr>
          <w:rFonts w:ascii="Book Antiqua" w:hAnsi="Book Antiqua"/>
          <w:color w:val="000000" w:themeColor="text1"/>
          <w:sz w:val="24"/>
          <w:szCs w:val="24"/>
        </w:rPr>
        <w:t>/s.</w:t>
      </w:r>
      <w:r w:rsidR="0052325B">
        <w:rPr>
          <w:rFonts w:ascii="Book Antiqua" w:hAnsi="Book Antiqua" w:hint="eastAsia"/>
          <w:color w:val="000000" w:themeColor="text1"/>
          <w:sz w:val="24"/>
          <w:szCs w:val="24"/>
        </w:rPr>
        <w:t xml:space="preserve"> </w:t>
      </w:r>
      <w:r w:rsidR="00532CC5" w:rsidRPr="00813AEE">
        <w:rPr>
          <w:rFonts w:ascii="Book Antiqua" w:hAnsi="Book Antiqua"/>
          <w:color w:val="000000" w:themeColor="text1"/>
          <w:sz w:val="24"/>
          <w:szCs w:val="24"/>
        </w:rPr>
        <w:t xml:space="preserve">ADC: </w:t>
      </w:r>
      <w:r w:rsidR="0052325B">
        <w:rPr>
          <w:rFonts w:ascii="Book Antiqua" w:hAnsi="Book Antiqua"/>
          <w:color w:val="000000" w:themeColor="text1"/>
          <w:sz w:val="24"/>
          <w:szCs w:val="24"/>
        </w:rPr>
        <w:t>A</w:t>
      </w:r>
      <w:r w:rsidR="00532CC5" w:rsidRPr="00813AEE">
        <w:rPr>
          <w:rFonts w:ascii="Book Antiqua" w:hAnsi="Book Antiqua"/>
          <w:color w:val="000000" w:themeColor="text1"/>
          <w:sz w:val="24"/>
          <w:szCs w:val="24"/>
        </w:rPr>
        <w:t xml:space="preserve">pparent diffusion coefficient; SR: </w:t>
      </w:r>
      <w:r w:rsidR="0052325B">
        <w:rPr>
          <w:rFonts w:ascii="Book Antiqua" w:hAnsi="Book Antiqua"/>
          <w:color w:val="000000" w:themeColor="text1"/>
          <w:sz w:val="24"/>
          <w:szCs w:val="24"/>
        </w:rPr>
        <w:t>S</w:t>
      </w:r>
      <w:r w:rsidR="00532CC5" w:rsidRPr="00813AEE">
        <w:rPr>
          <w:rFonts w:ascii="Book Antiqua" w:hAnsi="Book Antiqua"/>
          <w:color w:val="000000" w:themeColor="text1"/>
          <w:sz w:val="24"/>
          <w:szCs w:val="24"/>
        </w:rPr>
        <w:t xml:space="preserve">ignal ratio; CD: </w:t>
      </w:r>
      <w:r w:rsidR="002975A4" w:rsidRPr="00813AEE">
        <w:rPr>
          <w:rFonts w:ascii="Book Antiqua" w:hAnsi="Book Antiqua"/>
          <w:color w:val="000000" w:themeColor="text1"/>
          <w:sz w:val="24"/>
          <w:szCs w:val="24"/>
        </w:rPr>
        <w:t>Crohn’s</w:t>
      </w:r>
      <w:r w:rsidR="00532CC5" w:rsidRPr="00813AEE">
        <w:rPr>
          <w:rFonts w:ascii="Book Antiqua" w:hAnsi="Book Antiqua"/>
          <w:color w:val="000000" w:themeColor="text1"/>
          <w:sz w:val="24"/>
          <w:szCs w:val="24"/>
        </w:rPr>
        <w:t xml:space="preserve"> disease; AUROC: </w:t>
      </w:r>
      <w:r w:rsidR="0052325B">
        <w:rPr>
          <w:rFonts w:ascii="Book Antiqua" w:hAnsi="Book Antiqua"/>
          <w:color w:val="000000" w:themeColor="text1"/>
          <w:sz w:val="24"/>
          <w:szCs w:val="24"/>
        </w:rPr>
        <w:t>A</w:t>
      </w:r>
      <w:r w:rsidR="00532CC5" w:rsidRPr="00813AEE">
        <w:rPr>
          <w:rFonts w:ascii="Book Antiqua" w:hAnsi="Book Antiqua"/>
          <w:color w:val="000000" w:themeColor="text1"/>
          <w:sz w:val="24"/>
          <w:szCs w:val="24"/>
        </w:rPr>
        <w:t>reas under receiver operating characteristic curve.</w:t>
      </w:r>
      <w:bookmarkStart w:id="244" w:name="_GoBack"/>
      <w:bookmarkEnd w:id="244"/>
    </w:p>
    <w:sectPr w:rsidR="00B92FFD" w:rsidRPr="0052325B" w:rsidSect="008353DD">
      <w:pgSz w:w="16838" w:h="11906" w:orient="landscape"/>
      <w:pgMar w:top="1440" w:right="1440" w:bottom="1440" w:left="1440" w:header="851" w:footer="992" w:gutter="0"/>
      <w:cols w:space="720"/>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CF8609" w14:textId="77777777" w:rsidR="00E270F6" w:rsidRDefault="00E270F6">
      <w:r>
        <w:separator/>
      </w:r>
    </w:p>
  </w:endnote>
  <w:endnote w:type="continuationSeparator" w:id="0">
    <w:p w14:paraId="0ED56170" w14:textId="77777777" w:rsidR="00E270F6" w:rsidRDefault="00E270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dvGulliv-B">
    <w:altName w:val="Times New Roman"/>
    <w:charset w:val="00"/>
    <w:family w:val="roman"/>
    <w:pitch w:val="default"/>
    <w:sig w:usb0="00000000" w:usb1="00000000" w:usb2="00000000" w:usb3="00000000" w:csb0="00040001"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等线">
    <w:altName w:val="Arial Unicode MS"/>
    <w:charset w:val="86"/>
    <w:family w:val="auto"/>
    <w:pitch w:val="variable"/>
    <w:sig w:usb0="00000000"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C6682" w14:textId="77777777" w:rsidR="006D2673" w:rsidRDefault="006D2673">
    <w:pPr>
      <w:pStyle w:val="a4"/>
      <w:framePr w:wrap="around" w:vAnchor="text" w:hAnchor="margin" w:xAlign="right" w:y="1"/>
      <w:rPr>
        <w:rStyle w:val="a7"/>
      </w:rPr>
    </w:pPr>
    <w:r>
      <w:fldChar w:fldCharType="begin"/>
    </w:r>
    <w:r>
      <w:rPr>
        <w:rStyle w:val="a7"/>
      </w:rPr>
      <w:instrText xml:space="preserve">PAGE  </w:instrText>
    </w:r>
    <w:r>
      <w:fldChar w:fldCharType="end"/>
    </w:r>
  </w:p>
  <w:p w14:paraId="59654C23" w14:textId="77777777" w:rsidR="006D2673" w:rsidRDefault="006D2673">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CB0D2F" w14:textId="77777777" w:rsidR="006D2673" w:rsidRDefault="006D2673">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7DE55" w14:textId="77777777" w:rsidR="00E270F6" w:rsidRDefault="00E270F6">
      <w:r>
        <w:separator/>
      </w:r>
    </w:p>
  </w:footnote>
  <w:footnote w:type="continuationSeparator" w:id="0">
    <w:p w14:paraId="11C2F695" w14:textId="77777777" w:rsidR="00E270F6" w:rsidRDefault="00E270F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040CB0A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oNotHyphenateCaps/>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NE.Ref{08F50529-ADA3-4792-B147-C3C16ED707EA}" w:val=" ADDIN NE.Ref.{08F50529-ADA3-4792-B147-C3C16ED707EA}&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Group&gt;&lt;References&gt;&lt;Item&gt;&lt;ID&gt;35249&lt;/ID&gt;&lt;UID&gt;{EA7AFD9E-0906-46C5-9F55-9E66497032A2}&lt;/UID&gt;&lt;Title&gt;Magnetic resonance imaging may predict deep remission in patients with perianal fistulizing Crohn&amp;apos;s disease&lt;/Title&gt;&lt;Template&gt;Journal Article&lt;/Template&gt;&lt;Star&gt;0&lt;/Star&gt;&lt;Tag&gt;0&lt;/Tag&gt;&lt;Author&gt;Thomassin, L; Armengol-Debeir, L; Charpentier, C; Bridoux, V; Koning, E; Savoye, G; Savoye-Collet, C&lt;/Author&gt;&lt;Year&gt;2017&lt;/Year&gt;&lt;Details&gt;&lt;_accession_num&gt;28694669&lt;/_accession_num&gt;&lt;_author_adr&gt;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lt;/_author_adr&gt;&lt;_created&gt;62714334&lt;/_created&gt;&lt;_date&gt;2017-06-21&lt;/_date&gt;&lt;_date_display&gt;2017 Jun 21&lt;/_date_display&gt;&lt;_db_updated&gt;PubMed&lt;/_db_updated&gt;&lt;_doi&gt;10.3748/wjg.v23.i23.4285&lt;/_doi&gt;&lt;_impact_factor&gt;   3.300&lt;/_impact_factor&gt;&lt;_isbn&gt;2219-2840 (Electronic); 1007-9327 (Linking)&lt;/_isbn&gt;&lt;_issue&gt;23&lt;/_issue&gt;&lt;_journal&gt;World J Gastroenterol&lt;/_journal&gt;&lt;_keywords&gt;Adalimumab/therapeutic use; Adolescent; Adult; Aged; Albumins/chemistry; Antibodies, Monoclonal/therapeutic use; C-Reactive Protein/chemistry; Crohn Disease/*diagnostic imaging/therapy; Female; Gastrointestinal Agents/therapeutic use; Humans; Infliximab/therapeutic use; *Magnetic Resonance Imaging; Male; Middle Aged; Multivariate Analysis; Rectal Fistula/*diagnostic imaging/therapy; Remission Induction; Treatment Outcome; Tumor Necrosis Factor-alpha/antagonists &amp;amp;amp; inhibitors; Young AdultAnal fistula; Anus disease/diagnosis; Biotherapy; Crohn&amp;apos;s disease; Magnetic resonance imaging&lt;/_keywords&gt;&lt;_language&gt;eng&lt;/_language&gt;&lt;_modified&gt;62731983&lt;/_modified&gt;&lt;_pages&gt;4285-4292&lt;/_pages&gt;&lt;_tertiary_title&gt;World journal of gastroenterology&lt;/_tertiary_title&gt;&lt;_type_work&gt;Journal Article; Observational Study&lt;/_type_work&gt;&lt;_url&gt;http://www.ncbi.nlm.nih.gov/entrez/query.fcgi?cmd=Retrieve&amp;amp;db=pubmed&amp;amp;dopt=Abstract&amp;amp;list_uids=28694669&amp;amp;query_hl=1&lt;/_url&gt;&lt;_volume&gt;23&lt;/_volume&gt;&lt;/Details&gt;&lt;Extra&gt;&lt;DBUID&gt;{0F92A3D0-C4D9-4119-B5F8-18CDCE6EC721}&lt;/DBUID&gt;&lt;/Extra&gt;&lt;/Item&gt;&lt;/References&gt;&lt;/Group&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1A061D4F-B9C4-4926-9886-987949847354}" w:val=" ADDIN NE.Ref.{1A061D4F-B9C4-4926-9886-987949847354}&lt;Citation&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Group&gt;&lt;References&gt;&lt;Item&gt;&lt;ID&gt;7550&lt;/ID&gt;&lt;UID&gt;{899B35C3-38A4-4DC4-BC52-377CB3E3E25E}&lt;/UID&gt;&lt;Title&gt;Diffusion-weighted quantitative MRI of pleural abnormalities: Intra- and interobserver variability in the apparent diffusion coefficient measurements&lt;/Title&gt;&lt;Template&gt;Journal Article&lt;/Template&gt;&lt;Star&gt;0&lt;/Star&gt;&lt;Tag&gt;0&lt;/Tag&gt;&lt;Author&gt;Priola, A M; Priola, S M; Gned, D; Giraudo, M T; Brundu, M; Righi, L; Veltri, A&lt;/Author&gt;&lt;Year&gt;2017&lt;/Year&gt;&lt;Details&gt;&lt;_accession_num&gt;28117923&lt;/_accession_num&gt;&lt;_author_adr&gt;Department of Diagnostic Imaging, San Luigi Gonzaga University Hospital, Orbassano (Torino), Italy.; Department of Diagnostic Imaging, San Luigi Gonzaga University Hospital, Orbassano (Torino), Italy.; Department of Diagnostic Imaging, San Luigi Gonzaga University Hospital, Orbassano (Torino), Italy.; Department of Mathematics, Giuseppe Peano, University of Torino, Torino, Italy.; Department of Diagnostic Imaging, San Luigi Gonzaga University Hospital, Orbassano (Torino), Italy.; Department of Pathology, San Luigi Gonzaga University Hospital, Orbassano (Torino), Italy.; Department of Diagnostic Imaging, San Luigi Gonzaga University Hospital, Orbassano (Torino), Italy.&lt;/_author_adr&gt;&lt;_collection_scope&gt;SCI;SCIE;&lt;/_collection_scope&gt;&lt;_created&gt;62108223&lt;/_created&gt;&lt;_date&gt;2017-09-01&lt;/_date&gt;&lt;_date_display&gt;2017 Sep&lt;/_date_display&gt;&lt;_db_updated&gt;PubMed&lt;/_db_updated&gt;&lt;_doi&gt;10.1002/jmri.25633&lt;/_doi&gt;&lt;_impact_factor&gt;   3.612&lt;/_impact_factor&gt;&lt;_isbn&gt;1522-2586 (Electronic); 1053-1807 (Linking)&lt;/_isbn&gt;&lt;_issue&gt;3&lt;/_issue&gt;&lt;_journal&gt;J Magn Reson Imaging&lt;/_journal&gt;&lt;_keywords&gt;apparent diffusion coefficient; diffusion-weighted magnetic resonance imaging; measurement variability; pleura; region of interest&lt;/_keywords&gt;&lt;_language&gt;eng&lt;/_language&gt;&lt;_modified&gt;62328390&lt;/_modified&gt;&lt;_ori_publication&gt;(c) 2017 International Society for Magnetic Resonance in Medicine.&lt;/_ori_publication&gt;&lt;_pages&gt;769-782&lt;/_pages&gt;&lt;_tertiary_title&gt;Journal of magnetic resonance imaging : JMRI&lt;/_tertiary_title&gt;&lt;_type_work&gt;Journal Article&lt;/_type_work&gt;&lt;_url&gt;http://www.ncbi.nlm.nih.gov/entrez/query.fcgi?cmd=Retrieve&amp;amp;db=pubmed&amp;amp;dopt=Abstract&amp;amp;list_uids=28117923&amp;amp;query_hl=1 _x000d__x000a_http://onlinelibrary.wiley.com/doi/10.1002/jmri.25633/pdf 全文链接_x000d__x000a_&lt;/_url&gt;&lt;_volume&gt;46&lt;/_volume&gt;&lt;/Details&gt;&lt;Extra&gt;&lt;DBUID&gt;{0F92A3D0-C4D9-4119-B5F8-18CDCE6EC721}&lt;/DBUID&gt;&lt;/Extra&gt;&lt;/Item&gt;&lt;/References&gt;&lt;/Group&gt;&lt;/Citation&gt;_x000a_"/>
    <w:docVar w:name="NE.Ref{2D3B5870-09D9-454F-820D-646006BA3DCB}" w:val=" ADDIN NE.Ref.{2D3B5870-09D9-454F-820D-646006BA3DCB}&lt;Citation&gt;&lt;Group&gt;&lt;References&gt;&lt;Item&gt;&lt;ID&gt;14911&lt;/ID&gt;&lt;UID&gt;{2A16833D-58F6-4FA0-B233-08D5852742A7}&lt;/UID&gt;&lt;Title&gt;Simple measurements on diffusion-weighted MR imaging for assessment of complete response to neoadjuvant chemoradiotherapy in locally advanced rectal cancer&lt;/Title&gt;&lt;Template&gt;Journal Article&lt;/Template&gt;&lt;Star&gt;0&lt;/Star&gt;&lt;Tag&gt;5&lt;/Tag&gt;&lt;Author&gt;Cai, Pei-Qiang; Wu, Yao-Pan; An, Xin; Qiu, Xue; Kong, Ling-Heng; Liu, Guo-Chen; Xie, Chuan-Miao; Pan, Zhi-Zhong; Wu, Pei-Hong; Ding, Pei-Rong&lt;/Author&gt;&lt;Year&gt;2014&lt;/Year&gt;&lt;Details&gt;&lt;_accessed&gt;62375628&lt;/_accessed&gt;&lt;_collection_scope&gt;SCI;SCIE;&lt;/_collection_scope&gt;&lt;_created&gt;62375624&lt;/_created&gt;&lt;_db_updated&gt;CrossRef&lt;/_db_updated&gt;&lt;_doi&gt;10.1007/s00330-014-3251-5&lt;/_doi&gt;&lt;_impact_factor&gt;   4.027&lt;/_impact_factor&gt;&lt;_isbn&gt;0938-7994&lt;/_isbn&gt;&lt;_issue&gt;11&lt;/_issue&gt;&lt;_journal&gt;European Radiology&lt;/_journal&gt;&lt;_modified&gt;62682375&lt;/_modified&gt;&lt;_pages&gt;2962-2970&lt;/_pages&gt;&lt;_tertiary_title&gt;Eur Radiol&lt;/_tertiary_title&gt;&lt;_url&gt;http://link.springer.com/10.1007/s00330-014-3251-5_x000d__x000a_http://link.springer.com/content/pdf/10.1007/s00330-014-3251-5&lt;/_url&gt;&lt;_volume&gt;24&lt;/_volume&gt;&lt;/Details&gt;&lt;Extra&gt;&lt;DBUID&gt;{0F92A3D0-C4D9-4119-B5F8-18CDCE6EC721}&lt;/DBUID&gt;&lt;/Extra&gt;&lt;/Item&gt;&lt;/References&gt;&lt;/Group&gt;&lt;/Citation&gt;_x000a_"/>
    <w:docVar w:name="NE.Ref{323D4264-3A77-4C02-9843-B0410717D06A}" w:val=" ADDIN NE.Ref.{323D4264-3A77-4C02-9843-B0410717D06A}&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Citation&gt;_x000a_"/>
    <w:docVar w:name="NE.Ref{360311B4-676E-416F-B7E0-1C9804A46BCE}" w:val=" ADDIN NE.Ref.{360311B4-676E-416F-B7E0-1C9804A46BCE}&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3C09E33D-2023-4A7D-8A29-550CFE88A0C1}" w:val=" ADDIN NE.Ref.{3C09E33D-2023-4A7D-8A29-550CFE88A0C1}&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43A576B3-3B6C-47B6-9288-68FB413F7CE1}" w:val=" ADDIN NE.Ref.{43A576B3-3B6C-47B6-9288-68FB413F7CE1}&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4E563EEE-9CF0-4A9E-8139-D6A723077FA1}" w:val=" ADDIN NE.Ref.{4E563EEE-9CF0-4A9E-8139-D6A723077FA1}&lt;Citation&gt;&lt;Group&gt;&lt;References&gt;&lt;Item&gt;&lt;ID&gt;10885&lt;/ID&gt;&lt;UID&gt;{170B7523-DC92-471D-889B-189711CA19A2}&lt;/UID&gt;&lt;Title&gt;The second European evidence-based Consensus on the diagnosis and management of Crohn&amp;apos;s disease: Definitions and diagnosis&lt;/Title&gt;&lt;Template&gt;Journal Article&lt;/Template&gt;&lt;Star&gt;0&lt;/Star&gt;&lt;Tag&gt;0&lt;/Tag&gt;&lt;Author&gt;Van Assche, G; Dignass, A; Panes, J; Beaugerie, L; Karagiannis, J; Allez, M; Ochsenkuhn, T; Orchard, T; Rogler, G; Louis, E; Kupcinskas, L; Mantzaris, G; Travis, S; Stange, E&lt;/Author&gt;&lt;Year&gt;2010&lt;/Year&gt;&lt;Details&gt;&lt;_accession_num&gt;21122488&lt;/_accession_num&gt;&lt;_author_adr&gt;Division of Gastroenterology, Leuven University Hospitals, 49 Herestraat, BE 3000 Leuven, Belgium. Gert.vanassche@uzleuven.be&lt;/_author_adr&gt;&lt;_collection_scope&gt;SCIE;&lt;/_collection_scope&gt;&lt;_created&gt;62157401&lt;/_created&gt;&lt;_date&gt;2010-02-01&lt;/_date&gt;&lt;_date_display&gt;2010 Feb&lt;/_date_display&gt;&lt;_db_updated&gt;PubMed&lt;/_db_updated&gt;&lt;_doi&gt;10.1016/j.crohns.2009.12.003&lt;/_doi&gt;&lt;_impact_factor&gt;   6.637&lt;/_impact_factor&gt;&lt;_isbn&gt;1876-4479 (Electronic); 1873-9946 (Linking)&lt;/_isbn&gt;&lt;_issue&gt;1&lt;/_issue&gt;&lt;_journal&gt;J Crohns Colitis&lt;/_journal&gt;&lt;_keywords&gt;Adolescent; Adult; Biopsy; Crohn Disease/classification/*diagnosis; Endoscopy, Gastrointestinal; Female; Humans; Intestinal Mucosa/pathology; Magnetic Resonance Imaging; Male; Medical History Taking; Physical Examination; Tomography, X-Ray Computed; Ultrasonography; Young Adult&lt;/_keywords&gt;&lt;_language&gt;eng&lt;/_language&gt;&lt;_modified&gt;62328394&lt;/_modified&gt;&lt;_pages&gt;7-27&lt;/_pages&gt;&lt;_tertiary_title&gt;Journal of Crohn&amp;apos;s &amp;amp;amp; colitis&lt;/_tertiary_title&gt;&lt;_type_work&gt;Consensus Development Conference; Journal Article&lt;/_type_work&gt;&lt;_url&gt;http://www.ncbi.nlm.nih.gov/entrez/query.fcgi?cmd=Retrieve&amp;amp;db=pubmed&amp;amp;dopt=Abstract&amp;amp;list_uids=21122488&amp;amp;query_hl=1&lt;/_url&gt;&lt;_volume&gt;4&lt;/_volume&gt;&lt;/Details&gt;&lt;Extra&gt;&lt;DBUID&gt;{0F92A3D0-C4D9-4119-B5F8-18CDCE6EC721}&lt;/DBUID&gt;&lt;/Extra&gt;&lt;/Item&gt;&lt;/References&gt;&lt;/Group&gt;&lt;/Citation&gt;_x000a_"/>
    <w:docVar w:name="NE.Ref{5B93A476-7FF4-464D-8D18-7A1EF3357BA6}" w:val=" ADDIN NE.Ref.{5B93A476-7FF4-464D-8D18-7A1EF3357BA6}&lt;Citation&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61D3CD4C-2124-4C8A-8A6E-448E074641E2}" w:val=" ADDIN NE.Ref.{61D3CD4C-2124-4C8A-8A6E-448E074641E2}&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6D99EDED-B8B4-47F7-B210-E30510C45FF7}" w:val=" ADDIN NE.Ref.{6D99EDED-B8B4-47F7-B210-E30510C45FF7}&lt;Citation&gt;&lt;Group&gt;&lt;References&gt;&lt;Item&gt;&lt;ID&gt;15272&lt;/ID&gt;&lt;UID&gt;{26D19ADC-11C2-43D3-B8B1-EC206B99CE72}&lt;/UID&gt;&lt;Title&gt;Inter-radiologist agreement using Society of Abdominal Radiology-American Gastroenterological Association (SAR-AGA) consensus nomenclature for reporting CT and MR enterography in children and young adults with small bowel Crohn disease&lt;/Title&gt;&lt;Template&gt;Journal Article&lt;/Template&gt;&lt;Star&gt;0&lt;/Star&gt;&lt;Tag&gt;5&lt;/Tag&gt;&lt;Author&gt;Rees, Mitchell A; Dillman, Jonathan R; Anton, Christopher G; Rattan, Mantosh S; Smith, Ethan A; Towbin, Alexander J; Zhang, Bin; Trout, Andrew T&lt;/Author&gt;&lt;Year&gt;2019&lt;/Year&gt;&lt;Details&gt;&lt;_accessed&gt;62733242&lt;/_accessed&gt;&lt;_collection_scope&gt;SCIE;&lt;/_collection_scope&gt;&lt;_created&gt;62427616&lt;/_created&gt;&lt;_date&gt;62390880&lt;/_date&gt;&lt;_db_updated&gt;CrossRef&lt;/_db_updated&gt;&lt;_doi&gt;10.1007/s00261-018-1743-5&lt;/_doi&gt;&lt;_impact_factor&gt;   1.506&lt;/_impact_factor&gt;&lt;_isbn&gt;2366-004X&lt;/_isbn&gt;&lt;_journal&gt;Abdominal Radiology&lt;/_journal&gt;&lt;_modified&gt;62733242&lt;/_modified&gt;&lt;_tertiary_title&gt;Abdom Radiol&lt;/_tertiary_title&gt;&lt;_url&gt;http://link.springer.com/10.1007/s00261-018-1743-5_x000d__x000a_http://link.springer.com/content/pdf/10.1007/s00261-018-1743-5.pdf&lt;/_url&gt;&lt;_volume&gt;44&lt;/_volume&gt;&lt;_issue&gt;2&lt;/_issue&gt;&lt;_pages&gt;391-397&lt;/_pages&gt;&lt;/Details&gt;&lt;Extra&gt;&lt;DBUID&gt;{0F92A3D0-C4D9-4119-B5F8-18CDCE6EC721}&lt;/DBUID&gt;&lt;/Extra&gt;&lt;/Item&gt;&lt;/References&gt;&lt;/Group&gt;&lt;/Citation&gt;_x000a_"/>
    <w:docVar w:name="NE.Ref{7580FD2C-7739-4A0D-BC64-8ADD1D3C5ECE}" w:val=" ADDIN NE.Ref.{7580FD2C-7739-4A0D-BC64-8ADD1D3C5ECE}&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78297962-41F0-4187-A232-C29E56E8BE69}" w:val=" ADDIN NE.Ref.{78297962-41F0-4187-A232-C29E56E8BE69}&lt;Citation&gt;&lt;Group&gt;&lt;References&gt;&lt;Item&gt;&lt;ID&gt;7534&lt;/ID&gt;&lt;UID&gt;{829E3E69-7F25-433D-8890-5598D6E0566F}&lt;/UID&gt;&lt;Title&gt;Advances in Use of Endoscopy, Radiology, and Biomarkers to Monitor Inflammatory Bowel Diseases&lt;/Title&gt;&lt;Template&gt;Journal Article&lt;/Template&gt;&lt;Star&gt;0&lt;/Star&gt;&lt;Tag&gt;0&lt;/Tag&gt;&lt;Author&gt;Panes, J; Jairath, V; Levesque, B G&lt;/Author&gt;&lt;Year&gt;2017&lt;/Year&gt;&lt;Details&gt;&lt;_accession_num&gt;27751880&lt;/_accession_num&gt;&lt;_author_adr&gt;Department of Gastroenterology Hospital Clinic of Barcelona, Institud d&amp;apos;Investigacions Biomediques August Pi i Sunyer (IDIBAPS), Centro de Investigacion Biomedica en Red Enfermedades Hepaticas y Digestivas (CIBERehd), Barcelona, Spain. Electronic address: jpanes@clinic.cat.; Department of Medicine, Department of Epidemiology and Biostatistics, Western University, London, Ontario, Canada; Robarts Clinical Trials. Inc, Western University, London, Ontario, Canada.; Robarts Clinical Trials. Inc, Western University, London, Ontario, Canada.&lt;/_author_adr&gt;&lt;_collection_scope&gt;SCI;SCIE;&lt;/_collection_scope&gt;&lt;_created&gt;62108213&lt;/_created&gt;&lt;_date&gt;2017-02-01&lt;/_date&gt;&lt;_date_display&gt;2017 Feb&lt;/_date_display&gt;&lt;_db_updated&gt;PubMed&lt;/_db_updated&gt;&lt;_doi&gt;10.1053/j.gastro.2016.10.005&lt;/_doi&gt;&lt;_impact_factor&gt;  20.773&lt;/_impact_factor&gt;&lt;_isbn&gt;1528-0012 (Electronic); 0016-5085 (Linking)&lt;/_isbn&gt;&lt;_issue&gt;2&lt;/_issue&gt;&lt;_journal&gt;Gastroenterology&lt;/_journal&gt;&lt;_keywords&gt;Biomarkers/metabolism; C-Reactive Protein/metabolism; *Endoscopy, Digestive System; Feces/chemistry; Humans; Inflammatory Bowel Diseases/diagnostic imaging/metabolism/*pathology/therapy; Lactoferrin/metabolism; Leukocyte L1 Antigen Complex/metabolism; Magnetic Resonance Imaging; Tomography, X-Ray Computed; Ultrasonography*Crohn&amp;apos;s Disease; *Outcomes; *Prognostic Factor; *Ulcerative Colitis&lt;/_keywords&gt;&lt;_language&gt;eng&lt;/_language&gt;&lt;_modified&gt;62328375&lt;/_modified&gt;&lt;_ori_publication&gt;Copyright (c) 2017 AGA Institute. Published by Elsevier Inc. All rights reserved.&lt;/_ori_publication&gt;&lt;_pages&gt;362-373.e3&lt;/_pages&gt;&lt;_tertiary_title&gt;Gastroenterology&lt;/_tertiary_title&gt;&lt;_type_work&gt;Journal Article; Review&lt;/_type_work&gt;&lt;_url&gt;http://www.ncbi.nlm.nih.gov/entrez/query.fcgi?cmd=Retrieve&amp;amp;db=pubmed&amp;amp;dopt=Abstract&amp;amp;list_uids=27751880&amp;amp;query_hl=1&lt;/_url&gt;&lt;_volume&gt;152&lt;/_volume&gt;&lt;/Details&gt;&lt;Extra&gt;&lt;DBUID&gt;{0F92A3D0-C4D9-4119-B5F8-18CDCE6EC721}&lt;/DBUID&gt;&lt;/Extra&gt;&lt;/Item&gt;&lt;/References&gt;&lt;/Group&gt;&lt;Group&gt;&lt;References&gt;&lt;Item&gt;&lt;ID&gt;35288&lt;/ID&gt;&lt;UID&gt;{D306CE9C-B1B5-48DC-B503-B6ABB030170A}&lt;/UID&gt;&lt;Title&gt;Inflammatory bowel disease imaging: Current practice and future directions&lt;/Title&gt;&lt;Template&gt;Journal Article&lt;/Template&gt;&lt;Star&gt;0&lt;/Star&gt;&lt;Tag&gt;0&lt;/Tag&gt;&lt;Author&gt;Kilcoyne, A; Kaplan, J L; Gee, M S&lt;/Author&gt;&lt;Year&gt;2016&lt;/Year&gt;&lt;Details&gt;&lt;_accession_num&gt;26811637&lt;/_accession_num&gt;&lt;_author_adr&gt;Aoife Kilcoyne, Michael S Gee, Department of Radiology, Massachusetts General Hospital, Boston, MA 02214, United States.; Aoife Kilcoyne, Michael S Gee, Department of Radiology, Massachusetts General Hospital, Boston, MA 02214, United States.; Aoife Kilcoyne, Michael S Gee, Department of Radiology, Massachusetts General Hospital, Boston, MA 02214, United States.&lt;/_author_adr&gt;&lt;_created&gt;62714334&lt;/_created&gt;&lt;_date&gt;2016-01-21&lt;/_date&gt;&lt;_date_display&gt;2016 Jan 21&lt;/_date_display&gt;&lt;_db_updated&gt;PubMed&lt;/_db_updated&gt;&lt;_doi&gt;10.3748/wjg.v22.i3.917&lt;/_doi&gt;&lt;_impact_factor&gt;   3.300&lt;/_impact_factor&gt;&lt;_isbn&gt;2219-2840 (Electronic); 1007-9327 (Linking)&lt;/_isbn&gt;&lt;_issue&gt;3&lt;/_issue&gt;&lt;_journal&gt;World J Gastroenterol&lt;/_journal&gt;&lt;_keywords&gt;Cholangiopancreatography, Magnetic Resonance; Colitis, Ulcerative/*diagnostic imaging/therapy; Crohn Disease/*diagnostic imaging/therapy; Diagnosis, Differential; Diagnostic Imaging/*methods/trends; Diffusion Magnetic Resonance Imaging; Diffusion of Innovation; Forecasting; Humans; Intestines/*diagnostic imaging; Predictive Value of Tests; Prognosis; Severity of Illness Index; Tomography, X-Ray Computed; UltrasonographyComputed tomography; Crohn&amp;apos;s disease; Imaging; Inflammatory bowel disease; Magnetic resonance imaging; Ulcerative colitis&lt;/_keywords&gt;&lt;_language&gt;eng&lt;/_language&gt;&lt;_modified&gt;62733138&lt;/_modified&gt;&lt;_pages&gt;917-32&lt;/_pages&gt;&lt;_tertiary_title&gt;World journal of gastroenterology&lt;/_tertiary_title&gt;&lt;_type_work&gt;Journal Article; Review&lt;/_type_work&gt;&lt;_url&gt;http://www.ncbi.nlm.nih.gov/entrez/query.fcgi?cmd=Retrieve&amp;amp;db=pubmed&amp;amp;dopt=Abstract&amp;amp;list_uids=26811637&amp;amp;query_hl=1&lt;/_url&gt;&lt;_volume&gt;22&lt;/_volume&gt;&lt;/Details&gt;&lt;Extra&gt;&lt;DBUID&gt;{0F92A3D0-C4D9-4119-B5F8-18CDCE6EC721}&lt;/DBUID&gt;&lt;/Extra&gt;&lt;/Item&gt;&lt;/References&gt;&lt;/Group&gt;&lt;Group&gt;&lt;References&gt;&lt;Item&gt;&lt;ID&gt;7917&lt;/ID&gt;&lt;UID&gt;{170C9FFB-9179-4E2C-A1E6-FA02705B4C80}&lt;/UID&gt;&lt;Title&gt;Optimising monitoring in the management of Crohn&amp;apos;s disease: a physician&amp;apos;s perspective&lt;/Title&gt;&lt;Template&gt;Journal Article&lt;/Template&gt;&lt;Star&gt;0&lt;/Star&gt;&lt;Tag&gt;0&lt;/Tag&gt;&lt;Author&gt;Papay, P; Ignjatovic, A; Karmiris, K; Amarante, H; Milheller, P; Feagan, B; D&amp;apos;Haens, G; Marteau, P; Reinisch, W; Sturm, A; Steinwurz, F; Egan, L; Panes, J; Louis, E; Colombel, J F; Panaccione, R&lt;/Author&gt;&lt;Year&gt;2013&lt;/Year&gt;&lt;Details&gt;&lt;_accession_num&gt;23562672&lt;/_accession_num&gt;&lt;_author_adr&gt;Department of Internal Medicine III, Division of Gastroenterology and Hepatology, Medical University Vienna, Vienna, Austria.&lt;/_author_adr&gt;&lt;_collection_scope&gt;SCIE;&lt;/_collection_scope&gt;&lt;_created&gt;62116492&lt;/_created&gt;&lt;_date&gt;2013-09-01&lt;/_date&gt;&lt;_date_display&gt;2013 Sep&lt;/_date_display&gt;&lt;_db_updated&gt;PubMed&lt;/_db_updated&gt;&lt;_doi&gt;10.1016/j.crohns.2013.02.005&lt;/_doi&gt;&lt;_impact_factor&gt;   6.637&lt;/_impact_factor&gt;&lt;_isbn&gt;1876-4479 (Electronic); 1873-9946 (Linking)&lt;/_isbn&gt;&lt;_issue&gt;8&lt;/_issue&gt;&lt;_journal&gt;J Crohns Colitis&lt;/_journal&gt;&lt;_keywords&gt;Biomarkers/analysis/blood; C-Reactive Protein/metabolism; *Crohn Disease/complications/diagnosis/therapy; Endoscopy, Gastrointestinal; Feces/chemistry; Humans; Leukocyte L1 Antigen Complex/analysis; Magnetic Resonance Imaging; Practice Guidelines as Topic; *Severity of Illness Index; Tomography, X-Ray ComputedAnnual excHangE on the ADvances in Inflammatory Bowel Disease; Biomarkers; C-reactive protein; CD; CDAI; CDEIS; CRP; CT; Crohn&amp;apos;s Disease Activity Index; Crohn&amp;apos;s Disease Endoscopic Index of Severity; Crohn&amp;apos;s disease; Diagnosis; Disease activity index; Endoscopy; GI; HBI; Harvey-Bradshaw Index; IBD; IBD Ahead; IBDQ; ISC; Imaging; Inflammatory Bowel Disease Questionnaire; International Steering Committee; MRI; Monitoring; QOL; SBCE; SBFT; SES-CD; Simple Endoscopic Score for Crohn&amp;apos;s Disease; TNF; computed tomography; gastrointestinal; inflammatory bowel disease; magnetic resonance imaging; quality of life; small-bowel capsule endoscopy; small-bowel follow-through; tumour necrosis factor&lt;/_keywords&gt;&lt;_language&gt;eng&lt;/_language&gt;&lt;_modified&gt;62328375&lt;/_modified&gt;&lt;_ori_publication&gt;Copyright (c) 2013 European Crohn&amp;apos;s and Colitis Organisation. Published by_x000d__x000a_      Elsevier B.V. All rights reserved.&lt;/_ori_publication&gt;&lt;_pages&gt;653-69&lt;/_pages&gt;&lt;_tertiary_title&gt;Journal of Crohn&amp;apos;s &amp;amp;amp; colitis&lt;/_tertiary_title&gt;&lt;_type_work&gt;Journal Article; Review&lt;/_type_work&gt;&lt;_url&gt;http://www.ncbi.nlm.nih.gov/entrez/query.fcgi?cmd=Retrieve&amp;amp;db=pubmed&amp;amp;dopt=Abstract&amp;amp;list_uids=23562672&amp;amp;query_hl=1&lt;/_url&gt;&lt;_volume&gt;7&lt;/_volume&gt;&lt;/Details&gt;&lt;Extra&gt;&lt;DBUID&gt;{0F92A3D0-C4D9-4119-B5F8-18CDCE6EC721}&lt;/DBUID&gt;&lt;/Extra&gt;&lt;/Item&gt;&lt;/References&gt;&lt;/Group&gt;&lt;/Citation&gt;_x000a_"/>
    <w:docVar w:name="NE.Ref{7BFC9509-15A3-49C4-8EBC-4FA6FEFDA962}" w:val=" ADDIN NE.Ref.{7BFC9509-15A3-49C4-8EBC-4FA6FEFDA962}&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6&lt;/ID&gt;&lt;UID&gt;{0D9C16EB-CDF9-4AF1-8C3E-4F4870675DB4}&lt;/UID&gt;&lt;Title&gt;Diffusion-weighted Magnetic Resonance Enterography for Evaluating Bowel Inflammation in Crohn&amp;apos;s Disease: A Systematic Review and Meta-analysis&lt;/Title&gt;&lt;Template&gt;Journal Article&lt;/Template&gt;&lt;Star&gt;0&lt;/Star&gt;&lt;Tag&gt;0&lt;/Tag&gt;&lt;Author&gt;Choi, S H; Kim, K W; Lee, J Y; Kim, K J; Park, S H&lt;/Author&gt;&lt;Year&gt;2016&lt;/Year&gt;&lt;Details&gt;&lt;_accession_num&gt;26457380&lt;/_accession_num&gt;&lt;_author_adr&gt;*Department of Radiology and the Research Institute of Radiology, Asan Medical Center, University of Ulsan College of Medicine, Songpa-gu, South Korea; daggerNational Evidence-based Healthcare Collaborating Agency, Jung-gu, South Korea; and double daggerDepartment of Gastroenterology, Asan Medical Center, University of Ulsan College of Medicine, Songpa-gu, South Korea.&lt;/_author_adr&gt;&lt;_collection_scope&gt;SCI;SCIE;&lt;/_collection_scope&gt;&lt;_created&gt;62108215&lt;/_created&gt;&lt;_date&gt;2016-03-01&lt;/_date&gt;&lt;_date_display&gt;2016 Mar&lt;/_date_display&gt;&lt;_db_updated&gt;PubMed&lt;/_db_updated&gt;&lt;_doi&gt;10.1097/MIB.0000000000000607&lt;/_doi&gt;&lt;_impact_factor&gt;   4.347&lt;/_impact_factor&gt;&lt;_isbn&gt;1536-4844 (Electronic); 1078-0998 (Linking)&lt;/_isbn&gt;&lt;_issue&gt;3&lt;/_issue&gt;&lt;_journal&gt;Inflamm Bowel Dis&lt;/_journal&gt;&lt;_keywords&gt;Crohn Disease/*complications/immunology/physiopathology; Diffusion Magnetic Resonance Imaging/*methods; Evaluation Studies as Topic; Humans; Inflammation/*diagnosis/etiology; Intestines/immunology/*pathology; Prognosis; Severity of Illness Index&lt;/_keywords&gt;&lt;_language&gt;eng&lt;/_language&gt;&lt;_modified&gt;62335489&lt;/_modified&gt;&lt;_pages&gt;669-79&lt;/_pages&gt;&lt;_tertiary_title&gt;Inflammatory bowel diseases&lt;/_tertiary_title&gt;&lt;_type_work&gt;Journal Article; Meta-Analysis; Review&lt;/_type_work&gt;&lt;_url&gt;http://www.ncbi.nlm.nih.gov/entrez/query.fcgi?cmd=Retrieve&amp;amp;db=pubmed&amp;amp;dopt=Abstract&amp;amp;list_uids=26457380&amp;amp;query_hl=1 _x000d__x000a_https://academic.oup.com/ibdjournal/article-pdf/22/3/669/23403777/ibd0669.pdf 全文链接_x000d__x000a_&lt;/_url&gt;&lt;_volume&gt;22&lt;/_volume&gt;&lt;/Details&gt;&lt;Extra&gt;&lt;DBUID&gt;{0F92A3D0-C4D9-4119-B5F8-18CDCE6EC721}&lt;/DBUID&gt;&lt;/Extra&gt;&lt;/Item&gt;&lt;/References&gt;&lt;/Group&gt;&lt;Group&gt;&lt;References&gt;&lt;Item&gt;&lt;ID&gt;7555&lt;/ID&gt;&lt;UID&gt;{0364A75E-596F-4296-9387-4A2EB4E99653}&lt;/UID&gt;&lt;Title&gt;Magnetic resonance enterocolonography in detecting erosion and redness in intestinal mucosa of patients with Crohn&amp;apos;s disease&lt;/Title&gt;&lt;Template&gt;Journal Article&lt;/Template&gt;&lt;Star&gt;0&lt;/Star&gt;&lt;Tag&gt;0&lt;/Tag&gt;&lt;Author&gt;Sato, H; Tamura, C; Narimatsu, K; Shimizu, M; Takajyo, T; Yamashita, M; Inoue, Y; Ozaki, H; Furuhashi, H; Maruta, K; Yasutake, Y; Yoshikawa, K; Watanabe, C; Komoto, S; Tomita, K; Nagao, S; Miura, S; Shinmoto, H; Hokari, R&lt;/Author&gt;&lt;Year&gt;2015&lt;/Year&gt;&lt;Details&gt;&lt;_accessed&gt;62315651&lt;/_accessed&gt;&lt;_accession_num&gt;25387770&lt;/_accession_num&gt;&lt;_author_adr&gt;Department of Internal Medicine, National Defense Medical College, Saitama, Japan.&lt;/_author_adr&gt;&lt;_created&gt;62108226&lt;/_created&gt;&lt;_date&gt;2015-04-01&lt;/_date&gt;&lt;_date_display&gt;2015 Apr&lt;/_date_display&gt;&lt;_db_updated&gt;PubMed&lt;/_db_updated&gt;&lt;_doi&gt;10.1111/jgh.12851&lt;/_doi&gt;&lt;_impact_factor&gt;   3.483&lt;/_impact_factor&gt;&lt;_isbn&gt;1440-1746 (Electronic); 0815-9319 (Linking)&lt;/_isbn&gt;&lt;_issue&gt;4&lt;/_issue&gt;&lt;_journal&gt;J Gastroenterol Hepatol&lt;/_journal&gt;&lt;_keywords&gt;Adolescent; Adult; Aged; Crohn Disease/*pathology; Endoscopy, Gastrointestinal; Female; Humans; Intestinal Mucosa/*pathology; Magnetic Resonance Imaging/*methods; Male; Middle Aged; Sensitivity and Specificity; Severity of Illness Index; Young AdultCrohn&amp;apos;s disease; MR enterocolonography; colonic inflammation; endoscopy&lt;/_keywords&gt;&lt;_language&gt;eng&lt;/_language&gt;&lt;_modified&gt;62328412&lt;/_modified&gt;&lt;_ori_publication&gt;(c) 2014 Journal of Gastroenterology and Hepatology Foundation and Wiley_x000d__x000a_      Publishing Asia Pty Ltd.&lt;/_ori_publication&gt;&lt;_pages&gt;667-73&lt;/_pages&gt;&lt;_tertiary_title&gt;Journal of gastroenterology and hepatology&lt;/_tertiary_title&gt;&lt;_type_work&gt;Comparative Study; Journal Article; Research Support, Non-U.S. Gov&amp;apos;t&lt;/_type_work&gt;&lt;_url&gt;http://www.ncbi.nlm.nih.gov/entrez/query.fcgi?cmd=Retrieve&amp;amp;db=pubmed&amp;amp;dopt=Abstract&amp;amp;list_uids=25387770&amp;amp;query_hl=1 _x000d__x000a_http://onlinelibrary.wiley.com/doi/10.1111/jgh.12851/pdf 全文链接_x000d__x000a_&lt;/_url&gt;&lt;_volume&gt;30&lt;/_volume&gt;&lt;/Details&gt;&lt;Extra&gt;&lt;DBUID&gt;{0F92A3D0-C4D9-4119-B5F8-18CDCE6EC721}&lt;/DBUID&gt;&lt;/Extra&gt;&lt;/Item&gt;&lt;/References&gt;&lt;/Group&gt;&lt;/Citation&gt;_x000a_"/>
    <w:docVar w:name="NE.Ref{85E5E930-6FB1-47DE-A2C1-827DC29FD417}" w:val=" ADDIN NE.Ref.{85E5E930-6FB1-47DE-A2C1-827DC29FD417}&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921683F5-6437-4EA1-9A1A-C909C86854DA}" w:val=" ADDIN NE.Ref.{921683F5-6437-4EA1-9A1A-C909C86854DA}&lt;Citation&gt;&lt;Group&gt;&lt;References&gt;&lt;Item&gt;&lt;ID&gt;7548&lt;/ID&gt;&lt;UID&gt;{D4D764D6-CF2D-4A0C-B6FF-063D4189E798}&lt;/UID&gt;&lt;Title&gt;Quantification of inflammatory activity in patients with Crohn&amp;apos;s disease using diffusion weighted imaging (DWI) in MR enteroclysis and MR enterography&lt;/Title&gt;&lt;Template&gt;Journal Article&lt;/Template&gt;&lt;Star&gt;0&lt;/Star&gt;&lt;Tag&gt;0&lt;/Tag&gt;&lt;Author&gt;Stanescu-Siegmund, N; Nimsch, Y; Wunderlich, A P; Wagner, M; Meier, R; Juchems, M S; Beer, M; Schmidt, S A&lt;/Author&gt;&lt;Year&gt;2017&lt;/Year&gt;&lt;Details&gt;&lt;_accession_num&gt;27178031&lt;/_accession_num&gt;&lt;_author_adr&gt;1 Department of Diagnostic and Interventional Radiology, University Hospital of Ulm, Ulm, Germany.; 1 Department of Diagnostic and Interventional Radiology, University Hospital of Ulm, Ulm, Germany.; 1 Department of Diagnostic and Interventional Radiology, University Hospital of Ulm, Ulm, Germany.; 2 Department of Internal Medicine I, University Hospital of Ulm, Ulm, Germany.; 1 Department of Diagnostic and Interventional Radiology, University Hospital of Ulm, Ulm, Germany.; 3 Department of Diagnostic and Interventional Radiology, Konstanz Hospital, Konstanz, Germany.; 1 Department of Diagnostic and Interventional Radiology, University Hospital of Ulm, Ulm, Germany.; 1 Department of Diagnostic and Interventional Radiology, University Hospital of Ulm, Ulm, Germany.&lt;/_author_adr&gt;&lt;_collection_scope&gt;EI;SCI;SCIE;&lt;/_collection_scope&gt;&lt;_created&gt;62108222&lt;/_created&gt;&lt;_date&gt;2017-03-01&lt;/_date&gt;&lt;_date_display&gt;2017 Mar&lt;/_date_display&gt;&lt;_db_updated&gt;PubMed&lt;/_db_updated&gt;&lt;_doi&gt;10.1177/0284185116648503&lt;/_doi&gt;&lt;_impact_factor&gt;   1.823&lt;/_impact_factor&gt;&lt;_isbn&gt;1600-0455 (Electronic); 0284-1851 (Linking)&lt;/_isbn&gt;&lt;_issue&gt;3&lt;/_issue&gt;&lt;_journal&gt;Acta Radiol&lt;/_journal&gt;&lt;_keywords&gt;Adolescent; Adult; Aged; Aged, 80 and over; Child; Crohn Disease/complications/*diagnostic imaging; *Diffusion Magnetic Resonance Imaging; Feasibility Studies; Female; Humans; Inflammation/*diagnostic imaging/etiology; Intestines/*diagnostic imaging; Male; Middle Aged; Sensitivity and Specificity; Young AdultAbdomen/GI; inflammation; magnetic resonance diffusion/perfusion; magnetic resonance imaging (MRI); small bowel&lt;/_keywords&gt;&lt;_language&gt;eng&lt;/_language&gt;&lt;_modified&gt;62329777&lt;/_modified&gt;&lt;_pages&gt;264-271&lt;/_pages&gt;&lt;_tertiary_title&gt;Acta radiologica (Stockholm, Sweden : 1987)&lt;/_tertiary_title&gt;&lt;_type_work&gt;Journal Article&lt;/_type_work&gt;&lt;_url&gt;http://www.ncbi.nlm.nih.gov/entrez/query.fcgi?cmd=Retrieve&amp;amp;db=pubmed&amp;amp;dopt=Abstract&amp;amp;list_uids=27178031&amp;amp;query_hl=1&lt;/_url&gt;&lt;_volume&gt;58&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9240B9E2-D426-456D-8E3F-99288F7C9BEA}" w:val=" ADDIN NE.Ref.{9240B9E2-D426-456D-8E3F-99288F7C9BEA}&lt;Citation&gt;&lt;Group&gt;&lt;References&gt;&lt;Item&gt;&lt;ID&gt;7543&lt;/ID&gt;&lt;UID&gt;{3642F083-450F-4BFA-8BD1-9E60AF3F2624}&lt;/UID&gt;&lt;Title&gt;Diffusion-weighted magnetic resonance imaging is effective to detect ileocolonic  ulcerations in Crohn&amp;apos;s disease&lt;/Title&gt;&lt;Template&gt;Journal Article&lt;/Template&gt;&lt;Star&gt;0&lt;/Star&gt;&lt;Tag&gt;5&lt;/Tag&gt;&lt;Author&gt;Buisson, A; Hordonneau, C; Goutte, M; Boyer, L; Pereira, B; Bommelaer, G&lt;/Author&gt;&lt;Year&gt;2015&lt;/Year&gt;&lt;Details&gt;&lt;_accession_num&gt;26088810&lt;/_accession_num&gt;&lt;_author_adr&gt;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ISIT UMR 6284 CNRS UdA, Clermont-Ferrand, France.; Biostatistics Unit- DRCI, GM Clermont-Ferrand University and Medical Center, Clermont-Ferrand, France.; Gastroenterology department, University Hospital Estaing, Clermont-Ferrand, France.; Microbes, Intestine, Inflammation and Susceptibility of the Host, UMR 1071 Inserm/Universite d&amp;apos;Auvergne; USCINRA 2018, Clermont-Ferrand, France.&lt;/_author_adr&gt;&lt;_created&gt;62108219&lt;/_created&gt;&lt;_date&gt;2015-08-01&lt;/_date&gt;&lt;_date_display&gt;2015 Aug&lt;/_date_display&gt;&lt;_db_updated&gt;PubMed&lt;/_db_updated&gt;&lt;_doi&gt;10.1111/apt.13287&lt;/_doi&gt;&lt;_impact_factor&gt;   7.357&lt;/_impact_factor&gt;&lt;_isbn&gt;1365-2036 (Electronic); 0269-2813 (Linking)&lt;/_isbn&gt;&lt;_issue&gt;4&lt;/_issue&gt;&lt;_journal&gt;Aliment Pharmacol Ther&lt;/_journal&gt;&lt;_keywords&gt;Adolescent; Adult; Child; Crohn Disease/*diagnosis; Diffusion Magnetic Resonance Imaging/*methods; Female; Humans; Ileum/*pathology; Intestines/*pathology; Male; Sensitivity and Specificity; Young Adult&lt;/_keywords&gt;&lt;_language&gt;eng&lt;/_language&gt;&lt;_modified&gt;62482607&lt;/_modified&gt;&lt;_ori_publication&gt;(c) 2015 John Wiley &amp;amp;amp; Sons Ltd.&lt;/_ori_publication&gt;&lt;_pages&gt;452-60&lt;/_pages&gt;&lt;_tertiary_title&gt;Alimentary pharmacology &amp;amp;amp; therapeutics&lt;/_tertiary_title&gt;&lt;_type_work&gt;Journal Article&lt;/_type_work&gt;&lt;_url&gt;http://www.ncbi.nlm.nih.gov/entrez/query.fcgi?cmd=Retrieve&amp;amp;db=pubmed&amp;amp;dopt=Abstract&amp;amp;list_uids=26088810&amp;amp;query_hl=1 _x000d__x000a_http://onlinelibrary.wiley.com/doi/10.1111/apt.13287/pdf 全文链接_x000d__x000a_&lt;/_url&gt;&lt;_volume&gt;42&lt;/_volume&gt;&lt;/Details&gt;&lt;Extra&gt;&lt;DBUID&gt;{0F92A3D0-C4D9-4119-B5F8-18CDCE6EC721}&lt;/DBUID&gt;&lt;/Extra&gt;&lt;/Item&gt;&lt;/References&gt;&lt;/Group&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Citation&gt;_x000a_"/>
    <w:docVar w:name="NE.Ref{9ADA63D5-4DF7-42A8-A46F-78BA41C89AAE}" w:val=" ADDIN NE.Ref.{9ADA63D5-4DF7-42A8-A46F-78BA41C89AAE}&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67&lt;/ID&gt;&lt;UID&gt;{EAA99DDA-30D2-4C7B-9E6F-3BCC9BCD84B9}&lt;/UID&gt;&lt;Title&gt;Motion-robust parameter estimation in abdominal diffusion-weighted MRI by simultaneous image registration and model estimation&lt;/Title&gt;&lt;Template&gt;Journal Article&lt;/Template&gt;&lt;Star&gt;0&lt;/Star&gt;&lt;Tag&gt;0&lt;/Tag&gt;&lt;Author&gt;Kurugol, S; Freiman, M; Afacan, O; Domachevsky, L; Perez-Rossello, J M; Callahan, M J; Warfield, S K&lt;/Author&gt;&lt;Year&gt;2017&lt;/Year&gt;&lt;Details&gt;&lt;_accession_num&gt;28494271&lt;/_accession_num&gt;&lt;_author_adr&gt;Computational Radiology Laboratory, Department of Radiology, Boston Children&amp;apos;s Hospital and Harvard Medical School, Boston, MA, 02115, United States. Electronic address: sila.kurugol@childrens.harvard.edu.; Computational Radiology Laboratory, Department of Radiology, Boston Children&amp;apos;s Hospital and Harvard Medical School, Boston, MA, 02115, United States.; Computational Radiology Laboratory, Department of Radiology, Boston Children&amp;apos;s Hospital and Harvard Medical School, Boston, MA, 02115, United States.; Nuclear Medicine Department, Rabin Medical Center, Petah-Tikva, Israel.; Department of Radiology, Boston Children&amp;apos;s Hospital and Harvard Medical School, Boston, MA, 02115, United States.; Department of Radiology, Boston Children&amp;apos;s Hospital and Harvard Medical School, Boston, MA, 02115, United States.; Computational Radiology Laboratory, Department of Radiology, Boston Children&amp;apos;s Hospital and Harvard Medical School, Boston, MA, 02115, United States.&lt;/_author_adr&gt;&lt;_collection_scope&gt;EI;SCI;SCIE;&lt;/_collection_scope&gt;&lt;_created&gt;62108361&lt;/_created&gt;&lt;_date&gt;2017-07-01&lt;/_date&gt;&lt;_date_display&gt;2017 Jul&lt;/_date_display&gt;&lt;_db_updated&gt;PubMed&lt;/_db_updated&gt;&lt;_doi&gt;10.1016/j.media.2017.04.006&lt;/_doi&gt;&lt;_impact_factor&gt;   5.356&lt;/_impact_factor&gt;&lt;_isbn&gt;1361-8423 (Electronic); 1361-8415 (Linking)&lt;/_isbn&gt;&lt;_journal&gt;Med Image Anal&lt;/_journal&gt;&lt;_keywords&gt;Abdomen; Diffusion-weighted imaging; Intra voxel incoherent motion model; Motion compensation&lt;/_keywords&gt;&lt;_language&gt;eng&lt;/_language&gt;&lt;_modified&gt;62328415&lt;/_modified&gt;&lt;_ori_publication&gt;Copyright (c) 2017 Elsevier B.V. All rights reserved.&lt;/_ori_publication&gt;&lt;_pages&gt;124-132&lt;/_pages&gt;&lt;_tertiary_title&gt;Medical image analysis&lt;/_tertiary_title&gt;&lt;_type_work&gt;Journal Article&lt;/_type_work&gt;&lt;_url&gt;http://www.ncbi.nlm.nih.gov/entrez/query.fcgi?cmd=Retrieve&amp;amp;db=pubmed&amp;amp;dopt=Abstract&amp;amp;list_uids=28494271&amp;amp;query_hl=1&lt;/_url&gt;&lt;_volume&gt;39&lt;/_volume&gt;&lt;/Details&gt;&lt;Extra&gt;&lt;DBUID&gt;{0F92A3D0-C4D9-4119-B5F8-18CDCE6EC721}&lt;/DBUID&gt;&lt;/Extra&gt;&lt;/Item&gt;&lt;/References&gt;&lt;/Group&gt;&lt;/Citation&gt;_x000a_"/>
    <w:docVar w:name="NE.Ref{9DBD7C0E-F28B-4FED-A600-6058B042FB8F}" w:val=" ADDIN NE.Ref.{9DBD7C0E-F28B-4FED-A600-6058B042FB8F}&lt;Citation&gt;&lt;Group&gt;&lt;References&gt;&lt;Item&gt;&lt;ID&gt;7548&lt;/ID&gt;&lt;UID&gt;{D4D764D6-CF2D-4A0C-B6FF-063D4189E798}&lt;/UID&gt;&lt;Title&gt;Quantification of inflammatory activity in patients with Crohn&amp;apos;s disease using diffusion weighted imaging (DWI) in MR enteroclysis and MR enterography&lt;/Title&gt;&lt;Template&gt;Journal Article&lt;/Template&gt;&lt;Star&gt;0&lt;/Star&gt;&lt;Tag&gt;0&lt;/Tag&gt;&lt;Author&gt;Stanescu-Siegmund, N; Nimsch, Y; Wunderlich, A P; Wagner, M; Meier, R; Juchems, M S; Beer, M; Schmidt, S A&lt;/Author&gt;&lt;Year&gt;2017&lt;/Year&gt;&lt;Details&gt;&lt;_accession_num&gt;27178031&lt;/_accession_num&gt;&lt;_author_adr&gt;1 Department of Diagnostic and Interventional Radiology, University Hospital of Ulm, Ulm, Germany.; 1 Department of Diagnostic and Interventional Radiology, University Hospital of Ulm, Ulm, Germany.; 1 Department of Diagnostic and Interventional Radiology, University Hospital of Ulm, Ulm, Germany.; 2 Department of Internal Medicine I, University Hospital of Ulm, Ulm, Germany.; 1 Department of Diagnostic and Interventional Radiology, University Hospital of Ulm, Ulm, Germany.; 3 Department of Diagnostic and Interventional Radiology, Konstanz Hospital, Konstanz, Germany.; 1 Department of Diagnostic and Interventional Radiology, University Hospital of Ulm, Ulm, Germany.; 1 Department of Diagnostic and Interventional Radiology, University Hospital of Ulm, Ulm, Germany.&lt;/_author_adr&gt;&lt;_collection_scope&gt;EI;SCI;SCIE;&lt;/_collection_scope&gt;&lt;_created&gt;62108222&lt;/_created&gt;&lt;_date&gt;2017-03-01&lt;/_date&gt;&lt;_date_display&gt;2017 Mar&lt;/_date_display&gt;&lt;_db_updated&gt;PubMed&lt;/_db_updated&gt;&lt;_doi&gt;10.1177/0284185116648503&lt;/_doi&gt;&lt;_impact_factor&gt;   1.823&lt;/_impact_factor&gt;&lt;_isbn&gt;1600-0455 (Electronic); 0284-1851 (Linking)&lt;/_isbn&gt;&lt;_issue&gt;3&lt;/_issue&gt;&lt;_journal&gt;Acta Radiol&lt;/_journal&gt;&lt;_keywords&gt;Adolescent; Adult; Aged; Aged, 80 and over; Child; Crohn Disease/complications/*diagnostic imaging; *Diffusion Magnetic Resonance Imaging; Feasibility Studies; Female; Humans; Inflammation/*diagnostic imaging/etiology; Intestines/*diagnostic imaging; Male; Middle Aged; Sensitivity and Specificity; Young AdultAbdomen/GI; inflammation; magnetic resonance diffusion/perfusion; magnetic resonance imaging (MRI); small bowel&lt;/_keywords&gt;&lt;_language&gt;eng&lt;/_language&gt;&lt;_modified&gt;62329777&lt;/_modified&gt;&lt;_pages&gt;264-271&lt;/_pages&gt;&lt;_tertiary_title&gt;Acta radiologica (Stockholm, Sweden : 1987)&lt;/_tertiary_title&gt;&lt;_type_work&gt;Journal Article&lt;/_type_work&gt;&lt;_url&gt;http://www.ncbi.nlm.nih.gov/entrez/query.fcgi?cmd=Retrieve&amp;amp;db=pubmed&amp;amp;dopt=Abstract&amp;amp;list_uids=27178031&amp;amp;query_hl=1&lt;/_url&gt;&lt;_volume&gt;58&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A54C4E34-C710-43E3-99C0-620126C58972}" w:val=" ADDIN NE.Ref.{A54C4E34-C710-43E3-99C0-620126C58972}&lt;Citation&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Citation&gt;_x000a_"/>
    <w:docVar w:name="NE.Ref{A5658FBC-2A3A-406F-94F6-E725AD2B46C8}" w:val=" ADDIN NE.Ref.{A5658FBC-2A3A-406F-94F6-E725AD2B46C8}&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Citation&gt;_x000a_"/>
    <w:docVar w:name="NE.Ref{AFA2DE27-4A72-4BEF-AA49-5985B46EF505}" w:val=" ADDIN NE.Ref.{AFA2DE27-4A72-4BEF-AA49-5985B46EF505}&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Citation&gt;_x000a_"/>
    <w:docVar w:name="NE.Ref{BE58B80C-90A8-47D6-860A-29F6E1E9C07E}" w:val=" ADDIN NE.Ref.{BE58B80C-90A8-47D6-860A-29F6E1E9C07E}&lt;Citation&gt;&lt;Group&gt;&lt;References&gt;&lt;Item&gt;&lt;ID&gt;7549&lt;/ID&gt;&lt;UID&gt;{F546DC13-0580-4D60-BC68-41DF00406835}&lt;/UID&gt;&lt;Title&gt;Diffusion-weighted magnetic resonance imaging for detecting and assessing ileal inflammation in Crohn&amp;apos;s disease&lt;/Title&gt;&lt;Template&gt;Journal Article&lt;/Template&gt;&lt;Star&gt;0&lt;/Star&gt;&lt;Tag&gt;0&lt;/Tag&gt;&lt;Author&gt;Buisson, A; Joubert, A; Montoriol, P F; Da, Ines D; Hordonneau, C; Pereira, B; Garcier, J M; Bommelaer, G; Petitcolin, V&lt;/Author&gt;&lt;Year&gt;2013&lt;/Year&gt;&lt;Details&gt;&lt;_accession_num&gt;23289713&lt;/_accession_num&gt;&lt;_author_adr&gt;Department of Gastroenterology, University Hospital Estaing of Clermont-Ferrand,  Auvergne University, France. a_buisson@hotmail.fr&lt;/_author_adr&gt;&lt;_created&gt;62108222&lt;/_created&gt;&lt;_date&gt;2013-03-01&lt;/_date&gt;&lt;_date_display&gt;2013 Mar&lt;/_date_display&gt;&lt;_db_updated&gt;PubMed&lt;/_db_updated&gt;&lt;_doi&gt;10.1111/apt.12201&lt;/_doi&gt;&lt;_impact_factor&gt;   7.357&lt;/_impact_factor&gt;&lt;_isbn&gt;1365-2036 (Electronic); 0269-2813 (Linking)&lt;/_isbn&gt;&lt;_issue&gt;5&lt;/_issue&gt;&lt;_journal&gt;Aliment Pharmacol Ther&lt;/_journal&gt;&lt;_keywords&gt;Adolescent; Adult; Child; Crohn Disease/*diagnosis; Diffusion Magnetic Resonance Imaging/*methods; False Positive Reactions; Female; Humans; Ileitis/*diagnosis; Male; Middle Aged; Predictive Value of Tests; Sensitivity and Specificity; Young Adult&lt;/_keywords&gt;&lt;_language&gt;eng&lt;/_language&gt;&lt;_modified&gt;62328406&lt;/_modified&gt;&lt;_ori_publication&gt;(c) 2013 Blackwell Publishing Ltd.&lt;/_ori_publication&gt;&lt;_pages&gt;537-45&lt;/_pages&gt;&lt;_tertiary_title&gt;Alimentary pharmacology &amp;amp;amp; therapeutics&lt;/_tertiary_title&gt;&lt;_type_work&gt;Journal Article&lt;/_type_work&gt;&lt;_url&gt;http://www.ncbi.nlm.nih.gov/entrez/query.fcgi?cmd=Retrieve&amp;amp;db=pubmed&amp;amp;dopt=Abstract&amp;amp;list_uids=23289713&amp;amp;query_hl=1 _x000d__x000a_http://onlinelibrary.wiley.com/doi/10.1111/apt.12201/pdf 全文链接_x000d__x000a_&lt;/_url&gt;&lt;_volume&gt;37&lt;/_volume&gt;&lt;/Details&gt;&lt;Extra&gt;&lt;DBUID&gt;{0F92A3D0-C4D9-4119-B5F8-18CDCE6EC721}&lt;/DBUID&gt;&lt;/Extra&gt;&lt;/Item&gt;&lt;/References&gt;&lt;/Group&gt;&lt;Group&gt;&lt;References&gt;&lt;Item&gt;&lt;ID&gt;7539&lt;/ID&gt;&lt;UID&gt;{712F18DA-36D7-4508-8776-B21822F1806B}&lt;/UID&gt;&lt;Title&gt;Diffusion-weighted magnetic resonance imaging in ileocolonic Crohn&amp;apos;s disease: validation of quantitative index of activity&lt;/Title&gt;&lt;Template&gt;Journal Article&lt;/Template&gt;&lt;Star&gt;0&lt;/Star&gt;&lt;Tag&gt;5&lt;/Tag&gt;&lt;Author&gt;Hordonneau, C; Buisson, A; Scanzi, J; Goutorbe, F; Pereira, B; Borderon, C; Da, Ines D; Montoriol, P F; Garcier, J M; Boyer, L; Bommelaer, G; Petitcolin, V&lt;/Author&gt;&lt;Year&gt;2014&lt;/Year&gt;&lt;Details&gt;&lt;_accession_num&gt;24247212&lt;/_accession_num&gt;&lt;_author_adr&gt;1] Department of Radiology, University Hospital Estaing of Clermont-Ferrand, Clermont-Ferrand, France [2] These authors contributed equally to this work.; 1] Department of Gastroenterology, University Hospital Estaing of Clermont-Ferrand, Clermont-Ferrand, France [2] Microbes, Inflammation, Intestine  and Susceptibility of the Host, UMR 1071 INSERM/Auvergne University USC-INRA 2018, Clermont-Ferrand, France [3] These authors contributed equally to this work.; Department of Gastroenterology, University Hospital Estaing of Clermont-Ferrand,  Clermont-Ferrand, France.; Department of Gastroenterology, University Hospital Estaing of Clermont-Ferrand,  Clermont-Ferrand, France.; Biostatistics Unit, University Hospital of Clermont-Ferrand, DRCI, Clermont-Ferrand, France.; Department of Paediatrics,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Department of Radiology, University Hospital Estaing of Clermont-Ferrand, Clermont-Ferrand, France.; 1] Department of Gastroenterology, University Hospital Estaing of Clermont-Ferrand, Clermont-Ferrand, France [2] Microbes, Inflammation, Intestine  and Susceptibility of the Host, UMR 1071 INSERM/Auvergne University USC-INRA 2018, Clermont-Ferrand, France.; Department of Radiology, University Hospital Estaing of Clermont-Ferrand, Clermont-Ferrand, France.&lt;/_author_adr&gt;&lt;_collection_scope&gt;SCI;SCIE;&lt;/_collection_scope&gt;&lt;_created&gt;62108217&lt;/_created&gt;&lt;_date&gt;2014-01-01&lt;/_date&gt;&lt;_date_display&gt;2014 Jan&lt;/_date_display&gt;&lt;_db_updated&gt;PubMed&lt;/_db_updated&gt;&lt;_doi&gt;10.1038/ajg.2013.385&lt;/_doi&gt;&lt;_impact_factor&gt;  10.231&lt;/_impact_factor&gt;&lt;_isbn&gt;1572-0241 (Electronic); 0002-9270 (Linking)&lt;/_isbn&gt;&lt;_issue&gt;1&lt;/_issue&gt;&lt;_journal&gt;Am J Gastroenterol&lt;/_journal&gt;&lt;_keywords&gt;Adult; Colon/pathology; Comparative Effectiveness Research; Crohn Disease/complications/*diagnosis; Diffusion Magnetic Resonance Imaging/*methods; Female; *Gadolinium; Humans; Ileum/pathology; Inflammation/*diagnosis/etiology; Male; Patient Acuity; Prospective Studies; ROC Curve; Reproducibility of Results; Severity of Illness Index&lt;/_keywords&gt;&lt;_language&gt;eng&lt;/_language&gt;&lt;_modified&gt;62482607&lt;/_modified&gt;&lt;_pages&gt;89-98&lt;/_pages&gt;&lt;_tertiary_title&gt;The American journal of gastroenterology&lt;/_tertiary_title&gt;&lt;_type_work&gt;Comparative Study; Journal Article; Observational Study&lt;/_type_work&gt;&lt;_url&gt;http://www.ncbi.nlm.nih.gov/entrez/query.fcgi?cmd=Retrieve&amp;amp;db=pubmed&amp;amp;dopt=Abstract&amp;amp;list_uids=24247212&amp;amp;query_hl=1&lt;/_url&gt;&lt;_volume&gt;109&lt;/_volume&gt;&lt;/Details&gt;&lt;Extra&gt;&lt;DBUID&gt;{0F92A3D0-C4D9-4119-B5F8-18CDCE6EC721}&lt;/DBUID&gt;&lt;/Extra&gt;&lt;/Item&gt;&lt;/References&gt;&lt;/Group&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C4A780D0-D593-4690-BE6C-F997CBD92A72}" w:val=" ADDIN NE.Ref.{C4A780D0-D593-4690-BE6C-F997CBD92A72}&lt;Citation&gt;&lt;Group&gt;&lt;References&gt;&lt;Item&gt;&lt;ID&gt;7550&lt;/ID&gt;&lt;UID&gt;{899B35C3-38A4-4DC4-BC52-377CB3E3E25E}&lt;/UID&gt;&lt;Title&gt;Diffusion-weighted quantitative MRI of pleural abnormalities: Intra- and interobserver variability in the apparent diffusion coefficient measurements&lt;/Title&gt;&lt;Template&gt;Journal Article&lt;/Template&gt;&lt;Star&gt;0&lt;/Star&gt;&lt;Tag&gt;0&lt;/Tag&gt;&lt;Author&gt;Priola, A M; Priola, S M; Gned, D; Giraudo, M T; Brundu, M; Righi, L; Veltri, A&lt;/Author&gt;&lt;Year&gt;2017&lt;/Year&gt;&lt;Details&gt;&lt;_accession_num&gt;28117923&lt;/_accession_num&gt;&lt;_author_adr&gt;Department of Diagnostic Imaging, San Luigi Gonzaga University Hospital, Orbassano (Torino), Italy.; Department of Diagnostic Imaging, San Luigi Gonzaga University Hospital, Orbassano (Torino), Italy.; Department of Diagnostic Imaging, San Luigi Gonzaga University Hospital, Orbassano (Torino), Italy.; Department of Mathematics, Giuseppe Peano, University of Torino, Torino, Italy.; Department of Diagnostic Imaging, San Luigi Gonzaga University Hospital, Orbassano (Torino), Italy.; Department of Pathology, San Luigi Gonzaga University Hospital, Orbassano (Torino), Italy.; Department of Diagnostic Imaging, San Luigi Gonzaga University Hospital, Orbassano (Torino), Italy.&lt;/_author_adr&gt;&lt;_collection_scope&gt;SCI;SCIE;&lt;/_collection_scope&gt;&lt;_created&gt;62108223&lt;/_created&gt;&lt;_date&gt;2017-09-01&lt;/_date&gt;&lt;_date_display&gt;2017 Sep&lt;/_date_display&gt;&lt;_db_updated&gt;PubMed&lt;/_db_updated&gt;&lt;_doi&gt;10.1002/jmri.25633&lt;/_doi&gt;&lt;_impact_factor&gt;   3.612&lt;/_impact_factor&gt;&lt;_isbn&gt;1522-2586 (Electronic); 1053-1807 (Linking)&lt;/_isbn&gt;&lt;_issue&gt;3&lt;/_issue&gt;&lt;_journal&gt;J Magn Reson Imaging&lt;/_journal&gt;&lt;_keywords&gt;apparent diffusion coefficient; diffusion-weighted magnetic resonance imaging; measurement variability; pleura; region of interest&lt;/_keywords&gt;&lt;_language&gt;eng&lt;/_language&gt;&lt;_modified&gt;62328390&lt;/_modified&gt;&lt;_ori_publication&gt;(c) 2017 International Society for Magnetic Resonance in Medicine.&lt;/_ori_publication&gt;&lt;_pages&gt;769-782&lt;/_pages&gt;&lt;_tertiary_title&gt;Journal of magnetic resonance imaging : JMRI&lt;/_tertiary_title&gt;&lt;_type_work&gt;Journal Article&lt;/_type_work&gt;&lt;_url&gt;http://www.ncbi.nlm.nih.gov/entrez/query.fcgi?cmd=Retrieve&amp;amp;db=pubmed&amp;amp;dopt=Abstract&amp;amp;list_uids=28117923&amp;amp;query_hl=1 _x000d__x000a_http://onlinelibrary.wiley.com/doi/10.1002/jmri.25633/pdf 全文链接_x000d__x000a_&lt;/_url&gt;&lt;_volume&gt;46&lt;/_volume&gt;&lt;/Details&gt;&lt;Extra&gt;&lt;DBUID&gt;{0F92A3D0-C4D9-4119-B5F8-18CDCE6EC721}&lt;/DBUID&gt;&lt;/Extra&gt;&lt;/Item&gt;&lt;/References&gt;&lt;/Group&gt;&lt;Group&gt;&lt;References&gt;&lt;Item&gt;&lt;ID&gt;7560&lt;/ID&gt;&lt;UID&gt;{659197EC-87F8-4DCF-9807-828F35FFDC8A}&lt;/UID&gt;&lt;Title&gt;Is there a systematic bias of apparent diffusion coefficient (ADC) measurements of the breast if measured on different workstations? An inter- and intra-reader agreement study&lt;/Title&gt;&lt;Template&gt;Journal Article&lt;/Template&gt;&lt;Star&gt;0&lt;/Star&gt;&lt;Tag&gt;0&lt;/Tag&gt;&lt;Author&gt;Clauser, P; Marcon, M; Maieron, M; Zuiani, C; Bazzocchi, M; Baltzer, P A&lt;/Author&gt;&lt;Year&gt;2016&lt;/Year&gt;&lt;Details&gt;&lt;_accessed&gt;62279917&lt;/_accessed&gt;&lt;_accession_num&gt;26443604&lt;/_accession_num&gt;&lt;_author_adr&gt;Department of Biomedical Imaging and Image-guided Therapy, Division of Molecular  and Gender Imaging, Medical University of Vienna/General Hospital Vienna, Waehringer Guertel 18-20, 1090, Vienna, Austria.; Institute of Diagnostic Radiology, Department of Medical and Biological Sciences, University of Udine, Udine, Italy.; Institute of Diagnostic Radiology, Department of Medical and Biological Sciences, University of Udine, Udine, Italy.; Department of Radiology, University Hospital Zurich, Zurich, Switzerland.; SOC Fisica Sanitaria, Azienda Ospedaliero-Universitaria, S.Maria della Misericordia, Udine, Italy.; Institute of Diagnostic Radiology, Department of Medical and Biological Sciences, University of Udine, Udine, Italy.; Institute of Diagnostic Radiology, Department of Medical and Biological Sciences, University of Udine, Udine, Italy.; Department of Biomedical Imaging and Image-guided Therapy, Division of Molecular  and Gender Imaging, Medical University of Vienna/General Hospital Vienna, Waehringer Guertel 18-20, 1090, Vienna, Austria. pascal.baltzer@meduniwien.ac.at.&lt;/_author_adr&gt;&lt;_collection_scope&gt;SCI;SCIE;&lt;/_collection_scope&gt;&lt;_created&gt;62108229&lt;/_created&gt;&lt;_date&gt;2016-07-01&lt;/_date&gt;&lt;_date_display&gt;2016 Jul&lt;/_date_display&gt;&lt;_db_updated&gt;PubMed&lt;/_db_updated&gt;&lt;_doi&gt;10.1007/s00330-015-4051-2&lt;/_doi&gt;&lt;_impact_factor&gt;   4.027&lt;/_impact_factor&gt;&lt;_isbn&gt;1432-1084 (Electronic); 0938-7994 (Linking)&lt;/_isbn&gt;&lt;_issue&gt;7&lt;/_issue&gt;&lt;_journal&gt;Eur Radiol&lt;/_journal&gt;&lt;_keywords&gt;Adult; Aged; Bias; Breast/diagnostic imaging/pathology; Breast Neoplasms/*diagnostic imaging/pathology; Cross-Sectional Studies; Female; Humans; Image Processing, Computer-Assisted/*instrumentation/methods; Magnetic Resonance Imaging/*instrumentation/methods; Middle Aged; Observer Variation; Prospective Studies; Reproducibility of ResultsApparent Diffusion Coefficient; Breast; Diffusion-weighted Imaging; Magnetic Resonance Imaging; Observer Variation&lt;/_keywords&gt;&lt;_language&gt;eng&lt;/_language&gt;&lt;_modified&gt;62328414&lt;/_modified&gt;&lt;_pages&gt;2291-6&lt;/_pages&gt;&lt;_tertiary_title&gt;European radiology&lt;/_tertiary_title&gt;&lt;_type_work&gt;Journal Article&lt;/_type_work&gt;&lt;_url&gt;http://www.ncbi.nlm.nih.gov/entrez/query.fcgi?cmd=Retrieve&amp;amp;db=pubmed&amp;amp;dopt=Abstract&amp;amp;list_uids=26443604&amp;amp;query_hl=1&lt;/_url&gt;&lt;_volume&gt;26&lt;/_volume&gt;&lt;/Details&gt;&lt;Extra&gt;&lt;DBUID&gt;{0F92A3D0-C4D9-4119-B5F8-18CDCE6EC721}&lt;/DBUID&gt;&lt;/Extra&gt;&lt;/Item&gt;&lt;/References&gt;&lt;/Group&gt;&lt;Group&gt;&lt;References&gt;&lt;Item&gt;&lt;ID&gt;6666&lt;/ID&gt;&lt;UID&gt;{E154A333-E696-477F-A298-2F19CBCA1C63}&lt;/UID&gt;&lt;Title&gt;Intraobserver and interobserver variability in computed tomography size and attenuation measurements in patients with renal cell carcinoma receiving antiangiogenic therapy: Implications for alternative response criteria&lt;/Title&gt;&lt;Template&gt;Journal Article&lt;/Template&gt;&lt;Star&gt;1&lt;/Star&gt;&lt;Tag&gt;5&lt;/Tag&gt;&lt;Author&gt;Krajewski, Katherine M; Nishino, Mizuki; Franchetti, Yoko; Ramaiya, Nikhil H; Van den Abbeele, Annick D; Choueiri, Toni K&lt;/Author&gt;&lt;Year&gt;2014&lt;/Year&gt;&lt;Details&gt;&lt;_accessed&gt;62088197&lt;/_accessed&gt;&lt;_accession_num&gt;24264883&lt;/_accession_num&gt;&lt;_author_adr&gt;Department of Imaging, Dana-Farber Cancer Institute and Harvard Medical School, Boston, Massachusetts.&lt;/_author_adr&gt;&lt;_collection_scope&gt;SCI;SCIE;&lt;/_collection_scope&gt;&lt;_created&gt;62073274&lt;/_created&gt;&lt;_date&gt;60043680&lt;/_date&gt;&lt;_date_display&gt;2014 Mar 1&lt;/_date_display&gt;&lt;_db_updated&gt;CrossRef&lt;/_db_updated&gt;&lt;_doi&gt;10.1002/cncr.28493&lt;/_doi&gt;&lt;_impact_factor&gt;   6.537&lt;/_impact_factor&gt;&lt;_isbn&gt;1097-0142 (Electronic); 0008-543X (Linking)&lt;/_isbn&gt;&lt;_issue&gt;5&lt;/_issue&gt;&lt;_journal&gt;Cancer&lt;/_journal&gt;&lt;_keywords&gt;Adult; Aged; Angiogenesis Inhibitors/*therapeutic use; Carcinoma, Renal Cell/*diagnostic imaging/*drug therapy; Female; Humans; Kidney Neoplasms/*diagnostic imaging/*drug therapy; Male; Middle Aged; Neoplasms/diagnostic imaging/drug therapy; Observer Variation; *Tomography, X-Ray Computed; Treatment OutcomeResponse Evaluation Criteria In Solid Tumors (RECIST); computed tomography; computed tomography (CT) attenuation; interobserver variability; intraobserver variability; renal cell carcinoma; tumor shrinkage&lt;/_keywords&gt;&lt;_language&gt;eng&lt;/_language&gt;&lt;_modified&gt;62088197&lt;/_modified&gt;&lt;_ori_publication&gt;(c) 2013 American Cancer Society.&lt;/_ori_publication&gt;&lt;_pages&gt;711-721&lt;/_pages&gt;&lt;_tertiary_title&gt;Cancer&lt;/_tertiary_title&gt;&lt;_type_work&gt;Journal Article; Research Support, N.I.H., Extramural; Research Support, Non-U.S. Gov&amp;apos;t&lt;/_type_work&gt;&lt;_url&gt;http://doi.wiley.com/10.1002/cncr.28493_x000d__x000a_https://api.wiley.com/onlinelibrary/tdm/v1/articles/10.1002%2Fcncr.28493&lt;/_url&gt;&lt;_volume&gt;120&lt;/_volume&gt;&lt;/Details&gt;&lt;Extra&gt;&lt;DBUID&gt;{0F92A3D0-C4D9-4119-B5F8-18CDCE6EC721}&lt;/DBUID&gt;&lt;/Extra&gt;&lt;/Item&gt;&lt;/References&gt;&lt;/Group&gt;&lt;/Citation&gt;_x000a_"/>
    <w:docVar w:name="NE.Ref{C69BD06D-12FB-4605-98C7-CDA227A11EB0}" w:val=" ADDIN NE.Ref.{C69BD06D-12FB-4605-98C7-CDA227A11EB0}&lt;Citation&gt;&lt;Group&gt;&lt;References&gt;&lt;Item&gt;&lt;ID&gt;12410&lt;/ID&gt;&lt;UID&gt;{6C37CB83-0F59-4DE6-8165-A1A5ED641DB2}&lt;/UID&gt;&lt;Title&gt;The first joint ESGAR/ ESPR consensus statement on the technical performance of cross-sectional small bowel and colonic imaging&lt;/Title&gt;&lt;Template&gt;Journal Article&lt;/Template&gt;&lt;Star&gt;0&lt;/Star&gt;&lt;Tag&gt;0&lt;/Tag&gt;&lt;Author&gt;Taylor, S A; Avni, F; Cronin, C G; Hoeffel, C; Kim, S H; Laghi, A; Napolitano, M; Petit, P; Rimola, J; Tolan, D J; Torkzad, M R; Zappa, M; Bhatnagar, G; Puylaert, C A J; Stoker, J&lt;/Author&gt;&lt;Year&gt;2017&lt;/Year&gt;&lt;Details&gt;&lt;_accessed&gt;62318022&lt;/_accessed&gt;&lt;_collection_scope&gt;SCI;SCIE;&lt;/_collection_scope&gt;&lt;_created&gt;62318022&lt;/_created&gt;&lt;_db_updated&gt;CrossRef&lt;/_db_updated&gt;&lt;_doi&gt;10.1007/s00330-016-4615-9&lt;/_doi&gt;&lt;_impact_factor&gt;   4.027&lt;/_impact_factor&gt;&lt;_isbn&gt;0938-7994&lt;/_isbn&gt;&lt;_issue&gt;6&lt;/_issue&gt;&lt;_journal&gt;European Radiology&lt;/_journal&gt;&lt;_modified&gt;62328467&lt;/_modified&gt;&lt;_pages&gt;2570-2582&lt;/_pages&gt;&lt;_tertiary_title&gt;Eur Radiol&lt;/_tertiary_title&gt;&lt;_url&gt;http://link.springer.com/10.1007/s00330-016-4615-9_x000d__x000a_http://link.springer.com/content/pdf/10.1007/s00330-016-4615-9.pdf&lt;/_url&gt;&lt;_volume&gt;27&lt;/_volume&gt;&lt;/Details&gt;&lt;Extra&gt;&lt;DBUID&gt;{0F92A3D0-C4D9-4119-B5F8-18CDCE6EC721}&lt;/DBUID&gt;&lt;/Extra&gt;&lt;/Item&gt;&lt;/References&gt;&lt;/Group&gt;&lt;/Citation&gt;_x000a_"/>
    <w:docVar w:name="NE.Ref{D90D7F82-8E57-42A2-BBA7-6C4D555472AF}" w:val=" ADDIN NE.Ref.{D90D7F82-8E57-42A2-BBA7-6C4D555472AF}&lt;Citation&gt;&lt;Group&gt;&lt;References&gt;&lt;Item&gt;&lt;ID&gt;7541&lt;/ID&gt;&lt;UID&gt;{B83395E3-D952-4A48-B7A8-4101625CAFDF}&lt;/UID&gt;&lt;Title&gt;DWI at MR Enterography for Evaluating Bowel Inflammation in Crohn Disease&lt;/Title&gt;&lt;Template&gt;Journal Article&lt;/Template&gt;&lt;Star&gt;0&lt;/Star&gt;&lt;Tag&gt;0&lt;/Tag&gt;&lt;Author&gt;Park, S H&lt;/Author&gt;&lt;Year&gt;2016&lt;/Year&gt;&lt;Details&gt;&lt;_accession_num&gt;26959382&lt;/_accession_num&gt;&lt;_author_adr&gt;1 Department of Radiology and Research Institute of Radiology, University of Ulsan College of Medicine, Asan Medical Center, 88, Olympic-ro 43-gil, Songpa-gu, Seoul 138-736, South Korea.&lt;/_author_adr&gt;&lt;_created&gt;62108218&lt;/_created&gt;&lt;_date&gt;2016-07-01&lt;/_date&gt;&lt;_date_display&gt;2016 Jul&lt;/_date_display&gt;&lt;_db_updated&gt;PubMed&lt;/_db_updated&gt;&lt;_doi&gt;10.2214/AJR.15.15862&lt;/_doi&gt;&lt;_impact_factor&gt;   3.125&lt;/_impact_factor&gt;&lt;_isbn&gt;1546-3141 (Electronic); 0361-803X (Linking)&lt;/_isbn&gt;&lt;_issue&gt;1&lt;/_issue&gt;&lt;_journal&gt;AJR Am J Roentgenol&lt;/_journal&gt;&lt;_keywords&gt;Contrast Media; Crohn Disease/*diagnostic imaging; *Diffusion Magnetic Resonance Imaging; Humans; Inflammation/diagnostic imagingCrohn disease; DWI; MR enterography; diffusion; inflammatory bowel disease&lt;/_keywords&gt;&lt;_language&gt;eng&lt;/_language&gt;&lt;_modified&gt;62328379&lt;/_modified&gt;&lt;_pages&gt;40-8&lt;/_pages&gt;&lt;_tertiary_title&gt;AJR. American journal of roentgenology&lt;/_tertiary_title&gt;&lt;_type_work&gt;Journal Article; Review&lt;/_type_work&gt;&lt;_url&gt;http://www.ncbi.nlm.nih.gov/entrez/query.fcgi?cmd=Retrieve&amp;amp;db=pubmed&amp;amp;dopt=Abstract&amp;amp;list_uids=26959382&amp;amp;query_hl=1&lt;/_url&gt;&lt;_volume&gt;207&lt;/_volume&gt;&lt;/Details&gt;&lt;Extra&gt;&lt;DBUID&gt;{0F92A3D0-C4D9-4119-B5F8-18CDCE6EC721}&lt;/DBUID&gt;&lt;/Extra&gt;&lt;/Item&gt;&lt;/References&gt;&lt;/Group&gt;&lt;/Citation&gt;_x000a_"/>
    <w:docVar w:name="NE.Ref{DB2348D9-0C01-446D-BECB-97E16175ED15}" w:val=" ADDIN NE.Ref.{DB2348D9-0C01-446D-BECB-97E16175ED15}&lt;Citation&gt;&lt;Group&gt;&lt;References&gt;&lt;Item&gt;&lt;ID&gt;10885&lt;/ID&gt;&lt;UID&gt;{170B7523-DC92-471D-889B-189711CA19A2}&lt;/UID&gt;&lt;Title&gt;The second European evidence-based Consensus on the diagnosis and management of Crohn&amp;apos;s disease: Definitions and diagnosis&lt;/Title&gt;&lt;Template&gt;Journal Article&lt;/Template&gt;&lt;Star&gt;0&lt;/Star&gt;&lt;Tag&gt;0&lt;/Tag&gt;&lt;Author&gt;Van Assche, G; Dignass, A; Panes, J; Beaugerie, L; Karagiannis, J; Allez, M; Ochsenkuhn, T; Orchard, T; Rogler, G; Louis, E; Kupcinskas, L; Mantzaris, G; Travis, S; Stange, E&lt;/Author&gt;&lt;Year&gt;2010&lt;/Year&gt;&lt;Details&gt;&lt;_accession_num&gt;21122488&lt;/_accession_num&gt;&lt;_author_adr&gt;Division of Gastroenterology, Leuven University Hospitals, 49 Herestraat, BE 3000 Leuven, Belgium. Gert.vanassche@uzleuven.be&lt;/_author_adr&gt;&lt;_collection_scope&gt;SCIE;&lt;/_collection_scope&gt;&lt;_created&gt;62157401&lt;/_created&gt;&lt;_date&gt;2010-02-01&lt;/_date&gt;&lt;_date_display&gt;2010 Feb&lt;/_date_display&gt;&lt;_db_updated&gt;PubMed&lt;/_db_updated&gt;&lt;_doi&gt;10.1016/j.crohns.2009.12.003&lt;/_doi&gt;&lt;_impact_factor&gt;   6.637&lt;/_impact_factor&gt;&lt;_isbn&gt;1876-4479 (Electronic); 1873-9946 (Linking)&lt;/_isbn&gt;&lt;_issue&gt;1&lt;/_issue&gt;&lt;_journal&gt;J Crohns Colitis&lt;/_journal&gt;&lt;_keywords&gt;Adolescent; Adult; Biopsy; Crohn Disease/classification/*diagnosis; Endoscopy, Gastrointestinal; Female; Humans; Intestinal Mucosa/pathology; Magnetic Resonance Imaging; Male; Medical History Taking; Physical Examination; Tomography, X-Ray Computed; Ultrasonography; Young Adult&lt;/_keywords&gt;&lt;_language&gt;eng&lt;/_language&gt;&lt;_modified&gt;62328394&lt;/_modified&gt;&lt;_pages&gt;7-27&lt;/_pages&gt;&lt;_tertiary_title&gt;Journal of Crohn&amp;apos;s &amp;amp;amp; colitis&lt;/_tertiary_title&gt;&lt;_type_work&gt;Consensus Development Conference; Journal Article&lt;/_type_work&gt;&lt;_url&gt;http://www.ncbi.nlm.nih.gov/entrez/query.fcgi?cmd=Retrieve&amp;amp;db=pubmed&amp;amp;dopt=Abstract&amp;amp;list_uids=21122488&amp;amp;query_hl=1&lt;/_url&gt;&lt;_volume&gt;4&lt;/_volume&gt;&lt;/Details&gt;&lt;Extra&gt;&lt;DBUID&gt;{0F92A3D0-C4D9-4119-B5F8-18CDCE6EC721}&lt;/DBUID&gt;&lt;/Extra&gt;&lt;/Item&gt;&lt;/References&gt;&lt;/Group&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DDD1292D-EF90-4B7A-9D87-A5B7BFF3C6AF}" w:val=" ADDIN NE.Ref.{DDD1292D-EF90-4B7A-9D87-A5B7BFF3C6AF}&lt;Citation&gt;&lt;Group&gt;&lt;References&gt;&lt;Item&gt;&lt;ID&gt;8036&lt;/ID&gt;&lt;UID&gt;{8BC0F91E-F28F-40B4-9887-ABA5857BBC87}&lt;/UID&gt;&lt;Title&gt;Diffusion-Weighted MR Enterography to Monitor Bowel Inflammation after Medical Therapy in Crohn&amp;apos;s Disease: A Prospective Longitudinal Study&lt;/Title&gt;&lt;Template&gt;Journal Article&lt;/Template&gt;&lt;Star&gt;0&lt;/Star&gt;&lt;Tag&gt;0&lt;/Tag&gt;&lt;Author&gt;Huh, J; Kim, K J; Park, S H; Park, S H; Yang, S K; Ye, B D; Park, S H; Han, K; Kim, A Y&lt;/Author&gt;&lt;Year&gt;2017&lt;/Year&gt;&lt;Details&gt;&lt;_accession_num&gt;28096726&lt;/_accession_num&gt;&lt;_author_adr&gt;Department of Radiology and Research Institute of Radiology, University of Ulsan  College of Medicine, Asan Medical Center, Seoul 05505, Korea.; Department of Gastroenterology, University of Ulsan College of Medicine, Asan Medical Center, Seoul 05505, Korea.; Department of Radiology and Research Institute of Radiology, University of Ulsan  College of Medicine, Asan Medical Center, Seoul 05505, Korea.; Department of Radiology and Research Institute of Radi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Gastroenterology, University of Ulsan College of Medicine, Asan Medical Center, Seoul 05505, Korea.; Department of Radiology and Research Institute of Radiological Science, Yonsei University College of Medicine, Seoul 03722, Korea.; Department of Radiology and Research Institute of Radiology, University of Ulsan  College of Medicine, Asan Medical Center, Seoul 05505, Korea.&lt;/_author_adr&gt;&lt;_collection_scope&gt;SCIE;&lt;/_collection_scope&gt;&lt;_created&gt;62116490&lt;/_created&gt;&lt;_date&gt;2017-01-01&lt;/_date&gt;&lt;_date_display&gt;2017 Jan-Feb&lt;/_date_display&gt;&lt;_db_updated&gt;PubMed&lt;/_db_updated&gt;&lt;_doi&gt;10.3348/kjr.2017.18.1.162&lt;/_doi&gt;&lt;_impact_factor&gt;   3.072&lt;/_impact_factor&gt;&lt;_isbn&gt;2005-8330 (Electronic); 1229-6929 (Linking)&lt;/_isbn&gt;&lt;_issue&gt;1&lt;/_issue&gt;&lt;_journal&gt;Korean J Radiol&lt;/_journal&gt;&lt;_keywords&gt;Adolescent; Adult; Anti-Inflammatory Agents, Non-Steroidal/therapeutic use; Crohn Disease/diagnostic imaging/drug therapy/*pathology; *Diffusion Magnetic Resonance Imaging; Endoscopy, Gastrointestinal; Female; Humans; Immunosuppressive Agents/therapeutic use; Inflammation/diagnostic imaging/pathology; Infliximab/therapeutic use; Intestine, Large/diagnostic imaging/pathology; Longitudinal Studies; Male; Prospective Studies; Treatment Outcome; Young Adult*Crohn; *Crohn&amp;apos;s; *Diffusion; *Diffusion-weighted; *Follow-up; *Longitudinal; *Magnetic resonance; *Magnetic resonance enterography; *Monitoring&lt;/_keywords&gt;&lt;_language&gt;eng&lt;/_language&gt;&lt;_modified&gt;62328387&lt;/_modified&gt;&lt;_pages&gt;162-172&lt;/_pages&gt;&lt;_tertiary_title&gt;Korean journal of radiology&lt;/_tertiary_title&gt;&lt;_type_work&gt;Journal Article; Research Support, Non-U.S. Gov&amp;apos;t&lt;/_type_work&gt;&lt;_url&gt;http://www.ncbi.nlm.nih.gov/entrez/query.fcgi?cmd=Retrieve&amp;amp;db=pubmed&amp;amp;dopt=Abstract&amp;amp;list_uids=28096726&amp;amp;query_hl=1&lt;/_url&gt;&lt;_volume&gt;18&lt;/_volume&gt;&lt;/Details&gt;&lt;Extra&gt;&lt;DBUID&gt;{0F92A3D0-C4D9-4119-B5F8-18CDCE6EC721}&lt;/DBUID&gt;&lt;/Extra&gt;&lt;/Item&gt;&lt;/References&gt;&lt;/Group&gt;&lt;/Citation&gt;_x000a_"/>
    <w:docVar w:name="NE.Ref{DEEB781A-B1B3-4B90-A214-4405C37E0D72}" w:val=" ADDIN NE.Ref.{DEEB781A-B1B3-4B90-A214-4405C37E0D72}&lt;Citation&gt;&lt;Group&gt;&lt;References&gt;&lt;Item&gt;&lt;ID&gt;24640&lt;/ID&gt;&lt;UID&gt;{1D515AFD-EA25-4C2E-91FE-04128FF50CF2}&lt;/UID&gt;&lt;Title&gt;Crohn&amp;apos;s disease&lt;/Title&gt;&lt;Template&gt;Journal Article&lt;/Template&gt;&lt;Star&gt;0&lt;/Star&gt;&lt;Tag&gt;0&lt;/Tag&gt;&lt;Author&gt;Torres, J; Mehandru, S; Colombel, J F; Peyrin-Biroulet, L&lt;/Author&gt;&lt;Year&gt;2017&lt;/Year&gt;&lt;Details&gt;&lt;_accessed&gt;62561351&lt;/_accessed&gt;&lt;_accession_num&gt;27914655&lt;/_accession_num&gt;&lt;_author_adr&gt;Division of Gastroenterology, Icahn School of Medicine at Mount Sinai, New York City, NY, USA.; Division of Gastroenterology, Icahn School of Medicine at Mount Sinai, New York City, NY, USA.; Division of Gastroenterology, Icahn School of Medicine at Mount Sinai, New York City, NY, USA. Electronic address: jean-frederic.colombel@mssm.edu.; Department of Gastroenterology, University Hospital of Nancy-Brabois, Vandoeuvre-les-Nancy, France.&lt;/_author_adr&gt;&lt;_collection_scope&gt;SCI;SCIE;&lt;/_collection_scope&gt;&lt;_created&gt;62560195&lt;/_created&gt;&lt;_date&gt;61706880&lt;/_date&gt;&lt;_date_display&gt;2017 Apr 29&lt;/_date_display&gt;&lt;_db_updated&gt;PubMed&lt;/_db_updated&gt;&lt;_doi&gt;10.1016/S0140-6736(16)31711-1&lt;/_doi&gt;&lt;_impact_factor&gt;  53.254&lt;/_impact_factor&gt;&lt;_isbn&gt;1474-547X (Electronic); 0140-6736 (Linking)&lt;/_isbn&gt;&lt;_issue&gt;10080&lt;/_issue&gt;&lt;_journal&gt;Lancet&lt;/_journal&gt;&lt;_keywords&gt;Biological Products/therapeutic use; Crohn Disease/*diagnosis/etiology/*therapy; Disease Management; Disease Progression; Drug Monitoring/methods; Humans; Remission Induction; Risk Factors&lt;/_keywords&gt;&lt;_language&gt;eng&lt;/_language&gt;&lt;_modified&gt;62561351&lt;/_modified&gt;&lt;_ori_publication&gt;Copyright (c) 2017 Elsevier Ltd. All rights reserved.&lt;/_ori_publication&gt;&lt;_pages&gt;1741-1755&lt;/_pages&gt;&lt;_tertiary_title&gt;Lancet (London, England)&lt;/_tertiary_title&gt;&lt;_type_work&gt;Journal Article; Review&lt;/_type_work&gt;&lt;_url&gt;http://www.ncbi.nlm.nih.gov/entrez/query.fcgi?cmd=Retrieve&amp;amp;db=pubmed&amp;amp;dopt=Abstract&amp;amp;list_uids=27914655&amp;amp;query_hl=1&lt;/_url&gt;&lt;_volume&gt;389&lt;/_volume&gt;&lt;/Details&gt;&lt;Extra&gt;&lt;DBUID&gt;{0F92A3D0-C4D9-4119-B5F8-18CDCE6EC721}&lt;/DBUID&gt;&lt;/Extra&gt;&lt;/Item&gt;&lt;/References&gt;&lt;/Group&gt;&lt;/Citation&gt;_x000a_"/>
    <w:docVar w:name="NE.Ref{E0FF6A77-FB22-4164-8492-E000653B7C13}" w:val=" ADDIN NE.Ref.{E0FF6A77-FB22-4164-8492-E000653B7C13}&lt;Citation&gt;&lt;Group&gt;&lt;References&gt;&lt;Item&gt;&lt;ID&gt;7534&lt;/ID&gt;&lt;UID&gt;{829E3E69-7F25-433D-8890-5598D6E0566F}&lt;/UID&gt;&lt;Title&gt;Advances in Use of Endoscopy, Radiology, and Biomarkers to Monitor Inflammatory Bowel Diseases&lt;/Title&gt;&lt;Template&gt;Journal Article&lt;/Template&gt;&lt;Star&gt;0&lt;/Star&gt;&lt;Tag&gt;0&lt;/Tag&gt;&lt;Author&gt;Panes, J; Jairath, V; Levesque, B G&lt;/Author&gt;&lt;Year&gt;2017&lt;/Year&gt;&lt;Details&gt;&lt;_accession_num&gt;27751880&lt;/_accession_num&gt;&lt;_author_adr&gt;Department of Gastroenterology Hospital Clinic of Barcelona, Institud d&amp;apos;Investigacions Biomediques August Pi i Sunyer (IDIBAPS), Centro de Investigacion Biomedica en Red Enfermedades Hepaticas y Digestivas (CIBERehd), Barcelona, Spain. Electronic address: jpanes@clinic.cat.; Department of Medicine, Department of Epidemiology and Biostatistics, Western University, London, Ontario, Canada; Robarts Clinical Trials. Inc, Western University, London, Ontario, Canada.; Robarts Clinical Trials. Inc, Western University, London, Ontario, Canada.&lt;/_author_adr&gt;&lt;_collection_scope&gt;SCI;SCIE;&lt;/_collection_scope&gt;&lt;_created&gt;62108213&lt;/_created&gt;&lt;_date&gt;2017-02-01&lt;/_date&gt;&lt;_date_display&gt;2017 Feb&lt;/_date_display&gt;&lt;_db_updated&gt;PubMed&lt;/_db_updated&gt;&lt;_doi&gt;10.1053/j.gastro.2016.10.005&lt;/_doi&gt;&lt;_impact_factor&gt;  20.773&lt;/_impact_factor&gt;&lt;_isbn&gt;1528-0012 (Electronic); 0016-5085 (Linking)&lt;/_isbn&gt;&lt;_issue&gt;2&lt;/_issue&gt;&lt;_journal&gt;Gastroenterology&lt;/_journal&gt;&lt;_keywords&gt;Biomarkers/metabolism; C-Reactive Protein/metabolism; *Endoscopy, Digestive System; Feces/chemistry; Humans; Inflammatory Bowel Diseases/diagnostic imaging/metabolism/*pathology/therapy; Lactoferrin/metabolism; Leukocyte L1 Antigen Complex/metabolism; Magnetic Resonance Imaging; Tomography, X-Ray Computed; Ultrasonography*Crohn&amp;apos;s Disease; *Outcomes; *Prognostic Factor; *Ulcerative Colitis&lt;/_keywords&gt;&lt;_language&gt;eng&lt;/_language&gt;&lt;_modified&gt;62328375&lt;/_modified&gt;&lt;_ori_publication&gt;Copyright (c) 2017 AGA Institute. Published by Elsevier Inc. All rights reserved.&lt;/_ori_publication&gt;&lt;_pages&gt;362-373.e3&lt;/_pages&gt;&lt;_tertiary_title&gt;Gastroenterology&lt;/_tertiary_title&gt;&lt;_type_work&gt;Journal Article; Review&lt;/_type_work&gt;&lt;_url&gt;http://www.ncbi.nlm.nih.gov/entrez/query.fcgi?cmd=Retrieve&amp;amp;db=pubmed&amp;amp;dopt=Abstract&amp;amp;list_uids=27751880&amp;amp;query_hl=1&lt;/_url&gt;&lt;_volume&gt;152&lt;/_volume&gt;&lt;/Details&gt;&lt;Extra&gt;&lt;DBUID&gt;{0F92A3D0-C4D9-4119-B5F8-18CDCE6EC721}&lt;/DBUID&gt;&lt;/Extra&gt;&lt;/Item&gt;&lt;/References&gt;&lt;/Group&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Citation&gt;_x000a_"/>
    <w:docVar w:name="NE.Ref{E4886272-95CD-4C7C-A073-A75CDACD394D}" w:val=" ADDIN NE.Ref.{E4886272-95CD-4C7C-A073-A75CDACD394D}&lt;Citation&gt;&lt;Group&gt;&lt;References&gt;&lt;Item&gt;&lt;ID&gt;14911&lt;/ID&gt;&lt;UID&gt;{2A16833D-58F6-4FA0-B233-08D5852742A7}&lt;/UID&gt;&lt;Title&gt;Simple measurements on diffusion-weighted MR imaging for assessment of complete response to neoadjuvant chemoradiotherapy in locally advanced rectal cancer&lt;/Title&gt;&lt;Template&gt;Journal Article&lt;/Template&gt;&lt;Star&gt;0&lt;/Star&gt;&lt;Tag&gt;5&lt;/Tag&gt;&lt;Author&gt;Cai, Pei-Qiang; Wu, Yao-Pan; An, Xin; Qiu, Xue; Kong, Ling-Heng; Liu, Guo-Chen; Xie, Chuan-Miao; Pan, Zhi-Zhong; Wu, Pei-Hong; Ding, Pei-Rong&lt;/Author&gt;&lt;Year&gt;2014&lt;/Year&gt;&lt;Details&gt;&lt;_accessed&gt;62375628&lt;/_accessed&gt;&lt;_collection_scope&gt;SCI;SCIE;&lt;/_collection_scope&gt;&lt;_created&gt;62375624&lt;/_created&gt;&lt;_db_updated&gt;CrossRef&lt;/_db_updated&gt;&lt;_doi&gt;10.1007/s00330-014-3251-5&lt;/_doi&gt;&lt;_impact_factor&gt;   4.027&lt;/_impact_factor&gt;&lt;_isbn&gt;0938-7994&lt;/_isbn&gt;&lt;_issue&gt;11&lt;/_issue&gt;&lt;_journal&gt;European Radiology&lt;/_journal&gt;&lt;_modified&gt;62682375&lt;/_modified&gt;&lt;_pages&gt;2962-2970&lt;/_pages&gt;&lt;_tertiary_title&gt;Eur Radiol&lt;/_tertiary_title&gt;&lt;_url&gt;http://link.springer.com/10.1007/s00330-014-3251-5_x000d__x000a_http://link.springer.com/content/pdf/10.1007/s00330-014-3251-5&lt;/_url&gt;&lt;_volume&gt;24&lt;/_volume&gt;&lt;/Details&gt;&lt;Extra&gt;&lt;DBUID&gt;{0F92A3D0-C4D9-4119-B5F8-18CDCE6EC721}&lt;/DBUID&gt;&lt;/Extra&gt;&lt;/Item&gt;&lt;/References&gt;&lt;/Group&gt;&lt;Group&gt;&lt;References&gt;&lt;Item&gt;&lt;ID&gt;36186&lt;/ID&gt;&lt;UID&gt;{5A2087C0-BBDF-44C4-9079-A52EAB135D3A}&lt;/UID&gt;&lt;Title&gt;Diffusion-weighted MRI of focal cystic pancreatic lesions at 3.0-Tesla: preliminary results&lt;/Title&gt;&lt;Template&gt;Journal Article&lt;/Template&gt;&lt;Star&gt;0&lt;/Star&gt;&lt;Tag&gt;0&lt;/Tag&gt;&lt;Author&gt;Mottola, J C; Sahni, V A; Erturk, S M; Swanson, R; Banks, P A; Mortele, K J&lt;/Author&gt;&lt;Year&gt;2012&lt;/Year&gt;&lt;Details&gt;&lt;_accession_num&gt;21512724&lt;/_accession_num&gt;&lt;_author_adr&gt;Division of Abdominal Imaging and Intervention, Department of Radiology, Brigham  and Women&amp;apos;s Hospital, Harvard Medical School, Boston, MA 02115, USA.&lt;/_author_adr&gt;&lt;_date_display&gt;2012 Feb&lt;/_date_display&gt;&lt;_date&gt;2012-02-01&lt;/_date&gt;&lt;_doi&gt;10.1007/s00261-011-9737-6&lt;/_doi&gt;&lt;_isbn&gt;1432-0509 (Electronic); 0942-8925 (Linking)&lt;/_isbn&gt;&lt;_issue&gt;1&lt;/_issue&gt;&lt;_journal&gt;Abdom Imaging&lt;/_journal&gt;&lt;_keywords&gt;Adolescent; Adult; Aged; Aged, 80 and over; Cystadenoma, Serous/diagnosis; *Diffusion Magnetic Resonance Imaging; Female; Humans; Male; Middle Aged; Pancreas/pathology; Pancreatic Cyst/*diagnosis; Pancreatic Neoplasms/*diagnosis; Young Adult&lt;/_keywords&gt;&lt;_language&gt;eng&lt;/_language&gt;&lt;_pages&gt;110-7&lt;/_pages&gt;&lt;_tertiary_title&gt;Abdominal imaging&lt;/_tertiary_title&gt;&lt;_type_work&gt;Journal Article&lt;/_type_work&gt;&lt;_url&gt;http://www.ncbi.nlm.nih.gov/entrez/query.fcgi?cmd=Retrieve&amp;amp;db=pubmed&amp;amp;dopt=Abstract&amp;amp;list_uids=21512724&amp;amp;query_hl=1&lt;/_url&gt;&lt;_volume&gt;37&lt;/_volume&gt;&lt;_created&gt;62733187&lt;/_created&gt;&lt;_modified&gt;62733187&lt;/_modified&gt;&lt;_db_updated&gt;PubMed&lt;/_db_updated&gt;&lt;_impact_factor&gt;   2.443&lt;/_impact_factor&gt;&lt;_collection_scope&gt;WoS-CC&lt;/_collection_scope&gt;&lt;/Details&gt;&lt;Extra&gt;&lt;DBUID&gt;{0F92A3D0-C4D9-4119-B5F8-18CDCE6EC721}&lt;/DBUID&gt;&lt;/Extra&gt;&lt;/Item&gt;&lt;/References&gt;&lt;/Group&gt;&lt;/Citation&gt;_x000a_"/>
    <w:docVar w:name="NE.Ref{E80FE2A7-6D33-4748-8FE1-6154E3983297}" w:val=" ADDIN NE.Ref.{E80FE2A7-6D33-4748-8FE1-6154E3983297}&lt;Citation&gt;&lt;Group&gt;&lt;References&gt;&lt;Item&gt;&lt;ID&gt;12413&lt;/ID&gt;&lt;UID&gt;{41B9986B-3453-4308-9BF3-E249B4C1A721}&lt;/UID&gt;&lt;Title&gt;Consensus Recommendations for Evaluation, Interpretation, and Utilization of Computed Tomography and Magnetic Resonance Enterography in Patients With Small Bowel Crohn&amp;apos;s Disease&lt;/Title&gt;&lt;Template&gt;Journal Article&lt;/Template&gt;&lt;Star&gt;0&lt;/Star&gt;&lt;Tag&gt;0&lt;/Tag&gt;&lt;Author&gt;Bruining, D H; Zimmermann, E M; Loftus, EV Jr; Sandborn, W J; Sauer, C G; Strong, S A&lt;/Author&gt;&lt;Year&gt;2018&lt;/Year&gt;&lt;Details&gt;&lt;_accessed&gt;62328512&lt;/_accessed&gt;&lt;_accession_num&gt;29319414&lt;/_accession_num&gt;&lt;_author_adr&gt;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 From the Division of Gastroenterology and Hepatology, Mayo Clinic, Rochester, Minn (D.H.B., E.V.L); Department of Gastroenterology, University of Florida, Gainesville, Fla (E.M.Z.); Division of Gastroenterology, University of California San Diego, San Diego, Calif (W.J.S); Division of Pediatric Gastroenterology, Emory University, Children&amp;apos;s Healthcare of Atlanta, Ga (C.G.S); and Division of GI Surgery, Northwestern Medicine, Chicago, Ill (S.A.S).&lt;/_author_adr&gt;&lt;_collection_scope&gt;SCI;SCIE;&lt;/_collection_scope&gt;&lt;_created&gt;62328510&lt;/_created&gt;&lt;_date&gt;62147520&lt;/_date&gt;&lt;_date_display&gt;2018 Mar&lt;/_date_display&gt;&lt;_db_updated&gt;PubMed&lt;/_db_updated&gt;&lt;_doi&gt;10.1148/radiol.2018171737&lt;/_doi&gt;&lt;_impact_factor&gt;   7.469&lt;/_impact_factor&gt;&lt;_isbn&gt;1527-1315 (Electronic); 0033-8419 (Linking)&lt;/_isbn&gt;&lt;_issue&gt;3&lt;/_issue&gt;&lt;_journal&gt;Radiology&lt;/_journal&gt;&lt;_keywords&gt;Crohn Disease/*diagnostic imaging; Humans; Image Interpretation, Computer-Assisted/methods; Intestine, Small/*diagnostic imaging; Magnetic Resonance Imaging/*methods; Mesentery/diagnostic imaging; Peritonitis/diagnostic imaging; Tomography, X-Ray Computed/*methods&lt;/_keywords&gt;&lt;_language&gt;eng&lt;/_language&gt;&lt;_modified&gt;62328512&lt;/_modified&gt;&lt;_pages&gt;776-799&lt;/_pages&gt;&lt;_tertiary_title&gt;Radiology&lt;/_tertiary_title&gt;&lt;_type_work&gt;Consensus Development Conference; Journal Article&lt;/_type_work&gt;&lt;_url&gt;http://www.ncbi.nlm.nih.gov/entrez/query.fcgi?cmd=Retrieve&amp;amp;db=pubmed&amp;amp;dopt=Abstract&amp;amp;list_uids=29319414&amp;amp;query_hl=1&lt;/_url&gt;&lt;_volume&gt;286&lt;/_volume&gt;&lt;/Details&gt;&lt;Extra&gt;&lt;DBUID&gt;{0F92A3D0-C4D9-4119-B5F8-18CDCE6EC721}&lt;/DBUID&gt;&lt;/Extra&gt;&lt;/Item&gt;&lt;/References&gt;&lt;/Group&gt;&lt;Group&gt;&lt;References&gt;&lt;Item&gt;&lt;ID&gt;36185&lt;/ID&gt;&lt;UID&gt;{D0BF0230-9DFC-496D-A4AD-508DD93EE0BD}&lt;/UID&gt;&lt;Title&gt;Consensus Recommendations for Evaluation, Interpretation, and Utilization of Computed Tomography and Magnetic Resonance Enterography in Patients With Small Bowel Crohn&amp;apos;s Disease&lt;/Title&gt;&lt;Template&gt;Journal Article&lt;/Template&gt;&lt;Star&gt;0&lt;/Star&gt;&lt;Tag&gt;0&lt;/Tag&gt;&lt;Author&gt;Bruining, D H; Zimmermann, E M; Loftus, EV Jr; Sandborn, W J; Sauer, C G; Strong, S A&lt;/Author&gt;&lt;Year&gt;2018&lt;/Year&gt;&lt;Details&gt;&lt;_accession_num&gt;29329905&lt;/_accession_num&gt;&lt;_author_adr&gt;Division of Gastroenterology and Hepatology, Mayo Clinic, Rochester, Minnesota.; Department of Gastroenterology, University of Florida, Gainesville, Florida.; Division of Gastroenterology and Hepatology, Mayo Clinic, Rochester, Minnesota.; Division of Gastroenterology, University of California San Diego, San Diego, California.; Division of Pediatric Gastroenterology, Emory University, Children&amp;apos;s Healthcare of Atlanta, Atlanta, Georgia.; Division of GI Surgery, Northwestern Medicine, Chicago, Illinois.&lt;/_author_adr&gt;&lt;_date_display&gt;2018 Mar&lt;/_date_display&gt;&lt;_date&gt;2018-03-01&lt;/_date&gt;&lt;_doi&gt;10.1053/j.gastro.2017.11.274&lt;/_doi&gt;&lt;_isbn&gt;1528-0012 (Electronic); 0016-5085 (Linking)&lt;/_isbn&gt;&lt;_issue&gt;4&lt;/_issue&gt;&lt;_journal&gt;Gastroenterology&lt;/_journal&gt;&lt;_keywords&gt;Consensus; Crohn Disease/*diagnostic imaging/therapy; Evidence-Based Medicine/standards; Gastroenterology/*standards; Humans; Intestine, Small/*diagnostic imaging; Magnetic Resonance Imaging/*standards/statistics &amp;amp;amp; numerical data; Predictive Value of Tests; Prognosis; Reproducibility of Results; Tomography, X-Ray Computed/*standards/statistics &amp;amp;amp; numerical data&lt;/_keywords&gt;&lt;_language&gt;eng&lt;/_language&gt;&lt;_ori_publication&gt;Copyright (c) 2018 AGA Institute, RSNA, and Society of Abdominal Radiology._x000d__x000a_      Published by Elsevier Inc. All rights reserved.&lt;/_ori_publication&gt;&lt;_pages&gt;1172-1194&lt;/_pages&gt;&lt;_tertiary_title&gt;Gastroenterology&lt;/_tertiary_title&gt;&lt;_type_work&gt;Journal Article; Practice Guideline; Research Support, Non-U.S. Gov&amp;apos;t; Review&lt;/_type_work&gt;&lt;_url&gt;http://www.ncbi.nlm.nih.gov/entrez/query.fcgi?cmd=Retrieve&amp;amp;db=pubmed&amp;amp;dopt=Abstract&amp;amp;list_uids=29329905&amp;amp;query_hl=1&lt;/_url&gt;&lt;_volume&gt;154&lt;/_volume&gt;&lt;_created&gt;62733164&lt;/_created&gt;&lt;_modified&gt;62733164&lt;/_modified&gt;&lt;_db_updated&gt;PubMed&lt;/_db_updated&gt;&lt;_impact_factor&gt;  20.773&lt;/_impact_factor&gt;&lt;_collection_scope&gt;SCI;SCIE&lt;/_collection_scope&gt;&lt;/Details&gt;&lt;Extra&gt;&lt;DBUID&gt;{0F92A3D0-C4D9-4119-B5F8-18CDCE6EC721}&lt;/DBUID&gt;&lt;/Extra&gt;&lt;/Item&gt;&lt;/References&gt;&lt;/Group&gt;&lt;/Citation&gt;_x000a_"/>
    <w:docVar w:name="NE.Ref{E9999510-6FBF-45D1-B0CD-FE3822300EFA}" w:val=" ADDIN NE.Ref.{E9999510-6FBF-45D1-B0CD-FE3822300EFA}&lt;Citation&gt;&lt;Group&gt;&lt;References&gt;&lt;Item&gt;&lt;ID&gt;35249&lt;/ID&gt;&lt;UID&gt;{EA7AFD9E-0906-46C5-9F55-9E66497032A2}&lt;/UID&gt;&lt;Title&gt;Magnetic resonance imaging may predict deep remission in patients with perianal fistulizing Crohn&amp;apos;s disease&lt;/Title&gt;&lt;Template&gt;Journal Article&lt;/Template&gt;&lt;Star&gt;0&lt;/Star&gt;&lt;Tag&gt;0&lt;/Tag&gt;&lt;Author&gt;Thomassin, L; Armengol-Debeir, L; Charpentier, C; Bridoux, V; Koning, E; Savoye, G; Savoye-Collet, C&lt;/Author&gt;&lt;Year&gt;2017&lt;/Year&gt;&lt;Details&gt;&lt;_accession_num&gt;28694669&lt;/_accession_num&gt;&lt;_author_adr&gt;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 Lucie Thomassin, Laura Armengol-Debeir, Cloe Charpentier, Guillaume Savoye, Department of Gastroenterology, Rouen University Hospital, University of Rouen, F-76031 Rouen, France.&lt;/_author_adr&gt;&lt;_created&gt;62714334&lt;/_created&gt;&lt;_date&gt;2017-06-21&lt;/_date&gt;&lt;_date_display&gt;2017 Jun 21&lt;/_date_display&gt;&lt;_db_updated&gt;PubMed&lt;/_db_updated&gt;&lt;_doi&gt;10.3748/wjg.v23.i23.4285&lt;/_doi&gt;&lt;_impact_factor&gt;   3.300&lt;/_impact_factor&gt;&lt;_isbn&gt;2219-2840 (Electronic); 1007-9327 (Linking)&lt;/_isbn&gt;&lt;_issue&gt;23&lt;/_issue&gt;&lt;_journal&gt;World J Gastroenterol&lt;/_journal&gt;&lt;_keywords&gt;Adalimumab/therapeutic use; Adolescent; Adult; Aged; Albumins/chemistry; Antibodies, Monoclonal/therapeutic use; C-Reactive Protein/chemistry; Crohn Disease/*diagnostic imaging/therapy; Female; Gastrointestinal Agents/therapeutic use; Humans; Infliximab/therapeutic use; *Magnetic Resonance Imaging; Male; Middle Aged; Multivariate Analysis; Rectal Fistula/*diagnostic imaging/therapy; Remission Induction; Treatment Outcome; Tumor Necrosis Factor-alpha/antagonists &amp;amp;amp; inhibitors; Young AdultAnal fistula; Anus disease/diagnosis; Biotherapy; Crohn&amp;apos;s disease; Magnetic resonance imaging&lt;/_keywords&gt;&lt;_language&gt;eng&lt;/_language&gt;&lt;_modified&gt;62731983&lt;/_modified&gt;&lt;_pages&gt;4285-4292&lt;/_pages&gt;&lt;_tertiary_title&gt;World journal of gastroenterology&lt;/_tertiary_title&gt;&lt;_type_work&gt;Journal Article; Observational Study&lt;/_type_work&gt;&lt;_url&gt;http://www.ncbi.nlm.nih.gov/entrez/query.fcgi?cmd=Retrieve&amp;amp;db=pubmed&amp;amp;dopt=Abstract&amp;amp;list_uids=28694669&amp;amp;query_hl=1&lt;/_url&gt;&lt;_volume&gt;23&lt;/_volume&gt;&lt;/Details&gt;&lt;Extra&gt;&lt;DBUID&gt;{0F92A3D0-C4D9-4119-B5F8-18CDCE6EC721}&lt;/DBUID&gt;&lt;/Extra&gt;&lt;/Item&gt;&lt;/References&gt;&lt;/Group&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0&lt;/ID&gt;&lt;UID&gt;{0917EC9A-1FD0-4026-B2F8-58CA41316298}&lt;/UID&gt;&lt;Title&gt;Evaluation of conventional, dynamic contrast enhanced and diffusion weighted MRI  for quantitative Crohn&amp;apos;s disease assessment with histopathology of surgical specimens&lt;/Title&gt;&lt;Template&gt;Journal Article&lt;/Template&gt;&lt;Star&gt;0&lt;/Star&gt;&lt;Tag&gt;0&lt;/Tag&gt;&lt;Author&gt;Tielbeek, J A; Ziech, M L; Li, Z; Lavini, C; Bipat, S; Bemelman, W A; Roelofs, J J; Ponsioen, C Y; Vos, F M; Stoker, J&lt;/Author&gt;&lt;Year&gt;2014&lt;/Year&gt;&lt;Details&gt;&lt;_accession_num&gt;24037299&lt;/_accession_num&gt;&lt;_author_adr&gt;Academic Medical Center, Department of Radiology, University of Amsterdam, Meibergdreef 9, 1105AZ, Amsterdam, The Netherlands, j.a.w.tielbeek@amc.uva.nl.&lt;/_author_adr&gt;&lt;_collection_scope&gt;SCI;SCIE;&lt;/_collection_scope&gt;&lt;_created&gt;62108217&lt;/_created&gt;&lt;_date&gt;2014-03-01&lt;/_date&gt;&lt;_date_display&gt;2014 Mar&lt;/_date_display&gt;&lt;_db_updated&gt;PubMed&lt;/_db_updated&gt;&lt;_doi&gt;10.1007/s00330-013-3015-7&lt;/_doi&gt;&lt;_impact_factor&gt;   4.027&lt;/_impact_factor&gt;&lt;_isbn&gt;1432-1084 (Electronic); 0938-7994 (Linking)&lt;/_isbn&gt;&lt;_issue&gt;3&lt;/_issue&gt;&lt;_journal&gt;Eur Radiol&lt;/_journal&gt;&lt;_keywords&gt;Adult; Aged; Biopsy; Colon/*pathology/surgery; Contrast Media; Crohn Disease/diagnosis/*pathology/surgery; Diffusion Magnetic Resonance Imaging; Female; Humans; Ileum/*pathology/surgery; Magnetic Resonance Imaging/*methods; Male; Middle Aged; Prospective Studies; Young Adult&lt;/_keywords&gt;&lt;_language&gt;eng&lt;/_language&gt;&lt;_modified&gt;62328376&lt;/_modified&gt;&lt;_pages&gt;619-29&lt;/_pages&gt;&lt;_tertiary_title&gt;European radiology&lt;/_tertiary_title&gt;&lt;_type_work&gt;Clinical Trial; Comparative Study; Journal Article; Research Support, Non-U.S. Gov&amp;apos;t&lt;/_type_work&gt;&lt;_url&gt;http://www.ncbi.nlm.nih.gov/entrez/query.fcgi?cmd=Retrieve&amp;amp;db=pubmed&amp;amp;dopt=Abstract&amp;amp;list_uids=24037299&amp;amp;query_hl=1 _x000d__x000a_https://link.springer.com/content/pdf/10.1007%2Fs00330-013-3015-7.pdf 全文链接_x000d__x000a_&lt;/_url&gt;&lt;_volume&gt;24&lt;/_volume&gt;&lt;/Details&gt;&lt;Extra&gt;&lt;DBUID&gt;{0F92A3D0-C4D9-4119-B5F8-18CDCE6EC721}&lt;/DBUID&gt;&lt;/Extra&gt;&lt;/Item&gt;&lt;/References&gt;&lt;/Group&gt;&lt;Group&gt;&lt;References&gt;&lt;Item&gt;&lt;ID&gt;36184&lt;/ID&gt;&lt;UID&gt;{8DE5CB2D-B328-4A99-AE86-9DD41ED99E9B}&lt;/UID&gt;&lt;Title&gt;Volumetric Apparent Diffusion Coefficient Histogram Analysis in Differentiating Intrahepatic Mass-Forming Cholangiocarcinoma From Hepatocellular Carcinoma&lt;/Title&gt;&lt;Template&gt;Journal Article&lt;/Template&gt;&lt;Star&gt;0&lt;/Star&gt;&lt;Tag&gt;0&lt;/Tag&gt;&lt;Author&gt;Zou, X; Luo, Y; Li, Z; Hu, Y; Li, H; Tang, H; Shen, Y; Hu, D; Kamel, I R&lt;/Author&gt;&lt;Year&gt;2019&lt;/Year&gt;&lt;Details&gt;&lt;_accession_num&gt;30277628&lt;/_accession_num&gt;&lt;_author_adr&gt;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Department of Radiology, Tongji Hospital, Tongji Medical College, Huazhong University of Science and Technology, Wuhan, China.; Russell H. Morgan Department of Radiology and Radiological Science, the Johns Hopkins Medical Institutions, Baltimore, Maryland, USA.&lt;/_author_adr&gt;&lt;_date_display&gt;2019 Apr&lt;/_date_display&gt;&lt;_date&gt;2019-04-01&lt;/_date&gt;&lt;_doi&gt;10.1002/jmri.26253&lt;/_doi&gt;&lt;_isbn&gt;1522-2586 (Electronic); 1053-1807 (Linking)&lt;/_isbn&gt;&lt;_issue&gt;4&lt;/_issue&gt;&lt;_journal&gt;J Magn Reson Imaging&lt;/_journal&gt;&lt;_keywords&gt;apparent diffusion coefficient; cholangiocarcinoma; hepatocellular carcinoma; histogram analysis; magnetic resonance imaging&lt;/_keywords&gt;&lt;_language&gt;eng&lt;/_language&gt;&lt;_ori_publication&gt;(c) 2018 International Society for Magnetic Resonance in Medicine.&lt;/_ori_publication&gt;&lt;_pages&gt;975-983&lt;/_pages&gt;&lt;_tertiary_title&gt;Journal of magnetic resonance imaging : JMRI&lt;/_tertiary_title&gt;&lt;_type_work&gt;Journal Article&lt;/_type_work&gt;&lt;_url&gt;http://www.ncbi.nlm.nih.gov/entrez/query.fcgi?cmd=Retrieve&amp;amp;db=pubmed&amp;amp;dopt=Abstract&amp;amp;list_uids=30277628&amp;amp;query_hl=1&lt;/_url&gt;&lt;_volume&gt;49&lt;/_volume&gt;&lt;_created&gt;62733161&lt;/_created&gt;&lt;_modified&gt;62733161&lt;/_modified&gt;&lt;_db_updated&gt;PubMed&lt;/_db_updated&gt;&lt;_impact_factor&gt;   3.612&lt;/_impact_factor&gt;&lt;_collection_scope&gt;SCI;SCIE&lt;/_collection_scope&gt;&lt;/Details&gt;&lt;Extra&gt;&lt;DBUID&gt;{0F92A3D0-C4D9-4119-B5F8-18CDCE6EC721}&lt;/DBUID&gt;&lt;/Extra&gt;&lt;/Item&gt;&lt;/References&gt;&lt;/Group&gt;&lt;Group&gt;&lt;References&gt;&lt;Item&gt;&lt;ID&gt;7543&lt;/ID&gt;&lt;UID&gt;{3642F083-450F-4BFA-8BD1-9E60AF3F2624}&lt;/UID&gt;&lt;Title&gt;Diffusion-weighted magnetic resonance imaging is effective to detect ileocolonic  ulcerations in Crohn&amp;apos;s disease&lt;/Title&gt;&lt;Template&gt;Journal Article&lt;/Template&gt;&lt;Star&gt;0&lt;/Star&gt;&lt;Tag&gt;5&lt;/Tag&gt;&lt;Author&gt;Buisson, A; Hordonneau, C; Goutte, M; Boyer, L; Pereira, B; Bommelaer, G&lt;/Author&gt;&lt;Year&gt;2015&lt;/Year&gt;&lt;Details&gt;&lt;_accession_num&gt;26088810&lt;/_accession_num&gt;&lt;_author_adr&gt;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Gastroenterology department, University Hospital Estaing, Clermont-Ferrand, France.; Microbes, Intestine, Inflammation and Susceptibility of the Host, UMR 1071 Inserm/Universite d&amp;apos;Auvergne; USCINRA 2018, Clermont-Ferrand, France.; Radiology Department, University Hospital Estaing, Clermont-Ferrand, France.; ISIT UMR 6284 CNRS UdA, Clermont-Ferrand, France.; Biostatistics Unit- DRCI, GM Clermont-Ferrand University and Medical Center, Clermont-Ferrand, France.; Gastroenterology department, University Hospital Estaing, Clermont-Ferrand, France.; Microbes, Intestine, Inflammation and Susceptibility of the Host, UMR 1071 Inserm/Universite d&amp;apos;Auvergne; USCINRA 2018, Clermont-Ferrand, France.&lt;/_author_adr&gt;&lt;_created&gt;62108219&lt;/_created&gt;&lt;_date&gt;2015-08-01&lt;/_date&gt;&lt;_date_display&gt;2015 Aug&lt;/_date_display&gt;&lt;_db_updated&gt;PubMed&lt;/_db_updated&gt;&lt;_doi&gt;10.1111/apt.13287&lt;/_doi&gt;&lt;_impact_factor&gt;   7.357&lt;/_impact_factor&gt;&lt;_isbn&gt;1365-2036 (Electronic); 0269-2813 (Linking)&lt;/_isbn&gt;&lt;_issue&gt;4&lt;/_issue&gt;&lt;_journal&gt;Aliment Pharmacol Ther&lt;/_journal&gt;&lt;_keywords&gt;Adolescent; Adult; Child; Crohn Disease/*diagnosis; Diffusion Magnetic Resonance Imaging/*methods; Female; Humans; Ileum/*pathology; Intestines/*pathology; Male; Sensitivity and Specificity; Young Adult&lt;/_keywords&gt;&lt;_language&gt;eng&lt;/_language&gt;&lt;_modified&gt;62482607&lt;/_modified&gt;&lt;_ori_publication&gt;(c) 2015 John Wiley &amp;amp;amp; Sons Ltd.&lt;/_ori_publication&gt;&lt;_pages&gt;452-60&lt;/_pages&gt;&lt;_tertiary_title&gt;Alimentary pharmacology &amp;amp;amp; therapeutics&lt;/_tertiary_title&gt;&lt;_type_work&gt;Journal Article&lt;/_type_work&gt;&lt;_url&gt;http://www.ncbi.nlm.nih.gov/entrez/query.fcgi?cmd=Retrieve&amp;amp;db=pubmed&amp;amp;dopt=Abstract&amp;amp;list_uids=26088810&amp;amp;query_hl=1 _x000d__x000a_http://onlinelibrary.wiley.com/doi/10.1111/apt.13287/pdf 全文链接_x000d__x000a_&lt;/_url&gt;&lt;_volume&gt;42&lt;/_volume&gt;&lt;/Details&gt;&lt;Extra&gt;&lt;DBUID&gt;{0F92A3D0-C4D9-4119-B5F8-18CDCE6EC721}&lt;/DBUID&gt;&lt;/Extra&gt;&lt;/Item&gt;&lt;/References&gt;&lt;/Group&gt;&lt;/Citation&gt;_x000a_"/>
    <w:docVar w:name="NE.Ref{EB00937D-074D-4014-B1B6-174EE8960D71}" w:val=" ADDIN NE.Ref.{EB00937D-074D-4014-B1B6-174EE8960D71}&lt;Citation&gt;&lt;Group&gt;&lt;References&gt;&lt;Item&gt;&lt;ID&gt;7538&lt;/ID&gt;&lt;UID&gt;{CAAB5C63-CC79-4358-BE7A-46B68E3A1C97}&lt;/UID&gt;&lt;Title&gt;Diffusion-weighted MRI Enables to Accurately Grade Inflammatory Activity in Patients of Ileocolonic Crohn&amp;apos;s Disease: Results from an Observational Study&lt;/Title&gt;&lt;Template&gt;Journal Article&lt;/Template&gt;&lt;Star&gt;0&lt;/Star&gt;&lt;Tag&gt;0&lt;/Tag&gt;&lt;Author&gt;Li, X H; Sun, C H; Mao, R; Huang, S Y; Zhang, Z W; Yang, X F; Huang, L; Lin, J J; Zhang, J; Ben-Horin, S; Feng, S T; Chen, M H; Li, Z P&lt;/Author&gt;&lt;Year&gt;2017&lt;/Year&gt;&lt;Details&gt;&lt;_accession_num&gt;28079618&lt;/_accession_num&gt;&lt;_author_adr&gt;Departments of *Radiology, and daggerGastroenterology, The First Affiliated Hospital, Sun Yat-Sen University, Guangzhou, China; double daggerDepartment of Biomedical Engineering, Cancer Biology and Radiology, Wake Forest School of Medicine, Winston-Salam, North Carolina; section signClinical Research Center, The ZhongShan Ophthalmic Center, Sun Yat-Sen University, Guangzhou, China; and ||IBD Service, Department of Gastroenterology, Sheba Medical Center, Sackler School of Medicine, Tel-Aviv University, Tel Hashomer, Israel.&lt;/_author_adr&gt;&lt;_collection_scope&gt;SCI;SCIE;&lt;/_collection_scope&gt;&lt;_created&gt;62108216&lt;/_created&gt;&lt;_date&gt;2017-02-01&lt;/_date&gt;&lt;_date_display&gt;2017 Feb&lt;/_date_display&gt;&lt;_db_updated&gt;PubMed&lt;/_db_updated&gt;&lt;_doi&gt;10.1097/MIB.0000000000001001&lt;/_doi&gt;&lt;_impact_factor&gt;   4.347&lt;/_impact_factor&gt;&lt;_isbn&gt;1536-4844 (Electronic); 1078-0998 (Linking)&lt;/_isbn&gt;&lt;_issue&gt;2&lt;/_issue&gt;&lt;_journal&gt;Inflamm Bowel Dis&lt;/_journal&gt;&lt;_language&gt;eng&lt;/_language&gt;&lt;_modified&gt;62328378&lt;/_modified&gt;&lt;_pages&gt;244-253&lt;/_pages&gt;&lt;_tertiary_title&gt;Inflammatory bowel diseases&lt;/_tertiary_title&gt;&lt;_type_work&gt;Journal Article&lt;/_type_work&gt;&lt;_url&gt;http://www.ncbi.nlm.nih.gov/entrez/query.fcgi?cmd=Retrieve&amp;amp;db=pubmed&amp;amp;dopt=Abstract&amp;amp;list_uids=28079618&amp;amp;query_hl=1 _x000d__x000a_https://academic.oup.com/ibdjournal/article-pdf/23/2/244/21873559/ibd00244.pdf 全文链接_x000d__x000a_&lt;/_url&gt;&lt;_volume&gt;23&lt;/_volume&gt;&lt;/Details&gt;&lt;Extra&gt;&lt;DBUID&gt;{0F92A3D0-C4D9-4119-B5F8-18CDCE6EC721}&lt;/DBUID&gt;&lt;/Extra&gt;&lt;/Item&gt;&lt;/References&gt;&lt;/Group&gt;&lt;Group&gt;&lt;References&gt;&lt;Item&gt;&lt;ID&gt;7540&lt;/ID&gt;&lt;UID&gt;{0917EC9A-1FD0-4026-B2F8-58CA41316298}&lt;/UID&gt;&lt;Title&gt;Evaluation of conventional, dynamic contrast enhanced and diffusion weighted MRI  for quantitative Crohn&amp;apos;s disease assessment with histopathology of surgical specimens&lt;/Title&gt;&lt;Template&gt;Journal Article&lt;/Template&gt;&lt;Star&gt;0&lt;/Star&gt;&lt;Tag&gt;0&lt;/Tag&gt;&lt;Author&gt;Tielbeek, J A; Ziech, M L; Li, Z; Lavini, C; Bipat, S; Bemelman, W A; Roelofs, J J; Ponsioen, C Y; Vos, F M; Stoker, J&lt;/Author&gt;&lt;Year&gt;2014&lt;/Year&gt;&lt;Details&gt;&lt;_accession_num&gt;24037299&lt;/_accession_num&gt;&lt;_author_adr&gt;Academic Medical Center, Department of Radiology, University of Amsterdam, Meibergdreef 9, 1105AZ, Amsterdam, The Netherlands, j.a.w.tielbeek@amc.uva.nl.&lt;/_author_adr&gt;&lt;_collection_scope&gt;SCI;SCIE;&lt;/_collection_scope&gt;&lt;_created&gt;62108217&lt;/_created&gt;&lt;_date&gt;2014-03-01&lt;/_date&gt;&lt;_date_display&gt;2014 Mar&lt;/_date_display&gt;&lt;_db_updated&gt;PubMed&lt;/_db_updated&gt;&lt;_doi&gt;10.1007/s00330-013-3015-7&lt;/_doi&gt;&lt;_impact_factor&gt;   4.027&lt;/_impact_factor&gt;&lt;_isbn&gt;1432-1084 (Electronic); 0938-7994 (Linking)&lt;/_isbn&gt;&lt;_issue&gt;3&lt;/_issue&gt;&lt;_journal&gt;Eur Radiol&lt;/_journal&gt;&lt;_keywords&gt;Adult; Aged; Biopsy; Colon/*pathology/surgery; Contrast Media; Crohn Disease/diagnosis/*pathology/surgery; Diffusion Magnetic Resonance Imaging; Female; Humans; Ileum/*pathology/surgery; Magnetic Resonance Imaging/*methods; Male; Middle Aged; Prospective Studies; Young Adult&lt;/_keywords&gt;&lt;_language&gt;eng&lt;/_language&gt;&lt;_modified&gt;62328376&lt;/_modified&gt;&lt;_pages&gt;619-29&lt;/_pages&gt;&lt;_tertiary_title&gt;European radiology&lt;/_tertiary_title&gt;&lt;_type_work&gt;Clinical Trial; Comparative Study; Journal Article; Research Support, Non-U.S. Gov&amp;apos;t&lt;/_type_work&gt;&lt;_url&gt;http://www.ncbi.nlm.nih.gov/entrez/query.fcgi?cmd=Retrieve&amp;amp;db=pubmed&amp;amp;dopt=Abstract&amp;amp;list_uids=24037299&amp;amp;query_hl=1 _x000d__x000a_https://link.springer.com/content/pdf/10.1007%2Fs00330-013-3015-7.pdf 全文链接_x000d__x000a_&lt;/_url&gt;&lt;_volume&gt;24&lt;/_volume&gt;&lt;/Details&gt;&lt;Extra&gt;&lt;DBUID&gt;{0F92A3D0-C4D9-4119-B5F8-18CDCE6EC721}&lt;/DBUID&gt;&lt;/Extra&gt;&lt;/Item&gt;&lt;/References&gt;&lt;/Group&gt;&lt;/Citation&gt;_x000a_"/>
    <w:docVar w:name="NE.Ref{EBFBC79E-7F97-472F-A422-77FEA09AB10E}" w:val=" ADDIN NE.Ref.{EBFBC79E-7F97-472F-A422-77FEA09AB10E}&lt;Citation&gt;&lt;Group&gt;&lt;References&gt;&lt;Item&gt;&lt;ID&gt;7544&lt;/ID&gt;&lt;UID&gt;{7D706396-F7D4-4655-B389-7A0AE2EB878F}&lt;/UID&gt;&lt;Title&gt;MR Enterography for the Evaluation of Small-Bowel Inflammation in Crohn Disease by Using Diffusion-weighted Imaging without Intravenous Contrast Material: A Prospective Noninferiority Study&lt;/Title&gt;&lt;Template&gt;Journal Article&lt;/Template&gt;&lt;Star&gt;0&lt;/Star&gt;&lt;Tag&gt;0&lt;/Tag&gt;&lt;Author&gt;Seo, N; Park, S H; Kim, K J; Kang, B K; Lee, Y; Yang, S K; Ye, B D; Park, S H; Kim, S Y; Baek, S; Han, K; Ha, H K&lt;/Author&gt;&lt;Year&gt;2016&lt;/Year&gt;&lt;Details&gt;&lt;_accession_num&gt;26348103&lt;/_accession_num&gt;&lt;_author_adr&gt;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 From the Department of Radiology and Research Institute of Radiology (N.S., Seong H. Park, S.Y.K., H.K.H.), Department of Gastroenterology (K.J.K., S.K.Y., B.D.Y., Sang H. Park), and Department of Clinical Epidemiology and Biostatistics (S.B.),  University of Ulsan College of Medicine, Asan Medical Center, 88 Olympic-ro 43-gil, Songpa-gu, Seoul, South Korea; Department of Radiology, Hanyang University Medical Center, Seoul, South Korea (B.K.K.); Department of Radiology,  Inje University College of Medicine, Busan, South Korea (Y.L.); and Biostatistics Collaboration Unit, Gangnam Medical Research Center, Yonsei University College of Medicine, Seoul, South Korea (K.H.).&lt;/_author_adr&gt;&lt;_collection_scope&gt;SCI;SCIE;&lt;/_collection_scope&gt;&lt;_created&gt;62108220&lt;/_created&gt;&lt;_date&gt;2016-03-01&lt;/_date&gt;&lt;_date_display&gt;2016 Mar&lt;/_date_display&gt;&lt;_db_updated&gt;PubMed&lt;/_db_updated&gt;&lt;_doi&gt;10.1148/radiol.2015150809&lt;/_doi&gt;&lt;_impact_factor&gt;   7.469&lt;/_impact_factor&gt;&lt;_isbn&gt;1527-1315 (Electronic); 0033-8419 (Linking)&lt;/_isbn&gt;&lt;_issue&gt;3&lt;/_issue&gt;&lt;_journal&gt;Radiology&lt;/_journal&gt;&lt;_keywords&gt;Adult; Crohn Disease/*pathology; Diffusion Magnetic Resonance Imaging/*methods; Endoscopy, Gastrointestinal; Female; Humans; Inflammation/pathology; Intestine, Small/*pathology; Male; Prospective Studies; Reproducibility of Results; Sensitivity and Specificity; Severity of Illness Index&lt;/_keywords&gt;&lt;_language&gt;eng&lt;/_language&gt;&lt;_modified&gt;62328377&lt;/_modified&gt;&lt;_pages&gt;762-72&lt;/_pages&gt;&lt;_tertiary_title&gt;Radiology&lt;/_tertiary_title&gt;&lt;_type_work&gt;Journal Article; Research Support, Non-U.S. Gov&amp;apos;t&lt;/_type_work&gt;&lt;_url&gt;http://www.ncbi.nlm.nih.gov/entrez/query.fcgi?cmd=Retrieve&amp;amp;db=pubmed&amp;amp;dopt=Abstract&amp;amp;list_uids=26348103&amp;amp;query_hl=1 _x000d__x000a_http://pubs.rsna.org/doi/pdf/10.1148/radiol.2015150809 全文链接_x000d__x000a_&lt;/_url&gt;&lt;_volume&gt;278&lt;/_volume&gt;&lt;/Details&gt;&lt;Extra&gt;&lt;DBUID&gt;{0F92A3D0-C4D9-4119-B5F8-18CDCE6EC721}&lt;/DBUID&gt;&lt;/Extra&gt;&lt;/Item&gt;&lt;/References&gt;&lt;/Group&gt;&lt;Group&gt;&lt;References&gt;&lt;Item&gt;&lt;ID&gt;7545&lt;/ID&gt;&lt;UID&gt;{A7E3088D-0E5F-4F4E-AEC0-5C92874B548D}&lt;/UID&gt;&lt;Title&gt;Magnetic resonance colonography including diffusion-weighted imaging in children  and adolescents with inflammatory bowel disease: do we really need intravenous contrast?&lt;/Title&gt;&lt;Template&gt;Journal Article&lt;/Template&gt;&lt;Star&gt;0&lt;/Star&gt;&lt;Tag&gt;0&lt;/Tag&gt;&lt;Author&gt;Sirin, S; Kathemann, S; Schweiger, B; Hahnemann, M L; Forsting, M; Lauenstein, T C; Kinner, S&lt;/Author&gt;&lt;Year&gt;2015&lt;/Year&gt;&lt;Details&gt;&lt;_accession_num&gt;25215934&lt;/_accession_num&gt;&lt;_author_adr&gt;From the *Department of Diagnostic and Interventional Radiology and Neuroradiology, and daggerClinic for Pediatrics II, University Hospital Essen, University of Duisburg-Essen, Essen, Germany.&lt;/_author_adr&gt;&lt;_collection_scope&gt;SCI;SCIE;&lt;/_collection_scope&gt;&lt;_created&gt;62108220&lt;/_created&gt;&lt;_date&gt;2015-01-01&lt;/_date&gt;&lt;_date_display&gt;2015 Jan&lt;/_date_display&gt;&lt;_db_updated&gt;PubMed&lt;/_db_updated&gt;&lt;_doi&gt;10.1097/RLI.0000000000000092&lt;/_doi&gt;&lt;_impact_factor&gt;   6.224&lt;/_impact_factor&gt;&lt;_isbn&gt;1536-0210 (Electronic); 0020-9996 (Linking)&lt;/_isbn&gt;&lt;_issue&gt;1&lt;/_issue&gt;&lt;_journal&gt;Invest Radiol&lt;/_journal&gt;&lt;_keywords&gt;Adolescent; Adult; Child; Colon/*pathology; Contrast Media/*administration &amp;amp;amp; dosage; Diffusion Magnetic Resonance Imaging/methods; Female; Humans; Image Enhancement/*methods; Inflammatory Bowel Diseases/*diagnosis; Injections, Intravenous; Magnetic Resonance Imaging/*methods; Male; Observer Variation; Organometallic Compounds; Reproducibility of Results; Retrospective Studies; Sensitivity and Specificity; Unnecessary Procedures/*utilization; Young Adult&lt;/_keywords&gt;&lt;_language&gt;eng&lt;/_language&gt;&lt;_modified&gt;62328385&lt;/_modified&gt;&lt;_pages&gt;32-9&lt;/_pages&gt;&lt;_tertiary_title&gt;Investigative radiology&lt;/_tertiary_title&gt;&lt;_type_work&gt;Journal Article&lt;/_type_work&gt;&lt;_url&gt;http://www.ncbi.nlm.nih.gov/entrez/query.fcgi?cmd=Retrieve&amp;amp;db=pubmed&amp;amp;dopt=Abstract&amp;amp;list_uids=25215934&amp;amp;query_hl=1 _x000d__x000a_https://insights.ovid.com/Common/SSRPdf/V1/JOURNAL%2finra%2f04.02%2f00004424-201501000-00005%2froot%2fv%2f2017-07-28T041540Z%2fr%2fapplication-pdf 全文链接_x000d__x000a_&lt;/_url&gt;&lt;_volume&gt;50&lt;/_volume&gt;&lt;/Details&gt;&lt;Extra&gt;&lt;DBUID&gt;{0F92A3D0-C4D9-4119-B5F8-18CDCE6EC721}&lt;/DBUID&gt;&lt;/Extra&gt;&lt;/Item&gt;&lt;/References&gt;&lt;/Group&gt;&lt;/Citation&gt;_x000a_"/>
    <w:docVar w:name="NE.Ref{FEF8F2D5-9E03-4C9F-8649-119F211D4B52}" w:val=" ADDIN NE.Ref.{FEF8F2D5-9E03-4C9F-8649-119F211D4B52}&lt;Citation&gt;&lt;Group&gt;&lt;References&gt;&lt;Item&gt;&lt;ID&gt;7535&lt;/ID&gt;&lt;UID&gt;{832BAB72-D303-447D-AFB9-01E963A6F7F1}&lt;/UID&gt;&lt;Title&gt;Diffusion-weighted MRI in Crohn&amp;apos;s disease: Current status and recommendations&lt;/Title&gt;&lt;Template&gt;Journal Article&lt;/Template&gt;&lt;Star&gt;0&lt;/Star&gt;&lt;Tag&gt;0&lt;/Tag&gt;&lt;Author&gt;Dohan, A; Taylor, S; Hoeffel, C; Barret, M; Allez, M; Dautry, R; Zappa, M; Savoye-Collet, C; Dray, X; Boudiaf, M; Reinhold, C; Soyer, P&lt;/Author&gt;&lt;Year&gt;2016&lt;/Year&gt;&lt;Details&gt;&lt;_accession_num&gt;27249184&lt;/_accession_num&gt;&lt;_author_adr&gt;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 Centre for Medical Imaging, University College London, Podium Level 2, University College Hospital, London, UK.; Department of Radiology, Hopital Robert-Debre, Reims, France.; Department of Gastroenterology, Hopital Cochin, Assistance Publique-Hopitaux de Paris, Paris, France.; Universite Paris-Diderot, Sorbonne Paris Cite, Paris, France.; Department of Gastroenterology, Hopital Saint-Louis, Assistance Publique-Hopitaux de Paris, Paris, France.; Department of Body and Interventional Imaging, Hopital Lariboisiere, Assistance Publique-Hopitaux de Paris, Paris, France.; Department of Radiology, Hopital Beaujon, Assistance Publique-Hopitaux de Paris,  Clichy, France.; Department of Radiology, CHU Charles Nicolle, Rouen, France.; Universite Paris-Diderot, Sorbonne Paris Cite, Paris, France.; Department of Gastroenterology, Hopital Saint-Antoine, Assistance Publique-Hopitaux de Paris, Paris, France.; Department of Body and Interventional Imaging, Hopital Lariboisiere, Assistance Publique-Hopitaux de Paris, Paris, France.; McGill University Health Center, Department of Radiology, McGill University Health Center, Montreal, QC, Canada.; Department of Body and Interventional Imaging, Hopital Lariboisiere, Assistance Publique-Hopitaux de Paris, Paris, France.; Universite Paris-Diderot, Sorbonne Paris Cite, Paris, France.; INSERM UMR 965, Paris, France.&lt;/_author_adr&gt;&lt;_collection_scope&gt;SCI;SCIE;&lt;/_collection_scope&gt;&lt;_created&gt;62108214&lt;/_created&gt;&lt;_date&gt;2016-12-01&lt;/_date&gt;&lt;_date_display&gt;2016 Dec&lt;/_date_display&gt;&lt;_db_updated&gt;PubMed&lt;/_db_updated&gt;&lt;_doi&gt;10.1002/jmri.25325&lt;/_doi&gt;&lt;_impact_factor&gt;   3.612&lt;/_impact_factor&gt;&lt;_isbn&gt;1522-2586 (Electronic); 1053-1807 (Linking)&lt;/_isbn&gt;&lt;_issue&gt;6&lt;/_issue&gt;&lt;_journal&gt;J Magn Reson Imaging&lt;/_journal&gt;&lt;_keywords&gt;Crohn Disease/*diagnostic imaging/*pathology; Diffusion Magnetic Resonance Imaging/*methods; Evidence-Based Medicine; Humans; Image Enhancement/*methods; Image Interpretation, Computer-Assisted/*methods; Reproducibility of Results; Sensitivity and SpecificityCrohn&amp;apos;s Disease; MR imaging; MR-enterography; diffusion weighted imaging; imaging techniques; inflammatory bowel disease&lt;/_keywords&gt;&lt;_language&gt;eng&lt;/_language&gt;&lt;_modified&gt;62328377&lt;/_modified&gt;&lt;_ori_publication&gt;(c) 2016 International Society for Magnetic Resonance in Medicine.&lt;/_ori_publication&gt;&lt;_pages&gt;1381-1396&lt;/_pages&gt;&lt;_tertiary_title&gt;Journal of magnetic resonance imaging : JMRI&lt;/_tertiary_title&gt;&lt;_type_work&gt;Journal Article; Review&lt;/_type_work&gt;&lt;_url&gt;http://www.ncbi.nlm.nih.gov/entrez/query.fcgi?cmd=Retrieve&amp;amp;db=pubmed&amp;amp;dopt=Abstract&amp;amp;list_uids=27249184&amp;amp;query_hl=1 _x000d__x000a_http://onlinelibrary.wiley.com/doi/10.1002/jmri.25325/pdf 全文链接_x000d__x000a_&lt;/_url&gt;&lt;_volume&gt;44&lt;/_volume&gt;&lt;/Details&gt;&lt;Extra&gt;&lt;DBUID&gt;{0F92A3D0-C4D9-4119-B5F8-18CDCE6EC721}&lt;/DBUID&gt;&lt;/Extra&gt;&lt;/Item&gt;&lt;/References&gt;&lt;/Group&gt;&lt;Group&gt;&lt;References&gt;&lt;Item&gt;&lt;ID&gt;12222&lt;/ID&gt;&lt;UID&gt;{32D1A508-27E6-4431-8333-61F0D29568E2}&lt;/UID&gt;&lt;Title&gt;Role of diffusion-weighted magnetic resonance imaging in the diagnosis of gallbladder cancer&lt;/Title&gt;&lt;Template&gt;Journal Article&lt;/Template&gt;&lt;Star&gt;0&lt;/Star&gt;&lt;Tag&gt;0&lt;/Tag&gt;&lt;Author&gt;Kim, S J; Lee, J M; Kim, H; Yoon, J H; Han, J K; Choi, B I&lt;/Author&gt;&lt;Year&gt;2013&lt;/Year&gt;&lt;Details&gt;&lt;_accession_num&gt;23281048&lt;/_accession_num&gt;&lt;_author_adr&gt;Department of Radiology, National Cancer Center, Goyang-si, Gyeonggi-do, Korea.&lt;/_author_adr&gt;&lt;_collection_scope&gt;SCI;SCIE;&lt;/_collection_scope&gt;&lt;_created&gt;62224989&lt;/_created&gt;&lt;_date&gt;2013-07-01&lt;/_date&gt;&lt;_date_display&gt;2013 Jul&lt;/_date_display&gt;&lt;_db_updated&gt;PubMed&lt;/_db_updated&gt;&lt;_doi&gt;10.1002/jmri.23956&lt;/_doi&gt;&lt;_impact_factor&gt;   3.612&lt;/_impact_factor&gt;&lt;_isbn&gt;1522-2586 (Electronic); 1053-1807 (Linking)&lt;/_isbn&gt;&lt;_issue&gt;1&lt;/_issue&gt;&lt;_journal&gt;J Magn Reson Imaging&lt;/_journal&gt;&lt;_keywords&gt;Adult; Aged; Aged, 80 and over; Cholecystitis/*complications/*pathology; Diffusion Magnetic Resonance Imaging/*methods; Female; Gallbladder Neoplasms/*complications/*pathology; Humans; Male; Middle Aged; Observer Variation; Reproducibility of Results; Sensitivity and SpecificityADC; MRI; cholecystitis; diffusion-weighted imaging; gallbladder cancer&lt;/_keywords&gt;&lt;_language&gt;eng&lt;/_language&gt;&lt;_modified&gt;62328389&lt;/_modified&gt;&lt;_ori_publication&gt;Copyright (c) 2012 Wiley Periodicals, Inc.&lt;/_ori_publication&gt;&lt;_pages&gt;127-37&lt;/_pages&gt;&lt;_tertiary_title&gt;Journal of magnetic resonance imaging : JMRI&lt;/_tertiary_title&gt;&lt;_type_work&gt;Journal Article; Research Support, Non-U.S. Gov&amp;apos;t&lt;/_type_work&gt;&lt;_url&gt;http://www.ncbi.nlm.nih.gov/entrez/query.fcgi?cmd=Retrieve&amp;amp;db=pubmed&amp;amp;dopt=Abstract&amp;amp;list_uids=23281048&amp;amp;query_hl=1&lt;/_url&gt;&lt;_volume&gt;38&lt;/_volume&gt;&lt;/Details&gt;&lt;Extra&gt;&lt;DBUID&gt;{0F92A3D0-C4D9-4119-B5F8-18CDCE6EC721}&lt;/DBUID&gt;&lt;/Extra&gt;&lt;/Item&gt;&lt;/References&gt;&lt;/Group&gt;&lt;/Citation&gt;_x000a_"/>
    <w:docVar w:name="ne_docsoft" w:val="MSWord"/>
    <w:docVar w:name="ne_docversion" w:val="NoteExpress 2.0"/>
    <w:docVar w:name="ne_stylename" w:val="World J Gastroenterology New"/>
  </w:docVars>
  <w:rsids>
    <w:rsidRoot w:val="00515017"/>
    <w:rsid w:val="000013C4"/>
    <w:rsid w:val="000013D6"/>
    <w:rsid w:val="0000366F"/>
    <w:rsid w:val="00003C51"/>
    <w:rsid w:val="00005205"/>
    <w:rsid w:val="0000556F"/>
    <w:rsid w:val="00005F0F"/>
    <w:rsid w:val="00006065"/>
    <w:rsid w:val="00006114"/>
    <w:rsid w:val="000109EA"/>
    <w:rsid w:val="00011386"/>
    <w:rsid w:val="00011F0A"/>
    <w:rsid w:val="00013681"/>
    <w:rsid w:val="000143BE"/>
    <w:rsid w:val="000147B4"/>
    <w:rsid w:val="00015B18"/>
    <w:rsid w:val="00021AC5"/>
    <w:rsid w:val="000234BB"/>
    <w:rsid w:val="00023602"/>
    <w:rsid w:val="00024C3C"/>
    <w:rsid w:val="00025358"/>
    <w:rsid w:val="00026098"/>
    <w:rsid w:val="000307CB"/>
    <w:rsid w:val="0003137F"/>
    <w:rsid w:val="00031815"/>
    <w:rsid w:val="00031AA1"/>
    <w:rsid w:val="00031AA7"/>
    <w:rsid w:val="000342DE"/>
    <w:rsid w:val="00035C54"/>
    <w:rsid w:val="00036942"/>
    <w:rsid w:val="00036A78"/>
    <w:rsid w:val="00036D6C"/>
    <w:rsid w:val="00036EF1"/>
    <w:rsid w:val="00040421"/>
    <w:rsid w:val="00043FA9"/>
    <w:rsid w:val="00050152"/>
    <w:rsid w:val="00050766"/>
    <w:rsid w:val="00050816"/>
    <w:rsid w:val="0005275C"/>
    <w:rsid w:val="000549EB"/>
    <w:rsid w:val="00055B80"/>
    <w:rsid w:val="00057EBF"/>
    <w:rsid w:val="00061046"/>
    <w:rsid w:val="00065D76"/>
    <w:rsid w:val="00070356"/>
    <w:rsid w:val="000722ED"/>
    <w:rsid w:val="000724B4"/>
    <w:rsid w:val="00081718"/>
    <w:rsid w:val="00083DEE"/>
    <w:rsid w:val="00086688"/>
    <w:rsid w:val="00086F4D"/>
    <w:rsid w:val="00091CF3"/>
    <w:rsid w:val="00092839"/>
    <w:rsid w:val="000931DF"/>
    <w:rsid w:val="00096480"/>
    <w:rsid w:val="000A37CC"/>
    <w:rsid w:val="000A4572"/>
    <w:rsid w:val="000A5194"/>
    <w:rsid w:val="000A561E"/>
    <w:rsid w:val="000A5971"/>
    <w:rsid w:val="000A5ABE"/>
    <w:rsid w:val="000A7B44"/>
    <w:rsid w:val="000A7F5D"/>
    <w:rsid w:val="000B16FA"/>
    <w:rsid w:val="000B1E15"/>
    <w:rsid w:val="000B560D"/>
    <w:rsid w:val="000B5854"/>
    <w:rsid w:val="000B6861"/>
    <w:rsid w:val="000B7E58"/>
    <w:rsid w:val="000C3150"/>
    <w:rsid w:val="000C7C8E"/>
    <w:rsid w:val="000D2EEC"/>
    <w:rsid w:val="000D648F"/>
    <w:rsid w:val="000D6DF9"/>
    <w:rsid w:val="000E2DE1"/>
    <w:rsid w:val="000E362A"/>
    <w:rsid w:val="000E6B50"/>
    <w:rsid w:val="000E70D0"/>
    <w:rsid w:val="000F3041"/>
    <w:rsid w:val="000F4CDB"/>
    <w:rsid w:val="000F5760"/>
    <w:rsid w:val="000F7142"/>
    <w:rsid w:val="000F73A5"/>
    <w:rsid w:val="000F7684"/>
    <w:rsid w:val="00101C84"/>
    <w:rsid w:val="0010325D"/>
    <w:rsid w:val="00103274"/>
    <w:rsid w:val="00103D54"/>
    <w:rsid w:val="00104987"/>
    <w:rsid w:val="0010526F"/>
    <w:rsid w:val="00105BE0"/>
    <w:rsid w:val="00106D9F"/>
    <w:rsid w:val="00107052"/>
    <w:rsid w:val="001076F6"/>
    <w:rsid w:val="00120D2B"/>
    <w:rsid w:val="00123BC5"/>
    <w:rsid w:val="00124DF6"/>
    <w:rsid w:val="00125A35"/>
    <w:rsid w:val="00125CA2"/>
    <w:rsid w:val="00126183"/>
    <w:rsid w:val="0012732A"/>
    <w:rsid w:val="00127E6E"/>
    <w:rsid w:val="00132985"/>
    <w:rsid w:val="00136917"/>
    <w:rsid w:val="00140B08"/>
    <w:rsid w:val="001417DF"/>
    <w:rsid w:val="0014296B"/>
    <w:rsid w:val="00142EDB"/>
    <w:rsid w:val="00144FB3"/>
    <w:rsid w:val="001468C2"/>
    <w:rsid w:val="00146A74"/>
    <w:rsid w:val="0015128D"/>
    <w:rsid w:val="0015445E"/>
    <w:rsid w:val="00156E00"/>
    <w:rsid w:val="00157189"/>
    <w:rsid w:val="001608D3"/>
    <w:rsid w:val="001612F1"/>
    <w:rsid w:val="0016222C"/>
    <w:rsid w:val="00170070"/>
    <w:rsid w:val="00171334"/>
    <w:rsid w:val="0017389B"/>
    <w:rsid w:val="00176456"/>
    <w:rsid w:val="00180D02"/>
    <w:rsid w:val="00181A35"/>
    <w:rsid w:val="00184C5F"/>
    <w:rsid w:val="00185856"/>
    <w:rsid w:val="00185C1C"/>
    <w:rsid w:val="001939F5"/>
    <w:rsid w:val="00194CFF"/>
    <w:rsid w:val="0019586A"/>
    <w:rsid w:val="001A0352"/>
    <w:rsid w:val="001A2957"/>
    <w:rsid w:val="001A687C"/>
    <w:rsid w:val="001A7065"/>
    <w:rsid w:val="001A7935"/>
    <w:rsid w:val="001B6329"/>
    <w:rsid w:val="001B6A76"/>
    <w:rsid w:val="001B712F"/>
    <w:rsid w:val="001B7C13"/>
    <w:rsid w:val="001C4185"/>
    <w:rsid w:val="001C4DE6"/>
    <w:rsid w:val="001C6B7B"/>
    <w:rsid w:val="001D01B3"/>
    <w:rsid w:val="001D6204"/>
    <w:rsid w:val="001E4996"/>
    <w:rsid w:val="001E4F0E"/>
    <w:rsid w:val="001E5890"/>
    <w:rsid w:val="001E6466"/>
    <w:rsid w:val="001E7863"/>
    <w:rsid w:val="001E78A8"/>
    <w:rsid w:val="001E78D9"/>
    <w:rsid w:val="001F04B5"/>
    <w:rsid w:val="001F2D94"/>
    <w:rsid w:val="001F3026"/>
    <w:rsid w:val="001F4A7E"/>
    <w:rsid w:val="001F5426"/>
    <w:rsid w:val="001F5578"/>
    <w:rsid w:val="001F60D0"/>
    <w:rsid w:val="001F754F"/>
    <w:rsid w:val="00200B2E"/>
    <w:rsid w:val="00200D1B"/>
    <w:rsid w:val="00205FEF"/>
    <w:rsid w:val="00206EAD"/>
    <w:rsid w:val="00210E3A"/>
    <w:rsid w:val="00210FD5"/>
    <w:rsid w:val="00211F9E"/>
    <w:rsid w:val="002134BF"/>
    <w:rsid w:val="0021495D"/>
    <w:rsid w:val="00216741"/>
    <w:rsid w:val="00217C00"/>
    <w:rsid w:val="00222CE6"/>
    <w:rsid w:val="002268DF"/>
    <w:rsid w:val="002336F9"/>
    <w:rsid w:val="00234D5A"/>
    <w:rsid w:val="00237E49"/>
    <w:rsid w:val="00241A8C"/>
    <w:rsid w:val="002426DA"/>
    <w:rsid w:val="00243892"/>
    <w:rsid w:val="00244EF8"/>
    <w:rsid w:val="00250773"/>
    <w:rsid w:val="002537FB"/>
    <w:rsid w:val="00254F9F"/>
    <w:rsid w:val="0025656E"/>
    <w:rsid w:val="00257734"/>
    <w:rsid w:val="00257942"/>
    <w:rsid w:val="00262048"/>
    <w:rsid w:val="002627A2"/>
    <w:rsid w:val="00265345"/>
    <w:rsid w:val="0026662D"/>
    <w:rsid w:val="00267A8A"/>
    <w:rsid w:val="00272392"/>
    <w:rsid w:val="00272EC4"/>
    <w:rsid w:val="002743FC"/>
    <w:rsid w:val="00276B8D"/>
    <w:rsid w:val="00277CBC"/>
    <w:rsid w:val="0028242D"/>
    <w:rsid w:val="00284C19"/>
    <w:rsid w:val="00286487"/>
    <w:rsid w:val="00286EF1"/>
    <w:rsid w:val="002927CF"/>
    <w:rsid w:val="002945B8"/>
    <w:rsid w:val="002974AF"/>
    <w:rsid w:val="002975A4"/>
    <w:rsid w:val="002A11AD"/>
    <w:rsid w:val="002A4025"/>
    <w:rsid w:val="002A44E5"/>
    <w:rsid w:val="002A79CB"/>
    <w:rsid w:val="002B01D6"/>
    <w:rsid w:val="002B45CC"/>
    <w:rsid w:val="002B46C9"/>
    <w:rsid w:val="002C12BE"/>
    <w:rsid w:val="002C2603"/>
    <w:rsid w:val="002C3092"/>
    <w:rsid w:val="002C3496"/>
    <w:rsid w:val="002C4241"/>
    <w:rsid w:val="002C44C5"/>
    <w:rsid w:val="002C45F6"/>
    <w:rsid w:val="002D06F6"/>
    <w:rsid w:val="002D27F7"/>
    <w:rsid w:val="002D6860"/>
    <w:rsid w:val="002E09C2"/>
    <w:rsid w:val="002E5B78"/>
    <w:rsid w:val="002E5F56"/>
    <w:rsid w:val="002F1881"/>
    <w:rsid w:val="002F3C57"/>
    <w:rsid w:val="002F7702"/>
    <w:rsid w:val="00301C52"/>
    <w:rsid w:val="00302E39"/>
    <w:rsid w:val="00303945"/>
    <w:rsid w:val="00304DF8"/>
    <w:rsid w:val="00304E5A"/>
    <w:rsid w:val="00307CA8"/>
    <w:rsid w:val="00313C6D"/>
    <w:rsid w:val="0031557E"/>
    <w:rsid w:val="003158D3"/>
    <w:rsid w:val="003163C1"/>
    <w:rsid w:val="003168FB"/>
    <w:rsid w:val="0031691A"/>
    <w:rsid w:val="00317D28"/>
    <w:rsid w:val="00320142"/>
    <w:rsid w:val="00320F55"/>
    <w:rsid w:val="003213B1"/>
    <w:rsid w:val="00325D31"/>
    <w:rsid w:val="00326DBB"/>
    <w:rsid w:val="00326F3E"/>
    <w:rsid w:val="003321E9"/>
    <w:rsid w:val="003348ED"/>
    <w:rsid w:val="00335A57"/>
    <w:rsid w:val="00336DA7"/>
    <w:rsid w:val="0035324C"/>
    <w:rsid w:val="003559C4"/>
    <w:rsid w:val="00360DA2"/>
    <w:rsid w:val="00360F88"/>
    <w:rsid w:val="0036224C"/>
    <w:rsid w:val="00362284"/>
    <w:rsid w:val="0036252B"/>
    <w:rsid w:val="00362CD6"/>
    <w:rsid w:val="003638AE"/>
    <w:rsid w:val="00365B15"/>
    <w:rsid w:val="00370C83"/>
    <w:rsid w:val="00373776"/>
    <w:rsid w:val="0037557A"/>
    <w:rsid w:val="00375A73"/>
    <w:rsid w:val="0037799A"/>
    <w:rsid w:val="0038323F"/>
    <w:rsid w:val="00383296"/>
    <w:rsid w:val="00385A1A"/>
    <w:rsid w:val="003868B5"/>
    <w:rsid w:val="00386D7C"/>
    <w:rsid w:val="003922F4"/>
    <w:rsid w:val="00395664"/>
    <w:rsid w:val="003A258F"/>
    <w:rsid w:val="003A7FA2"/>
    <w:rsid w:val="003B2286"/>
    <w:rsid w:val="003B2C88"/>
    <w:rsid w:val="003B33CA"/>
    <w:rsid w:val="003C75BB"/>
    <w:rsid w:val="003D001F"/>
    <w:rsid w:val="003D1E03"/>
    <w:rsid w:val="003D4DE3"/>
    <w:rsid w:val="003D587E"/>
    <w:rsid w:val="003D65D9"/>
    <w:rsid w:val="003E0240"/>
    <w:rsid w:val="003E2D37"/>
    <w:rsid w:val="003E3AFF"/>
    <w:rsid w:val="003E45BF"/>
    <w:rsid w:val="003E5393"/>
    <w:rsid w:val="003E7798"/>
    <w:rsid w:val="003E7D41"/>
    <w:rsid w:val="003F0F46"/>
    <w:rsid w:val="003F1D37"/>
    <w:rsid w:val="003F3180"/>
    <w:rsid w:val="003F482E"/>
    <w:rsid w:val="003F4D84"/>
    <w:rsid w:val="003F5470"/>
    <w:rsid w:val="003F657A"/>
    <w:rsid w:val="00401374"/>
    <w:rsid w:val="004015A0"/>
    <w:rsid w:val="00404D79"/>
    <w:rsid w:val="00405EC6"/>
    <w:rsid w:val="004069AF"/>
    <w:rsid w:val="004075EF"/>
    <w:rsid w:val="00410FD1"/>
    <w:rsid w:val="0041283D"/>
    <w:rsid w:val="00413814"/>
    <w:rsid w:val="00415980"/>
    <w:rsid w:val="004214C2"/>
    <w:rsid w:val="00421CF4"/>
    <w:rsid w:val="00422BE9"/>
    <w:rsid w:val="00423726"/>
    <w:rsid w:val="00427B36"/>
    <w:rsid w:val="0043079F"/>
    <w:rsid w:val="004342F4"/>
    <w:rsid w:val="00434BD7"/>
    <w:rsid w:val="004359F5"/>
    <w:rsid w:val="0043690E"/>
    <w:rsid w:val="00436BC0"/>
    <w:rsid w:val="004415AA"/>
    <w:rsid w:val="00441C0F"/>
    <w:rsid w:val="004445AD"/>
    <w:rsid w:val="00445271"/>
    <w:rsid w:val="00450122"/>
    <w:rsid w:val="00450BDE"/>
    <w:rsid w:val="00454689"/>
    <w:rsid w:val="004550C7"/>
    <w:rsid w:val="00456F44"/>
    <w:rsid w:val="0045726B"/>
    <w:rsid w:val="00460B93"/>
    <w:rsid w:val="004612AF"/>
    <w:rsid w:val="00463F76"/>
    <w:rsid w:val="0046424F"/>
    <w:rsid w:val="00464F14"/>
    <w:rsid w:val="00470F36"/>
    <w:rsid w:val="00471833"/>
    <w:rsid w:val="00471E6E"/>
    <w:rsid w:val="00473288"/>
    <w:rsid w:val="00473B98"/>
    <w:rsid w:val="0047520C"/>
    <w:rsid w:val="00477AC9"/>
    <w:rsid w:val="004817D5"/>
    <w:rsid w:val="00484AE0"/>
    <w:rsid w:val="004853AA"/>
    <w:rsid w:val="00485A43"/>
    <w:rsid w:val="00486465"/>
    <w:rsid w:val="00492685"/>
    <w:rsid w:val="00493AA1"/>
    <w:rsid w:val="004941F3"/>
    <w:rsid w:val="004951DE"/>
    <w:rsid w:val="00495213"/>
    <w:rsid w:val="00496A13"/>
    <w:rsid w:val="00497992"/>
    <w:rsid w:val="004A2575"/>
    <w:rsid w:val="004A2898"/>
    <w:rsid w:val="004A5935"/>
    <w:rsid w:val="004A5937"/>
    <w:rsid w:val="004B1822"/>
    <w:rsid w:val="004B2562"/>
    <w:rsid w:val="004B565D"/>
    <w:rsid w:val="004B5F7C"/>
    <w:rsid w:val="004C3268"/>
    <w:rsid w:val="004C5AFE"/>
    <w:rsid w:val="004C75E4"/>
    <w:rsid w:val="004C7CD7"/>
    <w:rsid w:val="004D163E"/>
    <w:rsid w:val="004D1C48"/>
    <w:rsid w:val="004D319B"/>
    <w:rsid w:val="004D31E2"/>
    <w:rsid w:val="004D73B7"/>
    <w:rsid w:val="004E2781"/>
    <w:rsid w:val="004E6F09"/>
    <w:rsid w:val="004E767E"/>
    <w:rsid w:val="004F0036"/>
    <w:rsid w:val="004F3715"/>
    <w:rsid w:val="004F44E0"/>
    <w:rsid w:val="004F59AD"/>
    <w:rsid w:val="004F5C7B"/>
    <w:rsid w:val="004F5D44"/>
    <w:rsid w:val="004F6ECE"/>
    <w:rsid w:val="00501F3B"/>
    <w:rsid w:val="005022D6"/>
    <w:rsid w:val="00502438"/>
    <w:rsid w:val="00506D89"/>
    <w:rsid w:val="00507E78"/>
    <w:rsid w:val="005112E4"/>
    <w:rsid w:val="00512795"/>
    <w:rsid w:val="005131A8"/>
    <w:rsid w:val="0051450A"/>
    <w:rsid w:val="00515017"/>
    <w:rsid w:val="0051609F"/>
    <w:rsid w:val="00516719"/>
    <w:rsid w:val="00520B34"/>
    <w:rsid w:val="00521F67"/>
    <w:rsid w:val="0052325B"/>
    <w:rsid w:val="0052524D"/>
    <w:rsid w:val="00527574"/>
    <w:rsid w:val="005307B6"/>
    <w:rsid w:val="00532CC5"/>
    <w:rsid w:val="005411A6"/>
    <w:rsid w:val="00541BD7"/>
    <w:rsid w:val="00541F22"/>
    <w:rsid w:val="00543C0D"/>
    <w:rsid w:val="00547CDD"/>
    <w:rsid w:val="00550378"/>
    <w:rsid w:val="00551CD9"/>
    <w:rsid w:val="00553B6E"/>
    <w:rsid w:val="00556DCF"/>
    <w:rsid w:val="0055774A"/>
    <w:rsid w:val="00561293"/>
    <w:rsid w:val="0056228B"/>
    <w:rsid w:val="00563F49"/>
    <w:rsid w:val="00564AAB"/>
    <w:rsid w:val="0056605A"/>
    <w:rsid w:val="00566953"/>
    <w:rsid w:val="00566A1B"/>
    <w:rsid w:val="00566E5A"/>
    <w:rsid w:val="00567475"/>
    <w:rsid w:val="00567A0D"/>
    <w:rsid w:val="00567F63"/>
    <w:rsid w:val="005719BF"/>
    <w:rsid w:val="00573D6E"/>
    <w:rsid w:val="00575FA8"/>
    <w:rsid w:val="0057640E"/>
    <w:rsid w:val="0057703A"/>
    <w:rsid w:val="00577EF0"/>
    <w:rsid w:val="00581A4E"/>
    <w:rsid w:val="00582D76"/>
    <w:rsid w:val="005831E0"/>
    <w:rsid w:val="00583DFE"/>
    <w:rsid w:val="00584057"/>
    <w:rsid w:val="00584942"/>
    <w:rsid w:val="0058638A"/>
    <w:rsid w:val="005865C3"/>
    <w:rsid w:val="005914E1"/>
    <w:rsid w:val="00595A5F"/>
    <w:rsid w:val="005A0784"/>
    <w:rsid w:val="005A1F71"/>
    <w:rsid w:val="005A347C"/>
    <w:rsid w:val="005A37B0"/>
    <w:rsid w:val="005A5C81"/>
    <w:rsid w:val="005B2CCB"/>
    <w:rsid w:val="005B3218"/>
    <w:rsid w:val="005B433A"/>
    <w:rsid w:val="005B50E0"/>
    <w:rsid w:val="005B5F56"/>
    <w:rsid w:val="005B6FF5"/>
    <w:rsid w:val="005C16C6"/>
    <w:rsid w:val="005C4EDB"/>
    <w:rsid w:val="005D3487"/>
    <w:rsid w:val="005D3735"/>
    <w:rsid w:val="005D441C"/>
    <w:rsid w:val="005D6ADD"/>
    <w:rsid w:val="005D76A0"/>
    <w:rsid w:val="005E0C13"/>
    <w:rsid w:val="005E34BA"/>
    <w:rsid w:val="005E4E5A"/>
    <w:rsid w:val="005E59EC"/>
    <w:rsid w:val="005E79ED"/>
    <w:rsid w:val="005F0868"/>
    <w:rsid w:val="005F2E42"/>
    <w:rsid w:val="005F2F2F"/>
    <w:rsid w:val="005F3DA0"/>
    <w:rsid w:val="005F619A"/>
    <w:rsid w:val="005F69DC"/>
    <w:rsid w:val="006008B1"/>
    <w:rsid w:val="00601FDF"/>
    <w:rsid w:val="00603B2D"/>
    <w:rsid w:val="006046D7"/>
    <w:rsid w:val="006055E8"/>
    <w:rsid w:val="0060663E"/>
    <w:rsid w:val="00607DA8"/>
    <w:rsid w:val="00621D98"/>
    <w:rsid w:val="00622E98"/>
    <w:rsid w:val="0062355A"/>
    <w:rsid w:val="006245D1"/>
    <w:rsid w:val="00625371"/>
    <w:rsid w:val="0062570A"/>
    <w:rsid w:val="00626562"/>
    <w:rsid w:val="00630025"/>
    <w:rsid w:val="006306CA"/>
    <w:rsid w:val="006309E3"/>
    <w:rsid w:val="00632DB0"/>
    <w:rsid w:val="006331DB"/>
    <w:rsid w:val="00633F0B"/>
    <w:rsid w:val="006368DB"/>
    <w:rsid w:val="00637810"/>
    <w:rsid w:val="00640689"/>
    <w:rsid w:val="00640E10"/>
    <w:rsid w:val="00644AA8"/>
    <w:rsid w:val="00650725"/>
    <w:rsid w:val="00653713"/>
    <w:rsid w:val="00656CC6"/>
    <w:rsid w:val="0066091F"/>
    <w:rsid w:val="006658D8"/>
    <w:rsid w:val="00666D7A"/>
    <w:rsid w:val="0066736A"/>
    <w:rsid w:val="00667623"/>
    <w:rsid w:val="006725E5"/>
    <w:rsid w:val="00676446"/>
    <w:rsid w:val="00676BC0"/>
    <w:rsid w:val="00676C6D"/>
    <w:rsid w:val="00677FF3"/>
    <w:rsid w:val="006821AB"/>
    <w:rsid w:val="00682B0A"/>
    <w:rsid w:val="00684C22"/>
    <w:rsid w:val="00687CAB"/>
    <w:rsid w:val="00691867"/>
    <w:rsid w:val="00693825"/>
    <w:rsid w:val="00694F9F"/>
    <w:rsid w:val="00695AE5"/>
    <w:rsid w:val="00696B95"/>
    <w:rsid w:val="0069773F"/>
    <w:rsid w:val="006A1D96"/>
    <w:rsid w:val="006A2B29"/>
    <w:rsid w:val="006A5FF7"/>
    <w:rsid w:val="006A6B3B"/>
    <w:rsid w:val="006B39B4"/>
    <w:rsid w:val="006B50BE"/>
    <w:rsid w:val="006B5740"/>
    <w:rsid w:val="006C055A"/>
    <w:rsid w:val="006C0846"/>
    <w:rsid w:val="006C1917"/>
    <w:rsid w:val="006C2A3C"/>
    <w:rsid w:val="006C63B9"/>
    <w:rsid w:val="006C68FD"/>
    <w:rsid w:val="006D2673"/>
    <w:rsid w:val="006D3DDB"/>
    <w:rsid w:val="006E1F0A"/>
    <w:rsid w:val="006E2D49"/>
    <w:rsid w:val="006E3C85"/>
    <w:rsid w:val="006E3F0B"/>
    <w:rsid w:val="006E698E"/>
    <w:rsid w:val="006E71F1"/>
    <w:rsid w:val="006F177A"/>
    <w:rsid w:val="006F2195"/>
    <w:rsid w:val="006F2731"/>
    <w:rsid w:val="006F5046"/>
    <w:rsid w:val="006F589D"/>
    <w:rsid w:val="006F5F24"/>
    <w:rsid w:val="006F6B57"/>
    <w:rsid w:val="00701EC9"/>
    <w:rsid w:val="00702B9C"/>
    <w:rsid w:val="007036EA"/>
    <w:rsid w:val="007037EF"/>
    <w:rsid w:val="007042CA"/>
    <w:rsid w:val="007074C3"/>
    <w:rsid w:val="00707841"/>
    <w:rsid w:val="00710225"/>
    <w:rsid w:val="0071121D"/>
    <w:rsid w:val="007117E6"/>
    <w:rsid w:val="00714FCB"/>
    <w:rsid w:val="00717335"/>
    <w:rsid w:val="0071747D"/>
    <w:rsid w:val="00723C69"/>
    <w:rsid w:val="007255FB"/>
    <w:rsid w:val="007309BF"/>
    <w:rsid w:val="00734E8C"/>
    <w:rsid w:val="0073508E"/>
    <w:rsid w:val="0073776B"/>
    <w:rsid w:val="00740036"/>
    <w:rsid w:val="00740286"/>
    <w:rsid w:val="00744826"/>
    <w:rsid w:val="007448D5"/>
    <w:rsid w:val="007449B9"/>
    <w:rsid w:val="00744A52"/>
    <w:rsid w:val="00745FCB"/>
    <w:rsid w:val="00754F1F"/>
    <w:rsid w:val="0075504D"/>
    <w:rsid w:val="0075665B"/>
    <w:rsid w:val="007572F9"/>
    <w:rsid w:val="007630DE"/>
    <w:rsid w:val="00763584"/>
    <w:rsid w:val="00764BD0"/>
    <w:rsid w:val="00765C00"/>
    <w:rsid w:val="007662F2"/>
    <w:rsid w:val="00766A9E"/>
    <w:rsid w:val="00767874"/>
    <w:rsid w:val="00771CE6"/>
    <w:rsid w:val="00772E38"/>
    <w:rsid w:val="00776E83"/>
    <w:rsid w:val="00780DC5"/>
    <w:rsid w:val="00782C12"/>
    <w:rsid w:val="007843BC"/>
    <w:rsid w:val="0078576F"/>
    <w:rsid w:val="0078589B"/>
    <w:rsid w:val="00785BA5"/>
    <w:rsid w:val="00787B86"/>
    <w:rsid w:val="007915F2"/>
    <w:rsid w:val="007918CD"/>
    <w:rsid w:val="00793CE2"/>
    <w:rsid w:val="00795AB4"/>
    <w:rsid w:val="00797D4F"/>
    <w:rsid w:val="007A304F"/>
    <w:rsid w:val="007A4F7D"/>
    <w:rsid w:val="007A7A8B"/>
    <w:rsid w:val="007B08AB"/>
    <w:rsid w:val="007B2430"/>
    <w:rsid w:val="007B3857"/>
    <w:rsid w:val="007B5045"/>
    <w:rsid w:val="007B51A8"/>
    <w:rsid w:val="007B571D"/>
    <w:rsid w:val="007B7A54"/>
    <w:rsid w:val="007C01B8"/>
    <w:rsid w:val="007C0DA6"/>
    <w:rsid w:val="007C103F"/>
    <w:rsid w:val="007C13DB"/>
    <w:rsid w:val="007C3A47"/>
    <w:rsid w:val="007C52BB"/>
    <w:rsid w:val="007C6C40"/>
    <w:rsid w:val="007D0B2F"/>
    <w:rsid w:val="007D21DC"/>
    <w:rsid w:val="007D2BF9"/>
    <w:rsid w:val="007D418F"/>
    <w:rsid w:val="007E07F9"/>
    <w:rsid w:val="007E4621"/>
    <w:rsid w:val="007E7F5A"/>
    <w:rsid w:val="007F0BE9"/>
    <w:rsid w:val="007F140F"/>
    <w:rsid w:val="007F1F4C"/>
    <w:rsid w:val="007F4E9F"/>
    <w:rsid w:val="007F4F94"/>
    <w:rsid w:val="00800EEE"/>
    <w:rsid w:val="008023EE"/>
    <w:rsid w:val="008076C4"/>
    <w:rsid w:val="00810071"/>
    <w:rsid w:val="008100BD"/>
    <w:rsid w:val="00811C6D"/>
    <w:rsid w:val="00811C6F"/>
    <w:rsid w:val="00812109"/>
    <w:rsid w:val="008127A5"/>
    <w:rsid w:val="00812D64"/>
    <w:rsid w:val="00812FC6"/>
    <w:rsid w:val="008139E4"/>
    <w:rsid w:val="00813AEE"/>
    <w:rsid w:val="00815873"/>
    <w:rsid w:val="008169A6"/>
    <w:rsid w:val="00820A56"/>
    <w:rsid w:val="0082360A"/>
    <w:rsid w:val="00823BCC"/>
    <w:rsid w:val="00824490"/>
    <w:rsid w:val="00824F35"/>
    <w:rsid w:val="008339C7"/>
    <w:rsid w:val="008351CC"/>
    <w:rsid w:val="008353DD"/>
    <w:rsid w:val="008366CF"/>
    <w:rsid w:val="008368B7"/>
    <w:rsid w:val="0084126E"/>
    <w:rsid w:val="008455C3"/>
    <w:rsid w:val="0084573E"/>
    <w:rsid w:val="00846B11"/>
    <w:rsid w:val="00846D6C"/>
    <w:rsid w:val="008531E6"/>
    <w:rsid w:val="0085370A"/>
    <w:rsid w:val="008548CD"/>
    <w:rsid w:val="008550E2"/>
    <w:rsid w:val="008610E8"/>
    <w:rsid w:val="00861FFC"/>
    <w:rsid w:val="00862911"/>
    <w:rsid w:val="00866E9A"/>
    <w:rsid w:val="008744C4"/>
    <w:rsid w:val="00880335"/>
    <w:rsid w:val="00882E8D"/>
    <w:rsid w:val="00883E41"/>
    <w:rsid w:val="00885599"/>
    <w:rsid w:val="00890161"/>
    <w:rsid w:val="0089114C"/>
    <w:rsid w:val="00892F2A"/>
    <w:rsid w:val="00894036"/>
    <w:rsid w:val="00894B23"/>
    <w:rsid w:val="00894DEB"/>
    <w:rsid w:val="00896768"/>
    <w:rsid w:val="008A1972"/>
    <w:rsid w:val="008A2D61"/>
    <w:rsid w:val="008A3628"/>
    <w:rsid w:val="008A6C96"/>
    <w:rsid w:val="008A6CE3"/>
    <w:rsid w:val="008B09C9"/>
    <w:rsid w:val="008B106F"/>
    <w:rsid w:val="008B6053"/>
    <w:rsid w:val="008B669C"/>
    <w:rsid w:val="008C4461"/>
    <w:rsid w:val="008C7EDE"/>
    <w:rsid w:val="008D2173"/>
    <w:rsid w:val="008D3AC4"/>
    <w:rsid w:val="008D4AFF"/>
    <w:rsid w:val="008D4D92"/>
    <w:rsid w:val="008D58EC"/>
    <w:rsid w:val="008E18CF"/>
    <w:rsid w:val="008E2391"/>
    <w:rsid w:val="008E4464"/>
    <w:rsid w:val="008E4AB4"/>
    <w:rsid w:val="008E5FFF"/>
    <w:rsid w:val="008E71D8"/>
    <w:rsid w:val="008F0898"/>
    <w:rsid w:val="008F18CB"/>
    <w:rsid w:val="008F2EFD"/>
    <w:rsid w:val="008F4C8F"/>
    <w:rsid w:val="008F6593"/>
    <w:rsid w:val="00900392"/>
    <w:rsid w:val="009015FC"/>
    <w:rsid w:val="00901F60"/>
    <w:rsid w:val="0090222D"/>
    <w:rsid w:val="009032F0"/>
    <w:rsid w:val="009037B0"/>
    <w:rsid w:val="00904B40"/>
    <w:rsid w:val="00905E0A"/>
    <w:rsid w:val="0091033A"/>
    <w:rsid w:val="009124BF"/>
    <w:rsid w:val="00913030"/>
    <w:rsid w:val="00915239"/>
    <w:rsid w:val="009173BA"/>
    <w:rsid w:val="0092238E"/>
    <w:rsid w:val="009224D3"/>
    <w:rsid w:val="0092273D"/>
    <w:rsid w:val="00922B15"/>
    <w:rsid w:val="009268CD"/>
    <w:rsid w:val="00926AC3"/>
    <w:rsid w:val="00932235"/>
    <w:rsid w:val="00933148"/>
    <w:rsid w:val="00937F99"/>
    <w:rsid w:val="009421EB"/>
    <w:rsid w:val="009516AC"/>
    <w:rsid w:val="009559D3"/>
    <w:rsid w:val="009565BD"/>
    <w:rsid w:val="00960482"/>
    <w:rsid w:val="00960C82"/>
    <w:rsid w:val="00961AD6"/>
    <w:rsid w:val="00962AB8"/>
    <w:rsid w:val="0096667A"/>
    <w:rsid w:val="00972CE8"/>
    <w:rsid w:val="00974C9F"/>
    <w:rsid w:val="00975457"/>
    <w:rsid w:val="00975BC6"/>
    <w:rsid w:val="00976FAE"/>
    <w:rsid w:val="00984FA8"/>
    <w:rsid w:val="00986FA9"/>
    <w:rsid w:val="00992420"/>
    <w:rsid w:val="009958B9"/>
    <w:rsid w:val="00996885"/>
    <w:rsid w:val="0099732C"/>
    <w:rsid w:val="009979B1"/>
    <w:rsid w:val="009A0A36"/>
    <w:rsid w:val="009A16E2"/>
    <w:rsid w:val="009A3E06"/>
    <w:rsid w:val="009A54EB"/>
    <w:rsid w:val="009A7910"/>
    <w:rsid w:val="009A7C58"/>
    <w:rsid w:val="009B11ED"/>
    <w:rsid w:val="009B22F7"/>
    <w:rsid w:val="009B3FFA"/>
    <w:rsid w:val="009B6155"/>
    <w:rsid w:val="009B7372"/>
    <w:rsid w:val="009C196E"/>
    <w:rsid w:val="009C4783"/>
    <w:rsid w:val="009C5876"/>
    <w:rsid w:val="009D05E6"/>
    <w:rsid w:val="009D0B61"/>
    <w:rsid w:val="009D228C"/>
    <w:rsid w:val="009D291C"/>
    <w:rsid w:val="009D2C46"/>
    <w:rsid w:val="009D3CC5"/>
    <w:rsid w:val="009D65E5"/>
    <w:rsid w:val="009D7463"/>
    <w:rsid w:val="009D7597"/>
    <w:rsid w:val="009D7C2C"/>
    <w:rsid w:val="009E536D"/>
    <w:rsid w:val="009E6223"/>
    <w:rsid w:val="009F05E7"/>
    <w:rsid w:val="009F573A"/>
    <w:rsid w:val="009F5D69"/>
    <w:rsid w:val="009F7A59"/>
    <w:rsid w:val="00A0216E"/>
    <w:rsid w:val="00A02A3B"/>
    <w:rsid w:val="00A03CFF"/>
    <w:rsid w:val="00A03E93"/>
    <w:rsid w:val="00A0487D"/>
    <w:rsid w:val="00A10465"/>
    <w:rsid w:val="00A104C8"/>
    <w:rsid w:val="00A105F3"/>
    <w:rsid w:val="00A14579"/>
    <w:rsid w:val="00A162A4"/>
    <w:rsid w:val="00A168E9"/>
    <w:rsid w:val="00A16C88"/>
    <w:rsid w:val="00A21AA3"/>
    <w:rsid w:val="00A260C0"/>
    <w:rsid w:val="00A26165"/>
    <w:rsid w:val="00A26188"/>
    <w:rsid w:val="00A26D5D"/>
    <w:rsid w:val="00A33497"/>
    <w:rsid w:val="00A33F93"/>
    <w:rsid w:val="00A35054"/>
    <w:rsid w:val="00A35BE2"/>
    <w:rsid w:val="00A40081"/>
    <w:rsid w:val="00A4123F"/>
    <w:rsid w:val="00A44DE1"/>
    <w:rsid w:val="00A46937"/>
    <w:rsid w:val="00A47BF8"/>
    <w:rsid w:val="00A50739"/>
    <w:rsid w:val="00A516B6"/>
    <w:rsid w:val="00A536B2"/>
    <w:rsid w:val="00A53F5F"/>
    <w:rsid w:val="00A54F9D"/>
    <w:rsid w:val="00A56E92"/>
    <w:rsid w:val="00A574B5"/>
    <w:rsid w:val="00A5750D"/>
    <w:rsid w:val="00A60008"/>
    <w:rsid w:val="00A60FE0"/>
    <w:rsid w:val="00A611F2"/>
    <w:rsid w:val="00A61E5B"/>
    <w:rsid w:val="00A64CEC"/>
    <w:rsid w:val="00A6513E"/>
    <w:rsid w:val="00A65C2A"/>
    <w:rsid w:val="00A66A93"/>
    <w:rsid w:val="00A70B88"/>
    <w:rsid w:val="00A77487"/>
    <w:rsid w:val="00A810F5"/>
    <w:rsid w:val="00A8145B"/>
    <w:rsid w:val="00A82DED"/>
    <w:rsid w:val="00A861B3"/>
    <w:rsid w:val="00A8652A"/>
    <w:rsid w:val="00A8653F"/>
    <w:rsid w:val="00A86B5B"/>
    <w:rsid w:val="00A92E95"/>
    <w:rsid w:val="00A92E9C"/>
    <w:rsid w:val="00A9517F"/>
    <w:rsid w:val="00A957EF"/>
    <w:rsid w:val="00A95C9E"/>
    <w:rsid w:val="00A97E41"/>
    <w:rsid w:val="00AA10AD"/>
    <w:rsid w:val="00AA585A"/>
    <w:rsid w:val="00AA5B03"/>
    <w:rsid w:val="00AA5F85"/>
    <w:rsid w:val="00AA69E9"/>
    <w:rsid w:val="00AA7BFF"/>
    <w:rsid w:val="00AB1BBA"/>
    <w:rsid w:val="00AB2401"/>
    <w:rsid w:val="00AB5D46"/>
    <w:rsid w:val="00AB76F5"/>
    <w:rsid w:val="00AC156D"/>
    <w:rsid w:val="00AC3E98"/>
    <w:rsid w:val="00AC4ACE"/>
    <w:rsid w:val="00AC4F5E"/>
    <w:rsid w:val="00AC6A09"/>
    <w:rsid w:val="00AC76DC"/>
    <w:rsid w:val="00AD25C0"/>
    <w:rsid w:val="00AD36A5"/>
    <w:rsid w:val="00AD6E2C"/>
    <w:rsid w:val="00AD7954"/>
    <w:rsid w:val="00AE006E"/>
    <w:rsid w:val="00AE05D0"/>
    <w:rsid w:val="00AE0649"/>
    <w:rsid w:val="00AE1116"/>
    <w:rsid w:val="00AE1D22"/>
    <w:rsid w:val="00AE74EE"/>
    <w:rsid w:val="00AF13F5"/>
    <w:rsid w:val="00AF1835"/>
    <w:rsid w:val="00AF1B27"/>
    <w:rsid w:val="00AF49C0"/>
    <w:rsid w:val="00AF6EA7"/>
    <w:rsid w:val="00B000C9"/>
    <w:rsid w:val="00B01D66"/>
    <w:rsid w:val="00B02A2E"/>
    <w:rsid w:val="00B048F9"/>
    <w:rsid w:val="00B061A5"/>
    <w:rsid w:val="00B0652E"/>
    <w:rsid w:val="00B07A2E"/>
    <w:rsid w:val="00B133D3"/>
    <w:rsid w:val="00B14DD1"/>
    <w:rsid w:val="00B15737"/>
    <w:rsid w:val="00B21AAF"/>
    <w:rsid w:val="00B23814"/>
    <w:rsid w:val="00B23DA5"/>
    <w:rsid w:val="00B25612"/>
    <w:rsid w:val="00B256EE"/>
    <w:rsid w:val="00B25F77"/>
    <w:rsid w:val="00B305DB"/>
    <w:rsid w:val="00B31CB8"/>
    <w:rsid w:val="00B3639E"/>
    <w:rsid w:val="00B40A44"/>
    <w:rsid w:val="00B4184E"/>
    <w:rsid w:val="00B42018"/>
    <w:rsid w:val="00B43BBF"/>
    <w:rsid w:val="00B4481D"/>
    <w:rsid w:val="00B44AF3"/>
    <w:rsid w:val="00B6174D"/>
    <w:rsid w:val="00B643DA"/>
    <w:rsid w:val="00B6634C"/>
    <w:rsid w:val="00B720D1"/>
    <w:rsid w:val="00B73654"/>
    <w:rsid w:val="00B737DE"/>
    <w:rsid w:val="00B73FC1"/>
    <w:rsid w:val="00B86106"/>
    <w:rsid w:val="00B92555"/>
    <w:rsid w:val="00B925E7"/>
    <w:rsid w:val="00B927AF"/>
    <w:rsid w:val="00B92FFD"/>
    <w:rsid w:val="00B951CB"/>
    <w:rsid w:val="00B95262"/>
    <w:rsid w:val="00BA25D8"/>
    <w:rsid w:val="00BB25D4"/>
    <w:rsid w:val="00BB4049"/>
    <w:rsid w:val="00BB524D"/>
    <w:rsid w:val="00BC0683"/>
    <w:rsid w:val="00BC0B2E"/>
    <w:rsid w:val="00BC1384"/>
    <w:rsid w:val="00BC2632"/>
    <w:rsid w:val="00BC3143"/>
    <w:rsid w:val="00BC5B66"/>
    <w:rsid w:val="00BC6D74"/>
    <w:rsid w:val="00BC7A54"/>
    <w:rsid w:val="00BD165B"/>
    <w:rsid w:val="00BD1AEF"/>
    <w:rsid w:val="00BD428B"/>
    <w:rsid w:val="00BD6F9A"/>
    <w:rsid w:val="00BE084D"/>
    <w:rsid w:val="00BE21AA"/>
    <w:rsid w:val="00BE3F04"/>
    <w:rsid w:val="00BE526F"/>
    <w:rsid w:val="00BF2898"/>
    <w:rsid w:val="00BF6E16"/>
    <w:rsid w:val="00C02395"/>
    <w:rsid w:val="00C050E0"/>
    <w:rsid w:val="00C0662F"/>
    <w:rsid w:val="00C06F2B"/>
    <w:rsid w:val="00C12CEE"/>
    <w:rsid w:val="00C13186"/>
    <w:rsid w:val="00C131C5"/>
    <w:rsid w:val="00C148DF"/>
    <w:rsid w:val="00C17711"/>
    <w:rsid w:val="00C17F52"/>
    <w:rsid w:val="00C22310"/>
    <w:rsid w:val="00C24933"/>
    <w:rsid w:val="00C260CC"/>
    <w:rsid w:val="00C271D3"/>
    <w:rsid w:val="00C27DF1"/>
    <w:rsid w:val="00C31357"/>
    <w:rsid w:val="00C35278"/>
    <w:rsid w:val="00C424D1"/>
    <w:rsid w:val="00C461BD"/>
    <w:rsid w:val="00C476E4"/>
    <w:rsid w:val="00C51843"/>
    <w:rsid w:val="00C576A1"/>
    <w:rsid w:val="00C62858"/>
    <w:rsid w:val="00C636B9"/>
    <w:rsid w:val="00C663CE"/>
    <w:rsid w:val="00C66769"/>
    <w:rsid w:val="00C66C2E"/>
    <w:rsid w:val="00C74B50"/>
    <w:rsid w:val="00C76F9E"/>
    <w:rsid w:val="00C779D7"/>
    <w:rsid w:val="00C85777"/>
    <w:rsid w:val="00C861C4"/>
    <w:rsid w:val="00C9085D"/>
    <w:rsid w:val="00C90E08"/>
    <w:rsid w:val="00C93E5D"/>
    <w:rsid w:val="00C95B23"/>
    <w:rsid w:val="00C96D6B"/>
    <w:rsid w:val="00CA09C0"/>
    <w:rsid w:val="00CA106C"/>
    <w:rsid w:val="00CA1AC0"/>
    <w:rsid w:val="00CA2C4E"/>
    <w:rsid w:val="00CB0634"/>
    <w:rsid w:val="00CB0948"/>
    <w:rsid w:val="00CB58EE"/>
    <w:rsid w:val="00CB7004"/>
    <w:rsid w:val="00CC047E"/>
    <w:rsid w:val="00CC080C"/>
    <w:rsid w:val="00CC0FD7"/>
    <w:rsid w:val="00CC29A3"/>
    <w:rsid w:val="00CC314A"/>
    <w:rsid w:val="00CC5800"/>
    <w:rsid w:val="00CC59E7"/>
    <w:rsid w:val="00CC609E"/>
    <w:rsid w:val="00CD10D8"/>
    <w:rsid w:val="00CD19B3"/>
    <w:rsid w:val="00CD2AB4"/>
    <w:rsid w:val="00CD4E55"/>
    <w:rsid w:val="00CD5A49"/>
    <w:rsid w:val="00CD5E53"/>
    <w:rsid w:val="00CD6459"/>
    <w:rsid w:val="00CE109A"/>
    <w:rsid w:val="00CE2DFF"/>
    <w:rsid w:val="00CE3124"/>
    <w:rsid w:val="00CE39E6"/>
    <w:rsid w:val="00CE54E1"/>
    <w:rsid w:val="00CF1F1B"/>
    <w:rsid w:val="00CF2392"/>
    <w:rsid w:val="00CF2687"/>
    <w:rsid w:val="00CF3D6F"/>
    <w:rsid w:val="00CF5770"/>
    <w:rsid w:val="00CF5F03"/>
    <w:rsid w:val="00CF6176"/>
    <w:rsid w:val="00CF6B5C"/>
    <w:rsid w:val="00CF73B7"/>
    <w:rsid w:val="00D02063"/>
    <w:rsid w:val="00D023A1"/>
    <w:rsid w:val="00D030AC"/>
    <w:rsid w:val="00D03CF7"/>
    <w:rsid w:val="00D0556E"/>
    <w:rsid w:val="00D05DBC"/>
    <w:rsid w:val="00D0690A"/>
    <w:rsid w:val="00D06D22"/>
    <w:rsid w:val="00D13DC9"/>
    <w:rsid w:val="00D1471E"/>
    <w:rsid w:val="00D152C1"/>
    <w:rsid w:val="00D15580"/>
    <w:rsid w:val="00D17994"/>
    <w:rsid w:val="00D20CAD"/>
    <w:rsid w:val="00D21845"/>
    <w:rsid w:val="00D25597"/>
    <w:rsid w:val="00D275EC"/>
    <w:rsid w:val="00D31B8A"/>
    <w:rsid w:val="00D32A30"/>
    <w:rsid w:val="00D34F25"/>
    <w:rsid w:val="00D41E21"/>
    <w:rsid w:val="00D457F7"/>
    <w:rsid w:val="00D45E39"/>
    <w:rsid w:val="00D47250"/>
    <w:rsid w:val="00D472C6"/>
    <w:rsid w:val="00D50FD0"/>
    <w:rsid w:val="00D52027"/>
    <w:rsid w:val="00D525FB"/>
    <w:rsid w:val="00D5523D"/>
    <w:rsid w:val="00D55B44"/>
    <w:rsid w:val="00D562D7"/>
    <w:rsid w:val="00D60D5A"/>
    <w:rsid w:val="00D60F54"/>
    <w:rsid w:val="00D6188B"/>
    <w:rsid w:val="00D6490D"/>
    <w:rsid w:val="00D65F64"/>
    <w:rsid w:val="00D70CA1"/>
    <w:rsid w:val="00D73E24"/>
    <w:rsid w:val="00D75F16"/>
    <w:rsid w:val="00D77612"/>
    <w:rsid w:val="00D77F43"/>
    <w:rsid w:val="00D80843"/>
    <w:rsid w:val="00D82272"/>
    <w:rsid w:val="00D91C40"/>
    <w:rsid w:val="00D93A7F"/>
    <w:rsid w:val="00D93AD9"/>
    <w:rsid w:val="00D9480E"/>
    <w:rsid w:val="00D94EB8"/>
    <w:rsid w:val="00D96ED9"/>
    <w:rsid w:val="00D97437"/>
    <w:rsid w:val="00D97C07"/>
    <w:rsid w:val="00DA31CF"/>
    <w:rsid w:val="00DA37BB"/>
    <w:rsid w:val="00DA3C31"/>
    <w:rsid w:val="00DA48BF"/>
    <w:rsid w:val="00DA54A4"/>
    <w:rsid w:val="00DA6807"/>
    <w:rsid w:val="00DB1AEA"/>
    <w:rsid w:val="00DB2D8A"/>
    <w:rsid w:val="00DB4A6E"/>
    <w:rsid w:val="00DB6A8B"/>
    <w:rsid w:val="00DC3A9B"/>
    <w:rsid w:val="00DC4A8C"/>
    <w:rsid w:val="00DD0017"/>
    <w:rsid w:val="00DD035D"/>
    <w:rsid w:val="00DD085D"/>
    <w:rsid w:val="00DD122C"/>
    <w:rsid w:val="00DD2470"/>
    <w:rsid w:val="00DD3804"/>
    <w:rsid w:val="00DD5A5C"/>
    <w:rsid w:val="00DD5CB1"/>
    <w:rsid w:val="00DD63A8"/>
    <w:rsid w:val="00DE0147"/>
    <w:rsid w:val="00DE0807"/>
    <w:rsid w:val="00DE085C"/>
    <w:rsid w:val="00DE3E45"/>
    <w:rsid w:val="00DE6FA7"/>
    <w:rsid w:val="00DE7AFA"/>
    <w:rsid w:val="00DF2DC7"/>
    <w:rsid w:val="00DF4730"/>
    <w:rsid w:val="00DF66F0"/>
    <w:rsid w:val="00E00050"/>
    <w:rsid w:val="00E04586"/>
    <w:rsid w:val="00E0518B"/>
    <w:rsid w:val="00E15945"/>
    <w:rsid w:val="00E20B39"/>
    <w:rsid w:val="00E21A37"/>
    <w:rsid w:val="00E22B9E"/>
    <w:rsid w:val="00E22D4E"/>
    <w:rsid w:val="00E24293"/>
    <w:rsid w:val="00E247DE"/>
    <w:rsid w:val="00E270F6"/>
    <w:rsid w:val="00E30CEC"/>
    <w:rsid w:val="00E319A9"/>
    <w:rsid w:val="00E32159"/>
    <w:rsid w:val="00E34C24"/>
    <w:rsid w:val="00E35AB7"/>
    <w:rsid w:val="00E35D24"/>
    <w:rsid w:val="00E35FB0"/>
    <w:rsid w:val="00E3774A"/>
    <w:rsid w:val="00E37EB1"/>
    <w:rsid w:val="00E434F0"/>
    <w:rsid w:val="00E50ACE"/>
    <w:rsid w:val="00E5258C"/>
    <w:rsid w:val="00E527B6"/>
    <w:rsid w:val="00E55F0F"/>
    <w:rsid w:val="00E56B85"/>
    <w:rsid w:val="00E612C9"/>
    <w:rsid w:val="00E6189D"/>
    <w:rsid w:val="00E61B7A"/>
    <w:rsid w:val="00E62370"/>
    <w:rsid w:val="00E657DE"/>
    <w:rsid w:val="00E66023"/>
    <w:rsid w:val="00E72B9D"/>
    <w:rsid w:val="00E73414"/>
    <w:rsid w:val="00E73719"/>
    <w:rsid w:val="00E76301"/>
    <w:rsid w:val="00E768BC"/>
    <w:rsid w:val="00E77B8C"/>
    <w:rsid w:val="00E80F6A"/>
    <w:rsid w:val="00E8255B"/>
    <w:rsid w:val="00E82DD5"/>
    <w:rsid w:val="00E82F81"/>
    <w:rsid w:val="00E8417B"/>
    <w:rsid w:val="00E84CCD"/>
    <w:rsid w:val="00E875B0"/>
    <w:rsid w:val="00E87E93"/>
    <w:rsid w:val="00E903B1"/>
    <w:rsid w:val="00E96E80"/>
    <w:rsid w:val="00EA0A48"/>
    <w:rsid w:val="00EA0EFF"/>
    <w:rsid w:val="00EB7A89"/>
    <w:rsid w:val="00EC0A1A"/>
    <w:rsid w:val="00EC0BB3"/>
    <w:rsid w:val="00EC263E"/>
    <w:rsid w:val="00EC315A"/>
    <w:rsid w:val="00EC4A3D"/>
    <w:rsid w:val="00EC5F0B"/>
    <w:rsid w:val="00EC663A"/>
    <w:rsid w:val="00ED5139"/>
    <w:rsid w:val="00ED5B41"/>
    <w:rsid w:val="00ED78C2"/>
    <w:rsid w:val="00EE0F19"/>
    <w:rsid w:val="00EE3279"/>
    <w:rsid w:val="00EE5BA4"/>
    <w:rsid w:val="00EF2483"/>
    <w:rsid w:val="00EF3998"/>
    <w:rsid w:val="00EF3ECB"/>
    <w:rsid w:val="00EF5AEC"/>
    <w:rsid w:val="00EF673A"/>
    <w:rsid w:val="00EF6AE3"/>
    <w:rsid w:val="00F04A25"/>
    <w:rsid w:val="00F0554D"/>
    <w:rsid w:val="00F05FB0"/>
    <w:rsid w:val="00F07258"/>
    <w:rsid w:val="00F074E0"/>
    <w:rsid w:val="00F13E86"/>
    <w:rsid w:val="00F14D55"/>
    <w:rsid w:val="00F14F04"/>
    <w:rsid w:val="00F1528A"/>
    <w:rsid w:val="00F21386"/>
    <w:rsid w:val="00F222F3"/>
    <w:rsid w:val="00F22553"/>
    <w:rsid w:val="00F22C10"/>
    <w:rsid w:val="00F2505F"/>
    <w:rsid w:val="00F256D4"/>
    <w:rsid w:val="00F2577D"/>
    <w:rsid w:val="00F25BEA"/>
    <w:rsid w:val="00F26246"/>
    <w:rsid w:val="00F275C5"/>
    <w:rsid w:val="00F303C5"/>
    <w:rsid w:val="00F30BA4"/>
    <w:rsid w:val="00F30C40"/>
    <w:rsid w:val="00F30C94"/>
    <w:rsid w:val="00F31BE5"/>
    <w:rsid w:val="00F351D3"/>
    <w:rsid w:val="00F36262"/>
    <w:rsid w:val="00F36C35"/>
    <w:rsid w:val="00F41F03"/>
    <w:rsid w:val="00F4319D"/>
    <w:rsid w:val="00F43C9D"/>
    <w:rsid w:val="00F478CB"/>
    <w:rsid w:val="00F56D9A"/>
    <w:rsid w:val="00F56E49"/>
    <w:rsid w:val="00F56E7A"/>
    <w:rsid w:val="00F57C79"/>
    <w:rsid w:val="00F60F60"/>
    <w:rsid w:val="00F61339"/>
    <w:rsid w:val="00F63172"/>
    <w:rsid w:val="00F64574"/>
    <w:rsid w:val="00F64CB6"/>
    <w:rsid w:val="00F65AE6"/>
    <w:rsid w:val="00F70707"/>
    <w:rsid w:val="00F722FA"/>
    <w:rsid w:val="00F7252C"/>
    <w:rsid w:val="00F740DF"/>
    <w:rsid w:val="00F7575B"/>
    <w:rsid w:val="00F76700"/>
    <w:rsid w:val="00F80682"/>
    <w:rsid w:val="00F8143C"/>
    <w:rsid w:val="00F82C62"/>
    <w:rsid w:val="00F86A1E"/>
    <w:rsid w:val="00F90F31"/>
    <w:rsid w:val="00F97BEA"/>
    <w:rsid w:val="00FA0B4D"/>
    <w:rsid w:val="00FA20D1"/>
    <w:rsid w:val="00FA4AE0"/>
    <w:rsid w:val="00FA565C"/>
    <w:rsid w:val="00FA73C6"/>
    <w:rsid w:val="00FB1D63"/>
    <w:rsid w:val="00FB2281"/>
    <w:rsid w:val="00FB2D2D"/>
    <w:rsid w:val="00FB5515"/>
    <w:rsid w:val="00FB7B22"/>
    <w:rsid w:val="00FC4161"/>
    <w:rsid w:val="00FD290C"/>
    <w:rsid w:val="00FD4C5F"/>
    <w:rsid w:val="00FD4CA8"/>
    <w:rsid w:val="00FD5799"/>
    <w:rsid w:val="00FD5E6D"/>
    <w:rsid w:val="00FD6D86"/>
    <w:rsid w:val="00FD7256"/>
    <w:rsid w:val="00FD7C32"/>
    <w:rsid w:val="00FD7F10"/>
    <w:rsid w:val="00FE565C"/>
    <w:rsid w:val="00FF0BBE"/>
    <w:rsid w:val="00FF0BE3"/>
    <w:rsid w:val="00FF11EB"/>
    <w:rsid w:val="00FF15F5"/>
    <w:rsid w:val="00FF295B"/>
    <w:rsid w:val="00FF6B3A"/>
    <w:rsid w:val="00FF7332"/>
    <w:rsid w:val="00FF7BBA"/>
    <w:rsid w:val="01423CA2"/>
    <w:rsid w:val="022813CB"/>
    <w:rsid w:val="0312096D"/>
    <w:rsid w:val="036C5CD6"/>
    <w:rsid w:val="04967B12"/>
    <w:rsid w:val="054B533F"/>
    <w:rsid w:val="08173D35"/>
    <w:rsid w:val="0981273B"/>
    <w:rsid w:val="09826B3D"/>
    <w:rsid w:val="09F77F66"/>
    <w:rsid w:val="0A327F72"/>
    <w:rsid w:val="0A693A04"/>
    <w:rsid w:val="0D08694E"/>
    <w:rsid w:val="0D662A39"/>
    <w:rsid w:val="0D680AAE"/>
    <w:rsid w:val="0D8C6EF5"/>
    <w:rsid w:val="0E872948"/>
    <w:rsid w:val="0EEB23A3"/>
    <w:rsid w:val="0EEB2C6E"/>
    <w:rsid w:val="0F5C122D"/>
    <w:rsid w:val="0FB10F70"/>
    <w:rsid w:val="0FF74670"/>
    <w:rsid w:val="103C69F9"/>
    <w:rsid w:val="10A607AF"/>
    <w:rsid w:val="10FF14FC"/>
    <w:rsid w:val="11725CB0"/>
    <w:rsid w:val="12840D9D"/>
    <w:rsid w:val="12DC73F5"/>
    <w:rsid w:val="13C10CDA"/>
    <w:rsid w:val="14C527F8"/>
    <w:rsid w:val="159B1A88"/>
    <w:rsid w:val="15DC6426"/>
    <w:rsid w:val="16161933"/>
    <w:rsid w:val="16C37492"/>
    <w:rsid w:val="187C3F17"/>
    <w:rsid w:val="188668A7"/>
    <w:rsid w:val="1A596290"/>
    <w:rsid w:val="1BA45BB3"/>
    <w:rsid w:val="1BB5574A"/>
    <w:rsid w:val="1C8A6A5A"/>
    <w:rsid w:val="1D1E30D9"/>
    <w:rsid w:val="1ECD2769"/>
    <w:rsid w:val="2118546D"/>
    <w:rsid w:val="214C726B"/>
    <w:rsid w:val="220B79E7"/>
    <w:rsid w:val="227908BB"/>
    <w:rsid w:val="22CF64C4"/>
    <w:rsid w:val="24146B42"/>
    <w:rsid w:val="2418121F"/>
    <w:rsid w:val="24227550"/>
    <w:rsid w:val="25B62DFD"/>
    <w:rsid w:val="25B64D2C"/>
    <w:rsid w:val="272417CE"/>
    <w:rsid w:val="28213046"/>
    <w:rsid w:val="28C03F9D"/>
    <w:rsid w:val="29353E4B"/>
    <w:rsid w:val="296A3777"/>
    <w:rsid w:val="2A0D2D5E"/>
    <w:rsid w:val="2A236926"/>
    <w:rsid w:val="2AD12442"/>
    <w:rsid w:val="2C1F17C7"/>
    <w:rsid w:val="2C424E4E"/>
    <w:rsid w:val="2DD77D16"/>
    <w:rsid w:val="2DE41481"/>
    <w:rsid w:val="2FE606B5"/>
    <w:rsid w:val="306E7925"/>
    <w:rsid w:val="30872DE6"/>
    <w:rsid w:val="31182B1E"/>
    <w:rsid w:val="32044A79"/>
    <w:rsid w:val="32060AFE"/>
    <w:rsid w:val="320C3BE7"/>
    <w:rsid w:val="326E2ED3"/>
    <w:rsid w:val="32973DE6"/>
    <w:rsid w:val="33AD241A"/>
    <w:rsid w:val="34BF3754"/>
    <w:rsid w:val="35222514"/>
    <w:rsid w:val="358867FD"/>
    <w:rsid w:val="35FD3FA0"/>
    <w:rsid w:val="363D67B1"/>
    <w:rsid w:val="37284936"/>
    <w:rsid w:val="376020F6"/>
    <w:rsid w:val="37854314"/>
    <w:rsid w:val="37996B91"/>
    <w:rsid w:val="37A43765"/>
    <w:rsid w:val="37D84BE6"/>
    <w:rsid w:val="37F540E2"/>
    <w:rsid w:val="38A40628"/>
    <w:rsid w:val="38A91EEF"/>
    <w:rsid w:val="397F190B"/>
    <w:rsid w:val="3A41381A"/>
    <w:rsid w:val="3B3503B7"/>
    <w:rsid w:val="3B8530B7"/>
    <w:rsid w:val="3BC77BDF"/>
    <w:rsid w:val="3C675DB2"/>
    <w:rsid w:val="3C93734D"/>
    <w:rsid w:val="3DD6286D"/>
    <w:rsid w:val="3DF62C5F"/>
    <w:rsid w:val="3F01249B"/>
    <w:rsid w:val="3F976A54"/>
    <w:rsid w:val="4007509C"/>
    <w:rsid w:val="408B10FB"/>
    <w:rsid w:val="426D596E"/>
    <w:rsid w:val="42C565EC"/>
    <w:rsid w:val="449A3CF3"/>
    <w:rsid w:val="455B5767"/>
    <w:rsid w:val="45A53EAE"/>
    <w:rsid w:val="45AA799D"/>
    <w:rsid w:val="464F3931"/>
    <w:rsid w:val="46FC5CDF"/>
    <w:rsid w:val="491A24F1"/>
    <w:rsid w:val="49807161"/>
    <w:rsid w:val="499C3A25"/>
    <w:rsid w:val="4C9A34C5"/>
    <w:rsid w:val="4CBB5D45"/>
    <w:rsid w:val="4DF30B89"/>
    <w:rsid w:val="4E7C0FAB"/>
    <w:rsid w:val="4EFF092F"/>
    <w:rsid w:val="50BC1CDC"/>
    <w:rsid w:val="5152634A"/>
    <w:rsid w:val="515E51B7"/>
    <w:rsid w:val="517726B1"/>
    <w:rsid w:val="518711B7"/>
    <w:rsid w:val="5225321F"/>
    <w:rsid w:val="53C22CD8"/>
    <w:rsid w:val="55505A5A"/>
    <w:rsid w:val="55A02501"/>
    <w:rsid w:val="56136ED1"/>
    <w:rsid w:val="563464F0"/>
    <w:rsid w:val="56DC64B2"/>
    <w:rsid w:val="58051B85"/>
    <w:rsid w:val="588427C5"/>
    <w:rsid w:val="59036248"/>
    <w:rsid w:val="5B2F03D1"/>
    <w:rsid w:val="5BA4094F"/>
    <w:rsid w:val="5C2F78E7"/>
    <w:rsid w:val="5CD8141A"/>
    <w:rsid w:val="5CE0185D"/>
    <w:rsid w:val="5D8C3271"/>
    <w:rsid w:val="5E9F33E4"/>
    <w:rsid w:val="5EAC2CA1"/>
    <w:rsid w:val="5F9449C9"/>
    <w:rsid w:val="5FE4072F"/>
    <w:rsid w:val="6072793C"/>
    <w:rsid w:val="617603AB"/>
    <w:rsid w:val="61FF3B8B"/>
    <w:rsid w:val="63611A35"/>
    <w:rsid w:val="65BC2B00"/>
    <w:rsid w:val="66113700"/>
    <w:rsid w:val="663716E7"/>
    <w:rsid w:val="666753B6"/>
    <w:rsid w:val="679B4A88"/>
    <w:rsid w:val="68281635"/>
    <w:rsid w:val="68456D82"/>
    <w:rsid w:val="6896742E"/>
    <w:rsid w:val="68BE11F0"/>
    <w:rsid w:val="68CE114D"/>
    <w:rsid w:val="68DC353F"/>
    <w:rsid w:val="692010E4"/>
    <w:rsid w:val="69F86CB3"/>
    <w:rsid w:val="6A2D15DE"/>
    <w:rsid w:val="6A36164B"/>
    <w:rsid w:val="6A7C2642"/>
    <w:rsid w:val="6C1C7853"/>
    <w:rsid w:val="6C9A38B8"/>
    <w:rsid w:val="6CA441DD"/>
    <w:rsid w:val="6D162543"/>
    <w:rsid w:val="6E08212D"/>
    <w:rsid w:val="6E8A4B0A"/>
    <w:rsid w:val="6EA0042A"/>
    <w:rsid w:val="6EA23B72"/>
    <w:rsid w:val="6EB8699E"/>
    <w:rsid w:val="70267EE3"/>
    <w:rsid w:val="719E33B1"/>
    <w:rsid w:val="724C7EBA"/>
    <w:rsid w:val="727F192C"/>
    <w:rsid w:val="73DE4AEE"/>
    <w:rsid w:val="74427D57"/>
    <w:rsid w:val="74621C90"/>
    <w:rsid w:val="74F07D6D"/>
    <w:rsid w:val="752B5859"/>
    <w:rsid w:val="773453A5"/>
    <w:rsid w:val="77C459BB"/>
    <w:rsid w:val="788A52DC"/>
    <w:rsid w:val="792B6653"/>
    <w:rsid w:val="79E942EF"/>
    <w:rsid w:val="79EF2473"/>
    <w:rsid w:val="7A4E5028"/>
    <w:rsid w:val="7A765450"/>
    <w:rsid w:val="7D2E11D6"/>
    <w:rsid w:val="7D2F6803"/>
    <w:rsid w:val="7D8D3339"/>
    <w:rsid w:val="7F1F15FF"/>
    <w:rsid w:val="7F480A79"/>
    <w:rsid w:val="7F974C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A7BCD64"/>
  <w15:docId w15:val="{C542A9B2-7A11-450F-B302-387491BCF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locked="1" w:uiPriority="9"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qFormat="1"/>
    <w:lsdException w:name="Medium Shading 2 Accent 1" w:uiPriority="69"/>
    <w:lsdException w:name="Medium List 1 Accent 1" w:uiPriority="70"/>
    <w:lsdException w:name="Revision" w:semiHidden="1" w:uiPriority="99"/>
    <w:lsdException w:name="List Paragraph" w:uiPriority="99" w:qFormat="1"/>
    <w:lsdException w:name="Quote" w:uiPriority="99" w:qFormat="1"/>
    <w:lsdException w:name="Intense Quote" w:uiPriority="99"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99" w:qFormat="1"/>
    <w:lsdException w:name="Colorful Grid Accent 1" w:uiPriority="99" w:qFormat="1"/>
    <w:lsdException w:name="Light Shading Accent 2" w:uiPriority="99"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qFormat="1"/>
    <w:lsdException w:name="Medium Grid 2 Accent 2" w:uiPriority="73" w:qFormat="1"/>
    <w:lsdException w:name="Medium Grid 3 Accent 2" w:uiPriority="60" w:qFormat="1"/>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locked/>
    <w:pPr>
      <w:widowControl/>
      <w:spacing w:before="100" w:beforeAutospacing="1" w:after="100" w:afterAutospacing="1"/>
      <w:jc w:val="left"/>
      <w:outlineLvl w:val="0"/>
    </w:pPr>
    <w:rPr>
      <w:rFonts w:ascii="宋体" w:hAnsi="宋体"/>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
    <w:name w:val="highlight"/>
    <w:rPr>
      <w:rFonts w:cs="Times New Roman"/>
    </w:rPr>
  </w:style>
  <w:style w:type="character" w:customStyle="1" w:styleId="fontstyle01">
    <w:name w:val="fontstyle01"/>
    <w:rPr>
      <w:rFonts w:ascii="AdvGulliv-B" w:hAnsi="AdvGulliv-B" w:cs="Times New Roman"/>
      <w:color w:val="000000"/>
      <w:sz w:val="30"/>
      <w:szCs w:val="30"/>
    </w:rPr>
  </w:style>
  <w:style w:type="character" w:customStyle="1" w:styleId="Char">
    <w:name w:val="批注框文本 Char"/>
    <w:link w:val="a3"/>
    <w:semiHidden/>
    <w:locked/>
    <w:rPr>
      <w:rFonts w:ascii="Lucida Grande" w:hAnsi="Lucida Grande" w:cs="Lucida Grande"/>
      <w:sz w:val="18"/>
      <w:szCs w:val="18"/>
    </w:rPr>
  </w:style>
  <w:style w:type="character" w:customStyle="1" w:styleId="Char0">
    <w:name w:val="页脚 Char"/>
    <w:link w:val="a4"/>
    <w:uiPriority w:val="99"/>
    <w:locked/>
    <w:rPr>
      <w:rFonts w:cs="Times New Roman"/>
      <w:sz w:val="18"/>
      <w:szCs w:val="18"/>
    </w:rPr>
  </w:style>
  <w:style w:type="character" w:customStyle="1" w:styleId="Char1">
    <w:name w:val="批注文字 Char"/>
    <w:link w:val="a5"/>
    <w:uiPriority w:val="99"/>
    <w:qFormat/>
    <w:locked/>
    <w:rPr>
      <w:rFonts w:cs="Times New Roman"/>
      <w:sz w:val="24"/>
      <w:szCs w:val="24"/>
    </w:rPr>
  </w:style>
  <w:style w:type="character" w:customStyle="1" w:styleId="Char2">
    <w:name w:val="批注主题 Char"/>
    <w:link w:val="a6"/>
    <w:semiHidden/>
    <w:locked/>
    <w:rPr>
      <w:rFonts w:cs="Times New Roman"/>
      <w:b/>
      <w:bCs/>
      <w:sz w:val="20"/>
      <w:szCs w:val="20"/>
    </w:rPr>
  </w:style>
  <w:style w:type="character" w:customStyle="1" w:styleId="1Char">
    <w:name w:val="标题 1 Char"/>
    <w:link w:val="1"/>
    <w:uiPriority w:val="9"/>
    <w:rPr>
      <w:rFonts w:ascii="宋体" w:hAnsi="宋体" w:cs="宋体"/>
      <w:b/>
      <w:bCs/>
      <w:kern w:val="36"/>
      <w:sz w:val="48"/>
      <w:szCs w:val="48"/>
    </w:rPr>
  </w:style>
  <w:style w:type="character" w:styleId="a7">
    <w:name w:val="page number"/>
    <w:basedOn w:val="a0"/>
  </w:style>
  <w:style w:type="character" w:styleId="a8">
    <w:name w:val="Hyperlink"/>
    <w:rPr>
      <w:rFonts w:cs="Times New Roman"/>
      <w:color w:val="0000FF"/>
      <w:u w:val="single"/>
    </w:rPr>
  </w:style>
  <w:style w:type="character" w:styleId="a9">
    <w:name w:val="annotation reference"/>
    <w:uiPriority w:val="99"/>
    <w:semiHidden/>
    <w:rPr>
      <w:rFonts w:cs="Times New Roman"/>
      <w:sz w:val="18"/>
      <w:szCs w:val="18"/>
    </w:rPr>
  </w:style>
  <w:style w:type="character" w:customStyle="1" w:styleId="Char3">
    <w:name w:val="页眉 Char"/>
    <w:link w:val="aa"/>
    <w:semiHidden/>
    <w:locked/>
    <w:rPr>
      <w:rFonts w:cs="Times New Roman"/>
      <w:sz w:val="18"/>
      <w:szCs w:val="18"/>
    </w:rPr>
  </w:style>
  <w:style w:type="character" w:customStyle="1" w:styleId="apple-converted-space">
    <w:name w:val="apple-converted-space"/>
    <w:rPr>
      <w:rFonts w:cs="Times New Roman"/>
    </w:rPr>
  </w:style>
  <w:style w:type="character" w:customStyle="1" w:styleId="font21">
    <w:name w:val="font21"/>
    <w:qFormat/>
    <w:rPr>
      <w:rFonts w:ascii="宋体" w:eastAsia="宋体" w:hAnsi="宋体" w:cs="宋体" w:hint="eastAsia"/>
      <w:color w:val="000000"/>
      <w:sz w:val="24"/>
      <w:szCs w:val="24"/>
      <w:u w:val="none"/>
      <w:vertAlign w:val="superscript"/>
    </w:rPr>
  </w:style>
  <w:style w:type="paragraph" w:styleId="a6">
    <w:name w:val="annotation subject"/>
    <w:basedOn w:val="a5"/>
    <w:next w:val="a5"/>
    <w:link w:val="Char2"/>
    <w:semiHidden/>
    <w:rPr>
      <w:b/>
      <w:bCs/>
      <w:sz w:val="20"/>
      <w:szCs w:val="20"/>
    </w:rPr>
  </w:style>
  <w:style w:type="paragraph" w:customStyle="1" w:styleId="10">
    <w:name w:val="正文1"/>
    <w:uiPriority w:val="99"/>
    <w:pPr>
      <w:spacing w:line="276" w:lineRule="auto"/>
    </w:pPr>
    <w:rPr>
      <w:rFonts w:ascii="Arial" w:hAnsi="Arial" w:cs="Arial"/>
      <w:color w:val="000000"/>
      <w:sz w:val="22"/>
      <w:lang w:val="pl-PL" w:eastAsia="pl-PL"/>
    </w:rPr>
  </w:style>
  <w:style w:type="paragraph" w:styleId="aa">
    <w:name w:val="header"/>
    <w:basedOn w:val="a"/>
    <w:link w:val="Char3"/>
    <w:semiHidden/>
    <w:pPr>
      <w:pBdr>
        <w:bottom w:val="single" w:sz="6" w:space="1" w:color="auto"/>
      </w:pBdr>
      <w:tabs>
        <w:tab w:val="center" w:pos="4153"/>
        <w:tab w:val="right" w:pos="8306"/>
      </w:tabs>
      <w:snapToGrid w:val="0"/>
      <w:jc w:val="center"/>
    </w:pPr>
    <w:rPr>
      <w:kern w:val="0"/>
      <w:sz w:val="18"/>
      <w:szCs w:val="18"/>
      <w:lang w:val="x-none" w:eastAsia="x-none"/>
    </w:rPr>
  </w:style>
  <w:style w:type="paragraph" w:styleId="a4">
    <w:name w:val="footer"/>
    <w:basedOn w:val="a"/>
    <w:link w:val="Char0"/>
    <w:uiPriority w:val="99"/>
    <w:pPr>
      <w:tabs>
        <w:tab w:val="center" w:pos="4153"/>
        <w:tab w:val="right" w:pos="8306"/>
      </w:tabs>
      <w:snapToGrid w:val="0"/>
      <w:jc w:val="left"/>
    </w:pPr>
    <w:rPr>
      <w:kern w:val="0"/>
      <w:sz w:val="18"/>
      <w:szCs w:val="18"/>
      <w:lang w:val="x-none" w:eastAsia="x-none"/>
    </w:rPr>
  </w:style>
  <w:style w:type="paragraph" w:styleId="a3">
    <w:name w:val="Balloon Text"/>
    <w:basedOn w:val="a"/>
    <w:link w:val="Char"/>
    <w:semiHidden/>
    <w:rPr>
      <w:rFonts w:ascii="Lucida Grande" w:hAnsi="Lucida Grande"/>
      <w:kern w:val="0"/>
      <w:sz w:val="18"/>
      <w:szCs w:val="18"/>
      <w:lang w:val="x-none" w:eastAsia="x-none"/>
    </w:rPr>
  </w:style>
  <w:style w:type="paragraph" w:styleId="a5">
    <w:name w:val="annotation text"/>
    <w:basedOn w:val="a"/>
    <w:link w:val="Char1"/>
    <w:uiPriority w:val="99"/>
    <w:qFormat/>
    <w:rPr>
      <w:kern w:val="0"/>
      <w:sz w:val="24"/>
      <w:szCs w:val="24"/>
      <w:lang w:val="x-none" w:eastAsia="x-none"/>
    </w:rPr>
  </w:style>
  <w:style w:type="paragraph" w:customStyle="1" w:styleId="-11">
    <w:name w:val="彩色底纹 - 强调文字颜色 11"/>
    <w:uiPriority w:val="71"/>
    <w:rPr>
      <w:kern w:val="2"/>
      <w:sz w:val="21"/>
      <w:szCs w:val="22"/>
    </w:rPr>
  </w:style>
  <w:style w:type="paragraph" w:customStyle="1" w:styleId="Revision1">
    <w:name w:val="Revision1"/>
    <w:semiHidden/>
    <w:rPr>
      <w:kern w:val="2"/>
      <w:sz w:val="21"/>
      <w:szCs w:val="22"/>
    </w:rPr>
  </w:style>
  <w:style w:type="paragraph" w:customStyle="1" w:styleId="ListParagraph1">
    <w:name w:val="List Paragraph1"/>
    <w:basedOn w:val="a"/>
    <w:qFormat/>
    <w:pPr>
      <w:ind w:firstLineChars="200" w:firstLine="420"/>
    </w:pPr>
  </w:style>
  <w:style w:type="paragraph" w:customStyle="1" w:styleId="2-21">
    <w:name w:val="中等深浅列表 2 - 强调文字颜色 21"/>
    <w:hidden/>
    <w:uiPriority w:val="99"/>
    <w:unhideWhenUsed/>
    <w:rsid w:val="000D648F"/>
    <w:rPr>
      <w:kern w:val="2"/>
      <w:sz w:val="21"/>
      <w:szCs w:val="22"/>
    </w:rPr>
  </w:style>
  <w:style w:type="table" w:customStyle="1" w:styleId="11">
    <w:name w:val="网格型11"/>
    <w:basedOn w:val="a1"/>
    <w:next w:val="ab"/>
    <w:uiPriority w:val="39"/>
    <w:rsid w:val="00450BD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b">
    <w:name w:val="Table Grid"/>
    <w:basedOn w:val="a1"/>
    <w:locked/>
    <w:rsid w:val="0045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1"/>
    <w:basedOn w:val="a1"/>
    <w:next w:val="ab"/>
    <w:uiPriority w:val="39"/>
    <w:rsid w:val="00450BDE"/>
    <w:rPr>
      <w:rFonts w:eastAsia="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next w:val="ab"/>
    <w:uiPriority w:val="39"/>
    <w:rsid w:val="00532CC5"/>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
    <w:rsid w:val="002A4025"/>
    <w:pPr>
      <w:widowControl/>
      <w:jc w:val="left"/>
    </w:pPr>
    <w:rPr>
      <w:rFonts w:ascii="Helvetica" w:eastAsiaTheme="minorEastAsia" w:hAnsi="Helvetica"/>
      <w:kern w:val="0"/>
      <w:sz w:val="18"/>
      <w:szCs w:val="18"/>
    </w:rPr>
  </w:style>
  <w:style w:type="paragraph" w:styleId="ac">
    <w:name w:val="Title"/>
    <w:basedOn w:val="a"/>
    <w:next w:val="a"/>
    <w:link w:val="Char4"/>
    <w:qFormat/>
    <w:locked/>
    <w:rsid w:val="001B7C13"/>
    <w:pPr>
      <w:widowControl/>
      <w:spacing w:before="240" w:after="60"/>
      <w:jc w:val="center"/>
      <w:outlineLvl w:val="0"/>
    </w:pPr>
    <w:rPr>
      <w:rFonts w:ascii="Cambria" w:hAnsi="Cambria"/>
      <w:b/>
      <w:bCs/>
      <w:kern w:val="0"/>
      <w:sz w:val="32"/>
      <w:szCs w:val="32"/>
      <w:lang w:val="x-none" w:eastAsia="x-none"/>
    </w:rPr>
  </w:style>
  <w:style w:type="character" w:customStyle="1" w:styleId="Char4">
    <w:name w:val="标题 Char"/>
    <w:basedOn w:val="a0"/>
    <w:link w:val="ac"/>
    <w:rsid w:val="001B7C13"/>
    <w:rPr>
      <w:rFonts w:ascii="Cambria" w:hAnsi="Cambria"/>
      <w:b/>
      <w:bCs/>
      <w:sz w:val="32"/>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7189690">
      <w:bodyDiv w:val="1"/>
      <w:marLeft w:val="0"/>
      <w:marRight w:val="0"/>
      <w:marTop w:val="0"/>
      <w:marBottom w:val="0"/>
      <w:divBdr>
        <w:top w:val="none" w:sz="0" w:space="0" w:color="auto"/>
        <w:left w:val="none" w:sz="0" w:space="0" w:color="auto"/>
        <w:bottom w:val="none" w:sz="0" w:space="0" w:color="auto"/>
        <w:right w:val="none" w:sz="0" w:space="0" w:color="auto"/>
      </w:divBdr>
    </w:div>
    <w:div w:id="474834245">
      <w:bodyDiv w:val="1"/>
      <w:marLeft w:val="0"/>
      <w:marRight w:val="0"/>
      <w:marTop w:val="0"/>
      <w:marBottom w:val="0"/>
      <w:divBdr>
        <w:top w:val="none" w:sz="0" w:space="0" w:color="auto"/>
        <w:left w:val="none" w:sz="0" w:space="0" w:color="auto"/>
        <w:bottom w:val="none" w:sz="0" w:space="0" w:color="auto"/>
        <w:right w:val="none" w:sz="0" w:space="0" w:color="auto"/>
      </w:divBdr>
    </w:div>
    <w:div w:id="489368836">
      <w:bodyDiv w:val="1"/>
      <w:marLeft w:val="0"/>
      <w:marRight w:val="0"/>
      <w:marTop w:val="0"/>
      <w:marBottom w:val="0"/>
      <w:divBdr>
        <w:top w:val="none" w:sz="0" w:space="0" w:color="auto"/>
        <w:left w:val="none" w:sz="0" w:space="0" w:color="auto"/>
        <w:bottom w:val="none" w:sz="0" w:space="0" w:color="auto"/>
        <w:right w:val="none" w:sz="0" w:space="0" w:color="auto"/>
      </w:divBdr>
    </w:div>
    <w:div w:id="537668484">
      <w:bodyDiv w:val="1"/>
      <w:marLeft w:val="0"/>
      <w:marRight w:val="0"/>
      <w:marTop w:val="0"/>
      <w:marBottom w:val="0"/>
      <w:divBdr>
        <w:top w:val="none" w:sz="0" w:space="0" w:color="auto"/>
        <w:left w:val="none" w:sz="0" w:space="0" w:color="auto"/>
        <w:bottom w:val="none" w:sz="0" w:space="0" w:color="auto"/>
        <w:right w:val="none" w:sz="0" w:space="0" w:color="auto"/>
      </w:divBdr>
    </w:div>
    <w:div w:id="618299283">
      <w:bodyDiv w:val="1"/>
      <w:marLeft w:val="0"/>
      <w:marRight w:val="0"/>
      <w:marTop w:val="0"/>
      <w:marBottom w:val="0"/>
      <w:divBdr>
        <w:top w:val="none" w:sz="0" w:space="0" w:color="auto"/>
        <w:left w:val="none" w:sz="0" w:space="0" w:color="auto"/>
        <w:bottom w:val="none" w:sz="0" w:space="0" w:color="auto"/>
        <w:right w:val="none" w:sz="0" w:space="0" w:color="auto"/>
      </w:divBdr>
    </w:div>
    <w:div w:id="954404536">
      <w:bodyDiv w:val="1"/>
      <w:marLeft w:val="0"/>
      <w:marRight w:val="0"/>
      <w:marTop w:val="0"/>
      <w:marBottom w:val="0"/>
      <w:divBdr>
        <w:top w:val="none" w:sz="0" w:space="0" w:color="auto"/>
        <w:left w:val="none" w:sz="0" w:space="0" w:color="auto"/>
        <w:bottom w:val="none" w:sz="0" w:space="0" w:color="auto"/>
        <w:right w:val="none" w:sz="0" w:space="0" w:color="auto"/>
      </w:divBdr>
    </w:div>
    <w:div w:id="1107118856">
      <w:bodyDiv w:val="1"/>
      <w:marLeft w:val="0"/>
      <w:marRight w:val="0"/>
      <w:marTop w:val="0"/>
      <w:marBottom w:val="0"/>
      <w:divBdr>
        <w:top w:val="none" w:sz="0" w:space="0" w:color="auto"/>
        <w:left w:val="none" w:sz="0" w:space="0" w:color="auto"/>
        <w:bottom w:val="none" w:sz="0" w:space="0" w:color="auto"/>
        <w:right w:val="none" w:sz="0" w:space="0" w:color="auto"/>
      </w:divBdr>
    </w:div>
    <w:div w:id="1228607101">
      <w:bodyDiv w:val="1"/>
      <w:marLeft w:val="0"/>
      <w:marRight w:val="0"/>
      <w:marTop w:val="0"/>
      <w:marBottom w:val="0"/>
      <w:divBdr>
        <w:top w:val="none" w:sz="0" w:space="0" w:color="auto"/>
        <w:left w:val="none" w:sz="0" w:space="0" w:color="auto"/>
        <w:bottom w:val="none" w:sz="0" w:space="0" w:color="auto"/>
        <w:right w:val="none" w:sz="0" w:space="0" w:color="auto"/>
      </w:divBdr>
    </w:div>
    <w:div w:id="1353074390">
      <w:bodyDiv w:val="1"/>
      <w:marLeft w:val="0"/>
      <w:marRight w:val="0"/>
      <w:marTop w:val="0"/>
      <w:marBottom w:val="0"/>
      <w:divBdr>
        <w:top w:val="none" w:sz="0" w:space="0" w:color="auto"/>
        <w:left w:val="none" w:sz="0" w:space="0" w:color="auto"/>
        <w:bottom w:val="none" w:sz="0" w:space="0" w:color="auto"/>
        <w:right w:val="none" w:sz="0" w:space="0" w:color="auto"/>
      </w:divBdr>
    </w:div>
    <w:div w:id="1364399334">
      <w:bodyDiv w:val="1"/>
      <w:marLeft w:val="0"/>
      <w:marRight w:val="0"/>
      <w:marTop w:val="0"/>
      <w:marBottom w:val="0"/>
      <w:divBdr>
        <w:top w:val="none" w:sz="0" w:space="0" w:color="auto"/>
        <w:left w:val="none" w:sz="0" w:space="0" w:color="auto"/>
        <w:bottom w:val="none" w:sz="0" w:space="0" w:color="auto"/>
        <w:right w:val="none" w:sz="0" w:space="0" w:color="auto"/>
      </w:divBdr>
    </w:div>
    <w:div w:id="1400979652">
      <w:bodyDiv w:val="1"/>
      <w:marLeft w:val="0"/>
      <w:marRight w:val="0"/>
      <w:marTop w:val="0"/>
      <w:marBottom w:val="0"/>
      <w:divBdr>
        <w:top w:val="none" w:sz="0" w:space="0" w:color="auto"/>
        <w:left w:val="none" w:sz="0" w:space="0" w:color="auto"/>
        <w:bottom w:val="none" w:sz="0" w:space="0" w:color="auto"/>
        <w:right w:val="none" w:sz="0" w:space="0" w:color="auto"/>
      </w:divBdr>
    </w:div>
    <w:div w:id="1473643131">
      <w:bodyDiv w:val="1"/>
      <w:marLeft w:val="0"/>
      <w:marRight w:val="0"/>
      <w:marTop w:val="0"/>
      <w:marBottom w:val="0"/>
      <w:divBdr>
        <w:top w:val="none" w:sz="0" w:space="0" w:color="auto"/>
        <w:left w:val="none" w:sz="0" w:space="0" w:color="auto"/>
        <w:bottom w:val="none" w:sz="0" w:space="0" w:color="auto"/>
        <w:right w:val="none" w:sz="0" w:space="0" w:color="auto"/>
      </w:divBdr>
    </w:div>
    <w:div w:id="1514804674">
      <w:bodyDiv w:val="1"/>
      <w:marLeft w:val="0"/>
      <w:marRight w:val="0"/>
      <w:marTop w:val="0"/>
      <w:marBottom w:val="0"/>
      <w:divBdr>
        <w:top w:val="none" w:sz="0" w:space="0" w:color="auto"/>
        <w:left w:val="none" w:sz="0" w:space="0" w:color="auto"/>
        <w:bottom w:val="none" w:sz="0" w:space="0" w:color="auto"/>
        <w:right w:val="none" w:sz="0" w:space="0" w:color="auto"/>
      </w:divBdr>
    </w:div>
    <w:div w:id="1593395029">
      <w:bodyDiv w:val="1"/>
      <w:marLeft w:val="0"/>
      <w:marRight w:val="0"/>
      <w:marTop w:val="0"/>
      <w:marBottom w:val="0"/>
      <w:divBdr>
        <w:top w:val="none" w:sz="0" w:space="0" w:color="auto"/>
        <w:left w:val="none" w:sz="0" w:space="0" w:color="auto"/>
        <w:bottom w:val="none" w:sz="0" w:space="0" w:color="auto"/>
        <w:right w:val="none" w:sz="0" w:space="0" w:color="auto"/>
      </w:divBdr>
    </w:div>
    <w:div w:id="1822043597">
      <w:bodyDiv w:val="1"/>
      <w:marLeft w:val="0"/>
      <w:marRight w:val="0"/>
      <w:marTop w:val="0"/>
      <w:marBottom w:val="0"/>
      <w:divBdr>
        <w:top w:val="none" w:sz="0" w:space="0" w:color="auto"/>
        <w:left w:val="none" w:sz="0" w:space="0" w:color="auto"/>
        <w:bottom w:val="none" w:sz="0" w:space="0" w:color="auto"/>
        <w:right w:val="none" w:sz="0" w:space="0" w:color="auto"/>
      </w:divBdr>
    </w:div>
    <w:div w:id="18485971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2F685C-D858-480C-A766-E33D149D4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36</Pages>
  <Words>7174</Words>
  <Characters>40897</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47976</CharactersWithSpaces>
  <SharedDoc>false</SharedDoc>
  <HLinks>
    <vt:vector size="60" baseType="variant">
      <vt:variant>
        <vt:i4>5439554</vt:i4>
      </vt:variant>
      <vt:variant>
        <vt:i4>18</vt:i4>
      </vt:variant>
      <vt:variant>
        <vt:i4>0</vt:i4>
      </vt:variant>
      <vt:variant>
        <vt:i4>5</vt:i4>
      </vt:variant>
      <vt:variant>
        <vt:lpwstr>mailto:cjgchina@126.com</vt:lpwstr>
      </vt:variant>
      <vt:variant>
        <vt:lpwstr/>
      </vt:variant>
      <vt:variant>
        <vt:i4>2555949</vt:i4>
      </vt:variant>
      <vt:variant>
        <vt:i4>15</vt:i4>
      </vt:variant>
      <vt:variant>
        <vt:i4>0</vt:i4>
      </vt:variant>
      <vt:variant>
        <vt:i4>5</vt:i4>
      </vt:variant>
      <vt:variant>
        <vt:lpwstr>http://creativecommons.org/licenses/by-nc/4.0/</vt:lpwstr>
      </vt:variant>
      <vt:variant>
        <vt:lpwstr/>
      </vt:variant>
      <vt:variant>
        <vt:i4>5111885</vt:i4>
      </vt:variant>
      <vt:variant>
        <vt:i4>12</vt:i4>
      </vt:variant>
      <vt:variant>
        <vt:i4>0</vt:i4>
      </vt:variant>
      <vt:variant>
        <vt:i4>5</vt:i4>
      </vt:variant>
      <vt:variant>
        <vt:lpwstr>http://orcid.org/0000-0003-4694-2813</vt:lpwstr>
      </vt:variant>
      <vt:variant>
        <vt:lpwstr/>
      </vt:variant>
      <vt:variant>
        <vt:i4>4980815</vt:i4>
      </vt:variant>
      <vt:variant>
        <vt:i4>9</vt:i4>
      </vt:variant>
      <vt:variant>
        <vt:i4>0</vt:i4>
      </vt:variant>
      <vt:variant>
        <vt:i4>5</vt:i4>
      </vt:variant>
      <vt:variant>
        <vt:lpwstr>http://orcid.org/0000-0003-0050-2011</vt:lpwstr>
      </vt:variant>
      <vt:variant>
        <vt:lpwstr/>
      </vt:variant>
      <vt:variant>
        <vt:i4>4456525</vt:i4>
      </vt:variant>
      <vt:variant>
        <vt:i4>6</vt:i4>
      </vt:variant>
      <vt:variant>
        <vt:i4>0</vt:i4>
      </vt:variant>
      <vt:variant>
        <vt:i4>5</vt:i4>
      </vt:variant>
      <vt:variant>
        <vt:lpwstr>http://orcid.org/0000-0001-7842-3984</vt:lpwstr>
      </vt:variant>
      <vt:variant>
        <vt:lpwstr/>
      </vt:variant>
      <vt:variant>
        <vt:i4>4456514</vt:i4>
      </vt:variant>
      <vt:variant>
        <vt:i4>3</vt:i4>
      </vt:variant>
      <vt:variant>
        <vt:i4>0</vt:i4>
      </vt:variant>
      <vt:variant>
        <vt:i4>5</vt:i4>
      </vt:variant>
      <vt:variant>
        <vt:lpwstr>http://orcid.org/0000-0002-4815-1129</vt:lpwstr>
      </vt:variant>
      <vt:variant>
        <vt:lpwstr/>
      </vt:variant>
      <vt:variant>
        <vt:i4>131142</vt:i4>
      </vt:variant>
      <vt:variant>
        <vt:i4>0</vt:i4>
      </vt:variant>
      <vt:variant>
        <vt:i4>0</vt:i4>
      </vt:variant>
      <vt:variant>
        <vt:i4>5</vt:i4>
      </vt:variant>
      <vt:variant>
        <vt:lpwstr>http://orcid.org/0000-0003-4926-144X</vt:lpwstr>
      </vt:variant>
      <vt:variant>
        <vt:lpwstr/>
      </vt:variant>
      <vt:variant>
        <vt:i4>7929861</vt:i4>
      </vt:variant>
      <vt:variant>
        <vt:i4>91216</vt:i4>
      </vt:variant>
      <vt:variant>
        <vt:i4>1026</vt:i4>
      </vt:variant>
      <vt:variant>
        <vt:i4>1</vt:i4>
      </vt:variant>
      <vt:variant>
        <vt:lpwstr>44589-Image File figure 2-1</vt:lpwstr>
      </vt:variant>
      <vt:variant>
        <vt:lpwstr/>
      </vt:variant>
      <vt:variant>
        <vt:i4>5505075</vt:i4>
      </vt:variant>
      <vt:variant>
        <vt:i4>91220</vt:i4>
      </vt:variant>
      <vt:variant>
        <vt:i4>1027</vt:i4>
      </vt:variant>
      <vt:variant>
        <vt:i4>1</vt:i4>
      </vt:variant>
      <vt:variant>
        <vt:lpwstr>44589-Image File figure 5</vt:lpwstr>
      </vt:variant>
      <vt:variant>
        <vt:lpwstr/>
      </vt:variant>
      <vt:variant>
        <vt:i4>5505077</vt:i4>
      </vt:variant>
      <vt:variant>
        <vt:i4>91614</vt:i4>
      </vt:variant>
      <vt:variant>
        <vt:i4>1028</vt:i4>
      </vt:variant>
      <vt:variant>
        <vt:i4>1</vt:i4>
      </vt:variant>
      <vt:variant>
        <vt:lpwstr>44589-Image File figure 3</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YH</dc:creator>
  <dc:description>NE.Ref</dc:description>
  <cp:lastModifiedBy>Wang Tianqi</cp:lastModifiedBy>
  <cp:revision>6</cp:revision>
  <cp:lastPrinted>2019-04-10T10:57:00Z</cp:lastPrinted>
  <dcterms:created xsi:type="dcterms:W3CDTF">2019-06-17T09:17:00Z</dcterms:created>
  <dcterms:modified xsi:type="dcterms:W3CDTF">2019-06-17T09:34:00Z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2052-11.1.0.8370</vt:lpwstr>
  </property>
</Properties>
</file>