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95DC" w14:textId="37C68502" w:rsidR="00CB68AD" w:rsidRPr="00710C1F" w:rsidRDefault="000B6727" w:rsidP="00D5385E">
      <w:pPr>
        <w:adjustRightInd w:val="0"/>
        <w:snapToGrid w:val="0"/>
        <w:spacing w:after="0" w:line="360" w:lineRule="auto"/>
        <w:jc w:val="both"/>
        <w:rPr>
          <w:rFonts w:ascii="Book Antiqua" w:hAnsi="Book Antiqua"/>
          <w:b/>
          <w:i/>
          <w:iCs/>
          <w:color w:val="000000" w:themeColor="text1"/>
          <w:sz w:val="24"/>
          <w:szCs w:val="24"/>
          <w:lang w:val="en-US"/>
        </w:rPr>
      </w:pPr>
      <w:r w:rsidRPr="00710C1F">
        <w:rPr>
          <w:rFonts w:ascii="Book Antiqua" w:hAnsi="Book Antiqua"/>
          <w:b/>
          <w:color w:val="000000" w:themeColor="text1"/>
          <w:sz w:val="24"/>
          <w:szCs w:val="24"/>
          <w:lang w:val="en-US"/>
        </w:rPr>
        <w:t xml:space="preserve">Name of Journal: </w:t>
      </w:r>
      <w:r w:rsidRPr="00710C1F">
        <w:rPr>
          <w:rFonts w:ascii="Book Antiqua" w:hAnsi="Book Antiqua"/>
          <w:b/>
          <w:i/>
          <w:iCs/>
          <w:color w:val="000000" w:themeColor="text1"/>
          <w:sz w:val="24"/>
          <w:szCs w:val="24"/>
          <w:lang w:val="en-US"/>
        </w:rPr>
        <w:t>World Journal of Gastroenterology</w:t>
      </w:r>
    </w:p>
    <w:p w14:paraId="5438DE3B" w14:textId="1ED4B7FD" w:rsidR="000B6727" w:rsidRPr="00710C1F" w:rsidRDefault="00693B2A" w:rsidP="00D5385E">
      <w:pPr>
        <w:adjustRightInd w:val="0"/>
        <w:snapToGrid w:val="0"/>
        <w:spacing w:after="0" w:line="360" w:lineRule="auto"/>
        <w:jc w:val="both"/>
        <w:rPr>
          <w:rFonts w:ascii="Book Antiqua" w:hAnsi="Book Antiqua"/>
          <w:b/>
          <w:color w:val="000000" w:themeColor="text1"/>
          <w:sz w:val="24"/>
          <w:szCs w:val="24"/>
          <w:lang w:val="en-US"/>
        </w:rPr>
      </w:pPr>
      <w:bookmarkStart w:id="0" w:name="OLE_LINK485"/>
      <w:bookmarkStart w:id="1" w:name="OLE_LINK486"/>
      <w:bookmarkStart w:id="2" w:name="OLE_LINK661"/>
      <w:bookmarkStart w:id="3" w:name="OLE_LINK768"/>
      <w:bookmarkStart w:id="4" w:name="OLE_LINK568"/>
      <w:bookmarkStart w:id="5" w:name="OLE_LINK601"/>
      <w:r w:rsidRPr="00710C1F">
        <w:rPr>
          <w:rFonts w:ascii="Book Antiqua" w:hAnsi="Book Antiqua"/>
          <w:b/>
          <w:color w:val="000000" w:themeColor="text1"/>
          <w:sz w:val="24"/>
          <w:szCs w:val="24"/>
          <w:highlight w:val="white"/>
          <w:lang w:val="en-US" w:eastAsia="zh-CN"/>
        </w:rPr>
        <w:t>Manuscript NO:</w:t>
      </w:r>
      <w:bookmarkEnd w:id="0"/>
      <w:bookmarkEnd w:id="1"/>
      <w:bookmarkEnd w:id="2"/>
      <w:bookmarkEnd w:id="3"/>
      <w:bookmarkEnd w:id="4"/>
      <w:bookmarkEnd w:id="5"/>
      <w:r w:rsidR="001A07E4" w:rsidRPr="00710C1F">
        <w:rPr>
          <w:rFonts w:ascii="Book Antiqua" w:hAnsi="Book Antiqua"/>
          <w:b/>
          <w:color w:val="000000" w:themeColor="text1"/>
          <w:sz w:val="24"/>
          <w:szCs w:val="24"/>
          <w:lang w:val="en-US" w:eastAsia="zh-CN"/>
        </w:rPr>
        <w:t xml:space="preserve"> </w:t>
      </w:r>
      <w:r w:rsidR="001A07E4" w:rsidRPr="00710C1F">
        <w:rPr>
          <w:rFonts w:ascii="Book Antiqua" w:hAnsi="Book Antiqua" w:cs="Tahoma"/>
          <w:b/>
          <w:color w:val="000000" w:themeColor="text1"/>
          <w:sz w:val="24"/>
          <w:szCs w:val="24"/>
          <w:shd w:val="clear" w:color="auto" w:fill="FFFFFF"/>
          <w:lang w:val="en-US"/>
        </w:rPr>
        <w:t>48381</w:t>
      </w:r>
    </w:p>
    <w:p w14:paraId="24B257F3" w14:textId="77777777" w:rsidR="000B6727" w:rsidRPr="00710C1F" w:rsidRDefault="000B6727" w:rsidP="00D5385E">
      <w:pPr>
        <w:adjustRightInd w:val="0"/>
        <w:snapToGrid w:val="0"/>
        <w:spacing w:after="0" w:line="360" w:lineRule="auto"/>
        <w:jc w:val="both"/>
        <w:rPr>
          <w:rFonts w:ascii="Book Antiqua" w:hAnsi="Book Antiqua"/>
          <w:b/>
          <w:color w:val="000000" w:themeColor="text1"/>
          <w:sz w:val="24"/>
          <w:szCs w:val="24"/>
          <w:lang w:val="en-US"/>
        </w:rPr>
      </w:pPr>
      <w:r w:rsidRPr="00710C1F">
        <w:rPr>
          <w:rFonts w:ascii="Book Antiqua" w:hAnsi="Book Antiqua"/>
          <w:b/>
          <w:color w:val="000000" w:themeColor="text1"/>
          <w:sz w:val="24"/>
          <w:szCs w:val="24"/>
          <w:lang w:val="en-US"/>
        </w:rPr>
        <w:t>Manuscript Type: MINIREVIEWS</w:t>
      </w:r>
    </w:p>
    <w:p w14:paraId="68E4C8EF" w14:textId="77777777" w:rsidR="000B6727" w:rsidRPr="00D5385E" w:rsidRDefault="000B6727" w:rsidP="00D5385E">
      <w:pPr>
        <w:adjustRightInd w:val="0"/>
        <w:snapToGrid w:val="0"/>
        <w:spacing w:after="0" w:line="360" w:lineRule="auto"/>
        <w:jc w:val="both"/>
        <w:rPr>
          <w:rFonts w:ascii="Book Antiqua" w:hAnsi="Book Antiqua"/>
          <w:color w:val="000000" w:themeColor="text1"/>
          <w:sz w:val="24"/>
          <w:szCs w:val="24"/>
          <w:lang w:val="en-US"/>
        </w:rPr>
      </w:pPr>
    </w:p>
    <w:p w14:paraId="2BFD79DA" w14:textId="61093851" w:rsidR="000B6727" w:rsidRPr="00D5385E" w:rsidRDefault="000B6727"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b/>
          <w:color w:val="000000" w:themeColor="text1"/>
          <w:sz w:val="24"/>
          <w:szCs w:val="24"/>
          <w:lang w:val="en-US"/>
        </w:rPr>
        <w:t>Elderly patients with</w:t>
      </w:r>
      <w:r w:rsidR="00F419BD" w:rsidRPr="00D5385E">
        <w:rPr>
          <w:rFonts w:ascii="Book Antiqua" w:hAnsi="Book Antiqua"/>
          <w:b/>
          <w:color w:val="000000" w:themeColor="text1"/>
          <w:sz w:val="24"/>
          <w:szCs w:val="24"/>
          <w:lang w:val="en-US"/>
        </w:rPr>
        <w:t xml:space="preserve"> inflammatory bowel disease</w:t>
      </w:r>
      <w:r w:rsidR="00FC6F06" w:rsidRPr="00D5385E">
        <w:rPr>
          <w:rFonts w:ascii="Book Antiqua" w:hAnsi="Book Antiqua"/>
          <w:b/>
          <w:color w:val="000000" w:themeColor="text1"/>
          <w:sz w:val="24"/>
          <w:szCs w:val="24"/>
          <w:lang w:val="en-US"/>
        </w:rPr>
        <w:t>: U</w:t>
      </w:r>
      <w:r w:rsidRPr="00D5385E">
        <w:rPr>
          <w:rFonts w:ascii="Book Antiqua" w:hAnsi="Book Antiqua"/>
          <w:b/>
          <w:color w:val="000000" w:themeColor="text1"/>
          <w:sz w:val="24"/>
          <w:szCs w:val="24"/>
          <w:lang w:val="en-US"/>
        </w:rPr>
        <w:t>pdated revi</w:t>
      </w:r>
      <w:r w:rsidR="009C6ED8" w:rsidRPr="00D5385E">
        <w:rPr>
          <w:rFonts w:ascii="Book Antiqua" w:hAnsi="Book Antiqua"/>
          <w:b/>
          <w:color w:val="000000" w:themeColor="text1"/>
          <w:sz w:val="24"/>
          <w:szCs w:val="24"/>
          <w:lang w:val="en-US"/>
        </w:rPr>
        <w:t>ew of the therapeutic landscape</w:t>
      </w:r>
    </w:p>
    <w:p w14:paraId="363871CB" w14:textId="20BEAD5D" w:rsidR="000B6727" w:rsidRPr="00D5385E" w:rsidRDefault="000B6727" w:rsidP="00D5385E">
      <w:pPr>
        <w:adjustRightInd w:val="0"/>
        <w:snapToGrid w:val="0"/>
        <w:spacing w:after="0" w:line="360" w:lineRule="auto"/>
        <w:jc w:val="both"/>
        <w:rPr>
          <w:rFonts w:ascii="Book Antiqua" w:hAnsi="Book Antiqua"/>
          <w:color w:val="000000" w:themeColor="text1"/>
          <w:sz w:val="24"/>
          <w:szCs w:val="24"/>
          <w:lang w:val="en-US"/>
        </w:rPr>
      </w:pPr>
      <w:bookmarkStart w:id="6" w:name="_GoBack"/>
      <w:bookmarkEnd w:id="6"/>
    </w:p>
    <w:p w14:paraId="7FE26F44" w14:textId="09062AAA" w:rsidR="001A07E4" w:rsidRPr="00F419BD" w:rsidRDefault="00F419BD" w:rsidP="00D5385E">
      <w:pPr>
        <w:pStyle w:val="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7" w:name="OLE_LINK217"/>
      <w:bookmarkStart w:id="8" w:name="OLE_LINK266"/>
      <w:r w:rsidRPr="00D5385E">
        <w:rPr>
          <w:rFonts w:ascii="Book Antiqua" w:hAnsi="Book Antiqua"/>
          <w:color w:val="000000" w:themeColor="text1"/>
          <w:sz w:val="24"/>
          <w:szCs w:val="24"/>
          <w:lang w:val="en-US"/>
        </w:rPr>
        <w:t>LeBlanc</w:t>
      </w:r>
      <w:r w:rsidRPr="00D5385E">
        <w:rPr>
          <w:rFonts w:ascii="Book Antiqua" w:hAnsi="Book Antiqua" w:cs="Times New Roman"/>
          <w:b/>
          <w:color w:val="000000" w:themeColor="text1"/>
          <w:sz w:val="24"/>
          <w:szCs w:val="24"/>
          <w:highlight w:val="white"/>
          <w:lang w:val="en-US" w:eastAsia="zh-CN"/>
        </w:rPr>
        <w:t xml:space="preserve"> </w:t>
      </w:r>
      <w:r w:rsidRPr="00F419BD">
        <w:rPr>
          <w:rFonts w:ascii="Book Antiqua" w:hAnsi="Book Antiqua" w:cs="Times New Roman"/>
          <w:bCs/>
          <w:color w:val="000000" w:themeColor="text1"/>
          <w:sz w:val="24"/>
          <w:szCs w:val="24"/>
          <w:highlight w:val="white"/>
          <w:lang w:val="en-US" w:eastAsia="zh-CN"/>
        </w:rPr>
        <w:t xml:space="preserve">JF </w:t>
      </w:r>
      <w:r w:rsidRPr="00F419BD">
        <w:rPr>
          <w:rFonts w:ascii="Book Antiqua" w:hAnsi="Book Antiqua" w:cs="Times New Roman"/>
          <w:bCs/>
          <w:i/>
          <w:iCs/>
          <w:color w:val="000000" w:themeColor="text1"/>
          <w:sz w:val="24"/>
          <w:szCs w:val="24"/>
          <w:highlight w:val="white"/>
          <w:lang w:val="en-US" w:eastAsia="zh-CN"/>
        </w:rPr>
        <w:t>et al</w:t>
      </w:r>
      <w:r w:rsidRPr="00F419BD">
        <w:rPr>
          <w:rFonts w:ascii="Book Antiqua" w:hAnsi="Book Antiqua" w:cs="Times New Roman"/>
          <w:bCs/>
          <w:color w:val="000000" w:themeColor="text1"/>
          <w:sz w:val="24"/>
          <w:szCs w:val="24"/>
          <w:highlight w:val="white"/>
          <w:lang w:val="en-US" w:eastAsia="zh-CN"/>
        </w:rPr>
        <w:t xml:space="preserve">. </w:t>
      </w:r>
      <w:r w:rsidR="001A07E4" w:rsidRPr="00F419BD">
        <w:rPr>
          <w:rFonts w:ascii="Book Antiqua" w:hAnsi="Book Antiqua" w:cs="Times New Roman"/>
          <w:bCs/>
          <w:color w:val="000000" w:themeColor="text1"/>
          <w:sz w:val="24"/>
          <w:szCs w:val="24"/>
          <w:highlight w:val="white"/>
          <w:lang w:val="en-US" w:eastAsia="zh-CN"/>
        </w:rPr>
        <w:t>Tre</w:t>
      </w:r>
      <w:r w:rsidRPr="00F419BD">
        <w:rPr>
          <w:rFonts w:ascii="Book Antiqua" w:hAnsi="Book Antiqua" w:cs="Times New Roman"/>
          <w:bCs/>
          <w:color w:val="000000" w:themeColor="text1"/>
          <w:sz w:val="24"/>
          <w:szCs w:val="24"/>
          <w:highlight w:val="white"/>
          <w:lang w:val="en-US" w:eastAsia="zh-CN"/>
        </w:rPr>
        <w:t xml:space="preserve">ating elderly </w:t>
      </w:r>
      <w:r w:rsidR="000A1048">
        <w:rPr>
          <w:rFonts w:ascii="Book Antiqua" w:hAnsi="Book Antiqua" w:cs="Times New Roman"/>
          <w:bCs/>
          <w:color w:val="000000" w:themeColor="text1"/>
          <w:sz w:val="24"/>
          <w:szCs w:val="24"/>
          <w:highlight w:val="white"/>
          <w:lang w:val="en-US" w:eastAsia="zh-CN"/>
        </w:rPr>
        <w:t>IBD</w:t>
      </w:r>
    </w:p>
    <w:bookmarkEnd w:id="7"/>
    <w:bookmarkEnd w:id="8"/>
    <w:p w14:paraId="4E0D9822" w14:textId="77777777" w:rsidR="00693B2A" w:rsidRPr="00D5385E" w:rsidRDefault="00693B2A" w:rsidP="00D5385E">
      <w:pPr>
        <w:adjustRightInd w:val="0"/>
        <w:snapToGrid w:val="0"/>
        <w:spacing w:after="0" w:line="360" w:lineRule="auto"/>
        <w:jc w:val="both"/>
        <w:rPr>
          <w:rFonts w:ascii="Book Antiqua" w:hAnsi="Book Antiqua"/>
          <w:color w:val="000000" w:themeColor="text1"/>
          <w:sz w:val="24"/>
          <w:szCs w:val="24"/>
          <w:lang w:val="en-US"/>
        </w:rPr>
      </w:pPr>
    </w:p>
    <w:p w14:paraId="2E724B2B" w14:textId="51299AB5" w:rsidR="000B6727" w:rsidRPr="00D5385E" w:rsidRDefault="00AB6AAD"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color w:val="000000" w:themeColor="text1"/>
          <w:sz w:val="24"/>
          <w:szCs w:val="24"/>
          <w:lang w:val="en-US"/>
        </w:rPr>
        <w:t>Jean</w:t>
      </w:r>
      <w:r w:rsidR="000A1048">
        <w:rPr>
          <w:rFonts w:ascii="Book Antiqua" w:hAnsi="Book Antiqua"/>
          <w:color w:val="000000" w:themeColor="text1"/>
          <w:sz w:val="24"/>
          <w:szCs w:val="24"/>
          <w:lang w:val="en-US"/>
        </w:rPr>
        <w:t>-</w:t>
      </w:r>
      <w:r w:rsidRPr="00D5385E">
        <w:rPr>
          <w:rFonts w:ascii="Book Antiqua" w:hAnsi="Book Antiqua"/>
          <w:color w:val="000000" w:themeColor="text1"/>
          <w:sz w:val="24"/>
          <w:szCs w:val="24"/>
          <w:lang w:val="en-US"/>
        </w:rPr>
        <w:t xml:space="preserve">Frédéric </w:t>
      </w:r>
      <w:bookmarkStart w:id="9" w:name="OLE_LINK11"/>
      <w:bookmarkStart w:id="10" w:name="OLE_LINK12"/>
      <w:r w:rsidRPr="00D5385E">
        <w:rPr>
          <w:rFonts w:ascii="Book Antiqua" w:hAnsi="Book Antiqua"/>
          <w:color w:val="000000" w:themeColor="text1"/>
          <w:sz w:val="24"/>
          <w:szCs w:val="24"/>
          <w:lang w:val="en-US"/>
        </w:rPr>
        <w:t>LeBlanc</w:t>
      </w:r>
      <w:bookmarkEnd w:id="9"/>
      <w:bookmarkEnd w:id="10"/>
      <w:r w:rsidRPr="00D5385E">
        <w:rPr>
          <w:rFonts w:ascii="Book Antiqua" w:hAnsi="Book Antiqua"/>
          <w:color w:val="000000" w:themeColor="text1"/>
          <w:sz w:val="24"/>
          <w:szCs w:val="24"/>
          <w:lang w:val="en-US"/>
        </w:rPr>
        <w:t xml:space="preserve">, Daniel Wiseman, Peter L Lakatos, Talat </w:t>
      </w:r>
      <w:proofErr w:type="spellStart"/>
      <w:r w:rsidRPr="00D5385E">
        <w:rPr>
          <w:rFonts w:ascii="Book Antiqua" w:hAnsi="Book Antiqua"/>
          <w:color w:val="000000" w:themeColor="text1"/>
          <w:sz w:val="24"/>
          <w:szCs w:val="24"/>
          <w:lang w:val="en-US"/>
        </w:rPr>
        <w:t>Bessissow</w:t>
      </w:r>
      <w:proofErr w:type="spellEnd"/>
    </w:p>
    <w:p w14:paraId="71BA82F7" w14:textId="77777777" w:rsidR="000B6727" w:rsidRPr="00D5385E" w:rsidRDefault="000B6727" w:rsidP="00D5385E">
      <w:pPr>
        <w:adjustRightInd w:val="0"/>
        <w:snapToGrid w:val="0"/>
        <w:spacing w:after="0" w:line="360" w:lineRule="auto"/>
        <w:jc w:val="both"/>
        <w:rPr>
          <w:rFonts w:ascii="Book Antiqua" w:hAnsi="Book Antiqua"/>
          <w:color w:val="000000" w:themeColor="text1"/>
          <w:sz w:val="24"/>
          <w:szCs w:val="24"/>
          <w:lang w:val="en-US"/>
        </w:rPr>
      </w:pPr>
    </w:p>
    <w:p w14:paraId="28768B5F" w14:textId="412B532A" w:rsidR="000B6727" w:rsidRDefault="000B6727"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b/>
          <w:color w:val="000000" w:themeColor="text1"/>
          <w:sz w:val="24"/>
          <w:szCs w:val="24"/>
          <w:lang w:val="en-US"/>
        </w:rPr>
        <w:t>Jean</w:t>
      </w:r>
      <w:r w:rsidR="000A1048">
        <w:rPr>
          <w:rFonts w:ascii="Book Antiqua" w:hAnsi="Book Antiqua"/>
          <w:b/>
          <w:color w:val="000000" w:themeColor="text1"/>
          <w:sz w:val="24"/>
          <w:szCs w:val="24"/>
          <w:lang w:val="en-US"/>
        </w:rPr>
        <w:t>-</w:t>
      </w:r>
      <w:r w:rsidRPr="00D5385E">
        <w:rPr>
          <w:rFonts w:ascii="Book Antiqua" w:hAnsi="Book Antiqua"/>
          <w:b/>
          <w:color w:val="000000" w:themeColor="text1"/>
          <w:sz w:val="24"/>
          <w:szCs w:val="24"/>
          <w:lang w:val="en-US"/>
        </w:rPr>
        <w:t>Frédéric LeBlanc</w:t>
      </w:r>
      <w:r w:rsidR="002037A1" w:rsidRPr="00D5385E">
        <w:rPr>
          <w:rFonts w:ascii="Book Antiqua" w:hAnsi="Book Antiqua"/>
          <w:b/>
          <w:color w:val="000000" w:themeColor="text1"/>
          <w:sz w:val="24"/>
          <w:szCs w:val="24"/>
          <w:lang w:val="en-US"/>
        </w:rPr>
        <w:t xml:space="preserve">, </w:t>
      </w:r>
      <w:r w:rsidR="00F419BD" w:rsidRPr="00D5385E">
        <w:rPr>
          <w:rFonts w:ascii="Book Antiqua" w:hAnsi="Book Antiqua"/>
          <w:b/>
          <w:bCs/>
          <w:color w:val="000000" w:themeColor="text1"/>
          <w:sz w:val="24"/>
          <w:szCs w:val="24"/>
          <w:lang w:val="en-US"/>
        </w:rPr>
        <w:t>Peter L Lakatos</w:t>
      </w:r>
      <w:r w:rsidR="00F419BD" w:rsidRPr="00D5385E">
        <w:rPr>
          <w:rFonts w:ascii="Book Antiqua" w:hAnsi="Book Antiqua"/>
          <w:b/>
          <w:color w:val="000000" w:themeColor="text1"/>
          <w:sz w:val="24"/>
          <w:szCs w:val="24"/>
          <w:lang w:val="en-US"/>
        </w:rPr>
        <w:t xml:space="preserve">, Talat </w:t>
      </w:r>
      <w:proofErr w:type="spellStart"/>
      <w:r w:rsidR="00F419BD" w:rsidRPr="00D5385E">
        <w:rPr>
          <w:rFonts w:ascii="Book Antiqua" w:hAnsi="Book Antiqua"/>
          <w:b/>
          <w:color w:val="000000" w:themeColor="text1"/>
          <w:sz w:val="24"/>
          <w:szCs w:val="24"/>
          <w:lang w:val="en-US"/>
        </w:rPr>
        <w:t>Bessissow</w:t>
      </w:r>
      <w:proofErr w:type="spellEnd"/>
      <w:r w:rsidR="00F419BD" w:rsidRPr="00D5385E">
        <w:rPr>
          <w:rFonts w:ascii="Book Antiqua" w:hAnsi="Book Antiqua"/>
          <w:b/>
          <w:bCs/>
          <w:color w:val="000000" w:themeColor="text1"/>
          <w:sz w:val="24"/>
          <w:szCs w:val="24"/>
          <w:lang w:val="en-US"/>
        </w:rPr>
        <w:t>,</w:t>
      </w:r>
      <w:r w:rsidR="00F419BD">
        <w:rPr>
          <w:rFonts w:ascii="Book Antiqua" w:hAnsi="Book Antiqua"/>
          <w:b/>
          <w:bCs/>
          <w:color w:val="000000" w:themeColor="text1"/>
          <w:sz w:val="24"/>
          <w:szCs w:val="24"/>
          <w:lang w:val="en-US"/>
        </w:rPr>
        <w:t xml:space="preserve"> </w:t>
      </w:r>
      <w:r w:rsidR="002037A1" w:rsidRPr="00D5385E">
        <w:rPr>
          <w:rFonts w:ascii="Book Antiqua" w:hAnsi="Book Antiqua" w:cs="Arial"/>
          <w:color w:val="000000" w:themeColor="text1"/>
          <w:sz w:val="24"/>
          <w:szCs w:val="24"/>
          <w:lang w:val="en-US"/>
        </w:rPr>
        <w:t xml:space="preserve">Department of Adult Gastroenterology, McGill University Health Centre, Montreal, </w:t>
      </w:r>
      <w:r w:rsidR="00F419BD" w:rsidRPr="00D5385E">
        <w:rPr>
          <w:rFonts w:ascii="Book Antiqua" w:eastAsiaTheme="minorHAnsi" w:hAnsi="Book Antiqua" w:cs="Arial"/>
          <w:color w:val="000000" w:themeColor="text1"/>
          <w:sz w:val="24"/>
          <w:szCs w:val="24"/>
          <w:lang w:val="en-US"/>
        </w:rPr>
        <w:t>QC</w:t>
      </w:r>
      <w:r w:rsidR="002037A1" w:rsidRPr="00D5385E">
        <w:rPr>
          <w:rFonts w:ascii="Book Antiqua" w:hAnsi="Book Antiqua" w:cs="Arial"/>
          <w:color w:val="000000" w:themeColor="text1"/>
          <w:sz w:val="24"/>
          <w:szCs w:val="24"/>
          <w:lang w:val="en-US"/>
        </w:rPr>
        <w:t xml:space="preserve"> H3G 1A4, Canada</w:t>
      </w:r>
    </w:p>
    <w:p w14:paraId="6EBC32E8" w14:textId="77777777" w:rsidR="00F419BD" w:rsidRPr="00D5385E" w:rsidRDefault="00F419BD" w:rsidP="00D5385E">
      <w:pPr>
        <w:adjustRightInd w:val="0"/>
        <w:snapToGrid w:val="0"/>
        <w:spacing w:after="0" w:line="360" w:lineRule="auto"/>
        <w:jc w:val="both"/>
        <w:rPr>
          <w:rFonts w:ascii="Book Antiqua" w:hAnsi="Book Antiqua"/>
          <w:b/>
          <w:color w:val="000000" w:themeColor="text1"/>
          <w:sz w:val="24"/>
          <w:szCs w:val="24"/>
          <w:lang w:val="en-US"/>
        </w:rPr>
      </w:pPr>
    </w:p>
    <w:p w14:paraId="17A565A5" w14:textId="75310A38" w:rsidR="00E67184" w:rsidRDefault="000B6727" w:rsidP="00D5385E">
      <w:pPr>
        <w:adjustRightInd w:val="0"/>
        <w:snapToGrid w:val="0"/>
        <w:spacing w:after="0" w:line="360" w:lineRule="auto"/>
        <w:jc w:val="both"/>
        <w:rPr>
          <w:rFonts w:ascii="Book Antiqua" w:hAnsi="Book Antiqua"/>
          <w:b/>
          <w:color w:val="000000" w:themeColor="text1"/>
          <w:sz w:val="24"/>
          <w:szCs w:val="24"/>
          <w:lang w:val="en-US"/>
        </w:rPr>
      </w:pPr>
      <w:r w:rsidRPr="00D5385E">
        <w:rPr>
          <w:rFonts w:ascii="Book Antiqua" w:hAnsi="Book Antiqua"/>
          <w:b/>
          <w:color w:val="000000" w:themeColor="text1"/>
          <w:sz w:val="24"/>
          <w:szCs w:val="24"/>
          <w:lang w:val="en-US"/>
        </w:rPr>
        <w:t>Daniel Wiseman</w:t>
      </w:r>
      <w:r w:rsidR="00E67184" w:rsidRPr="00D5385E">
        <w:rPr>
          <w:rFonts w:ascii="Book Antiqua" w:hAnsi="Book Antiqua"/>
          <w:b/>
          <w:color w:val="000000" w:themeColor="text1"/>
          <w:sz w:val="24"/>
          <w:szCs w:val="24"/>
          <w:lang w:val="en-US"/>
        </w:rPr>
        <w:t xml:space="preserve">, </w:t>
      </w:r>
      <w:r w:rsidR="00E67184" w:rsidRPr="00D5385E">
        <w:rPr>
          <w:rFonts w:ascii="Book Antiqua" w:hAnsi="Book Antiqua" w:cs="Arial"/>
          <w:color w:val="000000" w:themeColor="text1"/>
          <w:sz w:val="24"/>
          <w:szCs w:val="24"/>
          <w:lang w:val="en-US"/>
        </w:rPr>
        <w:t xml:space="preserve">Department of Medicine, McGill University Health Centre, Montreal, </w:t>
      </w:r>
      <w:r w:rsidR="00F419BD" w:rsidRPr="00D5385E">
        <w:rPr>
          <w:rFonts w:ascii="Book Antiqua" w:eastAsiaTheme="minorHAnsi" w:hAnsi="Book Antiqua" w:cs="Arial"/>
          <w:color w:val="000000" w:themeColor="text1"/>
          <w:sz w:val="24"/>
          <w:szCs w:val="24"/>
          <w:lang w:val="en-US"/>
        </w:rPr>
        <w:t>QC</w:t>
      </w:r>
      <w:r w:rsidR="00E67184" w:rsidRPr="00D5385E">
        <w:rPr>
          <w:rFonts w:ascii="Book Antiqua" w:hAnsi="Book Antiqua" w:cs="Arial"/>
          <w:color w:val="000000" w:themeColor="text1"/>
          <w:sz w:val="24"/>
          <w:szCs w:val="24"/>
          <w:lang w:val="en-US"/>
        </w:rPr>
        <w:t xml:space="preserve"> H3G 1A4, Canada</w:t>
      </w:r>
    </w:p>
    <w:p w14:paraId="7CCA47FB" w14:textId="77777777" w:rsidR="00F419BD" w:rsidRPr="00D5385E" w:rsidRDefault="00F419BD" w:rsidP="00D5385E">
      <w:pPr>
        <w:adjustRightInd w:val="0"/>
        <w:snapToGrid w:val="0"/>
        <w:spacing w:after="0" w:line="360" w:lineRule="auto"/>
        <w:jc w:val="both"/>
        <w:rPr>
          <w:rFonts w:ascii="Book Antiqua" w:hAnsi="Book Antiqua"/>
          <w:b/>
          <w:bCs/>
          <w:color w:val="000000" w:themeColor="text1"/>
          <w:sz w:val="24"/>
          <w:szCs w:val="24"/>
          <w:lang w:val="en-US"/>
        </w:rPr>
      </w:pPr>
    </w:p>
    <w:p w14:paraId="47FF0D10" w14:textId="49159349" w:rsidR="00AB6AAD" w:rsidRPr="00D5385E" w:rsidRDefault="00E67184"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b/>
          <w:bCs/>
          <w:color w:val="000000" w:themeColor="text1"/>
          <w:sz w:val="24"/>
          <w:szCs w:val="24"/>
          <w:lang w:val="en-US"/>
        </w:rPr>
        <w:t>Peter L Lakatos</w:t>
      </w:r>
      <w:r w:rsidRPr="00D5385E">
        <w:rPr>
          <w:rFonts w:ascii="Book Antiqua" w:hAnsi="Book Antiqua"/>
          <w:b/>
          <w:color w:val="000000" w:themeColor="text1"/>
          <w:sz w:val="24"/>
          <w:szCs w:val="24"/>
          <w:lang w:val="en-US"/>
        </w:rPr>
        <w:t xml:space="preserve">, </w:t>
      </w:r>
      <w:r w:rsidRPr="00D5385E">
        <w:rPr>
          <w:rFonts w:ascii="Book Antiqua" w:hAnsi="Book Antiqua" w:cs="Arial"/>
          <w:color w:val="000000" w:themeColor="text1"/>
          <w:sz w:val="24"/>
          <w:szCs w:val="24"/>
          <w:lang w:val="en-US"/>
        </w:rPr>
        <w:t>1</w:t>
      </w:r>
      <w:r w:rsidRPr="00D5385E">
        <w:rPr>
          <w:rFonts w:ascii="Book Antiqua" w:hAnsi="Book Antiqua" w:cs="Arial"/>
          <w:color w:val="000000" w:themeColor="text1"/>
          <w:sz w:val="24"/>
          <w:szCs w:val="24"/>
          <w:vertAlign w:val="superscript"/>
          <w:lang w:val="en-US"/>
        </w:rPr>
        <w:t>st</w:t>
      </w:r>
      <w:r w:rsidRPr="00D5385E">
        <w:rPr>
          <w:rFonts w:ascii="Book Antiqua" w:hAnsi="Book Antiqua" w:cs="Arial"/>
          <w:color w:val="000000" w:themeColor="text1"/>
          <w:sz w:val="24"/>
          <w:szCs w:val="24"/>
          <w:lang w:val="en-US"/>
        </w:rPr>
        <w:t xml:space="preserve"> Department of Medicine, Semmelweis University, Budapest</w:t>
      </w:r>
      <w:r w:rsidR="00F419BD">
        <w:rPr>
          <w:rFonts w:ascii="Book Antiqua" w:hAnsi="Book Antiqua" w:cs="Arial"/>
          <w:color w:val="000000" w:themeColor="text1"/>
          <w:sz w:val="24"/>
          <w:szCs w:val="24"/>
          <w:lang w:val="en-US"/>
        </w:rPr>
        <w:t xml:space="preserve"> </w:t>
      </w:r>
      <w:r w:rsidR="009C6ED8" w:rsidRPr="00D5385E">
        <w:rPr>
          <w:rFonts w:ascii="Book Antiqua" w:hAnsi="Book Antiqua" w:cs="Arial"/>
          <w:color w:val="000000" w:themeColor="text1"/>
          <w:sz w:val="24"/>
          <w:szCs w:val="24"/>
          <w:lang w:val="en-US"/>
        </w:rPr>
        <w:t xml:space="preserve">1083, </w:t>
      </w:r>
      <w:r w:rsidRPr="00D5385E">
        <w:rPr>
          <w:rFonts w:ascii="Book Antiqua" w:hAnsi="Book Antiqua" w:cs="Arial"/>
          <w:color w:val="000000" w:themeColor="text1"/>
          <w:sz w:val="24"/>
          <w:szCs w:val="24"/>
          <w:lang w:val="en-US"/>
        </w:rPr>
        <w:t>Hungary</w:t>
      </w:r>
    </w:p>
    <w:p w14:paraId="5F742447" w14:textId="77777777" w:rsidR="00F419BD" w:rsidRPr="00D5385E" w:rsidRDefault="00F419BD" w:rsidP="00D5385E">
      <w:pPr>
        <w:adjustRightInd w:val="0"/>
        <w:snapToGrid w:val="0"/>
        <w:spacing w:after="0" w:line="360" w:lineRule="auto"/>
        <w:jc w:val="both"/>
        <w:rPr>
          <w:rFonts w:ascii="Book Antiqua" w:hAnsi="Book Antiqua"/>
          <w:b/>
          <w:bCs/>
          <w:color w:val="000000" w:themeColor="text1"/>
          <w:sz w:val="24"/>
          <w:szCs w:val="24"/>
          <w:lang w:val="en-US"/>
        </w:rPr>
      </w:pPr>
    </w:p>
    <w:p w14:paraId="12CCE4B7" w14:textId="0735DD55" w:rsidR="002037A1" w:rsidRPr="00D5385E" w:rsidRDefault="002037A1" w:rsidP="00D5385E">
      <w:pPr>
        <w:adjustRightInd w:val="0"/>
        <w:snapToGrid w:val="0"/>
        <w:spacing w:after="0" w:line="360" w:lineRule="auto"/>
        <w:jc w:val="both"/>
        <w:rPr>
          <w:rFonts w:ascii="Book Antiqua" w:hAnsi="Book Antiqua"/>
          <w:color w:val="000000" w:themeColor="text1"/>
          <w:sz w:val="24"/>
          <w:szCs w:val="24"/>
          <w:lang w:val="en-US"/>
        </w:rPr>
      </w:pPr>
      <w:r w:rsidRPr="00F419BD">
        <w:rPr>
          <w:rFonts w:ascii="Book Antiqua" w:hAnsi="Book Antiqua"/>
          <w:b/>
          <w:bCs/>
          <w:color w:val="000000" w:themeColor="text1"/>
          <w:sz w:val="24"/>
          <w:szCs w:val="24"/>
          <w:lang w:val="en-US"/>
        </w:rPr>
        <w:t xml:space="preserve">ORCID number: </w:t>
      </w:r>
      <w:r w:rsidRPr="00D5385E">
        <w:rPr>
          <w:rFonts w:ascii="Book Antiqua" w:hAnsi="Book Antiqua"/>
          <w:color w:val="000000" w:themeColor="text1"/>
          <w:sz w:val="24"/>
          <w:szCs w:val="24"/>
          <w:lang w:val="en-US"/>
        </w:rPr>
        <w:t>Jean</w:t>
      </w:r>
      <w:r w:rsidR="000A1048">
        <w:rPr>
          <w:rFonts w:ascii="Book Antiqua" w:hAnsi="Book Antiqua"/>
          <w:color w:val="000000" w:themeColor="text1"/>
          <w:sz w:val="24"/>
          <w:szCs w:val="24"/>
          <w:lang w:val="en-US"/>
        </w:rPr>
        <w:t>-</w:t>
      </w:r>
      <w:r w:rsidRPr="00D5385E">
        <w:rPr>
          <w:rFonts w:ascii="Book Antiqua" w:hAnsi="Book Antiqua"/>
          <w:color w:val="000000" w:themeColor="text1"/>
          <w:sz w:val="24"/>
          <w:szCs w:val="24"/>
          <w:lang w:val="en-US"/>
        </w:rPr>
        <w:t>Frédéric LeBlanc (</w:t>
      </w:r>
      <w:r w:rsidRPr="00D5385E">
        <w:rPr>
          <w:rFonts w:ascii="Book Antiqua" w:hAnsi="Book Antiqua" w:cs="Arial"/>
          <w:color w:val="000000" w:themeColor="text1"/>
          <w:sz w:val="24"/>
          <w:szCs w:val="24"/>
          <w:shd w:val="clear" w:color="auto" w:fill="FFFFFF"/>
          <w:lang w:val="en-US"/>
        </w:rPr>
        <w:t>0000</w:t>
      </w:r>
      <w:r w:rsidR="000A1048">
        <w:rPr>
          <w:rFonts w:ascii="Book Antiqua" w:hAnsi="Book Antiqua" w:cs="Arial"/>
          <w:color w:val="000000" w:themeColor="text1"/>
          <w:sz w:val="24"/>
          <w:szCs w:val="24"/>
          <w:shd w:val="clear" w:color="auto" w:fill="FFFFFF"/>
          <w:lang w:val="en-US"/>
        </w:rPr>
        <w:t>-</w:t>
      </w:r>
      <w:r w:rsidRPr="00D5385E">
        <w:rPr>
          <w:rFonts w:ascii="Book Antiqua" w:hAnsi="Book Antiqua" w:cs="Arial"/>
          <w:color w:val="000000" w:themeColor="text1"/>
          <w:sz w:val="24"/>
          <w:szCs w:val="24"/>
          <w:shd w:val="clear" w:color="auto" w:fill="FFFFFF"/>
          <w:lang w:val="en-US"/>
        </w:rPr>
        <w:t>0002</w:t>
      </w:r>
      <w:r w:rsidR="000A1048">
        <w:rPr>
          <w:rFonts w:ascii="Book Antiqua" w:hAnsi="Book Antiqua" w:cs="Arial"/>
          <w:color w:val="000000" w:themeColor="text1"/>
          <w:sz w:val="24"/>
          <w:szCs w:val="24"/>
          <w:shd w:val="clear" w:color="auto" w:fill="FFFFFF"/>
          <w:lang w:val="en-US"/>
        </w:rPr>
        <w:t>-</w:t>
      </w:r>
      <w:r w:rsidRPr="00D5385E">
        <w:rPr>
          <w:rFonts w:ascii="Book Antiqua" w:hAnsi="Book Antiqua" w:cs="Arial"/>
          <w:color w:val="000000" w:themeColor="text1"/>
          <w:sz w:val="24"/>
          <w:szCs w:val="24"/>
          <w:shd w:val="clear" w:color="auto" w:fill="FFFFFF"/>
          <w:lang w:val="en-US"/>
        </w:rPr>
        <w:t>8477</w:t>
      </w:r>
      <w:r w:rsidR="000A1048">
        <w:rPr>
          <w:rFonts w:ascii="Book Antiqua" w:hAnsi="Book Antiqua" w:cs="Arial"/>
          <w:color w:val="000000" w:themeColor="text1"/>
          <w:sz w:val="24"/>
          <w:szCs w:val="24"/>
          <w:shd w:val="clear" w:color="auto" w:fill="FFFFFF"/>
          <w:lang w:val="en-US"/>
        </w:rPr>
        <w:t>-</w:t>
      </w:r>
      <w:r w:rsidRPr="00D5385E">
        <w:rPr>
          <w:rFonts w:ascii="Book Antiqua" w:hAnsi="Book Antiqua" w:cs="Arial"/>
          <w:color w:val="000000" w:themeColor="text1"/>
          <w:sz w:val="24"/>
          <w:szCs w:val="24"/>
          <w:shd w:val="clear" w:color="auto" w:fill="FFFFFF"/>
          <w:lang w:val="en-US"/>
        </w:rPr>
        <w:t>6337</w:t>
      </w:r>
      <w:r w:rsidRPr="00D5385E">
        <w:rPr>
          <w:rFonts w:ascii="Book Antiqua" w:hAnsi="Book Antiqua"/>
          <w:color w:val="000000" w:themeColor="text1"/>
          <w:sz w:val="24"/>
          <w:szCs w:val="24"/>
          <w:lang w:val="en-US"/>
        </w:rPr>
        <w:t>); Daniel Wiseman (</w:t>
      </w:r>
      <w:r w:rsidRPr="00D5385E">
        <w:rPr>
          <w:rFonts w:ascii="Book Antiqua" w:eastAsia="Times New Roman" w:hAnsi="Book Antiqua" w:cs="Arial"/>
          <w:color w:val="000000" w:themeColor="text1"/>
          <w:sz w:val="24"/>
          <w:szCs w:val="24"/>
          <w:shd w:val="clear" w:color="auto" w:fill="FFFFFF"/>
          <w:lang w:val="en-US"/>
        </w:rPr>
        <w:t>0000</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0001</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6688</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1670); Peter L Lakatos (0000</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0002</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3948</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6488); Talat</w:t>
      </w:r>
      <w:r w:rsidR="004D59AF" w:rsidRPr="00D5385E">
        <w:rPr>
          <w:rFonts w:ascii="Book Antiqua" w:eastAsia="Times New Roman" w:hAnsi="Book Antiqua" w:cs="Arial"/>
          <w:color w:val="000000" w:themeColor="text1"/>
          <w:sz w:val="24"/>
          <w:szCs w:val="24"/>
          <w:shd w:val="clear" w:color="auto" w:fill="FFFFFF"/>
          <w:lang w:val="en-US"/>
        </w:rPr>
        <w:t xml:space="preserve"> </w:t>
      </w:r>
      <w:proofErr w:type="spellStart"/>
      <w:r w:rsidR="004D59AF" w:rsidRPr="00D5385E">
        <w:rPr>
          <w:rFonts w:ascii="Book Antiqua" w:eastAsia="Times New Roman" w:hAnsi="Book Antiqua" w:cs="Arial"/>
          <w:color w:val="000000" w:themeColor="text1"/>
          <w:sz w:val="24"/>
          <w:szCs w:val="24"/>
          <w:shd w:val="clear" w:color="auto" w:fill="FFFFFF"/>
          <w:lang w:val="en-US"/>
        </w:rPr>
        <w:t>Bessissow</w:t>
      </w:r>
      <w:proofErr w:type="spellEnd"/>
      <w:r w:rsidR="004D59AF" w:rsidRPr="00D5385E">
        <w:rPr>
          <w:rFonts w:ascii="Book Antiqua" w:eastAsia="Times New Roman" w:hAnsi="Book Antiqua" w:cs="Arial"/>
          <w:color w:val="000000" w:themeColor="text1"/>
          <w:sz w:val="24"/>
          <w:szCs w:val="24"/>
          <w:shd w:val="clear" w:color="auto" w:fill="FFFFFF"/>
          <w:lang w:val="en-US"/>
        </w:rPr>
        <w:t xml:space="preserve"> (0000</w:t>
      </w:r>
      <w:r w:rsidR="000A1048">
        <w:rPr>
          <w:rFonts w:ascii="Book Antiqua" w:eastAsia="Times New Roman" w:hAnsi="Book Antiqua" w:cs="Arial"/>
          <w:color w:val="000000" w:themeColor="text1"/>
          <w:sz w:val="24"/>
          <w:szCs w:val="24"/>
          <w:shd w:val="clear" w:color="auto" w:fill="FFFFFF"/>
          <w:lang w:val="en-US"/>
        </w:rPr>
        <w:t>-</w:t>
      </w:r>
      <w:r w:rsidR="004D59AF" w:rsidRPr="00D5385E">
        <w:rPr>
          <w:rFonts w:ascii="Book Antiqua" w:eastAsia="Times New Roman" w:hAnsi="Book Antiqua" w:cs="Arial"/>
          <w:color w:val="000000" w:themeColor="text1"/>
          <w:sz w:val="24"/>
          <w:szCs w:val="24"/>
          <w:shd w:val="clear" w:color="auto" w:fill="FFFFFF"/>
          <w:lang w:val="en-US"/>
        </w:rPr>
        <w:t>0003</w:t>
      </w:r>
      <w:r w:rsidR="000A1048">
        <w:rPr>
          <w:rFonts w:ascii="Book Antiqua" w:eastAsia="Times New Roman" w:hAnsi="Book Antiqua" w:cs="Arial"/>
          <w:color w:val="000000" w:themeColor="text1"/>
          <w:sz w:val="24"/>
          <w:szCs w:val="24"/>
          <w:shd w:val="clear" w:color="auto" w:fill="FFFFFF"/>
          <w:lang w:val="en-US"/>
        </w:rPr>
        <w:t>-</w:t>
      </w:r>
      <w:r w:rsidR="004D59AF" w:rsidRPr="00D5385E">
        <w:rPr>
          <w:rFonts w:ascii="Book Antiqua" w:eastAsia="Times New Roman" w:hAnsi="Book Antiqua" w:cs="Arial"/>
          <w:color w:val="000000" w:themeColor="text1"/>
          <w:sz w:val="24"/>
          <w:szCs w:val="24"/>
          <w:shd w:val="clear" w:color="auto" w:fill="FFFFFF"/>
          <w:lang w:val="en-US"/>
        </w:rPr>
        <w:t>2610</w:t>
      </w:r>
      <w:r w:rsidR="000A1048">
        <w:rPr>
          <w:rFonts w:ascii="Book Antiqua" w:eastAsia="Times New Roman" w:hAnsi="Book Antiqua" w:cs="Arial"/>
          <w:color w:val="000000" w:themeColor="text1"/>
          <w:sz w:val="24"/>
          <w:szCs w:val="24"/>
          <w:shd w:val="clear" w:color="auto" w:fill="FFFFFF"/>
          <w:lang w:val="en-US"/>
        </w:rPr>
        <w:t>-</w:t>
      </w:r>
      <w:r w:rsidR="004D59AF" w:rsidRPr="00D5385E">
        <w:rPr>
          <w:rFonts w:ascii="Book Antiqua" w:eastAsia="Times New Roman" w:hAnsi="Book Antiqua" w:cs="Arial"/>
          <w:color w:val="000000" w:themeColor="text1"/>
          <w:sz w:val="24"/>
          <w:szCs w:val="24"/>
          <w:shd w:val="clear" w:color="auto" w:fill="FFFFFF"/>
          <w:lang w:val="en-US"/>
        </w:rPr>
        <w:t>1910</w:t>
      </w:r>
      <w:r w:rsidR="00F419BD">
        <w:rPr>
          <w:rFonts w:ascii="Book Antiqua" w:eastAsia="Times New Roman" w:hAnsi="Book Antiqua" w:cs="Arial"/>
          <w:color w:val="000000" w:themeColor="text1"/>
          <w:sz w:val="24"/>
          <w:szCs w:val="24"/>
          <w:shd w:val="clear" w:color="auto" w:fill="FFFFFF"/>
          <w:lang w:val="en-US"/>
        </w:rPr>
        <w:t>).</w:t>
      </w:r>
    </w:p>
    <w:p w14:paraId="596F0291" w14:textId="77777777" w:rsidR="002037A1" w:rsidRPr="00D5385E" w:rsidRDefault="002037A1" w:rsidP="00D5385E">
      <w:pPr>
        <w:adjustRightInd w:val="0"/>
        <w:snapToGrid w:val="0"/>
        <w:spacing w:after="0" w:line="360" w:lineRule="auto"/>
        <w:jc w:val="both"/>
        <w:rPr>
          <w:rFonts w:ascii="Book Antiqua" w:hAnsi="Book Antiqua"/>
          <w:color w:val="000000" w:themeColor="text1"/>
          <w:sz w:val="24"/>
          <w:szCs w:val="24"/>
          <w:lang w:val="en-US"/>
        </w:rPr>
      </w:pPr>
    </w:p>
    <w:p w14:paraId="09C1E7FF" w14:textId="08D09C3A" w:rsidR="000B6727" w:rsidRPr="00D5385E" w:rsidRDefault="000B6727" w:rsidP="00D5385E">
      <w:pPr>
        <w:autoSpaceDE w:val="0"/>
        <w:autoSpaceDN w:val="0"/>
        <w:adjustRightInd w:val="0"/>
        <w:snapToGrid w:val="0"/>
        <w:spacing w:after="0" w:line="360" w:lineRule="auto"/>
        <w:jc w:val="both"/>
        <w:rPr>
          <w:rFonts w:ascii="Book Antiqua" w:eastAsiaTheme="minorHAnsi" w:hAnsi="Book Antiqua"/>
          <w:color w:val="000000" w:themeColor="text1"/>
          <w:sz w:val="24"/>
          <w:szCs w:val="24"/>
          <w:lang w:val="en-US"/>
        </w:rPr>
      </w:pPr>
      <w:r w:rsidRPr="00D5385E">
        <w:rPr>
          <w:rFonts w:ascii="Book Antiqua" w:hAnsi="Book Antiqua"/>
          <w:b/>
          <w:color w:val="000000" w:themeColor="text1"/>
          <w:sz w:val="24"/>
          <w:szCs w:val="24"/>
          <w:lang w:val="en-US"/>
        </w:rPr>
        <w:t>Author contributions:</w:t>
      </w:r>
      <w:r w:rsidR="007F406E" w:rsidRPr="00D5385E">
        <w:rPr>
          <w:rFonts w:ascii="Book Antiqua" w:hAnsi="Book Antiqua"/>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All co</w:t>
      </w:r>
      <w:r w:rsidR="000A1048">
        <w:rPr>
          <w:rFonts w:ascii="Book Antiqua" w:eastAsiaTheme="minorHAnsi" w:hAnsi="Book Antiqua" w:cs="Arial"/>
          <w:color w:val="000000" w:themeColor="text1"/>
          <w:sz w:val="24"/>
          <w:szCs w:val="24"/>
          <w:lang w:val="en-US"/>
        </w:rPr>
        <w:t>-</w:t>
      </w:r>
      <w:r w:rsidR="00AB6AAD" w:rsidRPr="00D5385E">
        <w:rPr>
          <w:rFonts w:ascii="Book Antiqua" w:eastAsiaTheme="minorHAnsi" w:hAnsi="Book Antiqua" w:cs="Arial"/>
          <w:color w:val="000000" w:themeColor="text1"/>
          <w:sz w:val="24"/>
          <w:szCs w:val="24"/>
          <w:lang w:val="en-US"/>
        </w:rPr>
        <w:t>authors have contributed equally to this article.</w:t>
      </w:r>
    </w:p>
    <w:p w14:paraId="6EEDC826" w14:textId="5216291B" w:rsidR="000B6727" w:rsidRPr="00D5385E" w:rsidRDefault="00FA1063"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color w:val="000000" w:themeColor="text1"/>
          <w:sz w:val="24"/>
          <w:szCs w:val="24"/>
          <w:lang w:val="en-US"/>
        </w:rPr>
        <w:tab/>
      </w:r>
    </w:p>
    <w:p w14:paraId="3EF2D56E" w14:textId="72F902A0" w:rsidR="000B6727" w:rsidRPr="00F419BD" w:rsidRDefault="000B6727" w:rsidP="00F419BD">
      <w:pPr>
        <w:adjustRightInd w:val="0"/>
        <w:snapToGrid w:val="0"/>
        <w:spacing w:after="0" w:line="360" w:lineRule="auto"/>
        <w:jc w:val="both"/>
        <w:rPr>
          <w:rFonts w:ascii="Book Antiqua" w:hAnsi="Book Antiqua"/>
          <w:b/>
          <w:color w:val="000000" w:themeColor="text1"/>
          <w:sz w:val="24"/>
          <w:szCs w:val="24"/>
          <w:lang w:val="en-US"/>
        </w:rPr>
      </w:pPr>
      <w:r w:rsidRPr="00D5385E">
        <w:rPr>
          <w:rFonts w:ascii="Book Antiqua" w:hAnsi="Book Antiqua"/>
          <w:b/>
          <w:color w:val="000000" w:themeColor="text1"/>
          <w:sz w:val="24"/>
          <w:szCs w:val="24"/>
          <w:lang w:val="en-US"/>
        </w:rPr>
        <w:t>Conflict</w:t>
      </w:r>
      <w:r w:rsidR="000A1048">
        <w:rPr>
          <w:rFonts w:ascii="Book Antiqua" w:hAnsi="Book Antiqua"/>
          <w:b/>
          <w:color w:val="000000" w:themeColor="text1"/>
          <w:sz w:val="24"/>
          <w:szCs w:val="24"/>
          <w:lang w:val="en-US"/>
        </w:rPr>
        <w:t>-</w:t>
      </w:r>
      <w:r w:rsidRPr="00D5385E">
        <w:rPr>
          <w:rFonts w:ascii="Book Antiqua" w:hAnsi="Book Antiqua"/>
          <w:b/>
          <w:color w:val="000000" w:themeColor="text1"/>
          <w:sz w:val="24"/>
          <w:szCs w:val="24"/>
          <w:lang w:val="en-US"/>
        </w:rPr>
        <w:t>of</w:t>
      </w:r>
      <w:r w:rsidR="000A1048">
        <w:rPr>
          <w:rFonts w:ascii="Book Antiqua" w:hAnsi="Book Antiqua"/>
          <w:b/>
          <w:color w:val="000000" w:themeColor="text1"/>
          <w:sz w:val="24"/>
          <w:szCs w:val="24"/>
          <w:lang w:val="en-US"/>
        </w:rPr>
        <w:t>-</w:t>
      </w:r>
      <w:r w:rsidRPr="00D5385E">
        <w:rPr>
          <w:rFonts w:ascii="Book Antiqua" w:hAnsi="Book Antiqua"/>
          <w:b/>
          <w:color w:val="000000" w:themeColor="text1"/>
          <w:sz w:val="24"/>
          <w:szCs w:val="24"/>
          <w:lang w:val="en-US"/>
        </w:rPr>
        <w:t>interest statement:</w:t>
      </w:r>
      <w:r w:rsidR="00F419BD">
        <w:rPr>
          <w:rFonts w:ascii="Book Antiqua" w:hAnsi="Book Antiqua" w:hint="eastAsia"/>
          <w:b/>
          <w:color w:val="000000" w:themeColor="text1"/>
          <w:sz w:val="24"/>
          <w:szCs w:val="24"/>
          <w:lang w:val="en-US"/>
        </w:rPr>
        <w:t xml:space="preserve"> </w:t>
      </w:r>
      <w:r w:rsidRPr="00D5385E">
        <w:rPr>
          <w:rFonts w:ascii="Book Antiqua" w:hAnsi="Book Antiqua" w:cs="Arial"/>
          <w:color w:val="000000" w:themeColor="text1"/>
          <w:sz w:val="24"/>
          <w:szCs w:val="24"/>
          <w:lang w:val="en-US"/>
        </w:rPr>
        <w:t>LeBlanc J</w:t>
      </w:r>
      <w:r w:rsidR="00F419BD">
        <w:rPr>
          <w:rFonts w:ascii="Book Antiqua" w:hAnsi="Book Antiqua" w:cs="Arial"/>
          <w:color w:val="000000" w:themeColor="text1"/>
          <w:sz w:val="24"/>
          <w:szCs w:val="24"/>
          <w:lang w:val="en-US"/>
        </w:rPr>
        <w:t>F</w:t>
      </w:r>
      <w:r w:rsidRPr="00D5385E">
        <w:rPr>
          <w:rFonts w:ascii="Book Antiqua" w:hAnsi="Book Antiqua" w:cs="Arial"/>
          <w:color w:val="000000" w:themeColor="text1"/>
          <w:sz w:val="24"/>
          <w:szCs w:val="24"/>
          <w:lang w:val="en-US"/>
        </w:rPr>
        <w:t xml:space="preserve"> and Wiseman D have no conflicts of interest.</w:t>
      </w:r>
      <w:r w:rsidR="00F419BD">
        <w:rPr>
          <w:rFonts w:ascii="Book Antiqua" w:hAnsi="Book Antiqua" w:hint="eastAsia"/>
          <w:b/>
          <w:color w:val="000000" w:themeColor="text1"/>
          <w:sz w:val="24"/>
          <w:szCs w:val="24"/>
          <w:lang w:val="en-US"/>
        </w:rPr>
        <w:t xml:space="preserve"> </w:t>
      </w:r>
      <w:r w:rsidR="009C6ED8" w:rsidRPr="00D5385E">
        <w:rPr>
          <w:rFonts w:ascii="Book Antiqua" w:hAnsi="Book Antiqua" w:cs="Arial"/>
          <w:color w:val="000000" w:themeColor="text1"/>
          <w:sz w:val="24"/>
          <w:szCs w:val="24"/>
          <w:lang w:val="en-US"/>
        </w:rPr>
        <w:t>Lakatos PL</w:t>
      </w:r>
      <w:r w:rsidR="00AB6AAD" w:rsidRPr="00D5385E">
        <w:rPr>
          <w:rFonts w:ascii="Book Antiqua" w:hAnsi="Book Antiqua" w:cs="Arial"/>
          <w:color w:val="000000" w:themeColor="text1"/>
          <w:sz w:val="24"/>
          <w:szCs w:val="24"/>
          <w:lang w:val="en-US"/>
        </w:rPr>
        <w:t xml:space="preserve"> </w:t>
      </w:r>
      <w:r w:rsidR="00BD1969" w:rsidRPr="00D5385E">
        <w:rPr>
          <w:rFonts w:ascii="Book Antiqua" w:hAnsi="Book Antiqua" w:cs="Arial"/>
          <w:color w:val="000000" w:themeColor="text1"/>
          <w:sz w:val="24"/>
          <w:szCs w:val="24"/>
          <w:lang w:val="en-US"/>
        </w:rPr>
        <w:t xml:space="preserve">has been a speaker and/or advisory board member: AbbVie, Arena Pharmaceuticals, </w:t>
      </w:r>
      <w:proofErr w:type="spellStart"/>
      <w:r w:rsidR="00BD1969" w:rsidRPr="00D5385E">
        <w:rPr>
          <w:rFonts w:ascii="Book Antiqua" w:hAnsi="Book Antiqua" w:cs="Arial"/>
          <w:color w:val="000000" w:themeColor="text1"/>
          <w:sz w:val="24"/>
          <w:szCs w:val="24"/>
          <w:lang w:val="en-US"/>
        </w:rPr>
        <w:t>Celltrion</w:t>
      </w:r>
      <w:proofErr w:type="spellEnd"/>
      <w:r w:rsidR="00BD1969" w:rsidRPr="00D5385E">
        <w:rPr>
          <w:rFonts w:ascii="Book Antiqua" w:hAnsi="Book Antiqua" w:cs="Arial"/>
          <w:color w:val="000000" w:themeColor="text1"/>
          <w:sz w:val="24"/>
          <w:szCs w:val="24"/>
          <w:lang w:val="en-US"/>
        </w:rPr>
        <w:t xml:space="preserve">, Falk Pharma GmbH, Ferring, </w:t>
      </w:r>
      <w:proofErr w:type="spellStart"/>
      <w:r w:rsidR="00BD1969" w:rsidRPr="00D5385E">
        <w:rPr>
          <w:rFonts w:ascii="Book Antiqua" w:hAnsi="Book Antiqua" w:cs="Arial"/>
          <w:color w:val="000000" w:themeColor="text1"/>
          <w:sz w:val="24"/>
          <w:szCs w:val="24"/>
          <w:lang w:val="en-US"/>
        </w:rPr>
        <w:t>Genetech</w:t>
      </w:r>
      <w:proofErr w:type="spellEnd"/>
      <w:r w:rsidR="00BD1969" w:rsidRPr="00D5385E">
        <w:rPr>
          <w:rFonts w:ascii="Book Antiqua" w:hAnsi="Book Antiqua" w:cs="Arial"/>
          <w:color w:val="000000" w:themeColor="text1"/>
          <w:sz w:val="24"/>
          <w:szCs w:val="24"/>
          <w:lang w:val="en-US"/>
        </w:rPr>
        <w:t xml:space="preserve">, Janssen, Merck, </w:t>
      </w:r>
      <w:proofErr w:type="spellStart"/>
      <w:r w:rsidR="00BD1969" w:rsidRPr="00D5385E">
        <w:rPr>
          <w:rFonts w:ascii="Book Antiqua" w:hAnsi="Book Antiqua" w:cs="Arial"/>
          <w:color w:val="000000" w:themeColor="text1"/>
          <w:sz w:val="24"/>
          <w:szCs w:val="24"/>
          <w:lang w:val="en-US"/>
        </w:rPr>
        <w:lastRenderedPageBreak/>
        <w:t>Pharmacosmos</w:t>
      </w:r>
      <w:proofErr w:type="spellEnd"/>
      <w:r w:rsidR="00BD1969" w:rsidRPr="00D5385E">
        <w:rPr>
          <w:rFonts w:ascii="Book Antiqua" w:hAnsi="Book Antiqua" w:cs="Arial"/>
          <w:color w:val="000000" w:themeColor="text1"/>
          <w:sz w:val="24"/>
          <w:szCs w:val="24"/>
          <w:lang w:val="en-US"/>
        </w:rPr>
        <w:t>, Pfizer, Roche, Shire and Takeda and has received unrestricted research grant: AbbVie, MSD and Pfizer.</w:t>
      </w:r>
      <w:r w:rsidR="00F419BD">
        <w:rPr>
          <w:rFonts w:ascii="Book Antiqua" w:hAnsi="Book Antiqua" w:hint="eastAsia"/>
          <w:b/>
          <w:color w:val="000000" w:themeColor="text1"/>
          <w:sz w:val="24"/>
          <w:szCs w:val="24"/>
          <w:lang w:val="en-US"/>
        </w:rPr>
        <w:t xml:space="preserve"> </w:t>
      </w:r>
      <w:proofErr w:type="spellStart"/>
      <w:r w:rsidR="009C6ED8" w:rsidRPr="00D5385E">
        <w:rPr>
          <w:rFonts w:ascii="Book Antiqua" w:hAnsi="Book Antiqua" w:cs="Arial"/>
          <w:color w:val="000000" w:themeColor="text1"/>
          <w:sz w:val="24"/>
          <w:szCs w:val="24"/>
          <w:lang w:val="en-US"/>
        </w:rPr>
        <w:t>Bessissow</w:t>
      </w:r>
      <w:proofErr w:type="spellEnd"/>
      <w:r w:rsidR="009C6ED8" w:rsidRPr="00D5385E">
        <w:rPr>
          <w:rFonts w:ascii="Book Antiqua" w:hAnsi="Book Antiqua" w:cs="Arial"/>
          <w:color w:val="000000" w:themeColor="text1"/>
          <w:sz w:val="24"/>
          <w:szCs w:val="24"/>
          <w:lang w:val="en-US"/>
        </w:rPr>
        <w:t xml:space="preserve"> T </w:t>
      </w:r>
      <w:r w:rsidR="00AB6AAD" w:rsidRPr="00D5385E">
        <w:rPr>
          <w:rFonts w:ascii="Book Antiqua" w:eastAsiaTheme="minorHAnsi" w:hAnsi="Book Antiqua" w:cs="Arial"/>
          <w:color w:val="000000" w:themeColor="text1"/>
          <w:sz w:val="24"/>
          <w:szCs w:val="24"/>
          <w:lang w:val="en-US"/>
        </w:rPr>
        <w:t>has received honoraria and acted as a consultant for Janssen, AbbVie, Takeda, Merck, Pfizer, Ferring and Shire</w:t>
      </w:r>
    </w:p>
    <w:p w14:paraId="04F2A63F" w14:textId="35E7FB6B" w:rsidR="000B6727" w:rsidRDefault="000B6727" w:rsidP="00D5385E">
      <w:pPr>
        <w:adjustRightInd w:val="0"/>
        <w:snapToGrid w:val="0"/>
        <w:spacing w:after="0" w:line="360" w:lineRule="auto"/>
        <w:jc w:val="both"/>
        <w:rPr>
          <w:rFonts w:ascii="Book Antiqua" w:hAnsi="Book Antiqua"/>
          <w:color w:val="000000" w:themeColor="text1"/>
          <w:sz w:val="24"/>
          <w:szCs w:val="24"/>
          <w:lang w:val="en-US"/>
        </w:rPr>
      </w:pPr>
    </w:p>
    <w:p w14:paraId="4C9E1CFE" w14:textId="25ED3C6E" w:rsidR="00F419BD" w:rsidRPr="00F419BD" w:rsidRDefault="00F419BD" w:rsidP="00F419BD">
      <w:pPr>
        <w:snapToGrid w:val="0"/>
        <w:spacing w:after="0" w:line="360" w:lineRule="auto"/>
        <w:jc w:val="both"/>
        <w:rPr>
          <w:rFonts w:ascii="Book Antiqua" w:eastAsia="SimSun" w:hAnsi="Book Antiqua"/>
          <w:sz w:val="24"/>
          <w:szCs w:val="24"/>
          <w:lang w:val="en-US" w:eastAsia="zh-CN"/>
        </w:rPr>
      </w:pPr>
      <w:bookmarkStart w:id="11" w:name="OLE_LINK25"/>
      <w:bookmarkStart w:id="12" w:name="OLE_LINK26"/>
      <w:bookmarkStart w:id="13" w:name="OLE_LINK375"/>
      <w:bookmarkStart w:id="14" w:name="OLE_LINK32"/>
      <w:bookmarkStart w:id="15" w:name="OLE_LINK381"/>
      <w:bookmarkStart w:id="16" w:name="OLE_LINK413"/>
      <w:bookmarkStart w:id="17" w:name="OLE_LINK61"/>
      <w:bookmarkStart w:id="18" w:name="OLE_LINK615"/>
      <w:r w:rsidRPr="00F419BD">
        <w:rPr>
          <w:rFonts w:ascii="Book Antiqua" w:eastAsia="SimSun" w:hAnsi="Book Antiqua"/>
          <w:b/>
          <w:color w:val="000000"/>
          <w:sz w:val="24"/>
          <w:szCs w:val="24"/>
          <w:lang w:val="en-US" w:eastAsia="zh-CN"/>
        </w:rPr>
        <w:t>Open</w:t>
      </w:r>
      <w:r w:rsidR="000A1048">
        <w:rPr>
          <w:rFonts w:ascii="Book Antiqua" w:eastAsia="SimSun" w:hAnsi="Book Antiqua"/>
          <w:b/>
          <w:color w:val="000000"/>
          <w:sz w:val="24"/>
          <w:szCs w:val="24"/>
          <w:lang w:val="en-US" w:eastAsia="zh-CN"/>
        </w:rPr>
        <w:t>-</w:t>
      </w:r>
      <w:r w:rsidRPr="00F419BD">
        <w:rPr>
          <w:rFonts w:ascii="Book Antiqua" w:eastAsia="SimSun" w:hAnsi="Book Antiqua"/>
          <w:b/>
          <w:color w:val="000000"/>
          <w:sz w:val="24"/>
          <w:szCs w:val="24"/>
          <w:lang w:val="en-US" w:eastAsia="zh-CN"/>
        </w:rPr>
        <w:t xml:space="preserve">Access: </w:t>
      </w:r>
      <w:bookmarkStart w:id="19" w:name="OLE_LINK81"/>
      <w:r w:rsidRPr="00F419BD">
        <w:rPr>
          <w:rFonts w:ascii="Book Antiqua" w:eastAsia="SimSun" w:hAnsi="Book Antiqua"/>
          <w:color w:val="000000"/>
          <w:sz w:val="24"/>
          <w:szCs w:val="24"/>
          <w:lang w:val="en-US" w:eastAsia="zh-CN"/>
        </w:rPr>
        <w:t xml:space="preserve">This is an </w:t>
      </w:r>
      <w:r w:rsidRPr="00F419BD">
        <w:rPr>
          <w:rFonts w:ascii="Book Antiqua" w:eastAsia="SimSun" w:hAnsi="Book Antiqua" w:cs="SimSun"/>
          <w:sz w:val="24"/>
          <w:szCs w:val="24"/>
          <w:lang w:val="en-US" w:eastAsia="zh-CN"/>
        </w:rPr>
        <w:t>open</w:t>
      </w:r>
      <w:r w:rsidR="000A1048">
        <w:rPr>
          <w:rFonts w:ascii="Book Antiqua" w:eastAsia="SimSun" w:hAnsi="Book Antiqua" w:cs="SimSun"/>
          <w:sz w:val="24"/>
          <w:szCs w:val="24"/>
          <w:lang w:val="en-US" w:eastAsia="zh-CN"/>
        </w:rPr>
        <w:t>-</w:t>
      </w:r>
      <w:r w:rsidRPr="00F419BD">
        <w:rPr>
          <w:rFonts w:ascii="Book Antiqua" w:eastAsia="SimSun" w:hAnsi="Book Antiqua" w:cs="SimSun"/>
          <w:sz w:val="24"/>
          <w:szCs w:val="24"/>
          <w:lang w:val="en-US" w:eastAsia="zh-CN"/>
        </w:rPr>
        <w:t xml:space="preserve">access article that was </w:t>
      </w:r>
      <w:r w:rsidRPr="00F419BD">
        <w:rPr>
          <w:rFonts w:ascii="Book Antiqua" w:eastAsia="SimSun" w:hAnsi="Book Antiqua"/>
          <w:sz w:val="24"/>
          <w:szCs w:val="24"/>
          <w:lang w:val="en-US" w:eastAsia="zh-CN"/>
        </w:rPr>
        <w:t>selected by an in</w:t>
      </w:r>
      <w:r w:rsidR="000A1048">
        <w:rPr>
          <w:rFonts w:ascii="Book Antiqua" w:eastAsia="SimSun" w:hAnsi="Book Antiqua"/>
          <w:sz w:val="24"/>
          <w:szCs w:val="24"/>
          <w:lang w:val="en-US" w:eastAsia="zh-CN"/>
        </w:rPr>
        <w:t>-</w:t>
      </w:r>
      <w:r w:rsidRPr="00F419BD">
        <w:rPr>
          <w:rFonts w:ascii="Book Antiqua" w:eastAsia="SimSun" w:hAnsi="Book Antiqua"/>
          <w:sz w:val="24"/>
          <w:szCs w:val="24"/>
          <w:lang w:val="en-US" w:eastAsia="zh-CN"/>
        </w:rPr>
        <w:t>house editor and fully peer</w:t>
      </w:r>
      <w:r w:rsidR="000A1048">
        <w:rPr>
          <w:rFonts w:ascii="Book Antiqua" w:eastAsia="SimSun" w:hAnsi="Book Antiqua"/>
          <w:sz w:val="24"/>
          <w:szCs w:val="24"/>
          <w:lang w:val="en-US" w:eastAsia="zh-CN"/>
        </w:rPr>
        <w:t>-</w:t>
      </w:r>
      <w:r w:rsidRPr="00F419BD">
        <w:rPr>
          <w:rFonts w:ascii="Book Antiqua" w:eastAsia="SimSun" w:hAnsi="Book Antiqua"/>
          <w:sz w:val="24"/>
          <w:szCs w:val="24"/>
          <w:lang w:val="en-US" w:eastAsia="zh-CN"/>
        </w:rPr>
        <w:t xml:space="preserve">reviewed by external reviewers. It is </w:t>
      </w:r>
      <w:r w:rsidRPr="00F419BD">
        <w:rPr>
          <w:rFonts w:ascii="Book Antiqua" w:eastAsia="SimSun" w:hAnsi="Book Antiqua" w:cs="SimSun"/>
          <w:sz w:val="24"/>
          <w:szCs w:val="24"/>
          <w:lang w:val="en-US" w:eastAsia="zh-CN"/>
        </w:rPr>
        <w:t xml:space="preserve">distributed in accordance with </w:t>
      </w:r>
      <w:r w:rsidRPr="00F419BD">
        <w:rPr>
          <w:rFonts w:ascii="Book Antiqua" w:eastAsia="SimSun" w:hAnsi="Book Antiqua"/>
          <w:sz w:val="24"/>
          <w:szCs w:val="24"/>
          <w:lang w:val="en-US" w:eastAsia="zh-CN"/>
        </w:rPr>
        <w:t>the Creative Commons Attribution Non Commercial (CC BY</w:t>
      </w:r>
      <w:r w:rsidR="000A1048">
        <w:rPr>
          <w:rFonts w:ascii="Book Antiqua" w:eastAsia="SimSun" w:hAnsi="Book Antiqua"/>
          <w:sz w:val="24"/>
          <w:szCs w:val="24"/>
          <w:lang w:val="en-US" w:eastAsia="zh-CN"/>
        </w:rPr>
        <w:t>-</w:t>
      </w:r>
      <w:r w:rsidRPr="00F419BD">
        <w:rPr>
          <w:rFonts w:ascii="Book Antiqua" w:eastAsia="SimSun" w:hAnsi="Book Antiqua"/>
          <w:sz w:val="24"/>
          <w:szCs w:val="24"/>
          <w:lang w:val="en-US" w:eastAsia="zh-CN"/>
        </w:rPr>
        <w:t>NC 4.0) license, which permits others to distribute, remix, adapt, build upon this work non</w:t>
      </w:r>
      <w:r w:rsidR="000A1048">
        <w:rPr>
          <w:rFonts w:ascii="Book Antiqua" w:eastAsia="SimSun" w:hAnsi="Book Antiqua"/>
          <w:sz w:val="24"/>
          <w:szCs w:val="24"/>
          <w:lang w:val="en-US" w:eastAsia="zh-CN"/>
        </w:rPr>
        <w:t>-</w:t>
      </w:r>
      <w:r w:rsidRPr="00F419BD">
        <w:rPr>
          <w:rFonts w:ascii="Book Antiqua" w:eastAsia="SimSun" w:hAnsi="Book Antiqua"/>
          <w:sz w:val="24"/>
          <w:szCs w:val="24"/>
          <w:lang w:val="en-US" w:eastAsia="zh-CN"/>
        </w:rPr>
        <w:t>commercially, and license their derivative works on different terms, provided the original work is properly cited and the use is non</w:t>
      </w:r>
      <w:r w:rsidR="000A1048">
        <w:rPr>
          <w:rFonts w:ascii="Book Antiqua" w:eastAsia="SimSun" w:hAnsi="Book Antiqua"/>
          <w:sz w:val="24"/>
          <w:szCs w:val="24"/>
          <w:lang w:val="en-US" w:eastAsia="zh-CN"/>
        </w:rPr>
        <w:t>-</w:t>
      </w:r>
      <w:r w:rsidRPr="00F419BD">
        <w:rPr>
          <w:rFonts w:ascii="Book Antiqua" w:eastAsia="SimSun" w:hAnsi="Book Antiqua"/>
          <w:sz w:val="24"/>
          <w:szCs w:val="24"/>
          <w:lang w:val="en-US" w:eastAsia="zh-CN"/>
        </w:rPr>
        <w:t xml:space="preserve">commercial. See: </w:t>
      </w:r>
      <w:hyperlink r:id="rId7" w:history="1">
        <w:r w:rsidRPr="00F419BD">
          <w:rPr>
            <w:rFonts w:ascii="Book Antiqua" w:eastAsia="SimSun" w:hAnsi="Book Antiqua"/>
            <w:color w:val="0000FF"/>
            <w:sz w:val="24"/>
            <w:szCs w:val="24"/>
            <w:u w:val="single"/>
            <w:lang w:val="en-US" w:eastAsia="zh-CN"/>
          </w:rPr>
          <w:t>http://creativecommons.org/licenses/by</w:t>
        </w:r>
        <w:r w:rsidR="000A1048">
          <w:rPr>
            <w:rFonts w:ascii="Book Antiqua" w:eastAsia="SimSun" w:hAnsi="Book Antiqua"/>
            <w:color w:val="0000FF"/>
            <w:sz w:val="24"/>
            <w:szCs w:val="24"/>
            <w:u w:val="single"/>
            <w:lang w:val="en-US" w:eastAsia="zh-CN"/>
          </w:rPr>
          <w:t>-</w:t>
        </w:r>
        <w:r w:rsidRPr="00F419BD">
          <w:rPr>
            <w:rFonts w:ascii="Book Antiqua" w:eastAsia="SimSun" w:hAnsi="Book Antiqua"/>
            <w:color w:val="0000FF"/>
            <w:sz w:val="24"/>
            <w:szCs w:val="24"/>
            <w:u w:val="single"/>
            <w:lang w:val="en-US" w:eastAsia="zh-CN"/>
          </w:rPr>
          <w:t>nc/4.0/</w:t>
        </w:r>
      </w:hyperlink>
      <w:bookmarkEnd w:id="19"/>
    </w:p>
    <w:p w14:paraId="68CB16C9" w14:textId="77777777" w:rsidR="00F419BD" w:rsidRPr="00F419BD" w:rsidRDefault="00F419BD" w:rsidP="00F419BD">
      <w:pPr>
        <w:snapToGrid w:val="0"/>
        <w:spacing w:after="0" w:line="360" w:lineRule="auto"/>
        <w:jc w:val="both"/>
        <w:rPr>
          <w:rFonts w:ascii="Book Antiqua" w:eastAsia="SimSun" w:hAnsi="Book Antiqua"/>
          <w:sz w:val="24"/>
          <w:szCs w:val="24"/>
          <w:lang w:val="en-US" w:eastAsia="zh-CN"/>
        </w:rPr>
      </w:pPr>
    </w:p>
    <w:p w14:paraId="1FA50BB8" w14:textId="2E0BDD1A" w:rsidR="00F419BD" w:rsidRDefault="00F419BD" w:rsidP="00F419BD">
      <w:pPr>
        <w:adjustRightInd w:val="0"/>
        <w:snapToGrid w:val="0"/>
        <w:spacing w:after="0" w:line="360" w:lineRule="auto"/>
        <w:jc w:val="both"/>
        <w:rPr>
          <w:rFonts w:ascii="Book Antiqua" w:eastAsia="SimSun" w:hAnsi="Book Antiqua"/>
          <w:bCs/>
          <w:sz w:val="24"/>
          <w:szCs w:val="24"/>
          <w:lang w:val="en-US" w:eastAsia="zh-CN"/>
        </w:rPr>
      </w:pPr>
      <w:r w:rsidRPr="00F419BD">
        <w:rPr>
          <w:rFonts w:ascii="Book Antiqua" w:eastAsia="SimSun" w:hAnsi="Book Antiqua"/>
          <w:b/>
          <w:bCs/>
          <w:sz w:val="24"/>
          <w:szCs w:val="24"/>
          <w:highlight w:val="white"/>
          <w:lang w:val="en-US" w:eastAsia="zh-CN"/>
        </w:rPr>
        <w:t>Manuscript source:</w:t>
      </w:r>
      <w:r w:rsidRPr="00F419BD">
        <w:rPr>
          <w:rFonts w:ascii="Book Antiqua" w:eastAsia="SimSun" w:hAnsi="Book Antiqua" w:hint="eastAsia"/>
          <w:b/>
          <w:bCs/>
          <w:sz w:val="24"/>
          <w:szCs w:val="24"/>
          <w:highlight w:val="white"/>
          <w:lang w:val="en-US" w:eastAsia="zh-CN"/>
        </w:rPr>
        <w:t xml:space="preserve"> </w:t>
      </w:r>
      <w:r>
        <w:rPr>
          <w:rFonts w:ascii="Book Antiqua" w:eastAsia="SimSun" w:hAnsi="Book Antiqua"/>
          <w:bCs/>
          <w:sz w:val="24"/>
          <w:szCs w:val="24"/>
          <w:highlight w:val="white"/>
          <w:lang w:val="en-US" w:eastAsia="zh-CN"/>
        </w:rPr>
        <w:t>Inv</w:t>
      </w:r>
      <w:r w:rsidRPr="00F419BD">
        <w:rPr>
          <w:rFonts w:ascii="Book Antiqua" w:eastAsia="SimSun" w:hAnsi="Book Antiqua"/>
          <w:bCs/>
          <w:sz w:val="24"/>
          <w:szCs w:val="24"/>
          <w:highlight w:val="white"/>
          <w:lang w:val="en-US" w:eastAsia="zh-CN"/>
        </w:rPr>
        <w:t>ited manuscript</w:t>
      </w:r>
      <w:bookmarkEnd w:id="11"/>
      <w:bookmarkEnd w:id="12"/>
      <w:bookmarkEnd w:id="13"/>
      <w:bookmarkEnd w:id="14"/>
      <w:bookmarkEnd w:id="15"/>
      <w:bookmarkEnd w:id="16"/>
      <w:bookmarkEnd w:id="17"/>
      <w:bookmarkEnd w:id="18"/>
    </w:p>
    <w:p w14:paraId="44B1EC5C" w14:textId="77777777" w:rsidR="00F419BD" w:rsidRPr="00D5385E" w:rsidRDefault="00F419BD" w:rsidP="00F419BD">
      <w:pPr>
        <w:adjustRightInd w:val="0"/>
        <w:snapToGrid w:val="0"/>
        <w:spacing w:after="0" w:line="360" w:lineRule="auto"/>
        <w:jc w:val="both"/>
        <w:rPr>
          <w:rFonts w:ascii="Book Antiqua" w:hAnsi="Book Antiqua"/>
          <w:color w:val="000000" w:themeColor="text1"/>
          <w:sz w:val="24"/>
          <w:szCs w:val="24"/>
          <w:lang w:val="en-US"/>
        </w:rPr>
      </w:pPr>
    </w:p>
    <w:p w14:paraId="6FAA4FDE" w14:textId="7D38A737" w:rsidR="00AB6AAD" w:rsidRPr="00F419BD" w:rsidRDefault="00693B2A" w:rsidP="00F419BD">
      <w:pPr>
        <w:adjustRightInd w:val="0"/>
        <w:snapToGrid w:val="0"/>
        <w:spacing w:after="0" w:line="360" w:lineRule="auto"/>
        <w:jc w:val="both"/>
        <w:rPr>
          <w:rFonts w:ascii="Book Antiqua" w:eastAsiaTheme="minorHAnsi" w:hAnsi="Book Antiqua" w:cs="Arial"/>
          <w:b/>
          <w:color w:val="000000" w:themeColor="text1"/>
          <w:sz w:val="24"/>
          <w:szCs w:val="24"/>
          <w:lang w:val="en-US"/>
        </w:rPr>
      </w:pPr>
      <w:bookmarkStart w:id="20" w:name="OLE_LINK294"/>
      <w:bookmarkStart w:id="21" w:name="OLE_LINK295"/>
      <w:bookmarkStart w:id="22" w:name="OLE_LINK15"/>
      <w:bookmarkStart w:id="23" w:name="OLE_LINK16"/>
      <w:bookmarkStart w:id="24" w:name="OLE_LINK56"/>
      <w:r w:rsidRPr="00D5385E">
        <w:rPr>
          <w:rFonts w:ascii="Book Antiqua" w:hAnsi="Book Antiqua"/>
          <w:b/>
          <w:bCs/>
          <w:color w:val="000000" w:themeColor="text1"/>
          <w:sz w:val="24"/>
          <w:szCs w:val="24"/>
          <w:highlight w:val="white"/>
          <w:lang w:val="en-US" w:eastAsia="zh-CN"/>
        </w:rPr>
        <w:t>Corresponding author:</w:t>
      </w:r>
      <w:bookmarkEnd w:id="20"/>
      <w:bookmarkEnd w:id="21"/>
      <w:bookmarkEnd w:id="22"/>
      <w:bookmarkEnd w:id="23"/>
      <w:bookmarkEnd w:id="24"/>
      <w:r w:rsidR="00F419BD">
        <w:rPr>
          <w:rFonts w:ascii="Book Antiqua" w:hAnsi="Book Antiqua" w:hint="eastAsia"/>
          <w:color w:val="000000" w:themeColor="text1"/>
          <w:sz w:val="24"/>
          <w:szCs w:val="24"/>
          <w:lang w:val="en-US"/>
        </w:rPr>
        <w:t xml:space="preserve"> </w:t>
      </w:r>
      <w:r w:rsidR="00AB6AAD" w:rsidRPr="00D5385E">
        <w:rPr>
          <w:rFonts w:ascii="Book Antiqua" w:eastAsiaTheme="minorHAnsi" w:hAnsi="Book Antiqua" w:cs="Arial"/>
          <w:b/>
          <w:color w:val="000000" w:themeColor="text1"/>
          <w:sz w:val="24"/>
          <w:szCs w:val="24"/>
          <w:lang w:val="en-US"/>
        </w:rPr>
        <w:t xml:space="preserve">Talat </w:t>
      </w:r>
      <w:proofErr w:type="spellStart"/>
      <w:r w:rsidR="00AB6AAD" w:rsidRPr="00D5385E">
        <w:rPr>
          <w:rFonts w:ascii="Book Antiqua" w:eastAsiaTheme="minorHAnsi" w:hAnsi="Book Antiqua" w:cs="Arial"/>
          <w:b/>
          <w:color w:val="000000" w:themeColor="text1"/>
          <w:sz w:val="24"/>
          <w:szCs w:val="24"/>
          <w:lang w:val="en-US"/>
        </w:rPr>
        <w:t>Bessissow</w:t>
      </w:r>
      <w:proofErr w:type="spellEnd"/>
      <w:r w:rsidR="00AB6AAD" w:rsidRPr="00D5385E">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FRCP (C),</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FRCPC,</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MD,</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MSc</w:t>
      </w:r>
      <w:r w:rsidR="00F419BD">
        <w:rPr>
          <w:rFonts w:ascii="Book Antiqua" w:eastAsiaTheme="minorHAnsi" w:hAnsi="Book Antiqua" w:cs="Arial"/>
          <w:b/>
          <w:color w:val="000000" w:themeColor="text1"/>
          <w:sz w:val="24"/>
          <w:szCs w:val="24"/>
          <w:lang w:val="en-US"/>
        </w:rPr>
        <w:t>,</w:t>
      </w:r>
      <w:r w:rsidR="00AB6AAD" w:rsidRPr="00D5385E">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Assistant Professor,</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Doctor,</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Postdoctoral Fellow,</w:t>
      </w:r>
      <w:r w:rsidR="00F419BD">
        <w:rPr>
          <w:rFonts w:ascii="Book Antiqua" w:eastAsiaTheme="minorHAnsi" w:hAnsi="Book Antiqua" w:cs="Arial"/>
          <w:b/>
          <w:color w:val="000000" w:themeColor="text1"/>
          <w:sz w:val="24"/>
          <w:szCs w:val="24"/>
          <w:lang w:val="en-US"/>
        </w:rPr>
        <w:t xml:space="preserve"> </w:t>
      </w:r>
      <w:r w:rsidR="00F419BD" w:rsidRPr="00F419BD">
        <w:rPr>
          <w:rFonts w:ascii="Book Antiqua" w:eastAsiaTheme="minorHAnsi" w:hAnsi="Book Antiqua" w:cs="Arial"/>
          <w:b/>
          <w:color w:val="000000" w:themeColor="text1"/>
          <w:sz w:val="24"/>
          <w:szCs w:val="24"/>
          <w:lang w:val="en-US"/>
        </w:rPr>
        <w:t>Staff Physician</w:t>
      </w:r>
      <w:r w:rsidR="00F419BD">
        <w:rPr>
          <w:rFonts w:ascii="Book Antiqua" w:eastAsiaTheme="minorHAnsi" w:hAnsi="Book Antiqua" w:cs="Arial" w:hint="eastAsia"/>
          <w:b/>
          <w:color w:val="000000" w:themeColor="text1"/>
          <w:sz w:val="24"/>
          <w:szCs w:val="24"/>
          <w:lang w:val="en-US"/>
        </w:rPr>
        <w:t>,</w:t>
      </w:r>
      <w:r w:rsidR="00F419BD">
        <w:rPr>
          <w:rFonts w:ascii="Book Antiqua" w:eastAsiaTheme="minorHAnsi" w:hAnsi="Book Antiqua" w:cs="Arial"/>
          <w:b/>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Division</w:t>
      </w:r>
      <w:r w:rsidR="001C3290" w:rsidRPr="00D5385E">
        <w:rPr>
          <w:rFonts w:ascii="Book Antiqua" w:eastAsiaTheme="minorHAnsi" w:hAnsi="Book Antiqua" w:cs="Arial"/>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of Gastroenterology, M</w:t>
      </w:r>
      <w:r w:rsidR="009C6ED8" w:rsidRPr="00D5385E">
        <w:rPr>
          <w:rFonts w:ascii="Book Antiqua" w:eastAsiaTheme="minorHAnsi" w:hAnsi="Book Antiqua" w:cs="Arial"/>
          <w:color w:val="000000" w:themeColor="text1"/>
          <w:sz w:val="24"/>
          <w:szCs w:val="24"/>
          <w:lang w:val="en-US"/>
        </w:rPr>
        <w:t>cGill University Health Center,</w:t>
      </w:r>
      <w:r w:rsidR="00AB6AAD" w:rsidRPr="00D5385E">
        <w:rPr>
          <w:rFonts w:ascii="Book Antiqua" w:eastAsiaTheme="minorHAnsi" w:hAnsi="Book Antiqua" w:cs="Arial"/>
          <w:color w:val="000000" w:themeColor="text1"/>
          <w:sz w:val="24"/>
          <w:szCs w:val="24"/>
          <w:lang w:val="en-US"/>
        </w:rPr>
        <w:t>1650</w:t>
      </w:r>
      <w:r w:rsidR="001C3290" w:rsidRPr="00D5385E">
        <w:rPr>
          <w:rFonts w:ascii="Book Antiqua" w:eastAsiaTheme="minorHAnsi" w:hAnsi="Book Antiqua" w:cs="Arial"/>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Avenue Cedar C7</w:t>
      </w:r>
      <w:r w:rsidR="000A1048">
        <w:rPr>
          <w:rFonts w:ascii="Book Antiqua" w:eastAsiaTheme="minorHAnsi" w:hAnsi="Book Antiqua" w:cs="Arial"/>
          <w:color w:val="000000" w:themeColor="text1"/>
          <w:sz w:val="24"/>
          <w:szCs w:val="24"/>
          <w:lang w:val="en-US"/>
        </w:rPr>
        <w:t>-</w:t>
      </w:r>
      <w:r w:rsidR="00AB6AAD" w:rsidRPr="00D5385E">
        <w:rPr>
          <w:rFonts w:ascii="Book Antiqua" w:eastAsiaTheme="minorHAnsi" w:hAnsi="Book Antiqua" w:cs="Arial"/>
          <w:color w:val="000000" w:themeColor="text1"/>
          <w:sz w:val="24"/>
          <w:szCs w:val="24"/>
          <w:lang w:val="en-US"/>
        </w:rPr>
        <w:t xml:space="preserve">200, Montreal, </w:t>
      </w:r>
      <w:bookmarkStart w:id="25" w:name="OLE_LINK13"/>
      <w:bookmarkStart w:id="26" w:name="OLE_LINK14"/>
      <w:bookmarkStart w:id="27" w:name="OLE_LINK78"/>
      <w:bookmarkStart w:id="28" w:name="OLE_LINK79"/>
      <w:r w:rsidR="00AB6AAD" w:rsidRPr="00D5385E">
        <w:rPr>
          <w:rFonts w:ascii="Book Antiqua" w:eastAsiaTheme="minorHAnsi" w:hAnsi="Book Antiqua" w:cs="Arial"/>
          <w:color w:val="000000" w:themeColor="text1"/>
          <w:sz w:val="24"/>
          <w:szCs w:val="24"/>
          <w:lang w:val="en-US"/>
        </w:rPr>
        <w:t>QC</w:t>
      </w:r>
      <w:bookmarkEnd w:id="25"/>
      <w:bookmarkEnd w:id="26"/>
      <w:r w:rsidR="00AB6AAD" w:rsidRPr="00D5385E">
        <w:rPr>
          <w:rFonts w:ascii="Book Antiqua" w:eastAsiaTheme="minorHAnsi" w:hAnsi="Book Antiqua" w:cs="Arial"/>
          <w:color w:val="000000" w:themeColor="text1"/>
          <w:sz w:val="24"/>
          <w:szCs w:val="24"/>
          <w:lang w:val="en-US"/>
        </w:rPr>
        <w:t xml:space="preserve"> </w:t>
      </w:r>
      <w:bookmarkEnd w:id="27"/>
      <w:bookmarkEnd w:id="28"/>
      <w:r w:rsidR="00AB6AAD" w:rsidRPr="00D5385E">
        <w:rPr>
          <w:rFonts w:ascii="Book Antiqua" w:eastAsiaTheme="minorHAnsi" w:hAnsi="Book Antiqua" w:cs="Arial"/>
          <w:color w:val="000000" w:themeColor="text1"/>
          <w:sz w:val="24"/>
          <w:szCs w:val="24"/>
          <w:lang w:val="en-US"/>
        </w:rPr>
        <w:t>H3G 1A4,</w:t>
      </w:r>
      <w:r w:rsidR="009C6ED8" w:rsidRPr="00D5385E">
        <w:rPr>
          <w:rFonts w:ascii="Book Antiqua" w:eastAsiaTheme="minorHAnsi" w:hAnsi="Book Antiqua" w:cs="Arial"/>
          <w:b/>
          <w:color w:val="000000" w:themeColor="text1"/>
          <w:sz w:val="24"/>
          <w:szCs w:val="24"/>
          <w:lang w:val="en-US"/>
        </w:rPr>
        <w:t xml:space="preserve"> </w:t>
      </w:r>
      <w:r w:rsidR="00AB6AAD" w:rsidRPr="00D5385E">
        <w:rPr>
          <w:rFonts w:ascii="Book Antiqua" w:eastAsiaTheme="minorHAnsi" w:hAnsi="Book Antiqua" w:cs="Arial"/>
          <w:color w:val="000000" w:themeColor="text1"/>
          <w:sz w:val="24"/>
          <w:szCs w:val="24"/>
          <w:lang w:val="en-US"/>
        </w:rPr>
        <w:t xml:space="preserve">Canada. </w:t>
      </w:r>
      <w:hyperlink r:id="rId8" w:history="1">
        <w:r w:rsidRPr="00F419BD">
          <w:rPr>
            <w:rStyle w:val="Hyperlink"/>
            <w:rFonts w:ascii="Book Antiqua" w:eastAsiaTheme="minorHAnsi" w:hAnsi="Book Antiqua" w:cs="Arial"/>
            <w:color w:val="000000" w:themeColor="text1"/>
            <w:sz w:val="24"/>
            <w:szCs w:val="24"/>
            <w:u w:val="none"/>
            <w:lang w:val="en-US"/>
          </w:rPr>
          <w:t>talat.bessissow@mcgill.ca</w:t>
        </w:r>
      </w:hyperlink>
    </w:p>
    <w:p w14:paraId="15E9D1B7" w14:textId="4CFD7059" w:rsidR="009F2215" w:rsidRPr="00F419BD" w:rsidRDefault="00693B2A" w:rsidP="00D5385E">
      <w:pPr>
        <w:adjustRightInd w:val="0"/>
        <w:snapToGrid w:val="0"/>
        <w:spacing w:after="0" w:line="360" w:lineRule="auto"/>
        <w:jc w:val="both"/>
        <w:rPr>
          <w:rFonts w:ascii="Book Antiqua" w:hAnsi="Book Antiqua"/>
          <w:bCs/>
          <w:color w:val="000000" w:themeColor="text1"/>
          <w:sz w:val="24"/>
          <w:szCs w:val="24"/>
          <w:lang w:val="en-US"/>
        </w:rPr>
      </w:pPr>
      <w:bookmarkStart w:id="29" w:name="OLE_LINK1091"/>
      <w:bookmarkStart w:id="30" w:name="OLE_LINK1092"/>
      <w:bookmarkStart w:id="31" w:name="OLE_LINK389"/>
      <w:bookmarkStart w:id="32" w:name="OLE_LINK406"/>
      <w:bookmarkStart w:id="33" w:name="OLE_LINK658"/>
      <w:bookmarkStart w:id="34" w:name="OLE_LINK904"/>
      <w:bookmarkStart w:id="35" w:name="OLE_LINK1009"/>
      <w:bookmarkStart w:id="36" w:name="OLE_LINK1027"/>
      <w:bookmarkStart w:id="37" w:name="OLE_LINK90"/>
      <w:bookmarkStart w:id="38" w:name="OLE_LINK523"/>
      <w:r w:rsidRPr="00D5385E">
        <w:rPr>
          <w:rFonts w:ascii="Book Antiqua" w:hAnsi="Book Antiqua"/>
          <w:b/>
          <w:color w:val="000000" w:themeColor="text1"/>
          <w:sz w:val="24"/>
          <w:szCs w:val="24"/>
          <w:lang w:val="en-US"/>
        </w:rPr>
        <w:t xml:space="preserve">Telephone: </w:t>
      </w:r>
      <w:bookmarkStart w:id="39" w:name="OLE_LINK80"/>
      <w:r w:rsidR="001A07E4" w:rsidRPr="00F419BD">
        <w:rPr>
          <w:rFonts w:ascii="Book Antiqua" w:hAnsi="Book Antiqua"/>
          <w:bCs/>
          <w:color w:val="000000" w:themeColor="text1"/>
          <w:sz w:val="24"/>
          <w:szCs w:val="24"/>
          <w:lang w:val="en-US"/>
        </w:rPr>
        <w:t>+1</w:t>
      </w:r>
      <w:r w:rsidR="000A1048">
        <w:rPr>
          <w:rFonts w:ascii="Book Antiqua" w:hAnsi="Book Antiqua"/>
          <w:bCs/>
          <w:color w:val="000000" w:themeColor="text1"/>
          <w:sz w:val="24"/>
          <w:szCs w:val="24"/>
          <w:lang w:val="en-US"/>
        </w:rPr>
        <w:t>-</w:t>
      </w:r>
      <w:r w:rsidR="001A07E4" w:rsidRPr="00F419BD">
        <w:rPr>
          <w:rFonts w:ascii="Book Antiqua" w:hAnsi="Book Antiqua"/>
          <w:bCs/>
          <w:color w:val="000000" w:themeColor="text1"/>
          <w:sz w:val="24"/>
          <w:szCs w:val="24"/>
          <w:lang w:val="en-US"/>
        </w:rPr>
        <w:t>514</w:t>
      </w:r>
      <w:r w:rsidR="000A1048">
        <w:rPr>
          <w:rFonts w:ascii="Book Antiqua" w:hAnsi="Book Antiqua"/>
          <w:bCs/>
          <w:color w:val="000000" w:themeColor="text1"/>
          <w:sz w:val="24"/>
          <w:szCs w:val="24"/>
          <w:lang w:val="en-US"/>
        </w:rPr>
        <w:t>-</w:t>
      </w:r>
      <w:r w:rsidR="001A07E4" w:rsidRPr="00F419BD">
        <w:rPr>
          <w:rFonts w:ascii="Book Antiqua" w:hAnsi="Book Antiqua"/>
          <w:bCs/>
          <w:color w:val="000000" w:themeColor="text1"/>
          <w:sz w:val="24"/>
          <w:szCs w:val="24"/>
          <w:lang w:val="en-US"/>
        </w:rPr>
        <w:t>9341934</w:t>
      </w:r>
      <w:bookmarkEnd w:id="39"/>
    </w:p>
    <w:p w14:paraId="63FF8B4F" w14:textId="177AEF8F" w:rsidR="00693B2A" w:rsidRPr="00F419BD" w:rsidRDefault="00693B2A" w:rsidP="00D5385E">
      <w:pPr>
        <w:adjustRightInd w:val="0"/>
        <w:snapToGrid w:val="0"/>
        <w:spacing w:after="0" w:line="360" w:lineRule="auto"/>
        <w:jc w:val="both"/>
        <w:rPr>
          <w:rFonts w:ascii="Book Antiqua" w:hAnsi="Book Antiqua"/>
          <w:bCs/>
          <w:color w:val="000000" w:themeColor="text1"/>
          <w:sz w:val="24"/>
          <w:szCs w:val="24"/>
          <w:lang w:val="en-US"/>
        </w:rPr>
      </w:pPr>
      <w:r w:rsidRPr="00D5385E">
        <w:rPr>
          <w:rFonts w:ascii="Book Antiqua" w:hAnsi="Book Antiqua"/>
          <w:b/>
          <w:color w:val="000000" w:themeColor="text1"/>
          <w:sz w:val="24"/>
          <w:szCs w:val="24"/>
          <w:lang w:val="en-US"/>
        </w:rPr>
        <w:t>Fax:</w:t>
      </w:r>
      <w:bookmarkEnd w:id="29"/>
      <w:bookmarkEnd w:id="30"/>
      <w:r w:rsidRPr="00D5385E">
        <w:rPr>
          <w:rFonts w:ascii="Book Antiqua" w:hAnsi="Book Antiqua"/>
          <w:b/>
          <w:color w:val="000000" w:themeColor="text1"/>
          <w:sz w:val="24"/>
          <w:szCs w:val="24"/>
          <w:lang w:val="en-US"/>
        </w:rPr>
        <w:t xml:space="preserve"> </w:t>
      </w:r>
      <w:r w:rsidR="001A07E4" w:rsidRPr="00F419BD">
        <w:rPr>
          <w:rFonts w:ascii="Book Antiqua" w:hAnsi="Book Antiqua"/>
          <w:bCs/>
          <w:color w:val="000000" w:themeColor="text1"/>
          <w:sz w:val="24"/>
          <w:szCs w:val="24"/>
          <w:lang w:val="en-US"/>
        </w:rPr>
        <w:t>+1</w:t>
      </w:r>
      <w:r w:rsidR="000A1048">
        <w:rPr>
          <w:rFonts w:ascii="Book Antiqua" w:hAnsi="Book Antiqua"/>
          <w:bCs/>
          <w:color w:val="000000" w:themeColor="text1"/>
          <w:sz w:val="24"/>
          <w:szCs w:val="24"/>
          <w:lang w:val="en-US"/>
        </w:rPr>
        <w:t>-</w:t>
      </w:r>
      <w:r w:rsidR="001A07E4" w:rsidRPr="00F419BD">
        <w:rPr>
          <w:rFonts w:ascii="Book Antiqua" w:hAnsi="Book Antiqua"/>
          <w:bCs/>
          <w:color w:val="000000" w:themeColor="text1"/>
          <w:sz w:val="24"/>
          <w:szCs w:val="24"/>
          <w:lang w:val="en-US"/>
        </w:rPr>
        <w:t>514</w:t>
      </w:r>
      <w:r w:rsidR="000A1048">
        <w:rPr>
          <w:rFonts w:ascii="Book Antiqua" w:hAnsi="Book Antiqua"/>
          <w:bCs/>
          <w:color w:val="000000" w:themeColor="text1"/>
          <w:sz w:val="24"/>
          <w:szCs w:val="24"/>
          <w:lang w:val="en-US"/>
        </w:rPr>
        <w:t>-</w:t>
      </w:r>
      <w:r w:rsidR="001A07E4" w:rsidRPr="00F419BD">
        <w:rPr>
          <w:rFonts w:ascii="Book Antiqua" w:hAnsi="Book Antiqua"/>
          <w:bCs/>
          <w:color w:val="000000" w:themeColor="text1"/>
          <w:sz w:val="24"/>
          <w:szCs w:val="24"/>
          <w:lang w:val="en-US"/>
        </w:rPr>
        <w:t>9348531</w:t>
      </w:r>
    </w:p>
    <w:bookmarkEnd w:id="31"/>
    <w:bookmarkEnd w:id="32"/>
    <w:bookmarkEnd w:id="33"/>
    <w:bookmarkEnd w:id="34"/>
    <w:bookmarkEnd w:id="35"/>
    <w:bookmarkEnd w:id="36"/>
    <w:bookmarkEnd w:id="37"/>
    <w:bookmarkEnd w:id="38"/>
    <w:p w14:paraId="458D2D19" w14:textId="4163C984" w:rsidR="00693B2A" w:rsidRDefault="00693B2A" w:rsidP="00D5385E">
      <w:pPr>
        <w:autoSpaceDE w:val="0"/>
        <w:autoSpaceDN w:val="0"/>
        <w:adjustRightInd w:val="0"/>
        <w:snapToGrid w:val="0"/>
        <w:spacing w:after="0" w:line="360" w:lineRule="auto"/>
        <w:jc w:val="both"/>
        <w:rPr>
          <w:rFonts w:ascii="Book Antiqua" w:eastAsiaTheme="minorHAnsi" w:hAnsi="Book Antiqua" w:cs="Arial"/>
          <w:b/>
          <w:color w:val="000000" w:themeColor="text1"/>
          <w:sz w:val="24"/>
          <w:szCs w:val="24"/>
          <w:lang w:val="en-US"/>
        </w:rPr>
      </w:pPr>
    </w:p>
    <w:p w14:paraId="6F139D99" w14:textId="70F31185" w:rsidR="00FA2FF3" w:rsidRPr="00FA2FF3" w:rsidRDefault="00FA2FF3" w:rsidP="00FA2FF3">
      <w:pPr>
        <w:adjustRightInd w:val="0"/>
        <w:snapToGrid w:val="0"/>
        <w:spacing w:after="0" w:line="360" w:lineRule="auto"/>
        <w:jc w:val="both"/>
        <w:rPr>
          <w:rFonts w:ascii="Book Antiqua" w:eastAsia="SimSun" w:hAnsi="Book Antiqua"/>
          <w:b/>
          <w:sz w:val="24"/>
          <w:szCs w:val="24"/>
          <w:lang w:val="en-US" w:eastAsia="zh-CN"/>
        </w:rPr>
      </w:pPr>
      <w:bookmarkStart w:id="40" w:name="OLE_LINK51"/>
      <w:bookmarkStart w:id="41" w:name="OLE_LINK27"/>
      <w:bookmarkStart w:id="42" w:name="OLE_LINK382"/>
      <w:bookmarkStart w:id="43" w:name="OLE_LINK30"/>
      <w:bookmarkStart w:id="44" w:name="OLE_LINK376"/>
      <w:bookmarkStart w:id="45" w:name="OLE_LINK35"/>
      <w:bookmarkStart w:id="46" w:name="OLE_LINK64"/>
      <w:bookmarkStart w:id="47" w:name="OLE_LINK616"/>
      <w:r w:rsidRPr="00FA2FF3">
        <w:rPr>
          <w:rFonts w:ascii="Book Antiqua" w:eastAsia="SimSun" w:hAnsi="Book Antiqua"/>
          <w:b/>
          <w:sz w:val="24"/>
          <w:szCs w:val="24"/>
          <w:lang w:val="en-US" w:eastAsia="zh-CN"/>
        </w:rPr>
        <w:t xml:space="preserve">Received: </w:t>
      </w:r>
      <w:bookmarkStart w:id="48" w:name="OLE_LINK21"/>
      <w:bookmarkStart w:id="49" w:name="OLE_LINK22"/>
      <w:r>
        <w:rPr>
          <w:rFonts w:ascii="Book Antiqua" w:eastAsia="SimSun" w:hAnsi="Book Antiqua"/>
          <w:sz w:val="24"/>
          <w:szCs w:val="24"/>
          <w:lang w:val="en-US" w:eastAsia="zh-CN"/>
        </w:rPr>
        <w:t>April</w:t>
      </w:r>
      <w:r w:rsidRPr="00FA2FF3">
        <w:rPr>
          <w:rFonts w:ascii="Book Antiqua" w:eastAsia="DengXian" w:hAnsi="Book Antiqua"/>
          <w:sz w:val="24"/>
          <w:szCs w:val="24"/>
          <w:lang w:val="en-US" w:eastAsia="zh-CN"/>
        </w:rPr>
        <w:t xml:space="preserve"> </w:t>
      </w:r>
      <w:r>
        <w:rPr>
          <w:rFonts w:ascii="Book Antiqua" w:eastAsia="DengXian" w:hAnsi="Book Antiqua"/>
          <w:sz w:val="24"/>
          <w:szCs w:val="24"/>
          <w:lang w:val="en-US" w:eastAsia="zh-CN"/>
        </w:rPr>
        <w:t>19</w:t>
      </w:r>
      <w:r w:rsidRPr="00FA2FF3">
        <w:rPr>
          <w:rFonts w:ascii="Book Antiqua" w:eastAsia="DengXian" w:hAnsi="Book Antiqua"/>
          <w:sz w:val="24"/>
          <w:szCs w:val="24"/>
          <w:lang w:val="en-US" w:eastAsia="zh-CN"/>
        </w:rPr>
        <w:t>, 2019</w:t>
      </w:r>
      <w:bookmarkEnd w:id="48"/>
      <w:bookmarkEnd w:id="49"/>
    </w:p>
    <w:p w14:paraId="5E91F61C" w14:textId="0E5B5D7E" w:rsidR="00FA2FF3" w:rsidRPr="00FA2FF3" w:rsidRDefault="00FA2FF3" w:rsidP="00FA2FF3">
      <w:pPr>
        <w:adjustRightInd w:val="0"/>
        <w:snapToGrid w:val="0"/>
        <w:spacing w:after="0" w:line="360" w:lineRule="auto"/>
        <w:jc w:val="both"/>
        <w:rPr>
          <w:rFonts w:ascii="Book Antiqua" w:eastAsia="DengXian" w:hAnsi="Book Antiqua"/>
          <w:b/>
          <w:sz w:val="24"/>
          <w:szCs w:val="24"/>
          <w:lang w:val="en-US" w:eastAsia="zh-CN"/>
        </w:rPr>
      </w:pPr>
      <w:r w:rsidRPr="00FA2FF3">
        <w:rPr>
          <w:rFonts w:ascii="Book Antiqua" w:eastAsia="SimSun" w:hAnsi="Book Antiqua"/>
          <w:b/>
          <w:sz w:val="24"/>
          <w:szCs w:val="24"/>
          <w:lang w:val="en-US" w:eastAsia="zh-CN"/>
        </w:rPr>
        <w:t>Peer</w:t>
      </w:r>
      <w:r w:rsidR="000A1048">
        <w:rPr>
          <w:rFonts w:ascii="Book Antiqua" w:eastAsia="SimSun" w:hAnsi="Book Antiqua"/>
          <w:b/>
          <w:sz w:val="24"/>
          <w:szCs w:val="24"/>
          <w:lang w:val="en-US" w:eastAsia="zh-CN"/>
        </w:rPr>
        <w:t>-</w:t>
      </w:r>
      <w:r w:rsidRPr="00FA2FF3">
        <w:rPr>
          <w:rFonts w:ascii="Book Antiqua" w:eastAsia="SimSun" w:hAnsi="Book Antiqua"/>
          <w:b/>
          <w:sz w:val="24"/>
          <w:szCs w:val="24"/>
          <w:lang w:val="en-US" w:eastAsia="zh-CN"/>
        </w:rPr>
        <w:t>review started:</w:t>
      </w:r>
      <w:r w:rsidRPr="00FA2FF3">
        <w:rPr>
          <w:rFonts w:ascii="Book Antiqua" w:eastAsia="DengXian" w:hAnsi="Book Antiqua"/>
          <w:b/>
          <w:sz w:val="24"/>
          <w:szCs w:val="24"/>
          <w:lang w:val="en-US" w:eastAsia="zh-CN"/>
        </w:rPr>
        <w:t xml:space="preserve"> </w:t>
      </w:r>
      <w:r>
        <w:rPr>
          <w:rFonts w:ascii="Book Antiqua" w:eastAsia="SimSun" w:hAnsi="Book Antiqua"/>
          <w:sz w:val="24"/>
          <w:szCs w:val="24"/>
          <w:lang w:val="en-US" w:eastAsia="zh-CN"/>
        </w:rPr>
        <w:t>April</w:t>
      </w:r>
      <w:r w:rsidRPr="00FA2FF3">
        <w:rPr>
          <w:rFonts w:ascii="Book Antiqua" w:eastAsia="DengXian" w:hAnsi="Book Antiqua"/>
          <w:sz w:val="24"/>
          <w:szCs w:val="24"/>
          <w:lang w:val="en-US" w:eastAsia="zh-CN"/>
        </w:rPr>
        <w:t xml:space="preserve"> </w:t>
      </w:r>
      <w:r>
        <w:rPr>
          <w:rFonts w:ascii="Book Antiqua" w:eastAsia="DengXian" w:hAnsi="Book Antiqua"/>
          <w:sz w:val="24"/>
          <w:szCs w:val="24"/>
          <w:lang w:val="en-US" w:eastAsia="zh-CN"/>
        </w:rPr>
        <w:t>19</w:t>
      </w:r>
      <w:r w:rsidRPr="00FA2FF3">
        <w:rPr>
          <w:rFonts w:ascii="Book Antiqua" w:eastAsia="DengXian" w:hAnsi="Book Antiqua"/>
          <w:sz w:val="24"/>
          <w:szCs w:val="24"/>
          <w:lang w:val="en-US" w:eastAsia="zh-CN"/>
        </w:rPr>
        <w:t>, 2019</w:t>
      </w:r>
    </w:p>
    <w:p w14:paraId="209B7002" w14:textId="7E56A386" w:rsidR="00FA2FF3" w:rsidRPr="00FA2FF3" w:rsidRDefault="00FA2FF3" w:rsidP="00FA2FF3">
      <w:pPr>
        <w:adjustRightInd w:val="0"/>
        <w:snapToGrid w:val="0"/>
        <w:spacing w:after="0" w:line="360" w:lineRule="auto"/>
        <w:jc w:val="both"/>
        <w:rPr>
          <w:rFonts w:ascii="Book Antiqua" w:eastAsia="DengXian" w:hAnsi="Book Antiqua"/>
          <w:b/>
          <w:sz w:val="24"/>
          <w:szCs w:val="24"/>
          <w:lang w:val="en-US" w:eastAsia="zh-CN"/>
        </w:rPr>
      </w:pPr>
      <w:r w:rsidRPr="00FA2FF3">
        <w:rPr>
          <w:rFonts w:ascii="Book Antiqua" w:eastAsia="SimSun" w:hAnsi="Book Antiqua"/>
          <w:b/>
          <w:sz w:val="24"/>
          <w:szCs w:val="24"/>
          <w:lang w:val="en-US" w:eastAsia="zh-CN"/>
        </w:rPr>
        <w:t>First decision:</w:t>
      </w:r>
      <w:r w:rsidRPr="00FA2FF3">
        <w:rPr>
          <w:rFonts w:ascii="Book Antiqua" w:eastAsia="DengXian" w:hAnsi="Book Antiqua"/>
          <w:b/>
          <w:sz w:val="24"/>
          <w:szCs w:val="24"/>
          <w:lang w:val="en-US" w:eastAsia="zh-CN"/>
        </w:rPr>
        <w:t xml:space="preserve"> </w:t>
      </w:r>
      <w:r>
        <w:rPr>
          <w:rFonts w:ascii="Book Antiqua" w:eastAsia="SimSun" w:hAnsi="Book Antiqua"/>
          <w:sz w:val="24"/>
          <w:szCs w:val="24"/>
          <w:lang w:val="en-US" w:eastAsia="zh-CN"/>
        </w:rPr>
        <w:t>June</w:t>
      </w:r>
      <w:r w:rsidRPr="00FA2FF3">
        <w:rPr>
          <w:rFonts w:ascii="Book Antiqua" w:eastAsia="DengXian" w:hAnsi="Book Antiqua"/>
          <w:sz w:val="24"/>
          <w:szCs w:val="24"/>
          <w:lang w:val="en-US" w:eastAsia="zh-CN"/>
        </w:rPr>
        <w:t xml:space="preserve"> 1</w:t>
      </w:r>
      <w:r>
        <w:rPr>
          <w:rFonts w:ascii="Book Antiqua" w:eastAsia="DengXian" w:hAnsi="Book Antiqua"/>
          <w:sz w:val="24"/>
          <w:szCs w:val="24"/>
          <w:lang w:val="en-US" w:eastAsia="zh-CN"/>
        </w:rPr>
        <w:t>0</w:t>
      </w:r>
      <w:r w:rsidRPr="00FA2FF3">
        <w:rPr>
          <w:rFonts w:ascii="Book Antiqua" w:eastAsia="DengXian" w:hAnsi="Book Antiqua"/>
          <w:sz w:val="24"/>
          <w:szCs w:val="24"/>
          <w:lang w:val="en-US" w:eastAsia="zh-CN"/>
        </w:rPr>
        <w:t>, 2019</w:t>
      </w:r>
    </w:p>
    <w:p w14:paraId="0624BC6B" w14:textId="4BC52C8C" w:rsidR="00FA2FF3" w:rsidRPr="00FA2FF3" w:rsidRDefault="00FA2FF3" w:rsidP="00FA2FF3">
      <w:pPr>
        <w:adjustRightInd w:val="0"/>
        <w:snapToGrid w:val="0"/>
        <w:spacing w:after="0" w:line="360" w:lineRule="auto"/>
        <w:jc w:val="both"/>
        <w:rPr>
          <w:rFonts w:ascii="Book Antiqua" w:eastAsia="SimSun" w:hAnsi="Book Antiqua"/>
          <w:b/>
          <w:sz w:val="24"/>
          <w:szCs w:val="24"/>
          <w:lang w:val="en-US" w:eastAsia="zh-CN"/>
        </w:rPr>
      </w:pPr>
      <w:r w:rsidRPr="00FA2FF3">
        <w:rPr>
          <w:rFonts w:ascii="Book Antiqua" w:eastAsia="SimSun" w:hAnsi="Book Antiqua"/>
          <w:b/>
          <w:sz w:val="24"/>
          <w:szCs w:val="24"/>
          <w:lang w:val="en-US" w:eastAsia="zh-CN"/>
        </w:rPr>
        <w:t xml:space="preserve">Revised: </w:t>
      </w:r>
      <w:r w:rsidRPr="00FA2FF3">
        <w:rPr>
          <w:rFonts w:ascii="Book Antiqua" w:eastAsia="SimSun" w:hAnsi="Book Antiqua"/>
          <w:sz w:val="24"/>
          <w:szCs w:val="24"/>
          <w:lang w:val="en-US" w:eastAsia="zh-CN"/>
        </w:rPr>
        <w:t xml:space="preserve">June </w:t>
      </w:r>
      <w:r w:rsidR="00A827E9">
        <w:rPr>
          <w:rFonts w:ascii="Book Antiqua" w:eastAsia="SimSun" w:hAnsi="Book Antiqua"/>
          <w:sz w:val="24"/>
          <w:szCs w:val="24"/>
          <w:lang w:val="en-US" w:eastAsia="zh-CN"/>
        </w:rPr>
        <w:t>27</w:t>
      </w:r>
      <w:r w:rsidRPr="00FA2FF3">
        <w:rPr>
          <w:rFonts w:ascii="Book Antiqua" w:eastAsia="SimSun" w:hAnsi="Book Antiqua"/>
          <w:sz w:val="24"/>
          <w:szCs w:val="24"/>
          <w:lang w:val="en-US" w:eastAsia="zh-CN"/>
        </w:rPr>
        <w:t>, 2019</w:t>
      </w:r>
    </w:p>
    <w:p w14:paraId="4A5D177B" w14:textId="6B0980B8" w:rsidR="00FA2FF3" w:rsidRPr="00FA2FF3" w:rsidRDefault="00FA2FF3" w:rsidP="00FA2FF3">
      <w:pPr>
        <w:adjustRightInd w:val="0"/>
        <w:snapToGrid w:val="0"/>
        <w:spacing w:after="0" w:line="360" w:lineRule="auto"/>
        <w:jc w:val="both"/>
        <w:rPr>
          <w:rFonts w:ascii="Book Antiqua" w:eastAsia="SimSun" w:hAnsi="Book Antiqua"/>
          <w:b/>
          <w:sz w:val="24"/>
          <w:szCs w:val="24"/>
          <w:lang w:val="en-US" w:eastAsia="zh-CN"/>
        </w:rPr>
      </w:pPr>
      <w:r w:rsidRPr="00FA2FF3">
        <w:rPr>
          <w:rFonts w:ascii="Book Antiqua" w:eastAsia="SimSun" w:hAnsi="Book Antiqua"/>
          <w:b/>
          <w:sz w:val="24"/>
          <w:szCs w:val="24"/>
          <w:lang w:val="en-US" w:eastAsia="zh-CN"/>
        </w:rPr>
        <w:t>Accepted:</w:t>
      </w:r>
      <w:r w:rsidR="00475733" w:rsidRPr="00475733">
        <w:t xml:space="preserve"> </w:t>
      </w:r>
      <w:r w:rsidR="00475733" w:rsidRPr="00475733">
        <w:rPr>
          <w:rFonts w:ascii="Book Antiqua" w:eastAsia="SimSun" w:hAnsi="Book Antiqua"/>
          <w:bCs/>
          <w:sz w:val="24"/>
          <w:szCs w:val="24"/>
          <w:lang w:val="en-US" w:eastAsia="zh-CN"/>
        </w:rPr>
        <w:t>July 2, 2019</w:t>
      </w:r>
      <w:r w:rsidRPr="00FA2FF3">
        <w:rPr>
          <w:rFonts w:ascii="Book Antiqua" w:eastAsia="SimSun" w:hAnsi="Book Antiqua"/>
          <w:b/>
          <w:sz w:val="24"/>
          <w:szCs w:val="24"/>
          <w:lang w:val="en-US" w:eastAsia="zh-CN"/>
        </w:rPr>
        <w:t xml:space="preserve"> </w:t>
      </w:r>
    </w:p>
    <w:p w14:paraId="705AB5E1" w14:textId="77777777" w:rsidR="00FA2FF3" w:rsidRPr="00FA2FF3" w:rsidRDefault="00FA2FF3" w:rsidP="00FA2FF3">
      <w:pPr>
        <w:adjustRightInd w:val="0"/>
        <w:snapToGrid w:val="0"/>
        <w:spacing w:after="0" w:line="360" w:lineRule="auto"/>
        <w:jc w:val="both"/>
        <w:rPr>
          <w:rFonts w:ascii="Book Antiqua" w:eastAsia="SimSun" w:hAnsi="Book Antiqua"/>
          <w:b/>
          <w:sz w:val="24"/>
          <w:szCs w:val="24"/>
          <w:lang w:val="en-US" w:eastAsia="zh-CN"/>
        </w:rPr>
      </w:pPr>
      <w:r w:rsidRPr="00FA2FF3">
        <w:rPr>
          <w:rFonts w:ascii="Book Antiqua" w:eastAsia="SimSun" w:hAnsi="Book Antiqua"/>
          <w:b/>
          <w:sz w:val="24"/>
          <w:szCs w:val="24"/>
          <w:lang w:val="en-US" w:eastAsia="zh-CN"/>
        </w:rPr>
        <w:t>Article in press:</w:t>
      </w:r>
    </w:p>
    <w:p w14:paraId="63005DAA" w14:textId="77777777" w:rsidR="00FA2FF3" w:rsidRPr="00FA2FF3" w:rsidRDefault="00FA2FF3" w:rsidP="00FA2FF3">
      <w:pPr>
        <w:snapToGrid w:val="0"/>
        <w:spacing w:after="0" w:line="360" w:lineRule="auto"/>
        <w:jc w:val="both"/>
        <w:rPr>
          <w:rFonts w:ascii="Book Antiqua" w:eastAsia="SimSun" w:hAnsi="Book Antiqua"/>
          <w:color w:val="000000"/>
          <w:sz w:val="24"/>
          <w:szCs w:val="24"/>
          <w:lang w:val="en-US" w:eastAsia="zh-CN"/>
        </w:rPr>
      </w:pPr>
      <w:r w:rsidRPr="00FA2FF3">
        <w:rPr>
          <w:rFonts w:ascii="Book Antiqua" w:eastAsia="SimSun" w:hAnsi="Book Antiqua"/>
          <w:b/>
          <w:sz w:val="24"/>
          <w:szCs w:val="24"/>
          <w:lang w:val="en-US" w:eastAsia="zh-CN"/>
        </w:rPr>
        <w:t>Published online:</w:t>
      </w:r>
      <w:bookmarkEnd w:id="40"/>
      <w:bookmarkEnd w:id="41"/>
      <w:bookmarkEnd w:id="42"/>
    </w:p>
    <w:bookmarkEnd w:id="43"/>
    <w:bookmarkEnd w:id="44"/>
    <w:bookmarkEnd w:id="45"/>
    <w:bookmarkEnd w:id="46"/>
    <w:bookmarkEnd w:id="47"/>
    <w:p w14:paraId="2C36B149" w14:textId="20163660" w:rsidR="00FA2FF3" w:rsidRPr="00D5385E" w:rsidRDefault="00FA2FF3" w:rsidP="00FA2FF3">
      <w:pPr>
        <w:autoSpaceDE w:val="0"/>
        <w:autoSpaceDN w:val="0"/>
        <w:adjustRightInd w:val="0"/>
        <w:snapToGrid w:val="0"/>
        <w:spacing w:after="0" w:line="360" w:lineRule="auto"/>
        <w:jc w:val="both"/>
        <w:rPr>
          <w:rFonts w:ascii="Book Antiqua" w:eastAsiaTheme="minorHAnsi" w:hAnsi="Book Antiqua" w:cs="Arial"/>
          <w:b/>
          <w:color w:val="000000" w:themeColor="text1"/>
          <w:sz w:val="24"/>
          <w:szCs w:val="24"/>
          <w:lang w:val="en-US"/>
        </w:rPr>
      </w:pPr>
      <w:r w:rsidRPr="00FA2FF3">
        <w:rPr>
          <w:rFonts w:ascii="Book Antiqua" w:eastAsia="SimSun" w:hAnsi="Book Antiqua"/>
          <w:sz w:val="24"/>
          <w:szCs w:val="24"/>
          <w:lang w:val="en-US" w:eastAsia="zh-CN"/>
        </w:rPr>
        <w:br w:type="page"/>
      </w:r>
    </w:p>
    <w:p w14:paraId="43CC2C2C" w14:textId="5DCDEE0C" w:rsidR="000B6727" w:rsidRPr="00FA2FF3" w:rsidRDefault="007F406E"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b/>
          <w:color w:val="000000" w:themeColor="text1"/>
          <w:sz w:val="24"/>
          <w:szCs w:val="24"/>
          <w:lang w:val="en-US"/>
        </w:rPr>
        <w:lastRenderedPageBreak/>
        <w:t>Abstract</w:t>
      </w:r>
    </w:p>
    <w:p w14:paraId="20F51C01" w14:textId="169A25A8" w:rsidR="007F406E" w:rsidRPr="00D5385E" w:rsidRDefault="00061AAE"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color w:val="000000" w:themeColor="text1"/>
          <w:sz w:val="24"/>
          <w:szCs w:val="24"/>
          <w:lang w:val="en-US"/>
        </w:rPr>
        <w:t>High</w:t>
      </w:r>
      <w:r w:rsidR="000A1048">
        <w:rPr>
          <w:rFonts w:ascii="Book Antiqua" w:hAnsi="Book Antiqua"/>
          <w:color w:val="000000" w:themeColor="text1"/>
          <w:sz w:val="24"/>
          <w:szCs w:val="24"/>
          <w:lang w:val="en-US"/>
        </w:rPr>
        <w:t>-</w:t>
      </w:r>
      <w:r w:rsidRPr="00D5385E">
        <w:rPr>
          <w:rFonts w:ascii="Book Antiqua" w:hAnsi="Book Antiqua"/>
          <w:color w:val="000000" w:themeColor="text1"/>
          <w:sz w:val="24"/>
          <w:szCs w:val="24"/>
          <w:lang w:val="en-US"/>
        </w:rPr>
        <w:t xml:space="preserve">quality data remains scarce in terms of optimal management strategies in the elderly </w:t>
      </w:r>
      <w:r w:rsidR="000A1048" w:rsidRPr="00D5385E">
        <w:rPr>
          <w:rFonts w:ascii="Book Antiqua" w:hAnsi="Book Antiqua"/>
          <w:color w:val="000000" w:themeColor="text1"/>
          <w:sz w:val="24"/>
          <w:szCs w:val="24"/>
          <w:lang w:val="en-US"/>
        </w:rPr>
        <w:t>inflammatory bowel disease</w:t>
      </w:r>
      <w:r w:rsidR="00B41BC6" w:rsidRPr="00D5385E">
        <w:rPr>
          <w:rFonts w:ascii="Book Antiqua" w:hAnsi="Book Antiqua"/>
          <w:color w:val="000000" w:themeColor="text1"/>
          <w:sz w:val="24"/>
          <w:szCs w:val="24"/>
          <w:lang w:val="en-US"/>
        </w:rPr>
        <w:t xml:space="preserve"> (IBD) </w:t>
      </w:r>
      <w:r w:rsidRPr="00D5385E">
        <w:rPr>
          <w:rFonts w:ascii="Book Antiqua" w:hAnsi="Book Antiqua"/>
          <w:color w:val="000000" w:themeColor="text1"/>
          <w:sz w:val="24"/>
          <w:szCs w:val="24"/>
          <w:lang w:val="en-US"/>
        </w:rPr>
        <w:t xml:space="preserve">population. Indeed, available trials have been mostly retrospective, of small sample size, </w:t>
      </w:r>
      <w:r w:rsidR="004D2398" w:rsidRPr="00D5385E">
        <w:rPr>
          <w:rFonts w:ascii="Book Antiqua" w:hAnsi="Book Antiqua"/>
          <w:color w:val="000000" w:themeColor="text1"/>
          <w:sz w:val="24"/>
          <w:szCs w:val="24"/>
          <w:lang w:val="en-US"/>
        </w:rPr>
        <w:t xml:space="preserve">likely </w:t>
      </w:r>
      <w:r w:rsidRPr="00D5385E">
        <w:rPr>
          <w:rFonts w:ascii="Book Antiqua" w:hAnsi="Book Antiqua"/>
          <w:color w:val="000000" w:themeColor="text1"/>
          <w:sz w:val="24"/>
          <w:szCs w:val="24"/>
          <w:lang w:val="en-US"/>
        </w:rPr>
        <w:t>owing to under</w:t>
      </w:r>
      <w:r w:rsidR="000A1048">
        <w:rPr>
          <w:rFonts w:ascii="Book Antiqua" w:hAnsi="Book Antiqua"/>
          <w:color w:val="000000" w:themeColor="text1"/>
          <w:sz w:val="24"/>
          <w:szCs w:val="24"/>
          <w:lang w:val="en-US"/>
        </w:rPr>
        <w:t>-</w:t>
      </w:r>
      <w:r w:rsidRPr="00D5385E">
        <w:rPr>
          <w:rFonts w:ascii="Book Antiqua" w:hAnsi="Book Antiqua"/>
          <w:color w:val="000000" w:themeColor="text1"/>
          <w:sz w:val="24"/>
          <w:szCs w:val="24"/>
          <w:lang w:val="en-US"/>
        </w:rPr>
        <w:t>representation of such a population in the major randomized controlled trials.</w:t>
      </w:r>
      <w:r w:rsidR="004D2398" w:rsidRPr="00D5385E">
        <w:rPr>
          <w:rFonts w:ascii="Book Antiqua" w:hAnsi="Book Antiqua"/>
          <w:color w:val="000000" w:themeColor="text1"/>
          <w:sz w:val="24"/>
          <w:szCs w:val="24"/>
          <w:lang w:val="en-US"/>
        </w:rPr>
        <w:t xml:space="preserve"> However, in the last five years, there has been a steady increase in the number of published trials, helping clarify the estimated benefits and toxicity of the existing IBD armamentarium</w:t>
      </w:r>
      <w:r w:rsidR="00F46E8C" w:rsidRPr="00D5385E">
        <w:rPr>
          <w:rFonts w:ascii="Book Antiqua" w:hAnsi="Book Antiqua"/>
          <w:color w:val="000000" w:themeColor="text1"/>
          <w:sz w:val="24"/>
          <w:szCs w:val="24"/>
          <w:lang w:val="en-US"/>
        </w:rPr>
        <w:t xml:space="preserve">. In the </w:t>
      </w:r>
      <w:proofErr w:type="spellStart"/>
      <w:r w:rsidR="00F46E8C" w:rsidRPr="00D5385E">
        <w:rPr>
          <w:rFonts w:ascii="Book Antiqua" w:hAnsi="Book Antiqua"/>
          <w:color w:val="000000" w:themeColor="text1"/>
          <w:sz w:val="24"/>
          <w:szCs w:val="24"/>
          <w:lang w:val="en-US"/>
        </w:rPr>
        <w:t>Everhov</w:t>
      </w:r>
      <w:proofErr w:type="spellEnd"/>
      <w:r w:rsidR="00F46E8C" w:rsidRPr="00D5385E">
        <w:rPr>
          <w:rFonts w:ascii="Book Antiqua" w:hAnsi="Book Antiqua"/>
          <w:color w:val="000000" w:themeColor="text1"/>
          <w:sz w:val="24"/>
          <w:szCs w:val="24"/>
          <w:lang w:val="en-US"/>
        </w:rPr>
        <w:t xml:space="preserve"> trial, p</w:t>
      </w:r>
      <w:r w:rsidR="00020657" w:rsidRPr="00D5385E">
        <w:rPr>
          <w:rFonts w:ascii="Book Antiqua" w:hAnsi="Book Antiqua"/>
          <w:color w:val="000000" w:themeColor="text1"/>
          <w:sz w:val="24"/>
          <w:szCs w:val="24"/>
          <w:lang w:val="en-US"/>
        </w:rPr>
        <w:t>rescription strategies were recorded over an average follow</w:t>
      </w:r>
      <w:r w:rsidR="000A1048">
        <w:rPr>
          <w:rFonts w:ascii="Book Antiqua" w:hAnsi="Book Antiqua"/>
          <w:color w:val="000000" w:themeColor="text1"/>
          <w:sz w:val="24"/>
          <w:szCs w:val="24"/>
          <w:lang w:val="en-US"/>
        </w:rPr>
        <w:t>-</w:t>
      </w:r>
      <w:r w:rsidR="00020657" w:rsidRPr="00D5385E">
        <w:rPr>
          <w:rFonts w:ascii="Book Antiqua" w:hAnsi="Book Antiqua"/>
          <w:color w:val="000000" w:themeColor="text1"/>
          <w:sz w:val="24"/>
          <w:szCs w:val="24"/>
          <w:lang w:val="en-US"/>
        </w:rPr>
        <w:t xml:space="preserve">up of 4.2 years. A minority of </w:t>
      </w:r>
      <w:r w:rsidRPr="00D5385E">
        <w:rPr>
          <w:rFonts w:ascii="Book Antiqua" w:hAnsi="Book Antiqua"/>
          <w:color w:val="000000" w:themeColor="text1"/>
          <w:sz w:val="24"/>
          <w:szCs w:val="24"/>
          <w:lang w:val="en-US"/>
        </w:rPr>
        <w:t>elderly</w:t>
      </w:r>
      <w:r w:rsidR="004D2398" w:rsidRPr="00D5385E">
        <w:rPr>
          <w:rFonts w:ascii="Book Antiqua" w:hAnsi="Book Antiqua"/>
          <w:color w:val="000000" w:themeColor="text1"/>
          <w:sz w:val="24"/>
          <w:szCs w:val="24"/>
          <w:lang w:val="en-US"/>
        </w:rPr>
        <w:t xml:space="preserve"> IBD</w:t>
      </w:r>
      <w:r w:rsidRPr="00D5385E">
        <w:rPr>
          <w:rFonts w:ascii="Book Antiqua" w:hAnsi="Book Antiqua"/>
          <w:color w:val="000000" w:themeColor="text1"/>
          <w:sz w:val="24"/>
          <w:szCs w:val="24"/>
          <w:lang w:val="en-US"/>
        </w:rPr>
        <w:t xml:space="preserve"> </w:t>
      </w:r>
      <w:r w:rsidR="00020657" w:rsidRPr="00D5385E">
        <w:rPr>
          <w:rFonts w:ascii="Book Antiqua" w:hAnsi="Book Antiqua"/>
          <w:color w:val="000000" w:themeColor="text1"/>
          <w:sz w:val="24"/>
          <w:szCs w:val="24"/>
          <w:lang w:val="en-US"/>
        </w:rPr>
        <w:t>patients (1</w:t>
      </w:r>
      <w:r w:rsidR="000A1048">
        <w:rPr>
          <w:rFonts w:ascii="Book Antiqua" w:hAnsi="Book Antiqua"/>
          <w:color w:val="000000" w:themeColor="text1"/>
          <w:sz w:val="24"/>
          <w:szCs w:val="24"/>
          <w:lang w:val="en-US"/>
        </w:rPr>
        <w:t>%-</w:t>
      </w:r>
      <w:r w:rsidR="00020657" w:rsidRPr="00D5385E">
        <w:rPr>
          <w:rFonts w:ascii="Book Antiqua" w:hAnsi="Book Antiqua"/>
          <w:color w:val="000000" w:themeColor="text1"/>
          <w:sz w:val="24"/>
          <w:szCs w:val="24"/>
          <w:lang w:val="en-US"/>
        </w:rPr>
        <w:t xml:space="preserve">3%) </w:t>
      </w:r>
      <w:r w:rsidR="00CD75A3" w:rsidRPr="00D5385E">
        <w:rPr>
          <w:rFonts w:ascii="Book Antiqua" w:hAnsi="Book Antiqua"/>
          <w:color w:val="000000" w:themeColor="text1"/>
          <w:sz w:val="24"/>
          <w:szCs w:val="24"/>
          <w:lang w:val="en-US"/>
        </w:rPr>
        <w:t xml:space="preserve">were treated with </w:t>
      </w:r>
      <w:r w:rsidRPr="00D5385E">
        <w:rPr>
          <w:rFonts w:ascii="Book Antiqua" w:hAnsi="Book Antiqua"/>
          <w:color w:val="000000" w:themeColor="text1"/>
          <w:sz w:val="24"/>
          <w:szCs w:val="24"/>
          <w:lang w:val="en-US"/>
        </w:rPr>
        <w:t>biologics within the five year</w:t>
      </w:r>
      <w:r w:rsidR="004D2398" w:rsidRPr="00D5385E">
        <w:rPr>
          <w:rFonts w:ascii="Book Antiqua" w:hAnsi="Book Antiqua"/>
          <w:color w:val="000000" w:themeColor="text1"/>
          <w:sz w:val="24"/>
          <w:szCs w:val="24"/>
          <w:lang w:val="en-US"/>
        </w:rPr>
        <w:t>s</w:t>
      </w:r>
      <w:r w:rsidRPr="00D5385E">
        <w:rPr>
          <w:rFonts w:ascii="Book Antiqua" w:hAnsi="Book Antiqua"/>
          <w:color w:val="000000" w:themeColor="text1"/>
          <w:sz w:val="24"/>
          <w:szCs w:val="24"/>
          <w:lang w:val="en-US"/>
        </w:rPr>
        <w:t xml:space="preserve"> following diagnosis, whilst almost a quarter of these patient</w:t>
      </w:r>
      <w:r w:rsidR="004D2398" w:rsidRPr="00D5385E">
        <w:rPr>
          <w:rFonts w:ascii="Book Antiqua" w:hAnsi="Book Antiqua"/>
          <w:color w:val="000000" w:themeColor="text1"/>
          <w:sz w:val="24"/>
          <w:szCs w:val="24"/>
          <w:lang w:val="en-US"/>
        </w:rPr>
        <w:t>s were receiving corticosteroid therapy</w:t>
      </w:r>
      <w:r w:rsidRPr="00D5385E">
        <w:rPr>
          <w:rFonts w:ascii="Book Antiqua" w:hAnsi="Book Antiqua"/>
          <w:color w:val="000000" w:themeColor="text1"/>
          <w:sz w:val="24"/>
          <w:szCs w:val="24"/>
          <w:lang w:val="en-US"/>
        </w:rPr>
        <w:t xml:space="preserve"> at year five of follow</w:t>
      </w:r>
      <w:r w:rsidR="000A1048">
        <w:rPr>
          <w:rFonts w:ascii="Book Antiqua" w:hAnsi="Book Antiqua"/>
          <w:color w:val="000000" w:themeColor="text1"/>
          <w:sz w:val="24"/>
          <w:szCs w:val="24"/>
          <w:lang w:val="en-US"/>
        </w:rPr>
        <w:t>-</w:t>
      </w:r>
      <w:r w:rsidRPr="00D5385E">
        <w:rPr>
          <w:rFonts w:ascii="Book Antiqua" w:hAnsi="Book Antiqua"/>
          <w:color w:val="000000" w:themeColor="text1"/>
          <w:sz w:val="24"/>
          <w:szCs w:val="24"/>
          <w:lang w:val="en-US"/>
        </w:rPr>
        <w:t>up</w:t>
      </w:r>
      <w:r w:rsidR="004D2398" w:rsidRPr="00D5385E">
        <w:rPr>
          <w:rFonts w:ascii="Book Antiqua" w:hAnsi="Book Antiqua"/>
          <w:color w:val="000000" w:themeColor="text1"/>
          <w:sz w:val="24"/>
          <w:szCs w:val="24"/>
          <w:lang w:val="en-US"/>
        </w:rPr>
        <w:t xml:space="preserve">, despite its multiple toxicities. </w:t>
      </w:r>
      <w:r w:rsidR="00025BCE" w:rsidRPr="00D5385E">
        <w:rPr>
          <w:rFonts w:ascii="Book Antiqua" w:hAnsi="Book Antiqua"/>
          <w:color w:val="000000" w:themeColor="text1"/>
          <w:sz w:val="24"/>
          <w:szCs w:val="24"/>
          <w:lang w:val="en-US"/>
        </w:rPr>
        <w:t>The low use of biologic agents in real</w:t>
      </w:r>
      <w:r w:rsidR="000A1048">
        <w:rPr>
          <w:rFonts w:ascii="Book Antiqua" w:hAnsi="Book Antiqua"/>
          <w:color w:val="000000" w:themeColor="text1"/>
          <w:sz w:val="24"/>
          <w:szCs w:val="24"/>
          <w:lang w:val="en-US"/>
        </w:rPr>
        <w:t>-</w:t>
      </w:r>
      <w:r w:rsidR="00025BCE" w:rsidRPr="00D5385E">
        <w:rPr>
          <w:rFonts w:ascii="Book Antiqua" w:hAnsi="Book Antiqua"/>
          <w:color w:val="000000" w:themeColor="text1"/>
          <w:sz w:val="24"/>
          <w:szCs w:val="24"/>
          <w:lang w:val="en-US"/>
        </w:rPr>
        <w:t xml:space="preserve">life settings likely stems from limited data suggesting lower efficacy and higher toxicity. </w:t>
      </w:r>
      <w:r w:rsidR="004D2398" w:rsidRPr="00D5385E">
        <w:rPr>
          <w:rFonts w:ascii="Book Antiqua" w:hAnsi="Book Antiqua"/>
          <w:color w:val="000000" w:themeColor="text1"/>
          <w:sz w:val="24"/>
          <w:szCs w:val="24"/>
          <w:lang w:val="en-US"/>
        </w:rPr>
        <w:t xml:space="preserve">This minireview will </w:t>
      </w:r>
      <w:r w:rsidR="00CD75A3" w:rsidRPr="00D5385E">
        <w:rPr>
          <w:rFonts w:ascii="Book Antiqua" w:hAnsi="Book Antiqua"/>
          <w:color w:val="000000" w:themeColor="text1"/>
          <w:sz w:val="24"/>
          <w:szCs w:val="24"/>
          <w:lang w:val="en-US"/>
        </w:rPr>
        <w:t xml:space="preserve">aim to highlight current outcome measurements as it portends the elderly IBD patient, as well as </w:t>
      </w:r>
      <w:r w:rsidR="004D2398" w:rsidRPr="00D5385E">
        <w:rPr>
          <w:rFonts w:ascii="Book Antiqua" w:hAnsi="Book Antiqua"/>
          <w:color w:val="000000" w:themeColor="text1"/>
          <w:sz w:val="24"/>
          <w:szCs w:val="24"/>
          <w:lang w:val="en-US"/>
        </w:rPr>
        <w:t>summa</w:t>
      </w:r>
      <w:r w:rsidR="00CD75A3" w:rsidRPr="00D5385E">
        <w:rPr>
          <w:rFonts w:ascii="Book Antiqua" w:hAnsi="Book Antiqua"/>
          <w:color w:val="000000" w:themeColor="text1"/>
          <w:sz w:val="24"/>
          <w:szCs w:val="24"/>
          <w:lang w:val="en-US"/>
        </w:rPr>
        <w:t>rize the available therapeutic strategies in view of a growing body of evidence.</w:t>
      </w:r>
      <w:r w:rsidR="008C712B">
        <w:rPr>
          <w:rFonts w:ascii="Book Antiqua" w:hAnsi="Book Antiqua"/>
          <w:color w:val="000000" w:themeColor="text1"/>
          <w:sz w:val="24"/>
          <w:szCs w:val="24"/>
          <w:lang w:val="en-US"/>
        </w:rPr>
        <w:t xml:space="preserve"> </w:t>
      </w:r>
    </w:p>
    <w:p w14:paraId="76402947" w14:textId="77777777" w:rsidR="007F406E" w:rsidRPr="00D5385E" w:rsidRDefault="007F406E" w:rsidP="00D5385E">
      <w:pPr>
        <w:adjustRightInd w:val="0"/>
        <w:snapToGrid w:val="0"/>
        <w:spacing w:after="0" w:line="360" w:lineRule="auto"/>
        <w:jc w:val="both"/>
        <w:rPr>
          <w:rFonts w:ascii="Book Antiqua" w:hAnsi="Book Antiqua"/>
          <w:color w:val="000000" w:themeColor="text1"/>
          <w:sz w:val="24"/>
          <w:szCs w:val="24"/>
          <w:lang w:val="en-US"/>
        </w:rPr>
      </w:pPr>
    </w:p>
    <w:p w14:paraId="167C7D9C" w14:textId="1C6F777A" w:rsidR="007F406E" w:rsidRPr="00D5385E" w:rsidRDefault="007F406E"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b/>
          <w:color w:val="000000" w:themeColor="text1"/>
          <w:sz w:val="24"/>
          <w:szCs w:val="24"/>
          <w:lang w:val="en-US"/>
        </w:rPr>
        <w:t xml:space="preserve">Key words: </w:t>
      </w:r>
      <w:r w:rsidRPr="00D5385E">
        <w:rPr>
          <w:rFonts w:ascii="Book Antiqua" w:hAnsi="Book Antiqua"/>
          <w:color w:val="000000" w:themeColor="text1"/>
          <w:sz w:val="24"/>
          <w:szCs w:val="24"/>
          <w:lang w:val="en-US"/>
        </w:rPr>
        <w:t>Inflammator</w:t>
      </w:r>
      <w:r w:rsidR="000A1048" w:rsidRPr="00D5385E">
        <w:rPr>
          <w:rFonts w:ascii="Book Antiqua" w:hAnsi="Book Antiqua"/>
          <w:color w:val="000000" w:themeColor="text1"/>
          <w:sz w:val="24"/>
          <w:szCs w:val="24"/>
          <w:lang w:val="en-US"/>
        </w:rPr>
        <w:t>y bowel diseas</w:t>
      </w:r>
      <w:r w:rsidRPr="00D5385E">
        <w:rPr>
          <w:rFonts w:ascii="Book Antiqua" w:hAnsi="Book Antiqua"/>
          <w:color w:val="000000" w:themeColor="text1"/>
          <w:sz w:val="24"/>
          <w:szCs w:val="24"/>
          <w:lang w:val="en-US"/>
        </w:rPr>
        <w:t>e; Elderly; Outcomes;</w:t>
      </w:r>
      <w:r w:rsidR="00EA6296" w:rsidRPr="00D5385E">
        <w:rPr>
          <w:rFonts w:ascii="Book Antiqua" w:hAnsi="Book Antiqua"/>
          <w:color w:val="000000" w:themeColor="text1"/>
          <w:sz w:val="24"/>
          <w:szCs w:val="24"/>
          <w:lang w:val="en-US"/>
        </w:rPr>
        <w:t xml:space="preserve"> Glucocorticoids;</w:t>
      </w:r>
      <w:r w:rsidRPr="00D5385E">
        <w:rPr>
          <w:rFonts w:ascii="Book Antiqua" w:hAnsi="Book Antiqua"/>
          <w:color w:val="000000" w:themeColor="text1"/>
          <w:sz w:val="24"/>
          <w:szCs w:val="24"/>
          <w:lang w:val="en-US"/>
        </w:rPr>
        <w:t xml:space="preserve"> Biologic</w:t>
      </w:r>
      <w:r w:rsidR="00EA6296" w:rsidRPr="00D5385E">
        <w:rPr>
          <w:rFonts w:ascii="Book Antiqua" w:hAnsi="Book Antiqua"/>
          <w:color w:val="000000" w:themeColor="text1"/>
          <w:sz w:val="24"/>
          <w:szCs w:val="24"/>
          <w:lang w:val="en-US"/>
        </w:rPr>
        <w:t>al</w:t>
      </w:r>
      <w:r w:rsidRPr="00D5385E">
        <w:rPr>
          <w:rFonts w:ascii="Book Antiqua" w:hAnsi="Book Antiqua"/>
          <w:color w:val="000000" w:themeColor="text1"/>
          <w:sz w:val="24"/>
          <w:szCs w:val="24"/>
          <w:lang w:val="en-US"/>
        </w:rPr>
        <w:t xml:space="preserve"> therapy</w:t>
      </w:r>
      <w:r w:rsidR="00EA6296" w:rsidRPr="00D5385E">
        <w:rPr>
          <w:rFonts w:ascii="Book Antiqua" w:hAnsi="Book Antiqua"/>
          <w:color w:val="000000" w:themeColor="text1"/>
          <w:sz w:val="24"/>
          <w:szCs w:val="24"/>
          <w:lang w:val="en-US"/>
        </w:rPr>
        <w:t>; Surgery</w:t>
      </w:r>
    </w:p>
    <w:p w14:paraId="40EB840B" w14:textId="77777777" w:rsidR="007F406E" w:rsidRPr="00D5385E" w:rsidRDefault="007F406E" w:rsidP="00D5385E">
      <w:pPr>
        <w:adjustRightInd w:val="0"/>
        <w:snapToGrid w:val="0"/>
        <w:spacing w:after="0" w:line="360" w:lineRule="auto"/>
        <w:jc w:val="both"/>
        <w:rPr>
          <w:rFonts w:ascii="Book Antiqua" w:hAnsi="Book Antiqua"/>
          <w:b/>
          <w:color w:val="000000" w:themeColor="text1"/>
          <w:sz w:val="24"/>
          <w:szCs w:val="24"/>
          <w:lang w:val="en-US"/>
        </w:rPr>
      </w:pPr>
    </w:p>
    <w:p w14:paraId="26356095" w14:textId="50153BB1" w:rsidR="007F406E" w:rsidRPr="00D5385E" w:rsidRDefault="000A1048" w:rsidP="00D5385E">
      <w:pPr>
        <w:adjustRightInd w:val="0"/>
        <w:snapToGrid w:val="0"/>
        <w:spacing w:after="0" w:line="360" w:lineRule="auto"/>
        <w:jc w:val="both"/>
        <w:rPr>
          <w:rFonts w:ascii="Book Antiqua" w:hAnsi="Book Antiqua"/>
          <w:b/>
          <w:color w:val="000000" w:themeColor="text1"/>
          <w:sz w:val="24"/>
          <w:szCs w:val="24"/>
          <w:lang w:val="en-US"/>
        </w:rPr>
      </w:pPr>
      <w:bookmarkStart w:id="50" w:name="OLE_LINK43"/>
      <w:bookmarkStart w:id="51" w:name="OLE_LINK44"/>
      <w:bookmarkStart w:id="52" w:name="OLE_LINK67"/>
      <w:r w:rsidRPr="000A1048">
        <w:rPr>
          <w:rFonts w:ascii="Book Antiqua" w:eastAsia="SimSun" w:hAnsi="Book Antiqua"/>
          <w:b/>
          <w:sz w:val="24"/>
          <w:szCs w:val="24"/>
          <w:lang w:val="en-US" w:eastAsia="zh-CN"/>
        </w:rPr>
        <w:t>© The Author(s) 201</w:t>
      </w:r>
      <w:r w:rsidRPr="000A1048">
        <w:rPr>
          <w:rFonts w:ascii="Book Antiqua" w:eastAsia="SimSun" w:hAnsi="Book Antiqua" w:hint="eastAsia"/>
          <w:b/>
          <w:sz w:val="24"/>
          <w:szCs w:val="24"/>
          <w:lang w:val="en-US" w:eastAsia="zh-CN"/>
        </w:rPr>
        <w:t>9</w:t>
      </w:r>
      <w:r w:rsidRPr="000A1048">
        <w:rPr>
          <w:rFonts w:ascii="Book Antiqua" w:eastAsia="SimSun" w:hAnsi="Book Antiqua"/>
          <w:b/>
          <w:sz w:val="24"/>
          <w:szCs w:val="24"/>
          <w:lang w:val="en-US" w:eastAsia="zh-CN"/>
        </w:rPr>
        <w:t xml:space="preserve">. </w:t>
      </w:r>
      <w:r w:rsidRPr="000A1048">
        <w:rPr>
          <w:rFonts w:ascii="Book Antiqua" w:eastAsia="SimSun" w:hAnsi="Book Antiqua"/>
          <w:sz w:val="24"/>
          <w:szCs w:val="24"/>
          <w:lang w:val="en-US" w:eastAsia="zh-CN"/>
        </w:rPr>
        <w:t xml:space="preserve">Published by </w:t>
      </w:r>
      <w:proofErr w:type="spellStart"/>
      <w:r w:rsidRPr="000A1048">
        <w:rPr>
          <w:rFonts w:ascii="Book Antiqua" w:eastAsia="SimSun" w:hAnsi="Book Antiqua"/>
          <w:sz w:val="24"/>
          <w:szCs w:val="24"/>
          <w:lang w:val="en-US" w:eastAsia="zh-CN"/>
        </w:rPr>
        <w:t>Baishideng</w:t>
      </w:r>
      <w:proofErr w:type="spellEnd"/>
      <w:r w:rsidRPr="000A1048">
        <w:rPr>
          <w:rFonts w:ascii="Book Antiqua" w:eastAsia="SimSun" w:hAnsi="Book Antiqua"/>
          <w:sz w:val="24"/>
          <w:szCs w:val="24"/>
          <w:lang w:val="en-US" w:eastAsia="zh-CN"/>
        </w:rPr>
        <w:t xml:space="preserve"> Publishing Group Inc. All rights reserved.</w:t>
      </w:r>
      <w:bookmarkEnd w:id="50"/>
      <w:bookmarkEnd w:id="51"/>
      <w:bookmarkEnd w:id="52"/>
    </w:p>
    <w:p w14:paraId="68C6EBA6" w14:textId="77777777" w:rsidR="007F406E" w:rsidRPr="00D5385E" w:rsidRDefault="007F406E" w:rsidP="00D5385E">
      <w:pPr>
        <w:adjustRightInd w:val="0"/>
        <w:snapToGrid w:val="0"/>
        <w:spacing w:after="0" w:line="360" w:lineRule="auto"/>
        <w:jc w:val="both"/>
        <w:rPr>
          <w:rFonts w:ascii="Book Antiqua" w:hAnsi="Book Antiqua"/>
          <w:color w:val="000000" w:themeColor="text1"/>
          <w:sz w:val="24"/>
          <w:szCs w:val="24"/>
          <w:lang w:val="en-US"/>
        </w:rPr>
      </w:pPr>
    </w:p>
    <w:p w14:paraId="097D2AAC" w14:textId="51A1C158" w:rsidR="000B6727" w:rsidRPr="00D5385E" w:rsidRDefault="007F406E" w:rsidP="00D5385E">
      <w:pPr>
        <w:adjustRightInd w:val="0"/>
        <w:snapToGrid w:val="0"/>
        <w:spacing w:after="0" w:line="360" w:lineRule="auto"/>
        <w:jc w:val="both"/>
        <w:rPr>
          <w:rFonts w:ascii="Book Antiqua" w:hAnsi="Book Antiqua"/>
          <w:color w:val="000000" w:themeColor="text1"/>
          <w:sz w:val="24"/>
          <w:szCs w:val="24"/>
          <w:lang w:val="en-US"/>
        </w:rPr>
      </w:pPr>
      <w:r w:rsidRPr="00D5385E">
        <w:rPr>
          <w:rFonts w:ascii="Book Antiqua" w:hAnsi="Book Antiqua"/>
          <w:b/>
          <w:color w:val="000000" w:themeColor="text1"/>
          <w:sz w:val="24"/>
          <w:szCs w:val="24"/>
          <w:lang w:val="en-US"/>
        </w:rPr>
        <w:t>Core tip:</w:t>
      </w:r>
      <w:r w:rsidR="00CD75A3" w:rsidRPr="00D5385E">
        <w:rPr>
          <w:rFonts w:ascii="Book Antiqua" w:hAnsi="Book Antiqua"/>
          <w:b/>
          <w:color w:val="000000" w:themeColor="text1"/>
          <w:sz w:val="24"/>
          <w:szCs w:val="24"/>
          <w:lang w:val="en-US"/>
        </w:rPr>
        <w:t xml:space="preserve"> </w:t>
      </w:r>
      <w:r w:rsidR="00940694" w:rsidRPr="00D5385E">
        <w:rPr>
          <w:rFonts w:ascii="Book Antiqua" w:hAnsi="Book Antiqua"/>
          <w:color w:val="000000" w:themeColor="text1"/>
          <w:sz w:val="24"/>
          <w:szCs w:val="24"/>
          <w:lang w:val="en-US"/>
        </w:rPr>
        <w:t xml:space="preserve">Two types of </w:t>
      </w:r>
      <w:r w:rsidR="000A1048" w:rsidRPr="00D5385E">
        <w:rPr>
          <w:rFonts w:ascii="Book Antiqua" w:hAnsi="Book Antiqua"/>
          <w:color w:val="000000" w:themeColor="text1"/>
          <w:sz w:val="24"/>
          <w:szCs w:val="24"/>
          <w:lang w:val="en-US"/>
        </w:rPr>
        <w:t xml:space="preserve">inflammatory bowel disease </w:t>
      </w:r>
      <w:r w:rsidR="00B41BC6" w:rsidRPr="00D5385E">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IBD</w:t>
      </w:r>
      <w:r w:rsidR="00B41BC6" w:rsidRPr="00D5385E">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 xml:space="preserve"> exist in the elderly (patients aged 60 or over): adult</w:t>
      </w:r>
      <w:r w:rsidR="000A1048">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 xml:space="preserve">onset </w:t>
      </w:r>
      <w:r w:rsidR="000A1048" w:rsidRPr="000A1048">
        <w:rPr>
          <w:rFonts w:ascii="Book Antiqua" w:hAnsi="Book Antiqua"/>
          <w:i/>
          <w:iCs/>
          <w:color w:val="000000" w:themeColor="text1"/>
          <w:sz w:val="24"/>
          <w:szCs w:val="24"/>
          <w:lang w:val="en-US"/>
        </w:rPr>
        <w:t>vs</w:t>
      </w:r>
      <w:r w:rsidR="00940694" w:rsidRPr="000A1048">
        <w:rPr>
          <w:rFonts w:ascii="Book Antiqua" w:hAnsi="Book Antiqua"/>
          <w:i/>
          <w:iCs/>
          <w:color w:val="000000" w:themeColor="text1"/>
          <w:sz w:val="24"/>
          <w:szCs w:val="24"/>
          <w:lang w:val="en-US"/>
        </w:rPr>
        <w:t xml:space="preserve"> </w:t>
      </w:r>
      <w:r w:rsidR="00940694" w:rsidRPr="00D5385E">
        <w:rPr>
          <w:rFonts w:ascii="Book Antiqua" w:hAnsi="Book Antiqua"/>
          <w:color w:val="000000" w:themeColor="text1"/>
          <w:sz w:val="24"/>
          <w:szCs w:val="24"/>
          <w:lang w:val="en-US"/>
        </w:rPr>
        <w:t>elderly</w:t>
      </w:r>
      <w:r w:rsidR="000A1048">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onset. Disease phenotypes, outcomes and drug regimens may change based on the type of IBD. Recently, population</w:t>
      </w:r>
      <w:r w:rsidR="000A1048">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based trials have suggested increased corticosteroid use and decreased utilization of biologic agents in the elderly IBD population compared to their younger counterparts, likely owing to the perceived high rates of infections and malignancy from anti</w:t>
      </w:r>
      <w:r w:rsidR="000A1048">
        <w:rPr>
          <w:rFonts w:ascii="Book Antiqua" w:hAnsi="Book Antiqua"/>
          <w:color w:val="000000" w:themeColor="text1"/>
          <w:sz w:val="24"/>
          <w:szCs w:val="24"/>
          <w:lang w:val="en-US"/>
        </w:rPr>
        <w:t>-</w:t>
      </w:r>
      <w:r w:rsidR="00B41BC6" w:rsidRPr="00D5385E">
        <w:rPr>
          <w:rFonts w:ascii="Book Antiqua" w:hAnsi="Book Antiqua"/>
          <w:color w:val="000000" w:themeColor="text1"/>
          <w:sz w:val="24"/>
          <w:szCs w:val="24"/>
          <w:lang w:val="en-US"/>
        </w:rPr>
        <w:t>tumor necrosis factor (</w:t>
      </w:r>
      <w:r w:rsidR="00940694" w:rsidRPr="00D5385E">
        <w:rPr>
          <w:rFonts w:ascii="Book Antiqua" w:hAnsi="Book Antiqua"/>
          <w:color w:val="000000" w:themeColor="text1"/>
          <w:sz w:val="24"/>
          <w:szCs w:val="24"/>
          <w:lang w:val="en-US"/>
        </w:rPr>
        <w:t>TNF</w:t>
      </w:r>
      <w:r w:rsidR="00B41BC6" w:rsidRPr="00D5385E">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 xml:space="preserve"> agents. </w:t>
      </w:r>
      <w:r w:rsidR="00436FBD" w:rsidRPr="00D5385E">
        <w:rPr>
          <w:rFonts w:ascii="Book Antiqua" w:hAnsi="Book Antiqua"/>
          <w:color w:val="000000" w:themeColor="text1"/>
          <w:sz w:val="24"/>
          <w:szCs w:val="24"/>
          <w:lang w:val="en-US"/>
        </w:rPr>
        <w:t xml:space="preserve">This article reviews the current available literature on the </w:t>
      </w:r>
      <w:r w:rsidR="0087414E" w:rsidRPr="00D5385E">
        <w:rPr>
          <w:rFonts w:ascii="Book Antiqua" w:hAnsi="Book Antiqua"/>
          <w:color w:val="000000" w:themeColor="text1"/>
          <w:sz w:val="24"/>
          <w:szCs w:val="24"/>
          <w:lang w:val="en-US"/>
        </w:rPr>
        <w:t xml:space="preserve">management of </w:t>
      </w:r>
      <w:r w:rsidR="0087414E" w:rsidRPr="00D5385E">
        <w:rPr>
          <w:rFonts w:ascii="Book Antiqua" w:hAnsi="Book Antiqua"/>
          <w:color w:val="000000" w:themeColor="text1"/>
          <w:sz w:val="24"/>
          <w:szCs w:val="24"/>
          <w:lang w:val="en-US"/>
        </w:rPr>
        <w:lastRenderedPageBreak/>
        <w:t>inflammatory bowel disease</w:t>
      </w:r>
      <w:r w:rsidR="00436FBD" w:rsidRPr="00D5385E">
        <w:rPr>
          <w:rFonts w:ascii="Book Antiqua" w:hAnsi="Book Antiqua"/>
          <w:color w:val="000000" w:themeColor="text1"/>
          <w:sz w:val="24"/>
          <w:szCs w:val="24"/>
          <w:lang w:val="en-US"/>
        </w:rPr>
        <w:t xml:space="preserve"> in </w:t>
      </w:r>
      <w:r w:rsidR="00242BBB" w:rsidRPr="00D5385E">
        <w:rPr>
          <w:rFonts w:ascii="Book Antiqua" w:hAnsi="Book Antiqua"/>
          <w:color w:val="000000" w:themeColor="text1"/>
          <w:sz w:val="24"/>
          <w:szCs w:val="24"/>
          <w:lang w:val="en-US"/>
        </w:rPr>
        <w:t xml:space="preserve">the elderly patients, </w:t>
      </w:r>
      <w:r w:rsidR="00940694" w:rsidRPr="00D5385E">
        <w:rPr>
          <w:rFonts w:ascii="Book Antiqua" w:hAnsi="Book Antiqua"/>
          <w:color w:val="000000" w:themeColor="text1"/>
          <w:sz w:val="24"/>
          <w:szCs w:val="24"/>
          <w:lang w:val="en-US"/>
        </w:rPr>
        <w:t>including anti</w:t>
      </w:r>
      <w:r w:rsidR="000A1048">
        <w:rPr>
          <w:rFonts w:ascii="Book Antiqua" w:hAnsi="Book Antiqua"/>
          <w:color w:val="000000" w:themeColor="text1"/>
          <w:sz w:val="24"/>
          <w:szCs w:val="24"/>
          <w:lang w:val="en-US"/>
        </w:rPr>
        <w:t>-</w:t>
      </w:r>
      <w:r w:rsidR="00940694" w:rsidRPr="00D5385E">
        <w:rPr>
          <w:rFonts w:ascii="Book Antiqua" w:hAnsi="Book Antiqua"/>
          <w:color w:val="000000" w:themeColor="text1"/>
          <w:sz w:val="24"/>
          <w:szCs w:val="24"/>
          <w:lang w:val="en-US"/>
        </w:rPr>
        <w:t xml:space="preserve">TNF agents, </w:t>
      </w:r>
      <w:r w:rsidR="00C37B30" w:rsidRPr="00D5385E">
        <w:rPr>
          <w:rFonts w:ascii="Book Antiqua" w:hAnsi="Book Antiqua"/>
          <w:color w:val="000000" w:themeColor="text1"/>
          <w:sz w:val="24"/>
          <w:szCs w:val="24"/>
          <w:lang w:val="en-US"/>
        </w:rPr>
        <w:t>anti</w:t>
      </w:r>
      <w:r w:rsidR="000A1048">
        <w:rPr>
          <w:rFonts w:ascii="Book Antiqua" w:hAnsi="Book Antiqua"/>
          <w:color w:val="000000" w:themeColor="text1"/>
          <w:sz w:val="24"/>
          <w:szCs w:val="24"/>
          <w:lang w:val="en-US"/>
        </w:rPr>
        <w:t>-</w:t>
      </w:r>
      <w:r w:rsidR="00C37B30" w:rsidRPr="00D5385E">
        <w:rPr>
          <w:rFonts w:ascii="Book Antiqua" w:hAnsi="Book Antiqua"/>
          <w:color w:val="000000" w:themeColor="text1"/>
          <w:sz w:val="24"/>
          <w:szCs w:val="24"/>
          <w:lang w:val="en-US"/>
        </w:rPr>
        <w:t>integrin molecules</w:t>
      </w:r>
      <w:r w:rsidR="00940694" w:rsidRPr="00D5385E">
        <w:rPr>
          <w:rFonts w:ascii="Book Antiqua" w:hAnsi="Book Antiqua"/>
          <w:color w:val="000000" w:themeColor="text1"/>
          <w:sz w:val="24"/>
          <w:szCs w:val="24"/>
          <w:lang w:val="en-US"/>
        </w:rPr>
        <w:t xml:space="preserve">, </w:t>
      </w:r>
      <w:r w:rsidR="00C37B30" w:rsidRPr="00D5385E">
        <w:rPr>
          <w:rFonts w:ascii="Book Antiqua" w:hAnsi="Book Antiqua"/>
          <w:color w:val="000000" w:themeColor="text1"/>
          <w:sz w:val="24"/>
          <w:szCs w:val="24"/>
          <w:lang w:val="en-US"/>
        </w:rPr>
        <w:t>anti</w:t>
      </w:r>
      <w:r w:rsidR="000A1048">
        <w:rPr>
          <w:rFonts w:ascii="Book Antiqua" w:hAnsi="Book Antiqua"/>
          <w:color w:val="000000" w:themeColor="text1"/>
          <w:sz w:val="24"/>
          <w:szCs w:val="24"/>
          <w:lang w:val="en-US"/>
        </w:rPr>
        <w:t>-</w:t>
      </w:r>
      <w:r w:rsidR="00C37B30" w:rsidRPr="00D5385E">
        <w:rPr>
          <w:rFonts w:ascii="Book Antiqua" w:hAnsi="Book Antiqua"/>
          <w:color w:val="000000" w:themeColor="text1"/>
          <w:sz w:val="24"/>
          <w:szCs w:val="24"/>
          <w:lang w:val="en-US"/>
        </w:rPr>
        <w:t>interleukin 12/23 agents</w:t>
      </w:r>
      <w:r w:rsidR="00940694" w:rsidRPr="00D5385E">
        <w:rPr>
          <w:rFonts w:ascii="Book Antiqua" w:hAnsi="Book Antiqua"/>
          <w:color w:val="000000" w:themeColor="text1"/>
          <w:sz w:val="24"/>
          <w:szCs w:val="24"/>
          <w:lang w:val="en-US"/>
        </w:rPr>
        <w:t xml:space="preserve"> </w:t>
      </w:r>
      <w:r w:rsidR="00C37B30" w:rsidRPr="00D5385E">
        <w:rPr>
          <w:rFonts w:ascii="Book Antiqua" w:hAnsi="Book Antiqua"/>
          <w:color w:val="000000" w:themeColor="text1"/>
          <w:sz w:val="24"/>
          <w:szCs w:val="24"/>
          <w:lang w:val="en-US"/>
        </w:rPr>
        <w:t>and IBD</w:t>
      </w:r>
      <w:r w:rsidR="000A1048">
        <w:rPr>
          <w:rFonts w:ascii="Book Antiqua" w:hAnsi="Book Antiqua"/>
          <w:color w:val="000000" w:themeColor="text1"/>
          <w:sz w:val="24"/>
          <w:szCs w:val="24"/>
          <w:lang w:val="en-US"/>
        </w:rPr>
        <w:t>-</w:t>
      </w:r>
      <w:r w:rsidR="00C37B30" w:rsidRPr="00D5385E">
        <w:rPr>
          <w:rFonts w:ascii="Book Antiqua" w:hAnsi="Book Antiqua"/>
          <w:color w:val="000000" w:themeColor="text1"/>
          <w:sz w:val="24"/>
          <w:szCs w:val="24"/>
          <w:lang w:val="en-US"/>
        </w:rPr>
        <w:t>related surgeries</w:t>
      </w:r>
      <w:r w:rsidR="00940694" w:rsidRPr="00D5385E">
        <w:rPr>
          <w:rFonts w:ascii="Book Antiqua" w:hAnsi="Book Antiqua"/>
          <w:color w:val="000000" w:themeColor="text1"/>
          <w:sz w:val="24"/>
          <w:szCs w:val="24"/>
          <w:lang w:val="en-US"/>
        </w:rPr>
        <w:t>.</w:t>
      </w:r>
    </w:p>
    <w:p w14:paraId="21DAC494" w14:textId="77777777" w:rsidR="00290606" w:rsidRPr="00D5385E" w:rsidRDefault="00290606" w:rsidP="00D5385E">
      <w:pPr>
        <w:adjustRightInd w:val="0"/>
        <w:snapToGrid w:val="0"/>
        <w:spacing w:after="0" w:line="360" w:lineRule="auto"/>
        <w:jc w:val="both"/>
        <w:rPr>
          <w:rFonts w:ascii="Book Antiqua" w:hAnsi="Book Antiqua" w:cs="Arial"/>
          <w:color w:val="000000" w:themeColor="text1"/>
          <w:sz w:val="24"/>
          <w:szCs w:val="24"/>
          <w:lang w:val="en-US"/>
        </w:rPr>
      </w:pPr>
    </w:p>
    <w:p w14:paraId="3CC6435E" w14:textId="05E8633D" w:rsidR="009C6ED8" w:rsidRPr="00D5385E" w:rsidRDefault="009C6ED8" w:rsidP="00D5385E">
      <w:pPr>
        <w:adjustRightInd w:val="0"/>
        <w:snapToGrid w:val="0"/>
        <w:spacing w:after="0" w:line="360" w:lineRule="auto"/>
        <w:jc w:val="both"/>
        <w:rPr>
          <w:rFonts w:ascii="Book Antiqua" w:hAnsi="Book Antiqua" w:cs="Arial"/>
          <w:color w:val="000000" w:themeColor="text1"/>
          <w:sz w:val="24"/>
          <w:szCs w:val="24"/>
          <w:lang w:val="en-US"/>
        </w:rPr>
      </w:pPr>
      <w:bookmarkStart w:id="53" w:name="OLE_LINK82"/>
      <w:bookmarkStart w:id="54" w:name="OLE_LINK83"/>
      <w:r w:rsidRPr="00D5385E">
        <w:rPr>
          <w:rFonts w:ascii="Book Antiqua" w:hAnsi="Book Antiqua" w:cs="Arial"/>
          <w:color w:val="000000" w:themeColor="text1"/>
          <w:sz w:val="24"/>
          <w:szCs w:val="24"/>
          <w:lang w:val="en-US"/>
        </w:rPr>
        <w:t xml:space="preserve">LeBlanc JF, Wiseman D, Lakatos PL, </w:t>
      </w:r>
      <w:proofErr w:type="spellStart"/>
      <w:r w:rsidRPr="00D5385E">
        <w:rPr>
          <w:rFonts w:ascii="Book Antiqua" w:hAnsi="Book Antiqua" w:cs="Arial"/>
          <w:color w:val="000000" w:themeColor="text1"/>
          <w:sz w:val="24"/>
          <w:szCs w:val="24"/>
          <w:lang w:val="en-US"/>
        </w:rPr>
        <w:t>Bessissow</w:t>
      </w:r>
      <w:proofErr w:type="spellEnd"/>
      <w:r w:rsidRPr="00D5385E">
        <w:rPr>
          <w:rFonts w:ascii="Book Antiqua" w:hAnsi="Book Antiqua" w:cs="Arial"/>
          <w:color w:val="000000" w:themeColor="text1"/>
          <w:sz w:val="24"/>
          <w:szCs w:val="24"/>
          <w:lang w:val="en-US"/>
        </w:rPr>
        <w:t xml:space="preserve"> T. </w:t>
      </w:r>
      <w:r w:rsidR="000A1048" w:rsidRPr="000A1048">
        <w:rPr>
          <w:rFonts w:ascii="Book Antiqua" w:hAnsi="Book Antiqua" w:cs="Arial"/>
          <w:color w:val="000000" w:themeColor="text1"/>
          <w:sz w:val="24"/>
          <w:szCs w:val="24"/>
          <w:lang w:val="en-US"/>
        </w:rPr>
        <w:t>Elderly patients with inflammatory bowel disease: Updated review of the therapeutic landscape</w:t>
      </w:r>
      <w:r w:rsidRPr="00D5385E">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 xml:space="preserve"> </w:t>
      </w:r>
      <w:bookmarkStart w:id="55" w:name="OLE_LINK1105"/>
      <w:bookmarkStart w:id="56" w:name="OLE_LINK1107"/>
      <w:bookmarkStart w:id="57" w:name="OLE_LINK380"/>
      <w:bookmarkStart w:id="58" w:name="OLE_LINK68"/>
      <w:r w:rsidR="000A1048" w:rsidRPr="000A1048">
        <w:rPr>
          <w:rFonts w:ascii="Book Antiqua" w:eastAsia="SimSun" w:hAnsi="Book Antiqua"/>
          <w:i/>
          <w:color w:val="000000"/>
          <w:sz w:val="24"/>
          <w:szCs w:val="24"/>
          <w:lang w:val="en-US" w:eastAsia="zh-CN"/>
        </w:rPr>
        <w:t xml:space="preserve">World J Gastroenterol </w:t>
      </w:r>
      <w:r w:rsidR="000A1048" w:rsidRPr="000A1048">
        <w:rPr>
          <w:rFonts w:ascii="Book Antiqua" w:eastAsia="SimSun" w:hAnsi="Book Antiqua"/>
          <w:color w:val="000000"/>
          <w:sz w:val="24"/>
          <w:szCs w:val="24"/>
          <w:lang w:val="en-US" w:eastAsia="zh-CN"/>
        </w:rPr>
        <w:t>2019; In press</w:t>
      </w:r>
      <w:bookmarkEnd w:id="55"/>
      <w:bookmarkEnd w:id="56"/>
      <w:bookmarkEnd w:id="57"/>
      <w:bookmarkEnd w:id="58"/>
    </w:p>
    <w:bookmarkEnd w:id="53"/>
    <w:bookmarkEnd w:id="54"/>
    <w:p w14:paraId="7B825072" w14:textId="7681F002" w:rsidR="001B2ADD" w:rsidRPr="00D5385E" w:rsidRDefault="00846151"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br w:type="page"/>
      </w:r>
      <w:r w:rsidR="001B2ADD" w:rsidRPr="00D5385E">
        <w:rPr>
          <w:rFonts w:ascii="Book Antiqua" w:hAnsi="Book Antiqua" w:cs="Arial"/>
          <w:b/>
          <w:color w:val="000000" w:themeColor="text1"/>
          <w:sz w:val="24"/>
          <w:szCs w:val="24"/>
          <w:lang w:val="en-US"/>
        </w:rPr>
        <w:lastRenderedPageBreak/>
        <w:t>INTRODUCTION</w:t>
      </w:r>
    </w:p>
    <w:p w14:paraId="4BF5DDFC" w14:textId="421234AA" w:rsidR="00F72593" w:rsidRPr="00D5385E" w:rsidRDefault="001B2ADD"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Crohn’s disease (CD) and</w:t>
      </w:r>
      <w:r w:rsidR="006D1438" w:rsidRPr="00D5385E">
        <w:rPr>
          <w:rFonts w:ascii="Book Antiqua" w:hAnsi="Book Antiqua" w:cs="Arial"/>
          <w:color w:val="000000" w:themeColor="text1"/>
          <w:sz w:val="24"/>
          <w:szCs w:val="24"/>
          <w:lang w:val="en-US"/>
        </w:rPr>
        <w:t xml:space="preserve"> ulcerative colitis </w:t>
      </w:r>
      <w:r w:rsidR="00987C7A" w:rsidRPr="00D5385E">
        <w:rPr>
          <w:rFonts w:ascii="Book Antiqua" w:hAnsi="Book Antiqua" w:cs="Arial"/>
          <w:color w:val="000000" w:themeColor="text1"/>
          <w:sz w:val="24"/>
          <w:szCs w:val="24"/>
          <w:lang w:val="en-US"/>
        </w:rPr>
        <w:t xml:space="preserve">(UC), collectively known as </w:t>
      </w:r>
      <w:r w:rsidR="006D1438" w:rsidRPr="00D5385E">
        <w:rPr>
          <w:rFonts w:ascii="Book Antiqua" w:hAnsi="Book Antiqua" w:cs="Arial"/>
          <w:color w:val="000000" w:themeColor="text1"/>
          <w:sz w:val="24"/>
          <w:szCs w:val="24"/>
          <w:lang w:val="en-US"/>
        </w:rPr>
        <w:t>inflammatory bowel diseases</w:t>
      </w:r>
      <w:r w:rsidRPr="00D5385E">
        <w:rPr>
          <w:rFonts w:ascii="Book Antiqua" w:hAnsi="Book Antiqua" w:cs="Arial"/>
          <w:color w:val="000000" w:themeColor="text1"/>
          <w:sz w:val="24"/>
          <w:szCs w:val="24"/>
          <w:lang w:val="en-US"/>
        </w:rPr>
        <w:t xml:space="preserve"> (IBD), </w:t>
      </w:r>
      <w:r w:rsidR="00172E50" w:rsidRPr="00D5385E">
        <w:rPr>
          <w:rFonts w:ascii="Book Antiqua" w:hAnsi="Book Antiqua" w:cs="Arial"/>
          <w:color w:val="000000" w:themeColor="text1"/>
          <w:sz w:val="24"/>
          <w:szCs w:val="24"/>
          <w:lang w:val="en-US"/>
        </w:rPr>
        <w:t xml:space="preserve">are </w:t>
      </w:r>
      <w:r w:rsidRPr="00D5385E">
        <w:rPr>
          <w:rFonts w:ascii="Book Antiqua" w:hAnsi="Book Antiqua" w:cs="Arial"/>
          <w:color w:val="000000" w:themeColor="text1"/>
          <w:sz w:val="24"/>
          <w:szCs w:val="24"/>
          <w:lang w:val="en-US"/>
        </w:rPr>
        <w:t xml:space="preserve">most often diagnosed in a younger age group, although </w:t>
      </w:r>
      <w:r w:rsidR="00501283" w:rsidRPr="00D5385E">
        <w:rPr>
          <w:rFonts w:ascii="Book Antiqua" w:hAnsi="Book Antiqua" w:cs="Arial"/>
          <w:color w:val="000000" w:themeColor="text1"/>
          <w:sz w:val="24"/>
          <w:szCs w:val="24"/>
          <w:lang w:val="en-US"/>
        </w:rPr>
        <w:t>they are</w:t>
      </w:r>
      <w:r w:rsidR="00172E50"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increasingly being recognized in the elderly population. </w:t>
      </w:r>
      <w:r w:rsidR="00784A20" w:rsidRPr="00D5385E">
        <w:rPr>
          <w:rFonts w:ascii="Book Antiqua" w:hAnsi="Book Antiqua" w:cs="Arial"/>
          <w:color w:val="000000" w:themeColor="text1"/>
          <w:sz w:val="24"/>
          <w:szCs w:val="24"/>
          <w:lang w:val="en-US"/>
        </w:rPr>
        <w:t xml:space="preserve">Given that IBD is a chronic illness and the longer longevity, the proportion of elderly IBD patients will only increase over time. </w:t>
      </w:r>
      <w:r w:rsidRPr="00D5385E">
        <w:rPr>
          <w:rFonts w:ascii="Book Antiqua" w:hAnsi="Book Antiqua" w:cs="Arial"/>
          <w:color w:val="000000" w:themeColor="text1"/>
          <w:sz w:val="24"/>
          <w:szCs w:val="24"/>
          <w:lang w:val="en-US"/>
        </w:rPr>
        <w:t>It is estimated that up to 25</w:t>
      </w:r>
      <w:r w:rsidR="006D1438">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30% of the IBD population are aged sixty or older, of which half were diagnosed above the age of sixty, better known as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or late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w:t>
      </w:r>
      <w:proofErr w:type="gramStart"/>
      <w:r w:rsidRPr="00D5385E">
        <w:rPr>
          <w:rFonts w:ascii="Book Antiqua" w:hAnsi="Book Antiqua" w:cs="Arial"/>
          <w:color w:val="000000" w:themeColor="text1"/>
          <w:sz w:val="24"/>
          <w:szCs w:val="24"/>
          <w:lang w:val="en-US"/>
        </w:rPr>
        <w:t>IBD</w:t>
      </w:r>
      <w:r w:rsidR="00BA32A3" w:rsidRPr="00D5385E">
        <w:rPr>
          <w:rFonts w:ascii="Book Antiqua" w:hAnsi="Book Antiqua" w:cs="Arial"/>
          <w:color w:val="000000" w:themeColor="text1"/>
          <w:sz w:val="24"/>
          <w:szCs w:val="24"/>
          <w:vertAlign w:val="superscript"/>
          <w:lang w:val="en-US"/>
        </w:rPr>
        <w:t>[</w:t>
      </w:r>
      <w:proofErr w:type="gramEnd"/>
      <w:r w:rsidRPr="00D5385E">
        <w:rPr>
          <w:rFonts w:ascii="Book Antiqua" w:hAnsi="Book Antiqua" w:cs="Arial"/>
          <w:color w:val="000000" w:themeColor="text1"/>
          <w:sz w:val="24"/>
          <w:szCs w:val="24"/>
          <w:vertAlign w:val="superscript"/>
          <w:lang w:val="en-US"/>
        </w:rPr>
        <w:t>1</w:t>
      </w:r>
      <w:r w:rsidR="00BA32A3"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Indeed,</w:t>
      </w:r>
      <w:r w:rsidR="009F206F" w:rsidRPr="00D5385E">
        <w:rPr>
          <w:rFonts w:ascii="Book Antiqua" w:hAnsi="Book Antiqua" w:cs="Arial"/>
          <w:color w:val="000000" w:themeColor="text1"/>
          <w:sz w:val="24"/>
          <w:szCs w:val="24"/>
          <w:lang w:val="en-US"/>
        </w:rPr>
        <w:t xml:space="preserve"> a Swedish population</w:t>
      </w:r>
      <w:r w:rsidR="000A1048">
        <w:rPr>
          <w:rFonts w:ascii="Book Antiqua" w:hAnsi="Book Antiqua" w:cs="Arial"/>
          <w:color w:val="000000" w:themeColor="text1"/>
          <w:sz w:val="24"/>
          <w:szCs w:val="24"/>
          <w:lang w:val="en-US"/>
        </w:rPr>
        <w:t>-</w:t>
      </w:r>
      <w:r w:rsidR="009F206F" w:rsidRPr="00D5385E">
        <w:rPr>
          <w:rFonts w:ascii="Book Antiqua" w:hAnsi="Book Antiqua" w:cs="Arial"/>
          <w:color w:val="000000" w:themeColor="text1"/>
          <w:sz w:val="24"/>
          <w:szCs w:val="24"/>
          <w:lang w:val="en-US"/>
        </w:rPr>
        <w:t>based study compiled all incident cases of IBD over a seven</w:t>
      </w:r>
      <w:r w:rsidR="000A1048">
        <w:rPr>
          <w:rFonts w:ascii="Book Antiqua" w:hAnsi="Book Antiqua" w:cs="Arial"/>
          <w:color w:val="000000" w:themeColor="text1"/>
          <w:sz w:val="24"/>
          <w:szCs w:val="24"/>
          <w:lang w:val="en-US"/>
        </w:rPr>
        <w:t>-</w:t>
      </w:r>
      <w:r w:rsidR="009F206F" w:rsidRPr="00D5385E">
        <w:rPr>
          <w:rFonts w:ascii="Book Antiqua" w:hAnsi="Book Antiqua" w:cs="Arial"/>
          <w:color w:val="000000" w:themeColor="text1"/>
          <w:sz w:val="24"/>
          <w:szCs w:val="24"/>
          <w:lang w:val="en-US"/>
        </w:rPr>
        <w:t xml:space="preserve">year period (total of 27834 patients): 23% were aged 60 or over (mean age at diagnosis of 69), which represents a sizeable proportion expected to </w:t>
      </w:r>
      <w:proofErr w:type="gramStart"/>
      <w:r w:rsidR="009F206F" w:rsidRPr="00D5385E">
        <w:rPr>
          <w:rFonts w:ascii="Book Antiqua" w:hAnsi="Book Antiqua" w:cs="Arial"/>
          <w:color w:val="000000" w:themeColor="text1"/>
          <w:sz w:val="24"/>
          <w:szCs w:val="24"/>
          <w:lang w:val="en-US"/>
        </w:rPr>
        <w:t>rise</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2]</w:t>
      </w:r>
      <w:r w:rsidR="009F206F" w:rsidRPr="00D5385E">
        <w:rPr>
          <w:rFonts w:ascii="Book Antiqua" w:hAnsi="Book Antiqua" w:cs="Arial"/>
          <w:color w:val="000000" w:themeColor="text1"/>
          <w:sz w:val="24"/>
          <w:szCs w:val="24"/>
          <w:lang w:val="en-US"/>
        </w:rPr>
        <w:t>. Indeed, i</w:t>
      </w:r>
      <w:r w:rsidRPr="00D5385E">
        <w:rPr>
          <w:rFonts w:ascii="Book Antiqua" w:hAnsi="Book Antiqua" w:cs="Arial"/>
          <w:color w:val="000000" w:themeColor="text1"/>
          <w:sz w:val="24"/>
          <w:szCs w:val="24"/>
          <w:lang w:val="en-US"/>
        </w:rPr>
        <w:t>n a Canadian observational study, prevalence of IBD in the elderly increased by 5.8% between 1999 and 2008, compared to 3.9% in the non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elderly </w:t>
      </w:r>
      <w:proofErr w:type="gramStart"/>
      <w:r w:rsidRPr="00D5385E">
        <w:rPr>
          <w:rFonts w:ascii="Book Antiqua" w:hAnsi="Book Antiqua" w:cs="Arial"/>
          <w:color w:val="000000" w:themeColor="text1"/>
          <w:sz w:val="24"/>
          <w:szCs w:val="24"/>
          <w:lang w:val="en-US"/>
        </w:rPr>
        <w:t>population</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3]</w:t>
      </w:r>
      <w:r w:rsidRPr="00D5385E">
        <w:rPr>
          <w:rFonts w:ascii="Book Antiqua" w:hAnsi="Book Antiqua" w:cs="Arial"/>
          <w:color w:val="000000" w:themeColor="text1"/>
          <w:sz w:val="24"/>
          <w:szCs w:val="24"/>
          <w:lang w:val="en-US"/>
        </w:rPr>
        <w:t xml:space="preserve">. </w:t>
      </w:r>
      <w:r w:rsidR="00172E50" w:rsidRPr="00D5385E">
        <w:rPr>
          <w:rFonts w:ascii="Book Antiqua" w:hAnsi="Book Antiqua" w:cs="Arial"/>
          <w:color w:val="000000" w:themeColor="text1"/>
          <w:sz w:val="24"/>
          <w:szCs w:val="24"/>
          <w:lang w:val="en-US"/>
        </w:rPr>
        <w:t xml:space="preserve">Definition of </w:t>
      </w:r>
      <w:r w:rsidR="002B0FD4" w:rsidRPr="00D5385E">
        <w:rPr>
          <w:rFonts w:ascii="Book Antiqua" w:hAnsi="Book Antiqua" w:cs="Arial"/>
          <w:color w:val="000000" w:themeColor="text1"/>
          <w:sz w:val="24"/>
          <w:szCs w:val="24"/>
          <w:lang w:val="en-US"/>
        </w:rPr>
        <w:t xml:space="preserve">older </w:t>
      </w:r>
      <w:r w:rsidR="00172E50" w:rsidRPr="00D5385E">
        <w:rPr>
          <w:rFonts w:ascii="Book Antiqua" w:hAnsi="Book Antiqua" w:cs="Arial"/>
          <w:color w:val="000000" w:themeColor="text1"/>
          <w:sz w:val="24"/>
          <w:szCs w:val="24"/>
          <w:lang w:val="en-US"/>
        </w:rPr>
        <w:t xml:space="preserve">age in the IBD population </w:t>
      </w:r>
      <w:r w:rsidR="002B0FD4" w:rsidRPr="00D5385E">
        <w:rPr>
          <w:rFonts w:ascii="Book Antiqua" w:hAnsi="Book Antiqua" w:cs="Arial"/>
          <w:color w:val="000000" w:themeColor="text1"/>
          <w:sz w:val="24"/>
          <w:szCs w:val="24"/>
          <w:lang w:val="en-US"/>
        </w:rPr>
        <w:t>may vary</w:t>
      </w:r>
      <w:r w:rsidR="00172E50" w:rsidRPr="00D5385E">
        <w:rPr>
          <w:rFonts w:ascii="Book Antiqua" w:hAnsi="Book Antiqua" w:cs="Arial"/>
          <w:color w:val="000000" w:themeColor="text1"/>
          <w:sz w:val="24"/>
          <w:szCs w:val="24"/>
          <w:lang w:val="en-US"/>
        </w:rPr>
        <w:t xml:space="preserve"> </w:t>
      </w:r>
      <w:r w:rsidR="002B0FD4" w:rsidRPr="00D5385E">
        <w:rPr>
          <w:rFonts w:ascii="Book Antiqua" w:hAnsi="Book Antiqua" w:cs="Arial"/>
          <w:color w:val="000000" w:themeColor="text1"/>
          <w:sz w:val="24"/>
          <w:szCs w:val="24"/>
          <w:lang w:val="en-US"/>
        </w:rPr>
        <w:t>in the medical literature, from ages 55 to 70</w:t>
      </w:r>
      <w:r w:rsidR="00987C7A" w:rsidRPr="00D5385E">
        <w:rPr>
          <w:rFonts w:ascii="Book Antiqua" w:hAnsi="Book Antiqua" w:cs="Arial"/>
          <w:color w:val="000000" w:themeColor="text1"/>
          <w:sz w:val="24"/>
          <w:szCs w:val="24"/>
          <w:lang w:val="en-US"/>
        </w:rPr>
        <w:t>. The</w:t>
      </w:r>
      <w:r w:rsidR="002B0FD4" w:rsidRPr="00D5385E">
        <w:rPr>
          <w:rFonts w:ascii="Book Antiqua" w:hAnsi="Book Antiqua" w:cs="Arial"/>
          <w:color w:val="000000" w:themeColor="text1"/>
          <w:sz w:val="24"/>
          <w:szCs w:val="24"/>
          <w:lang w:val="en-US"/>
        </w:rPr>
        <w:t xml:space="preserve"> topical review on IBD in the elderly, published by the European Crohn’s and Colitis </w:t>
      </w:r>
      <w:proofErr w:type="spellStart"/>
      <w:r w:rsidR="002B0FD4" w:rsidRPr="00D5385E">
        <w:rPr>
          <w:rFonts w:ascii="Book Antiqua" w:hAnsi="Book Antiqua" w:cs="Arial"/>
          <w:color w:val="000000" w:themeColor="text1"/>
          <w:sz w:val="24"/>
          <w:szCs w:val="24"/>
          <w:lang w:val="en-US"/>
        </w:rPr>
        <w:t>Organisation</w:t>
      </w:r>
      <w:proofErr w:type="spellEnd"/>
      <w:r w:rsidR="0003266A" w:rsidRPr="00D5385E">
        <w:rPr>
          <w:rFonts w:ascii="Book Antiqua" w:hAnsi="Book Antiqua" w:cs="Arial"/>
          <w:color w:val="000000" w:themeColor="text1"/>
          <w:sz w:val="24"/>
          <w:szCs w:val="24"/>
          <w:lang w:val="en-US"/>
        </w:rPr>
        <w:t xml:space="preserve"> in late 2016</w:t>
      </w:r>
      <w:r w:rsidR="002B0FD4" w:rsidRPr="00D5385E">
        <w:rPr>
          <w:rFonts w:ascii="Book Antiqua" w:hAnsi="Book Antiqua" w:cs="Arial"/>
          <w:color w:val="000000" w:themeColor="text1"/>
          <w:sz w:val="24"/>
          <w:szCs w:val="24"/>
          <w:lang w:val="en-US"/>
        </w:rPr>
        <w:t>, establishes the age of 60 as the most widely</w:t>
      </w:r>
      <w:r w:rsidR="000A1048">
        <w:rPr>
          <w:rFonts w:ascii="Book Antiqua" w:hAnsi="Book Antiqua" w:cs="Arial"/>
          <w:color w:val="000000" w:themeColor="text1"/>
          <w:sz w:val="24"/>
          <w:szCs w:val="24"/>
          <w:lang w:val="en-US"/>
        </w:rPr>
        <w:t>-</w:t>
      </w:r>
      <w:r w:rsidR="002B0FD4" w:rsidRPr="00D5385E">
        <w:rPr>
          <w:rFonts w:ascii="Book Antiqua" w:hAnsi="Book Antiqua" w:cs="Arial"/>
          <w:color w:val="000000" w:themeColor="text1"/>
          <w:sz w:val="24"/>
          <w:szCs w:val="24"/>
          <w:lang w:val="en-US"/>
        </w:rPr>
        <w:t xml:space="preserve">accepted </w:t>
      </w:r>
      <w:r w:rsidR="00987C7A" w:rsidRPr="00D5385E">
        <w:rPr>
          <w:rFonts w:ascii="Book Antiqua" w:hAnsi="Book Antiqua" w:cs="Arial"/>
          <w:color w:val="000000" w:themeColor="text1"/>
          <w:sz w:val="24"/>
          <w:szCs w:val="24"/>
          <w:lang w:val="en-US"/>
        </w:rPr>
        <w:t>deter</w:t>
      </w:r>
      <w:r w:rsidR="0003266A" w:rsidRPr="00D5385E">
        <w:rPr>
          <w:rFonts w:ascii="Book Antiqua" w:hAnsi="Book Antiqua" w:cs="Arial"/>
          <w:color w:val="000000" w:themeColor="text1"/>
          <w:sz w:val="24"/>
          <w:szCs w:val="24"/>
          <w:lang w:val="en-US"/>
        </w:rPr>
        <w:t xml:space="preserve">minant of elderly </w:t>
      </w:r>
      <w:proofErr w:type="gramStart"/>
      <w:r w:rsidR="0003266A" w:rsidRPr="00D5385E">
        <w:rPr>
          <w:rFonts w:ascii="Book Antiqua" w:hAnsi="Book Antiqua" w:cs="Arial"/>
          <w:color w:val="000000" w:themeColor="text1"/>
          <w:sz w:val="24"/>
          <w:szCs w:val="24"/>
          <w:lang w:val="en-US"/>
        </w:rPr>
        <w:t>age</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4]</w:t>
      </w:r>
      <w:r w:rsidR="0003266A" w:rsidRPr="00D5385E">
        <w:rPr>
          <w:rFonts w:ascii="Book Antiqua" w:hAnsi="Book Antiqua" w:cs="Arial"/>
          <w:color w:val="000000" w:themeColor="text1"/>
          <w:sz w:val="24"/>
          <w:szCs w:val="24"/>
          <w:lang w:val="en-US"/>
        </w:rPr>
        <w:t xml:space="preserve">. However, frailty assessment is believed to be a better predictor of poor </w:t>
      </w:r>
      <w:r w:rsidR="00FD6B8B" w:rsidRPr="00D5385E">
        <w:rPr>
          <w:rFonts w:ascii="Book Antiqua" w:hAnsi="Book Antiqua" w:cs="Arial"/>
          <w:color w:val="000000" w:themeColor="text1"/>
          <w:sz w:val="24"/>
          <w:szCs w:val="24"/>
          <w:lang w:val="en-US"/>
        </w:rPr>
        <w:t>IBD</w:t>
      </w:r>
      <w:r w:rsidR="000A1048">
        <w:rPr>
          <w:rFonts w:ascii="Book Antiqua" w:hAnsi="Book Antiqua" w:cs="Arial"/>
          <w:color w:val="000000" w:themeColor="text1"/>
          <w:sz w:val="24"/>
          <w:szCs w:val="24"/>
          <w:lang w:val="en-US"/>
        </w:rPr>
        <w:t>-</w:t>
      </w:r>
      <w:r w:rsidR="00FD6B8B" w:rsidRPr="00D5385E">
        <w:rPr>
          <w:rFonts w:ascii="Book Antiqua" w:hAnsi="Book Antiqua" w:cs="Arial"/>
          <w:color w:val="000000" w:themeColor="text1"/>
          <w:sz w:val="24"/>
          <w:szCs w:val="24"/>
          <w:lang w:val="en-US"/>
        </w:rPr>
        <w:t xml:space="preserve">related </w:t>
      </w:r>
      <w:r w:rsidR="0003266A" w:rsidRPr="00D5385E">
        <w:rPr>
          <w:rFonts w:ascii="Book Antiqua" w:hAnsi="Book Antiqua" w:cs="Arial"/>
          <w:color w:val="000000" w:themeColor="text1"/>
          <w:sz w:val="24"/>
          <w:szCs w:val="24"/>
          <w:lang w:val="en-US"/>
        </w:rPr>
        <w:t xml:space="preserve">outcomes, more so than chronological age alone, based on limited surgical </w:t>
      </w:r>
      <w:proofErr w:type="gramStart"/>
      <w:r w:rsidR="0003266A" w:rsidRPr="00D5385E">
        <w:rPr>
          <w:rFonts w:ascii="Book Antiqua" w:hAnsi="Book Antiqua" w:cs="Arial"/>
          <w:color w:val="000000" w:themeColor="text1"/>
          <w:sz w:val="24"/>
          <w:szCs w:val="24"/>
          <w:lang w:val="en-US"/>
        </w:rPr>
        <w:t>data</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4</w:t>
      </w:r>
      <w:r w:rsidR="000A1048">
        <w:rPr>
          <w:rFonts w:ascii="Book Antiqua" w:hAnsi="Book Antiqua" w:cs="Arial"/>
          <w:color w:val="000000" w:themeColor="text1"/>
          <w:sz w:val="24"/>
          <w:szCs w:val="24"/>
          <w:vertAlign w:val="superscript"/>
          <w:lang w:val="en-US"/>
        </w:rPr>
        <w:t>-</w:t>
      </w:r>
      <w:r w:rsidR="00BA32A3" w:rsidRPr="00D5385E">
        <w:rPr>
          <w:rFonts w:ascii="Book Antiqua" w:hAnsi="Book Antiqua" w:cs="Arial"/>
          <w:color w:val="000000" w:themeColor="text1"/>
          <w:sz w:val="24"/>
          <w:szCs w:val="24"/>
          <w:vertAlign w:val="superscript"/>
          <w:lang w:val="en-US"/>
        </w:rPr>
        <w:t>5]</w:t>
      </w:r>
      <w:r w:rsidR="0003266A" w:rsidRPr="00D5385E">
        <w:rPr>
          <w:rFonts w:ascii="Book Antiqua" w:hAnsi="Book Antiqua" w:cs="Arial"/>
          <w:color w:val="000000" w:themeColor="text1"/>
          <w:sz w:val="24"/>
          <w:szCs w:val="24"/>
          <w:lang w:val="en-US"/>
        </w:rPr>
        <w:t>.</w:t>
      </w:r>
      <w:r w:rsidR="00384CE7" w:rsidRPr="00D5385E">
        <w:rPr>
          <w:rFonts w:ascii="Book Antiqua" w:hAnsi="Book Antiqua" w:cs="Arial"/>
          <w:color w:val="000000" w:themeColor="text1"/>
          <w:sz w:val="24"/>
          <w:szCs w:val="24"/>
          <w:lang w:val="en-US"/>
        </w:rPr>
        <w:t xml:space="preserve"> </w:t>
      </w:r>
      <w:r w:rsidR="00864AC3" w:rsidRPr="00D5385E">
        <w:rPr>
          <w:rFonts w:ascii="Book Antiqua" w:hAnsi="Book Antiqua" w:cs="Arial"/>
          <w:color w:val="000000" w:themeColor="text1"/>
          <w:sz w:val="24"/>
          <w:szCs w:val="24"/>
          <w:lang w:val="en-US"/>
        </w:rPr>
        <w:t>The mean number of comorbidities in the elderly IBD population ranges from 2 to 3</w:t>
      </w:r>
      <w:r w:rsidR="00864AC3" w:rsidRPr="00D5385E">
        <w:rPr>
          <w:rFonts w:ascii="Book Antiqua" w:hAnsi="Book Antiqua" w:cs="Arial"/>
          <w:color w:val="000000" w:themeColor="text1"/>
          <w:sz w:val="24"/>
          <w:szCs w:val="24"/>
          <w:vertAlign w:val="superscript"/>
          <w:lang w:val="en-US"/>
        </w:rPr>
        <w:t>[4,6]</w:t>
      </w:r>
      <w:r w:rsidR="00864AC3" w:rsidRPr="00D5385E">
        <w:rPr>
          <w:rFonts w:ascii="Book Antiqua" w:hAnsi="Book Antiqua" w:cs="Arial"/>
          <w:color w:val="000000" w:themeColor="text1"/>
          <w:sz w:val="24"/>
          <w:szCs w:val="24"/>
          <w:lang w:val="en-US"/>
        </w:rPr>
        <w:t xml:space="preserve">. </w:t>
      </w:r>
      <w:r w:rsidR="00384CE7" w:rsidRPr="00D5385E">
        <w:rPr>
          <w:rFonts w:ascii="Book Antiqua" w:hAnsi="Book Antiqua" w:cs="Arial"/>
          <w:color w:val="000000" w:themeColor="text1"/>
          <w:sz w:val="24"/>
          <w:szCs w:val="24"/>
          <w:lang w:val="en-US"/>
        </w:rPr>
        <w:t xml:space="preserve">Comorbid illnesses may complicate the management of elderly IBD patients. For example, a shorter lifespan from other comorbidities may limit the expected benefit of colorectal dysplasia screening protocols. Diabetes mellitus, congestive heart failure and chronic kidney disease represent common conditions in the elderly and may </w:t>
      </w:r>
      <w:r w:rsidR="00E75901" w:rsidRPr="00D5385E">
        <w:rPr>
          <w:rFonts w:ascii="Book Antiqua" w:hAnsi="Book Antiqua" w:cs="Arial"/>
          <w:color w:val="000000" w:themeColor="text1"/>
          <w:sz w:val="24"/>
          <w:szCs w:val="24"/>
          <w:lang w:val="en-US"/>
        </w:rPr>
        <w:t>be affected</w:t>
      </w:r>
      <w:r w:rsidR="00384CE7" w:rsidRPr="00D5385E">
        <w:rPr>
          <w:rFonts w:ascii="Book Antiqua" w:hAnsi="Book Antiqua" w:cs="Arial"/>
          <w:color w:val="000000" w:themeColor="text1"/>
          <w:sz w:val="24"/>
          <w:szCs w:val="24"/>
          <w:lang w:val="en-US"/>
        </w:rPr>
        <w:t xml:space="preserve"> </w:t>
      </w:r>
      <w:r w:rsidR="00E75901" w:rsidRPr="00D5385E">
        <w:rPr>
          <w:rFonts w:ascii="Book Antiqua" w:hAnsi="Book Antiqua" w:cs="Arial"/>
          <w:color w:val="000000" w:themeColor="text1"/>
          <w:sz w:val="24"/>
          <w:szCs w:val="24"/>
          <w:lang w:val="en-US"/>
        </w:rPr>
        <w:t>by</w:t>
      </w:r>
      <w:r w:rsidR="00384CE7" w:rsidRPr="00D5385E">
        <w:rPr>
          <w:rFonts w:ascii="Book Antiqua" w:hAnsi="Book Antiqua" w:cs="Arial"/>
          <w:color w:val="000000" w:themeColor="text1"/>
          <w:sz w:val="24"/>
          <w:szCs w:val="24"/>
          <w:lang w:val="en-US"/>
        </w:rPr>
        <w:t xml:space="preserve"> </w:t>
      </w:r>
      <w:r w:rsidR="00384885" w:rsidRPr="00D5385E">
        <w:rPr>
          <w:rFonts w:ascii="Book Antiqua" w:hAnsi="Book Antiqua" w:cs="Arial"/>
          <w:color w:val="000000" w:themeColor="text1"/>
          <w:sz w:val="24"/>
          <w:szCs w:val="24"/>
          <w:lang w:val="en-US"/>
        </w:rPr>
        <w:t xml:space="preserve">certain treatment regimens such </w:t>
      </w:r>
      <w:r w:rsidR="00E75901" w:rsidRPr="00D5385E">
        <w:rPr>
          <w:rFonts w:ascii="Book Antiqua" w:hAnsi="Book Antiqua" w:cs="Arial"/>
          <w:color w:val="000000" w:themeColor="text1"/>
          <w:sz w:val="24"/>
          <w:szCs w:val="24"/>
          <w:lang w:val="en-US"/>
        </w:rPr>
        <w:t>as corticosteroids or biologic</w:t>
      </w:r>
      <w:r w:rsidR="00384885" w:rsidRPr="00D5385E">
        <w:rPr>
          <w:rFonts w:ascii="Book Antiqua" w:hAnsi="Book Antiqua" w:cs="Arial"/>
          <w:color w:val="000000" w:themeColor="text1"/>
          <w:sz w:val="24"/>
          <w:szCs w:val="24"/>
          <w:lang w:val="en-US"/>
        </w:rPr>
        <w:t xml:space="preserve"> agents. </w:t>
      </w:r>
      <w:r w:rsidR="00E75901" w:rsidRPr="00D5385E">
        <w:rPr>
          <w:rFonts w:ascii="Book Antiqua" w:hAnsi="Book Antiqua" w:cs="Arial"/>
          <w:color w:val="000000" w:themeColor="text1"/>
          <w:sz w:val="24"/>
          <w:szCs w:val="24"/>
          <w:lang w:val="en-US"/>
        </w:rPr>
        <w:t xml:space="preserve">In fact, in an American retrospective study, 393 elderly IBD patients were known for coronary artery disease (33.8%), chronic lung disease (22.6%), congestive heart failure (22.6%), diabetes mellitus (18.8%) and moderate to severe renal disease (11.5%) at the time of the IBD </w:t>
      </w:r>
      <w:proofErr w:type="gramStart"/>
      <w:r w:rsidR="00E75901" w:rsidRPr="00D5385E">
        <w:rPr>
          <w:rFonts w:ascii="Book Antiqua" w:hAnsi="Book Antiqua" w:cs="Arial"/>
          <w:color w:val="000000" w:themeColor="text1"/>
          <w:sz w:val="24"/>
          <w:szCs w:val="24"/>
          <w:lang w:val="en-US"/>
        </w:rPr>
        <w:t>diagnosis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6]</w:t>
      </w:r>
      <w:r w:rsidR="00E75901" w:rsidRPr="00D5385E">
        <w:rPr>
          <w:rFonts w:ascii="Book Antiqua" w:hAnsi="Book Antiqua" w:cs="Arial"/>
          <w:color w:val="000000" w:themeColor="text1"/>
          <w:sz w:val="24"/>
          <w:szCs w:val="24"/>
          <w:lang w:val="en-US"/>
        </w:rPr>
        <w:t>.</w:t>
      </w:r>
      <w:r w:rsidR="001A1A4B" w:rsidRPr="00D5385E">
        <w:rPr>
          <w:rFonts w:ascii="Book Antiqua" w:hAnsi="Book Antiqua" w:cs="Arial"/>
          <w:color w:val="000000" w:themeColor="text1"/>
          <w:sz w:val="24"/>
          <w:szCs w:val="24"/>
          <w:lang w:val="en-US"/>
        </w:rPr>
        <w:t xml:space="preserve"> </w:t>
      </w:r>
    </w:p>
    <w:p w14:paraId="50FED152" w14:textId="3D7525AB" w:rsidR="0067368E" w:rsidRPr="00D5385E" w:rsidRDefault="00B32FDF"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The elderly IBD patient population should be separated into two groups</w:t>
      </w:r>
      <w:r w:rsidR="00BD3EC6" w:rsidRPr="00D5385E">
        <w:rPr>
          <w:rFonts w:ascii="Book Antiqua" w:hAnsi="Book Antiqua" w:cs="Arial"/>
          <w:color w:val="000000" w:themeColor="text1"/>
          <w:sz w:val="24"/>
          <w:szCs w:val="24"/>
          <w:lang w:val="en-US"/>
        </w:rPr>
        <w:t xml:space="preserve"> (adult</w:t>
      </w:r>
      <w:r w:rsidR="000A1048">
        <w:rPr>
          <w:rFonts w:ascii="Book Antiqua" w:hAnsi="Book Antiqua" w:cs="Arial"/>
          <w:color w:val="000000" w:themeColor="text1"/>
          <w:sz w:val="24"/>
          <w:szCs w:val="24"/>
          <w:lang w:val="en-US"/>
        </w:rPr>
        <w:t>-</w:t>
      </w:r>
      <w:r w:rsidR="00BD3EC6" w:rsidRPr="00D5385E">
        <w:rPr>
          <w:rFonts w:ascii="Book Antiqua" w:hAnsi="Book Antiqua" w:cs="Arial"/>
          <w:color w:val="000000" w:themeColor="text1"/>
          <w:sz w:val="24"/>
          <w:szCs w:val="24"/>
          <w:lang w:val="en-US"/>
        </w:rPr>
        <w:t>onset elderly IBD and elderly</w:t>
      </w:r>
      <w:r w:rsidR="000A1048">
        <w:rPr>
          <w:rFonts w:ascii="Book Antiqua" w:hAnsi="Book Antiqua" w:cs="Arial"/>
          <w:color w:val="000000" w:themeColor="text1"/>
          <w:sz w:val="24"/>
          <w:szCs w:val="24"/>
          <w:lang w:val="en-US"/>
        </w:rPr>
        <w:t>-</w:t>
      </w:r>
      <w:r w:rsidR="00BD3EC6" w:rsidRPr="00D5385E">
        <w:rPr>
          <w:rFonts w:ascii="Book Antiqua" w:hAnsi="Book Antiqua" w:cs="Arial"/>
          <w:color w:val="000000" w:themeColor="text1"/>
          <w:sz w:val="24"/>
          <w:szCs w:val="24"/>
          <w:lang w:val="en-US"/>
        </w:rPr>
        <w:t>onset IBD)</w:t>
      </w:r>
      <w:r w:rsidR="00C66CB6"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based on </w:t>
      </w:r>
      <w:r w:rsidR="00C66CB6" w:rsidRPr="00D5385E">
        <w:rPr>
          <w:rFonts w:ascii="Book Antiqua" w:hAnsi="Book Antiqua" w:cs="Arial"/>
          <w:color w:val="000000" w:themeColor="text1"/>
          <w:sz w:val="24"/>
          <w:szCs w:val="24"/>
          <w:lang w:val="en-US"/>
        </w:rPr>
        <w:t xml:space="preserve">their </w:t>
      </w:r>
      <w:r w:rsidRPr="00D5385E">
        <w:rPr>
          <w:rFonts w:ascii="Book Antiqua" w:hAnsi="Book Antiqua" w:cs="Arial"/>
          <w:color w:val="000000" w:themeColor="text1"/>
          <w:sz w:val="24"/>
          <w:szCs w:val="24"/>
          <w:lang w:val="en-US"/>
        </w:rPr>
        <w:t xml:space="preserve">different </w:t>
      </w:r>
      <w:r w:rsidR="00C66CB6" w:rsidRPr="00D5385E">
        <w:rPr>
          <w:rFonts w:ascii="Book Antiqua" w:hAnsi="Book Antiqua" w:cs="Arial"/>
          <w:color w:val="000000" w:themeColor="text1"/>
          <w:sz w:val="24"/>
          <w:szCs w:val="24"/>
          <w:lang w:val="en-US"/>
        </w:rPr>
        <w:t xml:space="preserve">disease </w:t>
      </w:r>
      <w:r w:rsidR="00CC4703" w:rsidRPr="00D5385E">
        <w:rPr>
          <w:rFonts w:ascii="Book Antiqua" w:hAnsi="Book Antiqua" w:cs="Arial"/>
          <w:color w:val="000000" w:themeColor="text1"/>
          <w:sz w:val="24"/>
          <w:szCs w:val="24"/>
          <w:lang w:val="en-US"/>
        </w:rPr>
        <w:t>phenotypes</w:t>
      </w:r>
      <w:r w:rsidR="00C66CB6" w:rsidRPr="00D5385E">
        <w:rPr>
          <w:rFonts w:ascii="Book Antiqua" w:hAnsi="Book Antiqua" w:cs="Arial"/>
          <w:color w:val="000000" w:themeColor="text1"/>
          <w:sz w:val="24"/>
          <w:szCs w:val="24"/>
          <w:lang w:val="en-US"/>
        </w:rPr>
        <w:t xml:space="preserve">, </w:t>
      </w:r>
      <w:r w:rsidR="00C66CB6" w:rsidRPr="00D5385E">
        <w:rPr>
          <w:rFonts w:ascii="Book Antiqua" w:hAnsi="Book Antiqua" w:cs="Arial"/>
          <w:color w:val="000000" w:themeColor="text1"/>
          <w:sz w:val="24"/>
          <w:szCs w:val="24"/>
          <w:lang w:val="en-US"/>
        </w:rPr>
        <w:lastRenderedPageBreak/>
        <w:t>prognoses and management plans</w:t>
      </w:r>
      <w:r w:rsidR="00896E93" w:rsidRPr="00D5385E">
        <w:rPr>
          <w:rFonts w:ascii="Book Antiqua" w:hAnsi="Book Antiqua" w:cs="Arial"/>
          <w:color w:val="000000" w:themeColor="text1"/>
          <w:sz w:val="24"/>
          <w:szCs w:val="24"/>
          <w:lang w:val="en-US"/>
        </w:rPr>
        <w:t>. For example, a</w:t>
      </w:r>
      <w:r w:rsidRPr="00D5385E">
        <w:rPr>
          <w:rFonts w:ascii="Book Antiqua" w:hAnsi="Book Antiqua" w:cs="Arial"/>
          <w:color w:val="000000" w:themeColor="text1"/>
          <w:sz w:val="24"/>
          <w:szCs w:val="24"/>
          <w:lang w:val="en-US"/>
        </w:rPr>
        <w:t>dult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IBD patients </w:t>
      </w:r>
      <w:r w:rsidR="00896E93" w:rsidRPr="00D5385E">
        <w:rPr>
          <w:rFonts w:ascii="Book Antiqua" w:hAnsi="Book Antiqua" w:cs="Arial"/>
          <w:color w:val="000000" w:themeColor="text1"/>
          <w:sz w:val="24"/>
          <w:szCs w:val="24"/>
          <w:lang w:val="en-US"/>
        </w:rPr>
        <w:t xml:space="preserve">aged 60 or above are considered </w:t>
      </w:r>
      <w:r w:rsidR="00BD3EC6" w:rsidRPr="00D5385E">
        <w:rPr>
          <w:rFonts w:ascii="Book Antiqua" w:hAnsi="Book Antiqua" w:cs="Arial"/>
          <w:color w:val="000000" w:themeColor="text1"/>
          <w:sz w:val="24"/>
          <w:szCs w:val="24"/>
          <w:lang w:val="en-US"/>
        </w:rPr>
        <w:t xml:space="preserve">to be </w:t>
      </w:r>
      <w:r w:rsidR="00896E93" w:rsidRPr="00D5385E">
        <w:rPr>
          <w:rFonts w:ascii="Book Antiqua" w:hAnsi="Book Antiqua" w:cs="Arial"/>
          <w:color w:val="000000" w:themeColor="text1"/>
          <w:sz w:val="24"/>
          <w:szCs w:val="24"/>
          <w:lang w:val="en-US"/>
        </w:rPr>
        <w:t>at higher risk of disease progression in UC</w:t>
      </w:r>
      <w:r w:rsidR="00BD3EC6" w:rsidRPr="00D5385E">
        <w:rPr>
          <w:rFonts w:ascii="Book Antiqua" w:hAnsi="Book Antiqua" w:cs="Arial"/>
          <w:color w:val="000000" w:themeColor="text1"/>
          <w:sz w:val="24"/>
          <w:szCs w:val="24"/>
          <w:lang w:val="en-US"/>
        </w:rPr>
        <w:t xml:space="preserve"> (28% </w:t>
      </w:r>
      <w:r w:rsidR="006D1438" w:rsidRPr="006D1438">
        <w:rPr>
          <w:rFonts w:ascii="Book Antiqua" w:hAnsi="Book Antiqua" w:cs="Arial"/>
          <w:i/>
          <w:iCs/>
          <w:color w:val="000000" w:themeColor="text1"/>
          <w:sz w:val="24"/>
          <w:szCs w:val="24"/>
          <w:lang w:val="en-US"/>
        </w:rPr>
        <w:t>vs</w:t>
      </w:r>
      <w:r w:rsidR="00BD3EC6" w:rsidRPr="006D1438">
        <w:rPr>
          <w:rFonts w:ascii="Book Antiqua" w:hAnsi="Book Antiqua" w:cs="Arial"/>
          <w:i/>
          <w:iCs/>
          <w:color w:val="000000" w:themeColor="text1"/>
          <w:sz w:val="24"/>
          <w:szCs w:val="24"/>
          <w:lang w:val="en-US"/>
        </w:rPr>
        <w:t xml:space="preserve"> </w:t>
      </w:r>
      <w:r w:rsidR="00BD3EC6" w:rsidRPr="00D5385E">
        <w:rPr>
          <w:rFonts w:ascii="Book Antiqua" w:hAnsi="Book Antiqua" w:cs="Arial"/>
          <w:color w:val="000000" w:themeColor="text1"/>
          <w:sz w:val="24"/>
          <w:szCs w:val="24"/>
          <w:lang w:val="en-US"/>
        </w:rPr>
        <w:t>16% at ten years)</w:t>
      </w:r>
      <w:r w:rsidRPr="00D5385E">
        <w:rPr>
          <w:rFonts w:ascii="Book Antiqua" w:hAnsi="Book Antiqua" w:cs="Arial"/>
          <w:color w:val="000000" w:themeColor="text1"/>
          <w:sz w:val="24"/>
          <w:szCs w:val="24"/>
          <w:lang w:val="en-US"/>
        </w:rPr>
        <w:t xml:space="preserve"> </w:t>
      </w:r>
      <w:r w:rsidR="00896E93" w:rsidRPr="00D5385E">
        <w:rPr>
          <w:rFonts w:ascii="Book Antiqua" w:hAnsi="Book Antiqua" w:cs="Arial"/>
          <w:color w:val="000000" w:themeColor="text1"/>
          <w:sz w:val="24"/>
          <w:szCs w:val="24"/>
          <w:lang w:val="en-US"/>
        </w:rPr>
        <w:t>and</w:t>
      </w:r>
      <w:r w:rsidR="00BD3EC6" w:rsidRPr="00D5385E">
        <w:rPr>
          <w:rFonts w:ascii="Book Antiqua" w:hAnsi="Book Antiqua" w:cs="Arial"/>
          <w:color w:val="000000" w:themeColor="text1"/>
          <w:sz w:val="24"/>
          <w:szCs w:val="24"/>
          <w:lang w:val="en-US"/>
        </w:rPr>
        <w:t xml:space="preserve"> harbor an</w:t>
      </w:r>
      <w:r w:rsidR="00896E93" w:rsidRPr="00D5385E">
        <w:rPr>
          <w:rFonts w:ascii="Book Antiqua" w:hAnsi="Book Antiqua" w:cs="Arial"/>
          <w:color w:val="000000" w:themeColor="text1"/>
          <w:sz w:val="24"/>
          <w:szCs w:val="24"/>
          <w:lang w:val="en-US"/>
        </w:rPr>
        <w:t xml:space="preserve"> increased prevalence of perianal disease upon follow</w:t>
      </w:r>
      <w:r w:rsidR="000A1048">
        <w:rPr>
          <w:rFonts w:ascii="Book Antiqua" w:hAnsi="Book Antiqua" w:cs="Arial"/>
          <w:color w:val="000000" w:themeColor="text1"/>
          <w:sz w:val="24"/>
          <w:szCs w:val="24"/>
          <w:lang w:val="en-US"/>
        </w:rPr>
        <w:t>-</w:t>
      </w:r>
      <w:r w:rsidR="00896E93" w:rsidRPr="00D5385E">
        <w:rPr>
          <w:rFonts w:ascii="Book Antiqua" w:hAnsi="Book Antiqua" w:cs="Arial"/>
          <w:color w:val="000000" w:themeColor="text1"/>
          <w:sz w:val="24"/>
          <w:szCs w:val="24"/>
          <w:lang w:val="en-US"/>
        </w:rPr>
        <w:t>up in CD (</w:t>
      </w:r>
      <w:r w:rsidR="00BD3EC6" w:rsidRPr="00D5385E">
        <w:rPr>
          <w:rFonts w:ascii="Book Antiqua" w:hAnsi="Book Antiqua" w:cs="Arial"/>
          <w:color w:val="000000" w:themeColor="text1"/>
          <w:sz w:val="24"/>
          <w:szCs w:val="24"/>
          <w:lang w:val="en-US"/>
        </w:rPr>
        <w:t xml:space="preserve">27% </w:t>
      </w:r>
      <w:r w:rsidR="006D1438" w:rsidRPr="006D1438">
        <w:rPr>
          <w:rFonts w:ascii="Book Antiqua" w:hAnsi="Book Antiqua" w:cs="Arial"/>
          <w:i/>
          <w:iCs/>
          <w:color w:val="000000" w:themeColor="text1"/>
          <w:sz w:val="24"/>
          <w:szCs w:val="24"/>
          <w:lang w:val="en-US"/>
        </w:rPr>
        <w:t>vs</w:t>
      </w:r>
      <w:r w:rsidR="00BD3EC6" w:rsidRPr="00D5385E">
        <w:rPr>
          <w:rFonts w:ascii="Book Antiqua" w:hAnsi="Book Antiqua" w:cs="Arial"/>
          <w:color w:val="000000" w:themeColor="text1"/>
          <w:sz w:val="24"/>
          <w:szCs w:val="24"/>
          <w:lang w:val="en-US"/>
        </w:rPr>
        <w:t xml:space="preserve"> 17%, average follow</w:t>
      </w:r>
      <w:r w:rsidR="000A1048">
        <w:rPr>
          <w:rFonts w:ascii="Book Antiqua" w:hAnsi="Book Antiqua" w:cs="Arial"/>
          <w:color w:val="000000" w:themeColor="text1"/>
          <w:sz w:val="24"/>
          <w:szCs w:val="24"/>
          <w:lang w:val="en-US"/>
        </w:rPr>
        <w:t>-</w:t>
      </w:r>
      <w:r w:rsidR="00BD3EC6" w:rsidRPr="00D5385E">
        <w:rPr>
          <w:rFonts w:ascii="Book Antiqua" w:hAnsi="Book Antiqua" w:cs="Arial"/>
          <w:color w:val="000000" w:themeColor="text1"/>
          <w:sz w:val="24"/>
          <w:szCs w:val="24"/>
          <w:lang w:val="en-US"/>
        </w:rPr>
        <w:t xml:space="preserve">up of 6 </w:t>
      </w:r>
      <w:proofErr w:type="gramStart"/>
      <w:r w:rsidR="00BD3EC6" w:rsidRPr="00D5385E">
        <w:rPr>
          <w:rFonts w:ascii="Book Antiqua" w:hAnsi="Book Antiqua" w:cs="Arial"/>
          <w:color w:val="000000" w:themeColor="text1"/>
          <w:sz w:val="24"/>
          <w:szCs w:val="24"/>
          <w:lang w:val="en-US"/>
        </w:rPr>
        <w:t>years)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7</w:t>
      </w:r>
      <w:r w:rsidR="000A1048">
        <w:rPr>
          <w:rFonts w:ascii="Book Antiqua" w:hAnsi="Book Antiqua" w:cs="Arial"/>
          <w:color w:val="000000" w:themeColor="text1"/>
          <w:sz w:val="24"/>
          <w:szCs w:val="24"/>
          <w:vertAlign w:val="superscript"/>
          <w:lang w:val="en-US"/>
        </w:rPr>
        <w:t>-</w:t>
      </w:r>
      <w:r w:rsidR="00864AC3" w:rsidRPr="00D5385E">
        <w:rPr>
          <w:rFonts w:ascii="Book Antiqua" w:hAnsi="Book Antiqua" w:cs="Arial"/>
          <w:color w:val="000000" w:themeColor="text1"/>
          <w:sz w:val="24"/>
          <w:szCs w:val="24"/>
          <w:vertAlign w:val="superscript"/>
          <w:lang w:val="en-US"/>
        </w:rPr>
        <w:t>8</w:t>
      </w:r>
      <w:r w:rsidR="00BD3EC6" w:rsidRPr="00D5385E">
        <w:rPr>
          <w:rFonts w:ascii="Book Antiqua" w:hAnsi="Book Antiqua" w:cs="Arial"/>
          <w:color w:val="000000" w:themeColor="text1"/>
          <w:sz w:val="24"/>
          <w:szCs w:val="24"/>
          <w:vertAlign w:val="superscript"/>
          <w:lang w:val="en-US"/>
        </w:rPr>
        <w:t>]</w:t>
      </w:r>
      <w:r w:rsidR="00BD3EC6" w:rsidRPr="00D5385E">
        <w:rPr>
          <w:rFonts w:ascii="Book Antiqua" w:hAnsi="Book Antiqua" w:cs="Arial"/>
          <w:color w:val="000000" w:themeColor="text1"/>
          <w:sz w:val="24"/>
          <w:szCs w:val="24"/>
          <w:lang w:val="en-US"/>
        </w:rPr>
        <w:t>.</w:t>
      </w:r>
      <w:r w:rsidR="00896E93" w:rsidRPr="00D5385E">
        <w:rPr>
          <w:rFonts w:ascii="Book Antiqua" w:hAnsi="Book Antiqua" w:cs="Arial"/>
          <w:color w:val="000000" w:themeColor="text1"/>
          <w:sz w:val="24"/>
          <w:szCs w:val="24"/>
          <w:lang w:val="en-US"/>
        </w:rPr>
        <w:t xml:space="preserve"> </w:t>
      </w:r>
      <w:r w:rsidR="00BD3EC6" w:rsidRPr="00D5385E">
        <w:rPr>
          <w:rFonts w:ascii="Book Antiqua" w:hAnsi="Book Antiqua" w:cs="Arial"/>
          <w:color w:val="000000" w:themeColor="text1"/>
          <w:sz w:val="24"/>
          <w:szCs w:val="24"/>
          <w:lang w:val="en-US"/>
        </w:rPr>
        <w:t>Otherwise</w:t>
      </w:r>
      <w:r w:rsidR="00864AC3" w:rsidRPr="00D5385E">
        <w:rPr>
          <w:rFonts w:ascii="Book Antiqua" w:hAnsi="Book Antiqua" w:cs="Arial"/>
          <w:color w:val="000000" w:themeColor="text1"/>
          <w:sz w:val="24"/>
          <w:szCs w:val="24"/>
          <w:lang w:val="en-US"/>
        </w:rPr>
        <w:t>,</w:t>
      </w:r>
      <w:r w:rsidR="00BD3EC6" w:rsidRPr="00D5385E">
        <w:rPr>
          <w:rFonts w:ascii="Book Antiqua" w:hAnsi="Book Antiqua" w:cs="Arial"/>
          <w:color w:val="000000" w:themeColor="text1"/>
          <w:sz w:val="24"/>
          <w:szCs w:val="24"/>
          <w:lang w:val="en-US"/>
        </w:rPr>
        <w:t xml:space="preserve"> p</w:t>
      </w:r>
      <w:r w:rsidR="001B2ADD" w:rsidRPr="00D5385E">
        <w:rPr>
          <w:rFonts w:ascii="Book Antiqua" w:hAnsi="Book Antiqua" w:cs="Arial"/>
          <w:color w:val="000000" w:themeColor="text1"/>
          <w:sz w:val="24"/>
          <w:szCs w:val="24"/>
          <w:lang w:val="en-US"/>
        </w:rPr>
        <w:t>atients with late</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onset IBD tend to have milder, colonic disease</w:t>
      </w:r>
      <w:r w:rsidR="0067368E" w:rsidRPr="00D5385E">
        <w:rPr>
          <w:rFonts w:ascii="Book Antiqua" w:hAnsi="Book Antiqua" w:cs="Arial"/>
          <w:color w:val="000000" w:themeColor="text1"/>
          <w:sz w:val="24"/>
          <w:szCs w:val="24"/>
          <w:lang w:val="en-US"/>
        </w:rPr>
        <w:t>. Most published cohorts from various countries have shown higher prevalence of UC cases in the elderly, compared to CD: 11</w:t>
      </w:r>
      <w:r w:rsidR="006D1438">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w:t>
      </w:r>
      <w:r w:rsidR="0067368E" w:rsidRPr="00D5385E">
        <w:rPr>
          <w:rFonts w:ascii="Book Antiqua" w:hAnsi="Book Antiqua" w:cs="Arial"/>
          <w:color w:val="000000" w:themeColor="text1"/>
          <w:sz w:val="24"/>
          <w:szCs w:val="24"/>
          <w:lang w:val="en-US"/>
        </w:rPr>
        <w:t xml:space="preserve">21% </w:t>
      </w:r>
      <w:r w:rsidR="006D1438" w:rsidRPr="006D1438">
        <w:rPr>
          <w:rFonts w:ascii="Book Antiqua" w:hAnsi="Book Antiqua" w:cs="Arial"/>
          <w:i/>
          <w:iCs/>
          <w:color w:val="000000" w:themeColor="text1"/>
          <w:sz w:val="24"/>
          <w:szCs w:val="24"/>
          <w:lang w:val="en-US"/>
        </w:rPr>
        <w:t>vs</w:t>
      </w:r>
      <w:r w:rsidR="0067368E" w:rsidRPr="00D5385E">
        <w:rPr>
          <w:rFonts w:ascii="Book Antiqua" w:hAnsi="Book Antiqua" w:cs="Arial"/>
          <w:color w:val="000000" w:themeColor="text1"/>
          <w:sz w:val="24"/>
          <w:szCs w:val="24"/>
          <w:lang w:val="en-US"/>
        </w:rPr>
        <w:t xml:space="preserve"> 5</w:t>
      </w:r>
      <w:r w:rsidR="006D1438">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w:t>
      </w:r>
      <w:r w:rsidR="0067368E" w:rsidRPr="00D5385E">
        <w:rPr>
          <w:rFonts w:ascii="Book Antiqua" w:hAnsi="Book Antiqua" w:cs="Arial"/>
          <w:color w:val="000000" w:themeColor="text1"/>
          <w:sz w:val="24"/>
          <w:szCs w:val="24"/>
          <w:lang w:val="en-US"/>
        </w:rPr>
        <w:t xml:space="preserve">17% </w:t>
      </w:r>
      <w:proofErr w:type="gramStart"/>
      <w:r w:rsidR="0067368E" w:rsidRPr="00D5385E">
        <w:rPr>
          <w:rFonts w:ascii="Book Antiqua" w:hAnsi="Book Antiqua" w:cs="Arial"/>
          <w:color w:val="000000" w:themeColor="text1"/>
          <w:sz w:val="24"/>
          <w:szCs w:val="24"/>
          <w:lang w:val="en-US"/>
        </w:rPr>
        <w:t>respectively</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7</w:t>
      </w:r>
      <w:r w:rsidR="000A1048">
        <w:rPr>
          <w:rFonts w:ascii="Book Antiqua" w:hAnsi="Book Antiqua" w:cs="Arial"/>
          <w:color w:val="000000" w:themeColor="text1"/>
          <w:sz w:val="24"/>
          <w:szCs w:val="24"/>
          <w:vertAlign w:val="superscript"/>
          <w:lang w:val="en-US"/>
        </w:rPr>
        <w:t>-</w:t>
      </w:r>
      <w:r w:rsidR="00864AC3" w:rsidRPr="00D5385E">
        <w:rPr>
          <w:rFonts w:ascii="Book Antiqua" w:hAnsi="Book Antiqua" w:cs="Arial"/>
          <w:color w:val="000000" w:themeColor="text1"/>
          <w:sz w:val="24"/>
          <w:szCs w:val="24"/>
          <w:vertAlign w:val="superscript"/>
          <w:lang w:val="en-US"/>
        </w:rPr>
        <w:t>9</w:t>
      </w:r>
      <w:r w:rsidR="00BA32A3"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 xml:space="preserve">. </w:t>
      </w:r>
      <w:r w:rsidR="0021133B" w:rsidRPr="00D5385E">
        <w:rPr>
          <w:rFonts w:ascii="Book Antiqua" w:hAnsi="Book Antiqua" w:cs="Arial"/>
          <w:color w:val="000000" w:themeColor="text1"/>
          <w:sz w:val="24"/>
          <w:szCs w:val="24"/>
          <w:lang w:val="en-US"/>
        </w:rPr>
        <w:t>In the previously</w:t>
      </w:r>
      <w:r w:rsidR="000A1048">
        <w:rPr>
          <w:rFonts w:ascii="Book Antiqua" w:hAnsi="Book Antiqua" w:cs="Arial"/>
          <w:color w:val="000000" w:themeColor="text1"/>
          <w:sz w:val="24"/>
          <w:szCs w:val="24"/>
          <w:lang w:val="en-US"/>
        </w:rPr>
        <w:t>-</w:t>
      </w:r>
      <w:r w:rsidR="0021133B" w:rsidRPr="00D5385E">
        <w:rPr>
          <w:rFonts w:ascii="Book Antiqua" w:hAnsi="Book Antiqua" w:cs="Arial"/>
          <w:color w:val="000000" w:themeColor="text1"/>
          <w:sz w:val="24"/>
          <w:szCs w:val="24"/>
          <w:lang w:val="en-US"/>
        </w:rPr>
        <w:t>mentioned Swedish registry, l</w:t>
      </w:r>
      <w:r w:rsidR="0067368E" w:rsidRPr="00D5385E">
        <w:rPr>
          <w:rFonts w:ascii="Book Antiqua" w:hAnsi="Book Antiqua" w:cs="Arial"/>
          <w:color w:val="000000" w:themeColor="text1"/>
          <w:sz w:val="24"/>
          <w:szCs w:val="24"/>
          <w:lang w:val="en-US"/>
        </w:rPr>
        <w:t>eft</w:t>
      </w:r>
      <w:r w:rsidR="000A1048">
        <w:rPr>
          <w:rFonts w:ascii="Book Antiqua" w:hAnsi="Book Antiqua" w:cs="Arial"/>
          <w:color w:val="000000" w:themeColor="text1"/>
          <w:sz w:val="24"/>
          <w:szCs w:val="24"/>
          <w:lang w:val="en-US"/>
        </w:rPr>
        <w:t>-</w:t>
      </w:r>
      <w:r w:rsidR="0067368E" w:rsidRPr="00D5385E">
        <w:rPr>
          <w:rFonts w:ascii="Book Antiqua" w:hAnsi="Book Antiqua" w:cs="Arial"/>
          <w:color w:val="000000" w:themeColor="text1"/>
          <w:sz w:val="24"/>
          <w:szCs w:val="24"/>
          <w:lang w:val="en-US"/>
        </w:rPr>
        <w:t xml:space="preserve">sided disease in UC is </w:t>
      </w:r>
      <w:r w:rsidR="0021133B" w:rsidRPr="00D5385E">
        <w:rPr>
          <w:rFonts w:ascii="Book Antiqua" w:hAnsi="Book Antiqua" w:cs="Arial"/>
          <w:color w:val="000000" w:themeColor="text1"/>
          <w:sz w:val="24"/>
          <w:szCs w:val="24"/>
          <w:lang w:val="en-US"/>
        </w:rPr>
        <w:t xml:space="preserve">seen more commonly in the elderly than the adult population (28% </w:t>
      </w:r>
      <w:r w:rsidR="006D1438" w:rsidRPr="006D1438">
        <w:rPr>
          <w:rFonts w:ascii="Book Antiqua" w:hAnsi="Book Antiqua" w:cs="Arial"/>
          <w:i/>
          <w:iCs/>
          <w:color w:val="000000" w:themeColor="text1"/>
          <w:sz w:val="24"/>
          <w:szCs w:val="24"/>
          <w:lang w:val="en-US"/>
        </w:rPr>
        <w:t>vs</w:t>
      </w:r>
      <w:r w:rsidR="0021133B" w:rsidRPr="00D5385E">
        <w:rPr>
          <w:rFonts w:ascii="Book Antiqua" w:hAnsi="Book Antiqua" w:cs="Arial"/>
          <w:color w:val="000000" w:themeColor="text1"/>
          <w:sz w:val="24"/>
          <w:szCs w:val="24"/>
          <w:lang w:val="en-US"/>
        </w:rPr>
        <w:t xml:space="preserve"> 15%), as opposed to proctitis (14% </w:t>
      </w:r>
      <w:r w:rsidR="006D1438" w:rsidRPr="006D1438">
        <w:rPr>
          <w:rFonts w:ascii="Book Antiqua" w:hAnsi="Book Antiqua" w:cs="Arial"/>
          <w:i/>
          <w:iCs/>
          <w:color w:val="000000" w:themeColor="text1"/>
          <w:sz w:val="24"/>
          <w:szCs w:val="24"/>
          <w:lang w:val="en-US"/>
        </w:rPr>
        <w:t>vs</w:t>
      </w:r>
      <w:r w:rsidR="0021133B" w:rsidRPr="00D5385E">
        <w:rPr>
          <w:rFonts w:ascii="Book Antiqua" w:hAnsi="Book Antiqua" w:cs="Arial"/>
          <w:color w:val="000000" w:themeColor="text1"/>
          <w:sz w:val="24"/>
          <w:szCs w:val="24"/>
          <w:lang w:val="en-US"/>
        </w:rPr>
        <w:t xml:space="preserve"> 23%), and extensive disease (28% </w:t>
      </w:r>
      <w:r w:rsidR="006D1438" w:rsidRPr="006D1438">
        <w:rPr>
          <w:rFonts w:ascii="Book Antiqua" w:hAnsi="Book Antiqua" w:cs="Arial"/>
          <w:i/>
          <w:iCs/>
          <w:color w:val="000000" w:themeColor="text1"/>
          <w:sz w:val="24"/>
          <w:szCs w:val="24"/>
          <w:lang w:val="en-US"/>
        </w:rPr>
        <w:t>vs</w:t>
      </w:r>
      <w:r w:rsidR="0021133B" w:rsidRPr="00D5385E">
        <w:rPr>
          <w:rFonts w:ascii="Book Antiqua" w:hAnsi="Book Antiqua" w:cs="Arial"/>
          <w:color w:val="000000" w:themeColor="text1"/>
          <w:sz w:val="24"/>
          <w:szCs w:val="24"/>
          <w:lang w:val="en-US"/>
        </w:rPr>
        <w:t xml:space="preserve"> 34</w:t>
      </w:r>
      <w:proofErr w:type="gramStart"/>
      <w:r w:rsidR="0021133B" w:rsidRPr="00D5385E">
        <w:rPr>
          <w:rFonts w:ascii="Book Antiqua" w:hAnsi="Book Antiqua" w:cs="Arial"/>
          <w:color w:val="000000" w:themeColor="text1"/>
          <w:sz w:val="24"/>
          <w:szCs w:val="24"/>
          <w:lang w:val="en-US"/>
        </w:rPr>
        <w:t>%)</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2]</w:t>
      </w:r>
      <w:r w:rsidR="0021133B" w:rsidRPr="00D5385E">
        <w:rPr>
          <w:rFonts w:ascii="Book Antiqua" w:hAnsi="Book Antiqua" w:cs="Arial"/>
          <w:color w:val="000000" w:themeColor="text1"/>
          <w:sz w:val="24"/>
          <w:szCs w:val="24"/>
          <w:lang w:val="en-US"/>
        </w:rPr>
        <w:t>.</w:t>
      </w:r>
      <w:r w:rsidR="0067368E" w:rsidRPr="00D5385E">
        <w:rPr>
          <w:rFonts w:ascii="Book Antiqua" w:hAnsi="Book Antiqua" w:cs="Arial"/>
          <w:color w:val="000000" w:themeColor="text1"/>
          <w:sz w:val="24"/>
          <w:szCs w:val="24"/>
          <w:lang w:val="en-US"/>
        </w:rPr>
        <w:t xml:space="preserve"> </w:t>
      </w:r>
      <w:r w:rsidR="002B38A8" w:rsidRPr="00D5385E">
        <w:rPr>
          <w:rFonts w:ascii="Book Antiqua" w:hAnsi="Book Antiqua" w:cs="Arial"/>
          <w:color w:val="000000" w:themeColor="text1"/>
          <w:sz w:val="24"/>
          <w:szCs w:val="24"/>
          <w:lang w:val="en-US"/>
        </w:rPr>
        <w:t xml:space="preserve">In </w:t>
      </w:r>
      <w:r w:rsidR="007908E2" w:rsidRPr="00D5385E">
        <w:rPr>
          <w:rFonts w:ascii="Book Antiqua" w:hAnsi="Book Antiqua" w:cs="Arial"/>
          <w:color w:val="000000" w:themeColor="text1"/>
          <w:sz w:val="24"/>
          <w:szCs w:val="24"/>
          <w:lang w:val="en-US"/>
        </w:rPr>
        <w:t>CD</w:t>
      </w:r>
      <w:r w:rsidR="002B38A8" w:rsidRPr="00D5385E">
        <w:rPr>
          <w:rFonts w:ascii="Book Antiqua" w:hAnsi="Book Antiqua" w:cs="Arial"/>
          <w:color w:val="000000" w:themeColor="text1"/>
          <w:sz w:val="24"/>
          <w:szCs w:val="24"/>
          <w:lang w:val="en-US"/>
        </w:rPr>
        <w:t xml:space="preserve">, </w:t>
      </w:r>
      <w:proofErr w:type="spellStart"/>
      <w:r w:rsidR="002B38A8" w:rsidRPr="00D5385E">
        <w:rPr>
          <w:rFonts w:ascii="Book Antiqua" w:hAnsi="Book Antiqua" w:cs="Arial"/>
          <w:color w:val="000000" w:themeColor="text1"/>
          <w:sz w:val="24"/>
          <w:szCs w:val="24"/>
          <w:lang w:val="en-US"/>
        </w:rPr>
        <w:t>fibrostenotic</w:t>
      </w:r>
      <w:proofErr w:type="spellEnd"/>
      <w:r w:rsidR="002B38A8" w:rsidRPr="00D5385E">
        <w:rPr>
          <w:rFonts w:ascii="Book Antiqua" w:hAnsi="Book Antiqua" w:cs="Arial"/>
          <w:color w:val="000000" w:themeColor="text1"/>
          <w:sz w:val="24"/>
          <w:szCs w:val="24"/>
          <w:lang w:val="en-US"/>
        </w:rPr>
        <w:t xml:space="preserve"> disease was more common in the elderly</w:t>
      </w:r>
      <w:r w:rsidR="00295B7F" w:rsidRPr="00D5385E">
        <w:rPr>
          <w:rFonts w:ascii="Book Antiqua" w:hAnsi="Book Antiqua" w:cs="Arial"/>
          <w:color w:val="000000" w:themeColor="text1"/>
          <w:sz w:val="24"/>
          <w:szCs w:val="24"/>
          <w:lang w:val="en-US"/>
        </w:rPr>
        <w:t xml:space="preserve"> (23% </w:t>
      </w:r>
      <w:r w:rsidR="006D1438" w:rsidRPr="006D1438">
        <w:rPr>
          <w:rFonts w:ascii="Book Antiqua" w:hAnsi="Book Antiqua" w:cs="Arial"/>
          <w:i/>
          <w:iCs/>
          <w:color w:val="000000" w:themeColor="text1"/>
          <w:sz w:val="24"/>
          <w:szCs w:val="24"/>
          <w:lang w:val="en-US"/>
        </w:rPr>
        <w:t>vs</w:t>
      </w:r>
      <w:r w:rsidR="00295B7F" w:rsidRPr="00D5385E">
        <w:rPr>
          <w:rFonts w:ascii="Book Antiqua" w:hAnsi="Book Antiqua" w:cs="Arial"/>
          <w:color w:val="000000" w:themeColor="text1"/>
          <w:sz w:val="24"/>
          <w:szCs w:val="24"/>
          <w:lang w:val="en-US"/>
        </w:rPr>
        <w:t xml:space="preserve"> 9%), contrasting with lower rates of </w:t>
      </w:r>
      <w:r w:rsidR="002B38A8" w:rsidRPr="00D5385E">
        <w:rPr>
          <w:rFonts w:ascii="Book Antiqua" w:hAnsi="Book Antiqua" w:cs="Arial"/>
          <w:color w:val="000000" w:themeColor="text1"/>
          <w:sz w:val="24"/>
          <w:szCs w:val="24"/>
          <w:lang w:val="en-US"/>
        </w:rPr>
        <w:t>penetrating</w:t>
      </w:r>
      <w:r w:rsidR="00295B7F" w:rsidRPr="00D5385E">
        <w:rPr>
          <w:rFonts w:ascii="Book Antiqua" w:hAnsi="Book Antiqua" w:cs="Arial"/>
          <w:color w:val="000000" w:themeColor="text1"/>
          <w:sz w:val="24"/>
          <w:szCs w:val="24"/>
          <w:lang w:val="en-US"/>
        </w:rPr>
        <w:t xml:space="preserve"> disease</w:t>
      </w:r>
      <w:r w:rsidR="002B38A8" w:rsidRPr="00D5385E">
        <w:rPr>
          <w:rFonts w:ascii="Book Antiqua" w:hAnsi="Book Antiqua" w:cs="Arial"/>
          <w:color w:val="000000" w:themeColor="text1"/>
          <w:sz w:val="24"/>
          <w:szCs w:val="24"/>
          <w:lang w:val="en-US"/>
        </w:rPr>
        <w:t xml:space="preserve"> (5% </w:t>
      </w:r>
      <w:r w:rsidR="006D1438" w:rsidRPr="006D1438">
        <w:rPr>
          <w:rFonts w:ascii="Book Antiqua" w:hAnsi="Book Antiqua" w:cs="Arial"/>
          <w:i/>
          <w:iCs/>
          <w:color w:val="000000" w:themeColor="text1"/>
          <w:sz w:val="24"/>
          <w:szCs w:val="24"/>
          <w:lang w:val="en-US"/>
        </w:rPr>
        <w:t>vs</w:t>
      </w:r>
      <w:r w:rsidR="002B38A8" w:rsidRPr="00D5385E">
        <w:rPr>
          <w:rFonts w:ascii="Book Antiqua" w:hAnsi="Book Antiqua" w:cs="Arial"/>
          <w:color w:val="000000" w:themeColor="text1"/>
          <w:sz w:val="24"/>
          <w:szCs w:val="24"/>
          <w:lang w:val="en-US"/>
        </w:rPr>
        <w:t xml:space="preserve"> 11%).</w:t>
      </w:r>
      <w:r w:rsidR="008C712B">
        <w:rPr>
          <w:rFonts w:ascii="Book Antiqua" w:hAnsi="Book Antiqua" w:cs="Arial"/>
          <w:color w:val="000000" w:themeColor="text1"/>
          <w:sz w:val="24"/>
          <w:szCs w:val="24"/>
          <w:lang w:val="en-US"/>
        </w:rPr>
        <w:t xml:space="preserve"> </w:t>
      </w:r>
      <w:r w:rsidR="00295B7F" w:rsidRPr="00D5385E">
        <w:rPr>
          <w:rFonts w:ascii="Book Antiqua" w:hAnsi="Book Antiqua" w:cs="Arial"/>
          <w:color w:val="000000" w:themeColor="text1"/>
          <w:sz w:val="24"/>
          <w:szCs w:val="24"/>
          <w:lang w:val="en-US"/>
        </w:rPr>
        <w:t>Extra</w:t>
      </w:r>
      <w:r w:rsidR="000A1048">
        <w:rPr>
          <w:rFonts w:ascii="Book Antiqua" w:hAnsi="Book Antiqua" w:cs="Arial"/>
          <w:color w:val="000000" w:themeColor="text1"/>
          <w:sz w:val="24"/>
          <w:szCs w:val="24"/>
          <w:lang w:val="en-US"/>
        </w:rPr>
        <w:t>-</w:t>
      </w:r>
      <w:r w:rsidR="00295B7F" w:rsidRPr="00D5385E">
        <w:rPr>
          <w:rFonts w:ascii="Book Antiqua" w:hAnsi="Book Antiqua" w:cs="Arial"/>
          <w:color w:val="000000" w:themeColor="text1"/>
          <w:sz w:val="24"/>
          <w:szCs w:val="24"/>
          <w:lang w:val="en-US"/>
        </w:rPr>
        <w:t>intestinal manifestations were also compared: the rates of primary sclerosing cholangitis and cutaneous manifestations were similar in both the elderly and non</w:t>
      </w:r>
      <w:r w:rsidR="000A1048">
        <w:rPr>
          <w:rFonts w:ascii="Book Antiqua" w:hAnsi="Book Antiqua" w:cs="Arial"/>
          <w:color w:val="000000" w:themeColor="text1"/>
          <w:sz w:val="24"/>
          <w:szCs w:val="24"/>
          <w:lang w:val="en-US"/>
        </w:rPr>
        <w:t>-</w:t>
      </w:r>
      <w:r w:rsidR="00295B7F" w:rsidRPr="00D5385E">
        <w:rPr>
          <w:rFonts w:ascii="Book Antiqua" w:hAnsi="Book Antiqua" w:cs="Arial"/>
          <w:color w:val="000000" w:themeColor="text1"/>
          <w:sz w:val="24"/>
          <w:szCs w:val="24"/>
          <w:lang w:val="en-US"/>
        </w:rPr>
        <w:t xml:space="preserve">elderly populations. Otherwise, arthritis was more commonly seen in the adult population (8% </w:t>
      </w:r>
      <w:bookmarkStart w:id="59" w:name="OLE_LINK71"/>
      <w:bookmarkStart w:id="60" w:name="OLE_LINK72"/>
      <w:r w:rsidR="006D1438" w:rsidRPr="006D1438">
        <w:rPr>
          <w:rFonts w:ascii="Book Antiqua" w:hAnsi="Book Antiqua" w:cs="Arial"/>
          <w:i/>
          <w:iCs/>
          <w:color w:val="000000" w:themeColor="text1"/>
          <w:sz w:val="24"/>
          <w:szCs w:val="24"/>
          <w:lang w:val="en-US"/>
        </w:rPr>
        <w:t>vs</w:t>
      </w:r>
      <w:bookmarkEnd w:id="59"/>
      <w:bookmarkEnd w:id="60"/>
      <w:r w:rsidR="00295B7F" w:rsidRPr="00D5385E">
        <w:rPr>
          <w:rFonts w:ascii="Book Antiqua" w:hAnsi="Book Antiqua" w:cs="Arial"/>
          <w:color w:val="000000" w:themeColor="text1"/>
          <w:sz w:val="24"/>
          <w:szCs w:val="24"/>
          <w:lang w:val="en-US"/>
        </w:rPr>
        <w:t xml:space="preserve"> 6%, </w:t>
      </w:r>
      <w:r w:rsidR="006D1438" w:rsidRPr="006D1438">
        <w:rPr>
          <w:rFonts w:ascii="Book Antiqua" w:hAnsi="Book Antiqua" w:cs="Arial"/>
          <w:i/>
          <w:iCs/>
          <w:color w:val="000000" w:themeColor="text1"/>
          <w:sz w:val="24"/>
          <w:szCs w:val="24"/>
          <w:lang w:val="en-US"/>
        </w:rPr>
        <w:t xml:space="preserve">P </w:t>
      </w:r>
      <w:r w:rsidR="00295B7F" w:rsidRPr="00D5385E">
        <w:rPr>
          <w:rFonts w:ascii="Book Antiqua" w:hAnsi="Book Antiqua" w:cs="Arial"/>
          <w:color w:val="000000" w:themeColor="text1"/>
          <w:sz w:val="24"/>
          <w:szCs w:val="24"/>
          <w:lang w:val="en-US"/>
        </w:rPr>
        <w:t xml:space="preserve">value = 0.0001), while elderly patients had statistically higher rates of ocular manifestations (2% </w:t>
      </w:r>
      <w:r w:rsidR="006D1438" w:rsidRPr="006D1438">
        <w:rPr>
          <w:rFonts w:ascii="Book Antiqua" w:hAnsi="Book Antiqua" w:cs="Arial"/>
          <w:i/>
          <w:iCs/>
          <w:color w:val="000000" w:themeColor="text1"/>
          <w:sz w:val="24"/>
          <w:szCs w:val="24"/>
          <w:lang w:val="en-US"/>
        </w:rPr>
        <w:t>vs</w:t>
      </w:r>
      <w:r w:rsidR="00295B7F" w:rsidRPr="00D5385E">
        <w:rPr>
          <w:rFonts w:ascii="Book Antiqua" w:hAnsi="Book Antiqua" w:cs="Arial"/>
          <w:color w:val="000000" w:themeColor="text1"/>
          <w:sz w:val="24"/>
          <w:szCs w:val="24"/>
          <w:lang w:val="en-US"/>
        </w:rPr>
        <w:t xml:space="preserve"> 1%, </w:t>
      </w:r>
      <w:bookmarkStart w:id="61" w:name="OLE_LINK73"/>
      <w:bookmarkStart w:id="62" w:name="OLE_LINK74"/>
      <w:r w:rsidR="006D1438" w:rsidRPr="006D1438">
        <w:rPr>
          <w:rFonts w:ascii="Book Antiqua" w:hAnsi="Book Antiqua" w:cs="Arial"/>
          <w:i/>
          <w:iCs/>
          <w:color w:val="000000" w:themeColor="text1"/>
          <w:sz w:val="24"/>
          <w:szCs w:val="24"/>
          <w:lang w:val="en-US"/>
        </w:rPr>
        <w:t>P</w:t>
      </w:r>
      <w:bookmarkEnd w:id="61"/>
      <w:bookmarkEnd w:id="62"/>
      <w:r w:rsidR="006D1438">
        <w:rPr>
          <w:rFonts w:ascii="Book Antiqua" w:hAnsi="Book Antiqua" w:cs="Arial"/>
          <w:color w:val="000000" w:themeColor="text1"/>
          <w:sz w:val="24"/>
          <w:szCs w:val="24"/>
          <w:lang w:val="en-US"/>
        </w:rPr>
        <w:t xml:space="preserve"> </w:t>
      </w:r>
      <w:r w:rsidR="00295B7F" w:rsidRPr="00D5385E">
        <w:rPr>
          <w:rFonts w:ascii="Book Antiqua" w:hAnsi="Book Antiqua" w:cs="Arial"/>
          <w:color w:val="000000" w:themeColor="text1"/>
          <w:sz w:val="24"/>
          <w:szCs w:val="24"/>
          <w:lang w:val="en-US"/>
        </w:rPr>
        <w:t xml:space="preserve">value = </w:t>
      </w:r>
      <w:proofErr w:type="gramStart"/>
      <w:r w:rsidR="00295B7F" w:rsidRPr="00D5385E">
        <w:rPr>
          <w:rFonts w:ascii="Book Antiqua" w:hAnsi="Book Antiqua" w:cs="Arial"/>
          <w:color w:val="000000" w:themeColor="text1"/>
          <w:sz w:val="24"/>
          <w:szCs w:val="24"/>
          <w:lang w:val="en-US"/>
        </w:rPr>
        <w:t>0.02)</w:t>
      </w:r>
      <w:r w:rsidR="00BA32A3" w:rsidRPr="00D5385E">
        <w:rPr>
          <w:rFonts w:ascii="Book Antiqua" w:hAnsi="Book Antiqua" w:cs="Arial"/>
          <w:color w:val="000000" w:themeColor="text1"/>
          <w:sz w:val="24"/>
          <w:szCs w:val="24"/>
          <w:vertAlign w:val="superscript"/>
          <w:lang w:val="en-US"/>
        </w:rPr>
        <w:t>[</w:t>
      </w:r>
      <w:proofErr w:type="gramEnd"/>
      <w:r w:rsidR="00BA32A3" w:rsidRPr="00D5385E">
        <w:rPr>
          <w:rFonts w:ascii="Book Antiqua" w:hAnsi="Book Antiqua" w:cs="Arial"/>
          <w:color w:val="000000" w:themeColor="text1"/>
          <w:sz w:val="24"/>
          <w:szCs w:val="24"/>
          <w:vertAlign w:val="superscript"/>
          <w:lang w:val="en-US"/>
        </w:rPr>
        <w:t>2]</w:t>
      </w:r>
      <w:r w:rsidR="00295B7F" w:rsidRPr="00D5385E">
        <w:rPr>
          <w:rFonts w:ascii="Book Antiqua" w:hAnsi="Book Antiqua" w:cs="Arial"/>
          <w:color w:val="000000" w:themeColor="text1"/>
          <w:sz w:val="24"/>
          <w:szCs w:val="24"/>
          <w:lang w:val="en-US"/>
        </w:rPr>
        <w:t>.</w:t>
      </w:r>
      <w:r w:rsidR="00FA12E3" w:rsidRPr="00D5385E">
        <w:rPr>
          <w:rFonts w:ascii="Book Antiqua" w:hAnsi="Book Antiqua" w:cs="Arial"/>
          <w:color w:val="000000" w:themeColor="text1"/>
          <w:sz w:val="24"/>
          <w:szCs w:val="24"/>
          <w:lang w:val="en-US"/>
        </w:rPr>
        <w:t xml:space="preserve"> In regards to prescription practices, two population</w:t>
      </w:r>
      <w:r w:rsidR="000A1048">
        <w:rPr>
          <w:rFonts w:ascii="Book Antiqua" w:hAnsi="Book Antiqua" w:cs="Arial"/>
          <w:color w:val="000000" w:themeColor="text1"/>
          <w:sz w:val="24"/>
          <w:szCs w:val="24"/>
          <w:lang w:val="en-US"/>
        </w:rPr>
        <w:t>-</w:t>
      </w:r>
      <w:r w:rsidR="00FA12E3" w:rsidRPr="00D5385E">
        <w:rPr>
          <w:rFonts w:ascii="Book Antiqua" w:hAnsi="Book Antiqua" w:cs="Arial"/>
          <w:color w:val="000000" w:themeColor="text1"/>
          <w:sz w:val="24"/>
          <w:szCs w:val="24"/>
          <w:lang w:val="en-US"/>
        </w:rPr>
        <w:t xml:space="preserve">based cohorts from Hungary and France have shown that age at diagnosis </w:t>
      </w:r>
      <w:r w:rsidR="00BD3EC6" w:rsidRPr="00D5385E">
        <w:rPr>
          <w:rFonts w:ascii="Book Antiqua" w:hAnsi="Book Antiqua" w:cs="Arial"/>
          <w:color w:val="000000" w:themeColor="text1"/>
          <w:sz w:val="24"/>
          <w:szCs w:val="24"/>
          <w:lang w:val="en-US"/>
        </w:rPr>
        <w:t xml:space="preserve">predicts higher utilization of corticosteroids and immunosuppressive drugs in the </w:t>
      </w:r>
      <w:r w:rsidR="00CC4703" w:rsidRPr="00D5385E">
        <w:rPr>
          <w:rFonts w:ascii="Book Antiqua" w:hAnsi="Book Antiqua" w:cs="Arial"/>
          <w:color w:val="000000" w:themeColor="text1"/>
          <w:sz w:val="24"/>
          <w:szCs w:val="24"/>
          <w:lang w:val="en-US"/>
        </w:rPr>
        <w:t>adult</w:t>
      </w:r>
      <w:r w:rsidR="000A1048">
        <w:rPr>
          <w:rFonts w:ascii="Book Antiqua" w:hAnsi="Book Antiqua" w:cs="Arial"/>
          <w:color w:val="000000" w:themeColor="text1"/>
          <w:sz w:val="24"/>
          <w:szCs w:val="24"/>
          <w:lang w:val="en-US"/>
        </w:rPr>
        <w:t>-</w:t>
      </w:r>
      <w:r w:rsidR="00CC4703" w:rsidRPr="00D5385E">
        <w:rPr>
          <w:rFonts w:ascii="Book Antiqua" w:hAnsi="Book Antiqua" w:cs="Arial"/>
          <w:color w:val="000000" w:themeColor="text1"/>
          <w:sz w:val="24"/>
          <w:szCs w:val="24"/>
          <w:lang w:val="en-US"/>
        </w:rPr>
        <w:t xml:space="preserve">onset population. Indeed, </w:t>
      </w:r>
      <w:r w:rsidR="00BD3EC6" w:rsidRPr="00D5385E">
        <w:rPr>
          <w:rFonts w:ascii="Book Antiqua" w:hAnsi="Book Antiqua" w:cs="Arial"/>
          <w:color w:val="000000" w:themeColor="text1"/>
          <w:sz w:val="24"/>
          <w:szCs w:val="24"/>
          <w:lang w:val="en-US"/>
        </w:rPr>
        <w:t xml:space="preserve">the Hungarian cohort </w:t>
      </w:r>
      <w:r w:rsidR="00CC4703" w:rsidRPr="00D5385E">
        <w:rPr>
          <w:rFonts w:ascii="Book Antiqua" w:hAnsi="Book Antiqua" w:cs="Arial"/>
          <w:color w:val="000000" w:themeColor="text1"/>
          <w:sz w:val="24"/>
          <w:szCs w:val="24"/>
          <w:lang w:val="en-US"/>
        </w:rPr>
        <w:t>showed that azathioprine was more commonly prescribed in adult</w:t>
      </w:r>
      <w:r w:rsidR="000A1048">
        <w:rPr>
          <w:rFonts w:ascii="Book Antiqua" w:hAnsi="Book Antiqua" w:cs="Arial"/>
          <w:color w:val="000000" w:themeColor="text1"/>
          <w:sz w:val="24"/>
          <w:szCs w:val="24"/>
          <w:lang w:val="en-US"/>
        </w:rPr>
        <w:t>-</w:t>
      </w:r>
      <w:r w:rsidR="00CC4703" w:rsidRPr="00D5385E">
        <w:rPr>
          <w:rFonts w:ascii="Book Antiqua" w:hAnsi="Book Antiqua" w:cs="Arial"/>
          <w:color w:val="000000" w:themeColor="text1"/>
          <w:sz w:val="24"/>
          <w:szCs w:val="24"/>
          <w:lang w:val="en-US"/>
        </w:rPr>
        <w:t>onset CD patients compared to the elderly population at a median follow</w:t>
      </w:r>
      <w:r w:rsidR="000A1048">
        <w:rPr>
          <w:rFonts w:ascii="Book Antiqua" w:hAnsi="Book Antiqua" w:cs="Arial"/>
          <w:color w:val="000000" w:themeColor="text1"/>
          <w:sz w:val="24"/>
          <w:szCs w:val="24"/>
          <w:lang w:val="en-US"/>
        </w:rPr>
        <w:t>-</w:t>
      </w:r>
      <w:r w:rsidR="00CC4703" w:rsidRPr="00D5385E">
        <w:rPr>
          <w:rFonts w:ascii="Book Antiqua" w:hAnsi="Book Antiqua" w:cs="Arial"/>
          <w:color w:val="000000" w:themeColor="text1"/>
          <w:sz w:val="24"/>
          <w:szCs w:val="24"/>
          <w:lang w:val="en-US"/>
        </w:rPr>
        <w:t xml:space="preserve">up of 11 years (42.6% </w:t>
      </w:r>
      <w:r w:rsidR="006D1438" w:rsidRPr="006D1438">
        <w:rPr>
          <w:rFonts w:ascii="Book Antiqua" w:hAnsi="Book Antiqua" w:cs="Arial"/>
          <w:i/>
          <w:iCs/>
          <w:color w:val="000000" w:themeColor="text1"/>
          <w:sz w:val="24"/>
          <w:szCs w:val="24"/>
          <w:lang w:val="en-US"/>
        </w:rPr>
        <w:t>vs</w:t>
      </w:r>
      <w:r w:rsidR="00CC4703" w:rsidRPr="00D5385E">
        <w:rPr>
          <w:rFonts w:ascii="Book Antiqua" w:hAnsi="Book Antiqua" w:cs="Arial"/>
          <w:color w:val="000000" w:themeColor="text1"/>
          <w:sz w:val="24"/>
          <w:szCs w:val="24"/>
          <w:lang w:val="en-US"/>
        </w:rPr>
        <w:t xml:space="preserve"> 28.6%, </w:t>
      </w:r>
      <w:r w:rsidR="006D1438" w:rsidRPr="006D1438">
        <w:rPr>
          <w:rFonts w:ascii="Book Antiqua" w:hAnsi="Book Antiqua" w:cs="Arial"/>
          <w:i/>
          <w:iCs/>
          <w:color w:val="000000" w:themeColor="text1"/>
          <w:sz w:val="24"/>
          <w:szCs w:val="24"/>
          <w:lang w:val="en-US"/>
        </w:rPr>
        <w:t>P</w:t>
      </w:r>
      <w:r w:rsidR="006D1438" w:rsidRPr="00D5385E">
        <w:rPr>
          <w:rFonts w:ascii="Book Antiqua" w:hAnsi="Book Antiqua" w:cs="Arial"/>
          <w:color w:val="000000" w:themeColor="text1"/>
          <w:sz w:val="24"/>
          <w:szCs w:val="24"/>
          <w:lang w:val="en-US"/>
        </w:rPr>
        <w:t xml:space="preserve"> </w:t>
      </w:r>
      <w:r w:rsidR="00CC4703" w:rsidRPr="00D5385E">
        <w:rPr>
          <w:rFonts w:ascii="Book Antiqua" w:hAnsi="Book Antiqua" w:cs="Arial"/>
          <w:color w:val="000000" w:themeColor="text1"/>
          <w:sz w:val="24"/>
          <w:szCs w:val="24"/>
          <w:lang w:val="en-US"/>
        </w:rPr>
        <w:t xml:space="preserve">value &lt; 0.001), as well as systemic steroids (39.8% </w:t>
      </w:r>
      <w:r w:rsidR="006D1438" w:rsidRPr="006D1438">
        <w:rPr>
          <w:rFonts w:ascii="Book Antiqua" w:hAnsi="Book Antiqua" w:cs="Arial"/>
          <w:i/>
          <w:iCs/>
          <w:color w:val="000000" w:themeColor="text1"/>
          <w:sz w:val="24"/>
          <w:szCs w:val="24"/>
          <w:lang w:val="en-US"/>
        </w:rPr>
        <w:t>vs</w:t>
      </w:r>
      <w:r w:rsidR="00CC4703" w:rsidRPr="00D5385E">
        <w:rPr>
          <w:rFonts w:ascii="Book Antiqua" w:hAnsi="Book Antiqua" w:cs="Arial"/>
          <w:color w:val="000000" w:themeColor="text1"/>
          <w:sz w:val="24"/>
          <w:szCs w:val="24"/>
          <w:lang w:val="en-US"/>
        </w:rPr>
        <w:t xml:space="preserve"> 17%, </w:t>
      </w:r>
      <w:r w:rsidR="006D1438" w:rsidRPr="006D1438">
        <w:rPr>
          <w:rFonts w:ascii="Book Antiqua" w:hAnsi="Book Antiqua" w:cs="Arial"/>
          <w:i/>
          <w:iCs/>
          <w:color w:val="000000" w:themeColor="text1"/>
          <w:sz w:val="24"/>
          <w:szCs w:val="24"/>
          <w:lang w:val="en-US"/>
        </w:rPr>
        <w:t>P</w:t>
      </w:r>
      <w:r w:rsidR="006D1438" w:rsidRPr="00D5385E">
        <w:rPr>
          <w:rFonts w:ascii="Book Antiqua" w:hAnsi="Book Antiqua" w:cs="Arial"/>
          <w:color w:val="000000" w:themeColor="text1"/>
          <w:sz w:val="24"/>
          <w:szCs w:val="24"/>
          <w:lang w:val="en-US"/>
        </w:rPr>
        <w:t xml:space="preserve"> </w:t>
      </w:r>
      <w:r w:rsidR="00CC4703" w:rsidRPr="00D5385E">
        <w:rPr>
          <w:rFonts w:ascii="Book Antiqua" w:hAnsi="Book Antiqua" w:cs="Arial"/>
          <w:color w:val="000000" w:themeColor="text1"/>
          <w:sz w:val="24"/>
          <w:szCs w:val="24"/>
          <w:lang w:val="en-US"/>
        </w:rPr>
        <w:t xml:space="preserve">value &lt; </w:t>
      </w:r>
      <w:proofErr w:type="gramStart"/>
      <w:r w:rsidR="00CC4703" w:rsidRPr="00D5385E">
        <w:rPr>
          <w:rFonts w:ascii="Book Antiqua" w:hAnsi="Book Antiqua" w:cs="Arial"/>
          <w:color w:val="000000" w:themeColor="text1"/>
          <w:sz w:val="24"/>
          <w:szCs w:val="24"/>
          <w:lang w:val="en-US"/>
        </w:rPr>
        <w:t>0.001)</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7</w:t>
      </w:r>
      <w:r w:rsidR="00B0569A" w:rsidRPr="00D5385E">
        <w:rPr>
          <w:rFonts w:ascii="Book Antiqua" w:hAnsi="Book Antiqua" w:cs="Arial"/>
          <w:color w:val="000000" w:themeColor="text1"/>
          <w:sz w:val="24"/>
          <w:szCs w:val="24"/>
          <w:vertAlign w:val="superscript"/>
          <w:lang w:val="en-US"/>
        </w:rPr>
        <w:t>]</w:t>
      </w:r>
      <w:r w:rsidR="00CC4703" w:rsidRPr="00D5385E">
        <w:rPr>
          <w:rFonts w:ascii="Book Antiqua" w:hAnsi="Book Antiqua" w:cs="Arial"/>
          <w:color w:val="000000" w:themeColor="text1"/>
          <w:sz w:val="24"/>
          <w:szCs w:val="24"/>
          <w:lang w:val="en-US"/>
        </w:rPr>
        <w:t xml:space="preserve">. The French EPIMAD cohort </w:t>
      </w:r>
      <w:r w:rsidR="00D043F5" w:rsidRPr="00D5385E">
        <w:rPr>
          <w:rFonts w:ascii="Book Antiqua" w:hAnsi="Book Antiqua" w:cs="Arial"/>
          <w:color w:val="000000" w:themeColor="text1"/>
          <w:sz w:val="24"/>
          <w:szCs w:val="24"/>
          <w:lang w:val="en-US"/>
        </w:rPr>
        <w:t xml:space="preserve">supports </w:t>
      </w:r>
      <w:r w:rsidR="00DD5883" w:rsidRPr="00D5385E">
        <w:rPr>
          <w:rFonts w:ascii="Book Antiqua" w:hAnsi="Book Antiqua" w:cs="Arial"/>
          <w:color w:val="000000" w:themeColor="text1"/>
          <w:sz w:val="24"/>
          <w:szCs w:val="24"/>
          <w:lang w:val="en-US"/>
        </w:rPr>
        <w:t>the findings from Hungary, describing decreased prescription rates of immunomodulator drugs in elderly</w:t>
      </w:r>
      <w:r w:rsidR="000A1048">
        <w:rPr>
          <w:rFonts w:ascii="Book Antiqua" w:hAnsi="Book Antiqua" w:cs="Arial"/>
          <w:color w:val="000000" w:themeColor="text1"/>
          <w:sz w:val="24"/>
          <w:szCs w:val="24"/>
          <w:lang w:val="en-US"/>
        </w:rPr>
        <w:t>-</w:t>
      </w:r>
      <w:r w:rsidR="00DD5883" w:rsidRPr="00D5385E">
        <w:rPr>
          <w:rFonts w:ascii="Book Antiqua" w:hAnsi="Book Antiqua" w:cs="Arial"/>
          <w:color w:val="000000" w:themeColor="text1"/>
          <w:sz w:val="24"/>
          <w:szCs w:val="24"/>
          <w:lang w:val="en-US"/>
        </w:rPr>
        <w:t>onset patients (cumulative probability of 27% in CD and 15% in UC at ten years of follow</w:t>
      </w:r>
      <w:r w:rsidR="000A1048">
        <w:rPr>
          <w:rFonts w:ascii="Book Antiqua" w:hAnsi="Book Antiqua" w:cs="Arial"/>
          <w:color w:val="000000" w:themeColor="text1"/>
          <w:sz w:val="24"/>
          <w:szCs w:val="24"/>
          <w:lang w:val="en-US"/>
        </w:rPr>
        <w:t>-</w:t>
      </w:r>
      <w:r w:rsidR="00DD5883" w:rsidRPr="00D5385E">
        <w:rPr>
          <w:rFonts w:ascii="Book Antiqua" w:hAnsi="Book Antiqua" w:cs="Arial"/>
          <w:color w:val="000000" w:themeColor="text1"/>
          <w:sz w:val="24"/>
          <w:szCs w:val="24"/>
          <w:lang w:val="en-US"/>
        </w:rPr>
        <w:t>up), a</w:t>
      </w:r>
      <w:r w:rsidR="00B0569A" w:rsidRPr="00D5385E">
        <w:rPr>
          <w:rFonts w:ascii="Book Antiqua" w:hAnsi="Book Antiqua" w:cs="Arial"/>
          <w:color w:val="000000" w:themeColor="text1"/>
          <w:sz w:val="24"/>
          <w:szCs w:val="24"/>
          <w:lang w:val="en-US"/>
        </w:rPr>
        <w:t>s well as higher rates of 5</w:t>
      </w:r>
      <w:r w:rsidR="000A1048">
        <w:rPr>
          <w:rFonts w:ascii="Book Antiqua" w:hAnsi="Book Antiqua" w:cs="Arial"/>
          <w:color w:val="000000" w:themeColor="text1"/>
          <w:sz w:val="24"/>
          <w:szCs w:val="24"/>
          <w:lang w:val="en-US"/>
        </w:rPr>
        <w:t>-</w:t>
      </w:r>
      <w:r w:rsidR="00B0569A" w:rsidRPr="00D5385E">
        <w:rPr>
          <w:rFonts w:ascii="Book Antiqua" w:hAnsi="Book Antiqua" w:cs="Arial"/>
          <w:color w:val="000000" w:themeColor="text1"/>
          <w:sz w:val="24"/>
          <w:szCs w:val="24"/>
          <w:lang w:val="en-US"/>
        </w:rPr>
        <w:t xml:space="preserve">Aminosalicylic Acid products </w:t>
      </w:r>
      <w:r w:rsidR="00DD5883" w:rsidRPr="00D5385E">
        <w:rPr>
          <w:rFonts w:ascii="Book Antiqua" w:hAnsi="Book Antiqua" w:cs="Arial"/>
          <w:color w:val="000000" w:themeColor="text1"/>
          <w:sz w:val="24"/>
          <w:szCs w:val="24"/>
          <w:lang w:val="en-US"/>
        </w:rPr>
        <w:t xml:space="preserve">(cumulative probability of 80% in CD and 84% in UC), due to its </w:t>
      </w:r>
      <w:r w:rsidR="00B0569A" w:rsidRPr="00D5385E">
        <w:rPr>
          <w:rFonts w:ascii="Book Antiqua" w:hAnsi="Book Antiqua" w:cs="Arial"/>
          <w:color w:val="000000" w:themeColor="text1"/>
          <w:sz w:val="24"/>
          <w:szCs w:val="24"/>
          <w:lang w:val="en-US"/>
        </w:rPr>
        <w:t>perceived safety in the elderly</w:t>
      </w:r>
      <w:r w:rsidR="00864AC3" w:rsidRPr="00D5385E">
        <w:rPr>
          <w:rFonts w:ascii="Book Antiqua" w:hAnsi="Book Antiqua" w:cs="Arial"/>
          <w:color w:val="000000" w:themeColor="text1"/>
          <w:sz w:val="24"/>
          <w:szCs w:val="24"/>
          <w:vertAlign w:val="superscript"/>
          <w:lang w:val="en-US"/>
        </w:rPr>
        <w:t>[8</w:t>
      </w:r>
      <w:r w:rsidR="00B0569A" w:rsidRPr="00D5385E">
        <w:rPr>
          <w:rFonts w:ascii="Book Antiqua" w:hAnsi="Book Antiqua" w:cs="Arial"/>
          <w:color w:val="000000" w:themeColor="text1"/>
          <w:sz w:val="24"/>
          <w:szCs w:val="24"/>
          <w:vertAlign w:val="superscript"/>
          <w:lang w:val="en-US"/>
        </w:rPr>
        <w:t>]</w:t>
      </w:r>
      <w:r w:rsidR="00B0569A" w:rsidRPr="00D5385E">
        <w:rPr>
          <w:rFonts w:ascii="Book Antiqua" w:hAnsi="Book Antiqua" w:cs="Arial"/>
          <w:color w:val="000000" w:themeColor="text1"/>
          <w:sz w:val="24"/>
          <w:szCs w:val="24"/>
          <w:lang w:val="en-US"/>
        </w:rPr>
        <w:t>.</w:t>
      </w:r>
    </w:p>
    <w:p w14:paraId="62149C41" w14:textId="2E196A17" w:rsidR="00390500" w:rsidRPr="00D5385E" w:rsidRDefault="0067368E"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w:t>
      </w:r>
      <w:r w:rsidR="001B2ADD" w:rsidRPr="00D5385E">
        <w:rPr>
          <w:rFonts w:ascii="Book Antiqua" w:hAnsi="Book Antiqua" w:cs="Arial"/>
          <w:color w:val="000000" w:themeColor="text1"/>
          <w:sz w:val="24"/>
          <w:szCs w:val="24"/>
          <w:lang w:val="en-US"/>
        </w:rPr>
        <w:t xml:space="preserve">dvanced age in IBD has been associated with increased risk of </w:t>
      </w:r>
      <w:r w:rsidR="002B0FD4" w:rsidRPr="00D5385E">
        <w:rPr>
          <w:rFonts w:ascii="Book Antiqua" w:hAnsi="Book Antiqua" w:cs="Arial"/>
          <w:color w:val="000000" w:themeColor="text1"/>
          <w:sz w:val="24"/>
          <w:szCs w:val="24"/>
          <w:lang w:val="en-US"/>
        </w:rPr>
        <w:t xml:space="preserve">infections, </w:t>
      </w:r>
      <w:r w:rsidR="001B2ADD" w:rsidRPr="00D5385E">
        <w:rPr>
          <w:rFonts w:ascii="Book Antiqua" w:hAnsi="Book Antiqua" w:cs="Arial"/>
          <w:color w:val="000000" w:themeColor="text1"/>
          <w:sz w:val="24"/>
          <w:szCs w:val="24"/>
          <w:lang w:val="en-US"/>
        </w:rPr>
        <w:t>malignancy, polypharmacy, comorbidities, corticosteroid</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 xml:space="preserve">induced complications, malnutrition, perioperative morbidity and </w:t>
      </w:r>
      <w:proofErr w:type="gramStart"/>
      <w:r w:rsidR="001B2ADD" w:rsidRPr="00D5385E">
        <w:rPr>
          <w:rFonts w:ascii="Book Antiqua" w:hAnsi="Book Antiqua" w:cs="Arial"/>
          <w:color w:val="000000" w:themeColor="text1"/>
          <w:sz w:val="24"/>
          <w:szCs w:val="24"/>
          <w:lang w:val="en-US"/>
        </w:rPr>
        <w:t>mortality</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10</w:t>
      </w:r>
      <w:r w:rsidR="00E3443D" w:rsidRPr="00D5385E">
        <w:rPr>
          <w:rFonts w:ascii="Book Antiqua" w:hAnsi="Book Antiqua" w:cs="Arial"/>
          <w:color w:val="000000" w:themeColor="text1"/>
          <w:sz w:val="24"/>
          <w:szCs w:val="24"/>
          <w:vertAlign w:val="superscript"/>
          <w:lang w:val="en-US"/>
        </w:rPr>
        <w:t>]</w:t>
      </w:r>
      <w:r w:rsidR="001B2ADD" w:rsidRPr="00D5385E">
        <w:rPr>
          <w:rFonts w:ascii="Book Antiqua" w:hAnsi="Book Antiqua" w:cs="Arial"/>
          <w:color w:val="000000" w:themeColor="text1"/>
          <w:sz w:val="24"/>
          <w:szCs w:val="24"/>
          <w:lang w:val="en-US"/>
        </w:rPr>
        <w:t xml:space="preserve">. In fact, retrospective data </w:t>
      </w:r>
      <w:r w:rsidR="001B2ADD" w:rsidRPr="00D5385E">
        <w:rPr>
          <w:rFonts w:ascii="Book Antiqua" w:hAnsi="Book Antiqua" w:cs="Arial"/>
          <w:color w:val="000000" w:themeColor="text1"/>
          <w:sz w:val="24"/>
          <w:szCs w:val="24"/>
          <w:lang w:val="en-US"/>
        </w:rPr>
        <w:lastRenderedPageBreak/>
        <w:t>suggest a ten</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fold increase in the 30</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day post</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 xml:space="preserve">operative mortality among elderly IBD patients compared to a younger population (CD 4.2% </w:t>
      </w:r>
      <w:r w:rsidR="006D1438" w:rsidRPr="006D1438">
        <w:rPr>
          <w:rFonts w:ascii="Book Antiqua" w:hAnsi="Book Antiqua" w:cs="Arial"/>
          <w:i/>
          <w:iCs/>
          <w:color w:val="000000" w:themeColor="text1"/>
          <w:sz w:val="24"/>
          <w:szCs w:val="24"/>
          <w:lang w:val="en-US"/>
        </w:rPr>
        <w:t>vs</w:t>
      </w:r>
      <w:r w:rsidR="001B2ADD" w:rsidRPr="00D5385E">
        <w:rPr>
          <w:rFonts w:ascii="Book Antiqua" w:hAnsi="Book Antiqua" w:cs="Arial"/>
          <w:color w:val="000000" w:themeColor="text1"/>
          <w:sz w:val="24"/>
          <w:szCs w:val="24"/>
          <w:lang w:val="en-US"/>
        </w:rPr>
        <w:t xml:space="preserve"> 0.3%; UC 6.1% </w:t>
      </w:r>
      <w:r w:rsidR="006D1438" w:rsidRPr="006D1438">
        <w:rPr>
          <w:rFonts w:ascii="Book Antiqua" w:hAnsi="Book Antiqua" w:cs="Arial"/>
          <w:i/>
          <w:iCs/>
          <w:color w:val="000000" w:themeColor="text1"/>
          <w:sz w:val="24"/>
          <w:szCs w:val="24"/>
          <w:lang w:val="en-US"/>
        </w:rPr>
        <w:t>vs</w:t>
      </w:r>
      <w:r w:rsidR="001B2ADD" w:rsidRPr="00D5385E">
        <w:rPr>
          <w:rFonts w:ascii="Book Antiqua" w:hAnsi="Book Antiqua" w:cs="Arial"/>
          <w:color w:val="000000" w:themeColor="text1"/>
          <w:sz w:val="24"/>
          <w:szCs w:val="24"/>
          <w:lang w:val="en-US"/>
        </w:rPr>
        <w:t xml:space="preserve"> 0.7</w:t>
      </w:r>
      <w:proofErr w:type="gramStart"/>
      <w:r w:rsidR="001B2ADD" w:rsidRPr="00D5385E">
        <w:rPr>
          <w:rFonts w:ascii="Book Antiqua" w:hAnsi="Book Antiqua" w:cs="Arial"/>
          <w:color w:val="000000" w:themeColor="text1"/>
          <w:sz w:val="24"/>
          <w:szCs w:val="24"/>
          <w:lang w:val="en-US"/>
        </w:rPr>
        <w:t>%)</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11</w:t>
      </w:r>
      <w:r w:rsidR="00E3443D" w:rsidRPr="00D5385E">
        <w:rPr>
          <w:rFonts w:ascii="Book Antiqua" w:hAnsi="Book Antiqua" w:cs="Arial"/>
          <w:color w:val="000000" w:themeColor="text1"/>
          <w:sz w:val="24"/>
          <w:szCs w:val="24"/>
          <w:vertAlign w:val="superscript"/>
          <w:lang w:val="en-US"/>
        </w:rPr>
        <w:t>]</w:t>
      </w:r>
      <w:r w:rsidR="001B2ADD" w:rsidRPr="00D5385E">
        <w:rPr>
          <w:rFonts w:ascii="Book Antiqua" w:hAnsi="Book Antiqua" w:cs="Arial"/>
          <w:color w:val="000000" w:themeColor="text1"/>
          <w:sz w:val="24"/>
          <w:szCs w:val="24"/>
          <w:lang w:val="en-US"/>
        </w:rPr>
        <w:t>. In order to avoid the IBD</w:t>
      </w:r>
      <w:r w:rsidR="000A1048">
        <w:rPr>
          <w:rFonts w:ascii="Book Antiqua" w:hAnsi="Book Antiqua" w:cs="Arial"/>
          <w:color w:val="000000" w:themeColor="text1"/>
          <w:sz w:val="24"/>
          <w:szCs w:val="24"/>
          <w:lang w:val="en-US"/>
        </w:rPr>
        <w:t>-</w:t>
      </w:r>
      <w:r w:rsidR="001B2ADD" w:rsidRPr="00D5385E">
        <w:rPr>
          <w:rFonts w:ascii="Book Antiqua" w:hAnsi="Book Antiqua" w:cs="Arial"/>
          <w:color w:val="000000" w:themeColor="text1"/>
          <w:sz w:val="24"/>
          <w:szCs w:val="24"/>
          <w:lang w:val="en-US"/>
        </w:rPr>
        <w:t>related complications and their impact on elderly patients’ quality of life, controlling disease remains crucial. Over the last twenty years, use of biologic agents has revolutionized the IBD therapeutic landscape, leading to major changes in therapeutic targets in order to prevent recurrent flares. However, concerns about decreased efficacy due to immune senescence and a higher side effect profile in the elderly population has led to a relative underutilization of biologic agents, not solely explained by milder disease severity seen in the elderly population</w:t>
      </w:r>
      <w:r w:rsidR="002243C5" w:rsidRPr="00D5385E">
        <w:rPr>
          <w:rFonts w:ascii="Book Antiqua" w:hAnsi="Book Antiqua" w:cs="Arial"/>
          <w:color w:val="000000" w:themeColor="text1"/>
          <w:sz w:val="24"/>
          <w:szCs w:val="24"/>
          <w:lang w:val="en-US"/>
        </w:rPr>
        <w:t>. In the current state of evolving treatment targets, t</w:t>
      </w:r>
      <w:r w:rsidR="00FD6B8B" w:rsidRPr="00D5385E">
        <w:rPr>
          <w:rFonts w:ascii="Book Antiqua" w:hAnsi="Book Antiqua" w:cs="Arial"/>
          <w:color w:val="000000" w:themeColor="text1"/>
          <w:sz w:val="24"/>
          <w:szCs w:val="24"/>
          <w:lang w:val="en-US"/>
        </w:rPr>
        <w:t>his</w:t>
      </w:r>
      <w:r w:rsidR="00D657FB" w:rsidRPr="00D5385E">
        <w:rPr>
          <w:rFonts w:ascii="Book Antiqua" w:hAnsi="Book Antiqua" w:cs="Arial"/>
          <w:color w:val="000000" w:themeColor="text1"/>
          <w:sz w:val="24"/>
          <w:szCs w:val="24"/>
          <w:lang w:val="en-US"/>
        </w:rPr>
        <w:t xml:space="preserve"> review will provide an evidence</w:t>
      </w:r>
      <w:r w:rsidR="000A1048">
        <w:rPr>
          <w:rFonts w:ascii="Book Antiqua" w:hAnsi="Book Antiqua" w:cs="Arial"/>
          <w:color w:val="000000" w:themeColor="text1"/>
          <w:sz w:val="24"/>
          <w:szCs w:val="24"/>
          <w:lang w:val="en-US"/>
        </w:rPr>
        <w:t>-</w:t>
      </w:r>
      <w:r w:rsidR="00D657FB" w:rsidRPr="00D5385E">
        <w:rPr>
          <w:rFonts w:ascii="Book Antiqua" w:hAnsi="Book Antiqua" w:cs="Arial"/>
          <w:color w:val="000000" w:themeColor="text1"/>
          <w:sz w:val="24"/>
          <w:szCs w:val="24"/>
          <w:lang w:val="en-US"/>
        </w:rPr>
        <w:t>based summary of the efficacy and safety of the IBD therapeutic agents</w:t>
      </w:r>
      <w:r w:rsidR="00A850F9" w:rsidRPr="00D5385E">
        <w:rPr>
          <w:rFonts w:ascii="Book Antiqua" w:hAnsi="Book Antiqua" w:cs="Arial"/>
          <w:color w:val="000000" w:themeColor="text1"/>
          <w:sz w:val="24"/>
          <w:szCs w:val="24"/>
          <w:lang w:val="en-US"/>
        </w:rPr>
        <w:t xml:space="preserve"> in</w:t>
      </w:r>
      <w:r w:rsidR="00D657FB" w:rsidRPr="00D5385E">
        <w:rPr>
          <w:rFonts w:ascii="Book Antiqua" w:hAnsi="Book Antiqua" w:cs="Arial"/>
          <w:color w:val="000000" w:themeColor="text1"/>
          <w:sz w:val="24"/>
          <w:szCs w:val="24"/>
          <w:lang w:val="en-US"/>
        </w:rPr>
        <w:t xml:space="preserve"> the elderly population. </w:t>
      </w:r>
    </w:p>
    <w:p w14:paraId="67CF987E" w14:textId="77777777" w:rsidR="00992580" w:rsidRPr="00D5385E" w:rsidRDefault="00992580" w:rsidP="00D5385E">
      <w:pPr>
        <w:adjustRightInd w:val="0"/>
        <w:snapToGrid w:val="0"/>
        <w:spacing w:after="0" w:line="360" w:lineRule="auto"/>
        <w:jc w:val="both"/>
        <w:rPr>
          <w:rFonts w:ascii="Book Antiqua" w:hAnsi="Book Antiqua" w:cs="Arial"/>
          <w:color w:val="000000" w:themeColor="text1"/>
          <w:sz w:val="24"/>
          <w:szCs w:val="24"/>
          <w:lang w:val="en-US"/>
        </w:rPr>
      </w:pPr>
    </w:p>
    <w:p w14:paraId="4BBB495F" w14:textId="7B6A16C5" w:rsidR="00CB68AD" w:rsidRPr="00D5385E" w:rsidRDefault="00290606"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OUTCOME</w:t>
      </w:r>
      <w:r w:rsidR="00F46E8C" w:rsidRPr="00D5385E">
        <w:rPr>
          <w:rFonts w:ascii="Book Antiqua" w:hAnsi="Book Antiqua" w:cs="Arial"/>
          <w:b/>
          <w:color w:val="000000" w:themeColor="text1"/>
          <w:sz w:val="24"/>
          <w:szCs w:val="24"/>
          <w:lang w:val="en-US"/>
        </w:rPr>
        <w:t xml:space="preserve"> </w:t>
      </w:r>
      <w:r w:rsidRPr="00D5385E">
        <w:rPr>
          <w:rFonts w:ascii="Book Antiqua" w:hAnsi="Book Antiqua" w:cs="Arial"/>
          <w:b/>
          <w:color w:val="000000" w:themeColor="text1"/>
          <w:sz w:val="24"/>
          <w:szCs w:val="24"/>
          <w:lang w:val="en-US"/>
        </w:rPr>
        <w:t>MEASURES</w:t>
      </w:r>
    </w:p>
    <w:p w14:paraId="28BEE4FB" w14:textId="2FF881BF" w:rsidR="00992580" w:rsidRPr="00D5385E" w:rsidRDefault="006C5803"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Influential IBD </w:t>
      </w:r>
      <w:r w:rsidR="00F24209" w:rsidRPr="00D5385E">
        <w:rPr>
          <w:rFonts w:ascii="Book Antiqua" w:hAnsi="Book Antiqua" w:cs="Arial"/>
          <w:color w:val="000000" w:themeColor="text1"/>
          <w:sz w:val="24"/>
          <w:szCs w:val="24"/>
          <w:lang w:val="en-US"/>
        </w:rPr>
        <w:t xml:space="preserve">drug clinical </w:t>
      </w:r>
      <w:r w:rsidRPr="00D5385E">
        <w:rPr>
          <w:rFonts w:ascii="Book Antiqua" w:hAnsi="Book Antiqua" w:cs="Arial"/>
          <w:color w:val="000000" w:themeColor="text1"/>
          <w:sz w:val="24"/>
          <w:szCs w:val="24"/>
          <w:lang w:val="en-US"/>
        </w:rPr>
        <w:t>trials have focused on disease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related outcomes, such as clinical response or remission, avoidance of corticosteroid </w:t>
      </w:r>
      <w:proofErr w:type="gramStart"/>
      <w:r w:rsidRPr="00D5385E">
        <w:rPr>
          <w:rFonts w:ascii="Book Antiqua" w:hAnsi="Book Antiqua" w:cs="Arial"/>
          <w:color w:val="000000" w:themeColor="text1"/>
          <w:sz w:val="24"/>
          <w:szCs w:val="24"/>
          <w:lang w:val="en-US"/>
        </w:rPr>
        <w:t>use</w:t>
      </w:r>
      <w:proofErr w:type="gramEnd"/>
      <w:r w:rsidRPr="00D5385E">
        <w:rPr>
          <w:rFonts w:ascii="Book Antiqua" w:hAnsi="Book Antiqua" w:cs="Arial"/>
          <w:color w:val="000000" w:themeColor="text1"/>
          <w:sz w:val="24"/>
          <w:szCs w:val="24"/>
          <w:lang w:val="en-US"/>
        </w:rPr>
        <w:t xml:space="preserve"> and post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operative morbidity and mortality. In the last ten </w:t>
      </w:r>
      <w:r w:rsidR="00AA7432" w:rsidRPr="00D5385E">
        <w:rPr>
          <w:rFonts w:ascii="Book Antiqua" w:hAnsi="Book Antiqua" w:cs="Arial"/>
          <w:color w:val="000000" w:themeColor="text1"/>
          <w:sz w:val="24"/>
          <w:szCs w:val="24"/>
          <w:lang w:val="en-US"/>
        </w:rPr>
        <w:t xml:space="preserve">years, American and European Associations have produced </w:t>
      </w:r>
      <w:r w:rsidR="00504BAF" w:rsidRPr="00D5385E">
        <w:rPr>
          <w:rFonts w:ascii="Book Antiqua" w:hAnsi="Book Antiqua" w:cs="Arial"/>
          <w:color w:val="000000" w:themeColor="text1"/>
          <w:sz w:val="24"/>
          <w:szCs w:val="24"/>
          <w:lang w:val="en-US"/>
        </w:rPr>
        <w:t xml:space="preserve">guidelines </w:t>
      </w:r>
      <w:r w:rsidR="00AA7432" w:rsidRPr="00D5385E">
        <w:rPr>
          <w:rFonts w:ascii="Book Antiqua" w:hAnsi="Book Antiqua" w:cs="Arial"/>
          <w:color w:val="000000" w:themeColor="text1"/>
          <w:sz w:val="24"/>
          <w:szCs w:val="24"/>
          <w:lang w:val="en-US"/>
        </w:rPr>
        <w:t>in order to</w:t>
      </w:r>
      <w:r w:rsidR="00504BAF" w:rsidRPr="00D5385E">
        <w:rPr>
          <w:rFonts w:ascii="Book Antiqua" w:hAnsi="Book Antiqua" w:cs="Arial"/>
          <w:color w:val="000000" w:themeColor="text1"/>
          <w:sz w:val="24"/>
          <w:szCs w:val="24"/>
          <w:lang w:val="en-US"/>
        </w:rPr>
        <w:t xml:space="preserve"> </w:t>
      </w:r>
      <w:r w:rsidR="00AA7432" w:rsidRPr="00D5385E">
        <w:rPr>
          <w:rFonts w:ascii="Book Antiqua" w:hAnsi="Book Antiqua" w:cs="Arial"/>
          <w:color w:val="000000" w:themeColor="text1"/>
          <w:sz w:val="24"/>
          <w:szCs w:val="24"/>
          <w:lang w:val="en-US"/>
        </w:rPr>
        <w:t>ensure</w:t>
      </w:r>
      <w:r w:rsidR="00504BAF" w:rsidRPr="00D5385E">
        <w:rPr>
          <w:rFonts w:ascii="Book Antiqua" w:hAnsi="Book Antiqua" w:cs="Arial"/>
          <w:color w:val="000000" w:themeColor="text1"/>
          <w:sz w:val="24"/>
          <w:szCs w:val="24"/>
          <w:lang w:val="en-US"/>
        </w:rPr>
        <w:t xml:space="preserve"> a transition towards </w:t>
      </w:r>
      <w:r w:rsidR="0083048F" w:rsidRPr="00D5385E">
        <w:rPr>
          <w:rFonts w:ascii="Book Antiqua" w:hAnsi="Book Antiqua" w:cs="Arial"/>
          <w:color w:val="000000" w:themeColor="text1"/>
          <w:sz w:val="24"/>
          <w:szCs w:val="24"/>
          <w:lang w:val="en-US"/>
        </w:rPr>
        <w:t xml:space="preserve">objective outcomes, </w:t>
      </w:r>
      <w:r w:rsidR="00F24209" w:rsidRPr="00D5385E">
        <w:rPr>
          <w:rFonts w:ascii="Book Antiqua" w:hAnsi="Book Antiqua" w:cs="Arial"/>
          <w:color w:val="000000" w:themeColor="text1"/>
          <w:sz w:val="24"/>
          <w:szCs w:val="24"/>
          <w:lang w:val="en-US"/>
        </w:rPr>
        <w:t xml:space="preserve">namely </w:t>
      </w:r>
      <w:r w:rsidR="0083048F" w:rsidRPr="00D5385E">
        <w:rPr>
          <w:rFonts w:ascii="Book Antiqua" w:hAnsi="Book Antiqua" w:cs="Arial"/>
          <w:color w:val="000000" w:themeColor="text1"/>
          <w:sz w:val="24"/>
          <w:szCs w:val="24"/>
          <w:lang w:val="en-US"/>
        </w:rPr>
        <w:t>mucosal healing</w:t>
      </w:r>
      <w:r w:rsidR="00AA7432" w:rsidRPr="00D5385E">
        <w:rPr>
          <w:rFonts w:ascii="Book Antiqua" w:hAnsi="Book Antiqua" w:cs="Arial"/>
          <w:color w:val="000000" w:themeColor="text1"/>
          <w:sz w:val="24"/>
          <w:szCs w:val="24"/>
          <w:lang w:val="en-US"/>
        </w:rPr>
        <w:t xml:space="preserve"> </w:t>
      </w:r>
      <w:r w:rsidR="0083048F" w:rsidRPr="00D5385E">
        <w:rPr>
          <w:rFonts w:ascii="Book Antiqua" w:hAnsi="Book Antiqua" w:cs="Arial"/>
          <w:color w:val="000000" w:themeColor="text1"/>
          <w:sz w:val="24"/>
          <w:szCs w:val="24"/>
          <w:lang w:val="en-US"/>
        </w:rPr>
        <w:t xml:space="preserve">and its </w:t>
      </w:r>
      <w:r w:rsidR="00504BAF" w:rsidRPr="00D5385E">
        <w:rPr>
          <w:rFonts w:ascii="Book Antiqua" w:hAnsi="Book Antiqua" w:cs="Arial"/>
          <w:color w:val="000000" w:themeColor="text1"/>
          <w:sz w:val="24"/>
          <w:szCs w:val="24"/>
          <w:lang w:val="en-US"/>
        </w:rPr>
        <w:t>biochemical</w:t>
      </w:r>
      <w:r w:rsidR="00F24209" w:rsidRPr="00D5385E">
        <w:rPr>
          <w:rFonts w:ascii="Book Antiqua" w:hAnsi="Book Antiqua" w:cs="Arial"/>
          <w:color w:val="000000" w:themeColor="text1"/>
          <w:sz w:val="24"/>
          <w:szCs w:val="24"/>
          <w:lang w:val="en-US"/>
        </w:rPr>
        <w:t xml:space="preserve"> </w:t>
      </w:r>
      <w:r w:rsidR="00504BAF" w:rsidRPr="00D5385E">
        <w:rPr>
          <w:rFonts w:ascii="Book Antiqua" w:hAnsi="Book Antiqua" w:cs="Arial"/>
          <w:color w:val="000000" w:themeColor="text1"/>
          <w:sz w:val="24"/>
          <w:szCs w:val="24"/>
          <w:lang w:val="en-US"/>
        </w:rPr>
        <w:t>surro</w:t>
      </w:r>
      <w:r w:rsidR="0083048F" w:rsidRPr="00D5385E">
        <w:rPr>
          <w:rFonts w:ascii="Book Antiqua" w:hAnsi="Book Antiqua" w:cs="Arial"/>
          <w:color w:val="000000" w:themeColor="text1"/>
          <w:sz w:val="24"/>
          <w:szCs w:val="24"/>
          <w:lang w:val="en-US"/>
        </w:rPr>
        <w:t>gates, such as</w:t>
      </w:r>
      <w:r w:rsidR="00504BAF" w:rsidRPr="00D5385E">
        <w:rPr>
          <w:rFonts w:ascii="Book Antiqua" w:hAnsi="Book Antiqua" w:cs="Arial"/>
          <w:color w:val="000000" w:themeColor="text1"/>
          <w:sz w:val="24"/>
          <w:szCs w:val="24"/>
          <w:lang w:val="en-US"/>
        </w:rPr>
        <w:t xml:space="preserve"> C</w:t>
      </w:r>
      <w:r w:rsidR="000A1048">
        <w:rPr>
          <w:rFonts w:ascii="Book Antiqua" w:hAnsi="Book Antiqua" w:cs="Arial"/>
          <w:color w:val="000000" w:themeColor="text1"/>
          <w:sz w:val="24"/>
          <w:szCs w:val="24"/>
          <w:lang w:val="en-US"/>
        </w:rPr>
        <w:t>-</w:t>
      </w:r>
      <w:r w:rsidR="00504BAF" w:rsidRPr="00D5385E">
        <w:rPr>
          <w:rFonts w:ascii="Book Antiqua" w:hAnsi="Book Antiqua" w:cs="Arial"/>
          <w:color w:val="000000" w:themeColor="text1"/>
          <w:sz w:val="24"/>
          <w:szCs w:val="24"/>
          <w:lang w:val="en-US"/>
        </w:rPr>
        <w:t>reactive protein (CR</w:t>
      </w:r>
      <w:r w:rsidR="002F70BB" w:rsidRPr="00D5385E">
        <w:rPr>
          <w:rFonts w:ascii="Book Antiqua" w:hAnsi="Book Antiqua" w:cs="Arial"/>
          <w:color w:val="000000" w:themeColor="text1"/>
          <w:sz w:val="24"/>
          <w:szCs w:val="24"/>
          <w:lang w:val="en-US"/>
        </w:rPr>
        <w:t>P</w:t>
      </w:r>
      <w:r w:rsidR="00786FE4" w:rsidRPr="00D5385E">
        <w:rPr>
          <w:rFonts w:ascii="Book Antiqua" w:hAnsi="Book Antiqua" w:cs="Arial"/>
          <w:color w:val="000000" w:themeColor="text1"/>
          <w:sz w:val="24"/>
          <w:szCs w:val="24"/>
          <w:lang w:val="en-US"/>
        </w:rPr>
        <w:t>) and fecal calprotectin (FCAL</w:t>
      </w:r>
      <w:proofErr w:type="gramStart"/>
      <w:r w:rsidR="00786FE4" w:rsidRPr="00D5385E">
        <w:rPr>
          <w:rFonts w:ascii="Book Antiqua" w:hAnsi="Book Antiqua" w:cs="Arial"/>
          <w:color w:val="000000" w:themeColor="text1"/>
          <w:sz w:val="24"/>
          <w:szCs w:val="24"/>
          <w:lang w:val="en-US"/>
        </w:rPr>
        <w:t>)</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12</w:t>
      </w:r>
      <w:r w:rsidR="000A1048">
        <w:rPr>
          <w:rFonts w:ascii="Book Antiqua" w:hAnsi="Book Antiqua" w:cs="Arial"/>
          <w:color w:val="000000" w:themeColor="text1"/>
          <w:sz w:val="24"/>
          <w:szCs w:val="24"/>
          <w:vertAlign w:val="superscript"/>
          <w:lang w:val="en-US"/>
        </w:rPr>
        <w:t>-</w:t>
      </w:r>
      <w:r w:rsidR="00864AC3" w:rsidRPr="00D5385E">
        <w:rPr>
          <w:rFonts w:ascii="Book Antiqua" w:hAnsi="Book Antiqua" w:cs="Arial"/>
          <w:color w:val="000000" w:themeColor="text1"/>
          <w:sz w:val="24"/>
          <w:szCs w:val="24"/>
          <w:vertAlign w:val="superscript"/>
          <w:lang w:val="en-US"/>
        </w:rPr>
        <w:t>13</w:t>
      </w:r>
      <w:r w:rsidR="00E3443D" w:rsidRPr="00D5385E">
        <w:rPr>
          <w:rFonts w:ascii="Book Antiqua" w:hAnsi="Book Antiqua" w:cs="Arial"/>
          <w:color w:val="000000" w:themeColor="text1"/>
          <w:sz w:val="24"/>
          <w:szCs w:val="24"/>
          <w:vertAlign w:val="superscript"/>
          <w:lang w:val="en-US"/>
        </w:rPr>
        <w:t>]</w:t>
      </w:r>
      <w:r w:rsidR="00786FE4" w:rsidRPr="00D5385E">
        <w:rPr>
          <w:rFonts w:ascii="Book Antiqua" w:hAnsi="Book Antiqua" w:cs="Arial"/>
          <w:color w:val="000000" w:themeColor="text1"/>
          <w:sz w:val="24"/>
          <w:szCs w:val="24"/>
          <w:lang w:val="en-US"/>
        </w:rPr>
        <w:t xml:space="preserve">. </w:t>
      </w:r>
      <w:r w:rsidR="0083048F" w:rsidRPr="00D5385E">
        <w:rPr>
          <w:rFonts w:ascii="Book Antiqua" w:hAnsi="Book Antiqua" w:cs="Arial"/>
          <w:color w:val="000000" w:themeColor="text1"/>
          <w:sz w:val="24"/>
          <w:szCs w:val="24"/>
          <w:lang w:val="en-US"/>
        </w:rPr>
        <w:t xml:space="preserve">Although mucosal healing </w:t>
      </w:r>
      <w:r w:rsidR="00992580" w:rsidRPr="00D5385E">
        <w:rPr>
          <w:rFonts w:ascii="Book Antiqua" w:hAnsi="Book Antiqua" w:cs="Arial"/>
          <w:color w:val="000000" w:themeColor="text1"/>
          <w:sz w:val="24"/>
          <w:szCs w:val="24"/>
          <w:lang w:val="en-US"/>
        </w:rPr>
        <w:t>remains an ideal</w:t>
      </w:r>
      <w:r w:rsidR="0083048F" w:rsidRPr="00D5385E">
        <w:rPr>
          <w:rFonts w:ascii="Book Antiqua" w:hAnsi="Book Antiqua" w:cs="Arial"/>
          <w:color w:val="000000" w:themeColor="text1"/>
          <w:sz w:val="24"/>
          <w:szCs w:val="24"/>
          <w:lang w:val="en-US"/>
        </w:rPr>
        <w:t xml:space="preserve"> treatment target, therapeutic goals in elderly patients may be different in light of their relatively shorter lifespan compared to the adult population. Indeed, physicians may opt to tolerate mild </w:t>
      </w:r>
      <w:r w:rsidR="00992580" w:rsidRPr="00D5385E">
        <w:rPr>
          <w:rFonts w:ascii="Book Antiqua" w:hAnsi="Book Antiqua" w:cs="Arial"/>
          <w:color w:val="000000" w:themeColor="text1"/>
          <w:sz w:val="24"/>
          <w:szCs w:val="24"/>
          <w:lang w:val="en-US"/>
        </w:rPr>
        <w:t>endoscopic activity in view of perceived lower long</w:t>
      </w:r>
      <w:r w:rsidR="000A1048">
        <w:rPr>
          <w:rFonts w:ascii="Book Antiqua" w:hAnsi="Book Antiqua" w:cs="Arial"/>
          <w:color w:val="000000" w:themeColor="text1"/>
          <w:sz w:val="24"/>
          <w:szCs w:val="24"/>
          <w:lang w:val="en-US"/>
        </w:rPr>
        <w:t>-</w:t>
      </w:r>
      <w:r w:rsidR="00992580" w:rsidRPr="00D5385E">
        <w:rPr>
          <w:rFonts w:ascii="Book Antiqua" w:hAnsi="Book Antiqua" w:cs="Arial"/>
          <w:color w:val="000000" w:themeColor="text1"/>
          <w:sz w:val="24"/>
          <w:szCs w:val="24"/>
          <w:lang w:val="en-US"/>
        </w:rPr>
        <w:t>term risks of colorectal malignancy or IBD</w:t>
      </w:r>
      <w:r w:rsidR="000A1048">
        <w:rPr>
          <w:rFonts w:ascii="Book Antiqua" w:hAnsi="Book Antiqua" w:cs="Arial"/>
          <w:color w:val="000000" w:themeColor="text1"/>
          <w:sz w:val="24"/>
          <w:szCs w:val="24"/>
          <w:lang w:val="en-US"/>
        </w:rPr>
        <w:t>-</w:t>
      </w:r>
      <w:r w:rsidR="00992580" w:rsidRPr="00D5385E">
        <w:rPr>
          <w:rFonts w:ascii="Book Antiqua" w:hAnsi="Book Antiqua" w:cs="Arial"/>
          <w:color w:val="000000" w:themeColor="text1"/>
          <w:sz w:val="24"/>
          <w:szCs w:val="24"/>
          <w:lang w:val="en-US"/>
        </w:rPr>
        <w:t>related complications.</w:t>
      </w:r>
    </w:p>
    <w:p w14:paraId="2BEFD451" w14:textId="08CCE7D4" w:rsidR="00CD2BE2" w:rsidRPr="00D5385E" w:rsidRDefault="00992580"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CRP and FCAL</w:t>
      </w:r>
      <w:r w:rsidR="00786FE4" w:rsidRPr="00D5385E">
        <w:rPr>
          <w:rFonts w:ascii="Book Antiqua" w:hAnsi="Book Antiqua" w:cs="Arial"/>
          <w:color w:val="000000" w:themeColor="text1"/>
          <w:sz w:val="24"/>
          <w:szCs w:val="24"/>
          <w:lang w:val="en-US"/>
        </w:rPr>
        <w:t xml:space="preserve"> have not been specifically validated in the elderly IBD population. Firstly, geriatric frailty has been associated to a low</w:t>
      </w:r>
      <w:r w:rsidR="000A1048">
        <w:rPr>
          <w:rFonts w:ascii="Book Antiqua" w:hAnsi="Book Antiqua" w:cs="Arial"/>
          <w:color w:val="000000" w:themeColor="text1"/>
          <w:sz w:val="24"/>
          <w:szCs w:val="24"/>
          <w:lang w:val="en-US"/>
        </w:rPr>
        <w:t>-</w:t>
      </w:r>
      <w:r w:rsidR="00786FE4" w:rsidRPr="00D5385E">
        <w:rPr>
          <w:rFonts w:ascii="Book Antiqua" w:hAnsi="Book Antiqua" w:cs="Arial"/>
          <w:color w:val="000000" w:themeColor="text1"/>
          <w:sz w:val="24"/>
          <w:szCs w:val="24"/>
          <w:lang w:val="en-US"/>
        </w:rPr>
        <w:t xml:space="preserve">grade inflammation, inducing increased levels of serum CRP, </w:t>
      </w:r>
      <w:r w:rsidR="006D1438" w:rsidRPr="00D5385E">
        <w:rPr>
          <w:rFonts w:ascii="Book Antiqua" w:hAnsi="Book Antiqua" w:cs="Arial"/>
          <w:color w:val="000000" w:themeColor="text1"/>
          <w:sz w:val="24"/>
          <w:szCs w:val="24"/>
          <w:lang w:val="en-US"/>
        </w:rPr>
        <w:t>tumor necrosis factor</w:t>
      </w:r>
      <w:r w:rsidR="00786FE4" w:rsidRPr="00D5385E">
        <w:rPr>
          <w:rFonts w:ascii="Book Antiqua" w:hAnsi="Book Antiqua" w:cs="Arial"/>
          <w:color w:val="000000" w:themeColor="text1"/>
          <w:sz w:val="24"/>
          <w:szCs w:val="24"/>
          <w:lang w:val="en-US"/>
        </w:rPr>
        <w:t xml:space="preserve"> </w:t>
      </w:r>
      <w:r w:rsidR="006D1438">
        <w:rPr>
          <w:rFonts w:ascii="Book Antiqua" w:hAnsi="Book Antiqua" w:cs="Arial"/>
          <w:color w:val="000000" w:themeColor="text1"/>
          <w:sz w:val="24"/>
          <w:szCs w:val="24"/>
          <w:lang w:val="en-US"/>
        </w:rPr>
        <w:t>-</w:t>
      </w:r>
      <w:r w:rsidR="00786FE4" w:rsidRPr="00D5385E">
        <w:rPr>
          <w:rFonts w:ascii="Book Antiqua" w:hAnsi="Book Antiqua" w:cs="Arial"/>
          <w:color w:val="000000" w:themeColor="text1"/>
          <w:sz w:val="24"/>
          <w:szCs w:val="24"/>
          <w:lang w:val="en-US"/>
        </w:rPr>
        <w:t xml:space="preserve"> alpha </w:t>
      </w:r>
      <w:r w:rsidR="00F24209" w:rsidRPr="00D5385E">
        <w:rPr>
          <w:rFonts w:ascii="Book Antiqua" w:hAnsi="Book Antiqua" w:cs="Arial"/>
          <w:color w:val="000000" w:themeColor="text1"/>
          <w:sz w:val="24"/>
          <w:szCs w:val="24"/>
          <w:lang w:val="en-US"/>
        </w:rPr>
        <w:t>(TNF</w:t>
      </w:r>
      <w:r w:rsidR="000A1048">
        <w:rPr>
          <w:rFonts w:ascii="Book Antiqua" w:hAnsi="Book Antiqua" w:cs="Arial"/>
          <w:color w:val="000000" w:themeColor="text1"/>
          <w:sz w:val="24"/>
          <w:szCs w:val="24"/>
          <w:lang w:val="en-US"/>
        </w:rPr>
        <w:t>-</w:t>
      </w:r>
      <w:r w:rsidR="00F24209" w:rsidRPr="00D5385E">
        <w:rPr>
          <w:rFonts w:ascii="Book Antiqua" w:hAnsi="Book Antiqua" w:cs="Arial"/>
          <w:color w:val="000000" w:themeColor="text1"/>
          <w:sz w:val="24"/>
          <w:szCs w:val="24"/>
          <w:lang w:val="en-US"/>
        </w:rPr>
        <w:sym w:font="Symbol" w:char="F061"/>
      </w:r>
      <w:r w:rsidR="00F24209" w:rsidRPr="00D5385E">
        <w:rPr>
          <w:rFonts w:ascii="Book Antiqua" w:hAnsi="Book Antiqua" w:cs="Arial"/>
          <w:color w:val="000000" w:themeColor="text1"/>
          <w:sz w:val="24"/>
          <w:szCs w:val="24"/>
          <w:lang w:val="en-US"/>
        </w:rPr>
        <w:t xml:space="preserve">) </w:t>
      </w:r>
      <w:r w:rsidR="00786FE4" w:rsidRPr="00D5385E">
        <w:rPr>
          <w:rFonts w:ascii="Book Antiqua" w:hAnsi="Book Antiqua" w:cs="Arial"/>
          <w:color w:val="000000" w:themeColor="text1"/>
          <w:sz w:val="24"/>
          <w:szCs w:val="24"/>
          <w:lang w:val="en-US"/>
        </w:rPr>
        <w:t>and interleukin</w:t>
      </w:r>
      <w:r w:rsidR="000A1048">
        <w:rPr>
          <w:rFonts w:ascii="Book Antiqua" w:hAnsi="Book Antiqua" w:cs="Arial"/>
          <w:color w:val="000000" w:themeColor="text1"/>
          <w:sz w:val="24"/>
          <w:szCs w:val="24"/>
          <w:lang w:val="en-US"/>
        </w:rPr>
        <w:t>-</w:t>
      </w:r>
      <w:r w:rsidR="00786FE4" w:rsidRPr="00D5385E">
        <w:rPr>
          <w:rFonts w:ascii="Book Antiqua" w:hAnsi="Book Antiqua" w:cs="Arial"/>
          <w:color w:val="000000" w:themeColor="text1"/>
          <w:sz w:val="24"/>
          <w:szCs w:val="24"/>
          <w:lang w:val="en-US"/>
        </w:rPr>
        <w:t xml:space="preserve">6, despite excluding cardiovascular disease, diabetes and adjusting for basic demographic </w:t>
      </w:r>
      <w:proofErr w:type="gramStart"/>
      <w:r w:rsidR="00786FE4" w:rsidRPr="00D5385E">
        <w:rPr>
          <w:rFonts w:ascii="Book Antiqua" w:hAnsi="Book Antiqua" w:cs="Arial"/>
          <w:color w:val="000000" w:themeColor="text1"/>
          <w:sz w:val="24"/>
          <w:szCs w:val="24"/>
          <w:lang w:val="en-US"/>
        </w:rPr>
        <w:t>characteristics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14</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00786FE4" w:rsidRPr="00D5385E">
        <w:rPr>
          <w:rFonts w:ascii="Book Antiqua" w:hAnsi="Book Antiqua" w:cs="Arial"/>
          <w:color w:val="000000" w:themeColor="text1"/>
          <w:sz w:val="24"/>
          <w:szCs w:val="24"/>
          <w:lang w:val="en-US"/>
        </w:rPr>
        <w:t xml:space="preserve"> </w:t>
      </w:r>
      <w:r w:rsidR="00790533" w:rsidRPr="00D5385E">
        <w:rPr>
          <w:rFonts w:ascii="Book Antiqua" w:hAnsi="Book Antiqua" w:cs="Arial"/>
          <w:color w:val="000000" w:themeColor="text1"/>
          <w:sz w:val="24"/>
          <w:szCs w:val="24"/>
          <w:lang w:val="en-US"/>
        </w:rPr>
        <w:t xml:space="preserve">It can thus be difficult to ascertain whether CRP elevation in the elderly IBD population is a reflection of disease activity or a sign of frailty possibly due </w:t>
      </w:r>
      <w:r w:rsidR="00790533" w:rsidRPr="00D5385E">
        <w:rPr>
          <w:rFonts w:ascii="Book Antiqua" w:hAnsi="Book Antiqua" w:cs="Arial"/>
          <w:color w:val="000000" w:themeColor="text1"/>
          <w:sz w:val="24"/>
          <w:szCs w:val="24"/>
          <w:lang w:val="en-US"/>
        </w:rPr>
        <w:lastRenderedPageBreak/>
        <w:t xml:space="preserve">to malnutrition or other comorbidities. </w:t>
      </w:r>
      <w:r w:rsidR="00786FE4" w:rsidRPr="00D5385E">
        <w:rPr>
          <w:rFonts w:ascii="Book Antiqua" w:hAnsi="Book Antiqua" w:cs="Arial"/>
          <w:color w:val="000000" w:themeColor="text1"/>
          <w:sz w:val="24"/>
          <w:szCs w:val="24"/>
          <w:lang w:val="en-US"/>
        </w:rPr>
        <w:t xml:space="preserve">Secondly, FCAL levels are increased </w:t>
      </w:r>
      <w:r w:rsidR="00790533" w:rsidRPr="00D5385E">
        <w:rPr>
          <w:rFonts w:ascii="Book Antiqua" w:hAnsi="Book Antiqua" w:cs="Arial"/>
          <w:color w:val="000000" w:themeColor="text1"/>
          <w:sz w:val="24"/>
          <w:szCs w:val="24"/>
          <w:lang w:val="en-US"/>
        </w:rPr>
        <w:t>in the setting of</w:t>
      </w:r>
      <w:r w:rsidR="00786FE4" w:rsidRPr="00D5385E">
        <w:rPr>
          <w:rFonts w:ascii="Book Antiqua" w:hAnsi="Book Antiqua" w:cs="Arial"/>
          <w:color w:val="000000" w:themeColor="text1"/>
          <w:sz w:val="24"/>
          <w:szCs w:val="24"/>
          <w:lang w:val="en-US"/>
        </w:rPr>
        <w:t xml:space="preserve"> various diseases, </w:t>
      </w:r>
      <w:r w:rsidR="00790533" w:rsidRPr="00D5385E">
        <w:rPr>
          <w:rFonts w:ascii="Book Antiqua" w:hAnsi="Book Antiqua" w:cs="Arial"/>
          <w:color w:val="000000" w:themeColor="text1"/>
          <w:sz w:val="24"/>
          <w:szCs w:val="24"/>
          <w:lang w:val="en-US"/>
        </w:rPr>
        <w:t>including, although not limited to,</w:t>
      </w:r>
      <w:r w:rsidR="00786FE4" w:rsidRPr="00D5385E">
        <w:rPr>
          <w:rFonts w:ascii="Book Antiqua" w:hAnsi="Book Antiqua" w:cs="Arial"/>
          <w:color w:val="000000" w:themeColor="text1"/>
          <w:sz w:val="24"/>
          <w:szCs w:val="24"/>
          <w:lang w:val="en-US"/>
        </w:rPr>
        <w:t xml:space="preserve"> diverticulitis, ischemic colitis, co</w:t>
      </w:r>
      <w:r w:rsidR="00790533" w:rsidRPr="00D5385E">
        <w:rPr>
          <w:rFonts w:ascii="Book Antiqua" w:hAnsi="Book Antiqua" w:cs="Arial"/>
          <w:color w:val="000000" w:themeColor="text1"/>
          <w:sz w:val="24"/>
          <w:szCs w:val="24"/>
          <w:lang w:val="en-US"/>
        </w:rPr>
        <w:t>lorectal malignancy, as well as certain drugs, such as proton pump inhibitors and nonsteroidal anti</w:t>
      </w:r>
      <w:r w:rsidR="000A1048">
        <w:rPr>
          <w:rFonts w:ascii="Book Antiqua" w:hAnsi="Book Antiqua" w:cs="Arial"/>
          <w:color w:val="000000" w:themeColor="text1"/>
          <w:sz w:val="24"/>
          <w:szCs w:val="24"/>
          <w:lang w:val="en-US"/>
        </w:rPr>
        <w:t>-</w:t>
      </w:r>
      <w:r w:rsidR="00790533" w:rsidRPr="00D5385E">
        <w:rPr>
          <w:rFonts w:ascii="Book Antiqua" w:hAnsi="Book Antiqua" w:cs="Arial"/>
          <w:color w:val="000000" w:themeColor="text1"/>
          <w:sz w:val="24"/>
          <w:szCs w:val="24"/>
          <w:lang w:val="en-US"/>
        </w:rPr>
        <w:t>inflammatory drugs, all of which are more commonly seen in the</w:t>
      </w:r>
      <w:r w:rsidR="009853A7" w:rsidRPr="00D5385E">
        <w:rPr>
          <w:rFonts w:ascii="Book Antiqua" w:hAnsi="Book Antiqua" w:cs="Arial"/>
          <w:color w:val="000000" w:themeColor="text1"/>
          <w:sz w:val="24"/>
          <w:szCs w:val="24"/>
          <w:lang w:val="en-US"/>
        </w:rPr>
        <w:t xml:space="preserve"> elderly </w:t>
      </w:r>
      <w:proofErr w:type="gramStart"/>
      <w:r w:rsidR="009853A7" w:rsidRPr="00D5385E">
        <w:rPr>
          <w:rFonts w:ascii="Book Antiqua" w:hAnsi="Book Antiqua" w:cs="Arial"/>
          <w:color w:val="000000" w:themeColor="text1"/>
          <w:sz w:val="24"/>
          <w:szCs w:val="24"/>
          <w:lang w:val="en-US"/>
        </w:rPr>
        <w:t>population</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15</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 B</w:t>
      </w:r>
      <w:r w:rsidR="009853A7" w:rsidRPr="00D5385E">
        <w:rPr>
          <w:rFonts w:ascii="Book Antiqua" w:hAnsi="Book Antiqua" w:cs="Arial"/>
          <w:color w:val="000000" w:themeColor="text1"/>
          <w:sz w:val="24"/>
          <w:szCs w:val="24"/>
          <w:lang w:val="en-US"/>
        </w:rPr>
        <w:t>iomarkers’ specificity to predict disease activity may thus be lower in the elderly IBD population. F</w:t>
      </w:r>
      <w:r w:rsidR="00790533" w:rsidRPr="00D5385E">
        <w:rPr>
          <w:rFonts w:ascii="Book Antiqua" w:hAnsi="Book Antiqua" w:cs="Arial"/>
          <w:color w:val="000000" w:themeColor="text1"/>
          <w:sz w:val="24"/>
          <w:szCs w:val="24"/>
          <w:lang w:val="en-US"/>
        </w:rPr>
        <w:t xml:space="preserve">urther trials are needed to validate </w:t>
      </w:r>
      <w:r w:rsidR="009853A7" w:rsidRPr="00D5385E">
        <w:rPr>
          <w:rFonts w:ascii="Book Antiqua" w:hAnsi="Book Antiqua" w:cs="Arial"/>
          <w:color w:val="000000" w:themeColor="text1"/>
          <w:sz w:val="24"/>
          <w:szCs w:val="24"/>
          <w:lang w:val="en-US"/>
        </w:rPr>
        <w:t xml:space="preserve">the use of biomarkers in the elderly IBD population. </w:t>
      </w:r>
    </w:p>
    <w:p w14:paraId="607C828D" w14:textId="2681775C" w:rsidR="007863CD" w:rsidRPr="00D5385E" w:rsidRDefault="004D2D6B"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 rising prevalence of elderly IBD patients implies higher costs and increased complexity of health</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care delivery, thus </w:t>
      </w:r>
      <w:r w:rsidR="009B432C" w:rsidRPr="00D5385E">
        <w:rPr>
          <w:rFonts w:ascii="Book Antiqua" w:hAnsi="Book Antiqua" w:cs="Arial"/>
          <w:color w:val="000000" w:themeColor="text1"/>
          <w:sz w:val="24"/>
          <w:szCs w:val="24"/>
          <w:lang w:val="en-US"/>
        </w:rPr>
        <w:t>justifying a shift towards</w:t>
      </w:r>
      <w:r w:rsidRPr="00D5385E">
        <w:rPr>
          <w:rFonts w:ascii="Book Antiqua" w:hAnsi="Book Antiqua" w:cs="Arial"/>
          <w:color w:val="000000" w:themeColor="text1"/>
          <w:sz w:val="24"/>
          <w:szCs w:val="24"/>
          <w:lang w:val="en-US"/>
        </w:rPr>
        <w:t xml:space="preserve"> </w:t>
      </w:r>
      <w:r w:rsidR="009B432C" w:rsidRPr="00D5385E">
        <w:rPr>
          <w:rFonts w:ascii="Book Antiqua" w:hAnsi="Book Antiqua" w:cs="Arial"/>
          <w:color w:val="000000" w:themeColor="text1"/>
          <w:sz w:val="24"/>
          <w:szCs w:val="24"/>
          <w:lang w:val="en-US"/>
        </w:rPr>
        <w:t xml:space="preserve">a standardized model conceived by </w:t>
      </w:r>
      <w:r w:rsidR="00390500" w:rsidRPr="00D5385E">
        <w:rPr>
          <w:rFonts w:ascii="Book Antiqua" w:hAnsi="Book Antiqua" w:cs="Arial"/>
          <w:color w:val="000000" w:themeColor="text1"/>
          <w:sz w:val="24"/>
          <w:szCs w:val="24"/>
          <w:lang w:val="en-US"/>
        </w:rPr>
        <w:t>patient</w:t>
      </w:r>
      <w:r w:rsidR="000A1048">
        <w:rPr>
          <w:rFonts w:ascii="Book Antiqua" w:hAnsi="Book Antiqua" w:cs="Arial"/>
          <w:color w:val="000000" w:themeColor="text1"/>
          <w:sz w:val="24"/>
          <w:szCs w:val="24"/>
          <w:lang w:val="en-US"/>
        </w:rPr>
        <w:t>-</w:t>
      </w:r>
      <w:r w:rsidR="00390500" w:rsidRPr="00D5385E">
        <w:rPr>
          <w:rFonts w:ascii="Book Antiqua" w:hAnsi="Book Antiqua" w:cs="Arial"/>
          <w:color w:val="000000" w:themeColor="text1"/>
          <w:sz w:val="24"/>
          <w:szCs w:val="24"/>
          <w:lang w:val="en-US"/>
        </w:rPr>
        <w:t>reported outcomes (</w:t>
      </w:r>
      <w:r w:rsidR="009B432C" w:rsidRPr="00D5385E">
        <w:rPr>
          <w:rFonts w:ascii="Book Antiqua" w:hAnsi="Book Antiqua" w:cs="Arial"/>
          <w:color w:val="000000" w:themeColor="text1"/>
          <w:sz w:val="24"/>
          <w:szCs w:val="24"/>
          <w:lang w:val="en-US"/>
        </w:rPr>
        <w:t>PROs</w:t>
      </w:r>
      <w:r w:rsidR="00390500" w:rsidRPr="00D5385E">
        <w:rPr>
          <w:rFonts w:ascii="Book Antiqua" w:hAnsi="Book Antiqua" w:cs="Arial"/>
          <w:color w:val="000000" w:themeColor="text1"/>
          <w:sz w:val="24"/>
          <w:szCs w:val="24"/>
          <w:lang w:val="en-US"/>
        </w:rPr>
        <w:t>)</w:t>
      </w:r>
      <w:r w:rsidR="00E3443D" w:rsidRPr="00D5385E">
        <w:rPr>
          <w:rFonts w:ascii="Book Antiqua" w:hAnsi="Book Antiqua" w:cs="Arial"/>
          <w:color w:val="000000" w:themeColor="text1"/>
          <w:sz w:val="24"/>
          <w:szCs w:val="24"/>
          <w:lang w:val="en-US"/>
        </w:rPr>
        <w:t xml:space="preserve"> considered most </w:t>
      </w:r>
      <w:proofErr w:type="gramStart"/>
      <w:r w:rsidR="00E3443D" w:rsidRPr="00D5385E">
        <w:rPr>
          <w:rFonts w:ascii="Book Antiqua" w:hAnsi="Book Antiqua" w:cs="Arial"/>
          <w:color w:val="000000" w:themeColor="text1"/>
          <w:sz w:val="24"/>
          <w:szCs w:val="24"/>
          <w:lang w:val="en-US"/>
        </w:rPr>
        <w:t>relevant</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16</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009B432C" w:rsidRPr="00D5385E">
        <w:rPr>
          <w:rFonts w:ascii="Book Antiqua" w:hAnsi="Book Antiqua" w:cs="Arial"/>
          <w:color w:val="000000" w:themeColor="text1"/>
          <w:sz w:val="24"/>
          <w:szCs w:val="24"/>
          <w:lang w:val="en-US"/>
        </w:rPr>
        <w:t xml:space="preserve"> </w:t>
      </w:r>
      <w:r w:rsidR="00113CBD" w:rsidRPr="00D5385E">
        <w:rPr>
          <w:rFonts w:ascii="Book Antiqua" w:hAnsi="Book Antiqua" w:cs="Arial"/>
          <w:color w:val="000000" w:themeColor="text1"/>
          <w:sz w:val="24"/>
          <w:szCs w:val="24"/>
          <w:lang w:val="en-US"/>
        </w:rPr>
        <w:t xml:space="preserve">Few studies in the elderly IBD population included </w:t>
      </w:r>
      <w:r w:rsidR="00AA7432" w:rsidRPr="00D5385E">
        <w:rPr>
          <w:rFonts w:ascii="Book Antiqua" w:hAnsi="Book Antiqua" w:cs="Arial"/>
          <w:color w:val="000000" w:themeColor="text1"/>
          <w:sz w:val="24"/>
          <w:szCs w:val="24"/>
          <w:lang w:val="en-US"/>
        </w:rPr>
        <w:t>FDA</w:t>
      </w:r>
      <w:r w:rsidR="000A1048">
        <w:rPr>
          <w:rFonts w:ascii="Book Antiqua" w:hAnsi="Book Antiqua" w:cs="Arial"/>
          <w:color w:val="000000" w:themeColor="text1"/>
          <w:sz w:val="24"/>
          <w:szCs w:val="24"/>
          <w:lang w:val="en-US"/>
        </w:rPr>
        <w:t>-</w:t>
      </w:r>
      <w:r w:rsidR="00AA7432" w:rsidRPr="00D5385E">
        <w:rPr>
          <w:rFonts w:ascii="Book Antiqua" w:hAnsi="Book Antiqua" w:cs="Arial"/>
          <w:color w:val="000000" w:themeColor="text1"/>
          <w:sz w:val="24"/>
          <w:szCs w:val="24"/>
          <w:lang w:val="en-US"/>
        </w:rPr>
        <w:t xml:space="preserve">recognized </w:t>
      </w:r>
      <w:r w:rsidR="00113CBD" w:rsidRPr="00D5385E">
        <w:rPr>
          <w:rFonts w:ascii="Book Antiqua" w:hAnsi="Book Antiqua" w:cs="Arial"/>
          <w:color w:val="000000" w:themeColor="text1"/>
          <w:sz w:val="24"/>
          <w:szCs w:val="24"/>
          <w:lang w:val="en-US"/>
        </w:rPr>
        <w:t xml:space="preserve">PROs as a primary outcome. </w:t>
      </w:r>
      <w:r w:rsidR="00624F3B" w:rsidRPr="00D5385E">
        <w:rPr>
          <w:rFonts w:ascii="Book Antiqua" w:hAnsi="Book Antiqua" w:cs="Arial"/>
          <w:color w:val="000000" w:themeColor="text1"/>
          <w:sz w:val="24"/>
          <w:szCs w:val="24"/>
          <w:lang w:val="en-US"/>
        </w:rPr>
        <w:t xml:space="preserve">One such trial assessed five types of PROs (depression, anxiety, pain interference, sleep disturbances and fatigue). </w:t>
      </w:r>
      <w:r w:rsidR="001336D4" w:rsidRPr="00D5385E">
        <w:rPr>
          <w:rFonts w:ascii="Book Antiqua" w:hAnsi="Book Antiqua" w:cs="Arial"/>
          <w:color w:val="000000" w:themeColor="text1"/>
          <w:sz w:val="24"/>
          <w:szCs w:val="24"/>
          <w:lang w:val="en-US"/>
        </w:rPr>
        <w:t>At six months of follow</w:t>
      </w:r>
      <w:r w:rsidR="000A1048">
        <w:rPr>
          <w:rFonts w:ascii="Book Antiqua" w:hAnsi="Book Antiqua" w:cs="Arial"/>
          <w:color w:val="000000" w:themeColor="text1"/>
          <w:sz w:val="24"/>
          <w:szCs w:val="24"/>
          <w:lang w:val="en-US"/>
        </w:rPr>
        <w:t>-</w:t>
      </w:r>
      <w:r w:rsidR="001336D4" w:rsidRPr="00D5385E">
        <w:rPr>
          <w:rFonts w:ascii="Book Antiqua" w:hAnsi="Book Antiqua" w:cs="Arial"/>
          <w:color w:val="000000" w:themeColor="text1"/>
          <w:sz w:val="24"/>
          <w:szCs w:val="24"/>
          <w:lang w:val="en-US"/>
        </w:rPr>
        <w:t xml:space="preserve">up, </w:t>
      </w:r>
      <w:r w:rsidR="0050048A" w:rsidRPr="00D5385E">
        <w:rPr>
          <w:rFonts w:ascii="Book Antiqua" w:hAnsi="Book Antiqua" w:cs="Arial"/>
          <w:color w:val="000000" w:themeColor="text1"/>
          <w:sz w:val="24"/>
          <w:szCs w:val="24"/>
          <w:lang w:val="en-US"/>
        </w:rPr>
        <w:t xml:space="preserve">636 </w:t>
      </w:r>
      <w:r w:rsidR="001336D4" w:rsidRPr="00D5385E">
        <w:rPr>
          <w:rFonts w:ascii="Book Antiqua" w:hAnsi="Book Antiqua" w:cs="Arial"/>
          <w:color w:val="000000" w:themeColor="text1"/>
          <w:sz w:val="24"/>
          <w:szCs w:val="24"/>
          <w:lang w:val="en-US"/>
        </w:rPr>
        <w:t xml:space="preserve">elderly IBD patients on continued steroid use had higher rates of depression (mean 50.8 </w:t>
      </w:r>
      <w:r w:rsidR="006D1438" w:rsidRPr="006D1438">
        <w:rPr>
          <w:rFonts w:ascii="Book Antiqua" w:hAnsi="Book Antiqua" w:cs="Arial"/>
          <w:i/>
          <w:iCs/>
          <w:color w:val="000000" w:themeColor="text1"/>
          <w:sz w:val="24"/>
          <w:szCs w:val="24"/>
          <w:lang w:val="en-US"/>
        </w:rPr>
        <w:t>vs</w:t>
      </w:r>
      <w:r w:rsidR="001336D4" w:rsidRPr="00D5385E">
        <w:rPr>
          <w:rFonts w:ascii="Book Antiqua" w:hAnsi="Book Antiqua" w:cs="Arial"/>
          <w:color w:val="000000" w:themeColor="text1"/>
          <w:sz w:val="24"/>
          <w:szCs w:val="24"/>
          <w:lang w:val="en-US"/>
        </w:rPr>
        <w:t xml:space="preserve"> 48.2, </w:t>
      </w:r>
      <w:bookmarkStart w:id="63" w:name="OLE_LINK75"/>
      <w:bookmarkStart w:id="64" w:name="OLE_LINK76"/>
      <w:r w:rsidR="006D1438" w:rsidRPr="006D1438">
        <w:rPr>
          <w:rFonts w:ascii="Book Antiqua" w:hAnsi="Book Antiqua" w:cs="Arial"/>
          <w:i/>
          <w:iCs/>
          <w:color w:val="000000" w:themeColor="text1"/>
          <w:sz w:val="24"/>
          <w:szCs w:val="24"/>
          <w:lang w:val="en-US"/>
        </w:rPr>
        <w:t>P</w:t>
      </w:r>
      <w:bookmarkEnd w:id="63"/>
      <w:bookmarkEnd w:id="64"/>
      <w:r w:rsidR="006D1438">
        <w:rPr>
          <w:rFonts w:ascii="Book Antiqua" w:hAnsi="Book Antiqua" w:cs="Arial"/>
          <w:color w:val="000000" w:themeColor="text1"/>
          <w:sz w:val="24"/>
          <w:szCs w:val="24"/>
          <w:lang w:val="en-US"/>
        </w:rPr>
        <w:t xml:space="preserve"> </w:t>
      </w:r>
      <w:r w:rsidR="001336D4" w:rsidRPr="00D5385E">
        <w:rPr>
          <w:rFonts w:ascii="Book Antiqua" w:hAnsi="Book Antiqua" w:cs="Arial"/>
          <w:color w:val="000000" w:themeColor="text1"/>
          <w:sz w:val="24"/>
          <w:szCs w:val="24"/>
          <w:lang w:val="en-US"/>
        </w:rPr>
        <w:t>=</w:t>
      </w:r>
      <w:r w:rsidR="006D1438">
        <w:rPr>
          <w:rFonts w:ascii="Book Antiqua" w:hAnsi="Book Antiqua" w:cs="Arial"/>
          <w:color w:val="000000" w:themeColor="text1"/>
          <w:sz w:val="24"/>
          <w:szCs w:val="24"/>
          <w:lang w:val="en-US"/>
        </w:rPr>
        <w:t xml:space="preserve"> </w:t>
      </w:r>
      <w:r w:rsidR="001336D4" w:rsidRPr="00D5385E">
        <w:rPr>
          <w:rFonts w:ascii="Book Antiqua" w:hAnsi="Book Antiqua" w:cs="Arial"/>
          <w:color w:val="000000" w:themeColor="text1"/>
          <w:sz w:val="24"/>
          <w:szCs w:val="24"/>
          <w:lang w:val="en-US"/>
        </w:rPr>
        <w:t xml:space="preserve">0.03) and anxiety (mean 52.6 </w:t>
      </w:r>
      <w:r w:rsidR="006D1438" w:rsidRPr="006D1438">
        <w:rPr>
          <w:rFonts w:ascii="Book Antiqua" w:hAnsi="Book Antiqua" w:cs="Arial"/>
          <w:i/>
          <w:iCs/>
          <w:color w:val="000000" w:themeColor="text1"/>
          <w:sz w:val="24"/>
          <w:szCs w:val="24"/>
          <w:lang w:val="en-US"/>
        </w:rPr>
        <w:t>vs</w:t>
      </w:r>
      <w:r w:rsidR="001336D4" w:rsidRPr="00D5385E">
        <w:rPr>
          <w:rFonts w:ascii="Book Antiqua" w:hAnsi="Book Antiqua" w:cs="Arial"/>
          <w:color w:val="000000" w:themeColor="text1"/>
          <w:sz w:val="24"/>
          <w:szCs w:val="24"/>
          <w:lang w:val="en-US"/>
        </w:rPr>
        <w:t xml:space="preserve"> 49.8, </w:t>
      </w:r>
      <w:r w:rsidR="006D1438" w:rsidRPr="006D1438">
        <w:rPr>
          <w:rFonts w:ascii="Book Antiqua" w:hAnsi="Book Antiqua" w:cs="Arial"/>
          <w:i/>
          <w:iCs/>
          <w:color w:val="000000" w:themeColor="text1"/>
          <w:sz w:val="24"/>
          <w:szCs w:val="24"/>
          <w:lang w:val="en-US"/>
        </w:rPr>
        <w:t>P</w:t>
      </w:r>
      <w:r w:rsidR="006D1438" w:rsidRPr="00D5385E">
        <w:rPr>
          <w:rFonts w:ascii="Book Antiqua" w:hAnsi="Book Antiqua" w:cs="Arial"/>
          <w:color w:val="000000" w:themeColor="text1"/>
          <w:sz w:val="24"/>
          <w:szCs w:val="24"/>
          <w:lang w:val="en-US"/>
        </w:rPr>
        <w:t xml:space="preserve"> </w:t>
      </w:r>
      <w:r w:rsidR="001336D4" w:rsidRPr="00D5385E">
        <w:rPr>
          <w:rFonts w:ascii="Book Antiqua" w:hAnsi="Book Antiqua" w:cs="Arial"/>
          <w:color w:val="000000" w:themeColor="text1"/>
          <w:sz w:val="24"/>
          <w:szCs w:val="24"/>
          <w:lang w:val="en-US"/>
        </w:rPr>
        <w:t>=</w:t>
      </w:r>
      <w:r w:rsidR="006D1438">
        <w:rPr>
          <w:rFonts w:ascii="Book Antiqua" w:hAnsi="Book Antiqua" w:cs="Arial"/>
          <w:color w:val="000000" w:themeColor="text1"/>
          <w:sz w:val="24"/>
          <w:szCs w:val="24"/>
          <w:lang w:val="en-US"/>
        </w:rPr>
        <w:t xml:space="preserve"> </w:t>
      </w:r>
      <w:r w:rsidR="001336D4" w:rsidRPr="00D5385E">
        <w:rPr>
          <w:rFonts w:ascii="Book Antiqua" w:hAnsi="Book Antiqua" w:cs="Arial"/>
          <w:color w:val="000000" w:themeColor="text1"/>
          <w:sz w:val="24"/>
          <w:szCs w:val="24"/>
          <w:lang w:val="en-US"/>
        </w:rPr>
        <w:t>0.04)</w:t>
      </w:r>
      <w:r w:rsidR="0050048A" w:rsidRPr="00D5385E">
        <w:rPr>
          <w:rFonts w:ascii="Book Antiqua" w:hAnsi="Book Antiqua" w:cs="Arial"/>
          <w:color w:val="000000" w:themeColor="text1"/>
          <w:sz w:val="24"/>
          <w:szCs w:val="24"/>
          <w:lang w:val="en-US"/>
        </w:rPr>
        <w:t xml:space="preserve"> based on validated questionnaires</w:t>
      </w:r>
      <w:r w:rsidR="001336D4" w:rsidRPr="00D5385E">
        <w:rPr>
          <w:rFonts w:ascii="Book Antiqua" w:hAnsi="Book Antiqua" w:cs="Arial"/>
          <w:color w:val="000000" w:themeColor="text1"/>
          <w:sz w:val="24"/>
          <w:szCs w:val="24"/>
          <w:lang w:val="en-US"/>
        </w:rPr>
        <w:t>, compared to elderly patients on immunomodulators or anti</w:t>
      </w:r>
      <w:r w:rsidR="000A1048">
        <w:rPr>
          <w:rFonts w:ascii="Book Antiqua" w:hAnsi="Book Antiqua" w:cs="Arial"/>
          <w:color w:val="000000" w:themeColor="text1"/>
          <w:sz w:val="24"/>
          <w:szCs w:val="24"/>
          <w:lang w:val="en-US"/>
        </w:rPr>
        <w:t>-</w:t>
      </w:r>
      <w:r w:rsidR="001336D4" w:rsidRPr="00D5385E">
        <w:rPr>
          <w:rFonts w:ascii="Book Antiqua" w:hAnsi="Book Antiqua" w:cs="Arial"/>
          <w:color w:val="000000" w:themeColor="text1"/>
          <w:sz w:val="24"/>
          <w:szCs w:val="24"/>
          <w:lang w:val="en-US"/>
        </w:rPr>
        <w:t>TNF agents (without steroid use)</w:t>
      </w:r>
      <w:r w:rsidR="0050048A" w:rsidRPr="00D5385E">
        <w:rPr>
          <w:rFonts w:ascii="Book Antiqua" w:hAnsi="Book Antiqua" w:cs="Arial"/>
          <w:color w:val="000000" w:themeColor="text1"/>
          <w:sz w:val="24"/>
          <w:szCs w:val="24"/>
          <w:lang w:val="en-US"/>
        </w:rPr>
        <w:t xml:space="preserve"> after adjusting for disease activity</w:t>
      </w:r>
      <w:r w:rsidR="00864AC3" w:rsidRPr="00D5385E">
        <w:rPr>
          <w:rFonts w:ascii="Book Antiqua" w:hAnsi="Book Antiqua" w:cs="Arial"/>
          <w:color w:val="000000" w:themeColor="text1"/>
          <w:sz w:val="24"/>
          <w:szCs w:val="24"/>
          <w:vertAlign w:val="superscript"/>
          <w:lang w:val="en-US"/>
        </w:rPr>
        <w:t>[17</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 xml:space="preserve">. </w:t>
      </w:r>
      <w:r w:rsidR="0050048A" w:rsidRPr="00D5385E">
        <w:rPr>
          <w:rFonts w:ascii="Book Antiqua" w:hAnsi="Book Antiqua" w:cs="Arial"/>
          <w:color w:val="000000" w:themeColor="text1"/>
          <w:sz w:val="24"/>
          <w:szCs w:val="24"/>
          <w:lang w:val="en-US"/>
        </w:rPr>
        <w:t>Depression, anxiety and sleep disturbances may further decrease elderly patients’ quality of life, therefore increasing the importance of corticosteroid</w:t>
      </w:r>
      <w:r w:rsidR="000A1048">
        <w:rPr>
          <w:rFonts w:ascii="Book Antiqua" w:hAnsi="Book Antiqua" w:cs="Arial"/>
          <w:color w:val="000000" w:themeColor="text1"/>
          <w:sz w:val="24"/>
          <w:szCs w:val="24"/>
          <w:lang w:val="en-US"/>
        </w:rPr>
        <w:t>-</w:t>
      </w:r>
      <w:r w:rsidR="0050048A" w:rsidRPr="00D5385E">
        <w:rPr>
          <w:rFonts w:ascii="Book Antiqua" w:hAnsi="Book Antiqua" w:cs="Arial"/>
          <w:color w:val="000000" w:themeColor="text1"/>
          <w:sz w:val="24"/>
          <w:szCs w:val="24"/>
          <w:lang w:val="en-US"/>
        </w:rPr>
        <w:t xml:space="preserve">sparing therapy. </w:t>
      </w:r>
    </w:p>
    <w:p w14:paraId="23A93D02" w14:textId="3F823FF6" w:rsidR="00290606" w:rsidRDefault="00344C4D"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The S</w:t>
      </w:r>
      <w:r w:rsidR="00773F9B" w:rsidRPr="00D5385E">
        <w:rPr>
          <w:rFonts w:ascii="Book Antiqua" w:hAnsi="Book Antiqua" w:cs="Arial"/>
          <w:color w:val="000000" w:themeColor="text1"/>
          <w:sz w:val="24"/>
          <w:szCs w:val="24"/>
          <w:lang w:val="en-US"/>
        </w:rPr>
        <w:t>electing Therapeutic Targets in Inflammatory Bowel Disease (S</w:t>
      </w:r>
      <w:r w:rsidRPr="00D5385E">
        <w:rPr>
          <w:rFonts w:ascii="Book Antiqua" w:hAnsi="Book Antiqua" w:cs="Arial"/>
          <w:color w:val="000000" w:themeColor="text1"/>
          <w:sz w:val="24"/>
          <w:szCs w:val="24"/>
          <w:lang w:val="en-US"/>
        </w:rPr>
        <w:t>TRIDE</w:t>
      </w:r>
      <w:r w:rsidR="00773F9B" w:rsidRPr="00D5385E">
        <w:rPr>
          <w:rFonts w:ascii="Book Antiqua" w:hAnsi="Book Antiqua" w:cs="Arial"/>
          <w:color w:val="000000" w:themeColor="text1"/>
          <w:sz w:val="24"/>
          <w:szCs w:val="24"/>
          <w:lang w:val="en-US"/>
        </w:rPr>
        <w:t xml:space="preserve">) program, designed to establish the appropriate treatment targets for IBD, </w:t>
      </w:r>
      <w:r w:rsidRPr="00D5385E">
        <w:rPr>
          <w:rFonts w:ascii="Book Antiqua" w:hAnsi="Book Antiqua" w:cs="Arial"/>
          <w:color w:val="000000" w:themeColor="text1"/>
          <w:sz w:val="24"/>
          <w:szCs w:val="24"/>
          <w:lang w:val="en-US"/>
        </w:rPr>
        <w:t xml:space="preserve">suggests serial outpatient assessment of PROs </w:t>
      </w:r>
      <w:r w:rsidR="00773F9B" w:rsidRPr="00D5385E">
        <w:rPr>
          <w:rFonts w:ascii="Book Antiqua" w:hAnsi="Book Antiqua" w:cs="Arial"/>
          <w:color w:val="000000" w:themeColor="text1"/>
          <w:sz w:val="24"/>
          <w:szCs w:val="24"/>
          <w:lang w:val="en-US"/>
        </w:rPr>
        <w:t xml:space="preserve">minimally </w:t>
      </w:r>
      <w:r w:rsidRPr="00D5385E">
        <w:rPr>
          <w:rFonts w:ascii="Book Antiqua" w:hAnsi="Book Antiqua" w:cs="Arial"/>
          <w:color w:val="000000" w:themeColor="text1"/>
          <w:sz w:val="24"/>
          <w:szCs w:val="24"/>
          <w:lang w:val="en-US"/>
        </w:rPr>
        <w:t xml:space="preserve">every </w:t>
      </w:r>
      <w:r w:rsidR="00773F9B" w:rsidRPr="00D5385E">
        <w:rPr>
          <w:rFonts w:ascii="Book Antiqua" w:hAnsi="Book Antiqua" w:cs="Arial"/>
          <w:color w:val="000000" w:themeColor="text1"/>
          <w:sz w:val="24"/>
          <w:szCs w:val="24"/>
          <w:lang w:val="en-US"/>
        </w:rPr>
        <w:t>three</w:t>
      </w:r>
      <w:r w:rsidRPr="00D5385E">
        <w:rPr>
          <w:rFonts w:ascii="Book Antiqua" w:hAnsi="Book Antiqua" w:cs="Arial"/>
          <w:color w:val="000000" w:themeColor="text1"/>
          <w:sz w:val="24"/>
          <w:szCs w:val="24"/>
          <w:lang w:val="en-US"/>
        </w:rPr>
        <w:t xml:space="preserve"> months</w:t>
      </w:r>
      <w:r w:rsidR="00773F9B" w:rsidRPr="00D5385E">
        <w:rPr>
          <w:rFonts w:ascii="Book Antiqua" w:hAnsi="Book Antiqua" w:cs="Arial"/>
          <w:color w:val="000000" w:themeColor="text1"/>
          <w:sz w:val="24"/>
          <w:szCs w:val="24"/>
          <w:lang w:val="en-US"/>
        </w:rPr>
        <w:t xml:space="preserve"> until resolution, then every six to twelve </w:t>
      </w:r>
      <w:proofErr w:type="gramStart"/>
      <w:r w:rsidR="00773F9B" w:rsidRPr="00D5385E">
        <w:rPr>
          <w:rFonts w:ascii="Book Antiqua" w:hAnsi="Book Antiqua" w:cs="Arial"/>
          <w:color w:val="000000" w:themeColor="text1"/>
          <w:sz w:val="24"/>
          <w:szCs w:val="24"/>
          <w:lang w:val="en-US"/>
        </w:rPr>
        <w:t>months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18</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w:t>
      </w:r>
      <w:r w:rsidR="00773F9B" w:rsidRPr="00D5385E">
        <w:rPr>
          <w:rFonts w:ascii="Book Antiqua" w:hAnsi="Book Antiqua" w:cs="Arial"/>
          <w:color w:val="000000" w:themeColor="text1"/>
          <w:sz w:val="24"/>
          <w:szCs w:val="24"/>
          <w:lang w:val="en-US"/>
        </w:rPr>
        <w:t>However, t</w:t>
      </w:r>
      <w:r w:rsidR="00821C41" w:rsidRPr="00D5385E">
        <w:rPr>
          <w:rFonts w:ascii="Book Antiqua" w:hAnsi="Book Antiqua" w:cs="Arial"/>
          <w:color w:val="000000" w:themeColor="text1"/>
          <w:sz w:val="24"/>
          <w:szCs w:val="24"/>
          <w:lang w:val="en-US"/>
        </w:rPr>
        <w:t xml:space="preserve">he optimal PRO instrument has not yet been clearly identified. </w:t>
      </w:r>
      <w:r w:rsidR="00964CDC" w:rsidRPr="00D5385E">
        <w:rPr>
          <w:rFonts w:ascii="Book Antiqua" w:hAnsi="Book Antiqua" w:cs="Arial"/>
          <w:color w:val="000000" w:themeColor="text1"/>
          <w:sz w:val="24"/>
          <w:szCs w:val="24"/>
          <w:lang w:val="en-US"/>
        </w:rPr>
        <w:t>In an effort to strive for value</w:t>
      </w:r>
      <w:r w:rsidR="000A1048">
        <w:rPr>
          <w:rFonts w:ascii="Book Antiqua" w:hAnsi="Book Antiqua" w:cs="Arial"/>
          <w:color w:val="000000" w:themeColor="text1"/>
          <w:sz w:val="24"/>
          <w:szCs w:val="24"/>
          <w:lang w:val="en-US"/>
        </w:rPr>
        <w:t>-</w:t>
      </w:r>
      <w:r w:rsidR="00964CDC" w:rsidRPr="00D5385E">
        <w:rPr>
          <w:rFonts w:ascii="Book Antiqua" w:hAnsi="Book Antiqua" w:cs="Arial"/>
          <w:color w:val="000000" w:themeColor="text1"/>
          <w:sz w:val="24"/>
          <w:szCs w:val="24"/>
          <w:lang w:val="en-US"/>
        </w:rPr>
        <w:t xml:space="preserve">based medicine, the International Consortium for Health Outcomes Measurement (ICHOM) and the Oxford Academic Health Network collaborated to </w:t>
      </w:r>
      <w:r w:rsidR="009F0B27" w:rsidRPr="00D5385E">
        <w:rPr>
          <w:rFonts w:ascii="Book Antiqua" w:hAnsi="Book Antiqua" w:cs="Arial"/>
          <w:color w:val="000000" w:themeColor="text1"/>
          <w:sz w:val="24"/>
          <w:szCs w:val="24"/>
          <w:lang w:val="en-US"/>
        </w:rPr>
        <w:t>devise four domains</w:t>
      </w:r>
      <w:r w:rsidR="002D5100" w:rsidRPr="00D5385E">
        <w:rPr>
          <w:rFonts w:ascii="Book Antiqua" w:hAnsi="Book Antiqua" w:cs="Arial"/>
          <w:color w:val="000000" w:themeColor="text1"/>
          <w:sz w:val="24"/>
          <w:szCs w:val="24"/>
          <w:lang w:val="en-US"/>
        </w:rPr>
        <w:t xml:space="preserve"> encompassing the most relevant </w:t>
      </w:r>
      <w:r w:rsidR="00E562ED" w:rsidRPr="00D5385E">
        <w:rPr>
          <w:rFonts w:ascii="Book Antiqua" w:hAnsi="Book Antiqua" w:cs="Arial"/>
          <w:color w:val="000000" w:themeColor="text1"/>
          <w:sz w:val="24"/>
          <w:szCs w:val="24"/>
          <w:lang w:val="en-US"/>
        </w:rPr>
        <w:t>IBD</w:t>
      </w:r>
      <w:r w:rsidR="000A1048">
        <w:rPr>
          <w:rFonts w:ascii="Book Antiqua" w:hAnsi="Book Antiqua" w:cs="Arial"/>
          <w:color w:val="000000" w:themeColor="text1"/>
          <w:sz w:val="24"/>
          <w:szCs w:val="24"/>
          <w:lang w:val="en-US"/>
        </w:rPr>
        <w:t>-</w:t>
      </w:r>
      <w:r w:rsidR="00E562ED" w:rsidRPr="00D5385E">
        <w:rPr>
          <w:rFonts w:ascii="Book Antiqua" w:hAnsi="Book Antiqua" w:cs="Arial"/>
          <w:color w:val="000000" w:themeColor="text1"/>
          <w:sz w:val="24"/>
          <w:szCs w:val="24"/>
          <w:lang w:val="en-US"/>
        </w:rPr>
        <w:t xml:space="preserve">related </w:t>
      </w:r>
      <w:r w:rsidR="002D5100" w:rsidRPr="00D5385E">
        <w:rPr>
          <w:rFonts w:ascii="Book Antiqua" w:hAnsi="Book Antiqua" w:cs="Arial"/>
          <w:color w:val="000000" w:themeColor="text1"/>
          <w:sz w:val="24"/>
          <w:szCs w:val="24"/>
          <w:lang w:val="en-US"/>
        </w:rPr>
        <w:t>PROs</w:t>
      </w:r>
      <w:r w:rsidR="009F0B27" w:rsidRPr="00D5385E">
        <w:rPr>
          <w:rFonts w:ascii="Book Antiqua" w:hAnsi="Book Antiqua" w:cs="Arial"/>
          <w:color w:val="000000" w:themeColor="text1"/>
          <w:sz w:val="24"/>
          <w:szCs w:val="24"/>
          <w:lang w:val="en-US"/>
        </w:rPr>
        <w:t>: Symptoms and Quality of Life, Survival and Disease Control, Disutility of C</w:t>
      </w:r>
      <w:r w:rsidR="002D5100" w:rsidRPr="00D5385E">
        <w:rPr>
          <w:rFonts w:ascii="Book Antiqua" w:hAnsi="Book Antiqua" w:cs="Arial"/>
          <w:color w:val="000000" w:themeColor="text1"/>
          <w:sz w:val="24"/>
          <w:szCs w:val="24"/>
          <w:lang w:val="en-US"/>
        </w:rPr>
        <w:t xml:space="preserve">are and Healthcare </w:t>
      </w:r>
      <w:proofErr w:type="gramStart"/>
      <w:r w:rsidR="002D5100" w:rsidRPr="00D5385E">
        <w:rPr>
          <w:rFonts w:ascii="Book Antiqua" w:hAnsi="Book Antiqua" w:cs="Arial"/>
          <w:color w:val="000000" w:themeColor="text1"/>
          <w:sz w:val="24"/>
          <w:szCs w:val="24"/>
          <w:lang w:val="en-US"/>
        </w:rPr>
        <w:t>Utilization</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19</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002D5100" w:rsidRPr="00D5385E">
        <w:rPr>
          <w:rFonts w:ascii="Book Antiqua" w:hAnsi="Book Antiqua" w:cs="Arial"/>
          <w:color w:val="000000" w:themeColor="text1"/>
          <w:sz w:val="24"/>
          <w:szCs w:val="24"/>
          <w:lang w:val="en-US"/>
        </w:rPr>
        <w:t xml:space="preserve"> </w:t>
      </w:r>
      <w:r w:rsidR="00E562ED" w:rsidRPr="00D5385E">
        <w:rPr>
          <w:rFonts w:ascii="Book Antiqua" w:hAnsi="Book Antiqua" w:cs="Arial"/>
          <w:color w:val="000000" w:themeColor="text1"/>
          <w:sz w:val="24"/>
          <w:szCs w:val="24"/>
          <w:lang w:val="en-US"/>
        </w:rPr>
        <w:t xml:space="preserve">A short, inexpensive </w:t>
      </w:r>
      <w:r w:rsidR="00CD3B63" w:rsidRPr="00D5385E">
        <w:rPr>
          <w:rFonts w:ascii="Book Antiqua" w:hAnsi="Book Antiqua" w:cs="Arial"/>
          <w:color w:val="000000" w:themeColor="text1"/>
          <w:sz w:val="24"/>
          <w:szCs w:val="24"/>
          <w:lang w:val="en-US"/>
        </w:rPr>
        <w:t>test</w:t>
      </w:r>
      <w:r w:rsidR="00E562ED" w:rsidRPr="00D5385E">
        <w:rPr>
          <w:rFonts w:ascii="Book Antiqua" w:hAnsi="Book Antiqua" w:cs="Arial"/>
          <w:color w:val="000000" w:themeColor="text1"/>
          <w:sz w:val="24"/>
          <w:szCs w:val="24"/>
          <w:lang w:val="en-US"/>
        </w:rPr>
        <w:t>, the IBD</w:t>
      </w:r>
      <w:r w:rsidR="000A1048">
        <w:rPr>
          <w:rFonts w:ascii="Book Antiqua" w:hAnsi="Book Antiqua" w:cs="Arial"/>
          <w:color w:val="000000" w:themeColor="text1"/>
          <w:sz w:val="24"/>
          <w:szCs w:val="24"/>
          <w:lang w:val="en-US"/>
        </w:rPr>
        <w:t>-</w:t>
      </w:r>
      <w:r w:rsidR="00E562ED" w:rsidRPr="00D5385E">
        <w:rPr>
          <w:rFonts w:ascii="Book Antiqua" w:hAnsi="Book Antiqua" w:cs="Arial"/>
          <w:color w:val="000000" w:themeColor="text1"/>
          <w:sz w:val="24"/>
          <w:szCs w:val="24"/>
          <w:lang w:val="en-US"/>
        </w:rPr>
        <w:t>Control questionnaire</w:t>
      </w:r>
      <w:r w:rsidR="00CE449B" w:rsidRPr="00D5385E">
        <w:rPr>
          <w:rFonts w:ascii="Book Antiqua" w:hAnsi="Book Antiqua" w:cs="Arial"/>
          <w:color w:val="000000" w:themeColor="text1"/>
          <w:sz w:val="24"/>
          <w:szCs w:val="24"/>
          <w:lang w:val="en-US"/>
        </w:rPr>
        <w:t xml:space="preserve"> (IBD</w:t>
      </w:r>
      <w:r w:rsidR="000A1048">
        <w:rPr>
          <w:rFonts w:ascii="Book Antiqua" w:hAnsi="Book Antiqua" w:cs="Arial"/>
          <w:color w:val="000000" w:themeColor="text1"/>
          <w:sz w:val="24"/>
          <w:szCs w:val="24"/>
          <w:lang w:val="en-US"/>
        </w:rPr>
        <w:t>-</w:t>
      </w:r>
      <w:r w:rsidR="00CE449B" w:rsidRPr="00D5385E">
        <w:rPr>
          <w:rFonts w:ascii="Book Antiqua" w:hAnsi="Book Antiqua" w:cs="Arial"/>
          <w:color w:val="000000" w:themeColor="text1"/>
          <w:sz w:val="24"/>
          <w:szCs w:val="24"/>
          <w:lang w:val="en-US"/>
        </w:rPr>
        <w:t>CQ)</w:t>
      </w:r>
      <w:r w:rsidR="00E562ED" w:rsidRPr="00D5385E">
        <w:rPr>
          <w:rFonts w:ascii="Book Antiqua" w:hAnsi="Book Antiqua" w:cs="Arial"/>
          <w:color w:val="000000" w:themeColor="text1"/>
          <w:sz w:val="24"/>
          <w:szCs w:val="24"/>
          <w:lang w:val="en-US"/>
        </w:rPr>
        <w:t xml:space="preserve">, was recommended as </w:t>
      </w:r>
      <w:r w:rsidR="00CE449B" w:rsidRPr="00D5385E">
        <w:rPr>
          <w:rFonts w:ascii="Book Antiqua" w:hAnsi="Book Antiqua" w:cs="Arial"/>
          <w:color w:val="000000" w:themeColor="text1"/>
          <w:sz w:val="24"/>
          <w:szCs w:val="24"/>
          <w:lang w:val="en-US"/>
        </w:rPr>
        <w:t>the most</w:t>
      </w:r>
      <w:r w:rsidR="002B1F4F" w:rsidRPr="00D5385E">
        <w:rPr>
          <w:rFonts w:ascii="Book Antiqua" w:hAnsi="Book Antiqua" w:cs="Arial"/>
          <w:color w:val="000000" w:themeColor="text1"/>
          <w:sz w:val="24"/>
          <w:szCs w:val="24"/>
          <w:lang w:val="en-US"/>
        </w:rPr>
        <w:t xml:space="preserve"> reliable</w:t>
      </w:r>
      <w:r w:rsidR="00E562ED" w:rsidRPr="00D5385E">
        <w:rPr>
          <w:rFonts w:ascii="Book Antiqua" w:hAnsi="Book Antiqua" w:cs="Arial"/>
          <w:color w:val="000000" w:themeColor="text1"/>
          <w:sz w:val="24"/>
          <w:szCs w:val="24"/>
          <w:lang w:val="en-US"/>
        </w:rPr>
        <w:t xml:space="preserve"> measurement </w:t>
      </w:r>
      <w:r w:rsidR="00E562ED" w:rsidRPr="00D5385E">
        <w:rPr>
          <w:rFonts w:ascii="Book Antiqua" w:hAnsi="Book Antiqua" w:cs="Arial"/>
          <w:color w:val="000000" w:themeColor="text1"/>
          <w:sz w:val="24"/>
          <w:szCs w:val="24"/>
          <w:lang w:val="en-US"/>
        </w:rPr>
        <w:lastRenderedPageBreak/>
        <w:t xml:space="preserve">of PROs, although </w:t>
      </w:r>
      <w:r w:rsidR="00773F9B" w:rsidRPr="00D5385E">
        <w:rPr>
          <w:rFonts w:ascii="Book Antiqua" w:hAnsi="Book Antiqua" w:cs="Arial"/>
          <w:color w:val="000000" w:themeColor="text1"/>
          <w:sz w:val="24"/>
          <w:szCs w:val="24"/>
          <w:lang w:val="en-US"/>
        </w:rPr>
        <w:t>its</w:t>
      </w:r>
      <w:r w:rsidR="00E562ED" w:rsidRPr="00D5385E">
        <w:rPr>
          <w:rFonts w:ascii="Book Antiqua" w:hAnsi="Book Antiqua" w:cs="Arial"/>
          <w:color w:val="000000" w:themeColor="text1"/>
          <w:sz w:val="24"/>
          <w:szCs w:val="24"/>
          <w:lang w:val="en-US"/>
        </w:rPr>
        <w:t xml:space="preserve"> validation process requir</w:t>
      </w:r>
      <w:r w:rsidR="007863CD" w:rsidRPr="00D5385E">
        <w:rPr>
          <w:rFonts w:ascii="Book Antiqua" w:hAnsi="Book Antiqua" w:cs="Arial"/>
          <w:color w:val="000000" w:themeColor="text1"/>
          <w:sz w:val="24"/>
          <w:szCs w:val="24"/>
          <w:lang w:val="en-US"/>
        </w:rPr>
        <w:t xml:space="preserve">es further prospective </w:t>
      </w:r>
      <w:proofErr w:type="gramStart"/>
      <w:r w:rsidR="007863CD" w:rsidRPr="00D5385E">
        <w:rPr>
          <w:rFonts w:ascii="Book Antiqua" w:hAnsi="Book Antiqua" w:cs="Arial"/>
          <w:color w:val="000000" w:themeColor="text1"/>
          <w:sz w:val="24"/>
          <w:szCs w:val="24"/>
          <w:lang w:val="en-US"/>
        </w:rPr>
        <w:t>studies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19</w:t>
      </w:r>
      <w:r w:rsidR="000A1048">
        <w:rPr>
          <w:rFonts w:ascii="Book Antiqua" w:hAnsi="Book Antiqua" w:cs="Arial"/>
          <w:color w:val="000000" w:themeColor="text1"/>
          <w:sz w:val="24"/>
          <w:szCs w:val="24"/>
          <w:vertAlign w:val="superscript"/>
          <w:lang w:val="en-US"/>
        </w:rPr>
        <w:t>-</w:t>
      </w:r>
      <w:r w:rsidR="00864AC3" w:rsidRPr="00D5385E">
        <w:rPr>
          <w:rFonts w:ascii="Book Antiqua" w:hAnsi="Book Antiqua" w:cs="Arial"/>
          <w:color w:val="000000" w:themeColor="text1"/>
          <w:sz w:val="24"/>
          <w:szCs w:val="24"/>
          <w:vertAlign w:val="superscript"/>
          <w:lang w:val="en-US"/>
        </w:rPr>
        <w:t>20</w:t>
      </w:r>
      <w:r w:rsidR="00E3443D" w:rsidRPr="00D5385E">
        <w:rPr>
          <w:rFonts w:ascii="Book Antiqua" w:hAnsi="Book Antiqua" w:cs="Arial"/>
          <w:color w:val="000000" w:themeColor="text1"/>
          <w:sz w:val="24"/>
          <w:szCs w:val="24"/>
          <w:vertAlign w:val="superscript"/>
          <w:lang w:val="en-US"/>
        </w:rPr>
        <w:t>]</w:t>
      </w:r>
      <w:r w:rsidR="00E3443D" w:rsidRPr="00D5385E">
        <w:rPr>
          <w:rFonts w:ascii="Book Antiqua" w:hAnsi="Book Antiqua" w:cs="Arial"/>
          <w:color w:val="000000" w:themeColor="text1"/>
          <w:sz w:val="24"/>
          <w:szCs w:val="24"/>
          <w:lang w:val="en-US"/>
        </w:rPr>
        <w:t>.</w:t>
      </w:r>
      <w:r w:rsidR="007863CD" w:rsidRPr="00D5385E">
        <w:rPr>
          <w:rFonts w:ascii="Book Antiqua" w:hAnsi="Book Antiqua" w:cs="Arial"/>
          <w:color w:val="000000" w:themeColor="text1"/>
          <w:sz w:val="24"/>
          <w:szCs w:val="24"/>
          <w:lang w:val="en-US"/>
        </w:rPr>
        <w:t xml:space="preserve"> </w:t>
      </w:r>
      <w:r w:rsidR="00773F9B" w:rsidRPr="00D5385E">
        <w:rPr>
          <w:rFonts w:ascii="Book Antiqua" w:hAnsi="Book Antiqua" w:cs="Arial"/>
          <w:color w:val="000000" w:themeColor="text1"/>
          <w:sz w:val="24"/>
          <w:szCs w:val="24"/>
          <w:lang w:val="en-US"/>
        </w:rPr>
        <w:t xml:space="preserve">Although data in the elderly population is lacking, </w:t>
      </w:r>
      <w:r w:rsidR="007863CD" w:rsidRPr="00D5385E">
        <w:rPr>
          <w:rFonts w:ascii="Book Antiqua" w:hAnsi="Book Antiqua" w:cs="Arial"/>
          <w:color w:val="000000" w:themeColor="text1"/>
          <w:sz w:val="24"/>
          <w:szCs w:val="24"/>
          <w:lang w:val="en-US"/>
        </w:rPr>
        <w:t xml:space="preserve">PRO instruments, </w:t>
      </w:r>
      <w:r w:rsidR="00CE449B" w:rsidRPr="00D5385E">
        <w:rPr>
          <w:rFonts w:ascii="Book Antiqua" w:hAnsi="Book Antiqua" w:cs="Arial"/>
          <w:color w:val="000000" w:themeColor="text1"/>
          <w:sz w:val="24"/>
          <w:szCs w:val="24"/>
          <w:lang w:val="en-US"/>
        </w:rPr>
        <w:t>such as the IBD</w:t>
      </w:r>
      <w:r w:rsidR="000A1048">
        <w:rPr>
          <w:rFonts w:ascii="Book Antiqua" w:hAnsi="Book Antiqua" w:cs="Arial"/>
          <w:color w:val="000000" w:themeColor="text1"/>
          <w:sz w:val="24"/>
          <w:szCs w:val="24"/>
          <w:lang w:val="en-US"/>
        </w:rPr>
        <w:t>-</w:t>
      </w:r>
      <w:r w:rsidR="00CE449B" w:rsidRPr="00D5385E">
        <w:rPr>
          <w:rFonts w:ascii="Book Antiqua" w:hAnsi="Book Antiqua" w:cs="Arial"/>
          <w:color w:val="000000" w:themeColor="text1"/>
          <w:sz w:val="24"/>
          <w:szCs w:val="24"/>
          <w:lang w:val="en-US"/>
        </w:rPr>
        <w:t>CQ</w:t>
      </w:r>
      <w:r w:rsidR="007863CD" w:rsidRPr="00D5385E">
        <w:rPr>
          <w:rFonts w:ascii="Book Antiqua" w:hAnsi="Book Antiqua" w:cs="Arial"/>
          <w:color w:val="000000" w:themeColor="text1"/>
          <w:sz w:val="24"/>
          <w:szCs w:val="24"/>
          <w:lang w:val="en-US"/>
        </w:rPr>
        <w:t xml:space="preserve">, </w:t>
      </w:r>
      <w:r w:rsidR="002B1F4F" w:rsidRPr="00D5385E">
        <w:rPr>
          <w:rFonts w:ascii="Book Antiqua" w:hAnsi="Book Antiqua" w:cs="Arial"/>
          <w:color w:val="000000" w:themeColor="text1"/>
          <w:sz w:val="24"/>
          <w:szCs w:val="24"/>
          <w:lang w:val="en-US"/>
        </w:rPr>
        <w:t xml:space="preserve">can </w:t>
      </w:r>
      <w:r w:rsidR="00CE449B" w:rsidRPr="00D5385E">
        <w:rPr>
          <w:rFonts w:ascii="Book Antiqua" w:hAnsi="Book Antiqua" w:cs="Arial"/>
          <w:color w:val="000000" w:themeColor="text1"/>
          <w:sz w:val="24"/>
          <w:szCs w:val="24"/>
          <w:lang w:val="en-US"/>
        </w:rPr>
        <w:t xml:space="preserve">potentially </w:t>
      </w:r>
      <w:r w:rsidR="002B1F4F" w:rsidRPr="00D5385E">
        <w:rPr>
          <w:rFonts w:ascii="Book Antiqua" w:hAnsi="Book Antiqua" w:cs="Arial"/>
          <w:color w:val="000000" w:themeColor="text1"/>
          <w:sz w:val="24"/>
          <w:szCs w:val="24"/>
          <w:lang w:val="en-US"/>
        </w:rPr>
        <w:t>capture</w:t>
      </w:r>
      <w:r w:rsidR="00CE449B" w:rsidRPr="00D5385E">
        <w:rPr>
          <w:rFonts w:ascii="Book Antiqua" w:hAnsi="Book Antiqua" w:cs="Arial"/>
          <w:color w:val="000000" w:themeColor="text1"/>
          <w:sz w:val="24"/>
          <w:szCs w:val="24"/>
          <w:lang w:val="en-US"/>
        </w:rPr>
        <w:t xml:space="preserve"> the</w:t>
      </w:r>
      <w:r w:rsidR="002B1F4F" w:rsidRPr="00D5385E">
        <w:rPr>
          <w:rFonts w:ascii="Book Antiqua" w:hAnsi="Book Antiqua" w:cs="Arial"/>
          <w:color w:val="000000" w:themeColor="text1"/>
          <w:sz w:val="24"/>
          <w:szCs w:val="24"/>
          <w:lang w:val="en-US"/>
        </w:rPr>
        <w:t xml:space="preserve"> </w:t>
      </w:r>
      <w:r w:rsidR="00CE449B" w:rsidRPr="00D5385E">
        <w:rPr>
          <w:rFonts w:ascii="Book Antiqua" w:hAnsi="Book Antiqua" w:cs="Arial"/>
          <w:color w:val="000000" w:themeColor="text1"/>
          <w:sz w:val="24"/>
          <w:szCs w:val="24"/>
          <w:lang w:val="en-US"/>
        </w:rPr>
        <w:t>decreased health</w:t>
      </w:r>
      <w:r w:rsidR="000A1048">
        <w:rPr>
          <w:rFonts w:ascii="Book Antiqua" w:hAnsi="Book Antiqua" w:cs="Arial"/>
          <w:color w:val="000000" w:themeColor="text1"/>
          <w:sz w:val="24"/>
          <w:szCs w:val="24"/>
          <w:lang w:val="en-US"/>
        </w:rPr>
        <w:t>-</w:t>
      </w:r>
      <w:r w:rsidR="00CE449B" w:rsidRPr="00D5385E">
        <w:rPr>
          <w:rFonts w:ascii="Book Antiqua" w:hAnsi="Book Antiqua" w:cs="Arial"/>
          <w:color w:val="000000" w:themeColor="text1"/>
          <w:sz w:val="24"/>
          <w:szCs w:val="24"/>
          <w:lang w:val="en-US"/>
        </w:rPr>
        <w:t>related</w:t>
      </w:r>
      <w:r w:rsidR="002B1F4F" w:rsidRPr="00D5385E">
        <w:rPr>
          <w:rFonts w:ascii="Book Antiqua" w:hAnsi="Book Antiqua" w:cs="Arial"/>
          <w:color w:val="000000" w:themeColor="text1"/>
          <w:sz w:val="24"/>
          <w:szCs w:val="24"/>
          <w:lang w:val="en-US"/>
        </w:rPr>
        <w:t xml:space="preserve"> quality of </w:t>
      </w:r>
      <w:r w:rsidR="00CE449B" w:rsidRPr="00D5385E">
        <w:rPr>
          <w:rFonts w:ascii="Book Antiqua" w:hAnsi="Book Antiqua" w:cs="Arial"/>
          <w:color w:val="000000" w:themeColor="text1"/>
          <w:sz w:val="24"/>
          <w:szCs w:val="24"/>
          <w:lang w:val="en-US"/>
        </w:rPr>
        <w:t xml:space="preserve">life in </w:t>
      </w:r>
      <w:r w:rsidR="00773F9B" w:rsidRPr="00D5385E">
        <w:rPr>
          <w:rFonts w:ascii="Book Antiqua" w:hAnsi="Book Antiqua" w:cs="Arial"/>
          <w:color w:val="000000" w:themeColor="text1"/>
          <w:sz w:val="24"/>
          <w:szCs w:val="24"/>
          <w:lang w:val="en-US"/>
        </w:rPr>
        <w:t xml:space="preserve">this vulnerable population </w:t>
      </w:r>
      <w:r w:rsidR="00CE449B" w:rsidRPr="00D5385E">
        <w:rPr>
          <w:rFonts w:ascii="Book Antiqua" w:hAnsi="Book Antiqua" w:cs="Arial"/>
          <w:color w:val="000000" w:themeColor="text1"/>
          <w:sz w:val="24"/>
          <w:szCs w:val="24"/>
          <w:lang w:val="en-US"/>
        </w:rPr>
        <w:t xml:space="preserve">and further guide the clinician towards </w:t>
      </w:r>
      <w:r w:rsidR="00113CBD" w:rsidRPr="00D5385E">
        <w:rPr>
          <w:rFonts w:ascii="Book Antiqua" w:hAnsi="Book Antiqua" w:cs="Arial"/>
          <w:color w:val="000000" w:themeColor="text1"/>
          <w:sz w:val="24"/>
          <w:szCs w:val="24"/>
          <w:lang w:val="en-US"/>
        </w:rPr>
        <w:t>symptom</w:t>
      </w:r>
      <w:r w:rsidR="000A1048">
        <w:rPr>
          <w:rFonts w:ascii="Book Antiqua" w:hAnsi="Book Antiqua" w:cs="Arial"/>
          <w:color w:val="000000" w:themeColor="text1"/>
          <w:sz w:val="24"/>
          <w:szCs w:val="24"/>
          <w:lang w:val="en-US"/>
        </w:rPr>
        <w:t>-</w:t>
      </w:r>
      <w:r w:rsidR="00113CBD" w:rsidRPr="00D5385E">
        <w:rPr>
          <w:rFonts w:ascii="Book Antiqua" w:hAnsi="Book Antiqua" w:cs="Arial"/>
          <w:color w:val="000000" w:themeColor="text1"/>
          <w:sz w:val="24"/>
          <w:szCs w:val="24"/>
          <w:lang w:val="en-US"/>
        </w:rPr>
        <w:t xml:space="preserve">specific strategies. </w:t>
      </w:r>
    </w:p>
    <w:p w14:paraId="64044DBF" w14:textId="77777777" w:rsidR="006D1438" w:rsidRPr="00D5385E" w:rsidRDefault="006D1438" w:rsidP="006D1438">
      <w:pPr>
        <w:adjustRightInd w:val="0"/>
        <w:snapToGrid w:val="0"/>
        <w:spacing w:after="0" w:line="360" w:lineRule="auto"/>
        <w:ind w:firstLineChars="100" w:firstLine="241"/>
        <w:jc w:val="both"/>
        <w:rPr>
          <w:rFonts w:ascii="Book Antiqua" w:hAnsi="Book Antiqua" w:cs="Arial"/>
          <w:b/>
          <w:color w:val="000000" w:themeColor="text1"/>
          <w:sz w:val="24"/>
          <w:szCs w:val="24"/>
          <w:lang w:val="en-US"/>
        </w:rPr>
      </w:pPr>
    </w:p>
    <w:p w14:paraId="4D2CF1B9" w14:textId="59CC42A6" w:rsidR="00B96E6B" w:rsidRPr="006D1438" w:rsidRDefault="00B41BC6" w:rsidP="00D5385E">
      <w:pPr>
        <w:adjustRightInd w:val="0"/>
        <w:snapToGrid w:val="0"/>
        <w:spacing w:after="0" w:line="360" w:lineRule="auto"/>
        <w:jc w:val="both"/>
        <w:rPr>
          <w:rFonts w:ascii="Book Antiqua" w:hAnsi="Book Antiqua" w:cs="Arial"/>
          <w:b/>
          <w:color w:val="000000" w:themeColor="text1"/>
          <w:sz w:val="24"/>
          <w:szCs w:val="24"/>
          <w:lang w:val="en-US"/>
        </w:rPr>
      </w:pPr>
      <w:r w:rsidRPr="006D1438">
        <w:rPr>
          <w:rFonts w:ascii="Book Antiqua" w:hAnsi="Book Antiqua" w:cs="Arial"/>
          <w:b/>
          <w:color w:val="000000" w:themeColor="text1"/>
          <w:sz w:val="24"/>
          <w:szCs w:val="24"/>
          <w:lang w:val="en-US"/>
        </w:rPr>
        <w:t>MEDICAL THERAPY</w:t>
      </w:r>
    </w:p>
    <w:p w14:paraId="5042340D" w14:textId="4DF51929" w:rsidR="00B96E6B" w:rsidRPr="00D5385E" w:rsidRDefault="00B96E6B" w:rsidP="00D5385E">
      <w:pPr>
        <w:adjustRightInd w:val="0"/>
        <w:snapToGrid w:val="0"/>
        <w:spacing w:after="0" w:line="360" w:lineRule="auto"/>
        <w:jc w:val="both"/>
        <w:rPr>
          <w:rFonts w:ascii="Book Antiqua" w:hAnsi="Book Antiqua" w:cs="Arial"/>
          <w:b/>
          <w:i/>
          <w:color w:val="000000" w:themeColor="text1"/>
          <w:sz w:val="24"/>
          <w:szCs w:val="24"/>
          <w:lang w:val="en-US"/>
        </w:rPr>
      </w:pPr>
      <w:r w:rsidRPr="00D5385E">
        <w:rPr>
          <w:rFonts w:ascii="Book Antiqua" w:hAnsi="Book Antiqua" w:cs="Arial"/>
          <w:b/>
          <w:i/>
          <w:color w:val="000000" w:themeColor="text1"/>
          <w:sz w:val="24"/>
          <w:szCs w:val="24"/>
          <w:lang w:val="en-US"/>
        </w:rPr>
        <w:t>5</w:t>
      </w:r>
      <w:r w:rsidR="000A1048">
        <w:rPr>
          <w:rFonts w:ascii="Book Antiqua" w:hAnsi="Book Antiqua" w:cs="Arial"/>
          <w:b/>
          <w:i/>
          <w:color w:val="000000" w:themeColor="text1"/>
          <w:sz w:val="24"/>
          <w:szCs w:val="24"/>
          <w:lang w:val="en-US"/>
        </w:rPr>
        <w:t>-</w:t>
      </w:r>
      <w:r w:rsidRPr="00D5385E">
        <w:rPr>
          <w:rFonts w:ascii="Book Antiqua" w:hAnsi="Book Antiqua" w:cs="Arial"/>
          <w:b/>
          <w:i/>
          <w:color w:val="000000" w:themeColor="text1"/>
          <w:sz w:val="24"/>
          <w:szCs w:val="24"/>
          <w:lang w:val="en-US"/>
        </w:rPr>
        <w:t>Aminosalicylic acid</w:t>
      </w:r>
    </w:p>
    <w:p w14:paraId="16D3BB81" w14:textId="02DC884D" w:rsidR="00B96E6B" w:rsidRPr="00D5385E" w:rsidRDefault="00B96E6B"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Current guidelines suggest that </w:t>
      </w:r>
      <w:r w:rsidR="006D1438" w:rsidRPr="006D1438">
        <w:rPr>
          <w:rFonts w:ascii="Book Antiqua" w:hAnsi="Book Antiqua" w:cs="Arial"/>
          <w:color w:val="000000" w:themeColor="text1"/>
          <w:sz w:val="24"/>
          <w:szCs w:val="24"/>
          <w:lang w:val="en-US"/>
        </w:rPr>
        <w:t>5-Aminosalicylic acid (5-ASA)</w:t>
      </w:r>
      <w:r w:rsidRPr="00D5385E">
        <w:rPr>
          <w:rFonts w:ascii="Book Antiqua" w:hAnsi="Book Antiqua" w:cs="Arial"/>
          <w:color w:val="000000" w:themeColor="text1"/>
          <w:sz w:val="24"/>
          <w:szCs w:val="24"/>
          <w:lang w:val="en-US"/>
        </w:rPr>
        <w:t xml:space="preserve"> should be used for inducing remission and for maintenance therapy in mild</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to</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moderate UC (AGA guidelines); </w:t>
      </w:r>
      <w:r w:rsidR="00D91AA2" w:rsidRPr="00D5385E">
        <w:rPr>
          <w:rFonts w:ascii="Book Antiqua" w:hAnsi="Book Antiqua" w:cs="Arial"/>
          <w:color w:val="000000" w:themeColor="text1"/>
          <w:sz w:val="24"/>
          <w:szCs w:val="24"/>
          <w:lang w:val="en-US"/>
        </w:rPr>
        <w:t xml:space="preserve">however, </w:t>
      </w:r>
      <w:r w:rsidRPr="00D5385E">
        <w:rPr>
          <w:rFonts w:ascii="Book Antiqua" w:hAnsi="Book Antiqua" w:cs="Arial"/>
          <w:color w:val="000000" w:themeColor="text1"/>
          <w:sz w:val="24"/>
          <w:szCs w:val="24"/>
          <w:lang w:val="en-US"/>
        </w:rPr>
        <w:t>the role of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in CD is less clear and is currently not supported</w:t>
      </w:r>
      <w:r w:rsidR="00D91AA2" w:rsidRPr="00D5385E">
        <w:rPr>
          <w:rFonts w:ascii="Book Antiqua" w:hAnsi="Book Antiqua" w:cs="Arial"/>
          <w:color w:val="000000" w:themeColor="text1"/>
          <w:sz w:val="24"/>
          <w:szCs w:val="24"/>
          <w:lang w:val="en-US"/>
        </w:rPr>
        <w:t xml:space="preserve"> by major </w:t>
      </w:r>
      <w:proofErr w:type="gramStart"/>
      <w:r w:rsidR="00D91AA2" w:rsidRPr="00D5385E">
        <w:rPr>
          <w:rFonts w:ascii="Book Antiqua" w:hAnsi="Book Antiqua" w:cs="Arial"/>
          <w:color w:val="000000" w:themeColor="text1"/>
          <w:sz w:val="24"/>
          <w:szCs w:val="24"/>
          <w:lang w:val="en-US"/>
        </w:rPr>
        <w:t>guidelines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21</w:t>
      </w:r>
      <w:r w:rsidR="00BE1B60" w:rsidRPr="00D5385E">
        <w:rPr>
          <w:rFonts w:ascii="Book Antiqua" w:hAnsi="Book Antiqua" w:cs="Arial"/>
          <w:color w:val="000000" w:themeColor="text1"/>
          <w:sz w:val="24"/>
          <w:szCs w:val="24"/>
          <w:vertAlign w:val="superscript"/>
          <w:lang w:val="en-US"/>
        </w:rPr>
        <w:t>]</w:t>
      </w:r>
      <w:r w:rsidR="00BE1B60"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A recent population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based study from Hungary included 11240 elderly UC patients and 3172 elderly CD patients.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this study, 72% of elderly UC patients and 69% of elderly CD patients </w:t>
      </w:r>
      <w:r w:rsidR="00D91AA2" w:rsidRPr="00D5385E">
        <w:rPr>
          <w:rFonts w:ascii="Book Antiqua" w:hAnsi="Book Antiqua" w:cs="Arial"/>
          <w:color w:val="000000" w:themeColor="text1"/>
          <w:sz w:val="24"/>
          <w:szCs w:val="24"/>
          <w:lang w:val="en-US"/>
        </w:rPr>
        <w:t xml:space="preserve">were receiving </w:t>
      </w:r>
      <w:r w:rsidRPr="00D5385E">
        <w:rPr>
          <w:rFonts w:ascii="Book Antiqua" w:hAnsi="Book Antiqua" w:cs="Arial"/>
          <w:color w:val="000000" w:themeColor="text1"/>
          <w:sz w:val="24"/>
          <w:szCs w:val="24"/>
          <w:lang w:val="en-US"/>
        </w:rPr>
        <w:t>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w:t>
      </w:r>
      <w:r w:rsidR="00D91AA2" w:rsidRPr="00D5385E">
        <w:rPr>
          <w:rFonts w:ascii="Book Antiqua" w:hAnsi="Book Antiqua" w:cs="Arial"/>
          <w:color w:val="000000" w:themeColor="text1"/>
          <w:sz w:val="24"/>
          <w:szCs w:val="24"/>
          <w:lang w:val="en-US"/>
        </w:rPr>
        <w:t xml:space="preserve"> products</w:t>
      </w:r>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the 20</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59 year age group, 73% of UC patients and 71% of CD patients used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w:t>
      </w:r>
      <w:r w:rsidR="00D91AA2" w:rsidRPr="00D5385E">
        <w:rPr>
          <w:rFonts w:ascii="Book Antiqua" w:hAnsi="Book Antiqua" w:cs="Arial"/>
          <w:color w:val="000000" w:themeColor="text1"/>
          <w:sz w:val="24"/>
          <w:szCs w:val="24"/>
          <w:lang w:val="en-US"/>
        </w:rPr>
        <w:t xml:space="preserve"> products</w:t>
      </w:r>
      <w:r w:rsidRPr="00D5385E">
        <w:rPr>
          <w:rFonts w:ascii="Book Antiqua" w:hAnsi="Book Antiqua" w:cs="Arial"/>
          <w:color w:val="000000" w:themeColor="text1"/>
          <w:sz w:val="24"/>
          <w:szCs w:val="24"/>
          <w:lang w:val="en-US"/>
        </w:rPr>
        <w:t>, indicating similar usa</w:t>
      </w:r>
      <w:r w:rsidR="00BE1B60" w:rsidRPr="00D5385E">
        <w:rPr>
          <w:rFonts w:ascii="Book Antiqua" w:hAnsi="Book Antiqua" w:cs="Arial"/>
          <w:color w:val="000000" w:themeColor="text1"/>
          <w:sz w:val="24"/>
          <w:szCs w:val="24"/>
          <w:lang w:val="en-US"/>
        </w:rPr>
        <w:t xml:space="preserve">ge between these two age </w:t>
      </w:r>
      <w:proofErr w:type="gramStart"/>
      <w:r w:rsidR="00BE1B60" w:rsidRPr="00D5385E">
        <w:rPr>
          <w:rFonts w:ascii="Book Antiqua" w:hAnsi="Book Antiqua" w:cs="Arial"/>
          <w:color w:val="000000" w:themeColor="text1"/>
          <w:sz w:val="24"/>
          <w:szCs w:val="24"/>
          <w:lang w:val="en-US"/>
        </w:rPr>
        <w:t>groups</w:t>
      </w:r>
      <w:r w:rsidR="00BE1B60" w:rsidRPr="00D5385E">
        <w:rPr>
          <w:rFonts w:ascii="Book Antiqua" w:hAnsi="Book Antiqua" w:cs="Arial"/>
          <w:color w:val="000000" w:themeColor="text1"/>
          <w:sz w:val="24"/>
          <w:szCs w:val="24"/>
          <w:vertAlign w:val="superscript"/>
          <w:lang w:val="en-US"/>
        </w:rPr>
        <w:t>[</w:t>
      </w:r>
      <w:proofErr w:type="gramEnd"/>
      <w:r w:rsidR="00BE1B60" w:rsidRPr="00D5385E">
        <w:rPr>
          <w:rFonts w:ascii="Book Antiqua" w:hAnsi="Book Antiqua" w:cs="Arial"/>
          <w:color w:val="000000" w:themeColor="text1"/>
          <w:sz w:val="24"/>
          <w:szCs w:val="24"/>
          <w:vertAlign w:val="superscript"/>
          <w:lang w:val="en-US"/>
        </w:rPr>
        <w:t>21]</w:t>
      </w:r>
      <w:r w:rsidR="00BE1B60"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Similar results were seen in a retrospective analysis from Poland; out of 8,265 elderly UC patients, 89% were using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w:t>
      </w:r>
      <w:r w:rsidR="00D91AA2" w:rsidRPr="00D5385E">
        <w:rPr>
          <w:rFonts w:ascii="Book Antiqua" w:hAnsi="Book Antiqua" w:cs="Arial"/>
          <w:color w:val="000000" w:themeColor="text1"/>
          <w:sz w:val="24"/>
          <w:szCs w:val="24"/>
          <w:lang w:val="en-US"/>
        </w:rPr>
        <w:t xml:space="preserve"> compared to 76.5% of elderly CD patients (total of </w:t>
      </w:r>
      <w:r w:rsidRPr="00D5385E">
        <w:rPr>
          <w:rFonts w:ascii="Book Antiqua" w:hAnsi="Book Antiqua" w:cs="Arial"/>
          <w:color w:val="000000" w:themeColor="text1"/>
          <w:sz w:val="24"/>
          <w:szCs w:val="24"/>
          <w:lang w:val="en-US"/>
        </w:rPr>
        <w:t>1387 elderly CD patients</w:t>
      </w:r>
      <w:r w:rsidR="00D91AA2"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w:t>
      </w:r>
      <w:r w:rsidR="00114E46" w:rsidRPr="00D5385E">
        <w:rPr>
          <w:rFonts w:ascii="Book Antiqua" w:hAnsi="Book Antiqua" w:cs="Arial"/>
          <w:color w:val="000000" w:themeColor="text1"/>
          <w:sz w:val="24"/>
          <w:szCs w:val="24"/>
          <w:lang w:val="en-US"/>
        </w:rPr>
        <w:t>In this trial</w:t>
      </w:r>
      <w:r w:rsidRPr="00D5385E">
        <w:rPr>
          <w:rFonts w:ascii="Book Antiqua" w:hAnsi="Book Antiqua" w:cs="Arial"/>
          <w:color w:val="000000" w:themeColor="text1"/>
          <w:sz w:val="24"/>
          <w:szCs w:val="24"/>
          <w:lang w:val="en-US"/>
        </w:rPr>
        <w:t>, the exposure to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was similar between th</w:t>
      </w:r>
      <w:r w:rsidR="00114E46" w:rsidRPr="00D5385E">
        <w:rPr>
          <w:rFonts w:ascii="Book Antiqua" w:hAnsi="Book Antiqua" w:cs="Arial"/>
          <w:color w:val="000000" w:themeColor="text1"/>
          <w:sz w:val="24"/>
          <w:szCs w:val="24"/>
          <w:lang w:val="en-US"/>
        </w:rPr>
        <w:t>e</w:t>
      </w:r>
      <w:r w:rsidRPr="00D5385E">
        <w:rPr>
          <w:rFonts w:ascii="Book Antiqua" w:hAnsi="Book Antiqua" w:cs="Arial"/>
          <w:color w:val="000000" w:themeColor="text1"/>
          <w:sz w:val="24"/>
          <w:szCs w:val="24"/>
          <w:lang w:val="en-US"/>
        </w:rPr>
        <w:t xml:space="preserve"> </w:t>
      </w:r>
      <w:r w:rsidR="00114E46" w:rsidRPr="00D5385E">
        <w:rPr>
          <w:rFonts w:ascii="Book Antiqua" w:hAnsi="Book Antiqua" w:cs="Arial"/>
          <w:color w:val="000000" w:themeColor="text1"/>
          <w:sz w:val="24"/>
          <w:szCs w:val="24"/>
          <w:lang w:val="en-US"/>
        </w:rPr>
        <w:t>adult and elderly groups</w:t>
      </w:r>
      <w:r w:rsidR="00BE1B60" w:rsidRPr="00D5385E">
        <w:rPr>
          <w:rFonts w:ascii="Book Antiqua" w:hAnsi="Book Antiqua" w:cs="Arial"/>
          <w:color w:val="000000" w:themeColor="text1"/>
          <w:sz w:val="24"/>
          <w:szCs w:val="24"/>
          <w:lang w:val="en-US"/>
        </w:rPr>
        <w:t xml:space="preserve"> </w:t>
      </w:r>
      <w:r w:rsidR="00864AC3" w:rsidRPr="00D5385E">
        <w:rPr>
          <w:rFonts w:ascii="Book Antiqua" w:hAnsi="Book Antiqua" w:cs="Arial"/>
          <w:color w:val="000000" w:themeColor="text1"/>
          <w:sz w:val="24"/>
          <w:szCs w:val="24"/>
          <w:vertAlign w:val="superscript"/>
          <w:lang w:val="en-US"/>
        </w:rPr>
        <w:t>[23</w:t>
      </w:r>
      <w:r w:rsidR="00BE1B60" w:rsidRPr="00D5385E">
        <w:rPr>
          <w:rFonts w:ascii="Book Antiqua" w:hAnsi="Book Antiqua" w:cs="Arial"/>
          <w:color w:val="000000" w:themeColor="text1"/>
          <w:sz w:val="24"/>
          <w:szCs w:val="24"/>
          <w:vertAlign w:val="superscript"/>
          <w:lang w:val="en-US"/>
        </w:rPr>
        <w:t>]</w:t>
      </w:r>
      <w:r w:rsidR="00114E46" w:rsidRPr="00D5385E">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In contrast, </w:t>
      </w:r>
      <w:r w:rsidR="00BE1B60" w:rsidRPr="00D5385E">
        <w:rPr>
          <w:rFonts w:ascii="Book Antiqua" w:hAnsi="Book Antiqua" w:cs="Arial"/>
          <w:color w:val="000000" w:themeColor="text1"/>
          <w:sz w:val="24"/>
          <w:szCs w:val="24"/>
          <w:lang w:val="en-US"/>
        </w:rPr>
        <w:t xml:space="preserve">in their cohort of 6443 cases, </w:t>
      </w:r>
      <w:proofErr w:type="spellStart"/>
      <w:r w:rsidR="00BE1B60" w:rsidRPr="00D5385E">
        <w:rPr>
          <w:rFonts w:ascii="Book Antiqua" w:hAnsi="Book Antiqua" w:cs="Arial"/>
          <w:color w:val="000000" w:themeColor="text1"/>
          <w:sz w:val="24"/>
          <w:szCs w:val="24"/>
          <w:lang w:val="en-US"/>
        </w:rPr>
        <w:t>Everhov</w:t>
      </w:r>
      <w:proofErr w:type="spellEnd"/>
      <w:r w:rsidR="00BE1B60" w:rsidRPr="00D5385E">
        <w:rPr>
          <w:rFonts w:ascii="Book Antiqua" w:hAnsi="Book Antiqua" w:cs="Arial"/>
          <w:color w:val="000000" w:themeColor="text1"/>
          <w:sz w:val="24"/>
          <w:szCs w:val="24"/>
          <w:lang w:val="en-US"/>
        </w:rPr>
        <w:t xml:space="preserve"> </w:t>
      </w:r>
      <w:r w:rsidR="00BE1B60" w:rsidRPr="006D1438">
        <w:rPr>
          <w:rFonts w:ascii="Book Antiqua" w:hAnsi="Book Antiqua" w:cs="Arial"/>
          <w:i/>
          <w:iCs/>
          <w:color w:val="000000" w:themeColor="text1"/>
          <w:sz w:val="24"/>
          <w:szCs w:val="24"/>
          <w:lang w:val="en-US"/>
        </w:rPr>
        <w:t xml:space="preserve">et </w:t>
      </w:r>
      <w:proofErr w:type="gramStart"/>
      <w:r w:rsidR="00BE1B60" w:rsidRPr="006D1438">
        <w:rPr>
          <w:rFonts w:ascii="Book Antiqua" w:hAnsi="Book Antiqua" w:cs="Arial"/>
          <w:i/>
          <w:iCs/>
          <w:color w:val="000000" w:themeColor="text1"/>
          <w:sz w:val="24"/>
          <w:szCs w:val="24"/>
          <w:lang w:val="en-US"/>
        </w:rPr>
        <w:t>al</w:t>
      </w:r>
      <w:r w:rsidR="006D1438" w:rsidRPr="00D5385E">
        <w:rPr>
          <w:rFonts w:ascii="Book Antiqua" w:hAnsi="Book Antiqua" w:cs="Arial"/>
          <w:color w:val="000000" w:themeColor="text1"/>
          <w:sz w:val="24"/>
          <w:szCs w:val="24"/>
          <w:vertAlign w:val="superscript"/>
          <w:lang w:val="en-US"/>
        </w:rPr>
        <w:t>[</w:t>
      </w:r>
      <w:proofErr w:type="gramEnd"/>
      <w:r w:rsidR="006D1438" w:rsidRPr="00D5385E">
        <w:rPr>
          <w:rFonts w:ascii="Book Antiqua" w:hAnsi="Book Antiqua" w:cs="Arial"/>
          <w:color w:val="000000" w:themeColor="text1"/>
          <w:sz w:val="24"/>
          <w:szCs w:val="24"/>
          <w:vertAlign w:val="superscript"/>
          <w:lang w:val="en-US"/>
        </w:rPr>
        <w:t>2]</w:t>
      </w:r>
      <w:r w:rsidRPr="00D5385E">
        <w:rPr>
          <w:rFonts w:ascii="Book Antiqua" w:hAnsi="Book Antiqua" w:cs="Arial"/>
          <w:color w:val="000000" w:themeColor="text1"/>
          <w:sz w:val="24"/>
          <w:szCs w:val="24"/>
          <w:lang w:val="en-US"/>
        </w:rPr>
        <w:t xml:space="preserve"> found that</w:t>
      </w:r>
      <w:r w:rsidR="00D91AA2"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at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year follow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up</w:t>
      </w:r>
      <w:r w:rsidR="00D91AA2"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only 29% of elderly CD patients and 57% of elderly UC patients were using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respectively.</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These findings demonstrate that</w:t>
      </w:r>
      <w:r w:rsidR="00D91AA2" w:rsidRPr="00D5385E">
        <w:rPr>
          <w:rFonts w:ascii="Book Antiqua" w:hAnsi="Book Antiqua" w:cs="Arial"/>
          <w:color w:val="000000" w:themeColor="text1"/>
          <w:sz w:val="24"/>
          <w:szCs w:val="24"/>
          <w:lang w:val="en-US"/>
        </w:rPr>
        <w:t>,</w:t>
      </w:r>
      <w:r w:rsidR="000D388D"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despite the current guidelines, a </w:t>
      </w:r>
      <w:r w:rsidR="00D91AA2" w:rsidRPr="00D5385E">
        <w:rPr>
          <w:rFonts w:ascii="Book Antiqua" w:hAnsi="Book Antiqua" w:cs="Arial"/>
          <w:color w:val="000000" w:themeColor="text1"/>
          <w:sz w:val="24"/>
          <w:szCs w:val="24"/>
          <w:lang w:val="en-US"/>
        </w:rPr>
        <w:t xml:space="preserve">significant </w:t>
      </w:r>
      <w:r w:rsidRPr="00D5385E">
        <w:rPr>
          <w:rFonts w:ascii="Book Antiqua" w:hAnsi="Book Antiqua" w:cs="Arial"/>
          <w:color w:val="000000" w:themeColor="text1"/>
          <w:sz w:val="24"/>
          <w:szCs w:val="24"/>
          <w:lang w:val="en-US"/>
        </w:rPr>
        <w:t xml:space="preserve">proportion </w:t>
      </w:r>
      <w:r w:rsidR="00D91AA2" w:rsidRPr="00D5385E">
        <w:rPr>
          <w:rFonts w:ascii="Book Antiqua" w:hAnsi="Book Antiqua" w:cs="Arial"/>
          <w:color w:val="000000" w:themeColor="text1"/>
          <w:sz w:val="24"/>
          <w:szCs w:val="24"/>
          <w:lang w:val="en-US"/>
        </w:rPr>
        <w:t xml:space="preserve">of the </w:t>
      </w:r>
      <w:r w:rsidRPr="00D5385E">
        <w:rPr>
          <w:rFonts w:ascii="Book Antiqua" w:hAnsi="Book Antiqua" w:cs="Arial"/>
          <w:color w:val="000000" w:themeColor="text1"/>
          <w:sz w:val="24"/>
          <w:szCs w:val="24"/>
          <w:lang w:val="en-US"/>
        </w:rPr>
        <w:t xml:space="preserve">elderly CD population </w:t>
      </w:r>
      <w:r w:rsidR="00D91AA2" w:rsidRPr="00D5385E">
        <w:rPr>
          <w:rFonts w:ascii="Book Antiqua" w:hAnsi="Book Antiqua" w:cs="Arial"/>
          <w:color w:val="000000" w:themeColor="text1"/>
          <w:sz w:val="24"/>
          <w:szCs w:val="24"/>
          <w:lang w:val="en-US"/>
        </w:rPr>
        <w:t>are being</w:t>
      </w:r>
      <w:r w:rsidR="00975F4C"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prescribed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w:t>
      </w:r>
      <w:r w:rsidR="00D91AA2" w:rsidRPr="00D5385E">
        <w:rPr>
          <w:rFonts w:ascii="Book Antiqua" w:hAnsi="Book Antiqua" w:cs="Arial"/>
          <w:color w:val="000000" w:themeColor="text1"/>
          <w:sz w:val="24"/>
          <w:szCs w:val="24"/>
          <w:lang w:val="en-US"/>
        </w:rPr>
        <w:t xml:space="preserve"> products</w:t>
      </w:r>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One theory for the use of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in the maintenance therapy of CD suggests that its popularity may be due to its relatively safe side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effect </w:t>
      </w:r>
      <w:proofErr w:type="gramStart"/>
      <w:r w:rsidRPr="00D5385E">
        <w:rPr>
          <w:rFonts w:ascii="Book Antiqua" w:hAnsi="Book Antiqua" w:cs="Arial"/>
          <w:color w:val="000000" w:themeColor="text1"/>
          <w:sz w:val="24"/>
          <w:szCs w:val="24"/>
          <w:lang w:val="en-US"/>
        </w:rPr>
        <w:t>profile</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24</w:t>
      </w:r>
      <w:r w:rsidR="00BE1B60" w:rsidRPr="00D5385E">
        <w:rPr>
          <w:rFonts w:ascii="Book Antiqua" w:hAnsi="Book Antiqua" w:cs="Arial"/>
          <w:color w:val="000000" w:themeColor="text1"/>
          <w:sz w:val="24"/>
          <w:szCs w:val="24"/>
          <w:vertAlign w:val="superscript"/>
          <w:lang w:val="en-US"/>
        </w:rPr>
        <w:t>]</w:t>
      </w:r>
      <w:r w:rsidR="00BE1B60" w:rsidRPr="00D5385E">
        <w:rPr>
          <w:rFonts w:ascii="Book Antiqua" w:hAnsi="Book Antiqua" w:cs="Arial"/>
          <w:color w:val="000000" w:themeColor="text1"/>
          <w:sz w:val="24"/>
          <w:szCs w:val="24"/>
          <w:lang w:val="en-US"/>
        </w:rPr>
        <w:t>. W</w:t>
      </w:r>
      <w:r w:rsidRPr="00D5385E">
        <w:rPr>
          <w:rFonts w:ascii="Book Antiqua" w:hAnsi="Book Antiqua" w:cs="Arial"/>
          <w:color w:val="000000" w:themeColor="text1"/>
          <w:sz w:val="24"/>
          <w:szCs w:val="24"/>
          <w:lang w:val="en-US"/>
        </w:rPr>
        <w:t>hile the studies above suggest that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ASAs are widely prescribed for both UC and CD, it is important to consider their potential side effects.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a recent retrospective review from the </w:t>
      </w:r>
      <w:r w:rsidR="00BE1B60" w:rsidRPr="00D5385E">
        <w:rPr>
          <w:rFonts w:ascii="Book Antiqua" w:hAnsi="Book Antiqua" w:cs="Arial"/>
          <w:color w:val="000000" w:themeColor="text1"/>
          <w:sz w:val="24"/>
          <w:szCs w:val="24"/>
          <w:lang w:val="en-US"/>
        </w:rPr>
        <w:t xml:space="preserve">Swiss IBD cohort </w:t>
      </w:r>
      <w:r w:rsidRPr="00D5385E">
        <w:rPr>
          <w:rFonts w:ascii="Book Antiqua" w:hAnsi="Book Antiqua" w:cs="Arial"/>
          <w:color w:val="000000" w:themeColor="text1"/>
          <w:sz w:val="24"/>
          <w:szCs w:val="24"/>
          <w:lang w:val="en-US"/>
        </w:rPr>
        <w:t>which included 3192 patients of all ages, 7.9% of patients discontinued their 5</w:t>
      </w:r>
      <w:r w:rsidR="000A1048">
        <w:rPr>
          <w:rFonts w:ascii="Book Antiqua" w:hAnsi="Book Antiqua" w:cs="Arial"/>
          <w:color w:val="000000" w:themeColor="text1"/>
          <w:sz w:val="24"/>
          <w:szCs w:val="24"/>
          <w:lang w:val="en-US"/>
        </w:rPr>
        <w:t>-</w:t>
      </w:r>
      <w:proofErr w:type="gramStart"/>
      <w:r w:rsidRPr="00D5385E">
        <w:rPr>
          <w:rFonts w:ascii="Book Antiqua" w:hAnsi="Book Antiqua" w:cs="Arial"/>
          <w:color w:val="000000" w:themeColor="text1"/>
          <w:sz w:val="24"/>
          <w:szCs w:val="24"/>
          <w:lang w:val="en-US"/>
        </w:rPr>
        <w:t>ASA</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25</w:t>
      </w:r>
      <w:r w:rsidR="00BE1B60"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xml:space="preserve">. The most common reasons for discontinuation of therapy </w:t>
      </w:r>
      <w:r w:rsidRPr="00D5385E">
        <w:rPr>
          <w:rFonts w:ascii="Book Antiqua" w:hAnsi="Book Antiqua" w:cs="Arial"/>
          <w:color w:val="000000" w:themeColor="text1"/>
          <w:sz w:val="24"/>
          <w:szCs w:val="24"/>
          <w:lang w:val="en-US"/>
        </w:rPr>
        <w:lastRenderedPageBreak/>
        <w:t>were nausea and/or diarrhea (0.9%), gastrointestinal intolerance (0.4%) and nephritis (0.3%).</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With regards to nephrotoxicity associated with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a recent genome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wide association study found that the median age of nephrotoxicity was 39.4 years old, that it could manifest itself at any age and that there is genetic predisposition explaining its </w:t>
      </w:r>
      <w:proofErr w:type="gramStart"/>
      <w:r w:rsidRPr="00D5385E">
        <w:rPr>
          <w:rFonts w:ascii="Book Antiqua" w:hAnsi="Book Antiqua" w:cs="Arial"/>
          <w:color w:val="000000" w:themeColor="text1"/>
          <w:sz w:val="24"/>
          <w:szCs w:val="24"/>
          <w:lang w:val="en-US"/>
        </w:rPr>
        <w:t>development</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26</w:t>
      </w:r>
      <w:r w:rsidR="00BE1B60" w:rsidRPr="00D5385E">
        <w:rPr>
          <w:rFonts w:ascii="Book Antiqua" w:hAnsi="Book Antiqua" w:cs="Arial"/>
          <w:color w:val="000000" w:themeColor="text1"/>
          <w:sz w:val="24"/>
          <w:szCs w:val="24"/>
          <w:vertAlign w:val="superscript"/>
          <w:lang w:val="en-US"/>
        </w:rPr>
        <w:t>]</w:t>
      </w:r>
      <w:r w:rsidR="00BE1B60"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p>
    <w:p w14:paraId="7AFCE1F8" w14:textId="64EA7C69" w:rsidR="00B96E6B" w:rsidRDefault="00B96E6B"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In addition, there is currently insufficient evidence to suggest that there exists a difference in the efficacy of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between the you</w:t>
      </w:r>
      <w:r w:rsidR="00D92E31" w:rsidRPr="00D5385E">
        <w:rPr>
          <w:rFonts w:ascii="Book Antiqua" w:hAnsi="Book Antiqua" w:cs="Arial"/>
          <w:color w:val="000000" w:themeColor="text1"/>
          <w:sz w:val="24"/>
          <w:szCs w:val="24"/>
          <w:lang w:val="en-US"/>
        </w:rPr>
        <w:t>nger and older IBD populations</w:t>
      </w:r>
      <w:r w:rsidR="00A76356"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Regardless of the type of the disease, in elderly IBD patients, certain particularities come to the forefront.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For example, while many young IBD patients are able to auto</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administer suppositories, this may be difficult for an older person.</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Also, the prevalence of fecal incontinence among elderly patients in the outpatient setting has b</w:t>
      </w:r>
      <w:r w:rsidR="00BE1B60" w:rsidRPr="00D5385E">
        <w:rPr>
          <w:rFonts w:ascii="Book Antiqua" w:hAnsi="Book Antiqua" w:cs="Arial"/>
          <w:color w:val="000000" w:themeColor="text1"/>
          <w:sz w:val="24"/>
          <w:szCs w:val="24"/>
          <w:lang w:val="en-US"/>
        </w:rPr>
        <w:t xml:space="preserve">een shown to be as high as 9.9%, </w:t>
      </w:r>
      <w:r w:rsidRPr="00D5385E">
        <w:rPr>
          <w:rFonts w:ascii="Book Antiqua" w:hAnsi="Book Antiqua" w:cs="Arial"/>
          <w:color w:val="000000" w:themeColor="text1"/>
          <w:sz w:val="24"/>
          <w:szCs w:val="24"/>
          <w:lang w:val="en-US"/>
        </w:rPr>
        <w:t xml:space="preserve">which raises concern for inadequate absorption or administration of suppositories and </w:t>
      </w:r>
      <w:proofErr w:type="gramStart"/>
      <w:r w:rsidRPr="00D5385E">
        <w:rPr>
          <w:rFonts w:ascii="Book Antiqua" w:hAnsi="Book Antiqua" w:cs="Arial"/>
          <w:color w:val="000000" w:themeColor="text1"/>
          <w:sz w:val="24"/>
          <w:szCs w:val="24"/>
          <w:lang w:val="en-US"/>
        </w:rPr>
        <w:t>enemas</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27</w:t>
      </w:r>
      <w:r w:rsidR="00BE1B60"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Of note, for the elderly population at risk for polypharmacy,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ASA has been shown to interact with </w:t>
      </w:r>
      <w:proofErr w:type="gramStart"/>
      <w:r w:rsidRPr="00D5385E">
        <w:rPr>
          <w:rFonts w:ascii="Book Antiqua" w:hAnsi="Book Antiqua" w:cs="Arial"/>
          <w:color w:val="000000" w:themeColor="text1"/>
          <w:sz w:val="24"/>
          <w:szCs w:val="24"/>
          <w:lang w:val="en-US"/>
        </w:rPr>
        <w:t>Warfarin</w:t>
      </w:r>
      <w:r w:rsidR="00BE1B60"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28</w:t>
      </w:r>
      <w:r w:rsidR="00BE1B60" w:rsidRPr="00D5385E">
        <w:rPr>
          <w:rFonts w:ascii="Book Antiqua" w:hAnsi="Book Antiqua" w:cs="Arial"/>
          <w:color w:val="000000" w:themeColor="text1"/>
          <w:sz w:val="24"/>
          <w:szCs w:val="24"/>
          <w:vertAlign w:val="superscript"/>
          <w:lang w:val="en-US"/>
        </w:rPr>
        <w:t>]</w:t>
      </w:r>
      <w:r w:rsidR="00BE1B60"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addition, combining antacids and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may hinder the therapeutic effects of 5</w:t>
      </w:r>
      <w:r w:rsidR="000A1048">
        <w:rPr>
          <w:rFonts w:ascii="Book Antiqua" w:hAnsi="Book Antiqua" w:cs="Arial"/>
          <w:color w:val="000000" w:themeColor="text1"/>
          <w:sz w:val="24"/>
          <w:szCs w:val="24"/>
          <w:lang w:val="en-US"/>
        </w:rPr>
        <w:t>-</w:t>
      </w:r>
      <w:proofErr w:type="gramStart"/>
      <w:r w:rsidRPr="00D5385E">
        <w:rPr>
          <w:rFonts w:ascii="Book Antiqua" w:hAnsi="Book Antiqua" w:cs="Arial"/>
          <w:color w:val="000000" w:themeColor="text1"/>
          <w:sz w:val="24"/>
          <w:szCs w:val="24"/>
          <w:lang w:val="en-US"/>
        </w:rPr>
        <w:t>ASA</w:t>
      </w:r>
      <w:r w:rsidR="00864AC3"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29</w:t>
      </w:r>
      <w:r w:rsidR="00403D6B" w:rsidRPr="00D5385E">
        <w:rPr>
          <w:rFonts w:ascii="Book Antiqua" w:hAnsi="Book Antiqua" w:cs="Arial"/>
          <w:color w:val="000000" w:themeColor="text1"/>
          <w:sz w:val="24"/>
          <w:szCs w:val="24"/>
          <w:vertAlign w:val="superscript"/>
          <w:lang w:val="en-US"/>
        </w:rPr>
        <w:t>]</w:t>
      </w:r>
      <w:r w:rsidR="00403D6B" w:rsidRPr="00D5385E">
        <w:rPr>
          <w:rFonts w:ascii="Book Antiqua" w:hAnsi="Book Antiqua" w:cs="Arial"/>
          <w:color w:val="000000" w:themeColor="text1"/>
          <w:sz w:val="24"/>
          <w:szCs w:val="24"/>
          <w:lang w:val="en-US"/>
        </w:rPr>
        <w:t>.</w:t>
      </w:r>
    </w:p>
    <w:p w14:paraId="5A856472" w14:textId="77777777" w:rsidR="006D1438" w:rsidRPr="00D5385E" w:rsidRDefault="006D1438" w:rsidP="006D1438">
      <w:pPr>
        <w:adjustRightInd w:val="0"/>
        <w:snapToGrid w:val="0"/>
        <w:spacing w:after="0" w:line="360" w:lineRule="auto"/>
        <w:ind w:firstLineChars="100" w:firstLine="241"/>
        <w:jc w:val="both"/>
        <w:rPr>
          <w:rFonts w:ascii="Book Antiqua" w:hAnsi="Book Antiqua" w:cs="Arial"/>
          <w:b/>
          <w:color w:val="000000" w:themeColor="text1"/>
          <w:sz w:val="24"/>
          <w:szCs w:val="24"/>
          <w:u w:val="single"/>
          <w:lang w:val="en-US"/>
        </w:rPr>
      </w:pPr>
    </w:p>
    <w:p w14:paraId="5275EC04" w14:textId="77777777" w:rsidR="00B96E6B" w:rsidRPr="00D5385E" w:rsidRDefault="00B96E6B" w:rsidP="00D5385E">
      <w:pPr>
        <w:adjustRightInd w:val="0"/>
        <w:snapToGrid w:val="0"/>
        <w:spacing w:after="0" w:line="360" w:lineRule="auto"/>
        <w:jc w:val="both"/>
        <w:rPr>
          <w:rFonts w:ascii="Book Antiqua" w:hAnsi="Book Antiqua" w:cs="Arial"/>
          <w:b/>
          <w:i/>
          <w:color w:val="000000" w:themeColor="text1"/>
          <w:sz w:val="24"/>
          <w:szCs w:val="24"/>
          <w:u w:val="single"/>
          <w:lang w:val="en-US"/>
        </w:rPr>
      </w:pPr>
      <w:r w:rsidRPr="00D5385E">
        <w:rPr>
          <w:rFonts w:ascii="Book Antiqua" w:hAnsi="Book Antiqua" w:cs="Arial"/>
          <w:b/>
          <w:i/>
          <w:color w:val="000000" w:themeColor="text1"/>
          <w:sz w:val="24"/>
          <w:szCs w:val="24"/>
          <w:lang w:val="en-US"/>
        </w:rPr>
        <w:t>Steroids</w:t>
      </w:r>
    </w:p>
    <w:p w14:paraId="10EC3849" w14:textId="5C7AE4EE" w:rsidR="00B96E6B" w:rsidRPr="00D5385E" w:rsidRDefault="00B96E6B"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Corticosteroids play an important role in inducing remission with IBD.</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However, current guidelines do not recommend their use for maintenance therapy largely because of their unfavorable side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effects (AGA). Studies analyzing treatment trends in elderly IBD patients have shown that this population seems to use less immunomodulators and biologic agents, and more corticosteroids than their younger </w:t>
      </w:r>
      <w:proofErr w:type="gramStart"/>
      <w:r w:rsidRPr="00D5385E">
        <w:rPr>
          <w:rFonts w:ascii="Book Antiqua" w:hAnsi="Book Antiqua" w:cs="Arial"/>
          <w:color w:val="000000" w:themeColor="text1"/>
          <w:sz w:val="24"/>
          <w:szCs w:val="24"/>
          <w:lang w:val="en-US"/>
        </w:rPr>
        <w:t>counterparts</w:t>
      </w:r>
      <w:r w:rsidR="00403D6B" w:rsidRPr="00D5385E">
        <w:rPr>
          <w:rFonts w:ascii="Book Antiqua" w:hAnsi="Book Antiqua" w:cs="Arial"/>
          <w:color w:val="000000" w:themeColor="text1"/>
          <w:sz w:val="24"/>
          <w:szCs w:val="24"/>
          <w:vertAlign w:val="superscript"/>
          <w:lang w:val="en-US"/>
        </w:rPr>
        <w:t>[</w:t>
      </w:r>
      <w:proofErr w:type="gramEnd"/>
      <w:r w:rsidR="00864AC3" w:rsidRPr="00D5385E">
        <w:rPr>
          <w:rFonts w:ascii="Book Antiqua" w:hAnsi="Book Antiqua" w:cs="Arial"/>
          <w:color w:val="000000" w:themeColor="text1"/>
          <w:sz w:val="24"/>
          <w:szCs w:val="24"/>
          <w:vertAlign w:val="superscript"/>
          <w:lang w:val="en-US"/>
        </w:rPr>
        <w:t>6</w:t>
      </w:r>
      <w:r w:rsidR="00403D6B" w:rsidRPr="00D5385E">
        <w:rPr>
          <w:rFonts w:ascii="Book Antiqua" w:hAnsi="Book Antiqua" w:cs="Arial"/>
          <w:color w:val="000000" w:themeColor="text1"/>
          <w:sz w:val="24"/>
          <w:szCs w:val="24"/>
          <w:vertAlign w:val="superscript"/>
          <w:lang w:val="en-US"/>
        </w:rPr>
        <w:t>]</w:t>
      </w:r>
      <w:r w:rsidR="00403D6B" w:rsidRPr="00D5385E">
        <w:rPr>
          <w:rFonts w:ascii="Book Antiqua" w:hAnsi="Book Antiqua" w:cs="Arial"/>
          <w:color w:val="000000" w:themeColor="text1"/>
          <w:sz w:val="24"/>
          <w:szCs w:val="24"/>
          <w:lang w:val="en-US"/>
        </w:rPr>
        <w:t>. I</w:t>
      </w:r>
      <w:r w:rsidRPr="00D5385E">
        <w:rPr>
          <w:rFonts w:ascii="Book Antiqua" w:hAnsi="Book Antiqua" w:cs="Arial"/>
          <w:color w:val="000000" w:themeColor="text1"/>
          <w:sz w:val="24"/>
          <w:szCs w:val="24"/>
          <w:lang w:val="en-US"/>
        </w:rPr>
        <w:t>n fact,</w:t>
      </w:r>
      <w:r w:rsidR="00403D6B" w:rsidRPr="00D5385E">
        <w:rPr>
          <w:rFonts w:ascii="Book Antiqua" w:hAnsi="Book Antiqua" w:cs="Arial"/>
          <w:color w:val="000000" w:themeColor="text1"/>
          <w:sz w:val="24"/>
          <w:szCs w:val="24"/>
          <w:lang w:val="en-US"/>
        </w:rPr>
        <w:t xml:space="preserve"> the </w:t>
      </w:r>
      <w:proofErr w:type="spellStart"/>
      <w:r w:rsidR="00403D6B" w:rsidRPr="00D5385E">
        <w:rPr>
          <w:rFonts w:ascii="Book Antiqua" w:hAnsi="Book Antiqua" w:cs="Arial"/>
          <w:color w:val="000000" w:themeColor="text1"/>
          <w:sz w:val="24"/>
          <w:szCs w:val="24"/>
          <w:lang w:val="en-US"/>
        </w:rPr>
        <w:t>Everhov</w:t>
      </w:r>
      <w:proofErr w:type="spellEnd"/>
      <w:r w:rsidR="00403D6B" w:rsidRPr="00D5385E">
        <w:rPr>
          <w:rFonts w:ascii="Book Antiqua" w:hAnsi="Book Antiqua" w:cs="Arial"/>
          <w:color w:val="000000" w:themeColor="text1"/>
          <w:sz w:val="24"/>
          <w:szCs w:val="24"/>
          <w:lang w:val="en-US"/>
        </w:rPr>
        <w:t xml:space="preserve"> study revealed that, in regards to elderly CD patients, </w:t>
      </w:r>
      <w:r w:rsidRPr="00D5385E">
        <w:rPr>
          <w:rFonts w:ascii="Book Antiqua" w:hAnsi="Book Antiqua" w:cs="Arial"/>
          <w:color w:val="000000" w:themeColor="text1"/>
          <w:sz w:val="24"/>
          <w:szCs w:val="24"/>
          <w:lang w:val="en-US"/>
        </w:rPr>
        <w:t>17% were using immunomodulators and 22% were using corticosteroids</w:t>
      </w:r>
      <w:r w:rsidR="00403D6B" w:rsidRPr="00D5385E">
        <w:rPr>
          <w:rFonts w:ascii="Book Antiqua" w:hAnsi="Book Antiqua" w:cs="Arial"/>
          <w:color w:val="000000" w:themeColor="text1"/>
          <w:sz w:val="24"/>
          <w:szCs w:val="24"/>
          <w:lang w:val="en-US"/>
        </w:rPr>
        <w:t xml:space="preserve"> by the 5</w:t>
      </w:r>
      <w:r w:rsidR="00403D6B" w:rsidRPr="00D5385E">
        <w:rPr>
          <w:rFonts w:ascii="Book Antiqua" w:hAnsi="Book Antiqua" w:cs="Arial"/>
          <w:color w:val="000000" w:themeColor="text1"/>
          <w:sz w:val="24"/>
          <w:szCs w:val="24"/>
          <w:vertAlign w:val="superscript"/>
          <w:lang w:val="en-US"/>
        </w:rPr>
        <w:t>th</w:t>
      </w:r>
      <w:r w:rsidR="00403D6B" w:rsidRPr="00D5385E">
        <w:rPr>
          <w:rFonts w:ascii="Book Antiqua" w:hAnsi="Book Antiqua" w:cs="Arial"/>
          <w:color w:val="000000" w:themeColor="text1"/>
          <w:sz w:val="24"/>
          <w:szCs w:val="24"/>
          <w:lang w:val="en-US"/>
        </w:rPr>
        <w:t xml:space="preserve"> year of follow</w:t>
      </w:r>
      <w:r w:rsidR="000A1048">
        <w:rPr>
          <w:rFonts w:ascii="Book Antiqua" w:hAnsi="Book Antiqua" w:cs="Arial"/>
          <w:color w:val="000000" w:themeColor="text1"/>
          <w:sz w:val="24"/>
          <w:szCs w:val="24"/>
          <w:lang w:val="en-US"/>
        </w:rPr>
        <w:t>-</w:t>
      </w:r>
      <w:proofErr w:type="gramStart"/>
      <w:r w:rsidR="00403D6B" w:rsidRPr="00D5385E">
        <w:rPr>
          <w:rFonts w:ascii="Book Antiqua" w:hAnsi="Book Antiqua" w:cs="Arial"/>
          <w:color w:val="000000" w:themeColor="text1"/>
          <w:sz w:val="24"/>
          <w:szCs w:val="24"/>
          <w:lang w:val="en-US"/>
        </w:rPr>
        <w:t>up</w:t>
      </w:r>
      <w:r w:rsidR="00403D6B" w:rsidRPr="00D5385E">
        <w:rPr>
          <w:rFonts w:ascii="Book Antiqua" w:hAnsi="Book Antiqua" w:cs="Arial"/>
          <w:color w:val="000000" w:themeColor="text1"/>
          <w:sz w:val="24"/>
          <w:szCs w:val="24"/>
          <w:vertAlign w:val="superscript"/>
          <w:lang w:val="en-US"/>
        </w:rPr>
        <w:t>[</w:t>
      </w:r>
      <w:proofErr w:type="gramEnd"/>
      <w:r w:rsidR="00403D6B" w:rsidRPr="00D5385E">
        <w:rPr>
          <w:rFonts w:ascii="Book Antiqua" w:hAnsi="Book Antiqua" w:cs="Arial"/>
          <w:color w:val="000000" w:themeColor="text1"/>
          <w:sz w:val="24"/>
          <w:szCs w:val="24"/>
          <w:vertAlign w:val="superscript"/>
          <w:lang w:val="en-US"/>
        </w:rPr>
        <w:t>2]</w:t>
      </w:r>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elderly UC patients, by the 5</w:t>
      </w:r>
      <w:r w:rsidRPr="00D5385E">
        <w:rPr>
          <w:rFonts w:ascii="Book Antiqua" w:hAnsi="Book Antiqua" w:cs="Arial"/>
          <w:color w:val="000000" w:themeColor="text1"/>
          <w:sz w:val="24"/>
          <w:szCs w:val="24"/>
          <w:vertAlign w:val="superscript"/>
          <w:lang w:val="en-US"/>
        </w:rPr>
        <w:t>th</w:t>
      </w:r>
      <w:r w:rsidRPr="00D5385E">
        <w:rPr>
          <w:rFonts w:ascii="Book Antiqua" w:hAnsi="Book Antiqua" w:cs="Arial"/>
          <w:color w:val="000000" w:themeColor="text1"/>
          <w:sz w:val="24"/>
          <w:szCs w:val="24"/>
          <w:lang w:val="en-US"/>
        </w:rPr>
        <w:t xml:space="preserve"> year of follow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up, 9% were using immunomodulators and 23% were using corticosteroids. Additionally, in a cohort study including 190 elderly patients with IBD, regular corticosteroid use seemed to remain common.</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When groups were stratified based on moderate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to</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severe disease activity (</w:t>
      </w:r>
      <w:r w:rsidR="006D1438">
        <w:rPr>
          <w:rFonts w:ascii="Book Antiqua" w:hAnsi="Book Antiqua" w:cs="Arial"/>
          <w:i/>
          <w:iCs/>
          <w:color w:val="000000" w:themeColor="text1"/>
          <w:sz w:val="24"/>
          <w:szCs w:val="24"/>
          <w:lang w:val="en-US"/>
        </w:rPr>
        <w:t>n</w:t>
      </w:r>
      <w:r w:rsidR="006D1438">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w:t>
      </w:r>
      <w:r w:rsidR="006D1438">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61), 71% of these patients were using corticosteroids chronically, only 25% and 35% had received </w:t>
      </w:r>
      <w:r w:rsidRPr="00D5385E">
        <w:rPr>
          <w:rFonts w:ascii="Book Antiqua" w:hAnsi="Book Antiqua" w:cs="Arial"/>
          <w:color w:val="000000" w:themeColor="text1"/>
          <w:sz w:val="24"/>
          <w:szCs w:val="24"/>
          <w:lang w:val="en-US"/>
        </w:rPr>
        <w:lastRenderedPageBreak/>
        <w:t>biologics and immunomodulators, respectively.</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Furthermore, 24% of patients in remission or with mild disease were using chronic </w:t>
      </w:r>
      <w:proofErr w:type="gramStart"/>
      <w:r w:rsidRPr="00D5385E">
        <w:rPr>
          <w:rFonts w:ascii="Book Antiqua" w:hAnsi="Book Antiqua" w:cs="Arial"/>
          <w:color w:val="000000" w:themeColor="text1"/>
          <w:sz w:val="24"/>
          <w:szCs w:val="24"/>
          <w:lang w:val="en-US"/>
        </w:rPr>
        <w:t>steroids</w:t>
      </w:r>
      <w:r w:rsidR="00403D6B" w:rsidRPr="00D5385E">
        <w:rPr>
          <w:rFonts w:ascii="Book Antiqua" w:hAnsi="Book Antiqua" w:cs="Arial"/>
          <w:color w:val="000000" w:themeColor="text1"/>
          <w:sz w:val="24"/>
          <w:szCs w:val="24"/>
          <w:vertAlign w:val="superscript"/>
          <w:lang w:val="en-US"/>
        </w:rPr>
        <w:t>[</w:t>
      </w:r>
      <w:proofErr w:type="gramEnd"/>
      <w:r w:rsidR="00403D6B" w:rsidRPr="00D5385E">
        <w:rPr>
          <w:rFonts w:ascii="Book Antiqua" w:hAnsi="Book Antiqua" w:cs="Arial"/>
          <w:color w:val="000000" w:themeColor="text1"/>
          <w:sz w:val="24"/>
          <w:szCs w:val="24"/>
          <w:vertAlign w:val="superscript"/>
          <w:lang w:val="en-US"/>
        </w:rPr>
        <w:t>30]</w:t>
      </w:r>
      <w:r w:rsidR="00403D6B" w:rsidRPr="00D5385E">
        <w:rPr>
          <w:rFonts w:ascii="Book Antiqua" w:hAnsi="Book Antiqua" w:cs="Arial"/>
          <w:color w:val="000000" w:themeColor="text1"/>
          <w:sz w:val="24"/>
          <w:szCs w:val="24"/>
          <w:lang w:val="en-US"/>
        </w:rPr>
        <w:t>.</w:t>
      </w:r>
    </w:p>
    <w:p w14:paraId="3A535866" w14:textId="26C19E5D" w:rsidR="00B96E6B" w:rsidRPr="00D5385E" w:rsidRDefault="00B96E6B" w:rsidP="006D1438">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In a recent population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based study analyzing 465 patients with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ulcerative colitis, </w:t>
      </w:r>
      <w:proofErr w:type="spellStart"/>
      <w:r w:rsidR="00403D6B" w:rsidRPr="00D5385E">
        <w:rPr>
          <w:rFonts w:ascii="Book Antiqua" w:hAnsi="Book Antiqua" w:cs="Arial"/>
          <w:color w:val="000000" w:themeColor="text1"/>
          <w:sz w:val="24"/>
          <w:szCs w:val="24"/>
          <w:lang w:val="en-US"/>
        </w:rPr>
        <w:t>Duricova</w:t>
      </w:r>
      <w:proofErr w:type="spellEnd"/>
      <w:r w:rsidR="00403D6B" w:rsidRPr="00D5385E">
        <w:rPr>
          <w:rFonts w:ascii="Book Antiqua" w:hAnsi="Book Antiqua" w:cs="Arial"/>
          <w:color w:val="000000" w:themeColor="text1"/>
          <w:sz w:val="24"/>
          <w:szCs w:val="24"/>
          <w:lang w:val="en-US"/>
        </w:rPr>
        <w:t xml:space="preserve"> </w:t>
      </w:r>
      <w:r w:rsidR="00403D6B" w:rsidRPr="006D1438">
        <w:rPr>
          <w:rFonts w:ascii="Book Antiqua" w:hAnsi="Book Antiqua" w:cs="Arial"/>
          <w:i/>
          <w:iCs/>
          <w:color w:val="000000" w:themeColor="text1"/>
          <w:sz w:val="24"/>
          <w:szCs w:val="24"/>
          <w:lang w:val="en-US"/>
        </w:rPr>
        <w:t xml:space="preserve">et </w:t>
      </w:r>
      <w:proofErr w:type="gramStart"/>
      <w:r w:rsidR="00403D6B" w:rsidRPr="006D1438">
        <w:rPr>
          <w:rFonts w:ascii="Book Antiqua" w:hAnsi="Book Antiqua" w:cs="Arial"/>
          <w:i/>
          <w:iCs/>
          <w:color w:val="000000" w:themeColor="text1"/>
          <w:sz w:val="24"/>
          <w:szCs w:val="24"/>
          <w:lang w:val="en-US"/>
        </w:rPr>
        <w:t>al</w:t>
      </w:r>
      <w:r w:rsidR="006D1438" w:rsidRPr="00D5385E">
        <w:rPr>
          <w:rFonts w:ascii="Book Antiqua" w:hAnsi="Book Antiqua" w:cs="Arial"/>
          <w:color w:val="000000" w:themeColor="text1"/>
          <w:sz w:val="24"/>
          <w:szCs w:val="24"/>
          <w:vertAlign w:val="superscript"/>
          <w:lang w:val="en-US"/>
        </w:rPr>
        <w:t>[</w:t>
      </w:r>
      <w:proofErr w:type="gramEnd"/>
      <w:r w:rsidR="006D1438" w:rsidRPr="00D5385E">
        <w:rPr>
          <w:rFonts w:ascii="Book Antiqua" w:hAnsi="Book Antiqua" w:cs="Arial"/>
          <w:color w:val="000000" w:themeColor="text1"/>
          <w:sz w:val="24"/>
          <w:szCs w:val="24"/>
          <w:vertAlign w:val="superscript"/>
          <w:lang w:val="en-US"/>
        </w:rPr>
        <w:t>31]</w:t>
      </w:r>
      <w:r w:rsidRPr="00D5385E">
        <w:rPr>
          <w:rFonts w:ascii="Book Antiqua" w:hAnsi="Book Antiqua" w:cs="Arial"/>
          <w:color w:val="000000" w:themeColor="text1"/>
          <w:sz w:val="24"/>
          <w:szCs w:val="24"/>
          <w:lang w:val="en-US"/>
        </w:rPr>
        <w:t xml:space="preserve"> found that there was a 20.4% cumulative probability that patients receive corticosteroids within the first year since diagnosis and a 31.5% cumulative probability within the first five years.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A total of 151 patients were exposed to corticosteroids and patients had a yearly median exposure period of 23 d. </w:t>
      </w:r>
      <w:r w:rsidR="00153BE2">
        <w:rPr>
          <w:rFonts w:ascii="Book Antiqua" w:hAnsi="Book Antiqua" w:cs="Arial"/>
          <w:color w:val="000000" w:themeColor="text1"/>
          <w:sz w:val="24"/>
          <w:szCs w:val="24"/>
          <w:lang w:val="en-US"/>
        </w:rPr>
        <w:t>Twelve</w:t>
      </w:r>
      <w:r w:rsidRPr="00D5385E">
        <w:rPr>
          <w:rFonts w:ascii="Book Antiqua" w:hAnsi="Book Antiqua" w:cs="Arial"/>
          <w:color w:val="000000" w:themeColor="text1"/>
          <w:sz w:val="24"/>
          <w:szCs w:val="24"/>
          <w:lang w:val="en-US"/>
        </w:rPr>
        <w:t xml:space="preserve"> patients (7.9%) experienced adverse events, with new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diabetes mellitus being the most common. With regards to steroid dependency, 31 patients (20.5%) became </w:t>
      </w:r>
      <w:r w:rsidR="00114E46" w:rsidRPr="00D5385E">
        <w:rPr>
          <w:rFonts w:ascii="Book Antiqua" w:hAnsi="Book Antiqua" w:cs="Arial"/>
          <w:color w:val="000000" w:themeColor="text1"/>
          <w:sz w:val="24"/>
          <w:szCs w:val="24"/>
          <w:lang w:val="en-US"/>
        </w:rPr>
        <w:t xml:space="preserve">steroid </w:t>
      </w:r>
      <w:r w:rsidRPr="00D5385E">
        <w:rPr>
          <w:rFonts w:ascii="Book Antiqua" w:hAnsi="Book Antiqua" w:cs="Arial"/>
          <w:color w:val="000000" w:themeColor="text1"/>
          <w:sz w:val="24"/>
          <w:szCs w:val="24"/>
          <w:lang w:val="en-US"/>
        </w:rPr>
        <w:t>dependent over the study period</w:t>
      </w:r>
      <w:r w:rsidR="00114E46" w:rsidRPr="00D5385E">
        <w:rPr>
          <w:rFonts w:ascii="Book Antiqua" w:hAnsi="Book Antiqua" w:cs="Arial"/>
          <w:color w:val="000000" w:themeColor="text1"/>
          <w:sz w:val="24"/>
          <w:szCs w:val="24"/>
          <w:lang w:val="en-US"/>
        </w:rPr>
        <w:t>; there</w:t>
      </w:r>
      <w:r w:rsidRPr="00D5385E">
        <w:rPr>
          <w:rFonts w:ascii="Book Antiqua" w:hAnsi="Book Antiqua" w:cs="Arial"/>
          <w:color w:val="000000" w:themeColor="text1"/>
          <w:sz w:val="24"/>
          <w:szCs w:val="24"/>
          <w:lang w:val="en-US"/>
        </w:rPr>
        <w:t xml:space="preserve"> was no significant difference in the incidence of new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w:t>
      </w:r>
      <w:r w:rsidR="00114E46" w:rsidRPr="00D5385E">
        <w:rPr>
          <w:rFonts w:ascii="Book Antiqua" w:hAnsi="Book Antiqua" w:cs="Arial"/>
          <w:color w:val="000000" w:themeColor="text1"/>
          <w:sz w:val="24"/>
          <w:szCs w:val="24"/>
          <w:lang w:val="en-US"/>
        </w:rPr>
        <w:t>steroid</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dependen</w:t>
      </w:r>
      <w:r w:rsidR="00114E46" w:rsidRPr="00D5385E">
        <w:rPr>
          <w:rFonts w:ascii="Book Antiqua" w:hAnsi="Book Antiqua" w:cs="Arial"/>
          <w:color w:val="000000" w:themeColor="text1"/>
          <w:sz w:val="24"/>
          <w:szCs w:val="24"/>
          <w:lang w:val="en-US"/>
        </w:rPr>
        <w:t>t disease</w:t>
      </w:r>
      <w:r w:rsidRPr="00D5385E">
        <w:rPr>
          <w:rFonts w:ascii="Book Antiqua" w:hAnsi="Book Antiqua" w:cs="Arial"/>
          <w:color w:val="000000" w:themeColor="text1"/>
          <w:sz w:val="24"/>
          <w:szCs w:val="24"/>
          <w:lang w:val="en-US"/>
        </w:rPr>
        <w:t xml:space="preserve"> between patients older and younger than 70 years. Finally, steroid resistance, defined as no response to maximal doses of intravenous steroids and therefore requiring surgery or need for additional cyclosporine or infliximab, was more common in elderly patients &lt; 70 years </w:t>
      </w:r>
      <w:r w:rsidR="000A1048" w:rsidRPr="00153BE2">
        <w:rPr>
          <w:rFonts w:ascii="Book Antiqua" w:hAnsi="Book Antiqua" w:cs="Arial"/>
          <w:i/>
          <w:iCs/>
          <w:color w:val="000000" w:themeColor="text1"/>
          <w:sz w:val="24"/>
          <w:szCs w:val="24"/>
          <w:lang w:val="en-US"/>
        </w:rPr>
        <w:t>vs</w:t>
      </w:r>
      <w:r w:rsidRPr="00153BE2">
        <w:rPr>
          <w:rFonts w:ascii="Book Antiqua" w:hAnsi="Book Antiqua" w:cs="Arial"/>
          <w:i/>
          <w:iCs/>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those &gt; 70 years. </w:t>
      </w:r>
    </w:p>
    <w:p w14:paraId="2A730C36" w14:textId="22E81DCE"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Studies have shown that there is an increased risk of adverse events in association with corticosteroid use in elderly IBD patients; these include (but are not limited to) both serious infections and death.</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Indeed, in the </w:t>
      </w:r>
      <w:r w:rsidR="00403D6B" w:rsidRPr="00D5385E">
        <w:rPr>
          <w:rFonts w:ascii="Book Antiqua" w:hAnsi="Book Antiqua" w:cs="Arial"/>
          <w:color w:val="000000" w:themeColor="text1"/>
          <w:sz w:val="24"/>
          <w:szCs w:val="24"/>
          <w:lang w:val="en-US"/>
        </w:rPr>
        <w:t>TREAT</w:t>
      </w:r>
      <w:r w:rsidRPr="00D5385E">
        <w:rPr>
          <w:rFonts w:ascii="Book Antiqua" w:hAnsi="Book Antiqua" w:cs="Arial"/>
          <w:color w:val="000000" w:themeColor="text1"/>
          <w:sz w:val="24"/>
          <w:szCs w:val="24"/>
          <w:lang w:val="en-US"/>
        </w:rPr>
        <w:t xml:space="preserve"> registry, 55 out of 6290 patients died.</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The independent predictors of death proved to age, duration of CD disease and the use of </w:t>
      </w:r>
      <w:proofErr w:type="gramStart"/>
      <w:r w:rsidRPr="00D5385E">
        <w:rPr>
          <w:rFonts w:ascii="Book Antiqua" w:hAnsi="Book Antiqua" w:cs="Arial"/>
          <w:color w:val="000000" w:themeColor="text1"/>
          <w:sz w:val="24"/>
          <w:szCs w:val="24"/>
          <w:lang w:val="en-US"/>
        </w:rPr>
        <w:t>prednisone</w:t>
      </w:r>
      <w:r w:rsidR="00403D6B" w:rsidRPr="00D5385E">
        <w:rPr>
          <w:rFonts w:ascii="Book Antiqua" w:hAnsi="Book Antiqua" w:cs="Arial"/>
          <w:color w:val="000000" w:themeColor="text1"/>
          <w:sz w:val="24"/>
          <w:szCs w:val="24"/>
          <w:vertAlign w:val="superscript"/>
          <w:lang w:val="en-US"/>
        </w:rPr>
        <w:t>[</w:t>
      </w:r>
      <w:proofErr w:type="gramEnd"/>
      <w:r w:rsidR="00403D6B" w:rsidRPr="00D5385E">
        <w:rPr>
          <w:rFonts w:ascii="Book Antiqua" w:hAnsi="Book Antiqua" w:cs="Arial"/>
          <w:color w:val="000000" w:themeColor="text1"/>
          <w:sz w:val="24"/>
          <w:szCs w:val="24"/>
          <w:vertAlign w:val="superscript"/>
          <w:lang w:val="en-US"/>
        </w:rPr>
        <w:t>32]</w:t>
      </w:r>
      <w:r w:rsidRPr="00D5385E">
        <w:rPr>
          <w:rFonts w:ascii="Book Antiqua" w:hAnsi="Book Antiqua" w:cs="Arial"/>
          <w:color w:val="000000" w:themeColor="text1"/>
          <w:sz w:val="24"/>
          <w:szCs w:val="24"/>
          <w:lang w:val="en-US"/>
        </w:rPr>
        <w:t>. With regards to serious infections, 106 patients suffered from such a complication. The independent predictors of serious infection included race, duration of CD disease, moderate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to</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severe CD disease, the use of narcotics and finally, the use of prednisone.</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addition, in their study, </w:t>
      </w:r>
      <w:r w:rsidR="00403D6B" w:rsidRPr="00D5385E">
        <w:rPr>
          <w:rFonts w:ascii="Book Antiqua" w:hAnsi="Book Antiqua" w:cs="Arial"/>
          <w:color w:val="000000" w:themeColor="text1"/>
          <w:sz w:val="24"/>
          <w:szCs w:val="24"/>
          <w:lang w:val="en-US"/>
        </w:rPr>
        <w:t>Brassard</w:t>
      </w:r>
      <w:r w:rsidRPr="00D5385E">
        <w:rPr>
          <w:rFonts w:ascii="Book Antiqua" w:hAnsi="Book Antiqua" w:cs="Arial"/>
          <w:color w:val="000000" w:themeColor="text1"/>
          <w:sz w:val="24"/>
          <w:szCs w:val="24"/>
          <w:lang w:val="en-US"/>
        </w:rPr>
        <w:t xml:space="preserve"> et al. identified 564 cases of serious infection in their cohort of 3552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IBD </w:t>
      </w:r>
      <w:proofErr w:type="gramStart"/>
      <w:r w:rsidRPr="00D5385E">
        <w:rPr>
          <w:rFonts w:ascii="Book Antiqua" w:hAnsi="Book Antiqua" w:cs="Arial"/>
          <w:color w:val="000000" w:themeColor="text1"/>
          <w:sz w:val="24"/>
          <w:szCs w:val="24"/>
          <w:lang w:val="en-US"/>
        </w:rPr>
        <w:t>patients</w:t>
      </w:r>
      <w:r w:rsidR="00403D6B" w:rsidRPr="00D5385E">
        <w:rPr>
          <w:rFonts w:ascii="Book Antiqua" w:hAnsi="Book Antiqua" w:cs="Arial"/>
          <w:color w:val="000000" w:themeColor="text1"/>
          <w:sz w:val="24"/>
          <w:szCs w:val="24"/>
          <w:vertAlign w:val="superscript"/>
          <w:lang w:val="en-US"/>
        </w:rPr>
        <w:t>[</w:t>
      </w:r>
      <w:proofErr w:type="gramEnd"/>
      <w:r w:rsidR="00403D6B" w:rsidRPr="00D5385E">
        <w:rPr>
          <w:rFonts w:ascii="Book Antiqua" w:hAnsi="Book Antiqua" w:cs="Arial"/>
          <w:color w:val="000000" w:themeColor="text1"/>
          <w:sz w:val="24"/>
          <w:szCs w:val="24"/>
          <w:vertAlign w:val="superscript"/>
          <w:lang w:val="en-US"/>
        </w:rPr>
        <w:t>33]</w:t>
      </w:r>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The authors found that those patients currently using corticosteroids (within the last 45 d) and those exposed to corticosteroids within the last 90 days were at an increased risk for</w:t>
      </w:r>
      <w:r w:rsidR="00D92E31" w:rsidRPr="00D5385E">
        <w:rPr>
          <w:rFonts w:ascii="Book Antiqua" w:hAnsi="Book Antiqua" w:cs="Arial"/>
          <w:color w:val="000000" w:themeColor="text1"/>
          <w:sz w:val="24"/>
          <w:szCs w:val="24"/>
          <w:lang w:val="en-US"/>
        </w:rPr>
        <w:t xml:space="preserve"> serious infections</w:t>
      </w:r>
      <w:r w:rsidRPr="00D5385E">
        <w:rPr>
          <w:rFonts w:ascii="Book Antiqua" w:hAnsi="Book Antiqua" w:cs="Arial"/>
          <w:color w:val="000000" w:themeColor="text1"/>
          <w:sz w:val="24"/>
          <w:szCs w:val="24"/>
          <w:lang w:val="en-US"/>
        </w:rPr>
        <w:t>.</w:t>
      </w:r>
    </w:p>
    <w:p w14:paraId="4101A91B" w14:textId="6336760C"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Additionally, in a recent retrospective study by </w:t>
      </w:r>
      <w:proofErr w:type="spellStart"/>
      <w:r w:rsidR="00403D6B" w:rsidRPr="00D5385E">
        <w:rPr>
          <w:rFonts w:ascii="Book Antiqua" w:hAnsi="Book Antiqua" w:cs="Arial"/>
          <w:color w:val="000000" w:themeColor="text1"/>
          <w:sz w:val="24"/>
          <w:szCs w:val="24"/>
          <w:lang w:val="en-US"/>
        </w:rPr>
        <w:t>Govani</w:t>
      </w:r>
      <w:proofErr w:type="spellEnd"/>
      <w:r w:rsidR="00403D6B" w:rsidRPr="00D5385E">
        <w:rPr>
          <w:rFonts w:ascii="Book Antiqua" w:hAnsi="Book Antiqua" w:cs="Arial"/>
          <w:color w:val="000000" w:themeColor="text1"/>
          <w:sz w:val="24"/>
          <w:szCs w:val="24"/>
          <w:lang w:val="en-US"/>
        </w:rPr>
        <w:t xml:space="preserve"> </w:t>
      </w:r>
      <w:r w:rsidR="00403D6B" w:rsidRPr="00153BE2">
        <w:rPr>
          <w:rFonts w:ascii="Book Antiqua" w:hAnsi="Book Antiqua" w:cs="Arial"/>
          <w:i/>
          <w:iCs/>
          <w:color w:val="000000" w:themeColor="text1"/>
          <w:sz w:val="24"/>
          <w:szCs w:val="24"/>
          <w:lang w:val="en-US"/>
        </w:rPr>
        <w:t xml:space="preserve">et </w:t>
      </w:r>
      <w:proofErr w:type="gramStart"/>
      <w:r w:rsidR="00403D6B"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34]</w:t>
      </w:r>
      <w:r w:rsidRPr="00D5385E">
        <w:rPr>
          <w:rFonts w:ascii="Book Antiqua" w:hAnsi="Book Antiqua" w:cs="Arial"/>
          <w:color w:val="000000" w:themeColor="text1"/>
          <w:sz w:val="24"/>
          <w:szCs w:val="24"/>
          <w:lang w:val="en-US"/>
        </w:rPr>
        <w:t xml:space="preserve"> with 12276 IBD patients 65 years and older, older patients were found to have a significantly increased </w:t>
      </w:r>
      <w:r w:rsidRPr="00D5385E">
        <w:rPr>
          <w:rFonts w:ascii="Book Antiqua" w:hAnsi="Book Antiqua" w:cs="Arial"/>
          <w:color w:val="000000" w:themeColor="text1"/>
          <w:sz w:val="24"/>
          <w:szCs w:val="24"/>
          <w:lang w:val="en-US"/>
        </w:rPr>
        <w:lastRenderedPageBreak/>
        <w:t>fracture risk at 1 year following the initiation of corticosteroids when compared to younger patients.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Of note, both venous thromboembolism and infection were more frequently encountered with corticosteroid users; although there was no significant difference in rates of these secondary effects between the older and younger patient groups.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Also, in a </w:t>
      </w:r>
      <w:r w:rsidR="00365D7B" w:rsidRPr="00D5385E">
        <w:rPr>
          <w:rFonts w:ascii="Book Antiqua" w:hAnsi="Book Antiqua" w:cs="Arial"/>
          <w:color w:val="000000" w:themeColor="text1"/>
          <w:sz w:val="24"/>
          <w:szCs w:val="24"/>
          <w:lang w:val="en-US"/>
        </w:rPr>
        <w:t>cross</w:t>
      </w:r>
      <w:r w:rsidR="000A1048">
        <w:rPr>
          <w:rFonts w:ascii="Book Antiqua" w:hAnsi="Book Antiqua" w:cs="Arial"/>
          <w:color w:val="000000" w:themeColor="text1"/>
          <w:sz w:val="24"/>
          <w:szCs w:val="24"/>
          <w:lang w:val="en-US"/>
        </w:rPr>
        <w:t>-</w:t>
      </w:r>
      <w:r w:rsidR="00365D7B" w:rsidRPr="00D5385E">
        <w:rPr>
          <w:rFonts w:ascii="Book Antiqua" w:hAnsi="Book Antiqua" w:cs="Arial"/>
          <w:color w:val="000000" w:themeColor="text1"/>
          <w:sz w:val="24"/>
          <w:szCs w:val="24"/>
          <w:lang w:val="en-US"/>
        </w:rPr>
        <w:t>sectional study</w:t>
      </w:r>
      <w:r w:rsidRPr="00D5385E">
        <w:rPr>
          <w:rFonts w:ascii="Book Antiqua" w:hAnsi="Book Antiqua" w:cs="Arial"/>
          <w:color w:val="000000" w:themeColor="text1"/>
          <w:sz w:val="24"/>
          <w:szCs w:val="24"/>
          <w:lang w:val="en-US"/>
        </w:rPr>
        <w:t xml:space="preserve"> followed by longitudinal analysis, self</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reported IBD patients 60 years and older treated with corticosteroid monotherapy had significantly worsened depression and anxiety at </w:t>
      </w:r>
      <w:proofErr w:type="gramStart"/>
      <w:r w:rsidRPr="00D5385E">
        <w:rPr>
          <w:rFonts w:ascii="Book Antiqua" w:hAnsi="Book Antiqua" w:cs="Arial"/>
          <w:color w:val="000000" w:themeColor="text1"/>
          <w:sz w:val="24"/>
          <w:szCs w:val="24"/>
          <w:lang w:val="en-US"/>
        </w:rPr>
        <w:t>6 month</w:t>
      </w:r>
      <w:proofErr w:type="gramEnd"/>
      <w:r w:rsidRPr="00D5385E">
        <w:rPr>
          <w:rFonts w:ascii="Book Antiqua" w:hAnsi="Book Antiqua" w:cs="Arial"/>
          <w:color w:val="000000" w:themeColor="text1"/>
          <w:sz w:val="24"/>
          <w:szCs w:val="24"/>
          <w:lang w:val="en-US"/>
        </w:rPr>
        <w:t xml:space="preserve"> follow</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ups when compared to others (from the same age bracket) treated with immunomodulators or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TNF agents without corticosteroids.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addition, corticosteroid use was associated with sleep disturbance, fatigue and worsened anxiety when compa</w:t>
      </w:r>
      <w:r w:rsidR="00365D7B" w:rsidRPr="00D5385E">
        <w:rPr>
          <w:rFonts w:ascii="Book Antiqua" w:hAnsi="Book Antiqua" w:cs="Arial"/>
          <w:color w:val="000000" w:themeColor="text1"/>
          <w:sz w:val="24"/>
          <w:szCs w:val="24"/>
          <w:lang w:val="en-US"/>
        </w:rPr>
        <w:t>red to non</w:t>
      </w:r>
      <w:r w:rsidR="000A1048">
        <w:rPr>
          <w:rFonts w:ascii="Book Antiqua" w:hAnsi="Book Antiqua" w:cs="Arial"/>
          <w:color w:val="000000" w:themeColor="text1"/>
          <w:sz w:val="24"/>
          <w:szCs w:val="24"/>
          <w:lang w:val="en-US"/>
        </w:rPr>
        <w:t>-</w:t>
      </w:r>
      <w:r w:rsidR="00365D7B" w:rsidRPr="00D5385E">
        <w:rPr>
          <w:rFonts w:ascii="Book Antiqua" w:hAnsi="Book Antiqua" w:cs="Arial"/>
          <w:color w:val="000000" w:themeColor="text1"/>
          <w:sz w:val="24"/>
          <w:szCs w:val="24"/>
          <w:lang w:val="en-US"/>
        </w:rPr>
        <w:t xml:space="preserve">corticosteroid </w:t>
      </w:r>
      <w:proofErr w:type="gramStart"/>
      <w:r w:rsidR="00365D7B" w:rsidRPr="00D5385E">
        <w:rPr>
          <w:rFonts w:ascii="Book Antiqua" w:hAnsi="Book Antiqua" w:cs="Arial"/>
          <w:color w:val="000000" w:themeColor="text1"/>
          <w:sz w:val="24"/>
          <w:szCs w:val="24"/>
          <w:lang w:val="en-US"/>
        </w:rPr>
        <w:t>users</w:t>
      </w:r>
      <w:r w:rsidR="00365D7B" w:rsidRPr="00D5385E">
        <w:rPr>
          <w:rFonts w:ascii="Book Antiqua" w:hAnsi="Book Antiqua" w:cs="Arial"/>
          <w:color w:val="000000" w:themeColor="text1"/>
          <w:sz w:val="24"/>
          <w:szCs w:val="24"/>
          <w:vertAlign w:val="superscript"/>
          <w:lang w:val="en-US"/>
        </w:rPr>
        <w:t>[</w:t>
      </w:r>
      <w:proofErr w:type="gramEnd"/>
      <w:r w:rsidR="00365D7B" w:rsidRPr="00D5385E">
        <w:rPr>
          <w:rFonts w:ascii="Book Antiqua" w:hAnsi="Book Antiqua" w:cs="Arial"/>
          <w:color w:val="000000" w:themeColor="text1"/>
          <w:sz w:val="24"/>
          <w:szCs w:val="24"/>
          <w:vertAlign w:val="superscript"/>
          <w:lang w:val="en-US"/>
        </w:rPr>
        <w:t>16]</w:t>
      </w:r>
      <w:r w:rsidR="00365D7B"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p>
    <w:p w14:paraId="3006CD6C" w14:textId="4307D1E3" w:rsidR="00B96E6B" w:rsidRPr="00D5385E" w:rsidRDefault="00B96E6B" w:rsidP="00153BE2">
      <w:pPr>
        <w:adjustRightInd w:val="0"/>
        <w:snapToGrid w:val="0"/>
        <w:spacing w:after="0" w:line="360" w:lineRule="auto"/>
        <w:ind w:firstLineChars="100" w:firstLine="240"/>
        <w:jc w:val="both"/>
        <w:rPr>
          <w:rFonts w:ascii="Book Antiqua" w:hAnsi="Book Antiqua" w:cs="Arial"/>
          <w:b/>
          <w:color w:val="000000" w:themeColor="text1"/>
          <w:sz w:val="24"/>
          <w:szCs w:val="24"/>
          <w:u w:val="single"/>
          <w:lang w:val="en-US"/>
        </w:rPr>
      </w:pPr>
      <w:r w:rsidRPr="00D5385E">
        <w:rPr>
          <w:rFonts w:ascii="Book Antiqua" w:hAnsi="Book Antiqua" w:cs="Arial"/>
          <w:color w:val="000000" w:themeColor="text1"/>
          <w:sz w:val="24"/>
          <w:szCs w:val="24"/>
          <w:lang w:val="en-US"/>
        </w:rPr>
        <w:t>In addition to side effect profile, corticosteroids have the potential to interact with various medications as well.</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Interactions with Rifampin, Phenytoin and even anticoagulants have been reported and should be kept in mind when deciding on a therapeutic </w:t>
      </w:r>
      <w:proofErr w:type="gramStart"/>
      <w:r w:rsidRPr="00D5385E">
        <w:rPr>
          <w:rFonts w:ascii="Book Antiqua" w:hAnsi="Book Antiqua" w:cs="Arial"/>
          <w:color w:val="000000" w:themeColor="text1"/>
          <w:sz w:val="24"/>
          <w:szCs w:val="24"/>
          <w:lang w:val="en-US"/>
        </w:rPr>
        <w:t>regime</w:t>
      </w:r>
      <w:r w:rsidR="00365D7B" w:rsidRPr="00D5385E">
        <w:rPr>
          <w:rFonts w:ascii="Book Antiqua" w:hAnsi="Book Antiqua" w:cs="Arial"/>
          <w:color w:val="000000" w:themeColor="text1"/>
          <w:sz w:val="24"/>
          <w:szCs w:val="24"/>
          <w:vertAlign w:val="superscript"/>
          <w:lang w:val="en-US"/>
        </w:rPr>
        <w:t>[</w:t>
      </w:r>
      <w:proofErr w:type="gramEnd"/>
      <w:r w:rsidR="00365D7B" w:rsidRPr="00D5385E">
        <w:rPr>
          <w:rFonts w:ascii="Book Antiqua" w:hAnsi="Book Antiqua" w:cs="Arial"/>
          <w:color w:val="000000" w:themeColor="text1"/>
          <w:sz w:val="24"/>
          <w:szCs w:val="24"/>
          <w:vertAlign w:val="superscript"/>
          <w:lang w:val="en-US"/>
        </w:rPr>
        <w:t>35]</w:t>
      </w:r>
      <w:r w:rsidR="00365D7B" w:rsidRPr="00D5385E">
        <w:rPr>
          <w:rFonts w:ascii="Book Antiqua" w:hAnsi="Book Antiqua" w:cs="Arial"/>
          <w:color w:val="000000" w:themeColor="text1"/>
          <w:sz w:val="24"/>
          <w:szCs w:val="24"/>
          <w:lang w:val="en-US"/>
        </w:rPr>
        <w:t>.</w:t>
      </w:r>
      <w:r w:rsidR="009629C1"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There is currently insufficient evidence to comment on the efficacy and safety of budesonide in the elderly IBD population. Notably, the authors of major trials mentioned that the geriatric p</w:t>
      </w:r>
      <w:r w:rsidR="00365D7B" w:rsidRPr="00D5385E">
        <w:rPr>
          <w:rFonts w:ascii="Book Antiqua" w:hAnsi="Book Antiqua" w:cs="Arial"/>
          <w:color w:val="000000" w:themeColor="text1"/>
          <w:sz w:val="24"/>
          <w:szCs w:val="24"/>
          <w:lang w:val="en-US"/>
        </w:rPr>
        <w:t>opulation was under</w:t>
      </w:r>
      <w:r w:rsidR="000A1048">
        <w:rPr>
          <w:rFonts w:ascii="Book Antiqua" w:hAnsi="Book Antiqua" w:cs="Arial"/>
          <w:color w:val="000000" w:themeColor="text1"/>
          <w:sz w:val="24"/>
          <w:szCs w:val="24"/>
          <w:lang w:val="en-US"/>
        </w:rPr>
        <w:t>-</w:t>
      </w:r>
      <w:proofErr w:type="gramStart"/>
      <w:r w:rsidR="00365D7B" w:rsidRPr="00D5385E">
        <w:rPr>
          <w:rFonts w:ascii="Book Antiqua" w:hAnsi="Book Antiqua" w:cs="Arial"/>
          <w:color w:val="000000" w:themeColor="text1"/>
          <w:sz w:val="24"/>
          <w:szCs w:val="24"/>
          <w:lang w:val="en-US"/>
        </w:rPr>
        <w:t>represented</w:t>
      </w:r>
      <w:r w:rsidR="00365D7B" w:rsidRPr="00D5385E">
        <w:rPr>
          <w:rFonts w:ascii="Book Antiqua" w:hAnsi="Book Antiqua" w:cs="Arial"/>
          <w:color w:val="000000" w:themeColor="text1"/>
          <w:sz w:val="24"/>
          <w:szCs w:val="24"/>
          <w:vertAlign w:val="superscript"/>
          <w:lang w:val="en-US"/>
        </w:rPr>
        <w:t>[</w:t>
      </w:r>
      <w:proofErr w:type="gramEnd"/>
      <w:r w:rsidR="00365D7B" w:rsidRPr="00D5385E">
        <w:rPr>
          <w:rFonts w:ascii="Book Antiqua" w:hAnsi="Book Antiqua" w:cs="Arial"/>
          <w:color w:val="000000" w:themeColor="text1"/>
          <w:sz w:val="24"/>
          <w:szCs w:val="24"/>
          <w:vertAlign w:val="superscript"/>
          <w:lang w:val="en-US"/>
        </w:rPr>
        <w:t>36]</w:t>
      </w:r>
      <w:r w:rsidR="00365D7B" w:rsidRPr="00D5385E">
        <w:rPr>
          <w:rFonts w:ascii="Book Antiqua" w:hAnsi="Book Antiqua" w:cs="Arial"/>
          <w:color w:val="000000" w:themeColor="text1"/>
          <w:sz w:val="24"/>
          <w:szCs w:val="24"/>
          <w:lang w:val="en-US"/>
        </w:rPr>
        <w:t>.</w:t>
      </w:r>
    </w:p>
    <w:p w14:paraId="10037A36" w14:textId="77777777" w:rsidR="00B96E6B" w:rsidRPr="00D5385E" w:rsidRDefault="00B96E6B" w:rsidP="00D5385E">
      <w:pPr>
        <w:adjustRightInd w:val="0"/>
        <w:snapToGrid w:val="0"/>
        <w:spacing w:after="0" w:line="360" w:lineRule="auto"/>
        <w:jc w:val="both"/>
        <w:rPr>
          <w:rFonts w:ascii="Book Antiqua" w:hAnsi="Book Antiqua" w:cs="Arial"/>
          <w:b/>
          <w:color w:val="000000" w:themeColor="text1"/>
          <w:sz w:val="24"/>
          <w:szCs w:val="24"/>
          <w:u w:val="single"/>
          <w:lang w:val="en-US"/>
        </w:rPr>
      </w:pPr>
    </w:p>
    <w:p w14:paraId="70741227" w14:textId="77777777" w:rsidR="00B96E6B" w:rsidRPr="00D5385E" w:rsidRDefault="00B96E6B" w:rsidP="00D5385E">
      <w:pPr>
        <w:adjustRightInd w:val="0"/>
        <w:snapToGrid w:val="0"/>
        <w:spacing w:after="0" w:line="360" w:lineRule="auto"/>
        <w:jc w:val="both"/>
        <w:rPr>
          <w:rFonts w:ascii="Book Antiqua" w:hAnsi="Book Antiqua" w:cs="Arial"/>
          <w:b/>
          <w:i/>
          <w:color w:val="000000" w:themeColor="text1"/>
          <w:sz w:val="24"/>
          <w:szCs w:val="24"/>
          <w:u w:val="single"/>
          <w:lang w:val="en-US"/>
        </w:rPr>
      </w:pPr>
      <w:r w:rsidRPr="00D5385E">
        <w:rPr>
          <w:rFonts w:ascii="Book Antiqua" w:hAnsi="Book Antiqua" w:cs="Arial"/>
          <w:b/>
          <w:i/>
          <w:color w:val="000000" w:themeColor="text1"/>
          <w:sz w:val="24"/>
          <w:szCs w:val="24"/>
          <w:lang w:val="en-US"/>
        </w:rPr>
        <w:t>Thiopurines</w:t>
      </w:r>
    </w:p>
    <w:p w14:paraId="2FE94646" w14:textId="736DBCD8" w:rsidR="00B96E6B" w:rsidRPr="00D5385E" w:rsidRDefault="00B96E6B" w:rsidP="00D5385E">
      <w:pPr>
        <w:adjustRightInd w:val="0"/>
        <w:snapToGrid w:val="0"/>
        <w:spacing w:after="0" w:line="360" w:lineRule="auto"/>
        <w:jc w:val="both"/>
        <w:rPr>
          <w:rFonts w:ascii="Book Antiqua" w:hAnsi="Book Antiqua" w:cs="Arial"/>
          <w:color w:val="000000" w:themeColor="text1"/>
          <w:sz w:val="24"/>
          <w:szCs w:val="24"/>
          <w:lang w:val="en-US"/>
        </w:rPr>
      </w:pPr>
      <w:proofErr w:type="gramStart"/>
      <w:r w:rsidRPr="00D5385E">
        <w:rPr>
          <w:rFonts w:ascii="Book Antiqua" w:hAnsi="Book Antiqua" w:cs="Arial"/>
          <w:color w:val="000000" w:themeColor="text1"/>
          <w:sz w:val="24"/>
          <w:szCs w:val="24"/>
          <w:lang w:val="en-US"/>
        </w:rPr>
        <w:t>Similarly</w:t>
      </w:r>
      <w:proofErr w:type="gramEnd"/>
      <w:r w:rsidRPr="00D5385E">
        <w:rPr>
          <w:rFonts w:ascii="Book Antiqua" w:hAnsi="Book Antiqua" w:cs="Arial"/>
          <w:color w:val="000000" w:themeColor="text1"/>
          <w:sz w:val="24"/>
          <w:szCs w:val="24"/>
          <w:lang w:val="en-US"/>
        </w:rPr>
        <w:t xml:space="preserve"> to 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there is insufficient evidence to suggest that the treatment efficacy of thiopurines in the older IBD population is different than that of the younger population.</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Still, studies have shown </w:t>
      </w:r>
      <w:r w:rsidR="00114E46" w:rsidRPr="00D5385E">
        <w:rPr>
          <w:rFonts w:ascii="Book Antiqua" w:hAnsi="Book Antiqua" w:cs="Arial"/>
          <w:color w:val="000000" w:themeColor="text1"/>
          <w:sz w:val="24"/>
          <w:szCs w:val="24"/>
          <w:lang w:val="en-US"/>
        </w:rPr>
        <w:t xml:space="preserve">a low usage </w:t>
      </w:r>
      <w:r w:rsidRPr="00D5385E">
        <w:rPr>
          <w:rFonts w:ascii="Book Antiqua" w:hAnsi="Book Antiqua" w:cs="Arial"/>
          <w:color w:val="000000" w:themeColor="text1"/>
          <w:sz w:val="24"/>
          <w:szCs w:val="24"/>
          <w:lang w:val="en-US"/>
        </w:rPr>
        <w:t xml:space="preserve">of thiopurines in the elderly population that is most likely driven by the higher risk of malignancy associated with this class of </w:t>
      </w:r>
      <w:proofErr w:type="gramStart"/>
      <w:r w:rsidRPr="00D5385E">
        <w:rPr>
          <w:rFonts w:ascii="Book Antiqua" w:hAnsi="Book Antiqua" w:cs="Arial"/>
          <w:color w:val="000000" w:themeColor="text1"/>
          <w:sz w:val="24"/>
          <w:szCs w:val="24"/>
          <w:lang w:val="en-US"/>
        </w:rPr>
        <w:t>drugs</w:t>
      </w:r>
      <w:r w:rsidR="00365D7B" w:rsidRPr="00D5385E">
        <w:rPr>
          <w:rFonts w:ascii="Book Antiqua" w:hAnsi="Book Antiqua" w:cs="Arial"/>
          <w:color w:val="000000" w:themeColor="text1"/>
          <w:sz w:val="24"/>
          <w:szCs w:val="24"/>
          <w:vertAlign w:val="superscript"/>
          <w:lang w:val="en-US"/>
        </w:rPr>
        <w:t>[</w:t>
      </w:r>
      <w:proofErr w:type="gramEnd"/>
      <w:r w:rsidR="00365D7B" w:rsidRPr="00D5385E">
        <w:rPr>
          <w:rFonts w:ascii="Book Antiqua" w:hAnsi="Book Antiqua" w:cs="Arial"/>
          <w:color w:val="000000" w:themeColor="text1"/>
          <w:sz w:val="24"/>
          <w:szCs w:val="24"/>
          <w:vertAlign w:val="superscript"/>
          <w:lang w:val="en-US"/>
        </w:rPr>
        <w:t>29,37]</w:t>
      </w:r>
      <w:r w:rsidR="00365D7B"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Indeed, in their various prospective observational studies, the </w:t>
      </w:r>
      <w:r w:rsidR="009629C1" w:rsidRPr="00D5385E">
        <w:rPr>
          <w:rFonts w:ascii="Book Antiqua" w:hAnsi="Book Antiqua" w:cs="Arial"/>
          <w:color w:val="000000" w:themeColor="text1"/>
          <w:sz w:val="24"/>
          <w:szCs w:val="24"/>
          <w:lang w:val="en-US"/>
        </w:rPr>
        <w:t>CESAME</w:t>
      </w:r>
      <w:r w:rsidRPr="00D5385E">
        <w:rPr>
          <w:rFonts w:ascii="Book Antiqua" w:hAnsi="Book Antiqua" w:cs="Arial"/>
          <w:color w:val="000000" w:themeColor="text1"/>
          <w:sz w:val="24"/>
          <w:szCs w:val="24"/>
          <w:lang w:val="en-US"/>
        </w:rPr>
        <w:t xml:space="preserve"> Study group has found that ongoing and previous exposure to thiopurines increase the risk of developing non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melanoma skin cancer, that previous exposure comes with a </w:t>
      </w:r>
      <w:r w:rsidR="00114E46" w:rsidRPr="00D5385E">
        <w:rPr>
          <w:rFonts w:ascii="Book Antiqua" w:hAnsi="Book Antiqua" w:cs="Arial"/>
          <w:color w:val="000000" w:themeColor="text1"/>
          <w:sz w:val="24"/>
          <w:szCs w:val="24"/>
          <w:lang w:val="en-US"/>
        </w:rPr>
        <w:t>seven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fold increased risk of developing a myeloid disorder and that ongoing exposure increases the risk of urinary tract </w:t>
      </w:r>
      <w:proofErr w:type="gramStart"/>
      <w:r w:rsidRPr="00D5385E">
        <w:rPr>
          <w:rFonts w:ascii="Book Antiqua" w:hAnsi="Book Antiqua" w:cs="Arial"/>
          <w:color w:val="000000" w:themeColor="text1"/>
          <w:sz w:val="24"/>
          <w:szCs w:val="24"/>
          <w:lang w:val="en-US"/>
        </w:rPr>
        <w:t>cancers</w:t>
      </w:r>
      <w:r w:rsidR="00365D7B" w:rsidRPr="00D5385E">
        <w:rPr>
          <w:rFonts w:ascii="Book Antiqua" w:hAnsi="Book Antiqua" w:cs="Arial"/>
          <w:color w:val="000000" w:themeColor="text1"/>
          <w:sz w:val="24"/>
          <w:szCs w:val="24"/>
          <w:vertAlign w:val="superscript"/>
          <w:lang w:val="en-US"/>
        </w:rPr>
        <w:t>[</w:t>
      </w:r>
      <w:proofErr w:type="gramEnd"/>
      <w:r w:rsidR="00FC4BCB" w:rsidRPr="00D5385E">
        <w:rPr>
          <w:rFonts w:ascii="Book Antiqua" w:hAnsi="Book Antiqua" w:cs="Arial"/>
          <w:color w:val="000000" w:themeColor="text1"/>
          <w:sz w:val="24"/>
          <w:szCs w:val="24"/>
          <w:vertAlign w:val="superscript"/>
          <w:lang w:val="en-US"/>
        </w:rPr>
        <w:t>38</w:t>
      </w:r>
      <w:r w:rsidR="000A1048">
        <w:rPr>
          <w:rFonts w:ascii="Book Antiqua" w:hAnsi="Book Antiqua" w:cs="Arial"/>
          <w:color w:val="000000" w:themeColor="text1"/>
          <w:sz w:val="24"/>
          <w:szCs w:val="24"/>
          <w:vertAlign w:val="superscript"/>
          <w:lang w:val="en-US"/>
        </w:rPr>
        <w:t>-</w:t>
      </w:r>
      <w:r w:rsidR="00FC4BCB" w:rsidRPr="00D5385E">
        <w:rPr>
          <w:rFonts w:ascii="Book Antiqua" w:hAnsi="Book Antiqua" w:cs="Arial"/>
          <w:color w:val="000000" w:themeColor="text1"/>
          <w:sz w:val="24"/>
          <w:szCs w:val="24"/>
          <w:vertAlign w:val="superscript"/>
          <w:lang w:val="en-US"/>
        </w:rPr>
        <w:t>39</w:t>
      </w:r>
      <w:r w:rsidR="00365D7B"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In the st</w:t>
      </w:r>
      <w:r w:rsidR="00365D7B" w:rsidRPr="00D5385E">
        <w:rPr>
          <w:rFonts w:ascii="Book Antiqua" w:hAnsi="Book Antiqua" w:cs="Arial"/>
          <w:color w:val="000000" w:themeColor="text1"/>
          <w:sz w:val="24"/>
          <w:szCs w:val="24"/>
          <w:lang w:val="en-US"/>
        </w:rPr>
        <w:t xml:space="preserve">udy by </w:t>
      </w:r>
      <w:proofErr w:type="spellStart"/>
      <w:r w:rsidR="00365D7B" w:rsidRPr="00D5385E">
        <w:rPr>
          <w:rFonts w:ascii="Book Antiqua" w:hAnsi="Book Antiqua" w:cs="Arial"/>
          <w:color w:val="000000" w:themeColor="text1"/>
          <w:sz w:val="24"/>
          <w:szCs w:val="24"/>
          <w:lang w:val="en-US"/>
        </w:rPr>
        <w:t>Duricova</w:t>
      </w:r>
      <w:proofErr w:type="spellEnd"/>
      <w:r w:rsidR="00365D7B" w:rsidRPr="00D5385E">
        <w:rPr>
          <w:rFonts w:ascii="Book Antiqua" w:hAnsi="Book Antiqua" w:cs="Arial"/>
          <w:color w:val="000000" w:themeColor="text1"/>
          <w:sz w:val="24"/>
          <w:szCs w:val="24"/>
          <w:lang w:val="en-US"/>
        </w:rPr>
        <w:t xml:space="preserve"> </w:t>
      </w:r>
      <w:r w:rsidR="00365D7B" w:rsidRPr="00153BE2">
        <w:rPr>
          <w:rFonts w:ascii="Book Antiqua" w:hAnsi="Book Antiqua" w:cs="Arial"/>
          <w:i/>
          <w:iCs/>
          <w:color w:val="000000" w:themeColor="text1"/>
          <w:sz w:val="24"/>
          <w:szCs w:val="24"/>
          <w:lang w:val="en-US"/>
        </w:rPr>
        <w:t xml:space="preserve">et </w:t>
      </w:r>
      <w:proofErr w:type="gramStart"/>
      <w:r w:rsidR="00365D7B"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31]</w:t>
      </w:r>
      <w:r w:rsidRPr="00D5385E">
        <w:rPr>
          <w:rFonts w:ascii="Book Antiqua" w:hAnsi="Book Antiqua" w:cs="Arial"/>
          <w:color w:val="000000" w:themeColor="text1"/>
          <w:sz w:val="24"/>
          <w:szCs w:val="24"/>
          <w:lang w:val="en-US"/>
        </w:rPr>
        <w:t xml:space="preserve">, there was a 2.6% probability that patients </w:t>
      </w:r>
      <w:r w:rsidR="00114E46" w:rsidRPr="00D5385E">
        <w:rPr>
          <w:rFonts w:ascii="Book Antiqua" w:hAnsi="Book Antiqua" w:cs="Arial"/>
          <w:color w:val="000000" w:themeColor="text1"/>
          <w:sz w:val="24"/>
          <w:szCs w:val="24"/>
          <w:lang w:val="en-US"/>
        </w:rPr>
        <w:t xml:space="preserve">underwent thiopurine </w:t>
      </w:r>
      <w:r w:rsidR="00114E46" w:rsidRPr="00D5385E">
        <w:rPr>
          <w:rFonts w:ascii="Book Antiqua" w:hAnsi="Book Antiqua" w:cs="Arial"/>
          <w:color w:val="000000" w:themeColor="text1"/>
          <w:sz w:val="24"/>
          <w:szCs w:val="24"/>
          <w:lang w:val="en-US"/>
        </w:rPr>
        <w:lastRenderedPageBreak/>
        <w:t>therapy</w:t>
      </w:r>
      <w:r w:rsidRPr="00D5385E">
        <w:rPr>
          <w:rFonts w:ascii="Book Antiqua" w:hAnsi="Book Antiqua" w:cs="Arial"/>
          <w:color w:val="000000" w:themeColor="text1"/>
          <w:sz w:val="24"/>
          <w:szCs w:val="24"/>
          <w:lang w:val="en-US"/>
        </w:rPr>
        <w:t xml:space="preserve"> within the first year </w:t>
      </w:r>
      <w:r w:rsidR="00114E46" w:rsidRPr="00D5385E">
        <w:rPr>
          <w:rFonts w:ascii="Book Antiqua" w:hAnsi="Book Antiqua" w:cs="Arial"/>
          <w:color w:val="000000" w:themeColor="text1"/>
          <w:sz w:val="24"/>
          <w:szCs w:val="24"/>
          <w:lang w:val="en-US"/>
        </w:rPr>
        <w:t xml:space="preserve">since </w:t>
      </w:r>
      <w:r w:rsidRPr="00D5385E">
        <w:rPr>
          <w:rFonts w:ascii="Book Antiqua" w:hAnsi="Book Antiqua" w:cs="Arial"/>
          <w:color w:val="000000" w:themeColor="text1"/>
          <w:sz w:val="24"/>
          <w:szCs w:val="24"/>
          <w:lang w:val="en-US"/>
        </w:rPr>
        <w:t>diagnosis and a 9.7% probability within</w:t>
      </w:r>
      <w:r w:rsidR="00365D7B" w:rsidRPr="00D5385E">
        <w:rPr>
          <w:rFonts w:ascii="Book Antiqua" w:hAnsi="Book Antiqua" w:cs="Arial"/>
          <w:color w:val="000000" w:themeColor="text1"/>
          <w:sz w:val="24"/>
          <w:szCs w:val="24"/>
          <w:lang w:val="en-US"/>
        </w:rPr>
        <w:t xml:space="preserve"> the five years since diagnosis.</w:t>
      </w:r>
      <w:r w:rsidRPr="00D5385E">
        <w:rPr>
          <w:rFonts w:ascii="Book Antiqua" w:hAnsi="Book Antiqua" w:cs="Arial"/>
          <w:color w:val="000000" w:themeColor="text1"/>
          <w:sz w:val="24"/>
          <w:szCs w:val="24"/>
          <w:lang w:val="en-US"/>
        </w:rPr>
        <w:t xml:space="preserve"> Thiopurines were used in 44 subjects (9.4% of patients).</w:t>
      </w:r>
      <w:r w:rsidR="008C712B">
        <w:rPr>
          <w:rFonts w:ascii="Book Antiqua" w:hAnsi="Book Antiqua" w:cs="Arial"/>
          <w:color w:val="000000" w:themeColor="text1"/>
          <w:sz w:val="24"/>
          <w:szCs w:val="24"/>
          <w:lang w:val="en-US"/>
        </w:rPr>
        <w:t xml:space="preserve"> </w:t>
      </w:r>
      <w:r w:rsidR="00114E46" w:rsidRPr="00D5385E">
        <w:rPr>
          <w:rFonts w:ascii="Book Antiqua" w:hAnsi="Book Antiqua" w:cs="Arial"/>
          <w:color w:val="000000" w:themeColor="text1"/>
          <w:sz w:val="24"/>
          <w:szCs w:val="24"/>
          <w:lang w:val="en-US"/>
        </w:rPr>
        <w:t>Five</w:t>
      </w:r>
      <w:r w:rsidRPr="00D5385E">
        <w:rPr>
          <w:rFonts w:ascii="Book Antiqua" w:hAnsi="Book Antiqua" w:cs="Arial"/>
          <w:color w:val="000000" w:themeColor="text1"/>
          <w:sz w:val="24"/>
          <w:szCs w:val="24"/>
          <w:lang w:val="en-US"/>
        </w:rPr>
        <w:t xml:space="preserve"> of these patients experienced a cytopenia and </w:t>
      </w:r>
      <w:r w:rsidR="00114E46" w:rsidRPr="00D5385E">
        <w:rPr>
          <w:rFonts w:ascii="Book Antiqua" w:hAnsi="Book Antiqua" w:cs="Arial"/>
          <w:color w:val="000000" w:themeColor="text1"/>
          <w:sz w:val="24"/>
          <w:szCs w:val="24"/>
          <w:lang w:val="en-US"/>
        </w:rPr>
        <w:t xml:space="preserve">four </w:t>
      </w:r>
      <w:r w:rsidRPr="00D5385E">
        <w:rPr>
          <w:rFonts w:ascii="Book Antiqua" w:hAnsi="Book Antiqua" w:cs="Arial"/>
          <w:color w:val="000000" w:themeColor="text1"/>
          <w:sz w:val="24"/>
          <w:szCs w:val="24"/>
          <w:lang w:val="en-US"/>
        </w:rPr>
        <w:t>patients experienced gastrointestinal intolerance. In a population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based study including 4107 elderly IBD patients, </w:t>
      </w:r>
      <w:proofErr w:type="spellStart"/>
      <w:r w:rsidR="00365D7B" w:rsidRPr="00D5385E">
        <w:rPr>
          <w:rFonts w:ascii="Book Antiqua" w:hAnsi="Book Antiqua" w:cs="Arial"/>
          <w:color w:val="000000" w:themeColor="text1"/>
          <w:sz w:val="24"/>
          <w:szCs w:val="24"/>
          <w:lang w:val="en-US"/>
        </w:rPr>
        <w:t>Alexakis</w:t>
      </w:r>
      <w:proofErr w:type="spellEnd"/>
      <w:r w:rsidR="00365D7B" w:rsidRPr="00D5385E">
        <w:rPr>
          <w:rFonts w:ascii="Book Antiqua" w:hAnsi="Book Antiqua" w:cs="Arial"/>
          <w:color w:val="000000" w:themeColor="text1"/>
          <w:sz w:val="24"/>
          <w:szCs w:val="24"/>
          <w:lang w:val="en-US"/>
        </w:rPr>
        <w:t xml:space="preserve"> </w:t>
      </w:r>
      <w:r w:rsidR="00365D7B" w:rsidRPr="00153BE2">
        <w:rPr>
          <w:rFonts w:ascii="Book Antiqua" w:hAnsi="Book Antiqua" w:cs="Arial"/>
          <w:i/>
          <w:iCs/>
          <w:color w:val="000000" w:themeColor="text1"/>
          <w:sz w:val="24"/>
          <w:szCs w:val="24"/>
          <w:lang w:val="en-US"/>
        </w:rPr>
        <w:t xml:space="preserve">et </w:t>
      </w:r>
      <w:proofErr w:type="gramStart"/>
      <w:r w:rsidR="00365D7B"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37]</w:t>
      </w:r>
      <w:r w:rsidRPr="00D5385E">
        <w:rPr>
          <w:rFonts w:ascii="Book Antiqua" w:hAnsi="Book Antiqua" w:cs="Arial"/>
          <w:color w:val="000000" w:themeColor="text1"/>
          <w:sz w:val="24"/>
          <w:szCs w:val="24"/>
          <w:lang w:val="en-US"/>
        </w:rPr>
        <w:t xml:space="preserve"> found that</w:t>
      </w:r>
      <w:r w:rsidR="00114E46"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in patients with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onset UC (60 years and older at diagnosis), there was a 70% reduced risk of colectomy in those patients treated with thiopurines for more than 12 mo</w:t>
      </w:r>
      <w:r w:rsidR="00365D7B"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Of note, this reduction in surgical risk was not observed in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onset Crohn’s disease patients who had received thiopurine treatment for more than 12 mo</w:t>
      </w:r>
      <w:r w:rsidR="00153BE2">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p>
    <w:p w14:paraId="786ECF76" w14:textId="3F769172"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While these findings are interesting, the side effects of these agents must be considered.</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Reports of increased risk of </w:t>
      </w:r>
      <w:r w:rsidR="00114E46" w:rsidRPr="00D5385E">
        <w:rPr>
          <w:rFonts w:ascii="Book Antiqua" w:hAnsi="Book Antiqua" w:cs="Arial"/>
          <w:color w:val="000000" w:themeColor="text1"/>
          <w:sz w:val="24"/>
          <w:szCs w:val="24"/>
          <w:lang w:val="en-US"/>
        </w:rPr>
        <w:t>developing malignancy</w:t>
      </w:r>
      <w:r w:rsidRPr="00D5385E">
        <w:rPr>
          <w:rFonts w:ascii="Book Antiqua" w:hAnsi="Book Antiqua" w:cs="Arial"/>
          <w:color w:val="000000" w:themeColor="text1"/>
          <w:sz w:val="24"/>
          <w:szCs w:val="24"/>
          <w:lang w:val="en-US"/>
        </w:rPr>
        <w:t xml:space="preserve"> in association with thiopurine use have surfaced.</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fact, a recent cohort study (in which patients 65 years and older represented 12% of the study population) </w:t>
      </w:r>
      <w:r w:rsidR="00E75BA3" w:rsidRPr="00D5385E">
        <w:rPr>
          <w:rFonts w:ascii="Book Antiqua" w:hAnsi="Book Antiqua" w:cs="Arial"/>
          <w:color w:val="000000" w:themeColor="text1"/>
          <w:sz w:val="24"/>
          <w:szCs w:val="24"/>
          <w:lang w:val="en-US"/>
        </w:rPr>
        <w:t xml:space="preserve">by Lemaitre </w:t>
      </w:r>
      <w:r w:rsidR="00E75BA3" w:rsidRPr="00153BE2">
        <w:rPr>
          <w:rFonts w:ascii="Book Antiqua" w:hAnsi="Book Antiqua" w:cs="Arial"/>
          <w:i/>
          <w:iCs/>
          <w:color w:val="000000" w:themeColor="text1"/>
          <w:sz w:val="24"/>
          <w:szCs w:val="24"/>
          <w:lang w:val="en-US"/>
        </w:rPr>
        <w:t>et al</w:t>
      </w:r>
      <w:r w:rsidR="00153BE2" w:rsidRPr="00D5385E">
        <w:rPr>
          <w:rFonts w:ascii="Book Antiqua" w:hAnsi="Book Antiqua" w:cs="Arial"/>
          <w:color w:val="000000" w:themeColor="text1"/>
          <w:sz w:val="24"/>
          <w:szCs w:val="24"/>
          <w:vertAlign w:val="superscript"/>
          <w:lang w:val="en-US"/>
        </w:rPr>
        <w:t>[40]</w:t>
      </w:r>
      <w:r w:rsidRPr="00D5385E">
        <w:rPr>
          <w:rFonts w:ascii="Book Antiqua" w:hAnsi="Book Antiqua" w:cs="Arial"/>
          <w:color w:val="000000" w:themeColor="text1"/>
          <w:sz w:val="24"/>
          <w:szCs w:val="24"/>
          <w:lang w:val="en-US"/>
        </w:rPr>
        <w:t xml:space="preserve"> found that risk of lymphoma was </w:t>
      </w:r>
      <w:r w:rsidR="00114E46" w:rsidRPr="00D5385E">
        <w:rPr>
          <w:rFonts w:ascii="Book Antiqua" w:hAnsi="Book Antiqua" w:cs="Arial"/>
          <w:color w:val="000000" w:themeColor="text1"/>
          <w:sz w:val="24"/>
          <w:szCs w:val="24"/>
          <w:lang w:val="en-US"/>
        </w:rPr>
        <w:t>higher</w:t>
      </w:r>
      <w:r w:rsidRPr="00D5385E">
        <w:rPr>
          <w:rFonts w:ascii="Book Antiqua" w:hAnsi="Book Antiqua" w:cs="Arial"/>
          <w:color w:val="000000" w:themeColor="text1"/>
          <w:sz w:val="24"/>
          <w:szCs w:val="24"/>
          <w:lang w:val="en-US"/>
        </w:rPr>
        <w:t xml:space="preserve"> in patients treated with thiopurine monotherapy (mean exposure time was 17 </w:t>
      </w:r>
      <w:proofErr w:type="spellStart"/>
      <w:r w:rsidRPr="00D5385E">
        <w:rPr>
          <w:rFonts w:ascii="Book Antiqua" w:hAnsi="Book Antiqua" w:cs="Arial"/>
          <w:color w:val="000000" w:themeColor="text1"/>
          <w:sz w:val="24"/>
          <w:szCs w:val="24"/>
          <w:lang w:val="en-US"/>
        </w:rPr>
        <w:t>mo</w:t>
      </w:r>
      <w:proofErr w:type="spellEnd"/>
      <w:r w:rsidRPr="00D5385E">
        <w:rPr>
          <w:rFonts w:ascii="Book Antiqua" w:hAnsi="Book Antiqua" w:cs="Arial"/>
          <w:color w:val="000000" w:themeColor="text1"/>
          <w:sz w:val="24"/>
          <w:szCs w:val="24"/>
          <w:lang w:val="en-US"/>
        </w:rPr>
        <w:t>) and those treated with combination therapy (thiopurine and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TNF, mean exposure time was 8 </w:t>
      </w:r>
      <w:proofErr w:type="spellStart"/>
      <w:r w:rsidRPr="00D5385E">
        <w:rPr>
          <w:rFonts w:ascii="Book Antiqua" w:hAnsi="Book Antiqua" w:cs="Arial"/>
          <w:color w:val="000000" w:themeColor="text1"/>
          <w:sz w:val="24"/>
          <w:szCs w:val="24"/>
          <w:lang w:val="en-US"/>
        </w:rPr>
        <w:t>mo</w:t>
      </w:r>
      <w:proofErr w:type="spellEnd"/>
      <w:r w:rsidRPr="00D5385E">
        <w:rPr>
          <w:rFonts w:ascii="Book Antiqua" w:hAnsi="Book Antiqua" w:cs="Arial"/>
          <w:color w:val="000000" w:themeColor="text1"/>
          <w:sz w:val="24"/>
          <w:szCs w:val="24"/>
          <w:lang w:val="en-US"/>
        </w:rPr>
        <w:t>) in comparison to those patients unexposed to such treatments.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addition, in their retrospective observational study, </w:t>
      </w:r>
      <w:proofErr w:type="spellStart"/>
      <w:r w:rsidR="00E75BA3" w:rsidRPr="00D5385E">
        <w:rPr>
          <w:rFonts w:ascii="Book Antiqua" w:hAnsi="Book Antiqua" w:cs="Arial"/>
          <w:color w:val="000000" w:themeColor="text1"/>
          <w:sz w:val="24"/>
          <w:szCs w:val="24"/>
          <w:lang w:val="en-US"/>
        </w:rPr>
        <w:t>Bahi</w:t>
      </w:r>
      <w:proofErr w:type="spellEnd"/>
      <w:r w:rsidR="00E75BA3" w:rsidRPr="00D5385E">
        <w:rPr>
          <w:rFonts w:ascii="Book Antiqua" w:hAnsi="Book Antiqua" w:cs="Arial"/>
          <w:color w:val="000000" w:themeColor="text1"/>
          <w:sz w:val="24"/>
          <w:szCs w:val="24"/>
          <w:lang w:val="en-US"/>
        </w:rPr>
        <w:t xml:space="preserve"> </w:t>
      </w:r>
      <w:r w:rsidR="00E75BA3" w:rsidRPr="00153BE2">
        <w:rPr>
          <w:rFonts w:ascii="Book Antiqua" w:hAnsi="Book Antiqua" w:cs="Arial"/>
          <w:i/>
          <w:iCs/>
          <w:color w:val="000000" w:themeColor="text1"/>
          <w:sz w:val="24"/>
          <w:szCs w:val="24"/>
          <w:lang w:val="en-US"/>
        </w:rPr>
        <w:t xml:space="preserve">et </w:t>
      </w:r>
      <w:proofErr w:type="gramStart"/>
      <w:r w:rsidR="00E75BA3"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41]</w:t>
      </w:r>
      <w:r w:rsidRPr="00D5385E">
        <w:rPr>
          <w:rFonts w:ascii="Book Antiqua" w:hAnsi="Book Antiqua" w:cs="Arial"/>
          <w:color w:val="000000" w:themeColor="text1"/>
          <w:sz w:val="24"/>
          <w:szCs w:val="24"/>
          <w:lang w:val="en-US"/>
        </w:rPr>
        <w:t xml:space="preserve"> </w:t>
      </w:r>
      <w:r w:rsidR="00114E46" w:rsidRPr="00D5385E">
        <w:rPr>
          <w:rFonts w:ascii="Book Antiqua" w:hAnsi="Book Antiqua" w:cs="Arial"/>
          <w:color w:val="000000" w:themeColor="text1"/>
          <w:sz w:val="24"/>
          <w:szCs w:val="24"/>
          <w:lang w:val="en-US"/>
        </w:rPr>
        <w:t>showed a potentially</w:t>
      </w:r>
      <w:r w:rsidRPr="00D5385E">
        <w:rPr>
          <w:rFonts w:ascii="Book Antiqua" w:hAnsi="Book Antiqua" w:cs="Arial"/>
          <w:color w:val="000000" w:themeColor="text1"/>
          <w:sz w:val="24"/>
          <w:szCs w:val="24"/>
          <w:lang w:val="en-US"/>
        </w:rPr>
        <w:t xml:space="preserve"> multiplicative risk of non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melanoma skin cancer with increasing age in thiopurine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exposed </w:t>
      </w:r>
      <w:r w:rsidR="00114E46" w:rsidRPr="00D5385E">
        <w:rPr>
          <w:rFonts w:ascii="Book Antiqua" w:hAnsi="Book Antiqua" w:cs="Arial"/>
          <w:color w:val="000000" w:themeColor="text1"/>
          <w:sz w:val="24"/>
          <w:szCs w:val="24"/>
          <w:lang w:val="en-US"/>
        </w:rPr>
        <w:t xml:space="preserve">IBD patients </w:t>
      </w:r>
      <w:r w:rsidRPr="00D5385E">
        <w:rPr>
          <w:rFonts w:ascii="Book Antiqua" w:hAnsi="Book Antiqua" w:cs="Arial"/>
          <w:color w:val="000000" w:themeColor="text1"/>
          <w:sz w:val="24"/>
          <w:szCs w:val="24"/>
          <w:lang w:val="en-US"/>
        </w:rPr>
        <w:t>(6 months or longer exposure</w:t>
      </w:r>
      <w:r w:rsidR="00FC4BCB" w:rsidRPr="00D5385E">
        <w:rPr>
          <w:rFonts w:ascii="Book Antiqua" w:hAnsi="Book Antiqua" w:cs="Arial"/>
          <w:color w:val="000000" w:themeColor="text1"/>
          <w:sz w:val="24"/>
          <w:szCs w:val="24"/>
          <w:lang w:val="en-US"/>
        </w:rPr>
        <w:t>, median exposure of 42 months).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In contrast, a recent cohort study by </w:t>
      </w:r>
      <w:proofErr w:type="spellStart"/>
      <w:r w:rsidR="00E75BA3" w:rsidRPr="00D5385E">
        <w:rPr>
          <w:rFonts w:ascii="Book Antiqua" w:hAnsi="Book Antiqua" w:cs="Arial"/>
          <w:color w:val="000000" w:themeColor="text1"/>
          <w:sz w:val="24"/>
          <w:szCs w:val="24"/>
          <w:lang w:val="en-US"/>
        </w:rPr>
        <w:t>Cheddani</w:t>
      </w:r>
      <w:proofErr w:type="spellEnd"/>
      <w:r w:rsidR="00E75BA3" w:rsidRPr="00D5385E">
        <w:rPr>
          <w:rFonts w:ascii="Book Antiqua" w:hAnsi="Book Antiqua" w:cs="Arial"/>
          <w:color w:val="000000" w:themeColor="text1"/>
          <w:sz w:val="24"/>
          <w:szCs w:val="24"/>
          <w:lang w:val="en-US"/>
        </w:rPr>
        <w:t xml:space="preserve"> </w:t>
      </w:r>
      <w:r w:rsidR="00E75BA3" w:rsidRPr="00153BE2">
        <w:rPr>
          <w:rFonts w:ascii="Book Antiqua" w:hAnsi="Book Antiqua" w:cs="Arial"/>
          <w:i/>
          <w:iCs/>
          <w:color w:val="000000" w:themeColor="text1"/>
          <w:sz w:val="24"/>
          <w:szCs w:val="24"/>
          <w:lang w:val="en-US"/>
        </w:rPr>
        <w:t xml:space="preserve">et </w:t>
      </w:r>
      <w:proofErr w:type="gramStart"/>
      <w:r w:rsidR="00E75BA3"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153BE2" w:rsidRPr="00D5385E">
        <w:rPr>
          <w:rFonts w:ascii="Book Antiqua" w:hAnsi="Book Antiqua" w:cs="Arial"/>
          <w:color w:val="000000" w:themeColor="text1"/>
          <w:sz w:val="24"/>
          <w:szCs w:val="24"/>
          <w:vertAlign w:val="superscript"/>
          <w:lang w:val="en-US"/>
        </w:rPr>
        <w:t>42]</w:t>
      </w:r>
      <w:r w:rsidR="00E75BA3"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of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IBD found </w:t>
      </w:r>
      <w:r w:rsidR="00114E46" w:rsidRPr="00D5385E">
        <w:rPr>
          <w:rFonts w:ascii="Book Antiqua" w:hAnsi="Book Antiqua" w:cs="Arial"/>
          <w:color w:val="000000" w:themeColor="text1"/>
          <w:sz w:val="24"/>
          <w:szCs w:val="24"/>
          <w:lang w:val="en-US"/>
        </w:rPr>
        <w:t xml:space="preserve">that </w:t>
      </w:r>
      <w:r w:rsidRPr="00D5385E">
        <w:rPr>
          <w:rFonts w:ascii="Book Antiqua" w:hAnsi="Book Antiqua" w:cs="Arial"/>
          <w:color w:val="000000" w:themeColor="text1"/>
          <w:sz w:val="24"/>
          <w:szCs w:val="24"/>
          <w:lang w:val="en-US"/>
        </w:rPr>
        <w:t xml:space="preserve">thiopurine exposure </w:t>
      </w:r>
      <w:r w:rsidR="00114E46" w:rsidRPr="00D5385E">
        <w:rPr>
          <w:rFonts w:ascii="Book Antiqua" w:hAnsi="Book Antiqua" w:cs="Arial"/>
          <w:color w:val="000000" w:themeColor="text1"/>
          <w:sz w:val="24"/>
          <w:szCs w:val="24"/>
          <w:lang w:val="en-US"/>
        </w:rPr>
        <w:t xml:space="preserve">was </w:t>
      </w:r>
      <w:r w:rsidRPr="00D5385E">
        <w:rPr>
          <w:rFonts w:ascii="Book Antiqua" w:hAnsi="Book Antiqua" w:cs="Arial"/>
          <w:color w:val="000000" w:themeColor="text1"/>
          <w:sz w:val="24"/>
          <w:szCs w:val="24"/>
          <w:lang w:val="en-US"/>
        </w:rPr>
        <w:t>not associated with an increased risk of developing cancer when u</w:t>
      </w:r>
      <w:r w:rsidR="00E75BA3" w:rsidRPr="00D5385E">
        <w:rPr>
          <w:rFonts w:ascii="Book Antiqua" w:hAnsi="Book Antiqua" w:cs="Arial"/>
          <w:color w:val="000000" w:themeColor="text1"/>
          <w:sz w:val="24"/>
          <w:szCs w:val="24"/>
          <w:lang w:val="en-US"/>
        </w:rPr>
        <w:t>sing a time</w:t>
      </w:r>
      <w:r w:rsidR="000A1048">
        <w:rPr>
          <w:rFonts w:ascii="Book Antiqua" w:hAnsi="Book Antiqua" w:cs="Arial"/>
          <w:color w:val="000000" w:themeColor="text1"/>
          <w:sz w:val="24"/>
          <w:szCs w:val="24"/>
          <w:lang w:val="en-US"/>
        </w:rPr>
        <w:t>-</w:t>
      </w:r>
      <w:proofErr w:type="spellStart"/>
      <w:r w:rsidR="00E75BA3" w:rsidRPr="00D5385E">
        <w:rPr>
          <w:rFonts w:ascii="Book Antiqua" w:hAnsi="Book Antiqua" w:cs="Arial"/>
          <w:color w:val="000000" w:themeColor="text1"/>
          <w:sz w:val="24"/>
          <w:szCs w:val="24"/>
          <w:lang w:val="en-US"/>
        </w:rPr>
        <w:t>dependant</w:t>
      </w:r>
      <w:proofErr w:type="spellEnd"/>
      <w:r w:rsidR="00E75BA3" w:rsidRPr="00D5385E">
        <w:rPr>
          <w:rFonts w:ascii="Book Antiqua" w:hAnsi="Book Antiqua" w:cs="Arial"/>
          <w:color w:val="000000" w:themeColor="text1"/>
          <w:sz w:val="24"/>
          <w:szCs w:val="24"/>
          <w:lang w:val="en-US"/>
        </w:rPr>
        <w:t xml:space="preserve"> Cox model.</w:t>
      </w:r>
    </w:p>
    <w:p w14:paraId="52365BF5" w14:textId="77EC8A87" w:rsidR="00B96E6B" w:rsidRPr="00D5385E" w:rsidRDefault="00B96E6B" w:rsidP="00153BE2">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shd w:val="clear" w:color="auto" w:fill="FFFFFF"/>
          <w:lang w:val="en-US"/>
        </w:rPr>
      </w:pPr>
      <w:r w:rsidRPr="00D5385E">
        <w:rPr>
          <w:rFonts w:ascii="Book Antiqua" w:eastAsia="Times New Roman" w:hAnsi="Book Antiqua" w:cs="Arial"/>
          <w:color w:val="000000" w:themeColor="text1"/>
          <w:sz w:val="24"/>
          <w:szCs w:val="24"/>
          <w:shd w:val="clear" w:color="auto" w:fill="FFFFFF"/>
          <w:lang w:val="en-US"/>
        </w:rPr>
        <w:t xml:space="preserve">Besides malignancy, in a French cohort study including 190694 </w:t>
      </w:r>
      <w:r w:rsidR="00114E46" w:rsidRPr="00D5385E">
        <w:rPr>
          <w:rFonts w:ascii="Book Antiqua" w:eastAsia="Times New Roman" w:hAnsi="Book Antiqua" w:cs="Arial"/>
          <w:color w:val="000000" w:themeColor="text1"/>
          <w:sz w:val="24"/>
          <w:szCs w:val="24"/>
          <w:shd w:val="clear" w:color="auto" w:fill="FFFFFF"/>
          <w:lang w:val="en-US"/>
        </w:rPr>
        <w:t xml:space="preserve">IBD </w:t>
      </w:r>
      <w:r w:rsidRPr="00D5385E">
        <w:rPr>
          <w:rFonts w:ascii="Book Antiqua" w:eastAsia="Times New Roman" w:hAnsi="Book Antiqua" w:cs="Arial"/>
          <w:color w:val="000000" w:themeColor="text1"/>
          <w:sz w:val="24"/>
          <w:szCs w:val="24"/>
          <w:shd w:val="clear" w:color="auto" w:fill="FFFFFF"/>
          <w:lang w:val="en-US"/>
        </w:rPr>
        <w:t xml:space="preserve">patients </w:t>
      </w:r>
      <w:r w:rsidR="00114E46" w:rsidRPr="00D5385E">
        <w:rPr>
          <w:rFonts w:ascii="Book Antiqua" w:eastAsia="Times New Roman" w:hAnsi="Book Antiqua" w:cs="Arial"/>
          <w:color w:val="000000" w:themeColor="text1"/>
          <w:sz w:val="24"/>
          <w:szCs w:val="24"/>
          <w:shd w:val="clear" w:color="auto" w:fill="FFFFFF"/>
          <w:lang w:val="en-US"/>
        </w:rPr>
        <w:t xml:space="preserve">aged </w:t>
      </w:r>
      <w:r w:rsidRPr="00D5385E">
        <w:rPr>
          <w:rFonts w:ascii="Book Antiqua" w:eastAsia="Times New Roman" w:hAnsi="Book Antiqua" w:cs="Arial"/>
          <w:color w:val="000000" w:themeColor="text1"/>
          <w:sz w:val="24"/>
          <w:szCs w:val="24"/>
          <w:shd w:val="clear" w:color="auto" w:fill="FFFFFF"/>
          <w:lang w:val="en-US"/>
        </w:rPr>
        <w:t xml:space="preserve">18 years and older, both </w:t>
      </w:r>
      <w:r w:rsidR="00114E46" w:rsidRPr="00D5385E">
        <w:rPr>
          <w:rFonts w:ascii="Book Antiqua" w:eastAsia="Times New Roman" w:hAnsi="Book Antiqua" w:cs="Arial"/>
          <w:color w:val="000000" w:themeColor="text1"/>
          <w:sz w:val="24"/>
          <w:szCs w:val="24"/>
          <w:shd w:val="clear" w:color="auto" w:fill="FFFFFF"/>
          <w:lang w:val="en-US"/>
        </w:rPr>
        <w:t xml:space="preserve">patient groups </w:t>
      </w:r>
      <w:r w:rsidRPr="00D5385E">
        <w:rPr>
          <w:rFonts w:ascii="Book Antiqua" w:eastAsia="Times New Roman" w:hAnsi="Book Antiqua" w:cs="Arial"/>
          <w:color w:val="000000" w:themeColor="text1"/>
          <w:sz w:val="24"/>
          <w:szCs w:val="24"/>
          <w:shd w:val="clear" w:color="auto" w:fill="FFFFFF"/>
          <w:lang w:val="en-US"/>
        </w:rPr>
        <w:t>exposed to thiopurine monotherapy and combination therapy (thiopurine and anti</w:t>
      </w:r>
      <w:r w:rsidR="000A1048">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shd w:val="clear" w:color="auto" w:fill="FFFFFF"/>
          <w:lang w:val="en-US"/>
        </w:rPr>
        <w:t>TNF) were at increased risk for serious infection</w:t>
      </w:r>
      <w:r w:rsidR="00114E46" w:rsidRPr="00D5385E">
        <w:rPr>
          <w:rFonts w:ascii="Book Antiqua" w:eastAsia="Times New Roman" w:hAnsi="Book Antiqua" w:cs="Arial"/>
          <w:color w:val="000000" w:themeColor="text1"/>
          <w:sz w:val="24"/>
          <w:szCs w:val="24"/>
          <w:shd w:val="clear" w:color="auto" w:fill="FFFFFF"/>
          <w:lang w:val="en-US"/>
        </w:rPr>
        <w:t>s</w:t>
      </w:r>
      <w:r w:rsidRPr="00D5385E">
        <w:rPr>
          <w:rFonts w:ascii="Book Antiqua" w:eastAsia="Times New Roman" w:hAnsi="Book Antiqua" w:cs="Arial"/>
          <w:color w:val="000000" w:themeColor="text1"/>
          <w:sz w:val="24"/>
          <w:szCs w:val="24"/>
          <w:shd w:val="clear" w:color="auto" w:fill="FFFFFF"/>
          <w:lang w:val="en-US"/>
        </w:rPr>
        <w:t xml:space="preserve"> and opportunistic infection</w:t>
      </w:r>
      <w:r w:rsidR="00114E46" w:rsidRPr="00D5385E">
        <w:rPr>
          <w:rFonts w:ascii="Book Antiqua" w:eastAsia="Times New Roman" w:hAnsi="Book Antiqua" w:cs="Arial"/>
          <w:color w:val="000000" w:themeColor="text1"/>
          <w:sz w:val="24"/>
          <w:szCs w:val="24"/>
          <w:shd w:val="clear" w:color="auto" w:fill="FFFFFF"/>
          <w:lang w:val="en-US"/>
        </w:rPr>
        <w:t>s</w:t>
      </w:r>
      <w:r w:rsidRPr="00D5385E">
        <w:rPr>
          <w:rFonts w:ascii="Book Antiqua" w:eastAsia="Times New Roman" w:hAnsi="Book Antiqua" w:cs="Arial"/>
          <w:color w:val="000000" w:themeColor="text1"/>
          <w:sz w:val="24"/>
          <w:szCs w:val="24"/>
          <w:shd w:val="clear" w:color="auto" w:fill="FFFFFF"/>
          <w:lang w:val="en-US"/>
        </w:rPr>
        <w:t xml:space="preserve"> when compared to those who were unexposed to these regimens.</w:t>
      </w:r>
      <w:r w:rsidR="008C712B">
        <w:rPr>
          <w:rFonts w:ascii="Book Antiqua" w:eastAsia="Times New Roman" w:hAnsi="Book Antiqua" w:cs="Arial"/>
          <w:color w:val="000000" w:themeColor="text1"/>
          <w:sz w:val="24"/>
          <w:szCs w:val="24"/>
          <w:shd w:val="clear" w:color="auto" w:fill="FFFFFF"/>
          <w:lang w:val="en-US"/>
        </w:rPr>
        <w:t xml:space="preserve"> </w:t>
      </w:r>
      <w:r w:rsidRPr="00D5385E">
        <w:rPr>
          <w:rFonts w:ascii="Book Antiqua" w:eastAsia="Times New Roman" w:hAnsi="Book Antiqua" w:cs="Arial"/>
          <w:color w:val="000000" w:themeColor="text1"/>
          <w:sz w:val="24"/>
          <w:szCs w:val="24"/>
          <w:shd w:val="clear" w:color="auto" w:fill="FFFFFF"/>
          <w:lang w:val="en-US"/>
        </w:rPr>
        <w:t xml:space="preserve">Of note, the absolute risks of developing either serious or opportunistic infections were at least double in patients 65 years and older, compared to younger </w:t>
      </w:r>
      <w:proofErr w:type="gramStart"/>
      <w:r w:rsidRPr="00D5385E">
        <w:rPr>
          <w:rFonts w:ascii="Book Antiqua" w:eastAsia="Times New Roman" w:hAnsi="Book Antiqua" w:cs="Arial"/>
          <w:color w:val="000000" w:themeColor="text1"/>
          <w:sz w:val="24"/>
          <w:szCs w:val="24"/>
          <w:shd w:val="clear" w:color="auto" w:fill="FFFFFF"/>
          <w:lang w:val="en-US"/>
        </w:rPr>
        <w:t>patients</w:t>
      </w:r>
      <w:r w:rsidR="00E75BA3" w:rsidRPr="00D5385E">
        <w:rPr>
          <w:rFonts w:ascii="Book Antiqua" w:hAnsi="Book Antiqua" w:cs="Arial"/>
          <w:color w:val="000000" w:themeColor="text1"/>
          <w:sz w:val="24"/>
          <w:szCs w:val="24"/>
          <w:vertAlign w:val="superscript"/>
          <w:lang w:val="en-US"/>
        </w:rPr>
        <w:t>[</w:t>
      </w:r>
      <w:proofErr w:type="gramEnd"/>
      <w:r w:rsidR="00E75BA3" w:rsidRPr="00D5385E">
        <w:rPr>
          <w:rFonts w:ascii="Book Antiqua" w:hAnsi="Book Antiqua" w:cs="Arial"/>
          <w:color w:val="000000" w:themeColor="text1"/>
          <w:sz w:val="24"/>
          <w:szCs w:val="24"/>
          <w:vertAlign w:val="superscript"/>
          <w:lang w:val="en-US"/>
        </w:rPr>
        <w:t>43]</w:t>
      </w:r>
      <w:r w:rsidR="00E75BA3" w:rsidRPr="00D5385E">
        <w:rPr>
          <w:rFonts w:ascii="Book Antiqua" w:hAnsi="Book Antiqua" w:cs="Arial"/>
          <w:color w:val="000000" w:themeColor="text1"/>
          <w:sz w:val="24"/>
          <w:szCs w:val="24"/>
          <w:lang w:val="en-US"/>
        </w:rPr>
        <w:t xml:space="preserve">. </w:t>
      </w:r>
      <w:r w:rsidRPr="00D5385E">
        <w:rPr>
          <w:rFonts w:ascii="Book Antiqua" w:eastAsia="Times New Roman" w:hAnsi="Book Antiqua" w:cs="Arial"/>
          <w:color w:val="000000" w:themeColor="text1"/>
          <w:sz w:val="24"/>
          <w:szCs w:val="24"/>
          <w:shd w:val="clear" w:color="auto" w:fill="FFFFFF"/>
          <w:lang w:val="en-US"/>
        </w:rPr>
        <w:t xml:space="preserve">Furthermore, in a </w:t>
      </w:r>
      <w:r w:rsidR="00114E46" w:rsidRPr="00D5385E">
        <w:rPr>
          <w:rFonts w:ascii="Book Antiqua" w:eastAsia="Times New Roman" w:hAnsi="Book Antiqua" w:cs="Arial"/>
          <w:color w:val="000000" w:themeColor="text1"/>
          <w:sz w:val="24"/>
          <w:szCs w:val="24"/>
          <w:shd w:val="clear" w:color="auto" w:fill="FFFFFF"/>
          <w:lang w:val="en-US"/>
        </w:rPr>
        <w:t>p</w:t>
      </w:r>
      <w:r w:rsidRPr="00D5385E">
        <w:rPr>
          <w:rFonts w:ascii="Book Antiqua" w:eastAsia="Times New Roman" w:hAnsi="Book Antiqua" w:cs="Arial"/>
          <w:color w:val="000000" w:themeColor="text1"/>
          <w:sz w:val="24"/>
          <w:szCs w:val="24"/>
          <w:shd w:val="clear" w:color="auto" w:fill="FFFFFF"/>
          <w:lang w:val="en-US"/>
        </w:rPr>
        <w:t xml:space="preserve">ost hoc analysis of the Thiopurine response </w:t>
      </w:r>
      <w:proofErr w:type="spellStart"/>
      <w:r w:rsidRPr="00D5385E">
        <w:rPr>
          <w:rFonts w:ascii="Book Antiqua" w:eastAsia="Times New Roman" w:hAnsi="Book Antiqua" w:cs="Arial"/>
          <w:color w:val="000000" w:themeColor="text1"/>
          <w:sz w:val="24"/>
          <w:szCs w:val="24"/>
          <w:shd w:val="clear" w:color="auto" w:fill="FFFFFF"/>
          <w:lang w:val="en-US"/>
        </w:rPr>
        <w:lastRenderedPageBreak/>
        <w:t>Optimisation</w:t>
      </w:r>
      <w:proofErr w:type="spellEnd"/>
      <w:r w:rsidRPr="00D5385E">
        <w:rPr>
          <w:rFonts w:ascii="Book Antiqua" w:eastAsia="Times New Roman" w:hAnsi="Book Antiqua" w:cs="Arial"/>
          <w:color w:val="000000" w:themeColor="text1"/>
          <w:sz w:val="24"/>
          <w:szCs w:val="24"/>
          <w:shd w:val="clear" w:color="auto" w:fill="FFFFFF"/>
          <w:lang w:val="en-US"/>
        </w:rPr>
        <w:t xml:space="preserve"> by Pharmacogenetic testing in Inflammatory </w:t>
      </w:r>
      <w:r w:rsidR="00114E46" w:rsidRPr="00D5385E">
        <w:rPr>
          <w:rFonts w:ascii="Book Antiqua" w:eastAsia="Times New Roman" w:hAnsi="Book Antiqua" w:cs="Arial"/>
          <w:color w:val="000000" w:themeColor="text1"/>
          <w:sz w:val="24"/>
          <w:szCs w:val="24"/>
          <w:shd w:val="clear" w:color="auto" w:fill="FFFFFF"/>
          <w:lang w:val="en-US"/>
        </w:rPr>
        <w:t>B</w:t>
      </w:r>
      <w:r w:rsidRPr="00D5385E">
        <w:rPr>
          <w:rFonts w:ascii="Book Antiqua" w:eastAsia="Times New Roman" w:hAnsi="Book Antiqua" w:cs="Arial"/>
          <w:color w:val="000000" w:themeColor="text1"/>
          <w:sz w:val="24"/>
          <w:szCs w:val="24"/>
          <w:shd w:val="clear" w:color="auto" w:fill="FFFFFF"/>
          <w:lang w:val="en-US"/>
        </w:rPr>
        <w:t xml:space="preserve">owel </w:t>
      </w:r>
      <w:r w:rsidR="00114E46" w:rsidRPr="00D5385E">
        <w:rPr>
          <w:rFonts w:ascii="Book Antiqua" w:eastAsia="Times New Roman" w:hAnsi="Book Antiqua" w:cs="Arial"/>
          <w:color w:val="000000" w:themeColor="text1"/>
          <w:sz w:val="24"/>
          <w:szCs w:val="24"/>
          <w:shd w:val="clear" w:color="auto" w:fill="FFFFFF"/>
          <w:lang w:val="en-US"/>
        </w:rPr>
        <w:t>D</w:t>
      </w:r>
      <w:r w:rsidRPr="00D5385E">
        <w:rPr>
          <w:rFonts w:ascii="Book Antiqua" w:eastAsia="Times New Roman" w:hAnsi="Book Antiqua" w:cs="Arial"/>
          <w:color w:val="000000" w:themeColor="text1"/>
          <w:sz w:val="24"/>
          <w:szCs w:val="24"/>
          <w:shd w:val="clear" w:color="auto" w:fill="FFFFFF"/>
          <w:lang w:val="en-US"/>
        </w:rPr>
        <w:t>isease Clinics (</w:t>
      </w:r>
      <w:r w:rsidR="00A94A6A" w:rsidRPr="00D5385E">
        <w:rPr>
          <w:rFonts w:ascii="Book Antiqua" w:eastAsia="Times New Roman" w:hAnsi="Book Antiqua" w:cs="Arial"/>
          <w:color w:val="000000" w:themeColor="text1"/>
          <w:sz w:val="24"/>
          <w:szCs w:val="24"/>
          <w:lang w:val="en-US"/>
        </w:rPr>
        <w:t>TOPIC</w:t>
      </w:r>
      <w:r w:rsidRPr="00D5385E">
        <w:rPr>
          <w:rFonts w:ascii="Book Antiqua" w:eastAsia="Times New Roman" w:hAnsi="Book Antiqua" w:cs="Arial"/>
          <w:color w:val="000000" w:themeColor="text1"/>
          <w:sz w:val="24"/>
          <w:szCs w:val="24"/>
          <w:shd w:val="clear" w:color="auto" w:fill="FFFFFF"/>
          <w:lang w:val="en-US"/>
        </w:rPr>
        <w:t xml:space="preserve">) trial, both older age and combination therapy with thiopurines and biologics were associated with an increased risk of infection in patient without a TPMT </w:t>
      </w:r>
      <w:proofErr w:type="gramStart"/>
      <w:r w:rsidRPr="00D5385E">
        <w:rPr>
          <w:rFonts w:ascii="Book Antiqua" w:eastAsia="Times New Roman" w:hAnsi="Book Antiqua" w:cs="Arial"/>
          <w:color w:val="000000" w:themeColor="text1"/>
          <w:sz w:val="24"/>
          <w:szCs w:val="24"/>
          <w:shd w:val="clear" w:color="auto" w:fill="FFFFFF"/>
          <w:lang w:val="en-US"/>
        </w:rPr>
        <w:t>variant</w:t>
      </w:r>
      <w:r w:rsidR="00E75BA3" w:rsidRPr="00D5385E">
        <w:rPr>
          <w:rFonts w:ascii="Book Antiqua" w:hAnsi="Book Antiqua" w:cs="Arial"/>
          <w:color w:val="000000" w:themeColor="text1"/>
          <w:sz w:val="24"/>
          <w:szCs w:val="24"/>
          <w:vertAlign w:val="superscript"/>
          <w:lang w:val="en-US"/>
        </w:rPr>
        <w:t>[</w:t>
      </w:r>
      <w:proofErr w:type="gramEnd"/>
      <w:r w:rsidR="00E75BA3" w:rsidRPr="00D5385E">
        <w:rPr>
          <w:rFonts w:ascii="Book Antiqua" w:hAnsi="Book Antiqua" w:cs="Arial"/>
          <w:color w:val="000000" w:themeColor="text1"/>
          <w:sz w:val="24"/>
          <w:szCs w:val="24"/>
          <w:vertAlign w:val="superscript"/>
          <w:lang w:val="en-US"/>
        </w:rPr>
        <w:t>44]</w:t>
      </w:r>
      <w:r w:rsidRPr="00D5385E">
        <w:rPr>
          <w:rFonts w:ascii="Book Antiqua" w:eastAsia="Times New Roman" w:hAnsi="Book Antiqua" w:cs="Arial"/>
          <w:color w:val="000000" w:themeColor="text1"/>
          <w:sz w:val="24"/>
          <w:szCs w:val="24"/>
          <w:shd w:val="clear" w:color="auto" w:fill="FFFFFF"/>
          <w:lang w:val="en-US"/>
        </w:rPr>
        <w:t>.</w:t>
      </w:r>
      <w:r w:rsidR="008C712B">
        <w:rPr>
          <w:rFonts w:ascii="Book Antiqua" w:eastAsia="Times New Roman" w:hAnsi="Book Antiqua" w:cs="Arial"/>
          <w:color w:val="000000" w:themeColor="text1"/>
          <w:sz w:val="24"/>
          <w:szCs w:val="24"/>
          <w:shd w:val="clear" w:color="auto" w:fill="FFFFFF"/>
          <w:lang w:val="en-US"/>
        </w:rPr>
        <w:t xml:space="preserve"> </w:t>
      </w:r>
      <w:r w:rsidRPr="00D5385E">
        <w:rPr>
          <w:rFonts w:ascii="Book Antiqua" w:eastAsia="Times New Roman" w:hAnsi="Book Antiqua" w:cs="Arial"/>
          <w:color w:val="000000" w:themeColor="text1"/>
          <w:sz w:val="24"/>
          <w:szCs w:val="24"/>
          <w:shd w:val="clear" w:color="auto" w:fill="FFFFFF"/>
          <w:lang w:val="en-US"/>
        </w:rPr>
        <w:t>This trial included 105 patients 60 years and older.</w:t>
      </w:r>
      <w:r w:rsidR="008C712B">
        <w:rPr>
          <w:rFonts w:ascii="Book Antiqua" w:eastAsia="Times New Roman" w:hAnsi="Book Antiqua" w:cs="Arial"/>
          <w:color w:val="000000" w:themeColor="text1"/>
          <w:sz w:val="24"/>
          <w:szCs w:val="24"/>
          <w:shd w:val="clear" w:color="auto" w:fill="FFFFFF"/>
          <w:lang w:val="en-US"/>
        </w:rPr>
        <w:t xml:space="preserve"> </w:t>
      </w:r>
    </w:p>
    <w:p w14:paraId="6BC6C37D" w14:textId="2D2B5DBC" w:rsidR="00B96E6B" w:rsidRPr="00D5385E" w:rsidRDefault="00B96E6B" w:rsidP="00153BE2">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lang w:val="en-US"/>
        </w:rPr>
      </w:pPr>
      <w:r w:rsidRPr="00D5385E">
        <w:rPr>
          <w:rFonts w:ascii="Book Antiqua" w:eastAsia="Times New Roman" w:hAnsi="Book Antiqua" w:cs="Arial"/>
          <w:color w:val="000000" w:themeColor="text1"/>
          <w:sz w:val="24"/>
          <w:szCs w:val="24"/>
          <w:lang w:val="en-US"/>
        </w:rPr>
        <w:t xml:space="preserve">Otherwise, several interactions have been reported with thiopurines. They have been </w:t>
      </w:r>
      <w:r w:rsidR="00E75BA3" w:rsidRPr="00D5385E">
        <w:rPr>
          <w:rFonts w:ascii="Book Antiqua" w:eastAsia="Times New Roman" w:hAnsi="Book Antiqua" w:cs="Arial"/>
          <w:color w:val="000000" w:themeColor="text1"/>
          <w:sz w:val="24"/>
          <w:szCs w:val="24"/>
          <w:lang w:val="en-US"/>
        </w:rPr>
        <w:t xml:space="preserve">shown to inhibit the effects of </w:t>
      </w:r>
      <w:proofErr w:type="gramStart"/>
      <w:r w:rsidR="00E75BA3" w:rsidRPr="00D5385E">
        <w:rPr>
          <w:rFonts w:ascii="Book Antiqua" w:eastAsia="Times New Roman" w:hAnsi="Book Antiqua" w:cs="Arial"/>
          <w:color w:val="000000" w:themeColor="text1"/>
          <w:sz w:val="24"/>
          <w:szCs w:val="24"/>
          <w:lang w:val="en-US"/>
        </w:rPr>
        <w:t>w</w:t>
      </w:r>
      <w:r w:rsidRPr="00D5385E">
        <w:rPr>
          <w:rFonts w:ascii="Book Antiqua" w:eastAsia="Times New Roman" w:hAnsi="Book Antiqua" w:cs="Arial"/>
          <w:color w:val="000000" w:themeColor="text1"/>
          <w:sz w:val="24"/>
          <w:szCs w:val="24"/>
          <w:lang w:val="en-US"/>
        </w:rPr>
        <w:t>arfarin</w:t>
      </w:r>
      <w:r w:rsidR="00E75BA3" w:rsidRPr="00D5385E">
        <w:rPr>
          <w:rFonts w:ascii="Book Antiqua" w:hAnsi="Book Antiqua" w:cs="Arial"/>
          <w:color w:val="000000" w:themeColor="text1"/>
          <w:sz w:val="24"/>
          <w:szCs w:val="24"/>
          <w:vertAlign w:val="superscript"/>
          <w:lang w:val="en-US"/>
        </w:rPr>
        <w:t>[</w:t>
      </w:r>
      <w:proofErr w:type="gramEnd"/>
      <w:r w:rsidR="00BE7F1A">
        <w:rPr>
          <w:rFonts w:ascii="Book Antiqua" w:hAnsi="Book Antiqua" w:cs="Arial"/>
          <w:color w:val="000000" w:themeColor="text1"/>
          <w:sz w:val="24"/>
          <w:szCs w:val="24"/>
          <w:vertAlign w:val="superscript"/>
          <w:lang w:val="en-US"/>
        </w:rPr>
        <w:t>28</w:t>
      </w:r>
      <w:r w:rsidR="00E75BA3" w:rsidRPr="00D5385E">
        <w:rPr>
          <w:rFonts w:ascii="Book Antiqua" w:hAnsi="Book Antiqua" w:cs="Arial"/>
          <w:color w:val="000000" w:themeColor="text1"/>
          <w:sz w:val="24"/>
          <w:szCs w:val="24"/>
          <w:vertAlign w:val="superscript"/>
          <w:lang w:val="en-US"/>
        </w:rPr>
        <w:t>]</w:t>
      </w:r>
      <w:r w:rsidR="00E75BA3" w:rsidRPr="00D5385E">
        <w:rPr>
          <w:rFonts w:ascii="Book Antiqua" w:eastAsia="Times New Roman" w:hAnsi="Book Antiqua" w:cs="Arial"/>
          <w:color w:val="000000" w:themeColor="text1"/>
          <w:sz w:val="24"/>
          <w:szCs w:val="24"/>
          <w:shd w:val="clear" w:color="auto" w:fill="FFFFFF"/>
          <w:lang w:val="en-US"/>
        </w:rPr>
        <w:t>.</w:t>
      </w:r>
      <w:r w:rsidRPr="00D5385E">
        <w:rPr>
          <w:rFonts w:ascii="Book Antiqua" w:eastAsia="Times New Roman" w:hAnsi="Book Antiqua" w:cs="Arial"/>
          <w:color w:val="000000" w:themeColor="text1"/>
          <w:sz w:val="24"/>
          <w:szCs w:val="24"/>
          <w:lang w:val="en-US"/>
        </w:rPr>
        <w:t xml:space="preserve"> Also, when combined with 5</w:t>
      </w:r>
      <w:r w:rsidR="000A1048">
        <w:rPr>
          <w:rFonts w:ascii="Book Antiqua" w:eastAsia="Times New Roman" w:hAnsi="Book Antiqua" w:cs="Arial"/>
          <w:color w:val="000000" w:themeColor="text1"/>
          <w:sz w:val="24"/>
          <w:szCs w:val="24"/>
          <w:lang w:val="en-US"/>
        </w:rPr>
        <w:t>-</w:t>
      </w:r>
      <w:r w:rsidRPr="00D5385E">
        <w:rPr>
          <w:rFonts w:ascii="Book Antiqua" w:eastAsia="Times New Roman" w:hAnsi="Book Antiqua" w:cs="Arial"/>
          <w:color w:val="000000" w:themeColor="text1"/>
          <w:sz w:val="24"/>
          <w:szCs w:val="24"/>
          <w:lang w:val="en-US"/>
        </w:rPr>
        <w:t xml:space="preserve">ASA or allopurinol, thiopurine metabolite levels may increase leading to serious </w:t>
      </w:r>
      <w:proofErr w:type="gramStart"/>
      <w:r w:rsidRPr="00D5385E">
        <w:rPr>
          <w:rFonts w:ascii="Book Antiqua" w:eastAsia="Times New Roman" w:hAnsi="Book Antiqua" w:cs="Arial"/>
          <w:color w:val="000000" w:themeColor="text1"/>
          <w:sz w:val="24"/>
          <w:szCs w:val="24"/>
          <w:lang w:val="en-US"/>
        </w:rPr>
        <w:t>complications</w:t>
      </w:r>
      <w:r w:rsidR="00E75BA3"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45</w:t>
      </w:r>
      <w:r w:rsidR="00E75BA3" w:rsidRPr="00D5385E">
        <w:rPr>
          <w:rFonts w:ascii="Book Antiqua" w:hAnsi="Book Antiqua" w:cs="Arial"/>
          <w:color w:val="000000" w:themeColor="text1"/>
          <w:sz w:val="24"/>
          <w:szCs w:val="24"/>
          <w:vertAlign w:val="superscript"/>
          <w:lang w:val="en-US"/>
        </w:rPr>
        <w:t>]</w:t>
      </w:r>
      <w:r w:rsidR="00E75BA3" w:rsidRPr="00D5385E">
        <w:rPr>
          <w:rFonts w:ascii="Book Antiqua" w:eastAsia="Times New Roman" w:hAnsi="Book Antiqua" w:cs="Arial"/>
          <w:color w:val="000000" w:themeColor="text1"/>
          <w:sz w:val="24"/>
          <w:szCs w:val="24"/>
          <w:shd w:val="clear" w:color="auto" w:fill="FFFFFF"/>
          <w:lang w:val="en-US"/>
        </w:rPr>
        <w:t>.</w:t>
      </w:r>
      <w:r w:rsidR="008C712B">
        <w:rPr>
          <w:rFonts w:ascii="Book Antiqua" w:eastAsia="Times New Roman" w:hAnsi="Book Antiqua" w:cs="Arial"/>
          <w:color w:val="000000" w:themeColor="text1"/>
          <w:sz w:val="24"/>
          <w:szCs w:val="24"/>
          <w:lang w:val="en-US"/>
        </w:rPr>
        <w:t xml:space="preserve">  </w:t>
      </w:r>
    </w:p>
    <w:p w14:paraId="4346923D" w14:textId="77777777" w:rsidR="00B96E6B" w:rsidRPr="00D5385E" w:rsidRDefault="00B96E6B" w:rsidP="00D5385E">
      <w:pPr>
        <w:adjustRightInd w:val="0"/>
        <w:snapToGrid w:val="0"/>
        <w:spacing w:after="0" w:line="360" w:lineRule="auto"/>
        <w:jc w:val="both"/>
        <w:rPr>
          <w:rFonts w:ascii="Book Antiqua" w:eastAsia="Times New Roman" w:hAnsi="Book Antiqua" w:cs="Arial"/>
          <w:b/>
          <w:color w:val="000000" w:themeColor="text1"/>
          <w:sz w:val="24"/>
          <w:szCs w:val="24"/>
          <w:u w:val="single"/>
          <w:lang w:val="en-US"/>
        </w:rPr>
      </w:pPr>
    </w:p>
    <w:p w14:paraId="15CBF55F" w14:textId="713497AA" w:rsidR="00FD66EE" w:rsidRPr="00D5385E" w:rsidRDefault="00FD66EE" w:rsidP="00D5385E">
      <w:pPr>
        <w:adjustRightInd w:val="0"/>
        <w:snapToGrid w:val="0"/>
        <w:spacing w:after="0" w:line="360" w:lineRule="auto"/>
        <w:jc w:val="both"/>
        <w:rPr>
          <w:rFonts w:ascii="Book Antiqua" w:hAnsi="Book Antiqua" w:cs="Arial"/>
          <w:b/>
          <w:i/>
          <w:color w:val="000000" w:themeColor="text1"/>
          <w:sz w:val="24"/>
          <w:szCs w:val="24"/>
          <w:u w:val="single"/>
          <w:lang w:val="en-US"/>
        </w:rPr>
      </w:pPr>
      <w:r w:rsidRPr="00D5385E">
        <w:rPr>
          <w:rFonts w:ascii="Book Antiqua" w:hAnsi="Book Antiqua" w:cs="Arial"/>
          <w:b/>
          <w:i/>
          <w:color w:val="000000" w:themeColor="text1"/>
          <w:sz w:val="24"/>
          <w:szCs w:val="24"/>
          <w:lang w:val="en-US"/>
        </w:rPr>
        <w:t>Methotrexate</w:t>
      </w:r>
    </w:p>
    <w:p w14:paraId="0F44416F" w14:textId="78A74F1E" w:rsidR="00B96E6B" w:rsidRPr="00D5385E" w:rsidRDefault="00B96E6B"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While studies evaluating the efficacy of methotrexate</w:t>
      </w:r>
      <w:r w:rsidR="00FD66EE" w:rsidRPr="00D5385E">
        <w:rPr>
          <w:rFonts w:ascii="Book Antiqua" w:hAnsi="Book Antiqua" w:cs="Arial"/>
          <w:color w:val="000000" w:themeColor="text1"/>
          <w:sz w:val="24"/>
          <w:szCs w:val="24"/>
          <w:lang w:val="en-US"/>
        </w:rPr>
        <w:t xml:space="preserve"> (MTX)</w:t>
      </w:r>
      <w:r w:rsidRPr="00D5385E">
        <w:rPr>
          <w:rFonts w:ascii="Book Antiqua" w:hAnsi="Book Antiqua" w:cs="Arial"/>
          <w:color w:val="000000" w:themeColor="text1"/>
          <w:sz w:val="24"/>
          <w:szCs w:val="24"/>
          <w:lang w:val="en-US"/>
        </w:rPr>
        <w:t xml:space="preserve"> in both the </w:t>
      </w:r>
      <w:proofErr w:type="spellStart"/>
      <w:r w:rsidRPr="00D5385E">
        <w:rPr>
          <w:rFonts w:ascii="Book Antiqua" w:hAnsi="Book Antiqua" w:cs="Arial"/>
          <w:color w:val="000000" w:themeColor="text1"/>
          <w:sz w:val="24"/>
          <w:szCs w:val="24"/>
          <w:lang w:val="en-US"/>
        </w:rPr>
        <w:t>paediatric</w:t>
      </w:r>
      <w:proofErr w:type="spellEnd"/>
      <w:r w:rsidRPr="00D5385E">
        <w:rPr>
          <w:rFonts w:ascii="Book Antiqua" w:hAnsi="Book Antiqua" w:cs="Arial"/>
          <w:color w:val="000000" w:themeColor="text1"/>
          <w:sz w:val="24"/>
          <w:szCs w:val="24"/>
          <w:lang w:val="en-US"/>
        </w:rPr>
        <w:t xml:space="preserve"> and adult IBD populations have been done, there is limited evidence regarding its role in older IBD patients.</w:t>
      </w:r>
      <w:r w:rsidR="00153BE2">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Currently, methotrexate is recommended for steroid</w:t>
      </w:r>
      <w:r w:rsidR="000A1048">
        <w:rPr>
          <w:rFonts w:ascii="Book Antiqua" w:hAnsi="Book Antiqua" w:cs="Arial"/>
          <w:color w:val="000000" w:themeColor="text1"/>
          <w:sz w:val="24"/>
          <w:szCs w:val="24"/>
          <w:lang w:val="en-US"/>
        </w:rPr>
        <w:t>-</w:t>
      </w:r>
      <w:proofErr w:type="spellStart"/>
      <w:r w:rsidRPr="00D5385E">
        <w:rPr>
          <w:rFonts w:ascii="Book Antiqua" w:hAnsi="Book Antiqua" w:cs="Arial"/>
          <w:color w:val="000000" w:themeColor="text1"/>
          <w:sz w:val="24"/>
          <w:szCs w:val="24"/>
          <w:lang w:val="en-US"/>
        </w:rPr>
        <w:t>dependant</w:t>
      </w:r>
      <w:proofErr w:type="spellEnd"/>
      <w:r w:rsidRPr="00D5385E">
        <w:rPr>
          <w:rFonts w:ascii="Book Antiqua" w:hAnsi="Book Antiqua" w:cs="Arial"/>
          <w:color w:val="000000" w:themeColor="text1"/>
          <w:sz w:val="24"/>
          <w:szCs w:val="24"/>
          <w:lang w:val="en-US"/>
        </w:rPr>
        <w:t xml:space="preserve"> Crohn’s disease and for maintenance of remission (AGA).</w:t>
      </w:r>
      <w:r w:rsidR="008C712B">
        <w:rPr>
          <w:rFonts w:ascii="Book Antiqua" w:hAnsi="Book Antiqua" w:cs="Arial"/>
          <w:color w:val="000000" w:themeColor="text1"/>
          <w:sz w:val="24"/>
          <w:szCs w:val="24"/>
          <w:lang w:val="en-US"/>
        </w:rPr>
        <w:t xml:space="preserve"> </w:t>
      </w:r>
    </w:p>
    <w:p w14:paraId="488F036F" w14:textId="7BAD099C"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Common side effects of methotrexate include (but are not limited to) nausea, liver toxicity and bone marrow </w:t>
      </w:r>
      <w:proofErr w:type="gramStart"/>
      <w:r w:rsidRPr="00D5385E">
        <w:rPr>
          <w:rFonts w:ascii="Book Antiqua" w:hAnsi="Book Antiqua" w:cs="Arial"/>
          <w:color w:val="000000" w:themeColor="text1"/>
          <w:sz w:val="24"/>
          <w:szCs w:val="24"/>
          <w:lang w:val="en-US"/>
        </w:rPr>
        <w:t>suppression</w:t>
      </w:r>
      <w:r w:rsidR="00E75BA3" w:rsidRPr="00D5385E">
        <w:rPr>
          <w:rFonts w:ascii="Book Antiqua" w:hAnsi="Book Antiqua" w:cs="Arial"/>
          <w:color w:val="000000" w:themeColor="text1"/>
          <w:sz w:val="24"/>
          <w:szCs w:val="24"/>
          <w:vertAlign w:val="superscript"/>
          <w:lang w:val="en-US"/>
        </w:rPr>
        <w:t>[</w:t>
      </w:r>
      <w:proofErr w:type="gramEnd"/>
      <w:r w:rsidR="00E75BA3" w:rsidRPr="00D5385E">
        <w:rPr>
          <w:rFonts w:ascii="Book Antiqua" w:hAnsi="Book Antiqua" w:cs="Arial"/>
          <w:color w:val="000000" w:themeColor="text1"/>
          <w:sz w:val="24"/>
          <w:szCs w:val="24"/>
          <w:vertAlign w:val="superscript"/>
          <w:lang w:val="en-US"/>
        </w:rPr>
        <w:t>24]</w:t>
      </w:r>
      <w:r w:rsidR="00E75BA3" w:rsidRPr="00D5385E">
        <w:rPr>
          <w:rFonts w:ascii="Book Antiqua" w:eastAsia="Times New Roman" w:hAnsi="Book Antiqua" w:cs="Arial"/>
          <w:color w:val="000000" w:themeColor="text1"/>
          <w:sz w:val="24"/>
          <w:szCs w:val="24"/>
          <w:shd w:val="clear" w:color="auto" w:fill="FFFFFF"/>
          <w:lang w:val="en-US"/>
        </w:rPr>
        <w:t xml:space="preserve">. </w:t>
      </w:r>
      <w:r w:rsidRPr="00D5385E">
        <w:rPr>
          <w:rFonts w:ascii="Book Antiqua" w:hAnsi="Book Antiqua" w:cs="Arial"/>
          <w:color w:val="000000" w:themeColor="text1"/>
          <w:sz w:val="24"/>
          <w:szCs w:val="24"/>
          <w:lang w:val="en-US"/>
        </w:rPr>
        <w:t>In a recent retrospective review including 3192 IBD patients of all ages, 19.8% of patients treated with Methotrexate discontinued the drug due to side effects.</w:t>
      </w:r>
      <w:r w:rsidR="008C712B">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The most common reasons for discontinuation were gastrointestinal effects, namely nausea and vomiting, but also an increase in liver enzymes. Furthermore, one study analyzing the use of methotrexate in 112 IBD patients found that patients not receiving folic acid were at a fivefold increased risk of experiencing side </w:t>
      </w:r>
      <w:proofErr w:type="gramStart"/>
      <w:r w:rsidRPr="00D5385E">
        <w:rPr>
          <w:rFonts w:ascii="Book Antiqua" w:hAnsi="Book Antiqua" w:cs="Arial"/>
          <w:color w:val="000000" w:themeColor="text1"/>
          <w:sz w:val="24"/>
          <w:szCs w:val="24"/>
          <w:lang w:val="en-US"/>
        </w:rPr>
        <w:t>effects</w:t>
      </w:r>
      <w:r w:rsidR="00E75BA3"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46</w:t>
      </w:r>
      <w:r w:rsidR="00E75BA3" w:rsidRPr="00D5385E">
        <w:rPr>
          <w:rFonts w:ascii="Book Antiqua" w:hAnsi="Book Antiqua" w:cs="Arial"/>
          <w:color w:val="000000" w:themeColor="text1"/>
          <w:sz w:val="24"/>
          <w:szCs w:val="24"/>
          <w:vertAlign w:val="superscript"/>
          <w:lang w:val="en-US"/>
        </w:rPr>
        <w:t>]</w:t>
      </w:r>
      <w:r w:rsidR="00E75BA3" w:rsidRPr="00D5385E">
        <w:rPr>
          <w:rFonts w:ascii="Book Antiqua" w:eastAsia="Times New Roman" w:hAnsi="Book Antiqua" w:cs="Arial"/>
          <w:color w:val="000000" w:themeColor="text1"/>
          <w:sz w:val="24"/>
          <w:szCs w:val="24"/>
          <w:shd w:val="clear" w:color="auto" w:fill="FFFFFF"/>
          <w:lang w:val="en-US"/>
        </w:rPr>
        <w:t xml:space="preserve">. </w:t>
      </w:r>
      <w:r w:rsidRPr="00D5385E">
        <w:rPr>
          <w:rFonts w:ascii="Book Antiqua" w:hAnsi="Book Antiqua" w:cs="Arial"/>
          <w:color w:val="000000" w:themeColor="text1"/>
          <w:sz w:val="24"/>
          <w:szCs w:val="24"/>
          <w:lang w:val="en-US"/>
        </w:rPr>
        <w:t>While the addition of folic acid may seem insignificant, this may pose a challenge to the older IBD patient who is already at risk for polypharmacy and may have more difficulty complying to a complicated medical regimen.</w:t>
      </w:r>
      <w:r w:rsidR="008C712B">
        <w:rPr>
          <w:rFonts w:ascii="Book Antiqua" w:hAnsi="Book Antiqua" w:cs="Arial"/>
          <w:color w:val="000000" w:themeColor="text1"/>
          <w:sz w:val="24"/>
          <w:szCs w:val="24"/>
          <w:lang w:val="en-US"/>
        </w:rPr>
        <w:t xml:space="preserve"> </w:t>
      </w:r>
    </w:p>
    <w:p w14:paraId="3183976F" w14:textId="4FFDED90" w:rsidR="00B96E6B" w:rsidRPr="00D5385E" w:rsidRDefault="00B96E6B"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Of note, methotrexate is </w:t>
      </w:r>
      <w:r w:rsidR="00FD66EE" w:rsidRPr="00D5385E">
        <w:rPr>
          <w:rFonts w:ascii="Book Antiqua" w:hAnsi="Book Antiqua" w:cs="Arial"/>
          <w:color w:val="000000" w:themeColor="text1"/>
          <w:sz w:val="24"/>
          <w:szCs w:val="24"/>
          <w:lang w:val="en-US"/>
        </w:rPr>
        <w:t xml:space="preserve">mainly </w:t>
      </w:r>
      <w:r w:rsidRPr="00D5385E">
        <w:rPr>
          <w:rFonts w:ascii="Book Antiqua" w:hAnsi="Book Antiqua" w:cs="Arial"/>
          <w:color w:val="000000" w:themeColor="text1"/>
          <w:sz w:val="24"/>
          <w:szCs w:val="24"/>
          <w:lang w:val="en-US"/>
        </w:rPr>
        <w:t>excreted</w:t>
      </w:r>
      <w:r w:rsidR="00FD66EE" w:rsidRPr="00D5385E">
        <w:rPr>
          <w:rFonts w:ascii="Book Antiqua" w:hAnsi="Book Antiqua" w:cs="Arial"/>
          <w:color w:val="000000" w:themeColor="text1"/>
          <w:sz w:val="24"/>
          <w:szCs w:val="24"/>
          <w:lang w:val="en-US"/>
        </w:rPr>
        <w:t xml:space="preserve"> by the kidneys</w:t>
      </w:r>
      <w:r w:rsidRPr="00D5385E">
        <w:rPr>
          <w:rFonts w:ascii="Book Antiqua" w:hAnsi="Book Antiqua" w:cs="Arial"/>
          <w:color w:val="000000" w:themeColor="text1"/>
          <w:sz w:val="24"/>
          <w:szCs w:val="24"/>
          <w:lang w:val="en-US"/>
        </w:rPr>
        <w:t>; therefore,</w:t>
      </w:r>
      <w:r w:rsidR="00FD66EE" w:rsidRPr="00D5385E">
        <w:rPr>
          <w:rFonts w:ascii="Book Antiqua" w:hAnsi="Book Antiqua" w:cs="Arial"/>
          <w:color w:val="000000" w:themeColor="text1"/>
          <w:sz w:val="24"/>
          <w:szCs w:val="24"/>
          <w:lang w:val="en-US"/>
        </w:rPr>
        <w:t xml:space="preserve"> drug accumulation occurs</w:t>
      </w:r>
      <w:r w:rsidRPr="00D5385E">
        <w:rPr>
          <w:rFonts w:ascii="Book Antiqua" w:hAnsi="Book Antiqua" w:cs="Arial"/>
          <w:color w:val="000000" w:themeColor="text1"/>
          <w:sz w:val="24"/>
          <w:szCs w:val="24"/>
          <w:lang w:val="en-US"/>
        </w:rPr>
        <w:t xml:space="preserve"> with</w:t>
      </w:r>
      <w:r w:rsidR="00FD66EE" w:rsidRPr="00D5385E">
        <w:rPr>
          <w:rFonts w:ascii="Book Antiqua" w:hAnsi="Book Antiqua" w:cs="Arial"/>
          <w:color w:val="000000" w:themeColor="text1"/>
          <w:sz w:val="24"/>
          <w:szCs w:val="24"/>
          <w:lang w:val="en-US"/>
        </w:rPr>
        <w:t xml:space="preserve"> a</w:t>
      </w:r>
      <w:r w:rsidRPr="00D5385E">
        <w:rPr>
          <w:rFonts w:ascii="Book Antiqua" w:hAnsi="Book Antiqua" w:cs="Arial"/>
          <w:color w:val="000000" w:themeColor="text1"/>
          <w:sz w:val="24"/>
          <w:szCs w:val="24"/>
          <w:lang w:val="en-US"/>
        </w:rPr>
        <w:t xml:space="preserve"> </w:t>
      </w:r>
      <w:r w:rsidR="00FD66EE" w:rsidRPr="00D5385E">
        <w:rPr>
          <w:rFonts w:ascii="Book Antiqua" w:hAnsi="Book Antiqua" w:cs="Arial"/>
          <w:color w:val="000000" w:themeColor="text1"/>
          <w:sz w:val="24"/>
          <w:szCs w:val="24"/>
          <w:lang w:val="en-US"/>
        </w:rPr>
        <w:t>lower</w:t>
      </w:r>
      <w:r w:rsidRPr="00D5385E">
        <w:rPr>
          <w:rFonts w:ascii="Book Antiqua" w:hAnsi="Book Antiqua" w:cs="Arial"/>
          <w:color w:val="000000" w:themeColor="text1"/>
          <w:sz w:val="24"/>
          <w:szCs w:val="24"/>
          <w:lang w:val="en-US"/>
        </w:rPr>
        <w:t xml:space="preserve"> glomerular filtration rate</w:t>
      </w:r>
      <w:r w:rsidR="00FD66EE" w:rsidRPr="00D5385E">
        <w:rPr>
          <w:rFonts w:ascii="Book Antiqua" w:hAnsi="Book Antiqua" w:cs="Arial"/>
          <w:color w:val="000000" w:themeColor="text1"/>
          <w:sz w:val="24"/>
          <w:szCs w:val="24"/>
          <w:lang w:val="en-US"/>
        </w:rPr>
        <w:t xml:space="preserve">, as seen more commonly in the elderly population, thus potentially intensifying </w:t>
      </w:r>
      <w:r w:rsidRPr="00D5385E">
        <w:rPr>
          <w:rFonts w:ascii="Book Antiqua" w:hAnsi="Book Antiqua" w:cs="Arial"/>
          <w:color w:val="000000" w:themeColor="text1"/>
          <w:sz w:val="24"/>
          <w:szCs w:val="24"/>
          <w:lang w:val="en-US"/>
        </w:rPr>
        <w:t>its side</w:t>
      </w:r>
      <w:r w:rsidR="00FD66EE" w:rsidRPr="00D5385E">
        <w:rPr>
          <w:rFonts w:ascii="Book Antiqua" w:hAnsi="Book Antiqua" w:cs="Arial"/>
          <w:color w:val="000000" w:themeColor="text1"/>
          <w:sz w:val="24"/>
          <w:szCs w:val="24"/>
          <w:lang w:val="en-US"/>
        </w:rPr>
        <w:t xml:space="preserve"> </w:t>
      </w:r>
      <w:proofErr w:type="gramStart"/>
      <w:r w:rsidRPr="00D5385E">
        <w:rPr>
          <w:rFonts w:ascii="Book Antiqua" w:hAnsi="Book Antiqua" w:cs="Arial"/>
          <w:color w:val="000000" w:themeColor="text1"/>
          <w:sz w:val="24"/>
          <w:szCs w:val="24"/>
          <w:lang w:val="en-US"/>
        </w:rPr>
        <w:t>effects</w:t>
      </w:r>
      <w:r w:rsidR="00E75BA3"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47</w:t>
      </w:r>
      <w:r w:rsidR="00E75BA3" w:rsidRPr="00D5385E">
        <w:rPr>
          <w:rFonts w:ascii="Book Antiqua" w:hAnsi="Book Antiqua" w:cs="Arial"/>
          <w:color w:val="000000" w:themeColor="text1"/>
          <w:sz w:val="24"/>
          <w:szCs w:val="24"/>
          <w:vertAlign w:val="superscript"/>
          <w:lang w:val="en-US"/>
        </w:rPr>
        <w:t>]</w:t>
      </w:r>
      <w:r w:rsidR="00E75BA3" w:rsidRPr="00D5385E">
        <w:rPr>
          <w:rFonts w:ascii="Book Antiqua" w:eastAsia="Times New Roman" w:hAnsi="Book Antiqua" w:cs="Arial"/>
          <w:color w:val="000000" w:themeColor="text1"/>
          <w:sz w:val="24"/>
          <w:szCs w:val="24"/>
          <w:shd w:val="clear" w:color="auto" w:fill="FFFFFF"/>
          <w:lang w:val="en-US"/>
        </w:rPr>
        <w:t>.</w:t>
      </w:r>
    </w:p>
    <w:p w14:paraId="6EDA2BB7" w14:textId="77777777" w:rsidR="00700A00" w:rsidRPr="00D5385E" w:rsidRDefault="00700A00" w:rsidP="00D5385E">
      <w:pPr>
        <w:adjustRightInd w:val="0"/>
        <w:snapToGrid w:val="0"/>
        <w:spacing w:after="0" w:line="360" w:lineRule="auto"/>
        <w:jc w:val="both"/>
        <w:rPr>
          <w:rFonts w:ascii="Book Antiqua" w:hAnsi="Book Antiqua" w:cs="Arial"/>
          <w:color w:val="000000" w:themeColor="text1"/>
          <w:sz w:val="24"/>
          <w:szCs w:val="24"/>
          <w:lang w:val="en-US"/>
        </w:rPr>
      </w:pPr>
    </w:p>
    <w:p w14:paraId="42CC0072" w14:textId="5043E6C7" w:rsidR="00290606" w:rsidRPr="00D5385E" w:rsidRDefault="00B41BC6" w:rsidP="00D5385E">
      <w:pPr>
        <w:adjustRightInd w:val="0"/>
        <w:snapToGrid w:val="0"/>
        <w:spacing w:after="0" w:line="360" w:lineRule="auto"/>
        <w:jc w:val="both"/>
        <w:rPr>
          <w:rFonts w:ascii="Book Antiqua" w:hAnsi="Book Antiqua" w:cs="Arial"/>
          <w:b/>
          <w:i/>
          <w:color w:val="000000" w:themeColor="text1"/>
          <w:sz w:val="24"/>
          <w:szCs w:val="24"/>
          <w:lang w:val="en-US"/>
        </w:rPr>
      </w:pPr>
      <w:r w:rsidRPr="00D5385E">
        <w:rPr>
          <w:rFonts w:ascii="Book Antiqua" w:hAnsi="Book Antiqua" w:cs="Arial"/>
          <w:b/>
          <w:i/>
          <w:color w:val="000000" w:themeColor="text1"/>
          <w:sz w:val="24"/>
          <w:szCs w:val="24"/>
          <w:lang w:val="en-US"/>
        </w:rPr>
        <w:t xml:space="preserve">Biologic </w:t>
      </w:r>
      <w:r w:rsidR="00153BE2" w:rsidRPr="00D5385E">
        <w:rPr>
          <w:rFonts w:ascii="Book Antiqua" w:hAnsi="Book Antiqua" w:cs="Arial"/>
          <w:b/>
          <w:i/>
          <w:color w:val="000000" w:themeColor="text1"/>
          <w:sz w:val="24"/>
          <w:szCs w:val="24"/>
          <w:lang w:val="en-US"/>
        </w:rPr>
        <w:t>agents</w:t>
      </w:r>
    </w:p>
    <w:p w14:paraId="2739DDB9" w14:textId="6DBC246A" w:rsidR="00290606" w:rsidRDefault="00117B34"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lastRenderedPageBreak/>
        <w:t>Biologic therapy regroups a wide array of immunosuppressive agents, where</w:t>
      </w:r>
      <w:r w:rsidR="00170CD7" w:rsidRPr="00D5385E">
        <w:rPr>
          <w:rFonts w:ascii="Book Antiqua" w:hAnsi="Book Antiqua" w:cs="Arial"/>
          <w:color w:val="000000" w:themeColor="text1"/>
          <w:sz w:val="24"/>
          <w:szCs w:val="24"/>
          <w:lang w:val="en-US"/>
        </w:rPr>
        <w:t>in</w:t>
      </w:r>
      <w:r w:rsidRPr="00D5385E">
        <w:rPr>
          <w:rFonts w:ascii="Book Antiqua" w:hAnsi="Book Antiqua" w:cs="Arial"/>
          <w:color w:val="000000" w:themeColor="text1"/>
          <w:sz w:val="24"/>
          <w:szCs w:val="24"/>
          <w:lang w:val="en-US"/>
        </w:rPr>
        <w:t xml:space="preserve"> the main mechanism of action relies on antibody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mediated downregulation of the inflammatory cascade. Infliximab and adalimumab, the first biologics used in the treatment IBD, directly inhibits the effects of serum and mucosal TNF, thereby reducing mucosal inflammation. Trials showed that a third of patients lose response to TNF blockers </w:t>
      </w:r>
      <w:r w:rsidR="00170CD7" w:rsidRPr="00D5385E">
        <w:rPr>
          <w:rFonts w:ascii="Book Antiqua" w:hAnsi="Book Antiqua" w:cs="Arial"/>
          <w:color w:val="000000" w:themeColor="text1"/>
          <w:sz w:val="24"/>
          <w:szCs w:val="24"/>
          <w:lang w:val="en-US"/>
        </w:rPr>
        <w:t xml:space="preserve">within 1 year, compounded to </w:t>
      </w:r>
      <w:r w:rsidRPr="00D5385E">
        <w:rPr>
          <w:rFonts w:ascii="Book Antiqua" w:hAnsi="Book Antiqua" w:cs="Arial"/>
          <w:color w:val="000000" w:themeColor="text1"/>
          <w:sz w:val="24"/>
          <w:szCs w:val="24"/>
          <w:lang w:val="en-US"/>
        </w:rPr>
        <w:t>a non</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negligible infectious risk. </w:t>
      </w:r>
      <w:r w:rsidR="00170CD7" w:rsidRPr="00D5385E">
        <w:rPr>
          <w:rFonts w:ascii="Book Antiqua" w:hAnsi="Book Antiqua" w:cs="Arial"/>
          <w:color w:val="000000" w:themeColor="text1"/>
          <w:sz w:val="24"/>
          <w:szCs w:val="24"/>
          <w:lang w:val="en-US"/>
        </w:rPr>
        <w:t>Therefore, ne</w:t>
      </w:r>
      <w:r w:rsidRPr="00D5385E">
        <w:rPr>
          <w:rFonts w:ascii="Book Antiqua" w:hAnsi="Book Antiqua" w:cs="Arial"/>
          <w:color w:val="000000" w:themeColor="text1"/>
          <w:sz w:val="24"/>
          <w:szCs w:val="24"/>
          <w:lang w:val="en-US"/>
        </w:rPr>
        <w:t xml:space="preserve">wer biologics </w:t>
      </w:r>
      <w:r w:rsidR="00170CD7" w:rsidRPr="00D5385E">
        <w:rPr>
          <w:rFonts w:ascii="Book Antiqua" w:hAnsi="Book Antiqua" w:cs="Arial"/>
          <w:color w:val="000000" w:themeColor="text1"/>
          <w:sz w:val="24"/>
          <w:szCs w:val="24"/>
          <w:lang w:val="en-US"/>
        </w:rPr>
        <w:t>were</w:t>
      </w:r>
      <w:r w:rsidRPr="00D5385E">
        <w:rPr>
          <w:rFonts w:ascii="Book Antiqua" w:hAnsi="Book Antiqua" w:cs="Arial"/>
          <w:color w:val="000000" w:themeColor="text1"/>
          <w:sz w:val="24"/>
          <w:szCs w:val="24"/>
          <w:lang w:val="en-US"/>
        </w:rPr>
        <w:t xml:space="preserve"> introduced </w:t>
      </w:r>
      <w:r w:rsidR="00170CD7" w:rsidRPr="00D5385E">
        <w:rPr>
          <w:rFonts w:ascii="Book Antiqua" w:hAnsi="Book Antiqua" w:cs="Arial"/>
          <w:color w:val="000000" w:themeColor="text1"/>
          <w:sz w:val="24"/>
          <w:szCs w:val="24"/>
          <w:lang w:val="en-US"/>
        </w:rPr>
        <w:t>in order to</w:t>
      </w:r>
      <w:r w:rsidRPr="00D5385E">
        <w:rPr>
          <w:rFonts w:ascii="Book Antiqua" w:hAnsi="Book Antiqua" w:cs="Arial"/>
          <w:color w:val="000000" w:themeColor="text1"/>
          <w:sz w:val="24"/>
          <w:szCs w:val="24"/>
          <w:lang w:val="en-US"/>
        </w:rPr>
        <w:t xml:space="preserve"> target downstream mediators of gut inflammation, such as the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integrins (vedolizumab) and the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interleukin 12</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23 (</w:t>
      </w:r>
      <w:proofErr w:type="spellStart"/>
      <w:r w:rsidRPr="00D5385E">
        <w:rPr>
          <w:rFonts w:ascii="Book Antiqua" w:hAnsi="Book Antiqua" w:cs="Arial"/>
          <w:color w:val="000000" w:themeColor="text1"/>
          <w:sz w:val="24"/>
          <w:szCs w:val="24"/>
          <w:lang w:val="en-US"/>
        </w:rPr>
        <w:t>ustekinumab</w:t>
      </w:r>
      <w:proofErr w:type="spellEnd"/>
      <w:r w:rsidRPr="00D5385E">
        <w:rPr>
          <w:rFonts w:ascii="Book Antiqua" w:hAnsi="Book Antiqua" w:cs="Arial"/>
          <w:color w:val="000000" w:themeColor="text1"/>
          <w:sz w:val="24"/>
          <w:szCs w:val="24"/>
          <w:lang w:val="en-US"/>
        </w:rPr>
        <w:t>).</w:t>
      </w:r>
      <w:r w:rsidR="008C712B">
        <w:rPr>
          <w:rFonts w:ascii="Book Antiqua" w:hAnsi="Book Antiqua" w:cs="Arial"/>
          <w:color w:val="000000" w:themeColor="text1"/>
          <w:sz w:val="24"/>
          <w:szCs w:val="24"/>
          <w:lang w:val="en-US"/>
        </w:rPr>
        <w:t xml:space="preserve"> </w:t>
      </w:r>
      <w:r w:rsidR="00D96DFA" w:rsidRPr="00D5385E">
        <w:rPr>
          <w:rFonts w:ascii="Book Antiqua" w:hAnsi="Book Antiqua" w:cs="Arial"/>
          <w:color w:val="000000" w:themeColor="text1"/>
          <w:sz w:val="24"/>
          <w:szCs w:val="24"/>
          <w:lang w:val="en-US"/>
        </w:rPr>
        <w:t xml:space="preserve">Based on </w:t>
      </w:r>
      <w:r w:rsidR="00CB1068" w:rsidRPr="00D5385E">
        <w:rPr>
          <w:rFonts w:ascii="Book Antiqua" w:hAnsi="Book Antiqua" w:cs="Arial"/>
          <w:color w:val="000000" w:themeColor="text1"/>
          <w:sz w:val="24"/>
          <w:szCs w:val="24"/>
          <w:lang w:val="en-US"/>
        </w:rPr>
        <w:t>retrospective and population</w:t>
      </w:r>
      <w:r w:rsidR="000A1048">
        <w:rPr>
          <w:rFonts w:ascii="Book Antiqua" w:hAnsi="Book Antiqua" w:cs="Arial"/>
          <w:color w:val="000000" w:themeColor="text1"/>
          <w:sz w:val="24"/>
          <w:szCs w:val="24"/>
          <w:lang w:val="en-US"/>
        </w:rPr>
        <w:t>-</w:t>
      </w:r>
      <w:r w:rsidR="00CB1068" w:rsidRPr="00D5385E">
        <w:rPr>
          <w:rFonts w:ascii="Book Antiqua" w:hAnsi="Book Antiqua" w:cs="Arial"/>
          <w:color w:val="000000" w:themeColor="text1"/>
          <w:sz w:val="24"/>
          <w:szCs w:val="24"/>
          <w:lang w:val="en-US"/>
        </w:rPr>
        <w:t>based data</w:t>
      </w:r>
      <w:r w:rsidR="00D96DFA" w:rsidRPr="00D5385E">
        <w:rPr>
          <w:rFonts w:ascii="Book Antiqua" w:hAnsi="Book Antiqua" w:cs="Arial"/>
          <w:color w:val="000000" w:themeColor="text1"/>
          <w:sz w:val="24"/>
          <w:szCs w:val="24"/>
          <w:lang w:val="en-US"/>
        </w:rPr>
        <w:t>, biologic agents</w:t>
      </w:r>
      <w:r w:rsidR="00386D29" w:rsidRPr="00D5385E">
        <w:rPr>
          <w:rFonts w:ascii="Book Antiqua" w:hAnsi="Book Antiqua" w:cs="Arial"/>
          <w:color w:val="000000" w:themeColor="text1"/>
          <w:sz w:val="24"/>
          <w:szCs w:val="24"/>
          <w:lang w:val="en-US"/>
        </w:rPr>
        <w:t xml:space="preserve"> in the elderly IBD popul</w:t>
      </w:r>
      <w:r w:rsidR="00D96DFA" w:rsidRPr="00D5385E">
        <w:rPr>
          <w:rFonts w:ascii="Book Antiqua" w:hAnsi="Book Antiqua" w:cs="Arial"/>
          <w:color w:val="000000" w:themeColor="text1"/>
          <w:sz w:val="24"/>
          <w:szCs w:val="24"/>
          <w:lang w:val="en-US"/>
        </w:rPr>
        <w:t xml:space="preserve">ation are rarely utilized, as low as </w:t>
      </w:r>
      <w:r w:rsidR="000F405B" w:rsidRPr="00D5385E">
        <w:rPr>
          <w:rFonts w:ascii="Book Antiqua" w:hAnsi="Book Antiqua" w:cs="Arial"/>
          <w:color w:val="000000" w:themeColor="text1"/>
          <w:sz w:val="24"/>
          <w:szCs w:val="24"/>
          <w:lang w:val="en-US"/>
        </w:rPr>
        <w:t xml:space="preserve">2% in UC </w:t>
      </w:r>
      <w:r w:rsidR="00CB1068" w:rsidRPr="00D5385E">
        <w:rPr>
          <w:rFonts w:ascii="Book Antiqua" w:hAnsi="Book Antiqua" w:cs="Arial"/>
          <w:color w:val="000000" w:themeColor="text1"/>
          <w:sz w:val="24"/>
          <w:szCs w:val="24"/>
          <w:lang w:val="en-US"/>
        </w:rPr>
        <w:t>patients and</w:t>
      </w:r>
      <w:r w:rsidR="000F405B" w:rsidRPr="00D5385E">
        <w:rPr>
          <w:rFonts w:ascii="Book Antiqua" w:hAnsi="Book Antiqua" w:cs="Arial"/>
          <w:color w:val="000000" w:themeColor="text1"/>
          <w:sz w:val="24"/>
          <w:szCs w:val="24"/>
          <w:lang w:val="en-US"/>
        </w:rPr>
        <w:t xml:space="preserve"> 6% in CD patients at 5 years following date of diagnosis, compared to 7% </w:t>
      </w:r>
      <w:r w:rsidR="00E75BA3" w:rsidRPr="00D5385E">
        <w:rPr>
          <w:rFonts w:ascii="Book Antiqua" w:hAnsi="Book Antiqua" w:cs="Arial"/>
          <w:color w:val="000000" w:themeColor="text1"/>
          <w:sz w:val="24"/>
          <w:szCs w:val="24"/>
          <w:lang w:val="en-US"/>
        </w:rPr>
        <w:t xml:space="preserve">and 20% in the adult </w:t>
      </w:r>
      <w:proofErr w:type="gramStart"/>
      <w:r w:rsidR="00E75BA3" w:rsidRPr="00D5385E">
        <w:rPr>
          <w:rFonts w:ascii="Book Antiqua" w:hAnsi="Book Antiqua" w:cs="Arial"/>
          <w:color w:val="000000" w:themeColor="text1"/>
          <w:sz w:val="24"/>
          <w:szCs w:val="24"/>
          <w:lang w:val="en-US"/>
        </w:rPr>
        <w:t>population</w:t>
      </w:r>
      <w:r w:rsidR="00E75BA3" w:rsidRPr="00D5385E">
        <w:rPr>
          <w:rFonts w:ascii="Book Antiqua" w:hAnsi="Book Antiqua" w:cs="Arial"/>
          <w:color w:val="000000" w:themeColor="text1"/>
          <w:sz w:val="24"/>
          <w:szCs w:val="24"/>
          <w:vertAlign w:val="superscript"/>
          <w:lang w:val="en-US"/>
        </w:rPr>
        <w:t>[</w:t>
      </w:r>
      <w:proofErr w:type="gramEnd"/>
      <w:r w:rsidR="00E75BA3" w:rsidRPr="00D5385E">
        <w:rPr>
          <w:rFonts w:ascii="Book Antiqua" w:hAnsi="Book Antiqua" w:cs="Arial"/>
          <w:color w:val="000000" w:themeColor="text1"/>
          <w:sz w:val="24"/>
          <w:szCs w:val="24"/>
          <w:vertAlign w:val="superscript"/>
          <w:lang w:val="en-US"/>
        </w:rPr>
        <w:t>2,29]</w:t>
      </w:r>
      <w:r w:rsidR="00E75BA3" w:rsidRPr="00D5385E">
        <w:rPr>
          <w:rFonts w:ascii="Book Antiqua" w:eastAsia="Times New Roman" w:hAnsi="Book Antiqua" w:cs="Arial"/>
          <w:color w:val="000000" w:themeColor="text1"/>
          <w:sz w:val="24"/>
          <w:szCs w:val="24"/>
          <w:shd w:val="clear" w:color="auto" w:fill="FFFFFF"/>
          <w:lang w:val="en-US"/>
        </w:rPr>
        <w:t>.</w:t>
      </w:r>
      <w:r w:rsidR="000F405B" w:rsidRPr="00D5385E">
        <w:rPr>
          <w:rFonts w:ascii="Book Antiqua" w:hAnsi="Book Antiqua" w:cs="Arial"/>
          <w:color w:val="000000" w:themeColor="text1"/>
          <w:sz w:val="24"/>
          <w:szCs w:val="24"/>
          <w:lang w:val="en-US"/>
        </w:rPr>
        <w:t xml:space="preserve"> In these trials</w:t>
      </w:r>
      <w:r w:rsidR="00CB1068" w:rsidRPr="00D5385E">
        <w:rPr>
          <w:rFonts w:ascii="Book Antiqua" w:hAnsi="Book Antiqua" w:cs="Arial"/>
          <w:color w:val="000000" w:themeColor="text1"/>
          <w:sz w:val="24"/>
          <w:szCs w:val="24"/>
          <w:lang w:val="en-US"/>
        </w:rPr>
        <w:t>, 20</w:t>
      </w:r>
      <w:r w:rsidR="00153BE2">
        <w:rPr>
          <w:rFonts w:ascii="Book Antiqua" w:hAnsi="Book Antiqua" w:cs="Arial"/>
          <w:color w:val="000000" w:themeColor="text1"/>
          <w:sz w:val="24"/>
          <w:szCs w:val="24"/>
          <w:lang w:val="en-US"/>
        </w:rPr>
        <w:t>%</w:t>
      </w:r>
      <w:r w:rsidR="000A1048">
        <w:rPr>
          <w:rFonts w:ascii="Book Antiqua" w:hAnsi="Book Antiqua" w:cs="Arial"/>
          <w:color w:val="000000" w:themeColor="text1"/>
          <w:sz w:val="24"/>
          <w:szCs w:val="24"/>
          <w:lang w:val="en-US"/>
        </w:rPr>
        <w:t>-</w:t>
      </w:r>
      <w:r w:rsidR="00CB1068" w:rsidRPr="00D5385E">
        <w:rPr>
          <w:rFonts w:ascii="Book Antiqua" w:hAnsi="Book Antiqua" w:cs="Arial"/>
          <w:color w:val="000000" w:themeColor="text1"/>
          <w:sz w:val="24"/>
          <w:szCs w:val="24"/>
          <w:lang w:val="en-US"/>
        </w:rPr>
        <w:t>32</w:t>
      </w:r>
      <w:r w:rsidR="00D96DFA" w:rsidRPr="00D5385E">
        <w:rPr>
          <w:rFonts w:ascii="Book Antiqua" w:hAnsi="Book Antiqua" w:cs="Arial"/>
          <w:color w:val="000000" w:themeColor="text1"/>
          <w:sz w:val="24"/>
          <w:szCs w:val="24"/>
          <w:lang w:val="en-US"/>
        </w:rPr>
        <w:t xml:space="preserve">% were receiving maintenance prednisone, defined as a treatment duration of six months or more. </w:t>
      </w:r>
      <w:r w:rsidR="002C44D3" w:rsidRPr="00D5385E">
        <w:rPr>
          <w:rFonts w:ascii="Book Antiqua" w:hAnsi="Book Antiqua" w:cs="Arial"/>
          <w:color w:val="000000" w:themeColor="text1"/>
          <w:sz w:val="24"/>
          <w:szCs w:val="24"/>
          <w:lang w:val="en-US"/>
        </w:rPr>
        <w:t>Existing</w:t>
      </w:r>
      <w:r w:rsidR="002E172A" w:rsidRPr="00D5385E">
        <w:rPr>
          <w:rFonts w:ascii="Book Antiqua" w:hAnsi="Book Antiqua" w:cs="Arial"/>
          <w:color w:val="000000" w:themeColor="text1"/>
          <w:sz w:val="24"/>
          <w:szCs w:val="24"/>
          <w:lang w:val="en-US"/>
        </w:rPr>
        <w:t xml:space="preserve"> </w:t>
      </w:r>
      <w:r w:rsidR="002C44D3" w:rsidRPr="00D5385E">
        <w:rPr>
          <w:rFonts w:ascii="Book Antiqua" w:hAnsi="Book Antiqua" w:cs="Arial"/>
          <w:color w:val="000000" w:themeColor="text1"/>
          <w:sz w:val="24"/>
          <w:szCs w:val="24"/>
          <w:lang w:val="en-US"/>
        </w:rPr>
        <w:t>evidence, although limited, has suggested lower efficacy and</w:t>
      </w:r>
      <w:r w:rsidR="002E172A" w:rsidRPr="00D5385E">
        <w:rPr>
          <w:rFonts w:ascii="Book Antiqua" w:hAnsi="Book Antiqua" w:cs="Arial"/>
          <w:color w:val="000000" w:themeColor="text1"/>
          <w:sz w:val="24"/>
          <w:szCs w:val="24"/>
          <w:lang w:val="en-US"/>
        </w:rPr>
        <w:t xml:space="preserve"> increased risk of infections</w:t>
      </w:r>
      <w:r w:rsidR="002C44D3" w:rsidRPr="00D5385E">
        <w:rPr>
          <w:rFonts w:ascii="Book Antiqua" w:hAnsi="Book Antiqua" w:cs="Arial"/>
          <w:color w:val="000000" w:themeColor="text1"/>
          <w:sz w:val="24"/>
          <w:szCs w:val="24"/>
          <w:lang w:val="en-US"/>
        </w:rPr>
        <w:t xml:space="preserve">, </w:t>
      </w:r>
      <w:r w:rsidR="002E172A" w:rsidRPr="00D5385E">
        <w:rPr>
          <w:rFonts w:ascii="Book Antiqua" w:hAnsi="Book Antiqua" w:cs="Arial"/>
          <w:color w:val="000000" w:themeColor="text1"/>
          <w:sz w:val="24"/>
          <w:szCs w:val="24"/>
          <w:lang w:val="en-US"/>
        </w:rPr>
        <w:t xml:space="preserve">possibly </w:t>
      </w:r>
      <w:r w:rsidR="002C44D3" w:rsidRPr="00D5385E">
        <w:rPr>
          <w:rFonts w:ascii="Book Antiqua" w:hAnsi="Book Antiqua" w:cs="Arial"/>
          <w:color w:val="000000" w:themeColor="text1"/>
          <w:sz w:val="24"/>
          <w:szCs w:val="24"/>
          <w:lang w:val="en-US"/>
        </w:rPr>
        <w:t>mortality, of</w:t>
      </w:r>
      <w:r w:rsidR="002E172A" w:rsidRPr="00D5385E">
        <w:rPr>
          <w:rFonts w:ascii="Book Antiqua" w:hAnsi="Book Antiqua" w:cs="Arial"/>
          <w:color w:val="000000" w:themeColor="text1"/>
          <w:sz w:val="24"/>
          <w:szCs w:val="24"/>
          <w:lang w:val="en-US"/>
        </w:rPr>
        <w:t xml:space="preserve"> biol</w:t>
      </w:r>
      <w:r w:rsidR="002C44D3" w:rsidRPr="00D5385E">
        <w:rPr>
          <w:rFonts w:ascii="Book Antiqua" w:hAnsi="Book Antiqua" w:cs="Arial"/>
          <w:color w:val="000000" w:themeColor="text1"/>
          <w:sz w:val="24"/>
          <w:szCs w:val="24"/>
          <w:lang w:val="en-US"/>
        </w:rPr>
        <w:t>ogic agents used</w:t>
      </w:r>
      <w:r w:rsidR="002E172A" w:rsidRPr="00D5385E">
        <w:rPr>
          <w:rFonts w:ascii="Book Antiqua" w:hAnsi="Book Antiqua" w:cs="Arial"/>
          <w:color w:val="000000" w:themeColor="text1"/>
          <w:sz w:val="24"/>
          <w:szCs w:val="24"/>
          <w:lang w:val="en-US"/>
        </w:rPr>
        <w:t xml:space="preserve"> in the elderly population, likely resulting in suboptimal management strategies, including corticosteroid prescriptions.</w:t>
      </w:r>
      <w:r w:rsidR="002C44D3" w:rsidRPr="00D5385E">
        <w:rPr>
          <w:rFonts w:ascii="Book Antiqua" w:hAnsi="Book Antiqua" w:cs="Arial"/>
          <w:color w:val="000000" w:themeColor="text1"/>
          <w:sz w:val="24"/>
          <w:szCs w:val="24"/>
          <w:lang w:val="en-US"/>
        </w:rPr>
        <w:t xml:space="preserve"> </w:t>
      </w:r>
    </w:p>
    <w:p w14:paraId="3733BAD1" w14:textId="77777777" w:rsidR="00153BE2" w:rsidRPr="00D5385E" w:rsidRDefault="00153BE2" w:rsidP="00D5385E">
      <w:pPr>
        <w:adjustRightInd w:val="0"/>
        <w:snapToGrid w:val="0"/>
        <w:spacing w:after="0" w:line="360" w:lineRule="auto"/>
        <w:jc w:val="both"/>
        <w:rPr>
          <w:rFonts w:ascii="Book Antiqua" w:hAnsi="Book Antiqua" w:cs="Arial"/>
          <w:color w:val="000000" w:themeColor="text1"/>
          <w:sz w:val="24"/>
          <w:szCs w:val="24"/>
          <w:lang w:val="en-US"/>
        </w:rPr>
      </w:pPr>
    </w:p>
    <w:p w14:paraId="0EB628BC" w14:textId="27CC6952" w:rsidR="00E75BA3" w:rsidRPr="00153BE2" w:rsidRDefault="00F46E8C"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TNF</w:t>
      </w:r>
      <w:r w:rsidR="000A1048">
        <w:rPr>
          <w:rFonts w:ascii="Book Antiqua" w:hAnsi="Book Antiqua" w:cs="Arial"/>
          <w:b/>
          <w:color w:val="000000" w:themeColor="text1"/>
          <w:sz w:val="24"/>
          <w:szCs w:val="24"/>
          <w:lang w:val="en-US"/>
        </w:rPr>
        <w:t>-</w:t>
      </w:r>
      <w:r w:rsidR="00FD5635" w:rsidRPr="00D5385E">
        <w:rPr>
          <w:rFonts w:ascii="Book Antiqua" w:hAnsi="Book Antiqua" w:cs="Arial"/>
          <w:b/>
          <w:color w:val="000000" w:themeColor="text1"/>
          <w:sz w:val="24"/>
          <w:szCs w:val="24"/>
          <w:lang w:val="en-US"/>
        </w:rPr>
        <w:t xml:space="preserve">α </w:t>
      </w:r>
      <w:r w:rsidR="00153BE2">
        <w:rPr>
          <w:rFonts w:ascii="Book Antiqua" w:hAnsi="Book Antiqua" w:cs="Arial"/>
          <w:b/>
          <w:color w:val="000000" w:themeColor="text1"/>
          <w:sz w:val="24"/>
          <w:szCs w:val="24"/>
          <w:lang w:val="en-US"/>
        </w:rPr>
        <w:t>b</w:t>
      </w:r>
      <w:r w:rsidR="00FD5635" w:rsidRPr="00D5385E">
        <w:rPr>
          <w:rFonts w:ascii="Book Antiqua" w:hAnsi="Book Antiqua" w:cs="Arial"/>
          <w:b/>
          <w:color w:val="000000" w:themeColor="text1"/>
          <w:sz w:val="24"/>
          <w:szCs w:val="24"/>
          <w:lang w:val="en-US"/>
        </w:rPr>
        <w:t>lockade</w:t>
      </w:r>
      <w:r w:rsidR="00153BE2">
        <w:rPr>
          <w:rFonts w:ascii="Book Antiqua" w:hAnsi="Book Antiqua" w:cs="Arial"/>
          <w:b/>
          <w:color w:val="000000" w:themeColor="text1"/>
          <w:sz w:val="24"/>
          <w:szCs w:val="24"/>
          <w:lang w:val="en-US"/>
        </w:rPr>
        <w:t xml:space="preserve">: </w:t>
      </w:r>
      <w:r w:rsidR="00912398" w:rsidRPr="00D5385E">
        <w:rPr>
          <w:rFonts w:ascii="Book Antiqua" w:hAnsi="Book Antiqua" w:cs="Arial"/>
          <w:color w:val="000000" w:themeColor="text1"/>
          <w:sz w:val="24"/>
          <w:szCs w:val="24"/>
          <w:lang w:val="en-US"/>
        </w:rPr>
        <w:t>D</w:t>
      </w:r>
      <w:r w:rsidR="00170CD7" w:rsidRPr="00D5385E">
        <w:rPr>
          <w:rFonts w:ascii="Book Antiqua" w:hAnsi="Book Antiqua" w:cs="Arial"/>
          <w:color w:val="000000" w:themeColor="text1"/>
          <w:sz w:val="24"/>
          <w:szCs w:val="24"/>
          <w:lang w:val="en-US"/>
        </w:rPr>
        <w:t>ata is conflicting</w:t>
      </w:r>
      <w:r w:rsidR="00912398" w:rsidRPr="00D5385E">
        <w:rPr>
          <w:rFonts w:ascii="Book Antiqua" w:hAnsi="Book Antiqua" w:cs="Arial"/>
          <w:color w:val="000000" w:themeColor="text1"/>
          <w:sz w:val="24"/>
          <w:szCs w:val="24"/>
          <w:lang w:val="en-US"/>
        </w:rPr>
        <w:t xml:space="preserve"> regarding the efficacy and safety of biologic agents in the elderly</w:t>
      </w:r>
      <w:r w:rsidR="00170CD7" w:rsidRPr="00D5385E">
        <w:rPr>
          <w:rFonts w:ascii="Book Antiqua" w:hAnsi="Book Antiqua" w:cs="Arial"/>
          <w:color w:val="000000" w:themeColor="text1"/>
          <w:sz w:val="24"/>
          <w:szCs w:val="24"/>
          <w:lang w:val="en-US"/>
        </w:rPr>
        <w:t xml:space="preserve">, mostly explained by the limited </w:t>
      </w:r>
      <w:r w:rsidR="00566EDA" w:rsidRPr="00D5385E">
        <w:rPr>
          <w:rFonts w:ascii="Book Antiqua" w:hAnsi="Book Antiqua" w:cs="Arial"/>
          <w:color w:val="000000" w:themeColor="text1"/>
          <w:sz w:val="24"/>
          <w:szCs w:val="24"/>
          <w:lang w:val="en-US"/>
        </w:rPr>
        <w:t>number of elderly patients in</w:t>
      </w:r>
      <w:r w:rsidR="00170CD7" w:rsidRPr="00D5385E">
        <w:rPr>
          <w:rFonts w:ascii="Book Antiqua" w:hAnsi="Book Antiqua" w:cs="Arial"/>
          <w:color w:val="000000" w:themeColor="text1"/>
          <w:sz w:val="24"/>
          <w:szCs w:val="24"/>
          <w:lang w:val="en-US"/>
        </w:rPr>
        <w:t xml:space="preserve"> </w:t>
      </w:r>
      <w:r w:rsidR="00566EDA" w:rsidRPr="00D5385E">
        <w:rPr>
          <w:rFonts w:ascii="Book Antiqua" w:hAnsi="Book Antiqua" w:cs="Arial"/>
          <w:color w:val="000000" w:themeColor="text1"/>
          <w:sz w:val="24"/>
          <w:szCs w:val="24"/>
          <w:lang w:val="en-US"/>
        </w:rPr>
        <w:t xml:space="preserve">the major IBD randomized controlled trials, wherein </w:t>
      </w:r>
      <w:r w:rsidR="00386D29" w:rsidRPr="00D5385E">
        <w:rPr>
          <w:rFonts w:ascii="Book Antiqua" w:hAnsi="Book Antiqua" w:cs="Arial"/>
          <w:color w:val="000000" w:themeColor="text1"/>
          <w:sz w:val="24"/>
          <w:szCs w:val="24"/>
          <w:lang w:val="en-US"/>
        </w:rPr>
        <w:t>median</w:t>
      </w:r>
      <w:r w:rsidR="00170CD7" w:rsidRPr="00D5385E">
        <w:rPr>
          <w:rFonts w:ascii="Book Antiqua" w:hAnsi="Book Antiqua" w:cs="Arial"/>
          <w:color w:val="000000" w:themeColor="text1"/>
          <w:sz w:val="24"/>
          <w:szCs w:val="24"/>
          <w:lang w:val="en-US"/>
        </w:rPr>
        <w:t xml:space="preserve"> age</w:t>
      </w:r>
      <w:r w:rsidR="00566EDA" w:rsidRPr="00D5385E">
        <w:rPr>
          <w:rFonts w:ascii="Book Antiqua" w:hAnsi="Book Antiqua" w:cs="Arial"/>
          <w:color w:val="000000" w:themeColor="text1"/>
          <w:sz w:val="24"/>
          <w:szCs w:val="24"/>
          <w:lang w:val="en-US"/>
        </w:rPr>
        <w:t xml:space="preserve"> is</w:t>
      </w:r>
      <w:r w:rsidR="00170CD7" w:rsidRPr="00D5385E">
        <w:rPr>
          <w:rFonts w:ascii="Book Antiqua" w:hAnsi="Book Antiqua" w:cs="Arial"/>
          <w:color w:val="000000" w:themeColor="text1"/>
          <w:sz w:val="24"/>
          <w:szCs w:val="24"/>
          <w:lang w:val="en-US"/>
        </w:rPr>
        <w:t xml:space="preserve"> </w:t>
      </w:r>
      <w:r w:rsidR="00386D29" w:rsidRPr="00D5385E">
        <w:rPr>
          <w:rFonts w:ascii="Book Antiqua" w:hAnsi="Book Antiqua" w:cs="Arial"/>
          <w:color w:val="000000" w:themeColor="text1"/>
          <w:sz w:val="24"/>
          <w:szCs w:val="24"/>
          <w:lang w:val="en-US"/>
        </w:rPr>
        <w:t>in the range of 35 to 40</w:t>
      </w:r>
      <w:r w:rsidR="00F82172"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48-50</w:t>
      </w:r>
      <w:r w:rsidR="00F82172" w:rsidRPr="00D5385E">
        <w:rPr>
          <w:rFonts w:ascii="Book Antiqua" w:hAnsi="Book Antiqua" w:cs="Arial"/>
          <w:color w:val="000000" w:themeColor="text1"/>
          <w:sz w:val="24"/>
          <w:szCs w:val="24"/>
          <w:vertAlign w:val="superscript"/>
          <w:lang w:val="en-US"/>
        </w:rPr>
        <w:t>]</w:t>
      </w:r>
      <w:r w:rsidR="00F82172" w:rsidRPr="00D5385E">
        <w:rPr>
          <w:rFonts w:ascii="Book Antiqua" w:eastAsia="Times New Roman" w:hAnsi="Book Antiqua" w:cs="Arial"/>
          <w:color w:val="000000" w:themeColor="text1"/>
          <w:sz w:val="24"/>
          <w:szCs w:val="24"/>
          <w:shd w:val="clear" w:color="auto" w:fill="FFFFFF"/>
          <w:lang w:val="en-US"/>
        </w:rPr>
        <w:t>.</w:t>
      </w:r>
      <w:r w:rsidR="008C712B">
        <w:rPr>
          <w:rFonts w:ascii="Book Antiqua" w:hAnsi="Book Antiqua" w:cs="Arial"/>
          <w:color w:val="000000" w:themeColor="text1"/>
          <w:sz w:val="24"/>
          <w:szCs w:val="24"/>
          <w:lang w:val="en-US"/>
        </w:rPr>
        <w:t xml:space="preserve"> </w:t>
      </w:r>
      <w:r w:rsidR="00566EDA" w:rsidRPr="00D5385E">
        <w:rPr>
          <w:rFonts w:ascii="Book Antiqua" w:hAnsi="Book Antiqua" w:cs="Arial"/>
          <w:color w:val="000000" w:themeColor="text1"/>
          <w:sz w:val="24"/>
          <w:szCs w:val="24"/>
          <w:lang w:val="en-US"/>
        </w:rPr>
        <w:t>Either elderly patients are explicitly excluded from these trials, or the intensity of follow</w:t>
      </w:r>
      <w:r w:rsidR="000A1048">
        <w:rPr>
          <w:rFonts w:ascii="Book Antiqua" w:hAnsi="Book Antiqua" w:cs="Arial"/>
          <w:color w:val="000000" w:themeColor="text1"/>
          <w:sz w:val="24"/>
          <w:szCs w:val="24"/>
          <w:lang w:val="en-US"/>
        </w:rPr>
        <w:t>-</w:t>
      </w:r>
      <w:r w:rsidR="00566EDA" w:rsidRPr="00D5385E">
        <w:rPr>
          <w:rFonts w:ascii="Book Antiqua" w:hAnsi="Book Antiqua" w:cs="Arial"/>
          <w:color w:val="000000" w:themeColor="text1"/>
          <w:sz w:val="24"/>
          <w:szCs w:val="24"/>
          <w:lang w:val="en-US"/>
        </w:rPr>
        <w:t>up visits leads to incomplete data collection and consideration as a loss to follow</w:t>
      </w:r>
      <w:r w:rsidR="000A1048">
        <w:rPr>
          <w:rFonts w:ascii="Book Antiqua" w:hAnsi="Book Antiqua" w:cs="Arial"/>
          <w:color w:val="000000" w:themeColor="text1"/>
          <w:sz w:val="24"/>
          <w:szCs w:val="24"/>
          <w:lang w:val="en-US"/>
        </w:rPr>
        <w:t>-</w:t>
      </w:r>
      <w:r w:rsidR="00566EDA" w:rsidRPr="00D5385E">
        <w:rPr>
          <w:rFonts w:ascii="Book Antiqua" w:hAnsi="Book Antiqua" w:cs="Arial"/>
          <w:color w:val="000000" w:themeColor="text1"/>
          <w:sz w:val="24"/>
          <w:szCs w:val="24"/>
          <w:lang w:val="en-US"/>
        </w:rPr>
        <w:t>up.</w:t>
      </w:r>
      <w:r w:rsidR="00170CD7" w:rsidRPr="00D5385E">
        <w:rPr>
          <w:rFonts w:ascii="Book Antiqua" w:hAnsi="Book Antiqua" w:cs="Arial"/>
          <w:color w:val="000000" w:themeColor="text1"/>
          <w:sz w:val="24"/>
          <w:szCs w:val="24"/>
          <w:lang w:val="en-US"/>
        </w:rPr>
        <w:t xml:space="preserve"> </w:t>
      </w:r>
    </w:p>
    <w:p w14:paraId="71FBC08B" w14:textId="0B2CA6A2" w:rsidR="007A4B6C" w:rsidRPr="00D5385E" w:rsidRDefault="00170CD7"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Of the few trials assessing efficacy of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TNF therapy in the elderly, outcomes have been largely clinical, rarely including biochemical and endoscopic </w:t>
      </w:r>
      <w:r w:rsidR="00C639FD" w:rsidRPr="00D5385E">
        <w:rPr>
          <w:rFonts w:ascii="Book Antiqua" w:hAnsi="Book Antiqua" w:cs="Arial"/>
          <w:color w:val="000000" w:themeColor="text1"/>
          <w:sz w:val="24"/>
          <w:szCs w:val="24"/>
          <w:lang w:val="en-US"/>
        </w:rPr>
        <w:t>parameters</w:t>
      </w:r>
      <w:r w:rsidR="00D92E31" w:rsidRPr="00D5385E">
        <w:rPr>
          <w:rFonts w:ascii="Book Antiqua" w:hAnsi="Book Antiqua" w:cs="Arial"/>
          <w:color w:val="000000" w:themeColor="text1"/>
          <w:sz w:val="24"/>
          <w:szCs w:val="24"/>
          <w:lang w:val="en-US"/>
        </w:rPr>
        <w:t xml:space="preserve"> (as shown on Table 1)</w:t>
      </w:r>
      <w:r w:rsidRPr="00D5385E">
        <w:rPr>
          <w:rFonts w:ascii="Book Antiqua" w:hAnsi="Book Antiqua" w:cs="Arial"/>
          <w:color w:val="000000" w:themeColor="text1"/>
          <w:sz w:val="24"/>
          <w:szCs w:val="24"/>
          <w:lang w:val="en-US"/>
        </w:rPr>
        <w:t>, the latter two deemed more reliable in predicting disease course in most international guidelines. A Leuven nested case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controlled study of 66 elderly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onset IBD patients on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TNF therapy showed a significantly lower rate of short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term clinical response at 10 weeks in the elderly IBD (68% </w:t>
      </w:r>
      <w:r w:rsidR="006D1438" w:rsidRPr="00153BE2">
        <w:rPr>
          <w:rFonts w:ascii="Book Antiqua" w:hAnsi="Book Antiqua" w:cs="Arial"/>
          <w:i/>
          <w:iCs/>
          <w:color w:val="000000" w:themeColor="text1"/>
          <w:sz w:val="24"/>
          <w:szCs w:val="24"/>
          <w:lang w:val="en-US"/>
        </w:rPr>
        <w:t>vs</w:t>
      </w:r>
      <w:r w:rsidRPr="00153BE2">
        <w:rPr>
          <w:rFonts w:ascii="Book Antiqua" w:hAnsi="Book Antiqua" w:cs="Arial"/>
          <w:i/>
          <w:iCs/>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89%: </w:t>
      </w:r>
      <w:r w:rsidR="00153BE2" w:rsidRPr="00153BE2">
        <w:rPr>
          <w:rFonts w:ascii="Book Antiqua" w:hAnsi="Book Antiqua" w:cs="Arial"/>
          <w:i/>
          <w:iCs/>
          <w:color w:val="000000" w:themeColor="text1"/>
          <w:sz w:val="24"/>
          <w:szCs w:val="24"/>
          <w:lang w:val="en-US"/>
        </w:rPr>
        <w:t xml:space="preserve">P </w:t>
      </w:r>
      <w:r w:rsidRPr="00D5385E">
        <w:rPr>
          <w:rFonts w:ascii="Book Antiqua" w:hAnsi="Book Antiqua" w:cs="Arial"/>
          <w:color w:val="000000" w:themeColor="text1"/>
          <w:sz w:val="24"/>
          <w:szCs w:val="24"/>
          <w:lang w:val="en-US"/>
        </w:rPr>
        <w:t>&lt;</w:t>
      </w:r>
      <w:r w:rsidR="00153BE2">
        <w:rPr>
          <w:rFonts w:ascii="Book Antiqua" w:hAnsi="Book Antiqua" w:cs="Arial"/>
          <w:color w:val="000000" w:themeColor="text1"/>
          <w:sz w:val="24"/>
          <w:szCs w:val="24"/>
          <w:lang w:val="en-US"/>
        </w:rPr>
        <w:t xml:space="preserve"> </w:t>
      </w:r>
      <w:proofErr w:type="gramStart"/>
      <w:r w:rsidRPr="00D5385E">
        <w:rPr>
          <w:rFonts w:ascii="Book Antiqua" w:hAnsi="Book Antiqua" w:cs="Arial"/>
          <w:color w:val="000000" w:themeColor="text1"/>
          <w:sz w:val="24"/>
          <w:szCs w:val="24"/>
          <w:lang w:val="en-US"/>
        </w:rPr>
        <w:t>0.001)</w:t>
      </w:r>
      <w:r w:rsidR="0069679D"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51</w:t>
      </w:r>
      <w:r w:rsidR="0069679D" w:rsidRPr="00D5385E">
        <w:rPr>
          <w:rFonts w:ascii="Book Antiqua" w:hAnsi="Book Antiqua" w:cs="Arial"/>
          <w:color w:val="000000" w:themeColor="text1"/>
          <w:sz w:val="24"/>
          <w:szCs w:val="24"/>
          <w:vertAlign w:val="superscript"/>
          <w:lang w:val="en-US"/>
        </w:rPr>
        <w:t>]</w:t>
      </w:r>
      <w:r w:rsidR="0069679D" w:rsidRPr="00D5385E">
        <w:rPr>
          <w:rFonts w:ascii="Book Antiqua" w:eastAsia="Times New Roman" w:hAnsi="Book Antiqua" w:cs="Arial"/>
          <w:color w:val="000000" w:themeColor="text1"/>
          <w:sz w:val="24"/>
          <w:szCs w:val="24"/>
          <w:shd w:val="clear" w:color="auto" w:fill="FFFFFF"/>
          <w:lang w:val="en-US"/>
        </w:rPr>
        <w:t>.</w:t>
      </w:r>
      <w:r w:rsidRPr="00D5385E">
        <w:rPr>
          <w:rFonts w:ascii="Book Antiqua" w:hAnsi="Book Antiqua" w:cs="Arial"/>
          <w:color w:val="000000" w:themeColor="text1"/>
          <w:sz w:val="24"/>
          <w:szCs w:val="24"/>
          <w:lang w:val="en-US"/>
        </w:rPr>
        <w:t xml:space="preserve"> However, </w:t>
      </w:r>
      <w:r w:rsidRPr="00D5385E">
        <w:rPr>
          <w:rFonts w:ascii="Book Antiqua" w:hAnsi="Book Antiqua" w:cs="Arial"/>
          <w:color w:val="000000" w:themeColor="text1"/>
          <w:sz w:val="24"/>
          <w:szCs w:val="24"/>
          <w:lang w:val="en-US"/>
        </w:rPr>
        <w:lastRenderedPageBreak/>
        <w:t>efficacy was similar between younger and elderly patients at 6 months of biologic therapy, suggesting a prolonged time to treatment effect in the elderly</w:t>
      </w:r>
      <w:r w:rsidR="00C639FD" w:rsidRPr="00D5385E">
        <w:rPr>
          <w:rFonts w:ascii="Book Antiqua" w:hAnsi="Book Antiqua" w:cs="Arial"/>
          <w:color w:val="000000" w:themeColor="text1"/>
          <w:sz w:val="24"/>
          <w:szCs w:val="24"/>
          <w:lang w:val="en-US"/>
        </w:rPr>
        <w:t>. Interestingly, in this trial, elderly</w:t>
      </w:r>
      <w:r w:rsidR="000A1048">
        <w:rPr>
          <w:rFonts w:ascii="Book Antiqua" w:hAnsi="Book Antiqua" w:cs="Arial"/>
          <w:color w:val="000000" w:themeColor="text1"/>
          <w:sz w:val="24"/>
          <w:szCs w:val="24"/>
          <w:lang w:val="en-US"/>
        </w:rPr>
        <w:t>-</w:t>
      </w:r>
      <w:r w:rsidR="00C639FD" w:rsidRPr="00D5385E">
        <w:rPr>
          <w:rFonts w:ascii="Book Antiqua" w:hAnsi="Book Antiqua" w:cs="Arial"/>
          <w:color w:val="000000" w:themeColor="text1"/>
          <w:sz w:val="24"/>
          <w:szCs w:val="24"/>
          <w:lang w:val="en-US"/>
        </w:rPr>
        <w:t>onset and adult</w:t>
      </w:r>
      <w:r w:rsidR="000A1048">
        <w:rPr>
          <w:rFonts w:ascii="Book Antiqua" w:hAnsi="Book Antiqua" w:cs="Arial"/>
          <w:color w:val="000000" w:themeColor="text1"/>
          <w:sz w:val="24"/>
          <w:szCs w:val="24"/>
          <w:lang w:val="en-US"/>
        </w:rPr>
        <w:t>-</w:t>
      </w:r>
      <w:r w:rsidR="00C639FD" w:rsidRPr="00D5385E">
        <w:rPr>
          <w:rFonts w:ascii="Book Antiqua" w:hAnsi="Book Antiqua" w:cs="Arial"/>
          <w:color w:val="000000" w:themeColor="text1"/>
          <w:sz w:val="24"/>
          <w:szCs w:val="24"/>
          <w:lang w:val="en-US"/>
        </w:rPr>
        <w:t>onset IBD patients had similar</w:t>
      </w:r>
      <w:r w:rsidR="0069679D" w:rsidRPr="00D5385E">
        <w:rPr>
          <w:rFonts w:ascii="Book Antiqua" w:hAnsi="Book Antiqua" w:cs="Arial"/>
          <w:color w:val="000000" w:themeColor="text1"/>
          <w:sz w:val="24"/>
          <w:szCs w:val="24"/>
          <w:lang w:val="en-US"/>
        </w:rPr>
        <w:t xml:space="preserve"> rates of clinical response. </w:t>
      </w:r>
      <w:r w:rsidRPr="00D5385E">
        <w:rPr>
          <w:rFonts w:ascii="Book Antiqua" w:hAnsi="Book Antiqua" w:cs="Arial"/>
          <w:color w:val="000000" w:themeColor="text1"/>
          <w:sz w:val="24"/>
          <w:szCs w:val="24"/>
          <w:lang w:val="en-US"/>
        </w:rPr>
        <w:t xml:space="preserve">In a study of 58 patients by Desai </w:t>
      </w:r>
      <w:r w:rsidRPr="00153BE2">
        <w:rPr>
          <w:rFonts w:ascii="Book Antiqua" w:hAnsi="Book Antiqua" w:cs="Arial"/>
          <w:i/>
          <w:iCs/>
          <w:color w:val="000000" w:themeColor="text1"/>
          <w:sz w:val="24"/>
          <w:szCs w:val="24"/>
          <w:lang w:val="en-US"/>
        </w:rPr>
        <w:t xml:space="preserve">et </w:t>
      </w:r>
      <w:proofErr w:type="gramStart"/>
      <w:r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52</w:t>
      </w:r>
      <w:r w:rsidR="00153BE2"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xml:space="preserve">, 61% of elderly IBD patients achieved complete or partial clinical response at 12 </w:t>
      </w:r>
      <w:proofErr w:type="spellStart"/>
      <w:r w:rsidRPr="00D5385E">
        <w:rPr>
          <w:rFonts w:ascii="Book Antiqua" w:hAnsi="Book Antiqua" w:cs="Arial"/>
          <w:color w:val="000000" w:themeColor="text1"/>
          <w:sz w:val="24"/>
          <w:szCs w:val="24"/>
          <w:lang w:val="en-US"/>
        </w:rPr>
        <w:t>mo</w:t>
      </w:r>
      <w:proofErr w:type="spellEnd"/>
      <w:r w:rsidRPr="00D5385E">
        <w:rPr>
          <w:rFonts w:ascii="Book Antiqua" w:hAnsi="Book Antiqua" w:cs="Arial"/>
          <w:color w:val="000000" w:themeColor="text1"/>
          <w:sz w:val="24"/>
          <w:szCs w:val="24"/>
          <w:lang w:val="en-US"/>
        </w:rPr>
        <w:t>, compared to 83% of the younger population</w:t>
      </w:r>
      <w:r w:rsidR="00F82172" w:rsidRPr="00D5385E">
        <w:rPr>
          <w:rFonts w:ascii="Book Antiqua" w:eastAsia="Times New Roman" w:hAnsi="Book Antiqua" w:cs="Arial"/>
          <w:color w:val="000000" w:themeColor="text1"/>
          <w:sz w:val="24"/>
          <w:szCs w:val="24"/>
          <w:shd w:val="clear" w:color="auto" w:fill="FFFFFF"/>
          <w:lang w:val="en-US"/>
        </w:rPr>
        <w:t>.</w:t>
      </w:r>
      <w:r w:rsidR="00F82172" w:rsidRPr="00D5385E">
        <w:rPr>
          <w:rFonts w:ascii="Book Antiqua" w:hAnsi="Book Antiqua" w:cs="Arial"/>
          <w:color w:val="000000" w:themeColor="text1"/>
          <w:sz w:val="24"/>
          <w:szCs w:val="24"/>
          <w:lang w:val="en-US"/>
        </w:rPr>
        <w:t xml:space="preserve"> </w:t>
      </w:r>
      <w:r w:rsidR="00AC5CF0" w:rsidRPr="00D5385E">
        <w:rPr>
          <w:rFonts w:ascii="Book Antiqua" w:hAnsi="Book Antiqua" w:cs="Arial"/>
          <w:color w:val="000000" w:themeColor="text1"/>
          <w:sz w:val="24"/>
          <w:szCs w:val="24"/>
          <w:lang w:val="en-US"/>
        </w:rPr>
        <w:t xml:space="preserve">Discontinuation of </w:t>
      </w:r>
      <w:r w:rsidR="00BC05CD" w:rsidRPr="00D5385E">
        <w:rPr>
          <w:rFonts w:ascii="Book Antiqua" w:hAnsi="Book Antiqua" w:cs="Arial"/>
          <w:color w:val="000000" w:themeColor="text1"/>
          <w:sz w:val="24"/>
          <w:szCs w:val="24"/>
          <w:lang w:val="en-US"/>
        </w:rPr>
        <w:t>anti</w:t>
      </w:r>
      <w:r w:rsidR="000A1048">
        <w:rPr>
          <w:rFonts w:ascii="Book Antiqua" w:hAnsi="Book Antiqua" w:cs="Arial"/>
          <w:color w:val="000000" w:themeColor="text1"/>
          <w:sz w:val="24"/>
          <w:szCs w:val="24"/>
          <w:lang w:val="en-US"/>
        </w:rPr>
        <w:t>-</w:t>
      </w:r>
      <w:r w:rsidR="00BC05CD" w:rsidRPr="00D5385E">
        <w:rPr>
          <w:rFonts w:ascii="Book Antiqua" w:hAnsi="Book Antiqua" w:cs="Arial"/>
          <w:color w:val="000000" w:themeColor="text1"/>
          <w:sz w:val="24"/>
          <w:szCs w:val="24"/>
          <w:lang w:val="en-US"/>
        </w:rPr>
        <w:t xml:space="preserve">TNF </w:t>
      </w:r>
      <w:r w:rsidR="00AC5CF0" w:rsidRPr="00D5385E">
        <w:rPr>
          <w:rFonts w:ascii="Book Antiqua" w:hAnsi="Book Antiqua" w:cs="Arial"/>
          <w:color w:val="000000" w:themeColor="text1"/>
          <w:sz w:val="24"/>
          <w:szCs w:val="24"/>
          <w:lang w:val="en-US"/>
        </w:rPr>
        <w:t>therapy is reported as more common in the elderly population compared to non</w:t>
      </w:r>
      <w:r w:rsidR="000A1048">
        <w:rPr>
          <w:rFonts w:ascii="Book Antiqua" w:hAnsi="Book Antiqua" w:cs="Arial"/>
          <w:color w:val="000000" w:themeColor="text1"/>
          <w:sz w:val="24"/>
          <w:szCs w:val="24"/>
          <w:lang w:val="en-US"/>
        </w:rPr>
        <w:t>-</w:t>
      </w:r>
      <w:r w:rsidR="00AC5CF0" w:rsidRPr="00D5385E">
        <w:rPr>
          <w:rFonts w:ascii="Book Antiqua" w:hAnsi="Book Antiqua" w:cs="Arial"/>
          <w:color w:val="000000" w:themeColor="text1"/>
          <w:sz w:val="24"/>
          <w:szCs w:val="24"/>
          <w:lang w:val="en-US"/>
        </w:rPr>
        <w:t xml:space="preserve">elderly patients (25% </w:t>
      </w:r>
      <w:r w:rsidR="006D1438" w:rsidRPr="00153BE2">
        <w:rPr>
          <w:rFonts w:ascii="Book Antiqua" w:hAnsi="Book Antiqua" w:cs="Arial"/>
          <w:i/>
          <w:iCs/>
          <w:color w:val="000000" w:themeColor="text1"/>
          <w:sz w:val="24"/>
          <w:szCs w:val="24"/>
          <w:lang w:val="en-US"/>
        </w:rPr>
        <w:t>vs</w:t>
      </w:r>
      <w:r w:rsidR="00AC5CF0" w:rsidRPr="00D5385E">
        <w:rPr>
          <w:rFonts w:ascii="Book Antiqua" w:hAnsi="Book Antiqua" w:cs="Arial"/>
          <w:color w:val="000000" w:themeColor="text1"/>
          <w:sz w:val="24"/>
          <w:szCs w:val="24"/>
          <w:lang w:val="en-US"/>
        </w:rPr>
        <w:t xml:space="preserve"> 7% assessed at 12 </w:t>
      </w:r>
      <w:proofErr w:type="spellStart"/>
      <w:r w:rsidR="00AC5CF0" w:rsidRPr="00D5385E">
        <w:rPr>
          <w:rFonts w:ascii="Book Antiqua" w:hAnsi="Book Antiqua" w:cs="Arial"/>
          <w:color w:val="000000" w:themeColor="text1"/>
          <w:sz w:val="24"/>
          <w:szCs w:val="24"/>
          <w:lang w:val="en-US"/>
        </w:rPr>
        <w:t>mo</w:t>
      </w:r>
      <w:proofErr w:type="spellEnd"/>
      <w:r w:rsidR="00AC5CF0" w:rsidRPr="00D5385E">
        <w:rPr>
          <w:rFonts w:ascii="Book Antiqua" w:hAnsi="Book Antiqua" w:cs="Arial"/>
          <w:color w:val="000000" w:themeColor="text1"/>
          <w:sz w:val="24"/>
          <w:szCs w:val="24"/>
          <w:lang w:val="en-US"/>
        </w:rPr>
        <w:t xml:space="preserve">: </w:t>
      </w:r>
      <w:r w:rsidR="00153BE2" w:rsidRPr="00153BE2">
        <w:rPr>
          <w:rFonts w:ascii="Book Antiqua" w:hAnsi="Book Antiqua" w:cs="Arial"/>
          <w:i/>
          <w:iCs/>
          <w:color w:val="000000" w:themeColor="text1"/>
          <w:sz w:val="24"/>
          <w:szCs w:val="24"/>
          <w:lang w:val="en-US"/>
        </w:rPr>
        <w:t xml:space="preserve">P </w:t>
      </w:r>
      <w:r w:rsidR="00AC5CF0" w:rsidRPr="00D5385E">
        <w:rPr>
          <w:rFonts w:ascii="Book Antiqua" w:hAnsi="Book Antiqua" w:cs="Arial"/>
          <w:color w:val="000000" w:themeColor="text1"/>
          <w:sz w:val="24"/>
          <w:szCs w:val="24"/>
          <w:lang w:val="en-US"/>
        </w:rPr>
        <w:t>&lt;</w:t>
      </w:r>
      <w:r w:rsidR="00153BE2">
        <w:rPr>
          <w:rFonts w:ascii="Book Antiqua" w:hAnsi="Book Antiqua" w:cs="Arial"/>
          <w:color w:val="000000" w:themeColor="text1"/>
          <w:sz w:val="24"/>
          <w:szCs w:val="24"/>
          <w:lang w:val="en-US"/>
        </w:rPr>
        <w:t xml:space="preserve"> </w:t>
      </w:r>
      <w:r w:rsidR="00AC5CF0" w:rsidRPr="00D5385E">
        <w:rPr>
          <w:rFonts w:ascii="Book Antiqua" w:hAnsi="Book Antiqua" w:cs="Arial"/>
          <w:color w:val="000000" w:themeColor="text1"/>
          <w:sz w:val="24"/>
          <w:szCs w:val="24"/>
          <w:lang w:val="en-US"/>
        </w:rPr>
        <w:t xml:space="preserve">0.001), explained by lower rates of clinical response and increased infectious </w:t>
      </w:r>
      <w:proofErr w:type="gramStart"/>
      <w:r w:rsidR="00AC5CF0" w:rsidRPr="00D5385E">
        <w:rPr>
          <w:rFonts w:ascii="Book Antiqua" w:hAnsi="Book Antiqua" w:cs="Arial"/>
          <w:color w:val="000000" w:themeColor="text1"/>
          <w:sz w:val="24"/>
          <w:szCs w:val="24"/>
          <w:lang w:val="en-US"/>
        </w:rPr>
        <w:t>complications</w:t>
      </w:r>
      <w:r w:rsidR="00F82172"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51</w:t>
      </w:r>
      <w:r w:rsidR="00F82172" w:rsidRPr="00D5385E">
        <w:rPr>
          <w:rFonts w:ascii="Book Antiqua" w:hAnsi="Book Antiqua" w:cs="Arial"/>
          <w:color w:val="000000" w:themeColor="text1"/>
          <w:sz w:val="24"/>
          <w:szCs w:val="24"/>
          <w:vertAlign w:val="superscript"/>
          <w:lang w:val="en-US"/>
        </w:rPr>
        <w:t>]</w:t>
      </w:r>
      <w:r w:rsidR="00F82172" w:rsidRPr="00D5385E">
        <w:rPr>
          <w:rFonts w:ascii="Book Antiqua" w:eastAsia="Times New Roman" w:hAnsi="Book Antiqua" w:cs="Arial"/>
          <w:color w:val="000000" w:themeColor="text1"/>
          <w:sz w:val="24"/>
          <w:szCs w:val="24"/>
          <w:shd w:val="clear" w:color="auto" w:fill="FFFFFF"/>
          <w:lang w:val="en-US"/>
        </w:rPr>
        <w:t>.</w:t>
      </w:r>
    </w:p>
    <w:p w14:paraId="6216997E" w14:textId="29EFEE8A" w:rsidR="005E5D12" w:rsidRPr="00D5385E" w:rsidRDefault="007A4B6C"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More recent data has suggested sustained efficacy rates over a twelve</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month period, although not compared to a younger population. </w:t>
      </w:r>
      <w:r w:rsidR="00216B6A" w:rsidRPr="00D5385E">
        <w:rPr>
          <w:rFonts w:ascii="Book Antiqua" w:hAnsi="Book Antiqua" w:cs="Arial"/>
          <w:color w:val="000000" w:themeColor="text1"/>
          <w:sz w:val="24"/>
          <w:szCs w:val="24"/>
          <w:lang w:val="en-US"/>
        </w:rPr>
        <w:t xml:space="preserve">In a large multicenter, retrospective trial by Adar </w:t>
      </w:r>
      <w:r w:rsidR="00216B6A" w:rsidRPr="00153BE2">
        <w:rPr>
          <w:rFonts w:ascii="Book Antiqua" w:hAnsi="Book Antiqua" w:cs="Arial"/>
          <w:i/>
          <w:iCs/>
          <w:color w:val="000000" w:themeColor="text1"/>
          <w:sz w:val="24"/>
          <w:szCs w:val="24"/>
          <w:lang w:val="en-US"/>
        </w:rPr>
        <w:t>et al</w:t>
      </w:r>
      <w:r w:rsidR="00153BE2"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53</w:t>
      </w:r>
      <w:r w:rsidR="00153BE2" w:rsidRPr="00D5385E">
        <w:rPr>
          <w:rFonts w:ascii="Book Antiqua" w:hAnsi="Book Antiqua" w:cs="Arial"/>
          <w:color w:val="000000" w:themeColor="text1"/>
          <w:sz w:val="24"/>
          <w:szCs w:val="24"/>
          <w:vertAlign w:val="superscript"/>
          <w:lang w:val="en-US"/>
        </w:rPr>
        <w:t>]</w:t>
      </w:r>
      <w:r w:rsidR="00216B6A" w:rsidRPr="00D5385E">
        <w:rPr>
          <w:rFonts w:ascii="Book Antiqua" w:hAnsi="Book Antiqua" w:cs="Arial"/>
          <w:color w:val="000000" w:themeColor="text1"/>
          <w:sz w:val="24"/>
          <w:szCs w:val="24"/>
          <w:lang w:val="en-US"/>
        </w:rPr>
        <w:t>, 131 elderly IBD patients on anti</w:t>
      </w:r>
      <w:r w:rsidR="000A1048">
        <w:rPr>
          <w:rFonts w:ascii="Book Antiqua" w:hAnsi="Book Antiqua" w:cs="Arial"/>
          <w:color w:val="000000" w:themeColor="text1"/>
          <w:sz w:val="24"/>
          <w:szCs w:val="24"/>
          <w:lang w:val="en-US"/>
        </w:rPr>
        <w:t>-</w:t>
      </w:r>
      <w:r w:rsidR="00216B6A" w:rsidRPr="00D5385E">
        <w:rPr>
          <w:rFonts w:ascii="Book Antiqua" w:hAnsi="Book Antiqua" w:cs="Arial"/>
          <w:color w:val="000000" w:themeColor="text1"/>
          <w:sz w:val="24"/>
          <w:szCs w:val="24"/>
          <w:lang w:val="en-US"/>
        </w:rPr>
        <w:t>TNF maintained remission status, defined as a peer</w:t>
      </w:r>
      <w:r w:rsidR="000A1048">
        <w:rPr>
          <w:rFonts w:ascii="Book Antiqua" w:hAnsi="Book Antiqua" w:cs="Arial"/>
          <w:color w:val="000000" w:themeColor="text1"/>
          <w:sz w:val="24"/>
          <w:szCs w:val="24"/>
          <w:lang w:val="en-US"/>
        </w:rPr>
        <w:t>-</w:t>
      </w:r>
      <w:r w:rsidR="00216B6A" w:rsidRPr="00D5385E">
        <w:rPr>
          <w:rFonts w:ascii="Book Antiqua" w:hAnsi="Book Antiqua" w:cs="Arial"/>
          <w:color w:val="000000" w:themeColor="text1"/>
          <w:sz w:val="24"/>
          <w:szCs w:val="24"/>
          <w:lang w:val="en-US"/>
        </w:rPr>
        <w:t xml:space="preserve">reviewed clinical, biochemical and endoscopic assessment, in 50% of cases at 3 </w:t>
      </w:r>
      <w:proofErr w:type="spellStart"/>
      <w:r w:rsidR="00216B6A" w:rsidRPr="00D5385E">
        <w:rPr>
          <w:rFonts w:ascii="Book Antiqua" w:hAnsi="Book Antiqua" w:cs="Arial"/>
          <w:color w:val="000000" w:themeColor="text1"/>
          <w:sz w:val="24"/>
          <w:szCs w:val="24"/>
          <w:lang w:val="en-US"/>
        </w:rPr>
        <w:t>mo</w:t>
      </w:r>
      <w:proofErr w:type="spellEnd"/>
      <w:r w:rsidR="00216B6A" w:rsidRPr="00D5385E">
        <w:rPr>
          <w:rFonts w:ascii="Book Antiqua" w:hAnsi="Book Antiqua" w:cs="Arial"/>
          <w:color w:val="000000" w:themeColor="text1"/>
          <w:sz w:val="24"/>
          <w:szCs w:val="24"/>
          <w:lang w:val="en-US"/>
        </w:rPr>
        <w:t xml:space="preserve">, 54% at 6 </w:t>
      </w:r>
      <w:proofErr w:type="spellStart"/>
      <w:r w:rsidR="00216B6A" w:rsidRPr="00D5385E">
        <w:rPr>
          <w:rFonts w:ascii="Book Antiqua" w:hAnsi="Book Antiqua" w:cs="Arial"/>
          <w:color w:val="000000" w:themeColor="text1"/>
          <w:sz w:val="24"/>
          <w:szCs w:val="24"/>
          <w:lang w:val="en-US"/>
        </w:rPr>
        <w:t>mo</w:t>
      </w:r>
      <w:proofErr w:type="spellEnd"/>
      <w:r w:rsidR="00216B6A" w:rsidRPr="00D5385E">
        <w:rPr>
          <w:rFonts w:ascii="Book Antiqua" w:hAnsi="Book Antiqua" w:cs="Arial"/>
          <w:color w:val="000000" w:themeColor="text1"/>
          <w:sz w:val="24"/>
          <w:szCs w:val="24"/>
          <w:lang w:val="en-US"/>
        </w:rPr>
        <w:t xml:space="preserve"> and 58% at 12 mo</w:t>
      </w:r>
      <w:r w:rsidR="00F82172" w:rsidRPr="00D5385E">
        <w:rPr>
          <w:rFonts w:ascii="Book Antiqua" w:eastAsia="Times New Roman" w:hAnsi="Book Antiqua" w:cs="Arial"/>
          <w:color w:val="000000" w:themeColor="text1"/>
          <w:sz w:val="24"/>
          <w:szCs w:val="24"/>
          <w:shd w:val="clear" w:color="auto" w:fill="FFFFFF"/>
          <w:lang w:val="en-US"/>
        </w:rPr>
        <w:t>.</w:t>
      </w:r>
      <w:r w:rsidR="008C712B">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Lower rates of remissions were associated with increasing age (for each one</w:t>
      </w:r>
      <w:r w:rsidR="000A1048">
        <w:rPr>
          <w:rFonts w:ascii="Book Antiqua" w:hAnsi="Book Antiqua" w:cs="Arial"/>
          <w:color w:val="000000" w:themeColor="text1"/>
          <w:sz w:val="24"/>
          <w:szCs w:val="24"/>
          <w:lang w:val="en-US"/>
        </w:rPr>
        <w:t>-</w:t>
      </w:r>
      <w:r w:rsidR="00D172CD" w:rsidRPr="00D5385E">
        <w:rPr>
          <w:rFonts w:ascii="Book Antiqua" w:hAnsi="Book Antiqua" w:cs="Arial"/>
          <w:color w:val="000000" w:themeColor="text1"/>
          <w:sz w:val="24"/>
          <w:szCs w:val="24"/>
          <w:lang w:val="en-US"/>
        </w:rPr>
        <w:t xml:space="preserve">year increase in age: OR </w:t>
      </w:r>
      <w:r w:rsidR="00153BE2">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0.94, 95%CI</w:t>
      </w:r>
      <w:r w:rsidR="00153BE2">
        <w:rPr>
          <w:rFonts w:ascii="Book Antiqua" w:hAnsi="Book Antiqua" w:cs="Arial"/>
          <w:color w:val="000000" w:themeColor="text1"/>
          <w:sz w:val="24"/>
          <w:szCs w:val="24"/>
          <w:lang w:val="en-US"/>
        </w:rPr>
        <w:t>:</w:t>
      </w:r>
      <w:r w:rsidR="00D172CD" w:rsidRPr="00D5385E">
        <w:rPr>
          <w:rFonts w:ascii="Book Antiqua" w:hAnsi="Book Antiqua" w:cs="Arial"/>
          <w:color w:val="000000" w:themeColor="text1"/>
          <w:sz w:val="24"/>
          <w:szCs w:val="24"/>
          <w:lang w:val="en-US"/>
        </w:rPr>
        <w:t xml:space="preserve"> 0.89</w:t>
      </w:r>
      <w:r w:rsidR="000A1048">
        <w:rPr>
          <w:rFonts w:ascii="Book Antiqua" w:hAnsi="Book Antiqua" w:cs="Arial"/>
          <w:color w:val="000000" w:themeColor="text1"/>
          <w:sz w:val="24"/>
          <w:szCs w:val="24"/>
          <w:lang w:val="en-US"/>
        </w:rPr>
        <w:t>-</w:t>
      </w:r>
      <w:r w:rsidR="00D172CD" w:rsidRPr="00D5385E">
        <w:rPr>
          <w:rFonts w:ascii="Book Antiqua" w:hAnsi="Book Antiqua" w:cs="Arial"/>
          <w:color w:val="000000" w:themeColor="text1"/>
          <w:sz w:val="24"/>
          <w:szCs w:val="24"/>
          <w:lang w:val="en-US"/>
        </w:rPr>
        <w:t>0.99).</w:t>
      </w:r>
      <w:r w:rsidR="00216B6A" w:rsidRPr="00D5385E">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Notably,</w:t>
      </w:r>
      <w:r w:rsidR="005E5D12" w:rsidRPr="00D5385E">
        <w:rPr>
          <w:rFonts w:ascii="Book Antiqua" w:hAnsi="Book Antiqua" w:cs="Arial"/>
          <w:color w:val="000000" w:themeColor="text1"/>
          <w:sz w:val="24"/>
          <w:szCs w:val="24"/>
          <w:lang w:val="en-US"/>
        </w:rPr>
        <w:t xml:space="preserve"> at the initiation of the anti</w:t>
      </w:r>
      <w:r w:rsidR="000A1048">
        <w:rPr>
          <w:rFonts w:ascii="Book Antiqua" w:hAnsi="Book Antiqua" w:cs="Arial"/>
          <w:color w:val="000000" w:themeColor="text1"/>
          <w:sz w:val="24"/>
          <w:szCs w:val="24"/>
          <w:lang w:val="en-US"/>
        </w:rPr>
        <w:t>-</w:t>
      </w:r>
      <w:r w:rsidR="005E5D12" w:rsidRPr="00D5385E">
        <w:rPr>
          <w:rFonts w:ascii="Book Antiqua" w:hAnsi="Book Antiqua" w:cs="Arial"/>
          <w:color w:val="000000" w:themeColor="text1"/>
          <w:sz w:val="24"/>
          <w:szCs w:val="24"/>
          <w:lang w:val="en-US"/>
        </w:rPr>
        <w:t>TNF,</w:t>
      </w:r>
      <w:r w:rsidR="00D172CD" w:rsidRPr="00D5385E">
        <w:rPr>
          <w:rFonts w:ascii="Book Antiqua" w:hAnsi="Book Antiqua" w:cs="Arial"/>
          <w:color w:val="000000" w:themeColor="text1"/>
          <w:sz w:val="24"/>
          <w:szCs w:val="24"/>
          <w:lang w:val="en-US"/>
        </w:rPr>
        <w:t xml:space="preserve"> 36% of these patients were treated with combination therapy (using thiopurine or methotrexate combined to a biologic agent). Compared to anti</w:t>
      </w:r>
      <w:r w:rsidR="000A1048">
        <w:rPr>
          <w:rFonts w:ascii="Book Antiqua" w:hAnsi="Book Antiqua" w:cs="Arial"/>
          <w:color w:val="000000" w:themeColor="text1"/>
          <w:sz w:val="24"/>
          <w:szCs w:val="24"/>
          <w:lang w:val="en-US"/>
        </w:rPr>
        <w:t>-</w:t>
      </w:r>
      <w:r w:rsidR="00D172CD" w:rsidRPr="00D5385E">
        <w:rPr>
          <w:rFonts w:ascii="Book Antiqua" w:hAnsi="Book Antiqua" w:cs="Arial"/>
          <w:color w:val="000000" w:themeColor="text1"/>
          <w:sz w:val="24"/>
          <w:szCs w:val="24"/>
          <w:lang w:val="en-US"/>
        </w:rPr>
        <w:t>TNF monotherapy, combination therapy was not associated with increased rates of remission at any time period (</w:t>
      </w:r>
      <w:r w:rsidR="00153BE2" w:rsidRPr="00153BE2">
        <w:rPr>
          <w:rFonts w:ascii="Book Antiqua" w:hAnsi="Book Antiqua" w:cs="Arial"/>
          <w:i/>
          <w:iCs/>
          <w:color w:val="000000" w:themeColor="text1"/>
          <w:sz w:val="24"/>
          <w:szCs w:val="24"/>
          <w:lang w:val="en-US"/>
        </w:rPr>
        <w:t>P</w:t>
      </w:r>
      <w:r w:rsidR="00153BE2">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&gt; 0.10)</w:t>
      </w:r>
      <w:r w:rsidR="00F82172" w:rsidRPr="00D5385E">
        <w:rPr>
          <w:rFonts w:ascii="Book Antiqua" w:eastAsia="Times New Roman" w:hAnsi="Book Antiqua" w:cs="Arial"/>
          <w:color w:val="000000" w:themeColor="text1"/>
          <w:sz w:val="24"/>
          <w:szCs w:val="24"/>
          <w:shd w:val="clear" w:color="auto" w:fill="FFFFFF"/>
          <w:lang w:val="en-US"/>
        </w:rPr>
        <w:t>.</w:t>
      </w:r>
      <w:r w:rsidR="00F82172" w:rsidRPr="00D5385E">
        <w:rPr>
          <w:rFonts w:ascii="Book Antiqua" w:hAnsi="Book Antiqua" w:cs="Arial"/>
          <w:color w:val="000000" w:themeColor="text1"/>
          <w:sz w:val="24"/>
          <w:szCs w:val="24"/>
          <w:lang w:val="en-US"/>
        </w:rPr>
        <w:t xml:space="preserve"> </w:t>
      </w:r>
      <w:r w:rsidR="00D172CD" w:rsidRPr="00D5385E">
        <w:rPr>
          <w:rFonts w:ascii="Book Antiqua" w:hAnsi="Book Antiqua" w:cs="Arial"/>
          <w:color w:val="000000" w:themeColor="text1"/>
          <w:sz w:val="24"/>
          <w:szCs w:val="24"/>
          <w:lang w:val="en-US"/>
        </w:rPr>
        <w:t>In the existing</w:t>
      </w:r>
      <w:r w:rsidR="005E5D12" w:rsidRPr="00D5385E">
        <w:rPr>
          <w:rFonts w:ascii="Book Antiqua" w:hAnsi="Book Antiqua" w:cs="Arial"/>
          <w:color w:val="000000" w:themeColor="text1"/>
          <w:sz w:val="24"/>
          <w:szCs w:val="24"/>
          <w:lang w:val="en-US"/>
        </w:rPr>
        <w:t xml:space="preserve"> elderly IBD</w:t>
      </w:r>
      <w:r w:rsidR="000A1048">
        <w:rPr>
          <w:rFonts w:ascii="Book Antiqua" w:hAnsi="Book Antiqua" w:cs="Arial"/>
          <w:color w:val="000000" w:themeColor="text1"/>
          <w:sz w:val="24"/>
          <w:szCs w:val="24"/>
          <w:lang w:val="en-US"/>
        </w:rPr>
        <w:t>-</w:t>
      </w:r>
      <w:r w:rsidR="005E5D12" w:rsidRPr="00D5385E">
        <w:rPr>
          <w:rFonts w:ascii="Book Antiqua" w:hAnsi="Book Antiqua" w:cs="Arial"/>
          <w:color w:val="000000" w:themeColor="text1"/>
          <w:sz w:val="24"/>
          <w:szCs w:val="24"/>
          <w:lang w:val="en-US"/>
        </w:rPr>
        <w:t>related</w:t>
      </w:r>
      <w:r w:rsidR="00D172CD" w:rsidRPr="00D5385E">
        <w:rPr>
          <w:rFonts w:ascii="Book Antiqua" w:hAnsi="Book Antiqua" w:cs="Arial"/>
          <w:color w:val="000000" w:themeColor="text1"/>
          <w:sz w:val="24"/>
          <w:szCs w:val="24"/>
          <w:lang w:val="en-US"/>
        </w:rPr>
        <w:t xml:space="preserve"> literature, d</w:t>
      </w:r>
      <w:r w:rsidR="00216B6A" w:rsidRPr="00D5385E">
        <w:rPr>
          <w:rFonts w:ascii="Book Antiqua" w:hAnsi="Book Antiqua" w:cs="Arial"/>
          <w:color w:val="000000" w:themeColor="text1"/>
          <w:sz w:val="24"/>
          <w:szCs w:val="24"/>
          <w:lang w:val="en-US"/>
        </w:rPr>
        <w:t xml:space="preserve">ata is </w:t>
      </w:r>
      <w:r w:rsidR="005E5D12" w:rsidRPr="00D5385E">
        <w:rPr>
          <w:rFonts w:ascii="Book Antiqua" w:hAnsi="Book Antiqua" w:cs="Arial"/>
          <w:color w:val="000000" w:themeColor="text1"/>
          <w:sz w:val="24"/>
          <w:szCs w:val="24"/>
          <w:lang w:val="en-US"/>
        </w:rPr>
        <w:t xml:space="preserve">otherwise </w:t>
      </w:r>
      <w:r w:rsidR="00216B6A" w:rsidRPr="00D5385E">
        <w:rPr>
          <w:rFonts w:ascii="Book Antiqua" w:hAnsi="Book Antiqua" w:cs="Arial"/>
          <w:color w:val="000000" w:themeColor="text1"/>
          <w:sz w:val="24"/>
          <w:szCs w:val="24"/>
          <w:lang w:val="en-US"/>
        </w:rPr>
        <w:t>scarce regarding the potentially higher e</w:t>
      </w:r>
      <w:r w:rsidR="00D172CD" w:rsidRPr="00D5385E">
        <w:rPr>
          <w:rFonts w:ascii="Book Antiqua" w:hAnsi="Book Antiqua" w:cs="Arial"/>
          <w:color w:val="000000" w:themeColor="text1"/>
          <w:sz w:val="24"/>
          <w:szCs w:val="24"/>
          <w:lang w:val="en-US"/>
        </w:rPr>
        <w:t>fficacy of combination therapy</w:t>
      </w:r>
      <w:r w:rsidR="005E5D12" w:rsidRPr="00D5385E">
        <w:rPr>
          <w:rFonts w:ascii="Book Antiqua" w:hAnsi="Book Antiqua" w:cs="Arial"/>
          <w:color w:val="000000" w:themeColor="text1"/>
          <w:sz w:val="24"/>
          <w:szCs w:val="24"/>
          <w:lang w:val="en-US"/>
        </w:rPr>
        <w:t xml:space="preserve"> seen in younger patient populations.</w:t>
      </w:r>
      <w:r w:rsidR="00A76356" w:rsidRPr="00D5385E">
        <w:rPr>
          <w:rFonts w:ascii="Book Antiqua" w:hAnsi="Book Antiqua" w:cs="Arial"/>
          <w:color w:val="000000" w:themeColor="text1"/>
          <w:sz w:val="24"/>
          <w:szCs w:val="24"/>
          <w:lang w:val="en-US"/>
        </w:rPr>
        <w:t xml:space="preserve"> </w:t>
      </w:r>
    </w:p>
    <w:p w14:paraId="0781CD4B" w14:textId="0F998CA1" w:rsidR="00F960AA" w:rsidRPr="00D5385E" w:rsidRDefault="00170CD7" w:rsidP="00153BE2">
      <w:pPr>
        <w:tabs>
          <w:tab w:val="left" w:pos="2190"/>
        </w:tabs>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Safety profile remains a significant issue in the elderly IBD population for most therapeutic agents. Higher rates of adverse events due to steroids, immunomodulators and biologic agents</w:t>
      </w:r>
      <w:r w:rsidR="00C639FD" w:rsidRPr="00D5385E">
        <w:rPr>
          <w:rFonts w:ascii="Book Antiqua" w:hAnsi="Book Antiqua" w:cs="Arial"/>
          <w:color w:val="000000" w:themeColor="text1"/>
          <w:sz w:val="24"/>
          <w:szCs w:val="24"/>
          <w:lang w:val="en-US"/>
        </w:rPr>
        <w:t xml:space="preserve"> in the elderly population</w:t>
      </w:r>
      <w:r w:rsidRPr="00D5385E">
        <w:rPr>
          <w:rFonts w:ascii="Book Antiqua" w:hAnsi="Book Antiqua" w:cs="Arial"/>
          <w:color w:val="000000" w:themeColor="text1"/>
          <w:sz w:val="24"/>
          <w:szCs w:val="24"/>
          <w:lang w:val="en-US"/>
        </w:rPr>
        <w:t xml:space="preserve"> can be explained by senescence of the immune system, increased comorbidities and potential drug interactions.</w:t>
      </w:r>
      <w:r w:rsidR="00F960AA" w:rsidRPr="00D5385E">
        <w:rPr>
          <w:rFonts w:ascii="Book Antiqua" w:hAnsi="Book Antiqua" w:cs="Arial"/>
          <w:color w:val="000000" w:themeColor="text1"/>
          <w:sz w:val="24"/>
          <w:szCs w:val="24"/>
          <w:lang w:val="en-US"/>
        </w:rPr>
        <w:t xml:space="preserve"> Upper and lower respiratory tract infections remain the most commonly</w:t>
      </w:r>
      <w:r w:rsidR="000A1048">
        <w:rPr>
          <w:rFonts w:ascii="Book Antiqua" w:hAnsi="Book Antiqua" w:cs="Arial"/>
          <w:color w:val="000000" w:themeColor="text1"/>
          <w:sz w:val="24"/>
          <w:szCs w:val="24"/>
          <w:lang w:val="en-US"/>
        </w:rPr>
        <w:t>-</w:t>
      </w:r>
      <w:r w:rsidR="00F960AA" w:rsidRPr="00D5385E">
        <w:rPr>
          <w:rFonts w:ascii="Book Antiqua" w:hAnsi="Book Antiqua" w:cs="Arial"/>
          <w:color w:val="000000" w:themeColor="text1"/>
          <w:sz w:val="24"/>
          <w:szCs w:val="24"/>
          <w:lang w:val="en-US"/>
        </w:rPr>
        <w:t xml:space="preserve">reported infections. </w:t>
      </w:r>
      <w:r w:rsidRPr="00D5385E">
        <w:rPr>
          <w:rFonts w:ascii="Book Antiqua" w:hAnsi="Book Antiqua" w:cs="Arial"/>
          <w:color w:val="000000" w:themeColor="text1"/>
          <w:sz w:val="24"/>
          <w:szCs w:val="24"/>
          <w:lang w:val="en-US"/>
        </w:rPr>
        <w:t>In the previously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mentioned Leuven study, advanced age</w:t>
      </w:r>
      <w:r w:rsidR="00C639FD" w:rsidRPr="00D5385E">
        <w:rPr>
          <w:rFonts w:ascii="Book Antiqua" w:hAnsi="Book Antiqua" w:cs="Arial"/>
          <w:color w:val="000000" w:themeColor="text1"/>
          <w:sz w:val="24"/>
          <w:szCs w:val="24"/>
          <w:lang w:val="en-US"/>
        </w:rPr>
        <w:t xml:space="preserve"> (≥</w:t>
      </w:r>
      <w:r w:rsidR="00153BE2">
        <w:rPr>
          <w:rFonts w:ascii="Book Antiqua" w:hAnsi="Book Antiqua" w:cs="Arial"/>
          <w:color w:val="000000" w:themeColor="text1"/>
          <w:sz w:val="24"/>
          <w:szCs w:val="24"/>
          <w:lang w:val="en-US"/>
        </w:rPr>
        <w:t xml:space="preserve"> </w:t>
      </w:r>
      <w:r w:rsidR="00C639FD" w:rsidRPr="00D5385E">
        <w:rPr>
          <w:rFonts w:ascii="Book Antiqua" w:hAnsi="Book Antiqua" w:cs="Arial"/>
          <w:color w:val="000000" w:themeColor="text1"/>
          <w:sz w:val="24"/>
          <w:szCs w:val="24"/>
          <w:lang w:val="en-US"/>
        </w:rPr>
        <w:t>65 years)</w:t>
      </w:r>
      <w:r w:rsidRPr="00D5385E">
        <w:rPr>
          <w:rFonts w:ascii="Book Antiqua" w:hAnsi="Book Antiqua" w:cs="Arial"/>
          <w:color w:val="000000" w:themeColor="text1"/>
          <w:sz w:val="24"/>
          <w:szCs w:val="24"/>
          <w:lang w:val="en-US"/>
        </w:rPr>
        <w:t xml:space="preserve"> was associated with higher rates of serious adverse events on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TNF therapy, such as infections and malignancy (relative risk 4.7; </w:t>
      </w:r>
      <w:r w:rsidR="00153BE2" w:rsidRPr="00153BE2">
        <w:rPr>
          <w:rFonts w:ascii="Book Antiqua" w:hAnsi="Book Antiqua" w:cs="Arial"/>
          <w:i/>
          <w:iCs/>
          <w:color w:val="000000" w:themeColor="text1"/>
          <w:sz w:val="24"/>
          <w:szCs w:val="24"/>
          <w:lang w:val="en-US"/>
        </w:rPr>
        <w:t xml:space="preserve">P </w:t>
      </w:r>
      <w:r w:rsidRPr="00D5385E">
        <w:rPr>
          <w:rFonts w:ascii="Book Antiqua" w:hAnsi="Book Antiqua" w:cs="Arial"/>
          <w:color w:val="000000" w:themeColor="text1"/>
          <w:sz w:val="24"/>
          <w:szCs w:val="24"/>
          <w:lang w:val="en-US"/>
        </w:rPr>
        <w:t>&lt;</w:t>
      </w:r>
      <w:r w:rsidR="00153BE2">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0.001)</w:t>
      </w:r>
      <w:r w:rsidR="003C1F7E" w:rsidRPr="00D5385E">
        <w:rPr>
          <w:rFonts w:ascii="Book Antiqua" w:hAnsi="Book Antiqua" w:cs="Arial"/>
          <w:color w:val="000000" w:themeColor="text1"/>
          <w:sz w:val="24"/>
          <w:szCs w:val="24"/>
          <w:lang w:val="en-US"/>
        </w:rPr>
        <w:t>, compared to non</w:t>
      </w:r>
      <w:r w:rsidR="000A1048">
        <w:rPr>
          <w:rFonts w:ascii="Book Antiqua" w:hAnsi="Book Antiqua" w:cs="Arial"/>
          <w:color w:val="000000" w:themeColor="text1"/>
          <w:sz w:val="24"/>
          <w:szCs w:val="24"/>
          <w:lang w:val="en-US"/>
        </w:rPr>
        <w:t>-</w:t>
      </w:r>
      <w:r w:rsidR="003C1F7E" w:rsidRPr="00D5385E">
        <w:rPr>
          <w:rFonts w:ascii="Book Antiqua" w:hAnsi="Book Antiqua" w:cs="Arial"/>
          <w:color w:val="000000" w:themeColor="text1"/>
          <w:sz w:val="24"/>
          <w:szCs w:val="24"/>
          <w:lang w:val="en-US"/>
        </w:rPr>
        <w:t xml:space="preserve">elderly IBD </w:t>
      </w:r>
      <w:proofErr w:type="gramStart"/>
      <w:r w:rsidR="003C1F7E" w:rsidRPr="00D5385E">
        <w:rPr>
          <w:rFonts w:ascii="Book Antiqua" w:hAnsi="Book Antiqua" w:cs="Arial"/>
          <w:color w:val="000000" w:themeColor="text1"/>
          <w:sz w:val="24"/>
          <w:szCs w:val="24"/>
          <w:lang w:val="en-US"/>
        </w:rPr>
        <w:t>patients</w:t>
      </w:r>
      <w:r w:rsidR="0069679D"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51</w:t>
      </w:r>
      <w:r w:rsidR="0069679D" w:rsidRPr="00D5385E">
        <w:rPr>
          <w:rFonts w:ascii="Book Antiqua" w:hAnsi="Book Antiqua" w:cs="Arial"/>
          <w:color w:val="000000" w:themeColor="text1"/>
          <w:sz w:val="24"/>
          <w:szCs w:val="24"/>
          <w:vertAlign w:val="superscript"/>
          <w:lang w:val="en-US"/>
        </w:rPr>
        <w:t>]</w:t>
      </w:r>
      <w:r w:rsidR="003C1F7E" w:rsidRPr="00D5385E">
        <w:rPr>
          <w:rFonts w:ascii="Book Antiqua" w:hAnsi="Book Antiqua" w:cs="Arial"/>
          <w:color w:val="000000" w:themeColor="text1"/>
          <w:sz w:val="24"/>
          <w:szCs w:val="24"/>
          <w:lang w:val="en-US"/>
        </w:rPr>
        <w:t xml:space="preserve">. Upon </w:t>
      </w:r>
      <w:r w:rsidR="003C1F7E" w:rsidRPr="00D5385E">
        <w:rPr>
          <w:rFonts w:ascii="Book Antiqua" w:hAnsi="Book Antiqua" w:cs="Arial"/>
          <w:color w:val="000000" w:themeColor="text1"/>
          <w:sz w:val="24"/>
          <w:szCs w:val="24"/>
          <w:lang w:val="en-US"/>
        </w:rPr>
        <w:lastRenderedPageBreak/>
        <w:t xml:space="preserve">adjustment for comorbidities, rates of malignancy were similar between the two groups (HR </w:t>
      </w:r>
      <w:r w:rsidR="00153BE2">
        <w:rPr>
          <w:rFonts w:ascii="Book Antiqua" w:hAnsi="Book Antiqua" w:cs="Arial"/>
          <w:color w:val="000000" w:themeColor="text1"/>
          <w:sz w:val="24"/>
          <w:szCs w:val="24"/>
          <w:lang w:val="en-US"/>
        </w:rPr>
        <w:t xml:space="preserve">= </w:t>
      </w:r>
      <w:r w:rsidR="003C1F7E" w:rsidRPr="00D5385E">
        <w:rPr>
          <w:rFonts w:ascii="Book Antiqua" w:hAnsi="Book Antiqua" w:cs="Arial"/>
          <w:color w:val="000000" w:themeColor="text1"/>
          <w:sz w:val="24"/>
          <w:szCs w:val="24"/>
          <w:lang w:val="en-US"/>
        </w:rPr>
        <w:t>2.64, 95%CI</w:t>
      </w:r>
      <w:r w:rsidR="00153BE2">
        <w:rPr>
          <w:rFonts w:ascii="Book Antiqua" w:hAnsi="Book Antiqua" w:cs="Arial"/>
          <w:color w:val="000000" w:themeColor="text1"/>
          <w:sz w:val="24"/>
          <w:szCs w:val="24"/>
          <w:lang w:val="en-US"/>
        </w:rPr>
        <w:t>:</w:t>
      </w:r>
      <w:r w:rsidR="003C1F7E" w:rsidRPr="00D5385E">
        <w:rPr>
          <w:rFonts w:ascii="Book Antiqua" w:hAnsi="Book Antiqua" w:cs="Arial"/>
          <w:color w:val="000000" w:themeColor="text1"/>
          <w:sz w:val="24"/>
          <w:szCs w:val="24"/>
          <w:lang w:val="en-US"/>
        </w:rPr>
        <w:t xml:space="preserve"> 0.70</w:t>
      </w:r>
      <w:r w:rsidR="000A1048">
        <w:rPr>
          <w:rFonts w:ascii="Book Antiqua" w:hAnsi="Book Antiqua" w:cs="Arial"/>
          <w:color w:val="000000" w:themeColor="text1"/>
          <w:sz w:val="24"/>
          <w:szCs w:val="24"/>
          <w:lang w:val="en-US"/>
        </w:rPr>
        <w:t>-</w:t>
      </w:r>
      <w:r w:rsidR="003C1F7E" w:rsidRPr="00D5385E">
        <w:rPr>
          <w:rFonts w:ascii="Book Antiqua" w:hAnsi="Book Antiqua" w:cs="Arial"/>
          <w:color w:val="000000" w:themeColor="text1"/>
          <w:sz w:val="24"/>
          <w:szCs w:val="24"/>
          <w:lang w:val="en-US"/>
        </w:rPr>
        <w:t>10.04), implying that presence of comorbidities in the elderly IBD population represents the</w:t>
      </w:r>
      <w:r w:rsidR="0069679D" w:rsidRPr="00D5385E">
        <w:rPr>
          <w:rFonts w:ascii="Book Antiqua" w:hAnsi="Book Antiqua" w:cs="Arial"/>
          <w:color w:val="000000" w:themeColor="text1"/>
          <w:sz w:val="24"/>
          <w:szCs w:val="24"/>
          <w:lang w:val="en-US"/>
        </w:rPr>
        <w:t xml:space="preserve"> main risk factor for malignancy.</w:t>
      </w:r>
      <w:r w:rsidR="00153BE2">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A large, multicenter observational trial showed similar results: elderly IBD patients were more likely to suffer from infections</w:t>
      </w:r>
      <w:r w:rsidR="00AC5CF0" w:rsidRPr="00D5385E">
        <w:rPr>
          <w:rFonts w:ascii="Book Antiqua" w:hAnsi="Book Antiqua" w:cs="Arial"/>
          <w:color w:val="000000" w:themeColor="text1"/>
          <w:sz w:val="24"/>
          <w:szCs w:val="24"/>
          <w:lang w:val="en-US"/>
        </w:rPr>
        <w:t xml:space="preserve"> compared to a younger population</w:t>
      </w:r>
      <w:r w:rsidRPr="00D5385E">
        <w:rPr>
          <w:rFonts w:ascii="Book Antiqua" w:hAnsi="Book Antiqua" w:cs="Arial"/>
          <w:color w:val="000000" w:themeColor="text1"/>
          <w:sz w:val="24"/>
          <w:szCs w:val="24"/>
          <w:lang w:val="en-US"/>
        </w:rPr>
        <w:t xml:space="preserve">, malignancy and even death, irrespective of disease duration (13% </w:t>
      </w:r>
      <w:bookmarkStart w:id="65" w:name="OLE_LINK1"/>
      <w:bookmarkStart w:id="66" w:name="OLE_LINK2"/>
      <w:r w:rsidR="006D1438" w:rsidRPr="00153BE2">
        <w:rPr>
          <w:rFonts w:ascii="Book Antiqua" w:hAnsi="Book Antiqua" w:cs="Arial"/>
          <w:i/>
          <w:iCs/>
          <w:color w:val="000000" w:themeColor="text1"/>
          <w:sz w:val="24"/>
          <w:szCs w:val="24"/>
          <w:lang w:val="en-US"/>
        </w:rPr>
        <w:t>vs</w:t>
      </w:r>
      <w:r w:rsidRPr="00153BE2">
        <w:rPr>
          <w:rFonts w:ascii="Book Antiqua" w:hAnsi="Book Antiqua" w:cs="Arial"/>
          <w:i/>
          <w:iCs/>
          <w:color w:val="000000" w:themeColor="text1"/>
          <w:sz w:val="24"/>
          <w:szCs w:val="24"/>
          <w:lang w:val="en-US"/>
        </w:rPr>
        <w:t xml:space="preserve"> </w:t>
      </w:r>
      <w:bookmarkEnd w:id="65"/>
      <w:bookmarkEnd w:id="66"/>
      <w:r w:rsidRPr="00D5385E">
        <w:rPr>
          <w:rFonts w:ascii="Book Antiqua" w:hAnsi="Book Antiqua" w:cs="Arial"/>
          <w:color w:val="000000" w:themeColor="text1"/>
          <w:sz w:val="24"/>
          <w:szCs w:val="24"/>
          <w:lang w:val="en-US"/>
        </w:rPr>
        <w:t xml:space="preserve">2.6%, 3% </w:t>
      </w:r>
      <w:r w:rsidR="00153BE2" w:rsidRPr="00153BE2">
        <w:rPr>
          <w:rFonts w:ascii="Book Antiqua" w:hAnsi="Book Antiqua" w:cs="Arial"/>
          <w:i/>
          <w:iCs/>
          <w:color w:val="000000" w:themeColor="text1"/>
          <w:sz w:val="24"/>
          <w:szCs w:val="24"/>
          <w:lang w:val="en-US"/>
        </w:rPr>
        <w:t>vs</w:t>
      </w:r>
      <w:r w:rsidRPr="00D5385E">
        <w:rPr>
          <w:rFonts w:ascii="Book Antiqua" w:hAnsi="Book Antiqua" w:cs="Arial"/>
          <w:color w:val="000000" w:themeColor="text1"/>
          <w:sz w:val="24"/>
          <w:szCs w:val="24"/>
          <w:lang w:val="en-US"/>
        </w:rPr>
        <w:t xml:space="preserve"> 0% and 10% </w:t>
      </w:r>
      <w:r w:rsidR="00153BE2" w:rsidRPr="00153BE2">
        <w:rPr>
          <w:rFonts w:ascii="Book Antiqua" w:hAnsi="Book Antiqua" w:cs="Arial"/>
          <w:i/>
          <w:iCs/>
          <w:color w:val="000000" w:themeColor="text1"/>
          <w:sz w:val="24"/>
          <w:szCs w:val="24"/>
          <w:lang w:val="en-US"/>
        </w:rPr>
        <w:t>vs</w:t>
      </w:r>
      <w:r w:rsidRPr="00D5385E">
        <w:rPr>
          <w:rFonts w:ascii="Book Antiqua" w:hAnsi="Book Antiqua" w:cs="Arial"/>
          <w:color w:val="000000" w:themeColor="text1"/>
          <w:sz w:val="24"/>
          <w:szCs w:val="24"/>
          <w:lang w:val="en-US"/>
        </w:rPr>
        <w:t xml:space="preserve"> 1%, respectively)</w:t>
      </w:r>
      <w:r w:rsidR="00D92E31" w:rsidRPr="00D5385E">
        <w:rPr>
          <w:rFonts w:ascii="Book Antiqua" w:hAnsi="Book Antiqua" w:cs="Arial"/>
          <w:color w:val="000000" w:themeColor="text1"/>
          <w:sz w:val="24"/>
          <w:szCs w:val="24"/>
          <w:lang w:val="en-US"/>
        </w:rPr>
        <w:t>, as seen on Table 1</w:t>
      </w:r>
      <w:r w:rsidR="00F82172" w:rsidRPr="00D5385E">
        <w:rPr>
          <w:rFonts w:ascii="Book Antiqua" w:hAnsi="Book Antiqua" w:cs="Arial"/>
          <w:color w:val="000000" w:themeColor="text1"/>
          <w:sz w:val="24"/>
          <w:szCs w:val="24"/>
          <w:vertAlign w:val="superscript"/>
          <w:lang w:val="en-US"/>
        </w:rPr>
        <w:t>[</w:t>
      </w:r>
      <w:r w:rsidR="00E909D4">
        <w:rPr>
          <w:rFonts w:ascii="Book Antiqua" w:hAnsi="Book Antiqua" w:cs="Arial"/>
          <w:color w:val="000000" w:themeColor="text1"/>
          <w:sz w:val="24"/>
          <w:szCs w:val="24"/>
          <w:vertAlign w:val="superscript"/>
          <w:lang w:val="en-US"/>
        </w:rPr>
        <w:t>54</w:t>
      </w:r>
      <w:r w:rsidR="00F82172" w:rsidRPr="00D5385E">
        <w:rPr>
          <w:rFonts w:ascii="Book Antiqua" w:hAnsi="Book Antiqua" w:cs="Arial"/>
          <w:color w:val="000000" w:themeColor="text1"/>
          <w:sz w:val="24"/>
          <w:szCs w:val="24"/>
          <w:vertAlign w:val="superscript"/>
          <w:lang w:val="en-US"/>
        </w:rPr>
        <w:t>]</w:t>
      </w:r>
      <w:r w:rsidR="00F82172" w:rsidRPr="00D5385E">
        <w:rPr>
          <w:rFonts w:ascii="Book Antiqua" w:eastAsia="Times New Roman" w:hAnsi="Book Antiqua" w:cs="Arial"/>
          <w:color w:val="000000" w:themeColor="text1"/>
          <w:sz w:val="24"/>
          <w:szCs w:val="24"/>
          <w:shd w:val="clear" w:color="auto" w:fill="FFFFFF"/>
          <w:lang w:val="en-US"/>
        </w:rPr>
        <w:t>.</w:t>
      </w:r>
      <w:r w:rsidR="008C712B">
        <w:rPr>
          <w:rFonts w:ascii="Book Antiqua" w:hAnsi="Book Antiqua" w:cs="Arial"/>
          <w:color w:val="000000" w:themeColor="text1"/>
          <w:sz w:val="24"/>
          <w:szCs w:val="24"/>
          <w:lang w:val="en-US"/>
        </w:rPr>
        <w:t xml:space="preserve"> </w:t>
      </w:r>
      <w:r w:rsidR="00833691" w:rsidRPr="00D5385E">
        <w:rPr>
          <w:rFonts w:ascii="Book Antiqua" w:hAnsi="Book Antiqua" w:cs="Arial"/>
          <w:color w:val="000000" w:themeColor="text1"/>
          <w:sz w:val="24"/>
          <w:szCs w:val="24"/>
          <w:lang w:val="en-US"/>
        </w:rPr>
        <w:t>In multiple studies, a</w:t>
      </w:r>
      <w:r w:rsidR="00D254E3" w:rsidRPr="00D5385E">
        <w:rPr>
          <w:rFonts w:ascii="Book Antiqua" w:hAnsi="Book Antiqua" w:cs="Arial"/>
          <w:color w:val="000000" w:themeColor="text1"/>
          <w:sz w:val="24"/>
          <w:szCs w:val="24"/>
          <w:lang w:val="en-US"/>
        </w:rPr>
        <w:t xml:space="preserve">dvanced age in IBD is recognized as an </w:t>
      </w:r>
      <w:r w:rsidR="00833691" w:rsidRPr="00D5385E">
        <w:rPr>
          <w:rFonts w:ascii="Book Antiqua" w:hAnsi="Book Antiqua" w:cs="Arial"/>
          <w:color w:val="000000" w:themeColor="text1"/>
          <w:sz w:val="24"/>
          <w:szCs w:val="24"/>
          <w:lang w:val="en-US"/>
        </w:rPr>
        <w:t xml:space="preserve">independent risk factor for </w:t>
      </w:r>
      <w:r w:rsidR="001C1422" w:rsidRPr="00D5385E">
        <w:rPr>
          <w:rFonts w:ascii="Book Antiqua" w:hAnsi="Book Antiqua" w:cs="Arial"/>
          <w:color w:val="000000" w:themeColor="text1"/>
          <w:sz w:val="24"/>
          <w:szCs w:val="24"/>
          <w:lang w:val="en-US"/>
        </w:rPr>
        <w:t>lymphoproliferative disorders</w:t>
      </w:r>
      <w:r w:rsidR="00833691" w:rsidRPr="00D5385E">
        <w:rPr>
          <w:rFonts w:ascii="Book Antiqua" w:hAnsi="Book Antiqua" w:cs="Arial"/>
          <w:color w:val="000000" w:themeColor="text1"/>
          <w:sz w:val="24"/>
          <w:szCs w:val="24"/>
          <w:lang w:val="en-US"/>
        </w:rPr>
        <w:t xml:space="preserve">, especially in the setting of thiopurine </w:t>
      </w:r>
      <w:proofErr w:type="gramStart"/>
      <w:r w:rsidR="00833691" w:rsidRPr="00D5385E">
        <w:rPr>
          <w:rFonts w:ascii="Book Antiqua" w:hAnsi="Book Antiqua" w:cs="Arial"/>
          <w:color w:val="000000" w:themeColor="text1"/>
          <w:sz w:val="24"/>
          <w:szCs w:val="24"/>
          <w:lang w:val="en-US"/>
        </w:rPr>
        <w:t>use</w:t>
      </w:r>
      <w:r w:rsidR="001E412A"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55-56</w:t>
      </w:r>
      <w:r w:rsidR="001E412A" w:rsidRPr="00D5385E">
        <w:rPr>
          <w:rFonts w:ascii="Book Antiqua" w:hAnsi="Book Antiqua" w:cs="Arial"/>
          <w:color w:val="000000" w:themeColor="text1"/>
          <w:sz w:val="24"/>
          <w:szCs w:val="24"/>
          <w:vertAlign w:val="superscript"/>
          <w:lang w:val="en-US"/>
        </w:rPr>
        <w:t>]</w:t>
      </w:r>
      <w:r w:rsidR="001E412A" w:rsidRPr="00D5385E">
        <w:rPr>
          <w:rFonts w:ascii="Book Antiqua" w:eastAsia="Times New Roman" w:hAnsi="Book Antiqua" w:cs="Arial"/>
          <w:color w:val="000000" w:themeColor="text1"/>
          <w:sz w:val="24"/>
          <w:szCs w:val="24"/>
          <w:shd w:val="clear" w:color="auto" w:fill="FFFFFF"/>
          <w:lang w:val="en-US"/>
        </w:rPr>
        <w:t xml:space="preserve">. </w:t>
      </w:r>
      <w:r w:rsidR="00833691" w:rsidRPr="00D5385E">
        <w:rPr>
          <w:rFonts w:ascii="Book Antiqua" w:hAnsi="Book Antiqua" w:cs="Arial"/>
          <w:color w:val="000000" w:themeColor="text1"/>
          <w:sz w:val="24"/>
          <w:szCs w:val="24"/>
          <w:lang w:val="en-US"/>
        </w:rPr>
        <w:t>Data from the TREAT registry suggests that anti</w:t>
      </w:r>
      <w:r w:rsidR="000A1048">
        <w:rPr>
          <w:rFonts w:ascii="Book Antiqua" w:hAnsi="Book Antiqua" w:cs="Arial"/>
          <w:color w:val="000000" w:themeColor="text1"/>
          <w:sz w:val="24"/>
          <w:szCs w:val="24"/>
          <w:lang w:val="en-US"/>
        </w:rPr>
        <w:t>-</w:t>
      </w:r>
      <w:r w:rsidR="00833691" w:rsidRPr="00D5385E">
        <w:rPr>
          <w:rFonts w:ascii="Book Antiqua" w:hAnsi="Book Antiqua" w:cs="Arial"/>
          <w:color w:val="000000" w:themeColor="text1"/>
          <w:sz w:val="24"/>
          <w:szCs w:val="24"/>
          <w:lang w:val="en-US"/>
        </w:rPr>
        <w:t>TNF monotherapy does not infer an increased risk of lymphoproliferative disorders (five</w:t>
      </w:r>
      <w:r w:rsidR="000A1048">
        <w:rPr>
          <w:rFonts w:ascii="Book Antiqua" w:hAnsi="Book Antiqua" w:cs="Arial"/>
          <w:color w:val="000000" w:themeColor="text1"/>
          <w:sz w:val="24"/>
          <w:szCs w:val="24"/>
          <w:lang w:val="en-US"/>
        </w:rPr>
        <w:t>-</w:t>
      </w:r>
      <w:r w:rsidR="00833691" w:rsidRPr="00D5385E">
        <w:rPr>
          <w:rFonts w:ascii="Book Antiqua" w:hAnsi="Book Antiqua" w:cs="Arial"/>
          <w:color w:val="000000" w:themeColor="text1"/>
          <w:sz w:val="24"/>
          <w:szCs w:val="24"/>
          <w:lang w:val="en-US"/>
        </w:rPr>
        <w:t>year incidence of 0.05 per 100 patient</w:t>
      </w:r>
      <w:r w:rsidR="000A1048">
        <w:rPr>
          <w:rFonts w:ascii="Book Antiqua" w:hAnsi="Book Antiqua" w:cs="Arial"/>
          <w:color w:val="000000" w:themeColor="text1"/>
          <w:sz w:val="24"/>
          <w:szCs w:val="24"/>
          <w:lang w:val="en-US"/>
        </w:rPr>
        <w:t>-</w:t>
      </w:r>
      <w:r w:rsidR="00833691" w:rsidRPr="00D5385E">
        <w:rPr>
          <w:rFonts w:ascii="Book Antiqua" w:hAnsi="Book Antiqua" w:cs="Arial"/>
          <w:color w:val="000000" w:themeColor="text1"/>
          <w:sz w:val="24"/>
          <w:szCs w:val="24"/>
          <w:lang w:val="en-US"/>
        </w:rPr>
        <w:t>years, compared to 0.06 per 100 patient</w:t>
      </w:r>
      <w:r w:rsidR="000A1048">
        <w:rPr>
          <w:rFonts w:ascii="Book Antiqua" w:hAnsi="Book Antiqua" w:cs="Arial"/>
          <w:color w:val="000000" w:themeColor="text1"/>
          <w:sz w:val="24"/>
          <w:szCs w:val="24"/>
          <w:lang w:val="en-US"/>
        </w:rPr>
        <w:t>-</w:t>
      </w:r>
      <w:r w:rsidR="00833691" w:rsidRPr="00D5385E">
        <w:rPr>
          <w:rFonts w:ascii="Book Antiqua" w:hAnsi="Book Antiqua" w:cs="Arial"/>
          <w:color w:val="000000" w:themeColor="text1"/>
          <w:sz w:val="24"/>
          <w:szCs w:val="24"/>
          <w:lang w:val="en-US"/>
        </w:rPr>
        <w:t xml:space="preserve">years in IBD patients who received other treatments </w:t>
      </w:r>
      <w:proofErr w:type="gramStart"/>
      <w:r w:rsidR="00833691" w:rsidRPr="00D5385E">
        <w:rPr>
          <w:rFonts w:ascii="Book Antiqua" w:hAnsi="Book Antiqua" w:cs="Arial"/>
          <w:color w:val="000000" w:themeColor="text1"/>
          <w:sz w:val="24"/>
          <w:szCs w:val="24"/>
          <w:lang w:val="en-US"/>
        </w:rPr>
        <w:t>only)</w:t>
      </w:r>
      <w:r w:rsidR="001E412A"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57</w:t>
      </w:r>
      <w:r w:rsidR="001E412A" w:rsidRPr="00D5385E">
        <w:rPr>
          <w:rFonts w:ascii="Book Antiqua" w:hAnsi="Book Antiqua" w:cs="Arial"/>
          <w:color w:val="000000" w:themeColor="text1"/>
          <w:sz w:val="24"/>
          <w:szCs w:val="24"/>
          <w:vertAlign w:val="superscript"/>
          <w:lang w:val="en-US"/>
        </w:rPr>
        <w:t>]</w:t>
      </w:r>
      <w:r w:rsidR="00833691" w:rsidRPr="00D5385E">
        <w:rPr>
          <w:rFonts w:ascii="Book Antiqua" w:hAnsi="Book Antiqua" w:cs="Arial"/>
          <w:color w:val="000000" w:themeColor="text1"/>
          <w:sz w:val="24"/>
          <w:szCs w:val="24"/>
          <w:lang w:val="en-US"/>
        </w:rPr>
        <w:t xml:space="preserve">. </w:t>
      </w:r>
      <w:r w:rsidR="009F02C4" w:rsidRPr="00D5385E">
        <w:rPr>
          <w:rFonts w:ascii="Book Antiqua" w:hAnsi="Book Antiqua" w:cs="Arial"/>
          <w:color w:val="000000" w:themeColor="text1"/>
          <w:sz w:val="24"/>
          <w:szCs w:val="24"/>
          <w:lang w:val="en-US"/>
        </w:rPr>
        <w:t>Longer</w:t>
      </w:r>
      <w:r w:rsidR="000A1048">
        <w:rPr>
          <w:rFonts w:ascii="Book Antiqua" w:hAnsi="Book Antiqua" w:cs="Arial"/>
          <w:color w:val="000000" w:themeColor="text1"/>
          <w:sz w:val="24"/>
          <w:szCs w:val="24"/>
          <w:lang w:val="en-US"/>
        </w:rPr>
        <w:t>-</w:t>
      </w:r>
      <w:r w:rsidR="009F02C4" w:rsidRPr="00D5385E">
        <w:rPr>
          <w:rFonts w:ascii="Book Antiqua" w:hAnsi="Book Antiqua" w:cs="Arial"/>
          <w:color w:val="000000" w:themeColor="text1"/>
          <w:sz w:val="24"/>
          <w:szCs w:val="24"/>
          <w:lang w:val="en-US"/>
        </w:rPr>
        <w:t>term studies are needed to establish the risk of lymphoproliferative disorders in elderly IBD patients on biologic therapy, including effect measurement of prior thiopurine use.</w:t>
      </w:r>
      <w:r w:rsidR="00A76356" w:rsidRPr="00D5385E">
        <w:rPr>
          <w:rFonts w:ascii="Book Antiqua" w:hAnsi="Book Antiqua" w:cs="Arial"/>
          <w:color w:val="000000" w:themeColor="text1"/>
          <w:sz w:val="24"/>
          <w:szCs w:val="24"/>
          <w:lang w:val="en-US"/>
        </w:rPr>
        <w:t xml:space="preserve"> </w:t>
      </w:r>
    </w:p>
    <w:p w14:paraId="19AD71F7" w14:textId="2994ACD0" w:rsidR="00C041EE" w:rsidRDefault="00AC5CF0"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 recently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accepted meta</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analysis by </w:t>
      </w:r>
      <w:proofErr w:type="spellStart"/>
      <w:r w:rsidRPr="00D5385E">
        <w:rPr>
          <w:rFonts w:ascii="Book Antiqua" w:hAnsi="Book Antiqua" w:cs="Arial"/>
          <w:color w:val="000000" w:themeColor="text1"/>
          <w:sz w:val="24"/>
          <w:szCs w:val="24"/>
          <w:lang w:val="en-US"/>
        </w:rPr>
        <w:t>Borren</w:t>
      </w:r>
      <w:proofErr w:type="spellEnd"/>
      <w:r w:rsidRPr="00D5385E">
        <w:rPr>
          <w:rFonts w:ascii="Book Antiqua" w:hAnsi="Book Antiqua" w:cs="Arial"/>
          <w:color w:val="000000" w:themeColor="text1"/>
          <w:sz w:val="24"/>
          <w:szCs w:val="24"/>
          <w:lang w:val="en-US"/>
        </w:rPr>
        <w:t xml:space="preserve"> </w:t>
      </w:r>
      <w:r w:rsidRPr="00153BE2">
        <w:rPr>
          <w:rFonts w:ascii="Book Antiqua" w:hAnsi="Book Antiqua" w:cs="Arial"/>
          <w:i/>
          <w:iCs/>
          <w:color w:val="000000" w:themeColor="text1"/>
          <w:sz w:val="24"/>
          <w:szCs w:val="24"/>
          <w:lang w:val="en-US"/>
        </w:rPr>
        <w:t xml:space="preserve">et </w:t>
      </w:r>
      <w:proofErr w:type="gramStart"/>
      <w:r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58</w:t>
      </w:r>
      <w:r w:rsidR="00153BE2"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xml:space="preserve"> assessed </w:t>
      </w:r>
      <w:r w:rsidR="00BC05CD" w:rsidRPr="00D5385E">
        <w:rPr>
          <w:rFonts w:ascii="Book Antiqua" w:hAnsi="Book Antiqua" w:cs="Arial"/>
          <w:color w:val="000000" w:themeColor="text1"/>
          <w:sz w:val="24"/>
          <w:szCs w:val="24"/>
          <w:lang w:val="en-US"/>
        </w:rPr>
        <w:t>the safety profile of biologic agents in the treatment of elderly patient with auto</w:t>
      </w:r>
      <w:r w:rsidR="000A1048">
        <w:rPr>
          <w:rFonts w:ascii="Book Antiqua" w:hAnsi="Book Antiqua" w:cs="Arial"/>
          <w:color w:val="000000" w:themeColor="text1"/>
          <w:sz w:val="24"/>
          <w:szCs w:val="24"/>
          <w:lang w:val="en-US"/>
        </w:rPr>
        <w:t>-</w:t>
      </w:r>
      <w:r w:rsidR="00BC05CD" w:rsidRPr="00D5385E">
        <w:rPr>
          <w:rFonts w:ascii="Book Antiqua" w:hAnsi="Book Antiqua" w:cs="Arial"/>
          <w:color w:val="000000" w:themeColor="text1"/>
          <w:sz w:val="24"/>
          <w:szCs w:val="24"/>
          <w:lang w:val="en-US"/>
        </w:rPr>
        <w:t>immune diseases (IBD, rheu</w:t>
      </w:r>
      <w:r w:rsidR="00F368DC" w:rsidRPr="00D5385E">
        <w:rPr>
          <w:rFonts w:ascii="Book Antiqua" w:hAnsi="Book Antiqua" w:cs="Arial"/>
          <w:color w:val="000000" w:themeColor="text1"/>
          <w:sz w:val="24"/>
          <w:szCs w:val="24"/>
          <w:lang w:val="en-US"/>
        </w:rPr>
        <w:t>matoid arthritis, psoriasis). Of the fourteen included studies</w:t>
      </w:r>
      <w:r w:rsidR="00BC05CD" w:rsidRPr="00D5385E">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six</w:t>
      </w:r>
      <w:r w:rsidR="00BC05CD" w:rsidRPr="00D5385E">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retrospective</w:t>
      </w:r>
      <w:r w:rsidR="00BC05CD" w:rsidRPr="00D5385E">
        <w:rPr>
          <w:rFonts w:ascii="Book Antiqua" w:hAnsi="Book Antiqua" w:cs="Arial"/>
          <w:color w:val="000000" w:themeColor="text1"/>
          <w:sz w:val="24"/>
          <w:szCs w:val="24"/>
          <w:lang w:val="en-US"/>
        </w:rPr>
        <w:t xml:space="preserve"> studies </w:t>
      </w:r>
      <w:r w:rsidR="00F368DC" w:rsidRPr="00D5385E">
        <w:rPr>
          <w:rFonts w:ascii="Book Antiqua" w:hAnsi="Book Antiqua" w:cs="Arial"/>
          <w:color w:val="000000" w:themeColor="text1"/>
          <w:sz w:val="24"/>
          <w:szCs w:val="24"/>
          <w:lang w:val="en-US"/>
        </w:rPr>
        <w:t>focused solely on IBD</w:t>
      </w:r>
      <w:r w:rsidR="00BC05CD" w:rsidRPr="00D5385E">
        <w:rPr>
          <w:rFonts w:ascii="Book Antiqua" w:hAnsi="Book Antiqua" w:cs="Arial"/>
          <w:color w:val="000000" w:themeColor="text1"/>
          <w:sz w:val="24"/>
          <w:szCs w:val="24"/>
          <w:lang w:val="en-US"/>
        </w:rPr>
        <w:t xml:space="preserve">, comprising a total of </w:t>
      </w:r>
      <w:r w:rsidR="00F368DC" w:rsidRPr="00D5385E">
        <w:rPr>
          <w:rFonts w:ascii="Book Antiqua" w:hAnsi="Book Antiqua" w:cs="Arial"/>
          <w:color w:val="000000" w:themeColor="text1"/>
          <w:sz w:val="24"/>
          <w:szCs w:val="24"/>
          <w:lang w:val="en-US"/>
        </w:rPr>
        <w:t>349</w:t>
      </w:r>
      <w:r w:rsidR="00BC05CD" w:rsidRPr="00D5385E">
        <w:rPr>
          <w:rFonts w:ascii="Book Antiqua" w:hAnsi="Book Antiqua" w:cs="Arial"/>
          <w:color w:val="000000" w:themeColor="text1"/>
          <w:sz w:val="24"/>
          <w:szCs w:val="24"/>
          <w:lang w:val="en-US"/>
        </w:rPr>
        <w:t xml:space="preserve"> elderly</w:t>
      </w:r>
      <w:r w:rsidR="00F368DC" w:rsidRPr="00D5385E">
        <w:rPr>
          <w:rFonts w:ascii="Book Antiqua" w:hAnsi="Book Antiqua" w:cs="Arial"/>
          <w:color w:val="000000" w:themeColor="text1"/>
          <w:sz w:val="24"/>
          <w:szCs w:val="24"/>
          <w:lang w:val="en-US"/>
        </w:rPr>
        <w:t xml:space="preserve"> </w:t>
      </w:r>
      <w:r w:rsidR="00A13BE9" w:rsidRPr="00D5385E">
        <w:rPr>
          <w:rFonts w:ascii="Book Antiqua" w:hAnsi="Book Antiqua" w:cs="Arial"/>
          <w:color w:val="000000" w:themeColor="text1"/>
          <w:sz w:val="24"/>
          <w:szCs w:val="24"/>
          <w:lang w:val="en-US"/>
        </w:rPr>
        <w:t>biologic</w:t>
      </w:r>
      <w:r w:rsidR="00F368DC" w:rsidRPr="00D5385E">
        <w:rPr>
          <w:rFonts w:ascii="Book Antiqua" w:hAnsi="Book Antiqua" w:cs="Arial"/>
          <w:color w:val="000000" w:themeColor="text1"/>
          <w:sz w:val="24"/>
          <w:szCs w:val="24"/>
          <w:lang w:val="en-US"/>
        </w:rPr>
        <w:t xml:space="preserve"> </w:t>
      </w:r>
      <w:r w:rsidR="00A13BE9" w:rsidRPr="00D5385E">
        <w:rPr>
          <w:rFonts w:ascii="Book Antiqua" w:hAnsi="Book Antiqua" w:cs="Arial"/>
          <w:color w:val="000000" w:themeColor="text1"/>
          <w:sz w:val="24"/>
          <w:szCs w:val="24"/>
          <w:lang w:val="en-US"/>
        </w:rPr>
        <w:t>users</w:t>
      </w:r>
      <w:r w:rsidR="00F368DC" w:rsidRPr="00D5385E">
        <w:rPr>
          <w:rFonts w:ascii="Book Antiqua" w:hAnsi="Book Antiqua" w:cs="Arial"/>
          <w:color w:val="000000" w:themeColor="text1"/>
          <w:sz w:val="24"/>
          <w:szCs w:val="24"/>
          <w:lang w:val="en-US"/>
        </w:rPr>
        <w:t xml:space="preserve">, </w:t>
      </w:r>
      <w:r w:rsidR="00A13BE9" w:rsidRPr="00D5385E">
        <w:rPr>
          <w:rFonts w:ascii="Book Antiqua" w:hAnsi="Book Antiqua" w:cs="Arial"/>
          <w:color w:val="000000" w:themeColor="text1"/>
          <w:sz w:val="24"/>
          <w:szCs w:val="24"/>
          <w:lang w:val="en-US"/>
        </w:rPr>
        <w:t>450 elderly</w:t>
      </w:r>
      <w:r w:rsidR="0030779C" w:rsidRPr="00D5385E">
        <w:rPr>
          <w:rFonts w:ascii="Book Antiqua" w:hAnsi="Book Antiqua" w:cs="Arial"/>
          <w:color w:val="000000" w:themeColor="text1"/>
          <w:sz w:val="24"/>
          <w:szCs w:val="24"/>
          <w:lang w:val="en-US"/>
        </w:rPr>
        <w:t xml:space="preserve"> non</w:t>
      </w:r>
      <w:r w:rsidR="000A1048">
        <w:rPr>
          <w:rFonts w:ascii="Book Antiqua" w:hAnsi="Book Antiqua" w:cs="Arial"/>
          <w:color w:val="000000" w:themeColor="text1"/>
          <w:sz w:val="24"/>
          <w:szCs w:val="24"/>
          <w:lang w:val="en-US"/>
        </w:rPr>
        <w:t>-</w:t>
      </w:r>
      <w:r w:rsidR="0030779C" w:rsidRPr="00D5385E">
        <w:rPr>
          <w:rFonts w:ascii="Book Antiqua" w:hAnsi="Book Antiqua" w:cs="Arial"/>
          <w:color w:val="000000" w:themeColor="text1"/>
          <w:sz w:val="24"/>
          <w:szCs w:val="24"/>
          <w:lang w:val="en-US"/>
        </w:rPr>
        <w:t>biologic user</w:t>
      </w:r>
      <w:r w:rsidR="008F245F" w:rsidRPr="00D5385E">
        <w:rPr>
          <w:rFonts w:ascii="Book Antiqua" w:hAnsi="Book Antiqua" w:cs="Arial"/>
          <w:color w:val="000000" w:themeColor="text1"/>
          <w:sz w:val="24"/>
          <w:szCs w:val="24"/>
          <w:lang w:val="en-US"/>
        </w:rPr>
        <w:t>s</w:t>
      </w:r>
      <w:r w:rsidR="00A13BE9" w:rsidRPr="00D5385E">
        <w:rPr>
          <w:rFonts w:ascii="Book Antiqua" w:hAnsi="Book Antiqua" w:cs="Arial"/>
          <w:color w:val="000000" w:themeColor="text1"/>
          <w:sz w:val="24"/>
          <w:szCs w:val="24"/>
          <w:lang w:val="en-US"/>
        </w:rPr>
        <w:t xml:space="preserve"> and 822</w:t>
      </w:r>
      <w:r w:rsidR="00BC05CD" w:rsidRPr="00D5385E">
        <w:rPr>
          <w:rFonts w:ascii="Book Antiqua" w:hAnsi="Book Antiqua" w:cs="Arial"/>
          <w:color w:val="000000" w:themeColor="text1"/>
          <w:sz w:val="24"/>
          <w:szCs w:val="24"/>
          <w:lang w:val="en-US"/>
        </w:rPr>
        <w:t xml:space="preserve"> non</w:t>
      </w:r>
      <w:r w:rsidR="000A1048">
        <w:rPr>
          <w:rFonts w:ascii="Book Antiqua" w:hAnsi="Book Antiqua" w:cs="Arial"/>
          <w:color w:val="000000" w:themeColor="text1"/>
          <w:sz w:val="24"/>
          <w:szCs w:val="24"/>
          <w:lang w:val="en-US"/>
        </w:rPr>
        <w:t>-</w:t>
      </w:r>
      <w:r w:rsidR="00BC05CD" w:rsidRPr="00D5385E">
        <w:rPr>
          <w:rFonts w:ascii="Book Antiqua" w:hAnsi="Book Antiqua" w:cs="Arial"/>
          <w:color w:val="000000" w:themeColor="text1"/>
          <w:sz w:val="24"/>
          <w:szCs w:val="24"/>
          <w:lang w:val="en-US"/>
        </w:rPr>
        <w:t>elde</w:t>
      </w:r>
      <w:r w:rsidR="00F368DC" w:rsidRPr="00D5385E">
        <w:rPr>
          <w:rFonts w:ascii="Book Antiqua" w:hAnsi="Book Antiqua" w:cs="Arial"/>
          <w:color w:val="000000" w:themeColor="text1"/>
          <w:sz w:val="24"/>
          <w:szCs w:val="24"/>
          <w:lang w:val="en-US"/>
        </w:rPr>
        <w:t xml:space="preserve">rly </w:t>
      </w:r>
      <w:r w:rsidR="00A13BE9" w:rsidRPr="00D5385E">
        <w:rPr>
          <w:rFonts w:ascii="Book Antiqua" w:hAnsi="Book Antiqua" w:cs="Arial"/>
          <w:color w:val="000000" w:themeColor="text1"/>
          <w:sz w:val="24"/>
          <w:szCs w:val="24"/>
          <w:lang w:val="en-US"/>
        </w:rPr>
        <w:t>biologic users</w:t>
      </w:r>
      <w:r w:rsidR="00F368DC" w:rsidRPr="00D5385E">
        <w:rPr>
          <w:rFonts w:ascii="Book Antiqua" w:hAnsi="Book Antiqua" w:cs="Arial"/>
          <w:color w:val="000000" w:themeColor="text1"/>
          <w:sz w:val="24"/>
          <w:szCs w:val="24"/>
          <w:lang w:val="en-US"/>
        </w:rPr>
        <w:t>. Elderly IBD patients on biologic therapy (mostly anti</w:t>
      </w:r>
      <w:r w:rsidR="000A1048">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TNF) were three times more at risk of infections (OR </w:t>
      </w:r>
      <w:r w:rsidR="00153BE2">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3.48, 95%CI</w:t>
      </w:r>
      <w:r w:rsidR="00153BE2">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 1.98</w:t>
      </w:r>
      <w:r w:rsidR="000A1048">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6.14) and malignancy (OR </w:t>
      </w:r>
      <w:r w:rsidR="00153BE2">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3.47, 95%CI</w:t>
      </w:r>
      <w:r w:rsidR="00153BE2">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 1.71</w:t>
      </w:r>
      <w:r w:rsidR="000A1048">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7.03), compared to their younger counterpart</w:t>
      </w:r>
      <w:r w:rsidR="005E5D12" w:rsidRPr="00D5385E">
        <w:rPr>
          <w:rFonts w:ascii="Book Antiqua" w:hAnsi="Book Antiqua" w:cs="Arial"/>
          <w:color w:val="000000" w:themeColor="text1"/>
          <w:sz w:val="24"/>
          <w:szCs w:val="24"/>
          <w:lang w:val="en-US"/>
        </w:rPr>
        <w:t>s</w:t>
      </w:r>
      <w:r w:rsidR="00F368DC" w:rsidRPr="00D5385E">
        <w:rPr>
          <w:rFonts w:ascii="Book Antiqua" w:hAnsi="Book Antiqua" w:cs="Arial"/>
          <w:color w:val="000000" w:themeColor="text1"/>
          <w:sz w:val="24"/>
          <w:szCs w:val="24"/>
          <w:lang w:val="en-US"/>
        </w:rPr>
        <w:t xml:space="preserve">. Upon considering strictly elderly patients, the authors noticed that </w:t>
      </w:r>
      <w:r w:rsidR="0030779C" w:rsidRPr="00D5385E">
        <w:rPr>
          <w:rFonts w:ascii="Book Antiqua" w:hAnsi="Book Antiqua" w:cs="Arial"/>
          <w:color w:val="000000" w:themeColor="text1"/>
          <w:sz w:val="24"/>
          <w:szCs w:val="24"/>
          <w:lang w:val="en-US"/>
        </w:rPr>
        <w:t>patients on biologic agents</w:t>
      </w:r>
      <w:r w:rsidR="00F368DC" w:rsidRPr="00D5385E">
        <w:rPr>
          <w:rFonts w:ascii="Book Antiqua" w:hAnsi="Book Antiqua" w:cs="Arial"/>
          <w:color w:val="000000" w:themeColor="text1"/>
          <w:sz w:val="24"/>
          <w:szCs w:val="24"/>
          <w:lang w:val="en-US"/>
        </w:rPr>
        <w:t xml:space="preserve"> were eleven times at higher risk of infections </w:t>
      </w:r>
      <w:r w:rsidR="0030779C" w:rsidRPr="00D5385E">
        <w:rPr>
          <w:rFonts w:ascii="Book Antiqua" w:hAnsi="Book Antiqua" w:cs="Arial"/>
          <w:color w:val="000000" w:themeColor="text1"/>
          <w:sz w:val="24"/>
          <w:szCs w:val="24"/>
          <w:lang w:val="en-US"/>
        </w:rPr>
        <w:t xml:space="preserve">compared to those not receiving biologics </w:t>
      </w:r>
      <w:r w:rsidR="00F368DC" w:rsidRPr="00D5385E">
        <w:rPr>
          <w:rFonts w:ascii="Book Antiqua" w:hAnsi="Book Antiqua" w:cs="Arial"/>
          <w:color w:val="000000" w:themeColor="text1"/>
          <w:sz w:val="24"/>
          <w:szCs w:val="24"/>
          <w:lang w:val="en-US"/>
        </w:rPr>
        <w:t xml:space="preserve">(OR </w:t>
      </w:r>
      <w:r w:rsidR="00153BE2">
        <w:rPr>
          <w:rFonts w:ascii="Book Antiqua" w:hAnsi="Book Antiqua" w:cs="Arial"/>
          <w:color w:val="000000" w:themeColor="text1"/>
          <w:sz w:val="24"/>
          <w:szCs w:val="24"/>
          <w:lang w:val="en-US"/>
        </w:rPr>
        <w:t xml:space="preserve">= </w:t>
      </w:r>
      <w:r w:rsidR="00F368DC" w:rsidRPr="00D5385E">
        <w:rPr>
          <w:rFonts w:ascii="Book Antiqua" w:hAnsi="Book Antiqua" w:cs="Arial"/>
          <w:color w:val="000000" w:themeColor="text1"/>
          <w:sz w:val="24"/>
          <w:szCs w:val="24"/>
          <w:lang w:val="en-US"/>
        </w:rPr>
        <w:t>11.22, 95%CI</w:t>
      </w:r>
      <w:r w:rsidR="00153BE2">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 xml:space="preserve"> 3.6</w:t>
      </w:r>
      <w:r w:rsidR="000A1048">
        <w:rPr>
          <w:rFonts w:ascii="Book Antiqua" w:hAnsi="Book Antiqua" w:cs="Arial"/>
          <w:color w:val="000000" w:themeColor="text1"/>
          <w:sz w:val="24"/>
          <w:szCs w:val="24"/>
          <w:lang w:val="en-US"/>
        </w:rPr>
        <w:t>-</w:t>
      </w:r>
      <w:r w:rsidR="00F368DC" w:rsidRPr="00D5385E">
        <w:rPr>
          <w:rFonts w:ascii="Book Antiqua" w:hAnsi="Book Antiqua" w:cs="Arial"/>
          <w:color w:val="000000" w:themeColor="text1"/>
          <w:sz w:val="24"/>
          <w:szCs w:val="24"/>
          <w:lang w:val="en-US"/>
        </w:rPr>
        <w:t>34.99)</w:t>
      </w:r>
      <w:r w:rsidR="0030779C" w:rsidRPr="00D5385E">
        <w:rPr>
          <w:rFonts w:ascii="Book Antiqua" w:hAnsi="Book Antiqua" w:cs="Arial"/>
          <w:color w:val="000000" w:themeColor="text1"/>
          <w:sz w:val="24"/>
          <w:szCs w:val="24"/>
          <w:lang w:val="en-US"/>
        </w:rPr>
        <w:t xml:space="preserve">, while similar rates of malignancy were measured between these two groups (OR </w:t>
      </w:r>
      <w:r w:rsidR="00153BE2">
        <w:rPr>
          <w:rFonts w:ascii="Book Antiqua" w:hAnsi="Book Antiqua" w:cs="Arial"/>
          <w:color w:val="000000" w:themeColor="text1"/>
          <w:sz w:val="24"/>
          <w:szCs w:val="24"/>
          <w:lang w:val="en-US"/>
        </w:rPr>
        <w:t xml:space="preserve">= </w:t>
      </w:r>
      <w:r w:rsidR="0030779C" w:rsidRPr="00D5385E">
        <w:rPr>
          <w:rFonts w:ascii="Book Antiqua" w:hAnsi="Book Antiqua" w:cs="Arial"/>
          <w:color w:val="000000" w:themeColor="text1"/>
          <w:sz w:val="24"/>
          <w:szCs w:val="24"/>
          <w:lang w:val="en-US"/>
        </w:rPr>
        <w:t>0.53, 95%CI</w:t>
      </w:r>
      <w:r w:rsidR="00153BE2">
        <w:rPr>
          <w:rFonts w:ascii="Book Antiqua" w:hAnsi="Book Antiqua" w:cs="Arial"/>
          <w:color w:val="000000" w:themeColor="text1"/>
          <w:sz w:val="24"/>
          <w:szCs w:val="24"/>
          <w:lang w:val="en-US"/>
        </w:rPr>
        <w:t>:</w:t>
      </w:r>
      <w:r w:rsidR="0030779C" w:rsidRPr="00D5385E">
        <w:rPr>
          <w:rFonts w:ascii="Book Antiqua" w:hAnsi="Book Antiqua" w:cs="Arial"/>
          <w:color w:val="000000" w:themeColor="text1"/>
          <w:sz w:val="24"/>
          <w:szCs w:val="24"/>
          <w:lang w:val="en-US"/>
        </w:rPr>
        <w:t xml:space="preserve"> 0.26</w:t>
      </w:r>
      <w:r w:rsidR="000A1048">
        <w:rPr>
          <w:rFonts w:ascii="Book Antiqua" w:hAnsi="Book Antiqua" w:cs="Arial"/>
          <w:color w:val="000000" w:themeColor="text1"/>
          <w:sz w:val="24"/>
          <w:szCs w:val="24"/>
          <w:lang w:val="en-US"/>
        </w:rPr>
        <w:t>-</w:t>
      </w:r>
      <w:r w:rsidR="0030779C" w:rsidRPr="00D5385E">
        <w:rPr>
          <w:rFonts w:ascii="Book Antiqua" w:hAnsi="Book Antiqua" w:cs="Arial"/>
          <w:color w:val="000000" w:themeColor="text1"/>
          <w:sz w:val="24"/>
          <w:szCs w:val="24"/>
          <w:lang w:val="en-US"/>
        </w:rPr>
        <w:t>1.08).</w:t>
      </w:r>
      <w:r w:rsidR="008F245F" w:rsidRPr="00D5385E">
        <w:rPr>
          <w:rFonts w:ascii="Book Antiqua" w:hAnsi="Book Antiqua" w:cs="Arial"/>
          <w:color w:val="000000" w:themeColor="text1"/>
          <w:sz w:val="24"/>
          <w:szCs w:val="24"/>
          <w:lang w:val="en-US"/>
        </w:rPr>
        <w:t xml:space="preserve"> As expected in a meta</w:t>
      </w:r>
      <w:r w:rsidR="000A1048">
        <w:rPr>
          <w:rFonts w:ascii="Book Antiqua" w:hAnsi="Book Antiqua" w:cs="Arial"/>
          <w:color w:val="000000" w:themeColor="text1"/>
          <w:sz w:val="24"/>
          <w:szCs w:val="24"/>
          <w:lang w:val="en-US"/>
        </w:rPr>
        <w:t>-</w:t>
      </w:r>
      <w:r w:rsidR="008F245F" w:rsidRPr="00D5385E">
        <w:rPr>
          <w:rFonts w:ascii="Book Antiqua" w:hAnsi="Book Antiqua" w:cs="Arial"/>
          <w:color w:val="000000" w:themeColor="text1"/>
          <w:sz w:val="24"/>
          <w:szCs w:val="24"/>
          <w:lang w:val="en-US"/>
        </w:rPr>
        <w:t xml:space="preserve">analysis of small retrospective studies, several data points are missing, such as </w:t>
      </w:r>
      <w:r w:rsidR="00116C97" w:rsidRPr="00D5385E">
        <w:rPr>
          <w:rFonts w:ascii="Book Antiqua" w:hAnsi="Book Antiqua" w:cs="Arial"/>
          <w:color w:val="000000" w:themeColor="text1"/>
          <w:sz w:val="24"/>
          <w:szCs w:val="24"/>
          <w:lang w:val="en-US"/>
        </w:rPr>
        <w:t xml:space="preserve">comorbidity risk scores, </w:t>
      </w:r>
      <w:r w:rsidR="008F245F" w:rsidRPr="00D5385E">
        <w:rPr>
          <w:rFonts w:ascii="Book Antiqua" w:hAnsi="Book Antiqua" w:cs="Arial"/>
          <w:color w:val="000000" w:themeColor="text1"/>
          <w:sz w:val="24"/>
          <w:szCs w:val="24"/>
          <w:lang w:val="en-US"/>
        </w:rPr>
        <w:t>types of malignancy and inf</w:t>
      </w:r>
      <w:r w:rsidR="00116C97" w:rsidRPr="00D5385E">
        <w:rPr>
          <w:rFonts w:ascii="Book Antiqua" w:hAnsi="Book Antiqua" w:cs="Arial"/>
          <w:color w:val="000000" w:themeColor="text1"/>
          <w:sz w:val="24"/>
          <w:szCs w:val="24"/>
          <w:lang w:val="en-US"/>
        </w:rPr>
        <w:t>ections and a</w:t>
      </w:r>
      <w:r w:rsidR="008F245F" w:rsidRPr="00D5385E">
        <w:rPr>
          <w:rFonts w:ascii="Book Antiqua" w:hAnsi="Book Antiqua" w:cs="Arial"/>
          <w:color w:val="000000" w:themeColor="text1"/>
          <w:sz w:val="24"/>
          <w:szCs w:val="24"/>
          <w:lang w:val="en-US"/>
        </w:rPr>
        <w:t>ctive corticosteroid or immunomodulator therapy</w:t>
      </w:r>
      <w:r w:rsidR="00116C97" w:rsidRPr="00D5385E">
        <w:rPr>
          <w:rFonts w:ascii="Book Antiqua" w:hAnsi="Book Antiqua" w:cs="Arial"/>
          <w:color w:val="000000" w:themeColor="text1"/>
          <w:sz w:val="24"/>
          <w:szCs w:val="24"/>
          <w:lang w:val="en-US"/>
        </w:rPr>
        <w:t>, limiting this study’s impact on clinical practice</w:t>
      </w:r>
      <w:r w:rsidR="008F245F" w:rsidRPr="00D5385E">
        <w:rPr>
          <w:rFonts w:ascii="Book Antiqua" w:hAnsi="Book Antiqua" w:cs="Arial"/>
          <w:color w:val="000000" w:themeColor="text1"/>
          <w:sz w:val="24"/>
          <w:szCs w:val="24"/>
          <w:lang w:val="en-US"/>
        </w:rPr>
        <w:t>.</w:t>
      </w:r>
      <w:r w:rsidR="00D518C6" w:rsidRPr="00D5385E">
        <w:rPr>
          <w:rFonts w:ascii="Book Antiqua" w:hAnsi="Book Antiqua" w:cs="Arial"/>
          <w:color w:val="000000" w:themeColor="text1"/>
          <w:sz w:val="24"/>
          <w:szCs w:val="24"/>
          <w:lang w:val="en-US"/>
        </w:rPr>
        <w:t xml:space="preserve"> Existing data in the elderly IBD population suggests that</w:t>
      </w:r>
      <w:r w:rsidR="00486CC9" w:rsidRPr="00D5385E">
        <w:rPr>
          <w:rFonts w:ascii="Book Antiqua" w:hAnsi="Book Antiqua" w:cs="Arial"/>
          <w:color w:val="000000" w:themeColor="text1"/>
          <w:sz w:val="24"/>
          <w:szCs w:val="24"/>
          <w:lang w:val="en-US"/>
        </w:rPr>
        <w:t xml:space="preserve"> </w:t>
      </w:r>
      <w:r w:rsidR="00D518C6" w:rsidRPr="00D5385E">
        <w:rPr>
          <w:rFonts w:ascii="Book Antiqua" w:hAnsi="Book Antiqua" w:cs="Arial"/>
          <w:color w:val="000000" w:themeColor="text1"/>
          <w:sz w:val="24"/>
          <w:szCs w:val="24"/>
          <w:lang w:val="en-US"/>
        </w:rPr>
        <w:t xml:space="preserve">use of </w:t>
      </w:r>
      <w:r w:rsidR="00486CC9" w:rsidRPr="00D5385E">
        <w:rPr>
          <w:rFonts w:ascii="Book Antiqua" w:hAnsi="Book Antiqua" w:cs="Arial"/>
          <w:color w:val="000000" w:themeColor="text1"/>
          <w:sz w:val="24"/>
          <w:szCs w:val="24"/>
          <w:lang w:val="en-US"/>
        </w:rPr>
        <w:t>anti</w:t>
      </w:r>
      <w:r w:rsidR="000A1048">
        <w:rPr>
          <w:rFonts w:ascii="Book Antiqua" w:hAnsi="Book Antiqua" w:cs="Arial"/>
          <w:color w:val="000000" w:themeColor="text1"/>
          <w:sz w:val="24"/>
          <w:szCs w:val="24"/>
          <w:lang w:val="en-US"/>
        </w:rPr>
        <w:t>-</w:t>
      </w:r>
      <w:r w:rsidR="00486CC9" w:rsidRPr="00D5385E">
        <w:rPr>
          <w:rFonts w:ascii="Book Antiqua" w:hAnsi="Book Antiqua" w:cs="Arial"/>
          <w:color w:val="000000" w:themeColor="text1"/>
          <w:sz w:val="24"/>
          <w:szCs w:val="24"/>
          <w:lang w:val="en-US"/>
        </w:rPr>
        <w:t xml:space="preserve">TNF </w:t>
      </w:r>
      <w:r w:rsidR="00486CC9" w:rsidRPr="00D5385E">
        <w:rPr>
          <w:rFonts w:ascii="Book Antiqua" w:hAnsi="Book Antiqua" w:cs="Arial"/>
          <w:color w:val="000000" w:themeColor="text1"/>
          <w:sz w:val="24"/>
          <w:szCs w:val="24"/>
          <w:lang w:val="en-US"/>
        </w:rPr>
        <w:lastRenderedPageBreak/>
        <w:t xml:space="preserve">agents </w:t>
      </w:r>
      <w:r w:rsidR="00D518C6" w:rsidRPr="00D5385E">
        <w:rPr>
          <w:rFonts w:ascii="Book Antiqua" w:hAnsi="Book Antiqua" w:cs="Arial"/>
          <w:color w:val="000000" w:themeColor="text1"/>
          <w:sz w:val="24"/>
          <w:szCs w:val="24"/>
          <w:lang w:val="en-US"/>
        </w:rPr>
        <w:t>is an independent risk factor</w:t>
      </w:r>
      <w:r w:rsidR="00486CC9" w:rsidRPr="00D5385E">
        <w:rPr>
          <w:rFonts w:ascii="Book Antiqua" w:hAnsi="Book Antiqua" w:cs="Arial"/>
          <w:color w:val="000000" w:themeColor="text1"/>
          <w:sz w:val="24"/>
          <w:szCs w:val="24"/>
          <w:lang w:val="en-US"/>
        </w:rPr>
        <w:t xml:space="preserve"> </w:t>
      </w:r>
      <w:r w:rsidR="00D518C6" w:rsidRPr="00D5385E">
        <w:rPr>
          <w:rFonts w:ascii="Book Antiqua" w:hAnsi="Book Antiqua" w:cs="Arial"/>
          <w:color w:val="000000" w:themeColor="text1"/>
          <w:sz w:val="24"/>
          <w:szCs w:val="24"/>
          <w:lang w:val="en-US"/>
        </w:rPr>
        <w:t xml:space="preserve">for infections (minor and severe), emphasizing the importance of prophylactic measures, such as hand hygiene and immunization guidelines. </w:t>
      </w:r>
      <w:r w:rsidR="00595221" w:rsidRPr="00D5385E">
        <w:rPr>
          <w:rFonts w:ascii="Book Antiqua" w:hAnsi="Book Antiqua" w:cs="Arial"/>
          <w:color w:val="000000" w:themeColor="text1"/>
          <w:sz w:val="24"/>
          <w:szCs w:val="24"/>
          <w:lang w:val="en-US"/>
        </w:rPr>
        <w:t>Current d</w:t>
      </w:r>
      <w:r w:rsidR="00D518C6" w:rsidRPr="00D5385E">
        <w:rPr>
          <w:rFonts w:ascii="Book Antiqua" w:hAnsi="Book Antiqua" w:cs="Arial"/>
          <w:color w:val="000000" w:themeColor="text1"/>
          <w:sz w:val="24"/>
          <w:szCs w:val="24"/>
          <w:lang w:val="en-US"/>
        </w:rPr>
        <w:t>ata</w:t>
      </w:r>
      <w:r w:rsidR="00595221" w:rsidRPr="00D5385E">
        <w:rPr>
          <w:rFonts w:ascii="Book Antiqua" w:hAnsi="Book Antiqua" w:cs="Arial"/>
          <w:color w:val="000000" w:themeColor="text1"/>
          <w:sz w:val="24"/>
          <w:szCs w:val="24"/>
          <w:lang w:val="en-US"/>
        </w:rPr>
        <w:t xml:space="preserve"> regarding malignancy risk remains conflicting; no specific screening is deemed required</w:t>
      </w:r>
      <w:r w:rsidR="001E412A" w:rsidRPr="00D5385E">
        <w:rPr>
          <w:rFonts w:ascii="Book Antiqua" w:hAnsi="Book Antiqua" w:cs="Arial"/>
          <w:color w:val="000000" w:themeColor="text1"/>
          <w:sz w:val="24"/>
          <w:szCs w:val="24"/>
          <w:lang w:val="en-US"/>
        </w:rPr>
        <w:t xml:space="preserve"> as per the ECCO Topical Review on IBD in the </w:t>
      </w:r>
      <w:proofErr w:type="gramStart"/>
      <w:r w:rsidR="001E412A" w:rsidRPr="00D5385E">
        <w:rPr>
          <w:rFonts w:ascii="Book Antiqua" w:hAnsi="Book Antiqua" w:cs="Arial"/>
          <w:color w:val="000000" w:themeColor="text1"/>
          <w:sz w:val="24"/>
          <w:szCs w:val="24"/>
          <w:lang w:val="en-US"/>
        </w:rPr>
        <w:t>elderly</w:t>
      </w:r>
      <w:r w:rsidR="001E412A" w:rsidRPr="00D5385E">
        <w:rPr>
          <w:rFonts w:ascii="Book Antiqua" w:hAnsi="Book Antiqua" w:cs="Arial"/>
          <w:color w:val="000000" w:themeColor="text1"/>
          <w:sz w:val="24"/>
          <w:szCs w:val="24"/>
          <w:vertAlign w:val="superscript"/>
          <w:lang w:val="en-US"/>
        </w:rPr>
        <w:t>[</w:t>
      </w:r>
      <w:proofErr w:type="gramEnd"/>
      <w:r w:rsidR="001E412A" w:rsidRPr="00D5385E">
        <w:rPr>
          <w:rFonts w:ascii="Book Antiqua" w:hAnsi="Book Antiqua" w:cs="Arial"/>
          <w:color w:val="000000" w:themeColor="text1"/>
          <w:sz w:val="24"/>
          <w:szCs w:val="24"/>
          <w:vertAlign w:val="superscript"/>
          <w:lang w:val="en-US"/>
        </w:rPr>
        <w:t>4]</w:t>
      </w:r>
      <w:r w:rsidR="00595221" w:rsidRPr="00D5385E">
        <w:rPr>
          <w:rFonts w:ascii="Book Antiqua" w:hAnsi="Book Antiqua" w:cs="Arial"/>
          <w:color w:val="000000" w:themeColor="text1"/>
          <w:sz w:val="24"/>
          <w:szCs w:val="24"/>
          <w:lang w:val="en-US"/>
        </w:rPr>
        <w:t>. Otherwise, anti</w:t>
      </w:r>
      <w:r w:rsidR="000A1048">
        <w:rPr>
          <w:rFonts w:ascii="Book Antiqua" w:hAnsi="Book Antiqua" w:cs="Arial"/>
          <w:color w:val="000000" w:themeColor="text1"/>
          <w:sz w:val="24"/>
          <w:szCs w:val="24"/>
          <w:lang w:val="en-US"/>
        </w:rPr>
        <w:t>-</w:t>
      </w:r>
      <w:r w:rsidR="00595221" w:rsidRPr="00D5385E">
        <w:rPr>
          <w:rFonts w:ascii="Book Antiqua" w:hAnsi="Book Antiqua" w:cs="Arial"/>
          <w:color w:val="000000" w:themeColor="text1"/>
          <w:sz w:val="24"/>
          <w:szCs w:val="24"/>
          <w:lang w:val="en-US"/>
        </w:rPr>
        <w:t xml:space="preserve">TNF agents should be avoided in severe cases of congestive heart failure, whereas milder disease requires closer surveillance, although data is lacking regarding cardiovascular surveillance </w:t>
      </w:r>
      <w:proofErr w:type="gramStart"/>
      <w:r w:rsidR="00595221" w:rsidRPr="00D5385E">
        <w:rPr>
          <w:rFonts w:ascii="Book Antiqua" w:hAnsi="Book Antiqua" w:cs="Arial"/>
          <w:color w:val="000000" w:themeColor="text1"/>
          <w:sz w:val="24"/>
          <w:szCs w:val="24"/>
          <w:lang w:val="en-US"/>
        </w:rPr>
        <w:t>protocols</w:t>
      </w:r>
      <w:r w:rsidR="00A94A6A" w:rsidRPr="00D5385E">
        <w:rPr>
          <w:rFonts w:ascii="Book Antiqua" w:hAnsi="Book Antiqua" w:cs="Arial"/>
          <w:color w:val="000000" w:themeColor="text1"/>
          <w:sz w:val="24"/>
          <w:szCs w:val="24"/>
          <w:vertAlign w:val="superscript"/>
          <w:lang w:val="en-US"/>
        </w:rPr>
        <w:t>[</w:t>
      </w:r>
      <w:proofErr w:type="gramEnd"/>
      <w:r w:rsidR="00A94A6A" w:rsidRPr="00D5385E">
        <w:rPr>
          <w:rFonts w:ascii="Book Antiqua" w:hAnsi="Book Antiqua" w:cs="Arial"/>
          <w:color w:val="000000" w:themeColor="text1"/>
          <w:sz w:val="24"/>
          <w:szCs w:val="24"/>
          <w:vertAlign w:val="superscript"/>
          <w:lang w:val="en-US"/>
        </w:rPr>
        <w:t>4]</w:t>
      </w:r>
      <w:r w:rsidR="00153BE2">
        <w:rPr>
          <w:rFonts w:ascii="Book Antiqua" w:hAnsi="Book Antiqua" w:cs="Arial"/>
          <w:color w:val="000000" w:themeColor="text1"/>
          <w:sz w:val="24"/>
          <w:szCs w:val="24"/>
          <w:lang w:val="en-US"/>
        </w:rPr>
        <w:t>.</w:t>
      </w:r>
    </w:p>
    <w:p w14:paraId="6CA2CF44" w14:textId="77777777" w:rsidR="00153BE2" w:rsidRPr="00153BE2" w:rsidRDefault="00153BE2"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p>
    <w:p w14:paraId="2DF9E1A8" w14:textId="47B667C7" w:rsidR="00EB41E1" w:rsidRPr="00153BE2" w:rsidRDefault="00FD5635"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 xml:space="preserve">Inhibition of </w:t>
      </w:r>
      <w:r w:rsidR="00153BE2" w:rsidRPr="00D5385E">
        <w:rPr>
          <w:rFonts w:ascii="Book Antiqua" w:hAnsi="Book Antiqua" w:cs="Arial"/>
          <w:b/>
          <w:color w:val="000000" w:themeColor="text1"/>
          <w:sz w:val="24"/>
          <w:szCs w:val="24"/>
          <w:lang w:val="en-US"/>
        </w:rPr>
        <w:t>leukocyte trafficking</w:t>
      </w:r>
      <w:r w:rsidR="00153BE2">
        <w:rPr>
          <w:rFonts w:ascii="Book Antiqua" w:hAnsi="Book Antiqua" w:cs="Arial"/>
          <w:b/>
          <w:color w:val="000000" w:themeColor="text1"/>
          <w:sz w:val="24"/>
          <w:szCs w:val="24"/>
          <w:lang w:val="en-US"/>
        </w:rPr>
        <w:t xml:space="preserve">: </w:t>
      </w:r>
      <w:r w:rsidR="00C041EE" w:rsidRPr="00D5385E">
        <w:rPr>
          <w:rFonts w:ascii="Book Antiqua" w:hAnsi="Book Antiqua" w:cs="Arial"/>
          <w:color w:val="000000" w:themeColor="text1"/>
          <w:sz w:val="24"/>
          <w:szCs w:val="24"/>
          <w:lang w:val="en-US"/>
        </w:rPr>
        <w:t>Vedolizumab</w:t>
      </w:r>
      <w:r w:rsidR="00EB6F49" w:rsidRPr="00D5385E">
        <w:rPr>
          <w:rFonts w:ascii="Book Antiqua" w:hAnsi="Book Antiqua" w:cs="Arial"/>
          <w:color w:val="000000" w:themeColor="text1"/>
          <w:sz w:val="24"/>
          <w:szCs w:val="24"/>
          <w:lang w:val="en-US"/>
        </w:rPr>
        <w:t>, a monoclonal antibody directed against the integrin subunit α4β7, prevents circulating lymphocytes to interact with mucosal cell adhesion molecule</w:t>
      </w:r>
      <w:r w:rsidR="000A1048">
        <w:rPr>
          <w:rFonts w:ascii="Book Antiqua" w:hAnsi="Book Antiqua" w:cs="Arial"/>
          <w:color w:val="000000" w:themeColor="text1"/>
          <w:sz w:val="24"/>
          <w:szCs w:val="24"/>
          <w:lang w:val="en-US"/>
        </w:rPr>
        <w:t>-</w:t>
      </w:r>
      <w:r w:rsidR="00EB6F49" w:rsidRPr="00D5385E">
        <w:rPr>
          <w:rFonts w:ascii="Book Antiqua" w:hAnsi="Book Antiqua" w:cs="Arial"/>
          <w:color w:val="000000" w:themeColor="text1"/>
          <w:sz w:val="24"/>
          <w:szCs w:val="24"/>
          <w:lang w:val="en-US"/>
        </w:rPr>
        <w:t>1 (MAdCAM</w:t>
      </w:r>
      <w:r w:rsidR="000A1048">
        <w:rPr>
          <w:rFonts w:ascii="Book Antiqua" w:hAnsi="Book Antiqua" w:cs="Arial"/>
          <w:color w:val="000000" w:themeColor="text1"/>
          <w:sz w:val="24"/>
          <w:szCs w:val="24"/>
          <w:lang w:val="en-US"/>
        </w:rPr>
        <w:t>-</w:t>
      </w:r>
      <w:r w:rsidR="00EB6F49" w:rsidRPr="00D5385E">
        <w:rPr>
          <w:rFonts w:ascii="Book Antiqua" w:hAnsi="Book Antiqua" w:cs="Arial"/>
          <w:color w:val="000000" w:themeColor="text1"/>
          <w:sz w:val="24"/>
          <w:szCs w:val="24"/>
          <w:lang w:val="en-US"/>
        </w:rPr>
        <w:t xml:space="preserve">1), thereby reducing the migration of inflammatory cells towards colonic mucosa. </w:t>
      </w:r>
      <w:r w:rsidR="00170CD7" w:rsidRPr="00D5385E">
        <w:rPr>
          <w:rFonts w:ascii="Book Antiqua" w:hAnsi="Book Antiqua" w:cs="Arial"/>
          <w:color w:val="000000" w:themeColor="text1"/>
          <w:sz w:val="24"/>
          <w:szCs w:val="24"/>
          <w:lang w:val="en-US"/>
        </w:rPr>
        <w:t xml:space="preserve">A </w:t>
      </w:r>
      <w:r w:rsidR="00170CD7" w:rsidRPr="00D5385E">
        <w:rPr>
          <w:rFonts w:ascii="Book Antiqua" w:hAnsi="Book Antiqua" w:cs="Arial"/>
          <w:i/>
          <w:color w:val="000000" w:themeColor="text1"/>
          <w:sz w:val="24"/>
          <w:szCs w:val="24"/>
          <w:lang w:val="en-US"/>
        </w:rPr>
        <w:t>post hoc</w:t>
      </w:r>
      <w:r w:rsidR="0032626F" w:rsidRPr="00D5385E">
        <w:rPr>
          <w:rFonts w:ascii="Book Antiqua" w:hAnsi="Book Antiqua" w:cs="Arial"/>
          <w:color w:val="000000" w:themeColor="text1"/>
          <w:sz w:val="24"/>
          <w:szCs w:val="24"/>
          <w:lang w:val="en-US"/>
        </w:rPr>
        <w:t xml:space="preserve"> analysis of</w:t>
      </w:r>
      <w:r w:rsidR="005867F1" w:rsidRPr="00D5385E">
        <w:rPr>
          <w:rFonts w:ascii="Book Antiqua" w:hAnsi="Book Antiqua" w:cs="Arial"/>
          <w:color w:val="000000" w:themeColor="text1"/>
          <w:sz w:val="24"/>
          <w:szCs w:val="24"/>
          <w:lang w:val="en-US"/>
        </w:rPr>
        <w:t xml:space="preserve"> </w:t>
      </w:r>
      <w:r w:rsidR="00170CD7" w:rsidRPr="00D5385E">
        <w:rPr>
          <w:rFonts w:ascii="Book Antiqua" w:hAnsi="Book Antiqua" w:cs="Arial"/>
          <w:color w:val="000000" w:themeColor="text1"/>
          <w:sz w:val="24"/>
          <w:szCs w:val="24"/>
          <w:lang w:val="en-US"/>
        </w:rPr>
        <w:t>the GEMINI trials</w:t>
      </w:r>
      <w:r w:rsidR="00D92E31" w:rsidRPr="00D5385E">
        <w:rPr>
          <w:rFonts w:ascii="Book Antiqua" w:hAnsi="Book Antiqua" w:cs="Arial"/>
          <w:color w:val="000000" w:themeColor="text1"/>
          <w:sz w:val="24"/>
          <w:szCs w:val="24"/>
          <w:lang w:val="en-US"/>
        </w:rPr>
        <w:t xml:space="preserve"> from </w:t>
      </w:r>
      <w:proofErr w:type="spellStart"/>
      <w:r w:rsidR="00D92E31" w:rsidRPr="00D5385E">
        <w:rPr>
          <w:rFonts w:ascii="Book Antiqua" w:hAnsi="Book Antiqua" w:cs="Arial"/>
          <w:color w:val="000000" w:themeColor="text1"/>
          <w:sz w:val="24"/>
          <w:szCs w:val="24"/>
          <w:lang w:val="en-US"/>
        </w:rPr>
        <w:t>Yajnik</w:t>
      </w:r>
      <w:proofErr w:type="spellEnd"/>
      <w:r w:rsidR="00D92E31" w:rsidRPr="00D5385E">
        <w:rPr>
          <w:rFonts w:ascii="Book Antiqua" w:hAnsi="Book Antiqua" w:cs="Arial"/>
          <w:color w:val="000000" w:themeColor="text1"/>
          <w:sz w:val="24"/>
          <w:szCs w:val="24"/>
          <w:lang w:val="en-US"/>
        </w:rPr>
        <w:t xml:space="preserve"> </w:t>
      </w:r>
      <w:r w:rsidR="00D92E31" w:rsidRPr="00153BE2">
        <w:rPr>
          <w:rFonts w:ascii="Book Antiqua" w:hAnsi="Book Antiqua" w:cs="Arial"/>
          <w:i/>
          <w:iCs/>
          <w:color w:val="000000" w:themeColor="text1"/>
          <w:sz w:val="24"/>
          <w:szCs w:val="24"/>
          <w:lang w:val="en-US"/>
        </w:rPr>
        <w:t xml:space="preserve">et </w:t>
      </w:r>
      <w:proofErr w:type="gramStart"/>
      <w:r w:rsidR="00D92E31" w:rsidRPr="00153BE2">
        <w:rPr>
          <w:rFonts w:ascii="Book Antiqua" w:hAnsi="Book Antiqua" w:cs="Arial"/>
          <w:i/>
          <w:iCs/>
          <w:color w:val="000000" w:themeColor="text1"/>
          <w:sz w:val="24"/>
          <w:szCs w:val="24"/>
          <w:lang w:val="en-US"/>
        </w:rPr>
        <w:t>al</w:t>
      </w:r>
      <w:r w:rsidR="00153BE2"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59</w:t>
      </w:r>
      <w:r w:rsidR="00153BE2" w:rsidRPr="00D5385E">
        <w:rPr>
          <w:rFonts w:ascii="Book Antiqua" w:hAnsi="Book Antiqua" w:cs="Arial"/>
          <w:color w:val="000000" w:themeColor="text1"/>
          <w:sz w:val="24"/>
          <w:szCs w:val="24"/>
          <w:vertAlign w:val="superscript"/>
          <w:lang w:val="en-US"/>
        </w:rPr>
        <w:t>]</w:t>
      </w:r>
      <w:r w:rsidR="00170CD7" w:rsidRPr="00D5385E">
        <w:rPr>
          <w:rFonts w:ascii="Book Antiqua" w:hAnsi="Book Antiqua" w:cs="Arial"/>
          <w:color w:val="000000" w:themeColor="text1"/>
          <w:sz w:val="24"/>
          <w:szCs w:val="24"/>
          <w:lang w:val="en-US"/>
        </w:rPr>
        <w:t xml:space="preserve"> s</w:t>
      </w:r>
      <w:r w:rsidR="00C041EE" w:rsidRPr="00D5385E">
        <w:rPr>
          <w:rFonts w:ascii="Book Antiqua" w:hAnsi="Book Antiqua" w:cs="Arial"/>
          <w:color w:val="000000" w:themeColor="text1"/>
          <w:sz w:val="24"/>
          <w:szCs w:val="24"/>
          <w:lang w:val="en-US"/>
        </w:rPr>
        <w:t>howed that</w:t>
      </w:r>
      <w:r w:rsidR="005867F1" w:rsidRPr="00D5385E">
        <w:rPr>
          <w:rFonts w:ascii="Book Antiqua" w:hAnsi="Book Antiqua" w:cs="Arial"/>
          <w:color w:val="000000" w:themeColor="text1"/>
          <w:sz w:val="24"/>
          <w:szCs w:val="24"/>
          <w:lang w:val="en-US"/>
        </w:rPr>
        <w:t xml:space="preserve">, </w:t>
      </w:r>
      <w:r w:rsidR="00697048" w:rsidRPr="00D5385E">
        <w:rPr>
          <w:rFonts w:ascii="Book Antiqua" w:hAnsi="Book Antiqua" w:cs="Arial"/>
          <w:color w:val="000000" w:themeColor="text1"/>
          <w:sz w:val="24"/>
          <w:szCs w:val="24"/>
          <w:lang w:val="en-US"/>
        </w:rPr>
        <w:t>across</w:t>
      </w:r>
      <w:r w:rsidR="005867F1" w:rsidRPr="00D5385E">
        <w:rPr>
          <w:rFonts w:ascii="Book Antiqua" w:hAnsi="Book Antiqua" w:cs="Arial"/>
          <w:color w:val="000000" w:themeColor="text1"/>
          <w:sz w:val="24"/>
          <w:szCs w:val="24"/>
          <w:lang w:val="en-US"/>
        </w:rPr>
        <w:t xml:space="preserve"> different age groups (≤</w:t>
      </w:r>
      <w:r w:rsidR="00153BE2">
        <w:rPr>
          <w:rFonts w:ascii="Book Antiqua" w:hAnsi="Book Antiqua" w:cs="Arial"/>
          <w:color w:val="000000" w:themeColor="text1"/>
          <w:sz w:val="24"/>
          <w:szCs w:val="24"/>
          <w:lang w:val="en-US"/>
        </w:rPr>
        <w:t xml:space="preserve"> </w:t>
      </w:r>
      <w:r w:rsidR="005867F1" w:rsidRPr="00D5385E">
        <w:rPr>
          <w:rFonts w:ascii="Book Antiqua" w:hAnsi="Book Antiqua" w:cs="Arial"/>
          <w:color w:val="000000" w:themeColor="text1"/>
          <w:sz w:val="24"/>
          <w:szCs w:val="24"/>
          <w:lang w:val="en-US"/>
        </w:rPr>
        <w:t>35, 35</w:t>
      </w:r>
      <w:r w:rsidR="000A1048">
        <w:rPr>
          <w:rFonts w:ascii="Book Antiqua" w:hAnsi="Book Antiqua" w:cs="Arial"/>
          <w:color w:val="000000" w:themeColor="text1"/>
          <w:sz w:val="24"/>
          <w:szCs w:val="24"/>
          <w:lang w:val="en-US"/>
        </w:rPr>
        <w:t>-</w:t>
      </w:r>
      <w:r w:rsidR="005867F1" w:rsidRPr="00D5385E">
        <w:rPr>
          <w:rFonts w:ascii="Book Antiqua" w:hAnsi="Book Antiqua" w:cs="Arial"/>
          <w:color w:val="000000" w:themeColor="text1"/>
          <w:sz w:val="24"/>
          <w:szCs w:val="24"/>
          <w:lang w:val="en-US"/>
        </w:rPr>
        <w:t>55, ≥</w:t>
      </w:r>
      <w:r w:rsidR="00153BE2">
        <w:rPr>
          <w:rFonts w:ascii="Book Antiqua" w:hAnsi="Book Antiqua" w:cs="Arial"/>
          <w:color w:val="000000" w:themeColor="text1"/>
          <w:sz w:val="24"/>
          <w:szCs w:val="24"/>
          <w:lang w:val="en-US"/>
        </w:rPr>
        <w:t xml:space="preserve"> </w:t>
      </w:r>
      <w:r w:rsidR="005867F1" w:rsidRPr="00D5385E">
        <w:rPr>
          <w:rFonts w:ascii="Book Antiqua" w:hAnsi="Book Antiqua" w:cs="Arial"/>
          <w:color w:val="000000" w:themeColor="text1"/>
          <w:sz w:val="24"/>
          <w:szCs w:val="24"/>
          <w:lang w:val="en-US"/>
        </w:rPr>
        <w:t>55),</w:t>
      </w:r>
      <w:r w:rsidR="00C041EE" w:rsidRPr="00D5385E">
        <w:rPr>
          <w:rFonts w:ascii="Book Antiqua" w:hAnsi="Book Antiqua" w:cs="Arial"/>
          <w:color w:val="000000" w:themeColor="text1"/>
          <w:sz w:val="24"/>
          <w:szCs w:val="24"/>
          <w:lang w:val="en-US"/>
        </w:rPr>
        <w:t xml:space="preserve"> vedolizumab </w:t>
      </w:r>
      <w:r w:rsidR="00170CD7" w:rsidRPr="00D5385E">
        <w:rPr>
          <w:rFonts w:ascii="Book Antiqua" w:hAnsi="Book Antiqua" w:cs="Arial"/>
          <w:color w:val="000000" w:themeColor="text1"/>
          <w:sz w:val="24"/>
          <w:szCs w:val="24"/>
          <w:lang w:val="en-US"/>
        </w:rPr>
        <w:t xml:space="preserve">had similar </w:t>
      </w:r>
      <w:r w:rsidR="005867F1" w:rsidRPr="00D5385E">
        <w:rPr>
          <w:rFonts w:ascii="Book Antiqua" w:hAnsi="Book Antiqua" w:cs="Arial"/>
          <w:color w:val="000000" w:themeColor="text1"/>
          <w:sz w:val="24"/>
          <w:szCs w:val="24"/>
          <w:lang w:val="en-US"/>
        </w:rPr>
        <w:t xml:space="preserve">rates </w:t>
      </w:r>
      <w:r w:rsidR="00697048" w:rsidRPr="00D5385E">
        <w:rPr>
          <w:rFonts w:ascii="Book Antiqua" w:hAnsi="Book Antiqua" w:cs="Arial"/>
          <w:color w:val="000000" w:themeColor="text1"/>
          <w:sz w:val="24"/>
          <w:szCs w:val="24"/>
          <w:lang w:val="en-US"/>
        </w:rPr>
        <w:t>of corticosteroid</w:t>
      </w:r>
      <w:r w:rsidR="000A1048">
        <w:rPr>
          <w:rFonts w:ascii="Book Antiqua" w:hAnsi="Book Antiqua" w:cs="Arial"/>
          <w:color w:val="000000" w:themeColor="text1"/>
          <w:sz w:val="24"/>
          <w:szCs w:val="24"/>
          <w:lang w:val="en-US"/>
        </w:rPr>
        <w:t>-</w:t>
      </w:r>
      <w:r w:rsidR="00697048" w:rsidRPr="00D5385E">
        <w:rPr>
          <w:rFonts w:ascii="Book Antiqua" w:hAnsi="Book Antiqua" w:cs="Arial"/>
          <w:color w:val="000000" w:themeColor="text1"/>
          <w:sz w:val="24"/>
          <w:szCs w:val="24"/>
          <w:lang w:val="en-US"/>
        </w:rPr>
        <w:t>free remission at 52 weeks</w:t>
      </w:r>
      <w:r w:rsidR="0032626F" w:rsidRPr="00D5385E">
        <w:rPr>
          <w:rFonts w:ascii="Book Antiqua" w:hAnsi="Book Antiqua" w:cs="Arial"/>
          <w:color w:val="000000" w:themeColor="text1"/>
          <w:sz w:val="24"/>
          <w:szCs w:val="24"/>
          <w:lang w:val="en-US"/>
        </w:rPr>
        <w:t xml:space="preserve">, respectively </w:t>
      </w:r>
      <w:r w:rsidR="00697048" w:rsidRPr="00D5385E">
        <w:rPr>
          <w:rFonts w:ascii="Book Antiqua" w:hAnsi="Book Antiqua" w:cs="Arial"/>
          <w:color w:val="000000" w:themeColor="text1"/>
          <w:sz w:val="24"/>
          <w:szCs w:val="24"/>
          <w:lang w:val="en-US"/>
        </w:rPr>
        <w:t xml:space="preserve">32.6% </w:t>
      </w:r>
      <w:bookmarkStart w:id="67" w:name="OLE_LINK3"/>
      <w:bookmarkStart w:id="68" w:name="OLE_LINK4"/>
      <w:r w:rsidR="006D1438" w:rsidRPr="00153BE2">
        <w:rPr>
          <w:rFonts w:ascii="Book Antiqua" w:hAnsi="Book Antiqua" w:cs="Arial"/>
          <w:i/>
          <w:iCs/>
          <w:color w:val="000000" w:themeColor="text1"/>
          <w:sz w:val="24"/>
          <w:szCs w:val="24"/>
          <w:lang w:val="en-US"/>
        </w:rPr>
        <w:t>vs</w:t>
      </w:r>
      <w:bookmarkEnd w:id="67"/>
      <w:bookmarkEnd w:id="68"/>
      <w:r w:rsidR="00697048" w:rsidRPr="00D5385E">
        <w:rPr>
          <w:rFonts w:ascii="Book Antiqua" w:hAnsi="Book Antiqua" w:cs="Arial"/>
          <w:color w:val="000000" w:themeColor="text1"/>
          <w:sz w:val="24"/>
          <w:szCs w:val="24"/>
          <w:lang w:val="en-US"/>
        </w:rPr>
        <w:t xml:space="preserve"> 26.7% </w:t>
      </w:r>
      <w:r w:rsidR="00153BE2" w:rsidRPr="00153BE2">
        <w:rPr>
          <w:rFonts w:ascii="Book Antiqua" w:hAnsi="Book Antiqua" w:cs="Arial"/>
          <w:i/>
          <w:iCs/>
          <w:color w:val="000000" w:themeColor="text1"/>
          <w:sz w:val="24"/>
          <w:szCs w:val="24"/>
          <w:lang w:val="en-US"/>
        </w:rPr>
        <w:t>vs</w:t>
      </w:r>
      <w:r w:rsidR="00697048" w:rsidRPr="00D5385E">
        <w:rPr>
          <w:rFonts w:ascii="Book Antiqua" w:hAnsi="Book Antiqua" w:cs="Arial"/>
          <w:color w:val="000000" w:themeColor="text1"/>
          <w:sz w:val="24"/>
          <w:szCs w:val="24"/>
          <w:lang w:val="en-US"/>
        </w:rPr>
        <w:t xml:space="preserve"> 28.6% for CD and 33.3% </w:t>
      </w:r>
      <w:r w:rsidR="00153BE2" w:rsidRPr="00153BE2">
        <w:rPr>
          <w:rFonts w:ascii="Book Antiqua" w:hAnsi="Book Antiqua" w:cs="Arial"/>
          <w:i/>
          <w:iCs/>
          <w:color w:val="000000" w:themeColor="text1"/>
          <w:sz w:val="24"/>
          <w:szCs w:val="24"/>
          <w:lang w:val="en-US"/>
        </w:rPr>
        <w:t>vs</w:t>
      </w:r>
      <w:r w:rsidR="00697048" w:rsidRPr="00D5385E">
        <w:rPr>
          <w:rFonts w:ascii="Book Antiqua" w:hAnsi="Book Antiqua" w:cs="Arial"/>
          <w:color w:val="000000" w:themeColor="text1"/>
          <w:sz w:val="24"/>
          <w:szCs w:val="24"/>
          <w:lang w:val="en-US"/>
        </w:rPr>
        <w:t xml:space="preserve"> 42.3% </w:t>
      </w:r>
      <w:r w:rsidR="00153BE2" w:rsidRPr="00153BE2">
        <w:rPr>
          <w:rFonts w:ascii="Book Antiqua" w:hAnsi="Book Antiqua" w:cs="Arial"/>
          <w:i/>
          <w:iCs/>
          <w:color w:val="000000" w:themeColor="text1"/>
          <w:sz w:val="24"/>
          <w:szCs w:val="24"/>
          <w:lang w:val="en-US"/>
        </w:rPr>
        <w:t>vs</w:t>
      </w:r>
      <w:r w:rsidR="00697048" w:rsidRPr="00D5385E">
        <w:rPr>
          <w:rFonts w:ascii="Book Antiqua" w:hAnsi="Book Antiqua" w:cs="Arial"/>
          <w:color w:val="000000" w:themeColor="text1"/>
          <w:sz w:val="24"/>
          <w:szCs w:val="24"/>
          <w:lang w:val="en-US"/>
        </w:rPr>
        <w:t xml:space="preserve"> 38.1% in UC. In the same trial, r</w:t>
      </w:r>
      <w:r w:rsidR="005867F1" w:rsidRPr="00D5385E">
        <w:rPr>
          <w:rFonts w:ascii="Book Antiqua" w:hAnsi="Book Antiqua" w:cs="Arial"/>
          <w:color w:val="000000" w:themeColor="text1"/>
          <w:sz w:val="24"/>
          <w:szCs w:val="24"/>
          <w:lang w:val="en-US"/>
        </w:rPr>
        <w:t xml:space="preserve">ates of </w:t>
      </w:r>
      <w:r w:rsidR="003F4DA6" w:rsidRPr="00D5385E">
        <w:rPr>
          <w:rFonts w:ascii="Book Antiqua" w:hAnsi="Book Antiqua" w:cs="Arial"/>
          <w:color w:val="000000" w:themeColor="text1"/>
          <w:sz w:val="24"/>
          <w:szCs w:val="24"/>
          <w:lang w:val="en-US"/>
        </w:rPr>
        <w:t>maligna</w:t>
      </w:r>
      <w:r w:rsidR="004C270B" w:rsidRPr="00D5385E">
        <w:rPr>
          <w:rFonts w:ascii="Book Antiqua" w:hAnsi="Book Antiqua" w:cs="Arial"/>
          <w:color w:val="000000" w:themeColor="text1"/>
          <w:sz w:val="24"/>
          <w:szCs w:val="24"/>
          <w:lang w:val="en-US"/>
        </w:rPr>
        <w:t>n</w:t>
      </w:r>
      <w:r w:rsidR="003F4DA6" w:rsidRPr="00D5385E">
        <w:rPr>
          <w:rFonts w:ascii="Book Antiqua" w:hAnsi="Book Antiqua" w:cs="Arial"/>
          <w:color w:val="000000" w:themeColor="text1"/>
          <w:sz w:val="24"/>
          <w:szCs w:val="24"/>
          <w:lang w:val="en-US"/>
        </w:rPr>
        <w:t>cy</w:t>
      </w:r>
      <w:r w:rsidR="005867F1" w:rsidRPr="00D5385E">
        <w:rPr>
          <w:rFonts w:ascii="Book Antiqua" w:hAnsi="Book Antiqua" w:cs="Arial"/>
          <w:color w:val="000000" w:themeColor="text1"/>
          <w:sz w:val="24"/>
          <w:szCs w:val="24"/>
          <w:lang w:val="en-US"/>
        </w:rPr>
        <w:t xml:space="preserve"> and </w:t>
      </w:r>
      <w:r w:rsidR="003F4DA6" w:rsidRPr="00D5385E">
        <w:rPr>
          <w:rFonts w:ascii="Book Antiqua" w:hAnsi="Book Antiqua" w:cs="Arial"/>
          <w:color w:val="000000" w:themeColor="text1"/>
          <w:sz w:val="24"/>
          <w:szCs w:val="24"/>
          <w:lang w:val="en-US"/>
        </w:rPr>
        <w:t>infections</w:t>
      </w:r>
      <w:r w:rsidR="005867F1" w:rsidRPr="00D5385E">
        <w:rPr>
          <w:rFonts w:ascii="Book Antiqua" w:hAnsi="Book Antiqua" w:cs="Arial"/>
          <w:color w:val="000000" w:themeColor="text1"/>
          <w:sz w:val="24"/>
          <w:szCs w:val="24"/>
          <w:lang w:val="en-US"/>
        </w:rPr>
        <w:t xml:space="preserve"> in the elderly population were </w:t>
      </w:r>
      <w:r w:rsidR="003F4DA6" w:rsidRPr="00D5385E">
        <w:rPr>
          <w:rFonts w:ascii="Book Antiqua" w:hAnsi="Book Antiqua" w:cs="Arial"/>
          <w:color w:val="000000" w:themeColor="text1"/>
          <w:sz w:val="24"/>
          <w:szCs w:val="24"/>
          <w:lang w:val="en-US"/>
        </w:rPr>
        <w:t xml:space="preserve">mostly </w:t>
      </w:r>
      <w:r w:rsidR="005867F1" w:rsidRPr="00D5385E">
        <w:rPr>
          <w:rFonts w:ascii="Book Antiqua" w:hAnsi="Book Antiqua" w:cs="Arial"/>
          <w:color w:val="000000" w:themeColor="text1"/>
          <w:sz w:val="24"/>
          <w:szCs w:val="24"/>
          <w:lang w:val="en-US"/>
        </w:rPr>
        <w:t>similar compared to their younger counterparts</w:t>
      </w:r>
      <w:r w:rsidR="00697048" w:rsidRPr="00D5385E">
        <w:rPr>
          <w:rFonts w:ascii="Book Antiqua" w:hAnsi="Book Antiqua" w:cs="Arial"/>
          <w:color w:val="000000" w:themeColor="text1"/>
          <w:sz w:val="24"/>
          <w:szCs w:val="24"/>
          <w:lang w:val="en-US"/>
        </w:rPr>
        <w:t>, as in</w:t>
      </w:r>
      <w:r w:rsidR="003F4DA6" w:rsidRPr="00D5385E">
        <w:rPr>
          <w:rFonts w:ascii="Book Antiqua" w:hAnsi="Book Antiqua" w:cs="Arial"/>
          <w:color w:val="000000" w:themeColor="text1"/>
          <w:sz w:val="24"/>
          <w:szCs w:val="24"/>
          <w:lang w:val="en-US"/>
        </w:rPr>
        <w:t xml:space="preserve"> 0.4% </w:t>
      </w:r>
      <w:r w:rsidR="00153BE2" w:rsidRPr="00153BE2">
        <w:rPr>
          <w:rFonts w:ascii="Book Antiqua" w:hAnsi="Book Antiqua" w:cs="Arial"/>
          <w:i/>
          <w:iCs/>
          <w:color w:val="000000" w:themeColor="text1"/>
          <w:sz w:val="24"/>
          <w:szCs w:val="24"/>
          <w:lang w:val="en-US"/>
        </w:rPr>
        <w:t>vs</w:t>
      </w:r>
      <w:r w:rsidR="003F4DA6" w:rsidRPr="00D5385E">
        <w:rPr>
          <w:rFonts w:ascii="Book Antiqua" w:hAnsi="Book Antiqua" w:cs="Arial"/>
          <w:color w:val="000000" w:themeColor="text1"/>
          <w:sz w:val="24"/>
          <w:szCs w:val="24"/>
          <w:lang w:val="en-US"/>
        </w:rPr>
        <w:t xml:space="preserve"> 0.5% </w:t>
      </w:r>
      <w:r w:rsidR="00153BE2" w:rsidRPr="00153BE2">
        <w:rPr>
          <w:rFonts w:ascii="Book Antiqua" w:hAnsi="Book Antiqua" w:cs="Arial"/>
          <w:i/>
          <w:iCs/>
          <w:color w:val="000000" w:themeColor="text1"/>
          <w:sz w:val="24"/>
          <w:szCs w:val="24"/>
          <w:lang w:val="en-US"/>
        </w:rPr>
        <w:t>vs</w:t>
      </w:r>
      <w:r w:rsidR="003B4DD7" w:rsidRPr="00D5385E">
        <w:rPr>
          <w:rFonts w:ascii="Book Antiqua" w:hAnsi="Book Antiqua" w:cs="Arial"/>
          <w:color w:val="000000" w:themeColor="text1"/>
          <w:sz w:val="24"/>
          <w:szCs w:val="24"/>
          <w:lang w:val="en-US"/>
        </w:rPr>
        <w:t xml:space="preserve"> </w:t>
      </w:r>
      <w:r w:rsidR="003F4DA6" w:rsidRPr="00D5385E">
        <w:rPr>
          <w:rFonts w:ascii="Book Antiqua" w:hAnsi="Book Antiqua" w:cs="Arial"/>
          <w:color w:val="000000" w:themeColor="text1"/>
          <w:sz w:val="24"/>
          <w:szCs w:val="24"/>
          <w:lang w:val="en-US"/>
        </w:rPr>
        <w:t>0%</w:t>
      </w:r>
      <w:r w:rsidR="00C05315" w:rsidRPr="00D5385E">
        <w:rPr>
          <w:rFonts w:ascii="Book Antiqua" w:hAnsi="Book Antiqua" w:cs="Arial"/>
          <w:color w:val="000000" w:themeColor="text1"/>
          <w:sz w:val="24"/>
          <w:szCs w:val="24"/>
          <w:lang w:val="en-US"/>
        </w:rPr>
        <w:t xml:space="preserve"> for malignancy</w:t>
      </w:r>
      <w:r w:rsidR="003F4DA6" w:rsidRPr="00D5385E">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as high as</w:t>
      </w:r>
      <w:r w:rsidR="00697048" w:rsidRPr="00D5385E">
        <w:rPr>
          <w:rFonts w:ascii="Book Antiqua" w:hAnsi="Book Antiqua" w:cs="Arial"/>
          <w:color w:val="000000" w:themeColor="text1"/>
          <w:sz w:val="24"/>
          <w:szCs w:val="24"/>
          <w:lang w:val="en-US"/>
        </w:rPr>
        <w:t xml:space="preserve"> 87% </w:t>
      </w:r>
      <w:r w:rsidR="00153BE2" w:rsidRPr="00153BE2">
        <w:rPr>
          <w:rFonts w:ascii="Book Antiqua" w:hAnsi="Book Antiqua" w:cs="Arial"/>
          <w:i/>
          <w:iCs/>
          <w:color w:val="000000" w:themeColor="text1"/>
          <w:sz w:val="24"/>
          <w:szCs w:val="24"/>
          <w:lang w:val="en-US"/>
        </w:rPr>
        <w:t>vs</w:t>
      </w:r>
      <w:r w:rsidR="00697048" w:rsidRPr="00D5385E">
        <w:rPr>
          <w:rFonts w:ascii="Book Antiqua" w:hAnsi="Book Antiqua" w:cs="Arial"/>
          <w:color w:val="000000" w:themeColor="text1"/>
          <w:sz w:val="24"/>
          <w:szCs w:val="24"/>
          <w:lang w:val="en-US"/>
        </w:rPr>
        <w:t xml:space="preserve"> 84.7% </w:t>
      </w:r>
      <w:r w:rsidR="00153BE2" w:rsidRPr="00153BE2">
        <w:rPr>
          <w:rFonts w:ascii="Book Antiqua" w:hAnsi="Book Antiqua" w:cs="Arial"/>
          <w:i/>
          <w:iCs/>
          <w:color w:val="000000" w:themeColor="text1"/>
          <w:sz w:val="24"/>
          <w:szCs w:val="24"/>
          <w:lang w:val="en-US"/>
        </w:rPr>
        <w:t>vs</w:t>
      </w:r>
      <w:r w:rsidR="00153BE2" w:rsidRPr="00D5385E">
        <w:rPr>
          <w:rFonts w:ascii="Book Antiqua" w:hAnsi="Book Antiqua" w:cs="Arial"/>
          <w:color w:val="000000" w:themeColor="text1"/>
          <w:sz w:val="24"/>
          <w:szCs w:val="24"/>
          <w:lang w:val="en-US"/>
        </w:rPr>
        <w:t xml:space="preserve"> </w:t>
      </w:r>
      <w:r w:rsidR="003F4DA6" w:rsidRPr="00D5385E">
        <w:rPr>
          <w:rFonts w:ascii="Book Antiqua" w:hAnsi="Book Antiqua" w:cs="Arial"/>
          <w:color w:val="000000" w:themeColor="text1"/>
          <w:sz w:val="24"/>
          <w:szCs w:val="24"/>
          <w:lang w:val="en-US"/>
        </w:rPr>
        <w:t xml:space="preserve">77.4% for any infection and 7.5% </w:t>
      </w:r>
      <w:r w:rsidR="00153BE2" w:rsidRPr="00153BE2">
        <w:rPr>
          <w:rFonts w:ascii="Book Antiqua" w:hAnsi="Book Antiqua" w:cs="Arial"/>
          <w:i/>
          <w:iCs/>
          <w:color w:val="000000" w:themeColor="text1"/>
          <w:sz w:val="24"/>
          <w:szCs w:val="24"/>
          <w:lang w:val="en-US"/>
        </w:rPr>
        <w:t>vs</w:t>
      </w:r>
      <w:r w:rsidR="003F4DA6" w:rsidRPr="00D5385E">
        <w:rPr>
          <w:rFonts w:ascii="Book Antiqua" w:hAnsi="Book Antiqua" w:cs="Arial"/>
          <w:color w:val="000000" w:themeColor="text1"/>
          <w:sz w:val="24"/>
          <w:szCs w:val="24"/>
          <w:lang w:val="en-US"/>
        </w:rPr>
        <w:t xml:space="preserve"> 4.4% </w:t>
      </w:r>
      <w:r w:rsidR="00153BE2" w:rsidRPr="00153BE2">
        <w:rPr>
          <w:rFonts w:ascii="Book Antiqua" w:hAnsi="Book Antiqua" w:cs="Arial"/>
          <w:i/>
          <w:iCs/>
          <w:color w:val="000000" w:themeColor="text1"/>
          <w:sz w:val="24"/>
          <w:szCs w:val="24"/>
          <w:lang w:val="en-US"/>
        </w:rPr>
        <w:t>vs</w:t>
      </w:r>
      <w:r w:rsidR="003F4DA6" w:rsidRPr="00D5385E">
        <w:rPr>
          <w:rFonts w:ascii="Book Antiqua" w:hAnsi="Book Antiqua" w:cs="Arial"/>
          <w:color w:val="000000" w:themeColor="text1"/>
          <w:sz w:val="24"/>
          <w:szCs w:val="24"/>
          <w:lang w:val="en-US"/>
        </w:rPr>
        <w:t xml:space="preserve"> 0.9% for serious infection</w:t>
      </w:r>
      <w:r w:rsidR="0069679D" w:rsidRPr="00D5385E">
        <w:rPr>
          <w:rFonts w:ascii="Book Antiqua" w:hAnsi="Book Antiqua" w:cs="Arial"/>
          <w:color w:val="000000" w:themeColor="text1"/>
          <w:sz w:val="24"/>
          <w:szCs w:val="24"/>
          <w:lang w:val="en-US"/>
        </w:rPr>
        <w:t>s</w:t>
      </w:r>
      <w:r w:rsidR="00D92E31" w:rsidRPr="00D5385E">
        <w:rPr>
          <w:rFonts w:ascii="Book Antiqua" w:hAnsi="Book Antiqua" w:cs="Arial"/>
          <w:color w:val="000000" w:themeColor="text1"/>
          <w:sz w:val="24"/>
          <w:szCs w:val="24"/>
          <w:lang w:val="en-US"/>
        </w:rPr>
        <w:t xml:space="preserve"> (see </w:t>
      </w:r>
      <w:r w:rsidR="00153BE2">
        <w:rPr>
          <w:rFonts w:ascii="Book Antiqua" w:hAnsi="Book Antiqua" w:cs="Arial"/>
          <w:color w:val="000000" w:themeColor="text1"/>
          <w:sz w:val="24"/>
          <w:szCs w:val="24"/>
          <w:lang w:val="en-US"/>
        </w:rPr>
        <w:t>T</w:t>
      </w:r>
      <w:r w:rsidR="00D92E31" w:rsidRPr="00D5385E">
        <w:rPr>
          <w:rFonts w:ascii="Book Antiqua" w:hAnsi="Book Antiqua" w:cs="Arial"/>
          <w:color w:val="000000" w:themeColor="text1"/>
          <w:sz w:val="24"/>
          <w:szCs w:val="24"/>
          <w:lang w:val="en-US"/>
        </w:rPr>
        <w:t xml:space="preserve">able </w:t>
      </w:r>
      <w:r w:rsidR="00F932BA" w:rsidRPr="00D5385E">
        <w:rPr>
          <w:rFonts w:ascii="Book Antiqua" w:hAnsi="Book Antiqua" w:cs="Arial"/>
          <w:color w:val="000000" w:themeColor="text1"/>
          <w:sz w:val="24"/>
          <w:szCs w:val="24"/>
          <w:lang w:val="en-US"/>
        </w:rPr>
        <w:t>2</w:t>
      </w:r>
      <w:r w:rsidR="00D92E31" w:rsidRPr="00D5385E">
        <w:rPr>
          <w:rFonts w:ascii="Book Antiqua" w:hAnsi="Book Antiqua" w:cs="Arial"/>
          <w:color w:val="000000" w:themeColor="text1"/>
          <w:sz w:val="24"/>
          <w:szCs w:val="24"/>
          <w:lang w:val="en-US"/>
        </w:rPr>
        <w:t xml:space="preserve"> for the study demographics)</w:t>
      </w:r>
      <w:r w:rsidR="0069679D" w:rsidRPr="00D5385E">
        <w:rPr>
          <w:rFonts w:ascii="Book Antiqua" w:hAnsi="Book Antiqua" w:cs="Arial"/>
          <w:color w:val="000000" w:themeColor="text1"/>
          <w:sz w:val="24"/>
          <w:szCs w:val="24"/>
          <w:lang w:val="en-US"/>
        </w:rPr>
        <w:t xml:space="preserve">. </w:t>
      </w:r>
      <w:r w:rsidR="003F4DA6" w:rsidRPr="00D5385E">
        <w:rPr>
          <w:rFonts w:ascii="Book Antiqua" w:hAnsi="Book Antiqua" w:cs="Arial"/>
          <w:color w:val="000000" w:themeColor="text1"/>
          <w:sz w:val="24"/>
          <w:szCs w:val="24"/>
          <w:lang w:val="en-US"/>
        </w:rPr>
        <w:t>The unusual trend of higher serious infections in the younger population was also captured in the original GEMINI trials</w:t>
      </w:r>
      <w:r w:rsidR="00AC5CF0" w:rsidRPr="00D5385E">
        <w:rPr>
          <w:rFonts w:ascii="Book Antiqua" w:hAnsi="Book Antiqua" w:cs="Arial"/>
          <w:color w:val="000000" w:themeColor="text1"/>
          <w:sz w:val="24"/>
          <w:szCs w:val="24"/>
          <w:lang w:val="en-US"/>
        </w:rPr>
        <w:t>, which</w:t>
      </w:r>
      <w:r w:rsidR="003F4DA6" w:rsidRPr="00D5385E">
        <w:rPr>
          <w:rFonts w:ascii="Book Antiqua" w:hAnsi="Book Antiqua" w:cs="Arial"/>
          <w:color w:val="000000" w:themeColor="text1"/>
          <w:sz w:val="24"/>
          <w:szCs w:val="24"/>
          <w:lang w:val="en-US"/>
        </w:rPr>
        <w:t xml:space="preserve"> were not designed to assess these specific subgroups. Indeed, the</w:t>
      </w:r>
      <w:r w:rsidR="00AC5CF0" w:rsidRPr="00D5385E">
        <w:rPr>
          <w:rFonts w:ascii="Book Antiqua" w:hAnsi="Book Antiqua" w:cs="Arial"/>
          <w:color w:val="000000" w:themeColor="text1"/>
          <w:sz w:val="24"/>
          <w:szCs w:val="24"/>
          <w:lang w:val="en-US"/>
        </w:rPr>
        <w:t>se</w:t>
      </w:r>
      <w:r w:rsidR="003F4DA6" w:rsidRPr="00D5385E">
        <w:rPr>
          <w:rFonts w:ascii="Book Antiqua" w:hAnsi="Book Antiqua" w:cs="Arial"/>
          <w:color w:val="000000" w:themeColor="text1"/>
          <w:sz w:val="24"/>
          <w:szCs w:val="24"/>
          <w:lang w:val="en-US"/>
        </w:rPr>
        <w:t xml:space="preserve"> </w:t>
      </w:r>
      <w:r w:rsidR="005867F1" w:rsidRPr="00D5385E">
        <w:rPr>
          <w:rFonts w:ascii="Book Antiqua" w:hAnsi="Book Antiqua" w:cs="Arial"/>
          <w:color w:val="000000" w:themeColor="text1"/>
          <w:sz w:val="24"/>
          <w:szCs w:val="24"/>
          <w:lang w:val="en-US"/>
        </w:rPr>
        <w:t>results should be interpreted with caution</w:t>
      </w:r>
      <w:r w:rsidR="003F4DA6" w:rsidRPr="00D5385E">
        <w:rPr>
          <w:rFonts w:ascii="Book Antiqua" w:hAnsi="Book Antiqua" w:cs="Arial"/>
          <w:color w:val="000000" w:themeColor="text1"/>
          <w:sz w:val="24"/>
          <w:szCs w:val="24"/>
          <w:lang w:val="en-US"/>
        </w:rPr>
        <w:t xml:space="preserve"> due to the small sample size (only </w:t>
      </w:r>
      <w:r w:rsidR="0032626F" w:rsidRPr="00D5385E">
        <w:rPr>
          <w:rFonts w:ascii="Book Antiqua" w:hAnsi="Book Antiqua" w:cs="Arial"/>
          <w:color w:val="000000" w:themeColor="text1"/>
          <w:sz w:val="24"/>
          <w:szCs w:val="24"/>
          <w:lang w:val="en-US"/>
        </w:rPr>
        <w:t xml:space="preserve">90 patients </w:t>
      </w:r>
      <w:r w:rsidR="003F4DA6" w:rsidRPr="00D5385E">
        <w:rPr>
          <w:rFonts w:ascii="Book Antiqua" w:hAnsi="Book Antiqua" w:cs="Arial"/>
          <w:color w:val="000000" w:themeColor="text1"/>
          <w:sz w:val="24"/>
          <w:szCs w:val="24"/>
          <w:lang w:val="en-US"/>
        </w:rPr>
        <w:t xml:space="preserve">aged 55 or older, </w:t>
      </w:r>
      <w:r w:rsidR="0032626F" w:rsidRPr="00D5385E">
        <w:rPr>
          <w:rFonts w:ascii="Book Antiqua" w:hAnsi="Book Antiqua" w:cs="Arial"/>
          <w:color w:val="000000" w:themeColor="text1"/>
          <w:sz w:val="24"/>
          <w:szCs w:val="24"/>
          <w:lang w:val="en-US"/>
        </w:rPr>
        <w:t>compared to 582 and 443</w:t>
      </w:r>
      <w:r w:rsidR="003F4DA6" w:rsidRPr="00D5385E">
        <w:rPr>
          <w:rFonts w:ascii="Book Antiqua" w:hAnsi="Book Antiqua" w:cs="Arial"/>
          <w:color w:val="000000" w:themeColor="text1"/>
          <w:sz w:val="24"/>
          <w:szCs w:val="24"/>
          <w:lang w:val="en-US"/>
        </w:rPr>
        <w:t xml:space="preserve"> in the other two groups) and inadequate power to detect statistical significance.</w:t>
      </w:r>
    </w:p>
    <w:p w14:paraId="48B7F434" w14:textId="3BB80A52" w:rsidR="009A4178" w:rsidRPr="00D5385E" w:rsidRDefault="00386AAD" w:rsidP="00153BE2">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In the previously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mentioned Adar et al. trial, </w:t>
      </w:r>
      <w:r w:rsidR="00D10248" w:rsidRPr="00D5385E">
        <w:rPr>
          <w:rFonts w:ascii="Book Antiqua" w:hAnsi="Book Antiqua" w:cs="Arial"/>
          <w:color w:val="000000" w:themeColor="text1"/>
          <w:sz w:val="24"/>
          <w:szCs w:val="24"/>
          <w:lang w:val="en-US"/>
        </w:rPr>
        <w:t>234 elderly</w:t>
      </w:r>
      <w:r w:rsidR="000A1048">
        <w:rPr>
          <w:rFonts w:ascii="Book Antiqua" w:hAnsi="Book Antiqua" w:cs="Arial"/>
          <w:color w:val="000000" w:themeColor="text1"/>
          <w:sz w:val="24"/>
          <w:szCs w:val="24"/>
          <w:lang w:val="en-US"/>
        </w:rPr>
        <w:t>-</w:t>
      </w:r>
      <w:r w:rsidR="00D10248" w:rsidRPr="00D5385E">
        <w:rPr>
          <w:rFonts w:ascii="Book Antiqua" w:hAnsi="Book Antiqua" w:cs="Arial"/>
          <w:color w:val="000000" w:themeColor="text1"/>
          <w:sz w:val="24"/>
          <w:szCs w:val="24"/>
          <w:lang w:val="en-US"/>
        </w:rPr>
        <w:t>onset patients were assessed retrospectively at the time of biologic initiation, separated in two groups: anti</w:t>
      </w:r>
      <w:r w:rsidR="000A1048">
        <w:rPr>
          <w:rFonts w:ascii="Book Antiqua" w:hAnsi="Book Antiqua" w:cs="Arial"/>
          <w:color w:val="000000" w:themeColor="text1"/>
          <w:sz w:val="24"/>
          <w:szCs w:val="24"/>
          <w:lang w:val="en-US"/>
        </w:rPr>
        <w:t>-</w:t>
      </w:r>
      <w:r w:rsidR="00D10248" w:rsidRPr="00D5385E">
        <w:rPr>
          <w:rFonts w:ascii="Book Antiqua" w:hAnsi="Book Antiqua" w:cs="Arial"/>
          <w:color w:val="000000" w:themeColor="text1"/>
          <w:sz w:val="24"/>
          <w:szCs w:val="24"/>
          <w:lang w:val="en-US"/>
        </w:rPr>
        <w:t>TNF agents (</w:t>
      </w:r>
      <w:bookmarkStart w:id="69" w:name="OLE_LINK5"/>
      <w:bookmarkStart w:id="70" w:name="OLE_LINK6"/>
      <w:r w:rsidR="008817D4" w:rsidRPr="00153BE2">
        <w:rPr>
          <w:rFonts w:ascii="Book Antiqua" w:hAnsi="Book Antiqua" w:cs="Arial"/>
          <w:i/>
          <w:iCs/>
          <w:color w:val="000000" w:themeColor="text1"/>
          <w:sz w:val="24"/>
          <w:szCs w:val="24"/>
          <w:lang w:val="en-US"/>
        </w:rPr>
        <w:t>n</w:t>
      </w:r>
      <w:bookmarkEnd w:id="69"/>
      <w:bookmarkEnd w:id="70"/>
      <w:r w:rsidR="00153BE2">
        <w:rPr>
          <w:rFonts w:ascii="Book Antiqua" w:hAnsi="Book Antiqua" w:cs="Arial"/>
          <w:color w:val="000000" w:themeColor="text1"/>
          <w:sz w:val="24"/>
          <w:szCs w:val="24"/>
          <w:lang w:val="en-US"/>
        </w:rPr>
        <w:t xml:space="preserve"> </w:t>
      </w:r>
      <w:r w:rsidR="008817D4" w:rsidRPr="00D5385E">
        <w:rPr>
          <w:rFonts w:ascii="Book Antiqua" w:hAnsi="Book Antiqua" w:cs="Arial"/>
          <w:color w:val="000000" w:themeColor="text1"/>
          <w:sz w:val="24"/>
          <w:szCs w:val="24"/>
          <w:lang w:val="en-US"/>
        </w:rPr>
        <w:t>=</w:t>
      </w:r>
      <w:r w:rsidR="00153BE2">
        <w:rPr>
          <w:rFonts w:ascii="Book Antiqua" w:hAnsi="Book Antiqua" w:cs="Arial"/>
          <w:color w:val="000000" w:themeColor="text1"/>
          <w:sz w:val="24"/>
          <w:szCs w:val="24"/>
          <w:lang w:val="en-US"/>
        </w:rPr>
        <w:t xml:space="preserve"> </w:t>
      </w:r>
      <w:r w:rsidR="00D10248" w:rsidRPr="00D5385E">
        <w:rPr>
          <w:rFonts w:ascii="Book Antiqua" w:hAnsi="Book Antiqua" w:cs="Arial"/>
          <w:color w:val="000000" w:themeColor="text1"/>
          <w:sz w:val="24"/>
          <w:szCs w:val="24"/>
          <w:lang w:val="en-US"/>
        </w:rPr>
        <w:t>131) and vedolizumab</w:t>
      </w:r>
      <w:r w:rsidR="008817D4" w:rsidRPr="00D5385E">
        <w:rPr>
          <w:rFonts w:ascii="Book Antiqua" w:hAnsi="Book Antiqua" w:cs="Arial"/>
          <w:color w:val="000000" w:themeColor="text1"/>
          <w:sz w:val="24"/>
          <w:szCs w:val="24"/>
          <w:lang w:val="en-US"/>
        </w:rPr>
        <w:t xml:space="preserve"> (</w:t>
      </w:r>
      <w:r w:rsidR="00153BE2" w:rsidRPr="00153BE2">
        <w:rPr>
          <w:rFonts w:ascii="Book Antiqua" w:hAnsi="Book Antiqua" w:cs="Arial"/>
          <w:i/>
          <w:iCs/>
          <w:color w:val="000000" w:themeColor="text1"/>
          <w:sz w:val="24"/>
          <w:szCs w:val="24"/>
          <w:lang w:val="en-US"/>
        </w:rPr>
        <w:t>n</w:t>
      </w:r>
      <w:r w:rsidR="00153BE2" w:rsidRPr="00D5385E">
        <w:rPr>
          <w:rFonts w:ascii="Book Antiqua" w:hAnsi="Book Antiqua" w:cs="Arial"/>
          <w:color w:val="000000" w:themeColor="text1"/>
          <w:sz w:val="24"/>
          <w:szCs w:val="24"/>
          <w:lang w:val="en-US"/>
        </w:rPr>
        <w:t xml:space="preserve"> </w:t>
      </w:r>
      <w:r w:rsidR="008817D4" w:rsidRPr="00D5385E">
        <w:rPr>
          <w:rFonts w:ascii="Book Antiqua" w:hAnsi="Book Antiqua" w:cs="Arial"/>
          <w:color w:val="000000" w:themeColor="text1"/>
          <w:sz w:val="24"/>
          <w:szCs w:val="24"/>
          <w:lang w:val="en-US"/>
        </w:rPr>
        <w:t>=</w:t>
      </w:r>
      <w:r w:rsidR="00153BE2">
        <w:rPr>
          <w:rFonts w:ascii="Book Antiqua" w:hAnsi="Book Antiqua" w:cs="Arial"/>
          <w:color w:val="000000" w:themeColor="text1"/>
          <w:sz w:val="24"/>
          <w:szCs w:val="24"/>
          <w:lang w:val="en-US"/>
        </w:rPr>
        <w:t xml:space="preserve"> </w:t>
      </w:r>
      <w:proofErr w:type="gramStart"/>
      <w:r w:rsidR="008817D4" w:rsidRPr="00D5385E">
        <w:rPr>
          <w:rFonts w:ascii="Book Antiqua" w:hAnsi="Book Antiqua" w:cs="Arial"/>
          <w:color w:val="000000" w:themeColor="text1"/>
          <w:sz w:val="24"/>
          <w:szCs w:val="24"/>
          <w:lang w:val="en-US"/>
        </w:rPr>
        <w:t>103)</w:t>
      </w:r>
      <w:r w:rsidR="00A94A6A"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53</w:t>
      </w:r>
      <w:r w:rsidR="00A94A6A" w:rsidRPr="00D5385E">
        <w:rPr>
          <w:rFonts w:ascii="Book Antiqua" w:hAnsi="Book Antiqua" w:cs="Arial"/>
          <w:color w:val="000000" w:themeColor="text1"/>
          <w:sz w:val="24"/>
          <w:szCs w:val="24"/>
          <w:vertAlign w:val="superscript"/>
          <w:lang w:val="en-US"/>
        </w:rPr>
        <w:t>]</w:t>
      </w:r>
      <w:r w:rsidR="008817D4" w:rsidRPr="00D5385E">
        <w:rPr>
          <w:rFonts w:ascii="Book Antiqua" w:hAnsi="Book Antiqua" w:cs="Arial"/>
          <w:color w:val="000000" w:themeColor="text1"/>
          <w:sz w:val="24"/>
          <w:szCs w:val="24"/>
          <w:lang w:val="en-US"/>
        </w:rPr>
        <w:t>. As can be expected, the main measurable difference between groups was the increased proportions of perianal disease in the anti</w:t>
      </w:r>
      <w:r w:rsidR="000A1048">
        <w:rPr>
          <w:rFonts w:ascii="Book Antiqua" w:hAnsi="Book Antiqua" w:cs="Arial"/>
          <w:color w:val="000000" w:themeColor="text1"/>
          <w:sz w:val="24"/>
          <w:szCs w:val="24"/>
          <w:lang w:val="en-US"/>
        </w:rPr>
        <w:t>-</w:t>
      </w:r>
      <w:r w:rsidR="008817D4" w:rsidRPr="00D5385E">
        <w:rPr>
          <w:rFonts w:ascii="Book Antiqua" w:hAnsi="Book Antiqua" w:cs="Arial"/>
          <w:color w:val="000000" w:themeColor="text1"/>
          <w:sz w:val="24"/>
          <w:szCs w:val="24"/>
          <w:lang w:val="en-US"/>
        </w:rPr>
        <w:t xml:space="preserve">TNF group (25% </w:t>
      </w:r>
      <w:r w:rsidR="006D1438" w:rsidRPr="00A86E05">
        <w:rPr>
          <w:rFonts w:ascii="Book Antiqua" w:hAnsi="Book Antiqua" w:cs="Arial"/>
          <w:i/>
          <w:iCs/>
          <w:color w:val="000000" w:themeColor="text1"/>
          <w:sz w:val="24"/>
          <w:szCs w:val="24"/>
          <w:lang w:val="en-US"/>
        </w:rPr>
        <w:t>vs</w:t>
      </w:r>
      <w:r w:rsidR="008817D4" w:rsidRPr="00D5385E">
        <w:rPr>
          <w:rFonts w:ascii="Book Antiqua" w:hAnsi="Book Antiqua" w:cs="Arial"/>
          <w:color w:val="000000" w:themeColor="text1"/>
          <w:sz w:val="24"/>
          <w:szCs w:val="24"/>
          <w:lang w:val="en-US"/>
        </w:rPr>
        <w:t xml:space="preserve"> 14%, </w:t>
      </w:r>
      <w:r w:rsidR="00A86E05" w:rsidRPr="00A86E05">
        <w:rPr>
          <w:rFonts w:ascii="Book Antiqua" w:hAnsi="Book Antiqua" w:cs="Arial"/>
          <w:i/>
          <w:iCs/>
          <w:color w:val="000000" w:themeColor="text1"/>
          <w:sz w:val="24"/>
          <w:szCs w:val="24"/>
          <w:lang w:val="en-US"/>
        </w:rPr>
        <w:t xml:space="preserve">P </w:t>
      </w:r>
      <w:r w:rsidR="00A86E05">
        <w:rPr>
          <w:rFonts w:ascii="Book Antiqua" w:hAnsi="Book Antiqua" w:cs="Arial"/>
          <w:color w:val="000000" w:themeColor="text1"/>
          <w:sz w:val="24"/>
          <w:szCs w:val="24"/>
          <w:lang w:val="en-US"/>
        </w:rPr>
        <w:t xml:space="preserve">= </w:t>
      </w:r>
      <w:r w:rsidR="008817D4" w:rsidRPr="00D5385E">
        <w:rPr>
          <w:rFonts w:ascii="Book Antiqua" w:hAnsi="Book Antiqua" w:cs="Arial"/>
          <w:color w:val="000000" w:themeColor="text1"/>
          <w:sz w:val="24"/>
          <w:szCs w:val="24"/>
          <w:lang w:val="en-US"/>
        </w:rPr>
        <w:t xml:space="preserve">0.02). Rates of remission were </w:t>
      </w:r>
      <w:r w:rsidR="00C05315" w:rsidRPr="00D5385E">
        <w:rPr>
          <w:rFonts w:ascii="Book Antiqua" w:hAnsi="Book Antiqua" w:cs="Arial"/>
          <w:color w:val="000000" w:themeColor="text1"/>
          <w:sz w:val="24"/>
          <w:szCs w:val="24"/>
          <w:lang w:val="en-US"/>
        </w:rPr>
        <w:t xml:space="preserve">numerically higher, </w:t>
      </w:r>
      <w:r w:rsidR="00C05315" w:rsidRPr="00D5385E">
        <w:rPr>
          <w:rFonts w:ascii="Book Antiqua" w:hAnsi="Book Antiqua" w:cs="Arial"/>
          <w:color w:val="000000" w:themeColor="text1"/>
          <w:sz w:val="24"/>
          <w:szCs w:val="24"/>
          <w:lang w:val="en-US"/>
        </w:rPr>
        <w:lastRenderedPageBreak/>
        <w:t>although not statistically significant,</w:t>
      </w:r>
      <w:r w:rsidR="008817D4" w:rsidRPr="00D5385E">
        <w:rPr>
          <w:rFonts w:ascii="Book Antiqua" w:hAnsi="Book Antiqua" w:cs="Arial"/>
          <w:color w:val="000000" w:themeColor="text1"/>
          <w:sz w:val="24"/>
          <w:szCs w:val="24"/>
          <w:lang w:val="en-US"/>
        </w:rPr>
        <w:t xml:space="preserve"> in </w:t>
      </w:r>
      <w:r w:rsidR="00C05315" w:rsidRPr="00D5385E">
        <w:rPr>
          <w:rFonts w:ascii="Book Antiqua" w:hAnsi="Book Antiqua" w:cs="Arial"/>
          <w:color w:val="000000" w:themeColor="text1"/>
          <w:sz w:val="24"/>
          <w:szCs w:val="24"/>
          <w:lang w:val="en-US"/>
        </w:rPr>
        <w:t>the anti</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TNF group</w:t>
      </w:r>
      <w:r w:rsidR="008817D4" w:rsidRPr="00D5385E">
        <w:rPr>
          <w:rFonts w:ascii="Book Antiqua" w:hAnsi="Book Antiqua" w:cs="Arial"/>
          <w:color w:val="000000" w:themeColor="text1"/>
          <w:sz w:val="24"/>
          <w:szCs w:val="24"/>
          <w:lang w:val="en-US"/>
        </w:rPr>
        <w:t xml:space="preserve"> at 3 months (50% </w:t>
      </w:r>
      <w:r w:rsidR="008817D4" w:rsidRPr="00A86E05">
        <w:rPr>
          <w:rFonts w:ascii="Book Antiqua" w:hAnsi="Book Antiqua" w:cs="Arial"/>
          <w:i/>
          <w:iCs/>
          <w:color w:val="000000" w:themeColor="text1"/>
          <w:sz w:val="24"/>
          <w:szCs w:val="24"/>
          <w:lang w:val="en-US"/>
        </w:rPr>
        <w:t xml:space="preserve">vs </w:t>
      </w:r>
      <w:r w:rsidR="008817D4" w:rsidRPr="00D5385E">
        <w:rPr>
          <w:rFonts w:ascii="Book Antiqua" w:hAnsi="Book Antiqua" w:cs="Arial"/>
          <w:color w:val="000000" w:themeColor="text1"/>
          <w:sz w:val="24"/>
          <w:szCs w:val="24"/>
          <w:lang w:val="en-US"/>
        </w:rPr>
        <w:t xml:space="preserve">38%, </w:t>
      </w:r>
      <w:r w:rsidR="00A86E05" w:rsidRPr="00A86E05">
        <w:rPr>
          <w:rFonts w:ascii="Book Antiqua" w:hAnsi="Book Antiqua" w:cs="Arial"/>
          <w:i/>
          <w:iCs/>
          <w:color w:val="000000" w:themeColor="text1"/>
          <w:sz w:val="24"/>
          <w:szCs w:val="24"/>
          <w:lang w:val="en-US"/>
        </w:rPr>
        <w:t xml:space="preserve">P </w:t>
      </w:r>
      <w:r w:rsidR="00A86E05">
        <w:rPr>
          <w:rFonts w:ascii="Book Antiqua" w:hAnsi="Book Antiqua" w:cs="Arial"/>
          <w:color w:val="000000" w:themeColor="text1"/>
          <w:sz w:val="24"/>
          <w:szCs w:val="24"/>
          <w:lang w:val="en-US"/>
        </w:rPr>
        <w:t>=</w:t>
      </w:r>
      <w:r w:rsidR="008817D4" w:rsidRPr="00D5385E">
        <w:rPr>
          <w:rFonts w:ascii="Book Antiqua" w:hAnsi="Book Antiqua" w:cs="Arial"/>
          <w:color w:val="000000" w:themeColor="text1"/>
          <w:sz w:val="24"/>
          <w:szCs w:val="24"/>
          <w:lang w:val="en-US"/>
        </w:rPr>
        <w:t xml:space="preserve">0.07), </w:t>
      </w:r>
      <w:r w:rsidR="00A94A6A" w:rsidRPr="00D5385E">
        <w:rPr>
          <w:rFonts w:ascii="Book Antiqua" w:hAnsi="Book Antiqua" w:cs="Arial"/>
          <w:color w:val="000000" w:themeColor="text1"/>
          <w:sz w:val="24"/>
          <w:szCs w:val="24"/>
          <w:lang w:val="en-US"/>
        </w:rPr>
        <w:t>then beca</w:t>
      </w:r>
      <w:r w:rsidR="00C05315" w:rsidRPr="00D5385E">
        <w:rPr>
          <w:rFonts w:ascii="Book Antiqua" w:hAnsi="Book Antiqua" w:cs="Arial"/>
          <w:color w:val="000000" w:themeColor="text1"/>
          <w:sz w:val="24"/>
          <w:szCs w:val="24"/>
          <w:lang w:val="en-US"/>
        </w:rPr>
        <w:t xml:space="preserve">me </w:t>
      </w:r>
      <w:r w:rsidR="008817D4" w:rsidRPr="00D5385E">
        <w:rPr>
          <w:rFonts w:ascii="Book Antiqua" w:hAnsi="Book Antiqua" w:cs="Arial"/>
          <w:color w:val="000000" w:themeColor="text1"/>
          <w:sz w:val="24"/>
          <w:szCs w:val="24"/>
          <w:lang w:val="en-US"/>
        </w:rPr>
        <w:t>compar</w:t>
      </w:r>
      <w:r w:rsidR="00C05315" w:rsidRPr="00D5385E">
        <w:rPr>
          <w:rFonts w:ascii="Book Antiqua" w:hAnsi="Book Antiqua" w:cs="Arial"/>
          <w:color w:val="000000" w:themeColor="text1"/>
          <w:sz w:val="24"/>
          <w:szCs w:val="24"/>
          <w:lang w:val="en-US"/>
        </w:rPr>
        <w:t>able</w:t>
      </w:r>
      <w:r w:rsidR="008817D4" w:rsidRPr="00D5385E">
        <w:rPr>
          <w:rFonts w:ascii="Book Antiqua" w:hAnsi="Book Antiqua" w:cs="Arial"/>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at 6 mo (54</w:t>
      </w:r>
      <w:r w:rsidR="008817D4" w:rsidRPr="00D5385E">
        <w:rPr>
          <w:rFonts w:ascii="Book Antiqua" w:hAnsi="Book Antiqua" w:cs="Arial"/>
          <w:color w:val="000000" w:themeColor="text1"/>
          <w:sz w:val="24"/>
          <w:szCs w:val="24"/>
          <w:lang w:val="en-US"/>
        </w:rPr>
        <w:t xml:space="preserve">% </w:t>
      </w:r>
      <w:r w:rsidR="006D1438" w:rsidRPr="00A86E05">
        <w:rPr>
          <w:rFonts w:ascii="Book Antiqua" w:hAnsi="Book Antiqua" w:cs="Arial"/>
          <w:i/>
          <w:iCs/>
          <w:color w:val="000000" w:themeColor="text1"/>
          <w:sz w:val="24"/>
          <w:szCs w:val="24"/>
          <w:lang w:val="en-US"/>
        </w:rPr>
        <w:t>vs</w:t>
      </w:r>
      <w:r w:rsidR="008817D4" w:rsidRPr="00A86E05">
        <w:rPr>
          <w:rFonts w:ascii="Book Antiqua" w:hAnsi="Book Antiqua" w:cs="Arial"/>
          <w:i/>
          <w:iCs/>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 xml:space="preserve">45%, </w:t>
      </w:r>
      <w:r w:rsidR="00A86E05" w:rsidRPr="00A86E05">
        <w:rPr>
          <w:rFonts w:ascii="Book Antiqua" w:hAnsi="Book Antiqua" w:cs="Arial"/>
          <w:i/>
          <w:iCs/>
          <w:color w:val="000000" w:themeColor="text1"/>
          <w:sz w:val="24"/>
          <w:szCs w:val="24"/>
          <w:lang w:val="en-US"/>
        </w:rPr>
        <w:t>P</w:t>
      </w:r>
      <w:r w:rsidR="00A86E05">
        <w:rPr>
          <w:rFonts w:ascii="Book Antiqua" w:hAnsi="Book Antiqua" w:cs="Arial"/>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 xml:space="preserve"> 0.23) and 12 mo (58% </w:t>
      </w:r>
      <w:r w:rsidR="006D1438" w:rsidRPr="00A86E05">
        <w:rPr>
          <w:rFonts w:ascii="Book Antiqua" w:hAnsi="Book Antiqua" w:cs="Arial"/>
          <w:i/>
          <w:iCs/>
          <w:color w:val="000000" w:themeColor="text1"/>
          <w:sz w:val="24"/>
          <w:szCs w:val="24"/>
          <w:lang w:val="en-US"/>
        </w:rPr>
        <w:t>vs</w:t>
      </w:r>
      <w:r w:rsidR="00C05315" w:rsidRPr="00A86E05">
        <w:rPr>
          <w:rFonts w:ascii="Book Antiqua" w:hAnsi="Book Antiqua" w:cs="Arial"/>
          <w:i/>
          <w:iCs/>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 xml:space="preserve">54%, </w:t>
      </w:r>
      <w:r w:rsidR="00A86E05" w:rsidRPr="00A86E05">
        <w:rPr>
          <w:rFonts w:ascii="Book Antiqua" w:hAnsi="Book Antiqua" w:cs="Arial"/>
          <w:i/>
          <w:iCs/>
          <w:color w:val="000000" w:themeColor="text1"/>
          <w:sz w:val="24"/>
          <w:szCs w:val="24"/>
          <w:lang w:val="en-US"/>
        </w:rPr>
        <w:t xml:space="preserve">P </w:t>
      </w:r>
      <w:r w:rsidR="00A86E05">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0.63). Additionally, use of anti</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TNF was associated with higher odds of remission in CD at 3 months (OR </w:t>
      </w:r>
      <w:r w:rsidR="00A86E05">
        <w:rPr>
          <w:rFonts w:ascii="Book Antiqua" w:hAnsi="Book Antiqua" w:cs="Arial"/>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2.82, 95%CI</w:t>
      </w:r>
      <w:r w:rsidR="00A86E05">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1.18</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6.76) but not UC (OR </w:t>
      </w:r>
      <w:r w:rsidR="00A86E05">
        <w:rPr>
          <w:rFonts w:ascii="Book Antiqua" w:hAnsi="Book Antiqua" w:cs="Arial"/>
          <w:color w:val="000000" w:themeColor="text1"/>
          <w:sz w:val="24"/>
          <w:szCs w:val="24"/>
          <w:lang w:val="en-US"/>
        </w:rPr>
        <w:t xml:space="preserve">= </w:t>
      </w:r>
      <w:r w:rsidR="00C05315" w:rsidRPr="00D5385E">
        <w:rPr>
          <w:rFonts w:ascii="Book Antiqua" w:hAnsi="Book Antiqua" w:cs="Arial"/>
          <w:color w:val="000000" w:themeColor="text1"/>
          <w:sz w:val="24"/>
          <w:szCs w:val="24"/>
          <w:lang w:val="en-US"/>
        </w:rPr>
        <w:t>1.74, 95%CI</w:t>
      </w:r>
      <w:r w:rsidR="00A86E05">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0.74</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4.13) and comparable odds between groups at 6 and 12 mo</w:t>
      </w:r>
      <w:r w:rsidR="00A86E05">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 xml:space="preserve"> In keeping with existing data on biologic agents’ pharmacokinetics, these findings suggest a relatively quicker onset of action from anti</w:t>
      </w:r>
      <w:r w:rsidR="000A1048">
        <w:rPr>
          <w:rFonts w:ascii="Book Antiqua" w:hAnsi="Book Antiqua" w:cs="Arial"/>
          <w:color w:val="000000" w:themeColor="text1"/>
          <w:sz w:val="24"/>
          <w:szCs w:val="24"/>
          <w:lang w:val="en-US"/>
        </w:rPr>
        <w:t>-</w:t>
      </w:r>
      <w:r w:rsidR="00C05315" w:rsidRPr="00D5385E">
        <w:rPr>
          <w:rFonts w:ascii="Book Antiqua" w:hAnsi="Book Antiqua" w:cs="Arial"/>
          <w:color w:val="000000" w:themeColor="text1"/>
          <w:sz w:val="24"/>
          <w:szCs w:val="24"/>
          <w:lang w:val="en-US"/>
        </w:rPr>
        <w:t>TNF agents compared to</w:t>
      </w:r>
      <w:r w:rsidR="00EB41E1" w:rsidRPr="00D5385E">
        <w:rPr>
          <w:rFonts w:ascii="Book Antiqua" w:hAnsi="Book Antiqua" w:cs="Arial"/>
          <w:color w:val="000000" w:themeColor="text1"/>
          <w:sz w:val="24"/>
          <w:szCs w:val="24"/>
          <w:lang w:val="en-US"/>
        </w:rPr>
        <w:t xml:space="preserve"> vedolizumab. Data from the 6</w:t>
      </w:r>
      <w:r w:rsidR="000A1048">
        <w:rPr>
          <w:rFonts w:ascii="Book Antiqua" w:hAnsi="Book Antiqua" w:cs="Arial"/>
          <w:color w:val="000000" w:themeColor="text1"/>
          <w:sz w:val="24"/>
          <w:szCs w:val="24"/>
          <w:lang w:val="en-US"/>
        </w:rPr>
        <w:t>-</w:t>
      </w:r>
      <w:r w:rsidR="00EB41E1" w:rsidRPr="00D5385E">
        <w:rPr>
          <w:rFonts w:ascii="Book Antiqua" w:hAnsi="Book Antiqua" w:cs="Arial"/>
          <w:color w:val="000000" w:themeColor="text1"/>
          <w:sz w:val="24"/>
          <w:szCs w:val="24"/>
          <w:lang w:val="en-US"/>
        </w:rPr>
        <w:t xml:space="preserve"> and 12</w:t>
      </w:r>
      <w:r w:rsidR="000A1048">
        <w:rPr>
          <w:rFonts w:ascii="Book Antiqua" w:hAnsi="Book Antiqua" w:cs="Arial"/>
          <w:color w:val="000000" w:themeColor="text1"/>
          <w:sz w:val="24"/>
          <w:szCs w:val="24"/>
          <w:lang w:val="en-US"/>
        </w:rPr>
        <w:t>-</w:t>
      </w:r>
      <w:r w:rsidR="00EB41E1" w:rsidRPr="00D5385E">
        <w:rPr>
          <w:rFonts w:ascii="Book Antiqua" w:hAnsi="Book Antiqua" w:cs="Arial"/>
          <w:color w:val="000000" w:themeColor="text1"/>
          <w:sz w:val="24"/>
          <w:szCs w:val="24"/>
          <w:lang w:val="en-US"/>
        </w:rPr>
        <w:t>mo period suggest that both agents share similar durability of response</w:t>
      </w:r>
      <w:r w:rsidR="00C05315" w:rsidRPr="00D5385E">
        <w:rPr>
          <w:rFonts w:ascii="Book Antiqua" w:hAnsi="Book Antiqua" w:cs="Arial"/>
          <w:color w:val="000000" w:themeColor="text1"/>
          <w:sz w:val="24"/>
          <w:szCs w:val="24"/>
          <w:lang w:val="en-US"/>
        </w:rPr>
        <w:t>.</w:t>
      </w:r>
      <w:r w:rsidR="00EB41E1" w:rsidRPr="00D5385E">
        <w:rPr>
          <w:rFonts w:ascii="Book Antiqua" w:hAnsi="Book Antiqua" w:cs="Arial"/>
          <w:color w:val="000000" w:themeColor="text1"/>
          <w:sz w:val="24"/>
          <w:szCs w:val="24"/>
          <w:lang w:val="en-US"/>
        </w:rPr>
        <w:t xml:space="preserve"> </w:t>
      </w:r>
    </w:p>
    <w:p w14:paraId="0B6E4A85" w14:textId="47E4AC97" w:rsidR="005E5D12" w:rsidRPr="00D5385E" w:rsidRDefault="00EB41E1" w:rsidP="00A86E05">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Notably, rates of significant infections are comparable between groups within one year of initiation: 20% for ant</w:t>
      </w:r>
      <w:r w:rsidR="00FC7EFC" w:rsidRPr="00D5385E">
        <w:rPr>
          <w:rFonts w:ascii="Book Antiqua" w:hAnsi="Book Antiqua" w:cs="Arial"/>
          <w:color w:val="000000" w:themeColor="text1"/>
          <w:sz w:val="24"/>
          <w:szCs w:val="24"/>
          <w:lang w:val="en-US"/>
        </w:rPr>
        <w:t>i</w:t>
      </w:r>
      <w:r w:rsidR="000A1048">
        <w:rPr>
          <w:rFonts w:ascii="Book Antiqua" w:hAnsi="Book Antiqua" w:cs="Arial"/>
          <w:color w:val="000000" w:themeColor="text1"/>
          <w:sz w:val="24"/>
          <w:szCs w:val="24"/>
          <w:lang w:val="en-US"/>
        </w:rPr>
        <w:t>-</w:t>
      </w:r>
      <w:r w:rsidR="00FC7EFC" w:rsidRPr="00D5385E">
        <w:rPr>
          <w:rFonts w:ascii="Book Antiqua" w:hAnsi="Book Antiqua" w:cs="Arial"/>
          <w:color w:val="000000" w:themeColor="text1"/>
          <w:sz w:val="24"/>
          <w:szCs w:val="24"/>
          <w:lang w:val="en-US"/>
        </w:rPr>
        <w:t>TNF and 17% for vedolizumab, most commonly pneumonia in both groups. Vedolizumab was thought to potentially increase the risk of gastrointestinal infections due its gut</w:t>
      </w:r>
      <w:r w:rsidR="000A1048">
        <w:rPr>
          <w:rFonts w:ascii="Book Antiqua" w:hAnsi="Book Antiqua" w:cs="Arial"/>
          <w:color w:val="000000" w:themeColor="text1"/>
          <w:sz w:val="24"/>
          <w:szCs w:val="24"/>
          <w:lang w:val="en-US"/>
        </w:rPr>
        <w:t>-</w:t>
      </w:r>
      <w:r w:rsidR="00FC7EFC" w:rsidRPr="00D5385E">
        <w:rPr>
          <w:rFonts w:ascii="Book Antiqua" w:hAnsi="Book Antiqua" w:cs="Arial"/>
          <w:color w:val="000000" w:themeColor="text1"/>
          <w:sz w:val="24"/>
          <w:szCs w:val="24"/>
          <w:lang w:val="en-US"/>
        </w:rPr>
        <w:t xml:space="preserve">selective mechanism of action, a risk not encountered in the GEMINI trials and in this trial. Incidence rates of </w:t>
      </w:r>
      <w:r w:rsidRPr="00D5385E">
        <w:rPr>
          <w:rFonts w:ascii="Book Antiqua" w:hAnsi="Book Antiqua" w:cs="Arial"/>
          <w:i/>
          <w:color w:val="000000" w:themeColor="text1"/>
          <w:sz w:val="24"/>
          <w:szCs w:val="24"/>
          <w:lang w:val="en-US"/>
        </w:rPr>
        <w:t>Clostridium difficile</w:t>
      </w:r>
      <w:r w:rsidRPr="00D5385E">
        <w:rPr>
          <w:rFonts w:ascii="Book Antiqua" w:hAnsi="Book Antiqua" w:cs="Arial"/>
          <w:color w:val="000000" w:themeColor="text1"/>
          <w:sz w:val="24"/>
          <w:szCs w:val="24"/>
          <w:lang w:val="en-US"/>
        </w:rPr>
        <w:t xml:space="preserve"> </w:t>
      </w:r>
      <w:r w:rsidR="00FC7EFC" w:rsidRPr="00D5385E">
        <w:rPr>
          <w:rFonts w:ascii="Book Antiqua" w:hAnsi="Book Antiqua" w:cs="Arial"/>
          <w:color w:val="000000" w:themeColor="text1"/>
          <w:sz w:val="24"/>
          <w:szCs w:val="24"/>
          <w:lang w:val="en-US"/>
        </w:rPr>
        <w:t xml:space="preserve">infection and gastrointestinal infections were also similar between groups (21% </w:t>
      </w:r>
      <w:r w:rsidR="006D1438" w:rsidRPr="00A86E05">
        <w:rPr>
          <w:rFonts w:ascii="Book Antiqua" w:hAnsi="Book Antiqua" w:cs="Arial"/>
          <w:i/>
          <w:iCs/>
          <w:color w:val="000000" w:themeColor="text1"/>
          <w:sz w:val="24"/>
          <w:szCs w:val="24"/>
          <w:lang w:val="en-US"/>
        </w:rPr>
        <w:t>vs</w:t>
      </w:r>
      <w:r w:rsidR="00FC7EFC" w:rsidRPr="00D5385E">
        <w:rPr>
          <w:rFonts w:ascii="Book Antiqua" w:hAnsi="Book Antiqua" w:cs="Arial"/>
          <w:color w:val="000000" w:themeColor="text1"/>
          <w:sz w:val="24"/>
          <w:szCs w:val="24"/>
          <w:lang w:val="en-US"/>
        </w:rPr>
        <w:t xml:space="preserve"> 18%, </w:t>
      </w:r>
      <w:r w:rsidR="00A86E05" w:rsidRPr="00A86E05">
        <w:rPr>
          <w:rFonts w:ascii="Book Antiqua" w:hAnsi="Book Antiqua" w:cs="Arial"/>
          <w:i/>
          <w:iCs/>
          <w:color w:val="000000" w:themeColor="text1"/>
          <w:sz w:val="24"/>
          <w:szCs w:val="24"/>
          <w:lang w:val="en-US"/>
        </w:rPr>
        <w:t>P</w:t>
      </w:r>
      <w:r w:rsidR="00A86E05">
        <w:rPr>
          <w:rFonts w:ascii="Book Antiqua" w:hAnsi="Book Antiqua" w:cs="Arial"/>
          <w:color w:val="000000" w:themeColor="text1"/>
          <w:sz w:val="24"/>
          <w:szCs w:val="24"/>
          <w:lang w:val="en-US"/>
        </w:rPr>
        <w:t xml:space="preserve"> = </w:t>
      </w:r>
      <w:r w:rsidR="00FC7EFC" w:rsidRPr="00D5385E">
        <w:rPr>
          <w:rFonts w:ascii="Book Antiqua" w:hAnsi="Book Antiqua" w:cs="Arial"/>
          <w:color w:val="000000" w:themeColor="text1"/>
          <w:sz w:val="24"/>
          <w:szCs w:val="24"/>
          <w:lang w:val="en-US"/>
        </w:rPr>
        <w:t>0.57). New primary or recurrent malignancies were diagnosed in 3% of anti</w:t>
      </w:r>
      <w:r w:rsidR="000A1048">
        <w:rPr>
          <w:rFonts w:ascii="Book Antiqua" w:hAnsi="Book Antiqua" w:cs="Arial"/>
          <w:color w:val="000000" w:themeColor="text1"/>
          <w:sz w:val="24"/>
          <w:szCs w:val="24"/>
          <w:lang w:val="en-US"/>
        </w:rPr>
        <w:t>-</w:t>
      </w:r>
      <w:r w:rsidR="00FC7EFC" w:rsidRPr="00D5385E">
        <w:rPr>
          <w:rFonts w:ascii="Book Antiqua" w:hAnsi="Book Antiqua" w:cs="Arial"/>
          <w:color w:val="000000" w:themeColor="text1"/>
          <w:sz w:val="24"/>
          <w:szCs w:val="24"/>
          <w:lang w:val="en-US"/>
        </w:rPr>
        <w:t>TNF patients and 1% of vedolizumab</w:t>
      </w:r>
      <w:r w:rsidR="000A1048">
        <w:rPr>
          <w:rFonts w:ascii="Book Antiqua" w:hAnsi="Book Antiqua" w:cs="Arial"/>
          <w:color w:val="000000" w:themeColor="text1"/>
          <w:sz w:val="24"/>
          <w:szCs w:val="24"/>
          <w:lang w:val="en-US"/>
        </w:rPr>
        <w:t>-</w:t>
      </w:r>
      <w:r w:rsidR="00FC7EFC" w:rsidRPr="00D5385E">
        <w:rPr>
          <w:rFonts w:ascii="Book Antiqua" w:hAnsi="Book Antiqua" w:cs="Arial"/>
          <w:color w:val="000000" w:themeColor="text1"/>
          <w:sz w:val="24"/>
          <w:szCs w:val="24"/>
          <w:lang w:val="en-US"/>
        </w:rPr>
        <w:t>treated patients, although not statistically significant (</w:t>
      </w:r>
      <w:r w:rsidR="00A86E05" w:rsidRPr="00A86E05">
        <w:rPr>
          <w:rFonts w:ascii="Book Antiqua" w:hAnsi="Book Antiqua" w:cs="Arial"/>
          <w:i/>
          <w:iCs/>
          <w:color w:val="000000" w:themeColor="text1"/>
          <w:sz w:val="24"/>
          <w:szCs w:val="24"/>
          <w:lang w:val="en-US"/>
        </w:rPr>
        <w:t xml:space="preserve">P </w:t>
      </w:r>
      <w:r w:rsidR="00A86E05">
        <w:rPr>
          <w:rFonts w:ascii="Book Antiqua" w:hAnsi="Book Antiqua" w:cs="Arial"/>
          <w:color w:val="000000" w:themeColor="text1"/>
          <w:sz w:val="24"/>
          <w:szCs w:val="24"/>
          <w:lang w:val="en-US"/>
        </w:rPr>
        <w:t xml:space="preserve">= </w:t>
      </w:r>
      <w:proofErr w:type="gramStart"/>
      <w:r w:rsidR="00FC7EFC" w:rsidRPr="00D5385E">
        <w:rPr>
          <w:rFonts w:ascii="Book Antiqua" w:hAnsi="Book Antiqua" w:cs="Arial"/>
          <w:color w:val="000000" w:themeColor="text1"/>
          <w:sz w:val="24"/>
          <w:szCs w:val="24"/>
          <w:lang w:val="en-US"/>
        </w:rPr>
        <w:t>0.27)</w:t>
      </w:r>
      <w:r w:rsidR="00A94A6A"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53</w:t>
      </w:r>
      <w:r w:rsidR="00A94A6A" w:rsidRPr="00D5385E">
        <w:rPr>
          <w:rFonts w:ascii="Book Antiqua" w:hAnsi="Book Antiqua" w:cs="Arial"/>
          <w:color w:val="000000" w:themeColor="text1"/>
          <w:sz w:val="24"/>
          <w:szCs w:val="24"/>
          <w:vertAlign w:val="superscript"/>
          <w:lang w:val="en-US"/>
        </w:rPr>
        <w:t>]</w:t>
      </w:r>
      <w:r w:rsidR="00A94A6A" w:rsidRPr="00D5385E">
        <w:rPr>
          <w:rFonts w:ascii="Book Antiqua" w:eastAsia="Times New Roman" w:hAnsi="Book Antiqua" w:cs="Arial"/>
          <w:color w:val="000000" w:themeColor="text1"/>
          <w:sz w:val="24"/>
          <w:szCs w:val="24"/>
          <w:shd w:val="clear" w:color="auto" w:fill="FFFFFF"/>
          <w:lang w:val="en-US"/>
        </w:rPr>
        <w:t xml:space="preserve">. </w:t>
      </w:r>
      <w:r w:rsidR="00AB13CE" w:rsidRPr="00D5385E">
        <w:rPr>
          <w:rFonts w:ascii="Book Antiqua" w:hAnsi="Book Antiqua" w:cs="Arial"/>
          <w:color w:val="000000" w:themeColor="text1"/>
          <w:sz w:val="24"/>
          <w:szCs w:val="24"/>
          <w:lang w:val="en-US"/>
        </w:rPr>
        <w:t xml:space="preserve">The </w:t>
      </w:r>
      <w:bookmarkStart w:id="71" w:name="OLE_LINK7"/>
      <w:bookmarkStart w:id="72" w:name="OLE_LINK8"/>
      <w:r w:rsidR="00AB13CE" w:rsidRPr="00D5385E">
        <w:rPr>
          <w:rFonts w:ascii="Book Antiqua" w:hAnsi="Book Antiqua" w:cs="Arial"/>
          <w:color w:val="000000" w:themeColor="text1"/>
          <w:sz w:val="24"/>
          <w:szCs w:val="24"/>
          <w:lang w:val="en-US"/>
        </w:rPr>
        <w:t>Adar</w:t>
      </w:r>
      <w:bookmarkEnd w:id="71"/>
      <w:bookmarkEnd w:id="72"/>
      <w:r w:rsidR="00AB13CE" w:rsidRPr="00D5385E">
        <w:rPr>
          <w:rFonts w:ascii="Book Antiqua" w:hAnsi="Book Antiqua" w:cs="Arial"/>
          <w:color w:val="000000" w:themeColor="text1"/>
          <w:sz w:val="24"/>
          <w:szCs w:val="24"/>
          <w:lang w:val="en-US"/>
        </w:rPr>
        <w:t xml:space="preserve"> </w:t>
      </w:r>
      <w:r w:rsidR="00AB13CE" w:rsidRPr="00A86E05">
        <w:rPr>
          <w:rFonts w:ascii="Book Antiqua" w:hAnsi="Book Antiqua" w:cs="Arial"/>
          <w:i/>
          <w:iCs/>
          <w:color w:val="000000" w:themeColor="text1"/>
          <w:sz w:val="24"/>
          <w:szCs w:val="24"/>
          <w:lang w:val="en-US"/>
        </w:rPr>
        <w:t xml:space="preserve">et </w:t>
      </w:r>
      <w:proofErr w:type="gramStart"/>
      <w:r w:rsidR="00AB13CE" w:rsidRPr="00A86E05">
        <w:rPr>
          <w:rFonts w:ascii="Book Antiqua" w:hAnsi="Book Antiqua" w:cs="Arial"/>
          <w:i/>
          <w:iCs/>
          <w:color w:val="000000" w:themeColor="text1"/>
          <w:sz w:val="24"/>
          <w:szCs w:val="24"/>
          <w:lang w:val="en-US"/>
        </w:rPr>
        <w:t>al</w:t>
      </w:r>
      <w:r w:rsidR="00A86E05">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53</w:t>
      </w:r>
      <w:r w:rsidR="00A86E05">
        <w:rPr>
          <w:rFonts w:ascii="Book Antiqua" w:hAnsi="Book Antiqua" w:cs="Arial"/>
          <w:color w:val="000000" w:themeColor="text1"/>
          <w:sz w:val="24"/>
          <w:szCs w:val="24"/>
          <w:vertAlign w:val="superscript"/>
          <w:lang w:val="en-US"/>
        </w:rPr>
        <w:t>]</w:t>
      </w:r>
      <w:r w:rsidR="00AB13CE" w:rsidRPr="00D5385E">
        <w:rPr>
          <w:rFonts w:ascii="Book Antiqua" w:hAnsi="Book Antiqua" w:cs="Arial"/>
          <w:color w:val="000000" w:themeColor="text1"/>
          <w:sz w:val="24"/>
          <w:szCs w:val="24"/>
          <w:lang w:val="en-US"/>
        </w:rPr>
        <w:t xml:space="preserve"> study is the largest to compare efficacy and safety of biologic agents in the elderly IBD population. </w:t>
      </w:r>
      <w:r w:rsidR="005B0073" w:rsidRPr="00D5385E">
        <w:rPr>
          <w:rFonts w:ascii="Book Antiqua" w:hAnsi="Book Antiqua" w:cs="Arial"/>
          <w:color w:val="000000" w:themeColor="text1"/>
          <w:sz w:val="24"/>
          <w:szCs w:val="24"/>
          <w:lang w:val="en-US"/>
        </w:rPr>
        <w:t>As opposed to extrapolations from the</w:t>
      </w:r>
      <w:r w:rsidR="00AB13CE" w:rsidRPr="00D5385E">
        <w:rPr>
          <w:rFonts w:ascii="Book Antiqua" w:hAnsi="Book Antiqua" w:cs="Arial"/>
          <w:color w:val="000000" w:themeColor="text1"/>
          <w:sz w:val="24"/>
          <w:szCs w:val="24"/>
          <w:lang w:val="en-US"/>
        </w:rPr>
        <w:t xml:space="preserve"> GEMINI </w:t>
      </w:r>
      <w:r w:rsidR="005B0073" w:rsidRPr="00D5385E">
        <w:rPr>
          <w:rFonts w:ascii="Book Antiqua" w:hAnsi="Book Antiqua" w:cs="Arial"/>
          <w:color w:val="000000" w:themeColor="text1"/>
          <w:sz w:val="24"/>
          <w:szCs w:val="24"/>
          <w:lang w:val="en-US"/>
        </w:rPr>
        <w:t>data</w:t>
      </w:r>
      <w:r w:rsidR="009B6C72" w:rsidRPr="00D5385E">
        <w:rPr>
          <w:rFonts w:ascii="Book Antiqua" w:hAnsi="Book Antiqua" w:cs="Arial"/>
          <w:color w:val="000000" w:themeColor="text1"/>
          <w:sz w:val="24"/>
          <w:szCs w:val="24"/>
          <w:lang w:val="en-US"/>
        </w:rPr>
        <w:t xml:space="preserve"> (similar rates of infections between vedolizumab and placebo arms)</w:t>
      </w:r>
      <w:r w:rsidR="00AB13CE" w:rsidRPr="00D5385E">
        <w:rPr>
          <w:rFonts w:ascii="Book Antiqua" w:hAnsi="Book Antiqua" w:cs="Arial"/>
          <w:color w:val="000000" w:themeColor="text1"/>
          <w:sz w:val="24"/>
          <w:szCs w:val="24"/>
          <w:lang w:val="en-US"/>
        </w:rPr>
        <w:t xml:space="preserve">, the findings </w:t>
      </w:r>
      <w:r w:rsidR="009B6C72" w:rsidRPr="00D5385E">
        <w:rPr>
          <w:rFonts w:ascii="Book Antiqua" w:hAnsi="Book Antiqua" w:cs="Arial"/>
          <w:color w:val="000000" w:themeColor="text1"/>
          <w:sz w:val="24"/>
          <w:szCs w:val="24"/>
          <w:lang w:val="en-US"/>
        </w:rPr>
        <w:t xml:space="preserve">from Adar </w:t>
      </w:r>
      <w:r w:rsidR="00A86E05" w:rsidRPr="00A86E05">
        <w:rPr>
          <w:rFonts w:ascii="Book Antiqua" w:hAnsi="Book Antiqua" w:cs="Arial"/>
          <w:i/>
          <w:iCs/>
          <w:color w:val="000000" w:themeColor="text1"/>
          <w:sz w:val="24"/>
          <w:szCs w:val="24"/>
          <w:lang w:val="en-US"/>
        </w:rPr>
        <w:t xml:space="preserve">et </w:t>
      </w:r>
      <w:proofErr w:type="gramStart"/>
      <w:r w:rsidR="00A86E05" w:rsidRPr="00A86E05">
        <w:rPr>
          <w:rFonts w:ascii="Book Antiqua" w:hAnsi="Book Antiqua" w:cs="Arial"/>
          <w:i/>
          <w:iCs/>
          <w:color w:val="000000" w:themeColor="text1"/>
          <w:sz w:val="24"/>
          <w:szCs w:val="24"/>
          <w:lang w:val="en-US"/>
        </w:rPr>
        <w:t>al</w:t>
      </w:r>
      <w:r w:rsidR="00A86E05">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53</w:t>
      </w:r>
      <w:r w:rsidR="00A86E05">
        <w:rPr>
          <w:rFonts w:ascii="Book Antiqua" w:hAnsi="Book Antiqua" w:cs="Arial"/>
          <w:color w:val="000000" w:themeColor="text1"/>
          <w:sz w:val="24"/>
          <w:szCs w:val="24"/>
          <w:vertAlign w:val="superscript"/>
          <w:lang w:val="en-US"/>
        </w:rPr>
        <w:t>]</w:t>
      </w:r>
      <w:r w:rsidR="009B6C72" w:rsidRPr="00D5385E">
        <w:rPr>
          <w:rFonts w:ascii="Book Antiqua" w:hAnsi="Book Antiqua" w:cs="Arial"/>
          <w:color w:val="000000" w:themeColor="text1"/>
          <w:sz w:val="24"/>
          <w:szCs w:val="24"/>
          <w:lang w:val="en-US"/>
        </w:rPr>
        <w:t xml:space="preserve"> </w:t>
      </w:r>
      <w:r w:rsidR="00AB13CE" w:rsidRPr="00D5385E">
        <w:rPr>
          <w:rFonts w:ascii="Book Antiqua" w:hAnsi="Book Antiqua" w:cs="Arial"/>
          <w:color w:val="000000" w:themeColor="text1"/>
          <w:sz w:val="24"/>
          <w:szCs w:val="24"/>
          <w:lang w:val="en-US"/>
        </w:rPr>
        <w:t xml:space="preserve">do not capture significantly lower rates of </w:t>
      </w:r>
      <w:r w:rsidR="005B0073" w:rsidRPr="00D5385E">
        <w:rPr>
          <w:rFonts w:ascii="Book Antiqua" w:hAnsi="Book Antiqua" w:cs="Arial"/>
          <w:color w:val="000000" w:themeColor="text1"/>
          <w:sz w:val="24"/>
          <w:szCs w:val="24"/>
          <w:lang w:val="en-US"/>
        </w:rPr>
        <w:t>infections compared to anti</w:t>
      </w:r>
      <w:r w:rsidR="000A1048">
        <w:rPr>
          <w:rFonts w:ascii="Book Antiqua" w:hAnsi="Book Antiqua" w:cs="Arial"/>
          <w:color w:val="000000" w:themeColor="text1"/>
          <w:sz w:val="24"/>
          <w:szCs w:val="24"/>
          <w:lang w:val="en-US"/>
        </w:rPr>
        <w:t>-</w:t>
      </w:r>
      <w:r w:rsidR="005B0073" w:rsidRPr="00D5385E">
        <w:rPr>
          <w:rFonts w:ascii="Book Antiqua" w:hAnsi="Book Antiqua" w:cs="Arial"/>
          <w:color w:val="000000" w:themeColor="text1"/>
          <w:sz w:val="24"/>
          <w:szCs w:val="24"/>
          <w:lang w:val="en-US"/>
        </w:rPr>
        <w:t>TNF</w:t>
      </w:r>
      <w:r w:rsidR="009B6C72" w:rsidRPr="00D5385E">
        <w:rPr>
          <w:rFonts w:ascii="Book Antiqua" w:hAnsi="Book Antiqua" w:cs="Arial"/>
          <w:color w:val="000000" w:themeColor="text1"/>
          <w:sz w:val="24"/>
          <w:szCs w:val="24"/>
          <w:lang w:val="en-US"/>
        </w:rPr>
        <w:t xml:space="preserve"> agents, possibly explained by the small sample size, short follow</w:t>
      </w:r>
      <w:r w:rsidR="000A1048">
        <w:rPr>
          <w:rFonts w:ascii="Book Antiqua" w:hAnsi="Book Antiqua" w:cs="Arial"/>
          <w:color w:val="000000" w:themeColor="text1"/>
          <w:sz w:val="24"/>
          <w:szCs w:val="24"/>
          <w:lang w:val="en-US"/>
        </w:rPr>
        <w:t>-</w:t>
      </w:r>
      <w:r w:rsidR="009B6C72" w:rsidRPr="00D5385E">
        <w:rPr>
          <w:rFonts w:ascii="Book Antiqua" w:hAnsi="Book Antiqua" w:cs="Arial"/>
          <w:color w:val="000000" w:themeColor="text1"/>
          <w:sz w:val="24"/>
          <w:szCs w:val="24"/>
          <w:lang w:val="en-US"/>
        </w:rPr>
        <w:t>up period and retrospective nature of the trial. A</w:t>
      </w:r>
      <w:r w:rsidR="00170CD7" w:rsidRPr="00D5385E">
        <w:rPr>
          <w:rFonts w:ascii="Book Antiqua" w:hAnsi="Book Antiqua" w:cs="Arial"/>
          <w:color w:val="000000" w:themeColor="text1"/>
          <w:sz w:val="24"/>
          <w:szCs w:val="24"/>
          <w:lang w:val="en-US"/>
        </w:rPr>
        <w:t xml:space="preserve">dditional trials of comparable size are </w:t>
      </w:r>
      <w:r w:rsidR="009B6C72" w:rsidRPr="00D5385E">
        <w:rPr>
          <w:rFonts w:ascii="Book Antiqua" w:hAnsi="Book Antiqua" w:cs="Arial"/>
          <w:color w:val="000000" w:themeColor="text1"/>
          <w:sz w:val="24"/>
          <w:szCs w:val="24"/>
          <w:lang w:val="en-US"/>
        </w:rPr>
        <w:t>needed</w:t>
      </w:r>
      <w:r w:rsidR="00170CD7" w:rsidRPr="00D5385E">
        <w:rPr>
          <w:rFonts w:ascii="Book Antiqua" w:hAnsi="Book Antiqua" w:cs="Arial"/>
          <w:color w:val="000000" w:themeColor="text1"/>
          <w:sz w:val="24"/>
          <w:szCs w:val="24"/>
          <w:lang w:val="en-US"/>
        </w:rPr>
        <w:t xml:space="preserve"> to</w:t>
      </w:r>
      <w:r w:rsidR="009B6C72" w:rsidRPr="00D5385E">
        <w:rPr>
          <w:rFonts w:ascii="Book Antiqua" w:hAnsi="Book Antiqua" w:cs="Arial"/>
          <w:color w:val="000000" w:themeColor="text1"/>
          <w:sz w:val="24"/>
          <w:szCs w:val="24"/>
          <w:lang w:val="en-US"/>
        </w:rPr>
        <w:t xml:space="preserve"> better elucidate the safety profile of vedolizumab compared to anti</w:t>
      </w:r>
      <w:r w:rsidR="000A1048">
        <w:rPr>
          <w:rFonts w:ascii="Book Antiqua" w:hAnsi="Book Antiqua" w:cs="Arial"/>
          <w:color w:val="000000" w:themeColor="text1"/>
          <w:sz w:val="24"/>
          <w:szCs w:val="24"/>
          <w:lang w:val="en-US"/>
        </w:rPr>
        <w:t>-</w:t>
      </w:r>
      <w:r w:rsidR="009B6C72" w:rsidRPr="00D5385E">
        <w:rPr>
          <w:rFonts w:ascii="Book Antiqua" w:hAnsi="Book Antiqua" w:cs="Arial"/>
          <w:color w:val="000000" w:themeColor="text1"/>
          <w:sz w:val="24"/>
          <w:szCs w:val="24"/>
          <w:lang w:val="en-US"/>
        </w:rPr>
        <w:t>TNF agents</w:t>
      </w:r>
      <w:r w:rsidR="00170CD7" w:rsidRPr="00D5385E">
        <w:rPr>
          <w:rFonts w:ascii="Book Antiqua" w:hAnsi="Book Antiqua" w:cs="Arial"/>
          <w:color w:val="000000" w:themeColor="text1"/>
          <w:sz w:val="24"/>
          <w:szCs w:val="24"/>
          <w:lang w:val="en-US"/>
        </w:rPr>
        <w:t xml:space="preserve">. </w:t>
      </w:r>
    </w:p>
    <w:p w14:paraId="212D9853" w14:textId="77777777" w:rsidR="0030779C" w:rsidRPr="00D5385E" w:rsidRDefault="0030779C" w:rsidP="00D5385E">
      <w:pPr>
        <w:adjustRightInd w:val="0"/>
        <w:snapToGrid w:val="0"/>
        <w:spacing w:after="0" w:line="360" w:lineRule="auto"/>
        <w:jc w:val="both"/>
        <w:rPr>
          <w:rFonts w:ascii="Book Antiqua" w:hAnsi="Book Antiqua" w:cs="Arial"/>
          <w:color w:val="000000" w:themeColor="text1"/>
          <w:sz w:val="24"/>
          <w:szCs w:val="24"/>
          <w:lang w:val="en-US"/>
        </w:rPr>
      </w:pPr>
    </w:p>
    <w:p w14:paraId="6D3970FB" w14:textId="6EB50F57" w:rsidR="00486CC9" w:rsidRPr="00A86E05" w:rsidRDefault="00FD5635"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 xml:space="preserve">Interleukin 12 and 23 </w:t>
      </w:r>
      <w:r w:rsidR="00A86E05">
        <w:rPr>
          <w:rFonts w:ascii="Book Antiqua" w:hAnsi="Book Antiqua" w:cs="Arial"/>
          <w:b/>
          <w:color w:val="000000" w:themeColor="text1"/>
          <w:sz w:val="24"/>
          <w:szCs w:val="24"/>
          <w:lang w:val="en-US"/>
        </w:rPr>
        <w:t>b</w:t>
      </w:r>
      <w:r w:rsidRPr="00D5385E">
        <w:rPr>
          <w:rFonts w:ascii="Book Antiqua" w:hAnsi="Book Antiqua" w:cs="Arial"/>
          <w:b/>
          <w:color w:val="000000" w:themeColor="text1"/>
          <w:sz w:val="24"/>
          <w:szCs w:val="24"/>
          <w:lang w:val="en-US"/>
        </w:rPr>
        <w:t>lockade</w:t>
      </w:r>
      <w:r w:rsidR="00A86E05">
        <w:rPr>
          <w:rFonts w:ascii="Book Antiqua" w:hAnsi="Book Antiqua" w:cs="Arial"/>
          <w:b/>
          <w:color w:val="000000" w:themeColor="text1"/>
          <w:sz w:val="24"/>
          <w:szCs w:val="24"/>
          <w:lang w:val="en-US"/>
        </w:rPr>
        <w:t xml:space="preserve">: </w:t>
      </w:r>
      <w:r w:rsidR="00170CD7" w:rsidRPr="00D5385E">
        <w:rPr>
          <w:rFonts w:ascii="Book Antiqua" w:hAnsi="Book Antiqua" w:cs="Arial"/>
          <w:color w:val="000000" w:themeColor="text1"/>
          <w:sz w:val="24"/>
          <w:szCs w:val="24"/>
          <w:lang w:val="en-US"/>
        </w:rPr>
        <w:t xml:space="preserve">Otherwise, </w:t>
      </w:r>
      <w:proofErr w:type="spellStart"/>
      <w:r w:rsidR="00170CD7" w:rsidRPr="00D5385E">
        <w:rPr>
          <w:rFonts w:ascii="Book Antiqua" w:hAnsi="Book Antiqua" w:cs="Arial"/>
          <w:color w:val="000000" w:themeColor="text1"/>
          <w:sz w:val="24"/>
          <w:szCs w:val="24"/>
          <w:lang w:val="en-US"/>
        </w:rPr>
        <w:t>ustekinumab</w:t>
      </w:r>
      <w:proofErr w:type="spellEnd"/>
      <w:r w:rsidR="00170CD7" w:rsidRPr="00D5385E">
        <w:rPr>
          <w:rFonts w:ascii="Book Antiqua" w:hAnsi="Book Antiqua" w:cs="Arial"/>
          <w:color w:val="000000" w:themeColor="text1"/>
          <w:sz w:val="24"/>
          <w:szCs w:val="24"/>
          <w:lang w:val="en-US"/>
        </w:rPr>
        <w:t>, a monoclonal antibody targeting the co</w:t>
      </w:r>
      <w:r w:rsidR="00EB6F49" w:rsidRPr="00D5385E">
        <w:rPr>
          <w:rFonts w:ascii="Book Antiqua" w:hAnsi="Book Antiqua" w:cs="Arial"/>
          <w:color w:val="000000" w:themeColor="text1"/>
          <w:sz w:val="24"/>
          <w:szCs w:val="24"/>
          <w:lang w:val="en-US"/>
        </w:rPr>
        <w:t>mmon p40 subunit of interleukin</w:t>
      </w:r>
      <w:r w:rsidR="000A1048">
        <w:rPr>
          <w:rFonts w:ascii="Book Antiqua" w:hAnsi="Book Antiqua" w:cs="Arial"/>
          <w:color w:val="000000" w:themeColor="text1"/>
          <w:sz w:val="24"/>
          <w:szCs w:val="24"/>
          <w:lang w:val="en-US"/>
        </w:rPr>
        <w:t>-</w:t>
      </w:r>
      <w:r w:rsidR="00EB6F49" w:rsidRPr="00D5385E">
        <w:rPr>
          <w:rFonts w:ascii="Book Antiqua" w:hAnsi="Book Antiqua" w:cs="Arial"/>
          <w:color w:val="000000" w:themeColor="text1"/>
          <w:sz w:val="24"/>
          <w:szCs w:val="24"/>
          <w:lang w:val="en-US"/>
        </w:rPr>
        <w:t>12/</w:t>
      </w:r>
      <w:r w:rsidR="00170CD7" w:rsidRPr="00D5385E">
        <w:rPr>
          <w:rFonts w:ascii="Book Antiqua" w:hAnsi="Book Antiqua" w:cs="Arial"/>
          <w:color w:val="000000" w:themeColor="text1"/>
          <w:sz w:val="24"/>
          <w:szCs w:val="24"/>
          <w:lang w:val="en-US"/>
        </w:rPr>
        <w:t>23, has shown favorable efficacy and safety outcomes in the UNITI and IM</w:t>
      </w:r>
      <w:r w:rsidR="000A1048">
        <w:rPr>
          <w:rFonts w:ascii="Book Antiqua" w:hAnsi="Book Antiqua" w:cs="Arial"/>
          <w:color w:val="000000" w:themeColor="text1"/>
          <w:sz w:val="24"/>
          <w:szCs w:val="24"/>
          <w:lang w:val="en-US"/>
        </w:rPr>
        <w:t>-</w:t>
      </w:r>
      <w:r w:rsidR="00170CD7" w:rsidRPr="00D5385E">
        <w:rPr>
          <w:rFonts w:ascii="Book Antiqua" w:hAnsi="Book Antiqua" w:cs="Arial"/>
          <w:color w:val="000000" w:themeColor="text1"/>
          <w:sz w:val="24"/>
          <w:szCs w:val="24"/>
          <w:lang w:val="en-US"/>
        </w:rPr>
        <w:t xml:space="preserve">UNITI </w:t>
      </w:r>
      <w:proofErr w:type="gramStart"/>
      <w:r w:rsidR="00170CD7" w:rsidRPr="00D5385E">
        <w:rPr>
          <w:rFonts w:ascii="Book Antiqua" w:hAnsi="Book Antiqua" w:cs="Arial"/>
          <w:color w:val="000000" w:themeColor="text1"/>
          <w:sz w:val="24"/>
          <w:szCs w:val="24"/>
          <w:lang w:val="en-US"/>
        </w:rPr>
        <w:t>trials</w:t>
      </w:r>
      <w:r w:rsidR="0069679D"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50</w:t>
      </w:r>
      <w:r w:rsidR="0069679D" w:rsidRPr="00D5385E">
        <w:rPr>
          <w:rFonts w:ascii="Book Antiqua" w:hAnsi="Book Antiqua" w:cs="Arial"/>
          <w:color w:val="000000" w:themeColor="text1"/>
          <w:sz w:val="24"/>
          <w:szCs w:val="24"/>
          <w:vertAlign w:val="superscript"/>
          <w:lang w:val="en-US"/>
        </w:rPr>
        <w:t>]</w:t>
      </w:r>
      <w:r w:rsidR="00170CD7" w:rsidRPr="00D5385E">
        <w:rPr>
          <w:rFonts w:ascii="Book Antiqua" w:hAnsi="Book Antiqua" w:cs="Arial"/>
          <w:color w:val="000000" w:themeColor="text1"/>
          <w:sz w:val="24"/>
          <w:szCs w:val="24"/>
          <w:lang w:val="en-US"/>
        </w:rPr>
        <w:t xml:space="preserve">. However, stratification by age was not performed, resulting in the analysis of a relatively young patient population (average age of 38). </w:t>
      </w:r>
      <w:r w:rsidR="00486CC9" w:rsidRPr="00D5385E">
        <w:rPr>
          <w:rFonts w:ascii="Book Antiqua" w:hAnsi="Book Antiqua" w:cs="Arial"/>
          <w:color w:val="000000" w:themeColor="text1"/>
          <w:sz w:val="24"/>
          <w:szCs w:val="24"/>
          <w:lang w:val="en-US"/>
        </w:rPr>
        <w:t xml:space="preserve">Data is otherwise scarce for </w:t>
      </w:r>
      <w:proofErr w:type="spellStart"/>
      <w:r w:rsidR="00486CC9" w:rsidRPr="00D5385E">
        <w:rPr>
          <w:rFonts w:ascii="Book Antiqua" w:hAnsi="Book Antiqua" w:cs="Arial"/>
          <w:color w:val="000000" w:themeColor="text1"/>
          <w:sz w:val="24"/>
          <w:szCs w:val="24"/>
          <w:lang w:val="en-US"/>
        </w:rPr>
        <w:t>ustekinumab</w:t>
      </w:r>
      <w:proofErr w:type="spellEnd"/>
      <w:r w:rsidR="00486CC9" w:rsidRPr="00D5385E">
        <w:rPr>
          <w:rFonts w:ascii="Book Antiqua" w:hAnsi="Book Antiqua" w:cs="Arial"/>
          <w:color w:val="000000" w:themeColor="text1"/>
          <w:sz w:val="24"/>
          <w:szCs w:val="24"/>
          <w:lang w:val="en-US"/>
        </w:rPr>
        <w:t xml:space="preserve"> in the </w:t>
      </w:r>
      <w:r w:rsidR="00486CC9" w:rsidRPr="00D5385E">
        <w:rPr>
          <w:rFonts w:ascii="Book Antiqua" w:hAnsi="Book Antiqua" w:cs="Arial"/>
          <w:color w:val="000000" w:themeColor="text1"/>
          <w:sz w:val="24"/>
          <w:szCs w:val="24"/>
          <w:lang w:val="en-US"/>
        </w:rPr>
        <w:lastRenderedPageBreak/>
        <w:t xml:space="preserve">treatment of elderly IBD patients. </w:t>
      </w:r>
      <w:r w:rsidR="00170CD7" w:rsidRPr="00D5385E">
        <w:rPr>
          <w:rFonts w:ascii="Book Antiqua" w:hAnsi="Book Antiqua" w:cs="Arial"/>
          <w:color w:val="000000" w:themeColor="text1"/>
          <w:sz w:val="24"/>
          <w:szCs w:val="24"/>
          <w:lang w:val="en-US"/>
        </w:rPr>
        <w:t xml:space="preserve">Regarding the psoriasis literature, </w:t>
      </w:r>
      <w:r w:rsidR="0030779C" w:rsidRPr="00D5385E">
        <w:rPr>
          <w:rFonts w:ascii="Book Antiqua" w:hAnsi="Book Antiqua" w:cs="Arial"/>
          <w:color w:val="000000" w:themeColor="text1"/>
          <w:sz w:val="24"/>
          <w:szCs w:val="24"/>
          <w:lang w:val="en-US"/>
        </w:rPr>
        <w:t xml:space="preserve">two </w:t>
      </w:r>
      <w:r w:rsidR="00170CD7" w:rsidRPr="00D5385E">
        <w:rPr>
          <w:rFonts w:ascii="Book Antiqua" w:hAnsi="Book Antiqua" w:cs="Arial"/>
          <w:color w:val="000000" w:themeColor="text1"/>
          <w:sz w:val="24"/>
          <w:szCs w:val="24"/>
          <w:lang w:val="en-US"/>
        </w:rPr>
        <w:t>small retrospective trials (46 patients in total) suggest</w:t>
      </w:r>
      <w:r w:rsidR="00AC5CF0" w:rsidRPr="00D5385E">
        <w:rPr>
          <w:rFonts w:ascii="Book Antiqua" w:hAnsi="Book Antiqua" w:cs="Arial"/>
          <w:color w:val="000000" w:themeColor="text1"/>
          <w:sz w:val="24"/>
          <w:szCs w:val="24"/>
          <w:lang w:val="en-US"/>
        </w:rPr>
        <w:t>ed</w:t>
      </w:r>
      <w:r w:rsidR="00170CD7" w:rsidRPr="00D5385E">
        <w:rPr>
          <w:rFonts w:ascii="Book Antiqua" w:hAnsi="Book Antiqua" w:cs="Arial"/>
          <w:color w:val="000000" w:themeColor="text1"/>
          <w:sz w:val="24"/>
          <w:szCs w:val="24"/>
          <w:lang w:val="en-US"/>
        </w:rPr>
        <w:t xml:space="preserve"> no increased risk of adverse events with </w:t>
      </w:r>
      <w:proofErr w:type="spellStart"/>
      <w:r w:rsidR="00170CD7" w:rsidRPr="00D5385E">
        <w:rPr>
          <w:rFonts w:ascii="Book Antiqua" w:hAnsi="Book Antiqua" w:cs="Arial"/>
          <w:color w:val="000000" w:themeColor="text1"/>
          <w:sz w:val="24"/>
          <w:szCs w:val="24"/>
          <w:lang w:val="en-US"/>
        </w:rPr>
        <w:t>ustekinumab</w:t>
      </w:r>
      <w:proofErr w:type="spellEnd"/>
      <w:r w:rsidR="00170CD7" w:rsidRPr="00D5385E">
        <w:rPr>
          <w:rFonts w:ascii="Book Antiqua" w:hAnsi="Book Antiqua" w:cs="Arial"/>
          <w:color w:val="000000" w:themeColor="text1"/>
          <w:sz w:val="24"/>
          <w:szCs w:val="24"/>
          <w:lang w:val="en-US"/>
        </w:rPr>
        <w:t xml:space="preserve"> at 52 </w:t>
      </w:r>
      <w:proofErr w:type="spellStart"/>
      <w:r w:rsidR="00170CD7" w:rsidRPr="00D5385E">
        <w:rPr>
          <w:rFonts w:ascii="Book Antiqua" w:hAnsi="Book Antiqua" w:cs="Arial"/>
          <w:color w:val="000000" w:themeColor="text1"/>
          <w:sz w:val="24"/>
          <w:szCs w:val="24"/>
          <w:lang w:val="en-US"/>
        </w:rPr>
        <w:t>w</w:t>
      </w:r>
      <w:r w:rsidR="00A86E05">
        <w:rPr>
          <w:rFonts w:ascii="Book Antiqua" w:hAnsi="Book Antiqua" w:cs="Arial"/>
          <w:color w:val="000000" w:themeColor="text1"/>
          <w:sz w:val="24"/>
          <w:szCs w:val="24"/>
          <w:lang w:val="en-US"/>
        </w:rPr>
        <w:t>k</w:t>
      </w:r>
      <w:proofErr w:type="spellEnd"/>
      <w:r w:rsidR="00170CD7" w:rsidRPr="00D5385E">
        <w:rPr>
          <w:rFonts w:ascii="Book Antiqua" w:hAnsi="Book Antiqua" w:cs="Arial"/>
          <w:color w:val="000000" w:themeColor="text1"/>
          <w:sz w:val="24"/>
          <w:szCs w:val="24"/>
          <w:lang w:val="en-US"/>
        </w:rPr>
        <w:t xml:space="preserve">, although </w:t>
      </w:r>
      <w:proofErr w:type="spellStart"/>
      <w:r w:rsidR="00170CD7" w:rsidRPr="00D5385E">
        <w:rPr>
          <w:rFonts w:ascii="Book Antiqua" w:hAnsi="Book Antiqua" w:cs="Arial"/>
          <w:color w:val="000000" w:themeColor="text1"/>
          <w:sz w:val="24"/>
          <w:szCs w:val="24"/>
          <w:lang w:val="en-US"/>
        </w:rPr>
        <w:t>ustekinumab</w:t>
      </w:r>
      <w:proofErr w:type="spellEnd"/>
      <w:r w:rsidR="00170CD7" w:rsidRPr="00D5385E">
        <w:rPr>
          <w:rFonts w:ascii="Book Antiqua" w:hAnsi="Book Antiqua" w:cs="Arial"/>
          <w:color w:val="000000" w:themeColor="text1"/>
          <w:sz w:val="24"/>
          <w:szCs w:val="24"/>
          <w:lang w:val="en-US"/>
        </w:rPr>
        <w:t xml:space="preserve"> dosing is significantly lower </w:t>
      </w:r>
      <w:r w:rsidR="00AC5CF0" w:rsidRPr="00D5385E">
        <w:rPr>
          <w:rFonts w:ascii="Book Antiqua" w:hAnsi="Book Antiqua" w:cs="Arial"/>
          <w:color w:val="000000" w:themeColor="text1"/>
          <w:sz w:val="24"/>
          <w:szCs w:val="24"/>
          <w:lang w:val="en-US"/>
        </w:rPr>
        <w:t>in psoriasis treatment</w:t>
      </w:r>
      <w:r w:rsidR="00170CD7" w:rsidRPr="00D5385E">
        <w:rPr>
          <w:rFonts w:ascii="Book Antiqua" w:hAnsi="Book Antiqua" w:cs="Arial"/>
          <w:color w:val="000000" w:themeColor="text1"/>
          <w:sz w:val="24"/>
          <w:szCs w:val="24"/>
          <w:lang w:val="en-US"/>
        </w:rPr>
        <w:t xml:space="preserve"> compared to IBD </w:t>
      </w:r>
      <w:proofErr w:type="gramStart"/>
      <w:r w:rsidR="00170CD7" w:rsidRPr="00D5385E">
        <w:rPr>
          <w:rFonts w:ascii="Book Antiqua" w:hAnsi="Book Antiqua" w:cs="Arial"/>
          <w:color w:val="000000" w:themeColor="text1"/>
          <w:sz w:val="24"/>
          <w:szCs w:val="24"/>
          <w:lang w:val="en-US"/>
        </w:rPr>
        <w:t>dosing</w:t>
      </w:r>
      <w:r w:rsidR="0069679D"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60-61</w:t>
      </w:r>
      <w:r w:rsidR="0069679D" w:rsidRPr="00D5385E">
        <w:rPr>
          <w:rFonts w:ascii="Book Antiqua" w:hAnsi="Book Antiqua" w:cs="Arial"/>
          <w:color w:val="000000" w:themeColor="text1"/>
          <w:sz w:val="24"/>
          <w:szCs w:val="24"/>
          <w:vertAlign w:val="superscript"/>
          <w:lang w:val="en-US"/>
        </w:rPr>
        <w:t>]</w:t>
      </w:r>
      <w:r w:rsidR="0069679D" w:rsidRPr="00D5385E">
        <w:rPr>
          <w:rFonts w:ascii="Book Antiqua" w:eastAsia="Times New Roman" w:hAnsi="Book Antiqua" w:cs="Arial"/>
          <w:color w:val="000000" w:themeColor="text1"/>
          <w:sz w:val="24"/>
          <w:szCs w:val="24"/>
          <w:shd w:val="clear" w:color="auto" w:fill="FFFFFF"/>
          <w:lang w:val="en-US"/>
        </w:rPr>
        <w:t xml:space="preserve">. </w:t>
      </w:r>
      <w:r w:rsidR="00486CC9" w:rsidRPr="00D5385E">
        <w:rPr>
          <w:rFonts w:ascii="Book Antiqua" w:hAnsi="Book Antiqua" w:cs="Arial"/>
          <w:color w:val="000000" w:themeColor="text1"/>
          <w:sz w:val="24"/>
          <w:szCs w:val="24"/>
          <w:lang w:val="en-US"/>
        </w:rPr>
        <w:t>Such limited data has not clearly proven that clinicians should opt for the newer classes of biologic agents as a first</w:t>
      </w:r>
      <w:r w:rsidR="000A1048">
        <w:rPr>
          <w:rFonts w:ascii="Book Antiqua" w:hAnsi="Book Antiqua" w:cs="Arial"/>
          <w:color w:val="000000" w:themeColor="text1"/>
          <w:sz w:val="24"/>
          <w:szCs w:val="24"/>
          <w:lang w:val="en-US"/>
        </w:rPr>
        <w:t>-</w:t>
      </w:r>
      <w:r w:rsidR="00486CC9" w:rsidRPr="00D5385E">
        <w:rPr>
          <w:rFonts w:ascii="Book Antiqua" w:hAnsi="Book Antiqua" w:cs="Arial"/>
          <w:color w:val="000000" w:themeColor="text1"/>
          <w:sz w:val="24"/>
          <w:szCs w:val="24"/>
          <w:lang w:val="en-US"/>
        </w:rPr>
        <w:t>line intent in the hopes of blunting potential toxicity in the elderly IBD population.</w:t>
      </w:r>
    </w:p>
    <w:p w14:paraId="4FB03C4D" w14:textId="77777777" w:rsidR="00093515" w:rsidRPr="00D5385E" w:rsidRDefault="00093515" w:rsidP="00D5385E">
      <w:pPr>
        <w:adjustRightInd w:val="0"/>
        <w:snapToGrid w:val="0"/>
        <w:spacing w:after="0" w:line="360" w:lineRule="auto"/>
        <w:jc w:val="both"/>
        <w:rPr>
          <w:rFonts w:ascii="Book Antiqua" w:hAnsi="Book Antiqua" w:cs="Arial"/>
          <w:color w:val="000000" w:themeColor="text1"/>
          <w:sz w:val="24"/>
          <w:szCs w:val="24"/>
          <w:lang w:val="en-US"/>
        </w:rPr>
      </w:pPr>
    </w:p>
    <w:p w14:paraId="37063E33" w14:textId="77777777" w:rsidR="004D2D6B" w:rsidRPr="00D5385E" w:rsidRDefault="004D2D6B"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SURGERY</w:t>
      </w:r>
    </w:p>
    <w:p w14:paraId="62C32711" w14:textId="331A8174" w:rsidR="009A4178" w:rsidRPr="00D5385E" w:rsidRDefault="006E7058"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Advanced</w:t>
      </w:r>
      <w:r w:rsidR="002248AD" w:rsidRPr="00D5385E">
        <w:rPr>
          <w:rFonts w:ascii="Book Antiqua" w:hAnsi="Book Antiqua" w:cs="Arial"/>
          <w:color w:val="000000" w:themeColor="text1"/>
          <w:sz w:val="24"/>
          <w:szCs w:val="24"/>
          <w:lang w:val="en-US"/>
        </w:rPr>
        <w:t xml:space="preserve"> age confers an increased risk of post</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operative morbidity and mortality, mostly driven by the number of comorbidities, especially renal disease (OR </w:t>
      </w:r>
      <w:r w:rsidR="00A86E05">
        <w:rPr>
          <w:rFonts w:ascii="Book Antiqua" w:hAnsi="Book Antiqua" w:cs="Arial"/>
          <w:color w:val="000000" w:themeColor="text1"/>
          <w:sz w:val="24"/>
          <w:szCs w:val="24"/>
          <w:lang w:val="en-US"/>
        </w:rPr>
        <w:t xml:space="preserve">= </w:t>
      </w:r>
      <w:r w:rsidR="002248AD" w:rsidRPr="00D5385E">
        <w:rPr>
          <w:rFonts w:ascii="Book Antiqua" w:hAnsi="Book Antiqua" w:cs="Arial"/>
          <w:color w:val="000000" w:themeColor="text1"/>
          <w:sz w:val="24"/>
          <w:szCs w:val="24"/>
          <w:lang w:val="en-US"/>
        </w:rPr>
        <w:t>8.15 95%CI</w:t>
      </w:r>
      <w:r w:rsidR="00A86E05">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 5.44</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14.05), congestive heart failure (OR </w:t>
      </w:r>
      <w:r w:rsidR="00A86E05">
        <w:rPr>
          <w:rFonts w:ascii="Book Antiqua" w:hAnsi="Book Antiqua" w:cs="Arial"/>
          <w:color w:val="000000" w:themeColor="text1"/>
          <w:sz w:val="24"/>
          <w:szCs w:val="24"/>
          <w:lang w:val="en-US"/>
        </w:rPr>
        <w:t xml:space="preserve">= </w:t>
      </w:r>
      <w:r w:rsidR="002248AD" w:rsidRPr="00D5385E">
        <w:rPr>
          <w:rFonts w:ascii="Book Antiqua" w:hAnsi="Book Antiqua" w:cs="Arial"/>
          <w:color w:val="000000" w:themeColor="text1"/>
          <w:sz w:val="24"/>
          <w:szCs w:val="24"/>
          <w:lang w:val="en-US"/>
        </w:rPr>
        <w:t>3.5, 95%CI</w:t>
      </w:r>
      <w:r w:rsidR="00A86E05">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 2.63</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4.62), thromboembolic disease (OR </w:t>
      </w:r>
      <w:r w:rsidR="00A86E05">
        <w:rPr>
          <w:rFonts w:ascii="Book Antiqua" w:hAnsi="Book Antiqua" w:cs="Arial"/>
          <w:color w:val="000000" w:themeColor="text1"/>
          <w:sz w:val="24"/>
          <w:szCs w:val="24"/>
          <w:lang w:val="en-US"/>
        </w:rPr>
        <w:t xml:space="preserve">= </w:t>
      </w:r>
      <w:r w:rsidR="002248AD" w:rsidRPr="00D5385E">
        <w:rPr>
          <w:rFonts w:ascii="Book Antiqua" w:hAnsi="Book Antiqua" w:cs="Arial"/>
          <w:color w:val="000000" w:themeColor="text1"/>
          <w:sz w:val="24"/>
          <w:szCs w:val="24"/>
          <w:lang w:val="en-US"/>
        </w:rPr>
        <w:t>4.19, 85%CI</w:t>
      </w:r>
      <w:r w:rsidR="00A86E05">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 3.37</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5.21) and liver disease (respective ORs </w:t>
      </w:r>
      <w:r w:rsidR="00A86E05">
        <w:rPr>
          <w:rFonts w:ascii="Book Antiqua" w:hAnsi="Book Antiqua" w:cs="Arial"/>
          <w:color w:val="000000" w:themeColor="text1"/>
          <w:sz w:val="24"/>
          <w:szCs w:val="24"/>
          <w:lang w:val="en-US"/>
        </w:rPr>
        <w:t xml:space="preserve">= </w:t>
      </w:r>
      <w:r w:rsidR="002248AD" w:rsidRPr="00D5385E">
        <w:rPr>
          <w:rFonts w:ascii="Book Antiqua" w:hAnsi="Book Antiqua" w:cs="Arial"/>
          <w:color w:val="000000" w:themeColor="text1"/>
          <w:sz w:val="24"/>
          <w:szCs w:val="24"/>
          <w:lang w:val="en-US"/>
        </w:rPr>
        <w:t>8.15, 95%CI</w:t>
      </w:r>
      <w:r w:rsidR="00A86E05">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 xml:space="preserve"> 5.44</w:t>
      </w:r>
      <w:r w:rsidR="000A1048">
        <w:rPr>
          <w:rFonts w:ascii="Book Antiqua" w:hAnsi="Book Antiqua" w:cs="Arial"/>
          <w:color w:val="000000" w:themeColor="text1"/>
          <w:sz w:val="24"/>
          <w:szCs w:val="24"/>
          <w:lang w:val="en-US"/>
        </w:rPr>
        <w:t>-</w:t>
      </w:r>
      <w:r w:rsidR="002248AD" w:rsidRPr="00D5385E">
        <w:rPr>
          <w:rFonts w:ascii="Book Antiqua" w:hAnsi="Book Antiqua" w:cs="Arial"/>
          <w:color w:val="000000" w:themeColor="text1"/>
          <w:sz w:val="24"/>
          <w:szCs w:val="24"/>
          <w:lang w:val="en-US"/>
        </w:rPr>
        <w:t>14.05)</w:t>
      </w:r>
      <w:r w:rsidR="00647375" w:rsidRPr="00D5385E">
        <w:rPr>
          <w:rFonts w:ascii="Book Antiqua" w:hAnsi="Book Antiqua" w:cs="Arial"/>
          <w:color w:val="000000" w:themeColor="text1"/>
          <w:sz w:val="24"/>
          <w:szCs w:val="24"/>
          <w:vertAlign w:val="superscript"/>
          <w:lang w:val="en-US"/>
        </w:rPr>
        <w:t>[</w:t>
      </w:r>
      <w:r w:rsidR="00C56BA5">
        <w:rPr>
          <w:rFonts w:ascii="Book Antiqua" w:hAnsi="Book Antiqua" w:cs="Arial"/>
          <w:color w:val="000000" w:themeColor="text1"/>
          <w:sz w:val="24"/>
          <w:szCs w:val="24"/>
          <w:vertAlign w:val="superscript"/>
          <w:lang w:val="en-US"/>
        </w:rPr>
        <w:t>62</w:t>
      </w:r>
      <w:r w:rsidR="00647375" w:rsidRPr="00D5385E">
        <w:rPr>
          <w:rFonts w:ascii="Book Antiqua" w:hAnsi="Book Antiqua" w:cs="Arial"/>
          <w:color w:val="000000" w:themeColor="text1"/>
          <w:sz w:val="24"/>
          <w:szCs w:val="24"/>
          <w:vertAlign w:val="superscript"/>
          <w:lang w:val="en-US"/>
        </w:rPr>
        <w:t>]</w:t>
      </w:r>
      <w:r w:rsidR="00647375" w:rsidRPr="00D5385E">
        <w:rPr>
          <w:rFonts w:ascii="Book Antiqua" w:hAnsi="Book Antiqua" w:cs="Arial"/>
          <w:color w:val="000000" w:themeColor="text1"/>
          <w:sz w:val="24"/>
          <w:szCs w:val="24"/>
          <w:lang w:val="en-US"/>
        </w:rPr>
        <w:t>.</w:t>
      </w:r>
    </w:p>
    <w:p w14:paraId="058CF768" w14:textId="1AE51AEE" w:rsidR="000A066C" w:rsidRPr="00D5385E" w:rsidRDefault="00B96E6B" w:rsidP="00A86E05">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Elderly</w:t>
      </w:r>
      <w:r w:rsidR="007E343A" w:rsidRPr="00D5385E">
        <w:rPr>
          <w:rFonts w:ascii="Book Antiqua" w:hAnsi="Book Antiqua" w:cs="Arial"/>
          <w:color w:val="000000" w:themeColor="text1"/>
          <w:sz w:val="24"/>
          <w:szCs w:val="24"/>
          <w:lang w:val="en-US"/>
        </w:rPr>
        <w:t xml:space="preserve"> patients require surgical intervention</w:t>
      </w:r>
      <w:r w:rsidR="002248AD" w:rsidRPr="00D5385E">
        <w:rPr>
          <w:rFonts w:ascii="Book Antiqua" w:hAnsi="Book Antiqua" w:cs="Arial"/>
          <w:color w:val="000000" w:themeColor="text1"/>
          <w:sz w:val="24"/>
          <w:szCs w:val="24"/>
          <w:lang w:val="en-US"/>
        </w:rPr>
        <w:t>s</w:t>
      </w:r>
      <w:r w:rsidR="007E343A" w:rsidRPr="00D5385E">
        <w:rPr>
          <w:rFonts w:ascii="Book Antiqua" w:hAnsi="Book Antiqua" w:cs="Arial"/>
          <w:color w:val="000000" w:themeColor="text1"/>
          <w:sz w:val="24"/>
          <w:szCs w:val="24"/>
          <w:lang w:val="en-US"/>
        </w:rPr>
        <w:t xml:space="preserve"> mo</w:t>
      </w:r>
      <w:r w:rsidR="00F13222" w:rsidRPr="00D5385E">
        <w:rPr>
          <w:rFonts w:ascii="Book Antiqua" w:hAnsi="Book Antiqua" w:cs="Arial"/>
          <w:color w:val="000000" w:themeColor="text1"/>
          <w:sz w:val="24"/>
          <w:szCs w:val="24"/>
          <w:lang w:val="en-US"/>
        </w:rPr>
        <w:t>re commonly than the non</w:t>
      </w:r>
      <w:r w:rsidR="000A1048">
        <w:rPr>
          <w:rFonts w:ascii="Book Antiqua" w:hAnsi="Book Antiqua" w:cs="Arial"/>
          <w:color w:val="000000" w:themeColor="text1"/>
          <w:sz w:val="24"/>
          <w:szCs w:val="24"/>
          <w:lang w:val="en-US"/>
        </w:rPr>
        <w:t>-</w:t>
      </w:r>
      <w:r w:rsidR="00F13222" w:rsidRPr="00D5385E">
        <w:rPr>
          <w:rFonts w:ascii="Book Antiqua" w:hAnsi="Book Antiqua" w:cs="Arial"/>
          <w:color w:val="000000" w:themeColor="text1"/>
          <w:sz w:val="24"/>
          <w:szCs w:val="24"/>
          <w:lang w:val="en-US"/>
        </w:rPr>
        <w:t>elderly</w:t>
      </w:r>
      <w:r w:rsidR="002248AD" w:rsidRPr="00D5385E">
        <w:rPr>
          <w:rFonts w:ascii="Book Antiqua" w:hAnsi="Book Antiqua" w:cs="Arial"/>
          <w:color w:val="000000" w:themeColor="text1"/>
          <w:sz w:val="24"/>
          <w:szCs w:val="24"/>
          <w:lang w:val="en-US"/>
        </w:rPr>
        <w:t>, most of these happening within the first year of diagnosis</w:t>
      </w:r>
      <w:r w:rsidR="00F13222" w:rsidRPr="00D5385E">
        <w:rPr>
          <w:rFonts w:ascii="Book Antiqua" w:hAnsi="Book Antiqua" w:cs="Arial"/>
          <w:color w:val="000000" w:themeColor="text1"/>
          <w:sz w:val="24"/>
          <w:szCs w:val="24"/>
          <w:lang w:val="en-US"/>
        </w:rPr>
        <w:t xml:space="preserve">. Either their disease will be refractory to medical therapy, or the treating physician has chosen an alternative to chronic immunosuppression </w:t>
      </w:r>
      <w:r w:rsidRPr="00D5385E">
        <w:rPr>
          <w:rFonts w:ascii="Book Antiqua" w:hAnsi="Book Antiqua" w:cs="Arial"/>
          <w:color w:val="000000" w:themeColor="text1"/>
          <w:sz w:val="24"/>
          <w:szCs w:val="24"/>
          <w:lang w:val="en-US"/>
        </w:rPr>
        <w:t>due to the</w:t>
      </w:r>
      <w:r w:rsidR="00F13222" w:rsidRPr="00D5385E">
        <w:rPr>
          <w:rFonts w:ascii="Book Antiqua" w:hAnsi="Book Antiqua" w:cs="Arial"/>
          <w:color w:val="000000" w:themeColor="text1"/>
          <w:sz w:val="24"/>
          <w:szCs w:val="24"/>
          <w:lang w:val="en-US"/>
        </w:rPr>
        <w:t xml:space="preserve"> potentially higher rates of infection</w:t>
      </w:r>
      <w:r w:rsidRPr="00D5385E">
        <w:rPr>
          <w:rFonts w:ascii="Book Antiqua" w:hAnsi="Book Antiqua" w:cs="Arial"/>
          <w:color w:val="000000" w:themeColor="text1"/>
          <w:sz w:val="24"/>
          <w:szCs w:val="24"/>
          <w:lang w:val="en-US"/>
        </w:rPr>
        <w:t>s</w:t>
      </w:r>
      <w:r w:rsidR="00F13222" w:rsidRPr="00D5385E">
        <w:rPr>
          <w:rFonts w:ascii="Book Antiqua" w:hAnsi="Book Antiqua" w:cs="Arial"/>
          <w:color w:val="000000" w:themeColor="text1"/>
          <w:sz w:val="24"/>
          <w:szCs w:val="24"/>
          <w:lang w:val="en-US"/>
        </w:rPr>
        <w:t xml:space="preserve"> and malignancy</w:t>
      </w:r>
      <w:r w:rsidR="002248AD" w:rsidRPr="00D5385E">
        <w:rPr>
          <w:rFonts w:ascii="Book Antiqua" w:hAnsi="Book Antiqua" w:cs="Arial"/>
          <w:color w:val="000000" w:themeColor="text1"/>
          <w:sz w:val="24"/>
          <w:szCs w:val="24"/>
          <w:lang w:val="en-US"/>
        </w:rPr>
        <w:t xml:space="preserve"> or </w:t>
      </w:r>
      <w:r w:rsidRPr="00D5385E">
        <w:rPr>
          <w:rFonts w:ascii="Book Antiqua" w:hAnsi="Book Antiqua" w:cs="Arial"/>
          <w:color w:val="000000" w:themeColor="text1"/>
          <w:sz w:val="24"/>
          <w:szCs w:val="24"/>
          <w:lang w:val="en-US"/>
        </w:rPr>
        <w:t>the inconveniences related to parenteral delivery of biologic agents</w:t>
      </w:r>
      <w:r w:rsidR="00F13222" w:rsidRPr="00D5385E">
        <w:rPr>
          <w:rFonts w:ascii="Book Antiqua" w:hAnsi="Book Antiqua" w:cs="Arial"/>
          <w:color w:val="000000" w:themeColor="text1"/>
          <w:sz w:val="24"/>
          <w:szCs w:val="24"/>
          <w:lang w:val="en-US"/>
        </w:rPr>
        <w:t xml:space="preserve">. </w:t>
      </w:r>
      <w:r w:rsidR="00565E35" w:rsidRPr="00D5385E">
        <w:rPr>
          <w:rFonts w:ascii="Book Antiqua" w:hAnsi="Book Antiqua" w:cs="Arial"/>
          <w:color w:val="000000" w:themeColor="text1"/>
          <w:sz w:val="24"/>
          <w:szCs w:val="24"/>
          <w:lang w:val="en-US"/>
        </w:rPr>
        <w:t>In</w:t>
      </w:r>
      <w:r w:rsidR="00295C0B" w:rsidRPr="00D5385E">
        <w:rPr>
          <w:rFonts w:ascii="Book Antiqua" w:hAnsi="Book Antiqua" w:cs="Arial"/>
          <w:color w:val="000000" w:themeColor="text1"/>
          <w:sz w:val="24"/>
          <w:szCs w:val="24"/>
          <w:lang w:val="en-US"/>
        </w:rPr>
        <w:t xml:space="preserve"> </w:t>
      </w:r>
      <w:proofErr w:type="spellStart"/>
      <w:r w:rsidR="00295C0B" w:rsidRPr="00D5385E">
        <w:rPr>
          <w:rFonts w:ascii="Book Antiqua" w:hAnsi="Book Antiqua" w:cs="Arial"/>
          <w:color w:val="000000" w:themeColor="text1"/>
          <w:sz w:val="24"/>
          <w:szCs w:val="24"/>
          <w:lang w:val="en-US"/>
        </w:rPr>
        <w:t>Everhov</w:t>
      </w:r>
      <w:proofErr w:type="spellEnd"/>
      <w:r w:rsidR="00295C0B" w:rsidRPr="00D5385E">
        <w:rPr>
          <w:rFonts w:ascii="Book Antiqua" w:hAnsi="Book Antiqua" w:cs="Arial"/>
          <w:color w:val="000000" w:themeColor="text1"/>
          <w:sz w:val="24"/>
          <w:szCs w:val="24"/>
          <w:lang w:val="en-US"/>
        </w:rPr>
        <w:t xml:space="preserve"> </w:t>
      </w:r>
      <w:r w:rsidR="00295C0B" w:rsidRPr="00A86E05">
        <w:rPr>
          <w:rFonts w:ascii="Book Antiqua" w:hAnsi="Book Antiqua" w:cs="Arial"/>
          <w:i/>
          <w:iCs/>
          <w:color w:val="000000" w:themeColor="text1"/>
          <w:sz w:val="24"/>
          <w:szCs w:val="24"/>
          <w:lang w:val="en-US"/>
        </w:rPr>
        <w:t xml:space="preserve">et </w:t>
      </w:r>
      <w:proofErr w:type="gramStart"/>
      <w:r w:rsidR="00295C0B" w:rsidRPr="00A86E05">
        <w:rPr>
          <w:rFonts w:ascii="Book Antiqua" w:hAnsi="Book Antiqua" w:cs="Arial"/>
          <w:i/>
          <w:iCs/>
          <w:color w:val="000000" w:themeColor="text1"/>
          <w:sz w:val="24"/>
          <w:szCs w:val="24"/>
          <w:lang w:val="en-US"/>
        </w:rPr>
        <w:t>al</w:t>
      </w:r>
      <w:r w:rsidR="00A86E05" w:rsidRPr="00D5385E">
        <w:rPr>
          <w:rFonts w:ascii="Book Antiqua" w:hAnsi="Book Antiqua" w:cs="Arial"/>
          <w:color w:val="000000" w:themeColor="text1"/>
          <w:sz w:val="24"/>
          <w:szCs w:val="24"/>
          <w:vertAlign w:val="superscript"/>
          <w:lang w:val="en-US"/>
        </w:rPr>
        <w:t>[</w:t>
      </w:r>
      <w:proofErr w:type="gramEnd"/>
      <w:r w:rsidR="00A86E05" w:rsidRPr="00D5385E">
        <w:rPr>
          <w:rFonts w:ascii="Book Antiqua" w:hAnsi="Book Antiqua" w:cs="Arial"/>
          <w:color w:val="000000" w:themeColor="text1"/>
          <w:sz w:val="24"/>
          <w:szCs w:val="24"/>
          <w:vertAlign w:val="superscript"/>
          <w:lang w:val="en-US"/>
        </w:rPr>
        <w:t>2]</w:t>
      </w:r>
      <w:r w:rsidR="00565E35" w:rsidRPr="00D5385E">
        <w:rPr>
          <w:rFonts w:ascii="Book Antiqua" w:hAnsi="Book Antiqua" w:cs="Arial"/>
          <w:color w:val="000000" w:themeColor="text1"/>
          <w:sz w:val="24"/>
          <w:szCs w:val="24"/>
          <w:lang w:val="en-US"/>
        </w:rPr>
        <w:t xml:space="preserve">, </w:t>
      </w:r>
      <w:r w:rsidR="007E343A" w:rsidRPr="00D5385E">
        <w:rPr>
          <w:rFonts w:ascii="Book Antiqua" w:hAnsi="Book Antiqua" w:cs="Arial"/>
          <w:color w:val="000000" w:themeColor="text1"/>
          <w:sz w:val="24"/>
          <w:szCs w:val="24"/>
          <w:lang w:val="en-US"/>
        </w:rPr>
        <w:t xml:space="preserve">13% of </w:t>
      </w:r>
      <w:r w:rsidR="00565E35" w:rsidRPr="00D5385E">
        <w:rPr>
          <w:rFonts w:ascii="Book Antiqua" w:hAnsi="Book Antiqua" w:cs="Arial"/>
          <w:color w:val="000000" w:themeColor="text1"/>
          <w:sz w:val="24"/>
          <w:szCs w:val="24"/>
          <w:lang w:val="en-US"/>
        </w:rPr>
        <w:t xml:space="preserve">elderly IBD </w:t>
      </w:r>
      <w:r w:rsidR="007E343A" w:rsidRPr="00D5385E">
        <w:rPr>
          <w:rFonts w:ascii="Book Antiqua" w:hAnsi="Book Antiqua" w:cs="Arial"/>
          <w:color w:val="000000" w:themeColor="text1"/>
          <w:sz w:val="24"/>
          <w:szCs w:val="24"/>
          <w:lang w:val="en-US"/>
        </w:rPr>
        <w:t>patients (22% in CD, 6% in UC) had undergone bowel surgery at 5 years, significantly higher than the 10% adult population (16% in CD, 5% in UC)</w:t>
      </w:r>
      <w:r w:rsidR="00647375" w:rsidRPr="00D5385E">
        <w:rPr>
          <w:rFonts w:ascii="Book Antiqua" w:hAnsi="Book Antiqua" w:cs="Arial"/>
          <w:color w:val="000000" w:themeColor="text1"/>
          <w:sz w:val="24"/>
          <w:szCs w:val="24"/>
          <w:lang w:val="en-US"/>
        </w:rPr>
        <w:t xml:space="preserve">. </w:t>
      </w:r>
      <w:r w:rsidR="000A066C" w:rsidRPr="00D5385E">
        <w:rPr>
          <w:rFonts w:ascii="Book Antiqua" w:hAnsi="Book Antiqua" w:cs="Arial"/>
          <w:color w:val="000000" w:themeColor="text1"/>
          <w:sz w:val="24"/>
          <w:szCs w:val="24"/>
          <w:lang w:val="en-US"/>
        </w:rPr>
        <w:t>Similarly higher rates of surgery in the elderly UC population were reported in a meta</w:t>
      </w:r>
      <w:r w:rsidR="000A1048">
        <w:rPr>
          <w:rFonts w:ascii="Book Antiqua" w:hAnsi="Book Antiqua" w:cs="Arial"/>
          <w:color w:val="000000" w:themeColor="text1"/>
          <w:sz w:val="24"/>
          <w:szCs w:val="24"/>
          <w:lang w:val="en-US"/>
        </w:rPr>
        <w:t>-</w:t>
      </w:r>
      <w:r w:rsidR="000A066C" w:rsidRPr="00D5385E">
        <w:rPr>
          <w:rFonts w:ascii="Book Antiqua" w:hAnsi="Book Antiqua" w:cs="Arial"/>
          <w:color w:val="000000" w:themeColor="text1"/>
          <w:sz w:val="24"/>
          <w:szCs w:val="24"/>
          <w:lang w:val="en-US"/>
        </w:rPr>
        <w:t>analysis</w:t>
      </w:r>
      <w:r w:rsidR="007206CB" w:rsidRPr="00D5385E">
        <w:rPr>
          <w:rFonts w:ascii="Book Antiqua" w:hAnsi="Book Antiqua" w:cs="Arial"/>
          <w:color w:val="000000" w:themeColor="text1"/>
          <w:sz w:val="24"/>
          <w:szCs w:val="24"/>
          <w:lang w:val="en-US"/>
        </w:rPr>
        <w:t xml:space="preserve"> of 43 studies</w:t>
      </w:r>
      <w:r w:rsidR="000A066C" w:rsidRPr="00D5385E">
        <w:rPr>
          <w:rFonts w:ascii="Book Antiqua" w:hAnsi="Book Antiqua" w:cs="Arial"/>
          <w:color w:val="000000" w:themeColor="text1"/>
          <w:sz w:val="24"/>
          <w:szCs w:val="24"/>
          <w:lang w:val="en-US"/>
        </w:rPr>
        <w:t xml:space="preserve"> by </w:t>
      </w:r>
      <w:proofErr w:type="spellStart"/>
      <w:r w:rsidR="000A066C" w:rsidRPr="00D5385E">
        <w:rPr>
          <w:rFonts w:ascii="Book Antiqua" w:hAnsi="Book Antiqua" w:cs="Arial"/>
          <w:color w:val="000000" w:themeColor="text1"/>
          <w:sz w:val="24"/>
          <w:szCs w:val="24"/>
          <w:lang w:val="en-US"/>
        </w:rPr>
        <w:t>Ananthakrishnan</w:t>
      </w:r>
      <w:proofErr w:type="spellEnd"/>
      <w:r w:rsidR="000A066C" w:rsidRPr="00D5385E">
        <w:rPr>
          <w:rFonts w:ascii="Book Antiqua" w:hAnsi="Book Antiqua" w:cs="Arial"/>
          <w:color w:val="000000" w:themeColor="text1"/>
          <w:sz w:val="24"/>
          <w:szCs w:val="24"/>
          <w:lang w:val="en-US"/>
        </w:rPr>
        <w:t xml:space="preserve"> </w:t>
      </w:r>
      <w:r w:rsidR="000A066C" w:rsidRPr="00A86E05">
        <w:rPr>
          <w:rFonts w:ascii="Book Antiqua" w:hAnsi="Book Antiqua" w:cs="Arial"/>
          <w:i/>
          <w:iCs/>
          <w:color w:val="000000" w:themeColor="text1"/>
          <w:sz w:val="24"/>
          <w:szCs w:val="24"/>
          <w:lang w:val="en-US"/>
        </w:rPr>
        <w:t xml:space="preserve">et </w:t>
      </w:r>
      <w:proofErr w:type="gramStart"/>
      <w:r w:rsidR="000A066C" w:rsidRPr="00A86E05">
        <w:rPr>
          <w:rFonts w:ascii="Book Antiqua" w:hAnsi="Book Antiqua" w:cs="Arial"/>
          <w:i/>
          <w:iCs/>
          <w:color w:val="000000" w:themeColor="text1"/>
          <w:sz w:val="24"/>
          <w:szCs w:val="24"/>
          <w:lang w:val="en-US"/>
        </w:rPr>
        <w:t>al</w:t>
      </w:r>
      <w:r w:rsidR="00A86E05"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63</w:t>
      </w:r>
      <w:r w:rsidR="00A86E05" w:rsidRPr="00D5385E">
        <w:rPr>
          <w:rFonts w:ascii="Book Antiqua" w:hAnsi="Book Antiqua" w:cs="Arial"/>
          <w:color w:val="000000" w:themeColor="text1"/>
          <w:sz w:val="24"/>
          <w:szCs w:val="24"/>
          <w:vertAlign w:val="superscript"/>
          <w:lang w:val="en-US"/>
        </w:rPr>
        <w:t>]</w:t>
      </w:r>
      <w:r w:rsidR="000A066C" w:rsidRPr="00D5385E">
        <w:rPr>
          <w:rFonts w:ascii="Book Antiqua" w:hAnsi="Book Antiqua" w:cs="Arial"/>
          <w:color w:val="000000" w:themeColor="text1"/>
          <w:sz w:val="24"/>
          <w:szCs w:val="24"/>
          <w:lang w:val="en-US"/>
        </w:rPr>
        <w:t xml:space="preserve"> (OR </w:t>
      </w:r>
      <w:r w:rsidR="00A86E05">
        <w:rPr>
          <w:rFonts w:ascii="Book Antiqua" w:hAnsi="Book Antiqua" w:cs="Arial"/>
          <w:color w:val="000000" w:themeColor="text1"/>
          <w:sz w:val="24"/>
          <w:szCs w:val="24"/>
          <w:lang w:val="en-US"/>
        </w:rPr>
        <w:t xml:space="preserve">= </w:t>
      </w:r>
      <w:r w:rsidR="000A066C" w:rsidRPr="00D5385E">
        <w:rPr>
          <w:rFonts w:ascii="Book Antiqua" w:hAnsi="Book Antiqua" w:cs="Arial"/>
          <w:color w:val="000000" w:themeColor="text1"/>
          <w:sz w:val="24"/>
          <w:szCs w:val="24"/>
          <w:lang w:val="en-US"/>
        </w:rPr>
        <w:t>1.36; 95%CI</w:t>
      </w:r>
      <w:r w:rsidR="00A86E05">
        <w:rPr>
          <w:rFonts w:ascii="Book Antiqua" w:hAnsi="Book Antiqua" w:cs="Arial"/>
          <w:color w:val="000000" w:themeColor="text1"/>
          <w:sz w:val="24"/>
          <w:szCs w:val="24"/>
          <w:lang w:val="en-US"/>
        </w:rPr>
        <w:t>:</w:t>
      </w:r>
      <w:r w:rsidR="000A066C" w:rsidRPr="00D5385E">
        <w:rPr>
          <w:rFonts w:ascii="Book Antiqua" w:hAnsi="Book Antiqua" w:cs="Arial"/>
          <w:color w:val="000000" w:themeColor="text1"/>
          <w:sz w:val="24"/>
          <w:szCs w:val="24"/>
          <w:lang w:val="en-US"/>
        </w:rPr>
        <w:t xml:space="preserve"> 1.18</w:t>
      </w:r>
      <w:r w:rsidR="000A1048">
        <w:rPr>
          <w:rFonts w:ascii="Book Antiqua" w:hAnsi="Book Antiqua" w:cs="Arial"/>
          <w:color w:val="000000" w:themeColor="text1"/>
          <w:sz w:val="24"/>
          <w:szCs w:val="24"/>
          <w:lang w:val="en-US"/>
        </w:rPr>
        <w:t>-</w:t>
      </w:r>
      <w:r w:rsidR="000A066C" w:rsidRPr="00D5385E">
        <w:rPr>
          <w:rFonts w:ascii="Book Antiqua" w:hAnsi="Book Antiqua" w:cs="Arial"/>
          <w:color w:val="000000" w:themeColor="text1"/>
          <w:sz w:val="24"/>
          <w:szCs w:val="24"/>
          <w:lang w:val="en-US"/>
        </w:rPr>
        <w:t>1.57)</w:t>
      </w:r>
      <w:r w:rsidR="007206CB" w:rsidRPr="00D5385E">
        <w:rPr>
          <w:rFonts w:ascii="Book Antiqua" w:hAnsi="Book Antiqua" w:cs="Arial"/>
          <w:color w:val="000000" w:themeColor="text1"/>
          <w:sz w:val="24"/>
          <w:szCs w:val="24"/>
          <w:lang w:val="en-US"/>
        </w:rPr>
        <w:t>,</w:t>
      </w:r>
      <w:r w:rsidR="000A066C" w:rsidRPr="00D5385E">
        <w:rPr>
          <w:rFonts w:ascii="Book Antiqua" w:hAnsi="Book Antiqua" w:cs="Arial"/>
          <w:color w:val="000000" w:themeColor="text1"/>
          <w:sz w:val="24"/>
          <w:szCs w:val="24"/>
          <w:lang w:val="en-US"/>
        </w:rPr>
        <w:t xml:space="preserve"> compared to similar rates in the elderly CD popula</w:t>
      </w:r>
      <w:r w:rsidR="007206CB" w:rsidRPr="00D5385E">
        <w:rPr>
          <w:rFonts w:ascii="Book Antiqua" w:hAnsi="Book Antiqua" w:cs="Arial"/>
          <w:color w:val="000000" w:themeColor="text1"/>
          <w:sz w:val="24"/>
          <w:szCs w:val="24"/>
          <w:lang w:val="en-US"/>
        </w:rPr>
        <w:t xml:space="preserve">tion (OR </w:t>
      </w:r>
      <w:r w:rsidR="00A86E05">
        <w:rPr>
          <w:rFonts w:ascii="Book Antiqua" w:hAnsi="Book Antiqua" w:cs="Arial"/>
          <w:color w:val="000000" w:themeColor="text1"/>
          <w:sz w:val="24"/>
          <w:szCs w:val="24"/>
          <w:lang w:val="en-US"/>
        </w:rPr>
        <w:t xml:space="preserve">= </w:t>
      </w:r>
      <w:r w:rsidR="007206CB" w:rsidRPr="00D5385E">
        <w:rPr>
          <w:rFonts w:ascii="Book Antiqua" w:hAnsi="Book Antiqua" w:cs="Arial"/>
          <w:color w:val="000000" w:themeColor="text1"/>
          <w:sz w:val="24"/>
          <w:szCs w:val="24"/>
          <w:lang w:val="en-US"/>
        </w:rPr>
        <w:t>0.70; 95%CI</w:t>
      </w:r>
      <w:r w:rsidR="00A86E05">
        <w:rPr>
          <w:rFonts w:ascii="Book Antiqua" w:hAnsi="Book Antiqua" w:cs="Arial"/>
          <w:color w:val="000000" w:themeColor="text1"/>
          <w:sz w:val="24"/>
          <w:szCs w:val="24"/>
          <w:lang w:val="en-US"/>
        </w:rPr>
        <w:t>:</w:t>
      </w:r>
      <w:r w:rsidR="007206CB" w:rsidRPr="00D5385E">
        <w:rPr>
          <w:rFonts w:ascii="Book Antiqua" w:hAnsi="Book Antiqua" w:cs="Arial"/>
          <w:color w:val="000000" w:themeColor="text1"/>
          <w:sz w:val="24"/>
          <w:szCs w:val="24"/>
          <w:lang w:val="en-US"/>
        </w:rPr>
        <w:t xml:space="preserve"> 0.4</w:t>
      </w:r>
      <w:r w:rsidR="000A1048">
        <w:rPr>
          <w:rFonts w:ascii="Book Antiqua" w:hAnsi="Book Antiqua" w:cs="Arial"/>
          <w:color w:val="000000" w:themeColor="text1"/>
          <w:sz w:val="24"/>
          <w:szCs w:val="24"/>
          <w:lang w:val="en-US"/>
        </w:rPr>
        <w:t>-</w:t>
      </w:r>
      <w:r w:rsidR="007206CB" w:rsidRPr="00D5385E">
        <w:rPr>
          <w:rFonts w:ascii="Book Antiqua" w:hAnsi="Book Antiqua" w:cs="Arial"/>
          <w:color w:val="000000" w:themeColor="text1"/>
          <w:sz w:val="24"/>
          <w:szCs w:val="24"/>
          <w:lang w:val="en-US"/>
        </w:rPr>
        <w:t>1.22). C</w:t>
      </w:r>
      <w:r w:rsidR="000A066C" w:rsidRPr="00D5385E">
        <w:rPr>
          <w:rFonts w:ascii="Book Antiqua" w:hAnsi="Book Antiqua" w:cs="Arial"/>
          <w:color w:val="000000" w:themeColor="text1"/>
          <w:sz w:val="24"/>
          <w:szCs w:val="24"/>
          <w:lang w:val="en-US"/>
        </w:rPr>
        <w:t xml:space="preserve">umulative risk of colectomy in </w:t>
      </w:r>
      <w:r w:rsidR="002248AD" w:rsidRPr="00D5385E">
        <w:rPr>
          <w:rFonts w:ascii="Book Antiqua" w:hAnsi="Book Antiqua" w:cs="Arial"/>
          <w:color w:val="000000" w:themeColor="text1"/>
          <w:sz w:val="24"/>
          <w:szCs w:val="24"/>
          <w:lang w:val="en-US"/>
        </w:rPr>
        <w:t xml:space="preserve">elderly </w:t>
      </w:r>
      <w:r w:rsidR="000A066C" w:rsidRPr="00D5385E">
        <w:rPr>
          <w:rFonts w:ascii="Book Antiqua" w:hAnsi="Book Antiqua" w:cs="Arial"/>
          <w:color w:val="000000" w:themeColor="text1"/>
          <w:sz w:val="24"/>
          <w:szCs w:val="24"/>
          <w:lang w:val="en-US"/>
        </w:rPr>
        <w:t>UC patients is considered higher in distal and extensive UC (</w:t>
      </w:r>
      <w:r w:rsidR="00A86E05" w:rsidRPr="00A86E05">
        <w:rPr>
          <w:rFonts w:ascii="Book Antiqua" w:hAnsi="Book Antiqua" w:cs="Arial"/>
          <w:i/>
          <w:iCs/>
          <w:color w:val="000000" w:themeColor="text1"/>
          <w:sz w:val="24"/>
          <w:szCs w:val="24"/>
          <w:lang w:val="en-US"/>
        </w:rPr>
        <w:t>P</w:t>
      </w:r>
      <w:r w:rsidR="00A86E05">
        <w:rPr>
          <w:rFonts w:ascii="Book Antiqua" w:hAnsi="Book Antiqua" w:cs="Arial"/>
          <w:color w:val="000000" w:themeColor="text1"/>
          <w:sz w:val="24"/>
          <w:szCs w:val="24"/>
          <w:lang w:val="en-US"/>
        </w:rPr>
        <w:t xml:space="preserve"> </w:t>
      </w:r>
      <w:r w:rsidR="000A066C" w:rsidRPr="00D5385E">
        <w:rPr>
          <w:rFonts w:ascii="Book Antiqua" w:hAnsi="Book Antiqua" w:cs="Arial"/>
          <w:color w:val="000000" w:themeColor="text1"/>
          <w:sz w:val="24"/>
          <w:szCs w:val="24"/>
          <w:lang w:val="en-US"/>
        </w:rPr>
        <w:t xml:space="preserve">values 0.04 and 0.0001, respectively), compared to younger </w:t>
      </w:r>
      <w:proofErr w:type="gramStart"/>
      <w:r w:rsidR="000A066C" w:rsidRPr="00D5385E">
        <w:rPr>
          <w:rFonts w:ascii="Book Antiqua" w:hAnsi="Book Antiqua" w:cs="Arial"/>
          <w:color w:val="000000" w:themeColor="text1"/>
          <w:sz w:val="24"/>
          <w:szCs w:val="24"/>
          <w:lang w:val="en-US"/>
        </w:rPr>
        <w:t>populations</w:t>
      </w:r>
      <w:r w:rsidR="00647375" w:rsidRPr="00D5385E">
        <w:rPr>
          <w:rFonts w:ascii="Book Antiqua" w:hAnsi="Book Antiqua" w:cs="Arial"/>
          <w:color w:val="000000" w:themeColor="text1"/>
          <w:sz w:val="24"/>
          <w:szCs w:val="24"/>
          <w:vertAlign w:val="superscript"/>
          <w:lang w:val="en-US"/>
        </w:rPr>
        <w:t>[</w:t>
      </w:r>
      <w:proofErr w:type="gramEnd"/>
      <w:r w:rsidR="00647375" w:rsidRPr="00D5385E">
        <w:rPr>
          <w:rFonts w:ascii="Book Antiqua" w:hAnsi="Book Antiqua" w:cs="Arial"/>
          <w:color w:val="000000" w:themeColor="text1"/>
          <w:sz w:val="24"/>
          <w:szCs w:val="24"/>
          <w:vertAlign w:val="superscript"/>
          <w:lang w:val="en-US"/>
        </w:rPr>
        <w:t>2]</w:t>
      </w:r>
      <w:r w:rsidR="00647375" w:rsidRPr="00D5385E">
        <w:rPr>
          <w:rFonts w:ascii="Book Antiqua" w:hAnsi="Book Antiqua" w:cs="Arial"/>
          <w:color w:val="000000" w:themeColor="text1"/>
          <w:sz w:val="24"/>
          <w:szCs w:val="24"/>
          <w:lang w:val="en-US"/>
        </w:rPr>
        <w:t>.</w:t>
      </w:r>
    </w:p>
    <w:p w14:paraId="0BFC1232" w14:textId="6F00ECC5" w:rsidR="002248AD" w:rsidRPr="00D5385E" w:rsidRDefault="008D3804" w:rsidP="00A86E05">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Restorative proctocolectomy with ileal pouch</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anal </w:t>
      </w:r>
      <w:proofErr w:type="spellStart"/>
      <w:r w:rsidRPr="00D5385E">
        <w:rPr>
          <w:rFonts w:ascii="Book Antiqua" w:hAnsi="Book Antiqua" w:cs="Arial"/>
          <w:color w:val="000000" w:themeColor="text1"/>
          <w:sz w:val="24"/>
          <w:szCs w:val="24"/>
          <w:lang w:val="en-US"/>
        </w:rPr>
        <w:t>anastomososis</w:t>
      </w:r>
      <w:proofErr w:type="spellEnd"/>
      <w:r w:rsidRPr="00D5385E">
        <w:rPr>
          <w:rFonts w:ascii="Book Antiqua" w:hAnsi="Book Antiqua" w:cs="Arial"/>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 xml:space="preserve">(IPAA) </w:t>
      </w:r>
      <w:r w:rsidRPr="00D5385E">
        <w:rPr>
          <w:rFonts w:ascii="Book Antiqua" w:hAnsi="Book Antiqua" w:cs="Arial"/>
          <w:color w:val="000000" w:themeColor="text1"/>
          <w:sz w:val="24"/>
          <w:szCs w:val="24"/>
          <w:lang w:val="en-US"/>
        </w:rPr>
        <w:t>and proctocolectomy with ileostomy are two commonly</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used surgical interventions in the care of UC. Multiple trials have shown comparable short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term morbidity and mortality </w:t>
      </w:r>
      <w:r w:rsidRPr="00D5385E">
        <w:rPr>
          <w:rFonts w:ascii="Book Antiqua" w:hAnsi="Book Antiqua" w:cs="Arial"/>
          <w:color w:val="000000" w:themeColor="text1"/>
          <w:sz w:val="24"/>
          <w:szCs w:val="24"/>
          <w:lang w:val="en-US"/>
        </w:rPr>
        <w:lastRenderedPageBreak/>
        <w:t xml:space="preserve">between both procedures in the elderly population, similar to the younger </w:t>
      </w:r>
      <w:proofErr w:type="gramStart"/>
      <w:r w:rsidRPr="00D5385E">
        <w:rPr>
          <w:rFonts w:ascii="Book Antiqua" w:hAnsi="Book Antiqua" w:cs="Arial"/>
          <w:color w:val="000000" w:themeColor="text1"/>
          <w:sz w:val="24"/>
          <w:szCs w:val="24"/>
          <w:lang w:val="en-US"/>
        </w:rPr>
        <w:t>population</w:t>
      </w:r>
      <w:r w:rsidR="007206CB"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64-65</w:t>
      </w:r>
      <w:r w:rsidR="007206CB" w:rsidRPr="00D5385E">
        <w:rPr>
          <w:rFonts w:ascii="Book Antiqua" w:hAnsi="Book Antiqua" w:cs="Arial"/>
          <w:color w:val="000000" w:themeColor="text1"/>
          <w:sz w:val="24"/>
          <w:szCs w:val="24"/>
          <w:vertAlign w:val="superscript"/>
          <w:lang w:val="en-US"/>
        </w:rPr>
        <w:t>]</w:t>
      </w:r>
      <w:r w:rsidR="007206CB" w:rsidRPr="00D5385E">
        <w:rPr>
          <w:rFonts w:ascii="Book Antiqua" w:hAnsi="Book Antiqua" w:cs="Arial"/>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Significantly higher rates of re</w:t>
      </w:r>
      <w:r w:rsidR="000A1048">
        <w:rPr>
          <w:rFonts w:ascii="Book Antiqua" w:hAnsi="Book Antiqua" w:cs="Arial"/>
          <w:color w:val="000000" w:themeColor="text1"/>
          <w:sz w:val="24"/>
          <w:szCs w:val="24"/>
          <w:lang w:val="en-US"/>
        </w:rPr>
        <w:t>-</w:t>
      </w:r>
      <w:r w:rsidR="00D90FDB" w:rsidRPr="00D5385E">
        <w:rPr>
          <w:rFonts w:ascii="Book Antiqua" w:hAnsi="Book Antiqua" w:cs="Arial"/>
          <w:color w:val="000000" w:themeColor="text1"/>
          <w:sz w:val="24"/>
          <w:szCs w:val="24"/>
          <w:lang w:val="en-US"/>
        </w:rPr>
        <w:t>admission were seen in the IPAA group (55</w:t>
      </w:r>
      <w:r w:rsidR="00A86E05">
        <w:rPr>
          <w:rFonts w:ascii="Book Antiqua" w:hAnsi="Book Antiqua" w:cs="Arial"/>
          <w:color w:val="000000" w:themeColor="text1"/>
          <w:sz w:val="24"/>
          <w:szCs w:val="24"/>
          <w:lang w:val="en-US"/>
        </w:rPr>
        <w:t>%</w:t>
      </w:r>
      <w:bookmarkStart w:id="73" w:name="OLE_LINK9"/>
      <w:bookmarkStart w:id="74" w:name="OLE_LINK10"/>
      <w:r w:rsidR="00D90FDB" w:rsidRPr="00A86E05">
        <w:rPr>
          <w:rFonts w:ascii="Book Antiqua" w:hAnsi="Book Antiqua" w:cs="Arial"/>
          <w:i/>
          <w:iCs/>
          <w:color w:val="000000" w:themeColor="text1"/>
          <w:sz w:val="24"/>
          <w:szCs w:val="24"/>
          <w:lang w:val="en-US"/>
        </w:rPr>
        <w:t xml:space="preserve"> </w:t>
      </w:r>
      <w:r w:rsidR="006D1438" w:rsidRPr="00A86E05">
        <w:rPr>
          <w:rFonts w:ascii="Book Antiqua" w:hAnsi="Book Antiqua" w:cs="Arial"/>
          <w:i/>
          <w:iCs/>
          <w:color w:val="000000" w:themeColor="text1"/>
          <w:sz w:val="24"/>
          <w:szCs w:val="24"/>
          <w:lang w:val="en-US"/>
        </w:rPr>
        <w:t>vs</w:t>
      </w:r>
      <w:bookmarkEnd w:id="73"/>
      <w:bookmarkEnd w:id="74"/>
      <w:r w:rsidR="00D90FDB" w:rsidRPr="00D5385E">
        <w:rPr>
          <w:rFonts w:ascii="Book Antiqua" w:hAnsi="Book Antiqua" w:cs="Arial"/>
          <w:color w:val="000000" w:themeColor="text1"/>
          <w:sz w:val="24"/>
          <w:szCs w:val="24"/>
          <w:lang w:val="en-US"/>
        </w:rPr>
        <w:t xml:space="preserve"> 24%, </w:t>
      </w:r>
      <w:r w:rsidR="00A86E05" w:rsidRPr="00A86E05">
        <w:rPr>
          <w:rFonts w:ascii="Book Antiqua" w:hAnsi="Book Antiqua" w:cs="Arial"/>
          <w:i/>
          <w:iCs/>
          <w:color w:val="000000" w:themeColor="text1"/>
          <w:sz w:val="24"/>
          <w:szCs w:val="24"/>
          <w:lang w:val="en-US"/>
        </w:rPr>
        <w:t>P</w:t>
      </w:r>
      <w:r w:rsidR="00A86E05">
        <w:rPr>
          <w:rFonts w:ascii="Book Antiqua" w:hAnsi="Book Antiqua" w:cs="Arial"/>
          <w:i/>
          <w:iCs/>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w:t>
      </w:r>
      <w:r w:rsidR="00A86E05">
        <w:rPr>
          <w:rFonts w:ascii="Book Antiqua" w:hAnsi="Book Antiqua" w:cs="Arial"/>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 xml:space="preserve">0.02), mostly due to dehydration from high ostomy </w:t>
      </w:r>
      <w:proofErr w:type="gramStart"/>
      <w:r w:rsidR="00D90FDB" w:rsidRPr="00D5385E">
        <w:rPr>
          <w:rFonts w:ascii="Book Antiqua" w:hAnsi="Book Antiqua" w:cs="Arial"/>
          <w:color w:val="000000" w:themeColor="text1"/>
          <w:sz w:val="24"/>
          <w:szCs w:val="24"/>
          <w:lang w:val="en-US"/>
        </w:rPr>
        <w:t>output</w:t>
      </w:r>
      <w:r w:rsidR="001D78F7"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66</w:t>
      </w:r>
      <w:r w:rsidR="001D78F7" w:rsidRPr="00D5385E">
        <w:rPr>
          <w:rFonts w:ascii="Book Antiqua" w:hAnsi="Book Antiqua" w:cs="Arial"/>
          <w:color w:val="000000" w:themeColor="text1"/>
          <w:sz w:val="24"/>
          <w:szCs w:val="24"/>
          <w:vertAlign w:val="superscript"/>
          <w:lang w:val="en-US"/>
        </w:rPr>
        <w:t>]</w:t>
      </w:r>
      <w:r w:rsidR="001D78F7" w:rsidRPr="00D5385E">
        <w:rPr>
          <w:rFonts w:ascii="Book Antiqua" w:hAnsi="Book Antiqua" w:cs="Arial"/>
          <w:color w:val="000000" w:themeColor="text1"/>
          <w:sz w:val="24"/>
          <w:szCs w:val="24"/>
          <w:lang w:val="en-US"/>
        </w:rPr>
        <w:t xml:space="preserve">. </w:t>
      </w:r>
      <w:r w:rsidR="00D90FDB" w:rsidRPr="00D5385E">
        <w:rPr>
          <w:rFonts w:ascii="Book Antiqua" w:hAnsi="Book Antiqua" w:cs="Arial"/>
          <w:color w:val="000000" w:themeColor="text1"/>
          <w:sz w:val="24"/>
          <w:szCs w:val="24"/>
          <w:lang w:val="en-US"/>
        </w:rPr>
        <w:t>Historically, IPAA was avoided in the elderly population due to perceived higher rates of fecal incontinence. IPAA is currently increasingly used in autonomous elderly patients with a subjectively</w:t>
      </w:r>
      <w:r w:rsidR="000A1048">
        <w:rPr>
          <w:rFonts w:ascii="Book Antiqua" w:hAnsi="Book Antiqua" w:cs="Arial"/>
          <w:color w:val="000000" w:themeColor="text1"/>
          <w:sz w:val="24"/>
          <w:szCs w:val="24"/>
          <w:lang w:val="en-US"/>
        </w:rPr>
        <w:t>-</w:t>
      </w:r>
      <w:r w:rsidR="00D90FDB" w:rsidRPr="00D5385E">
        <w:rPr>
          <w:rFonts w:ascii="Book Antiqua" w:hAnsi="Book Antiqua" w:cs="Arial"/>
          <w:color w:val="000000" w:themeColor="text1"/>
          <w:sz w:val="24"/>
          <w:szCs w:val="24"/>
          <w:lang w:val="en-US"/>
        </w:rPr>
        <w:t>measured intact anal sphincter. This is largely due to a growing body of evidence which suggests no difference in daytime or nocturnal incontinence after three years of follow</w:t>
      </w:r>
      <w:r w:rsidR="000A1048">
        <w:rPr>
          <w:rFonts w:ascii="Book Antiqua" w:hAnsi="Book Antiqua" w:cs="Arial"/>
          <w:color w:val="000000" w:themeColor="text1"/>
          <w:sz w:val="24"/>
          <w:szCs w:val="24"/>
          <w:lang w:val="en-US"/>
        </w:rPr>
        <w:t>-</w:t>
      </w:r>
      <w:r w:rsidR="00D90FDB" w:rsidRPr="00D5385E">
        <w:rPr>
          <w:rFonts w:ascii="Book Antiqua" w:hAnsi="Book Antiqua" w:cs="Arial"/>
          <w:color w:val="000000" w:themeColor="text1"/>
          <w:sz w:val="24"/>
          <w:szCs w:val="24"/>
          <w:lang w:val="en-US"/>
        </w:rPr>
        <w:t xml:space="preserve">up (3.8% </w:t>
      </w:r>
      <w:r w:rsidR="006D1438" w:rsidRPr="00A86E05">
        <w:rPr>
          <w:rFonts w:ascii="Book Antiqua" w:hAnsi="Book Antiqua" w:cs="Arial"/>
          <w:i/>
          <w:iCs/>
          <w:color w:val="000000" w:themeColor="text1"/>
          <w:sz w:val="24"/>
          <w:szCs w:val="24"/>
          <w:lang w:val="en-US"/>
        </w:rPr>
        <w:t>vs</w:t>
      </w:r>
      <w:r w:rsidR="00D90FDB" w:rsidRPr="00D5385E">
        <w:rPr>
          <w:rFonts w:ascii="Book Antiqua" w:hAnsi="Book Antiqua" w:cs="Arial"/>
          <w:color w:val="000000" w:themeColor="text1"/>
          <w:sz w:val="24"/>
          <w:szCs w:val="24"/>
          <w:lang w:val="en-US"/>
        </w:rPr>
        <w:t xml:space="preserve"> 2.5% or 7.7% </w:t>
      </w:r>
      <w:r w:rsidR="00A86E05" w:rsidRPr="00A86E05">
        <w:rPr>
          <w:rFonts w:ascii="Book Antiqua" w:hAnsi="Book Antiqua" w:cs="Arial"/>
          <w:i/>
          <w:iCs/>
          <w:color w:val="000000" w:themeColor="text1"/>
          <w:sz w:val="24"/>
          <w:szCs w:val="24"/>
          <w:lang w:val="en-US"/>
        </w:rPr>
        <w:t>vs</w:t>
      </w:r>
      <w:r w:rsidR="00D90FDB" w:rsidRPr="00D5385E">
        <w:rPr>
          <w:rFonts w:ascii="Book Antiqua" w:hAnsi="Book Antiqua" w:cs="Arial"/>
          <w:color w:val="000000" w:themeColor="text1"/>
          <w:sz w:val="24"/>
          <w:szCs w:val="24"/>
          <w:lang w:val="en-US"/>
        </w:rPr>
        <w:t xml:space="preserve"> 2.5%, non</w:t>
      </w:r>
      <w:r w:rsidR="000A1048">
        <w:rPr>
          <w:rFonts w:ascii="Book Antiqua" w:hAnsi="Book Antiqua" w:cs="Arial"/>
          <w:color w:val="000000" w:themeColor="text1"/>
          <w:sz w:val="24"/>
          <w:szCs w:val="24"/>
          <w:lang w:val="en-US"/>
        </w:rPr>
        <w:t>-</w:t>
      </w:r>
      <w:r w:rsidR="00D90FDB" w:rsidRPr="00D5385E">
        <w:rPr>
          <w:rFonts w:ascii="Book Antiqua" w:hAnsi="Book Antiqua" w:cs="Arial"/>
          <w:color w:val="000000" w:themeColor="text1"/>
          <w:sz w:val="24"/>
          <w:szCs w:val="24"/>
          <w:lang w:val="en-US"/>
        </w:rPr>
        <w:t>statistically significant</w:t>
      </w:r>
      <w:r w:rsidR="00243027" w:rsidRPr="00D5385E">
        <w:rPr>
          <w:rFonts w:ascii="Book Antiqua" w:hAnsi="Book Antiqua" w:cs="Arial"/>
          <w:color w:val="000000" w:themeColor="text1"/>
          <w:sz w:val="24"/>
          <w:szCs w:val="24"/>
          <w:lang w:val="en-US"/>
        </w:rPr>
        <w:t xml:space="preserve"> in a population ≥ 70 years </w:t>
      </w:r>
      <w:proofErr w:type="gramStart"/>
      <w:r w:rsidR="00243027" w:rsidRPr="00D5385E">
        <w:rPr>
          <w:rFonts w:ascii="Book Antiqua" w:hAnsi="Book Antiqua" w:cs="Arial"/>
          <w:color w:val="000000" w:themeColor="text1"/>
          <w:sz w:val="24"/>
          <w:szCs w:val="24"/>
          <w:lang w:val="en-US"/>
        </w:rPr>
        <w:t>old</w:t>
      </w:r>
      <w:r w:rsidR="00D90FDB" w:rsidRPr="00D5385E">
        <w:rPr>
          <w:rFonts w:ascii="Book Antiqua" w:hAnsi="Book Antiqua" w:cs="Arial"/>
          <w:color w:val="000000" w:themeColor="text1"/>
          <w:sz w:val="24"/>
          <w:szCs w:val="24"/>
          <w:lang w:val="en-US"/>
        </w:rPr>
        <w:t>)</w:t>
      </w:r>
      <w:r w:rsidR="001D78F7"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67</w:t>
      </w:r>
      <w:r w:rsidR="001D78F7" w:rsidRPr="00D5385E">
        <w:rPr>
          <w:rFonts w:ascii="Book Antiqua" w:hAnsi="Book Antiqua" w:cs="Arial"/>
          <w:color w:val="000000" w:themeColor="text1"/>
          <w:sz w:val="24"/>
          <w:szCs w:val="24"/>
          <w:vertAlign w:val="superscript"/>
          <w:lang w:val="en-US"/>
        </w:rPr>
        <w:t>]</w:t>
      </w:r>
      <w:r w:rsidR="001D78F7" w:rsidRPr="00D5385E">
        <w:rPr>
          <w:rFonts w:ascii="Book Antiqua" w:hAnsi="Book Antiqua" w:cs="Arial"/>
          <w:color w:val="000000" w:themeColor="text1"/>
          <w:sz w:val="24"/>
          <w:szCs w:val="24"/>
          <w:lang w:val="en-US"/>
        </w:rPr>
        <w:t xml:space="preserve">. </w:t>
      </w:r>
      <w:r w:rsidR="00243027" w:rsidRPr="00D5385E">
        <w:rPr>
          <w:rFonts w:ascii="Book Antiqua" w:hAnsi="Book Antiqua" w:cs="Arial"/>
          <w:color w:val="000000" w:themeColor="text1"/>
          <w:sz w:val="24"/>
          <w:szCs w:val="24"/>
          <w:lang w:val="en-US"/>
        </w:rPr>
        <w:t xml:space="preserve">Otherwise, IPAA in the elderly population are associated with similar rates of </w:t>
      </w:r>
      <w:proofErr w:type="spellStart"/>
      <w:r w:rsidR="00243027" w:rsidRPr="00D5385E">
        <w:rPr>
          <w:rFonts w:ascii="Book Antiqua" w:hAnsi="Book Antiqua" w:cs="Arial"/>
          <w:color w:val="000000" w:themeColor="text1"/>
          <w:sz w:val="24"/>
          <w:szCs w:val="24"/>
          <w:lang w:val="en-US"/>
        </w:rPr>
        <w:t>pouchitis</w:t>
      </w:r>
      <w:proofErr w:type="spellEnd"/>
      <w:r w:rsidR="00243027" w:rsidRPr="00D5385E">
        <w:rPr>
          <w:rFonts w:ascii="Book Antiqua" w:hAnsi="Book Antiqua" w:cs="Arial"/>
          <w:color w:val="000000" w:themeColor="text1"/>
          <w:sz w:val="24"/>
          <w:szCs w:val="24"/>
          <w:lang w:val="en-US"/>
        </w:rPr>
        <w:t xml:space="preserve"> and chronic pouch disorder, as well as high rates of sustained patient satisfaction and perceived quality of </w:t>
      </w:r>
      <w:proofErr w:type="gramStart"/>
      <w:r w:rsidR="00243027" w:rsidRPr="00D5385E">
        <w:rPr>
          <w:rFonts w:ascii="Book Antiqua" w:hAnsi="Book Antiqua" w:cs="Arial"/>
          <w:color w:val="000000" w:themeColor="text1"/>
          <w:sz w:val="24"/>
          <w:szCs w:val="24"/>
          <w:lang w:val="en-US"/>
        </w:rPr>
        <w:t>life</w:t>
      </w:r>
      <w:r w:rsidR="001D78F7" w:rsidRPr="00D5385E">
        <w:rPr>
          <w:rFonts w:ascii="Book Antiqua" w:hAnsi="Book Antiqua" w:cs="Arial"/>
          <w:color w:val="000000" w:themeColor="text1"/>
          <w:sz w:val="24"/>
          <w:szCs w:val="24"/>
          <w:vertAlign w:val="superscript"/>
          <w:lang w:val="en-US"/>
        </w:rPr>
        <w:t>[</w:t>
      </w:r>
      <w:proofErr w:type="gramEnd"/>
      <w:r w:rsidR="00C56BA5">
        <w:rPr>
          <w:rFonts w:ascii="Book Antiqua" w:hAnsi="Book Antiqua" w:cs="Arial"/>
          <w:color w:val="000000" w:themeColor="text1"/>
          <w:sz w:val="24"/>
          <w:szCs w:val="24"/>
          <w:vertAlign w:val="superscript"/>
          <w:lang w:val="en-US"/>
        </w:rPr>
        <w:t>68</w:t>
      </w:r>
      <w:r w:rsidR="001D78F7" w:rsidRPr="00D5385E">
        <w:rPr>
          <w:rFonts w:ascii="Book Antiqua" w:hAnsi="Book Antiqua" w:cs="Arial"/>
          <w:color w:val="000000" w:themeColor="text1"/>
          <w:sz w:val="24"/>
          <w:szCs w:val="24"/>
          <w:vertAlign w:val="superscript"/>
          <w:lang w:val="en-US"/>
        </w:rPr>
        <w:t>]</w:t>
      </w:r>
      <w:r w:rsidR="001D78F7" w:rsidRPr="00D5385E">
        <w:rPr>
          <w:rFonts w:ascii="Book Antiqua" w:hAnsi="Book Antiqua" w:cs="Arial"/>
          <w:color w:val="000000" w:themeColor="text1"/>
          <w:sz w:val="24"/>
          <w:szCs w:val="24"/>
          <w:lang w:val="en-US"/>
        </w:rPr>
        <w:t>.</w:t>
      </w:r>
    </w:p>
    <w:p w14:paraId="6052D198" w14:textId="5A061BC7" w:rsidR="0013264B" w:rsidRPr="00D5385E" w:rsidRDefault="002248AD" w:rsidP="00A86E05">
      <w:pPr>
        <w:adjustRightInd w:val="0"/>
        <w:snapToGrid w:val="0"/>
        <w:spacing w:after="0" w:line="360" w:lineRule="auto"/>
        <w:ind w:firstLineChars="100" w:firstLine="240"/>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For CD</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related complications</w:t>
      </w:r>
      <w:r w:rsidR="008D3804" w:rsidRPr="00D5385E">
        <w:rPr>
          <w:rFonts w:ascii="Book Antiqua" w:hAnsi="Book Antiqua" w:cs="Arial"/>
          <w:color w:val="000000" w:themeColor="text1"/>
          <w:sz w:val="24"/>
          <w:szCs w:val="24"/>
          <w:lang w:val="en-US"/>
        </w:rPr>
        <w:t xml:space="preserve">, such as </w:t>
      </w:r>
      <w:proofErr w:type="spellStart"/>
      <w:r w:rsidR="008D3804" w:rsidRPr="00D5385E">
        <w:rPr>
          <w:rFonts w:ascii="Book Antiqua" w:hAnsi="Book Antiqua" w:cs="Arial"/>
          <w:color w:val="000000" w:themeColor="text1"/>
          <w:sz w:val="24"/>
          <w:szCs w:val="24"/>
          <w:lang w:val="en-US"/>
        </w:rPr>
        <w:t>stricturoplasty</w:t>
      </w:r>
      <w:proofErr w:type="spellEnd"/>
      <w:r w:rsidR="008D3804" w:rsidRPr="00D5385E">
        <w:rPr>
          <w:rFonts w:ascii="Book Antiqua" w:hAnsi="Book Antiqua" w:cs="Arial"/>
          <w:color w:val="000000" w:themeColor="text1"/>
          <w:sz w:val="24"/>
          <w:szCs w:val="24"/>
          <w:lang w:val="en-US"/>
        </w:rPr>
        <w:t xml:space="preserve"> or abscess drainage</w:t>
      </w:r>
      <w:r w:rsidRPr="00D5385E">
        <w:rPr>
          <w:rFonts w:ascii="Book Antiqua" w:hAnsi="Book Antiqua" w:cs="Arial"/>
          <w:color w:val="000000" w:themeColor="text1"/>
          <w:sz w:val="24"/>
          <w:szCs w:val="24"/>
          <w:lang w:val="en-US"/>
        </w:rPr>
        <w:t xml:space="preserve">, therapeutic approach should be similar in elderly and adult </w:t>
      </w:r>
      <w:proofErr w:type="gramStart"/>
      <w:r w:rsidRPr="00D5385E">
        <w:rPr>
          <w:rFonts w:ascii="Book Antiqua" w:hAnsi="Book Antiqua" w:cs="Arial"/>
          <w:color w:val="000000" w:themeColor="text1"/>
          <w:sz w:val="24"/>
          <w:szCs w:val="24"/>
          <w:lang w:val="en-US"/>
        </w:rPr>
        <w:t>populations</w:t>
      </w:r>
      <w:r w:rsidR="001D78F7" w:rsidRPr="00D5385E">
        <w:rPr>
          <w:rFonts w:ascii="Book Antiqua" w:hAnsi="Book Antiqua" w:cs="Arial"/>
          <w:color w:val="000000" w:themeColor="text1"/>
          <w:sz w:val="24"/>
          <w:szCs w:val="24"/>
          <w:vertAlign w:val="superscript"/>
          <w:lang w:val="en-US"/>
        </w:rPr>
        <w:t>[</w:t>
      </w:r>
      <w:proofErr w:type="gramEnd"/>
      <w:r w:rsidR="001D78F7" w:rsidRPr="00D5385E">
        <w:rPr>
          <w:rFonts w:ascii="Book Antiqua" w:hAnsi="Book Antiqua" w:cs="Arial"/>
          <w:color w:val="000000" w:themeColor="text1"/>
          <w:sz w:val="24"/>
          <w:szCs w:val="24"/>
          <w:vertAlign w:val="superscript"/>
          <w:lang w:val="en-US"/>
        </w:rPr>
        <w:t>4]</w:t>
      </w:r>
      <w:r w:rsidRPr="00D5385E">
        <w:rPr>
          <w:rFonts w:ascii="Book Antiqua" w:hAnsi="Book Antiqua" w:cs="Arial"/>
          <w:color w:val="000000" w:themeColor="text1"/>
          <w:sz w:val="24"/>
          <w:szCs w:val="24"/>
          <w:lang w:val="en-US"/>
        </w:rPr>
        <w:t xml:space="preserve">. </w:t>
      </w:r>
      <w:r w:rsidR="008D3804" w:rsidRPr="00D5385E">
        <w:rPr>
          <w:rFonts w:ascii="Book Antiqua" w:hAnsi="Book Antiqua" w:cs="Arial"/>
          <w:color w:val="000000" w:themeColor="text1"/>
          <w:sz w:val="24"/>
          <w:szCs w:val="24"/>
          <w:lang w:val="en-US"/>
        </w:rPr>
        <w:t>Data remains conflicting in terms of the rates of</w:t>
      </w:r>
      <w:r w:rsidRPr="00D5385E">
        <w:rPr>
          <w:rFonts w:ascii="Book Antiqua" w:hAnsi="Book Antiqua" w:cs="Arial"/>
          <w:color w:val="000000" w:themeColor="text1"/>
          <w:sz w:val="24"/>
          <w:szCs w:val="24"/>
          <w:lang w:val="en-US"/>
        </w:rPr>
        <w:t xml:space="preserve"> postoperative recurrence </w:t>
      </w:r>
      <w:r w:rsidR="008D3804" w:rsidRPr="00D5385E">
        <w:rPr>
          <w:rFonts w:ascii="Book Antiqua" w:hAnsi="Book Antiqua" w:cs="Arial"/>
          <w:color w:val="000000" w:themeColor="text1"/>
          <w:sz w:val="24"/>
          <w:szCs w:val="24"/>
          <w:lang w:val="en-US"/>
        </w:rPr>
        <w:t xml:space="preserve">of CD in the elderly population, compared to the younger population. Prophylaxis of postoperative recurrence has not been studied in elderly CD patients. </w:t>
      </w:r>
    </w:p>
    <w:p w14:paraId="643F8E5B" w14:textId="77777777" w:rsidR="00846151" w:rsidRPr="00D5385E" w:rsidRDefault="00846151" w:rsidP="00D5385E">
      <w:pPr>
        <w:adjustRightInd w:val="0"/>
        <w:snapToGrid w:val="0"/>
        <w:spacing w:after="0" w:line="360" w:lineRule="auto"/>
        <w:jc w:val="both"/>
        <w:rPr>
          <w:rFonts w:ascii="Book Antiqua" w:hAnsi="Book Antiqua" w:cs="Arial"/>
          <w:color w:val="000000" w:themeColor="text1"/>
          <w:sz w:val="24"/>
          <w:szCs w:val="24"/>
          <w:lang w:val="en-US"/>
        </w:rPr>
      </w:pPr>
    </w:p>
    <w:p w14:paraId="7545269A" w14:textId="77777777" w:rsidR="009B6C72" w:rsidRPr="00D5385E" w:rsidRDefault="0013264B" w:rsidP="00D5385E">
      <w:pPr>
        <w:adjustRightInd w:val="0"/>
        <w:snapToGrid w:val="0"/>
        <w:spacing w:after="0" w:line="360" w:lineRule="auto"/>
        <w:jc w:val="both"/>
        <w:rPr>
          <w:rFonts w:ascii="Book Antiqua" w:hAnsi="Book Antiqua" w:cs="Arial"/>
          <w:b/>
          <w:color w:val="000000" w:themeColor="text1"/>
          <w:sz w:val="24"/>
          <w:szCs w:val="24"/>
          <w:lang w:val="en-US"/>
        </w:rPr>
      </w:pPr>
      <w:r w:rsidRPr="00D5385E">
        <w:rPr>
          <w:rFonts w:ascii="Book Antiqua" w:hAnsi="Book Antiqua" w:cs="Arial"/>
          <w:b/>
          <w:color w:val="000000" w:themeColor="text1"/>
          <w:sz w:val="24"/>
          <w:szCs w:val="24"/>
          <w:lang w:val="en-US"/>
        </w:rPr>
        <w:t xml:space="preserve">CONCLUSION </w:t>
      </w:r>
    </w:p>
    <w:p w14:paraId="78E6D136" w14:textId="70D71E36" w:rsidR="00EB6F49" w:rsidRPr="00D5385E" w:rsidRDefault="007075B8"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Over the last few decades, t</w:t>
      </w:r>
      <w:r w:rsidR="007A4B6C" w:rsidRPr="00D5385E">
        <w:rPr>
          <w:rFonts w:ascii="Book Antiqua" w:hAnsi="Book Antiqua" w:cs="Arial"/>
          <w:color w:val="000000" w:themeColor="text1"/>
          <w:sz w:val="24"/>
          <w:szCs w:val="24"/>
          <w:lang w:val="en-US"/>
        </w:rPr>
        <w:t>he prevalence of IBD</w:t>
      </w:r>
      <w:r w:rsidRPr="00D5385E">
        <w:rPr>
          <w:rFonts w:ascii="Book Antiqua" w:hAnsi="Book Antiqua" w:cs="Arial"/>
          <w:color w:val="000000" w:themeColor="text1"/>
          <w:sz w:val="24"/>
          <w:szCs w:val="24"/>
          <w:lang w:val="en-US"/>
        </w:rPr>
        <w:t xml:space="preserve"> in the elderly</w:t>
      </w:r>
      <w:r w:rsidR="007A4B6C" w:rsidRPr="00D5385E">
        <w:rPr>
          <w:rFonts w:ascii="Book Antiqua" w:hAnsi="Book Antiqua" w:cs="Arial"/>
          <w:color w:val="000000" w:themeColor="text1"/>
          <w:sz w:val="24"/>
          <w:szCs w:val="24"/>
          <w:lang w:val="en-US"/>
        </w:rPr>
        <w:t xml:space="preserve"> </w:t>
      </w:r>
      <w:r w:rsidR="003C1EE6" w:rsidRPr="00D5385E">
        <w:rPr>
          <w:rFonts w:ascii="Book Antiqua" w:hAnsi="Book Antiqua" w:cs="Arial"/>
          <w:color w:val="000000" w:themeColor="text1"/>
          <w:sz w:val="24"/>
          <w:szCs w:val="24"/>
          <w:lang w:val="en-US"/>
        </w:rPr>
        <w:t>has been</w:t>
      </w:r>
      <w:r w:rsidRPr="00D5385E">
        <w:rPr>
          <w:rFonts w:ascii="Book Antiqua" w:hAnsi="Book Antiqua" w:cs="Arial"/>
          <w:color w:val="000000" w:themeColor="text1"/>
          <w:sz w:val="24"/>
          <w:szCs w:val="24"/>
          <w:lang w:val="en-US"/>
        </w:rPr>
        <w:t xml:space="preserve"> steadily rising. An increasing number of adult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onset IBD patients </w:t>
      </w:r>
      <w:r w:rsidR="003C1EE6" w:rsidRPr="00D5385E">
        <w:rPr>
          <w:rFonts w:ascii="Book Antiqua" w:hAnsi="Book Antiqua" w:cs="Arial"/>
          <w:color w:val="000000" w:themeColor="text1"/>
          <w:sz w:val="24"/>
          <w:szCs w:val="24"/>
          <w:lang w:val="en-US"/>
        </w:rPr>
        <w:t>ar</w:t>
      </w:r>
      <w:r w:rsidR="00F44900" w:rsidRPr="00D5385E">
        <w:rPr>
          <w:rFonts w:ascii="Book Antiqua" w:hAnsi="Book Antiqua" w:cs="Arial"/>
          <w:color w:val="000000" w:themeColor="text1"/>
          <w:sz w:val="24"/>
          <w:szCs w:val="24"/>
          <w:lang w:val="en-US"/>
        </w:rPr>
        <w:t>e living past 60 years old. E</w:t>
      </w:r>
      <w:r w:rsidR="003C1EE6" w:rsidRPr="00D5385E">
        <w:rPr>
          <w:rFonts w:ascii="Book Antiqua" w:hAnsi="Book Antiqua" w:cs="Arial"/>
          <w:color w:val="000000" w:themeColor="text1"/>
          <w:sz w:val="24"/>
          <w:szCs w:val="24"/>
          <w:lang w:val="en-US"/>
        </w:rPr>
        <w:t>arlier age at diagnosis and longer disease duration have translated into an increased risk</w:t>
      </w:r>
      <w:r w:rsidRPr="00D5385E">
        <w:rPr>
          <w:rFonts w:ascii="Book Antiqua" w:hAnsi="Book Antiqua" w:cs="Arial"/>
          <w:color w:val="000000" w:themeColor="text1"/>
          <w:sz w:val="24"/>
          <w:szCs w:val="24"/>
          <w:lang w:val="en-US"/>
        </w:rPr>
        <w:t xml:space="preserve"> of disease progression and immunosuppressive drug exposure</w:t>
      </w:r>
      <w:r w:rsidR="003C1EE6" w:rsidRPr="00D5385E">
        <w:rPr>
          <w:rFonts w:ascii="Book Antiqua" w:hAnsi="Book Antiqua" w:cs="Arial"/>
          <w:color w:val="000000" w:themeColor="text1"/>
          <w:sz w:val="24"/>
          <w:szCs w:val="24"/>
          <w:lang w:val="en-US"/>
        </w:rPr>
        <w:t xml:space="preserve"> in these patients</w:t>
      </w:r>
      <w:r w:rsidRPr="00D5385E">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 xml:space="preserve"> On the other end of the spectrum, elderly</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onset IBD patients present as predominantly</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colonic disease, mostly left</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sided colitis in UC, as well as exhibiting lower rates of penetrating disease in CD. More recent, population</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based trials have shown statistically higher utilization of steroids in the elderly population</w:t>
      </w:r>
      <w:r w:rsidR="00F44900" w:rsidRPr="00D5385E">
        <w:rPr>
          <w:rFonts w:ascii="Book Antiqua" w:hAnsi="Book Antiqua" w:cs="Arial"/>
          <w:color w:val="000000" w:themeColor="text1"/>
          <w:sz w:val="24"/>
          <w:szCs w:val="24"/>
          <w:lang w:val="en-US"/>
        </w:rPr>
        <w:t>, compared to their younger counterparts,</w:t>
      </w:r>
      <w:r w:rsidR="003C1EE6" w:rsidRPr="00D5385E">
        <w:rPr>
          <w:rFonts w:ascii="Book Antiqua" w:hAnsi="Book Antiqua" w:cs="Arial"/>
          <w:color w:val="000000" w:themeColor="text1"/>
          <w:sz w:val="24"/>
          <w:szCs w:val="24"/>
          <w:lang w:val="en-US"/>
        </w:rPr>
        <w:t xml:space="preserve"> despite well</w:t>
      </w:r>
      <w:r w:rsidR="000A1048">
        <w:rPr>
          <w:rFonts w:ascii="Book Antiqua" w:hAnsi="Book Antiqua" w:cs="Arial"/>
          <w:color w:val="000000" w:themeColor="text1"/>
          <w:sz w:val="24"/>
          <w:szCs w:val="24"/>
          <w:lang w:val="en-US"/>
        </w:rPr>
        <w:t>-</w:t>
      </w:r>
      <w:r w:rsidR="003C1EE6" w:rsidRPr="00D5385E">
        <w:rPr>
          <w:rFonts w:ascii="Book Antiqua" w:hAnsi="Book Antiqua" w:cs="Arial"/>
          <w:color w:val="000000" w:themeColor="text1"/>
          <w:sz w:val="24"/>
          <w:szCs w:val="24"/>
          <w:lang w:val="en-US"/>
        </w:rPr>
        <w:t xml:space="preserve">established toxicities. Biologic agents </w:t>
      </w:r>
      <w:r w:rsidR="0071149F" w:rsidRPr="00D5385E">
        <w:rPr>
          <w:rFonts w:ascii="Book Antiqua" w:hAnsi="Book Antiqua" w:cs="Arial"/>
          <w:color w:val="000000" w:themeColor="text1"/>
          <w:sz w:val="24"/>
          <w:szCs w:val="24"/>
          <w:lang w:val="en-US"/>
        </w:rPr>
        <w:t xml:space="preserve">are seldom used </w:t>
      </w:r>
      <w:r w:rsidR="00F44900" w:rsidRPr="00D5385E">
        <w:rPr>
          <w:rFonts w:ascii="Book Antiqua" w:hAnsi="Book Antiqua" w:cs="Arial"/>
          <w:color w:val="000000" w:themeColor="text1"/>
          <w:sz w:val="24"/>
          <w:szCs w:val="24"/>
          <w:lang w:val="en-US"/>
        </w:rPr>
        <w:t xml:space="preserve">in the elderly IBD population, </w:t>
      </w:r>
      <w:r w:rsidR="0071149F" w:rsidRPr="00D5385E">
        <w:rPr>
          <w:rFonts w:ascii="Book Antiqua" w:hAnsi="Book Antiqua" w:cs="Arial"/>
          <w:color w:val="000000" w:themeColor="text1"/>
          <w:sz w:val="24"/>
          <w:szCs w:val="24"/>
          <w:lang w:val="en-US"/>
        </w:rPr>
        <w:t>owing to the</w:t>
      </w:r>
      <w:r w:rsidR="00F44900" w:rsidRPr="00D5385E">
        <w:rPr>
          <w:rFonts w:ascii="Book Antiqua" w:hAnsi="Book Antiqua" w:cs="Arial"/>
          <w:color w:val="000000" w:themeColor="text1"/>
          <w:sz w:val="24"/>
          <w:szCs w:val="24"/>
          <w:lang w:val="en-US"/>
        </w:rPr>
        <w:t xml:space="preserve"> higher infectious risks reported for anti</w:t>
      </w:r>
      <w:r w:rsidR="000A1048">
        <w:rPr>
          <w:rFonts w:ascii="Book Antiqua" w:hAnsi="Book Antiqua" w:cs="Arial"/>
          <w:color w:val="000000" w:themeColor="text1"/>
          <w:sz w:val="24"/>
          <w:szCs w:val="24"/>
          <w:lang w:val="en-US"/>
        </w:rPr>
        <w:t>-</w:t>
      </w:r>
      <w:r w:rsidR="00F44900" w:rsidRPr="00D5385E">
        <w:rPr>
          <w:rFonts w:ascii="Book Antiqua" w:hAnsi="Book Antiqua" w:cs="Arial"/>
          <w:color w:val="000000" w:themeColor="text1"/>
          <w:sz w:val="24"/>
          <w:szCs w:val="24"/>
          <w:lang w:val="en-US"/>
        </w:rPr>
        <w:t xml:space="preserve">TNF agents and to the limited existing data regarding vedolizumab and </w:t>
      </w:r>
      <w:proofErr w:type="spellStart"/>
      <w:r w:rsidR="00F44900" w:rsidRPr="00D5385E">
        <w:rPr>
          <w:rFonts w:ascii="Book Antiqua" w:hAnsi="Book Antiqua" w:cs="Arial"/>
          <w:color w:val="000000" w:themeColor="text1"/>
          <w:sz w:val="24"/>
          <w:szCs w:val="24"/>
          <w:lang w:val="en-US"/>
        </w:rPr>
        <w:t>ustekinumab</w:t>
      </w:r>
      <w:proofErr w:type="spellEnd"/>
      <w:r w:rsidR="00FD5635" w:rsidRPr="00D5385E">
        <w:rPr>
          <w:rFonts w:ascii="Book Antiqua" w:hAnsi="Book Antiqua" w:cs="Arial"/>
          <w:color w:val="000000" w:themeColor="text1"/>
          <w:sz w:val="24"/>
          <w:szCs w:val="24"/>
          <w:lang w:val="en-US"/>
        </w:rPr>
        <w:t>. Anti</w:t>
      </w:r>
      <w:r w:rsidR="000A1048">
        <w:rPr>
          <w:rFonts w:ascii="Book Antiqua" w:hAnsi="Book Antiqua" w:cs="Arial"/>
          <w:color w:val="000000" w:themeColor="text1"/>
          <w:sz w:val="24"/>
          <w:szCs w:val="24"/>
          <w:lang w:val="en-US"/>
        </w:rPr>
        <w:t>-</w:t>
      </w:r>
      <w:r w:rsidR="00FD5635" w:rsidRPr="00D5385E">
        <w:rPr>
          <w:rFonts w:ascii="Book Antiqua" w:hAnsi="Book Antiqua" w:cs="Arial"/>
          <w:color w:val="000000" w:themeColor="text1"/>
          <w:sz w:val="24"/>
          <w:szCs w:val="24"/>
          <w:lang w:val="en-US"/>
        </w:rPr>
        <w:lastRenderedPageBreak/>
        <w:t xml:space="preserve">TNF </w:t>
      </w:r>
      <w:r w:rsidR="0071149F" w:rsidRPr="00D5385E">
        <w:rPr>
          <w:rFonts w:ascii="Book Antiqua" w:hAnsi="Book Antiqua" w:cs="Arial"/>
          <w:color w:val="000000" w:themeColor="text1"/>
          <w:sz w:val="24"/>
          <w:szCs w:val="24"/>
          <w:lang w:val="en-US"/>
        </w:rPr>
        <w:t>have been shown to be</w:t>
      </w:r>
      <w:r w:rsidR="00FD5635" w:rsidRPr="00D5385E">
        <w:rPr>
          <w:rFonts w:ascii="Book Antiqua" w:hAnsi="Book Antiqua" w:cs="Arial"/>
          <w:color w:val="000000" w:themeColor="text1"/>
          <w:sz w:val="24"/>
          <w:szCs w:val="24"/>
          <w:lang w:val="en-US"/>
        </w:rPr>
        <w:t xml:space="preserve"> effective but potentially lead to</w:t>
      </w:r>
      <w:r w:rsidR="0071149F" w:rsidRPr="00D5385E">
        <w:rPr>
          <w:rFonts w:ascii="Book Antiqua" w:hAnsi="Book Antiqua" w:cs="Arial"/>
          <w:color w:val="000000" w:themeColor="text1"/>
          <w:sz w:val="24"/>
          <w:szCs w:val="24"/>
          <w:lang w:val="en-US"/>
        </w:rPr>
        <w:t xml:space="preserve"> higher infectious and malignancy</w:t>
      </w:r>
      <w:r w:rsidR="00FD5635" w:rsidRPr="00D5385E">
        <w:rPr>
          <w:rFonts w:ascii="Book Antiqua" w:hAnsi="Book Antiqua" w:cs="Arial"/>
          <w:color w:val="000000" w:themeColor="text1"/>
          <w:sz w:val="24"/>
          <w:szCs w:val="24"/>
          <w:lang w:val="en-US"/>
        </w:rPr>
        <w:t xml:space="preserve"> risks.</w:t>
      </w:r>
      <w:r w:rsidR="000D0E59" w:rsidRPr="00D5385E">
        <w:rPr>
          <w:rFonts w:ascii="Book Antiqua" w:hAnsi="Book Antiqua" w:cs="Arial"/>
          <w:color w:val="000000" w:themeColor="text1"/>
          <w:sz w:val="24"/>
          <w:szCs w:val="24"/>
          <w:lang w:val="en-US"/>
        </w:rPr>
        <w:t xml:space="preserve"> Relative risk of serious infections due to recurrent corticosteroid use </w:t>
      </w:r>
      <w:r w:rsidR="000A1048">
        <w:rPr>
          <w:rFonts w:ascii="Book Antiqua" w:hAnsi="Book Antiqua" w:cs="Arial"/>
          <w:color w:val="000000" w:themeColor="text1"/>
          <w:sz w:val="24"/>
          <w:szCs w:val="24"/>
          <w:lang w:val="en-US"/>
        </w:rPr>
        <w:t>vs</w:t>
      </w:r>
      <w:r w:rsidR="000D0E59" w:rsidRPr="00D5385E">
        <w:rPr>
          <w:rFonts w:ascii="Book Antiqua" w:hAnsi="Book Antiqua" w:cs="Arial"/>
          <w:color w:val="000000" w:themeColor="text1"/>
          <w:sz w:val="24"/>
          <w:szCs w:val="24"/>
          <w:lang w:val="en-US"/>
        </w:rPr>
        <w:t xml:space="preserve"> anti</w:t>
      </w:r>
      <w:r w:rsidR="000A1048">
        <w:rPr>
          <w:rFonts w:ascii="Book Antiqua" w:hAnsi="Book Antiqua" w:cs="Arial"/>
          <w:color w:val="000000" w:themeColor="text1"/>
          <w:sz w:val="24"/>
          <w:szCs w:val="24"/>
          <w:lang w:val="en-US"/>
        </w:rPr>
        <w:t>-</w:t>
      </w:r>
      <w:r w:rsidR="000D0E59" w:rsidRPr="00D5385E">
        <w:rPr>
          <w:rFonts w:ascii="Book Antiqua" w:hAnsi="Book Antiqua" w:cs="Arial"/>
          <w:color w:val="000000" w:themeColor="text1"/>
          <w:sz w:val="24"/>
          <w:szCs w:val="24"/>
          <w:lang w:val="en-US"/>
        </w:rPr>
        <w:t xml:space="preserve">TNF agents has not been directly compared strictly in the elderly IBD population. </w:t>
      </w:r>
      <w:r w:rsidR="00F44900" w:rsidRPr="00D5385E">
        <w:rPr>
          <w:rFonts w:ascii="Book Antiqua" w:hAnsi="Book Antiqua" w:cs="Arial"/>
          <w:color w:val="000000" w:themeColor="text1"/>
          <w:sz w:val="24"/>
          <w:szCs w:val="24"/>
          <w:lang w:val="en-US"/>
        </w:rPr>
        <w:t xml:space="preserve">Vedolizumab may be a safe alternative in the elderly IBD population although supported by small, underpowered trials. </w:t>
      </w:r>
      <w:r w:rsidR="006E7058" w:rsidRPr="00D5385E">
        <w:rPr>
          <w:rFonts w:ascii="Book Antiqua" w:hAnsi="Book Antiqua" w:cs="Arial"/>
          <w:color w:val="000000" w:themeColor="text1"/>
          <w:sz w:val="24"/>
          <w:szCs w:val="24"/>
          <w:lang w:val="en-US"/>
        </w:rPr>
        <w:t>Trials assessing IBD</w:t>
      </w:r>
      <w:r w:rsidR="000A1048">
        <w:rPr>
          <w:rFonts w:ascii="Book Antiqua" w:hAnsi="Book Antiqua" w:cs="Arial"/>
          <w:color w:val="000000" w:themeColor="text1"/>
          <w:sz w:val="24"/>
          <w:szCs w:val="24"/>
          <w:lang w:val="en-US"/>
        </w:rPr>
        <w:t>-</w:t>
      </w:r>
      <w:r w:rsidR="006E7058" w:rsidRPr="00D5385E">
        <w:rPr>
          <w:rFonts w:ascii="Book Antiqua" w:hAnsi="Book Antiqua" w:cs="Arial"/>
          <w:color w:val="000000" w:themeColor="text1"/>
          <w:sz w:val="24"/>
          <w:szCs w:val="24"/>
          <w:lang w:val="en-US"/>
        </w:rPr>
        <w:t>related surgical interventions have shown comparable short</w:t>
      </w:r>
      <w:r w:rsidR="000A1048">
        <w:rPr>
          <w:rFonts w:ascii="Book Antiqua" w:hAnsi="Book Antiqua" w:cs="Arial"/>
          <w:color w:val="000000" w:themeColor="text1"/>
          <w:sz w:val="24"/>
          <w:szCs w:val="24"/>
          <w:lang w:val="en-US"/>
        </w:rPr>
        <w:t>-</w:t>
      </w:r>
      <w:r w:rsidR="006E7058" w:rsidRPr="00D5385E">
        <w:rPr>
          <w:rFonts w:ascii="Book Antiqua" w:hAnsi="Book Antiqua" w:cs="Arial"/>
          <w:color w:val="000000" w:themeColor="text1"/>
          <w:sz w:val="24"/>
          <w:szCs w:val="24"/>
          <w:lang w:val="en-US"/>
        </w:rPr>
        <w:t xml:space="preserve"> and long</w:t>
      </w:r>
      <w:r w:rsidR="000A1048">
        <w:rPr>
          <w:rFonts w:ascii="Book Antiqua" w:hAnsi="Book Antiqua" w:cs="Arial"/>
          <w:color w:val="000000" w:themeColor="text1"/>
          <w:sz w:val="24"/>
          <w:szCs w:val="24"/>
          <w:lang w:val="en-US"/>
        </w:rPr>
        <w:t>-</w:t>
      </w:r>
      <w:r w:rsidR="006E7058" w:rsidRPr="00D5385E">
        <w:rPr>
          <w:rFonts w:ascii="Book Antiqua" w:hAnsi="Book Antiqua" w:cs="Arial"/>
          <w:color w:val="000000" w:themeColor="text1"/>
          <w:sz w:val="24"/>
          <w:szCs w:val="24"/>
          <w:lang w:val="en-US"/>
        </w:rPr>
        <w:t xml:space="preserve">term morbidity and mortality compared to the younger population, highlighting a potential alternative to systemic immunosuppression. </w:t>
      </w:r>
      <w:r w:rsidR="00912398" w:rsidRPr="00D5385E">
        <w:rPr>
          <w:rFonts w:ascii="Book Antiqua" w:hAnsi="Book Antiqua" w:cs="Arial"/>
          <w:color w:val="000000" w:themeColor="text1"/>
          <w:sz w:val="24"/>
          <w:szCs w:val="24"/>
          <w:lang w:val="en-US"/>
        </w:rPr>
        <w:t>More prospective data is required to better define the efficacy and safety of biologic treatment for elderly IBD patients</w:t>
      </w:r>
      <w:r w:rsidR="00B1637C" w:rsidRPr="00D5385E">
        <w:rPr>
          <w:rFonts w:ascii="Book Antiqua" w:hAnsi="Book Antiqua" w:cs="Arial"/>
          <w:color w:val="000000" w:themeColor="text1"/>
          <w:sz w:val="24"/>
          <w:szCs w:val="24"/>
          <w:lang w:val="en-US"/>
        </w:rPr>
        <w:t>.</w:t>
      </w:r>
    </w:p>
    <w:p w14:paraId="49F4FAC7" w14:textId="75E71D68" w:rsidR="00846151" w:rsidRPr="00D5385E" w:rsidRDefault="00846151" w:rsidP="00D5385E">
      <w:pPr>
        <w:adjustRightInd w:val="0"/>
        <w:snapToGrid w:val="0"/>
        <w:spacing w:after="0" w:line="360" w:lineRule="auto"/>
        <w:jc w:val="both"/>
        <w:rPr>
          <w:rFonts w:ascii="Book Antiqua" w:hAnsi="Book Antiqua"/>
          <w:color w:val="000000" w:themeColor="text1"/>
          <w:sz w:val="24"/>
          <w:szCs w:val="24"/>
          <w:lang w:val="en-US"/>
        </w:rPr>
      </w:pPr>
    </w:p>
    <w:p w14:paraId="2877EF20" w14:textId="77777777" w:rsidR="00A86E05" w:rsidRDefault="00A86E05">
      <w:pPr>
        <w:spacing w:after="160" w:line="259" w:lineRule="auto"/>
        <w:rPr>
          <w:rFonts w:ascii="Book Antiqua" w:hAnsi="Book Antiqua" w:cs="Arial"/>
          <w:color w:val="000000" w:themeColor="text1"/>
          <w:sz w:val="24"/>
          <w:szCs w:val="24"/>
          <w:u w:val="single"/>
          <w:lang w:val="en-US"/>
        </w:rPr>
      </w:pPr>
      <w:r>
        <w:rPr>
          <w:rFonts w:ascii="Book Antiqua" w:hAnsi="Book Antiqua" w:cs="Arial"/>
          <w:color w:val="000000" w:themeColor="text1"/>
          <w:sz w:val="24"/>
          <w:szCs w:val="24"/>
          <w:u w:val="single"/>
          <w:lang w:val="en-US"/>
        </w:rPr>
        <w:br w:type="page"/>
      </w:r>
    </w:p>
    <w:p w14:paraId="56458F5D" w14:textId="77202985" w:rsidR="00EB6F49" w:rsidRPr="00A86E05" w:rsidRDefault="00A86E05" w:rsidP="00D5385E">
      <w:pPr>
        <w:adjustRightInd w:val="0"/>
        <w:snapToGrid w:val="0"/>
        <w:spacing w:after="0" w:line="360" w:lineRule="auto"/>
        <w:jc w:val="both"/>
        <w:rPr>
          <w:rFonts w:ascii="Book Antiqua" w:hAnsi="Book Antiqua" w:cs="Arial"/>
          <w:b/>
          <w:bCs/>
          <w:color w:val="000000" w:themeColor="text1"/>
          <w:sz w:val="24"/>
          <w:szCs w:val="24"/>
          <w:lang w:val="en-US"/>
        </w:rPr>
      </w:pPr>
      <w:r w:rsidRPr="00A86E05">
        <w:rPr>
          <w:rFonts w:ascii="Book Antiqua" w:hAnsi="Book Antiqua" w:cs="Arial"/>
          <w:b/>
          <w:bCs/>
          <w:color w:val="000000" w:themeColor="text1"/>
          <w:sz w:val="24"/>
          <w:szCs w:val="24"/>
          <w:lang w:val="en-US"/>
        </w:rPr>
        <w:lastRenderedPageBreak/>
        <w:t>REFERENCES</w:t>
      </w:r>
    </w:p>
    <w:p w14:paraId="12437B19"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bookmarkStart w:id="75" w:name="OLE_LINK17"/>
      <w:bookmarkStart w:id="76" w:name="OLE_LINK18"/>
      <w:r w:rsidRPr="00F9703E">
        <w:rPr>
          <w:rFonts w:ascii="Book Antiqua" w:hAnsi="Book Antiqua" w:cs="Arial"/>
          <w:bCs/>
          <w:color w:val="000000" w:themeColor="text1"/>
          <w:kern w:val="36"/>
          <w:sz w:val="24"/>
          <w:szCs w:val="24"/>
          <w:lang w:val="en-US" w:eastAsia="ja-JP"/>
        </w:rPr>
        <w:t>1 </w:t>
      </w:r>
      <w:proofErr w:type="spellStart"/>
      <w:r w:rsidRPr="00F9703E">
        <w:rPr>
          <w:rFonts w:ascii="Book Antiqua" w:hAnsi="Book Antiqua" w:cs="Arial"/>
          <w:b/>
          <w:bCs/>
          <w:color w:val="000000" w:themeColor="text1"/>
          <w:kern w:val="36"/>
          <w:sz w:val="24"/>
          <w:szCs w:val="24"/>
          <w:lang w:val="en-US" w:eastAsia="ja-JP"/>
        </w:rPr>
        <w:t>Jeuring</w:t>
      </w:r>
      <w:proofErr w:type="spellEnd"/>
      <w:r w:rsidRPr="00F9703E">
        <w:rPr>
          <w:rFonts w:ascii="Book Antiqua" w:hAnsi="Book Antiqua" w:cs="Arial"/>
          <w:b/>
          <w:bCs/>
          <w:color w:val="000000" w:themeColor="text1"/>
          <w:kern w:val="36"/>
          <w:sz w:val="24"/>
          <w:szCs w:val="24"/>
          <w:lang w:val="en-US" w:eastAsia="ja-JP"/>
        </w:rPr>
        <w:t xml:space="preserve"> SF</w:t>
      </w:r>
      <w:r w:rsidRPr="00F9703E">
        <w:rPr>
          <w:rFonts w:ascii="Book Antiqua" w:hAnsi="Book Antiqua" w:cs="Arial"/>
          <w:bCs/>
          <w:color w:val="000000" w:themeColor="text1"/>
          <w:kern w:val="36"/>
          <w:sz w:val="24"/>
          <w:szCs w:val="24"/>
          <w:lang w:val="en-US" w:eastAsia="ja-JP"/>
        </w:rPr>
        <w:t xml:space="preserve">, van den Heuvel TR, </w:t>
      </w:r>
      <w:proofErr w:type="spellStart"/>
      <w:r w:rsidRPr="00F9703E">
        <w:rPr>
          <w:rFonts w:ascii="Book Antiqua" w:hAnsi="Book Antiqua" w:cs="Arial"/>
          <w:bCs/>
          <w:color w:val="000000" w:themeColor="text1"/>
          <w:kern w:val="36"/>
          <w:sz w:val="24"/>
          <w:szCs w:val="24"/>
          <w:lang w:val="en-US" w:eastAsia="ja-JP"/>
        </w:rPr>
        <w:t>Zeegers</w:t>
      </w:r>
      <w:proofErr w:type="spellEnd"/>
      <w:r w:rsidRPr="00F9703E">
        <w:rPr>
          <w:rFonts w:ascii="Book Antiqua" w:hAnsi="Book Antiqua" w:cs="Arial"/>
          <w:bCs/>
          <w:color w:val="000000" w:themeColor="text1"/>
          <w:kern w:val="36"/>
          <w:sz w:val="24"/>
          <w:szCs w:val="24"/>
          <w:lang w:val="en-US" w:eastAsia="ja-JP"/>
        </w:rPr>
        <w:t xml:space="preserve"> MP, </w:t>
      </w:r>
      <w:proofErr w:type="spellStart"/>
      <w:r w:rsidRPr="00F9703E">
        <w:rPr>
          <w:rFonts w:ascii="Book Antiqua" w:hAnsi="Book Antiqua" w:cs="Arial"/>
          <w:bCs/>
          <w:color w:val="000000" w:themeColor="text1"/>
          <w:kern w:val="36"/>
          <w:sz w:val="24"/>
          <w:szCs w:val="24"/>
          <w:lang w:val="en-US" w:eastAsia="ja-JP"/>
        </w:rPr>
        <w:t>Hameeteman</w:t>
      </w:r>
      <w:proofErr w:type="spellEnd"/>
      <w:r w:rsidRPr="00F9703E">
        <w:rPr>
          <w:rFonts w:ascii="Book Antiqua" w:hAnsi="Book Antiqua" w:cs="Arial"/>
          <w:bCs/>
          <w:color w:val="000000" w:themeColor="text1"/>
          <w:kern w:val="36"/>
          <w:sz w:val="24"/>
          <w:szCs w:val="24"/>
          <w:lang w:val="en-US" w:eastAsia="ja-JP"/>
        </w:rPr>
        <w:t xml:space="preserve"> WH, Romberg-Camps MJ, </w:t>
      </w:r>
      <w:proofErr w:type="spellStart"/>
      <w:r w:rsidRPr="00F9703E">
        <w:rPr>
          <w:rFonts w:ascii="Book Antiqua" w:hAnsi="Book Antiqua" w:cs="Arial"/>
          <w:bCs/>
          <w:color w:val="000000" w:themeColor="text1"/>
          <w:kern w:val="36"/>
          <w:sz w:val="24"/>
          <w:szCs w:val="24"/>
          <w:lang w:val="en-US" w:eastAsia="ja-JP"/>
        </w:rPr>
        <w:t>Oostenbrug</w:t>
      </w:r>
      <w:proofErr w:type="spellEnd"/>
      <w:r w:rsidRPr="00F9703E">
        <w:rPr>
          <w:rFonts w:ascii="Book Antiqua" w:hAnsi="Book Antiqua" w:cs="Arial"/>
          <w:bCs/>
          <w:color w:val="000000" w:themeColor="text1"/>
          <w:kern w:val="36"/>
          <w:sz w:val="24"/>
          <w:szCs w:val="24"/>
          <w:lang w:val="en-US" w:eastAsia="ja-JP"/>
        </w:rPr>
        <w:t xml:space="preserve"> LE, </w:t>
      </w:r>
      <w:proofErr w:type="spellStart"/>
      <w:r w:rsidRPr="00F9703E">
        <w:rPr>
          <w:rFonts w:ascii="Book Antiqua" w:hAnsi="Book Antiqua" w:cs="Arial"/>
          <w:bCs/>
          <w:color w:val="000000" w:themeColor="text1"/>
          <w:kern w:val="36"/>
          <w:sz w:val="24"/>
          <w:szCs w:val="24"/>
          <w:lang w:val="en-US" w:eastAsia="ja-JP"/>
        </w:rPr>
        <w:t>Masclee</w:t>
      </w:r>
      <w:proofErr w:type="spellEnd"/>
      <w:r w:rsidRPr="00F9703E">
        <w:rPr>
          <w:rFonts w:ascii="Book Antiqua" w:hAnsi="Book Antiqua" w:cs="Arial"/>
          <w:bCs/>
          <w:color w:val="000000" w:themeColor="text1"/>
          <w:kern w:val="36"/>
          <w:sz w:val="24"/>
          <w:szCs w:val="24"/>
          <w:lang w:val="en-US" w:eastAsia="ja-JP"/>
        </w:rPr>
        <w:t xml:space="preserve"> AA, </w:t>
      </w:r>
      <w:proofErr w:type="spellStart"/>
      <w:r w:rsidRPr="00F9703E">
        <w:rPr>
          <w:rFonts w:ascii="Book Antiqua" w:hAnsi="Book Antiqua" w:cs="Arial"/>
          <w:bCs/>
          <w:color w:val="000000" w:themeColor="text1"/>
          <w:kern w:val="36"/>
          <w:sz w:val="24"/>
          <w:szCs w:val="24"/>
          <w:lang w:val="en-US" w:eastAsia="ja-JP"/>
        </w:rPr>
        <w:t>Jonkers</w:t>
      </w:r>
      <w:proofErr w:type="spellEnd"/>
      <w:r w:rsidRPr="00F9703E">
        <w:rPr>
          <w:rFonts w:ascii="Book Antiqua" w:hAnsi="Book Antiqua" w:cs="Arial"/>
          <w:bCs/>
          <w:color w:val="000000" w:themeColor="text1"/>
          <w:kern w:val="36"/>
          <w:sz w:val="24"/>
          <w:szCs w:val="24"/>
          <w:lang w:val="en-US" w:eastAsia="ja-JP"/>
        </w:rPr>
        <w:t xml:space="preserve"> DM, </w:t>
      </w:r>
      <w:proofErr w:type="spellStart"/>
      <w:r w:rsidRPr="00F9703E">
        <w:rPr>
          <w:rFonts w:ascii="Book Antiqua" w:hAnsi="Book Antiqua" w:cs="Arial"/>
          <w:bCs/>
          <w:color w:val="000000" w:themeColor="text1"/>
          <w:kern w:val="36"/>
          <w:sz w:val="24"/>
          <w:szCs w:val="24"/>
          <w:lang w:val="en-US" w:eastAsia="ja-JP"/>
        </w:rPr>
        <w:t>Pierik</w:t>
      </w:r>
      <w:proofErr w:type="spellEnd"/>
      <w:r w:rsidRPr="00F9703E">
        <w:rPr>
          <w:rFonts w:ascii="Book Antiqua" w:hAnsi="Book Antiqua" w:cs="Arial"/>
          <w:bCs/>
          <w:color w:val="000000" w:themeColor="text1"/>
          <w:kern w:val="36"/>
          <w:sz w:val="24"/>
          <w:szCs w:val="24"/>
          <w:lang w:val="en-US" w:eastAsia="ja-JP"/>
        </w:rPr>
        <w:t xml:space="preserve"> MJ. Epidemiology and Long-term Outcome of Inflammatory Bowel Disease Diagnosed at Elderly Age-An Increasing Distinct Entity?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22</w:t>
      </w:r>
      <w:r w:rsidRPr="00F9703E">
        <w:rPr>
          <w:rFonts w:ascii="Book Antiqua" w:hAnsi="Book Antiqua" w:cs="Arial"/>
          <w:bCs/>
          <w:color w:val="000000" w:themeColor="text1"/>
          <w:kern w:val="36"/>
          <w:sz w:val="24"/>
          <w:szCs w:val="24"/>
          <w:lang w:val="en-US" w:eastAsia="ja-JP"/>
        </w:rPr>
        <w:t>: 1425-1434 [PMID: 26933752 DOI: 10.1097/MIB.0000000000000738]</w:t>
      </w:r>
    </w:p>
    <w:p w14:paraId="41D61CD6"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2 </w:t>
      </w:r>
      <w:proofErr w:type="spellStart"/>
      <w:r w:rsidRPr="00F9703E">
        <w:rPr>
          <w:rFonts w:ascii="Book Antiqua" w:hAnsi="Book Antiqua" w:cs="Arial"/>
          <w:b/>
          <w:bCs/>
          <w:color w:val="000000" w:themeColor="text1"/>
          <w:kern w:val="36"/>
          <w:sz w:val="24"/>
          <w:szCs w:val="24"/>
          <w:lang w:val="en-US" w:eastAsia="ja-JP"/>
        </w:rPr>
        <w:t>Everhov</w:t>
      </w:r>
      <w:proofErr w:type="spellEnd"/>
      <w:r w:rsidRPr="00F9703E">
        <w:rPr>
          <w:rFonts w:ascii="Book Antiqua" w:hAnsi="Book Antiqua" w:cs="Arial"/>
          <w:b/>
          <w:bCs/>
          <w:color w:val="000000" w:themeColor="text1"/>
          <w:kern w:val="36"/>
          <w:sz w:val="24"/>
          <w:szCs w:val="24"/>
          <w:lang w:val="en-US" w:eastAsia="ja-JP"/>
        </w:rPr>
        <w:t xml:space="preserve"> ÅH</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Halfvarson</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Myrelid</w:t>
      </w:r>
      <w:proofErr w:type="spellEnd"/>
      <w:r w:rsidRPr="00F9703E">
        <w:rPr>
          <w:rFonts w:ascii="Book Antiqua" w:hAnsi="Book Antiqua" w:cs="Arial"/>
          <w:bCs/>
          <w:color w:val="000000" w:themeColor="text1"/>
          <w:kern w:val="36"/>
          <w:sz w:val="24"/>
          <w:szCs w:val="24"/>
          <w:lang w:val="en-US" w:eastAsia="ja-JP"/>
        </w:rPr>
        <w:t xml:space="preserve"> P, Sachs MC, </w:t>
      </w:r>
      <w:proofErr w:type="spellStart"/>
      <w:r w:rsidRPr="00F9703E">
        <w:rPr>
          <w:rFonts w:ascii="Book Antiqua" w:hAnsi="Book Antiqua" w:cs="Arial"/>
          <w:bCs/>
          <w:color w:val="000000" w:themeColor="text1"/>
          <w:kern w:val="36"/>
          <w:sz w:val="24"/>
          <w:szCs w:val="24"/>
          <w:lang w:val="en-US" w:eastAsia="ja-JP"/>
        </w:rPr>
        <w:t>Nordenvall</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Söderling</w:t>
      </w:r>
      <w:proofErr w:type="spellEnd"/>
      <w:r w:rsidRPr="00F9703E">
        <w:rPr>
          <w:rFonts w:ascii="Book Antiqua" w:hAnsi="Book Antiqua" w:cs="Arial"/>
          <w:bCs/>
          <w:color w:val="000000" w:themeColor="text1"/>
          <w:kern w:val="36"/>
          <w:sz w:val="24"/>
          <w:szCs w:val="24"/>
          <w:lang w:val="en-US" w:eastAsia="ja-JP"/>
        </w:rPr>
        <w:t xml:space="preserve"> J, Ekbom A, </w:t>
      </w:r>
      <w:proofErr w:type="spellStart"/>
      <w:r w:rsidRPr="00F9703E">
        <w:rPr>
          <w:rFonts w:ascii="Book Antiqua" w:hAnsi="Book Antiqua" w:cs="Arial"/>
          <w:bCs/>
          <w:color w:val="000000" w:themeColor="text1"/>
          <w:kern w:val="36"/>
          <w:sz w:val="24"/>
          <w:szCs w:val="24"/>
          <w:lang w:val="en-US" w:eastAsia="ja-JP"/>
        </w:rPr>
        <w:t>Neovius</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Ludvigsson</w:t>
      </w:r>
      <w:proofErr w:type="spellEnd"/>
      <w:r w:rsidRPr="00F9703E">
        <w:rPr>
          <w:rFonts w:ascii="Book Antiqua" w:hAnsi="Book Antiqua" w:cs="Arial"/>
          <w:bCs/>
          <w:color w:val="000000" w:themeColor="text1"/>
          <w:kern w:val="36"/>
          <w:sz w:val="24"/>
          <w:szCs w:val="24"/>
          <w:lang w:val="en-US" w:eastAsia="ja-JP"/>
        </w:rPr>
        <w:t xml:space="preserve"> JF, </w:t>
      </w:r>
      <w:proofErr w:type="spellStart"/>
      <w:r w:rsidRPr="00F9703E">
        <w:rPr>
          <w:rFonts w:ascii="Book Antiqua" w:hAnsi="Book Antiqua" w:cs="Arial"/>
          <w:bCs/>
          <w:color w:val="000000" w:themeColor="text1"/>
          <w:kern w:val="36"/>
          <w:sz w:val="24"/>
          <w:szCs w:val="24"/>
          <w:lang w:val="en-US" w:eastAsia="ja-JP"/>
        </w:rPr>
        <w:t>Askling</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Olén</w:t>
      </w:r>
      <w:proofErr w:type="spellEnd"/>
      <w:r w:rsidRPr="00F9703E">
        <w:rPr>
          <w:rFonts w:ascii="Book Antiqua" w:hAnsi="Book Antiqua" w:cs="Arial"/>
          <w:bCs/>
          <w:color w:val="000000" w:themeColor="text1"/>
          <w:kern w:val="36"/>
          <w:sz w:val="24"/>
          <w:szCs w:val="24"/>
          <w:lang w:val="en-US" w:eastAsia="ja-JP"/>
        </w:rPr>
        <w:t xml:space="preserve"> O. Incidence and Treatment of Patients Diagnosed </w:t>
      </w:r>
      <w:proofErr w:type="gramStart"/>
      <w:r w:rsidRPr="00F9703E">
        <w:rPr>
          <w:rFonts w:ascii="Book Antiqua" w:hAnsi="Book Antiqua" w:cs="Arial"/>
          <w:bCs/>
          <w:color w:val="000000" w:themeColor="text1"/>
          <w:kern w:val="36"/>
          <w:sz w:val="24"/>
          <w:szCs w:val="24"/>
          <w:lang w:val="en-US" w:eastAsia="ja-JP"/>
        </w:rPr>
        <w:t>With</w:t>
      </w:r>
      <w:proofErr w:type="gramEnd"/>
      <w:r w:rsidRPr="00F9703E">
        <w:rPr>
          <w:rFonts w:ascii="Book Antiqua" w:hAnsi="Book Antiqua" w:cs="Arial"/>
          <w:bCs/>
          <w:color w:val="000000" w:themeColor="text1"/>
          <w:kern w:val="36"/>
          <w:sz w:val="24"/>
          <w:szCs w:val="24"/>
          <w:lang w:val="en-US" w:eastAsia="ja-JP"/>
        </w:rPr>
        <w:t> Inflammatory Bowel Diseases at 60 Years or Older in Sweden. </w:t>
      </w:r>
      <w:r w:rsidRPr="00F9703E">
        <w:rPr>
          <w:rFonts w:ascii="Book Antiqua" w:hAnsi="Book Antiqua" w:cs="Arial"/>
          <w:bCs/>
          <w:i/>
          <w:iCs/>
          <w:color w:val="000000" w:themeColor="text1"/>
          <w:kern w:val="36"/>
          <w:sz w:val="24"/>
          <w:szCs w:val="24"/>
          <w:lang w:val="en-US" w:eastAsia="ja-JP"/>
        </w:rPr>
        <w:t>Gastroenterology</w:t>
      </w:r>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154</w:t>
      </w:r>
      <w:r w:rsidRPr="00F9703E">
        <w:rPr>
          <w:rFonts w:ascii="Book Antiqua" w:hAnsi="Book Antiqua" w:cs="Arial"/>
          <w:bCs/>
          <w:color w:val="000000" w:themeColor="text1"/>
          <w:kern w:val="36"/>
          <w:sz w:val="24"/>
          <w:szCs w:val="24"/>
          <w:lang w:val="en-US" w:eastAsia="ja-JP"/>
        </w:rPr>
        <w:t>: 518-528.e15 [PMID: 29102619 DOI: 10.1053/j.gastro.2017.10.034]</w:t>
      </w:r>
    </w:p>
    <w:p w14:paraId="4E1D24C5"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3 </w:t>
      </w:r>
      <w:proofErr w:type="spellStart"/>
      <w:r w:rsidRPr="00F9703E">
        <w:rPr>
          <w:rFonts w:ascii="Book Antiqua" w:hAnsi="Book Antiqua" w:cs="Arial"/>
          <w:b/>
          <w:bCs/>
          <w:color w:val="000000" w:themeColor="text1"/>
          <w:kern w:val="36"/>
          <w:sz w:val="24"/>
          <w:szCs w:val="24"/>
          <w:lang w:val="en-US" w:eastAsia="ja-JP"/>
        </w:rPr>
        <w:t>Benchimol</w:t>
      </w:r>
      <w:proofErr w:type="spellEnd"/>
      <w:r w:rsidRPr="00F9703E">
        <w:rPr>
          <w:rFonts w:ascii="Book Antiqua" w:hAnsi="Book Antiqua" w:cs="Arial"/>
          <w:b/>
          <w:bCs/>
          <w:color w:val="000000" w:themeColor="text1"/>
          <w:kern w:val="36"/>
          <w:sz w:val="24"/>
          <w:szCs w:val="24"/>
          <w:lang w:val="en-US" w:eastAsia="ja-JP"/>
        </w:rPr>
        <w:t xml:space="preserve"> EI</w:t>
      </w:r>
      <w:r w:rsidRPr="00F9703E">
        <w:rPr>
          <w:rFonts w:ascii="Book Antiqua" w:hAnsi="Book Antiqua" w:cs="Arial"/>
          <w:bCs/>
          <w:color w:val="000000" w:themeColor="text1"/>
          <w:kern w:val="36"/>
          <w:sz w:val="24"/>
          <w:szCs w:val="24"/>
          <w:lang w:val="en-US" w:eastAsia="ja-JP"/>
        </w:rPr>
        <w:t xml:space="preserve">, Manuel DG, Guttmann A, Nguyen GC, </w:t>
      </w:r>
      <w:proofErr w:type="spellStart"/>
      <w:r w:rsidRPr="00F9703E">
        <w:rPr>
          <w:rFonts w:ascii="Book Antiqua" w:hAnsi="Book Antiqua" w:cs="Arial"/>
          <w:bCs/>
          <w:color w:val="000000" w:themeColor="text1"/>
          <w:kern w:val="36"/>
          <w:sz w:val="24"/>
          <w:szCs w:val="24"/>
          <w:lang w:val="en-US" w:eastAsia="ja-JP"/>
        </w:rPr>
        <w:t>Mojaverian</w:t>
      </w:r>
      <w:proofErr w:type="spellEnd"/>
      <w:r w:rsidRPr="00F9703E">
        <w:rPr>
          <w:rFonts w:ascii="Book Antiqua" w:hAnsi="Book Antiqua" w:cs="Arial"/>
          <w:bCs/>
          <w:color w:val="000000" w:themeColor="text1"/>
          <w:kern w:val="36"/>
          <w:sz w:val="24"/>
          <w:szCs w:val="24"/>
          <w:lang w:val="en-US" w:eastAsia="ja-JP"/>
        </w:rPr>
        <w:t xml:space="preserve"> N, Quach P, Mack DR. Changing age demographics of inflammatory bowel disease in Ontario, Canada: a population-based cohort study of epidemiology trends.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20</w:t>
      </w:r>
      <w:r w:rsidRPr="00F9703E">
        <w:rPr>
          <w:rFonts w:ascii="Book Antiqua" w:hAnsi="Book Antiqua" w:cs="Arial"/>
          <w:bCs/>
          <w:color w:val="000000" w:themeColor="text1"/>
          <w:kern w:val="36"/>
          <w:sz w:val="24"/>
          <w:szCs w:val="24"/>
          <w:lang w:val="en-US" w:eastAsia="ja-JP"/>
        </w:rPr>
        <w:t>: 1761-1769 [PMID: 25159453 DOI: 10.1097/MIB.0000000000000103]</w:t>
      </w:r>
    </w:p>
    <w:p w14:paraId="4F186A0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4 </w:t>
      </w:r>
      <w:r w:rsidRPr="00F9703E">
        <w:rPr>
          <w:rFonts w:ascii="Book Antiqua" w:hAnsi="Book Antiqua" w:cs="Arial"/>
          <w:b/>
          <w:bCs/>
          <w:color w:val="000000" w:themeColor="text1"/>
          <w:kern w:val="36"/>
          <w:sz w:val="24"/>
          <w:szCs w:val="24"/>
          <w:lang w:val="en-US" w:eastAsia="ja-JP"/>
        </w:rPr>
        <w:t>Sturm A</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Maaser</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Mendall</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Karagiannis</w:t>
      </w:r>
      <w:proofErr w:type="spellEnd"/>
      <w:r w:rsidRPr="00F9703E">
        <w:rPr>
          <w:rFonts w:ascii="Book Antiqua" w:hAnsi="Book Antiqua" w:cs="Arial"/>
          <w:bCs/>
          <w:color w:val="000000" w:themeColor="text1"/>
          <w:kern w:val="36"/>
          <w:sz w:val="24"/>
          <w:szCs w:val="24"/>
          <w:lang w:val="en-US" w:eastAsia="ja-JP"/>
        </w:rPr>
        <w:t xml:space="preserve"> D, </w:t>
      </w:r>
      <w:proofErr w:type="spellStart"/>
      <w:r w:rsidRPr="00F9703E">
        <w:rPr>
          <w:rFonts w:ascii="Book Antiqua" w:hAnsi="Book Antiqua" w:cs="Arial"/>
          <w:bCs/>
          <w:color w:val="000000" w:themeColor="text1"/>
          <w:kern w:val="36"/>
          <w:sz w:val="24"/>
          <w:szCs w:val="24"/>
          <w:lang w:val="en-US" w:eastAsia="ja-JP"/>
        </w:rPr>
        <w:t>Karatzas</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Ipenburg</w:t>
      </w:r>
      <w:proofErr w:type="spellEnd"/>
      <w:r w:rsidRPr="00F9703E">
        <w:rPr>
          <w:rFonts w:ascii="Book Antiqua" w:hAnsi="Book Antiqua" w:cs="Arial"/>
          <w:bCs/>
          <w:color w:val="000000" w:themeColor="text1"/>
          <w:kern w:val="36"/>
          <w:sz w:val="24"/>
          <w:szCs w:val="24"/>
          <w:lang w:val="en-US" w:eastAsia="ja-JP"/>
        </w:rPr>
        <w:t xml:space="preserve"> N, Sebastian S, </w:t>
      </w:r>
      <w:proofErr w:type="spellStart"/>
      <w:r w:rsidRPr="00F9703E">
        <w:rPr>
          <w:rFonts w:ascii="Book Antiqua" w:hAnsi="Book Antiqua" w:cs="Arial"/>
          <w:bCs/>
          <w:color w:val="000000" w:themeColor="text1"/>
          <w:kern w:val="36"/>
          <w:sz w:val="24"/>
          <w:szCs w:val="24"/>
          <w:lang w:val="en-US" w:eastAsia="ja-JP"/>
        </w:rPr>
        <w:t>Rizzello</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Limdi</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Katsanos</w:t>
      </w:r>
      <w:proofErr w:type="spellEnd"/>
      <w:r w:rsidRPr="00F9703E">
        <w:rPr>
          <w:rFonts w:ascii="Book Antiqua" w:hAnsi="Book Antiqua" w:cs="Arial"/>
          <w:bCs/>
          <w:color w:val="000000" w:themeColor="text1"/>
          <w:kern w:val="36"/>
          <w:sz w:val="24"/>
          <w:szCs w:val="24"/>
          <w:lang w:val="en-US" w:eastAsia="ja-JP"/>
        </w:rPr>
        <w:t xml:space="preserve"> K, Schmidt C, </w:t>
      </w:r>
      <w:proofErr w:type="spellStart"/>
      <w:r w:rsidRPr="00F9703E">
        <w:rPr>
          <w:rFonts w:ascii="Book Antiqua" w:hAnsi="Book Antiqua" w:cs="Arial"/>
          <w:bCs/>
          <w:color w:val="000000" w:themeColor="text1"/>
          <w:kern w:val="36"/>
          <w:sz w:val="24"/>
          <w:szCs w:val="24"/>
          <w:lang w:val="en-US" w:eastAsia="ja-JP"/>
        </w:rPr>
        <w:t>Jeuring</w:t>
      </w:r>
      <w:proofErr w:type="spellEnd"/>
      <w:r w:rsidRPr="00F9703E">
        <w:rPr>
          <w:rFonts w:ascii="Book Antiqua" w:hAnsi="Book Antiqua" w:cs="Arial"/>
          <w:bCs/>
          <w:color w:val="000000" w:themeColor="text1"/>
          <w:kern w:val="36"/>
          <w:sz w:val="24"/>
          <w:szCs w:val="24"/>
          <w:lang w:val="en-US" w:eastAsia="ja-JP"/>
        </w:rPr>
        <w:t xml:space="preserve"> S, Colombo F, </w:t>
      </w:r>
      <w:proofErr w:type="spellStart"/>
      <w:r w:rsidRPr="00F9703E">
        <w:rPr>
          <w:rFonts w:ascii="Book Antiqua" w:hAnsi="Book Antiqua" w:cs="Arial"/>
          <w:bCs/>
          <w:color w:val="000000" w:themeColor="text1"/>
          <w:kern w:val="36"/>
          <w:sz w:val="24"/>
          <w:szCs w:val="24"/>
          <w:lang w:val="en-US" w:eastAsia="ja-JP"/>
        </w:rPr>
        <w:t>Gionchetti</w:t>
      </w:r>
      <w:proofErr w:type="spellEnd"/>
      <w:r w:rsidRPr="00F9703E">
        <w:rPr>
          <w:rFonts w:ascii="Book Antiqua" w:hAnsi="Book Antiqua" w:cs="Arial"/>
          <w:bCs/>
          <w:color w:val="000000" w:themeColor="text1"/>
          <w:kern w:val="36"/>
          <w:sz w:val="24"/>
          <w:szCs w:val="24"/>
          <w:lang w:val="en-US" w:eastAsia="ja-JP"/>
        </w:rPr>
        <w:t xml:space="preserve"> P. European Crohn's and Colitis </w:t>
      </w:r>
      <w:proofErr w:type="spellStart"/>
      <w:r w:rsidRPr="00F9703E">
        <w:rPr>
          <w:rFonts w:ascii="Book Antiqua" w:hAnsi="Book Antiqua" w:cs="Arial"/>
          <w:bCs/>
          <w:color w:val="000000" w:themeColor="text1"/>
          <w:kern w:val="36"/>
          <w:sz w:val="24"/>
          <w:szCs w:val="24"/>
          <w:lang w:val="en-US" w:eastAsia="ja-JP"/>
        </w:rPr>
        <w:t>Organisation</w:t>
      </w:r>
      <w:proofErr w:type="spellEnd"/>
      <w:r w:rsidRPr="00F9703E">
        <w:rPr>
          <w:rFonts w:ascii="Book Antiqua" w:hAnsi="Book Antiqua" w:cs="Arial"/>
          <w:bCs/>
          <w:color w:val="000000" w:themeColor="text1"/>
          <w:kern w:val="36"/>
          <w:sz w:val="24"/>
          <w:szCs w:val="24"/>
          <w:lang w:val="en-US" w:eastAsia="ja-JP"/>
        </w:rPr>
        <w:t xml:space="preserve"> Topical Review on IBD in the Elderly.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11</w:t>
      </w:r>
      <w:r w:rsidRPr="00F9703E">
        <w:rPr>
          <w:rFonts w:ascii="Book Antiqua" w:hAnsi="Book Antiqua" w:cs="Arial"/>
          <w:bCs/>
          <w:color w:val="000000" w:themeColor="text1"/>
          <w:kern w:val="36"/>
          <w:sz w:val="24"/>
          <w:szCs w:val="24"/>
          <w:lang w:val="en-US" w:eastAsia="ja-JP"/>
        </w:rPr>
        <w:t>: 263-273 [PMID: 27797918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/jjw188]</w:t>
      </w:r>
    </w:p>
    <w:p w14:paraId="76A8DE9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5 </w:t>
      </w:r>
      <w:proofErr w:type="spellStart"/>
      <w:r w:rsidRPr="00F9703E">
        <w:rPr>
          <w:rFonts w:ascii="Book Antiqua" w:hAnsi="Book Antiqua" w:cs="Arial"/>
          <w:b/>
          <w:bCs/>
          <w:color w:val="000000" w:themeColor="text1"/>
          <w:kern w:val="36"/>
          <w:sz w:val="24"/>
          <w:szCs w:val="24"/>
          <w:lang w:val="en-US" w:eastAsia="ja-JP"/>
        </w:rPr>
        <w:t>Telemi</w:t>
      </w:r>
      <w:proofErr w:type="spellEnd"/>
      <w:r w:rsidRPr="00F9703E">
        <w:rPr>
          <w:rFonts w:ascii="Book Antiqua" w:hAnsi="Book Antiqua" w:cs="Arial"/>
          <w:b/>
          <w:bCs/>
          <w:color w:val="000000" w:themeColor="text1"/>
          <w:kern w:val="36"/>
          <w:sz w:val="24"/>
          <w:szCs w:val="24"/>
          <w:lang w:val="en-US" w:eastAsia="ja-JP"/>
        </w:rPr>
        <w:t xml:space="preserve"> E</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Trofymenko</w:t>
      </w:r>
      <w:proofErr w:type="spellEnd"/>
      <w:r w:rsidRPr="00F9703E">
        <w:rPr>
          <w:rFonts w:ascii="Book Antiqua" w:hAnsi="Book Antiqua" w:cs="Arial"/>
          <w:bCs/>
          <w:color w:val="000000" w:themeColor="text1"/>
          <w:kern w:val="36"/>
          <w:sz w:val="24"/>
          <w:szCs w:val="24"/>
          <w:lang w:val="en-US" w:eastAsia="ja-JP"/>
        </w:rPr>
        <w:t xml:space="preserve"> O, Venkat R, Pandit V, Pandian TK, </w:t>
      </w:r>
      <w:proofErr w:type="spellStart"/>
      <w:r w:rsidRPr="00F9703E">
        <w:rPr>
          <w:rFonts w:ascii="Book Antiqua" w:hAnsi="Book Antiqua" w:cs="Arial"/>
          <w:bCs/>
          <w:color w:val="000000" w:themeColor="text1"/>
          <w:kern w:val="36"/>
          <w:sz w:val="24"/>
          <w:szCs w:val="24"/>
          <w:lang w:val="en-US" w:eastAsia="ja-JP"/>
        </w:rPr>
        <w:t>Nfonsam</w:t>
      </w:r>
      <w:proofErr w:type="spellEnd"/>
      <w:r w:rsidRPr="00F9703E">
        <w:rPr>
          <w:rFonts w:ascii="Book Antiqua" w:hAnsi="Book Antiqua" w:cs="Arial"/>
          <w:bCs/>
          <w:color w:val="000000" w:themeColor="text1"/>
          <w:kern w:val="36"/>
          <w:sz w:val="24"/>
          <w:szCs w:val="24"/>
          <w:lang w:val="en-US" w:eastAsia="ja-JP"/>
        </w:rPr>
        <w:t xml:space="preserve"> VN. Frailty Predicts Morbidity after Colectomy for Ulcerative Colitis. </w:t>
      </w:r>
      <w:r w:rsidRPr="00F9703E">
        <w:rPr>
          <w:rFonts w:ascii="Book Antiqua" w:hAnsi="Book Antiqua" w:cs="Arial"/>
          <w:bCs/>
          <w:i/>
          <w:iCs/>
          <w:color w:val="000000" w:themeColor="text1"/>
          <w:kern w:val="36"/>
          <w:sz w:val="24"/>
          <w:szCs w:val="24"/>
          <w:lang w:val="en-US" w:eastAsia="ja-JP"/>
        </w:rPr>
        <w:t>Am Surg</w:t>
      </w:r>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84</w:t>
      </w:r>
      <w:r w:rsidRPr="00F9703E">
        <w:rPr>
          <w:rFonts w:ascii="Book Antiqua" w:hAnsi="Book Antiqua" w:cs="Arial"/>
          <w:bCs/>
          <w:color w:val="000000" w:themeColor="text1"/>
          <w:kern w:val="36"/>
          <w:sz w:val="24"/>
          <w:szCs w:val="24"/>
          <w:lang w:val="en-US" w:eastAsia="ja-JP"/>
        </w:rPr>
        <w:t>: 225-229 [PMID: 29580350]</w:t>
      </w:r>
    </w:p>
    <w:p w14:paraId="47713D3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6 </w:t>
      </w:r>
      <w:proofErr w:type="spellStart"/>
      <w:r w:rsidRPr="00F9703E">
        <w:rPr>
          <w:rFonts w:ascii="Book Antiqua" w:hAnsi="Book Antiqua" w:cs="Arial"/>
          <w:b/>
          <w:bCs/>
          <w:color w:val="000000" w:themeColor="text1"/>
          <w:kern w:val="36"/>
          <w:sz w:val="24"/>
          <w:szCs w:val="24"/>
          <w:lang w:val="en-US" w:eastAsia="ja-JP"/>
        </w:rPr>
        <w:t>Juneja</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Baidoo L, Schwartz MB, Barrie A 3rd, </w:t>
      </w:r>
      <w:proofErr w:type="spellStart"/>
      <w:r w:rsidRPr="00F9703E">
        <w:rPr>
          <w:rFonts w:ascii="Book Antiqua" w:hAnsi="Book Antiqua" w:cs="Arial"/>
          <w:bCs/>
          <w:color w:val="000000" w:themeColor="text1"/>
          <w:kern w:val="36"/>
          <w:sz w:val="24"/>
          <w:szCs w:val="24"/>
          <w:lang w:val="en-US" w:eastAsia="ja-JP"/>
        </w:rPr>
        <w:t>Regueiro</w:t>
      </w:r>
      <w:proofErr w:type="spellEnd"/>
      <w:r w:rsidRPr="00F9703E">
        <w:rPr>
          <w:rFonts w:ascii="Book Antiqua" w:hAnsi="Book Antiqua" w:cs="Arial"/>
          <w:bCs/>
          <w:color w:val="000000" w:themeColor="text1"/>
          <w:kern w:val="36"/>
          <w:sz w:val="24"/>
          <w:szCs w:val="24"/>
          <w:lang w:val="en-US" w:eastAsia="ja-JP"/>
        </w:rPr>
        <w:t xml:space="preserve"> M, Dunn M, Binion DG. Geriatric inflammatory bowel disease: phenotypic presentation, treatment patterns, nutritional status, outcomes, and comorbidity. </w:t>
      </w:r>
      <w:r w:rsidRPr="00F9703E">
        <w:rPr>
          <w:rFonts w:ascii="Book Antiqua" w:hAnsi="Book Antiqua" w:cs="Arial"/>
          <w:bCs/>
          <w:i/>
          <w:iCs/>
          <w:color w:val="000000" w:themeColor="text1"/>
          <w:kern w:val="36"/>
          <w:sz w:val="24"/>
          <w:szCs w:val="24"/>
          <w:lang w:val="en-US" w:eastAsia="ja-JP"/>
        </w:rPr>
        <w:t>Dig Dis Sci</w:t>
      </w:r>
      <w:r w:rsidRPr="00F9703E">
        <w:rPr>
          <w:rFonts w:ascii="Book Antiqua" w:hAnsi="Book Antiqua" w:cs="Arial"/>
          <w:bCs/>
          <w:color w:val="000000" w:themeColor="text1"/>
          <w:kern w:val="36"/>
          <w:sz w:val="24"/>
          <w:szCs w:val="24"/>
          <w:lang w:val="en-US" w:eastAsia="ja-JP"/>
        </w:rPr>
        <w:t> 2012; </w:t>
      </w:r>
      <w:r w:rsidRPr="00F9703E">
        <w:rPr>
          <w:rFonts w:ascii="Book Antiqua" w:hAnsi="Book Antiqua" w:cs="Arial"/>
          <w:b/>
          <w:bCs/>
          <w:color w:val="000000" w:themeColor="text1"/>
          <w:kern w:val="36"/>
          <w:sz w:val="24"/>
          <w:szCs w:val="24"/>
          <w:lang w:val="en-US" w:eastAsia="ja-JP"/>
        </w:rPr>
        <w:t>57</w:t>
      </w:r>
      <w:r w:rsidRPr="00F9703E">
        <w:rPr>
          <w:rFonts w:ascii="Book Antiqua" w:hAnsi="Book Antiqua" w:cs="Arial"/>
          <w:bCs/>
          <w:color w:val="000000" w:themeColor="text1"/>
          <w:kern w:val="36"/>
          <w:sz w:val="24"/>
          <w:szCs w:val="24"/>
          <w:lang w:val="en-US" w:eastAsia="ja-JP"/>
        </w:rPr>
        <w:t>: 2408-2415 [PMID: 22359191 DOI: 10.1007/s10620-012-2083-x]</w:t>
      </w:r>
    </w:p>
    <w:p w14:paraId="5E459349"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7 </w:t>
      </w:r>
      <w:r w:rsidRPr="00F9703E">
        <w:rPr>
          <w:rFonts w:ascii="Book Antiqua" w:hAnsi="Book Antiqua" w:cs="Arial"/>
          <w:b/>
          <w:bCs/>
          <w:color w:val="000000" w:themeColor="text1"/>
          <w:kern w:val="36"/>
          <w:sz w:val="24"/>
          <w:szCs w:val="24"/>
          <w:lang w:val="en-US" w:eastAsia="ja-JP"/>
        </w:rPr>
        <w:t>Lakatos PL</w:t>
      </w:r>
      <w:r w:rsidRPr="00F9703E">
        <w:rPr>
          <w:rFonts w:ascii="Book Antiqua" w:hAnsi="Book Antiqua" w:cs="Arial"/>
          <w:bCs/>
          <w:color w:val="000000" w:themeColor="text1"/>
          <w:kern w:val="36"/>
          <w:sz w:val="24"/>
          <w:szCs w:val="24"/>
          <w:lang w:val="en-US" w:eastAsia="ja-JP"/>
        </w:rPr>
        <w:t xml:space="preserve">, David G, </w:t>
      </w:r>
      <w:proofErr w:type="spellStart"/>
      <w:r w:rsidRPr="00F9703E">
        <w:rPr>
          <w:rFonts w:ascii="Book Antiqua" w:hAnsi="Book Antiqua" w:cs="Arial"/>
          <w:bCs/>
          <w:color w:val="000000" w:themeColor="text1"/>
          <w:kern w:val="36"/>
          <w:sz w:val="24"/>
          <w:szCs w:val="24"/>
          <w:lang w:val="en-US" w:eastAsia="ja-JP"/>
        </w:rPr>
        <w:t>Pandur</w:t>
      </w:r>
      <w:proofErr w:type="spellEnd"/>
      <w:r w:rsidRPr="00F9703E">
        <w:rPr>
          <w:rFonts w:ascii="Book Antiqua" w:hAnsi="Book Antiqua" w:cs="Arial"/>
          <w:bCs/>
          <w:color w:val="000000" w:themeColor="text1"/>
          <w:kern w:val="36"/>
          <w:sz w:val="24"/>
          <w:szCs w:val="24"/>
          <w:lang w:val="en-US" w:eastAsia="ja-JP"/>
        </w:rPr>
        <w:t xml:space="preserve"> T, </w:t>
      </w:r>
      <w:proofErr w:type="spellStart"/>
      <w:r w:rsidRPr="00F9703E">
        <w:rPr>
          <w:rFonts w:ascii="Book Antiqua" w:hAnsi="Book Antiqua" w:cs="Arial"/>
          <w:bCs/>
          <w:color w:val="000000" w:themeColor="text1"/>
          <w:kern w:val="36"/>
          <w:sz w:val="24"/>
          <w:szCs w:val="24"/>
          <w:lang w:val="en-US" w:eastAsia="ja-JP"/>
        </w:rPr>
        <w:t>Erdelyi</w:t>
      </w:r>
      <w:proofErr w:type="spellEnd"/>
      <w:r w:rsidRPr="00F9703E">
        <w:rPr>
          <w:rFonts w:ascii="Book Antiqua" w:hAnsi="Book Antiqua" w:cs="Arial"/>
          <w:bCs/>
          <w:color w:val="000000" w:themeColor="text1"/>
          <w:kern w:val="36"/>
          <w:sz w:val="24"/>
          <w:szCs w:val="24"/>
          <w:lang w:val="en-US" w:eastAsia="ja-JP"/>
        </w:rPr>
        <w:t xml:space="preserve"> Z, </w:t>
      </w:r>
      <w:proofErr w:type="spellStart"/>
      <w:r w:rsidRPr="00F9703E">
        <w:rPr>
          <w:rFonts w:ascii="Book Antiqua" w:hAnsi="Book Antiqua" w:cs="Arial"/>
          <w:bCs/>
          <w:color w:val="000000" w:themeColor="text1"/>
          <w:kern w:val="36"/>
          <w:sz w:val="24"/>
          <w:szCs w:val="24"/>
          <w:lang w:val="en-US" w:eastAsia="ja-JP"/>
        </w:rPr>
        <w:t>Mester</w:t>
      </w:r>
      <w:proofErr w:type="spellEnd"/>
      <w:r w:rsidRPr="00F9703E">
        <w:rPr>
          <w:rFonts w:ascii="Book Antiqua" w:hAnsi="Book Antiqua" w:cs="Arial"/>
          <w:bCs/>
          <w:color w:val="000000" w:themeColor="text1"/>
          <w:kern w:val="36"/>
          <w:sz w:val="24"/>
          <w:szCs w:val="24"/>
          <w:lang w:val="en-US" w:eastAsia="ja-JP"/>
        </w:rPr>
        <w:t xml:space="preserve"> G, Balogh M, </w:t>
      </w:r>
      <w:proofErr w:type="spellStart"/>
      <w:r w:rsidRPr="00F9703E">
        <w:rPr>
          <w:rFonts w:ascii="Book Antiqua" w:hAnsi="Book Antiqua" w:cs="Arial"/>
          <w:bCs/>
          <w:color w:val="000000" w:themeColor="text1"/>
          <w:kern w:val="36"/>
          <w:sz w:val="24"/>
          <w:szCs w:val="24"/>
          <w:lang w:val="en-US" w:eastAsia="ja-JP"/>
        </w:rPr>
        <w:t>Szipocs</w:t>
      </w:r>
      <w:proofErr w:type="spellEnd"/>
      <w:r w:rsidRPr="00F9703E">
        <w:rPr>
          <w:rFonts w:ascii="Book Antiqua" w:hAnsi="Book Antiqua" w:cs="Arial"/>
          <w:bCs/>
          <w:color w:val="000000" w:themeColor="text1"/>
          <w:kern w:val="36"/>
          <w:sz w:val="24"/>
          <w:szCs w:val="24"/>
          <w:lang w:val="en-US" w:eastAsia="ja-JP"/>
        </w:rPr>
        <w:t xml:space="preserve"> I, Molnar C, </w:t>
      </w:r>
      <w:proofErr w:type="spellStart"/>
      <w:r w:rsidRPr="00F9703E">
        <w:rPr>
          <w:rFonts w:ascii="Book Antiqua" w:hAnsi="Book Antiqua" w:cs="Arial"/>
          <w:bCs/>
          <w:color w:val="000000" w:themeColor="text1"/>
          <w:kern w:val="36"/>
          <w:sz w:val="24"/>
          <w:szCs w:val="24"/>
          <w:lang w:val="en-US" w:eastAsia="ja-JP"/>
        </w:rPr>
        <w:t>Komaromi</w:t>
      </w:r>
      <w:proofErr w:type="spellEnd"/>
      <w:r w:rsidRPr="00F9703E">
        <w:rPr>
          <w:rFonts w:ascii="Book Antiqua" w:hAnsi="Book Antiqua" w:cs="Arial"/>
          <w:bCs/>
          <w:color w:val="000000" w:themeColor="text1"/>
          <w:kern w:val="36"/>
          <w:sz w:val="24"/>
          <w:szCs w:val="24"/>
          <w:lang w:val="en-US" w:eastAsia="ja-JP"/>
        </w:rPr>
        <w:t xml:space="preserve"> E, Kiss LS, Lakatos L. IBD in the elderly population: results from a </w:t>
      </w:r>
      <w:r w:rsidRPr="00F9703E">
        <w:rPr>
          <w:rFonts w:ascii="Book Antiqua" w:hAnsi="Book Antiqua" w:cs="Arial"/>
          <w:bCs/>
          <w:color w:val="000000" w:themeColor="text1"/>
          <w:kern w:val="36"/>
          <w:sz w:val="24"/>
          <w:szCs w:val="24"/>
          <w:lang w:val="en-US" w:eastAsia="ja-JP"/>
        </w:rPr>
        <w:lastRenderedPageBreak/>
        <w:t>population-based study in Western Hungary, 1977-2008.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5</w:t>
      </w:r>
      <w:r w:rsidRPr="00F9703E">
        <w:rPr>
          <w:rFonts w:ascii="Book Antiqua" w:hAnsi="Book Antiqua" w:cs="Arial"/>
          <w:bCs/>
          <w:color w:val="000000" w:themeColor="text1"/>
          <w:kern w:val="36"/>
          <w:sz w:val="24"/>
          <w:szCs w:val="24"/>
          <w:lang w:val="en-US" w:eastAsia="ja-JP"/>
        </w:rPr>
        <w:t>: 5-13 [PMID: 21272797 DOI: 10.1016/j.crohns.2010.08.004]</w:t>
      </w:r>
    </w:p>
    <w:p w14:paraId="2E30357B"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8 </w:t>
      </w:r>
      <w:r w:rsidRPr="00F9703E">
        <w:rPr>
          <w:rFonts w:ascii="Book Antiqua" w:hAnsi="Book Antiqua" w:cs="Arial"/>
          <w:b/>
          <w:bCs/>
          <w:color w:val="000000" w:themeColor="text1"/>
          <w:kern w:val="36"/>
          <w:sz w:val="24"/>
          <w:szCs w:val="24"/>
          <w:lang w:val="en-US" w:eastAsia="ja-JP"/>
        </w:rPr>
        <w:t>Charpentier C</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Salleron</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Savoye</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Fumery</w:t>
      </w:r>
      <w:proofErr w:type="spellEnd"/>
      <w:r w:rsidRPr="00F9703E">
        <w:rPr>
          <w:rFonts w:ascii="Book Antiqua" w:hAnsi="Book Antiqua" w:cs="Arial"/>
          <w:bCs/>
          <w:color w:val="000000" w:themeColor="text1"/>
          <w:kern w:val="36"/>
          <w:sz w:val="24"/>
          <w:szCs w:val="24"/>
          <w:lang w:val="en-US" w:eastAsia="ja-JP"/>
        </w:rPr>
        <w:t xml:space="preserve"> M, Merle V, </w:t>
      </w:r>
      <w:proofErr w:type="spellStart"/>
      <w:r w:rsidRPr="00F9703E">
        <w:rPr>
          <w:rFonts w:ascii="Book Antiqua" w:hAnsi="Book Antiqua" w:cs="Arial"/>
          <w:bCs/>
          <w:color w:val="000000" w:themeColor="text1"/>
          <w:kern w:val="36"/>
          <w:sz w:val="24"/>
          <w:szCs w:val="24"/>
          <w:lang w:val="en-US" w:eastAsia="ja-JP"/>
        </w:rPr>
        <w:t>Laberenne</w:t>
      </w:r>
      <w:proofErr w:type="spellEnd"/>
      <w:r w:rsidRPr="00F9703E">
        <w:rPr>
          <w:rFonts w:ascii="Book Antiqua" w:hAnsi="Book Antiqua" w:cs="Arial"/>
          <w:bCs/>
          <w:color w:val="000000" w:themeColor="text1"/>
          <w:kern w:val="36"/>
          <w:sz w:val="24"/>
          <w:szCs w:val="24"/>
          <w:lang w:val="en-US" w:eastAsia="ja-JP"/>
        </w:rPr>
        <w:t xml:space="preserve"> JE, </w:t>
      </w:r>
      <w:proofErr w:type="spellStart"/>
      <w:r w:rsidRPr="00F9703E">
        <w:rPr>
          <w:rFonts w:ascii="Book Antiqua" w:hAnsi="Book Antiqua" w:cs="Arial"/>
          <w:bCs/>
          <w:color w:val="000000" w:themeColor="text1"/>
          <w:kern w:val="36"/>
          <w:sz w:val="24"/>
          <w:szCs w:val="24"/>
          <w:lang w:val="en-US" w:eastAsia="ja-JP"/>
        </w:rPr>
        <w:t>Vasseur</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Dupas</w:t>
      </w:r>
      <w:proofErr w:type="spellEnd"/>
      <w:r w:rsidRPr="00F9703E">
        <w:rPr>
          <w:rFonts w:ascii="Book Antiqua" w:hAnsi="Book Antiqua" w:cs="Arial"/>
          <w:bCs/>
          <w:color w:val="000000" w:themeColor="text1"/>
          <w:kern w:val="36"/>
          <w:sz w:val="24"/>
          <w:szCs w:val="24"/>
          <w:lang w:val="en-US" w:eastAsia="ja-JP"/>
        </w:rPr>
        <w:t xml:space="preserve"> JL, </w:t>
      </w:r>
      <w:proofErr w:type="spellStart"/>
      <w:r w:rsidRPr="00F9703E">
        <w:rPr>
          <w:rFonts w:ascii="Book Antiqua" w:hAnsi="Book Antiqua" w:cs="Arial"/>
          <w:bCs/>
          <w:color w:val="000000" w:themeColor="text1"/>
          <w:kern w:val="36"/>
          <w:sz w:val="24"/>
          <w:szCs w:val="24"/>
          <w:lang w:val="en-US" w:eastAsia="ja-JP"/>
        </w:rPr>
        <w:t>Cortot</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Dauchet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Lerebours</w:t>
      </w:r>
      <w:proofErr w:type="spellEnd"/>
      <w:r w:rsidRPr="00F9703E">
        <w:rPr>
          <w:rFonts w:ascii="Book Antiqua" w:hAnsi="Book Antiqua" w:cs="Arial"/>
          <w:bCs/>
          <w:color w:val="000000" w:themeColor="text1"/>
          <w:kern w:val="36"/>
          <w:sz w:val="24"/>
          <w:szCs w:val="24"/>
          <w:lang w:val="en-US" w:eastAsia="ja-JP"/>
        </w:rPr>
        <w:t xml:space="preserve"> E, </w:t>
      </w:r>
      <w:proofErr w:type="spellStart"/>
      <w:r w:rsidRPr="00F9703E">
        <w:rPr>
          <w:rFonts w:ascii="Book Antiqua" w:hAnsi="Book Antiqua" w:cs="Arial"/>
          <w:bCs/>
          <w:color w:val="000000" w:themeColor="text1"/>
          <w:kern w:val="36"/>
          <w:sz w:val="24"/>
          <w:szCs w:val="24"/>
          <w:lang w:val="en-US" w:eastAsia="ja-JP"/>
        </w:rPr>
        <w:t>Colombel</w:t>
      </w:r>
      <w:proofErr w:type="spellEnd"/>
      <w:r w:rsidRPr="00F9703E">
        <w:rPr>
          <w:rFonts w:ascii="Book Antiqua" w:hAnsi="Book Antiqua" w:cs="Arial"/>
          <w:bCs/>
          <w:color w:val="000000" w:themeColor="text1"/>
          <w:kern w:val="36"/>
          <w:sz w:val="24"/>
          <w:szCs w:val="24"/>
          <w:lang w:val="en-US" w:eastAsia="ja-JP"/>
        </w:rPr>
        <w:t xml:space="preserve"> JF, Gower-Rousseau C. Natural history of elderly-onset inflammatory bowel disease: a population-based cohort study. </w:t>
      </w:r>
      <w:r w:rsidRPr="00F9703E">
        <w:rPr>
          <w:rFonts w:ascii="Book Antiqua" w:hAnsi="Book Antiqua" w:cs="Arial"/>
          <w:bCs/>
          <w:i/>
          <w:iCs/>
          <w:color w:val="000000" w:themeColor="text1"/>
          <w:kern w:val="36"/>
          <w:sz w:val="24"/>
          <w:szCs w:val="24"/>
          <w:lang w:val="en-US" w:eastAsia="ja-JP"/>
        </w:rPr>
        <w:t>Gut</w:t>
      </w:r>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63</w:t>
      </w:r>
      <w:r w:rsidRPr="00F9703E">
        <w:rPr>
          <w:rFonts w:ascii="Book Antiqua" w:hAnsi="Book Antiqua" w:cs="Arial"/>
          <w:bCs/>
          <w:color w:val="000000" w:themeColor="text1"/>
          <w:kern w:val="36"/>
          <w:sz w:val="24"/>
          <w:szCs w:val="24"/>
          <w:lang w:val="en-US" w:eastAsia="ja-JP"/>
        </w:rPr>
        <w:t>: 423-432 [PMID: 23408350 DOI: 10.1136/gutjnl-2012-303864]</w:t>
      </w:r>
    </w:p>
    <w:p w14:paraId="0A8080FC"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9 </w:t>
      </w:r>
      <w:proofErr w:type="spellStart"/>
      <w:r w:rsidRPr="00F9703E">
        <w:rPr>
          <w:rFonts w:ascii="Book Antiqua" w:hAnsi="Book Antiqua" w:cs="Arial"/>
          <w:b/>
          <w:bCs/>
          <w:color w:val="000000" w:themeColor="text1"/>
          <w:kern w:val="36"/>
          <w:sz w:val="24"/>
          <w:szCs w:val="24"/>
          <w:lang w:val="en-US" w:eastAsia="ja-JP"/>
        </w:rPr>
        <w:t>Nørgård</w:t>
      </w:r>
      <w:proofErr w:type="spellEnd"/>
      <w:r w:rsidRPr="00F9703E">
        <w:rPr>
          <w:rFonts w:ascii="Book Antiqua" w:hAnsi="Book Antiqua" w:cs="Arial"/>
          <w:b/>
          <w:bCs/>
          <w:color w:val="000000" w:themeColor="text1"/>
          <w:kern w:val="36"/>
          <w:sz w:val="24"/>
          <w:szCs w:val="24"/>
          <w:lang w:val="en-US" w:eastAsia="ja-JP"/>
        </w:rPr>
        <w:t xml:space="preserve"> BM</w:t>
      </w:r>
      <w:r w:rsidRPr="00F9703E">
        <w:rPr>
          <w:rFonts w:ascii="Book Antiqua" w:hAnsi="Book Antiqua" w:cs="Arial"/>
          <w:bCs/>
          <w:color w:val="000000" w:themeColor="text1"/>
          <w:kern w:val="36"/>
          <w:sz w:val="24"/>
          <w:szCs w:val="24"/>
          <w:lang w:val="en-US" w:eastAsia="ja-JP"/>
        </w:rPr>
        <w:t xml:space="preserve">, Nielsen J, </w:t>
      </w:r>
      <w:proofErr w:type="spellStart"/>
      <w:r w:rsidRPr="00F9703E">
        <w:rPr>
          <w:rFonts w:ascii="Book Antiqua" w:hAnsi="Book Antiqua" w:cs="Arial"/>
          <w:bCs/>
          <w:color w:val="000000" w:themeColor="text1"/>
          <w:kern w:val="36"/>
          <w:sz w:val="24"/>
          <w:szCs w:val="24"/>
          <w:lang w:val="en-US" w:eastAsia="ja-JP"/>
        </w:rPr>
        <w:t>Fonager</w:t>
      </w:r>
      <w:proofErr w:type="spellEnd"/>
      <w:r w:rsidRPr="00F9703E">
        <w:rPr>
          <w:rFonts w:ascii="Book Antiqua" w:hAnsi="Book Antiqua" w:cs="Arial"/>
          <w:bCs/>
          <w:color w:val="000000" w:themeColor="text1"/>
          <w:kern w:val="36"/>
          <w:sz w:val="24"/>
          <w:szCs w:val="24"/>
          <w:lang w:val="en-US" w:eastAsia="ja-JP"/>
        </w:rPr>
        <w:t xml:space="preserve"> K, Kjeldsen J, Jacobsen BA, </w:t>
      </w:r>
      <w:proofErr w:type="spellStart"/>
      <w:r w:rsidRPr="00F9703E">
        <w:rPr>
          <w:rFonts w:ascii="Book Antiqua" w:hAnsi="Book Antiqua" w:cs="Arial"/>
          <w:bCs/>
          <w:color w:val="000000" w:themeColor="text1"/>
          <w:kern w:val="36"/>
          <w:sz w:val="24"/>
          <w:szCs w:val="24"/>
          <w:lang w:val="en-US" w:eastAsia="ja-JP"/>
        </w:rPr>
        <w:t>Qvist</w:t>
      </w:r>
      <w:proofErr w:type="spellEnd"/>
      <w:r w:rsidRPr="00F9703E">
        <w:rPr>
          <w:rFonts w:ascii="Book Antiqua" w:hAnsi="Book Antiqua" w:cs="Arial"/>
          <w:bCs/>
          <w:color w:val="000000" w:themeColor="text1"/>
          <w:kern w:val="36"/>
          <w:sz w:val="24"/>
          <w:szCs w:val="24"/>
          <w:lang w:val="en-US" w:eastAsia="ja-JP"/>
        </w:rPr>
        <w:t xml:space="preserve"> N. The incidence of ulcerative colitis (1995-2011) and Crohn's disease (1995-2012) - based on nationwide Danish registry data.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8</w:t>
      </w:r>
      <w:r w:rsidRPr="00F9703E">
        <w:rPr>
          <w:rFonts w:ascii="Book Antiqua" w:hAnsi="Book Antiqua" w:cs="Arial"/>
          <w:bCs/>
          <w:color w:val="000000" w:themeColor="text1"/>
          <w:kern w:val="36"/>
          <w:sz w:val="24"/>
          <w:szCs w:val="24"/>
          <w:lang w:val="en-US" w:eastAsia="ja-JP"/>
        </w:rPr>
        <w:t>: 1274-1280 [PMID: 24675473 DOI: 10.1016/j.crohns.2014.03.006]</w:t>
      </w:r>
    </w:p>
    <w:p w14:paraId="7EE0FA17"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10 </w:t>
      </w:r>
      <w:proofErr w:type="spellStart"/>
      <w:r w:rsidRPr="00F9703E">
        <w:rPr>
          <w:rFonts w:ascii="Book Antiqua" w:hAnsi="Book Antiqua" w:cs="Arial"/>
          <w:b/>
          <w:bCs/>
          <w:color w:val="000000" w:themeColor="text1"/>
          <w:kern w:val="36"/>
          <w:sz w:val="24"/>
          <w:szCs w:val="24"/>
          <w:lang w:val="en-US" w:eastAsia="ja-JP"/>
        </w:rPr>
        <w:t>Ananthakrishnan</w:t>
      </w:r>
      <w:proofErr w:type="spellEnd"/>
      <w:r w:rsidRPr="00F9703E">
        <w:rPr>
          <w:rFonts w:ascii="Book Antiqua" w:hAnsi="Book Antiqua" w:cs="Arial"/>
          <w:b/>
          <w:bCs/>
          <w:color w:val="000000" w:themeColor="text1"/>
          <w:kern w:val="36"/>
          <w:sz w:val="24"/>
          <w:szCs w:val="24"/>
          <w:lang w:val="en-US" w:eastAsia="ja-JP"/>
        </w:rPr>
        <w:t xml:space="preserve"> AN</w:t>
      </w:r>
      <w:r w:rsidRPr="00F9703E">
        <w:rPr>
          <w:rFonts w:ascii="Book Antiqua" w:hAnsi="Book Antiqua" w:cs="Arial"/>
          <w:bCs/>
          <w:color w:val="000000" w:themeColor="text1"/>
          <w:kern w:val="36"/>
          <w:sz w:val="24"/>
          <w:szCs w:val="24"/>
          <w:lang w:val="en-US" w:eastAsia="ja-JP"/>
        </w:rPr>
        <w:t>, Binion DG. Treatment of ulcerative colitis in the elderly. </w:t>
      </w:r>
      <w:r w:rsidRPr="00F9703E">
        <w:rPr>
          <w:rFonts w:ascii="Book Antiqua" w:hAnsi="Book Antiqua" w:cs="Arial"/>
          <w:bCs/>
          <w:i/>
          <w:iCs/>
          <w:color w:val="000000" w:themeColor="text1"/>
          <w:kern w:val="36"/>
          <w:sz w:val="24"/>
          <w:szCs w:val="24"/>
          <w:lang w:val="en-US" w:eastAsia="ja-JP"/>
        </w:rPr>
        <w:t>Dig Dis</w:t>
      </w:r>
      <w:r w:rsidRPr="00F9703E">
        <w:rPr>
          <w:rFonts w:ascii="Book Antiqua" w:hAnsi="Book Antiqua" w:cs="Arial"/>
          <w:bCs/>
          <w:color w:val="000000" w:themeColor="text1"/>
          <w:kern w:val="36"/>
          <w:sz w:val="24"/>
          <w:szCs w:val="24"/>
          <w:lang w:val="en-US" w:eastAsia="ja-JP"/>
        </w:rPr>
        <w:t> 2009; </w:t>
      </w:r>
      <w:r w:rsidRPr="00F9703E">
        <w:rPr>
          <w:rFonts w:ascii="Book Antiqua" w:hAnsi="Book Antiqua" w:cs="Arial"/>
          <w:b/>
          <w:bCs/>
          <w:color w:val="000000" w:themeColor="text1"/>
          <w:kern w:val="36"/>
          <w:sz w:val="24"/>
          <w:szCs w:val="24"/>
          <w:lang w:val="en-US" w:eastAsia="ja-JP"/>
        </w:rPr>
        <w:t>27</w:t>
      </w:r>
      <w:r w:rsidRPr="00F9703E">
        <w:rPr>
          <w:rFonts w:ascii="Book Antiqua" w:hAnsi="Book Antiqua" w:cs="Arial"/>
          <w:bCs/>
          <w:color w:val="000000" w:themeColor="text1"/>
          <w:kern w:val="36"/>
          <w:sz w:val="24"/>
          <w:szCs w:val="24"/>
          <w:lang w:val="en-US" w:eastAsia="ja-JP"/>
        </w:rPr>
        <w:t>: 327-334 [PMID: 19786760 DOI: 10.1159/000228569]</w:t>
      </w:r>
    </w:p>
    <w:p w14:paraId="17E74D8D"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11 </w:t>
      </w:r>
      <w:proofErr w:type="spellStart"/>
      <w:r w:rsidRPr="00F9703E">
        <w:rPr>
          <w:rFonts w:ascii="Book Antiqua" w:hAnsi="Book Antiqua" w:cs="Arial"/>
          <w:b/>
          <w:bCs/>
          <w:color w:val="000000" w:themeColor="text1"/>
          <w:kern w:val="36"/>
          <w:sz w:val="24"/>
          <w:szCs w:val="24"/>
          <w:lang w:val="en-US" w:eastAsia="ja-JP"/>
        </w:rPr>
        <w:t>Bollegala</w:t>
      </w:r>
      <w:proofErr w:type="spellEnd"/>
      <w:r w:rsidRPr="00F9703E">
        <w:rPr>
          <w:rFonts w:ascii="Book Antiqua" w:hAnsi="Book Antiqua" w:cs="Arial"/>
          <w:b/>
          <w:bCs/>
          <w:color w:val="000000" w:themeColor="text1"/>
          <w:kern w:val="36"/>
          <w:sz w:val="24"/>
          <w:szCs w:val="24"/>
          <w:lang w:val="en-US" w:eastAsia="ja-JP"/>
        </w:rPr>
        <w:t xml:space="preserve"> N</w:t>
      </w:r>
      <w:r w:rsidRPr="00F9703E">
        <w:rPr>
          <w:rFonts w:ascii="Book Antiqua" w:hAnsi="Book Antiqua" w:cs="Arial"/>
          <w:bCs/>
          <w:color w:val="000000" w:themeColor="text1"/>
          <w:kern w:val="36"/>
          <w:sz w:val="24"/>
          <w:szCs w:val="24"/>
          <w:lang w:val="en-US" w:eastAsia="ja-JP"/>
        </w:rPr>
        <w:t xml:space="preserve">, Jackson TD, Nguyen GC. Increased Postoperative Mortality and Complications Among Elderly Patients </w:t>
      </w:r>
      <w:proofErr w:type="gramStart"/>
      <w:r w:rsidRPr="00F9703E">
        <w:rPr>
          <w:rFonts w:ascii="Book Antiqua" w:hAnsi="Book Antiqua" w:cs="Arial"/>
          <w:bCs/>
          <w:color w:val="000000" w:themeColor="text1"/>
          <w:kern w:val="36"/>
          <w:sz w:val="24"/>
          <w:szCs w:val="24"/>
          <w:lang w:val="en-US" w:eastAsia="ja-JP"/>
        </w:rPr>
        <w:t>With</w:t>
      </w:r>
      <w:proofErr w:type="gramEnd"/>
      <w:r w:rsidRPr="00F9703E">
        <w:rPr>
          <w:rFonts w:ascii="Book Antiqua" w:hAnsi="Book Antiqua" w:cs="Arial"/>
          <w:bCs/>
          <w:color w:val="000000" w:themeColor="text1"/>
          <w:kern w:val="36"/>
          <w:sz w:val="24"/>
          <w:szCs w:val="24"/>
          <w:lang w:val="en-US" w:eastAsia="ja-JP"/>
        </w:rPr>
        <w:t xml:space="preserve"> Inflammatory Bowel Diseases: An Analysis of the National Surgical Quality Improvement Program Cohort. </w:t>
      </w:r>
      <w:r w:rsidRPr="00F9703E">
        <w:rPr>
          <w:rFonts w:ascii="Book Antiqua" w:hAnsi="Book Antiqua" w:cs="Arial"/>
          <w:bCs/>
          <w:i/>
          <w:iCs/>
          <w:color w:val="000000" w:themeColor="text1"/>
          <w:kern w:val="36"/>
          <w:sz w:val="24"/>
          <w:szCs w:val="24"/>
          <w:lang w:val="en-US" w:eastAsia="ja-JP"/>
        </w:rPr>
        <w:t xml:space="preserve">Clin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14</w:t>
      </w:r>
      <w:r w:rsidRPr="00F9703E">
        <w:rPr>
          <w:rFonts w:ascii="Book Antiqua" w:hAnsi="Book Antiqua" w:cs="Arial"/>
          <w:bCs/>
          <w:color w:val="000000" w:themeColor="text1"/>
          <w:kern w:val="36"/>
          <w:sz w:val="24"/>
          <w:szCs w:val="24"/>
          <w:lang w:val="en-US" w:eastAsia="ja-JP"/>
        </w:rPr>
        <w:t>: 1274-1281 [PMID: 26656299 DOI: 10.1016/j.cgh.2015.11.012]</w:t>
      </w:r>
    </w:p>
    <w:p w14:paraId="1F96E42E" w14:textId="6963B06A"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12 </w:t>
      </w:r>
      <w:r w:rsidRPr="00F9703E">
        <w:rPr>
          <w:rFonts w:ascii="Book Antiqua" w:hAnsi="Book Antiqua" w:cs="Arial"/>
          <w:b/>
          <w:bCs/>
          <w:color w:val="000000" w:themeColor="text1"/>
          <w:kern w:val="36"/>
          <w:sz w:val="24"/>
          <w:szCs w:val="24"/>
          <w:lang w:val="en-US" w:eastAsia="ja-JP"/>
        </w:rPr>
        <w:t>Lichtenstein GR</w:t>
      </w:r>
      <w:r w:rsidRPr="00F9703E">
        <w:rPr>
          <w:rFonts w:ascii="Book Antiqua" w:hAnsi="Book Antiqua" w:cs="Arial"/>
          <w:color w:val="000000" w:themeColor="text1"/>
          <w:kern w:val="36"/>
          <w:sz w:val="24"/>
          <w:szCs w:val="24"/>
          <w:lang w:val="en-US" w:eastAsia="ja-JP"/>
        </w:rPr>
        <w:t>, </w:t>
      </w:r>
      <w:r w:rsidRPr="00F9703E">
        <w:rPr>
          <w:rFonts w:ascii="Book Antiqua" w:hAnsi="Book Antiqua" w:cs="Arial"/>
          <w:bCs/>
          <w:color w:val="000000" w:themeColor="text1"/>
          <w:kern w:val="36"/>
          <w:sz w:val="24"/>
          <w:szCs w:val="24"/>
          <w:lang w:val="en-US" w:eastAsia="ja-JP"/>
        </w:rPr>
        <w:t xml:space="preserve">Loftus EV, Isaacs KL, </w:t>
      </w:r>
      <w:proofErr w:type="spellStart"/>
      <w:r w:rsidRPr="00F9703E">
        <w:rPr>
          <w:rFonts w:ascii="Book Antiqua" w:hAnsi="Book Antiqua" w:cs="Arial"/>
          <w:bCs/>
          <w:color w:val="000000" w:themeColor="text1"/>
          <w:kern w:val="36"/>
          <w:sz w:val="24"/>
          <w:szCs w:val="24"/>
          <w:lang w:val="en-US" w:eastAsia="ja-JP"/>
        </w:rPr>
        <w:t>Regueiro</w:t>
      </w:r>
      <w:proofErr w:type="spellEnd"/>
      <w:r w:rsidRPr="00F9703E">
        <w:rPr>
          <w:rFonts w:ascii="Book Antiqua" w:hAnsi="Book Antiqua" w:cs="Arial"/>
          <w:bCs/>
          <w:color w:val="000000" w:themeColor="text1"/>
          <w:kern w:val="36"/>
          <w:sz w:val="24"/>
          <w:szCs w:val="24"/>
          <w:lang w:val="en-US" w:eastAsia="ja-JP"/>
        </w:rPr>
        <w:t xml:space="preserve"> MD, Gerson LB, Sands BE, ACG Clinical Guideline: Management of Crohn’s Disease in Adults. </w:t>
      </w:r>
      <w:r w:rsidRPr="00F9703E">
        <w:rPr>
          <w:rFonts w:ascii="Book Antiqua" w:hAnsi="Book Antiqua" w:cs="Arial"/>
          <w:bCs/>
          <w:i/>
          <w:iCs/>
          <w:color w:val="000000" w:themeColor="text1"/>
          <w:kern w:val="36"/>
          <w:sz w:val="24"/>
          <w:szCs w:val="24"/>
          <w:lang w:val="en-US" w:eastAsia="ja-JP"/>
        </w:rPr>
        <w:t xml:space="preserve">Am J Gastroenterol </w:t>
      </w:r>
      <w:r w:rsidRPr="00F9703E">
        <w:rPr>
          <w:rFonts w:ascii="Book Antiqua" w:hAnsi="Book Antiqua" w:cs="Arial"/>
          <w:bCs/>
          <w:color w:val="000000" w:themeColor="text1"/>
          <w:kern w:val="36"/>
          <w:sz w:val="24"/>
          <w:szCs w:val="24"/>
          <w:lang w:val="en-US" w:eastAsia="ja-JP"/>
        </w:rPr>
        <w:t>2018;</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113</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481-517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29610508 DOI: 10.1038/ajg.2018.27]</w:t>
      </w:r>
    </w:p>
    <w:p w14:paraId="7ABC76E6" w14:textId="51B38D22"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13 </w:t>
      </w:r>
      <w:proofErr w:type="spellStart"/>
      <w:r w:rsidRPr="00F9703E">
        <w:rPr>
          <w:rFonts w:ascii="Book Antiqua" w:hAnsi="Book Antiqua" w:cs="Arial"/>
          <w:b/>
          <w:bCs/>
          <w:color w:val="000000" w:themeColor="text1"/>
          <w:kern w:val="36"/>
          <w:sz w:val="24"/>
          <w:szCs w:val="24"/>
          <w:lang w:val="en-US" w:eastAsia="ja-JP"/>
        </w:rPr>
        <w:t>Gomollon</w:t>
      </w:r>
      <w:proofErr w:type="spellEnd"/>
      <w:r w:rsidRPr="00F9703E">
        <w:rPr>
          <w:rFonts w:ascii="Book Antiqua" w:hAnsi="Book Antiqua" w:cs="Arial"/>
          <w:b/>
          <w:bCs/>
          <w:color w:val="000000" w:themeColor="text1"/>
          <w:kern w:val="36"/>
          <w:sz w:val="24"/>
          <w:szCs w:val="24"/>
          <w:lang w:val="en-US" w:eastAsia="ja-JP"/>
        </w:rPr>
        <w:t xml:space="preserve"> F</w:t>
      </w:r>
      <w:r w:rsidRPr="00F9703E">
        <w:rPr>
          <w:rFonts w:ascii="Book Antiqua" w:hAnsi="Book Antiqua" w:cs="Arial"/>
          <w:color w:val="000000" w:themeColor="text1"/>
          <w:kern w:val="36"/>
          <w:sz w:val="24"/>
          <w:szCs w:val="24"/>
          <w:lang w:val="en-US" w:eastAsia="ja-JP"/>
        </w:rPr>
        <w:t>,</w:t>
      </w:r>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Dignass</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Aneese</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Tilg</w:t>
      </w:r>
      <w:proofErr w:type="spellEnd"/>
      <w:r w:rsidRPr="00F9703E">
        <w:rPr>
          <w:rFonts w:ascii="Book Antiqua" w:hAnsi="Book Antiqua" w:cs="Arial"/>
          <w:bCs/>
          <w:color w:val="000000" w:themeColor="text1"/>
          <w:kern w:val="36"/>
          <w:sz w:val="24"/>
          <w:szCs w:val="24"/>
          <w:lang w:val="en-US" w:eastAsia="ja-JP"/>
        </w:rPr>
        <w:t xml:space="preserve"> H, Van </w:t>
      </w:r>
      <w:proofErr w:type="spellStart"/>
      <w:r w:rsidRPr="00F9703E">
        <w:rPr>
          <w:rFonts w:ascii="Book Antiqua" w:hAnsi="Book Antiqua" w:cs="Arial"/>
          <w:bCs/>
          <w:color w:val="000000" w:themeColor="text1"/>
          <w:kern w:val="36"/>
          <w:sz w:val="24"/>
          <w:szCs w:val="24"/>
          <w:lang w:val="en-US" w:eastAsia="ja-JP"/>
        </w:rPr>
        <w:t>Assche</w:t>
      </w:r>
      <w:proofErr w:type="spellEnd"/>
      <w:r w:rsidRPr="00F9703E">
        <w:rPr>
          <w:rFonts w:ascii="Book Antiqua" w:hAnsi="Book Antiqua" w:cs="Arial"/>
          <w:bCs/>
          <w:color w:val="000000" w:themeColor="text1"/>
          <w:kern w:val="36"/>
          <w:sz w:val="24"/>
          <w:szCs w:val="24"/>
          <w:lang w:val="en-US" w:eastAsia="ja-JP"/>
        </w:rPr>
        <w:t xml:space="preserve"> G, Lindsay JO,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Cullen GJ, </w:t>
      </w:r>
      <w:proofErr w:type="spellStart"/>
      <w:r w:rsidRPr="00F9703E">
        <w:rPr>
          <w:rFonts w:ascii="Book Antiqua" w:hAnsi="Book Antiqua" w:cs="Arial"/>
          <w:bCs/>
          <w:color w:val="000000" w:themeColor="text1"/>
          <w:kern w:val="36"/>
          <w:sz w:val="24"/>
          <w:szCs w:val="24"/>
          <w:lang w:val="en-US" w:eastAsia="ja-JP"/>
        </w:rPr>
        <w:t>Daperno</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Kucharzik</w:t>
      </w:r>
      <w:proofErr w:type="spellEnd"/>
      <w:r w:rsidRPr="00F9703E">
        <w:rPr>
          <w:rFonts w:ascii="Book Antiqua" w:hAnsi="Book Antiqua" w:cs="Arial"/>
          <w:bCs/>
          <w:color w:val="000000" w:themeColor="text1"/>
          <w:kern w:val="36"/>
          <w:sz w:val="24"/>
          <w:szCs w:val="24"/>
          <w:lang w:val="en-US" w:eastAsia="ja-JP"/>
        </w:rPr>
        <w:t xml:space="preserve"> T, </w:t>
      </w:r>
      <w:proofErr w:type="spellStart"/>
      <w:r w:rsidRPr="00F9703E">
        <w:rPr>
          <w:rFonts w:ascii="Book Antiqua" w:hAnsi="Book Antiqua" w:cs="Arial"/>
          <w:bCs/>
          <w:color w:val="000000" w:themeColor="text1"/>
          <w:kern w:val="36"/>
          <w:sz w:val="24"/>
          <w:szCs w:val="24"/>
          <w:lang w:val="en-US" w:eastAsia="ja-JP"/>
        </w:rPr>
        <w:t>Rieder</w:t>
      </w:r>
      <w:proofErr w:type="spellEnd"/>
      <w:r w:rsidRPr="00F9703E">
        <w:rPr>
          <w:rFonts w:ascii="Book Antiqua" w:hAnsi="Book Antiqua" w:cs="Arial"/>
          <w:bCs/>
          <w:color w:val="000000" w:themeColor="text1"/>
          <w:kern w:val="36"/>
          <w:sz w:val="24"/>
          <w:szCs w:val="24"/>
          <w:lang w:val="en-US" w:eastAsia="ja-JP"/>
        </w:rPr>
        <w:t xml:space="preserve"> F, Almer S, </w:t>
      </w:r>
      <w:proofErr w:type="spellStart"/>
      <w:r w:rsidRPr="00F9703E">
        <w:rPr>
          <w:rFonts w:ascii="Book Antiqua" w:hAnsi="Book Antiqua" w:cs="Arial"/>
          <w:bCs/>
          <w:color w:val="000000" w:themeColor="text1"/>
          <w:kern w:val="36"/>
          <w:sz w:val="24"/>
          <w:szCs w:val="24"/>
          <w:lang w:val="en-US" w:eastAsia="ja-JP"/>
        </w:rPr>
        <w:t>Armuzzi</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Harbord</w:t>
      </w:r>
      <w:proofErr w:type="spellEnd"/>
      <w:r w:rsidRPr="00F9703E">
        <w:rPr>
          <w:rFonts w:ascii="Book Antiqua" w:hAnsi="Book Antiqua" w:cs="Arial"/>
          <w:bCs/>
          <w:color w:val="000000" w:themeColor="text1"/>
          <w:kern w:val="36"/>
          <w:sz w:val="24"/>
          <w:szCs w:val="24"/>
          <w:lang w:val="en-US" w:eastAsia="ja-JP"/>
        </w:rPr>
        <w:t xml:space="preserve"> M, Langhorst J, Sans M, </w:t>
      </w:r>
      <w:proofErr w:type="spellStart"/>
      <w:r w:rsidRPr="00F9703E">
        <w:rPr>
          <w:rFonts w:ascii="Book Antiqua" w:hAnsi="Book Antiqua" w:cs="Arial"/>
          <w:bCs/>
          <w:color w:val="000000" w:themeColor="text1"/>
          <w:kern w:val="36"/>
          <w:sz w:val="24"/>
          <w:szCs w:val="24"/>
          <w:lang w:val="en-US" w:eastAsia="ja-JP"/>
        </w:rPr>
        <w:t>Chowers</w:t>
      </w:r>
      <w:proofErr w:type="spellEnd"/>
      <w:r w:rsidRPr="00F9703E">
        <w:rPr>
          <w:rFonts w:ascii="Book Antiqua" w:hAnsi="Book Antiqua" w:cs="Arial"/>
          <w:bCs/>
          <w:color w:val="000000" w:themeColor="text1"/>
          <w:kern w:val="36"/>
          <w:sz w:val="24"/>
          <w:szCs w:val="24"/>
          <w:lang w:val="en-US" w:eastAsia="ja-JP"/>
        </w:rPr>
        <w:t xml:space="preserve"> Y, Fiorino G, </w:t>
      </w:r>
      <w:proofErr w:type="spellStart"/>
      <w:r w:rsidRPr="00F9703E">
        <w:rPr>
          <w:rFonts w:ascii="Book Antiqua" w:hAnsi="Book Antiqua" w:cs="Arial"/>
          <w:bCs/>
          <w:color w:val="000000" w:themeColor="text1"/>
          <w:kern w:val="36"/>
          <w:sz w:val="24"/>
          <w:szCs w:val="24"/>
          <w:lang w:val="en-US" w:eastAsia="ja-JP"/>
        </w:rPr>
        <w:t>Juillerat</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Mantzaris</w:t>
      </w:r>
      <w:proofErr w:type="spellEnd"/>
      <w:r w:rsidRPr="00F9703E">
        <w:rPr>
          <w:rFonts w:ascii="Book Antiqua" w:hAnsi="Book Antiqua" w:cs="Arial"/>
          <w:bCs/>
          <w:color w:val="000000" w:themeColor="text1"/>
          <w:kern w:val="36"/>
          <w:sz w:val="24"/>
          <w:szCs w:val="24"/>
          <w:lang w:val="en-US" w:eastAsia="ja-JP"/>
        </w:rPr>
        <w:t xml:space="preserve"> GJ, </w:t>
      </w:r>
      <w:proofErr w:type="spellStart"/>
      <w:r w:rsidRPr="00F9703E">
        <w:rPr>
          <w:rFonts w:ascii="Book Antiqua" w:hAnsi="Book Antiqua" w:cs="Arial"/>
          <w:bCs/>
          <w:color w:val="000000" w:themeColor="text1"/>
          <w:kern w:val="36"/>
          <w:sz w:val="24"/>
          <w:szCs w:val="24"/>
          <w:lang w:val="en-US" w:eastAsia="ja-JP"/>
        </w:rPr>
        <w:t>Rizzello</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Vavricka</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Giochetti</w:t>
      </w:r>
      <w:proofErr w:type="spellEnd"/>
      <w:r w:rsidRPr="00F9703E">
        <w:rPr>
          <w:rFonts w:ascii="Book Antiqua" w:hAnsi="Book Antiqua" w:cs="Arial"/>
          <w:bCs/>
          <w:color w:val="000000" w:themeColor="text1"/>
          <w:kern w:val="36"/>
          <w:sz w:val="24"/>
          <w:szCs w:val="24"/>
          <w:lang w:val="en-US" w:eastAsia="ja-JP"/>
        </w:rPr>
        <w:t xml:space="preserve"> P; ECCO. Third European Evidence-based Consensus on the Diagnosis and Management of Crohn’s Disease 2016: Part 1: Diagnosis and Medical Management.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002A4D38" w:rsidRPr="002A4D38">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2017;</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11</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135-149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27660342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/jjw169]</w:t>
      </w:r>
    </w:p>
    <w:p w14:paraId="2B2A4C9E" w14:textId="7B1FDE9A"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lastRenderedPageBreak/>
        <w:t>14 </w:t>
      </w:r>
      <w:proofErr w:type="spellStart"/>
      <w:r w:rsidRPr="00F9703E">
        <w:rPr>
          <w:rFonts w:ascii="Book Antiqua" w:hAnsi="Book Antiqua" w:cs="Arial"/>
          <w:b/>
          <w:bCs/>
          <w:color w:val="000000" w:themeColor="text1"/>
          <w:kern w:val="36"/>
          <w:sz w:val="24"/>
          <w:szCs w:val="24"/>
          <w:lang w:val="en-US" w:eastAsia="ja-JP"/>
        </w:rPr>
        <w:t>Velissaris</w:t>
      </w:r>
      <w:proofErr w:type="spellEnd"/>
      <w:r w:rsidRPr="00F9703E">
        <w:rPr>
          <w:rFonts w:ascii="Book Antiqua" w:hAnsi="Book Antiqua" w:cs="Arial"/>
          <w:b/>
          <w:bCs/>
          <w:color w:val="000000" w:themeColor="text1"/>
          <w:kern w:val="36"/>
          <w:sz w:val="24"/>
          <w:szCs w:val="24"/>
          <w:lang w:val="en-US" w:eastAsia="ja-JP"/>
        </w:rPr>
        <w:t xml:space="preserve"> D</w:t>
      </w:r>
      <w:r w:rsidRPr="00F9703E">
        <w:rPr>
          <w:rFonts w:ascii="Book Antiqua" w:hAnsi="Book Antiqua" w:cs="Arial"/>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Pantzaris</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Koniari</w:t>
      </w:r>
      <w:proofErr w:type="spellEnd"/>
      <w:r w:rsidRPr="00F9703E">
        <w:rPr>
          <w:rFonts w:ascii="Book Antiqua" w:hAnsi="Book Antiqua" w:cs="Arial"/>
          <w:bCs/>
          <w:color w:val="000000" w:themeColor="text1"/>
          <w:kern w:val="36"/>
          <w:sz w:val="24"/>
          <w:szCs w:val="24"/>
          <w:lang w:val="en-US" w:eastAsia="ja-JP"/>
        </w:rPr>
        <w:t xml:space="preserve"> I, </w:t>
      </w:r>
      <w:proofErr w:type="spellStart"/>
      <w:r w:rsidRPr="00F9703E">
        <w:rPr>
          <w:rFonts w:ascii="Book Antiqua" w:hAnsi="Book Antiqua" w:cs="Arial"/>
          <w:bCs/>
          <w:color w:val="000000" w:themeColor="text1"/>
          <w:kern w:val="36"/>
          <w:sz w:val="24"/>
          <w:szCs w:val="24"/>
          <w:lang w:val="en-US" w:eastAsia="ja-JP"/>
        </w:rPr>
        <w:t>Koutsogiannis</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Karamouzos</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Kotroni</w:t>
      </w:r>
      <w:proofErr w:type="spellEnd"/>
      <w:r w:rsidRPr="00F9703E">
        <w:rPr>
          <w:rFonts w:ascii="Book Antiqua" w:hAnsi="Book Antiqua" w:cs="Arial"/>
          <w:bCs/>
          <w:color w:val="000000" w:themeColor="text1"/>
          <w:kern w:val="36"/>
          <w:sz w:val="24"/>
          <w:szCs w:val="24"/>
          <w:lang w:val="en-US" w:eastAsia="ja-JP"/>
        </w:rPr>
        <w:t xml:space="preserve"> I, </w:t>
      </w:r>
      <w:proofErr w:type="spellStart"/>
      <w:r w:rsidRPr="00F9703E">
        <w:rPr>
          <w:rFonts w:ascii="Book Antiqua" w:hAnsi="Book Antiqua" w:cs="Arial"/>
          <w:bCs/>
          <w:color w:val="000000" w:themeColor="text1"/>
          <w:kern w:val="36"/>
          <w:sz w:val="24"/>
          <w:szCs w:val="24"/>
          <w:lang w:val="en-US" w:eastAsia="ja-JP"/>
        </w:rPr>
        <w:t>Skroumpelou</w:t>
      </w:r>
      <w:proofErr w:type="spellEnd"/>
      <w:r w:rsidRPr="00F9703E">
        <w:rPr>
          <w:rFonts w:ascii="Book Antiqua" w:hAnsi="Book Antiqua" w:cs="Arial"/>
          <w:bCs/>
          <w:color w:val="000000" w:themeColor="text1"/>
          <w:kern w:val="36"/>
          <w:sz w:val="24"/>
          <w:szCs w:val="24"/>
          <w:lang w:val="en-US" w:eastAsia="ja-JP"/>
        </w:rPr>
        <w:t xml:space="preserve"> A, Ellul J. C-Reactive Protein and Frailty in the Elderly: A Literature Review. </w:t>
      </w:r>
      <w:r w:rsidRPr="00F9703E">
        <w:rPr>
          <w:rFonts w:ascii="Book Antiqua" w:hAnsi="Book Antiqua" w:cs="Arial"/>
          <w:bCs/>
          <w:i/>
          <w:iCs/>
          <w:color w:val="000000" w:themeColor="text1"/>
          <w:kern w:val="36"/>
          <w:sz w:val="24"/>
          <w:szCs w:val="24"/>
          <w:lang w:val="en-US" w:eastAsia="ja-JP"/>
        </w:rPr>
        <w:t>J Clin Med Red</w:t>
      </w:r>
      <w:r w:rsidRPr="00F9703E">
        <w:rPr>
          <w:rFonts w:ascii="Book Antiqua" w:hAnsi="Book Antiqua" w:cs="Arial"/>
          <w:bCs/>
          <w:color w:val="000000" w:themeColor="text1"/>
          <w:kern w:val="36"/>
          <w:sz w:val="24"/>
          <w:szCs w:val="24"/>
          <w:lang w:val="en-US" w:eastAsia="ja-JP"/>
        </w:rPr>
        <w:t xml:space="preserve"> 2017;</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9</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461-465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28496545 DOI: 10.14740/jocmr2959w]</w:t>
      </w:r>
    </w:p>
    <w:p w14:paraId="10CA1501" w14:textId="518E8321"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15 </w:t>
      </w:r>
      <w:r w:rsidRPr="00F9703E">
        <w:rPr>
          <w:rFonts w:ascii="Book Antiqua" w:hAnsi="Book Antiqua" w:cs="Arial"/>
          <w:b/>
          <w:bCs/>
          <w:color w:val="000000" w:themeColor="text1"/>
          <w:kern w:val="36"/>
          <w:sz w:val="24"/>
          <w:szCs w:val="24"/>
          <w:lang w:val="en-US" w:eastAsia="ja-JP"/>
        </w:rPr>
        <w:t>Bressler B</w:t>
      </w:r>
      <w:r w:rsidRPr="00F9703E">
        <w:rPr>
          <w:rFonts w:ascii="Book Antiqua" w:hAnsi="Book Antiqua" w:cs="Arial"/>
          <w:color w:val="000000" w:themeColor="text1"/>
          <w:kern w:val="36"/>
          <w:sz w:val="24"/>
          <w:szCs w:val="24"/>
          <w:lang w:val="en-US" w:eastAsia="ja-JP"/>
        </w:rPr>
        <w:t>,</w:t>
      </w:r>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Panaccione</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Fedorak</w:t>
      </w:r>
      <w:proofErr w:type="spellEnd"/>
      <w:r w:rsidRPr="00F9703E">
        <w:rPr>
          <w:rFonts w:ascii="Book Antiqua" w:hAnsi="Book Antiqua" w:cs="Arial"/>
          <w:bCs/>
          <w:color w:val="000000" w:themeColor="text1"/>
          <w:kern w:val="36"/>
          <w:sz w:val="24"/>
          <w:szCs w:val="24"/>
          <w:lang w:val="en-US" w:eastAsia="ja-JP"/>
        </w:rPr>
        <w:t xml:space="preserve"> RN, Seidman EG. Clinicians’ guide to the use of fecal calprotectin to identify and monitor disease activity in Inflammatory Bowel Disease. </w:t>
      </w:r>
      <w:r w:rsidRPr="00F9703E">
        <w:rPr>
          <w:rFonts w:ascii="Book Antiqua" w:hAnsi="Book Antiqua" w:cs="Arial"/>
          <w:bCs/>
          <w:i/>
          <w:iCs/>
          <w:color w:val="000000" w:themeColor="text1"/>
          <w:kern w:val="36"/>
          <w:sz w:val="24"/>
          <w:szCs w:val="24"/>
          <w:lang w:val="en-US" w:eastAsia="ja-JP"/>
        </w:rPr>
        <w:t xml:space="preserve">Can J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 xml:space="preserve">2015; </w:t>
      </w:r>
      <w:r w:rsidRPr="00F9703E">
        <w:rPr>
          <w:rFonts w:ascii="Book Antiqua" w:hAnsi="Book Antiqua" w:cs="Arial"/>
          <w:b/>
          <w:color w:val="000000" w:themeColor="text1"/>
          <w:kern w:val="36"/>
          <w:sz w:val="24"/>
          <w:szCs w:val="24"/>
          <w:lang w:val="en-US" w:eastAsia="ja-JP"/>
        </w:rPr>
        <w:t>29</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369-</w:t>
      </w:r>
      <w:r w:rsidR="002A4D38" w:rsidRPr="002A4D38">
        <w:rPr>
          <w:rFonts w:ascii="Book Antiqua" w:hAnsi="Book Antiqua" w:cs="Arial"/>
          <w:bCs/>
          <w:color w:val="000000" w:themeColor="text1"/>
          <w:kern w:val="36"/>
          <w:sz w:val="24"/>
          <w:szCs w:val="24"/>
          <w:lang w:val="en-US" w:eastAsia="ja-JP"/>
        </w:rPr>
        <w:t>3</w:t>
      </w:r>
      <w:r w:rsidRPr="00F9703E">
        <w:rPr>
          <w:rFonts w:ascii="Book Antiqua" w:hAnsi="Book Antiqua" w:cs="Arial"/>
          <w:bCs/>
          <w:color w:val="000000" w:themeColor="text1"/>
          <w:kern w:val="36"/>
          <w:sz w:val="24"/>
          <w:szCs w:val="24"/>
          <w:lang w:val="en-US" w:eastAsia="ja-JP"/>
        </w:rPr>
        <w:t>72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26125109]</w:t>
      </w:r>
    </w:p>
    <w:p w14:paraId="33948568" w14:textId="43C0A95C"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16 </w:t>
      </w:r>
      <w:r w:rsidRPr="00F9703E">
        <w:rPr>
          <w:rFonts w:ascii="Book Antiqua" w:hAnsi="Book Antiqua" w:cs="Arial"/>
          <w:b/>
          <w:bCs/>
          <w:color w:val="000000" w:themeColor="text1"/>
          <w:kern w:val="36"/>
          <w:sz w:val="24"/>
          <w:szCs w:val="24"/>
          <w:lang w:val="en-US" w:eastAsia="ja-JP"/>
        </w:rPr>
        <w:t>Cohen E</w:t>
      </w:r>
      <w:r w:rsidRPr="00F9703E">
        <w:rPr>
          <w:rFonts w:ascii="Book Antiqua" w:hAnsi="Book Antiqua" w:cs="Arial"/>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Melmed</w:t>
      </w:r>
      <w:proofErr w:type="spellEnd"/>
      <w:r w:rsidRPr="00F9703E">
        <w:rPr>
          <w:rFonts w:ascii="Book Antiqua" w:hAnsi="Book Antiqua" w:cs="Arial"/>
          <w:bCs/>
          <w:color w:val="000000" w:themeColor="text1"/>
          <w:kern w:val="36"/>
          <w:sz w:val="24"/>
          <w:szCs w:val="24"/>
          <w:lang w:val="en-US" w:eastAsia="ja-JP"/>
        </w:rPr>
        <w:t xml:space="preserve"> G, Making a Case for Patient-Reported Outcomes in Clinical Inflammatory Bowel Disease Practice. </w:t>
      </w:r>
      <w:r w:rsidRPr="00F9703E">
        <w:rPr>
          <w:rFonts w:ascii="Book Antiqua" w:hAnsi="Book Antiqua" w:cs="Arial"/>
          <w:bCs/>
          <w:i/>
          <w:iCs/>
          <w:color w:val="000000" w:themeColor="text1"/>
          <w:kern w:val="36"/>
          <w:sz w:val="24"/>
          <w:szCs w:val="24"/>
          <w:lang w:val="en-US" w:eastAsia="ja-JP"/>
        </w:rPr>
        <w:t xml:space="preserve">Clin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xml:space="preserve"> 2018;</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16</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603-607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29678238 DOI: 10.1016/j.cgh.2017.12.027]</w:t>
      </w:r>
    </w:p>
    <w:p w14:paraId="63CEA98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17 </w:t>
      </w:r>
      <w:proofErr w:type="spellStart"/>
      <w:r w:rsidRPr="00F9703E">
        <w:rPr>
          <w:rFonts w:ascii="Book Antiqua" w:hAnsi="Book Antiqua" w:cs="Arial"/>
          <w:b/>
          <w:bCs/>
          <w:color w:val="000000" w:themeColor="text1"/>
          <w:kern w:val="36"/>
          <w:sz w:val="24"/>
          <w:szCs w:val="24"/>
          <w:lang w:val="en-US" w:eastAsia="ja-JP"/>
        </w:rPr>
        <w:t>Geisz</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Ha C, </w:t>
      </w:r>
      <w:proofErr w:type="spellStart"/>
      <w:r w:rsidRPr="00F9703E">
        <w:rPr>
          <w:rFonts w:ascii="Book Antiqua" w:hAnsi="Book Antiqua" w:cs="Arial"/>
          <w:bCs/>
          <w:color w:val="000000" w:themeColor="text1"/>
          <w:kern w:val="36"/>
          <w:sz w:val="24"/>
          <w:szCs w:val="24"/>
          <w:lang w:val="en-US" w:eastAsia="ja-JP"/>
        </w:rPr>
        <w:t>Kappelman</w:t>
      </w:r>
      <w:proofErr w:type="spellEnd"/>
      <w:r w:rsidRPr="00F9703E">
        <w:rPr>
          <w:rFonts w:ascii="Book Antiqua" w:hAnsi="Book Antiqua" w:cs="Arial"/>
          <w:bCs/>
          <w:color w:val="000000" w:themeColor="text1"/>
          <w:kern w:val="36"/>
          <w:sz w:val="24"/>
          <w:szCs w:val="24"/>
          <w:lang w:val="en-US" w:eastAsia="ja-JP"/>
        </w:rPr>
        <w:t xml:space="preserve"> MD, Martin CF, Chen W, Anton K, Sandler RS, Long MD. Medication Utilization and the Impact of Continued Corticosteroid Use on Patient-reported Outcomes in Older Patients with Inflammatory Bowel Disease.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22</w:t>
      </w:r>
      <w:r w:rsidRPr="00F9703E">
        <w:rPr>
          <w:rFonts w:ascii="Book Antiqua" w:hAnsi="Book Antiqua" w:cs="Arial"/>
          <w:bCs/>
          <w:color w:val="000000" w:themeColor="text1"/>
          <w:kern w:val="36"/>
          <w:sz w:val="24"/>
          <w:szCs w:val="24"/>
          <w:lang w:val="en-US" w:eastAsia="ja-JP"/>
        </w:rPr>
        <w:t>: 1435-1441 [PMID: 26978725 DOI: 10.1097/MIB.0000000000000747]</w:t>
      </w:r>
    </w:p>
    <w:p w14:paraId="0A4B0D45" w14:textId="05FE37C1"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18 </w:t>
      </w:r>
      <w:proofErr w:type="spellStart"/>
      <w:r w:rsidRPr="00F9703E">
        <w:rPr>
          <w:rFonts w:ascii="Book Antiqua" w:hAnsi="Book Antiqua" w:cs="Arial"/>
          <w:b/>
          <w:bCs/>
          <w:color w:val="000000" w:themeColor="text1"/>
          <w:kern w:val="36"/>
          <w:sz w:val="24"/>
          <w:szCs w:val="24"/>
          <w:lang w:val="en-US" w:eastAsia="ja-JP"/>
        </w:rPr>
        <w:t>Peyrin-Biroulet</w:t>
      </w:r>
      <w:proofErr w:type="spellEnd"/>
      <w:r w:rsidRPr="00F9703E">
        <w:rPr>
          <w:rFonts w:ascii="Book Antiqua" w:hAnsi="Book Antiqua" w:cs="Arial"/>
          <w:b/>
          <w:bCs/>
          <w:color w:val="000000" w:themeColor="text1"/>
          <w:kern w:val="36"/>
          <w:sz w:val="24"/>
          <w:szCs w:val="24"/>
          <w:lang w:val="en-US" w:eastAsia="ja-JP"/>
        </w:rPr>
        <w:t xml:space="preserve"> L</w:t>
      </w:r>
      <w:r w:rsidRPr="00F9703E">
        <w:rPr>
          <w:rFonts w:ascii="Book Antiqua" w:hAnsi="Book Antiqua" w:cs="Arial"/>
          <w:color w:val="000000" w:themeColor="text1"/>
          <w:kern w:val="36"/>
          <w:sz w:val="24"/>
          <w:szCs w:val="24"/>
          <w:lang w:val="en-US" w:eastAsia="ja-JP"/>
        </w:rPr>
        <w:t>,</w:t>
      </w:r>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 Sands BE, </w:t>
      </w:r>
      <w:proofErr w:type="spellStart"/>
      <w:r w:rsidRPr="00F9703E">
        <w:rPr>
          <w:rFonts w:ascii="Book Antiqua" w:hAnsi="Book Antiqua" w:cs="Arial"/>
          <w:bCs/>
          <w:color w:val="000000" w:themeColor="text1"/>
          <w:kern w:val="36"/>
          <w:sz w:val="24"/>
          <w:szCs w:val="24"/>
          <w:lang w:val="en-US" w:eastAsia="ja-JP"/>
        </w:rPr>
        <w:t>Reinisch</w:t>
      </w:r>
      <w:proofErr w:type="spellEnd"/>
      <w:r w:rsidRPr="00F9703E">
        <w:rPr>
          <w:rFonts w:ascii="Book Antiqua" w:hAnsi="Book Antiqua" w:cs="Arial"/>
          <w:bCs/>
          <w:color w:val="000000" w:themeColor="text1"/>
          <w:kern w:val="36"/>
          <w:sz w:val="24"/>
          <w:szCs w:val="24"/>
          <w:lang w:val="en-US" w:eastAsia="ja-JP"/>
        </w:rPr>
        <w:t xml:space="preserve"> W, </w:t>
      </w:r>
      <w:proofErr w:type="spellStart"/>
      <w:r w:rsidRPr="00F9703E">
        <w:rPr>
          <w:rFonts w:ascii="Book Antiqua" w:hAnsi="Book Antiqua" w:cs="Arial"/>
          <w:bCs/>
          <w:color w:val="000000" w:themeColor="text1"/>
          <w:kern w:val="36"/>
          <w:sz w:val="24"/>
          <w:szCs w:val="24"/>
          <w:lang w:val="en-US" w:eastAsia="ja-JP"/>
        </w:rPr>
        <w:t>Bemelman</w:t>
      </w:r>
      <w:proofErr w:type="spellEnd"/>
      <w:r w:rsidRPr="00F9703E">
        <w:rPr>
          <w:rFonts w:ascii="Book Antiqua" w:hAnsi="Book Antiqua" w:cs="Arial"/>
          <w:bCs/>
          <w:color w:val="000000" w:themeColor="text1"/>
          <w:kern w:val="36"/>
          <w:sz w:val="24"/>
          <w:szCs w:val="24"/>
          <w:lang w:val="en-US" w:eastAsia="ja-JP"/>
        </w:rPr>
        <w:t xml:space="preserve"> W, Bryant RV, </w:t>
      </w:r>
      <w:proofErr w:type="spellStart"/>
      <w:r w:rsidRPr="00F9703E">
        <w:rPr>
          <w:rFonts w:ascii="Book Antiqua" w:hAnsi="Book Antiqua" w:cs="Arial"/>
          <w:bCs/>
          <w:color w:val="000000" w:themeColor="text1"/>
          <w:kern w:val="36"/>
          <w:sz w:val="24"/>
          <w:szCs w:val="24"/>
          <w:lang w:val="en-US" w:eastAsia="ja-JP"/>
        </w:rPr>
        <w:t>D’Haens</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Dotan</w:t>
      </w:r>
      <w:proofErr w:type="spellEnd"/>
      <w:r w:rsidRPr="00F9703E">
        <w:rPr>
          <w:rFonts w:ascii="Book Antiqua" w:hAnsi="Book Antiqua" w:cs="Arial"/>
          <w:bCs/>
          <w:color w:val="000000" w:themeColor="text1"/>
          <w:kern w:val="36"/>
          <w:sz w:val="24"/>
          <w:szCs w:val="24"/>
          <w:lang w:val="en-US" w:eastAsia="ja-JP"/>
        </w:rPr>
        <w:t xml:space="preserve"> I, Dubinsky M, </w:t>
      </w:r>
      <w:proofErr w:type="spellStart"/>
      <w:r w:rsidRPr="00F9703E">
        <w:rPr>
          <w:rFonts w:ascii="Book Antiqua" w:hAnsi="Book Antiqua" w:cs="Arial"/>
          <w:bCs/>
          <w:color w:val="000000" w:themeColor="text1"/>
          <w:kern w:val="36"/>
          <w:sz w:val="24"/>
          <w:szCs w:val="24"/>
          <w:lang w:val="en-US" w:eastAsia="ja-JP"/>
        </w:rPr>
        <w:t>Feagan</w:t>
      </w:r>
      <w:proofErr w:type="spellEnd"/>
      <w:r w:rsidRPr="00F9703E">
        <w:rPr>
          <w:rFonts w:ascii="Book Antiqua" w:hAnsi="Book Antiqua" w:cs="Arial"/>
          <w:bCs/>
          <w:color w:val="000000" w:themeColor="text1"/>
          <w:kern w:val="36"/>
          <w:sz w:val="24"/>
          <w:szCs w:val="24"/>
          <w:lang w:val="en-US" w:eastAsia="ja-JP"/>
        </w:rPr>
        <w:t xml:space="preserve"> B, Fiorino G, </w:t>
      </w:r>
      <w:proofErr w:type="spellStart"/>
      <w:r w:rsidRPr="00F9703E">
        <w:rPr>
          <w:rFonts w:ascii="Book Antiqua" w:hAnsi="Book Antiqua" w:cs="Arial"/>
          <w:bCs/>
          <w:color w:val="000000" w:themeColor="text1"/>
          <w:kern w:val="36"/>
          <w:sz w:val="24"/>
          <w:szCs w:val="24"/>
          <w:lang w:val="en-US" w:eastAsia="ja-JP"/>
        </w:rPr>
        <w:t>Gearry</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Krishnareddy</w:t>
      </w:r>
      <w:proofErr w:type="spellEnd"/>
      <w:r w:rsidRPr="00F9703E">
        <w:rPr>
          <w:rFonts w:ascii="Book Antiqua" w:hAnsi="Book Antiqua" w:cs="Arial"/>
          <w:bCs/>
          <w:color w:val="000000" w:themeColor="text1"/>
          <w:kern w:val="36"/>
          <w:sz w:val="24"/>
          <w:szCs w:val="24"/>
          <w:lang w:val="en-US" w:eastAsia="ja-JP"/>
        </w:rPr>
        <w:t xml:space="preserve"> S, Lakatos PL, Loftus EV Jr, Marteau P, </w:t>
      </w:r>
      <w:proofErr w:type="spellStart"/>
      <w:r w:rsidRPr="00F9703E">
        <w:rPr>
          <w:rFonts w:ascii="Book Antiqua" w:hAnsi="Book Antiqua" w:cs="Arial"/>
          <w:bCs/>
          <w:color w:val="000000" w:themeColor="text1"/>
          <w:kern w:val="36"/>
          <w:sz w:val="24"/>
          <w:szCs w:val="24"/>
          <w:lang w:val="en-US" w:eastAsia="ja-JP"/>
        </w:rPr>
        <w:t>Munkholm</w:t>
      </w:r>
      <w:proofErr w:type="spellEnd"/>
      <w:r w:rsidRPr="00F9703E">
        <w:rPr>
          <w:rFonts w:ascii="Book Antiqua" w:hAnsi="Book Antiqua" w:cs="Arial"/>
          <w:bCs/>
          <w:color w:val="000000" w:themeColor="text1"/>
          <w:kern w:val="36"/>
          <w:sz w:val="24"/>
          <w:szCs w:val="24"/>
          <w:lang w:val="en-US" w:eastAsia="ja-JP"/>
        </w:rPr>
        <w:t xml:space="preserve"> P, Murdoch TB, </w:t>
      </w:r>
      <w:proofErr w:type="spellStart"/>
      <w:r w:rsidRPr="00F9703E">
        <w:rPr>
          <w:rFonts w:ascii="Book Antiqua" w:hAnsi="Book Antiqua" w:cs="Arial"/>
          <w:bCs/>
          <w:color w:val="000000" w:themeColor="text1"/>
          <w:kern w:val="36"/>
          <w:sz w:val="24"/>
          <w:szCs w:val="24"/>
          <w:lang w:val="en-US" w:eastAsia="ja-JP"/>
        </w:rPr>
        <w:t>Ordas</w:t>
      </w:r>
      <w:proofErr w:type="spellEnd"/>
      <w:r w:rsidRPr="00F9703E">
        <w:rPr>
          <w:rFonts w:ascii="Book Antiqua" w:hAnsi="Book Antiqua" w:cs="Arial"/>
          <w:bCs/>
          <w:color w:val="000000" w:themeColor="text1"/>
          <w:kern w:val="36"/>
          <w:sz w:val="24"/>
          <w:szCs w:val="24"/>
          <w:lang w:val="en-US" w:eastAsia="ja-JP"/>
        </w:rPr>
        <w:t xml:space="preserve"> I, </w:t>
      </w:r>
      <w:proofErr w:type="spellStart"/>
      <w:r w:rsidRPr="00F9703E">
        <w:rPr>
          <w:rFonts w:ascii="Book Antiqua" w:hAnsi="Book Antiqua" w:cs="Arial"/>
          <w:bCs/>
          <w:color w:val="000000" w:themeColor="text1"/>
          <w:kern w:val="36"/>
          <w:sz w:val="24"/>
          <w:szCs w:val="24"/>
          <w:lang w:val="en-US" w:eastAsia="ja-JP"/>
        </w:rPr>
        <w:t>Panaccione</w:t>
      </w:r>
      <w:proofErr w:type="spellEnd"/>
      <w:r w:rsidRPr="00F9703E">
        <w:rPr>
          <w:rFonts w:ascii="Book Antiqua" w:hAnsi="Book Antiqua" w:cs="Arial"/>
          <w:bCs/>
          <w:color w:val="000000" w:themeColor="text1"/>
          <w:kern w:val="36"/>
          <w:sz w:val="24"/>
          <w:szCs w:val="24"/>
          <w:lang w:val="en-US" w:eastAsia="ja-JP"/>
        </w:rPr>
        <w:t xml:space="preserve"> R, Riddell RH, Ruel J, Rubin DT, Samaan M, Siegel CA, Silverberg MS, Stoker J, Schreiber S, Travis S, Van </w:t>
      </w:r>
      <w:proofErr w:type="spellStart"/>
      <w:r w:rsidRPr="00F9703E">
        <w:rPr>
          <w:rFonts w:ascii="Book Antiqua" w:hAnsi="Book Antiqua" w:cs="Arial"/>
          <w:bCs/>
          <w:color w:val="000000" w:themeColor="text1"/>
          <w:kern w:val="36"/>
          <w:sz w:val="24"/>
          <w:szCs w:val="24"/>
          <w:lang w:val="en-US" w:eastAsia="ja-JP"/>
        </w:rPr>
        <w:t>Assche</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Danese</w:t>
      </w:r>
      <w:proofErr w:type="spellEnd"/>
      <w:r w:rsidRPr="00F9703E">
        <w:rPr>
          <w:rFonts w:ascii="Book Antiqua" w:hAnsi="Book Antiqua" w:cs="Arial"/>
          <w:bCs/>
          <w:color w:val="000000" w:themeColor="text1"/>
          <w:kern w:val="36"/>
          <w:sz w:val="24"/>
          <w:szCs w:val="24"/>
          <w:lang w:val="en-US" w:eastAsia="ja-JP"/>
        </w:rPr>
        <w:t xml:space="preserve"> S, Panes J, </w:t>
      </w:r>
      <w:proofErr w:type="spellStart"/>
      <w:r w:rsidRPr="00F9703E">
        <w:rPr>
          <w:rFonts w:ascii="Book Antiqua" w:hAnsi="Book Antiqua" w:cs="Arial"/>
          <w:bCs/>
          <w:color w:val="000000" w:themeColor="text1"/>
          <w:kern w:val="36"/>
          <w:sz w:val="24"/>
          <w:szCs w:val="24"/>
          <w:lang w:val="en-US" w:eastAsia="ja-JP"/>
        </w:rPr>
        <w:t>Bouguen</w:t>
      </w:r>
      <w:proofErr w:type="spellEnd"/>
      <w:r w:rsidRPr="00F9703E">
        <w:rPr>
          <w:rFonts w:ascii="Book Antiqua" w:hAnsi="Book Antiqua" w:cs="Arial"/>
          <w:bCs/>
          <w:color w:val="000000" w:themeColor="text1"/>
          <w:kern w:val="36"/>
          <w:sz w:val="24"/>
          <w:szCs w:val="24"/>
          <w:lang w:val="en-US" w:eastAsia="ja-JP"/>
        </w:rPr>
        <w:t xml:space="preserve"> G, O’Donnell S, </w:t>
      </w:r>
      <w:proofErr w:type="spellStart"/>
      <w:r w:rsidRPr="00F9703E">
        <w:rPr>
          <w:rFonts w:ascii="Book Antiqua" w:hAnsi="Book Antiqua" w:cs="Arial"/>
          <w:bCs/>
          <w:color w:val="000000" w:themeColor="text1"/>
          <w:kern w:val="36"/>
          <w:sz w:val="24"/>
          <w:szCs w:val="24"/>
          <w:lang w:val="en-US" w:eastAsia="ja-JP"/>
        </w:rPr>
        <w:t>Pariente</w:t>
      </w:r>
      <w:proofErr w:type="spellEnd"/>
      <w:r w:rsidRPr="00F9703E">
        <w:rPr>
          <w:rFonts w:ascii="Book Antiqua" w:hAnsi="Book Antiqua" w:cs="Arial"/>
          <w:bCs/>
          <w:color w:val="000000" w:themeColor="text1"/>
          <w:kern w:val="36"/>
          <w:sz w:val="24"/>
          <w:szCs w:val="24"/>
          <w:lang w:val="en-US" w:eastAsia="ja-JP"/>
        </w:rPr>
        <w:t xml:space="preserve"> B, Winer S, </w:t>
      </w:r>
      <w:proofErr w:type="spellStart"/>
      <w:r w:rsidRPr="00F9703E">
        <w:rPr>
          <w:rFonts w:ascii="Book Antiqua" w:hAnsi="Book Antiqua" w:cs="Arial"/>
          <w:bCs/>
          <w:color w:val="000000" w:themeColor="text1"/>
          <w:kern w:val="36"/>
          <w:sz w:val="24"/>
          <w:szCs w:val="24"/>
          <w:lang w:val="en-US" w:eastAsia="ja-JP"/>
        </w:rPr>
        <w:t>Hanauer</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Colombel</w:t>
      </w:r>
      <w:proofErr w:type="spellEnd"/>
      <w:r w:rsidRPr="00F9703E">
        <w:rPr>
          <w:rFonts w:ascii="Book Antiqua" w:hAnsi="Book Antiqua" w:cs="Arial"/>
          <w:bCs/>
          <w:color w:val="000000" w:themeColor="text1"/>
          <w:kern w:val="36"/>
          <w:sz w:val="24"/>
          <w:szCs w:val="24"/>
          <w:lang w:val="en-US" w:eastAsia="ja-JP"/>
        </w:rPr>
        <w:t xml:space="preserve"> JF. Selecting Therapeutic Targets in Inflammatory Bowel Disease (STRIDE): Determining Therapeutic Goals for Treat-to-Target. </w:t>
      </w:r>
      <w:r w:rsidRPr="00F9703E">
        <w:rPr>
          <w:rFonts w:ascii="Book Antiqua" w:hAnsi="Book Antiqua" w:cs="Arial"/>
          <w:bCs/>
          <w:i/>
          <w:iCs/>
          <w:color w:val="000000" w:themeColor="text1"/>
          <w:kern w:val="36"/>
          <w:sz w:val="24"/>
          <w:szCs w:val="24"/>
          <w:lang w:val="en-US" w:eastAsia="ja-JP"/>
        </w:rPr>
        <w:t>Am J Gastroenterol</w:t>
      </w:r>
      <w:r w:rsidRPr="00F9703E">
        <w:rPr>
          <w:rFonts w:ascii="Book Antiqua" w:hAnsi="Book Antiqua" w:cs="Arial"/>
          <w:bCs/>
          <w:color w:val="000000" w:themeColor="text1"/>
          <w:kern w:val="36"/>
          <w:sz w:val="24"/>
          <w:szCs w:val="24"/>
          <w:lang w:val="en-US" w:eastAsia="ja-JP"/>
        </w:rPr>
        <w:t xml:space="preserve"> 2015; </w:t>
      </w:r>
      <w:r w:rsidRPr="00F9703E">
        <w:rPr>
          <w:rFonts w:ascii="Book Antiqua" w:hAnsi="Book Antiqua" w:cs="Arial"/>
          <w:b/>
          <w:bCs/>
          <w:color w:val="000000" w:themeColor="text1"/>
          <w:kern w:val="36"/>
          <w:sz w:val="24"/>
          <w:szCs w:val="24"/>
          <w:lang w:val="en-US" w:eastAsia="ja-JP"/>
        </w:rPr>
        <w:t>110</w:t>
      </w:r>
      <w:r w:rsidRPr="00F9703E">
        <w:rPr>
          <w:rFonts w:ascii="Book Antiqua" w:hAnsi="Book Antiqua" w:cs="Arial"/>
          <w:bCs/>
          <w:color w:val="000000" w:themeColor="text1"/>
          <w:kern w:val="36"/>
          <w:sz w:val="24"/>
          <w:szCs w:val="24"/>
          <w:lang w:val="en-US" w:eastAsia="ja-JP"/>
        </w:rPr>
        <w:t>:</w:t>
      </w:r>
      <w:r w:rsidR="002A4D38" w:rsidRP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1324-1338 [PM</w:t>
      </w:r>
      <w:r w:rsidR="002A4D38" w:rsidRP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26303131 DOI: 10.1038/ajg.2015.233]</w:t>
      </w:r>
    </w:p>
    <w:p w14:paraId="7C48C66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19 </w:t>
      </w:r>
      <w:r w:rsidRPr="00F9703E">
        <w:rPr>
          <w:rFonts w:ascii="Book Antiqua" w:hAnsi="Book Antiqua" w:cs="Arial"/>
          <w:b/>
          <w:bCs/>
          <w:color w:val="000000" w:themeColor="text1"/>
          <w:kern w:val="36"/>
          <w:sz w:val="24"/>
          <w:szCs w:val="24"/>
          <w:lang w:val="en-US" w:eastAsia="ja-JP"/>
        </w:rPr>
        <w:t>Kim AH</w:t>
      </w:r>
      <w:r w:rsidRPr="00F9703E">
        <w:rPr>
          <w:rFonts w:ascii="Book Antiqua" w:hAnsi="Book Antiqua" w:cs="Arial"/>
          <w:bCs/>
          <w:color w:val="000000" w:themeColor="text1"/>
          <w:kern w:val="36"/>
          <w:sz w:val="24"/>
          <w:szCs w:val="24"/>
          <w:lang w:val="en-US" w:eastAsia="ja-JP"/>
        </w:rPr>
        <w:t xml:space="preserve">, Roberts C, </w:t>
      </w:r>
      <w:proofErr w:type="spellStart"/>
      <w:r w:rsidRPr="00F9703E">
        <w:rPr>
          <w:rFonts w:ascii="Book Antiqua" w:hAnsi="Book Antiqua" w:cs="Arial"/>
          <w:bCs/>
          <w:color w:val="000000" w:themeColor="text1"/>
          <w:kern w:val="36"/>
          <w:sz w:val="24"/>
          <w:szCs w:val="24"/>
          <w:lang w:val="en-US" w:eastAsia="ja-JP"/>
        </w:rPr>
        <w:t>Feagan</w:t>
      </w:r>
      <w:proofErr w:type="spellEnd"/>
      <w:r w:rsidRPr="00F9703E">
        <w:rPr>
          <w:rFonts w:ascii="Book Antiqua" w:hAnsi="Book Antiqua" w:cs="Arial"/>
          <w:bCs/>
          <w:color w:val="000000" w:themeColor="text1"/>
          <w:kern w:val="36"/>
          <w:sz w:val="24"/>
          <w:szCs w:val="24"/>
          <w:lang w:val="en-US" w:eastAsia="ja-JP"/>
        </w:rPr>
        <w:t xml:space="preserve"> BG, Banerjee R, </w:t>
      </w:r>
      <w:proofErr w:type="spellStart"/>
      <w:r w:rsidRPr="00F9703E">
        <w:rPr>
          <w:rFonts w:ascii="Book Antiqua" w:hAnsi="Book Antiqua" w:cs="Arial"/>
          <w:bCs/>
          <w:color w:val="000000" w:themeColor="text1"/>
          <w:kern w:val="36"/>
          <w:sz w:val="24"/>
          <w:szCs w:val="24"/>
          <w:lang w:val="en-US" w:eastAsia="ja-JP"/>
        </w:rPr>
        <w:t>Bemelman</w:t>
      </w:r>
      <w:proofErr w:type="spellEnd"/>
      <w:r w:rsidRPr="00F9703E">
        <w:rPr>
          <w:rFonts w:ascii="Book Antiqua" w:hAnsi="Book Antiqua" w:cs="Arial"/>
          <w:bCs/>
          <w:color w:val="000000" w:themeColor="text1"/>
          <w:kern w:val="36"/>
          <w:sz w:val="24"/>
          <w:szCs w:val="24"/>
          <w:lang w:val="en-US" w:eastAsia="ja-JP"/>
        </w:rPr>
        <w:t xml:space="preserve"> W, </w:t>
      </w:r>
      <w:proofErr w:type="spellStart"/>
      <w:r w:rsidRPr="00F9703E">
        <w:rPr>
          <w:rFonts w:ascii="Book Antiqua" w:hAnsi="Book Antiqua" w:cs="Arial"/>
          <w:bCs/>
          <w:color w:val="000000" w:themeColor="text1"/>
          <w:kern w:val="36"/>
          <w:sz w:val="24"/>
          <w:szCs w:val="24"/>
          <w:lang w:val="en-US" w:eastAsia="ja-JP"/>
        </w:rPr>
        <w:t>Bodger</w:t>
      </w:r>
      <w:proofErr w:type="spellEnd"/>
      <w:r w:rsidRPr="00F9703E">
        <w:rPr>
          <w:rFonts w:ascii="Book Antiqua" w:hAnsi="Book Antiqua" w:cs="Arial"/>
          <w:bCs/>
          <w:color w:val="000000" w:themeColor="text1"/>
          <w:kern w:val="36"/>
          <w:sz w:val="24"/>
          <w:szCs w:val="24"/>
          <w:lang w:val="en-US" w:eastAsia="ja-JP"/>
        </w:rPr>
        <w:t xml:space="preserve"> K, </w:t>
      </w:r>
      <w:proofErr w:type="spellStart"/>
      <w:r w:rsidRPr="00F9703E">
        <w:rPr>
          <w:rFonts w:ascii="Book Antiqua" w:hAnsi="Book Antiqua" w:cs="Arial"/>
          <w:bCs/>
          <w:color w:val="000000" w:themeColor="text1"/>
          <w:kern w:val="36"/>
          <w:sz w:val="24"/>
          <w:szCs w:val="24"/>
          <w:lang w:val="en-US" w:eastAsia="ja-JP"/>
        </w:rPr>
        <w:t>Derieppe</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Dignass</w:t>
      </w:r>
      <w:proofErr w:type="spellEnd"/>
      <w:r w:rsidRPr="00F9703E">
        <w:rPr>
          <w:rFonts w:ascii="Book Antiqua" w:hAnsi="Book Antiqua" w:cs="Arial"/>
          <w:bCs/>
          <w:color w:val="000000" w:themeColor="text1"/>
          <w:kern w:val="36"/>
          <w:sz w:val="24"/>
          <w:szCs w:val="24"/>
          <w:lang w:val="en-US" w:eastAsia="ja-JP"/>
        </w:rPr>
        <w:t xml:space="preserve"> A, Driscoll R, Fitzpatrick R, </w:t>
      </w:r>
      <w:proofErr w:type="spellStart"/>
      <w:r w:rsidRPr="00F9703E">
        <w:rPr>
          <w:rFonts w:ascii="Book Antiqua" w:hAnsi="Book Antiqua" w:cs="Arial"/>
          <w:bCs/>
          <w:color w:val="000000" w:themeColor="text1"/>
          <w:kern w:val="36"/>
          <w:sz w:val="24"/>
          <w:szCs w:val="24"/>
          <w:lang w:val="en-US" w:eastAsia="ja-JP"/>
        </w:rPr>
        <w:t>Gaarentstroom</w:t>
      </w:r>
      <w:proofErr w:type="spellEnd"/>
      <w:r w:rsidRPr="00F9703E">
        <w:rPr>
          <w:rFonts w:ascii="Book Antiqua" w:hAnsi="Book Antiqua" w:cs="Arial"/>
          <w:bCs/>
          <w:color w:val="000000" w:themeColor="text1"/>
          <w:kern w:val="36"/>
          <w:sz w:val="24"/>
          <w:szCs w:val="24"/>
          <w:lang w:val="en-US" w:eastAsia="ja-JP"/>
        </w:rPr>
        <w:t xml:space="preserve">-Lunt J, Higgins PD, Kotze PG, Meissner J, O'Connor M, Ran ZH, Siegel CA, Terry H, van </w:t>
      </w:r>
      <w:proofErr w:type="spellStart"/>
      <w:r w:rsidRPr="00F9703E">
        <w:rPr>
          <w:rFonts w:ascii="Book Antiqua" w:hAnsi="Book Antiqua" w:cs="Arial"/>
          <w:bCs/>
          <w:color w:val="000000" w:themeColor="text1"/>
          <w:kern w:val="36"/>
          <w:sz w:val="24"/>
          <w:szCs w:val="24"/>
          <w:lang w:val="en-US" w:eastAsia="ja-JP"/>
        </w:rPr>
        <w:t>Deen</w:t>
      </w:r>
      <w:proofErr w:type="spellEnd"/>
      <w:r w:rsidRPr="00F9703E">
        <w:rPr>
          <w:rFonts w:ascii="Book Antiqua" w:hAnsi="Book Antiqua" w:cs="Arial"/>
          <w:bCs/>
          <w:color w:val="000000" w:themeColor="text1"/>
          <w:kern w:val="36"/>
          <w:sz w:val="24"/>
          <w:szCs w:val="24"/>
          <w:lang w:val="en-US" w:eastAsia="ja-JP"/>
        </w:rPr>
        <w:t xml:space="preserve"> WK, van der </w:t>
      </w:r>
      <w:proofErr w:type="spellStart"/>
      <w:r w:rsidRPr="00F9703E">
        <w:rPr>
          <w:rFonts w:ascii="Book Antiqua" w:hAnsi="Book Antiqua" w:cs="Arial"/>
          <w:bCs/>
          <w:color w:val="000000" w:themeColor="text1"/>
          <w:kern w:val="36"/>
          <w:sz w:val="24"/>
          <w:szCs w:val="24"/>
          <w:lang w:val="en-US" w:eastAsia="ja-JP"/>
        </w:rPr>
        <w:t>Woude</w:t>
      </w:r>
      <w:proofErr w:type="spellEnd"/>
      <w:r w:rsidRPr="00F9703E">
        <w:rPr>
          <w:rFonts w:ascii="Book Antiqua" w:hAnsi="Book Antiqua" w:cs="Arial"/>
          <w:bCs/>
          <w:color w:val="000000" w:themeColor="text1"/>
          <w:kern w:val="36"/>
          <w:sz w:val="24"/>
          <w:szCs w:val="24"/>
          <w:lang w:val="en-US" w:eastAsia="ja-JP"/>
        </w:rPr>
        <w:t xml:space="preserve"> CJ, Weaver A, Yang SK, Sands BE, </w:t>
      </w:r>
      <w:proofErr w:type="spellStart"/>
      <w:r w:rsidRPr="00F9703E">
        <w:rPr>
          <w:rFonts w:ascii="Book Antiqua" w:hAnsi="Book Antiqua" w:cs="Arial"/>
          <w:bCs/>
          <w:color w:val="000000" w:themeColor="text1"/>
          <w:kern w:val="36"/>
          <w:sz w:val="24"/>
          <w:szCs w:val="24"/>
          <w:lang w:val="en-US" w:eastAsia="ja-JP"/>
        </w:rPr>
        <w:t>Vermeire</w:t>
      </w:r>
      <w:proofErr w:type="spellEnd"/>
      <w:r w:rsidRPr="00F9703E">
        <w:rPr>
          <w:rFonts w:ascii="Book Antiqua" w:hAnsi="Book Antiqua" w:cs="Arial"/>
          <w:bCs/>
          <w:color w:val="000000" w:themeColor="text1"/>
          <w:kern w:val="36"/>
          <w:sz w:val="24"/>
          <w:szCs w:val="24"/>
          <w:lang w:val="en-US" w:eastAsia="ja-JP"/>
        </w:rPr>
        <w:t xml:space="preserve"> S, Travis SP. Developing a Standard Set of Patient-</w:t>
      </w:r>
      <w:proofErr w:type="spellStart"/>
      <w:r w:rsidRPr="00F9703E">
        <w:rPr>
          <w:rFonts w:ascii="Book Antiqua" w:hAnsi="Book Antiqua" w:cs="Arial"/>
          <w:bCs/>
          <w:color w:val="000000" w:themeColor="text1"/>
          <w:kern w:val="36"/>
          <w:sz w:val="24"/>
          <w:szCs w:val="24"/>
          <w:lang w:val="en-US" w:eastAsia="ja-JP"/>
        </w:rPr>
        <w:t>Centred</w:t>
      </w:r>
      <w:proofErr w:type="spellEnd"/>
      <w:r w:rsidRPr="00F9703E">
        <w:rPr>
          <w:rFonts w:ascii="Book Antiqua" w:hAnsi="Book Antiqua" w:cs="Arial"/>
          <w:bCs/>
          <w:color w:val="000000" w:themeColor="text1"/>
          <w:kern w:val="36"/>
          <w:sz w:val="24"/>
          <w:szCs w:val="24"/>
          <w:lang w:val="en-US" w:eastAsia="ja-JP"/>
        </w:rPr>
        <w:t xml:space="preserve"> Outcomes for Inflammatory Bowel Disease-an International, Cross-disciplinary Consensus.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12</w:t>
      </w:r>
      <w:r w:rsidRPr="00F9703E">
        <w:rPr>
          <w:rFonts w:ascii="Book Antiqua" w:hAnsi="Book Antiqua" w:cs="Arial"/>
          <w:bCs/>
          <w:color w:val="000000" w:themeColor="text1"/>
          <w:kern w:val="36"/>
          <w:sz w:val="24"/>
          <w:szCs w:val="24"/>
          <w:lang w:val="en-US" w:eastAsia="ja-JP"/>
        </w:rPr>
        <w:t>: 408-418 [PMID: 29216349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/jjx161]</w:t>
      </w:r>
    </w:p>
    <w:p w14:paraId="0EEFB842" w14:textId="72E0321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lastRenderedPageBreak/>
        <w:t>20 </w:t>
      </w:r>
      <w:proofErr w:type="spellStart"/>
      <w:r w:rsidRPr="00F9703E">
        <w:rPr>
          <w:rFonts w:ascii="Book Antiqua" w:hAnsi="Book Antiqua" w:cs="Arial"/>
          <w:b/>
          <w:bCs/>
          <w:color w:val="000000" w:themeColor="text1"/>
          <w:kern w:val="36"/>
          <w:sz w:val="24"/>
          <w:szCs w:val="24"/>
          <w:lang w:val="en-US" w:eastAsia="ja-JP"/>
        </w:rPr>
        <w:t>Bodger</w:t>
      </w:r>
      <w:proofErr w:type="spellEnd"/>
      <w:r w:rsidRPr="00F9703E">
        <w:rPr>
          <w:rFonts w:ascii="Book Antiqua" w:hAnsi="Book Antiqua" w:cs="Arial"/>
          <w:b/>
          <w:bCs/>
          <w:color w:val="000000" w:themeColor="text1"/>
          <w:kern w:val="36"/>
          <w:sz w:val="24"/>
          <w:szCs w:val="24"/>
          <w:lang w:val="en-US" w:eastAsia="ja-JP"/>
        </w:rPr>
        <w:t xml:space="preserve"> K</w:t>
      </w:r>
      <w:r w:rsidRPr="00F9703E">
        <w:rPr>
          <w:rFonts w:ascii="Book Antiqua" w:hAnsi="Book Antiqua" w:cs="Arial"/>
          <w:color w:val="000000" w:themeColor="text1"/>
          <w:kern w:val="36"/>
          <w:sz w:val="24"/>
          <w:szCs w:val="24"/>
          <w:lang w:val="en-US" w:eastAsia="ja-JP"/>
        </w:rPr>
        <w:t>, </w:t>
      </w:r>
      <w:r w:rsidRPr="00F9703E">
        <w:rPr>
          <w:rFonts w:ascii="Book Antiqua" w:hAnsi="Book Antiqua" w:cs="Arial"/>
          <w:bCs/>
          <w:color w:val="000000" w:themeColor="text1"/>
          <w:kern w:val="36"/>
          <w:sz w:val="24"/>
          <w:szCs w:val="24"/>
          <w:lang w:val="en-US" w:eastAsia="ja-JP"/>
        </w:rPr>
        <w:t xml:space="preserve">Ormerod C, </w:t>
      </w:r>
      <w:proofErr w:type="spellStart"/>
      <w:r w:rsidRPr="00F9703E">
        <w:rPr>
          <w:rFonts w:ascii="Book Antiqua" w:hAnsi="Book Antiqua" w:cs="Arial"/>
          <w:bCs/>
          <w:color w:val="000000" w:themeColor="text1"/>
          <w:kern w:val="36"/>
          <w:sz w:val="24"/>
          <w:szCs w:val="24"/>
          <w:lang w:val="en-US" w:eastAsia="ja-JP"/>
        </w:rPr>
        <w:t>Shackcloth</w:t>
      </w:r>
      <w:proofErr w:type="spellEnd"/>
      <w:r w:rsidRPr="00F9703E">
        <w:rPr>
          <w:rFonts w:ascii="Book Antiqua" w:hAnsi="Book Antiqua" w:cs="Arial"/>
          <w:bCs/>
          <w:color w:val="000000" w:themeColor="text1"/>
          <w:kern w:val="36"/>
          <w:sz w:val="24"/>
          <w:szCs w:val="24"/>
          <w:lang w:val="en-US" w:eastAsia="ja-JP"/>
        </w:rPr>
        <w:t xml:space="preserve"> D, Harrison M; IBD Control Collaborative. Development and validation of a rapid, generic measure of disease control from the patient’s perspective: the IBD-Control questionnaire.</w:t>
      </w:r>
      <w:r w:rsidRPr="00F9703E">
        <w:rPr>
          <w:rFonts w:ascii="Book Antiqua" w:hAnsi="Book Antiqua" w:cs="Arial"/>
          <w:bCs/>
          <w:i/>
          <w:iCs/>
          <w:color w:val="000000" w:themeColor="text1"/>
          <w:kern w:val="36"/>
          <w:sz w:val="24"/>
          <w:szCs w:val="24"/>
          <w:lang w:val="en-US" w:eastAsia="ja-JP"/>
        </w:rPr>
        <w:t xml:space="preserve"> Gut</w:t>
      </w:r>
      <w:r w:rsidR="002A4D38">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2014</w:t>
      </w:r>
      <w:r w:rsidR="002A4D38">
        <w:rPr>
          <w:rFonts w:ascii="Book Antiqua" w:hAnsi="Book Antiqua" w:cs="Arial"/>
          <w:bCs/>
          <w:color w:val="000000" w:themeColor="text1"/>
          <w:kern w:val="36"/>
          <w:sz w:val="24"/>
          <w:szCs w:val="24"/>
          <w:lang w:val="en-US" w:eastAsia="ja-JP"/>
        </w:rPr>
        <w:t>;</w:t>
      </w:r>
      <w:r w:rsidRPr="00F9703E">
        <w:rPr>
          <w:rFonts w:ascii="Book Antiqua" w:hAnsi="Book Antiqua" w:cs="Arial"/>
          <w:bCs/>
          <w:color w:val="000000" w:themeColor="text1"/>
          <w:kern w:val="36"/>
          <w:sz w:val="24"/>
          <w:szCs w:val="24"/>
          <w:lang w:val="en-US" w:eastAsia="ja-JP"/>
        </w:rPr>
        <w:t xml:space="preserve"> </w:t>
      </w:r>
      <w:r w:rsidRPr="00F9703E">
        <w:rPr>
          <w:rFonts w:ascii="Book Antiqua" w:hAnsi="Book Antiqua" w:cs="Arial"/>
          <w:b/>
          <w:color w:val="000000" w:themeColor="text1"/>
          <w:kern w:val="36"/>
          <w:sz w:val="24"/>
          <w:szCs w:val="24"/>
          <w:lang w:val="en-US" w:eastAsia="ja-JP"/>
        </w:rPr>
        <w:t>63</w:t>
      </w:r>
      <w:r w:rsidRPr="00F9703E">
        <w:rPr>
          <w:rFonts w:ascii="Book Antiqua" w:hAnsi="Book Antiqua" w:cs="Arial"/>
          <w:bCs/>
          <w:color w:val="000000" w:themeColor="text1"/>
          <w:kern w:val="36"/>
          <w:sz w:val="24"/>
          <w:szCs w:val="24"/>
          <w:lang w:val="en-US" w:eastAsia="ja-JP"/>
        </w:rPr>
        <w:t>: 1092-1102 [PM</w:t>
      </w:r>
      <w:r w:rsidR="002A4D38">
        <w:rPr>
          <w:rFonts w:ascii="Book Antiqua" w:hAnsi="Book Antiqua" w:cs="Arial"/>
          <w:bCs/>
          <w:color w:val="000000" w:themeColor="text1"/>
          <w:kern w:val="36"/>
          <w:sz w:val="24"/>
          <w:szCs w:val="24"/>
          <w:lang w:val="en-US" w:eastAsia="ja-JP"/>
        </w:rPr>
        <w:t>I</w:t>
      </w:r>
      <w:r w:rsidRPr="00F9703E">
        <w:rPr>
          <w:rFonts w:ascii="Book Antiqua" w:hAnsi="Book Antiqua" w:cs="Arial"/>
          <w:bCs/>
          <w:color w:val="000000" w:themeColor="text1"/>
          <w:kern w:val="36"/>
          <w:sz w:val="24"/>
          <w:szCs w:val="24"/>
          <w:lang w:val="en-US" w:eastAsia="ja-JP"/>
        </w:rPr>
        <w:t>D: 24107590 DOI: 10.1136/gutjnl-2013-305600]</w:t>
      </w:r>
    </w:p>
    <w:p w14:paraId="1D7C6BDC"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21 </w:t>
      </w:r>
      <w:r w:rsidRPr="00F9703E">
        <w:rPr>
          <w:rFonts w:ascii="Book Antiqua" w:hAnsi="Book Antiqua" w:cs="Arial"/>
          <w:b/>
          <w:bCs/>
          <w:color w:val="000000" w:themeColor="text1"/>
          <w:kern w:val="36"/>
          <w:sz w:val="24"/>
          <w:szCs w:val="24"/>
          <w:lang w:val="en-US" w:eastAsia="ja-JP"/>
        </w:rPr>
        <w:t>Ford AC</w:t>
      </w:r>
      <w:r w:rsidRPr="00F9703E">
        <w:rPr>
          <w:rFonts w:ascii="Book Antiqua" w:hAnsi="Book Antiqua" w:cs="Arial"/>
          <w:bCs/>
          <w:color w:val="000000" w:themeColor="text1"/>
          <w:kern w:val="36"/>
          <w:sz w:val="24"/>
          <w:szCs w:val="24"/>
          <w:lang w:val="en-US" w:eastAsia="ja-JP"/>
        </w:rPr>
        <w:t xml:space="preserve">, Kane SV, Khan KJ, </w:t>
      </w:r>
      <w:proofErr w:type="spellStart"/>
      <w:r w:rsidRPr="00F9703E">
        <w:rPr>
          <w:rFonts w:ascii="Book Antiqua" w:hAnsi="Book Antiqua" w:cs="Arial"/>
          <w:bCs/>
          <w:color w:val="000000" w:themeColor="text1"/>
          <w:kern w:val="36"/>
          <w:sz w:val="24"/>
          <w:szCs w:val="24"/>
          <w:lang w:val="en-US" w:eastAsia="ja-JP"/>
        </w:rPr>
        <w:t>Achkar</w:t>
      </w:r>
      <w:proofErr w:type="spellEnd"/>
      <w:r w:rsidRPr="00F9703E">
        <w:rPr>
          <w:rFonts w:ascii="Book Antiqua" w:hAnsi="Book Antiqua" w:cs="Arial"/>
          <w:bCs/>
          <w:color w:val="000000" w:themeColor="text1"/>
          <w:kern w:val="36"/>
          <w:sz w:val="24"/>
          <w:szCs w:val="24"/>
          <w:lang w:val="en-US" w:eastAsia="ja-JP"/>
        </w:rPr>
        <w:t xml:space="preserve"> JP, Talley NJ, Marshall JK, </w:t>
      </w:r>
      <w:proofErr w:type="spellStart"/>
      <w:r w:rsidRPr="00F9703E">
        <w:rPr>
          <w:rFonts w:ascii="Book Antiqua" w:hAnsi="Book Antiqua" w:cs="Arial"/>
          <w:bCs/>
          <w:color w:val="000000" w:themeColor="text1"/>
          <w:kern w:val="36"/>
          <w:sz w:val="24"/>
          <w:szCs w:val="24"/>
          <w:lang w:val="en-US" w:eastAsia="ja-JP"/>
        </w:rPr>
        <w:t>Moayyedi</w:t>
      </w:r>
      <w:proofErr w:type="spellEnd"/>
      <w:r w:rsidRPr="00F9703E">
        <w:rPr>
          <w:rFonts w:ascii="Book Antiqua" w:hAnsi="Book Antiqua" w:cs="Arial"/>
          <w:bCs/>
          <w:color w:val="000000" w:themeColor="text1"/>
          <w:kern w:val="36"/>
          <w:sz w:val="24"/>
          <w:szCs w:val="24"/>
          <w:lang w:val="en-US" w:eastAsia="ja-JP"/>
        </w:rPr>
        <w:t xml:space="preserve"> P. Efficacy of 5-aminosalicylates in Crohn's disease: systematic review and meta-analysis. </w:t>
      </w:r>
      <w:r w:rsidRPr="00F9703E">
        <w:rPr>
          <w:rFonts w:ascii="Book Antiqua" w:hAnsi="Book Antiqua" w:cs="Arial"/>
          <w:bCs/>
          <w:i/>
          <w:iCs/>
          <w:color w:val="000000" w:themeColor="text1"/>
          <w:kern w:val="36"/>
          <w:sz w:val="24"/>
          <w:szCs w:val="24"/>
          <w:lang w:val="en-US" w:eastAsia="ja-JP"/>
        </w:rPr>
        <w:t>Am J Gastroenterol</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106</w:t>
      </w:r>
      <w:r w:rsidRPr="00F9703E">
        <w:rPr>
          <w:rFonts w:ascii="Book Antiqua" w:hAnsi="Book Antiqua" w:cs="Arial"/>
          <w:bCs/>
          <w:color w:val="000000" w:themeColor="text1"/>
          <w:kern w:val="36"/>
          <w:sz w:val="24"/>
          <w:szCs w:val="24"/>
          <w:lang w:val="en-US" w:eastAsia="ja-JP"/>
        </w:rPr>
        <w:t>: 617-629 [PMID: 21407190 DOI: 10.1038/ajg.2011.71]</w:t>
      </w:r>
    </w:p>
    <w:p w14:paraId="49428D05"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22 </w:t>
      </w:r>
      <w:proofErr w:type="spellStart"/>
      <w:r w:rsidRPr="00F9703E">
        <w:rPr>
          <w:rFonts w:ascii="Book Antiqua" w:hAnsi="Book Antiqua" w:cs="Arial"/>
          <w:b/>
          <w:bCs/>
          <w:color w:val="000000" w:themeColor="text1"/>
          <w:kern w:val="36"/>
          <w:sz w:val="24"/>
          <w:szCs w:val="24"/>
          <w:lang w:val="en-US" w:eastAsia="ja-JP"/>
        </w:rPr>
        <w:t>Kurti</w:t>
      </w:r>
      <w:proofErr w:type="spellEnd"/>
      <w:r w:rsidRPr="00F9703E">
        <w:rPr>
          <w:rFonts w:ascii="Book Antiqua" w:hAnsi="Book Antiqua" w:cs="Arial"/>
          <w:b/>
          <w:bCs/>
          <w:color w:val="000000" w:themeColor="text1"/>
          <w:kern w:val="36"/>
          <w:sz w:val="24"/>
          <w:szCs w:val="24"/>
          <w:lang w:val="en-US" w:eastAsia="ja-JP"/>
        </w:rPr>
        <w:t xml:space="preserve"> Z</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Vegh</w:t>
      </w:r>
      <w:proofErr w:type="spellEnd"/>
      <w:r w:rsidRPr="00F9703E">
        <w:rPr>
          <w:rFonts w:ascii="Book Antiqua" w:hAnsi="Book Antiqua" w:cs="Arial"/>
          <w:bCs/>
          <w:color w:val="000000" w:themeColor="text1"/>
          <w:kern w:val="36"/>
          <w:sz w:val="24"/>
          <w:szCs w:val="24"/>
          <w:lang w:val="en-US" w:eastAsia="ja-JP"/>
        </w:rPr>
        <w:t xml:space="preserve"> Z, </w:t>
      </w:r>
      <w:proofErr w:type="spellStart"/>
      <w:r w:rsidRPr="00F9703E">
        <w:rPr>
          <w:rFonts w:ascii="Book Antiqua" w:hAnsi="Book Antiqua" w:cs="Arial"/>
          <w:bCs/>
          <w:color w:val="000000" w:themeColor="text1"/>
          <w:kern w:val="36"/>
          <w:sz w:val="24"/>
          <w:szCs w:val="24"/>
          <w:lang w:val="en-US" w:eastAsia="ja-JP"/>
        </w:rPr>
        <w:t>Golovics</w:t>
      </w:r>
      <w:proofErr w:type="spellEnd"/>
      <w:r w:rsidRPr="00F9703E">
        <w:rPr>
          <w:rFonts w:ascii="Book Antiqua" w:hAnsi="Book Antiqua" w:cs="Arial"/>
          <w:bCs/>
          <w:color w:val="000000" w:themeColor="text1"/>
          <w:kern w:val="36"/>
          <w:sz w:val="24"/>
          <w:szCs w:val="24"/>
          <w:lang w:val="en-US" w:eastAsia="ja-JP"/>
        </w:rPr>
        <w:t xml:space="preserve"> PA, </w:t>
      </w:r>
      <w:proofErr w:type="spellStart"/>
      <w:r w:rsidRPr="00F9703E">
        <w:rPr>
          <w:rFonts w:ascii="Book Antiqua" w:hAnsi="Book Antiqua" w:cs="Arial"/>
          <w:bCs/>
          <w:color w:val="000000" w:themeColor="text1"/>
          <w:kern w:val="36"/>
          <w:sz w:val="24"/>
          <w:szCs w:val="24"/>
          <w:lang w:val="en-US" w:eastAsia="ja-JP"/>
        </w:rPr>
        <w:t>Fadgyas-Freyler</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Gecse</w:t>
      </w:r>
      <w:proofErr w:type="spellEnd"/>
      <w:r w:rsidRPr="00F9703E">
        <w:rPr>
          <w:rFonts w:ascii="Book Antiqua" w:hAnsi="Book Antiqua" w:cs="Arial"/>
          <w:bCs/>
          <w:color w:val="000000" w:themeColor="text1"/>
          <w:kern w:val="36"/>
          <w:sz w:val="24"/>
          <w:szCs w:val="24"/>
          <w:lang w:val="en-US" w:eastAsia="ja-JP"/>
        </w:rPr>
        <w:t xml:space="preserve"> KB, </w:t>
      </w:r>
      <w:proofErr w:type="spellStart"/>
      <w:r w:rsidRPr="00F9703E">
        <w:rPr>
          <w:rFonts w:ascii="Book Antiqua" w:hAnsi="Book Antiqua" w:cs="Arial"/>
          <w:bCs/>
          <w:color w:val="000000" w:themeColor="text1"/>
          <w:kern w:val="36"/>
          <w:sz w:val="24"/>
          <w:szCs w:val="24"/>
          <w:lang w:val="en-US" w:eastAsia="ja-JP"/>
        </w:rPr>
        <w:t>Gonczi</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Gimesi-Orszagh</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Lovasz</w:t>
      </w:r>
      <w:proofErr w:type="spellEnd"/>
      <w:r w:rsidRPr="00F9703E">
        <w:rPr>
          <w:rFonts w:ascii="Book Antiqua" w:hAnsi="Book Antiqua" w:cs="Arial"/>
          <w:bCs/>
          <w:color w:val="000000" w:themeColor="text1"/>
          <w:kern w:val="36"/>
          <w:sz w:val="24"/>
          <w:szCs w:val="24"/>
          <w:lang w:val="en-US" w:eastAsia="ja-JP"/>
        </w:rPr>
        <w:t xml:space="preserve"> BD, Lakatos PL. Nationwide prevalence and drug treatment practices of inflammatory bowel diseases in Hungary: A population-based study based on the National Health Insurance Fund database. </w:t>
      </w:r>
      <w:r w:rsidRPr="00F9703E">
        <w:rPr>
          <w:rFonts w:ascii="Book Antiqua" w:hAnsi="Book Antiqua" w:cs="Arial"/>
          <w:bCs/>
          <w:i/>
          <w:iCs/>
          <w:color w:val="000000" w:themeColor="text1"/>
          <w:kern w:val="36"/>
          <w:sz w:val="24"/>
          <w:szCs w:val="24"/>
          <w:lang w:val="en-US" w:eastAsia="ja-JP"/>
        </w:rPr>
        <w:t>Dig Liver Dis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48</w:t>
      </w:r>
      <w:r w:rsidRPr="00F9703E">
        <w:rPr>
          <w:rFonts w:ascii="Book Antiqua" w:hAnsi="Book Antiqua" w:cs="Arial"/>
          <w:bCs/>
          <w:color w:val="000000" w:themeColor="text1"/>
          <w:kern w:val="36"/>
          <w:sz w:val="24"/>
          <w:szCs w:val="24"/>
          <w:lang w:val="en-US" w:eastAsia="ja-JP"/>
        </w:rPr>
        <w:t>: 1302-1307 [PMID: 27481587 DOI: 10.1016/j.dld.2016.07.012]</w:t>
      </w:r>
    </w:p>
    <w:p w14:paraId="1928D834"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23 </w:t>
      </w:r>
      <w:r w:rsidRPr="00F9703E">
        <w:rPr>
          <w:rFonts w:ascii="Book Antiqua" w:hAnsi="Book Antiqua" w:cs="Arial"/>
          <w:b/>
          <w:bCs/>
          <w:color w:val="000000" w:themeColor="text1"/>
          <w:kern w:val="36"/>
          <w:sz w:val="24"/>
          <w:szCs w:val="24"/>
          <w:lang w:val="en-US" w:eastAsia="ja-JP"/>
        </w:rPr>
        <w:t>Holko P</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Kawalec</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Stawowczyk</w:t>
      </w:r>
      <w:proofErr w:type="spellEnd"/>
      <w:r w:rsidRPr="00F9703E">
        <w:rPr>
          <w:rFonts w:ascii="Book Antiqua" w:hAnsi="Book Antiqua" w:cs="Arial"/>
          <w:bCs/>
          <w:color w:val="000000" w:themeColor="text1"/>
          <w:kern w:val="36"/>
          <w:sz w:val="24"/>
          <w:szCs w:val="24"/>
          <w:lang w:val="en-US" w:eastAsia="ja-JP"/>
        </w:rPr>
        <w:t xml:space="preserve"> E. Prevalence and drug treatment practices of inflammatory bowel diseases in Poland in the years 2012-2014: an analysis of nationwide databases. </w:t>
      </w:r>
      <w:r w:rsidRPr="00F9703E">
        <w:rPr>
          <w:rFonts w:ascii="Book Antiqua" w:hAnsi="Book Antiqua" w:cs="Arial"/>
          <w:bCs/>
          <w:i/>
          <w:iCs/>
          <w:color w:val="000000" w:themeColor="text1"/>
          <w:kern w:val="36"/>
          <w:sz w:val="24"/>
          <w:szCs w:val="24"/>
          <w:lang w:val="en-US" w:eastAsia="ja-JP"/>
        </w:rPr>
        <w:t xml:space="preserve">Eur J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30</w:t>
      </w:r>
      <w:r w:rsidRPr="00F9703E">
        <w:rPr>
          <w:rFonts w:ascii="Book Antiqua" w:hAnsi="Book Antiqua" w:cs="Arial"/>
          <w:bCs/>
          <w:color w:val="000000" w:themeColor="text1"/>
          <w:kern w:val="36"/>
          <w:sz w:val="24"/>
          <w:szCs w:val="24"/>
          <w:lang w:val="en-US" w:eastAsia="ja-JP"/>
        </w:rPr>
        <w:t>: 456-464 [PMID: 29256907 DOI: 10.1097/MEG.0000000000001047]</w:t>
      </w:r>
    </w:p>
    <w:p w14:paraId="4EFAFF2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24 </w:t>
      </w:r>
      <w:proofErr w:type="spellStart"/>
      <w:r w:rsidRPr="00F9703E">
        <w:rPr>
          <w:rFonts w:ascii="Book Antiqua" w:hAnsi="Book Antiqua" w:cs="Arial"/>
          <w:b/>
          <w:bCs/>
          <w:color w:val="000000" w:themeColor="text1"/>
          <w:kern w:val="36"/>
          <w:sz w:val="24"/>
          <w:szCs w:val="24"/>
          <w:lang w:val="en-US" w:eastAsia="ja-JP"/>
        </w:rPr>
        <w:t>Schoepfer</w:t>
      </w:r>
      <w:proofErr w:type="spellEnd"/>
      <w:r w:rsidRPr="00F9703E">
        <w:rPr>
          <w:rFonts w:ascii="Book Antiqua" w:hAnsi="Book Antiqua" w:cs="Arial"/>
          <w:b/>
          <w:bCs/>
          <w:color w:val="000000" w:themeColor="text1"/>
          <w:kern w:val="36"/>
          <w:sz w:val="24"/>
          <w:szCs w:val="24"/>
          <w:lang w:val="en-US" w:eastAsia="ja-JP"/>
        </w:rPr>
        <w:t xml:space="preserve"> AM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Bortolotti</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Pittet</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Mottet</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Gonvers</w:t>
      </w:r>
      <w:proofErr w:type="spellEnd"/>
      <w:r w:rsidRPr="00F9703E">
        <w:rPr>
          <w:rFonts w:ascii="Book Antiqua" w:hAnsi="Book Antiqua" w:cs="Arial"/>
          <w:bCs/>
          <w:color w:val="000000" w:themeColor="text1"/>
          <w:kern w:val="36"/>
          <w:sz w:val="24"/>
          <w:szCs w:val="24"/>
          <w:lang w:val="en-US" w:eastAsia="ja-JP"/>
        </w:rPr>
        <w:t xml:space="preserve"> JJ, Reich O, Fournier N, Vader JP, </w:t>
      </w:r>
      <w:proofErr w:type="spellStart"/>
      <w:r w:rsidRPr="00F9703E">
        <w:rPr>
          <w:rFonts w:ascii="Book Antiqua" w:hAnsi="Book Antiqua" w:cs="Arial"/>
          <w:bCs/>
          <w:color w:val="000000" w:themeColor="text1"/>
          <w:kern w:val="36"/>
          <w:sz w:val="24"/>
          <w:szCs w:val="24"/>
          <w:lang w:val="en-US" w:eastAsia="ja-JP"/>
        </w:rPr>
        <w:t>Burnand</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Michetti</w:t>
      </w:r>
      <w:proofErr w:type="spellEnd"/>
      <w:r w:rsidRPr="00F9703E">
        <w:rPr>
          <w:rFonts w:ascii="Book Antiqua" w:hAnsi="Book Antiqua" w:cs="Arial"/>
          <w:bCs/>
          <w:color w:val="000000" w:themeColor="text1"/>
          <w:kern w:val="36"/>
          <w:sz w:val="24"/>
          <w:szCs w:val="24"/>
          <w:lang w:val="en-US" w:eastAsia="ja-JP"/>
        </w:rPr>
        <w:t xml:space="preserve"> P, Froehlich F. The gap between scientific evidence and clinical practice: 5-aminosalicylates are frequently used for the treatment of Crohn's disease.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40</w:t>
      </w:r>
      <w:r w:rsidRPr="00F9703E">
        <w:rPr>
          <w:rFonts w:ascii="Book Antiqua" w:hAnsi="Book Antiqua" w:cs="Arial"/>
          <w:bCs/>
          <w:color w:val="000000" w:themeColor="text1"/>
          <w:kern w:val="36"/>
          <w:sz w:val="24"/>
          <w:szCs w:val="24"/>
          <w:lang w:val="en-US" w:eastAsia="ja-JP"/>
        </w:rPr>
        <w:t>: 930-937 [PMID: 25146487 DOI: 10.1111/apt.12929]</w:t>
      </w:r>
    </w:p>
    <w:p w14:paraId="0E1A96B1"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25 </w:t>
      </w:r>
      <w:proofErr w:type="spellStart"/>
      <w:r w:rsidRPr="00F9703E">
        <w:rPr>
          <w:rFonts w:ascii="Book Antiqua" w:hAnsi="Book Antiqua" w:cs="Arial"/>
          <w:b/>
          <w:bCs/>
          <w:color w:val="000000" w:themeColor="text1"/>
          <w:kern w:val="36"/>
          <w:sz w:val="24"/>
          <w:szCs w:val="24"/>
          <w:lang w:val="en-US" w:eastAsia="ja-JP"/>
        </w:rPr>
        <w:t>Godat</w:t>
      </w:r>
      <w:proofErr w:type="spellEnd"/>
      <w:r w:rsidRPr="00F9703E">
        <w:rPr>
          <w:rFonts w:ascii="Book Antiqua" w:hAnsi="Book Antiqua" w:cs="Arial"/>
          <w:b/>
          <w:bCs/>
          <w:color w:val="000000" w:themeColor="text1"/>
          <w:kern w:val="36"/>
          <w:sz w:val="24"/>
          <w:szCs w:val="24"/>
          <w:lang w:val="en-US" w:eastAsia="ja-JP"/>
        </w:rPr>
        <w:t xml:space="preserve"> S</w:t>
      </w:r>
      <w:r w:rsidRPr="00F9703E">
        <w:rPr>
          <w:rFonts w:ascii="Book Antiqua" w:hAnsi="Book Antiqua" w:cs="Arial"/>
          <w:bCs/>
          <w:color w:val="000000" w:themeColor="text1"/>
          <w:kern w:val="36"/>
          <w:sz w:val="24"/>
          <w:szCs w:val="24"/>
          <w:lang w:val="en-US" w:eastAsia="ja-JP"/>
        </w:rPr>
        <w:t xml:space="preserve">, Fournier N, </w:t>
      </w:r>
      <w:proofErr w:type="spellStart"/>
      <w:r w:rsidRPr="00F9703E">
        <w:rPr>
          <w:rFonts w:ascii="Book Antiqua" w:hAnsi="Book Antiqua" w:cs="Arial"/>
          <w:bCs/>
          <w:color w:val="000000" w:themeColor="text1"/>
          <w:kern w:val="36"/>
          <w:sz w:val="24"/>
          <w:szCs w:val="24"/>
          <w:lang w:val="en-US" w:eastAsia="ja-JP"/>
        </w:rPr>
        <w:t>Safroneeva</w:t>
      </w:r>
      <w:proofErr w:type="spellEnd"/>
      <w:r w:rsidRPr="00F9703E">
        <w:rPr>
          <w:rFonts w:ascii="Book Antiqua" w:hAnsi="Book Antiqua" w:cs="Arial"/>
          <w:bCs/>
          <w:color w:val="000000" w:themeColor="text1"/>
          <w:kern w:val="36"/>
          <w:sz w:val="24"/>
          <w:szCs w:val="24"/>
          <w:lang w:val="en-US" w:eastAsia="ja-JP"/>
        </w:rPr>
        <w:t xml:space="preserve"> E, </w:t>
      </w:r>
      <w:proofErr w:type="spellStart"/>
      <w:r w:rsidRPr="00F9703E">
        <w:rPr>
          <w:rFonts w:ascii="Book Antiqua" w:hAnsi="Book Antiqua" w:cs="Arial"/>
          <w:bCs/>
          <w:color w:val="000000" w:themeColor="text1"/>
          <w:kern w:val="36"/>
          <w:sz w:val="24"/>
          <w:szCs w:val="24"/>
          <w:lang w:val="en-US" w:eastAsia="ja-JP"/>
        </w:rPr>
        <w:t>Juillerat</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Nydegger</w:t>
      </w:r>
      <w:proofErr w:type="spellEnd"/>
      <w:r w:rsidRPr="00F9703E">
        <w:rPr>
          <w:rFonts w:ascii="Book Antiqua" w:hAnsi="Book Antiqua" w:cs="Arial"/>
          <w:bCs/>
          <w:color w:val="000000" w:themeColor="text1"/>
          <w:kern w:val="36"/>
          <w:sz w:val="24"/>
          <w:szCs w:val="24"/>
          <w:lang w:val="en-US" w:eastAsia="ja-JP"/>
        </w:rPr>
        <w:t xml:space="preserve"> A, Straumann A, </w:t>
      </w:r>
      <w:proofErr w:type="spellStart"/>
      <w:r w:rsidRPr="00F9703E">
        <w:rPr>
          <w:rFonts w:ascii="Book Antiqua" w:hAnsi="Book Antiqua" w:cs="Arial"/>
          <w:bCs/>
          <w:color w:val="000000" w:themeColor="text1"/>
          <w:kern w:val="36"/>
          <w:sz w:val="24"/>
          <w:szCs w:val="24"/>
          <w:lang w:val="en-US" w:eastAsia="ja-JP"/>
        </w:rPr>
        <w:t>Vavricka</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Biedermann</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Greuter</w:t>
      </w:r>
      <w:proofErr w:type="spellEnd"/>
      <w:r w:rsidRPr="00F9703E">
        <w:rPr>
          <w:rFonts w:ascii="Book Antiqua" w:hAnsi="Book Antiqua" w:cs="Arial"/>
          <w:bCs/>
          <w:color w:val="000000" w:themeColor="text1"/>
          <w:kern w:val="36"/>
          <w:sz w:val="24"/>
          <w:szCs w:val="24"/>
          <w:lang w:val="en-US" w:eastAsia="ja-JP"/>
        </w:rPr>
        <w:t xml:space="preserve"> T, Fraga M, Abdelrahman K, </w:t>
      </w:r>
      <w:proofErr w:type="spellStart"/>
      <w:r w:rsidRPr="00F9703E">
        <w:rPr>
          <w:rFonts w:ascii="Book Antiqua" w:hAnsi="Book Antiqua" w:cs="Arial"/>
          <w:bCs/>
          <w:color w:val="000000" w:themeColor="text1"/>
          <w:kern w:val="36"/>
          <w:sz w:val="24"/>
          <w:szCs w:val="24"/>
          <w:lang w:val="en-US" w:eastAsia="ja-JP"/>
        </w:rPr>
        <w:t>Hahnloser</w:t>
      </w:r>
      <w:proofErr w:type="spellEnd"/>
      <w:r w:rsidRPr="00F9703E">
        <w:rPr>
          <w:rFonts w:ascii="Book Antiqua" w:hAnsi="Book Antiqua" w:cs="Arial"/>
          <w:bCs/>
          <w:color w:val="000000" w:themeColor="text1"/>
          <w:kern w:val="36"/>
          <w:sz w:val="24"/>
          <w:szCs w:val="24"/>
          <w:lang w:val="en-US" w:eastAsia="ja-JP"/>
        </w:rPr>
        <w:t xml:space="preserve"> D, Sauter B, </w:t>
      </w:r>
      <w:proofErr w:type="spellStart"/>
      <w:r w:rsidRPr="00F9703E">
        <w:rPr>
          <w:rFonts w:ascii="Book Antiqua" w:hAnsi="Book Antiqua" w:cs="Arial"/>
          <w:bCs/>
          <w:color w:val="000000" w:themeColor="text1"/>
          <w:kern w:val="36"/>
          <w:sz w:val="24"/>
          <w:szCs w:val="24"/>
          <w:lang w:val="en-US" w:eastAsia="ja-JP"/>
        </w:rPr>
        <w:t>Rogler</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Michetti</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Schoepfer</w:t>
      </w:r>
      <w:proofErr w:type="spellEnd"/>
      <w:r w:rsidRPr="00F9703E">
        <w:rPr>
          <w:rFonts w:ascii="Book Antiqua" w:hAnsi="Book Antiqua" w:cs="Arial"/>
          <w:bCs/>
          <w:color w:val="000000" w:themeColor="text1"/>
          <w:kern w:val="36"/>
          <w:sz w:val="24"/>
          <w:szCs w:val="24"/>
          <w:lang w:val="en-US" w:eastAsia="ja-JP"/>
        </w:rPr>
        <w:t xml:space="preserve"> AM; Swiss IBD Cohort Study Group. Frequency and type of drug-related side effects necessitating treatment discontinuation in the Swiss Inflammatory Bowel Disease Cohort. </w:t>
      </w:r>
      <w:r w:rsidRPr="00F9703E">
        <w:rPr>
          <w:rFonts w:ascii="Book Antiqua" w:hAnsi="Book Antiqua" w:cs="Arial"/>
          <w:bCs/>
          <w:i/>
          <w:iCs/>
          <w:color w:val="000000" w:themeColor="text1"/>
          <w:kern w:val="36"/>
          <w:sz w:val="24"/>
          <w:szCs w:val="24"/>
          <w:lang w:val="en-US" w:eastAsia="ja-JP"/>
        </w:rPr>
        <w:t xml:space="preserve">Eur J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30</w:t>
      </w:r>
      <w:r w:rsidRPr="00F9703E">
        <w:rPr>
          <w:rFonts w:ascii="Book Antiqua" w:hAnsi="Book Antiqua" w:cs="Arial"/>
          <w:bCs/>
          <w:color w:val="000000" w:themeColor="text1"/>
          <w:kern w:val="36"/>
          <w:sz w:val="24"/>
          <w:szCs w:val="24"/>
          <w:lang w:val="en-US" w:eastAsia="ja-JP"/>
        </w:rPr>
        <w:t>: 612-620 [PMID: 29384798 DOI: 10.1097/MEG.0000000000001078]</w:t>
      </w:r>
    </w:p>
    <w:p w14:paraId="2D13C7E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26 </w:t>
      </w:r>
      <w:r w:rsidRPr="00F9703E">
        <w:rPr>
          <w:rFonts w:ascii="Book Antiqua" w:hAnsi="Book Antiqua" w:cs="Arial"/>
          <w:b/>
          <w:bCs/>
          <w:color w:val="000000" w:themeColor="text1"/>
          <w:kern w:val="36"/>
          <w:sz w:val="24"/>
          <w:szCs w:val="24"/>
          <w:lang w:val="en-US" w:eastAsia="ja-JP"/>
        </w:rPr>
        <w:t>Heap GA</w:t>
      </w:r>
      <w:r w:rsidRPr="00F9703E">
        <w:rPr>
          <w:rFonts w:ascii="Book Antiqua" w:hAnsi="Book Antiqua" w:cs="Arial"/>
          <w:bCs/>
          <w:color w:val="000000" w:themeColor="text1"/>
          <w:kern w:val="36"/>
          <w:sz w:val="24"/>
          <w:szCs w:val="24"/>
          <w:lang w:val="en-US" w:eastAsia="ja-JP"/>
        </w:rPr>
        <w:t xml:space="preserve">, So K, Weedon M, </w:t>
      </w:r>
      <w:proofErr w:type="spellStart"/>
      <w:r w:rsidRPr="00F9703E">
        <w:rPr>
          <w:rFonts w:ascii="Book Antiqua" w:hAnsi="Book Antiqua" w:cs="Arial"/>
          <w:bCs/>
          <w:color w:val="000000" w:themeColor="text1"/>
          <w:kern w:val="36"/>
          <w:sz w:val="24"/>
          <w:szCs w:val="24"/>
          <w:lang w:val="en-US" w:eastAsia="ja-JP"/>
        </w:rPr>
        <w:t>Edney</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Bewshea</w:t>
      </w:r>
      <w:proofErr w:type="spellEnd"/>
      <w:r w:rsidRPr="00F9703E">
        <w:rPr>
          <w:rFonts w:ascii="Book Antiqua" w:hAnsi="Book Antiqua" w:cs="Arial"/>
          <w:bCs/>
          <w:color w:val="000000" w:themeColor="text1"/>
          <w:kern w:val="36"/>
          <w:sz w:val="24"/>
          <w:szCs w:val="24"/>
          <w:lang w:val="en-US" w:eastAsia="ja-JP"/>
        </w:rPr>
        <w:t xml:space="preserve"> C, Singh A, </w:t>
      </w:r>
      <w:proofErr w:type="spellStart"/>
      <w:r w:rsidRPr="00F9703E">
        <w:rPr>
          <w:rFonts w:ascii="Book Antiqua" w:hAnsi="Book Antiqua" w:cs="Arial"/>
          <w:bCs/>
          <w:color w:val="000000" w:themeColor="text1"/>
          <w:kern w:val="36"/>
          <w:sz w:val="24"/>
          <w:szCs w:val="24"/>
          <w:lang w:val="en-US" w:eastAsia="ja-JP"/>
        </w:rPr>
        <w:t>Annese</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Beckly</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Buurman</w:t>
      </w:r>
      <w:proofErr w:type="spellEnd"/>
      <w:r w:rsidRPr="00F9703E">
        <w:rPr>
          <w:rFonts w:ascii="Book Antiqua" w:hAnsi="Book Antiqua" w:cs="Arial"/>
          <w:bCs/>
          <w:color w:val="000000" w:themeColor="text1"/>
          <w:kern w:val="36"/>
          <w:sz w:val="24"/>
          <w:szCs w:val="24"/>
          <w:lang w:val="en-US" w:eastAsia="ja-JP"/>
        </w:rPr>
        <w:t xml:space="preserve"> D, Chaudhary R, Cole AT, Cooper SC, Creed T, Cummings F, de Boer NK, </w:t>
      </w:r>
      <w:proofErr w:type="spellStart"/>
      <w:r w:rsidRPr="00F9703E">
        <w:rPr>
          <w:rFonts w:ascii="Book Antiqua" w:hAnsi="Book Antiqua" w:cs="Arial"/>
          <w:bCs/>
          <w:color w:val="000000" w:themeColor="text1"/>
          <w:kern w:val="36"/>
          <w:sz w:val="24"/>
          <w:szCs w:val="24"/>
          <w:lang w:val="en-US" w:eastAsia="ja-JP"/>
        </w:rPr>
        <w:lastRenderedPageBreak/>
        <w:t>D'Inca</w:t>
      </w:r>
      <w:proofErr w:type="spellEnd"/>
      <w:r w:rsidRPr="00F9703E">
        <w:rPr>
          <w:rFonts w:ascii="Book Antiqua" w:hAnsi="Book Antiqua" w:cs="Arial"/>
          <w:bCs/>
          <w:color w:val="000000" w:themeColor="text1"/>
          <w:kern w:val="36"/>
          <w:sz w:val="24"/>
          <w:szCs w:val="24"/>
          <w:lang w:val="en-US" w:eastAsia="ja-JP"/>
        </w:rPr>
        <w:t xml:space="preserve"> R, D'Souza R, </w:t>
      </w:r>
      <w:proofErr w:type="spellStart"/>
      <w:r w:rsidRPr="00F9703E">
        <w:rPr>
          <w:rFonts w:ascii="Book Antiqua" w:hAnsi="Book Antiqua" w:cs="Arial"/>
          <w:bCs/>
          <w:color w:val="000000" w:themeColor="text1"/>
          <w:kern w:val="36"/>
          <w:sz w:val="24"/>
          <w:szCs w:val="24"/>
          <w:lang w:val="en-US" w:eastAsia="ja-JP"/>
        </w:rPr>
        <w:t>Daneshmend</w:t>
      </w:r>
      <w:proofErr w:type="spellEnd"/>
      <w:r w:rsidRPr="00F9703E">
        <w:rPr>
          <w:rFonts w:ascii="Book Antiqua" w:hAnsi="Book Antiqua" w:cs="Arial"/>
          <w:bCs/>
          <w:color w:val="000000" w:themeColor="text1"/>
          <w:kern w:val="36"/>
          <w:sz w:val="24"/>
          <w:szCs w:val="24"/>
          <w:lang w:val="en-US" w:eastAsia="ja-JP"/>
        </w:rPr>
        <w:t xml:space="preserve"> TK, Delaney M, Dhar A, </w:t>
      </w:r>
      <w:proofErr w:type="spellStart"/>
      <w:r w:rsidRPr="00F9703E">
        <w:rPr>
          <w:rFonts w:ascii="Book Antiqua" w:hAnsi="Book Antiqua" w:cs="Arial"/>
          <w:bCs/>
          <w:color w:val="000000" w:themeColor="text1"/>
          <w:kern w:val="36"/>
          <w:sz w:val="24"/>
          <w:szCs w:val="24"/>
          <w:lang w:val="en-US" w:eastAsia="ja-JP"/>
        </w:rPr>
        <w:t>Direkze</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Dunckley</w:t>
      </w:r>
      <w:proofErr w:type="spellEnd"/>
      <w:r w:rsidRPr="00F9703E">
        <w:rPr>
          <w:rFonts w:ascii="Book Antiqua" w:hAnsi="Book Antiqua" w:cs="Arial"/>
          <w:bCs/>
          <w:color w:val="000000" w:themeColor="text1"/>
          <w:kern w:val="36"/>
          <w:sz w:val="24"/>
          <w:szCs w:val="24"/>
          <w:lang w:val="en-US" w:eastAsia="ja-JP"/>
        </w:rPr>
        <w:t xml:space="preserve"> P, Gaya DR, </w:t>
      </w:r>
      <w:proofErr w:type="spellStart"/>
      <w:r w:rsidRPr="00F9703E">
        <w:rPr>
          <w:rFonts w:ascii="Book Antiqua" w:hAnsi="Book Antiqua" w:cs="Arial"/>
          <w:bCs/>
          <w:color w:val="000000" w:themeColor="text1"/>
          <w:kern w:val="36"/>
          <w:sz w:val="24"/>
          <w:szCs w:val="24"/>
          <w:lang w:val="en-US" w:eastAsia="ja-JP"/>
        </w:rPr>
        <w:t>Gearry</w:t>
      </w:r>
      <w:proofErr w:type="spellEnd"/>
      <w:r w:rsidRPr="00F9703E">
        <w:rPr>
          <w:rFonts w:ascii="Book Antiqua" w:hAnsi="Book Antiqua" w:cs="Arial"/>
          <w:bCs/>
          <w:color w:val="000000" w:themeColor="text1"/>
          <w:kern w:val="36"/>
          <w:sz w:val="24"/>
          <w:szCs w:val="24"/>
          <w:lang w:val="en-US" w:eastAsia="ja-JP"/>
        </w:rPr>
        <w:t xml:space="preserve"> R, Gore S, </w:t>
      </w:r>
      <w:proofErr w:type="spellStart"/>
      <w:r w:rsidRPr="00F9703E">
        <w:rPr>
          <w:rFonts w:ascii="Book Antiqua" w:hAnsi="Book Antiqua" w:cs="Arial"/>
          <w:bCs/>
          <w:color w:val="000000" w:themeColor="text1"/>
          <w:kern w:val="36"/>
          <w:sz w:val="24"/>
          <w:szCs w:val="24"/>
          <w:lang w:val="en-US" w:eastAsia="ja-JP"/>
        </w:rPr>
        <w:t>Halfvarson</w:t>
      </w:r>
      <w:proofErr w:type="spellEnd"/>
      <w:r w:rsidRPr="00F9703E">
        <w:rPr>
          <w:rFonts w:ascii="Book Antiqua" w:hAnsi="Book Antiqua" w:cs="Arial"/>
          <w:bCs/>
          <w:color w:val="000000" w:themeColor="text1"/>
          <w:kern w:val="36"/>
          <w:sz w:val="24"/>
          <w:szCs w:val="24"/>
          <w:lang w:val="en-US" w:eastAsia="ja-JP"/>
        </w:rPr>
        <w:t xml:space="preserve"> J, Hart A, </w:t>
      </w:r>
      <w:proofErr w:type="spellStart"/>
      <w:r w:rsidRPr="00F9703E">
        <w:rPr>
          <w:rFonts w:ascii="Book Antiqua" w:hAnsi="Book Antiqua" w:cs="Arial"/>
          <w:bCs/>
          <w:color w:val="000000" w:themeColor="text1"/>
          <w:kern w:val="36"/>
          <w:sz w:val="24"/>
          <w:szCs w:val="24"/>
          <w:lang w:val="en-US" w:eastAsia="ja-JP"/>
        </w:rPr>
        <w:t>Hawkey</w:t>
      </w:r>
      <w:proofErr w:type="spellEnd"/>
      <w:r w:rsidRPr="00F9703E">
        <w:rPr>
          <w:rFonts w:ascii="Book Antiqua" w:hAnsi="Book Antiqua" w:cs="Arial"/>
          <w:bCs/>
          <w:color w:val="000000" w:themeColor="text1"/>
          <w:kern w:val="36"/>
          <w:sz w:val="24"/>
          <w:szCs w:val="24"/>
          <w:lang w:val="en-US" w:eastAsia="ja-JP"/>
        </w:rPr>
        <w:t xml:space="preserve"> CJ, </w:t>
      </w:r>
      <w:proofErr w:type="spellStart"/>
      <w:r w:rsidRPr="00F9703E">
        <w:rPr>
          <w:rFonts w:ascii="Book Antiqua" w:hAnsi="Book Antiqua" w:cs="Arial"/>
          <w:bCs/>
          <w:color w:val="000000" w:themeColor="text1"/>
          <w:kern w:val="36"/>
          <w:sz w:val="24"/>
          <w:szCs w:val="24"/>
          <w:lang w:val="en-US" w:eastAsia="ja-JP"/>
        </w:rPr>
        <w:t>Hoentjen</w:t>
      </w:r>
      <w:proofErr w:type="spellEnd"/>
      <w:r w:rsidRPr="00F9703E">
        <w:rPr>
          <w:rFonts w:ascii="Book Antiqua" w:hAnsi="Book Antiqua" w:cs="Arial"/>
          <w:bCs/>
          <w:color w:val="000000" w:themeColor="text1"/>
          <w:kern w:val="36"/>
          <w:sz w:val="24"/>
          <w:szCs w:val="24"/>
          <w:lang w:val="en-US" w:eastAsia="ja-JP"/>
        </w:rPr>
        <w:t xml:space="preserve"> F, Iqbal T, Irving P, Lal S, </w:t>
      </w:r>
      <w:proofErr w:type="spellStart"/>
      <w:r w:rsidRPr="00F9703E">
        <w:rPr>
          <w:rFonts w:ascii="Book Antiqua" w:hAnsi="Book Antiqua" w:cs="Arial"/>
          <w:bCs/>
          <w:color w:val="000000" w:themeColor="text1"/>
          <w:kern w:val="36"/>
          <w:sz w:val="24"/>
          <w:szCs w:val="24"/>
          <w:lang w:val="en-US" w:eastAsia="ja-JP"/>
        </w:rPr>
        <w:t>Lawrance</w:t>
      </w:r>
      <w:proofErr w:type="spellEnd"/>
      <w:r w:rsidRPr="00F9703E">
        <w:rPr>
          <w:rFonts w:ascii="Book Antiqua" w:hAnsi="Book Antiqua" w:cs="Arial"/>
          <w:bCs/>
          <w:color w:val="000000" w:themeColor="text1"/>
          <w:kern w:val="36"/>
          <w:sz w:val="24"/>
          <w:szCs w:val="24"/>
          <w:lang w:val="en-US" w:eastAsia="ja-JP"/>
        </w:rPr>
        <w:t xml:space="preserve"> I, Lees CW, Lockett M, Mann S, Mansfield J, Mowat C, Mulgrew CJ, Muller F, Murray C, </w:t>
      </w:r>
      <w:proofErr w:type="spellStart"/>
      <w:r w:rsidRPr="00F9703E">
        <w:rPr>
          <w:rFonts w:ascii="Book Antiqua" w:hAnsi="Book Antiqua" w:cs="Arial"/>
          <w:bCs/>
          <w:color w:val="000000" w:themeColor="text1"/>
          <w:kern w:val="36"/>
          <w:sz w:val="24"/>
          <w:szCs w:val="24"/>
          <w:lang w:val="en-US" w:eastAsia="ja-JP"/>
        </w:rPr>
        <w:t>Oram</w:t>
      </w:r>
      <w:proofErr w:type="spellEnd"/>
      <w:r w:rsidRPr="00F9703E">
        <w:rPr>
          <w:rFonts w:ascii="Book Antiqua" w:hAnsi="Book Antiqua" w:cs="Arial"/>
          <w:bCs/>
          <w:color w:val="000000" w:themeColor="text1"/>
          <w:kern w:val="36"/>
          <w:sz w:val="24"/>
          <w:szCs w:val="24"/>
          <w:lang w:val="en-US" w:eastAsia="ja-JP"/>
        </w:rPr>
        <w:t xml:space="preserve"> R, Orchard T, Parkes M, Phillips R, Pollok R, Radford-Smith G, Sebastian S, Sen S, Shirazi T, Silverberg M, Solomon L, </w:t>
      </w:r>
      <w:proofErr w:type="spellStart"/>
      <w:r w:rsidRPr="00F9703E">
        <w:rPr>
          <w:rFonts w:ascii="Book Antiqua" w:hAnsi="Book Antiqua" w:cs="Arial"/>
          <w:bCs/>
          <w:color w:val="000000" w:themeColor="text1"/>
          <w:kern w:val="36"/>
          <w:sz w:val="24"/>
          <w:szCs w:val="24"/>
          <w:lang w:val="en-US" w:eastAsia="ja-JP"/>
        </w:rPr>
        <w:t>Sturniolo</w:t>
      </w:r>
      <w:proofErr w:type="spellEnd"/>
      <w:r w:rsidRPr="00F9703E">
        <w:rPr>
          <w:rFonts w:ascii="Book Antiqua" w:hAnsi="Book Antiqua" w:cs="Arial"/>
          <w:bCs/>
          <w:color w:val="000000" w:themeColor="text1"/>
          <w:kern w:val="36"/>
          <w:sz w:val="24"/>
          <w:szCs w:val="24"/>
          <w:lang w:val="en-US" w:eastAsia="ja-JP"/>
        </w:rPr>
        <w:t xml:space="preserve"> GC, Thomas M, </w:t>
      </w:r>
      <w:proofErr w:type="spellStart"/>
      <w:r w:rsidRPr="00F9703E">
        <w:rPr>
          <w:rFonts w:ascii="Book Antiqua" w:hAnsi="Book Antiqua" w:cs="Arial"/>
          <w:bCs/>
          <w:color w:val="000000" w:themeColor="text1"/>
          <w:kern w:val="36"/>
          <w:sz w:val="24"/>
          <w:szCs w:val="24"/>
          <w:lang w:val="en-US" w:eastAsia="ja-JP"/>
        </w:rPr>
        <w:t>Tremelling</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Tsianos</w:t>
      </w:r>
      <w:proofErr w:type="spellEnd"/>
      <w:r w:rsidRPr="00F9703E">
        <w:rPr>
          <w:rFonts w:ascii="Book Antiqua" w:hAnsi="Book Antiqua" w:cs="Arial"/>
          <w:bCs/>
          <w:color w:val="000000" w:themeColor="text1"/>
          <w:kern w:val="36"/>
          <w:sz w:val="24"/>
          <w:szCs w:val="24"/>
          <w:lang w:val="en-US" w:eastAsia="ja-JP"/>
        </w:rPr>
        <w:t xml:space="preserve"> EV, Watts D, Weaver S, </w:t>
      </w:r>
      <w:proofErr w:type="spellStart"/>
      <w:r w:rsidRPr="00F9703E">
        <w:rPr>
          <w:rFonts w:ascii="Book Antiqua" w:hAnsi="Book Antiqua" w:cs="Arial"/>
          <w:bCs/>
          <w:color w:val="000000" w:themeColor="text1"/>
          <w:kern w:val="36"/>
          <w:sz w:val="24"/>
          <w:szCs w:val="24"/>
          <w:lang w:val="en-US" w:eastAsia="ja-JP"/>
        </w:rPr>
        <w:t>Weersma</w:t>
      </w:r>
      <w:proofErr w:type="spellEnd"/>
      <w:r w:rsidRPr="00F9703E">
        <w:rPr>
          <w:rFonts w:ascii="Book Antiqua" w:hAnsi="Book Antiqua" w:cs="Arial"/>
          <w:bCs/>
          <w:color w:val="000000" w:themeColor="text1"/>
          <w:kern w:val="36"/>
          <w:sz w:val="24"/>
          <w:szCs w:val="24"/>
          <w:lang w:val="en-US" w:eastAsia="ja-JP"/>
        </w:rPr>
        <w:t xml:space="preserve"> RK, Wesley E, Holden A, Ahmad T. Clinical Features and HLA Association of 5-Aminosalicylate (5-ASA)-induced Nephrotoxicity in Inflammatory Bowel Disease.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10</w:t>
      </w:r>
      <w:r w:rsidRPr="00F9703E">
        <w:rPr>
          <w:rFonts w:ascii="Book Antiqua" w:hAnsi="Book Antiqua" w:cs="Arial"/>
          <w:bCs/>
          <w:color w:val="000000" w:themeColor="text1"/>
          <w:kern w:val="36"/>
          <w:sz w:val="24"/>
          <w:szCs w:val="24"/>
          <w:lang w:val="en-US" w:eastAsia="ja-JP"/>
        </w:rPr>
        <w:t>: 149-158 [PMID: 26619893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/jjv219]</w:t>
      </w:r>
    </w:p>
    <w:p w14:paraId="6AE82328" w14:textId="1DEE91B2"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27 </w:t>
      </w:r>
      <w:r w:rsidRPr="00F9703E">
        <w:rPr>
          <w:rFonts w:ascii="Book Antiqua" w:hAnsi="Book Antiqua" w:cs="Arial"/>
          <w:b/>
          <w:bCs/>
          <w:color w:val="000000" w:themeColor="text1"/>
          <w:kern w:val="36"/>
          <w:sz w:val="24"/>
          <w:szCs w:val="24"/>
          <w:lang w:val="en-US" w:eastAsia="ja-JP"/>
        </w:rPr>
        <w:t>Demir N</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Yuruyen</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Atay</w:t>
      </w:r>
      <w:proofErr w:type="spellEnd"/>
      <w:r w:rsidRPr="00F9703E">
        <w:rPr>
          <w:rFonts w:ascii="Book Antiqua" w:hAnsi="Book Antiqua" w:cs="Arial"/>
          <w:bCs/>
          <w:color w:val="000000" w:themeColor="text1"/>
          <w:kern w:val="36"/>
          <w:sz w:val="24"/>
          <w:szCs w:val="24"/>
          <w:lang w:val="en-US" w:eastAsia="ja-JP"/>
        </w:rPr>
        <w:t xml:space="preserve"> K, </w:t>
      </w:r>
      <w:proofErr w:type="spellStart"/>
      <w:r w:rsidRPr="00F9703E">
        <w:rPr>
          <w:rFonts w:ascii="Book Antiqua" w:hAnsi="Book Antiqua" w:cs="Arial"/>
          <w:bCs/>
          <w:color w:val="000000" w:themeColor="text1"/>
          <w:kern w:val="36"/>
          <w:sz w:val="24"/>
          <w:szCs w:val="24"/>
          <w:lang w:val="en-US" w:eastAsia="ja-JP"/>
        </w:rPr>
        <w:t>Yavuzer</w:t>
      </w:r>
      <w:proofErr w:type="spellEnd"/>
      <w:r w:rsidRPr="00F9703E">
        <w:rPr>
          <w:rFonts w:ascii="Book Antiqua" w:hAnsi="Book Antiqua" w:cs="Arial"/>
          <w:bCs/>
          <w:color w:val="000000" w:themeColor="text1"/>
          <w:kern w:val="36"/>
          <w:sz w:val="24"/>
          <w:szCs w:val="24"/>
          <w:lang w:val="en-US" w:eastAsia="ja-JP"/>
        </w:rPr>
        <w:t xml:space="preserve"> H, Hatemi I, </w:t>
      </w:r>
      <w:proofErr w:type="spellStart"/>
      <w:r w:rsidRPr="00F9703E">
        <w:rPr>
          <w:rFonts w:ascii="Book Antiqua" w:hAnsi="Book Antiqua" w:cs="Arial"/>
          <w:bCs/>
          <w:color w:val="000000" w:themeColor="text1"/>
          <w:kern w:val="36"/>
          <w:sz w:val="24"/>
          <w:szCs w:val="24"/>
          <w:lang w:val="en-US" w:eastAsia="ja-JP"/>
        </w:rPr>
        <w:t>Doventas</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Erdincler</w:t>
      </w:r>
      <w:proofErr w:type="spellEnd"/>
      <w:r w:rsidRPr="00F9703E">
        <w:rPr>
          <w:rFonts w:ascii="Book Antiqua" w:hAnsi="Book Antiqua" w:cs="Arial"/>
          <w:bCs/>
          <w:color w:val="000000" w:themeColor="text1"/>
          <w:kern w:val="36"/>
          <w:sz w:val="24"/>
          <w:szCs w:val="24"/>
          <w:lang w:val="en-US" w:eastAsia="ja-JP"/>
        </w:rPr>
        <w:t xml:space="preserve"> DS, </w:t>
      </w:r>
      <w:proofErr w:type="spellStart"/>
      <w:r w:rsidRPr="00F9703E">
        <w:rPr>
          <w:rFonts w:ascii="Book Antiqua" w:hAnsi="Book Antiqua" w:cs="Arial"/>
          <w:bCs/>
          <w:color w:val="000000" w:themeColor="text1"/>
          <w:kern w:val="36"/>
          <w:sz w:val="24"/>
          <w:szCs w:val="24"/>
          <w:lang w:val="en-US" w:eastAsia="ja-JP"/>
        </w:rPr>
        <w:t>Dobrucalı</w:t>
      </w:r>
      <w:proofErr w:type="spellEnd"/>
      <w:r w:rsidRPr="00F9703E">
        <w:rPr>
          <w:rFonts w:ascii="Book Antiqua" w:hAnsi="Book Antiqua" w:cs="Arial"/>
          <w:bCs/>
          <w:color w:val="000000" w:themeColor="text1"/>
          <w:kern w:val="36"/>
          <w:sz w:val="24"/>
          <w:szCs w:val="24"/>
          <w:lang w:val="en-US" w:eastAsia="ja-JP"/>
        </w:rPr>
        <w:t xml:space="preserve"> A. Prevalence of fecal incontinence and associated risk factors in elderly outpatients: a cross-sectional study. </w:t>
      </w:r>
      <w:r w:rsidRPr="00F9703E">
        <w:rPr>
          <w:rFonts w:ascii="Book Antiqua" w:hAnsi="Book Antiqua" w:cs="Arial"/>
          <w:bCs/>
          <w:i/>
          <w:iCs/>
          <w:color w:val="000000" w:themeColor="text1"/>
          <w:kern w:val="36"/>
          <w:sz w:val="24"/>
          <w:szCs w:val="24"/>
          <w:lang w:val="en-US" w:eastAsia="ja-JP"/>
        </w:rPr>
        <w:t>Aging Clin Exp Res</w:t>
      </w:r>
      <w:r w:rsidR="002A4D38">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2017; </w:t>
      </w:r>
      <w:r w:rsidRPr="00F9703E">
        <w:rPr>
          <w:rFonts w:ascii="Book Antiqua" w:hAnsi="Book Antiqua" w:cs="Arial"/>
          <w:b/>
          <w:bCs/>
          <w:color w:val="000000" w:themeColor="text1"/>
          <w:kern w:val="36"/>
          <w:sz w:val="24"/>
          <w:szCs w:val="24"/>
          <w:lang w:val="en-US" w:eastAsia="ja-JP"/>
        </w:rPr>
        <w:t>29</w:t>
      </w:r>
      <w:r w:rsidRPr="00F9703E">
        <w:rPr>
          <w:rFonts w:ascii="Book Antiqua" w:hAnsi="Book Antiqua" w:cs="Arial"/>
          <w:bCs/>
          <w:color w:val="000000" w:themeColor="text1"/>
          <w:kern w:val="36"/>
          <w:sz w:val="24"/>
          <w:szCs w:val="24"/>
          <w:lang w:val="en-US" w:eastAsia="ja-JP"/>
        </w:rPr>
        <w:t>: 1165-1171 [PMID: 28120284 DOI: 10.1007/s40520-017-0723-x]</w:t>
      </w:r>
    </w:p>
    <w:p w14:paraId="6699B19C"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28 </w:t>
      </w:r>
      <w:r w:rsidRPr="00F9703E">
        <w:rPr>
          <w:rFonts w:ascii="Book Antiqua" w:hAnsi="Book Antiqua" w:cs="Arial"/>
          <w:b/>
          <w:bCs/>
          <w:color w:val="000000" w:themeColor="text1"/>
          <w:kern w:val="36"/>
          <w:sz w:val="24"/>
          <w:szCs w:val="24"/>
          <w:lang w:val="en-US" w:eastAsia="ja-JP"/>
        </w:rPr>
        <w:t>Wells PS</w:t>
      </w:r>
      <w:r w:rsidRPr="00F9703E">
        <w:rPr>
          <w:rFonts w:ascii="Book Antiqua" w:hAnsi="Book Antiqua" w:cs="Arial"/>
          <w:bCs/>
          <w:color w:val="000000" w:themeColor="text1"/>
          <w:kern w:val="36"/>
          <w:sz w:val="24"/>
          <w:szCs w:val="24"/>
          <w:lang w:val="en-US" w:eastAsia="ja-JP"/>
        </w:rPr>
        <w:t>, Holbrook AM, Crowther NR, Hirsh J. Interactions of warfarin with drugs and food. </w:t>
      </w:r>
      <w:r w:rsidRPr="00F9703E">
        <w:rPr>
          <w:rFonts w:ascii="Book Antiqua" w:hAnsi="Book Antiqua" w:cs="Arial"/>
          <w:bCs/>
          <w:i/>
          <w:iCs/>
          <w:color w:val="000000" w:themeColor="text1"/>
          <w:kern w:val="36"/>
          <w:sz w:val="24"/>
          <w:szCs w:val="24"/>
          <w:lang w:val="en-US" w:eastAsia="ja-JP"/>
        </w:rPr>
        <w:t>Ann Intern Med</w:t>
      </w:r>
      <w:r w:rsidRPr="00F9703E">
        <w:rPr>
          <w:rFonts w:ascii="Book Antiqua" w:hAnsi="Book Antiqua" w:cs="Arial"/>
          <w:bCs/>
          <w:color w:val="000000" w:themeColor="text1"/>
          <w:kern w:val="36"/>
          <w:sz w:val="24"/>
          <w:szCs w:val="24"/>
          <w:lang w:val="en-US" w:eastAsia="ja-JP"/>
        </w:rPr>
        <w:t> 1994; </w:t>
      </w:r>
      <w:r w:rsidRPr="00F9703E">
        <w:rPr>
          <w:rFonts w:ascii="Book Antiqua" w:hAnsi="Book Antiqua" w:cs="Arial"/>
          <w:b/>
          <w:bCs/>
          <w:color w:val="000000" w:themeColor="text1"/>
          <w:kern w:val="36"/>
          <w:sz w:val="24"/>
          <w:szCs w:val="24"/>
          <w:lang w:val="en-US" w:eastAsia="ja-JP"/>
        </w:rPr>
        <w:t>121</w:t>
      </w:r>
      <w:r w:rsidRPr="00F9703E">
        <w:rPr>
          <w:rFonts w:ascii="Book Antiqua" w:hAnsi="Book Antiqua" w:cs="Arial"/>
          <w:bCs/>
          <w:color w:val="000000" w:themeColor="text1"/>
          <w:kern w:val="36"/>
          <w:sz w:val="24"/>
          <w:szCs w:val="24"/>
          <w:lang w:val="en-US" w:eastAsia="ja-JP"/>
        </w:rPr>
        <w:t>: 676-683 [PMID: 7944078]</w:t>
      </w:r>
    </w:p>
    <w:p w14:paraId="313FA615"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29 </w:t>
      </w:r>
      <w:r w:rsidRPr="00F9703E">
        <w:rPr>
          <w:rFonts w:ascii="Book Antiqua" w:hAnsi="Book Antiqua" w:cs="Arial"/>
          <w:b/>
          <w:bCs/>
          <w:color w:val="000000" w:themeColor="text1"/>
          <w:kern w:val="36"/>
          <w:sz w:val="24"/>
          <w:szCs w:val="24"/>
          <w:lang w:val="en-US" w:eastAsia="ja-JP"/>
        </w:rPr>
        <w:t>Kim M</w:t>
      </w:r>
      <w:r w:rsidRPr="00F9703E">
        <w:rPr>
          <w:rFonts w:ascii="Book Antiqua" w:hAnsi="Book Antiqua" w:cs="Arial"/>
          <w:bCs/>
          <w:color w:val="000000" w:themeColor="text1"/>
          <w:kern w:val="36"/>
          <w:sz w:val="24"/>
          <w:szCs w:val="24"/>
          <w:lang w:val="en-US" w:eastAsia="ja-JP"/>
        </w:rPr>
        <w:t>, Katz S, Green J. Drug Management in the Elderly IBD Patient. </w:t>
      </w:r>
      <w:proofErr w:type="spellStart"/>
      <w:r w:rsidRPr="00F9703E">
        <w:rPr>
          <w:rFonts w:ascii="Book Antiqua" w:hAnsi="Book Antiqua" w:cs="Arial"/>
          <w:bCs/>
          <w:i/>
          <w:iCs/>
          <w:color w:val="000000" w:themeColor="text1"/>
          <w:kern w:val="36"/>
          <w:sz w:val="24"/>
          <w:szCs w:val="24"/>
          <w:lang w:val="en-US" w:eastAsia="ja-JP"/>
        </w:rPr>
        <w:t>Curr</w:t>
      </w:r>
      <w:proofErr w:type="spellEnd"/>
      <w:r w:rsidRPr="00F9703E">
        <w:rPr>
          <w:rFonts w:ascii="Book Antiqua" w:hAnsi="Book Antiqua" w:cs="Arial"/>
          <w:bCs/>
          <w:i/>
          <w:iCs/>
          <w:color w:val="000000" w:themeColor="text1"/>
          <w:kern w:val="36"/>
          <w:sz w:val="24"/>
          <w:szCs w:val="24"/>
          <w:lang w:val="en-US" w:eastAsia="ja-JP"/>
        </w:rPr>
        <w:t xml:space="preserve"> Treat Options Gastroenterol</w:t>
      </w:r>
      <w:r w:rsidRPr="00F9703E">
        <w:rPr>
          <w:rFonts w:ascii="Book Antiqua" w:hAnsi="Book Antiqua" w:cs="Arial"/>
          <w:bCs/>
          <w:color w:val="000000" w:themeColor="text1"/>
          <w:kern w:val="36"/>
          <w:sz w:val="24"/>
          <w:szCs w:val="24"/>
          <w:lang w:val="en-US" w:eastAsia="ja-JP"/>
        </w:rPr>
        <w:t> 2015; </w:t>
      </w:r>
      <w:r w:rsidRPr="00F9703E">
        <w:rPr>
          <w:rFonts w:ascii="Book Antiqua" w:hAnsi="Book Antiqua" w:cs="Arial"/>
          <w:b/>
          <w:bCs/>
          <w:color w:val="000000" w:themeColor="text1"/>
          <w:kern w:val="36"/>
          <w:sz w:val="24"/>
          <w:szCs w:val="24"/>
          <w:lang w:val="en-US" w:eastAsia="ja-JP"/>
        </w:rPr>
        <w:t>13</w:t>
      </w:r>
      <w:r w:rsidRPr="00F9703E">
        <w:rPr>
          <w:rFonts w:ascii="Book Antiqua" w:hAnsi="Book Antiqua" w:cs="Arial"/>
          <w:bCs/>
          <w:color w:val="000000" w:themeColor="text1"/>
          <w:kern w:val="36"/>
          <w:sz w:val="24"/>
          <w:szCs w:val="24"/>
          <w:lang w:val="en-US" w:eastAsia="ja-JP"/>
        </w:rPr>
        <w:t>: 90-104 [PMID: 25617139 DOI: 10.1007/s11938-014-0039-2]</w:t>
      </w:r>
    </w:p>
    <w:p w14:paraId="71D3497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30 </w:t>
      </w:r>
      <w:r w:rsidRPr="00F9703E">
        <w:rPr>
          <w:rFonts w:ascii="Book Antiqua" w:hAnsi="Book Antiqua" w:cs="Arial"/>
          <w:b/>
          <w:bCs/>
          <w:color w:val="000000" w:themeColor="text1"/>
          <w:kern w:val="36"/>
          <w:sz w:val="24"/>
          <w:szCs w:val="24"/>
          <w:lang w:val="en-US" w:eastAsia="ja-JP"/>
        </w:rPr>
        <w:t>Parian A</w:t>
      </w:r>
      <w:r w:rsidRPr="00F9703E">
        <w:rPr>
          <w:rFonts w:ascii="Book Antiqua" w:hAnsi="Book Antiqua" w:cs="Arial"/>
          <w:bCs/>
          <w:color w:val="000000" w:themeColor="text1"/>
          <w:kern w:val="36"/>
          <w:sz w:val="24"/>
          <w:szCs w:val="24"/>
          <w:lang w:val="en-US" w:eastAsia="ja-JP"/>
        </w:rPr>
        <w:t>, Ha CY. Older age and steroid use are associated with increasing polypharmacy and potential medication interactions among patients with inflammatory bowel disease.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2015; </w:t>
      </w:r>
      <w:r w:rsidRPr="00F9703E">
        <w:rPr>
          <w:rFonts w:ascii="Book Antiqua" w:hAnsi="Book Antiqua" w:cs="Arial"/>
          <w:b/>
          <w:bCs/>
          <w:color w:val="000000" w:themeColor="text1"/>
          <w:kern w:val="36"/>
          <w:sz w:val="24"/>
          <w:szCs w:val="24"/>
          <w:lang w:val="en-US" w:eastAsia="ja-JP"/>
        </w:rPr>
        <w:t>21</w:t>
      </w:r>
      <w:r w:rsidRPr="00F9703E">
        <w:rPr>
          <w:rFonts w:ascii="Book Antiqua" w:hAnsi="Book Antiqua" w:cs="Arial"/>
          <w:bCs/>
          <w:color w:val="000000" w:themeColor="text1"/>
          <w:kern w:val="36"/>
          <w:sz w:val="24"/>
          <w:szCs w:val="24"/>
          <w:lang w:val="en-US" w:eastAsia="ja-JP"/>
        </w:rPr>
        <w:t>: 1392-1400 [PMID: 25856768 DOI: 10.1097/MIB.0000000000000391]</w:t>
      </w:r>
    </w:p>
    <w:p w14:paraId="51B76D1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31 </w:t>
      </w:r>
      <w:proofErr w:type="spellStart"/>
      <w:r w:rsidRPr="00F9703E">
        <w:rPr>
          <w:rFonts w:ascii="Book Antiqua" w:hAnsi="Book Antiqua" w:cs="Arial"/>
          <w:b/>
          <w:bCs/>
          <w:color w:val="000000" w:themeColor="text1"/>
          <w:kern w:val="36"/>
          <w:sz w:val="24"/>
          <w:szCs w:val="24"/>
          <w:lang w:val="en-US" w:eastAsia="ja-JP"/>
        </w:rPr>
        <w:t>Duricova</w:t>
      </w:r>
      <w:proofErr w:type="spellEnd"/>
      <w:r w:rsidRPr="00F9703E">
        <w:rPr>
          <w:rFonts w:ascii="Book Antiqua" w:hAnsi="Book Antiqua" w:cs="Arial"/>
          <w:b/>
          <w:bCs/>
          <w:color w:val="000000" w:themeColor="text1"/>
          <w:kern w:val="36"/>
          <w:sz w:val="24"/>
          <w:szCs w:val="24"/>
          <w:lang w:val="en-US" w:eastAsia="ja-JP"/>
        </w:rPr>
        <w:t xml:space="preserve"> D</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Pariente</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Sarter</w:t>
      </w:r>
      <w:proofErr w:type="spellEnd"/>
      <w:r w:rsidRPr="00F9703E">
        <w:rPr>
          <w:rFonts w:ascii="Book Antiqua" w:hAnsi="Book Antiqua" w:cs="Arial"/>
          <w:bCs/>
          <w:color w:val="000000" w:themeColor="text1"/>
          <w:kern w:val="36"/>
          <w:sz w:val="24"/>
          <w:szCs w:val="24"/>
          <w:lang w:val="en-US" w:eastAsia="ja-JP"/>
        </w:rPr>
        <w:t xml:space="preserve"> H, </w:t>
      </w:r>
      <w:proofErr w:type="spellStart"/>
      <w:r w:rsidRPr="00F9703E">
        <w:rPr>
          <w:rFonts w:ascii="Book Antiqua" w:hAnsi="Book Antiqua" w:cs="Arial"/>
          <w:bCs/>
          <w:color w:val="000000" w:themeColor="text1"/>
          <w:kern w:val="36"/>
          <w:sz w:val="24"/>
          <w:szCs w:val="24"/>
          <w:lang w:val="en-US" w:eastAsia="ja-JP"/>
        </w:rPr>
        <w:t>Fumery</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Leroyer</w:t>
      </w:r>
      <w:proofErr w:type="spellEnd"/>
      <w:r w:rsidRPr="00F9703E">
        <w:rPr>
          <w:rFonts w:ascii="Book Antiqua" w:hAnsi="Book Antiqua" w:cs="Arial"/>
          <w:bCs/>
          <w:color w:val="000000" w:themeColor="text1"/>
          <w:kern w:val="36"/>
          <w:sz w:val="24"/>
          <w:szCs w:val="24"/>
          <w:lang w:val="en-US" w:eastAsia="ja-JP"/>
        </w:rPr>
        <w:t xml:space="preserve"> A, Charpentier C, </w:t>
      </w:r>
      <w:proofErr w:type="spellStart"/>
      <w:r w:rsidRPr="00F9703E">
        <w:rPr>
          <w:rFonts w:ascii="Book Antiqua" w:hAnsi="Book Antiqua" w:cs="Arial"/>
          <w:bCs/>
          <w:color w:val="000000" w:themeColor="text1"/>
          <w:kern w:val="36"/>
          <w:sz w:val="24"/>
          <w:szCs w:val="24"/>
          <w:lang w:val="en-US" w:eastAsia="ja-JP"/>
        </w:rPr>
        <w:t>Armengol-Debeir</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Savoye</w:t>
      </w:r>
      <w:proofErr w:type="spellEnd"/>
      <w:r w:rsidRPr="00F9703E">
        <w:rPr>
          <w:rFonts w:ascii="Book Antiqua" w:hAnsi="Book Antiqua" w:cs="Arial"/>
          <w:bCs/>
          <w:color w:val="000000" w:themeColor="text1"/>
          <w:kern w:val="36"/>
          <w:sz w:val="24"/>
          <w:szCs w:val="24"/>
          <w:lang w:val="en-US" w:eastAsia="ja-JP"/>
        </w:rPr>
        <w:t xml:space="preserve"> G, Gower-Rousseau C; </w:t>
      </w:r>
      <w:proofErr w:type="spellStart"/>
      <w:r w:rsidRPr="00F9703E">
        <w:rPr>
          <w:rFonts w:ascii="Book Antiqua" w:hAnsi="Book Antiqua" w:cs="Arial"/>
          <w:bCs/>
          <w:color w:val="000000" w:themeColor="text1"/>
          <w:kern w:val="36"/>
          <w:sz w:val="24"/>
          <w:szCs w:val="24"/>
          <w:lang w:val="en-US" w:eastAsia="ja-JP"/>
        </w:rPr>
        <w:t>Epimad</w:t>
      </w:r>
      <w:proofErr w:type="spellEnd"/>
      <w:r w:rsidRPr="00F9703E">
        <w:rPr>
          <w:rFonts w:ascii="Book Antiqua" w:hAnsi="Book Antiqua" w:cs="Arial"/>
          <w:bCs/>
          <w:color w:val="000000" w:themeColor="text1"/>
          <w:kern w:val="36"/>
          <w:sz w:val="24"/>
          <w:szCs w:val="24"/>
          <w:lang w:val="en-US" w:eastAsia="ja-JP"/>
        </w:rPr>
        <w:t xml:space="preserve"> Group. Impact of age at diagnosis on natural history of patients with elderly-onset ulcerative colitis: A French population-based study. </w:t>
      </w:r>
      <w:r w:rsidRPr="00F9703E">
        <w:rPr>
          <w:rFonts w:ascii="Book Antiqua" w:hAnsi="Book Antiqua" w:cs="Arial"/>
          <w:bCs/>
          <w:i/>
          <w:iCs/>
          <w:color w:val="000000" w:themeColor="text1"/>
          <w:kern w:val="36"/>
          <w:sz w:val="24"/>
          <w:szCs w:val="24"/>
          <w:lang w:val="en-US" w:eastAsia="ja-JP"/>
        </w:rPr>
        <w:t>Dig Liver Dis</w:t>
      </w:r>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50</w:t>
      </w:r>
      <w:r w:rsidRPr="00F9703E">
        <w:rPr>
          <w:rFonts w:ascii="Book Antiqua" w:hAnsi="Book Antiqua" w:cs="Arial"/>
          <w:bCs/>
          <w:color w:val="000000" w:themeColor="text1"/>
          <w:kern w:val="36"/>
          <w:sz w:val="24"/>
          <w:szCs w:val="24"/>
          <w:lang w:val="en-US" w:eastAsia="ja-JP"/>
        </w:rPr>
        <w:t>: 903-909 [PMID: 29739650 DOI: 10.1016/j.dld.2018.04.011]</w:t>
      </w:r>
    </w:p>
    <w:p w14:paraId="04E20BF7"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32 </w:t>
      </w:r>
      <w:r w:rsidRPr="00F9703E">
        <w:rPr>
          <w:rFonts w:ascii="Book Antiqua" w:hAnsi="Book Antiqua" w:cs="Arial"/>
          <w:b/>
          <w:bCs/>
          <w:color w:val="000000" w:themeColor="text1"/>
          <w:kern w:val="36"/>
          <w:sz w:val="24"/>
          <w:szCs w:val="24"/>
          <w:lang w:val="en-US" w:eastAsia="ja-JP"/>
        </w:rPr>
        <w:t>Lichtenstein GR</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Feagan</w:t>
      </w:r>
      <w:proofErr w:type="spellEnd"/>
      <w:r w:rsidRPr="00F9703E">
        <w:rPr>
          <w:rFonts w:ascii="Book Antiqua" w:hAnsi="Book Antiqua" w:cs="Arial"/>
          <w:bCs/>
          <w:color w:val="000000" w:themeColor="text1"/>
          <w:kern w:val="36"/>
          <w:sz w:val="24"/>
          <w:szCs w:val="24"/>
          <w:lang w:val="en-US" w:eastAsia="ja-JP"/>
        </w:rPr>
        <w:t xml:space="preserve"> BG, Cohen RD, </w:t>
      </w:r>
      <w:proofErr w:type="spellStart"/>
      <w:r w:rsidRPr="00F9703E">
        <w:rPr>
          <w:rFonts w:ascii="Book Antiqua" w:hAnsi="Book Antiqua" w:cs="Arial"/>
          <w:bCs/>
          <w:color w:val="000000" w:themeColor="text1"/>
          <w:kern w:val="36"/>
          <w:sz w:val="24"/>
          <w:szCs w:val="24"/>
          <w:lang w:val="en-US" w:eastAsia="ja-JP"/>
        </w:rPr>
        <w:t>Salzberg</w:t>
      </w:r>
      <w:proofErr w:type="spellEnd"/>
      <w:r w:rsidRPr="00F9703E">
        <w:rPr>
          <w:rFonts w:ascii="Book Antiqua" w:hAnsi="Book Antiqua" w:cs="Arial"/>
          <w:bCs/>
          <w:color w:val="000000" w:themeColor="text1"/>
          <w:kern w:val="36"/>
          <w:sz w:val="24"/>
          <w:szCs w:val="24"/>
          <w:lang w:val="en-US" w:eastAsia="ja-JP"/>
        </w:rPr>
        <w:t xml:space="preserve"> BA, Diamond RH, Chen DM, Pritchard ML,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WJ. Serious infections and mortality in association with </w:t>
      </w:r>
      <w:r w:rsidRPr="00F9703E">
        <w:rPr>
          <w:rFonts w:ascii="Book Antiqua" w:hAnsi="Book Antiqua" w:cs="Arial"/>
          <w:bCs/>
          <w:color w:val="000000" w:themeColor="text1"/>
          <w:kern w:val="36"/>
          <w:sz w:val="24"/>
          <w:szCs w:val="24"/>
          <w:lang w:val="en-US" w:eastAsia="ja-JP"/>
        </w:rPr>
        <w:lastRenderedPageBreak/>
        <w:t>therapies for Crohn's disease: TREAT registry. </w:t>
      </w:r>
      <w:r w:rsidRPr="00F9703E">
        <w:rPr>
          <w:rFonts w:ascii="Book Antiqua" w:hAnsi="Book Antiqua" w:cs="Arial"/>
          <w:bCs/>
          <w:i/>
          <w:iCs/>
          <w:color w:val="000000" w:themeColor="text1"/>
          <w:kern w:val="36"/>
          <w:sz w:val="24"/>
          <w:szCs w:val="24"/>
          <w:lang w:val="en-US" w:eastAsia="ja-JP"/>
        </w:rPr>
        <w:t xml:space="preserve">Clin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2006; </w:t>
      </w:r>
      <w:r w:rsidRPr="00F9703E">
        <w:rPr>
          <w:rFonts w:ascii="Book Antiqua" w:hAnsi="Book Antiqua" w:cs="Arial"/>
          <w:b/>
          <w:bCs/>
          <w:color w:val="000000" w:themeColor="text1"/>
          <w:kern w:val="36"/>
          <w:sz w:val="24"/>
          <w:szCs w:val="24"/>
          <w:lang w:val="en-US" w:eastAsia="ja-JP"/>
        </w:rPr>
        <w:t>4</w:t>
      </w:r>
      <w:r w:rsidRPr="00F9703E">
        <w:rPr>
          <w:rFonts w:ascii="Book Antiqua" w:hAnsi="Book Antiqua" w:cs="Arial"/>
          <w:bCs/>
          <w:color w:val="000000" w:themeColor="text1"/>
          <w:kern w:val="36"/>
          <w:sz w:val="24"/>
          <w:szCs w:val="24"/>
          <w:lang w:val="en-US" w:eastAsia="ja-JP"/>
        </w:rPr>
        <w:t>: 621-630 [PMID: 16678077 DOI: 10.1016/j.cgh.2006.03.002]</w:t>
      </w:r>
    </w:p>
    <w:p w14:paraId="6EF1C411"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33 </w:t>
      </w:r>
      <w:r w:rsidRPr="00F9703E">
        <w:rPr>
          <w:rFonts w:ascii="Book Antiqua" w:hAnsi="Book Antiqua" w:cs="Arial"/>
          <w:b/>
          <w:bCs/>
          <w:color w:val="000000" w:themeColor="text1"/>
          <w:kern w:val="36"/>
          <w:sz w:val="24"/>
          <w:szCs w:val="24"/>
          <w:lang w:val="en-US" w:eastAsia="ja-JP"/>
        </w:rPr>
        <w:t>Bose KS</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Sarma</w:t>
      </w:r>
      <w:proofErr w:type="spellEnd"/>
      <w:r w:rsidRPr="00F9703E">
        <w:rPr>
          <w:rFonts w:ascii="Book Antiqua" w:hAnsi="Book Antiqua" w:cs="Arial"/>
          <w:bCs/>
          <w:color w:val="000000" w:themeColor="text1"/>
          <w:kern w:val="36"/>
          <w:sz w:val="24"/>
          <w:szCs w:val="24"/>
          <w:lang w:val="en-US" w:eastAsia="ja-JP"/>
        </w:rPr>
        <w:t xml:space="preserve"> RH. Delineation of the intimate details of the backbone conformation of pyridine nucleotide coenzymes in aqueous solution. </w:t>
      </w:r>
      <w:proofErr w:type="spellStart"/>
      <w:r w:rsidRPr="00F9703E">
        <w:rPr>
          <w:rFonts w:ascii="Book Antiqua" w:hAnsi="Book Antiqua" w:cs="Arial"/>
          <w:bCs/>
          <w:i/>
          <w:iCs/>
          <w:color w:val="000000" w:themeColor="text1"/>
          <w:kern w:val="36"/>
          <w:sz w:val="24"/>
          <w:szCs w:val="24"/>
          <w:lang w:val="en-US" w:eastAsia="ja-JP"/>
        </w:rPr>
        <w:t>Biochem</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Biophys</w:t>
      </w:r>
      <w:proofErr w:type="spellEnd"/>
      <w:r w:rsidRPr="00F9703E">
        <w:rPr>
          <w:rFonts w:ascii="Book Antiqua" w:hAnsi="Book Antiqua" w:cs="Arial"/>
          <w:bCs/>
          <w:i/>
          <w:iCs/>
          <w:color w:val="000000" w:themeColor="text1"/>
          <w:kern w:val="36"/>
          <w:sz w:val="24"/>
          <w:szCs w:val="24"/>
          <w:lang w:val="en-US" w:eastAsia="ja-JP"/>
        </w:rPr>
        <w:t xml:space="preserve"> Res </w:t>
      </w:r>
      <w:proofErr w:type="spellStart"/>
      <w:r w:rsidRPr="00F9703E">
        <w:rPr>
          <w:rFonts w:ascii="Book Antiqua" w:hAnsi="Book Antiqua" w:cs="Arial"/>
          <w:bCs/>
          <w:i/>
          <w:iCs/>
          <w:color w:val="000000" w:themeColor="text1"/>
          <w:kern w:val="36"/>
          <w:sz w:val="24"/>
          <w:szCs w:val="24"/>
          <w:lang w:val="en-US" w:eastAsia="ja-JP"/>
        </w:rPr>
        <w:t>Commun</w:t>
      </w:r>
      <w:proofErr w:type="spellEnd"/>
      <w:r w:rsidRPr="00F9703E">
        <w:rPr>
          <w:rFonts w:ascii="Book Antiqua" w:hAnsi="Book Antiqua" w:cs="Arial"/>
          <w:bCs/>
          <w:color w:val="000000" w:themeColor="text1"/>
          <w:kern w:val="36"/>
          <w:sz w:val="24"/>
          <w:szCs w:val="24"/>
          <w:lang w:val="en-US" w:eastAsia="ja-JP"/>
        </w:rPr>
        <w:t> 1975; </w:t>
      </w:r>
      <w:r w:rsidRPr="00F9703E">
        <w:rPr>
          <w:rFonts w:ascii="Book Antiqua" w:hAnsi="Book Antiqua" w:cs="Arial"/>
          <w:b/>
          <w:bCs/>
          <w:color w:val="000000" w:themeColor="text1"/>
          <w:kern w:val="36"/>
          <w:sz w:val="24"/>
          <w:szCs w:val="24"/>
          <w:lang w:val="en-US" w:eastAsia="ja-JP"/>
        </w:rPr>
        <w:t>66</w:t>
      </w:r>
      <w:r w:rsidRPr="00F9703E">
        <w:rPr>
          <w:rFonts w:ascii="Book Antiqua" w:hAnsi="Book Antiqua" w:cs="Arial"/>
          <w:bCs/>
          <w:color w:val="000000" w:themeColor="text1"/>
          <w:kern w:val="36"/>
          <w:sz w:val="24"/>
          <w:szCs w:val="24"/>
          <w:lang w:val="en-US" w:eastAsia="ja-JP"/>
        </w:rPr>
        <w:t>: 1173-1179 [PMID: 2 DOI: 10.1038/ajg.2014.313]</w:t>
      </w:r>
    </w:p>
    <w:p w14:paraId="4BFBA900"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34 </w:t>
      </w:r>
      <w:proofErr w:type="spellStart"/>
      <w:r w:rsidRPr="00F9703E">
        <w:rPr>
          <w:rFonts w:ascii="Book Antiqua" w:hAnsi="Book Antiqua" w:cs="Arial"/>
          <w:b/>
          <w:bCs/>
          <w:color w:val="000000" w:themeColor="text1"/>
          <w:kern w:val="36"/>
          <w:sz w:val="24"/>
          <w:szCs w:val="24"/>
          <w:lang w:val="en-US" w:eastAsia="ja-JP"/>
        </w:rPr>
        <w:t>Govani</w:t>
      </w:r>
      <w:proofErr w:type="spellEnd"/>
      <w:r w:rsidRPr="00F9703E">
        <w:rPr>
          <w:rFonts w:ascii="Book Antiqua" w:hAnsi="Book Antiqua" w:cs="Arial"/>
          <w:b/>
          <w:bCs/>
          <w:color w:val="000000" w:themeColor="text1"/>
          <w:kern w:val="36"/>
          <w:sz w:val="24"/>
          <w:szCs w:val="24"/>
          <w:lang w:val="en-US" w:eastAsia="ja-JP"/>
        </w:rPr>
        <w:t xml:space="preserve"> SM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Wiitala</w:t>
      </w:r>
      <w:proofErr w:type="spellEnd"/>
      <w:r w:rsidRPr="00F9703E">
        <w:rPr>
          <w:rFonts w:ascii="Book Antiqua" w:hAnsi="Book Antiqua" w:cs="Arial"/>
          <w:bCs/>
          <w:color w:val="000000" w:themeColor="text1"/>
          <w:kern w:val="36"/>
          <w:sz w:val="24"/>
          <w:szCs w:val="24"/>
          <w:lang w:val="en-US" w:eastAsia="ja-JP"/>
        </w:rPr>
        <w:t xml:space="preserve"> WL, Stidham RW, Saini SD, Hou JK, Feagins LA, Sussman JB, Higgins PD, </w:t>
      </w:r>
      <w:proofErr w:type="spellStart"/>
      <w:r w:rsidRPr="00F9703E">
        <w:rPr>
          <w:rFonts w:ascii="Book Antiqua" w:hAnsi="Book Antiqua" w:cs="Arial"/>
          <w:bCs/>
          <w:color w:val="000000" w:themeColor="text1"/>
          <w:kern w:val="36"/>
          <w:sz w:val="24"/>
          <w:szCs w:val="24"/>
          <w:lang w:val="en-US" w:eastAsia="ja-JP"/>
        </w:rPr>
        <w:t>Waljee</w:t>
      </w:r>
      <w:proofErr w:type="spellEnd"/>
      <w:r w:rsidRPr="00F9703E">
        <w:rPr>
          <w:rFonts w:ascii="Book Antiqua" w:hAnsi="Book Antiqua" w:cs="Arial"/>
          <w:bCs/>
          <w:color w:val="000000" w:themeColor="text1"/>
          <w:kern w:val="36"/>
          <w:sz w:val="24"/>
          <w:szCs w:val="24"/>
          <w:lang w:val="en-US" w:eastAsia="ja-JP"/>
        </w:rPr>
        <w:t xml:space="preserve"> AK. Age Disparities in the Use of Steroid-sparing Therapy for Inflammatory Bowel Disease.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22</w:t>
      </w:r>
      <w:r w:rsidRPr="00F9703E">
        <w:rPr>
          <w:rFonts w:ascii="Book Antiqua" w:hAnsi="Book Antiqua" w:cs="Arial"/>
          <w:bCs/>
          <w:color w:val="000000" w:themeColor="text1"/>
          <w:kern w:val="36"/>
          <w:sz w:val="24"/>
          <w:szCs w:val="24"/>
          <w:lang w:val="en-US" w:eastAsia="ja-JP"/>
        </w:rPr>
        <w:t>: 1923-1928 [PMID: 27416039 DOI: 10.1097/MIB.0000000000000817]</w:t>
      </w:r>
    </w:p>
    <w:p w14:paraId="108F4357"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35 </w:t>
      </w:r>
      <w:proofErr w:type="spellStart"/>
      <w:r w:rsidRPr="00F9703E">
        <w:rPr>
          <w:rFonts w:ascii="Book Antiqua" w:hAnsi="Book Antiqua" w:cs="Arial"/>
          <w:b/>
          <w:bCs/>
          <w:color w:val="000000" w:themeColor="text1"/>
          <w:kern w:val="36"/>
          <w:sz w:val="24"/>
          <w:szCs w:val="24"/>
          <w:lang w:val="en-US" w:eastAsia="ja-JP"/>
        </w:rPr>
        <w:t>Gisbert</w:t>
      </w:r>
      <w:proofErr w:type="spellEnd"/>
      <w:r w:rsidRPr="00F9703E">
        <w:rPr>
          <w:rFonts w:ascii="Book Antiqua" w:hAnsi="Book Antiqua" w:cs="Arial"/>
          <w:b/>
          <w:bCs/>
          <w:color w:val="000000" w:themeColor="text1"/>
          <w:kern w:val="36"/>
          <w:sz w:val="24"/>
          <w:szCs w:val="24"/>
          <w:lang w:val="en-US" w:eastAsia="ja-JP"/>
        </w:rPr>
        <w:t xml:space="preserve"> JP</w:t>
      </w:r>
      <w:r w:rsidRPr="00F9703E">
        <w:rPr>
          <w:rFonts w:ascii="Book Antiqua" w:hAnsi="Book Antiqua" w:cs="Arial"/>
          <w:bCs/>
          <w:color w:val="000000" w:themeColor="text1"/>
          <w:kern w:val="36"/>
          <w:sz w:val="24"/>
          <w:szCs w:val="24"/>
          <w:lang w:val="en-US" w:eastAsia="ja-JP"/>
        </w:rPr>
        <w:t>, Chaparro M. Systematic review with meta-analysis: inflammatory bowel disease in the elderly.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39</w:t>
      </w:r>
      <w:r w:rsidRPr="00F9703E">
        <w:rPr>
          <w:rFonts w:ascii="Book Antiqua" w:hAnsi="Book Antiqua" w:cs="Arial"/>
          <w:bCs/>
          <w:color w:val="000000" w:themeColor="text1"/>
          <w:kern w:val="36"/>
          <w:sz w:val="24"/>
          <w:szCs w:val="24"/>
          <w:lang w:val="en-US" w:eastAsia="ja-JP"/>
        </w:rPr>
        <w:t>: 459-477 [PMID: 24405149 DOI: 10.1111/apt.12616]</w:t>
      </w:r>
    </w:p>
    <w:p w14:paraId="63170804"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36 </w:t>
      </w:r>
      <w:proofErr w:type="spellStart"/>
      <w:r w:rsidRPr="00F9703E">
        <w:rPr>
          <w:rFonts w:ascii="Book Antiqua" w:hAnsi="Book Antiqua" w:cs="Arial"/>
          <w:b/>
          <w:bCs/>
          <w:color w:val="000000" w:themeColor="text1"/>
          <w:kern w:val="36"/>
          <w:sz w:val="24"/>
          <w:szCs w:val="24"/>
          <w:lang w:val="en-US" w:eastAsia="ja-JP"/>
        </w:rPr>
        <w:t>Bonovas</w:t>
      </w:r>
      <w:proofErr w:type="spellEnd"/>
      <w:r w:rsidRPr="00F9703E">
        <w:rPr>
          <w:rFonts w:ascii="Book Antiqua" w:hAnsi="Book Antiqua" w:cs="Arial"/>
          <w:b/>
          <w:bCs/>
          <w:color w:val="000000" w:themeColor="text1"/>
          <w:kern w:val="36"/>
          <w:sz w:val="24"/>
          <w:szCs w:val="24"/>
          <w:lang w:val="en-US" w:eastAsia="ja-JP"/>
        </w:rPr>
        <w:t xml:space="preserve"> S</w:t>
      </w:r>
      <w:r w:rsidRPr="00F9703E">
        <w:rPr>
          <w:rFonts w:ascii="Book Antiqua" w:hAnsi="Book Antiqua" w:cs="Arial"/>
          <w:bCs/>
          <w:color w:val="000000" w:themeColor="text1"/>
          <w:kern w:val="36"/>
          <w:sz w:val="24"/>
          <w:szCs w:val="24"/>
          <w:lang w:val="en-US" w:eastAsia="ja-JP"/>
        </w:rPr>
        <w:t xml:space="preserve">, Nikolopoulos GK, </w:t>
      </w:r>
      <w:proofErr w:type="spellStart"/>
      <w:r w:rsidRPr="00F9703E">
        <w:rPr>
          <w:rFonts w:ascii="Book Antiqua" w:hAnsi="Book Antiqua" w:cs="Arial"/>
          <w:bCs/>
          <w:color w:val="000000" w:themeColor="text1"/>
          <w:kern w:val="36"/>
          <w:sz w:val="24"/>
          <w:szCs w:val="24"/>
          <w:lang w:val="en-US" w:eastAsia="ja-JP"/>
        </w:rPr>
        <w:t>Lytras</w:t>
      </w:r>
      <w:proofErr w:type="spellEnd"/>
      <w:r w:rsidRPr="00F9703E">
        <w:rPr>
          <w:rFonts w:ascii="Book Antiqua" w:hAnsi="Book Antiqua" w:cs="Arial"/>
          <w:bCs/>
          <w:color w:val="000000" w:themeColor="text1"/>
          <w:kern w:val="36"/>
          <w:sz w:val="24"/>
          <w:szCs w:val="24"/>
          <w:lang w:val="en-US" w:eastAsia="ja-JP"/>
        </w:rPr>
        <w:t xml:space="preserve"> T, Fiorino G,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Danese</w:t>
      </w:r>
      <w:proofErr w:type="spellEnd"/>
      <w:r w:rsidRPr="00F9703E">
        <w:rPr>
          <w:rFonts w:ascii="Book Antiqua" w:hAnsi="Book Antiqua" w:cs="Arial"/>
          <w:bCs/>
          <w:color w:val="000000" w:themeColor="text1"/>
          <w:kern w:val="36"/>
          <w:sz w:val="24"/>
          <w:szCs w:val="24"/>
          <w:lang w:val="en-US" w:eastAsia="ja-JP"/>
        </w:rPr>
        <w:t xml:space="preserve"> S. Comparative safety of systemic and low-bioavailability steroids in inflammatory bowel disease: Systematic review and network meta-analysis. </w:t>
      </w:r>
      <w:r w:rsidRPr="00F9703E">
        <w:rPr>
          <w:rFonts w:ascii="Book Antiqua" w:hAnsi="Book Antiqua" w:cs="Arial"/>
          <w:bCs/>
          <w:i/>
          <w:iCs/>
          <w:color w:val="000000" w:themeColor="text1"/>
          <w:kern w:val="36"/>
          <w:sz w:val="24"/>
          <w:szCs w:val="24"/>
          <w:lang w:val="en-US" w:eastAsia="ja-JP"/>
        </w:rPr>
        <w:t xml:space="preserve">Br J Clin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84</w:t>
      </w:r>
      <w:r w:rsidRPr="00F9703E">
        <w:rPr>
          <w:rFonts w:ascii="Book Antiqua" w:hAnsi="Book Antiqua" w:cs="Arial"/>
          <w:bCs/>
          <w:color w:val="000000" w:themeColor="text1"/>
          <w:kern w:val="36"/>
          <w:sz w:val="24"/>
          <w:szCs w:val="24"/>
          <w:lang w:val="en-US" w:eastAsia="ja-JP"/>
        </w:rPr>
        <w:t>: 239-251 [PMID: 29057539 DOI: 10.1111/bcp.13456]</w:t>
      </w:r>
    </w:p>
    <w:p w14:paraId="059B7020" w14:textId="64581E85"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37 </w:t>
      </w:r>
      <w:proofErr w:type="spellStart"/>
      <w:r w:rsidRPr="00F9703E">
        <w:rPr>
          <w:rFonts w:ascii="Book Antiqua" w:hAnsi="Book Antiqua" w:cs="Arial"/>
          <w:b/>
          <w:bCs/>
          <w:color w:val="000000" w:themeColor="text1"/>
          <w:kern w:val="36"/>
          <w:sz w:val="24"/>
          <w:szCs w:val="24"/>
          <w:lang w:val="en-US" w:eastAsia="ja-JP"/>
        </w:rPr>
        <w:t>Alexakis</w:t>
      </w:r>
      <w:proofErr w:type="spellEnd"/>
      <w:r w:rsidRPr="00F9703E">
        <w:rPr>
          <w:rFonts w:ascii="Book Antiqua" w:hAnsi="Book Antiqua" w:cs="Arial"/>
          <w:b/>
          <w:bCs/>
          <w:color w:val="000000" w:themeColor="text1"/>
          <w:kern w:val="36"/>
          <w:sz w:val="24"/>
          <w:szCs w:val="24"/>
          <w:lang w:val="en-US" w:eastAsia="ja-JP"/>
        </w:rPr>
        <w:t xml:space="preserve"> C</w:t>
      </w:r>
      <w:r w:rsidRPr="00F9703E">
        <w:rPr>
          <w:rFonts w:ascii="Book Antiqua" w:hAnsi="Book Antiqua" w:cs="Arial"/>
          <w:bCs/>
          <w:color w:val="000000" w:themeColor="text1"/>
          <w:kern w:val="36"/>
          <w:sz w:val="24"/>
          <w:szCs w:val="24"/>
          <w:lang w:val="en-US" w:eastAsia="ja-JP"/>
        </w:rPr>
        <w:t xml:space="preserve">, Saxena S, </w:t>
      </w:r>
      <w:proofErr w:type="spellStart"/>
      <w:r w:rsidRPr="00F9703E">
        <w:rPr>
          <w:rFonts w:ascii="Book Antiqua" w:hAnsi="Book Antiqua" w:cs="Arial"/>
          <w:bCs/>
          <w:color w:val="000000" w:themeColor="text1"/>
          <w:kern w:val="36"/>
          <w:sz w:val="24"/>
          <w:szCs w:val="24"/>
          <w:lang w:val="en-US" w:eastAsia="ja-JP"/>
        </w:rPr>
        <w:t>Chhaya</w:t>
      </w:r>
      <w:proofErr w:type="spellEnd"/>
      <w:r w:rsidRPr="00F9703E">
        <w:rPr>
          <w:rFonts w:ascii="Book Antiqua" w:hAnsi="Book Antiqua" w:cs="Arial"/>
          <w:bCs/>
          <w:color w:val="000000" w:themeColor="text1"/>
          <w:kern w:val="36"/>
          <w:sz w:val="24"/>
          <w:szCs w:val="24"/>
          <w:lang w:val="en-US" w:eastAsia="ja-JP"/>
        </w:rPr>
        <w:t xml:space="preserve"> V, Cecil E, </w:t>
      </w:r>
      <w:proofErr w:type="spellStart"/>
      <w:r w:rsidRPr="00F9703E">
        <w:rPr>
          <w:rFonts w:ascii="Book Antiqua" w:hAnsi="Book Antiqua" w:cs="Arial"/>
          <w:bCs/>
          <w:color w:val="000000" w:themeColor="text1"/>
          <w:kern w:val="36"/>
          <w:sz w:val="24"/>
          <w:szCs w:val="24"/>
          <w:lang w:val="en-US" w:eastAsia="ja-JP"/>
        </w:rPr>
        <w:t>Curcin</w:t>
      </w:r>
      <w:proofErr w:type="spellEnd"/>
      <w:r w:rsidRPr="00F9703E">
        <w:rPr>
          <w:rFonts w:ascii="Book Antiqua" w:hAnsi="Book Antiqua" w:cs="Arial"/>
          <w:bCs/>
          <w:color w:val="000000" w:themeColor="text1"/>
          <w:kern w:val="36"/>
          <w:sz w:val="24"/>
          <w:szCs w:val="24"/>
          <w:lang w:val="en-US" w:eastAsia="ja-JP"/>
        </w:rPr>
        <w:t xml:space="preserve"> V, Pollok R. Do Thiopurines Reduce the Risk of Surgery in Elderly Onset Inflammatory Bowel Disease? A 20-Year National Population-Based Cohort Study.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002A4D38">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2017; </w:t>
      </w:r>
      <w:r w:rsidRPr="00F9703E">
        <w:rPr>
          <w:rFonts w:ascii="Book Antiqua" w:hAnsi="Book Antiqua" w:cs="Arial"/>
          <w:b/>
          <w:bCs/>
          <w:color w:val="000000" w:themeColor="text1"/>
          <w:kern w:val="36"/>
          <w:sz w:val="24"/>
          <w:szCs w:val="24"/>
          <w:lang w:val="en-US" w:eastAsia="ja-JP"/>
        </w:rPr>
        <w:t>23</w:t>
      </w:r>
      <w:r w:rsidRPr="00F9703E">
        <w:rPr>
          <w:rFonts w:ascii="Book Antiqua" w:hAnsi="Book Antiqua" w:cs="Arial"/>
          <w:bCs/>
          <w:color w:val="000000" w:themeColor="text1"/>
          <w:kern w:val="36"/>
          <w:sz w:val="24"/>
          <w:szCs w:val="24"/>
          <w:lang w:val="en-US" w:eastAsia="ja-JP"/>
        </w:rPr>
        <w:t>: 672-680 [PMID: 28151735 DOI: 10.1097/MIB.0000000000001031]</w:t>
      </w:r>
    </w:p>
    <w:p w14:paraId="372939F7" w14:textId="125668C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38 </w:t>
      </w:r>
      <w:proofErr w:type="spellStart"/>
      <w:r w:rsidRPr="00F9703E">
        <w:rPr>
          <w:rFonts w:ascii="Book Antiqua" w:hAnsi="Book Antiqua" w:cs="Arial"/>
          <w:b/>
          <w:bCs/>
          <w:color w:val="000000" w:themeColor="text1"/>
          <w:kern w:val="36"/>
          <w:sz w:val="24"/>
          <w:szCs w:val="24"/>
          <w:lang w:val="en-US" w:eastAsia="ja-JP"/>
        </w:rPr>
        <w:t>Peyrin-Biroulet</w:t>
      </w:r>
      <w:proofErr w:type="spellEnd"/>
      <w:r w:rsidRPr="00F9703E">
        <w:rPr>
          <w:rFonts w:ascii="Book Antiqua" w:hAnsi="Book Antiqua" w:cs="Arial"/>
          <w:b/>
          <w:bCs/>
          <w:color w:val="000000" w:themeColor="text1"/>
          <w:kern w:val="36"/>
          <w:sz w:val="24"/>
          <w:szCs w:val="24"/>
          <w:lang w:val="en-US" w:eastAsia="ja-JP"/>
        </w:rPr>
        <w:t xml:space="preserve"> L</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Khosrotehrani</w:t>
      </w:r>
      <w:proofErr w:type="spellEnd"/>
      <w:r w:rsidRPr="00F9703E">
        <w:rPr>
          <w:rFonts w:ascii="Book Antiqua" w:hAnsi="Book Antiqua" w:cs="Arial"/>
          <w:bCs/>
          <w:color w:val="000000" w:themeColor="text1"/>
          <w:kern w:val="36"/>
          <w:sz w:val="24"/>
          <w:szCs w:val="24"/>
          <w:lang w:val="en-US" w:eastAsia="ja-JP"/>
        </w:rPr>
        <w:t xml:space="preserve"> K, </w:t>
      </w:r>
      <w:proofErr w:type="spellStart"/>
      <w:r w:rsidRPr="00F9703E">
        <w:rPr>
          <w:rFonts w:ascii="Book Antiqua" w:hAnsi="Book Antiqua" w:cs="Arial"/>
          <w:bCs/>
          <w:color w:val="000000" w:themeColor="text1"/>
          <w:kern w:val="36"/>
          <w:sz w:val="24"/>
          <w:szCs w:val="24"/>
          <w:lang w:val="en-US" w:eastAsia="ja-JP"/>
        </w:rPr>
        <w:t>Carrat</w:t>
      </w:r>
      <w:proofErr w:type="spellEnd"/>
      <w:r w:rsidRPr="00F9703E">
        <w:rPr>
          <w:rFonts w:ascii="Book Antiqua" w:hAnsi="Book Antiqua" w:cs="Arial"/>
          <w:bCs/>
          <w:color w:val="000000" w:themeColor="text1"/>
          <w:kern w:val="36"/>
          <w:sz w:val="24"/>
          <w:szCs w:val="24"/>
          <w:lang w:val="en-US" w:eastAsia="ja-JP"/>
        </w:rPr>
        <w:t xml:space="preserve"> F, Bouvier AM, </w:t>
      </w:r>
      <w:proofErr w:type="spellStart"/>
      <w:r w:rsidRPr="00F9703E">
        <w:rPr>
          <w:rFonts w:ascii="Book Antiqua" w:hAnsi="Book Antiqua" w:cs="Arial"/>
          <w:bCs/>
          <w:color w:val="000000" w:themeColor="text1"/>
          <w:kern w:val="36"/>
          <w:sz w:val="24"/>
          <w:szCs w:val="24"/>
          <w:lang w:val="en-US" w:eastAsia="ja-JP"/>
        </w:rPr>
        <w:t>Chevaux</w:t>
      </w:r>
      <w:proofErr w:type="spellEnd"/>
      <w:r w:rsidRPr="00F9703E">
        <w:rPr>
          <w:rFonts w:ascii="Book Antiqua" w:hAnsi="Book Antiqua" w:cs="Arial"/>
          <w:bCs/>
          <w:color w:val="000000" w:themeColor="text1"/>
          <w:kern w:val="36"/>
          <w:sz w:val="24"/>
          <w:szCs w:val="24"/>
          <w:lang w:val="en-US" w:eastAsia="ja-JP"/>
        </w:rPr>
        <w:t xml:space="preserve"> JB, Simon T, </w:t>
      </w:r>
      <w:proofErr w:type="spellStart"/>
      <w:r w:rsidRPr="00F9703E">
        <w:rPr>
          <w:rFonts w:ascii="Book Antiqua" w:hAnsi="Book Antiqua" w:cs="Arial"/>
          <w:bCs/>
          <w:color w:val="000000" w:themeColor="text1"/>
          <w:kern w:val="36"/>
          <w:sz w:val="24"/>
          <w:szCs w:val="24"/>
          <w:lang w:val="en-US" w:eastAsia="ja-JP"/>
        </w:rPr>
        <w:t>Carbonnel</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Colombel</w:t>
      </w:r>
      <w:proofErr w:type="spellEnd"/>
      <w:r w:rsidRPr="00F9703E">
        <w:rPr>
          <w:rFonts w:ascii="Book Antiqua" w:hAnsi="Book Antiqua" w:cs="Arial"/>
          <w:bCs/>
          <w:color w:val="000000" w:themeColor="text1"/>
          <w:kern w:val="36"/>
          <w:sz w:val="24"/>
          <w:szCs w:val="24"/>
          <w:lang w:val="en-US" w:eastAsia="ja-JP"/>
        </w:rPr>
        <w:t xml:space="preserve"> JF, </w:t>
      </w:r>
      <w:proofErr w:type="spellStart"/>
      <w:r w:rsidRPr="00F9703E">
        <w:rPr>
          <w:rFonts w:ascii="Book Antiqua" w:hAnsi="Book Antiqua" w:cs="Arial"/>
          <w:bCs/>
          <w:color w:val="000000" w:themeColor="text1"/>
          <w:kern w:val="36"/>
          <w:sz w:val="24"/>
          <w:szCs w:val="24"/>
          <w:lang w:val="en-US" w:eastAsia="ja-JP"/>
        </w:rPr>
        <w:t>Dupas</w:t>
      </w:r>
      <w:proofErr w:type="spellEnd"/>
      <w:r w:rsidRPr="00F9703E">
        <w:rPr>
          <w:rFonts w:ascii="Book Antiqua" w:hAnsi="Book Antiqua" w:cs="Arial"/>
          <w:bCs/>
          <w:color w:val="000000" w:themeColor="text1"/>
          <w:kern w:val="36"/>
          <w:sz w:val="24"/>
          <w:szCs w:val="24"/>
          <w:lang w:val="en-US" w:eastAsia="ja-JP"/>
        </w:rPr>
        <w:t xml:space="preserve"> JL, </w:t>
      </w:r>
      <w:proofErr w:type="spellStart"/>
      <w:r w:rsidRPr="00F9703E">
        <w:rPr>
          <w:rFonts w:ascii="Book Antiqua" w:hAnsi="Book Antiqua" w:cs="Arial"/>
          <w:bCs/>
          <w:color w:val="000000" w:themeColor="text1"/>
          <w:kern w:val="36"/>
          <w:sz w:val="24"/>
          <w:szCs w:val="24"/>
          <w:lang w:val="en-US" w:eastAsia="ja-JP"/>
        </w:rPr>
        <w:t>Godeberge</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Hugot</w:t>
      </w:r>
      <w:proofErr w:type="spellEnd"/>
      <w:r w:rsidRPr="00F9703E">
        <w:rPr>
          <w:rFonts w:ascii="Book Antiqua" w:hAnsi="Book Antiqua" w:cs="Arial"/>
          <w:bCs/>
          <w:color w:val="000000" w:themeColor="text1"/>
          <w:kern w:val="36"/>
          <w:sz w:val="24"/>
          <w:szCs w:val="24"/>
          <w:lang w:val="en-US" w:eastAsia="ja-JP"/>
        </w:rPr>
        <w:t xml:space="preserve"> JP, </w:t>
      </w:r>
      <w:proofErr w:type="spellStart"/>
      <w:r w:rsidRPr="00F9703E">
        <w:rPr>
          <w:rFonts w:ascii="Book Antiqua" w:hAnsi="Book Antiqua" w:cs="Arial"/>
          <w:bCs/>
          <w:color w:val="000000" w:themeColor="text1"/>
          <w:kern w:val="36"/>
          <w:sz w:val="24"/>
          <w:szCs w:val="24"/>
          <w:lang w:val="en-US" w:eastAsia="ja-JP"/>
        </w:rPr>
        <w:t>Lémann</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Nahon</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Sabaté</w:t>
      </w:r>
      <w:proofErr w:type="spellEnd"/>
      <w:r w:rsidRPr="00F9703E">
        <w:rPr>
          <w:rFonts w:ascii="Book Antiqua" w:hAnsi="Book Antiqua" w:cs="Arial"/>
          <w:bCs/>
          <w:color w:val="000000" w:themeColor="text1"/>
          <w:kern w:val="36"/>
          <w:sz w:val="24"/>
          <w:szCs w:val="24"/>
          <w:lang w:val="en-US" w:eastAsia="ja-JP"/>
        </w:rPr>
        <w:t xml:space="preserve"> JM, </w:t>
      </w:r>
      <w:proofErr w:type="spellStart"/>
      <w:r w:rsidRPr="00F9703E">
        <w:rPr>
          <w:rFonts w:ascii="Book Antiqua" w:hAnsi="Book Antiqua" w:cs="Arial"/>
          <w:bCs/>
          <w:color w:val="000000" w:themeColor="text1"/>
          <w:kern w:val="36"/>
          <w:sz w:val="24"/>
          <w:szCs w:val="24"/>
          <w:lang w:val="en-US" w:eastAsia="ja-JP"/>
        </w:rPr>
        <w:t>Tucat</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Beaugerie</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Cesame</w:t>
      </w:r>
      <w:proofErr w:type="spellEnd"/>
      <w:r w:rsidRPr="00F9703E">
        <w:rPr>
          <w:rFonts w:ascii="Book Antiqua" w:hAnsi="Book Antiqua" w:cs="Arial"/>
          <w:bCs/>
          <w:color w:val="000000" w:themeColor="text1"/>
          <w:kern w:val="36"/>
          <w:sz w:val="24"/>
          <w:szCs w:val="24"/>
          <w:lang w:val="en-US" w:eastAsia="ja-JP"/>
        </w:rPr>
        <w:t xml:space="preserve"> Study Group. Increased risk for nonmelanoma skin cancers in patients who receive thiopurines for inflammatory bowel disease. </w:t>
      </w:r>
      <w:r w:rsidRPr="00F9703E">
        <w:rPr>
          <w:rFonts w:ascii="Book Antiqua" w:hAnsi="Book Antiqua" w:cs="Arial"/>
          <w:bCs/>
          <w:i/>
          <w:iCs/>
          <w:color w:val="000000" w:themeColor="text1"/>
          <w:kern w:val="36"/>
          <w:sz w:val="24"/>
          <w:szCs w:val="24"/>
          <w:lang w:val="en-US" w:eastAsia="ja-JP"/>
        </w:rPr>
        <w:t>Gastroenterology</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141</w:t>
      </w:r>
      <w:r w:rsidRPr="00F9703E">
        <w:rPr>
          <w:rFonts w:ascii="Book Antiqua" w:hAnsi="Book Antiqua" w:cs="Arial"/>
          <w:bCs/>
          <w:color w:val="000000" w:themeColor="text1"/>
          <w:kern w:val="36"/>
          <w:sz w:val="24"/>
          <w:szCs w:val="24"/>
          <w:lang w:val="en-US" w:eastAsia="ja-JP"/>
        </w:rPr>
        <w:t>: 1621-</w:t>
      </w:r>
      <w:r w:rsidR="002A4D38">
        <w:rPr>
          <w:rFonts w:ascii="Book Antiqua" w:hAnsi="Book Antiqua" w:cs="Arial"/>
          <w:bCs/>
          <w:color w:val="000000" w:themeColor="text1"/>
          <w:kern w:val="36"/>
          <w:sz w:val="24"/>
          <w:szCs w:val="24"/>
          <w:lang w:val="en-US" w:eastAsia="ja-JP"/>
        </w:rPr>
        <w:t>16</w:t>
      </w:r>
      <w:r w:rsidRPr="00F9703E">
        <w:rPr>
          <w:rFonts w:ascii="Book Antiqua" w:hAnsi="Book Antiqua" w:cs="Arial"/>
          <w:bCs/>
          <w:color w:val="000000" w:themeColor="text1"/>
          <w:kern w:val="36"/>
          <w:sz w:val="24"/>
          <w:szCs w:val="24"/>
          <w:lang w:val="en-US" w:eastAsia="ja-JP"/>
        </w:rPr>
        <w:t>28.e1-5 [PMID: 21708105 DOI: 10.1053/j.gastro.2011.06.050]</w:t>
      </w:r>
    </w:p>
    <w:p w14:paraId="43A1975D"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39 </w:t>
      </w:r>
      <w:r w:rsidRPr="00F9703E">
        <w:rPr>
          <w:rFonts w:ascii="Book Antiqua" w:hAnsi="Book Antiqua" w:cs="Arial"/>
          <w:b/>
          <w:bCs/>
          <w:color w:val="000000" w:themeColor="text1"/>
          <w:kern w:val="36"/>
          <w:sz w:val="24"/>
          <w:szCs w:val="24"/>
          <w:lang w:val="en-US" w:eastAsia="ja-JP"/>
        </w:rPr>
        <w:t>Lopez A</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Mounier</w:t>
      </w:r>
      <w:proofErr w:type="spellEnd"/>
      <w:r w:rsidRPr="00F9703E">
        <w:rPr>
          <w:rFonts w:ascii="Book Antiqua" w:hAnsi="Book Antiqua" w:cs="Arial"/>
          <w:bCs/>
          <w:color w:val="000000" w:themeColor="text1"/>
          <w:kern w:val="36"/>
          <w:sz w:val="24"/>
          <w:szCs w:val="24"/>
          <w:lang w:val="en-US" w:eastAsia="ja-JP"/>
        </w:rPr>
        <w:t xml:space="preserve"> M, Bouvier AM, </w:t>
      </w:r>
      <w:proofErr w:type="spellStart"/>
      <w:r w:rsidRPr="00F9703E">
        <w:rPr>
          <w:rFonts w:ascii="Book Antiqua" w:hAnsi="Book Antiqua" w:cs="Arial"/>
          <w:bCs/>
          <w:color w:val="000000" w:themeColor="text1"/>
          <w:kern w:val="36"/>
          <w:sz w:val="24"/>
          <w:szCs w:val="24"/>
          <w:lang w:val="en-US" w:eastAsia="ja-JP"/>
        </w:rPr>
        <w:t>Carrat</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Maynadié</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Beaugerie</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CESAME Study Group. Increased risk of acute myeloid leukemias and myelodysplastic syndromes in patients who received thiopurine treatment for </w:t>
      </w:r>
      <w:r w:rsidRPr="00F9703E">
        <w:rPr>
          <w:rFonts w:ascii="Book Antiqua" w:hAnsi="Book Antiqua" w:cs="Arial"/>
          <w:bCs/>
          <w:color w:val="000000" w:themeColor="text1"/>
          <w:kern w:val="36"/>
          <w:sz w:val="24"/>
          <w:szCs w:val="24"/>
          <w:lang w:val="en-US" w:eastAsia="ja-JP"/>
        </w:rPr>
        <w:lastRenderedPageBreak/>
        <w:t>inflammatory bowel disease. </w:t>
      </w:r>
      <w:r w:rsidRPr="00F9703E">
        <w:rPr>
          <w:rFonts w:ascii="Book Antiqua" w:hAnsi="Book Antiqua" w:cs="Arial"/>
          <w:bCs/>
          <w:i/>
          <w:iCs/>
          <w:color w:val="000000" w:themeColor="text1"/>
          <w:kern w:val="36"/>
          <w:sz w:val="24"/>
          <w:szCs w:val="24"/>
          <w:lang w:val="en-US" w:eastAsia="ja-JP"/>
        </w:rPr>
        <w:t xml:space="preserve">Clin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12</w:t>
      </w:r>
      <w:r w:rsidRPr="00F9703E">
        <w:rPr>
          <w:rFonts w:ascii="Book Antiqua" w:hAnsi="Book Antiqua" w:cs="Arial"/>
          <w:bCs/>
          <w:color w:val="000000" w:themeColor="text1"/>
          <w:kern w:val="36"/>
          <w:sz w:val="24"/>
          <w:szCs w:val="24"/>
          <w:lang w:val="en-US" w:eastAsia="ja-JP"/>
        </w:rPr>
        <w:t>: 1324-1329 [PMID: 24582568 DOI: 10.1016/j.cgh.2014.02.026]</w:t>
      </w:r>
    </w:p>
    <w:p w14:paraId="2938B470"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40 </w:t>
      </w:r>
      <w:r w:rsidRPr="00F9703E">
        <w:rPr>
          <w:rFonts w:ascii="Book Antiqua" w:hAnsi="Book Antiqua" w:cs="Arial"/>
          <w:b/>
          <w:bCs/>
          <w:color w:val="000000" w:themeColor="text1"/>
          <w:kern w:val="36"/>
          <w:sz w:val="24"/>
          <w:szCs w:val="24"/>
          <w:lang w:val="en-US" w:eastAsia="ja-JP"/>
        </w:rPr>
        <w:t>Lemaitre 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Kirchgesner</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Rudnichi</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Carrat</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Zureik</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Carbonnel</w:t>
      </w:r>
      <w:proofErr w:type="spellEnd"/>
      <w:r w:rsidRPr="00F9703E">
        <w:rPr>
          <w:rFonts w:ascii="Book Antiqua" w:hAnsi="Book Antiqua" w:cs="Arial"/>
          <w:bCs/>
          <w:color w:val="000000" w:themeColor="text1"/>
          <w:kern w:val="36"/>
          <w:sz w:val="24"/>
          <w:szCs w:val="24"/>
          <w:lang w:val="en-US" w:eastAsia="ja-JP"/>
        </w:rPr>
        <w:t xml:space="preserve"> F, Dray-</w:t>
      </w:r>
      <w:proofErr w:type="spellStart"/>
      <w:r w:rsidRPr="00F9703E">
        <w:rPr>
          <w:rFonts w:ascii="Book Antiqua" w:hAnsi="Book Antiqua" w:cs="Arial"/>
          <w:bCs/>
          <w:color w:val="000000" w:themeColor="text1"/>
          <w:kern w:val="36"/>
          <w:sz w:val="24"/>
          <w:szCs w:val="24"/>
          <w:lang w:val="en-US" w:eastAsia="ja-JP"/>
        </w:rPr>
        <w:t>Spira</w:t>
      </w:r>
      <w:proofErr w:type="spellEnd"/>
      <w:r w:rsidRPr="00F9703E">
        <w:rPr>
          <w:rFonts w:ascii="Book Antiqua" w:hAnsi="Book Antiqua" w:cs="Arial"/>
          <w:bCs/>
          <w:color w:val="000000" w:themeColor="text1"/>
          <w:kern w:val="36"/>
          <w:sz w:val="24"/>
          <w:szCs w:val="24"/>
          <w:lang w:val="en-US" w:eastAsia="ja-JP"/>
        </w:rPr>
        <w:t xml:space="preserve"> R. Association Between Use of Thiopurines or Tumor Necrosis Factor Antagonists Alone or in Combination and Risk of Lymphoma in Patients </w:t>
      </w:r>
      <w:proofErr w:type="gramStart"/>
      <w:r w:rsidRPr="00F9703E">
        <w:rPr>
          <w:rFonts w:ascii="Book Antiqua" w:hAnsi="Book Antiqua" w:cs="Arial"/>
          <w:bCs/>
          <w:color w:val="000000" w:themeColor="text1"/>
          <w:kern w:val="36"/>
          <w:sz w:val="24"/>
          <w:szCs w:val="24"/>
          <w:lang w:val="en-US" w:eastAsia="ja-JP"/>
        </w:rPr>
        <w:t>With</w:t>
      </w:r>
      <w:proofErr w:type="gramEnd"/>
      <w:r w:rsidRPr="00F9703E">
        <w:rPr>
          <w:rFonts w:ascii="Book Antiqua" w:hAnsi="Book Antiqua" w:cs="Arial"/>
          <w:bCs/>
          <w:color w:val="000000" w:themeColor="text1"/>
          <w:kern w:val="36"/>
          <w:sz w:val="24"/>
          <w:szCs w:val="24"/>
          <w:lang w:val="en-US" w:eastAsia="ja-JP"/>
        </w:rPr>
        <w:t xml:space="preserve"> Inflammatory Bowel Disease. </w:t>
      </w:r>
      <w:r w:rsidRPr="00F9703E">
        <w:rPr>
          <w:rFonts w:ascii="Book Antiqua" w:hAnsi="Book Antiqua" w:cs="Arial"/>
          <w:bCs/>
          <w:i/>
          <w:iCs/>
          <w:color w:val="000000" w:themeColor="text1"/>
          <w:kern w:val="36"/>
          <w:sz w:val="24"/>
          <w:szCs w:val="24"/>
          <w:lang w:val="en-US" w:eastAsia="ja-JP"/>
        </w:rPr>
        <w:t>JAMA</w:t>
      </w:r>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318</w:t>
      </w:r>
      <w:r w:rsidRPr="00F9703E">
        <w:rPr>
          <w:rFonts w:ascii="Book Antiqua" w:hAnsi="Book Antiqua" w:cs="Arial"/>
          <w:bCs/>
          <w:color w:val="000000" w:themeColor="text1"/>
          <w:kern w:val="36"/>
          <w:sz w:val="24"/>
          <w:szCs w:val="24"/>
          <w:lang w:val="en-US" w:eastAsia="ja-JP"/>
        </w:rPr>
        <w:t>: 1679-1686 [PMID: 29114832 DOI: 10.1001/jama.2017.16071]</w:t>
      </w:r>
    </w:p>
    <w:p w14:paraId="7F6EE481" w14:textId="17FE4C59"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41 </w:t>
      </w:r>
      <w:proofErr w:type="spellStart"/>
      <w:r w:rsidRPr="00F9703E">
        <w:rPr>
          <w:rFonts w:ascii="Book Antiqua" w:hAnsi="Book Antiqua" w:cs="Arial"/>
          <w:b/>
          <w:bCs/>
          <w:color w:val="000000" w:themeColor="text1"/>
          <w:kern w:val="36"/>
          <w:sz w:val="24"/>
          <w:szCs w:val="24"/>
          <w:lang w:val="en-US" w:eastAsia="ja-JP"/>
        </w:rPr>
        <w:t>Bahi</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Walmsley RS, Gray AR, Young D, Hobbs CE, </w:t>
      </w:r>
      <w:proofErr w:type="spellStart"/>
      <w:r w:rsidRPr="00F9703E">
        <w:rPr>
          <w:rFonts w:ascii="Book Antiqua" w:hAnsi="Book Antiqua" w:cs="Arial"/>
          <w:bCs/>
          <w:color w:val="000000" w:themeColor="text1"/>
          <w:kern w:val="36"/>
          <w:sz w:val="24"/>
          <w:szCs w:val="24"/>
          <w:lang w:val="en-US" w:eastAsia="ja-JP"/>
        </w:rPr>
        <w:t>Aluzaite</w:t>
      </w:r>
      <w:proofErr w:type="spellEnd"/>
      <w:r w:rsidRPr="00F9703E">
        <w:rPr>
          <w:rFonts w:ascii="Book Antiqua" w:hAnsi="Book Antiqua" w:cs="Arial"/>
          <w:bCs/>
          <w:color w:val="000000" w:themeColor="text1"/>
          <w:kern w:val="36"/>
          <w:sz w:val="24"/>
          <w:szCs w:val="24"/>
          <w:lang w:val="en-US" w:eastAsia="ja-JP"/>
        </w:rPr>
        <w:t xml:space="preserve"> K, Schultz M. The risk of non-melanoma skin cancer in New Zealand in inflammatory bowel disease patients treated with thiopurines. </w:t>
      </w:r>
      <w:r w:rsidRPr="00F9703E">
        <w:rPr>
          <w:rFonts w:ascii="Book Antiqua" w:hAnsi="Book Antiqua" w:cs="Arial"/>
          <w:bCs/>
          <w:i/>
          <w:iCs/>
          <w:color w:val="000000" w:themeColor="text1"/>
          <w:kern w:val="36"/>
          <w:sz w:val="24"/>
          <w:szCs w:val="24"/>
          <w:lang w:val="en-US" w:eastAsia="ja-JP"/>
        </w:rPr>
        <w:t xml:space="preserve">J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002A4D38">
        <w:rPr>
          <w:rFonts w:ascii="Book Antiqua" w:hAnsi="Book Antiqua" w:cs="Arial"/>
          <w:bCs/>
          <w:i/>
          <w:iCs/>
          <w:color w:val="000000" w:themeColor="text1"/>
          <w:kern w:val="36"/>
          <w:sz w:val="24"/>
          <w:szCs w:val="24"/>
          <w:lang w:val="en-US" w:eastAsia="ja-JP"/>
        </w:rPr>
        <w:t xml:space="preserve"> </w:t>
      </w:r>
      <w:r w:rsidRPr="00F9703E">
        <w:rPr>
          <w:rFonts w:ascii="Book Antiqua" w:hAnsi="Book Antiqua" w:cs="Arial"/>
          <w:bCs/>
          <w:color w:val="000000" w:themeColor="text1"/>
          <w:kern w:val="36"/>
          <w:sz w:val="24"/>
          <w:szCs w:val="24"/>
          <w:lang w:val="en-US" w:eastAsia="ja-JP"/>
        </w:rPr>
        <w:t>2018; </w:t>
      </w:r>
      <w:r w:rsidRPr="00F9703E">
        <w:rPr>
          <w:rFonts w:ascii="Book Antiqua" w:hAnsi="Book Antiqua" w:cs="Arial"/>
          <w:b/>
          <w:bCs/>
          <w:color w:val="000000" w:themeColor="text1"/>
          <w:kern w:val="36"/>
          <w:sz w:val="24"/>
          <w:szCs w:val="24"/>
          <w:lang w:val="en-US" w:eastAsia="ja-JP"/>
        </w:rPr>
        <w:t>33</w:t>
      </w:r>
      <w:r w:rsidRPr="00F9703E">
        <w:rPr>
          <w:rFonts w:ascii="Book Antiqua" w:hAnsi="Book Antiqua" w:cs="Arial"/>
          <w:bCs/>
          <w:color w:val="000000" w:themeColor="text1"/>
          <w:kern w:val="36"/>
          <w:sz w:val="24"/>
          <w:szCs w:val="24"/>
          <w:lang w:val="en-US" w:eastAsia="ja-JP"/>
        </w:rPr>
        <w:t>: 1047-1052 [PMID: 29105142 DOI: 10.1111/jgh.14041]</w:t>
      </w:r>
    </w:p>
    <w:p w14:paraId="5C41356D"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42 </w:t>
      </w:r>
      <w:proofErr w:type="spellStart"/>
      <w:r w:rsidRPr="00F9703E">
        <w:rPr>
          <w:rFonts w:ascii="Book Antiqua" w:hAnsi="Book Antiqua" w:cs="Arial"/>
          <w:b/>
          <w:bCs/>
          <w:color w:val="000000" w:themeColor="text1"/>
          <w:kern w:val="36"/>
          <w:sz w:val="24"/>
          <w:szCs w:val="24"/>
          <w:lang w:val="en-US" w:eastAsia="ja-JP"/>
        </w:rPr>
        <w:t>Cheddani</w:t>
      </w:r>
      <w:proofErr w:type="spellEnd"/>
      <w:r w:rsidRPr="00F9703E">
        <w:rPr>
          <w:rFonts w:ascii="Book Antiqua" w:hAnsi="Book Antiqua" w:cs="Arial"/>
          <w:b/>
          <w:bCs/>
          <w:color w:val="000000" w:themeColor="text1"/>
          <w:kern w:val="36"/>
          <w:sz w:val="24"/>
          <w:szCs w:val="24"/>
          <w:lang w:val="en-US" w:eastAsia="ja-JP"/>
        </w:rPr>
        <w:t xml:space="preserve"> H</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Dauchet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Fumery</w:t>
      </w:r>
      <w:proofErr w:type="spellEnd"/>
      <w:r w:rsidRPr="00F9703E">
        <w:rPr>
          <w:rFonts w:ascii="Book Antiqua" w:hAnsi="Book Antiqua" w:cs="Arial"/>
          <w:bCs/>
          <w:color w:val="000000" w:themeColor="text1"/>
          <w:kern w:val="36"/>
          <w:sz w:val="24"/>
          <w:szCs w:val="24"/>
          <w:lang w:val="en-US" w:eastAsia="ja-JP"/>
        </w:rPr>
        <w:t xml:space="preserve"> M, Charpentier C, Marie Bouvier A, </w:t>
      </w:r>
      <w:proofErr w:type="spellStart"/>
      <w:r w:rsidRPr="00F9703E">
        <w:rPr>
          <w:rFonts w:ascii="Book Antiqua" w:hAnsi="Book Antiqua" w:cs="Arial"/>
          <w:bCs/>
          <w:color w:val="000000" w:themeColor="text1"/>
          <w:kern w:val="36"/>
          <w:sz w:val="24"/>
          <w:szCs w:val="24"/>
          <w:lang w:val="en-US" w:eastAsia="ja-JP"/>
        </w:rPr>
        <w:t>Dupas</w:t>
      </w:r>
      <w:proofErr w:type="spellEnd"/>
      <w:r w:rsidRPr="00F9703E">
        <w:rPr>
          <w:rFonts w:ascii="Book Antiqua" w:hAnsi="Book Antiqua" w:cs="Arial"/>
          <w:bCs/>
          <w:color w:val="000000" w:themeColor="text1"/>
          <w:kern w:val="36"/>
          <w:sz w:val="24"/>
          <w:szCs w:val="24"/>
          <w:lang w:val="en-US" w:eastAsia="ja-JP"/>
        </w:rPr>
        <w:t xml:space="preserve"> JL, </w:t>
      </w:r>
      <w:proofErr w:type="spellStart"/>
      <w:r w:rsidRPr="00F9703E">
        <w:rPr>
          <w:rFonts w:ascii="Book Antiqua" w:hAnsi="Book Antiqua" w:cs="Arial"/>
          <w:bCs/>
          <w:color w:val="000000" w:themeColor="text1"/>
          <w:kern w:val="36"/>
          <w:sz w:val="24"/>
          <w:szCs w:val="24"/>
          <w:lang w:val="en-US" w:eastAsia="ja-JP"/>
        </w:rPr>
        <w:t>Pariente</w:t>
      </w:r>
      <w:proofErr w:type="spellEnd"/>
      <w:r w:rsidRPr="00F9703E">
        <w:rPr>
          <w:rFonts w:ascii="Book Antiqua" w:hAnsi="Book Antiqua" w:cs="Arial"/>
          <w:bCs/>
          <w:color w:val="000000" w:themeColor="text1"/>
          <w:kern w:val="36"/>
          <w:sz w:val="24"/>
          <w:szCs w:val="24"/>
          <w:lang w:val="en-US" w:eastAsia="ja-JP"/>
        </w:rPr>
        <w:t xml:space="preserve"> B,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Savoye</w:t>
      </w:r>
      <w:proofErr w:type="spellEnd"/>
      <w:r w:rsidRPr="00F9703E">
        <w:rPr>
          <w:rFonts w:ascii="Book Antiqua" w:hAnsi="Book Antiqua" w:cs="Arial"/>
          <w:bCs/>
          <w:color w:val="000000" w:themeColor="text1"/>
          <w:kern w:val="36"/>
          <w:sz w:val="24"/>
          <w:szCs w:val="24"/>
          <w:lang w:val="en-US" w:eastAsia="ja-JP"/>
        </w:rPr>
        <w:t xml:space="preserve"> G, Gower-Rousseau C. Cancer in Elderly Onset Inflammatory Bowel Disease: A Population-Based Study. </w:t>
      </w:r>
      <w:r w:rsidRPr="00F9703E">
        <w:rPr>
          <w:rFonts w:ascii="Book Antiqua" w:hAnsi="Book Antiqua" w:cs="Arial"/>
          <w:bCs/>
          <w:i/>
          <w:iCs/>
          <w:color w:val="000000" w:themeColor="text1"/>
          <w:kern w:val="36"/>
          <w:sz w:val="24"/>
          <w:szCs w:val="24"/>
          <w:lang w:val="en-US" w:eastAsia="ja-JP"/>
        </w:rPr>
        <w:t>Am J Gastroenterol</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111</w:t>
      </w:r>
      <w:r w:rsidRPr="00F9703E">
        <w:rPr>
          <w:rFonts w:ascii="Book Antiqua" w:hAnsi="Book Antiqua" w:cs="Arial"/>
          <w:bCs/>
          <w:color w:val="000000" w:themeColor="text1"/>
          <w:kern w:val="36"/>
          <w:sz w:val="24"/>
          <w:szCs w:val="24"/>
          <w:lang w:val="en-US" w:eastAsia="ja-JP"/>
        </w:rPr>
        <w:t>: 1428-1436 [PMID: 27481308 DOI: 10.1038/ajg.2016.304]</w:t>
      </w:r>
    </w:p>
    <w:p w14:paraId="4CAB8D8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43 </w:t>
      </w:r>
      <w:proofErr w:type="spellStart"/>
      <w:r w:rsidRPr="00F9703E">
        <w:rPr>
          <w:rFonts w:ascii="Book Antiqua" w:hAnsi="Book Antiqua" w:cs="Arial"/>
          <w:b/>
          <w:bCs/>
          <w:color w:val="000000" w:themeColor="text1"/>
          <w:kern w:val="36"/>
          <w:sz w:val="24"/>
          <w:szCs w:val="24"/>
          <w:lang w:val="en-US" w:eastAsia="ja-JP"/>
        </w:rPr>
        <w:t>Kirchgesner</w:t>
      </w:r>
      <w:proofErr w:type="spellEnd"/>
      <w:r w:rsidRPr="00F9703E">
        <w:rPr>
          <w:rFonts w:ascii="Book Antiqua" w:hAnsi="Book Antiqua" w:cs="Arial"/>
          <w:b/>
          <w:bCs/>
          <w:color w:val="000000" w:themeColor="text1"/>
          <w:kern w:val="36"/>
          <w:sz w:val="24"/>
          <w:szCs w:val="24"/>
          <w:lang w:val="en-US" w:eastAsia="ja-JP"/>
        </w:rPr>
        <w:t xml:space="preserve"> J</w:t>
      </w:r>
      <w:r w:rsidRPr="00F9703E">
        <w:rPr>
          <w:rFonts w:ascii="Book Antiqua" w:hAnsi="Book Antiqua" w:cs="Arial"/>
          <w:bCs/>
          <w:color w:val="000000" w:themeColor="text1"/>
          <w:kern w:val="36"/>
          <w:sz w:val="24"/>
          <w:szCs w:val="24"/>
          <w:lang w:val="en-US" w:eastAsia="ja-JP"/>
        </w:rPr>
        <w:t xml:space="preserve">, Lemaitre M, </w:t>
      </w:r>
      <w:proofErr w:type="spellStart"/>
      <w:r w:rsidRPr="00F9703E">
        <w:rPr>
          <w:rFonts w:ascii="Book Antiqua" w:hAnsi="Book Antiqua" w:cs="Arial"/>
          <w:bCs/>
          <w:color w:val="000000" w:themeColor="text1"/>
          <w:kern w:val="36"/>
          <w:sz w:val="24"/>
          <w:szCs w:val="24"/>
          <w:lang w:val="en-US" w:eastAsia="ja-JP"/>
        </w:rPr>
        <w:t>Carrat</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Zureik</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Carbonnel</w:t>
      </w:r>
      <w:proofErr w:type="spellEnd"/>
      <w:r w:rsidRPr="00F9703E">
        <w:rPr>
          <w:rFonts w:ascii="Book Antiqua" w:hAnsi="Book Antiqua" w:cs="Arial"/>
          <w:bCs/>
          <w:color w:val="000000" w:themeColor="text1"/>
          <w:kern w:val="36"/>
          <w:sz w:val="24"/>
          <w:szCs w:val="24"/>
          <w:lang w:val="en-US" w:eastAsia="ja-JP"/>
        </w:rPr>
        <w:t xml:space="preserve"> F, Dray-</w:t>
      </w:r>
      <w:proofErr w:type="spellStart"/>
      <w:r w:rsidRPr="00F9703E">
        <w:rPr>
          <w:rFonts w:ascii="Book Antiqua" w:hAnsi="Book Antiqua" w:cs="Arial"/>
          <w:bCs/>
          <w:color w:val="000000" w:themeColor="text1"/>
          <w:kern w:val="36"/>
          <w:sz w:val="24"/>
          <w:szCs w:val="24"/>
          <w:lang w:val="en-US" w:eastAsia="ja-JP"/>
        </w:rPr>
        <w:t>Spira</w:t>
      </w:r>
      <w:proofErr w:type="spellEnd"/>
      <w:r w:rsidRPr="00F9703E">
        <w:rPr>
          <w:rFonts w:ascii="Book Antiqua" w:hAnsi="Book Antiqua" w:cs="Arial"/>
          <w:bCs/>
          <w:color w:val="000000" w:themeColor="text1"/>
          <w:kern w:val="36"/>
          <w:sz w:val="24"/>
          <w:szCs w:val="24"/>
          <w:lang w:val="en-US" w:eastAsia="ja-JP"/>
        </w:rPr>
        <w:t xml:space="preserve"> R. Risk of Serious and Opportunistic Infections Associated </w:t>
      </w:r>
      <w:proofErr w:type="gramStart"/>
      <w:r w:rsidRPr="00F9703E">
        <w:rPr>
          <w:rFonts w:ascii="Book Antiqua" w:hAnsi="Book Antiqua" w:cs="Arial"/>
          <w:bCs/>
          <w:color w:val="000000" w:themeColor="text1"/>
          <w:kern w:val="36"/>
          <w:sz w:val="24"/>
          <w:szCs w:val="24"/>
          <w:lang w:val="en-US" w:eastAsia="ja-JP"/>
        </w:rPr>
        <w:t>With</w:t>
      </w:r>
      <w:proofErr w:type="gramEnd"/>
      <w:r w:rsidRPr="00F9703E">
        <w:rPr>
          <w:rFonts w:ascii="Book Antiqua" w:hAnsi="Book Antiqua" w:cs="Arial"/>
          <w:bCs/>
          <w:color w:val="000000" w:themeColor="text1"/>
          <w:kern w:val="36"/>
          <w:sz w:val="24"/>
          <w:szCs w:val="24"/>
          <w:lang w:val="en-US" w:eastAsia="ja-JP"/>
        </w:rPr>
        <w:t xml:space="preserve"> Treatment of Inflammatory Bowel Diseases. </w:t>
      </w:r>
      <w:r w:rsidRPr="00F9703E">
        <w:rPr>
          <w:rFonts w:ascii="Book Antiqua" w:hAnsi="Book Antiqua" w:cs="Arial"/>
          <w:bCs/>
          <w:i/>
          <w:iCs/>
          <w:color w:val="000000" w:themeColor="text1"/>
          <w:kern w:val="36"/>
          <w:sz w:val="24"/>
          <w:szCs w:val="24"/>
          <w:lang w:val="en-US" w:eastAsia="ja-JP"/>
        </w:rPr>
        <w:t>Gastroenterology</w:t>
      </w:r>
      <w:r w:rsidRPr="00F9703E">
        <w:rPr>
          <w:rFonts w:ascii="Book Antiqua" w:hAnsi="Book Antiqua" w:cs="Arial"/>
          <w:bCs/>
          <w:color w:val="000000" w:themeColor="text1"/>
          <w:kern w:val="36"/>
          <w:sz w:val="24"/>
          <w:szCs w:val="24"/>
          <w:lang w:val="en-US" w:eastAsia="ja-JP"/>
        </w:rPr>
        <w:t> 2018; </w:t>
      </w:r>
      <w:r w:rsidRPr="00F9703E">
        <w:rPr>
          <w:rFonts w:ascii="Book Antiqua" w:hAnsi="Book Antiqua" w:cs="Arial"/>
          <w:b/>
          <w:bCs/>
          <w:color w:val="000000" w:themeColor="text1"/>
          <w:kern w:val="36"/>
          <w:sz w:val="24"/>
          <w:szCs w:val="24"/>
          <w:lang w:val="en-US" w:eastAsia="ja-JP"/>
        </w:rPr>
        <w:t>155</w:t>
      </w:r>
      <w:r w:rsidRPr="00F9703E">
        <w:rPr>
          <w:rFonts w:ascii="Book Antiqua" w:hAnsi="Book Antiqua" w:cs="Arial"/>
          <w:bCs/>
          <w:color w:val="000000" w:themeColor="text1"/>
          <w:kern w:val="36"/>
          <w:sz w:val="24"/>
          <w:szCs w:val="24"/>
          <w:lang w:val="en-US" w:eastAsia="ja-JP"/>
        </w:rPr>
        <w:t>: 337-346.e10 [PMID: 29655835 DOI: 10.1053/j.gastro.2018.04.012]</w:t>
      </w:r>
    </w:p>
    <w:p w14:paraId="6C60982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44 </w:t>
      </w:r>
      <w:proofErr w:type="spellStart"/>
      <w:r w:rsidRPr="00F9703E">
        <w:rPr>
          <w:rFonts w:ascii="Book Antiqua" w:hAnsi="Book Antiqua" w:cs="Arial"/>
          <w:b/>
          <w:bCs/>
          <w:color w:val="000000" w:themeColor="text1"/>
          <w:kern w:val="36"/>
          <w:sz w:val="24"/>
          <w:szCs w:val="24"/>
          <w:lang w:val="en-US" w:eastAsia="ja-JP"/>
        </w:rPr>
        <w:t>Broekman</w:t>
      </w:r>
      <w:proofErr w:type="spellEnd"/>
      <w:r w:rsidRPr="00F9703E">
        <w:rPr>
          <w:rFonts w:ascii="Book Antiqua" w:hAnsi="Book Antiqua" w:cs="Arial"/>
          <w:b/>
          <w:bCs/>
          <w:color w:val="000000" w:themeColor="text1"/>
          <w:kern w:val="36"/>
          <w:sz w:val="24"/>
          <w:szCs w:val="24"/>
          <w:lang w:val="en-US" w:eastAsia="ja-JP"/>
        </w:rPr>
        <w:t xml:space="preserve"> MMTJ</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Coenen</w:t>
      </w:r>
      <w:proofErr w:type="spellEnd"/>
      <w:r w:rsidRPr="00F9703E">
        <w:rPr>
          <w:rFonts w:ascii="Book Antiqua" w:hAnsi="Book Antiqua" w:cs="Arial"/>
          <w:bCs/>
          <w:color w:val="000000" w:themeColor="text1"/>
          <w:kern w:val="36"/>
          <w:sz w:val="24"/>
          <w:szCs w:val="24"/>
          <w:lang w:val="en-US" w:eastAsia="ja-JP"/>
        </w:rPr>
        <w:t xml:space="preserve"> MJH, </w:t>
      </w:r>
      <w:proofErr w:type="spellStart"/>
      <w:r w:rsidRPr="00F9703E">
        <w:rPr>
          <w:rFonts w:ascii="Book Antiqua" w:hAnsi="Book Antiqua" w:cs="Arial"/>
          <w:bCs/>
          <w:color w:val="000000" w:themeColor="text1"/>
          <w:kern w:val="36"/>
          <w:sz w:val="24"/>
          <w:szCs w:val="24"/>
          <w:lang w:val="en-US" w:eastAsia="ja-JP"/>
        </w:rPr>
        <w:t>Wanten</w:t>
      </w:r>
      <w:proofErr w:type="spellEnd"/>
      <w:r w:rsidRPr="00F9703E">
        <w:rPr>
          <w:rFonts w:ascii="Book Antiqua" w:hAnsi="Book Antiqua" w:cs="Arial"/>
          <w:bCs/>
          <w:color w:val="000000" w:themeColor="text1"/>
          <w:kern w:val="36"/>
          <w:sz w:val="24"/>
          <w:szCs w:val="24"/>
          <w:lang w:val="en-US" w:eastAsia="ja-JP"/>
        </w:rPr>
        <w:t xml:space="preserve"> GJ, van </w:t>
      </w:r>
      <w:proofErr w:type="spellStart"/>
      <w:r w:rsidRPr="00F9703E">
        <w:rPr>
          <w:rFonts w:ascii="Book Antiqua" w:hAnsi="Book Antiqua" w:cs="Arial"/>
          <w:bCs/>
          <w:color w:val="000000" w:themeColor="text1"/>
          <w:kern w:val="36"/>
          <w:sz w:val="24"/>
          <w:szCs w:val="24"/>
          <w:lang w:val="en-US" w:eastAsia="ja-JP"/>
        </w:rPr>
        <w:t>Marrewijk</w:t>
      </w:r>
      <w:proofErr w:type="spellEnd"/>
      <w:r w:rsidRPr="00F9703E">
        <w:rPr>
          <w:rFonts w:ascii="Book Antiqua" w:hAnsi="Book Antiqua" w:cs="Arial"/>
          <w:bCs/>
          <w:color w:val="000000" w:themeColor="text1"/>
          <w:kern w:val="36"/>
          <w:sz w:val="24"/>
          <w:szCs w:val="24"/>
          <w:lang w:val="en-US" w:eastAsia="ja-JP"/>
        </w:rPr>
        <w:t xml:space="preserve"> CJ, </w:t>
      </w:r>
      <w:proofErr w:type="spellStart"/>
      <w:r w:rsidRPr="00F9703E">
        <w:rPr>
          <w:rFonts w:ascii="Book Antiqua" w:hAnsi="Book Antiqua" w:cs="Arial"/>
          <w:bCs/>
          <w:color w:val="000000" w:themeColor="text1"/>
          <w:kern w:val="36"/>
          <w:sz w:val="24"/>
          <w:szCs w:val="24"/>
          <w:lang w:val="en-US" w:eastAsia="ja-JP"/>
        </w:rPr>
        <w:t>Klungel</w:t>
      </w:r>
      <w:proofErr w:type="spellEnd"/>
      <w:r w:rsidRPr="00F9703E">
        <w:rPr>
          <w:rFonts w:ascii="Book Antiqua" w:hAnsi="Book Antiqua" w:cs="Arial"/>
          <w:bCs/>
          <w:color w:val="000000" w:themeColor="text1"/>
          <w:kern w:val="36"/>
          <w:sz w:val="24"/>
          <w:szCs w:val="24"/>
          <w:lang w:val="en-US" w:eastAsia="ja-JP"/>
        </w:rPr>
        <w:t xml:space="preserve"> OH, Verbeek ALM, </w:t>
      </w:r>
      <w:proofErr w:type="spellStart"/>
      <w:r w:rsidRPr="00F9703E">
        <w:rPr>
          <w:rFonts w:ascii="Book Antiqua" w:hAnsi="Book Antiqua" w:cs="Arial"/>
          <w:bCs/>
          <w:color w:val="000000" w:themeColor="text1"/>
          <w:kern w:val="36"/>
          <w:sz w:val="24"/>
          <w:szCs w:val="24"/>
          <w:lang w:val="en-US" w:eastAsia="ja-JP"/>
        </w:rPr>
        <w:t>Hooymans</w:t>
      </w:r>
      <w:proofErr w:type="spellEnd"/>
      <w:r w:rsidRPr="00F9703E">
        <w:rPr>
          <w:rFonts w:ascii="Book Antiqua" w:hAnsi="Book Antiqua" w:cs="Arial"/>
          <w:bCs/>
          <w:color w:val="000000" w:themeColor="text1"/>
          <w:kern w:val="36"/>
          <w:sz w:val="24"/>
          <w:szCs w:val="24"/>
          <w:lang w:val="en-US" w:eastAsia="ja-JP"/>
        </w:rPr>
        <w:t xml:space="preserve"> PM, </w:t>
      </w:r>
      <w:proofErr w:type="spellStart"/>
      <w:r w:rsidRPr="00F9703E">
        <w:rPr>
          <w:rFonts w:ascii="Book Antiqua" w:hAnsi="Book Antiqua" w:cs="Arial"/>
          <w:bCs/>
          <w:color w:val="000000" w:themeColor="text1"/>
          <w:kern w:val="36"/>
          <w:sz w:val="24"/>
          <w:szCs w:val="24"/>
          <w:lang w:val="en-US" w:eastAsia="ja-JP"/>
        </w:rPr>
        <w:t>Guchelaar</w:t>
      </w:r>
      <w:proofErr w:type="spellEnd"/>
      <w:r w:rsidRPr="00F9703E">
        <w:rPr>
          <w:rFonts w:ascii="Book Antiqua" w:hAnsi="Book Antiqua" w:cs="Arial"/>
          <w:bCs/>
          <w:color w:val="000000" w:themeColor="text1"/>
          <w:kern w:val="36"/>
          <w:sz w:val="24"/>
          <w:szCs w:val="24"/>
          <w:lang w:val="en-US" w:eastAsia="ja-JP"/>
        </w:rPr>
        <w:t xml:space="preserve"> HJ, </w:t>
      </w:r>
      <w:proofErr w:type="spellStart"/>
      <w:r w:rsidRPr="00F9703E">
        <w:rPr>
          <w:rFonts w:ascii="Book Antiqua" w:hAnsi="Book Antiqua" w:cs="Arial"/>
          <w:bCs/>
          <w:color w:val="000000" w:themeColor="text1"/>
          <w:kern w:val="36"/>
          <w:sz w:val="24"/>
          <w:szCs w:val="24"/>
          <w:lang w:val="en-US" w:eastAsia="ja-JP"/>
        </w:rPr>
        <w:t>Scheffer</w:t>
      </w:r>
      <w:proofErr w:type="spellEnd"/>
      <w:r w:rsidRPr="00F9703E">
        <w:rPr>
          <w:rFonts w:ascii="Book Antiqua" w:hAnsi="Book Antiqua" w:cs="Arial"/>
          <w:bCs/>
          <w:color w:val="000000" w:themeColor="text1"/>
          <w:kern w:val="36"/>
          <w:sz w:val="24"/>
          <w:szCs w:val="24"/>
          <w:lang w:val="en-US" w:eastAsia="ja-JP"/>
        </w:rPr>
        <w:t xml:space="preserve"> H, </w:t>
      </w:r>
      <w:proofErr w:type="spellStart"/>
      <w:r w:rsidRPr="00F9703E">
        <w:rPr>
          <w:rFonts w:ascii="Book Antiqua" w:hAnsi="Book Antiqua" w:cs="Arial"/>
          <w:bCs/>
          <w:color w:val="000000" w:themeColor="text1"/>
          <w:kern w:val="36"/>
          <w:sz w:val="24"/>
          <w:szCs w:val="24"/>
          <w:lang w:val="en-US" w:eastAsia="ja-JP"/>
        </w:rPr>
        <w:t>Derijks</w:t>
      </w:r>
      <w:proofErr w:type="spellEnd"/>
      <w:r w:rsidRPr="00F9703E">
        <w:rPr>
          <w:rFonts w:ascii="Book Antiqua" w:hAnsi="Book Antiqua" w:cs="Arial"/>
          <w:bCs/>
          <w:color w:val="000000" w:themeColor="text1"/>
          <w:kern w:val="36"/>
          <w:sz w:val="24"/>
          <w:szCs w:val="24"/>
          <w:lang w:val="en-US" w:eastAsia="ja-JP"/>
        </w:rPr>
        <w:t xml:space="preserve"> LJJ, Wong DR, de Jong DJ. Risk factors for thiopurine-induced myelosuppression and infections in inflammatory bowel disease patients with a normal TPMT genotype.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46</w:t>
      </w:r>
      <w:r w:rsidRPr="00F9703E">
        <w:rPr>
          <w:rFonts w:ascii="Book Antiqua" w:hAnsi="Book Antiqua" w:cs="Arial"/>
          <w:bCs/>
          <w:color w:val="000000" w:themeColor="text1"/>
          <w:kern w:val="36"/>
          <w:sz w:val="24"/>
          <w:szCs w:val="24"/>
          <w:lang w:val="en-US" w:eastAsia="ja-JP"/>
        </w:rPr>
        <w:t>: 953-963 [PMID: 28914446 DOI: 10.1111/apt.14323]</w:t>
      </w:r>
    </w:p>
    <w:p w14:paraId="50BB026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45 </w:t>
      </w:r>
      <w:r w:rsidRPr="00F9703E">
        <w:rPr>
          <w:rFonts w:ascii="Book Antiqua" w:hAnsi="Book Antiqua" w:cs="Arial"/>
          <w:b/>
          <w:bCs/>
          <w:color w:val="000000" w:themeColor="text1"/>
          <w:kern w:val="36"/>
          <w:sz w:val="24"/>
          <w:szCs w:val="24"/>
          <w:lang w:val="en-US" w:eastAsia="ja-JP"/>
        </w:rPr>
        <w:t>de Boer NK</w:t>
      </w:r>
      <w:r w:rsidRPr="00F9703E">
        <w:rPr>
          <w:rFonts w:ascii="Book Antiqua" w:hAnsi="Book Antiqua" w:cs="Arial"/>
          <w:bCs/>
          <w:color w:val="000000" w:themeColor="text1"/>
          <w:kern w:val="36"/>
          <w:sz w:val="24"/>
          <w:szCs w:val="24"/>
          <w:lang w:val="en-US" w:eastAsia="ja-JP"/>
        </w:rPr>
        <w:t xml:space="preserve">, Wong DR, </w:t>
      </w:r>
      <w:proofErr w:type="spellStart"/>
      <w:r w:rsidRPr="00F9703E">
        <w:rPr>
          <w:rFonts w:ascii="Book Antiqua" w:hAnsi="Book Antiqua" w:cs="Arial"/>
          <w:bCs/>
          <w:color w:val="000000" w:themeColor="text1"/>
          <w:kern w:val="36"/>
          <w:sz w:val="24"/>
          <w:szCs w:val="24"/>
          <w:lang w:val="en-US" w:eastAsia="ja-JP"/>
        </w:rPr>
        <w:t>Jharap</w:t>
      </w:r>
      <w:proofErr w:type="spellEnd"/>
      <w:r w:rsidRPr="00F9703E">
        <w:rPr>
          <w:rFonts w:ascii="Book Antiqua" w:hAnsi="Book Antiqua" w:cs="Arial"/>
          <w:bCs/>
          <w:color w:val="000000" w:themeColor="text1"/>
          <w:kern w:val="36"/>
          <w:sz w:val="24"/>
          <w:szCs w:val="24"/>
          <w:lang w:val="en-US" w:eastAsia="ja-JP"/>
        </w:rPr>
        <w:t xml:space="preserve"> B, de Graaf P, </w:t>
      </w:r>
      <w:proofErr w:type="spellStart"/>
      <w:r w:rsidRPr="00F9703E">
        <w:rPr>
          <w:rFonts w:ascii="Book Antiqua" w:hAnsi="Book Antiqua" w:cs="Arial"/>
          <w:bCs/>
          <w:color w:val="000000" w:themeColor="text1"/>
          <w:kern w:val="36"/>
          <w:sz w:val="24"/>
          <w:szCs w:val="24"/>
          <w:lang w:val="en-US" w:eastAsia="ja-JP"/>
        </w:rPr>
        <w:t>Hooymans</w:t>
      </w:r>
      <w:proofErr w:type="spellEnd"/>
      <w:r w:rsidRPr="00F9703E">
        <w:rPr>
          <w:rFonts w:ascii="Book Antiqua" w:hAnsi="Book Antiqua" w:cs="Arial"/>
          <w:bCs/>
          <w:color w:val="000000" w:themeColor="text1"/>
          <w:kern w:val="36"/>
          <w:sz w:val="24"/>
          <w:szCs w:val="24"/>
          <w:lang w:val="en-US" w:eastAsia="ja-JP"/>
        </w:rPr>
        <w:t xml:space="preserve"> PM, Mulder CJ, </w:t>
      </w:r>
      <w:proofErr w:type="spellStart"/>
      <w:r w:rsidRPr="00F9703E">
        <w:rPr>
          <w:rFonts w:ascii="Book Antiqua" w:hAnsi="Book Antiqua" w:cs="Arial"/>
          <w:bCs/>
          <w:color w:val="000000" w:themeColor="text1"/>
          <w:kern w:val="36"/>
          <w:sz w:val="24"/>
          <w:szCs w:val="24"/>
          <w:lang w:val="en-US" w:eastAsia="ja-JP"/>
        </w:rPr>
        <w:t>Rijmen</w:t>
      </w:r>
      <w:proofErr w:type="spellEnd"/>
      <w:r w:rsidRPr="00F9703E">
        <w:rPr>
          <w:rFonts w:ascii="Book Antiqua" w:hAnsi="Book Antiqua" w:cs="Arial"/>
          <w:bCs/>
          <w:color w:val="000000" w:themeColor="text1"/>
          <w:kern w:val="36"/>
          <w:sz w:val="24"/>
          <w:szCs w:val="24"/>
          <w:lang w:val="en-US" w:eastAsia="ja-JP"/>
        </w:rPr>
        <w:t xml:space="preserve"> F, Engels LG, van </w:t>
      </w:r>
      <w:proofErr w:type="spellStart"/>
      <w:r w:rsidRPr="00F9703E">
        <w:rPr>
          <w:rFonts w:ascii="Book Antiqua" w:hAnsi="Book Antiqua" w:cs="Arial"/>
          <w:bCs/>
          <w:color w:val="000000" w:themeColor="text1"/>
          <w:kern w:val="36"/>
          <w:sz w:val="24"/>
          <w:szCs w:val="24"/>
          <w:lang w:val="en-US" w:eastAsia="ja-JP"/>
        </w:rPr>
        <w:t>Bodegraven</w:t>
      </w:r>
      <w:proofErr w:type="spellEnd"/>
      <w:r w:rsidRPr="00F9703E">
        <w:rPr>
          <w:rFonts w:ascii="Book Antiqua" w:hAnsi="Book Antiqua" w:cs="Arial"/>
          <w:bCs/>
          <w:color w:val="000000" w:themeColor="text1"/>
          <w:kern w:val="36"/>
          <w:sz w:val="24"/>
          <w:szCs w:val="24"/>
          <w:lang w:val="en-US" w:eastAsia="ja-JP"/>
        </w:rPr>
        <w:t xml:space="preserve"> AA. Dose-dependent influence of 5-aminosalicylates on thiopurine metabolism. </w:t>
      </w:r>
      <w:r w:rsidRPr="00F9703E">
        <w:rPr>
          <w:rFonts w:ascii="Book Antiqua" w:hAnsi="Book Antiqua" w:cs="Arial"/>
          <w:bCs/>
          <w:i/>
          <w:iCs/>
          <w:color w:val="000000" w:themeColor="text1"/>
          <w:kern w:val="36"/>
          <w:sz w:val="24"/>
          <w:szCs w:val="24"/>
          <w:lang w:val="en-US" w:eastAsia="ja-JP"/>
        </w:rPr>
        <w:t>Am J Gastroenterol</w:t>
      </w:r>
      <w:r w:rsidRPr="00F9703E">
        <w:rPr>
          <w:rFonts w:ascii="Book Antiqua" w:hAnsi="Book Antiqua" w:cs="Arial"/>
          <w:bCs/>
          <w:color w:val="000000" w:themeColor="text1"/>
          <w:kern w:val="36"/>
          <w:sz w:val="24"/>
          <w:szCs w:val="24"/>
          <w:lang w:val="en-US" w:eastAsia="ja-JP"/>
        </w:rPr>
        <w:t> 2007; </w:t>
      </w:r>
      <w:r w:rsidRPr="00F9703E">
        <w:rPr>
          <w:rFonts w:ascii="Book Antiqua" w:hAnsi="Book Antiqua" w:cs="Arial"/>
          <w:b/>
          <w:bCs/>
          <w:color w:val="000000" w:themeColor="text1"/>
          <w:kern w:val="36"/>
          <w:sz w:val="24"/>
          <w:szCs w:val="24"/>
          <w:lang w:val="en-US" w:eastAsia="ja-JP"/>
        </w:rPr>
        <w:t>102</w:t>
      </w:r>
      <w:r w:rsidRPr="00F9703E">
        <w:rPr>
          <w:rFonts w:ascii="Book Antiqua" w:hAnsi="Book Antiqua" w:cs="Arial"/>
          <w:bCs/>
          <w:color w:val="000000" w:themeColor="text1"/>
          <w:kern w:val="36"/>
          <w:sz w:val="24"/>
          <w:szCs w:val="24"/>
          <w:lang w:val="en-US" w:eastAsia="ja-JP"/>
        </w:rPr>
        <w:t>: 2747-2753 [PMID: 17764493 DOI: 10.1111/j.1572-0241.</w:t>
      </w:r>
      <w:proofErr w:type="gramStart"/>
      <w:r w:rsidRPr="00F9703E">
        <w:rPr>
          <w:rFonts w:ascii="Book Antiqua" w:hAnsi="Book Antiqua" w:cs="Arial"/>
          <w:bCs/>
          <w:color w:val="000000" w:themeColor="text1"/>
          <w:kern w:val="36"/>
          <w:sz w:val="24"/>
          <w:szCs w:val="24"/>
          <w:lang w:val="en-US" w:eastAsia="ja-JP"/>
        </w:rPr>
        <w:t>2007.01511.x</w:t>
      </w:r>
      <w:proofErr w:type="gramEnd"/>
      <w:r w:rsidRPr="00F9703E">
        <w:rPr>
          <w:rFonts w:ascii="Book Antiqua" w:hAnsi="Book Antiqua" w:cs="Arial"/>
          <w:bCs/>
          <w:color w:val="000000" w:themeColor="text1"/>
          <w:kern w:val="36"/>
          <w:sz w:val="24"/>
          <w:szCs w:val="24"/>
          <w:lang w:val="en-US" w:eastAsia="ja-JP"/>
        </w:rPr>
        <w:t>]</w:t>
      </w:r>
    </w:p>
    <w:p w14:paraId="31577C8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46 </w:t>
      </w:r>
      <w:proofErr w:type="spellStart"/>
      <w:r w:rsidRPr="00F9703E">
        <w:rPr>
          <w:rFonts w:ascii="Book Antiqua" w:hAnsi="Book Antiqua" w:cs="Arial"/>
          <w:b/>
          <w:bCs/>
          <w:color w:val="000000" w:themeColor="text1"/>
          <w:kern w:val="36"/>
          <w:sz w:val="24"/>
          <w:szCs w:val="24"/>
          <w:lang w:val="en-US" w:eastAsia="ja-JP"/>
        </w:rPr>
        <w:t>Saibeni</w:t>
      </w:r>
      <w:proofErr w:type="spellEnd"/>
      <w:r w:rsidRPr="00F9703E">
        <w:rPr>
          <w:rFonts w:ascii="Book Antiqua" w:hAnsi="Book Antiqua" w:cs="Arial"/>
          <w:b/>
          <w:bCs/>
          <w:color w:val="000000" w:themeColor="text1"/>
          <w:kern w:val="36"/>
          <w:sz w:val="24"/>
          <w:szCs w:val="24"/>
          <w:lang w:val="en-US" w:eastAsia="ja-JP"/>
        </w:rPr>
        <w:t xml:space="preserve"> S</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Bollani</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Losco</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Michielan</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Sostegni</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Devani</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Lupinacci</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Pirola</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Cucino</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Meucci</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Basilisco</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D'Incà</w:t>
      </w:r>
      <w:proofErr w:type="spellEnd"/>
      <w:r w:rsidRPr="00F9703E">
        <w:rPr>
          <w:rFonts w:ascii="Book Antiqua" w:hAnsi="Book Antiqua" w:cs="Arial"/>
          <w:bCs/>
          <w:color w:val="000000" w:themeColor="text1"/>
          <w:kern w:val="36"/>
          <w:sz w:val="24"/>
          <w:szCs w:val="24"/>
          <w:lang w:val="en-US" w:eastAsia="ja-JP"/>
        </w:rPr>
        <w:t xml:space="preserve"> R, Bruno S. The use of methotrexate </w:t>
      </w:r>
      <w:r w:rsidRPr="00F9703E">
        <w:rPr>
          <w:rFonts w:ascii="Book Antiqua" w:hAnsi="Book Antiqua" w:cs="Arial"/>
          <w:bCs/>
          <w:color w:val="000000" w:themeColor="text1"/>
          <w:kern w:val="36"/>
          <w:sz w:val="24"/>
          <w:szCs w:val="24"/>
          <w:lang w:val="en-US" w:eastAsia="ja-JP"/>
        </w:rPr>
        <w:lastRenderedPageBreak/>
        <w:t>for treatment of inflammatory bowel disease in clinical practice. </w:t>
      </w:r>
      <w:r w:rsidRPr="00F9703E">
        <w:rPr>
          <w:rFonts w:ascii="Book Antiqua" w:hAnsi="Book Antiqua" w:cs="Arial"/>
          <w:bCs/>
          <w:i/>
          <w:iCs/>
          <w:color w:val="000000" w:themeColor="text1"/>
          <w:kern w:val="36"/>
          <w:sz w:val="24"/>
          <w:szCs w:val="24"/>
          <w:lang w:val="en-US" w:eastAsia="ja-JP"/>
        </w:rPr>
        <w:t>Dig Liver Dis</w:t>
      </w:r>
      <w:r w:rsidRPr="00F9703E">
        <w:rPr>
          <w:rFonts w:ascii="Book Antiqua" w:hAnsi="Book Antiqua" w:cs="Arial"/>
          <w:bCs/>
          <w:color w:val="000000" w:themeColor="text1"/>
          <w:kern w:val="36"/>
          <w:sz w:val="24"/>
          <w:szCs w:val="24"/>
          <w:lang w:val="en-US" w:eastAsia="ja-JP"/>
        </w:rPr>
        <w:t> 2012; </w:t>
      </w:r>
      <w:r w:rsidRPr="00F9703E">
        <w:rPr>
          <w:rFonts w:ascii="Book Antiqua" w:hAnsi="Book Antiqua" w:cs="Arial"/>
          <w:b/>
          <w:bCs/>
          <w:color w:val="000000" w:themeColor="text1"/>
          <w:kern w:val="36"/>
          <w:sz w:val="24"/>
          <w:szCs w:val="24"/>
          <w:lang w:val="en-US" w:eastAsia="ja-JP"/>
        </w:rPr>
        <w:t>44</w:t>
      </w:r>
      <w:r w:rsidRPr="00F9703E">
        <w:rPr>
          <w:rFonts w:ascii="Book Antiqua" w:hAnsi="Book Antiqua" w:cs="Arial"/>
          <w:bCs/>
          <w:color w:val="000000" w:themeColor="text1"/>
          <w:kern w:val="36"/>
          <w:sz w:val="24"/>
          <w:szCs w:val="24"/>
          <w:lang w:val="en-US" w:eastAsia="ja-JP"/>
        </w:rPr>
        <w:t>: 123-127 [PMID: 22051323 DOI: 10.1016/j.dld.2011.09.015]</w:t>
      </w:r>
    </w:p>
    <w:p w14:paraId="0451752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47 </w:t>
      </w:r>
      <w:proofErr w:type="spellStart"/>
      <w:r w:rsidRPr="00F9703E">
        <w:rPr>
          <w:rFonts w:ascii="Book Antiqua" w:hAnsi="Book Antiqua" w:cs="Arial"/>
          <w:b/>
          <w:bCs/>
          <w:color w:val="000000" w:themeColor="text1"/>
          <w:kern w:val="36"/>
          <w:sz w:val="24"/>
          <w:szCs w:val="24"/>
          <w:lang w:val="en-US" w:eastAsia="ja-JP"/>
        </w:rPr>
        <w:t>Morgacheva</w:t>
      </w:r>
      <w:proofErr w:type="spellEnd"/>
      <w:r w:rsidRPr="00F9703E">
        <w:rPr>
          <w:rFonts w:ascii="Book Antiqua" w:hAnsi="Book Antiqua" w:cs="Arial"/>
          <w:b/>
          <w:bCs/>
          <w:color w:val="000000" w:themeColor="text1"/>
          <w:kern w:val="36"/>
          <w:sz w:val="24"/>
          <w:szCs w:val="24"/>
          <w:lang w:val="en-US" w:eastAsia="ja-JP"/>
        </w:rPr>
        <w:t xml:space="preserve"> O</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Furst</w:t>
      </w:r>
      <w:proofErr w:type="spellEnd"/>
      <w:r w:rsidRPr="00F9703E">
        <w:rPr>
          <w:rFonts w:ascii="Book Antiqua" w:hAnsi="Book Antiqua" w:cs="Arial"/>
          <w:bCs/>
          <w:color w:val="000000" w:themeColor="text1"/>
          <w:kern w:val="36"/>
          <w:sz w:val="24"/>
          <w:szCs w:val="24"/>
          <w:lang w:val="en-US" w:eastAsia="ja-JP"/>
        </w:rPr>
        <w:t xml:space="preserve"> DE. Use of MTX in the elderly and in patients with compromised renal function. </w:t>
      </w:r>
      <w:r w:rsidRPr="00F9703E">
        <w:rPr>
          <w:rFonts w:ascii="Book Antiqua" w:hAnsi="Book Antiqua" w:cs="Arial"/>
          <w:bCs/>
          <w:i/>
          <w:iCs/>
          <w:color w:val="000000" w:themeColor="text1"/>
          <w:kern w:val="36"/>
          <w:sz w:val="24"/>
          <w:szCs w:val="24"/>
          <w:lang w:val="en-US" w:eastAsia="ja-JP"/>
        </w:rPr>
        <w:t xml:space="preserve">Clin Exp </w:t>
      </w:r>
      <w:proofErr w:type="spellStart"/>
      <w:r w:rsidRPr="00F9703E">
        <w:rPr>
          <w:rFonts w:ascii="Book Antiqua" w:hAnsi="Book Antiqua" w:cs="Arial"/>
          <w:bCs/>
          <w:i/>
          <w:iCs/>
          <w:color w:val="000000" w:themeColor="text1"/>
          <w:kern w:val="36"/>
          <w:sz w:val="24"/>
          <w:szCs w:val="24"/>
          <w:lang w:val="en-US" w:eastAsia="ja-JP"/>
        </w:rPr>
        <w:t>Rheumatol</w:t>
      </w:r>
      <w:proofErr w:type="spellEnd"/>
      <w:r w:rsidRPr="00F9703E">
        <w:rPr>
          <w:rFonts w:ascii="Book Antiqua" w:hAnsi="Book Antiqua" w:cs="Arial"/>
          <w:bCs/>
          <w:color w:val="000000" w:themeColor="text1"/>
          <w:kern w:val="36"/>
          <w:sz w:val="24"/>
          <w:szCs w:val="24"/>
          <w:lang w:val="en-US" w:eastAsia="ja-JP"/>
        </w:rPr>
        <w:t> 2010; </w:t>
      </w:r>
      <w:r w:rsidRPr="00F9703E">
        <w:rPr>
          <w:rFonts w:ascii="Book Antiqua" w:hAnsi="Book Antiqua" w:cs="Arial"/>
          <w:b/>
          <w:bCs/>
          <w:color w:val="000000" w:themeColor="text1"/>
          <w:kern w:val="36"/>
          <w:sz w:val="24"/>
          <w:szCs w:val="24"/>
          <w:lang w:val="en-US" w:eastAsia="ja-JP"/>
        </w:rPr>
        <w:t>28</w:t>
      </w:r>
      <w:r w:rsidRPr="00F9703E">
        <w:rPr>
          <w:rFonts w:ascii="Book Antiqua" w:hAnsi="Book Antiqua" w:cs="Arial"/>
          <w:bCs/>
          <w:color w:val="000000" w:themeColor="text1"/>
          <w:kern w:val="36"/>
          <w:sz w:val="24"/>
          <w:szCs w:val="24"/>
          <w:lang w:val="en-US" w:eastAsia="ja-JP"/>
        </w:rPr>
        <w:t>: S85-S94 [PMID: 21044439]</w:t>
      </w:r>
    </w:p>
    <w:p w14:paraId="44091E48"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48 </w:t>
      </w:r>
      <w:proofErr w:type="spellStart"/>
      <w:r w:rsidRPr="00F9703E">
        <w:rPr>
          <w:rFonts w:ascii="Book Antiqua" w:hAnsi="Book Antiqua" w:cs="Arial"/>
          <w:b/>
          <w:bCs/>
          <w:color w:val="000000" w:themeColor="text1"/>
          <w:kern w:val="36"/>
          <w:sz w:val="24"/>
          <w:szCs w:val="24"/>
          <w:lang w:val="en-US" w:eastAsia="ja-JP"/>
        </w:rPr>
        <w:t>Colombel</w:t>
      </w:r>
      <w:proofErr w:type="spellEnd"/>
      <w:r w:rsidRPr="00F9703E">
        <w:rPr>
          <w:rFonts w:ascii="Book Antiqua" w:hAnsi="Book Antiqua" w:cs="Arial"/>
          <w:b/>
          <w:bCs/>
          <w:color w:val="000000" w:themeColor="text1"/>
          <w:kern w:val="36"/>
          <w:sz w:val="24"/>
          <w:szCs w:val="24"/>
          <w:lang w:val="en-US" w:eastAsia="ja-JP"/>
        </w:rPr>
        <w:t xml:space="preserve"> JF</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WJ, </w:t>
      </w:r>
      <w:proofErr w:type="spellStart"/>
      <w:r w:rsidRPr="00F9703E">
        <w:rPr>
          <w:rFonts w:ascii="Book Antiqua" w:hAnsi="Book Antiqua" w:cs="Arial"/>
          <w:bCs/>
          <w:color w:val="000000" w:themeColor="text1"/>
          <w:kern w:val="36"/>
          <w:sz w:val="24"/>
          <w:szCs w:val="24"/>
          <w:lang w:val="en-US" w:eastAsia="ja-JP"/>
        </w:rPr>
        <w:t>Rutgeerts</w:t>
      </w:r>
      <w:proofErr w:type="spellEnd"/>
      <w:r w:rsidRPr="00F9703E">
        <w:rPr>
          <w:rFonts w:ascii="Book Antiqua" w:hAnsi="Book Antiqua" w:cs="Arial"/>
          <w:bCs/>
          <w:color w:val="000000" w:themeColor="text1"/>
          <w:kern w:val="36"/>
          <w:sz w:val="24"/>
          <w:szCs w:val="24"/>
          <w:lang w:val="en-US" w:eastAsia="ja-JP"/>
        </w:rPr>
        <w:t xml:space="preserve"> P, Enns R, </w:t>
      </w:r>
      <w:proofErr w:type="spellStart"/>
      <w:r w:rsidRPr="00F9703E">
        <w:rPr>
          <w:rFonts w:ascii="Book Antiqua" w:hAnsi="Book Antiqua" w:cs="Arial"/>
          <w:bCs/>
          <w:color w:val="000000" w:themeColor="text1"/>
          <w:kern w:val="36"/>
          <w:sz w:val="24"/>
          <w:szCs w:val="24"/>
          <w:lang w:val="en-US" w:eastAsia="ja-JP"/>
        </w:rPr>
        <w:t>Hanauer</w:t>
      </w:r>
      <w:proofErr w:type="spellEnd"/>
      <w:r w:rsidRPr="00F9703E">
        <w:rPr>
          <w:rFonts w:ascii="Book Antiqua" w:hAnsi="Book Antiqua" w:cs="Arial"/>
          <w:bCs/>
          <w:color w:val="000000" w:themeColor="text1"/>
          <w:kern w:val="36"/>
          <w:sz w:val="24"/>
          <w:szCs w:val="24"/>
          <w:lang w:val="en-US" w:eastAsia="ja-JP"/>
        </w:rPr>
        <w:t xml:space="preserve"> SB, </w:t>
      </w:r>
      <w:proofErr w:type="spellStart"/>
      <w:r w:rsidRPr="00F9703E">
        <w:rPr>
          <w:rFonts w:ascii="Book Antiqua" w:hAnsi="Book Antiqua" w:cs="Arial"/>
          <w:bCs/>
          <w:color w:val="000000" w:themeColor="text1"/>
          <w:kern w:val="36"/>
          <w:sz w:val="24"/>
          <w:szCs w:val="24"/>
          <w:lang w:val="en-US" w:eastAsia="ja-JP"/>
        </w:rPr>
        <w:t>Panaccione</w:t>
      </w:r>
      <w:proofErr w:type="spellEnd"/>
      <w:r w:rsidRPr="00F9703E">
        <w:rPr>
          <w:rFonts w:ascii="Book Antiqua" w:hAnsi="Book Antiqua" w:cs="Arial"/>
          <w:bCs/>
          <w:color w:val="000000" w:themeColor="text1"/>
          <w:kern w:val="36"/>
          <w:sz w:val="24"/>
          <w:szCs w:val="24"/>
          <w:lang w:val="en-US" w:eastAsia="ja-JP"/>
        </w:rPr>
        <w:t xml:space="preserve"> R, Schreiber S, </w:t>
      </w:r>
      <w:proofErr w:type="spellStart"/>
      <w:r w:rsidRPr="00F9703E">
        <w:rPr>
          <w:rFonts w:ascii="Book Antiqua" w:hAnsi="Book Antiqua" w:cs="Arial"/>
          <w:bCs/>
          <w:color w:val="000000" w:themeColor="text1"/>
          <w:kern w:val="36"/>
          <w:sz w:val="24"/>
          <w:szCs w:val="24"/>
          <w:lang w:val="en-US" w:eastAsia="ja-JP"/>
        </w:rPr>
        <w:t>Byczkowski</w:t>
      </w:r>
      <w:proofErr w:type="spellEnd"/>
      <w:r w:rsidRPr="00F9703E">
        <w:rPr>
          <w:rFonts w:ascii="Book Antiqua" w:hAnsi="Book Antiqua" w:cs="Arial"/>
          <w:bCs/>
          <w:color w:val="000000" w:themeColor="text1"/>
          <w:kern w:val="36"/>
          <w:sz w:val="24"/>
          <w:szCs w:val="24"/>
          <w:lang w:val="en-US" w:eastAsia="ja-JP"/>
        </w:rPr>
        <w:t xml:space="preserve"> D, Li J, Kent JD, Pollack PF. Adalimumab for maintenance of clinical response and remission in patients with Crohn's disease: the CHARM trial. </w:t>
      </w:r>
      <w:r w:rsidRPr="00F9703E">
        <w:rPr>
          <w:rFonts w:ascii="Book Antiqua" w:hAnsi="Book Antiqua" w:cs="Arial"/>
          <w:bCs/>
          <w:i/>
          <w:iCs/>
          <w:color w:val="000000" w:themeColor="text1"/>
          <w:kern w:val="36"/>
          <w:sz w:val="24"/>
          <w:szCs w:val="24"/>
          <w:lang w:val="en-US" w:eastAsia="ja-JP"/>
        </w:rPr>
        <w:t>Gastroenterology</w:t>
      </w:r>
      <w:r w:rsidRPr="00F9703E">
        <w:rPr>
          <w:rFonts w:ascii="Book Antiqua" w:hAnsi="Book Antiqua" w:cs="Arial"/>
          <w:bCs/>
          <w:color w:val="000000" w:themeColor="text1"/>
          <w:kern w:val="36"/>
          <w:sz w:val="24"/>
          <w:szCs w:val="24"/>
          <w:lang w:val="en-US" w:eastAsia="ja-JP"/>
        </w:rPr>
        <w:t> 2007; </w:t>
      </w:r>
      <w:r w:rsidRPr="00F9703E">
        <w:rPr>
          <w:rFonts w:ascii="Book Antiqua" w:hAnsi="Book Antiqua" w:cs="Arial"/>
          <w:b/>
          <w:bCs/>
          <w:color w:val="000000" w:themeColor="text1"/>
          <w:kern w:val="36"/>
          <w:sz w:val="24"/>
          <w:szCs w:val="24"/>
          <w:lang w:val="en-US" w:eastAsia="ja-JP"/>
        </w:rPr>
        <w:t>132</w:t>
      </w:r>
      <w:r w:rsidRPr="00F9703E">
        <w:rPr>
          <w:rFonts w:ascii="Book Antiqua" w:hAnsi="Book Antiqua" w:cs="Arial"/>
          <w:bCs/>
          <w:color w:val="000000" w:themeColor="text1"/>
          <w:kern w:val="36"/>
          <w:sz w:val="24"/>
          <w:szCs w:val="24"/>
          <w:lang w:val="en-US" w:eastAsia="ja-JP"/>
        </w:rPr>
        <w:t>: 52-65 [PMID: 17241859 DOI: 10.1053/j.gastro.2006.11.041]</w:t>
      </w:r>
    </w:p>
    <w:p w14:paraId="2CDB8F51"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49 </w:t>
      </w:r>
      <w:proofErr w:type="spellStart"/>
      <w:r w:rsidRPr="00F9703E">
        <w:rPr>
          <w:rFonts w:ascii="Book Antiqua" w:hAnsi="Book Antiqua" w:cs="Arial"/>
          <w:b/>
          <w:bCs/>
          <w:color w:val="000000" w:themeColor="text1"/>
          <w:kern w:val="36"/>
          <w:sz w:val="24"/>
          <w:szCs w:val="24"/>
          <w:lang w:val="en-US" w:eastAsia="ja-JP"/>
        </w:rPr>
        <w:t>Colombel</w:t>
      </w:r>
      <w:proofErr w:type="spellEnd"/>
      <w:r w:rsidRPr="00F9703E">
        <w:rPr>
          <w:rFonts w:ascii="Book Antiqua" w:hAnsi="Book Antiqua" w:cs="Arial"/>
          <w:b/>
          <w:bCs/>
          <w:color w:val="000000" w:themeColor="text1"/>
          <w:kern w:val="36"/>
          <w:sz w:val="24"/>
          <w:szCs w:val="24"/>
          <w:lang w:val="en-US" w:eastAsia="ja-JP"/>
        </w:rPr>
        <w:t xml:space="preserve"> JF</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WJ, </w:t>
      </w:r>
      <w:proofErr w:type="spellStart"/>
      <w:r w:rsidRPr="00F9703E">
        <w:rPr>
          <w:rFonts w:ascii="Book Antiqua" w:hAnsi="Book Antiqua" w:cs="Arial"/>
          <w:bCs/>
          <w:color w:val="000000" w:themeColor="text1"/>
          <w:kern w:val="36"/>
          <w:sz w:val="24"/>
          <w:szCs w:val="24"/>
          <w:lang w:val="en-US" w:eastAsia="ja-JP"/>
        </w:rPr>
        <w:t>Reinisch</w:t>
      </w:r>
      <w:proofErr w:type="spellEnd"/>
      <w:r w:rsidRPr="00F9703E">
        <w:rPr>
          <w:rFonts w:ascii="Book Antiqua" w:hAnsi="Book Antiqua" w:cs="Arial"/>
          <w:bCs/>
          <w:color w:val="000000" w:themeColor="text1"/>
          <w:kern w:val="36"/>
          <w:sz w:val="24"/>
          <w:szCs w:val="24"/>
          <w:lang w:val="en-US" w:eastAsia="ja-JP"/>
        </w:rPr>
        <w:t xml:space="preserve"> W, </w:t>
      </w:r>
      <w:proofErr w:type="spellStart"/>
      <w:r w:rsidRPr="00F9703E">
        <w:rPr>
          <w:rFonts w:ascii="Book Antiqua" w:hAnsi="Book Antiqua" w:cs="Arial"/>
          <w:bCs/>
          <w:color w:val="000000" w:themeColor="text1"/>
          <w:kern w:val="36"/>
          <w:sz w:val="24"/>
          <w:szCs w:val="24"/>
          <w:lang w:val="en-US" w:eastAsia="ja-JP"/>
        </w:rPr>
        <w:t>Mantzaris</w:t>
      </w:r>
      <w:proofErr w:type="spellEnd"/>
      <w:r w:rsidRPr="00F9703E">
        <w:rPr>
          <w:rFonts w:ascii="Book Antiqua" w:hAnsi="Book Antiqua" w:cs="Arial"/>
          <w:bCs/>
          <w:color w:val="000000" w:themeColor="text1"/>
          <w:kern w:val="36"/>
          <w:sz w:val="24"/>
          <w:szCs w:val="24"/>
          <w:lang w:val="en-US" w:eastAsia="ja-JP"/>
        </w:rPr>
        <w:t xml:space="preserve"> GJ, Kornbluth A, </w:t>
      </w:r>
      <w:proofErr w:type="spellStart"/>
      <w:r w:rsidRPr="00F9703E">
        <w:rPr>
          <w:rFonts w:ascii="Book Antiqua" w:hAnsi="Book Antiqua" w:cs="Arial"/>
          <w:bCs/>
          <w:color w:val="000000" w:themeColor="text1"/>
          <w:kern w:val="36"/>
          <w:sz w:val="24"/>
          <w:szCs w:val="24"/>
          <w:lang w:val="en-US" w:eastAsia="ja-JP"/>
        </w:rPr>
        <w:t>Rachmilewitz</w:t>
      </w:r>
      <w:proofErr w:type="spellEnd"/>
      <w:r w:rsidRPr="00F9703E">
        <w:rPr>
          <w:rFonts w:ascii="Book Antiqua" w:hAnsi="Book Antiqua" w:cs="Arial"/>
          <w:bCs/>
          <w:color w:val="000000" w:themeColor="text1"/>
          <w:kern w:val="36"/>
          <w:sz w:val="24"/>
          <w:szCs w:val="24"/>
          <w:lang w:val="en-US" w:eastAsia="ja-JP"/>
        </w:rPr>
        <w:t xml:space="preserve"> D, </w:t>
      </w:r>
      <w:proofErr w:type="spellStart"/>
      <w:r w:rsidRPr="00F9703E">
        <w:rPr>
          <w:rFonts w:ascii="Book Antiqua" w:hAnsi="Book Antiqua" w:cs="Arial"/>
          <w:bCs/>
          <w:color w:val="000000" w:themeColor="text1"/>
          <w:kern w:val="36"/>
          <w:sz w:val="24"/>
          <w:szCs w:val="24"/>
          <w:lang w:val="en-US" w:eastAsia="ja-JP"/>
        </w:rPr>
        <w:t>Lichtiger</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D'Haens</w:t>
      </w:r>
      <w:proofErr w:type="spellEnd"/>
      <w:r w:rsidRPr="00F9703E">
        <w:rPr>
          <w:rFonts w:ascii="Book Antiqua" w:hAnsi="Book Antiqua" w:cs="Arial"/>
          <w:bCs/>
          <w:color w:val="000000" w:themeColor="text1"/>
          <w:kern w:val="36"/>
          <w:sz w:val="24"/>
          <w:szCs w:val="24"/>
          <w:lang w:val="en-US" w:eastAsia="ja-JP"/>
        </w:rPr>
        <w:t xml:space="preserve"> G, Diamond RH, Broussard DL, Tang KL, van der </w:t>
      </w:r>
      <w:proofErr w:type="spellStart"/>
      <w:r w:rsidRPr="00F9703E">
        <w:rPr>
          <w:rFonts w:ascii="Book Antiqua" w:hAnsi="Book Antiqua" w:cs="Arial"/>
          <w:bCs/>
          <w:color w:val="000000" w:themeColor="text1"/>
          <w:kern w:val="36"/>
          <w:sz w:val="24"/>
          <w:szCs w:val="24"/>
          <w:lang w:val="en-US" w:eastAsia="ja-JP"/>
        </w:rPr>
        <w:t>Woude</w:t>
      </w:r>
      <w:proofErr w:type="spellEnd"/>
      <w:r w:rsidRPr="00F9703E">
        <w:rPr>
          <w:rFonts w:ascii="Book Antiqua" w:hAnsi="Book Antiqua" w:cs="Arial"/>
          <w:bCs/>
          <w:color w:val="000000" w:themeColor="text1"/>
          <w:kern w:val="36"/>
          <w:sz w:val="24"/>
          <w:szCs w:val="24"/>
          <w:lang w:val="en-US" w:eastAsia="ja-JP"/>
        </w:rPr>
        <w:t xml:space="preserve"> CJ, </w:t>
      </w:r>
      <w:proofErr w:type="spellStart"/>
      <w:r w:rsidRPr="00F9703E">
        <w:rPr>
          <w:rFonts w:ascii="Book Antiqua" w:hAnsi="Book Antiqua" w:cs="Arial"/>
          <w:bCs/>
          <w:color w:val="000000" w:themeColor="text1"/>
          <w:kern w:val="36"/>
          <w:sz w:val="24"/>
          <w:szCs w:val="24"/>
          <w:lang w:val="en-US" w:eastAsia="ja-JP"/>
        </w:rPr>
        <w:t>Rutgeerts</w:t>
      </w:r>
      <w:proofErr w:type="spellEnd"/>
      <w:r w:rsidRPr="00F9703E">
        <w:rPr>
          <w:rFonts w:ascii="Book Antiqua" w:hAnsi="Book Antiqua" w:cs="Arial"/>
          <w:bCs/>
          <w:color w:val="000000" w:themeColor="text1"/>
          <w:kern w:val="36"/>
          <w:sz w:val="24"/>
          <w:szCs w:val="24"/>
          <w:lang w:val="en-US" w:eastAsia="ja-JP"/>
        </w:rPr>
        <w:t xml:space="preserve"> P; SONIC Study Group. Infliximab, azathioprine, or combination therapy for Crohn's disease. </w:t>
      </w:r>
      <w:r w:rsidRPr="00F9703E">
        <w:rPr>
          <w:rFonts w:ascii="Book Antiqua" w:hAnsi="Book Antiqua" w:cs="Arial"/>
          <w:bCs/>
          <w:i/>
          <w:iCs/>
          <w:color w:val="000000" w:themeColor="text1"/>
          <w:kern w:val="36"/>
          <w:sz w:val="24"/>
          <w:szCs w:val="24"/>
          <w:lang w:val="en-US" w:eastAsia="ja-JP"/>
        </w:rPr>
        <w:t xml:space="preserve">N </w:t>
      </w:r>
      <w:proofErr w:type="spellStart"/>
      <w:r w:rsidRPr="00F9703E">
        <w:rPr>
          <w:rFonts w:ascii="Book Antiqua" w:hAnsi="Book Antiqua" w:cs="Arial"/>
          <w:bCs/>
          <w:i/>
          <w:iCs/>
          <w:color w:val="000000" w:themeColor="text1"/>
          <w:kern w:val="36"/>
          <w:sz w:val="24"/>
          <w:szCs w:val="24"/>
          <w:lang w:val="en-US" w:eastAsia="ja-JP"/>
        </w:rPr>
        <w:t>Engl</w:t>
      </w:r>
      <w:proofErr w:type="spellEnd"/>
      <w:r w:rsidRPr="00F9703E">
        <w:rPr>
          <w:rFonts w:ascii="Book Antiqua" w:hAnsi="Book Antiqua" w:cs="Arial"/>
          <w:bCs/>
          <w:i/>
          <w:iCs/>
          <w:color w:val="000000" w:themeColor="text1"/>
          <w:kern w:val="36"/>
          <w:sz w:val="24"/>
          <w:szCs w:val="24"/>
          <w:lang w:val="en-US" w:eastAsia="ja-JP"/>
        </w:rPr>
        <w:t xml:space="preserve"> J Med</w:t>
      </w:r>
      <w:r w:rsidRPr="00F9703E">
        <w:rPr>
          <w:rFonts w:ascii="Book Antiqua" w:hAnsi="Book Antiqua" w:cs="Arial"/>
          <w:bCs/>
          <w:color w:val="000000" w:themeColor="text1"/>
          <w:kern w:val="36"/>
          <w:sz w:val="24"/>
          <w:szCs w:val="24"/>
          <w:lang w:val="en-US" w:eastAsia="ja-JP"/>
        </w:rPr>
        <w:t> 2010; </w:t>
      </w:r>
      <w:r w:rsidRPr="00F9703E">
        <w:rPr>
          <w:rFonts w:ascii="Book Antiqua" w:hAnsi="Book Antiqua" w:cs="Arial"/>
          <w:b/>
          <w:bCs/>
          <w:color w:val="000000" w:themeColor="text1"/>
          <w:kern w:val="36"/>
          <w:sz w:val="24"/>
          <w:szCs w:val="24"/>
          <w:lang w:val="en-US" w:eastAsia="ja-JP"/>
        </w:rPr>
        <w:t>362</w:t>
      </w:r>
      <w:r w:rsidRPr="00F9703E">
        <w:rPr>
          <w:rFonts w:ascii="Book Antiqua" w:hAnsi="Book Antiqua" w:cs="Arial"/>
          <w:bCs/>
          <w:color w:val="000000" w:themeColor="text1"/>
          <w:kern w:val="36"/>
          <w:sz w:val="24"/>
          <w:szCs w:val="24"/>
          <w:lang w:val="en-US" w:eastAsia="ja-JP"/>
        </w:rPr>
        <w:t>: 1383-1395 [PMID: 20393175 DOI: 10.1056/NEJMoa0904492]</w:t>
      </w:r>
    </w:p>
    <w:p w14:paraId="7E15E41F"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50 </w:t>
      </w:r>
      <w:proofErr w:type="spellStart"/>
      <w:r w:rsidRPr="00F9703E">
        <w:rPr>
          <w:rFonts w:ascii="Book Antiqua" w:hAnsi="Book Antiqua" w:cs="Arial"/>
          <w:b/>
          <w:bCs/>
          <w:color w:val="000000" w:themeColor="text1"/>
          <w:kern w:val="36"/>
          <w:sz w:val="24"/>
          <w:szCs w:val="24"/>
          <w:lang w:val="en-US" w:eastAsia="ja-JP"/>
        </w:rPr>
        <w:t>Feagan</w:t>
      </w:r>
      <w:proofErr w:type="spellEnd"/>
      <w:r w:rsidRPr="00F9703E">
        <w:rPr>
          <w:rFonts w:ascii="Book Antiqua" w:hAnsi="Book Antiqua" w:cs="Arial"/>
          <w:b/>
          <w:bCs/>
          <w:color w:val="000000" w:themeColor="text1"/>
          <w:kern w:val="36"/>
          <w:sz w:val="24"/>
          <w:szCs w:val="24"/>
          <w:lang w:val="en-US" w:eastAsia="ja-JP"/>
        </w:rPr>
        <w:t xml:space="preserve"> BG</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Sandborn</w:t>
      </w:r>
      <w:proofErr w:type="spellEnd"/>
      <w:r w:rsidRPr="00F9703E">
        <w:rPr>
          <w:rFonts w:ascii="Book Antiqua" w:hAnsi="Book Antiqua" w:cs="Arial"/>
          <w:bCs/>
          <w:color w:val="000000" w:themeColor="text1"/>
          <w:kern w:val="36"/>
          <w:sz w:val="24"/>
          <w:szCs w:val="24"/>
          <w:lang w:val="en-US" w:eastAsia="ja-JP"/>
        </w:rPr>
        <w:t xml:space="preserve"> WJ, </w:t>
      </w:r>
      <w:proofErr w:type="spellStart"/>
      <w:r w:rsidRPr="00F9703E">
        <w:rPr>
          <w:rFonts w:ascii="Book Antiqua" w:hAnsi="Book Antiqua" w:cs="Arial"/>
          <w:bCs/>
          <w:color w:val="000000" w:themeColor="text1"/>
          <w:kern w:val="36"/>
          <w:sz w:val="24"/>
          <w:szCs w:val="24"/>
          <w:lang w:val="en-US" w:eastAsia="ja-JP"/>
        </w:rPr>
        <w:t>Gasink</w:t>
      </w:r>
      <w:proofErr w:type="spellEnd"/>
      <w:r w:rsidRPr="00F9703E">
        <w:rPr>
          <w:rFonts w:ascii="Book Antiqua" w:hAnsi="Book Antiqua" w:cs="Arial"/>
          <w:bCs/>
          <w:color w:val="000000" w:themeColor="text1"/>
          <w:kern w:val="36"/>
          <w:sz w:val="24"/>
          <w:szCs w:val="24"/>
          <w:lang w:val="en-US" w:eastAsia="ja-JP"/>
        </w:rPr>
        <w:t xml:space="preserve"> C, </w:t>
      </w:r>
      <w:proofErr w:type="spellStart"/>
      <w:r w:rsidRPr="00F9703E">
        <w:rPr>
          <w:rFonts w:ascii="Book Antiqua" w:hAnsi="Book Antiqua" w:cs="Arial"/>
          <w:bCs/>
          <w:color w:val="000000" w:themeColor="text1"/>
          <w:kern w:val="36"/>
          <w:sz w:val="24"/>
          <w:szCs w:val="24"/>
          <w:lang w:val="en-US" w:eastAsia="ja-JP"/>
        </w:rPr>
        <w:t>Jacobstein</w:t>
      </w:r>
      <w:proofErr w:type="spellEnd"/>
      <w:r w:rsidRPr="00F9703E">
        <w:rPr>
          <w:rFonts w:ascii="Book Antiqua" w:hAnsi="Book Antiqua" w:cs="Arial"/>
          <w:bCs/>
          <w:color w:val="000000" w:themeColor="text1"/>
          <w:kern w:val="36"/>
          <w:sz w:val="24"/>
          <w:szCs w:val="24"/>
          <w:lang w:val="en-US" w:eastAsia="ja-JP"/>
        </w:rPr>
        <w:t xml:space="preserve"> D, Lang Y, Friedman JR, Blank MA, </w:t>
      </w:r>
      <w:proofErr w:type="spellStart"/>
      <w:r w:rsidRPr="00F9703E">
        <w:rPr>
          <w:rFonts w:ascii="Book Antiqua" w:hAnsi="Book Antiqua" w:cs="Arial"/>
          <w:bCs/>
          <w:color w:val="000000" w:themeColor="text1"/>
          <w:kern w:val="36"/>
          <w:sz w:val="24"/>
          <w:szCs w:val="24"/>
          <w:lang w:val="en-US" w:eastAsia="ja-JP"/>
        </w:rPr>
        <w:t>Johanns</w:t>
      </w:r>
      <w:proofErr w:type="spellEnd"/>
      <w:r w:rsidRPr="00F9703E">
        <w:rPr>
          <w:rFonts w:ascii="Book Antiqua" w:hAnsi="Book Antiqua" w:cs="Arial"/>
          <w:bCs/>
          <w:color w:val="000000" w:themeColor="text1"/>
          <w:kern w:val="36"/>
          <w:sz w:val="24"/>
          <w:szCs w:val="24"/>
          <w:lang w:val="en-US" w:eastAsia="ja-JP"/>
        </w:rPr>
        <w:t xml:space="preserve"> J, Gao LL, Miao Y, </w:t>
      </w:r>
      <w:proofErr w:type="spellStart"/>
      <w:r w:rsidRPr="00F9703E">
        <w:rPr>
          <w:rFonts w:ascii="Book Antiqua" w:hAnsi="Book Antiqua" w:cs="Arial"/>
          <w:bCs/>
          <w:color w:val="000000" w:themeColor="text1"/>
          <w:kern w:val="36"/>
          <w:sz w:val="24"/>
          <w:szCs w:val="24"/>
          <w:lang w:val="en-US" w:eastAsia="ja-JP"/>
        </w:rPr>
        <w:t>Adedokun</w:t>
      </w:r>
      <w:proofErr w:type="spellEnd"/>
      <w:r w:rsidRPr="00F9703E">
        <w:rPr>
          <w:rFonts w:ascii="Book Antiqua" w:hAnsi="Book Antiqua" w:cs="Arial"/>
          <w:bCs/>
          <w:color w:val="000000" w:themeColor="text1"/>
          <w:kern w:val="36"/>
          <w:sz w:val="24"/>
          <w:szCs w:val="24"/>
          <w:lang w:val="en-US" w:eastAsia="ja-JP"/>
        </w:rPr>
        <w:t xml:space="preserve"> OJ, Sands BE, </w:t>
      </w:r>
      <w:proofErr w:type="spellStart"/>
      <w:r w:rsidRPr="00F9703E">
        <w:rPr>
          <w:rFonts w:ascii="Book Antiqua" w:hAnsi="Book Antiqua" w:cs="Arial"/>
          <w:bCs/>
          <w:color w:val="000000" w:themeColor="text1"/>
          <w:kern w:val="36"/>
          <w:sz w:val="24"/>
          <w:szCs w:val="24"/>
          <w:lang w:val="en-US" w:eastAsia="ja-JP"/>
        </w:rPr>
        <w:t>Hanauer</w:t>
      </w:r>
      <w:proofErr w:type="spellEnd"/>
      <w:r w:rsidRPr="00F9703E">
        <w:rPr>
          <w:rFonts w:ascii="Book Antiqua" w:hAnsi="Book Antiqua" w:cs="Arial"/>
          <w:bCs/>
          <w:color w:val="000000" w:themeColor="text1"/>
          <w:kern w:val="36"/>
          <w:sz w:val="24"/>
          <w:szCs w:val="24"/>
          <w:lang w:val="en-US" w:eastAsia="ja-JP"/>
        </w:rPr>
        <w:t xml:space="preserve"> SB, </w:t>
      </w:r>
      <w:proofErr w:type="spellStart"/>
      <w:r w:rsidRPr="00F9703E">
        <w:rPr>
          <w:rFonts w:ascii="Book Antiqua" w:hAnsi="Book Antiqua" w:cs="Arial"/>
          <w:bCs/>
          <w:color w:val="000000" w:themeColor="text1"/>
          <w:kern w:val="36"/>
          <w:sz w:val="24"/>
          <w:szCs w:val="24"/>
          <w:lang w:val="en-US" w:eastAsia="ja-JP"/>
        </w:rPr>
        <w:t>Vermeire</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Targan</w:t>
      </w:r>
      <w:proofErr w:type="spellEnd"/>
      <w:r w:rsidRPr="00F9703E">
        <w:rPr>
          <w:rFonts w:ascii="Book Antiqua" w:hAnsi="Book Antiqua" w:cs="Arial"/>
          <w:bCs/>
          <w:color w:val="000000" w:themeColor="text1"/>
          <w:kern w:val="36"/>
          <w:sz w:val="24"/>
          <w:szCs w:val="24"/>
          <w:lang w:val="en-US" w:eastAsia="ja-JP"/>
        </w:rPr>
        <w:t xml:space="preserve"> S, Ghosh S, de Villiers WJ, </w:t>
      </w:r>
      <w:proofErr w:type="spellStart"/>
      <w:r w:rsidRPr="00F9703E">
        <w:rPr>
          <w:rFonts w:ascii="Book Antiqua" w:hAnsi="Book Antiqua" w:cs="Arial"/>
          <w:bCs/>
          <w:color w:val="000000" w:themeColor="text1"/>
          <w:kern w:val="36"/>
          <w:sz w:val="24"/>
          <w:szCs w:val="24"/>
          <w:lang w:val="en-US" w:eastAsia="ja-JP"/>
        </w:rPr>
        <w:t>Colombel</w:t>
      </w:r>
      <w:proofErr w:type="spellEnd"/>
      <w:r w:rsidRPr="00F9703E">
        <w:rPr>
          <w:rFonts w:ascii="Book Antiqua" w:hAnsi="Book Antiqua" w:cs="Arial"/>
          <w:bCs/>
          <w:color w:val="000000" w:themeColor="text1"/>
          <w:kern w:val="36"/>
          <w:sz w:val="24"/>
          <w:szCs w:val="24"/>
          <w:lang w:val="en-US" w:eastAsia="ja-JP"/>
        </w:rPr>
        <w:t xml:space="preserve"> JF, </w:t>
      </w:r>
      <w:proofErr w:type="spellStart"/>
      <w:r w:rsidRPr="00F9703E">
        <w:rPr>
          <w:rFonts w:ascii="Book Antiqua" w:hAnsi="Book Antiqua" w:cs="Arial"/>
          <w:bCs/>
          <w:color w:val="000000" w:themeColor="text1"/>
          <w:kern w:val="36"/>
          <w:sz w:val="24"/>
          <w:szCs w:val="24"/>
          <w:lang w:val="en-US" w:eastAsia="ja-JP"/>
        </w:rPr>
        <w:t>Tulassay</w:t>
      </w:r>
      <w:proofErr w:type="spellEnd"/>
      <w:r w:rsidRPr="00F9703E">
        <w:rPr>
          <w:rFonts w:ascii="Book Antiqua" w:hAnsi="Book Antiqua" w:cs="Arial"/>
          <w:bCs/>
          <w:color w:val="000000" w:themeColor="text1"/>
          <w:kern w:val="36"/>
          <w:sz w:val="24"/>
          <w:szCs w:val="24"/>
          <w:lang w:val="en-US" w:eastAsia="ja-JP"/>
        </w:rPr>
        <w:t xml:space="preserve"> Z, Seidler U, </w:t>
      </w:r>
      <w:proofErr w:type="spellStart"/>
      <w:r w:rsidRPr="00F9703E">
        <w:rPr>
          <w:rFonts w:ascii="Book Antiqua" w:hAnsi="Book Antiqua" w:cs="Arial"/>
          <w:bCs/>
          <w:color w:val="000000" w:themeColor="text1"/>
          <w:kern w:val="36"/>
          <w:sz w:val="24"/>
          <w:szCs w:val="24"/>
          <w:lang w:val="en-US" w:eastAsia="ja-JP"/>
        </w:rPr>
        <w:t>Salzberg</w:t>
      </w:r>
      <w:proofErr w:type="spellEnd"/>
      <w:r w:rsidRPr="00F9703E">
        <w:rPr>
          <w:rFonts w:ascii="Book Antiqua" w:hAnsi="Book Antiqua" w:cs="Arial"/>
          <w:bCs/>
          <w:color w:val="000000" w:themeColor="text1"/>
          <w:kern w:val="36"/>
          <w:sz w:val="24"/>
          <w:szCs w:val="24"/>
          <w:lang w:val="en-US" w:eastAsia="ja-JP"/>
        </w:rPr>
        <w:t xml:space="preserve"> BA, </w:t>
      </w:r>
      <w:proofErr w:type="spellStart"/>
      <w:r w:rsidRPr="00F9703E">
        <w:rPr>
          <w:rFonts w:ascii="Book Antiqua" w:hAnsi="Book Antiqua" w:cs="Arial"/>
          <w:bCs/>
          <w:color w:val="000000" w:themeColor="text1"/>
          <w:kern w:val="36"/>
          <w:sz w:val="24"/>
          <w:szCs w:val="24"/>
          <w:lang w:val="en-US" w:eastAsia="ja-JP"/>
        </w:rPr>
        <w:t>Desreumaux</w:t>
      </w:r>
      <w:proofErr w:type="spellEnd"/>
      <w:r w:rsidRPr="00F9703E">
        <w:rPr>
          <w:rFonts w:ascii="Book Antiqua" w:hAnsi="Book Antiqua" w:cs="Arial"/>
          <w:bCs/>
          <w:color w:val="000000" w:themeColor="text1"/>
          <w:kern w:val="36"/>
          <w:sz w:val="24"/>
          <w:szCs w:val="24"/>
          <w:lang w:val="en-US" w:eastAsia="ja-JP"/>
        </w:rPr>
        <w:t xml:space="preserve"> P, Lee SD, Loftus EV Jr, Dieleman LA, Katz S, </w:t>
      </w:r>
      <w:proofErr w:type="spellStart"/>
      <w:r w:rsidRPr="00F9703E">
        <w:rPr>
          <w:rFonts w:ascii="Book Antiqua" w:hAnsi="Book Antiqua" w:cs="Arial"/>
          <w:bCs/>
          <w:color w:val="000000" w:themeColor="text1"/>
          <w:kern w:val="36"/>
          <w:sz w:val="24"/>
          <w:szCs w:val="24"/>
          <w:lang w:val="en-US" w:eastAsia="ja-JP"/>
        </w:rPr>
        <w:t>Rutgeerts</w:t>
      </w:r>
      <w:proofErr w:type="spellEnd"/>
      <w:r w:rsidRPr="00F9703E">
        <w:rPr>
          <w:rFonts w:ascii="Book Antiqua" w:hAnsi="Book Antiqua" w:cs="Arial"/>
          <w:bCs/>
          <w:color w:val="000000" w:themeColor="text1"/>
          <w:kern w:val="36"/>
          <w:sz w:val="24"/>
          <w:szCs w:val="24"/>
          <w:lang w:val="en-US" w:eastAsia="ja-JP"/>
        </w:rPr>
        <w:t xml:space="preserve"> P; UNITI–IM-UNITI Study Group. </w:t>
      </w:r>
      <w:proofErr w:type="spellStart"/>
      <w:r w:rsidRPr="00F9703E">
        <w:rPr>
          <w:rFonts w:ascii="Book Antiqua" w:hAnsi="Book Antiqua" w:cs="Arial"/>
          <w:bCs/>
          <w:color w:val="000000" w:themeColor="text1"/>
          <w:kern w:val="36"/>
          <w:sz w:val="24"/>
          <w:szCs w:val="24"/>
          <w:lang w:val="en-US" w:eastAsia="ja-JP"/>
        </w:rPr>
        <w:t>Ustekinumab</w:t>
      </w:r>
      <w:proofErr w:type="spellEnd"/>
      <w:r w:rsidRPr="00F9703E">
        <w:rPr>
          <w:rFonts w:ascii="Book Antiqua" w:hAnsi="Book Antiqua" w:cs="Arial"/>
          <w:bCs/>
          <w:color w:val="000000" w:themeColor="text1"/>
          <w:kern w:val="36"/>
          <w:sz w:val="24"/>
          <w:szCs w:val="24"/>
          <w:lang w:val="en-US" w:eastAsia="ja-JP"/>
        </w:rPr>
        <w:t xml:space="preserve"> as Induction and Maintenance Therapy for Crohn's Disease. </w:t>
      </w:r>
      <w:r w:rsidRPr="00F9703E">
        <w:rPr>
          <w:rFonts w:ascii="Book Antiqua" w:hAnsi="Book Antiqua" w:cs="Arial"/>
          <w:bCs/>
          <w:i/>
          <w:iCs/>
          <w:color w:val="000000" w:themeColor="text1"/>
          <w:kern w:val="36"/>
          <w:sz w:val="24"/>
          <w:szCs w:val="24"/>
          <w:lang w:val="en-US" w:eastAsia="ja-JP"/>
        </w:rPr>
        <w:t xml:space="preserve">N </w:t>
      </w:r>
      <w:proofErr w:type="spellStart"/>
      <w:r w:rsidRPr="00F9703E">
        <w:rPr>
          <w:rFonts w:ascii="Book Antiqua" w:hAnsi="Book Antiqua" w:cs="Arial"/>
          <w:bCs/>
          <w:i/>
          <w:iCs/>
          <w:color w:val="000000" w:themeColor="text1"/>
          <w:kern w:val="36"/>
          <w:sz w:val="24"/>
          <w:szCs w:val="24"/>
          <w:lang w:val="en-US" w:eastAsia="ja-JP"/>
        </w:rPr>
        <w:t>Engl</w:t>
      </w:r>
      <w:proofErr w:type="spellEnd"/>
      <w:r w:rsidRPr="00F9703E">
        <w:rPr>
          <w:rFonts w:ascii="Book Antiqua" w:hAnsi="Book Antiqua" w:cs="Arial"/>
          <w:bCs/>
          <w:i/>
          <w:iCs/>
          <w:color w:val="000000" w:themeColor="text1"/>
          <w:kern w:val="36"/>
          <w:sz w:val="24"/>
          <w:szCs w:val="24"/>
          <w:lang w:val="en-US" w:eastAsia="ja-JP"/>
        </w:rPr>
        <w:t xml:space="preserve"> J Med</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375</w:t>
      </w:r>
      <w:r w:rsidRPr="00F9703E">
        <w:rPr>
          <w:rFonts w:ascii="Book Antiqua" w:hAnsi="Book Antiqua" w:cs="Arial"/>
          <w:bCs/>
          <w:color w:val="000000" w:themeColor="text1"/>
          <w:kern w:val="36"/>
          <w:sz w:val="24"/>
          <w:szCs w:val="24"/>
          <w:lang w:val="en-US" w:eastAsia="ja-JP"/>
        </w:rPr>
        <w:t>: 1946-1960 [PMID: 27959607 DOI: 10.1056/NEJMoa1602773]</w:t>
      </w:r>
    </w:p>
    <w:p w14:paraId="28DD8754"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51 </w:t>
      </w:r>
      <w:proofErr w:type="spellStart"/>
      <w:r w:rsidRPr="00F9703E">
        <w:rPr>
          <w:rFonts w:ascii="Book Antiqua" w:hAnsi="Book Antiqua" w:cs="Arial"/>
          <w:b/>
          <w:bCs/>
          <w:color w:val="000000" w:themeColor="text1"/>
          <w:kern w:val="36"/>
          <w:sz w:val="24"/>
          <w:szCs w:val="24"/>
          <w:lang w:val="en-US" w:eastAsia="ja-JP"/>
        </w:rPr>
        <w:t>Lobatón</w:t>
      </w:r>
      <w:proofErr w:type="spellEnd"/>
      <w:r w:rsidRPr="00F9703E">
        <w:rPr>
          <w:rFonts w:ascii="Book Antiqua" w:hAnsi="Book Antiqua" w:cs="Arial"/>
          <w:b/>
          <w:bCs/>
          <w:color w:val="000000" w:themeColor="text1"/>
          <w:kern w:val="36"/>
          <w:sz w:val="24"/>
          <w:szCs w:val="24"/>
          <w:lang w:val="en-US" w:eastAsia="ja-JP"/>
        </w:rPr>
        <w:t xml:space="preserve"> T</w:t>
      </w:r>
      <w:r w:rsidRPr="00F9703E">
        <w:rPr>
          <w:rFonts w:ascii="Book Antiqua" w:hAnsi="Book Antiqua" w:cs="Arial"/>
          <w:bCs/>
          <w:color w:val="000000" w:themeColor="text1"/>
          <w:kern w:val="36"/>
          <w:sz w:val="24"/>
          <w:szCs w:val="24"/>
          <w:lang w:val="en-US" w:eastAsia="ja-JP"/>
        </w:rPr>
        <w:t xml:space="preserve">, Ferrante M, </w:t>
      </w:r>
      <w:proofErr w:type="spellStart"/>
      <w:r w:rsidRPr="00F9703E">
        <w:rPr>
          <w:rFonts w:ascii="Book Antiqua" w:hAnsi="Book Antiqua" w:cs="Arial"/>
          <w:bCs/>
          <w:color w:val="000000" w:themeColor="text1"/>
          <w:kern w:val="36"/>
          <w:sz w:val="24"/>
          <w:szCs w:val="24"/>
          <w:lang w:val="en-US" w:eastAsia="ja-JP"/>
        </w:rPr>
        <w:t>Rutgeerts</w:t>
      </w:r>
      <w:proofErr w:type="spellEnd"/>
      <w:r w:rsidRPr="00F9703E">
        <w:rPr>
          <w:rFonts w:ascii="Book Antiqua" w:hAnsi="Book Antiqua" w:cs="Arial"/>
          <w:bCs/>
          <w:color w:val="000000" w:themeColor="text1"/>
          <w:kern w:val="36"/>
          <w:sz w:val="24"/>
          <w:szCs w:val="24"/>
          <w:lang w:val="en-US" w:eastAsia="ja-JP"/>
        </w:rPr>
        <w:t xml:space="preserve"> P, Ballet V, Van </w:t>
      </w:r>
      <w:proofErr w:type="spellStart"/>
      <w:r w:rsidRPr="00F9703E">
        <w:rPr>
          <w:rFonts w:ascii="Book Antiqua" w:hAnsi="Book Antiqua" w:cs="Arial"/>
          <w:bCs/>
          <w:color w:val="000000" w:themeColor="text1"/>
          <w:kern w:val="36"/>
          <w:sz w:val="24"/>
          <w:szCs w:val="24"/>
          <w:lang w:val="en-US" w:eastAsia="ja-JP"/>
        </w:rPr>
        <w:t>Assche</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Vermeire</w:t>
      </w:r>
      <w:proofErr w:type="spellEnd"/>
      <w:r w:rsidRPr="00F9703E">
        <w:rPr>
          <w:rFonts w:ascii="Book Antiqua" w:hAnsi="Book Antiqua" w:cs="Arial"/>
          <w:bCs/>
          <w:color w:val="000000" w:themeColor="text1"/>
          <w:kern w:val="36"/>
          <w:sz w:val="24"/>
          <w:szCs w:val="24"/>
          <w:lang w:val="en-US" w:eastAsia="ja-JP"/>
        </w:rPr>
        <w:t xml:space="preserve"> S. Efficacy and safety of anti-TNF therapy in elderly patients with inflammatory bowel disease.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2015; </w:t>
      </w:r>
      <w:r w:rsidRPr="00F9703E">
        <w:rPr>
          <w:rFonts w:ascii="Book Antiqua" w:hAnsi="Book Antiqua" w:cs="Arial"/>
          <w:b/>
          <w:bCs/>
          <w:color w:val="000000" w:themeColor="text1"/>
          <w:kern w:val="36"/>
          <w:sz w:val="24"/>
          <w:szCs w:val="24"/>
          <w:lang w:val="en-US" w:eastAsia="ja-JP"/>
        </w:rPr>
        <w:t>42</w:t>
      </w:r>
      <w:r w:rsidRPr="00F9703E">
        <w:rPr>
          <w:rFonts w:ascii="Book Antiqua" w:hAnsi="Book Antiqua" w:cs="Arial"/>
          <w:bCs/>
          <w:color w:val="000000" w:themeColor="text1"/>
          <w:kern w:val="36"/>
          <w:sz w:val="24"/>
          <w:szCs w:val="24"/>
          <w:lang w:val="en-US" w:eastAsia="ja-JP"/>
        </w:rPr>
        <w:t>: 441-451 [PMID: 26104047 DOI: 10.1111/apt.13294]</w:t>
      </w:r>
    </w:p>
    <w:p w14:paraId="559D63F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52 </w:t>
      </w:r>
      <w:r w:rsidRPr="00F9703E">
        <w:rPr>
          <w:rFonts w:ascii="Book Antiqua" w:hAnsi="Book Antiqua" w:cs="Arial"/>
          <w:b/>
          <w:bCs/>
          <w:color w:val="000000" w:themeColor="text1"/>
          <w:kern w:val="36"/>
          <w:sz w:val="24"/>
          <w:szCs w:val="24"/>
          <w:lang w:val="en-US" w:eastAsia="ja-JP"/>
        </w:rPr>
        <w:t>Desai A</w:t>
      </w:r>
      <w:r w:rsidRPr="00F9703E">
        <w:rPr>
          <w:rFonts w:ascii="Book Antiqua" w:hAnsi="Book Antiqua" w:cs="Arial"/>
          <w:bCs/>
          <w:color w:val="000000" w:themeColor="text1"/>
          <w:kern w:val="36"/>
          <w:sz w:val="24"/>
          <w:szCs w:val="24"/>
          <w:lang w:val="en-US" w:eastAsia="ja-JP"/>
        </w:rPr>
        <w:t xml:space="preserve">, Zator ZA, de Silva P, Nguyen DD, </w:t>
      </w:r>
      <w:proofErr w:type="spellStart"/>
      <w:r w:rsidRPr="00F9703E">
        <w:rPr>
          <w:rFonts w:ascii="Book Antiqua" w:hAnsi="Book Antiqua" w:cs="Arial"/>
          <w:bCs/>
          <w:color w:val="000000" w:themeColor="text1"/>
          <w:kern w:val="36"/>
          <w:sz w:val="24"/>
          <w:szCs w:val="24"/>
          <w:lang w:val="en-US" w:eastAsia="ja-JP"/>
        </w:rPr>
        <w:t>Korzenik</w:t>
      </w:r>
      <w:proofErr w:type="spellEnd"/>
      <w:r w:rsidRPr="00F9703E">
        <w:rPr>
          <w:rFonts w:ascii="Book Antiqua" w:hAnsi="Book Antiqua" w:cs="Arial"/>
          <w:bCs/>
          <w:color w:val="000000" w:themeColor="text1"/>
          <w:kern w:val="36"/>
          <w:sz w:val="24"/>
          <w:szCs w:val="24"/>
          <w:lang w:val="en-US" w:eastAsia="ja-JP"/>
        </w:rPr>
        <w:t xml:space="preserve"> J, </w:t>
      </w:r>
      <w:proofErr w:type="spellStart"/>
      <w:r w:rsidRPr="00F9703E">
        <w:rPr>
          <w:rFonts w:ascii="Book Antiqua" w:hAnsi="Book Antiqua" w:cs="Arial"/>
          <w:bCs/>
          <w:color w:val="000000" w:themeColor="text1"/>
          <w:kern w:val="36"/>
          <w:sz w:val="24"/>
          <w:szCs w:val="24"/>
          <w:lang w:val="en-US" w:eastAsia="ja-JP"/>
        </w:rPr>
        <w:t>Yajnik</w:t>
      </w:r>
      <w:proofErr w:type="spellEnd"/>
      <w:r w:rsidRPr="00F9703E">
        <w:rPr>
          <w:rFonts w:ascii="Book Antiqua" w:hAnsi="Book Antiqua" w:cs="Arial"/>
          <w:bCs/>
          <w:color w:val="000000" w:themeColor="text1"/>
          <w:kern w:val="36"/>
          <w:sz w:val="24"/>
          <w:szCs w:val="24"/>
          <w:lang w:val="en-US" w:eastAsia="ja-JP"/>
        </w:rPr>
        <w:t xml:space="preserve"> V, </w:t>
      </w:r>
      <w:proofErr w:type="spellStart"/>
      <w:r w:rsidRPr="00F9703E">
        <w:rPr>
          <w:rFonts w:ascii="Book Antiqua" w:hAnsi="Book Antiqua" w:cs="Arial"/>
          <w:bCs/>
          <w:color w:val="000000" w:themeColor="text1"/>
          <w:kern w:val="36"/>
          <w:sz w:val="24"/>
          <w:szCs w:val="24"/>
          <w:lang w:val="en-US" w:eastAsia="ja-JP"/>
        </w:rPr>
        <w:t>Ananthakrishnan</w:t>
      </w:r>
      <w:proofErr w:type="spellEnd"/>
      <w:r w:rsidRPr="00F9703E">
        <w:rPr>
          <w:rFonts w:ascii="Book Antiqua" w:hAnsi="Book Antiqua" w:cs="Arial"/>
          <w:bCs/>
          <w:color w:val="000000" w:themeColor="text1"/>
          <w:kern w:val="36"/>
          <w:sz w:val="24"/>
          <w:szCs w:val="24"/>
          <w:lang w:val="en-US" w:eastAsia="ja-JP"/>
        </w:rPr>
        <w:t xml:space="preserve"> AN. Older age is associated with higher rate of discontinuation of anti-TNF therapy in patients with inflammatory bowel disease.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2013; </w:t>
      </w:r>
      <w:r w:rsidRPr="00F9703E">
        <w:rPr>
          <w:rFonts w:ascii="Book Antiqua" w:hAnsi="Book Antiqua" w:cs="Arial"/>
          <w:b/>
          <w:bCs/>
          <w:color w:val="000000" w:themeColor="text1"/>
          <w:kern w:val="36"/>
          <w:sz w:val="24"/>
          <w:szCs w:val="24"/>
          <w:lang w:val="en-US" w:eastAsia="ja-JP"/>
        </w:rPr>
        <w:t>19</w:t>
      </w:r>
      <w:r w:rsidRPr="00F9703E">
        <w:rPr>
          <w:rFonts w:ascii="Book Antiqua" w:hAnsi="Book Antiqua" w:cs="Arial"/>
          <w:bCs/>
          <w:color w:val="000000" w:themeColor="text1"/>
          <w:kern w:val="36"/>
          <w:sz w:val="24"/>
          <w:szCs w:val="24"/>
          <w:lang w:val="en-US" w:eastAsia="ja-JP"/>
        </w:rPr>
        <w:t>: 309-315 [PMID: 22605668 DOI: 10.1002/ibd.23026]</w:t>
      </w:r>
    </w:p>
    <w:p w14:paraId="12114C15"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53 </w:t>
      </w:r>
      <w:r w:rsidRPr="00F9703E">
        <w:rPr>
          <w:rFonts w:ascii="Book Antiqua" w:hAnsi="Book Antiqua" w:cs="Arial"/>
          <w:b/>
          <w:bCs/>
          <w:color w:val="000000" w:themeColor="text1"/>
          <w:kern w:val="36"/>
          <w:sz w:val="24"/>
          <w:szCs w:val="24"/>
          <w:lang w:val="en-US" w:eastAsia="ja-JP"/>
        </w:rPr>
        <w:t>Adar T</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Faleck</w:t>
      </w:r>
      <w:proofErr w:type="spellEnd"/>
      <w:r w:rsidRPr="00F9703E">
        <w:rPr>
          <w:rFonts w:ascii="Book Antiqua" w:hAnsi="Book Antiqua" w:cs="Arial"/>
          <w:bCs/>
          <w:color w:val="000000" w:themeColor="text1"/>
          <w:kern w:val="36"/>
          <w:sz w:val="24"/>
          <w:szCs w:val="24"/>
          <w:lang w:val="en-US" w:eastAsia="ja-JP"/>
        </w:rPr>
        <w:t xml:space="preserve"> D, </w:t>
      </w:r>
      <w:proofErr w:type="spellStart"/>
      <w:r w:rsidRPr="00F9703E">
        <w:rPr>
          <w:rFonts w:ascii="Book Antiqua" w:hAnsi="Book Antiqua" w:cs="Arial"/>
          <w:bCs/>
          <w:color w:val="000000" w:themeColor="text1"/>
          <w:kern w:val="36"/>
          <w:sz w:val="24"/>
          <w:szCs w:val="24"/>
          <w:lang w:val="en-US" w:eastAsia="ja-JP"/>
        </w:rPr>
        <w:t>Sasidharan</w:t>
      </w:r>
      <w:proofErr w:type="spellEnd"/>
      <w:r w:rsidRPr="00F9703E">
        <w:rPr>
          <w:rFonts w:ascii="Book Antiqua" w:hAnsi="Book Antiqua" w:cs="Arial"/>
          <w:bCs/>
          <w:color w:val="000000" w:themeColor="text1"/>
          <w:kern w:val="36"/>
          <w:sz w:val="24"/>
          <w:szCs w:val="24"/>
          <w:lang w:val="en-US" w:eastAsia="ja-JP"/>
        </w:rPr>
        <w:t xml:space="preserve"> S, Cushing K, </w:t>
      </w:r>
      <w:proofErr w:type="spellStart"/>
      <w:r w:rsidRPr="00F9703E">
        <w:rPr>
          <w:rFonts w:ascii="Book Antiqua" w:hAnsi="Book Antiqua" w:cs="Arial"/>
          <w:bCs/>
          <w:color w:val="000000" w:themeColor="text1"/>
          <w:kern w:val="36"/>
          <w:sz w:val="24"/>
          <w:szCs w:val="24"/>
          <w:lang w:val="en-US" w:eastAsia="ja-JP"/>
        </w:rPr>
        <w:t>Borren</w:t>
      </w:r>
      <w:proofErr w:type="spellEnd"/>
      <w:r w:rsidRPr="00F9703E">
        <w:rPr>
          <w:rFonts w:ascii="Book Antiqua" w:hAnsi="Book Antiqua" w:cs="Arial"/>
          <w:bCs/>
          <w:color w:val="000000" w:themeColor="text1"/>
          <w:kern w:val="36"/>
          <w:sz w:val="24"/>
          <w:szCs w:val="24"/>
          <w:lang w:val="en-US" w:eastAsia="ja-JP"/>
        </w:rPr>
        <w:t xml:space="preserve"> NZ, </w:t>
      </w:r>
      <w:proofErr w:type="spellStart"/>
      <w:r w:rsidRPr="00F9703E">
        <w:rPr>
          <w:rFonts w:ascii="Book Antiqua" w:hAnsi="Book Antiqua" w:cs="Arial"/>
          <w:bCs/>
          <w:color w:val="000000" w:themeColor="text1"/>
          <w:kern w:val="36"/>
          <w:sz w:val="24"/>
          <w:szCs w:val="24"/>
          <w:lang w:val="en-US" w:eastAsia="ja-JP"/>
        </w:rPr>
        <w:t>Nalagatla</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Ungaro</w:t>
      </w:r>
      <w:proofErr w:type="spellEnd"/>
      <w:r w:rsidRPr="00F9703E">
        <w:rPr>
          <w:rFonts w:ascii="Book Antiqua" w:hAnsi="Book Antiqua" w:cs="Arial"/>
          <w:bCs/>
          <w:color w:val="000000" w:themeColor="text1"/>
          <w:kern w:val="36"/>
          <w:sz w:val="24"/>
          <w:szCs w:val="24"/>
          <w:lang w:val="en-US" w:eastAsia="ja-JP"/>
        </w:rPr>
        <w:t xml:space="preserve"> R, Sy W, Owen SC, Patel A, Cohen BL, </w:t>
      </w:r>
      <w:proofErr w:type="spellStart"/>
      <w:r w:rsidRPr="00F9703E">
        <w:rPr>
          <w:rFonts w:ascii="Book Antiqua" w:hAnsi="Book Antiqua" w:cs="Arial"/>
          <w:bCs/>
          <w:color w:val="000000" w:themeColor="text1"/>
          <w:kern w:val="36"/>
          <w:sz w:val="24"/>
          <w:szCs w:val="24"/>
          <w:lang w:val="en-US" w:eastAsia="ja-JP"/>
        </w:rPr>
        <w:t>Ananthakrishnan</w:t>
      </w:r>
      <w:proofErr w:type="spellEnd"/>
      <w:r w:rsidRPr="00F9703E">
        <w:rPr>
          <w:rFonts w:ascii="Book Antiqua" w:hAnsi="Book Antiqua" w:cs="Arial"/>
          <w:bCs/>
          <w:color w:val="000000" w:themeColor="text1"/>
          <w:kern w:val="36"/>
          <w:sz w:val="24"/>
          <w:szCs w:val="24"/>
          <w:lang w:val="en-US" w:eastAsia="ja-JP"/>
        </w:rPr>
        <w:t xml:space="preserve"> AN. Comparative safety and </w:t>
      </w:r>
      <w:r w:rsidRPr="00F9703E">
        <w:rPr>
          <w:rFonts w:ascii="Book Antiqua" w:hAnsi="Book Antiqua" w:cs="Arial"/>
          <w:bCs/>
          <w:color w:val="000000" w:themeColor="text1"/>
          <w:kern w:val="36"/>
          <w:sz w:val="24"/>
          <w:szCs w:val="24"/>
          <w:lang w:val="en-US" w:eastAsia="ja-JP"/>
        </w:rPr>
        <w:lastRenderedPageBreak/>
        <w:t xml:space="preserve">effectiveness of tumor necrosis factor α antagonists and vedolizumab in elderly IBD patients: a </w:t>
      </w:r>
      <w:proofErr w:type="spellStart"/>
      <w:r w:rsidRPr="00F9703E">
        <w:rPr>
          <w:rFonts w:ascii="Book Antiqua" w:hAnsi="Book Antiqua" w:cs="Arial"/>
          <w:bCs/>
          <w:color w:val="000000" w:themeColor="text1"/>
          <w:kern w:val="36"/>
          <w:sz w:val="24"/>
          <w:szCs w:val="24"/>
          <w:lang w:val="en-US" w:eastAsia="ja-JP"/>
        </w:rPr>
        <w:t>multicentre</w:t>
      </w:r>
      <w:proofErr w:type="spellEnd"/>
      <w:r w:rsidRPr="00F9703E">
        <w:rPr>
          <w:rFonts w:ascii="Book Antiqua" w:hAnsi="Book Antiqua" w:cs="Arial"/>
          <w:bCs/>
          <w:color w:val="000000" w:themeColor="text1"/>
          <w:kern w:val="36"/>
          <w:sz w:val="24"/>
          <w:szCs w:val="24"/>
          <w:lang w:val="en-US" w:eastAsia="ja-JP"/>
        </w:rPr>
        <w:t xml:space="preserve"> study. </w:t>
      </w:r>
      <w:r w:rsidRPr="00F9703E">
        <w:rPr>
          <w:rFonts w:ascii="Book Antiqua" w:hAnsi="Book Antiqua" w:cs="Arial"/>
          <w:bCs/>
          <w:i/>
          <w:iCs/>
          <w:color w:val="000000" w:themeColor="text1"/>
          <w:kern w:val="36"/>
          <w:sz w:val="24"/>
          <w:szCs w:val="24"/>
          <w:lang w:val="en-US" w:eastAsia="ja-JP"/>
        </w:rPr>
        <w:t xml:space="preserve">Aliment </w:t>
      </w:r>
      <w:proofErr w:type="spellStart"/>
      <w:r w:rsidRPr="00F9703E">
        <w:rPr>
          <w:rFonts w:ascii="Book Antiqua" w:hAnsi="Book Antiqua" w:cs="Arial"/>
          <w:bCs/>
          <w:i/>
          <w:iCs/>
          <w:color w:val="000000" w:themeColor="text1"/>
          <w:kern w:val="36"/>
          <w:sz w:val="24"/>
          <w:szCs w:val="24"/>
          <w:lang w:val="en-US" w:eastAsia="ja-JP"/>
        </w:rPr>
        <w:t>Pharmacol</w:t>
      </w:r>
      <w:proofErr w:type="spellEnd"/>
      <w:r w:rsidRPr="00F9703E">
        <w:rPr>
          <w:rFonts w:ascii="Book Antiqua" w:hAnsi="Book Antiqua" w:cs="Arial"/>
          <w:bCs/>
          <w:i/>
          <w:iCs/>
          <w:color w:val="000000" w:themeColor="text1"/>
          <w:kern w:val="36"/>
          <w:sz w:val="24"/>
          <w:szCs w:val="24"/>
          <w:lang w:val="en-US" w:eastAsia="ja-JP"/>
        </w:rPr>
        <w:t xml:space="preserve">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2019; </w:t>
      </w:r>
      <w:r w:rsidRPr="00F9703E">
        <w:rPr>
          <w:rFonts w:ascii="Book Antiqua" w:hAnsi="Book Antiqua" w:cs="Arial"/>
          <w:b/>
          <w:bCs/>
          <w:color w:val="000000" w:themeColor="text1"/>
          <w:kern w:val="36"/>
          <w:sz w:val="24"/>
          <w:szCs w:val="24"/>
          <w:lang w:val="en-US" w:eastAsia="ja-JP"/>
        </w:rPr>
        <w:t>49</w:t>
      </w:r>
      <w:r w:rsidRPr="00F9703E">
        <w:rPr>
          <w:rFonts w:ascii="Book Antiqua" w:hAnsi="Book Antiqua" w:cs="Arial"/>
          <w:bCs/>
          <w:color w:val="000000" w:themeColor="text1"/>
          <w:kern w:val="36"/>
          <w:sz w:val="24"/>
          <w:szCs w:val="24"/>
          <w:lang w:val="en-US" w:eastAsia="ja-JP"/>
        </w:rPr>
        <w:t>: 873-879 [PMID: 30773667 DOI: 10.1111/apt.15177]</w:t>
      </w:r>
    </w:p>
    <w:p w14:paraId="3CA08870"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54 </w:t>
      </w:r>
      <w:proofErr w:type="spellStart"/>
      <w:r w:rsidRPr="00F9703E">
        <w:rPr>
          <w:rFonts w:ascii="Book Antiqua" w:hAnsi="Book Antiqua" w:cs="Arial"/>
          <w:b/>
          <w:bCs/>
          <w:color w:val="000000" w:themeColor="text1"/>
          <w:kern w:val="36"/>
          <w:sz w:val="24"/>
          <w:szCs w:val="24"/>
          <w:lang w:val="en-US" w:eastAsia="ja-JP"/>
        </w:rPr>
        <w:t>Cottone</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Kohn A, </w:t>
      </w:r>
      <w:proofErr w:type="spellStart"/>
      <w:r w:rsidRPr="00F9703E">
        <w:rPr>
          <w:rFonts w:ascii="Book Antiqua" w:hAnsi="Book Antiqua" w:cs="Arial"/>
          <w:bCs/>
          <w:color w:val="000000" w:themeColor="text1"/>
          <w:kern w:val="36"/>
          <w:sz w:val="24"/>
          <w:szCs w:val="24"/>
          <w:lang w:val="en-US" w:eastAsia="ja-JP"/>
        </w:rPr>
        <w:t>Daperno</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Armuzzi</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Guidi</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D'Inca</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Bossa</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Angelucci</w:t>
      </w:r>
      <w:proofErr w:type="spellEnd"/>
      <w:r w:rsidRPr="00F9703E">
        <w:rPr>
          <w:rFonts w:ascii="Book Antiqua" w:hAnsi="Book Antiqua" w:cs="Arial"/>
          <w:bCs/>
          <w:color w:val="000000" w:themeColor="text1"/>
          <w:kern w:val="36"/>
          <w:sz w:val="24"/>
          <w:szCs w:val="24"/>
          <w:lang w:val="en-US" w:eastAsia="ja-JP"/>
        </w:rPr>
        <w:t xml:space="preserve"> E, </w:t>
      </w:r>
      <w:proofErr w:type="spellStart"/>
      <w:r w:rsidRPr="00F9703E">
        <w:rPr>
          <w:rFonts w:ascii="Book Antiqua" w:hAnsi="Book Antiqua" w:cs="Arial"/>
          <w:bCs/>
          <w:color w:val="000000" w:themeColor="text1"/>
          <w:kern w:val="36"/>
          <w:sz w:val="24"/>
          <w:szCs w:val="24"/>
          <w:lang w:val="en-US" w:eastAsia="ja-JP"/>
        </w:rPr>
        <w:t>Biancone</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Gionchetti</w:t>
      </w:r>
      <w:proofErr w:type="spellEnd"/>
      <w:r w:rsidRPr="00F9703E">
        <w:rPr>
          <w:rFonts w:ascii="Book Antiqua" w:hAnsi="Book Antiqua" w:cs="Arial"/>
          <w:bCs/>
          <w:color w:val="000000" w:themeColor="text1"/>
          <w:kern w:val="36"/>
          <w:sz w:val="24"/>
          <w:szCs w:val="24"/>
          <w:lang w:val="en-US" w:eastAsia="ja-JP"/>
        </w:rPr>
        <w:t xml:space="preserve"> P, </w:t>
      </w:r>
      <w:proofErr w:type="spellStart"/>
      <w:r w:rsidRPr="00F9703E">
        <w:rPr>
          <w:rFonts w:ascii="Book Antiqua" w:hAnsi="Book Antiqua" w:cs="Arial"/>
          <w:bCs/>
          <w:color w:val="000000" w:themeColor="text1"/>
          <w:kern w:val="36"/>
          <w:sz w:val="24"/>
          <w:szCs w:val="24"/>
          <w:lang w:val="en-US" w:eastAsia="ja-JP"/>
        </w:rPr>
        <w:t>Ardizzone</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Papi</w:t>
      </w:r>
      <w:proofErr w:type="spellEnd"/>
      <w:r w:rsidRPr="00F9703E">
        <w:rPr>
          <w:rFonts w:ascii="Book Antiqua" w:hAnsi="Book Antiqua" w:cs="Arial"/>
          <w:bCs/>
          <w:color w:val="000000" w:themeColor="text1"/>
          <w:kern w:val="36"/>
          <w:sz w:val="24"/>
          <w:szCs w:val="24"/>
          <w:lang w:val="en-US" w:eastAsia="ja-JP"/>
        </w:rPr>
        <w:t xml:space="preserve"> C, Fries W, </w:t>
      </w:r>
      <w:proofErr w:type="spellStart"/>
      <w:r w:rsidRPr="00F9703E">
        <w:rPr>
          <w:rFonts w:ascii="Book Antiqua" w:hAnsi="Book Antiqua" w:cs="Arial"/>
          <w:bCs/>
          <w:color w:val="000000" w:themeColor="text1"/>
          <w:kern w:val="36"/>
          <w:sz w:val="24"/>
          <w:szCs w:val="24"/>
          <w:lang w:val="en-US" w:eastAsia="ja-JP"/>
        </w:rPr>
        <w:t>Danese</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Riegler</w:t>
      </w:r>
      <w:proofErr w:type="spellEnd"/>
      <w:r w:rsidRPr="00F9703E">
        <w:rPr>
          <w:rFonts w:ascii="Book Antiqua" w:hAnsi="Book Antiqua" w:cs="Arial"/>
          <w:bCs/>
          <w:color w:val="000000" w:themeColor="text1"/>
          <w:kern w:val="36"/>
          <w:sz w:val="24"/>
          <w:szCs w:val="24"/>
          <w:lang w:val="en-US" w:eastAsia="ja-JP"/>
        </w:rPr>
        <w:t xml:space="preserve"> G, Cappello M, Castiglione F, </w:t>
      </w:r>
      <w:proofErr w:type="spellStart"/>
      <w:r w:rsidRPr="00F9703E">
        <w:rPr>
          <w:rFonts w:ascii="Book Antiqua" w:hAnsi="Book Antiqua" w:cs="Arial"/>
          <w:bCs/>
          <w:color w:val="000000" w:themeColor="text1"/>
          <w:kern w:val="36"/>
          <w:sz w:val="24"/>
          <w:szCs w:val="24"/>
          <w:lang w:val="en-US" w:eastAsia="ja-JP"/>
        </w:rPr>
        <w:t>Annese</w:t>
      </w:r>
      <w:proofErr w:type="spellEnd"/>
      <w:r w:rsidRPr="00F9703E">
        <w:rPr>
          <w:rFonts w:ascii="Book Antiqua" w:hAnsi="Book Antiqua" w:cs="Arial"/>
          <w:bCs/>
          <w:color w:val="000000" w:themeColor="text1"/>
          <w:kern w:val="36"/>
          <w:sz w:val="24"/>
          <w:szCs w:val="24"/>
          <w:lang w:val="en-US" w:eastAsia="ja-JP"/>
        </w:rPr>
        <w:t xml:space="preserve"> V, Orlando A. Advanced age is an independent risk factor for severe infections and mortality in patients given anti-tumor necrosis factor therapy for inflammatory bowel disease. </w:t>
      </w:r>
      <w:r w:rsidRPr="00F9703E">
        <w:rPr>
          <w:rFonts w:ascii="Book Antiqua" w:hAnsi="Book Antiqua" w:cs="Arial"/>
          <w:bCs/>
          <w:i/>
          <w:iCs/>
          <w:color w:val="000000" w:themeColor="text1"/>
          <w:kern w:val="36"/>
          <w:sz w:val="24"/>
          <w:szCs w:val="24"/>
          <w:lang w:val="en-US" w:eastAsia="ja-JP"/>
        </w:rPr>
        <w:t xml:space="preserve">Clin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9</w:t>
      </w:r>
      <w:r w:rsidRPr="00F9703E">
        <w:rPr>
          <w:rFonts w:ascii="Book Antiqua" w:hAnsi="Book Antiqua" w:cs="Arial"/>
          <w:bCs/>
          <w:color w:val="000000" w:themeColor="text1"/>
          <w:kern w:val="36"/>
          <w:sz w:val="24"/>
          <w:szCs w:val="24"/>
          <w:lang w:val="en-US" w:eastAsia="ja-JP"/>
        </w:rPr>
        <w:t>: 30-35 [PMID: 20951835 DOI: 10.1016/j.cgh.2010.09.026]</w:t>
      </w:r>
    </w:p>
    <w:p w14:paraId="759EFD1D" w14:textId="11C3B2B3"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55 </w:t>
      </w:r>
      <w:proofErr w:type="spellStart"/>
      <w:r w:rsidRPr="00F9703E">
        <w:rPr>
          <w:rFonts w:ascii="Book Antiqua" w:hAnsi="Book Antiqua" w:cs="Arial"/>
          <w:b/>
          <w:bCs/>
          <w:color w:val="000000" w:themeColor="text1"/>
          <w:kern w:val="36"/>
          <w:sz w:val="24"/>
          <w:szCs w:val="24"/>
          <w:lang w:val="en-US" w:eastAsia="ja-JP"/>
        </w:rPr>
        <w:t>Kotlyar</w:t>
      </w:r>
      <w:proofErr w:type="spellEnd"/>
      <w:r w:rsidRPr="00F9703E">
        <w:rPr>
          <w:rFonts w:ascii="Book Antiqua" w:hAnsi="Book Antiqua" w:cs="Arial"/>
          <w:b/>
          <w:bCs/>
          <w:color w:val="000000" w:themeColor="text1"/>
          <w:kern w:val="36"/>
          <w:sz w:val="24"/>
          <w:szCs w:val="24"/>
          <w:lang w:val="en-US" w:eastAsia="ja-JP"/>
        </w:rPr>
        <w:t xml:space="preserve"> DS</w:t>
      </w:r>
      <w:r w:rsidRPr="00F9703E">
        <w:rPr>
          <w:rFonts w:ascii="Book Antiqua" w:hAnsi="Book Antiqua" w:cs="Arial"/>
          <w:bCs/>
          <w:color w:val="000000" w:themeColor="text1"/>
          <w:kern w:val="36"/>
          <w:sz w:val="24"/>
          <w:szCs w:val="24"/>
          <w:lang w:val="en-US" w:eastAsia="ja-JP"/>
        </w:rPr>
        <w:t xml:space="preserve">, Lewis JD, </w:t>
      </w:r>
      <w:proofErr w:type="spellStart"/>
      <w:r w:rsidRPr="00F9703E">
        <w:rPr>
          <w:rFonts w:ascii="Book Antiqua" w:hAnsi="Book Antiqua" w:cs="Arial"/>
          <w:bCs/>
          <w:color w:val="000000" w:themeColor="text1"/>
          <w:kern w:val="36"/>
          <w:sz w:val="24"/>
          <w:szCs w:val="24"/>
          <w:lang w:val="en-US" w:eastAsia="ja-JP"/>
        </w:rPr>
        <w:t>Beaugerie</w:t>
      </w:r>
      <w:proofErr w:type="spellEnd"/>
      <w:r w:rsidRPr="00F9703E">
        <w:rPr>
          <w:rFonts w:ascii="Book Antiqua" w:hAnsi="Book Antiqua" w:cs="Arial"/>
          <w:bCs/>
          <w:color w:val="000000" w:themeColor="text1"/>
          <w:kern w:val="36"/>
          <w:sz w:val="24"/>
          <w:szCs w:val="24"/>
          <w:lang w:val="en-US" w:eastAsia="ja-JP"/>
        </w:rPr>
        <w:t xml:space="preserve"> L, Tierney A, </w:t>
      </w:r>
      <w:proofErr w:type="spellStart"/>
      <w:r w:rsidRPr="00F9703E">
        <w:rPr>
          <w:rFonts w:ascii="Book Antiqua" w:hAnsi="Book Antiqua" w:cs="Arial"/>
          <w:bCs/>
          <w:color w:val="000000" w:themeColor="text1"/>
          <w:kern w:val="36"/>
          <w:sz w:val="24"/>
          <w:szCs w:val="24"/>
          <w:lang w:val="en-US" w:eastAsia="ja-JP"/>
        </w:rPr>
        <w:t>Brensinger</w:t>
      </w:r>
      <w:proofErr w:type="spellEnd"/>
      <w:r w:rsidRPr="00F9703E">
        <w:rPr>
          <w:rFonts w:ascii="Book Antiqua" w:hAnsi="Book Antiqua" w:cs="Arial"/>
          <w:bCs/>
          <w:color w:val="000000" w:themeColor="text1"/>
          <w:kern w:val="36"/>
          <w:sz w:val="24"/>
          <w:szCs w:val="24"/>
          <w:lang w:val="en-US" w:eastAsia="ja-JP"/>
        </w:rPr>
        <w:t xml:space="preserve"> CM, </w:t>
      </w:r>
      <w:proofErr w:type="spellStart"/>
      <w:r w:rsidRPr="00F9703E">
        <w:rPr>
          <w:rFonts w:ascii="Book Antiqua" w:hAnsi="Book Antiqua" w:cs="Arial"/>
          <w:bCs/>
          <w:color w:val="000000" w:themeColor="text1"/>
          <w:kern w:val="36"/>
          <w:sz w:val="24"/>
          <w:szCs w:val="24"/>
          <w:lang w:val="en-US" w:eastAsia="ja-JP"/>
        </w:rPr>
        <w:t>Gisbert</w:t>
      </w:r>
      <w:proofErr w:type="spellEnd"/>
      <w:r w:rsidRPr="00F9703E">
        <w:rPr>
          <w:rFonts w:ascii="Book Antiqua" w:hAnsi="Book Antiqua" w:cs="Arial"/>
          <w:bCs/>
          <w:color w:val="000000" w:themeColor="text1"/>
          <w:kern w:val="36"/>
          <w:sz w:val="24"/>
          <w:szCs w:val="24"/>
          <w:lang w:val="en-US" w:eastAsia="ja-JP"/>
        </w:rPr>
        <w:t xml:space="preserve"> JP, Loftus EV Jr,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w:t>
      </w:r>
      <w:proofErr w:type="spellStart"/>
      <w:r w:rsidRPr="00F9703E">
        <w:rPr>
          <w:rFonts w:ascii="Book Antiqua" w:hAnsi="Book Antiqua" w:cs="Arial"/>
          <w:bCs/>
          <w:color w:val="000000" w:themeColor="text1"/>
          <w:kern w:val="36"/>
          <w:sz w:val="24"/>
          <w:szCs w:val="24"/>
          <w:lang w:val="en-US" w:eastAsia="ja-JP"/>
        </w:rPr>
        <w:t>Blonski</w:t>
      </w:r>
      <w:proofErr w:type="spellEnd"/>
      <w:r w:rsidRPr="00F9703E">
        <w:rPr>
          <w:rFonts w:ascii="Book Antiqua" w:hAnsi="Book Antiqua" w:cs="Arial"/>
          <w:bCs/>
          <w:color w:val="000000" w:themeColor="text1"/>
          <w:kern w:val="36"/>
          <w:sz w:val="24"/>
          <w:szCs w:val="24"/>
          <w:lang w:val="en-US" w:eastAsia="ja-JP"/>
        </w:rPr>
        <w:t xml:space="preserve"> WC, Van </w:t>
      </w:r>
      <w:proofErr w:type="spellStart"/>
      <w:r w:rsidRPr="00F9703E">
        <w:rPr>
          <w:rFonts w:ascii="Book Antiqua" w:hAnsi="Book Antiqua" w:cs="Arial"/>
          <w:bCs/>
          <w:color w:val="000000" w:themeColor="text1"/>
          <w:kern w:val="36"/>
          <w:sz w:val="24"/>
          <w:szCs w:val="24"/>
          <w:lang w:val="en-US" w:eastAsia="ja-JP"/>
        </w:rPr>
        <w:t>Domselaar</w:t>
      </w:r>
      <w:proofErr w:type="spellEnd"/>
      <w:r w:rsidRPr="00F9703E">
        <w:rPr>
          <w:rFonts w:ascii="Book Antiqua" w:hAnsi="Book Antiqua" w:cs="Arial"/>
          <w:bCs/>
          <w:color w:val="000000" w:themeColor="text1"/>
          <w:kern w:val="36"/>
          <w:sz w:val="24"/>
          <w:szCs w:val="24"/>
          <w:lang w:val="en-US" w:eastAsia="ja-JP"/>
        </w:rPr>
        <w:t xml:space="preserve"> M, Chaparro M, </w:t>
      </w:r>
      <w:proofErr w:type="spellStart"/>
      <w:r w:rsidRPr="00F9703E">
        <w:rPr>
          <w:rFonts w:ascii="Book Antiqua" w:hAnsi="Book Antiqua" w:cs="Arial"/>
          <w:bCs/>
          <w:color w:val="000000" w:themeColor="text1"/>
          <w:kern w:val="36"/>
          <w:sz w:val="24"/>
          <w:szCs w:val="24"/>
          <w:lang w:val="en-US" w:eastAsia="ja-JP"/>
        </w:rPr>
        <w:t>Sandilya</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Bewtra</w:t>
      </w:r>
      <w:proofErr w:type="spellEnd"/>
      <w:r w:rsidRPr="00F9703E">
        <w:rPr>
          <w:rFonts w:ascii="Book Antiqua" w:hAnsi="Book Antiqua" w:cs="Arial"/>
          <w:bCs/>
          <w:color w:val="000000" w:themeColor="text1"/>
          <w:kern w:val="36"/>
          <w:sz w:val="24"/>
          <w:szCs w:val="24"/>
          <w:lang w:val="en-US" w:eastAsia="ja-JP"/>
        </w:rPr>
        <w:t xml:space="preserve"> M, </w:t>
      </w:r>
      <w:proofErr w:type="spellStart"/>
      <w:r w:rsidRPr="00F9703E">
        <w:rPr>
          <w:rFonts w:ascii="Book Antiqua" w:hAnsi="Book Antiqua" w:cs="Arial"/>
          <w:bCs/>
          <w:color w:val="000000" w:themeColor="text1"/>
          <w:kern w:val="36"/>
          <w:sz w:val="24"/>
          <w:szCs w:val="24"/>
          <w:lang w:val="en-US" w:eastAsia="ja-JP"/>
        </w:rPr>
        <w:t>Beigel</w:t>
      </w:r>
      <w:proofErr w:type="spellEnd"/>
      <w:r w:rsidRPr="00F9703E">
        <w:rPr>
          <w:rFonts w:ascii="Book Antiqua" w:hAnsi="Book Antiqua" w:cs="Arial"/>
          <w:bCs/>
          <w:color w:val="000000" w:themeColor="text1"/>
          <w:kern w:val="36"/>
          <w:sz w:val="24"/>
          <w:szCs w:val="24"/>
          <w:lang w:val="en-US" w:eastAsia="ja-JP"/>
        </w:rPr>
        <w:t xml:space="preserve"> F, </w:t>
      </w:r>
      <w:proofErr w:type="spellStart"/>
      <w:r w:rsidRPr="00F9703E">
        <w:rPr>
          <w:rFonts w:ascii="Book Antiqua" w:hAnsi="Book Antiqua" w:cs="Arial"/>
          <w:bCs/>
          <w:color w:val="000000" w:themeColor="text1"/>
          <w:kern w:val="36"/>
          <w:sz w:val="24"/>
          <w:szCs w:val="24"/>
          <w:lang w:val="en-US" w:eastAsia="ja-JP"/>
        </w:rPr>
        <w:t>Biancone</w:t>
      </w:r>
      <w:proofErr w:type="spellEnd"/>
      <w:r w:rsidRPr="00F9703E">
        <w:rPr>
          <w:rFonts w:ascii="Book Antiqua" w:hAnsi="Book Antiqua" w:cs="Arial"/>
          <w:bCs/>
          <w:color w:val="000000" w:themeColor="text1"/>
          <w:kern w:val="36"/>
          <w:sz w:val="24"/>
          <w:szCs w:val="24"/>
          <w:lang w:val="en-US" w:eastAsia="ja-JP"/>
        </w:rPr>
        <w:t xml:space="preserve"> L, Lichtenstein GR. Risk of lymphoma in patients with inflammatory bowel disease treated with azathioprine and 6-mercaptopurine: a meta-analysis. </w:t>
      </w:r>
      <w:r w:rsidRPr="00F9703E">
        <w:rPr>
          <w:rFonts w:ascii="Book Antiqua" w:hAnsi="Book Antiqua" w:cs="Arial"/>
          <w:bCs/>
          <w:i/>
          <w:iCs/>
          <w:color w:val="000000" w:themeColor="text1"/>
          <w:kern w:val="36"/>
          <w:sz w:val="24"/>
          <w:szCs w:val="24"/>
          <w:lang w:val="en-US" w:eastAsia="ja-JP"/>
        </w:rPr>
        <w:t xml:space="preserve">Clin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2015; </w:t>
      </w:r>
      <w:r w:rsidRPr="00F9703E">
        <w:rPr>
          <w:rFonts w:ascii="Book Antiqua" w:hAnsi="Book Antiqua" w:cs="Arial"/>
          <w:b/>
          <w:bCs/>
          <w:color w:val="000000" w:themeColor="text1"/>
          <w:kern w:val="36"/>
          <w:sz w:val="24"/>
          <w:szCs w:val="24"/>
          <w:lang w:val="en-US" w:eastAsia="ja-JP"/>
        </w:rPr>
        <w:t>13</w:t>
      </w:r>
      <w:r w:rsidRPr="00F9703E">
        <w:rPr>
          <w:rFonts w:ascii="Book Antiqua" w:hAnsi="Book Antiqua" w:cs="Arial"/>
          <w:bCs/>
          <w:color w:val="000000" w:themeColor="text1"/>
          <w:kern w:val="36"/>
          <w:sz w:val="24"/>
          <w:szCs w:val="24"/>
          <w:lang w:val="en-US" w:eastAsia="ja-JP"/>
        </w:rPr>
        <w:t>: 847-</w:t>
      </w:r>
      <w:r w:rsidR="002A4D38">
        <w:rPr>
          <w:rFonts w:ascii="Book Antiqua" w:hAnsi="Book Antiqua" w:cs="Arial"/>
          <w:bCs/>
          <w:color w:val="000000" w:themeColor="text1"/>
          <w:kern w:val="36"/>
          <w:sz w:val="24"/>
          <w:szCs w:val="24"/>
          <w:lang w:val="en-US" w:eastAsia="ja-JP"/>
        </w:rPr>
        <w:t>8</w:t>
      </w:r>
      <w:r w:rsidRPr="00F9703E">
        <w:rPr>
          <w:rFonts w:ascii="Book Antiqua" w:hAnsi="Book Antiqua" w:cs="Arial"/>
          <w:bCs/>
          <w:color w:val="000000" w:themeColor="text1"/>
          <w:kern w:val="36"/>
          <w:sz w:val="24"/>
          <w:szCs w:val="24"/>
          <w:lang w:val="en-US" w:eastAsia="ja-JP"/>
        </w:rPr>
        <w:t>58.e4; quiz e48-50 [PMID: 24879926 DOI: 10.1016/j.cgh.2014.05.015]</w:t>
      </w:r>
    </w:p>
    <w:p w14:paraId="6F6125DD"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56 </w:t>
      </w:r>
      <w:proofErr w:type="spellStart"/>
      <w:r w:rsidRPr="00F9703E">
        <w:rPr>
          <w:rFonts w:ascii="Book Antiqua" w:hAnsi="Book Antiqua" w:cs="Arial"/>
          <w:b/>
          <w:bCs/>
          <w:color w:val="000000" w:themeColor="text1"/>
          <w:kern w:val="36"/>
          <w:sz w:val="24"/>
          <w:szCs w:val="24"/>
          <w:lang w:val="en-US" w:eastAsia="ja-JP"/>
        </w:rPr>
        <w:t>Magro</w:t>
      </w:r>
      <w:proofErr w:type="spellEnd"/>
      <w:r w:rsidRPr="00F9703E">
        <w:rPr>
          <w:rFonts w:ascii="Book Antiqua" w:hAnsi="Book Antiqua" w:cs="Arial"/>
          <w:b/>
          <w:bCs/>
          <w:color w:val="000000" w:themeColor="text1"/>
          <w:kern w:val="36"/>
          <w:sz w:val="24"/>
          <w:szCs w:val="24"/>
          <w:lang w:val="en-US" w:eastAsia="ja-JP"/>
        </w:rPr>
        <w:t xml:space="preserve"> F</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Sokol H, </w:t>
      </w:r>
      <w:proofErr w:type="spellStart"/>
      <w:r w:rsidRPr="00F9703E">
        <w:rPr>
          <w:rFonts w:ascii="Book Antiqua" w:hAnsi="Book Antiqua" w:cs="Arial"/>
          <w:bCs/>
          <w:color w:val="000000" w:themeColor="text1"/>
          <w:kern w:val="36"/>
          <w:sz w:val="24"/>
          <w:szCs w:val="24"/>
          <w:lang w:val="en-US" w:eastAsia="ja-JP"/>
        </w:rPr>
        <w:t>Aldeger</w:t>
      </w:r>
      <w:proofErr w:type="spellEnd"/>
      <w:r w:rsidRPr="00F9703E">
        <w:rPr>
          <w:rFonts w:ascii="Book Antiqua" w:hAnsi="Book Antiqua" w:cs="Arial"/>
          <w:bCs/>
          <w:color w:val="000000" w:themeColor="text1"/>
          <w:kern w:val="36"/>
          <w:sz w:val="24"/>
          <w:szCs w:val="24"/>
          <w:lang w:val="en-US" w:eastAsia="ja-JP"/>
        </w:rPr>
        <w:t xml:space="preserve"> X, Costa A, Higgins PD, Joyce JC, </w:t>
      </w:r>
      <w:proofErr w:type="spellStart"/>
      <w:r w:rsidRPr="00F9703E">
        <w:rPr>
          <w:rFonts w:ascii="Book Antiqua" w:hAnsi="Book Antiqua" w:cs="Arial"/>
          <w:bCs/>
          <w:color w:val="000000" w:themeColor="text1"/>
          <w:kern w:val="36"/>
          <w:sz w:val="24"/>
          <w:szCs w:val="24"/>
          <w:lang w:val="en-US" w:eastAsia="ja-JP"/>
        </w:rPr>
        <w:t>Katsanos</w:t>
      </w:r>
      <w:proofErr w:type="spellEnd"/>
      <w:r w:rsidRPr="00F9703E">
        <w:rPr>
          <w:rFonts w:ascii="Book Antiqua" w:hAnsi="Book Antiqua" w:cs="Arial"/>
          <w:bCs/>
          <w:color w:val="000000" w:themeColor="text1"/>
          <w:kern w:val="36"/>
          <w:sz w:val="24"/>
          <w:szCs w:val="24"/>
          <w:lang w:val="en-US" w:eastAsia="ja-JP"/>
        </w:rPr>
        <w:t xml:space="preserve"> KH, Lopez A, de </w:t>
      </w:r>
      <w:proofErr w:type="spellStart"/>
      <w:r w:rsidRPr="00F9703E">
        <w:rPr>
          <w:rFonts w:ascii="Book Antiqua" w:hAnsi="Book Antiqua" w:cs="Arial"/>
          <w:bCs/>
          <w:color w:val="000000" w:themeColor="text1"/>
          <w:kern w:val="36"/>
          <w:sz w:val="24"/>
          <w:szCs w:val="24"/>
          <w:lang w:val="en-US" w:eastAsia="ja-JP"/>
        </w:rPr>
        <w:t>Xaxars</w:t>
      </w:r>
      <w:proofErr w:type="spellEnd"/>
      <w:r w:rsidRPr="00F9703E">
        <w:rPr>
          <w:rFonts w:ascii="Book Antiqua" w:hAnsi="Book Antiqua" w:cs="Arial"/>
          <w:bCs/>
          <w:color w:val="000000" w:themeColor="text1"/>
          <w:kern w:val="36"/>
          <w:sz w:val="24"/>
          <w:szCs w:val="24"/>
          <w:lang w:val="en-US" w:eastAsia="ja-JP"/>
        </w:rPr>
        <w:t xml:space="preserve"> TM, </w:t>
      </w:r>
      <w:proofErr w:type="spellStart"/>
      <w:r w:rsidRPr="00F9703E">
        <w:rPr>
          <w:rFonts w:ascii="Book Antiqua" w:hAnsi="Book Antiqua" w:cs="Arial"/>
          <w:bCs/>
          <w:color w:val="000000" w:themeColor="text1"/>
          <w:kern w:val="36"/>
          <w:sz w:val="24"/>
          <w:szCs w:val="24"/>
          <w:lang w:val="en-US" w:eastAsia="ja-JP"/>
        </w:rPr>
        <w:t>Toader</w:t>
      </w:r>
      <w:proofErr w:type="spellEnd"/>
      <w:r w:rsidRPr="00F9703E">
        <w:rPr>
          <w:rFonts w:ascii="Book Antiqua" w:hAnsi="Book Antiqua" w:cs="Arial"/>
          <w:bCs/>
          <w:color w:val="000000" w:themeColor="text1"/>
          <w:kern w:val="36"/>
          <w:sz w:val="24"/>
          <w:szCs w:val="24"/>
          <w:lang w:val="en-US" w:eastAsia="ja-JP"/>
        </w:rPr>
        <w:t xml:space="preserve"> E, </w:t>
      </w:r>
      <w:proofErr w:type="spellStart"/>
      <w:r w:rsidRPr="00F9703E">
        <w:rPr>
          <w:rFonts w:ascii="Book Antiqua" w:hAnsi="Book Antiqua" w:cs="Arial"/>
          <w:bCs/>
          <w:color w:val="000000" w:themeColor="text1"/>
          <w:kern w:val="36"/>
          <w:sz w:val="24"/>
          <w:szCs w:val="24"/>
          <w:lang w:val="en-US" w:eastAsia="ja-JP"/>
        </w:rPr>
        <w:t>Beaugerie</w:t>
      </w:r>
      <w:proofErr w:type="spellEnd"/>
      <w:r w:rsidRPr="00F9703E">
        <w:rPr>
          <w:rFonts w:ascii="Book Antiqua" w:hAnsi="Book Antiqua" w:cs="Arial"/>
          <w:bCs/>
          <w:color w:val="000000" w:themeColor="text1"/>
          <w:kern w:val="36"/>
          <w:sz w:val="24"/>
          <w:szCs w:val="24"/>
          <w:lang w:val="en-US" w:eastAsia="ja-JP"/>
        </w:rPr>
        <w:t xml:space="preserve"> L. Extra-intestinal malignancies in inflammatory bowel disease: results of the 3rd ECCO Pathogenesis Scientific Workshop (III).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8</w:t>
      </w:r>
      <w:r w:rsidRPr="00F9703E">
        <w:rPr>
          <w:rFonts w:ascii="Book Antiqua" w:hAnsi="Book Antiqua" w:cs="Arial"/>
          <w:bCs/>
          <w:color w:val="000000" w:themeColor="text1"/>
          <w:kern w:val="36"/>
          <w:sz w:val="24"/>
          <w:szCs w:val="24"/>
          <w:lang w:val="en-US" w:eastAsia="ja-JP"/>
        </w:rPr>
        <w:t>: 31-44 [PMID: 23721759 DOI: 10.1016/j.crohns.2013.04.006]</w:t>
      </w:r>
    </w:p>
    <w:p w14:paraId="7CF6718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57 </w:t>
      </w:r>
      <w:r w:rsidRPr="00F9703E">
        <w:rPr>
          <w:rFonts w:ascii="Book Antiqua" w:hAnsi="Book Antiqua" w:cs="Arial"/>
          <w:b/>
          <w:bCs/>
          <w:color w:val="000000" w:themeColor="text1"/>
          <w:kern w:val="36"/>
          <w:sz w:val="24"/>
          <w:szCs w:val="24"/>
          <w:lang w:val="en-US" w:eastAsia="ja-JP"/>
        </w:rPr>
        <w:t>Williams CJ,</w:t>
      </w:r>
      <w:r w:rsidRPr="00F9703E">
        <w:rPr>
          <w:rFonts w:ascii="Book Antiqua" w:hAnsi="Book Antiqua" w:cs="Arial"/>
          <w:bCs/>
          <w:color w:val="000000" w:themeColor="text1"/>
          <w:kern w:val="36"/>
          <w:sz w:val="24"/>
          <w:szCs w:val="24"/>
          <w:lang w:val="en-US" w:eastAsia="ja-JP"/>
        </w:rPr>
        <w:t> </w:t>
      </w:r>
      <w:proofErr w:type="spellStart"/>
      <w:r w:rsidRPr="00F9703E">
        <w:rPr>
          <w:rFonts w:ascii="Book Antiqua" w:hAnsi="Book Antiqua" w:cs="Arial"/>
          <w:bCs/>
          <w:color w:val="000000" w:themeColor="text1"/>
          <w:kern w:val="36"/>
          <w:sz w:val="24"/>
          <w:szCs w:val="24"/>
          <w:lang w:val="en-US" w:eastAsia="ja-JP"/>
        </w:rPr>
        <w:t>Peyrin-Biroulet</w:t>
      </w:r>
      <w:proofErr w:type="spellEnd"/>
      <w:r w:rsidRPr="00F9703E">
        <w:rPr>
          <w:rFonts w:ascii="Book Antiqua" w:hAnsi="Book Antiqua" w:cs="Arial"/>
          <w:bCs/>
          <w:color w:val="000000" w:themeColor="text1"/>
          <w:kern w:val="36"/>
          <w:sz w:val="24"/>
          <w:szCs w:val="24"/>
          <w:lang w:val="en-US" w:eastAsia="ja-JP"/>
        </w:rPr>
        <w:t xml:space="preserve"> L, Ford AC. Systematic review with meta-analysis: malignancies with anti-</w:t>
      </w:r>
      <w:proofErr w:type="spellStart"/>
      <w:r w:rsidRPr="00F9703E">
        <w:rPr>
          <w:rFonts w:ascii="Book Antiqua" w:hAnsi="Book Antiqua" w:cs="Arial"/>
          <w:bCs/>
          <w:color w:val="000000" w:themeColor="text1"/>
          <w:kern w:val="36"/>
          <w:sz w:val="24"/>
          <w:szCs w:val="24"/>
          <w:lang w:val="en-US" w:eastAsia="ja-JP"/>
        </w:rPr>
        <w:t>tumour</w:t>
      </w:r>
      <w:proofErr w:type="spellEnd"/>
      <w:r w:rsidRPr="00F9703E">
        <w:rPr>
          <w:rFonts w:ascii="Book Antiqua" w:hAnsi="Book Antiqua" w:cs="Arial"/>
          <w:bCs/>
          <w:color w:val="000000" w:themeColor="text1"/>
          <w:kern w:val="36"/>
          <w:sz w:val="24"/>
          <w:szCs w:val="24"/>
          <w:lang w:val="en-US" w:eastAsia="ja-JP"/>
        </w:rPr>
        <w:t xml:space="preserve"> necrosis factor-alpha therapy in inflammatory bowel disease. Aliment </w:t>
      </w:r>
      <w:proofErr w:type="spellStart"/>
      <w:r w:rsidRPr="00F9703E">
        <w:rPr>
          <w:rFonts w:ascii="Book Antiqua" w:hAnsi="Book Antiqua" w:cs="Arial"/>
          <w:bCs/>
          <w:color w:val="000000" w:themeColor="text1"/>
          <w:kern w:val="36"/>
          <w:sz w:val="24"/>
          <w:szCs w:val="24"/>
          <w:lang w:val="en-US" w:eastAsia="ja-JP"/>
        </w:rPr>
        <w:t>Pharmacol</w:t>
      </w:r>
      <w:proofErr w:type="spellEnd"/>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xml:space="preserve">. </w:t>
      </w:r>
      <w:proofErr w:type="gramStart"/>
      <w:r w:rsidRPr="00F9703E">
        <w:rPr>
          <w:rFonts w:ascii="Book Antiqua" w:hAnsi="Book Antiqua" w:cs="Arial"/>
          <w:bCs/>
          <w:color w:val="000000" w:themeColor="text1"/>
          <w:kern w:val="36"/>
          <w:sz w:val="24"/>
          <w:szCs w:val="24"/>
          <w:lang w:val="en-US" w:eastAsia="ja-JP"/>
        </w:rPr>
        <w:t>2014;</w:t>
      </w:r>
      <w:r w:rsidRPr="00F9703E">
        <w:rPr>
          <w:rFonts w:ascii="Book Antiqua" w:hAnsi="Book Antiqua" w:cs="Arial"/>
          <w:b/>
          <w:bCs/>
          <w:color w:val="000000" w:themeColor="text1"/>
          <w:kern w:val="36"/>
          <w:sz w:val="24"/>
          <w:szCs w:val="24"/>
          <w:lang w:val="en-US" w:eastAsia="ja-JP"/>
        </w:rPr>
        <w:t>39</w:t>
      </w:r>
      <w:r w:rsidRPr="00F9703E">
        <w:rPr>
          <w:rFonts w:ascii="Book Antiqua" w:hAnsi="Book Antiqua" w:cs="Arial"/>
          <w:bCs/>
          <w:color w:val="000000" w:themeColor="text1"/>
          <w:kern w:val="36"/>
          <w:sz w:val="24"/>
          <w:szCs w:val="24"/>
          <w:lang w:val="en-US" w:eastAsia="ja-JP"/>
        </w:rPr>
        <w:t>:447</w:t>
      </w:r>
      <w:proofErr w:type="gramEnd"/>
      <w:r w:rsidRPr="00F9703E">
        <w:rPr>
          <w:rFonts w:ascii="Book Antiqua" w:hAnsi="Book Antiqua" w:cs="Arial"/>
          <w:bCs/>
          <w:color w:val="000000" w:themeColor="text1"/>
          <w:kern w:val="36"/>
          <w:sz w:val="24"/>
          <w:szCs w:val="24"/>
          <w:lang w:val="en-US" w:eastAsia="ja-JP"/>
        </w:rPr>
        <w:t>-458. [PMD: 24444171 DOI: 10.1111/apt.12624]</w:t>
      </w:r>
    </w:p>
    <w:p w14:paraId="156DB3E4" w14:textId="1BAB31A1"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58 </w:t>
      </w:r>
      <w:proofErr w:type="spellStart"/>
      <w:r w:rsidRPr="00F9703E">
        <w:rPr>
          <w:rFonts w:ascii="Book Antiqua" w:hAnsi="Book Antiqua" w:cs="Arial"/>
          <w:b/>
          <w:bCs/>
          <w:color w:val="000000" w:themeColor="text1"/>
          <w:kern w:val="36"/>
          <w:sz w:val="24"/>
          <w:szCs w:val="24"/>
          <w:lang w:val="en-US" w:eastAsia="ja-JP"/>
        </w:rPr>
        <w:t>Borren</w:t>
      </w:r>
      <w:proofErr w:type="spellEnd"/>
      <w:r w:rsidRPr="00F9703E">
        <w:rPr>
          <w:rFonts w:ascii="Book Antiqua" w:hAnsi="Book Antiqua" w:cs="Arial"/>
          <w:b/>
          <w:bCs/>
          <w:color w:val="000000" w:themeColor="text1"/>
          <w:kern w:val="36"/>
          <w:sz w:val="24"/>
          <w:szCs w:val="24"/>
          <w:lang w:val="en-US" w:eastAsia="ja-JP"/>
        </w:rPr>
        <w:t xml:space="preserve"> NZ</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Ananthakrishnan</w:t>
      </w:r>
      <w:proofErr w:type="spellEnd"/>
      <w:r w:rsidRPr="00F9703E">
        <w:rPr>
          <w:rFonts w:ascii="Book Antiqua" w:hAnsi="Book Antiqua" w:cs="Arial"/>
          <w:bCs/>
          <w:color w:val="000000" w:themeColor="text1"/>
          <w:kern w:val="36"/>
          <w:sz w:val="24"/>
          <w:szCs w:val="24"/>
          <w:lang w:val="en-US" w:eastAsia="ja-JP"/>
        </w:rPr>
        <w:t xml:space="preserve"> AN. Safety of Biologic Therapy in Older Patients </w:t>
      </w:r>
      <w:proofErr w:type="gramStart"/>
      <w:r w:rsidRPr="00F9703E">
        <w:rPr>
          <w:rFonts w:ascii="Book Antiqua" w:hAnsi="Book Antiqua" w:cs="Arial"/>
          <w:bCs/>
          <w:color w:val="000000" w:themeColor="text1"/>
          <w:kern w:val="36"/>
          <w:sz w:val="24"/>
          <w:szCs w:val="24"/>
          <w:lang w:val="en-US" w:eastAsia="ja-JP"/>
        </w:rPr>
        <w:t>With</w:t>
      </w:r>
      <w:proofErr w:type="gramEnd"/>
      <w:r w:rsidRPr="00F9703E">
        <w:rPr>
          <w:rFonts w:ascii="Book Antiqua" w:hAnsi="Book Antiqua" w:cs="Arial"/>
          <w:bCs/>
          <w:color w:val="000000" w:themeColor="text1"/>
          <w:kern w:val="36"/>
          <w:sz w:val="24"/>
          <w:szCs w:val="24"/>
          <w:lang w:val="en-US" w:eastAsia="ja-JP"/>
        </w:rPr>
        <w:t xml:space="preserve"> Immune-Mediated Diseases: A Systematic Review and Meta-analysis. </w:t>
      </w:r>
      <w:r w:rsidRPr="00F9703E">
        <w:rPr>
          <w:rFonts w:ascii="Book Antiqua" w:hAnsi="Book Antiqua" w:cs="Arial"/>
          <w:bCs/>
          <w:i/>
          <w:iCs/>
          <w:color w:val="000000" w:themeColor="text1"/>
          <w:kern w:val="36"/>
          <w:sz w:val="24"/>
          <w:szCs w:val="24"/>
          <w:lang w:val="en-US" w:eastAsia="ja-JP"/>
        </w:rPr>
        <w:t xml:space="preserve">Clin Gastroenterol </w:t>
      </w:r>
      <w:proofErr w:type="spellStart"/>
      <w:r w:rsidRPr="00F9703E">
        <w:rPr>
          <w:rFonts w:ascii="Book Antiqua" w:hAnsi="Book Antiqua" w:cs="Arial"/>
          <w:bCs/>
          <w:i/>
          <w:iCs/>
          <w:color w:val="000000" w:themeColor="text1"/>
          <w:kern w:val="36"/>
          <w:sz w:val="24"/>
          <w:szCs w:val="24"/>
          <w:lang w:val="en-US" w:eastAsia="ja-JP"/>
        </w:rPr>
        <w:t>Hepatol</w:t>
      </w:r>
      <w:proofErr w:type="spellEnd"/>
      <w:r w:rsidRPr="00F9703E">
        <w:rPr>
          <w:rFonts w:ascii="Book Antiqua" w:hAnsi="Book Antiqua" w:cs="Arial"/>
          <w:bCs/>
          <w:color w:val="000000" w:themeColor="text1"/>
          <w:kern w:val="36"/>
          <w:sz w:val="24"/>
          <w:szCs w:val="24"/>
          <w:lang w:val="en-US" w:eastAsia="ja-JP"/>
        </w:rPr>
        <w:t> 2019 [PMID: 30616024 DOI: 10.1016/j.cgh.2018.12.032]</w:t>
      </w:r>
    </w:p>
    <w:p w14:paraId="2C9AEAB3"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lastRenderedPageBreak/>
        <w:t>59 </w:t>
      </w:r>
      <w:proofErr w:type="spellStart"/>
      <w:r w:rsidRPr="00F9703E">
        <w:rPr>
          <w:rFonts w:ascii="Book Antiqua" w:hAnsi="Book Antiqua" w:cs="Arial"/>
          <w:b/>
          <w:bCs/>
          <w:color w:val="000000" w:themeColor="text1"/>
          <w:kern w:val="36"/>
          <w:sz w:val="24"/>
          <w:szCs w:val="24"/>
          <w:lang w:val="en-US" w:eastAsia="ja-JP"/>
        </w:rPr>
        <w:t>Yajnik</w:t>
      </w:r>
      <w:proofErr w:type="spellEnd"/>
      <w:r w:rsidRPr="00F9703E">
        <w:rPr>
          <w:rFonts w:ascii="Book Antiqua" w:hAnsi="Book Antiqua" w:cs="Arial"/>
          <w:b/>
          <w:bCs/>
          <w:color w:val="000000" w:themeColor="text1"/>
          <w:kern w:val="36"/>
          <w:sz w:val="24"/>
          <w:szCs w:val="24"/>
          <w:lang w:val="en-US" w:eastAsia="ja-JP"/>
        </w:rPr>
        <w:t xml:space="preserve"> V</w:t>
      </w:r>
      <w:r w:rsidRPr="00F9703E">
        <w:rPr>
          <w:rFonts w:ascii="Book Antiqua" w:hAnsi="Book Antiqua" w:cs="Arial"/>
          <w:bCs/>
          <w:color w:val="000000" w:themeColor="text1"/>
          <w:kern w:val="36"/>
          <w:sz w:val="24"/>
          <w:szCs w:val="24"/>
          <w:lang w:val="en-US" w:eastAsia="ja-JP"/>
        </w:rPr>
        <w:t xml:space="preserve">, Khan N, Dubinsky M, </w:t>
      </w:r>
      <w:proofErr w:type="spellStart"/>
      <w:r w:rsidRPr="00F9703E">
        <w:rPr>
          <w:rFonts w:ascii="Book Antiqua" w:hAnsi="Book Antiqua" w:cs="Arial"/>
          <w:bCs/>
          <w:color w:val="000000" w:themeColor="text1"/>
          <w:kern w:val="36"/>
          <w:sz w:val="24"/>
          <w:szCs w:val="24"/>
          <w:lang w:val="en-US" w:eastAsia="ja-JP"/>
        </w:rPr>
        <w:t>Axler</w:t>
      </w:r>
      <w:proofErr w:type="spellEnd"/>
      <w:r w:rsidRPr="00F9703E">
        <w:rPr>
          <w:rFonts w:ascii="Book Antiqua" w:hAnsi="Book Antiqua" w:cs="Arial"/>
          <w:bCs/>
          <w:color w:val="000000" w:themeColor="text1"/>
          <w:kern w:val="36"/>
          <w:sz w:val="24"/>
          <w:szCs w:val="24"/>
          <w:lang w:val="en-US" w:eastAsia="ja-JP"/>
        </w:rPr>
        <w:t xml:space="preserve"> J, James A, Abhyankar B, </w:t>
      </w:r>
      <w:proofErr w:type="spellStart"/>
      <w:r w:rsidRPr="00F9703E">
        <w:rPr>
          <w:rFonts w:ascii="Book Antiqua" w:hAnsi="Book Antiqua" w:cs="Arial"/>
          <w:bCs/>
          <w:color w:val="000000" w:themeColor="text1"/>
          <w:kern w:val="36"/>
          <w:sz w:val="24"/>
          <w:szCs w:val="24"/>
          <w:lang w:val="en-US" w:eastAsia="ja-JP"/>
        </w:rPr>
        <w:t>Lasch</w:t>
      </w:r>
      <w:proofErr w:type="spellEnd"/>
      <w:r w:rsidRPr="00F9703E">
        <w:rPr>
          <w:rFonts w:ascii="Book Antiqua" w:hAnsi="Book Antiqua" w:cs="Arial"/>
          <w:bCs/>
          <w:color w:val="000000" w:themeColor="text1"/>
          <w:kern w:val="36"/>
          <w:sz w:val="24"/>
          <w:szCs w:val="24"/>
          <w:lang w:val="en-US" w:eastAsia="ja-JP"/>
        </w:rPr>
        <w:t xml:space="preserve"> K. Efficacy and Safety of Vedolizumab in Ulcerative Colitis and Crohn's Disease Patients Stratified by Age. </w:t>
      </w:r>
      <w:r w:rsidRPr="00F9703E">
        <w:rPr>
          <w:rFonts w:ascii="Book Antiqua" w:hAnsi="Book Antiqua" w:cs="Arial"/>
          <w:bCs/>
          <w:i/>
          <w:iCs/>
          <w:color w:val="000000" w:themeColor="text1"/>
          <w:kern w:val="36"/>
          <w:sz w:val="24"/>
          <w:szCs w:val="24"/>
          <w:lang w:val="en-US" w:eastAsia="ja-JP"/>
        </w:rPr>
        <w:t xml:space="preserve">Adv </w:t>
      </w:r>
      <w:proofErr w:type="spellStart"/>
      <w:r w:rsidRPr="00F9703E">
        <w:rPr>
          <w:rFonts w:ascii="Book Antiqua" w:hAnsi="Book Antiqua" w:cs="Arial"/>
          <w:bCs/>
          <w:i/>
          <w:iCs/>
          <w:color w:val="000000" w:themeColor="text1"/>
          <w:kern w:val="36"/>
          <w:sz w:val="24"/>
          <w:szCs w:val="24"/>
          <w:lang w:val="en-US" w:eastAsia="ja-JP"/>
        </w:rPr>
        <w:t>Ther</w:t>
      </w:r>
      <w:proofErr w:type="spellEnd"/>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34</w:t>
      </w:r>
      <w:r w:rsidRPr="00F9703E">
        <w:rPr>
          <w:rFonts w:ascii="Book Antiqua" w:hAnsi="Book Antiqua" w:cs="Arial"/>
          <w:bCs/>
          <w:color w:val="000000" w:themeColor="text1"/>
          <w:kern w:val="36"/>
          <w:sz w:val="24"/>
          <w:szCs w:val="24"/>
          <w:lang w:val="en-US" w:eastAsia="ja-JP"/>
        </w:rPr>
        <w:t>: 542-559 [PMID: 28070861 DOI: 10.1007/s12325-016-0467-6]</w:t>
      </w:r>
    </w:p>
    <w:p w14:paraId="4E2AA9B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60 </w:t>
      </w:r>
      <w:r w:rsidRPr="00F9703E">
        <w:rPr>
          <w:rFonts w:ascii="Book Antiqua" w:hAnsi="Book Antiqua" w:cs="Arial"/>
          <w:b/>
          <w:bCs/>
          <w:color w:val="000000" w:themeColor="text1"/>
          <w:kern w:val="36"/>
          <w:sz w:val="24"/>
          <w:szCs w:val="24"/>
          <w:lang w:val="en-US" w:eastAsia="ja-JP"/>
        </w:rPr>
        <w:t>Hayashi M</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Umezawa</w:t>
      </w:r>
      <w:proofErr w:type="spellEnd"/>
      <w:r w:rsidRPr="00F9703E">
        <w:rPr>
          <w:rFonts w:ascii="Book Antiqua" w:hAnsi="Book Antiqua" w:cs="Arial"/>
          <w:bCs/>
          <w:color w:val="000000" w:themeColor="text1"/>
          <w:kern w:val="36"/>
          <w:sz w:val="24"/>
          <w:szCs w:val="24"/>
          <w:lang w:val="en-US" w:eastAsia="ja-JP"/>
        </w:rPr>
        <w:t xml:space="preserve"> Y, Fukuchi O, Ito T, Saeki H, Nakagawa H. Efficacy and safety of </w:t>
      </w:r>
      <w:proofErr w:type="spellStart"/>
      <w:r w:rsidRPr="00F9703E">
        <w:rPr>
          <w:rFonts w:ascii="Book Antiqua" w:hAnsi="Book Antiqua" w:cs="Arial"/>
          <w:bCs/>
          <w:color w:val="000000" w:themeColor="text1"/>
          <w:kern w:val="36"/>
          <w:sz w:val="24"/>
          <w:szCs w:val="24"/>
          <w:lang w:val="en-US" w:eastAsia="ja-JP"/>
        </w:rPr>
        <w:t>ustekinumab</w:t>
      </w:r>
      <w:proofErr w:type="spellEnd"/>
      <w:r w:rsidRPr="00F9703E">
        <w:rPr>
          <w:rFonts w:ascii="Book Antiqua" w:hAnsi="Book Antiqua" w:cs="Arial"/>
          <w:bCs/>
          <w:color w:val="000000" w:themeColor="text1"/>
          <w:kern w:val="36"/>
          <w:sz w:val="24"/>
          <w:szCs w:val="24"/>
          <w:lang w:val="en-US" w:eastAsia="ja-JP"/>
        </w:rPr>
        <w:t xml:space="preserve"> treatment in elderly patients with psoriasis. </w:t>
      </w:r>
      <w:r w:rsidRPr="00F9703E">
        <w:rPr>
          <w:rFonts w:ascii="Book Antiqua" w:hAnsi="Book Antiqua" w:cs="Arial"/>
          <w:bCs/>
          <w:i/>
          <w:iCs/>
          <w:color w:val="000000" w:themeColor="text1"/>
          <w:kern w:val="36"/>
          <w:sz w:val="24"/>
          <w:szCs w:val="24"/>
          <w:lang w:val="en-US" w:eastAsia="ja-JP"/>
        </w:rPr>
        <w:t>J Dermatol</w:t>
      </w:r>
      <w:r w:rsidRPr="00F9703E">
        <w:rPr>
          <w:rFonts w:ascii="Book Antiqua" w:hAnsi="Book Antiqua" w:cs="Arial"/>
          <w:bCs/>
          <w:color w:val="000000" w:themeColor="text1"/>
          <w:kern w:val="36"/>
          <w:sz w:val="24"/>
          <w:szCs w:val="24"/>
          <w:lang w:val="en-US" w:eastAsia="ja-JP"/>
        </w:rPr>
        <w:t> 2014; </w:t>
      </w:r>
      <w:r w:rsidRPr="00F9703E">
        <w:rPr>
          <w:rFonts w:ascii="Book Antiqua" w:hAnsi="Book Antiqua" w:cs="Arial"/>
          <w:b/>
          <w:bCs/>
          <w:color w:val="000000" w:themeColor="text1"/>
          <w:kern w:val="36"/>
          <w:sz w:val="24"/>
          <w:szCs w:val="24"/>
          <w:lang w:val="en-US" w:eastAsia="ja-JP"/>
        </w:rPr>
        <w:t>41</w:t>
      </w:r>
      <w:r w:rsidRPr="00F9703E">
        <w:rPr>
          <w:rFonts w:ascii="Book Antiqua" w:hAnsi="Book Antiqua" w:cs="Arial"/>
          <w:bCs/>
          <w:color w:val="000000" w:themeColor="text1"/>
          <w:kern w:val="36"/>
          <w:sz w:val="24"/>
          <w:szCs w:val="24"/>
          <w:lang w:val="en-US" w:eastAsia="ja-JP"/>
        </w:rPr>
        <w:t>: 974-980 [PMID: 25346301 DOI: 10.1111/1346-8138.12653]</w:t>
      </w:r>
    </w:p>
    <w:p w14:paraId="55BCF53E"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61 </w:t>
      </w:r>
      <w:proofErr w:type="spellStart"/>
      <w:r w:rsidRPr="00F9703E">
        <w:rPr>
          <w:rFonts w:ascii="Book Antiqua" w:hAnsi="Book Antiqua" w:cs="Arial"/>
          <w:b/>
          <w:bCs/>
          <w:color w:val="000000" w:themeColor="text1"/>
          <w:kern w:val="36"/>
          <w:sz w:val="24"/>
          <w:szCs w:val="24"/>
          <w:lang w:val="en-US" w:eastAsia="ja-JP"/>
        </w:rPr>
        <w:t>Megna</w:t>
      </w:r>
      <w:proofErr w:type="spellEnd"/>
      <w:r w:rsidRPr="00F9703E">
        <w:rPr>
          <w:rFonts w:ascii="Book Antiqua" w:hAnsi="Book Antiqua" w:cs="Arial"/>
          <w:b/>
          <w:bCs/>
          <w:color w:val="000000" w:themeColor="text1"/>
          <w:kern w:val="36"/>
          <w:sz w:val="24"/>
          <w:szCs w:val="24"/>
          <w:lang w:val="en-US" w:eastAsia="ja-JP"/>
        </w:rPr>
        <w:t xml:space="preserve"> M</w:t>
      </w:r>
      <w:r w:rsidRPr="00F9703E">
        <w:rPr>
          <w:rFonts w:ascii="Book Antiqua" w:hAnsi="Book Antiqua" w:cs="Arial"/>
          <w:bCs/>
          <w:color w:val="000000" w:themeColor="text1"/>
          <w:kern w:val="36"/>
          <w:sz w:val="24"/>
          <w:szCs w:val="24"/>
          <w:lang w:val="en-US" w:eastAsia="ja-JP"/>
        </w:rPr>
        <w:t xml:space="preserve">, Napolitano M, </w:t>
      </w:r>
      <w:proofErr w:type="spellStart"/>
      <w:r w:rsidRPr="00F9703E">
        <w:rPr>
          <w:rFonts w:ascii="Book Antiqua" w:hAnsi="Book Antiqua" w:cs="Arial"/>
          <w:bCs/>
          <w:color w:val="000000" w:themeColor="text1"/>
          <w:kern w:val="36"/>
          <w:sz w:val="24"/>
          <w:szCs w:val="24"/>
          <w:lang w:val="en-US" w:eastAsia="ja-JP"/>
        </w:rPr>
        <w:t>Balato</w:t>
      </w:r>
      <w:proofErr w:type="spellEnd"/>
      <w:r w:rsidRPr="00F9703E">
        <w:rPr>
          <w:rFonts w:ascii="Book Antiqua" w:hAnsi="Book Antiqua" w:cs="Arial"/>
          <w:bCs/>
          <w:color w:val="000000" w:themeColor="text1"/>
          <w:kern w:val="36"/>
          <w:sz w:val="24"/>
          <w:szCs w:val="24"/>
          <w:lang w:val="en-US" w:eastAsia="ja-JP"/>
        </w:rPr>
        <w:t xml:space="preserve"> N, </w:t>
      </w:r>
      <w:proofErr w:type="spellStart"/>
      <w:r w:rsidRPr="00F9703E">
        <w:rPr>
          <w:rFonts w:ascii="Book Antiqua" w:hAnsi="Book Antiqua" w:cs="Arial"/>
          <w:bCs/>
          <w:color w:val="000000" w:themeColor="text1"/>
          <w:kern w:val="36"/>
          <w:sz w:val="24"/>
          <w:szCs w:val="24"/>
          <w:lang w:val="en-US" w:eastAsia="ja-JP"/>
        </w:rPr>
        <w:t>Monfrecola</w:t>
      </w:r>
      <w:proofErr w:type="spellEnd"/>
      <w:r w:rsidRPr="00F9703E">
        <w:rPr>
          <w:rFonts w:ascii="Book Antiqua" w:hAnsi="Book Antiqua" w:cs="Arial"/>
          <w:bCs/>
          <w:color w:val="000000" w:themeColor="text1"/>
          <w:kern w:val="36"/>
          <w:sz w:val="24"/>
          <w:szCs w:val="24"/>
          <w:lang w:val="en-US" w:eastAsia="ja-JP"/>
        </w:rPr>
        <w:t xml:space="preserve"> G, Villani A, Ayala F, </w:t>
      </w:r>
      <w:proofErr w:type="spellStart"/>
      <w:r w:rsidRPr="00F9703E">
        <w:rPr>
          <w:rFonts w:ascii="Book Antiqua" w:hAnsi="Book Antiqua" w:cs="Arial"/>
          <w:bCs/>
          <w:color w:val="000000" w:themeColor="text1"/>
          <w:kern w:val="36"/>
          <w:sz w:val="24"/>
          <w:szCs w:val="24"/>
          <w:lang w:val="en-US" w:eastAsia="ja-JP"/>
        </w:rPr>
        <w:t>Balato</w:t>
      </w:r>
      <w:proofErr w:type="spellEnd"/>
      <w:r w:rsidRPr="00F9703E">
        <w:rPr>
          <w:rFonts w:ascii="Book Antiqua" w:hAnsi="Book Antiqua" w:cs="Arial"/>
          <w:bCs/>
          <w:color w:val="000000" w:themeColor="text1"/>
          <w:kern w:val="36"/>
          <w:sz w:val="24"/>
          <w:szCs w:val="24"/>
          <w:lang w:val="en-US" w:eastAsia="ja-JP"/>
        </w:rPr>
        <w:t xml:space="preserve"> A. Efficacy and safety of </w:t>
      </w:r>
      <w:proofErr w:type="spellStart"/>
      <w:r w:rsidRPr="00F9703E">
        <w:rPr>
          <w:rFonts w:ascii="Book Antiqua" w:hAnsi="Book Antiqua" w:cs="Arial"/>
          <w:bCs/>
          <w:color w:val="000000" w:themeColor="text1"/>
          <w:kern w:val="36"/>
          <w:sz w:val="24"/>
          <w:szCs w:val="24"/>
          <w:lang w:val="en-US" w:eastAsia="ja-JP"/>
        </w:rPr>
        <w:t>ustekinumab</w:t>
      </w:r>
      <w:proofErr w:type="spellEnd"/>
      <w:r w:rsidRPr="00F9703E">
        <w:rPr>
          <w:rFonts w:ascii="Book Antiqua" w:hAnsi="Book Antiqua" w:cs="Arial"/>
          <w:bCs/>
          <w:color w:val="000000" w:themeColor="text1"/>
          <w:kern w:val="36"/>
          <w:sz w:val="24"/>
          <w:szCs w:val="24"/>
          <w:lang w:val="en-US" w:eastAsia="ja-JP"/>
        </w:rPr>
        <w:t xml:space="preserve"> in a group of 22 elderly patients with psoriasis over a 2-year period. </w:t>
      </w:r>
      <w:r w:rsidRPr="00F9703E">
        <w:rPr>
          <w:rFonts w:ascii="Book Antiqua" w:hAnsi="Book Antiqua" w:cs="Arial"/>
          <w:bCs/>
          <w:i/>
          <w:iCs/>
          <w:color w:val="000000" w:themeColor="text1"/>
          <w:kern w:val="36"/>
          <w:sz w:val="24"/>
          <w:szCs w:val="24"/>
          <w:lang w:val="en-US" w:eastAsia="ja-JP"/>
        </w:rPr>
        <w:t>Clin Exp Dermatol</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41</w:t>
      </w:r>
      <w:r w:rsidRPr="00F9703E">
        <w:rPr>
          <w:rFonts w:ascii="Book Antiqua" w:hAnsi="Book Antiqua" w:cs="Arial"/>
          <w:bCs/>
          <w:color w:val="000000" w:themeColor="text1"/>
          <w:kern w:val="36"/>
          <w:sz w:val="24"/>
          <w:szCs w:val="24"/>
          <w:lang w:val="en-US" w:eastAsia="ja-JP"/>
        </w:rPr>
        <w:t>: 564-566 [PMID: 27028505 DOI: 10.1111/ced.12850]</w:t>
      </w:r>
    </w:p>
    <w:p w14:paraId="4D1934B9"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62 </w:t>
      </w:r>
      <w:r w:rsidRPr="00F9703E">
        <w:rPr>
          <w:rFonts w:ascii="Book Antiqua" w:hAnsi="Book Antiqua" w:cs="Arial"/>
          <w:b/>
          <w:bCs/>
          <w:color w:val="000000" w:themeColor="text1"/>
          <w:kern w:val="36"/>
          <w:sz w:val="24"/>
          <w:szCs w:val="24"/>
          <w:lang w:val="en-US" w:eastAsia="ja-JP"/>
        </w:rPr>
        <w:t>Kaplan GG</w:t>
      </w:r>
      <w:r w:rsidRPr="00F9703E">
        <w:rPr>
          <w:rFonts w:ascii="Book Antiqua" w:hAnsi="Book Antiqua" w:cs="Arial"/>
          <w:bCs/>
          <w:color w:val="000000" w:themeColor="text1"/>
          <w:kern w:val="36"/>
          <w:sz w:val="24"/>
          <w:szCs w:val="24"/>
          <w:lang w:val="en-US" w:eastAsia="ja-JP"/>
        </w:rPr>
        <w:t xml:space="preserve">, Hubbard J, </w:t>
      </w:r>
      <w:proofErr w:type="spellStart"/>
      <w:r w:rsidRPr="00F9703E">
        <w:rPr>
          <w:rFonts w:ascii="Book Antiqua" w:hAnsi="Book Antiqua" w:cs="Arial"/>
          <w:bCs/>
          <w:color w:val="000000" w:themeColor="text1"/>
          <w:kern w:val="36"/>
          <w:sz w:val="24"/>
          <w:szCs w:val="24"/>
          <w:lang w:val="en-US" w:eastAsia="ja-JP"/>
        </w:rPr>
        <w:t>Panaccione</w:t>
      </w:r>
      <w:proofErr w:type="spellEnd"/>
      <w:r w:rsidRPr="00F9703E">
        <w:rPr>
          <w:rFonts w:ascii="Book Antiqua" w:hAnsi="Book Antiqua" w:cs="Arial"/>
          <w:bCs/>
          <w:color w:val="000000" w:themeColor="text1"/>
          <w:kern w:val="36"/>
          <w:sz w:val="24"/>
          <w:szCs w:val="24"/>
          <w:lang w:val="en-US" w:eastAsia="ja-JP"/>
        </w:rPr>
        <w:t xml:space="preserve"> R, </w:t>
      </w:r>
      <w:proofErr w:type="spellStart"/>
      <w:r w:rsidRPr="00F9703E">
        <w:rPr>
          <w:rFonts w:ascii="Book Antiqua" w:hAnsi="Book Antiqua" w:cs="Arial"/>
          <w:bCs/>
          <w:color w:val="000000" w:themeColor="text1"/>
          <w:kern w:val="36"/>
          <w:sz w:val="24"/>
          <w:szCs w:val="24"/>
          <w:lang w:val="en-US" w:eastAsia="ja-JP"/>
        </w:rPr>
        <w:t>Shaheen</w:t>
      </w:r>
      <w:proofErr w:type="spellEnd"/>
      <w:r w:rsidRPr="00F9703E">
        <w:rPr>
          <w:rFonts w:ascii="Book Antiqua" w:hAnsi="Book Antiqua" w:cs="Arial"/>
          <w:bCs/>
          <w:color w:val="000000" w:themeColor="text1"/>
          <w:kern w:val="36"/>
          <w:sz w:val="24"/>
          <w:szCs w:val="24"/>
          <w:lang w:val="en-US" w:eastAsia="ja-JP"/>
        </w:rPr>
        <w:t xml:space="preserve"> AA, Quan H, Nguyen GC, Dixon E, Ghosh S, Myers RP. Risk of comorbidities on postoperative outcomes in patients with inflammatory bowel disease. </w:t>
      </w:r>
      <w:r w:rsidRPr="00F9703E">
        <w:rPr>
          <w:rFonts w:ascii="Book Antiqua" w:hAnsi="Book Antiqua" w:cs="Arial"/>
          <w:bCs/>
          <w:i/>
          <w:iCs/>
          <w:color w:val="000000" w:themeColor="text1"/>
          <w:kern w:val="36"/>
          <w:sz w:val="24"/>
          <w:szCs w:val="24"/>
          <w:lang w:val="en-US" w:eastAsia="ja-JP"/>
        </w:rPr>
        <w:t>Arch Surg</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146</w:t>
      </w:r>
      <w:r w:rsidRPr="00F9703E">
        <w:rPr>
          <w:rFonts w:ascii="Book Antiqua" w:hAnsi="Book Antiqua" w:cs="Arial"/>
          <w:bCs/>
          <w:color w:val="000000" w:themeColor="text1"/>
          <w:kern w:val="36"/>
          <w:sz w:val="24"/>
          <w:szCs w:val="24"/>
          <w:lang w:val="en-US" w:eastAsia="ja-JP"/>
        </w:rPr>
        <w:t>: 959-964 [PMID: 21844437 DOI: 10.1001/archsurg.2011.194]</w:t>
      </w:r>
    </w:p>
    <w:p w14:paraId="5B0877F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63 </w:t>
      </w:r>
      <w:proofErr w:type="spellStart"/>
      <w:r w:rsidRPr="00F9703E">
        <w:rPr>
          <w:rFonts w:ascii="Book Antiqua" w:hAnsi="Book Antiqua" w:cs="Arial"/>
          <w:b/>
          <w:bCs/>
          <w:color w:val="000000" w:themeColor="text1"/>
          <w:kern w:val="36"/>
          <w:sz w:val="24"/>
          <w:szCs w:val="24"/>
          <w:lang w:val="en-US" w:eastAsia="ja-JP"/>
        </w:rPr>
        <w:t>Ananthakrishnan</w:t>
      </w:r>
      <w:proofErr w:type="spellEnd"/>
      <w:r w:rsidRPr="00F9703E">
        <w:rPr>
          <w:rFonts w:ascii="Book Antiqua" w:hAnsi="Book Antiqua" w:cs="Arial"/>
          <w:b/>
          <w:bCs/>
          <w:color w:val="000000" w:themeColor="text1"/>
          <w:kern w:val="36"/>
          <w:sz w:val="24"/>
          <w:szCs w:val="24"/>
          <w:lang w:val="en-US" w:eastAsia="ja-JP"/>
        </w:rPr>
        <w:t xml:space="preserve"> AN</w:t>
      </w:r>
      <w:r w:rsidRPr="00F9703E">
        <w:rPr>
          <w:rFonts w:ascii="Book Antiqua" w:hAnsi="Book Antiqua" w:cs="Arial"/>
          <w:bCs/>
          <w:color w:val="000000" w:themeColor="text1"/>
          <w:kern w:val="36"/>
          <w:sz w:val="24"/>
          <w:szCs w:val="24"/>
          <w:lang w:val="en-US" w:eastAsia="ja-JP"/>
        </w:rPr>
        <w:t>, Shi HY, Tang W, Law CC, Sung JJ, Chan FK, Ng SC. Systematic Review and Meta-analysis: Phenotype and Clinical Outcomes of Older-onset Inflammatory Bowel Disease. </w:t>
      </w:r>
      <w:r w:rsidRPr="00F9703E">
        <w:rPr>
          <w:rFonts w:ascii="Book Antiqua" w:hAnsi="Book Antiqua" w:cs="Arial"/>
          <w:bCs/>
          <w:i/>
          <w:iCs/>
          <w:color w:val="000000" w:themeColor="text1"/>
          <w:kern w:val="36"/>
          <w:sz w:val="24"/>
          <w:szCs w:val="24"/>
          <w:lang w:val="en-US" w:eastAsia="ja-JP"/>
        </w:rPr>
        <w:t xml:space="preserve">J </w:t>
      </w:r>
      <w:proofErr w:type="spellStart"/>
      <w:r w:rsidRPr="00F9703E">
        <w:rPr>
          <w:rFonts w:ascii="Book Antiqua" w:hAnsi="Book Antiqua" w:cs="Arial"/>
          <w:bCs/>
          <w:i/>
          <w:iCs/>
          <w:color w:val="000000" w:themeColor="text1"/>
          <w:kern w:val="36"/>
          <w:sz w:val="24"/>
          <w:szCs w:val="24"/>
          <w:lang w:val="en-US" w:eastAsia="ja-JP"/>
        </w:rPr>
        <w:t>Crohns</w:t>
      </w:r>
      <w:proofErr w:type="spellEnd"/>
      <w:r w:rsidRPr="00F9703E">
        <w:rPr>
          <w:rFonts w:ascii="Book Antiqua" w:hAnsi="Book Antiqua" w:cs="Arial"/>
          <w:bCs/>
          <w:i/>
          <w:iCs/>
          <w:color w:val="000000" w:themeColor="text1"/>
          <w:kern w:val="36"/>
          <w:sz w:val="24"/>
          <w:szCs w:val="24"/>
          <w:lang w:val="en-US" w:eastAsia="ja-JP"/>
        </w:rPr>
        <w:t xml:space="preserve"> Colitis</w:t>
      </w:r>
      <w:r w:rsidRPr="00F9703E">
        <w:rPr>
          <w:rFonts w:ascii="Book Antiqua" w:hAnsi="Book Antiqua" w:cs="Arial"/>
          <w:bCs/>
          <w:color w:val="000000" w:themeColor="text1"/>
          <w:kern w:val="36"/>
          <w:sz w:val="24"/>
          <w:szCs w:val="24"/>
          <w:lang w:val="en-US" w:eastAsia="ja-JP"/>
        </w:rPr>
        <w:t> 2016; </w:t>
      </w:r>
      <w:r w:rsidRPr="00F9703E">
        <w:rPr>
          <w:rFonts w:ascii="Book Antiqua" w:hAnsi="Book Antiqua" w:cs="Arial"/>
          <w:b/>
          <w:bCs/>
          <w:color w:val="000000" w:themeColor="text1"/>
          <w:kern w:val="36"/>
          <w:sz w:val="24"/>
          <w:szCs w:val="24"/>
          <w:lang w:val="en-US" w:eastAsia="ja-JP"/>
        </w:rPr>
        <w:t>10</w:t>
      </w:r>
      <w:r w:rsidRPr="00F9703E">
        <w:rPr>
          <w:rFonts w:ascii="Book Antiqua" w:hAnsi="Book Antiqua" w:cs="Arial"/>
          <w:bCs/>
          <w:color w:val="000000" w:themeColor="text1"/>
          <w:kern w:val="36"/>
          <w:sz w:val="24"/>
          <w:szCs w:val="24"/>
          <w:lang w:val="en-US" w:eastAsia="ja-JP"/>
        </w:rPr>
        <w:t>: 1224-1236 [PMID: 26928965 DOI: 10.1093/</w:t>
      </w:r>
      <w:proofErr w:type="spellStart"/>
      <w:r w:rsidRPr="00F9703E">
        <w:rPr>
          <w:rFonts w:ascii="Book Antiqua" w:hAnsi="Book Antiqua" w:cs="Arial"/>
          <w:bCs/>
          <w:color w:val="000000" w:themeColor="text1"/>
          <w:kern w:val="36"/>
          <w:sz w:val="24"/>
          <w:szCs w:val="24"/>
          <w:lang w:val="en-US" w:eastAsia="ja-JP"/>
        </w:rPr>
        <w:t>ecco-jcc</w:t>
      </w:r>
      <w:proofErr w:type="spellEnd"/>
      <w:r w:rsidRPr="00F9703E">
        <w:rPr>
          <w:rFonts w:ascii="Book Antiqua" w:hAnsi="Book Antiqua" w:cs="Arial"/>
          <w:bCs/>
          <w:color w:val="000000" w:themeColor="text1"/>
          <w:kern w:val="36"/>
          <w:sz w:val="24"/>
          <w:szCs w:val="24"/>
          <w:lang w:val="en-US" w:eastAsia="ja-JP"/>
        </w:rPr>
        <w:t>/jjw054]</w:t>
      </w:r>
    </w:p>
    <w:p w14:paraId="6EEE577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64 </w:t>
      </w:r>
      <w:r w:rsidRPr="00F9703E">
        <w:rPr>
          <w:rFonts w:ascii="Book Antiqua" w:hAnsi="Book Antiqua" w:cs="Arial"/>
          <w:b/>
          <w:bCs/>
          <w:color w:val="000000" w:themeColor="text1"/>
          <w:kern w:val="36"/>
          <w:sz w:val="24"/>
          <w:szCs w:val="24"/>
          <w:lang w:val="en-US" w:eastAsia="ja-JP"/>
        </w:rPr>
        <w:t>Longo WE</w:t>
      </w:r>
      <w:r w:rsidRPr="00F9703E">
        <w:rPr>
          <w:rFonts w:ascii="Book Antiqua" w:hAnsi="Book Antiqua" w:cs="Arial"/>
          <w:bCs/>
          <w:color w:val="000000" w:themeColor="text1"/>
          <w:kern w:val="36"/>
          <w:sz w:val="24"/>
          <w:szCs w:val="24"/>
          <w:lang w:val="en-US" w:eastAsia="ja-JP"/>
        </w:rPr>
        <w:t xml:space="preserve">, Virgo KS, </w:t>
      </w:r>
      <w:proofErr w:type="spellStart"/>
      <w:r w:rsidRPr="00F9703E">
        <w:rPr>
          <w:rFonts w:ascii="Book Antiqua" w:hAnsi="Book Antiqua" w:cs="Arial"/>
          <w:bCs/>
          <w:color w:val="000000" w:themeColor="text1"/>
          <w:kern w:val="36"/>
          <w:sz w:val="24"/>
          <w:szCs w:val="24"/>
          <w:lang w:val="en-US" w:eastAsia="ja-JP"/>
        </w:rPr>
        <w:t>Bahadursingh</w:t>
      </w:r>
      <w:proofErr w:type="spellEnd"/>
      <w:r w:rsidRPr="00F9703E">
        <w:rPr>
          <w:rFonts w:ascii="Book Antiqua" w:hAnsi="Book Antiqua" w:cs="Arial"/>
          <w:bCs/>
          <w:color w:val="000000" w:themeColor="text1"/>
          <w:kern w:val="36"/>
          <w:sz w:val="24"/>
          <w:szCs w:val="24"/>
          <w:lang w:val="en-US" w:eastAsia="ja-JP"/>
        </w:rPr>
        <w:t xml:space="preserve"> AN, Johnson FE. Patterns of disease and surgical treatment among United States veterans more than 50 years of age with ulcerative colitis. </w:t>
      </w:r>
      <w:r w:rsidRPr="00F9703E">
        <w:rPr>
          <w:rFonts w:ascii="Book Antiqua" w:hAnsi="Book Antiqua" w:cs="Arial"/>
          <w:bCs/>
          <w:i/>
          <w:iCs/>
          <w:color w:val="000000" w:themeColor="text1"/>
          <w:kern w:val="36"/>
          <w:sz w:val="24"/>
          <w:szCs w:val="24"/>
          <w:lang w:val="en-US" w:eastAsia="ja-JP"/>
        </w:rPr>
        <w:t>Am J Surg</w:t>
      </w:r>
      <w:r w:rsidRPr="00F9703E">
        <w:rPr>
          <w:rFonts w:ascii="Book Antiqua" w:hAnsi="Book Antiqua" w:cs="Arial"/>
          <w:bCs/>
          <w:color w:val="000000" w:themeColor="text1"/>
          <w:kern w:val="36"/>
          <w:sz w:val="24"/>
          <w:szCs w:val="24"/>
          <w:lang w:val="en-US" w:eastAsia="ja-JP"/>
        </w:rPr>
        <w:t> 2003; </w:t>
      </w:r>
      <w:r w:rsidRPr="00F9703E">
        <w:rPr>
          <w:rFonts w:ascii="Book Antiqua" w:hAnsi="Book Antiqua" w:cs="Arial"/>
          <w:b/>
          <w:bCs/>
          <w:color w:val="000000" w:themeColor="text1"/>
          <w:kern w:val="36"/>
          <w:sz w:val="24"/>
          <w:szCs w:val="24"/>
          <w:lang w:val="en-US" w:eastAsia="ja-JP"/>
        </w:rPr>
        <w:t>186</w:t>
      </w:r>
      <w:r w:rsidRPr="00F9703E">
        <w:rPr>
          <w:rFonts w:ascii="Book Antiqua" w:hAnsi="Book Antiqua" w:cs="Arial"/>
          <w:bCs/>
          <w:color w:val="000000" w:themeColor="text1"/>
          <w:kern w:val="36"/>
          <w:sz w:val="24"/>
          <w:szCs w:val="24"/>
          <w:lang w:val="en-US" w:eastAsia="ja-JP"/>
        </w:rPr>
        <w:t>: 514-518 [PMID: 14599617]</w:t>
      </w:r>
    </w:p>
    <w:p w14:paraId="489ED7FC"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65 </w:t>
      </w:r>
      <w:r w:rsidRPr="00F9703E">
        <w:rPr>
          <w:rFonts w:ascii="Book Antiqua" w:hAnsi="Book Antiqua" w:cs="Arial"/>
          <w:b/>
          <w:bCs/>
          <w:color w:val="000000" w:themeColor="text1"/>
          <w:kern w:val="36"/>
          <w:sz w:val="24"/>
          <w:szCs w:val="24"/>
          <w:lang w:val="en-US" w:eastAsia="ja-JP"/>
        </w:rPr>
        <w:t>Bauer JJ</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Gorfine</w:t>
      </w:r>
      <w:proofErr w:type="spellEnd"/>
      <w:r w:rsidRPr="00F9703E">
        <w:rPr>
          <w:rFonts w:ascii="Book Antiqua" w:hAnsi="Book Antiqua" w:cs="Arial"/>
          <w:bCs/>
          <w:color w:val="000000" w:themeColor="text1"/>
          <w:kern w:val="36"/>
          <w:sz w:val="24"/>
          <w:szCs w:val="24"/>
          <w:lang w:val="en-US" w:eastAsia="ja-JP"/>
        </w:rPr>
        <w:t xml:space="preserve"> SR, </w:t>
      </w:r>
      <w:proofErr w:type="spellStart"/>
      <w:r w:rsidRPr="00F9703E">
        <w:rPr>
          <w:rFonts w:ascii="Book Antiqua" w:hAnsi="Book Antiqua" w:cs="Arial"/>
          <w:bCs/>
          <w:color w:val="000000" w:themeColor="text1"/>
          <w:kern w:val="36"/>
          <w:sz w:val="24"/>
          <w:szCs w:val="24"/>
          <w:lang w:val="en-US" w:eastAsia="ja-JP"/>
        </w:rPr>
        <w:t>Gelernt</w:t>
      </w:r>
      <w:proofErr w:type="spellEnd"/>
      <w:r w:rsidRPr="00F9703E">
        <w:rPr>
          <w:rFonts w:ascii="Book Antiqua" w:hAnsi="Book Antiqua" w:cs="Arial"/>
          <w:bCs/>
          <w:color w:val="000000" w:themeColor="text1"/>
          <w:kern w:val="36"/>
          <w:sz w:val="24"/>
          <w:szCs w:val="24"/>
          <w:lang w:val="en-US" w:eastAsia="ja-JP"/>
        </w:rPr>
        <w:t xml:space="preserve"> IM, Harris MT, </w:t>
      </w:r>
      <w:proofErr w:type="spellStart"/>
      <w:r w:rsidRPr="00F9703E">
        <w:rPr>
          <w:rFonts w:ascii="Book Antiqua" w:hAnsi="Book Antiqua" w:cs="Arial"/>
          <w:bCs/>
          <w:color w:val="000000" w:themeColor="text1"/>
          <w:kern w:val="36"/>
          <w:sz w:val="24"/>
          <w:szCs w:val="24"/>
          <w:lang w:val="en-US" w:eastAsia="ja-JP"/>
        </w:rPr>
        <w:t>Kreel</w:t>
      </w:r>
      <w:proofErr w:type="spellEnd"/>
      <w:r w:rsidRPr="00F9703E">
        <w:rPr>
          <w:rFonts w:ascii="Book Antiqua" w:hAnsi="Book Antiqua" w:cs="Arial"/>
          <w:bCs/>
          <w:color w:val="000000" w:themeColor="text1"/>
          <w:kern w:val="36"/>
          <w:sz w:val="24"/>
          <w:szCs w:val="24"/>
          <w:lang w:val="en-US" w:eastAsia="ja-JP"/>
        </w:rPr>
        <w:t xml:space="preserve"> I. Restorative proctocolectomy in patients older than fifty years. </w:t>
      </w:r>
      <w:r w:rsidRPr="00F9703E">
        <w:rPr>
          <w:rFonts w:ascii="Book Antiqua" w:hAnsi="Book Antiqua" w:cs="Arial"/>
          <w:bCs/>
          <w:i/>
          <w:iCs/>
          <w:color w:val="000000" w:themeColor="text1"/>
          <w:kern w:val="36"/>
          <w:sz w:val="24"/>
          <w:szCs w:val="24"/>
          <w:lang w:val="en-US" w:eastAsia="ja-JP"/>
        </w:rPr>
        <w:t>Dis Colon Rectum</w:t>
      </w:r>
      <w:r w:rsidRPr="00F9703E">
        <w:rPr>
          <w:rFonts w:ascii="Book Antiqua" w:hAnsi="Book Antiqua" w:cs="Arial"/>
          <w:bCs/>
          <w:color w:val="000000" w:themeColor="text1"/>
          <w:kern w:val="36"/>
          <w:sz w:val="24"/>
          <w:szCs w:val="24"/>
          <w:lang w:val="en-US" w:eastAsia="ja-JP"/>
        </w:rPr>
        <w:t> 1997; </w:t>
      </w:r>
      <w:r w:rsidRPr="00F9703E">
        <w:rPr>
          <w:rFonts w:ascii="Book Antiqua" w:hAnsi="Book Antiqua" w:cs="Arial"/>
          <w:b/>
          <w:bCs/>
          <w:color w:val="000000" w:themeColor="text1"/>
          <w:kern w:val="36"/>
          <w:sz w:val="24"/>
          <w:szCs w:val="24"/>
          <w:lang w:val="en-US" w:eastAsia="ja-JP"/>
        </w:rPr>
        <w:t>40</w:t>
      </w:r>
      <w:r w:rsidRPr="00F9703E">
        <w:rPr>
          <w:rFonts w:ascii="Book Antiqua" w:hAnsi="Book Antiqua" w:cs="Arial"/>
          <w:bCs/>
          <w:color w:val="000000" w:themeColor="text1"/>
          <w:kern w:val="36"/>
          <w:sz w:val="24"/>
          <w:szCs w:val="24"/>
          <w:lang w:val="en-US" w:eastAsia="ja-JP"/>
        </w:rPr>
        <w:t>: 562-565 [PMID: 9152184]</w:t>
      </w:r>
    </w:p>
    <w:p w14:paraId="10D0B159"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66 </w:t>
      </w:r>
      <w:r w:rsidRPr="00F9703E">
        <w:rPr>
          <w:rFonts w:ascii="Book Antiqua" w:hAnsi="Book Antiqua" w:cs="Arial"/>
          <w:b/>
          <w:bCs/>
          <w:color w:val="000000" w:themeColor="text1"/>
          <w:kern w:val="36"/>
          <w:sz w:val="24"/>
          <w:szCs w:val="24"/>
          <w:lang w:val="en-US" w:eastAsia="ja-JP"/>
        </w:rPr>
        <w:t>Pinto RA</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Canedo</w:t>
      </w:r>
      <w:proofErr w:type="spellEnd"/>
      <w:r w:rsidRPr="00F9703E">
        <w:rPr>
          <w:rFonts w:ascii="Book Antiqua" w:hAnsi="Book Antiqua" w:cs="Arial"/>
          <w:bCs/>
          <w:color w:val="000000" w:themeColor="text1"/>
          <w:kern w:val="36"/>
          <w:sz w:val="24"/>
          <w:szCs w:val="24"/>
          <w:lang w:val="en-US" w:eastAsia="ja-JP"/>
        </w:rPr>
        <w:t xml:space="preserve"> J, Murad-</w:t>
      </w:r>
      <w:proofErr w:type="spellStart"/>
      <w:r w:rsidRPr="00F9703E">
        <w:rPr>
          <w:rFonts w:ascii="Book Antiqua" w:hAnsi="Book Antiqua" w:cs="Arial"/>
          <w:bCs/>
          <w:color w:val="000000" w:themeColor="text1"/>
          <w:kern w:val="36"/>
          <w:sz w:val="24"/>
          <w:szCs w:val="24"/>
          <w:lang w:val="en-US" w:eastAsia="ja-JP"/>
        </w:rPr>
        <w:t>Regadas</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Regadas</w:t>
      </w:r>
      <w:proofErr w:type="spellEnd"/>
      <w:r w:rsidRPr="00F9703E">
        <w:rPr>
          <w:rFonts w:ascii="Book Antiqua" w:hAnsi="Book Antiqua" w:cs="Arial"/>
          <w:bCs/>
          <w:color w:val="000000" w:themeColor="text1"/>
          <w:kern w:val="36"/>
          <w:sz w:val="24"/>
          <w:szCs w:val="24"/>
          <w:lang w:val="en-US" w:eastAsia="ja-JP"/>
        </w:rPr>
        <w:t xml:space="preserve"> SF, Weiss EG, Wexner SD. Ileal pouch-anal anastomosis in elderly patients: is there a difference in morbidity compared with younger patients? </w:t>
      </w:r>
      <w:r w:rsidRPr="00F9703E">
        <w:rPr>
          <w:rFonts w:ascii="Book Antiqua" w:hAnsi="Book Antiqua" w:cs="Arial"/>
          <w:bCs/>
          <w:i/>
          <w:iCs/>
          <w:color w:val="000000" w:themeColor="text1"/>
          <w:kern w:val="36"/>
          <w:sz w:val="24"/>
          <w:szCs w:val="24"/>
          <w:lang w:val="en-US" w:eastAsia="ja-JP"/>
        </w:rPr>
        <w:t>Colorectal Dis</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13</w:t>
      </w:r>
      <w:r w:rsidRPr="00F9703E">
        <w:rPr>
          <w:rFonts w:ascii="Book Antiqua" w:hAnsi="Book Antiqua" w:cs="Arial"/>
          <w:bCs/>
          <w:color w:val="000000" w:themeColor="text1"/>
          <w:kern w:val="36"/>
          <w:sz w:val="24"/>
          <w:szCs w:val="24"/>
          <w:lang w:val="en-US" w:eastAsia="ja-JP"/>
        </w:rPr>
        <w:t>: 177-183 [PMID: 19878516 DOI: 10.1111/j.1463-1318.</w:t>
      </w:r>
      <w:proofErr w:type="gramStart"/>
      <w:r w:rsidRPr="00F9703E">
        <w:rPr>
          <w:rFonts w:ascii="Book Antiqua" w:hAnsi="Book Antiqua" w:cs="Arial"/>
          <w:bCs/>
          <w:color w:val="000000" w:themeColor="text1"/>
          <w:kern w:val="36"/>
          <w:sz w:val="24"/>
          <w:szCs w:val="24"/>
          <w:lang w:val="en-US" w:eastAsia="ja-JP"/>
        </w:rPr>
        <w:t>2009.02097.x</w:t>
      </w:r>
      <w:proofErr w:type="gramEnd"/>
      <w:r w:rsidRPr="00F9703E">
        <w:rPr>
          <w:rFonts w:ascii="Book Antiqua" w:hAnsi="Book Antiqua" w:cs="Arial"/>
          <w:bCs/>
          <w:color w:val="000000" w:themeColor="text1"/>
          <w:kern w:val="36"/>
          <w:sz w:val="24"/>
          <w:szCs w:val="24"/>
          <w:lang w:val="en-US" w:eastAsia="ja-JP"/>
        </w:rPr>
        <w:t>]</w:t>
      </w:r>
    </w:p>
    <w:p w14:paraId="31304BCB"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67 </w:t>
      </w:r>
      <w:proofErr w:type="spellStart"/>
      <w:r w:rsidRPr="00F9703E">
        <w:rPr>
          <w:rFonts w:ascii="Book Antiqua" w:hAnsi="Book Antiqua" w:cs="Arial"/>
          <w:b/>
          <w:bCs/>
          <w:color w:val="000000" w:themeColor="text1"/>
          <w:kern w:val="36"/>
          <w:sz w:val="24"/>
          <w:szCs w:val="24"/>
          <w:lang w:val="en-US" w:eastAsia="ja-JP"/>
        </w:rPr>
        <w:t>Pellino</w:t>
      </w:r>
      <w:proofErr w:type="spellEnd"/>
      <w:r w:rsidRPr="00F9703E">
        <w:rPr>
          <w:rFonts w:ascii="Book Antiqua" w:hAnsi="Book Antiqua" w:cs="Arial"/>
          <w:b/>
          <w:bCs/>
          <w:color w:val="000000" w:themeColor="text1"/>
          <w:kern w:val="36"/>
          <w:sz w:val="24"/>
          <w:szCs w:val="24"/>
          <w:lang w:val="en-US" w:eastAsia="ja-JP"/>
        </w:rPr>
        <w:t xml:space="preserve"> G</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Sciaudone</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Candilio</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Camerlingo</w:t>
      </w:r>
      <w:proofErr w:type="spellEnd"/>
      <w:r w:rsidRPr="00F9703E">
        <w:rPr>
          <w:rFonts w:ascii="Book Antiqua" w:hAnsi="Book Antiqua" w:cs="Arial"/>
          <w:bCs/>
          <w:color w:val="000000" w:themeColor="text1"/>
          <w:kern w:val="36"/>
          <w:sz w:val="24"/>
          <w:szCs w:val="24"/>
          <w:lang w:val="en-US" w:eastAsia="ja-JP"/>
        </w:rPr>
        <w:t xml:space="preserve"> A, </w:t>
      </w:r>
      <w:proofErr w:type="spellStart"/>
      <w:r w:rsidRPr="00F9703E">
        <w:rPr>
          <w:rFonts w:ascii="Book Antiqua" w:hAnsi="Book Antiqua" w:cs="Arial"/>
          <w:bCs/>
          <w:color w:val="000000" w:themeColor="text1"/>
          <w:kern w:val="36"/>
          <w:sz w:val="24"/>
          <w:szCs w:val="24"/>
          <w:lang w:val="en-US" w:eastAsia="ja-JP"/>
        </w:rPr>
        <w:t>Marcellinaro</w:t>
      </w:r>
      <w:proofErr w:type="spellEnd"/>
      <w:r w:rsidRPr="00F9703E">
        <w:rPr>
          <w:rFonts w:ascii="Book Antiqua" w:hAnsi="Book Antiqua" w:cs="Arial"/>
          <w:bCs/>
          <w:color w:val="000000" w:themeColor="text1"/>
          <w:kern w:val="36"/>
          <w:sz w:val="24"/>
          <w:szCs w:val="24"/>
          <w:lang w:val="en-US" w:eastAsia="ja-JP"/>
        </w:rPr>
        <w:t xml:space="preserve"> R, Rocco F, De </w:t>
      </w:r>
      <w:proofErr w:type="spellStart"/>
      <w:r w:rsidRPr="00F9703E">
        <w:rPr>
          <w:rFonts w:ascii="Book Antiqua" w:hAnsi="Book Antiqua" w:cs="Arial"/>
          <w:bCs/>
          <w:color w:val="000000" w:themeColor="text1"/>
          <w:kern w:val="36"/>
          <w:sz w:val="24"/>
          <w:szCs w:val="24"/>
          <w:lang w:val="en-US" w:eastAsia="ja-JP"/>
        </w:rPr>
        <w:t>Fatico</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Canonico</w:t>
      </w:r>
      <w:proofErr w:type="spellEnd"/>
      <w:r w:rsidRPr="00F9703E">
        <w:rPr>
          <w:rFonts w:ascii="Book Antiqua" w:hAnsi="Book Antiqua" w:cs="Arial"/>
          <w:bCs/>
          <w:color w:val="000000" w:themeColor="text1"/>
          <w:kern w:val="36"/>
          <w:sz w:val="24"/>
          <w:szCs w:val="24"/>
          <w:lang w:val="en-US" w:eastAsia="ja-JP"/>
        </w:rPr>
        <w:t xml:space="preserve"> S, </w:t>
      </w:r>
      <w:proofErr w:type="spellStart"/>
      <w:r w:rsidRPr="00F9703E">
        <w:rPr>
          <w:rFonts w:ascii="Book Antiqua" w:hAnsi="Book Antiqua" w:cs="Arial"/>
          <w:bCs/>
          <w:color w:val="000000" w:themeColor="text1"/>
          <w:kern w:val="36"/>
          <w:sz w:val="24"/>
          <w:szCs w:val="24"/>
          <w:lang w:val="en-US" w:eastAsia="ja-JP"/>
        </w:rPr>
        <w:t>Selvaggi</w:t>
      </w:r>
      <w:proofErr w:type="spellEnd"/>
      <w:r w:rsidRPr="00F9703E">
        <w:rPr>
          <w:rFonts w:ascii="Book Antiqua" w:hAnsi="Book Antiqua" w:cs="Arial"/>
          <w:bCs/>
          <w:color w:val="000000" w:themeColor="text1"/>
          <w:kern w:val="36"/>
          <w:sz w:val="24"/>
          <w:szCs w:val="24"/>
          <w:lang w:val="en-US" w:eastAsia="ja-JP"/>
        </w:rPr>
        <w:t xml:space="preserve"> F. Complications and functional outcomes of restorative </w:t>
      </w:r>
      <w:r w:rsidRPr="00F9703E">
        <w:rPr>
          <w:rFonts w:ascii="Book Antiqua" w:hAnsi="Book Antiqua" w:cs="Arial"/>
          <w:bCs/>
          <w:color w:val="000000" w:themeColor="text1"/>
          <w:kern w:val="36"/>
          <w:sz w:val="24"/>
          <w:szCs w:val="24"/>
          <w:lang w:val="en-US" w:eastAsia="ja-JP"/>
        </w:rPr>
        <w:lastRenderedPageBreak/>
        <w:t>proctocolectomy for ulcerative colitis in the elderly. </w:t>
      </w:r>
      <w:r w:rsidRPr="00F9703E">
        <w:rPr>
          <w:rFonts w:ascii="Book Antiqua" w:hAnsi="Book Antiqua" w:cs="Arial"/>
          <w:bCs/>
          <w:i/>
          <w:iCs/>
          <w:color w:val="000000" w:themeColor="text1"/>
          <w:kern w:val="36"/>
          <w:sz w:val="24"/>
          <w:szCs w:val="24"/>
          <w:lang w:val="en-US" w:eastAsia="ja-JP"/>
        </w:rPr>
        <w:t>BMC Surg</w:t>
      </w:r>
      <w:r w:rsidRPr="00F9703E">
        <w:rPr>
          <w:rFonts w:ascii="Book Antiqua" w:hAnsi="Book Antiqua" w:cs="Arial"/>
          <w:bCs/>
          <w:color w:val="000000" w:themeColor="text1"/>
          <w:kern w:val="36"/>
          <w:sz w:val="24"/>
          <w:szCs w:val="24"/>
          <w:lang w:val="en-US" w:eastAsia="ja-JP"/>
        </w:rPr>
        <w:t> 2013; </w:t>
      </w:r>
      <w:r w:rsidRPr="00F9703E">
        <w:rPr>
          <w:rFonts w:ascii="Book Antiqua" w:hAnsi="Book Antiqua" w:cs="Arial"/>
          <w:b/>
          <w:bCs/>
          <w:color w:val="000000" w:themeColor="text1"/>
          <w:kern w:val="36"/>
          <w:sz w:val="24"/>
          <w:szCs w:val="24"/>
          <w:lang w:val="en-US" w:eastAsia="ja-JP"/>
        </w:rPr>
        <w:t xml:space="preserve">13 </w:t>
      </w:r>
      <w:r w:rsidRPr="00F9703E">
        <w:rPr>
          <w:rFonts w:ascii="Book Antiqua" w:hAnsi="Book Antiqua" w:cs="Arial"/>
          <w:color w:val="000000" w:themeColor="text1"/>
          <w:kern w:val="36"/>
          <w:sz w:val="24"/>
          <w:szCs w:val="24"/>
          <w:lang w:val="en-US" w:eastAsia="ja-JP"/>
        </w:rPr>
        <w:t>Suppl 2</w:t>
      </w:r>
      <w:r w:rsidRPr="00F9703E">
        <w:rPr>
          <w:rFonts w:ascii="Book Antiqua" w:hAnsi="Book Antiqua" w:cs="Arial"/>
          <w:bCs/>
          <w:color w:val="000000" w:themeColor="text1"/>
          <w:kern w:val="36"/>
          <w:sz w:val="24"/>
          <w:szCs w:val="24"/>
          <w:lang w:val="en-US" w:eastAsia="ja-JP"/>
        </w:rPr>
        <w:t>: S9 [PMID: 24267006 DOI: 10.1186/1471-2482-13-S2-S9]</w:t>
      </w:r>
    </w:p>
    <w:p w14:paraId="24D887E2"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68 </w:t>
      </w:r>
      <w:r w:rsidRPr="00F9703E">
        <w:rPr>
          <w:rFonts w:ascii="Book Antiqua" w:hAnsi="Book Antiqua" w:cs="Arial"/>
          <w:b/>
          <w:bCs/>
          <w:color w:val="000000" w:themeColor="text1"/>
          <w:kern w:val="36"/>
          <w:sz w:val="24"/>
          <w:szCs w:val="24"/>
          <w:lang w:val="en-US" w:eastAsia="ja-JP"/>
        </w:rPr>
        <w:t>Kiran RP</w:t>
      </w:r>
      <w:r w:rsidRPr="00F9703E">
        <w:rPr>
          <w:rFonts w:ascii="Book Antiqua" w:hAnsi="Book Antiqua" w:cs="Arial"/>
          <w:bCs/>
          <w:color w:val="000000" w:themeColor="text1"/>
          <w:kern w:val="36"/>
          <w:sz w:val="24"/>
          <w:szCs w:val="24"/>
          <w:lang w:val="en-US" w:eastAsia="ja-JP"/>
        </w:rPr>
        <w:t>, El-</w:t>
      </w:r>
      <w:proofErr w:type="spellStart"/>
      <w:r w:rsidRPr="00F9703E">
        <w:rPr>
          <w:rFonts w:ascii="Book Antiqua" w:hAnsi="Book Antiqua" w:cs="Arial"/>
          <w:bCs/>
          <w:color w:val="000000" w:themeColor="text1"/>
          <w:kern w:val="36"/>
          <w:sz w:val="24"/>
          <w:szCs w:val="24"/>
          <w:lang w:val="en-US" w:eastAsia="ja-JP"/>
        </w:rPr>
        <w:t>Gazzaz</w:t>
      </w:r>
      <w:proofErr w:type="spellEnd"/>
      <w:r w:rsidRPr="00F9703E">
        <w:rPr>
          <w:rFonts w:ascii="Book Antiqua" w:hAnsi="Book Antiqua" w:cs="Arial"/>
          <w:bCs/>
          <w:color w:val="000000" w:themeColor="text1"/>
          <w:kern w:val="36"/>
          <w:sz w:val="24"/>
          <w:szCs w:val="24"/>
          <w:lang w:val="en-US" w:eastAsia="ja-JP"/>
        </w:rPr>
        <w:t xml:space="preserve"> G, </w:t>
      </w:r>
      <w:proofErr w:type="spellStart"/>
      <w:r w:rsidRPr="00F9703E">
        <w:rPr>
          <w:rFonts w:ascii="Book Antiqua" w:hAnsi="Book Antiqua" w:cs="Arial"/>
          <w:bCs/>
          <w:color w:val="000000" w:themeColor="text1"/>
          <w:kern w:val="36"/>
          <w:sz w:val="24"/>
          <w:szCs w:val="24"/>
          <w:lang w:val="en-US" w:eastAsia="ja-JP"/>
        </w:rPr>
        <w:t>Remzi</w:t>
      </w:r>
      <w:proofErr w:type="spellEnd"/>
      <w:r w:rsidRPr="00F9703E">
        <w:rPr>
          <w:rFonts w:ascii="Book Antiqua" w:hAnsi="Book Antiqua" w:cs="Arial"/>
          <w:bCs/>
          <w:color w:val="000000" w:themeColor="text1"/>
          <w:kern w:val="36"/>
          <w:sz w:val="24"/>
          <w:szCs w:val="24"/>
          <w:lang w:val="en-US" w:eastAsia="ja-JP"/>
        </w:rPr>
        <w:t xml:space="preserve"> FH, Church JM, </w:t>
      </w:r>
      <w:proofErr w:type="spellStart"/>
      <w:r w:rsidRPr="00F9703E">
        <w:rPr>
          <w:rFonts w:ascii="Book Antiqua" w:hAnsi="Book Antiqua" w:cs="Arial"/>
          <w:bCs/>
          <w:color w:val="000000" w:themeColor="text1"/>
          <w:kern w:val="36"/>
          <w:sz w:val="24"/>
          <w:szCs w:val="24"/>
          <w:lang w:val="en-US" w:eastAsia="ja-JP"/>
        </w:rPr>
        <w:t>Lavery</w:t>
      </w:r>
      <w:proofErr w:type="spellEnd"/>
      <w:r w:rsidRPr="00F9703E">
        <w:rPr>
          <w:rFonts w:ascii="Book Antiqua" w:hAnsi="Book Antiqua" w:cs="Arial"/>
          <w:bCs/>
          <w:color w:val="000000" w:themeColor="text1"/>
          <w:kern w:val="36"/>
          <w:sz w:val="24"/>
          <w:szCs w:val="24"/>
          <w:lang w:val="en-US" w:eastAsia="ja-JP"/>
        </w:rPr>
        <w:t xml:space="preserve"> IC, Hammel J, Fazio VW. Influence of age at ileoanal pouch creation on long-term changes in functional outcomes. </w:t>
      </w:r>
      <w:r w:rsidRPr="00F9703E">
        <w:rPr>
          <w:rFonts w:ascii="Book Antiqua" w:hAnsi="Book Antiqua" w:cs="Arial"/>
          <w:bCs/>
          <w:i/>
          <w:iCs/>
          <w:color w:val="000000" w:themeColor="text1"/>
          <w:kern w:val="36"/>
          <w:sz w:val="24"/>
          <w:szCs w:val="24"/>
          <w:lang w:val="en-US" w:eastAsia="ja-JP"/>
        </w:rPr>
        <w:t>Colorectal Dis</w:t>
      </w:r>
      <w:r w:rsidRPr="00F9703E">
        <w:rPr>
          <w:rFonts w:ascii="Book Antiqua" w:hAnsi="Book Antiqua" w:cs="Arial"/>
          <w:bCs/>
          <w:color w:val="000000" w:themeColor="text1"/>
          <w:kern w:val="36"/>
          <w:sz w:val="24"/>
          <w:szCs w:val="24"/>
          <w:lang w:val="en-US" w:eastAsia="ja-JP"/>
        </w:rPr>
        <w:t> 2011; </w:t>
      </w:r>
      <w:r w:rsidRPr="00F9703E">
        <w:rPr>
          <w:rFonts w:ascii="Book Antiqua" w:hAnsi="Book Antiqua" w:cs="Arial"/>
          <w:b/>
          <w:bCs/>
          <w:color w:val="000000" w:themeColor="text1"/>
          <w:kern w:val="36"/>
          <w:sz w:val="24"/>
          <w:szCs w:val="24"/>
          <w:lang w:val="en-US" w:eastAsia="ja-JP"/>
        </w:rPr>
        <w:t>13</w:t>
      </w:r>
      <w:r w:rsidRPr="00F9703E">
        <w:rPr>
          <w:rFonts w:ascii="Book Antiqua" w:hAnsi="Book Antiqua" w:cs="Arial"/>
          <w:bCs/>
          <w:color w:val="000000" w:themeColor="text1"/>
          <w:kern w:val="36"/>
          <w:sz w:val="24"/>
          <w:szCs w:val="24"/>
          <w:lang w:val="en-US" w:eastAsia="ja-JP"/>
        </w:rPr>
        <w:t>: 184-190 [PMID: 19906054 DOI: 10.1111/j.1463-1318.</w:t>
      </w:r>
      <w:proofErr w:type="gramStart"/>
      <w:r w:rsidRPr="00F9703E">
        <w:rPr>
          <w:rFonts w:ascii="Book Antiqua" w:hAnsi="Book Antiqua" w:cs="Arial"/>
          <w:bCs/>
          <w:color w:val="000000" w:themeColor="text1"/>
          <w:kern w:val="36"/>
          <w:sz w:val="24"/>
          <w:szCs w:val="24"/>
          <w:lang w:val="en-US" w:eastAsia="ja-JP"/>
        </w:rPr>
        <w:t>2009.02127.x</w:t>
      </w:r>
      <w:proofErr w:type="gramEnd"/>
      <w:r w:rsidRPr="00F9703E">
        <w:rPr>
          <w:rFonts w:ascii="Book Antiqua" w:hAnsi="Book Antiqua" w:cs="Arial"/>
          <w:bCs/>
          <w:color w:val="000000" w:themeColor="text1"/>
          <w:kern w:val="36"/>
          <w:sz w:val="24"/>
          <w:szCs w:val="24"/>
          <w:lang w:val="en-US" w:eastAsia="ja-JP"/>
        </w:rPr>
        <w:t>]</w:t>
      </w:r>
    </w:p>
    <w:p w14:paraId="21E1BA7A" w14:textId="77777777" w:rsidR="00F9703E" w:rsidRPr="00F9703E" w:rsidRDefault="00F9703E" w:rsidP="00F9703E">
      <w:pPr>
        <w:adjustRightInd w:val="0"/>
        <w:snapToGrid w:val="0"/>
        <w:spacing w:after="0" w:line="360" w:lineRule="auto"/>
        <w:jc w:val="both"/>
        <w:rPr>
          <w:rFonts w:ascii="Book Antiqua" w:hAnsi="Book Antiqua" w:cs="Arial"/>
          <w:bCs/>
          <w:color w:val="000000" w:themeColor="text1"/>
          <w:kern w:val="36"/>
          <w:sz w:val="24"/>
          <w:szCs w:val="24"/>
          <w:lang w:val="en-US" w:eastAsia="ja-JP"/>
        </w:rPr>
      </w:pPr>
      <w:r w:rsidRPr="00F9703E">
        <w:rPr>
          <w:rFonts w:ascii="Book Antiqua" w:hAnsi="Book Antiqua" w:cs="Arial"/>
          <w:bCs/>
          <w:color w:val="000000" w:themeColor="text1"/>
          <w:kern w:val="36"/>
          <w:sz w:val="24"/>
          <w:szCs w:val="24"/>
          <w:lang w:val="en-US" w:eastAsia="ja-JP"/>
        </w:rPr>
        <w:t>69 </w:t>
      </w:r>
      <w:r w:rsidRPr="00F9703E">
        <w:rPr>
          <w:rFonts w:ascii="Book Antiqua" w:hAnsi="Book Antiqua" w:cs="Arial"/>
          <w:b/>
          <w:bCs/>
          <w:color w:val="000000" w:themeColor="text1"/>
          <w:kern w:val="36"/>
          <w:sz w:val="24"/>
          <w:szCs w:val="24"/>
          <w:lang w:val="en-US" w:eastAsia="ja-JP"/>
        </w:rPr>
        <w:t>Navaneethan U</w:t>
      </w:r>
      <w:r w:rsidRPr="00F9703E">
        <w:rPr>
          <w:rFonts w:ascii="Book Antiqua" w:hAnsi="Book Antiqua" w:cs="Arial"/>
          <w:bCs/>
          <w:color w:val="000000" w:themeColor="text1"/>
          <w:kern w:val="36"/>
          <w:sz w:val="24"/>
          <w:szCs w:val="24"/>
          <w:lang w:val="en-US" w:eastAsia="ja-JP"/>
        </w:rPr>
        <w:t xml:space="preserve">, </w:t>
      </w:r>
      <w:proofErr w:type="spellStart"/>
      <w:r w:rsidRPr="00F9703E">
        <w:rPr>
          <w:rFonts w:ascii="Book Antiqua" w:hAnsi="Book Antiqua" w:cs="Arial"/>
          <w:bCs/>
          <w:color w:val="000000" w:themeColor="text1"/>
          <w:kern w:val="36"/>
          <w:sz w:val="24"/>
          <w:szCs w:val="24"/>
          <w:lang w:val="en-US" w:eastAsia="ja-JP"/>
        </w:rPr>
        <w:t>Edminister</w:t>
      </w:r>
      <w:proofErr w:type="spellEnd"/>
      <w:r w:rsidRPr="00F9703E">
        <w:rPr>
          <w:rFonts w:ascii="Book Antiqua" w:hAnsi="Book Antiqua" w:cs="Arial"/>
          <w:bCs/>
          <w:color w:val="000000" w:themeColor="text1"/>
          <w:kern w:val="36"/>
          <w:sz w:val="24"/>
          <w:szCs w:val="24"/>
          <w:lang w:val="en-US" w:eastAsia="ja-JP"/>
        </w:rPr>
        <w:t xml:space="preserve"> T, Zhu X, </w:t>
      </w:r>
      <w:proofErr w:type="spellStart"/>
      <w:r w:rsidRPr="00F9703E">
        <w:rPr>
          <w:rFonts w:ascii="Book Antiqua" w:hAnsi="Book Antiqua" w:cs="Arial"/>
          <w:bCs/>
          <w:color w:val="000000" w:themeColor="text1"/>
          <w:kern w:val="36"/>
          <w:sz w:val="24"/>
          <w:szCs w:val="24"/>
          <w:lang w:val="en-US" w:eastAsia="ja-JP"/>
        </w:rPr>
        <w:t>Kommaraju</w:t>
      </w:r>
      <w:proofErr w:type="spellEnd"/>
      <w:r w:rsidRPr="00F9703E">
        <w:rPr>
          <w:rFonts w:ascii="Book Antiqua" w:hAnsi="Book Antiqua" w:cs="Arial"/>
          <w:bCs/>
          <w:color w:val="000000" w:themeColor="text1"/>
          <w:kern w:val="36"/>
          <w:sz w:val="24"/>
          <w:szCs w:val="24"/>
          <w:lang w:val="en-US" w:eastAsia="ja-JP"/>
        </w:rPr>
        <w:t xml:space="preserve"> K, Glover S. Vedolizumab Is Safe and Effective in Elderly Patients with Inflammatory Bowel Disease. </w:t>
      </w:r>
      <w:proofErr w:type="spellStart"/>
      <w:r w:rsidRPr="00F9703E">
        <w:rPr>
          <w:rFonts w:ascii="Book Antiqua" w:hAnsi="Book Antiqua" w:cs="Arial"/>
          <w:bCs/>
          <w:i/>
          <w:iCs/>
          <w:color w:val="000000" w:themeColor="text1"/>
          <w:kern w:val="36"/>
          <w:sz w:val="24"/>
          <w:szCs w:val="24"/>
          <w:lang w:val="en-US" w:eastAsia="ja-JP"/>
        </w:rPr>
        <w:t>Inflamm</w:t>
      </w:r>
      <w:proofErr w:type="spellEnd"/>
      <w:r w:rsidRPr="00F9703E">
        <w:rPr>
          <w:rFonts w:ascii="Book Antiqua" w:hAnsi="Book Antiqua" w:cs="Arial"/>
          <w:bCs/>
          <w:i/>
          <w:iCs/>
          <w:color w:val="000000" w:themeColor="text1"/>
          <w:kern w:val="36"/>
          <w:sz w:val="24"/>
          <w:szCs w:val="24"/>
          <w:lang w:val="en-US" w:eastAsia="ja-JP"/>
        </w:rPr>
        <w:t xml:space="preserve"> Bowel Dis</w:t>
      </w:r>
      <w:r w:rsidRPr="00F9703E">
        <w:rPr>
          <w:rFonts w:ascii="Book Antiqua" w:hAnsi="Book Antiqua" w:cs="Arial"/>
          <w:bCs/>
          <w:color w:val="000000" w:themeColor="text1"/>
          <w:kern w:val="36"/>
          <w:sz w:val="24"/>
          <w:szCs w:val="24"/>
          <w:lang w:val="en-US" w:eastAsia="ja-JP"/>
        </w:rPr>
        <w:t> 2017; </w:t>
      </w:r>
      <w:r w:rsidRPr="00F9703E">
        <w:rPr>
          <w:rFonts w:ascii="Book Antiqua" w:hAnsi="Book Antiqua" w:cs="Arial"/>
          <w:b/>
          <w:bCs/>
          <w:color w:val="000000" w:themeColor="text1"/>
          <w:kern w:val="36"/>
          <w:sz w:val="24"/>
          <w:szCs w:val="24"/>
          <w:lang w:val="en-US" w:eastAsia="ja-JP"/>
        </w:rPr>
        <w:t>23</w:t>
      </w:r>
      <w:r w:rsidRPr="00F9703E">
        <w:rPr>
          <w:rFonts w:ascii="Book Antiqua" w:hAnsi="Book Antiqua" w:cs="Arial"/>
          <w:bCs/>
          <w:color w:val="000000" w:themeColor="text1"/>
          <w:kern w:val="36"/>
          <w:sz w:val="24"/>
          <w:szCs w:val="24"/>
          <w:lang w:val="en-US" w:eastAsia="ja-JP"/>
        </w:rPr>
        <w:t>: E17 [PMID: 28296827 DOI: 10.1097/MIB.0000000000001071]</w:t>
      </w:r>
    </w:p>
    <w:bookmarkEnd w:id="75"/>
    <w:bookmarkEnd w:id="76"/>
    <w:p w14:paraId="4D859EDB" w14:textId="66DBFA77" w:rsidR="002A4D38" w:rsidRPr="002A4D38" w:rsidRDefault="001A07E4" w:rsidP="002A4D38">
      <w:pPr>
        <w:wordWrap w:val="0"/>
        <w:snapToGrid w:val="0"/>
        <w:spacing w:line="360" w:lineRule="auto"/>
        <w:jc w:val="right"/>
        <w:rPr>
          <w:rFonts w:ascii="Book Antiqua" w:eastAsia="SimSun" w:hAnsi="Book Antiqua"/>
          <w:b/>
          <w:bCs/>
          <w:sz w:val="24"/>
          <w:szCs w:val="24"/>
          <w:lang w:val="en-US" w:eastAsia="zh-CN"/>
        </w:rPr>
      </w:pPr>
      <w:r w:rsidRPr="00D5385E">
        <w:rPr>
          <w:rFonts w:ascii="Book Antiqua" w:hAnsi="Book Antiqua" w:cs="Arial"/>
          <w:color w:val="000000" w:themeColor="text1"/>
          <w:sz w:val="24"/>
          <w:szCs w:val="24"/>
          <w:lang w:val="en-US"/>
        </w:rPr>
        <w:br/>
      </w:r>
      <w:bookmarkStart w:id="77" w:name="OLE_LINK148"/>
      <w:bookmarkStart w:id="78" w:name="OLE_LINK320"/>
      <w:bookmarkStart w:id="79" w:name="OLE_LINK387"/>
      <w:bookmarkStart w:id="80" w:name="OLE_LINK254"/>
      <w:bookmarkStart w:id="81" w:name="OLE_LINK149"/>
      <w:bookmarkStart w:id="82" w:name="OLE_LINK225"/>
      <w:bookmarkStart w:id="83" w:name="OLE_LINK207"/>
      <w:bookmarkStart w:id="84" w:name="OLE_LINK226"/>
      <w:bookmarkStart w:id="85" w:name="OLE_LINK212"/>
      <w:bookmarkStart w:id="86" w:name="OLE_LINK250"/>
      <w:bookmarkStart w:id="87" w:name="OLE_LINK281"/>
      <w:bookmarkStart w:id="88" w:name="OLE_LINK282"/>
      <w:bookmarkStart w:id="89" w:name="OLE_LINK313"/>
      <w:bookmarkStart w:id="90" w:name="OLE_LINK304"/>
      <w:bookmarkStart w:id="91" w:name="OLE_LINK321"/>
      <w:bookmarkStart w:id="92" w:name="OLE_LINK385"/>
      <w:bookmarkStart w:id="93" w:name="OLE_LINK400"/>
      <w:bookmarkStart w:id="94" w:name="OLE_LINK346"/>
      <w:bookmarkStart w:id="95" w:name="OLE_LINK371"/>
      <w:bookmarkStart w:id="96" w:name="OLE_LINK334"/>
      <w:bookmarkStart w:id="97" w:name="OLE_LINK1830"/>
      <w:bookmarkStart w:id="98" w:name="OLE_LINK457"/>
      <w:bookmarkStart w:id="99" w:name="OLE_LINK288"/>
      <w:bookmarkStart w:id="100" w:name="OLE_LINK384"/>
      <w:bookmarkStart w:id="101" w:name="OLE_LINK379"/>
      <w:bookmarkStart w:id="102" w:name="OLE_LINK303"/>
      <w:bookmarkStart w:id="103" w:name="OLE_LINK450"/>
      <w:bookmarkStart w:id="104" w:name="OLE_LINK489"/>
      <w:bookmarkStart w:id="105" w:name="OLE_LINK535"/>
      <w:bookmarkStart w:id="106" w:name="OLE_LINK648"/>
      <w:bookmarkStart w:id="107" w:name="OLE_LINK686"/>
      <w:bookmarkStart w:id="108" w:name="OLE_LINK471"/>
      <w:bookmarkStart w:id="109" w:name="OLE_LINK462"/>
      <w:bookmarkStart w:id="110" w:name="OLE_LINK519"/>
      <w:bookmarkStart w:id="111" w:name="OLE_LINK575"/>
      <w:bookmarkStart w:id="112" w:name="OLE_LINK491"/>
      <w:bookmarkStart w:id="113" w:name="OLE_LINK532"/>
      <w:bookmarkStart w:id="114" w:name="OLE_LINK572"/>
      <w:bookmarkStart w:id="115" w:name="OLE_LINK574"/>
      <w:bookmarkStart w:id="116" w:name="OLE_LINK480"/>
      <w:bookmarkStart w:id="117" w:name="OLE_LINK567"/>
      <w:bookmarkStart w:id="118" w:name="OLE_LINK2700"/>
      <w:bookmarkStart w:id="119" w:name="OLE_LINK581"/>
      <w:bookmarkStart w:id="120" w:name="OLE_LINK639"/>
      <w:bookmarkStart w:id="121" w:name="OLE_LINK688"/>
      <w:bookmarkStart w:id="122" w:name="OLE_LINK722"/>
      <w:bookmarkStart w:id="123" w:name="OLE_LINK542"/>
      <w:bookmarkStart w:id="124" w:name="OLE_LINK589"/>
      <w:bookmarkStart w:id="125" w:name="OLE_LINK582"/>
      <w:bookmarkStart w:id="126" w:name="OLE_LINK640"/>
      <w:bookmarkStart w:id="127" w:name="OLE_LINK714"/>
      <w:bookmarkStart w:id="128" w:name="OLE_LINK593"/>
      <w:bookmarkStart w:id="129" w:name="OLE_LINK716"/>
      <w:bookmarkStart w:id="130" w:name="OLE_LINK770"/>
      <w:bookmarkStart w:id="131" w:name="OLE_LINK801"/>
      <w:bookmarkStart w:id="132" w:name="OLE_LINK660"/>
      <w:bookmarkStart w:id="133" w:name="OLE_LINK781"/>
      <w:bookmarkStart w:id="134" w:name="OLE_LINK833"/>
      <w:bookmarkStart w:id="135" w:name="OLE_LINK642"/>
      <w:bookmarkStart w:id="136" w:name="OLE_LINK700"/>
      <w:bookmarkStart w:id="137" w:name="OLE_LINK792"/>
      <w:bookmarkStart w:id="138" w:name="OLE_LINK2882"/>
      <w:bookmarkStart w:id="139" w:name="OLE_LINK836"/>
      <w:bookmarkStart w:id="140" w:name="OLE_LINK889"/>
      <w:bookmarkStart w:id="141" w:name="OLE_LINK782"/>
      <w:bookmarkStart w:id="142" w:name="OLE_LINK826"/>
      <w:bookmarkStart w:id="143" w:name="OLE_LINK865"/>
      <w:bookmarkStart w:id="144" w:name="OLE_LINK856"/>
      <w:bookmarkStart w:id="145" w:name="OLE_LINK908"/>
      <w:bookmarkStart w:id="146" w:name="OLE_LINK980"/>
      <w:bookmarkStart w:id="147" w:name="OLE_LINK1018"/>
      <w:bookmarkStart w:id="148" w:name="OLE_LINK1049"/>
      <w:bookmarkStart w:id="149" w:name="OLE_LINK1076"/>
      <w:bookmarkStart w:id="150" w:name="OLE_LINK1106"/>
      <w:bookmarkStart w:id="151" w:name="OLE_LINK891"/>
      <w:bookmarkStart w:id="152" w:name="OLE_LINK943"/>
      <w:bookmarkStart w:id="153" w:name="OLE_LINK981"/>
      <w:bookmarkStart w:id="154" w:name="OLE_LINK1030"/>
      <w:bookmarkStart w:id="155" w:name="OLE_LINK847"/>
      <w:bookmarkStart w:id="156" w:name="OLE_LINK909"/>
      <w:bookmarkStart w:id="157" w:name="OLE_LINK906"/>
      <w:bookmarkStart w:id="158" w:name="OLE_LINK992"/>
      <w:bookmarkStart w:id="159" w:name="OLE_LINK993"/>
      <w:bookmarkStart w:id="160" w:name="OLE_LINK1052"/>
      <w:bookmarkStart w:id="161" w:name="OLE_LINK946"/>
      <w:bookmarkStart w:id="162" w:name="OLE_LINK911"/>
      <w:bookmarkStart w:id="163" w:name="OLE_LINK930"/>
      <w:bookmarkStart w:id="164" w:name="OLE_LINK1059"/>
      <w:bookmarkStart w:id="165" w:name="OLE_LINK1174"/>
      <w:bookmarkStart w:id="166" w:name="OLE_LINK1137"/>
      <w:bookmarkStart w:id="167" w:name="OLE_LINK1167"/>
      <w:bookmarkStart w:id="168" w:name="OLE_LINK1200"/>
      <w:bookmarkStart w:id="169" w:name="OLE_LINK1241"/>
      <w:bookmarkStart w:id="170" w:name="OLE_LINK1288"/>
      <w:bookmarkStart w:id="171" w:name="OLE_LINK1056"/>
      <w:bookmarkStart w:id="172" w:name="OLE_LINK1158"/>
      <w:bookmarkStart w:id="173" w:name="OLE_LINK1175"/>
      <w:bookmarkStart w:id="174" w:name="OLE_LINK1074"/>
      <w:bookmarkStart w:id="175" w:name="OLE_LINK1169"/>
      <w:bookmarkStart w:id="176" w:name="OLE_LINK386"/>
      <w:bookmarkStart w:id="177" w:name="OLE_LINK33"/>
      <w:bookmarkStart w:id="178" w:name="OLE_LINK34"/>
      <w:bookmarkStart w:id="179" w:name="OLE_LINK599"/>
      <w:bookmarkStart w:id="180" w:name="OLE_LINK52"/>
      <w:bookmarkStart w:id="181" w:name="OLE_LINK57"/>
      <w:r w:rsidR="002A4D38" w:rsidRPr="002A4D38">
        <w:rPr>
          <w:rFonts w:ascii="Book Antiqua" w:eastAsia="SimSun" w:hAnsi="Book Antiqua"/>
          <w:b/>
          <w:bCs/>
          <w:sz w:val="24"/>
          <w:szCs w:val="24"/>
          <w:lang w:val="en-US" w:eastAsia="zh-CN"/>
        </w:rPr>
        <w:t>P-Reviewer:</w:t>
      </w:r>
      <w:r w:rsidR="002A4D38" w:rsidRPr="002A4D38">
        <w:rPr>
          <w:rFonts w:ascii="Book Antiqua" w:eastAsia="SimSun" w:hAnsi="Book Antiqua" w:hint="eastAsia"/>
          <w:b/>
          <w:bCs/>
          <w:sz w:val="24"/>
          <w:szCs w:val="24"/>
          <w:lang w:val="en-US" w:eastAsia="zh-CN"/>
        </w:rPr>
        <w:t xml:space="preserve"> </w:t>
      </w:r>
      <w:proofErr w:type="spellStart"/>
      <w:r w:rsidR="00E94FB7" w:rsidRPr="00E94FB7">
        <w:rPr>
          <w:rFonts w:ascii="Book Antiqua" w:eastAsia="SimSun" w:hAnsi="Book Antiqua"/>
          <w:bCs/>
          <w:sz w:val="24"/>
          <w:szCs w:val="24"/>
          <w:lang w:val="en-US" w:eastAsia="zh-CN"/>
        </w:rPr>
        <w:t>M’Koma</w:t>
      </w:r>
      <w:proofErr w:type="spellEnd"/>
      <w:r w:rsidR="00E94FB7">
        <w:rPr>
          <w:rFonts w:ascii="Book Antiqua" w:eastAsia="SimSun" w:hAnsi="Book Antiqua"/>
          <w:bCs/>
          <w:sz w:val="24"/>
          <w:szCs w:val="24"/>
          <w:lang w:val="en-US" w:eastAsia="zh-CN"/>
        </w:rPr>
        <w:t xml:space="preserve"> AE, </w:t>
      </w:r>
      <w:proofErr w:type="spellStart"/>
      <w:r w:rsidR="00E94FB7" w:rsidRPr="00E94FB7">
        <w:rPr>
          <w:rFonts w:ascii="Book Antiqua" w:eastAsia="SimSun" w:hAnsi="Book Antiqua"/>
          <w:bCs/>
          <w:sz w:val="24"/>
          <w:szCs w:val="24"/>
          <w:lang w:val="en-US" w:eastAsia="zh-CN"/>
        </w:rPr>
        <w:t>Yuksel</w:t>
      </w:r>
      <w:proofErr w:type="spellEnd"/>
      <w:r w:rsidR="00E94FB7">
        <w:rPr>
          <w:rFonts w:ascii="Book Antiqua" w:eastAsia="SimSun" w:hAnsi="Book Antiqua"/>
          <w:bCs/>
          <w:sz w:val="24"/>
          <w:szCs w:val="24"/>
          <w:lang w:val="en-US" w:eastAsia="zh-CN"/>
        </w:rPr>
        <w:t xml:space="preserve"> I</w:t>
      </w:r>
    </w:p>
    <w:p w14:paraId="1A2C1658" w14:textId="77777777" w:rsidR="002A4D38" w:rsidRPr="002A4D38" w:rsidRDefault="002A4D38" w:rsidP="002A4D38">
      <w:pPr>
        <w:snapToGrid w:val="0"/>
        <w:spacing w:after="0" w:line="360" w:lineRule="auto"/>
        <w:jc w:val="right"/>
        <w:rPr>
          <w:rFonts w:ascii="Book Antiqua" w:eastAsia="SimSun" w:hAnsi="Book Antiqua"/>
          <w:sz w:val="24"/>
          <w:szCs w:val="24"/>
          <w:lang w:val="en-US" w:eastAsia="zh-CN"/>
        </w:rPr>
      </w:pPr>
      <w:r w:rsidRPr="002A4D38">
        <w:rPr>
          <w:rFonts w:ascii="Book Antiqua" w:eastAsia="SimSun" w:hAnsi="Book Antiqua"/>
          <w:b/>
          <w:bCs/>
          <w:sz w:val="24"/>
          <w:szCs w:val="24"/>
          <w:lang w:val="en-US" w:eastAsia="zh-CN"/>
        </w:rPr>
        <w:t>S-Editor:</w:t>
      </w:r>
      <w:r w:rsidRPr="002A4D38">
        <w:rPr>
          <w:rFonts w:ascii="Book Antiqua" w:eastAsia="SimSun" w:hAnsi="Book Antiqua" w:hint="eastAsia"/>
          <w:sz w:val="24"/>
          <w:szCs w:val="24"/>
          <w:lang w:val="en-US" w:eastAsia="zh-CN"/>
        </w:rPr>
        <w:t xml:space="preserve"> </w:t>
      </w:r>
      <w:r w:rsidRPr="002A4D38">
        <w:rPr>
          <w:rFonts w:ascii="Book Antiqua" w:eastAsia="SimSun" w:hAnsi="Book Antiqua"/>
          <w:sz w:val="24"/>
          <w:szCs w:val="24"/>
          <w:lang w:val="en-US" w:eastAsia="zh-CN"/>
        </w:rPr>
        <w:t>Ma</w:t>
      </w:r>
      <w:r w:rsidRPr="002A4D38">
        <w:rPr>
          <w:rFonts w:ascii="Book Antiqua" w:eastAsia="SimSun" w:hAnsi="Book Antiqua" w:hint="eastAsia"/>
          <w:sz w:val="24"/>
          <w:szCs w:val="24"/>
          <w:lang w:val="en-US" w:eastAsia="zh-CN"/>
        </w:rPr>
        <w:t xml:space="preserve"> </w:t>
      </w:r>
      <w:r w:rsidRPr="002A4D38">
        <w:rPr>
          <w:rFonts w:ascii="Book Antiqua" w:eastAsia="SimSun" w:hAnsi="Book Antiqua"/>
          <w:sz w:val="24"/>
          <w:szCs w:val="24"/>
          <w:lang w:val="en-US" w:eastAsia="zh-CN"/>
        </w:rPr>
        <w:t>RY</w:t>
      </w:r>
      <w:r w:rsidRPr="002A4D38">
        <w:rPr>
          <w:rFonts w:ascii="Book Antiqua" w:eastAsia="SimSun" w:hAnsi="Book Antiqua" w:hint="eastAsia"/>
          <w:sz w:val="24"/>
          <w:szCs w:val="24"/>
          <w:lang w:val="en-US" w:eastAsia="zh-CN"/>
        </w:rPr>
        <w:t xml:space="preserve"> </w:t>
      </w:r>
      <w:r w:rsidRPr="002A4D38">
        <w:rPr>
          <w:rFonts w:ascii="Book Antiqua" w:eastAsia="SimSun" w:hAnsi="Book Antiqua"/>
          <w:b/>
          <w:bCs/>
          <w:sz w:val="24"/>
          <w:szCs w:val="24"/>
          <w:lang w:val="en-US" w:eastAsia="zh-CN"/>
        </w:rPr>
        <w:t>L-Editor:</w:t>
      </w:r>
      <w:r w:rsidRPr="002A4D38">
        <w:rPr>
          <w:rFonts w:ascii="Book Antiqua" w:eastAsia="SimSun" w:hAnsi="Book Antiqua"/>
          <w:sz w:val="24"/>
          <w:szCs w:val="24"/>
          <w:lang w:val="en-US" w:eastAsia="zh-CN"/>
        </w:rPr>
        <w:t xml:space="preserve"> </w:t>
      </w:r>
      <w:r w:rsidRPr="002A4D38">
        <w:rPr>
          <w:rFonts w:ascii="Book Antiqua" w:eastAsia="SimSun" w:hAnsi="Book Antiqua"/>
          <w:b/>
          <w:bCs/>
          <w:sz w:val="24"/>
          <w:szCs w:val="24"/>
          <w:lang w:val="en-US" w:eastAsia="zh-CN"/>
        </w:rPr>
        <w:t>E-Editor:</w:t>
      </w:r>
    </w:p>
    <w:p w14:paraId="2861FF31" w14:textId="77777777" w:rsidR="002A4D38" w:rsidRPr="002A4D38" w:rsidRDefault="002A4D38" w:rsidP="002A4D38">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82" w:name="OLE_LINK880"/>
      <w:bookmarkStart w:id="183" w:name="OLE_LINK88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2A4D38">
        <w:rPr>
          <w:rFonts w:ascii="Book Antiqua" w:eastAsia="SimSun" w:hAnsi="Book Antiqua" w:cs="Helvetica"/>
          <w:b/>
          <w:sz w:val="24"/>
          <w:szCs w:val="24"/>
          <w:lang w:val="en-US" w:eastAsia="zh-CN"/>
        </w:rPr>
        <w:t xml:space="preserve">Specialty type: </w:t>
      </w:r>
      <w:r w:rsidRPr="002A4D38">
        <w:rPr>
          <w:rFonts w:ascii="Book Antiqua" w:eastAsia="SimSun" w:hAnsi="Book Antiqua" w:cs="Helvetica"/>
          <w:sz w:val="24"/>
          <w:szCs w:val="24"/>
          <w:lang w:val="en-US" w:eastAsia="zh-CN"/>
        </w:rPr>
        <w:t>Gastroenterology and</w:t>
      </w:r>
      <w:r w:rsidRPr="002A4D38">
        <w:rPr>
          <w:rFonts w:ascii="Book Antiqua" w:eastAsia="SimSun" w:hAnsi="Book Antiqua" w:cs="Helvetica" w:hint="eastAsia"/>
          <w:sz w:val="24"/>
          <w:szCs w:val="24"/>
          <w:lang w:val="en-US" w:eastAsia="zh-CN"/>
        </w:rPr>
        <w:t xml:space="preserve"> </w:t>
      </w:r>
      <w:r w:rsidRPr="002A4D38">
        <w:rPr>
          <w:rFonts w:ascii="Book Antiqua" w:eastAsia="SimSun" w:hAnsi="Book Antiqua" w:cs="Helvetica"/>
          <w:sz w:val="24"/>
          <w:szCs w:val="24"/>
          <w:lang w:val="en-US" w:eastAsia="zh-CN"/>
        </w:rPr>
        <w:t>hepatology</w:t>
      </w:r>
    </w:p>
    <w:p w14:paraId="5287D0BE" w14:textId="603340B3" w:rsidR="002A4D38" w:rsidRPr="002A4D38" w:rsidRDefault="002A4D38" w:rsidP="002A4D38">
      <w:pPr>
        <w:shd w:val="clear" w:color="auto" w:fill="FFFFFF"/>
        <w:snapToGrid w:val="0"/>
        <w:spacing w:after="0" w:line="360" w:lineRule="auto"/>
        <w:jc w:val="both"/>
        <w:rPr>
          <w:rFonts w:ascii="Book Antiqua" w:eastAsia="SimSun" w:hAnsi="Book Antiqua" w:cs="Helvetica"/>
          <w:b/>
          <w:sz w:val="24"/>
          <w:szCs w:val="24"/>
          <w:lang w:val="en-US" w:eastAsia="zh-CN"/>
        </w:rPr>
      </w:pPr>
      <w:r w:rsidRPr="002A4D38">
        <w:rPr>
          <w:rFonts w:ascii="Book Antiqua" w:eastAsia="SimSun" w:hAnsi="Book Antiqua" w:cs="Helvetica"/>
          <w:b/>
          <w:sz w:val="24"/>
          <w:szCs w:val="24"/>
          <w:lang w:val="en-US" w:eastAsia="zh-CN"/>
        </w:rPr>
        <w:t xml:space="preserve">Country of origin: </w:t>
      </w:r>
      <w:r w:rsidR="00E94FB7">
        <w:rPr>
          <w:rFonts w:ascii="Book Antiqua" w:eastAsia="SimSun" w:hAnsi="Book Antiqua" w:cs="Helvetica"/>
          <w:sz w:val="24"/>
          <w:szCs w:val="24"/>
          <w:lang w:val="en-US" w:eastAsia="zh-CN"/>
        </w:rPr>
        <w:t>Canada</w:t>
      </w:r>
    </w:p>
    <w:p w14:paraId="3F5FEFFA" w14:textId="77777777" w:rsidR="002A4D38" w:rsidRPr="002A4D38" w:rsidRDefault="002A4D38" w:rsidP="002A4D38">
      <w:pPr>
        <w:shd w:val="clear" w:color="auto" w:fill="FFFFFF"/>
        <w:snapToGrid w:val="0"/>
        <w:spacing w:after="0" w:line="360" w:lineRule="auto"/>
        <w:jc w:val="both"/>
        <w:rPr>
          <w:rFonts w:ascii="Book Antiqua" w:eastAsia="SimSun" w:hAnsi="Book Antiqua" w:cs="Helvetica"/>
          <w:b/>
          <w:sz w:val="24"/>
          <w:szCs w:val="24"/>
          <w:lang w:val="en-US" w:eastAsia="zh-CN"/>
        </w:rPr>
      </w:pPr>
      <w:r w:rsidRPr="002A4D38">
        <w:rPr>
          <w:rFonts w:ascii="Book Antiqua" w:eastAsia="SimSun" w:hAnsi="Book Antiqua" w:cs="Helvetica"/>
          <w:b/>
          <w:sz w:val="24"/>
          <w:szCs w:val="24"/>
          <w:lang w:val="en-US" w:eastAsia="zh-CN"/>
        </w:rPr>
        <w:t>Peer-review report classification</w:t>
      </w:r>
    </w:p>
    <w:p w14:paraId="5E861353" w14:textId="6C41F163" w:rsidR="002A4D38" w:rsidRPr="002A4D38" w:rsidRDefault="002A4D38" w:rsidP="002A4D38">
      <w:pPr>
        <w:shd w:val="clear" w:color="auto" w:fill="FFFFFF"/>
        <w:snapToGrid w:val="0"/>
        <w:spacing w:after="0" w:line="360" w:lineRule="auto"/>
        <w:jc w:val="both"/>
        <w:rPr>
          <w:rFonts w:ascii="Book Antiqua" w:eastAsia="SimSun" w:hAnsi="Book Antiqua" w:cs="Helvetica"/>
          <w:sz w:val="24"/>
          <w:szCs w:val="24"/>
          <w:lang w:val="en-US" w:eastAsia="zh-CN"/>
        </w:rPr>
      </w:pPr>
      <w:r w:rsidRPr="002A4D38">
        <w:rPr>
          <w:rFonts w:ascii="Book Antiqua" w:eastAsia="SimSun" w:hAnsi="Book Antiqua" w:cs="Helvetica"/>
          <w:sz w:val="24"/>
          <w:szCs w:val="24"/>
          <w:lang w:val="en-US" w:eastAsia="zh-CN"/>
        </w:rPr>
        <w:t xml:space="preserve">Grade A (Excellent): </w:t>
      </w:r>
      <w:r w:rsidR="00E94FB7">
        <w:rPr>
          <w:rFonts w:ascii="Book Antiqua" w:eastAsia="SimSun" w:hAnsi="Book Antiqua" w:cs="Helvetica"/>
          <w:sz w:val="24"/>
          <w:szCs w:val="24"/>
          <w:lang w:val="en-US" w:eastAsia="zh-CN"/>
        </w:rPr>
        <w:t>A</w:t>
      </w:r>
    </w:p>
    <w:p w14:paraId="58A03842" w14:textId="77777777" w:rsidR="002A4D38" w:rsidRPr="002A4D38" w:rsidRDefault="002A4D38" w:rsidP="002A4D38">
      <w:pPr>
        <w:shd w:val="clear" w:color="auto" w:fill="FFFFFF"/>
        <w:snapToGrid w:val="0"/>
        <w:spacing w:after="0" w:line="360" w:lineRule="auto"/>
        <w:jc w:val="both"/>
        <w:rPr>
          <w:rFonts w:ascii="Book Antiqua" w:eastAsia="SimSun" w:hAnsi="Book Antiqua" w:cs="Helvetica"/>
          <w:sz w:val="24"/>
          <w:szCs w:val="24"/>
          <w:lang w:val="en-US" w:eastAsia="zh-CN"/>
        </w:rPr>
      </w:pPr>
      <w:r w:rsidRPr="002A4D38">
        <w:rPr>
          <w:rFonts w:ascii="Book Antiqua" w:eastAsia="SimSun" w:hAnsi="Book Antiqua" w:cs="Helvetica"/>
          <w:sz w:val="24"/>
          <w:szCs w:val="24"/>
          <w:lang w:val="en-US" w:eastAsia="zh-CN"/>
        </w:rPr>
        <w:t xml:space="preserve">Grade B (Very good): </w:t>
      </w:r>
      <w:r w:rsidRPr="002A4D38">
        <w:rPr>
          <w:rFonts w:ascii="Book Antiqua" w:eastAsia="SimSun" w:hAnsi="Book Antiqua" w:cs="Helvetica" w:hint="eastAsia"/>
          <w:sz w:val="24"/>
          <w:szCs w:val="24"/>
          <w:lang w:val="en-US" w:eastAsia="zh-CN"/>
        </w:rPr>
        <w:t>B</w:t>
      </w:r>
    </w:p>
    <w:p w14:paraId="159B2567" w14:textId="7E916772" w:rsidR="002A4D38" w:rsidRPr="002A4D38" w:rsidRDefault="002A4D38" w:rsidP="002A4D38">
      <w:pPr>
        <w:shd w:val="clear" w:color="auto" w:fill="FFFFFF"/>
        <w:snapToGrid w:val="0"/>
        <w:spacing w:after="0" w:line="360" w:lineRule="auto"/>
        <w:jc w:val="both"/>
        <w:rPr>
          <w:rFonts w:ascii="Book Antiqua" w:eastAsia="SimSun" w:hAnsi="Book Antiqua" w:cs="Helvetica"/>
          <w:sz w:val="24"/>
          <w:szCs w:val="24"/>
          <w:lang w:val="en-US" w:eastAsia="zh-CN"/>
        </w:rPr>
      </w:pPr>
      <w:r w:rsidRPr="002A4D38">
        <w:rPr>
          <w:rFonts w:ascii="Book Antiqua" w:eastAsia="SimSun" w:hAnsi="Book Antiqua" w:cs="Helvetica"/>
          <w:sz w:val="24"/>
          <w:szCs w:val="24"/>
          <w:lang w:val="en-US" w:eastAsia="zh-CN"/>
        </w:rPr>
        <w:t xml:space="preserve">Grade C (Good): </w:t>
      </w:r>
      <w:r w:rsidR="00E94FB7">
        <w:rPr>
          <w:rFonts w:ascii="Book Antiqua" w:eastAsia="SimSun" w:hAnsi="Book Antiqua" w:cs="Helvetica"/>
          <w:sz w:val="24"/>
          <w:szCs w:val="24"/>
          <w:lang w:val="en-US" w:eastAsia="zh-CN"/>
        </w:rPr>
        <w:t>0</w:t>
      </w:r>
    </w:p>
    <w:p w14:paraId="7BF6A9B2" w14:textId="77777777" w:rsidR="002A4D38" w:rsidRPr="002A4D38" w:rsidRDefault="002A4D38" w:rsidP="002A4D38">
      <w:pPr>
        <w:shd w:val="clear" w:color="auto" w:fill="FFFFFF"/>
        <w:snapToGrid w:val="0"/>
        <w:spacing w:after="0" w:line="360" w:lineRule="auto"/>
        <w:jc w:val="both"/>
        <w:rPr>
          <w:rFonts w:ascii="Book Antiqua" w:eastAsia="SimSun" w:hAnsi="Book Antiqua" w:cs="Helvetica"/>
          <w:sz w:val="24"/>
          <w:szCs w:val="24"/>
          <w:lang w:val="en-US" w:eastAsia="zh-CN"/>
        </w:rPr>
      </w:pPr>
      <w:r w:rsidRPr="002A4D38">
        <w:rPr>
          <w:rFonts w:ascii="Book Antiqua" w:eastAsia="SimSun" w:hAnsi="Book Antiqua" w:cs="Helvetica"/>
          <w:sz w:val="24"/>
          <w:szCs w:val="24"/>
          <w:lang w:val="en-US" w:eastAsia="zh-CN"/>
        </w:rPr>
        <w:t xml:space="preserve">Grade D (Fair): </w:t>
      </w:r>
      <w:r w:rsidRPr="002A4D38">
        <w:rPr>
          <w:rFonts w:ascii="Book Antiqua" w:eastAsia="SimSun" w:hAnsi="Book Antiqua" w:cs="Helvetica" w:hint="eastAsia"/>
          <w:sz w:val="24"/>
          <w:szCs w:val="24"/>
          <w:lang w:val="en-US" w:eastAsia="zh-CN"/>
        </w:rPr>
        <w:t>0</w:t>
      </w:r>
    </w:p>
    <w:p w14:paraId="40D9043B" w14:textId="77777777" w:rsidR="002A4D38" w:rsidRPr="002A4D38" w:rsidRDefault="002A4D38" w:rsidP="002A4D38">
      <w:pPr>
        <w:snapToGrid w:val="0"/>
        <w:spacing w:after="0" w:line="360" w:lineRule="auto"/>
        <w:jc w:val="both"/>
        <w:rPr>
          <w:rFonts w:ascii="Book Antiqua" w:eastAsia="SimSun" w:hAnsi="Book Antiqua"/>
          <w:b/>
          <w:iCs/>
          <w:sz w:val="24"/>
          <w:szCs w:val="24"/>
          <w:lang w:val="en-US" w:eastAsia="zh-CN"/>
        </w:rPr>
      </w:pPr>
      <w:r w:rsidRPr="002A4D38">
        <w:rPr>
          <w:rFonts w:ascii="Book Antiqua" w:eastAsia="SimSun" w:hAnsi="Book Antiqua" w:cs="Helvetica"/>
          <w:sz w:val="24"/>
          <w:szCs w:val="24"/>
          <w:lang w:val="en-US" w:eastAsia="zh-CN"/>
        </w:rPr>
        <w:t xml:space="preserve">Grade E (Poor): </w:t>
      </w:r>
      <w:r w:rsidRPr="002A4D38">
        <w:rPr>
          <w:rFonts w:ascii="Book Antiqua" w:eastAsia="SimSun" w:hAnsi="Book Antiqua" w:cs="Helvetica" w:hint="eastAsia"/>
          <w:sz w:val="24"/>
          <w:szCs w:val="24"/>
          <w:lang w:val="en-US" w:eastAsia="zh-CN"/>
        </w:rPr>
        <w:t>0</w:t>
      </w:r>
      <w:bookmarkEnd w:id="176"/>
      <w:bookmarkEnd w:id="182"/>
      <w:bookmarkEnd w:id="183"/>
    </w:p>
    <w:bookmarkEnd w:id="177"/>
    <w:bookmarkEnd w:id="178"/>
    <w:bookmarkEnd w:id="179"/>
    <w:p w14:paraId="754EF027" w14:textId="60841AEE" w:rsidR="00846151" w:rsidRPr="00D5385E" w:rsidRDefault="002A4D38" w:rsidP="002A4D38">
      <w:pPr>
        <w:adjustRightInd w:val="0"/>
        <w:snapToGrid w:val="0"/>
        <w:spacing w:after="0" w:line="360" w:lineRule="auto"/>
        <w:jc w:val="both"/>
        <w:rPr>
          <w:rFonts w:ascii="Book Antiqua" w:hAnsi="Book Antiqua" w:cs="Arial"/>
          <w:color w:val="000000" w:themeColor="text1"/>
          <w:sz w:val="24"/>
          <w:szCs w:val="24"/>
          <w:lang w:val="en-US"/>
        </w:rPr>
      </w:pPr>
      <w:r w:rsidRPr="002A4D38">
        <w:rPr>
          <w:rFonts w:ascii="Book Antiqua" w:eastAsia="SimSun" w:hAnsi="Book Antiqua"/>
          <w:sz w:val="24"/>
          <w:szCs w:val="24"/>
          <w:lang w:val="en-US" w:eastAsia="zh-CN"/>
        </w:rPr>
        <w:br w:type="page"/>
      </w:r>
      <w:bookmarkEnd w:id="180"/>
      <w:bookmarkEnd w:id="181"/>
    </w:p>
    <w:p w14:paraId="68840A2E" w14:textId="07034458" w:rsidR="005D1A3E" w:rsidRPr="00E94FB7" w:rsidRDefault="00D92E31" w:rsidP="00D5385E">
      <w:pPr>
        <w:adjustRightInd w:val="0"/>
        <w:snapToGrid w:val="0"/>
        <w:spacing w:after="0" w:line="360" w:lineRule="auto"/>
        <w:jc w:val="both"/>
        <w:rPr>
          <w:rFonts w:ascii="Book Antiqua" w:hAnsi="Book Antiqua" w:cs="Arial"/>
          <w:b/>
          <w:bCs/>
          <w:color w:val="000000" w:themeColor="text1"/>
          <w:sz w:val="24"/>
          <w:szCs w:val="24"/>
          <w:lang w:val="en-US"/>
        </w:rPr>
      </w:pPr>
      <w:r w:rsidRPr="00E94FB7">
        <w:rPr>
          <w:rFonts w:ascii="Book Antiqua" w:hAnsi="Book Antiqua" w:cs="Arial"/>
          <w:b/>
          <w:bCs/>
          <w:color w:val="000000" w:themeColor="text1"/>
          <w:sz w:val="24"/>
          <w:szCs w:val="24"/>
          <w:lang w:val="en-US"/>
        </w:rPr>
        <w:lastRenderedPageBreak/>
        <w:t>Table 1</w:t>
      </w:r>
      <w:r w:rsidR="00E94FB7" w:rsidRPr="00E94FB7">
        <w:rPr>
          <w:rFonts w:ascii="Book Antiqua" w:hAnsi="Book Antiqua" w:cs="Arial"/>
          <w:b/>
          <w:bCs/>
          <w:color w:val="000000" w:themeColor="text1"/>
          <w:sz w:val="24"/>
          <w:szCs w:val="24"/>
          <w:lang w:val="en-US"/>
        </w:rPr>
        <w:t xml:space="preserve"> </w:t>
      </w:r>
      <w:r w:rsidR="004170CD" w:rsidRPr="00E94FB7">
        <w:rPr>
          <w:rFonts w:ascii="Book Antiqua" w:hAnsi="Book Antiqua" w:cs="Arial"/>
          <w:b/>
          <w:bCs/>
          <w:color w:val="000000" w:themeColor="text1"/>
          <w:sz w:val="24"/>
          <w:szCs w:val="24"/>
          <w:lang w:val="en-US"/>
        </w:rPr>
        <w:t>Summary of the</w:t>
      </w:r>
      <w:r w:rsidR="00537EAE" w:rsidRPr="00E94FB7">
        <w:rPr>
          <w:rFonts w:ascii="Book Antiqua" w:hAnsi="Book Antiqua" w:cs="Arial"/>
          <w:b/>
          <w:bCs/>
          <w:color w:val="000000" w:themeColor="text1"/>
          <w:sz w:val="24"/>
          <w:szCs w:val="24"/>
          <w:lang w:val="en-US"/>
        </w:rPr>
        <w:t xml:space="preserve"> trials assessing</w:t>
      </w:r>
      <w:r w:rsidRPr="00E94FB7">
        <w:rPr>
          <w:rFonts w:ascii="Book Antiqua" w:hAnsi="Book Antiqua" w:cs="Arial"/>
          <w:b/>
          <w:bCs/>
          <w:color w:val="000000" w:themeColor="text1"/>
          <w:sz w:val="24"/>
          <w:szCs w:val="24"/>
          <w:lang w:val="en-US"/>
        </w:rPr>
        <w:t xml:space="preserve"> the</w:t>
      </w:r>
      <w:r w:rsidR="00537EAE" w:rsidRPr="00E94FB7">
        <w:rPr>
          <w:rFonts w:ascii="Book Antiqua" w:hAnsi="Book Antiqua" w:cs="Arial"/>
          <w:b/>
          <w:bCs/>
          <w:color w:val="000000" w:themeColor="text1"/>
          <w:sz w:val="24"/>
          <w:szCs w:val="24"/>
          <w:lang w:val="en-US"/>
        </w:rPr>
        <w:t xml:space="preserve"> efficacy and safety of</w:t>
      </w:r>
      <w:r w:rsidR="004170CD" w:rsidRPr="00E94FB7">
        <w:rPr>
          <w:rFonts w:ascii="Book Antiqua" w:hAnsi="Book Antiqua" w:cs="Arial"/>
          <w:b/>
          <w:bCs/>
          <w:color w:val="000000" w:themeColor="text1"/>
          <w:sz w:val="24"/>
          <w:szCs w:val="24"/>
          <w:lang w:val="en-US"/>
        </w:rPr>
        <w:t xml:space="preserve"> anti</w:t>
      </w:r>
      <w:r w:rsidR="000A1048" w:rsidRPr="00E94FB7">
        <w:rPr>
          <w:rFonts w:ascii="Book Antiqua" w:hAnsi="Book Antiqua" w:cs="Arial"/>
          <w:b/>
          <w:bCs/>
          <w:color w:val="000000" w:themeColor="text1"/>
          <w:sz w:val="24"/>
          <w:szCs w:val="24"/>
          <w:lang w:val="en-US"/>
        </w:rPr>
        <w:t>-</w:t>
      </w:r>
      <w:r w:rsidR="000117DB" w:rsidRPr="00E94FB7">
        <w:rPr>
          <w:rFonts w:ascii="Book Antiqua" w:hAnsi="Book Antiqua" w:cs="Arial"/>
          <w:b/>
          <w:bCs/>
          <w:color w:val="000000" w:themeColor="text1"/>
          <w:sz w:val="24"/>
          <w:szCs w:val="24"/>
          <w:lang w:val="en-US"/>
        </w:rPr>
        <w:t>tumor necrosis factor</w:t>
      </w:r>
      <w:r w:rsidR="004170CD" w:rsidRPr="00E94FB7">
        <w:rPr>
          <w:rFonts w:ascii="Book Antiqua" w:hAnsi="Book Antiqua" w:cs="Arial"/>
          <w:b/>
          <w:bCs/>
          <w:color w:val="000000" w:themeColor="text1"/>
          <w:sz w:val="24"/>
          <w:szCs w:val="24"/>
          <w:lang w:val="en-US"/>
        </w:rPr>
        <w:t xml:space="preserve"> agents</w:t>
      </w:r>
      <w:r w:rsidR="00537EAE" w:rsidRPr="00E94FB7">
        <w:rPr>
          <w:rFonts w:ascii="Book Antiqua" w:hAnsi="Book Antiqua" w:cs="Arial"/>
          <w:b/>
          <w:bCs/>
          <w:color w:val="000000" w:themeColor="text1"/>
          <w:sz w:val="24"/>
          <w:szCs w:val="24"/>
          <w:lang w:val="en-US"/>
        </w:rPr>
        <w:t xml:space="preserve"> </w:t>
      </w:r>
      <w:r w:rsidR="004170CD" w:rsidRPr="00E94FB7">
        <w:rPr>
          <w:rFonts w:ascii="Book Antiqua" w:hAnsi="Book Antiqua" w:cs="Arial"/>
          <w:b/>
          <w:bCs/>
          <w:color w:val="000000" w:themeColor="text1"/>
          <w:sz w:val="24"/>
          <w:szCs w:val="24"/>
          <w:lang w:val="en-US"/>
        </w:rPr>
        <w:t xml:space="preserve">in the elderly </w:t>
      </w:r>
      <w:r w:rsidR="00E94FB7" w:rsidRPr="00E94FB7">
        <w:rPr>
          <w:rFonts w:ascii="Book Antiqua" w:hAnsi="Book Antiqua" w:cs="Arial"/>
          <w:b/>
          <w:bCs/>
          <w:color w:val="000000" w:themeColor="text1"/>
          <w:sz w:val="24"/>
          <w:szCs w:val="24"/>
          <w:lang w:val="en-US"/>
        </w:rPr>
        <w:t>inflammatory bowel disease population</w:t>
      </w:r>
      <w:r w:rsidR="00F53BAB" w:rsidRPr="00D5385E">
        <w:rPr>
          <w:rFonts w:ascii="Book Antiqua" w:hAnsi="Book Antiqua" w:cs="Arial"/>
          <w:b/>
          <w:bCs/>
          <w:color w:val="000000" w:themeColor="text1"/>
          <w:sz w:val="24"/>
          <w:szCs w:val="24"/>
          <w:lang w:val="en-US"/>
        </w:rPr>
        <w:fldChar w:fldCharType="begin"/>
      </w:r>
      <w:r w:rsidR="00F53BAB" w:rsidRPr="00E94FB7">
        <w:rPr>
          <w:rFonts w:ascii="Book Antiqua" w:hAnsi="Book Antiqua" w:cs="Arial"/>
          <w:b/>
          <w:bCs/>
          <w:color w:val="000000" w:themeColor="text1"/>
          <w:sz w:val="24"/>
          <w:szCs w:val="24"/>
          <w:lang w:val="en-US"/>
        </w:rPr>
        <w:instrText xml:space="preserve"> LINK </w:instrText>
      </w:r>
      <w:r w:rsidR="00743C94" w:rsidRPr="00E94FB7">
        <w:rPr>
          <w:rFonts w:ascii="Book Antiqua" w:hAnsi="Book Antiqua" w:cs="Arial"/>
          <w:b/>
          <w:bCs/>
          <w:color w:val="000000" w:themeColor="text1"/>
          <w:sz w:val="24"/>
          <w:szCs w:val="24"/>
          <w:lang w:val="en-US"/>
        </w:rPr>
        <w:instrText xml:space="preserve">Excel.Sheet.12 "C:\\Users\\Administrator\\Desktop\\Elderly IBD\\Desktop\\Elderly IBD\\WJG review\\Table of Tx.xlsx" Sheet1!R3C3:R7C28 </w:instrText>
      </w:r>
      <w:r w:rsidR="00F53BAB" w:rsidRPr="00E94FB7">
        <w:rPr>
          <w:rFonts w:ascii="Book Antiqua" w:hAnsi="Book Antiqua" w:cs="Arial"/>
          <w:b/>
          <w:bCs/>
          <w:color w:val="000000" w:themeColor="text1"/>
          <w:sz w:val="24"/>
          <w:szCs w:val="24"/>
          <w:lang w:val="en-US"/>
        </w:rPr>
        <w:instrText xml:space="preserve">\a \f 5 \h  \* MERGEFORMAT </w:instrText>
      </w:r>
      <w:r w:rsidR="00F53BAB" w:rsidRPr="00D5385E">
        <w:rPr>
          <w:rFonts w:ascii="Book Antiqua" w:hAnsi="Book Antiqua" w:cs="Arial"/>
          <w:b/>
          <w:bCs/>
          <w:color w:val="000000" w:themeColor="text1"/>
          <w:sz w:val="24"/>
          <w:szCs w:val="24"/>
          <w:lang w:val="en-US"/>
        </w:rPr>
        <w:fldChar w:fldCharType="separate"/>
      </w:r>
    </w:p>
    <w:tbl>
      <w:tblPr>
        <w:tblStyle w:val="TableGrid"/>
        <w:tblW w:w="316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433"/>
        <w:gridCol w:w="1008"/>
        <w:gridCol w:w="767"/>
        <w:gridCol w:w="744"/>
        <w:gridCol w:w="879"/>
        <w:gridCol w:w="570"/>
        <w:gridCol w:w="1205"/>
        <w:gridCol w:w="1208"/>
        <w:gridCol w:w="1523"/>
        <w:gridCol w:w="1069"/>
        <w:gridCol w:w="1106"/>
        <w:gridCol w:w="1370"/>
        <w:gridCol w:w="1582"/>
        <w:gridCol w:w="637"/>
        <w:gridCol w:w="1561"/>
        <w:gridCol w:w="970"/>
        <w:gridCol w:w="1366"/>
        <w:gridCol w:w="1159"/>
        <w:gridCol w:w="1085"/>
        <w:gridCol w:w="1061"/>
        <w:gridCol w:w="1617"/>
        <w:gridCol w:w="1617"/>
        <w:gridCol w:w="1617"/>
        <w:gridCol w:w="1617"/>
        <w:gridCol w:w="1617"/>
      </w:tblGrid>
      <w:tr w:rsidR="00D5385E" w:rsidRPr="00D5385E" w14:paraId="0D6CE32F" w14:textId="77777777" w:rsidTr="00AA4910">
        <w:trPr>
          <w:divId w:val="491410782"/>
          <w:trHeight w:val="290"/>
        </w:trPr>
        <w:tc>
          <w:tcPr>
            <w:tcW w:w="1494" w:type="dxa"/>
            <w:tcBorders>
              <w:top w:val="single" w:sz="4" w:space="0" w:color="auto"/>
              <w:bottom w:val="single" w:sz="4" w:space="0" w:color="auto"/>
            </w:tcBorders>
            <w:noWrap/>
            <w:hideMark/>
          </w:tcPr>
          <w:p w14:paraId="1840A7C0" w14:textId="77777777" w:rsidR="005D1A3E" w:rsidRPr="00AA4910" w:rsidRDefault="005D1A3E" w:rsidP="00D5385E">
            <w:pPr>
              <w:adjustRightInd w:val="0"/>
              <w:snapToGrid w:val="0"/>
              <w:spacing w:after="0" w:line="360" w:lineRule="auto"/>
              <w:jc w:val="both"/>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Studies</w:t>
            </w:r>
          </w:p>
        </w:tc>
        <w:tc>
          <w:tcPr>
            <w:tcW w:w="776" w:type="dxa"/>
            <w:tcBorders>
              <w:top w:val="single" w:sz="4" w:space="0" w:color="auto"/>
              <w:bottom w:val="single" w:sz="4" w:space="0" w:color="auto"/>
            </w:tcBorders>
            <w:noWrap/>
            <w:hideMark/>
          </w:tcPr>
          <w:p w14:paraId="03702A4D" w14:textId="5780F15A"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Type</w:t>
            </w:r>
          </w:p>
        </w:tc>
        <w:tc>
          <w:tcPr>
            <w:tcW w:w="742" w:type="dxa"/>
            <w:tcBorders>
              <w:top w:val="single" w:sz="4" w:space="0" w:color="auto"/>
              <w:bottom w:val="single" w:sz="4" w:space="0" w:color="auto"/>
            </w:tcBorders>
            <w:noWrap/>
            <w:hideMark/>
          </w:tcPr>
          <w:p w14:paraId="01136C45"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xml:space="preserve">Patients, </w:t>
            </w:r>
            <w:r w:rsidRPr="00AA4910">
              <w:rPr>
                <w:rFonts w:ascii="Book Antiqua" w:hAnsi="Book Antiqua" w:cs="Arial"/>
                <w:b/>
                <w:bCs/>
                <w:i/>
                <w:iCs/>
                <w:color w:val="000000" w:themeColor="text1"/>
                <w:sz w:val="24"/>
                <w:szCs w:val="24"/>
                <w:lang w:val="en-US"/>
              </w:rPr>
              <w:t>n</w:t>
            </w:r>
          </w:p>
        </w:tc>
        <w:tc>
          <w:tcPr>
            <w:tcW w:w="731" w:type="dxa"/>
            <w:tcBorders>
              <w:top w:val="single" w:sz="4" w:space="0" w:color="auto"/>
              <w:bottom w:val="single" w:sz="4" w:space="0" w:color="auto"/>
            </w:tcBorders>
            <w:noWrap/>
            <w:hideMark/>
          </w:tcPr>
          <w:p w14:paraId="612D518E"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Age cutoff</w:t>
            </w:r>
          </w:p>
        </w:tc>
        <w:tc>
          <w:tcPr>
            <w:tcW w:w="610" w:type="dxa"/>
            <w:tcBorders>
              <w:top w:val="single" w:sz="4" w:space="0" w:color="auto"/>
              <w:bottom w:val="single" w:sz="4" w:space="0" w:color="auto"/>
            </w:tcBorders>
            <w:noWrap/>
            <w:hideMark/>
          </w:tcPr>
          <w:p w14:paraId="229EA129"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Mean age</w:t>
            </w:r>
          </w:p>
        </w:tc>
        <w:tc>
          <w:tcPr>
            <w:tcW w:w="643" w:type="dxa"/>
            <w:tcBorders>
              <w:top w:val="single" w:sz="4" w:space="0" w:color="auto"/>
              <w:bottom w:val="single" w:sz="4" w:space="0" w:color="auto"/>
            </w:tcBorders>
            <w:noWrap/>
            <w:hideMark/>
          </w:tcPr>
          <w:p w14:paraId="3A996867"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Female</w:t>
            </w:r>
          </w:p>
        </w:tc>
        <w:tc>
          <w:tcPr>
            <w:tcW w:w="543" w:type="dxa"/>
            <w:tcBorders>
              <w:top w:val="single" w:sz="4" w:space="0" w:color="auto"/>
              <w:bottom w:val="single" w:sz="4" w:space="0" w:color="auto"/>
            </w:tcBorders>
            <w:noWrap/>
            <w:hideMark/>
          </w:tcPr>
          <w:p w14:paraId="2A470E56"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UC</w:t>
            </w:r>
          </w:p>
        </w:tc>
        <w:tc>
          <w:tcPr>
            <w:tcW w:w="1371" w:type="dxa"/>
            <w:tcBorders>
              <w:top w:val="single" w:sz="4" w:space="0" w:color="auto"/>
              <w:bottom w:val="single" w:sz="4" w:space="0" w:color="auto"/>
            </w:tcBorders>
            <w:noWrap/>
            <w:hideMark/>
          </w:tcPr>
          <w:p w14:paraId="02FDC7B2"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fr-CA"/>
              </w:rPr>
            </w:pPr>
            <w:r w:rsidRPr="00AA4910">
              <w:rPr>
                <w:rFonts w:ascii="Book Antiqua" w:hAnsi="Book Antiqua" w:cs="Arial"/>
                <w:b/>
                <w:bCs/>
                <w:color w:val="000000" w:themeColor="text1"/>
                <w:sz w:val="24"/>
                <w:szCs w:val="24"/>
                <w:lang w:val="fr-CA"/>
              </w:rPr>
              <w:t xml:space="preserve">UC </w:t>
            </w:r>
            <w:proofErr w:type="spellStart"/>
            <w:r w:rsidRPr="00AA4910">
              <w:rPr>
                <w:rFonts w:ascii="Book Antiqua" w:hAnsi="Book Antiqua" w:cs="Arial"/>
                <w:b/>
                <w:bCs/>
                <w:color w:val="000000" w:themeColor="text1"/>
                <w:sz w:val="24"/>
                <w:szCs w:val="24"/>
                <w:lang w:val="fr-CA"/>
              </w:rPr>
              <w:t>phenotype</w:t>
            </w:r>
            <w:proofErr w:type="spellEnd"/>
            <w:r w:rsidRPr="00AA4910">
              <w:rPr>
                <w:rFonts w:ascii="Book Antiqua" w:hAnsi="Book Antiqua" w:cs="Arial"/>
                <w:b/>
                <w:bCs/>
                <w:color w:val="000000" w:themeColor="text1"/>
                <w:sz w:val="24"/>
                <w:szCs w:val="24"/>
                <w:lang w:val="fr-CA"/>
              </w:rPr>
              <w:t xml:space="preserve"> E1/E2/E3</w:t>
            </w:r>
          </w:p>
        </w:tc>
        <w:tc>
          <w:tcPr>
            <w:tcW w:w="1393" w:type="dxa"/>
            <w:tcBorders>
              <w:top w:val="single" w:sz="4" w:space="0" w:color="auto"/>
              <w:bottom w:val="single" w:sz="4" w:space="0" w:color="auto"/>
            </w:tcBorders>
            <w:noWrap/>
            <w:hideMark/>
          </w:tcPr>
          <w:p w14:paraId="5CE2B1F5"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CD phenotype B1/B2/B3</w:t>
            </w:r>
          </w:p>
        </w:tc>
        <w:tc>
          <w:tcPr>
            <w:tcW w:w="1570" w:type="dxa"/>
            <w:tcBorders>
              <w:top w:val="single" w:sz="4" w:space="0" w:color="auto"/>
              <w:bottom w:val="single" w:sz="4" w:space="0" w:color="auto"/>
            </w:tcBorders>
            <w:noWrap/>
            <w:hideMark/>
          </w:tcPr>
          <w:p w14:paraId="7FD1E9FB"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fr-CA"/>
              </w:rPr>
            </w:pPr>
            <w:r w:rsidRPr="00AA4910">
              <w:rPr>
                <w:rFonts w:ascii="Book Antiqua" w:hAnsi="Book Antiqua" w:cs="Arial"/>
                <w:b/>
                <w:bCs/>
                <w:color w:val="000000" w:themeColor="text1"/>
                <w:sz w:val="24"/>
                <w:szCs w:val="24"/>
                <w:lang w:val="fr-CA"/>
              </w:rPr>
              <w:t>CD location L1/L2/L3/L4</w:t>
            </w:r>
          </w:p>
        </w:tc>
        <w:tc>
          <w:tcPr>
            <w:tcW w:w="1228" w:type="dxa"/>
            <w:tcBorders>
              <w:top w:val="single" w:sz="4" w:space="0" w:color="auto"/>
              <w:bottom w:val="single" w:sz="4" w:space="0" w:color="auto"/>
            </w:tcBorders>
            <w:noWrap/>
            <w:hideMark/>
          </w:tcPr>
          <w:p w14:paraId="330A3B32" w14:textId="77777777" w:rsidR="005D1A3E" w:rsidRPr="00AA4910" w:rsidRDefault="005D1A3E"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Mean disease duration</w:t>
            </w:r>
          </w:p>
        </w:tc>
        <w:tc>
          <w:tcPr>
            <w:tcW w:w="1272" w:type="dxa"/>
            <w:tcBorders>
              <w:top w:val="single" w:sz="4" w:space="0" w:color="auto"/>
              <w:bottom w:val="single" w:sz="4" w:space="0" w:color="auto"/>
            </w:tcBorders>
            <w:noWrap/>
            <w:hideMark/>
          </w:tcPr>
          <w:p w14:paraId="2A8DAE21"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Prior Surgery (%)</w:t>
            </w:r>
          </w:p>
        </w:tc>
        <w:tc>
          <w:tcPr>
            <w:tcW w:w="1559" w:type="dxa"/>
            <w:noWrap/>
            <w:hideMark/>
          </w:tcPr>
          <w:p w14:paraId="185DEDF9"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Charlson</w:t>
            </w:r>
            <w:proofErr w:type="spellEnd"/>
            <w:r w:rsidRPr="00D5385E">
              <w:rPr>
                <w:rFonts w:ascii="Book Antiqua" w:hAnsi="Book Antiqua" w:cs="Arial"/>
                <w:color w:val="000000" w:themeColor="text1"/>
                <w:sz w:val="24"/>
                <w:szCs w:val="24"/>
                <w:lang w:val="en-US"/>
              </w:rPr>
              <w:t xml:space="preserve"> Comorbidity Score</w:t>
            </w:r>
          </w:p>
        </w:tc>
        <w:tc>
          <w:tcPr>
            <w:tcW w:w="1029" w:type="dxa"/>
            <w:noWrap/>
            <w:hideMark/>
          </w:tcPr>
          <w:p w14:paraId="667F35F5"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Corticosteroids (%)</w:t>
            </w:r>
          </w:p>
        </w:tc>
        <w:tc>
          <w:tcPr>
            <w:tcW w:w="543" w:type="dxa"/>
            <w:noWrap/>
            <w:hideMark/>
          </w:tcPr>
          <w:p w14:paraId="3945E34D" w14:textId="57A10980"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ASA (%)</w:t>
            </w:r>
          </w:p>
        </w:tc>
        <w:tc>
          <w:tcPr>
            <w:tcW w:w="1813" w:type="dxa"/>
            <w:noWrap/>
            <w:hideMark/>
          </w:tcPr>
          <w:p w14:paraId="492DDF02" w14:textId="1E32DD9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Type of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TNF</w:t>
            </w:r>
          </w:p>
        </w:tc>
        <w:tc>
          <w:tcPr>
            <w:tcW w:w="731" w:type="dxa"/>
            <w:noWrap/>
            <w:hideMark/>
          </w:tcPr>
          <w:p w14:paraId="7FD127FD" w14:textId="3E088BE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Combo </w:t>
            </w:r>
            <w:r w:rsidR="000117DB" w:rsidRPr="00D5385E">
              <w:rPr>
                <w:rFonts w:ascii="Book Antiqua" w:hAnsi="Book Antiqua" w:cs="Arial"/>
                <w:color w:val="000000" w:themeColor="text1"/>
                <w:sz w:val="24"/>
                <w:szCs w:val="24"/>
                <w:lang w:val="en-US"/>
              </w:rPr>
              <w:t>Therapy</w:t>
            </w:r>
            <w:r w:rsidR="001E32CA" w:rsidRPr="00D5385E">
              <w:rPr>
                <w:rFonts w:ascii="Book Antiqua" w:hAnsi="Book Antiqua" w:cs="Arial"/>
                <w:color w:val="000000" w:themeColor="text1"/>
                <w:sz w:val="24"/>
                <w:szCs w:val="24"/>
                <w:lang w:val="en-US"/>
              </w:rPr>
              <w:t xml:space="preserve"> (%)</w:t>
            </w:r>
          </w:p>
        </w:tc>
        <w:tc>
          <w:tcPr>
            <w:tcW w:w="1581" w:type="dxa"/>
            <w:noWrap/>
            <w:hideMark/>
          </w:tcPr>
          <w:p w14:paraId="15F81411" w14:textId="68EBF2C9"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Triple </w:t>
            </w:r>
            <w:r w:rsidR="008C49A1" w:rsidRPr="00D5385E">
              <w:rPr>
                <w:rFonts w:ascii="Book Antiqua" w:hAnsi="Book Antiqua" w:cs="Arial"/>
                <w:color w:val="000000" w:themeColor="text1"/>
                <w:sz w:val="24"/>
                <w:szCs w:val="24"/>
                <w:lang w:val="en-US"/>
              </w:rPr>
              <w:t>IS</w:t>
            </w:r>
            <w:r w:rsidR="001E32CA" w:rsidRPr="00D5385E">
              <w:rPr>
                <w:rFonts w:ascii="Book Antiqua" w:hAnsi="Book Antiqua" w:cs="Arial"/>
                <w:color w:val="000000" w:themeColor="text1"/>
                <w:sz w:val="24"/>
                <w:szCs w:val="24"/>
                <w:lang w:val="en-US"/>
              </w:rPr>
              <w:t xml:space="preserve"> (%)</w:t>
            </w:r>
          </w:p>
        </w:tc>
        <w:tc>
          <w:tcPr>
            <w:tcW w:w="863" w:type="dxa"/>
            <w:noWrap/>
            <w:hideMark/>
          </w:tcPr>
          <w:p w14:paraId="69268D17" w14:textId="527B8BC3"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Maligancy</w:t>
            </w:r>
            <w:proofErr w:type="spellEnd"/>
            <w:r w:rsidRPr="00D5385E">
              <w:rPr>
                <w:rFonts w:ascii="Book Antiqua" w:hAnsi="Book Antiqua" w:cs="Arial"/>
                <w:color w:val="000000" w:themeColor="text1"/>
                <w:sz w:val="24"/>
                <w:szCs w:val="24"/>
                <w:lang w:val="en-US"/>
              </w:rPr>
              <w:t xml:space="preserve"> risk</w:t>
            </w:r>
            <w:r w:rsidR="001E32CA" w:rsidRPr="00D5385E">
              <w:rPr>
                <w:rFonts w:ascii="Book Antiqua" w:hAnsi="Book Antiqua" w:cs="Arial"/>
                <w:color w:val="000000" w:themeColor="text1"/>
                <w:sz w:val="24"/>
                <w:szCs w:val="24"/>
                <w:lang w:val="en-US"/>
              </w:rPr>
              <w:t xml:space="preserve"> (%)</w:t>
            </w:r>
          </w:p>
        </w:tc>
        <w:tc>
          <w:tcPr>
            <w:tcW w:w="930" w:type="dxa"/>
            <w:noWrap/>
            <w:hideMark/>
          </w:tcPr>
          <w:p w14:paraId="06FF9F0C" w14:textId="68AD980C"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Severe infections</w:t>
            </w:r>
            <w:r w:rsidR="001E32CA" w:rsidRPr="00D5385E">
              <w:rPr>
                <w:rFonts w:ascii="Book Antiqua" w:hAnsi="Book Antiqua" w:cs="Arial"/>
                <w:color w:val="000000" w:themeColor="text1"/>
                <w:sz w:val="24"/>
                <w:szCs w:val="24"/>
                <w:lang w:val="en-US"/>
              </w:rPr>
              <w:t xml:space="preserve"> (%)</w:t>
            </w:r>
          </w:p>
        </w:tc>
        <w:tc>
          <w:tcPr>
            <w:tcW w:w="863" w:type="dxa"/>
            <w:noWrap/>
            <w:hideMark/>
          </w:tcPr>
          <w:p w14:paraId="17855439" w14:textId="206D6F72"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Mortality Risk</w:t>
            </w:r>
            <w:r w:rsidR="001E32CA"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 </w:t>
            </w:r>
          </w:p>
        </w:tc>
        <w:tc>
          <w:tcPr>
            <w:tcW w:w="1879" w:type="dxa"/>
            <w:noWrap/>
            <w:hideMark/>
          </w:tcPr>
          <w:p w14:paraId="70FCBF68" w14:textId="75E56523" w:rsidR="005D1A3E" w:rsidRPr="00D5385E" w:rsidRDefault="005D1A3E"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 xml:space="preserve">Reported </w:t>
            </w:r>
            <w:r w:rsidR="001E32CA" w:rsidRPr="00D5385E">
              <w:rPr>
                <w:rFonts w:ascii="Book Antiqua" w:eastAsiaTheme="minorHAnsi" w:hAnsi="Book Antiqua" w:cstheme="minorBidi"/>
                <w:color w:val="000000" w:themeColor="text1"/>
                <w:sz w:val="24"/>
                <w:szCs w:val="24"/>
                <w:lang w:val="en-US"/>
              </w:rPr>
              <w:t>outcomes</w:t>
            </w:r>
          </w:p>
        </w:tc>
        <w:tc>
          <w:tcPr>
            <w:tcW w:w="1879" w:type="dxa"/>
            <w:noWrap/>
            <w:hideMark/>
          </w:tcPr>
          <w:p w14:paraId="2B47FB88"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Remission at 3/6/12 months (%)</w:t>
            </w:r>
          </w:p>
        </w:tc>
        <w:tc>
          <w:tcPr>
            <w:tcW w:w="1879" w:type="dxa"/>
            <w:noWrap/>
            <w:hideMark/>
          </w:tcPr>
          <w:p w14:paraId="038968E7"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Surgery within 1 year (%)</w:t>
            </w:r>
          </w:p>
        </w:tc>
        <w:tc>
          <w:tcPr>
            <w:tcW w:w="1879" w:type="dxa"/>
            <w:noWrap/>
            <w:hideMark/>
          </w:tcPr>
          <w:p w14:paraId="498A06E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Delta % difference anti TNF (younger)</w:t>
            </w:r>
          </w:p>
        </w:tc>
        <w:tc>
          <w:tcPr>
            <w:tcW w:w="1879" w:type="dxa"/>
            <w:noWrap/>
            <w:hideMark/>
          </w:tcPr>
          <w:p w14:paraId="4F37094E"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Statistical significance</w:t>
            </w:r>
          </w:p>
        </w:tc>
      </w:tr>
      <w:tr w:rsidR="00D5385E" w:rsidRPr="00D5385E" w14:paraId="5A405A63" w14:textId="77777777" w:rsidTr="00AA4910">
        <w:trPr>
          <w:divId w:val="491410782"/>
          <w:trHeight w:val="290"/>
        </w:trPr>
        <w:tc>
          <w:tcPr>
            <w:tcW w:w="1494" w:type="dxa"/>
            <w:tcBorders>
              <w:top w:val="single" w:sz="4" w:space="0" w:color="auto"/>
            </w:tcBorders>
            <w:noWrap/>
            <w:hideMark/>
          </w:tcPr>
          <w:p w14:paraId="2554407E" w14:textId="069B63E8"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vertAlign w:val="superscript"/>
                <w:lang w:val="en-US"/>
              </w:rPr>
            </w:pPr>
            <w:proofErr w:type="spellStart"/>
            <w:r w:rsidRPr="00D5385E">
              <w:rPr>
                <w:rFonts w:ascii="Book Antiqua" w:hAnsi="Book Antiqua" w:cs="Arial"/>
                <w:color w:val="000000" w:themeColor="text1"/>
                <w:sz w:val="24"/>
                <w:szCs w:val="24"/>
                <w:lang w:val="en-US"/>
              </w:rPr>
              <w:t>Cottone</w:t>
            </w:r>
            <w:proofErr w:type="spellEnd"/>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 xml:space="preserve">et </w:t>
            </w:r>
            <w:proofErr w:type="gramStart"/>
            <w:r w:rsidR="00AA4910" w:rsidRPr="00AA4910">
              <w:rPr>
                <w:rFonts w:ascii="Book Antiqua" w:hAnsi="Book Antiqua" w:cs="Arial"/>
                <w:i/>
                <w:iCs/>
                <w:color w:val="000000" w:themeColor="text1"/>
                <w:sz w:val="24"/>
                <w:szCs w:val="24"/>
                <w:lang w:val="en-US"/>
              </w:rPr>
              <w:t>al</w:t>
            </w:r>
            <w:r w:rsidR="00B76B7C" w:rsidRPr="00D5385E">
              <w:rPr>
                <w:rFonts w:ascii="Book Antiqua" w:hAnsi="Book Antiqua" w:cs="Arial"/>
                <w:color w:val="000000" w:themeColor="text1"/>
                <w:sz w:val="24"/>
                <w:szCs w:val="24"/>
                <w:vertAlign w:val="superscript"/>
                <w:lang w:val="en-US"/>
              </w:rPr>
              <w:t>[</w:t>
            </w:r>
            <w:proofErr w:type="gramEnd"/>
            <w:r w:rsidR="00B76B7C" w:rsidRPr="00D5385E">
              <w:rPr>
                <w:rFonts w:ascii="Book Antiqua" w:hAnsi="Book Antiqua" w:cs="Arial"/>
                <w:color w:val="000000" w:themeColor="text1"/>
                <w:sz w:val="24"/>
                <w:szCs w:val="24"/>
                <w:vertAlign w:val="superscript"/>
                <w:lang w:val="en-US"/>
              </w:rPr>
              <w:t>5</w:t>
            </w:r>
            <w:r w:rsidR="00E909D4">
              <w:rPr>
                <w:rFonts w:ascii="Book Antiqua" w:hAnsi="Book Antiqua" w:cs="Arial"/>
                <w:color w:val="000000" w:themeColor="text1"/>
                <w:sz w:val="24"/>
                <w:szCs w:val="24"/>
                <w:vertAlign w:val="superscript"/>
                <w:lang w:val="en-US"/>
              </w:rPr>
              <w:t>4</w:t>
            </w:r>
            <w:r w:rsidR="00B76B7C" w:rsidRPr="00D5385E">
              <w:rPr>
                <w:rFonts w:ascii="Book Antiqua" w:hAnsi="Book Antiqua" w:cs="Arial"/>
                <w:color w:val="000000" w:themeColor="text1"/>
                <w:sz w:val="24"/>
                <w:szCs w:val="24"/>
                <w:vertAlign w:val="superscript"/>
                <w:lang w:val="en-US"/>
              </w:rPr>
              <w:t>]</w:t>
            </w:r>
            <w:r w:rsidR="00B76B7C" w:rsidRPr="00D5385E">
              <w:rPr>
                <w:rFonts w:ascii="Book Antiqua" w:hAnsi="Book Antiqua" w:cs="Arial"/>
                <w:color w:val="000000" w:themeColor="text1"/>
                <w:sz w:val="24"/>
                <w:szCs w:val="24"/>
                <w:lang w:val="en-US"/>
              </w:rPr>
              <w:t>, 2011</w:t>
            </w:r>
          </w:p>
        </w:tc>
        <w:tc>
          <w:tcPr>
            <w:tcW w:w="776" w:type="dxa"/>
            <w:tcBorders>
              <w:top w:val="single" w:sz="4" w:space="0" w:color="auto"/>
            </w:tcBorders>
            <w:noWrap/>
            <w:hideMark/>
          </w:tcPr>
          <w:p w14:paraId="2C3AE104"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Prospective</w:t>
            </w:r>
          </w:p>
        </w:tc>
        <w:tc>
          <w:tcPr>
            <w:tcW w:w="742" w:type="dxa"/>
            <w:tcBorders>
              <w:top w:val="single" w:sz="4" w:space="0" w:color="auto"/>
            </w:tcBorders>
            <w:noWrap/>
            <w:hideMark/>
          </w:tcPr>
          <w:p w14:paraId="69D7159E"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95</w:t>
            </w:r>
          </w:p>
        </w:tc>
        <w:tc>
          <w:tcPr>
            <w:tcW w:w="731" w:type="dxa"/>
            <w:tcBorders>
              <w:top w:val="single" w:sz="4" w:space="0" w:color="auto"/>
            </w:tcBorders>
            <w:noWrap/>
            <w:hideMark/>
          </w:tcPr>
          <w:p w14:paraId="7B652CF4"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65</w:t>
            </w:r>
          </w:p>
        </w:tc>
        <w:tc>
          <w:tcPr>
            <w:tcW w:w="610" w:type="dxa"/>
            <w:tcBorders>
              <w:top w:val="single" w:sz="4" w:space="0" w:color="auto"/>
            </w:tcBorders>
            <w:noWrap/>
            <w:hideMark/>
          </w:tcPr>
          <w:p w14:paraId="737A95A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71</w:t>
            </w:r>
          </w:p>
        </w:tc>
        <w:tc>
          <w:tcPr>
            <w:tcW w:w="643" w:type="dxa"/>
            <w:tcBorders>
              <w:top w:val="single" w:sz="4" w:space="0" w:color="auto"/>
            </w:tcBorders>
            <w:noWrap/>
            <w:hideMark/>
          </w:tcPr>
          <w:p w14:paraId="40CD3CF5"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42.1</w:t>
            </w:r>
          </w:p>
        </w:tc>
        <w:tc>
          <w:tcPr>
            <w:tcW w:w="543" w:type="dxa"/>
            <w:tcBorders>
              <w:top w:val="single" w:sz="4" w:space="0" w:color="auto"/>
            </w:tcBorders>
            <w:noWrap/>
            <w:hideMark/>
          </w:tcPr>
          <w:p w14:paraId="1CA84984"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38.9</w:t>
            </w:r>
          </w:p>
        </w:tc>
        <w:tc>
          <w:tcPr>
            <w:tcW w:w="1371" w:type="dxa"/>
            <w:tcBorders>
              <w:top w:val="single" w:sz="4" w:space="0" w:color="auto"/>
            </w:tcBorders>
            <w:noWrap/>
            <w:hideMark/>
          </w:tcPr>
          <w:p w14:paraId="7F18FD81"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48.6 (E1+E2) / 51.4</w:t>
            </w:r>
          </w:p>
        </w:tc>
        <w:tc>
          <w:tcPr>
            <w:tcW w:w="1393" w:type="dxa"/>
            <w:tcBorders>
              <w:top w:val="single" w:sz="4" w:space="0" w:color="auto"/>
            </w:tcBorders>
            <w:noWrap/>
            <w:hideMark/>
          </w:tcPr>
          <w:p w14:paraId="7CC232AC"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70" w:type="dxa"/>
            <w:tcBorders>
              <w:top w:val="single" w:sz="4" w:space="0" w:color="auto"/>
            </w:tcBorders>
            <w:noWrap/>
            <w:hideMark/>
          </w:tcPr>
          <w:p w14:paraId="411EF795"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34.5/27.6/37.9</w:t>
            </w:r>
          </w:p>
        </w:tc>
        <w:tc>
          <w:tcPr>
            <w:tcW w:w="1228" w:type="dxa"/>
            <w:tcBorders>
              <w:top w:val="single" w:sz="4" w:space="0" w:color="auto"/>
            </w:tcBorders>
            <w:noWrap/>
            <w:hideMark/>
          </w:tcPr>
          <w:p w14:paraId="5C0CD5C9"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272" w:type="dxa"/>
            <w:tcBorders>
              <w:top w:val="single" w:sz="4" w:space="0" w:color="auto"/>
            </w:tcBorders>
            <w:noWrap/>
            <w:hideMark/>
          </w:tcPr>
          <w:p w14:paraId="737264D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59" w:type="dxa"/>
            <w:noWrap/>
            <w:hideMark/>
          </w:tcPr>
          <w:p w14:paraId="0694AB96"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Over 0 in 83.2% </w:t>
            </w:r>
          </w:p>
        </w:tc>
        <w:tc>
          <w:tcPr>
            <w:tcW w:w="1029" w:type="dxa"/>
            <w:noWrap/>
            <w:hideMark/>
          </w:tcPr>
          <w:p w14:paraId="1087549D" w14:textId="3ECDE901"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94.7</w:t>
            </w:r>
          </w:p>
        </w:tc>
        <w:tc>
          <w:tcPr>
            <w:tcW w:w="543" w:type="dxa"/>
            <w:noWrap/>
            <w:hideMark/>
          </w:tcPr>
          <w:p w14:paraId="32C5CA9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13" w:type="dxa"/>
            <w:noWrap/>
            <w:hideMark/>
          </w:tcPr>
          <w:p w14:paraId="68F94470"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IFX 82.1%, ADA 17.9%</w:t>
            </w:r>
          </w:p>
        </w:tc>
        <w:tc>
          <w:tcPr>
            <w:tcW w:w="731" w:type="dxa"/>
            <w:noWrap/>
            <w:hideMark/>
          </w:tcPr>
          <w:p w14:paraId="3DC37120" w14:textId="70206B34"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23.2</w:t>
            </w:r>
          </w:p>
        </w:tc>
        <w:tc>
          <w:tcPr>
            <w:tcW w:w="1581" w:type="dxa"/>
            <w:noWrap/>
            <w:hideMark/>
          </w:tcPr>
          <w:p w14:paraId="0DD7BCC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863" w:type="dxa"/>
            <w:noWrap/>
            <w:hideMark/>
          </w:tcPr>
          <w:p w14:paraId="2872FF0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2.1</w:t>
            </w:r>
          </w:p>
        </w:tc>
        <w:tc>
          <w:tcPr>
            <w:tcW w:w="930" w:type="dxa"/>
            <w:noWrap/>
            <w:hideMark/>
          </w:tcPr>
          <w:p w14:paraId="5EAF9C38"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11.6</w:t>
            </w:r>
          </w:p>
        </w:tc>
        <w:tc>
          <w:tcPr>
            <w:tcW w:w="863" w:type="dxa"/>
            <w:noWrap/>
            <w:hideMark/>
          </w:tcPr>
          <w:p w14:paraId="1208EBE9"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10.5</w:t>
            </w:r>
          </w:p>
        </w:tc>
        <w:tc>
          <w:tcPr>
            <w:tcW w:w="1879" w:type="dxa"/>
            <w:noWrap/>
            <w:hideMark/>
          </w:tcPr>
          <w:p w14:paraId="7B4EFBC5" w14:textId="7C65EA5E"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1E32CA" w:rsidRPr="00D5385E">
              <w:rPr>
                <w:rFonts w:ascii="Book Antiqua" w:hAnsi="Book Antiqua" w:cs="Arial"/>
                <w:color w:val="000000" w:themeColor="text1"/>
                <w:sz w:val="24"/>
                <w:szCs w:val="24"/>
                <w:lang w:val="en-US"/>
              </w:rPr>
              <w:t>linical</w:t>
            </w:r>
          </w:p>
        </w:tc>
        <w:tc>
          <w:tcPr>
            <w:tcW w:w="1879" w:type="dxa"/>
            <w:noWrap/>
            <w:hideMark/>
          </w:tcPr>
          <w:p w14:paraId="201DA244"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63.2 (timing not available)</w:t>
            </w:r>
          </w:p>
        </w:tc>
        <w:tc>
          <w:tcPr>
            <w:tcW w:w="1879" w:type="dxa"/>
            <w:noWrap/>
            <w:hideMark/>
          </w:tcPr>
          <w:p w14:paraId="2BE6BB2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79" w:type="dxa"/>
            <w:noWrap/>
            <w:hideMark/>
          </w:tcPr>
          <w:p w14:paraId="4DA7C18E" w14:textId="4E0F7D06"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+5.3</w:t>
            </w:r>
          </w:p>
        </w:tc>
        <w:tc>
          <w:tcPr>
            <w:tcW w:w="1879" w:type="dxa"/>
            <w:noWrap/>
            <w:hideMark/>
          </w:tcPr>
          <w:p w14:paraId="37B9495E"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r>
      <w:tr w:rsidR="00D5385E" w:rsidRPr="00D5385E" w14:paraId="77E579A8" w14:textId="77777777" w:rsidTr="00AA4910">
        <w:trPr>
          <w:divId w:val="491410782"/>
          <w:trHeight w:val="290"/>
        </w:trPr>
        <w:tc>
          <w:tcPr>
            <w:tcW w:w="1494" w:type="dxa"/>
            <w:noWrap/>
            <w:hideMark/>
          </w:tcPr>
          <w:p w14:paraId="71D86D7D" w14:textId="298C8D95"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vertAlign w:val="superscript"/>
                <w:lang w:val="en-US"/>
              </w:rPr>
            </w:pPr>
            <w:r w:rsidRPr="00D5385E">
              <w:rPr>
                <w:rFonts w:ascii="Book Antiqua" w:hAnsi="Book Antiqua" w:cs="Arial"/>
                <w:color w:val="000000" w:themeColor="text1"/>
                <w:sz w:val="24"/>
                <w:szCs w:val="24"/>
                <w:lang w:val="en-US"/>
              </w:rPr>
              <w:t>Desai</w:t>
            </w:r>
            <w:r w:rsidR="00B76B7C" w:rsidRPr="00D5385E">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 xml:space="preserve">et </w:t>
            </w:r>
            <w:proofErr w:type="gramStart"/>
            <w:r w:rsidR="00AA4910" w:rsidRPr="00AA4910">
              <w:rPr>
                <w:rFonts w:ascii="Book Antiqua" w:hAnsi="Book Antiqua" w:cs="Arial"/>
                <w:i/>
                <w:iCs/>
                <w:color w:val="000000" w:themeColor="text1"/>
                <w:sz w:val="24"/>
                <w:szCs w:val="24"/>
                <w:lang w:val="en-US"/>
              </w:rPr>
              <w:t>al</w:t>
            </w:r>
            <w:r w:rsidR="00B76B7C" w:rsidRPr="00D5385E">
              <w:rPr>
                <w:rFonts w:ascii="Book Antiqua" w:hAnsi="Book Antiqua" w:cs="Arial"/>
                <w:color w:val="000000" w:themeColor="text1"/>
                <w:sz w:val="24"/>
                <w:szCs w:val="24"/>
                <w:vertAlign w:val="superscript"/>
                <w:lang w:val="en-US"/>
              </w:rPr>
              <w:t>[</w:t>
            </w:r>
            <w:proofErr w:type="gramEnd"/>
            <w:r w:rsidR="00B76B7C" w:rsidRPr="00D5385E">
              <w:rPr>
                <w:rFonts w:ascii="Book Antiqua" w:hAnsi="Book Antiqua" w:cs="Arial"/>
                <w:color w:val="000000" w:themeColor="text1"/>
                <w:sz w:val="24"/>
                <w:szCs w:val="24"/>
                <w:vertAlign w:val="superscript"/>
                <w:lang w:val="en-US"/>
              </w:rPr>
              <w:t>5</w:t>
            </w:r>
            <w:r w:rsidR="00E909D4">
              <w:rPr>
                <w:rFonts w:ascii="Book Antiqua" w:hAnsi="Book Antiqua" w:cs="Arial"/>
                <w:color w:val="000000" w:themeColor="text1"/>
                <w:sz w:val="24"/>
                <w:szCs w:val="24"/>
                <w:vertAlign w:val="superscript"/>
                <w:lang w:val="en-US"/>
              </w:rPr>
              <w:t>2</w:t>
            </w:r>
            <w:r w:rsidR="00B76B7C" w:rsidRPr="00D5385E">
              <w:rPr>
                <w:rFonts w:ascii="Book Antiqua" w:hAnsi="Book Antiqua" w:cs="Arial"/>
                <w:color w:val="000000" w:themeColor="text1"/>
                <w:sz w:val="24"/>
                <w:szCs w:val="24"/>
                <w:vertAlign w:val="superscript"/>
                <w:lang w:val="en-US"/>
              </w:rPr>
              <w:t>]</w:t>
            </w:r>
            <w:r w:rsidR="00B76B7C" w:rsidRPr="00D5385E">
              <w:rPr>
                <w:rFonts w:ascii="Book Antiqua" w:hAnsi="Book Antiqua" w:cs="Arial"/>
                <w:color w:val="000000" w:themeColor="text1"/>
                <w:sz w:val="24"/>
                <w:szCs w:val="24"/>
                <w:lang w:val="en-US"/>
              </w:rPr>
              <w:t>, 2013</w:t>
            </w:r>
          </w:p>
        </w:tc>
        <w:tc>
          <w:tcPr>
            <w:tcW w:w="776" w:type="dxa"/>
            <w:noWrap/>
            <w:hideMark/>
          </w:tcPr>
          <w:p w14:paraId="16ED5956"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742" w:type="dxa"/>
            <w:noWrap/>
            <w:hideMark/>
          </w:tcPr>
          <w:p w14:paraId="2A88F4B6"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54</w:t>
            </w:r>
          </w:p>
        </w:tc>
        <w:tc>
          <w:tcPr>
            <w:tcW w:w="731" w:type="dxa"/>
            <w:noWrap/>
            <w:hideMark/>
          </w:tcPr>
          <w:p w14:paraId="6320B3F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610" w:type="dxa"/>
            <w:noWrap/>
            <w:hideMark/>
          </w:tcPr>
          <w:p w14:paraId="78A61B38"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72.7</w:t>
            </w:r>
          </w:p>
        </w:tc>
        <w:tc>
          <w:tcPr>
            <w:tcW w:w="643" w:type="dxa"/>
            <w:noWrap/>
            <w:hideMark/>
          </w:tcPr>
          <w:p w14:paraId="176F2E87"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66.7</w:t>
            </w:r>
          </w:p>
        </w:tc>
        <w:tc>
          <w:tcPr>
            <w:tcW w:w="543" w:type="dxa"/>
            <w:noWrap/>
            <w:hideMark/>
          </w:tcPr>
          <w:p w14:paraId="1F58BC33"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31.5</w:t>
            </w:r>
          </w:p>
        </w:tc>
        <w:tc>
          <w:tcPr>
            <w:tcW w:w="1371" w:type="dxa"/>
            <w:noWrap/>
            <w:hideMark/>
          </w:tcPr>
          <w:p w14:paraId="2A38AB1F" w14:textId="08B7E45D"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393" w:type="dxa"/>
            <w:noWrap/>
            <w:hideMark/>
          </w:tcPr>
          <w:p w14:paraId="5B099FB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70" w:type="dxa"/>
            <w:noWrap/>
            <w:hideMark/>
          </w:tcPr>
          <w:p w14:paraId="1B425A46"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228" w:type="dxa"/>
            <w:noWrap/>
            <w:hideMark/>
          </w:tcPr>
          <w:p w14:paraId="5B8DFAE2"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19</w:t>
            </w:r>
          </w:p>
        </w:tc>
        <w:tc>
          <w:tcPr>
            <w:tcW w:w="1272" w:type="dxa"/>
            <w:noWrap/>
            <w:hideMark/>
          </w:tcPr>
          <w:p w14:paraId="70DE8691"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59" w:type="dxa"/>
            <w:noWrap/>
            <w:hideMark/>
          </w:tcPr>
          <w:p w14:paraId="23DD5A0B"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Mean 1.3</w:t>
            </w:r>
          </w:p>
        </w:tc>
        <w:tc>
          <w:tcPr>
            <w:tcW w:w="1029" w:type="dxa"/>
            <w:noWrap/>
            <w:hideMark/>
          </w:tcPr>
          <w:p w14:paraId="7DD42B17"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57.4</w:t>
            </w:r>
          </w:p>
        </w:tc>
        <w:tc>
          <w:tcPr>
            <w:tcW w:w="543" w:type="dxa"/>
            <w:noWrap/>
            <w:hideMark/>
          </w:tcPr>
          <w:p w14:paraId="4F85FC0D"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13" w:type="dxa"/>
            <w:noWrap/>
            <w:hideMark/>
          </w:tcPr>
          <w:p w14:paraId="622371BC"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IFX 83.3%, ADA 16.7%</w:t>
            </w:r>
          </w:p>
        </w:tc>
        <w:tc>
          <w:tcPr>
            <w:tcW w:w="731" w:type="dxa"/>
            <w:noWrap/>
            <w:hideMark/>
          </w:tcPr>
          <w:p w14:paraId="04CF3289" w14:textId="490C18CE"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31.5</w:t>
            </w:r>
          </w:p>
        </w:tc>
        <w:tc>
          <w:tcPr>
            <w:tcW w:w="1581" w:type="dxa"/>
            <w:noWrap/>
            <w:hideMark/>
          </w:tcPr>
          <w:p w14:paraId="1BD26134"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863" w:type="dxa"/>
            <w:noWrap/>
            <w:hideMark/>
          </w:tcPr>
          <w:p w14:paraId="70E7BA8A"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930" w:type="dxa"/>
            <w:noWrap/>
            <w:hideMark/>
          </w:tcPr>
          <w:p w14:paraId="04EC383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21.1</w:t>
            </w:r>
          </w:p>
        </w:tc>
        <w:tc>
          <w:tcPr>
            <w:tcW w:w="863" w:type="dxa"/>
            <w:noWrap/>
            <w:hideMark/>
          </w:tcPr>
          <w:p w14:paraId="753682F4" w14:textId="793FD223"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9.3</w:t>
            </w:r>
          </w:p>
        </w:tc>
        <w:tc>
          <w:tcPr>
            <w:tcW w:w="1879" w:type="dxa"/>
            <w:noWrap/>
            <w:hideMark/>
          </w:tcPr>
          <w:p w14:paraId="474AC214" w14:textId="6CDD25B0"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1E32CA" w:rsidRPr="00D5385E">
              <w:rPr>
                <w:rFonts w:ascii="Book Antiqua" w:hAnsi="Book Antiqua" w:cs="Arial"/>
                <w:color w:val="000000" w:themeColor="text1"/>
                <w:sz w:val="24"/>
                <w:szCs w:val="24"/>
                <w:lang w:val="en-US"/>
              </w:rPr>
              <w:t>linical</w:t>
            </w:r>
          </w:p>
        </w:tc>
        <w:tc>
          <w:tcPr>
            <w:tcW w:w="1879" w:type="dxa"/>
            <w:noWrap/>
            <w:hideMark/>
          </w:tcPr>
          <w:p w14:paraId="1A04416D"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NA/61.1/NA (partial or complete)</w:t>
            </w:r>
          </w:p>
        </w:tc>
        <w:tc>
          <w:tcPr>
            <w:tcW w:w="1879" w:type="dxa"/>
            <w:noWrap/>
            <w:hideMark/>
          </w:tcPr>
          <w:p w14:paraId="304EA301"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79" w:type="dxa"/>
            <w:noWrap/>
            <w:hideMark/>
          </w:tcPr>
          <w:p w14:paraId="53D01DE0" w14:textId="5FA727B3" w:rsidR="005D1A3E" w:rsidRPr="00D5385E" w:rsidRDefault="000A1048"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Pr>
                <w:rFonts w:ascii="Book Antiqua" w:hAnsi="Book Antiqua" w:cs="Arial"/>
                <w:color w:val="000000" w:themeColor="text1"/>
                <w:sz w:val="24"/>
                <w:szCs w:val="24"/>
                <w:lang w:val="en-US"/>
              </w:rPr>
              <w:t>-</w:t>
            </w:r>
            <w:r w:rsidR="001E32CA" w:rsidRPr="00D5385E">
              <w:rPr>
                <w:rFonts w:ascii="Book Antiqua" w:hAnsi="Book Antiqua" w:cs="Arial"/>
                <w:color w:val="000000" w:themeColor="text1"/>
                <w:sz w:val="24"/>
                <w:szCs w:val="24"/>
                <w:lang w:val="en-US"/>
              </w:rPr>
              <w:t>22.2</w:t>
            </w:r>
          </w:p>
        </w:tc>
        <w:tc>
          <w:tcPr>
            <w:tcW w:w="1879" w:type="dxa"/>
            <w:noWrap/>
            <w:hideMark/>
          </w:tcPr>
          <w:p w14:paraId="72170346"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0.01</w:t>
            </w:r>
          </w:p>
        </w:tc>
      </w:tr>
      <w:tr w:rsidR="00D5385E" w:rsidRPr="00D5385E" w14:paraId="163D1044" w14:textId="77777777" w:rsidTr="00AA4910">
        <w:trPr>
          <w:divId w:val="491410782"/>
          <w:trHeight w:val="290"/>
        </w:trPr>
        <w:tc>
          <w:tcPr>
            <w:tcW w:w="1494" w:type="dxa"/>
            <w:noWrap/>
            <w:hideMark/>
          </w:tcPr>
          <w:p w14:paraId="39790B28" w14:textId="541E0945" w:rsidR="005D1A3E" w:rsidRPr="00D5385E" w:rsidRDefault="005D1A3E" w:rsidP="00E909D4">
            <w:pPr>
              <w:adjustRightInd w:val="0"/>
              <w:snapToGrid w:val="0"/>
              <w:spacing w:after="0" w:line="360" w:lineRule="auto"/>
              <w:jc w:val="both"/>
              <w:rPr>
                <w:rFonts w:ascii="Book Antiqua" w:hAnsi="Book Antiqua" w:cs="Arial"/>
                <w:color w:val="000000" w:themeColor="text1"/>
                <w:sz w:val="24"/>
                <w:szCs w:val="24"/>
                <w:vertAlign w:val="superscript"/>
                <w:lang w:val="en-US"/>
              </w:rPr>
            </w:pPr>
            <w:proofErr w:type="spellStart"/>
            <w:r w:rsidRPr="00D5385E">
              <w:rPr>
                <w:rFonts w:ascii="Book Antiqua" w:hAnsi="Book Antiqua" w:cs="Arial"/>
                <w:color w:val="000000" w:themeColor="text1"/>
                <w:sz w:val="24"/>
                <w:szCs w:val="24"/>
                <w:lang w:val="en-US"/>
              </w:rPr>
              <w:t>Lobat</w:t>
            </w:r>
            <w:r w:rsidR="00E909D4">
              <w:rPr>
                <w:rFonts w:ascii="Book Antiqua" w:hAnsi="Book Antiqua" w:cs="Arial"/>
                <w:color w:val="000000" w:themeColor="text1"/>
                <w:sz w:val="24"/>
                <w:szCs w:val="24"/>
                <w:lang w:val="en-US"/>
              </w:rPr>
              <w:t>ó</w:t>
            </w:r>
            <w:r w:rsidRPr="00D5385E">
              <w:rPr>
                <w:rFonts w:ascii="Book Antiqua" w:hAnsi="Book Antiqua" w:cs="Arial"/>
                <w:color w:val="000000" w:themeColor="text1"/>
                <w:sz w:val="24"/>
                <w:szCs w:val="24"/>
                <w:lang w:val="en-US"/>
              </w:rPr>
              <w:t>n</w:t>
            </w:r>
            <w:proofErr w:type="spellEnd"/>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 xml:space="preserve">et </w:t>
            </w:r>
            <w:proofErr w:type="gramStart"/>
            <w:r w:rsidR="00AA4910" w:rsidRPr="00AA4910">
              <w:rPr>
                <w:rFonts w:ascii="Book Antiqua" w:hAnsi="Book Antiqua" w:cs="Arial"/>
                <w:i/>
                <w:iCs/>
                <w:color w:val="000000" w:themeColor="text1"/>
                <w:sz w:val="24"/>
                <w:szCs w:val="24"/>
                <w:lang w:val="en-US"/>
              </w:rPr>
              <w:t>al</w:t>
            </w:r>
            <w:r w:rsidR="00B76B7C" w:rsidRPr="00D5385E">
              <w:rPr>
                <w:rFonts w:ascii="Book Antiqua" w:hAnsi="Book Antiqua" w:cs="Arial"/>
                <w:color w:val="000000" w:themeColor="text1"/>
                <w:sz w:val="24"/>
                <w:szCs w:val="24"/>
                <w:vertAlign w:val="superscript"/>
                <w:lang w:val="en-US"/>
              </w:rPr>
              <w:t>[</w:t>
            </w:r>
            <w:proofErr w:type="gramEnd"/>
            <w:r w:rsidR="00B76B7C" w:rsidRPr="00D5385E">
              <w:rPr>
                <w:rFonts w:ascii="Book Antiqua" w:hAnsi="Book Antiqua" w:cs="Arial"/>
                <w:color w:val="000000" w:themeColor="text1"/>
                <w:sz w:val="24"/>
                <w:szCs w:val="24"/>
                <w:vertAlign w:val="superscript"/>
                <w:lang w:val="en-US"/>
              </w:rPr>
              <w:t>5</w:t>
            </w:r>
            <w:r w:rsidR="00E909D4">
              <w:rPr>
                <w:rFonts w:ascii="Book Antiqua" w:hAnsi="Book Antiqua" w:cs="Arial"/>
                <w:color w:val="000000" w:themeColor="text1"/>
                <w:sz w:val="24"/>
                <w:szCs w:val="24"/>
                <w:vertAlign w:val="superscript"/>
                <w:lang w:val="en-US"/>
              </w:rPr>
              <w:t>1</w:t>
            </w:r>
            <w:r w:rsidR="00B76B7C" w:rsidRPr="00D5385E">
              <w:rPr>
                <w:rFonts w:ascii="Book Antiqua" w:hAnsi="Book Antiqua" w:cs="Arial"/>
                <w:color w:val="000000" w:themeColor="text1"/>
                <w:sz w:val="24"/>
                <w:szCs w:val="24"/>
                <w:vertAlign w:val="superscript"/>
                <w:lang w:val="en-US"/>
              </w:rPr>
              <w:t>]</w:t>
            </w:r>
            <w:r w:rsidR="00B76B7C" w:rsidRPr="00D5385E">
              <w:rPr>
                <w:rFonts w:ascii="Book Antiqua" w:hAnsi="Book Antiqua" w:cs="Arial"/>
                <w:color w:val="000000" w:themeColor="text1"/>
                <w:sz w:val="24"/>
                <w:szCs w:val="24"/>
                <w:lang w:val="en-US"/>
              </w:rPr>
              <w:t>, 2015</w:t>
            </w:r>
            <w:r w:rsidR="00B76B7C" w:rsidRPr="00D5385E">
              <w:rPr>
                <w:rFonts w:ascii="Book Antiqua" w:hAnsi="Book Antiqua" w:cs="Arial"/>
                <w:color w:val="000000" w:themeColor="text1"/>
                <w:sz w:val="24"/>
                <w:szCs w:val="24"/>
                <w:vertAlign w:val="superscript"/>
                <w:lang w:val="en-US"/>
              </w:rPr>
              <w:t xml:space="preserve"> </w:t>
            </w:r>
          </w:p>
        </w:tc>
        <w:tc>
          <w:tcPr>
            <w:tcW w:w="776" w:type="dxa"/>
            <w:noWrap/>
            <w:hideMark/>
          </w:tcPr>
          <w:p w14:paraId="73ADD160"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742" w:type="dxa"/>
            <w:noWrap/>
            <w:hideMark/>
          </w:tcPr>
          <w:p w14:paraId="6E463387"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66</w:t>
            </w:r>
          </w:p>
        </w:tc>
        <w:tc>
          <w:tcPr>
            <w:tcW w:w="731" w:type="dxa"/>
            <w:noWrap/>
            <w:hideMark/>
          </w:tcPr>
          <w:p w14:paraId="1633B25D"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65</w:t>
            </w:r>
          </w:p>
        </w:tc>
        <w:tc>
          <w:tcPr>
            <w:tcW w:w="610" w:type="dxa"/>
            <w:noWrap/>
            <w:hideMark/>
          </w:tcPr>
          <w:p w14:paraId="584E580D"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70</w:t>
            </w:r>
          </w:p>
        </w:tc>
        <w:tc>
          <w:tcPr>
            <w:tcW w:w="643" w:type="dxa"/>
            <w:noWrap/>
            <w:hideMark/>
          </w:tcPr>
          <w:p w14:paraId="5094C263"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59</w:t>
            </w:r>
          </w:p>
        </w:tc>
        <w:tc>
          <w:tcPr>
            <w:tcW w:w="543" w:type="dxa"/>
            <w:noWrap/>
            <w:hideMark/>
          </w:tcPr>
          <w:p w14:paraId="75F23DBB"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45</w:t>
            </w:r>
          </w:p>
        </w:tc>
        <w:tc>
          <w:tcPr>
            <w:tcW w:w="1371" w:type="dxa"/>
            <w:noWrap/>
            <w:hideMark/>
          </w:tcPr>
          <w:p w14:paraId="6937331B"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0/37/63</w:t>
            </w:r>
          </w:p>
        </w:tc>
        <w:tc>
          <w:tcPr>
            <w:tcW w:w="1393" w:type="dxa"/>
            <w:noWrap/>
            <w:hideMark/>
          </w:tcPr>
          <w:p w14:paraId="05B07C89"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40/50/10</w:t>
            </w:r>
          </w:p>
        </w:tc>
        <w:tc>
          <w:tcPr>
            <w:tcW w:w="1570" w:type="dxa"/>
            <w:noWrap/>
            <w:hideMark/>
          </w:tcPr>
          <w:p w14:paraId="5EA6528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16/37/44/3</w:t>
            </w:r>
          </w:p>
        </w:tc>
        <w:tc>
          <w:tcPr>
            <w:tcW w:w="1228" w:type="dxa"/>
            <w:noWrap/>
            <w:hideMark/>
          </w:tcPr>
          <w:p w14:paraId="2DBA1A08"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w:t>
            </w:r>
          </w:p>
        </w:tc>
        <w:tc>
          <w:tcPr>
            <w:tcW w:w="1272" w:type="dxa"/>
            <w:noWrap/>
            <w:hideMark/>
          </w:tcPr>
          <w:p w14:paraId="578575D4"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w:t>
            </w:r>
          </w:p>
        </w:tc>
        <w:tc>
          <w:tcPr>
            <w:tcW w:w="1559" w:type="dxa"/>
            <w:noWrap/>
            <w:hideMark/>
          </w:tcPr>
          <w:p w14:paraId="3606267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Over 0 in 49% of cases</w:t>
            </w:r>
          </w:p>
        </w:tc>
        <w:tc>
          <w:tcPr>
            <w:tcW w:w="1029" w:type="dxa"/>
            <w:noWrap/>
            <w:hideMark/>
          </w:tcPr>
          <w:p w14:paraId="24FDDADA"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543" w:type="dxa"/>
            <w:noWrap/>
            <w:hideMark/>
          </w:tcPr>
          <w:p w14:paraId="39C1A534"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13" w:type="dxa"/>
            <w:noWrap/>
            <w:hideMark/>
          </w:tcPr>
          <w:p w14:paraId="54EB84B8"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IFX 96%, ADA 4%</w:t>
            </w:r>
          </w:p>
        </w:tc>
        <w:tc>
          <w:tcPr>
            <w:tcW w:w="731" w:type="dxa"/>
            <w:noWrap/>
            <w:hideMark/>
          </w:tcPr>
          <w:p w14:paraId="6A4F75F6"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81" w:type="dxa"/>
            <w:noWrap/>
            <w:hideMark/>
          </w:tcPr>
          <w:p w14:paraId="056D4685"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863" w:type="dxa"/>
            <w:noWrap/>
            <w:hideMark/>
          </w:tcPr>
          <w:p w14:paraId="4C372239"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w:t>
            </w:r>
          </w:p>
        </w:tc>
        <w:tc>
          <w:tcPr>
            <w:tcW w:w="930" w:type="dxa"/>
            <w:noWrap/>
            <w:hideMark/>
          </w:tcPr>
          <w:p w14:paraId="7A28D09A" w14:textId="5EDC8D32"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15</w:t>
            </w:r>
          </w:p>
        </w:tc>
        <w:tc>
          <w:tcPr>
            <w:tcW w:w="863" w:type="dxa"/>
            <w:noWrap/>
            <w:hideMark/>
          </w:tcPr>
          <w:p w14:paraId="0AD7935E" w14:textId="77777777" w:rsidR="005D1A3E" w:rsidRPr="00D5385E" w:rsidRDefault="005D1A3E"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5.00%</w:t>
            </w:r>
          </w:p>
        </w:tc>
        <w:tc>
          <w:tcPr>
            <w:tcW w:w="1879" w:type="dxa"/>
            <w:noWrap/>
            <w:hideMark/>
          </w:tcPr>
          <w:p w14:paraId="0B3D3486" w14:textId="350C134A" w:rsidR="005D1A3E" w:rsidRPr="00D5385E" w:rsidRDefault="001E32CA"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Clinical</w:t>
            </w:r>
          </w:p>
        </w:tc>
        <w:tc>
          <w:tcPr>
            <w:tcW w:w="1879" w:type="dxa"/>
            <w:noWrap/>
            <w:hideMark/>
          </w:tcPr>
          <w:p w14:paraId="4614B512"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68/79/NA</w:t>
            </w:r>
          </w:p>
        </w:tc>
        <w:tc>
          <w:tcPr>
            <w:tcW w:w="1879" w:type="dxa"/>
            <w:noWrap/>
            <w:hideMark/>
          </w:tcPr>
          <w:p w14:paraId="23735CD1"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17</w:t>
            </w:r>
          </w:p>
        </w:tc>
        <w:tc>
          <w:tcPr>
            <w:tcW w:w="1879" w:type="dxa"/>
            <w:noWrap/>
            <w:hideMark/>
          </w:tcPr>
          <w:p w14:paraId="1BBC7946" w14:textId="788CA148" w:rsidR="005D1A3E" w:rsidRPr="00D5385E" w:rsidRDefault="000A1048"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Pr>
                <w:rFonts w:ascii="Book Antiqua" w:hAnsi="Book Antiqua" w:cs="Arial"/>
                <w:color w:val="000000" w:themeColor="text1"/>
                <w:sz w:val="24"/>
                <w:szCs w:val="24"/>
                <w:lang w:val="en-US"/>
              </w:rPr>
              <w:t>-</w:t>
            </w:r>
            <w:r w:rsidR="001E32CA" w:rsidRPr="00D5385E">
              <w:rPr>
                <w:rFonts w:ascii="Book Antiqua" w:hAnsi="Book Antiqua" w:cs="Arial"/>
                <w:color w:val="000000" w:themeColor="text1"/>
                <w:sz w:val="24"/>
                <w:szCs w:val="24"/>
                <w:lang w:val="en-US"/>
              </w:rPr>
              <w:t>21</w:t>
            </w:r>
          </w:p>
        </w:tc>
        <w:tc>
          <w:tcPr>
            <w:tcW w:w="1879" w:type="dxa"/>
            <w:noWrap/>
            <w:hideMark/>
          </w:tcPr>
          <w:p w14:paraId="2885208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0.001</w:t>
            </w:r>
          </w:p>
        </w:tc>
      </w:tr>
      <w:tr w:rsidR="00D5385E" w:rsidRPr="00D5385E" w14:paraId="0A6F3D01" w14:textId="77777777" w:rsidTr="00AA4910">
        <w:trPr>
          <w:divId w:val="491410782"/>
          <w:trHeight w:val="290"/>
        </w:trPr>
        <w:tc>
          <w:tcPr>
            <w:tcW w:w="1494" w:type="dxa"/>
            <w:noWrap/>
            <w:hideMark/>
          </w:tcPr>
          <w:p w14:paraId="3FA5CFE7" w14:textId="32328765"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vertAlign w:val="superscript"/>
                <w:lang w:val="en-US"/>
              </w:rPr>
            </w:pPr>
            <w:r w:rsidRPr="00D5385E">
              <w:rPr>
                <w:rFonts w:ascii="Book Antiqua" w:hAnsi="Book Antiqua" w:cs="Arial"/>
                <w:color w:val="000000" w:themeColor="text1"/>
                <w:sz w:val="24"/>
                <w:szCs w:val="24"/>
                <w:lang w:val="en-US"/>
              </w:rPr>
              <w:t>Adar</w:t>
            </w:r>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 xml:space="preserve">et </w:t>
            </w:r>
            <w:proofErr w:type="gramStart"/>
            <w:r w:rsidR="00AA4910" w:rsidRPr="00AA4910">
              <w:rPr>
                <w:rFonts w:ascii="Book Antiqua" w:hAnsi="Book Antiqua" w:cs="Arial"/>
                <w:i/>
                <w:iCs/>
                <w:color w:val="000000" w:themeColor="text1"/>
                <w:sz w:val="24"/>
                <w:szCs w:val="24"/>
                <w:lang w:val="en-US"/>
              </w:rPr>
              <w:t>al</w:t>
            </w:r>
            <w:r w:rsidR="00B76B7C" w:rsidRPr="00D5385E">
              <w:rPr>
                <w:rFonts w:ascii="Book Antiqua" w:hAnsi="Book Antiqua" w:cs="Arial"/>
                <w:color w:val="000000" w:themeColor="text1"/>
                <w:sz w:val="24"/>
                <w:szCs w:val="24"/>
                <w:vertAlign w:val="superscript"/>
                <w:lang w:val="en-US"/>
              </w:rPr>
              <w:t>[</w:t>
            </w:r>
            <w:proofErr w:type="gramEnd"/>
            <w:r w:rsidR="00B76B7C" w:rsidRPr="00D5385E">
              <w:rPr>
                <w:rFonts w:ascii="Book Antiqua" w:hAnsi="Book Antiqua" w:cs="Arial"/>
                <w:color w:val="000000" w:themeColor="text1"/>
                <w:sz w:val="24"/>
                <w:szCs w:val="24"/>
                <w:vertAlign w:val="superscript"/>
                <w:lang w:val="en-US"/>
              </w:rPr>
              <w:t>5</w:t>
            </w:r>
            <w:r w:rsidR="00E909D4">
              <w:rPr>
                <w:rFonts w:ascii="Book Antiqua" w:hAnsi="Book Antiqua" w:cs="Arial"/>
                <w:color w:val="000000" w:themeColor="text1"/>
                <w:sz w:val="24"/>
                <w:szCs w:val="24"/>
                <w:vertAlign w:val="superscript"/>
                <w:lang w:val="en-US"/>
              </w:rPr>
              <w:t>3</w:t>
            </w:r>
            <w:r w:rsidR="00B76B7C" w:rsidRPr="00D5385E">
              <w:rPr>
                <w:rFonts w:ascii="Book Antiqua" w:hAnsi="Book Antiqua" w:cs="Arial"/>
                <w:color w:val="000000" w:themeColor="text1"/>
                <w:sz w:val="24"/>
                <w:szCs w:val="24"/>
                <w:vertAlign w:val="superscript"/>
                <w:lang w:val="en-US"/>
              </w:rPr>
              <w:t>]</w:t>
            </w:r>
            <w:r w:rsidR="00B76B7C" w:rsidRPr="00D5385E">
              <w:rPr>
                <w:rFonts w:ascii="Book Antiqua" w:hAnsi="Book Antiqua" w:cs="Arial"/>
                <w:color w:val="000000" w:themeColor="text1"/>
                <w:sz w:val="24"/>
                <w:szCs w:val="24"/>
                <w:lang w:val="en-US"/>
              </w:rPr>
              <w:t>, 2019</w:t>
            </w:r>
          </w:p>
        </w:tc>
        <w:tc>
          <w:tcPr>
            <w:tcW w:w="776" w:type="dxa"/>
            <w:noWrap/>
            <w:hideMark/>
          </w:tcPr>
          <w:p w14:paraId="5725AA88"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742" w:type="dxa"/>
            <w:noWrap/>
            <w:hideMark/>
          </w:tcPr>
          <w:p w14:paraId="5B0C0689"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131</w:t>
            </w:r>
          </w:p>
        </w:tc>
        <w:tc>
          <w:tcPr>
            <w:tcW w:w="731" w:type="dxa"/>
            <w:noWrap/>
            <w:hideMark/>
          </w:tcPr>
          <w:p w14:paraId="77639B85"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610" w:type="dxa"/>
            <w:noWrap/>
            <w:hideMark/>
          </w:tcPr>
          <w:p w14:paraId="435230C8"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68</w:t>
            </w:r>
          </w:p>
        </w:tc>
        <w:tc>
          <w:tcPr>
            <w:tcW w:w="643" w:type="dxa"/>
            <w:noWrap/>
            <w:hideMark/>
          </w:tcPr>
          <w:p w14:paraId="43263F0C"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42</w:t>
            </w:r>
          </w:p>
        </w:tc>
        <w:tc>
          <w:tcPr>
            <w:tcW w:w="543" w:type="dxa"/>
            <w:noWrap/>
            <w:hideMark/>
          </w:tcPr>
          <w:p w14:paraId="2D4D99C2"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45</w:t>
            </w:r>
          </w:p>
        </w:tc>
        <w:tc>
          <w:tcPr>
            <w:tcW w:w="1371" w:type="dxa"/>
            <w:noWrap/>
            <w:hideMark/>
          </w:tcPr>
          <w:p w14:paraId="15107E9F"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 / NA / 54</w:t>
            </w:r>
          </w:p>
        </w:tc>
        <w:tc>
          <w:tcPr>
            <w:tcW w:w="1393" w:type="dxa"/>
            <w:noWrap/>
            <w:hideMark/>
          </w:tcPr>
          <w:p w14:paraId="34D656C1"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34/34/32</w:t>
            </w:r>
          </w:p>
        </w:tc>
        <w:tc>
          <w:tcPr>
            <w:tcW w:w="1570" w:type="dxa"/>
            <w:noWrap/>
            <w:hideMark/>
          </w:tcPr>
          <w:p w14:paraId="1DCAFE69"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21/27/52/0</w:t>
            </w:r>
          </w:p>
        </w:tc>
        <w:tc>
          <w:tcPr>
            <w:tcW w:w="1228" w:type="dxa"/>
            <w:noWrap/>
            <w:hideMark/>
          </w:tcPr>
          <w:p w14:paraId="0F8EC2E3" w14:textId="77777777" w:rsidR="005D1A3E" w:rsidRPr="00D5385E" w:rsidRDefault="005D1A3E"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13</w:t>
            </w:r>
          </w:p>
        </w:tc>
        <w:tc>
          <w:tcPr>
            <w:tcW w:w="1272" w:type="dxa"/>
            <w:noWrap/>
            <w:hideMark/>
          </w:tcPr>
          <w:p w14:paraId="72D72F8A"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32</w:t>
            </w:r>
          </w:p>
        </w:tc>
        <w:tc>
          <w:tcPr>
            <w:tcW w:w="1559" w:type="dxa"/>
            <w:noWrap/>
            <w:hideMark/>
          </w:tcPr>
          <w:p w14:paraId="4447C05C"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Mean 4</w:t>
            </w:r>
          </w:p>
        </w:tc>
        <w:tc>
          <w:tcPr>
            <w:tcW w:w="1029" w:type="dxa"/>
            <w:noWrap/>
            <w:hideMark/>
          </w:tcPr>
          <w:p w14:paraId="0FAB73C0"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543" w:type="dxa"/>
            <w:noWrap/>
            <w:hideMark/>
          </w:tcPr>
          <w:p w14:paraId="3F84368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13" w:type="dxa"/>
            <w:noWrap/>
            <w:hideMark/>
          </w:tcPr>
          <w:p w14:paraId="4E2DF36D"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IFX 81%, ADA 17%, GOL 2%, CTZ 1%</w:t>
            </w:r>
          </w:p>
        </w:tc>
        <w:tc>
          <w:tcPr>
            <w:tcW w:w="731" w:type="dxa"/>
            <w:noWrap/>
            <w:hideMark/>
          </w:tcPr>
          <w:p w14:paraId="53E07084" w14:textId="06974997"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36</w:t>
            </w:r>
          </w:p>
        </w:tc>
        <w:tc>
          <w:tcPr>
            <w:tcW w:w="1581" w:type="dxa"/>
            <w:noWrap/>
            <w:hideMark/>
          </w:tcPr>
          <w:p w14:paraId="64496293" w14:textId="092E6DE7" w:rsidR="005D1A3E" w:rsidRPr="00D5385E" w:rsidRDefault="001E32CA" w:rsidP="00D5385E">
            <w:pPr>
              <w:adjustRightInd w:val="0"/>
              <w:snapToGrid w:val="0"/>
              <w:spacing w:after="0" w:line="360" w:lineRule="auto"/>
              <w:jc w:val="both"/>
              <w:rPr>
                <w:rFonts w:ascii="Book Antiqua" w:eastAsiaTheme="minorHAnsi" w:hAnsi="Book Antiqua" w:cstheme="minorBidi"/>
                <w:color w:val="000000" w:themeColor="text1"/>
                <w:sz w:val="24"/>
                <w:szCs w:val="24"/>
                <w:lang w:val="en-US"/>
              </w:rPr>
            </w:pPr>
            <w:r w:rsidRPr="00D5385E">
              <w:rPr>
                <w:rFonts w:ascii="Book Antiqua" w:hAnsi="Book Antiqua" w:cs="Arial"/>
                <w:color w:val="000000" w:themeColor="text1"/>
                <w:sz w:val="24"/>
                <w:szCs w:val="24"/>
                <w:lang w:val="en-US"/>
              </w:rPr>
              <w:t>21</w:t>
            </w:r>
          </w:p>
        </w:tc>
        <w:tc>
          <w:tcPr>
            <w:tcW w:w="863" w:type="dxa"/>
            <w:noWrap/>
            <w:hideMark/>
          </w:tcPr>
          <w:p w14:paraId="6E578D72"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w:t>
            </w:r>
          </w:p>
        </w:tc>
        <w:tc>
          <w:tcPr>
            <w:tcW w:w="930" w:type="dxa"/>
            <w:noWrap/>
            <w:hideMark/>
          </w:tcPr>
          <w:p w14:paraId="2FDA4BC5"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20 within 1 year</w:t>
            </w:r>
          </w:p>
        </w:tc>
        <w:tc>
          <w:tcPr>
            <w:tcW w:w="863" w:type="dxa"/>
            <w:noWrap/>
            <w:hideMark/>
          </w:tcPr>
          <w:p w14:paraId="64999A0F"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79" w:type="dxa"/>
            <w:noWrap/>
            <w:hideMark/>
          </w:tcPr>
          <w:p w14:paraId="73B814F3" w14:textId="3A67AF22" w:rsidR="005D1A3E" w:rsidRPr="00D5385E" w:rsidRDefault="001E32CA"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Clinical</w:t>
            </w:r>
          </w:p>
        </w:tc>
        <w:tc>
          <w:tcPr>
            <w:tcW w:w="1879" w:type="dxa"/>
            <w:noWrap/>
            <w:hideMark/>
          </w:tcPr>
          <w:p w14:paraId="7808B6DE"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50/54/58</w:t>
            </w:r>
          </w:p>
        </w:tc>
        <w:tc>
          <w:tcPr>
            <w:tcW w:w="1879" w:type="dxa"/>
            <w:noWrap/>
            <w:hideMark/>
          </w:tcPr>
          <w:p w14:paraId="015C67F3"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11</w:t>
            </w:r>
          </w:p>
        </w:tc>
        <w:tc>
          <w:tcPr>
            <w:tcW w:w="1879" w:type="dxa"/>
            <w:noWrap/>
            <w:hideMark/>
          </w:tcPr>
          <w:p w14:paraId="510C8E26"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879" w:type="dxa"/>
            <w:noWrap/>
            <w:hideMark/>
          </w:tcPr>
          <w:p w14:paraId="69B61C79" w14:textId="77777777" w:rsidR="005D1A3E" w:rsidRPr="00D5385E" w:rsidRDefault="005D1A3E"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r>
    </w:tbl>
    <w:p w14:paraId="0B2A3D42" w14:textId="07147FF7" w:rsidR="004170CD" w:rsidRPr="00D5385E" w:rsidRDefault="00F53BAB"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fldChar w:fldCharType="end"/>
      </w:r>
      <w:r w:rsidR="000117DB" w:rsidRPr="00D5385E">
        <w:rPr>
          <w:rFonts w:ascii="Book Antiqua" w:hAnsi="Book Antiqua" w:cs="Arial"/>
          <w:color w:val="000000" w:themeColor="text1"/>
          <w:sz w:val="24"/>
          <w:szCs w:val="24"/>
          <w:lang w:val="en-US"/>
        </w:rPr>
        <w:t xml:space="preserve">UC: </w:t>
      </w:r>
      <w:r w:rsidR="00AA4910">
        <w:rPr>
          <w:rFonts w:ascii="Book Antiqua" w:hAnsi="Book Antiqua" w:cs="Arial"/>
          <w:color w:val="000000" w:themeColor="text1"/>
          <w:sz w:val="24"/>
          <w:szCs w:val="24"/>
          <w:lang w:val="en-US"/>
        </w:rPr>
        <w:t>U</w:t>
      </w:r>
      <w:r w:rsidR="000117DB" w:rsidRPr="00D5385E">
        <w:rPr>
          <w:rFonts w:ascii="Book Antiqua" w:hAnsi="Book Antiqua" w:cs="Arial"/>
          <w:color w:val="000000" w:themeColor="text1"/>
          <w:sz w:val="24"/>
          <w:szCs w:val="24"/>
          <w:lang w:val="en-US"/>
        </w:rPr>
        <w:t>lcerative colitis</w:t>
      </w:r>
      <w:r w:rsidR="00AA4910">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 xml:space="preserve"> </w:t>
      </w:r>
      <w:r w:rsidR="008C49A1" w:rsidRPr="00D5385E">
        <w:rPr>
          <w:rFonts w:ascii="Book Antiqua" w:hAnsi="Book Antiqua" w:cs="Arial"/>
          <w:color w:val="000000" w:themeColor="text1"/>
          <w:sz w:val="24"/>
          <w:szCs w:val="24"/>
          <w:lang w:val="en-US"/>
        </w:rPr>
        <w:t xml:space="preserve">E1: </w:t>
      </w:r>
      <w:r w:rsidR="00AA4910">
        <w:rPr>
          <w:rFonts w:ascii="Book Antiqua" w:hAnsi="Book Antiqua" w:cs="Arial"/>
          <w:color w:val="000000" w:themeColor="text1"/>
          <w:sz w:val="24"/>
          <w:szCs w:val="24"/>
          <w:lang w:val="en-US"/>
        </w:rPr>
        <w:t>P</w:t>
      </w:r>
      <w:r w:rsidR="008C49A1" w:rsidRPr="00D5385E">
        <w:rPr>
          <w:rFonts w:ascii="Book Antiqua" w:hAnsi="Book Antiqua" w:cs="Arial"/>
          <w:color w:val="000000" w:themeColor="text1"/>
          <w:sz w:val="24"/>
          <w:szCs w:val="24"/>
          <w:lang w:val="en-US"/>
        </w:rPr>
        <w:t>roctitis</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E2: </w:t>
      </w:r>
      <w:r w:rsidR="00AA4910">
        <w:rPr>
          <w:rFonts w:ascii="Book Antiqua" w:hAnsi="Book Antiqua" w:cs="Arial"/>
          <w:color w:val="000000" w:themeColor="text1"/>
          <w:sz w:val="24"/>
          <w:szCs w:val="24"/>
          <w:lang w:val="en-US"/>
        </w:rPr>
        <w:t>L</w:t>
      </w:r>
      <w:r w:rsidR="008C49A1" w:rsidRPr="00D5385E">
        <w:rPr>
          <w:rFonts w:ascii="Book Antiqua" w:hAnsi="Book Antiqua" w:cs="Arial"/>
          <w:color w:val="000000" w:themeColor="text1"/>
          <w:sz w:val="24"/>
          <w:szCs w:val="24"/>
          <w:lang w:val="en-US"/>
        </w:rPr>
        <w:t>eft</w:t>
      </w:r>
      <w:r w:rsidR="000A1048">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sided colitis</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E3: </w:t>
      </w:r>
      <w:r w:rsidR="00AA4910">
        <w:rPr>
          <w:rFonts w:ascii="Book Antiqua" w:hAnsi="Book Antiqua" w:cs="Arial"/>
          <w:color w:val="000000" w:themeColor="text1"/>
          <w:sz w:val="24"/>
          <w:szCs w:val="24"/>
          <w:lang w:val="en-US"/>
        </w:rPr>
        <w:t>P</w:t>
      </w:r>
      <w:r w:rsidR="008C49A1" w:rsidRPr="00D5385E">
        <w:rPr>
          <w:rFonts w:ascii="Book Antiqua" w:hAnsi="Book Antiqua" w:cs="Arial"/>
          <w:color w:val="000000" w:themeColor="text1"/>
          <w:sz w:val="24"/>
          <w:szCs w:val="24"/>
          <w:lang w:val="en-US"/>
        </w:rPr>
        <w:t>ancolitis</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w:t>
      </w:r>
      <w:r w:rsidR="000117DB" w:rsidRPr="00D5385E">
        <w:rPr>
          <w:rFonts w:ascii="Book Antiqua" w:hAnsi="Book Antiqua" w:cs="Arial"/>
          <w:color w:val="000000" w:themeColor="text1"/>
          <w:sz w:val="24"/>
          <w:szCs w:val="24"/>
          <w:lang w:val="en-US"/>
        </w:rPr>
        <w:t>CD: Crohn’s disease</w:t>
      </w:r>
      <w:r w:rsidR="00AA4910">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 xml:space="preserve"> </w:t>
      </w:r>
      <w:r w:rsidR="008C49A1" w:rsidRPr="00D5385E">
        <w:rPr>
          <w:rFonts w:ascii="Book Antiqua" w:hAnsi="Book Antiqua" w:cs="Arial"/>
          <w:color w:val="000000" w:themeColor="text1"/>
          <w:sz w:val="24"/>
          <w:szCs w:val="24"/>
          <w:lang w:val="en-US"/>
        </w:rPr>
        <w:t xml:space="preserve">B1: </w:t>
      </w:r>
      <w:proofErr w:type="spellStart"/>
      <w:r w:rsidR="00AA4910">
        <w:rPr>
          <w:rFonts w:ascii="Book Antiqua" w:hAnsi="Book Antiqua" w:cs="Arial"/>
          <w:color w:val="000000" w:themeColor="text1"/>
          <w:sz w:val="24"/>
          <w:szCs w:val="24"/>
          <w:lang w:val="en-US"/>
        </w:rPr>
        <w:t>N</w:t>
      </w:r>
      <w:r w:rsidR="008C49A1" w:rsidRPr="00D5385E">
        <w:rPr>
          <w:rFonts w:ascii="Book Antiqua" w:hAnsi="Book Antiqua" w:cs="Arial"/>
          <w:color w:val="000000" w:themeColor="text1"/>
          <w:sz w:val="24"/>
          <w:szCs w:val="24"/>
          <w:lang w:val="en-US"/>
        </w:rPr>
        <w:t>onsticturing</w:t>
      </w:r>
      <w:proofErr w:type="spellEnd"/>
      <w:r w:rsidR="008C49A1" w:rsidRPr="00D5385E">
        <w:rPr>
          <w:rFonts w:ascii="Book Antiqua" w:hAnsi="Book Antiqua" w:cs="Arial"/>
          <w:color w:val="000000" w:themeColor="text1"/>
          <w:sz w:val="24"/>
          <w:szCs w:val="24"/>
          <w:lang w:val="en-US"/>
        </w:rPr>
        <w:t>, nonpenetrating</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B2: </w:t>
      </w:r>
      <w:proofErr w:type="spellStart"/>
      <w:r w:rsidR="00AA4910">
        <w:rPr>
          <w:rFonts w:ascii="Book Antiqua" w:hAnsi="Book Antiqua" w:cs="Arial"/>
          <w:color w:val="000000" w:themeColor="text1"/>
          <w:sz w:val="24"/>
          <w:szCs w:val="24"/>
          <w:lang w:val="en-US"/>
        </w:rPr>
        <w:t>S</w:t>
      </w:r>
      <w:r w:rsidR="008C49A1" w:rsidRPr="00D5385E">
        <w:rPr>
          <w:rFonts w:ascii="Book Antiqua" w:hAnsi="Book Antiqua" w:cs="Arial"/>
          <w:color w:val="000000" w:themeColor="text1"/>
          <w:sz w:val="24"/>
          <w:szCs w:val="24"/>
          <w:lang w:val="en-US"/>
        </w:rPr>
        <w:t>tricturing</w:t>
      </w:r>
      <w:proofErr w:type="spellEnd"/>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B3: </w:t>
      </w:r>
      <w:r w:rsidR="00AA4910">
        <w:rPr>
          <w:rFonts w:ascii="Book Antiqua" w:hAnsi="Book Antiqua" w:cs="Arial"/>
          <w:color w:val="000000" w:themeColor="text1"/>
          <w:sz w:val="24"/>
          <w:szCs w:val="24"/>
          <w:lang w:val="en-US"/>
        </w:rPr>
        <w:t>P</w:t>
      </w:r>
      <w:r w:rsidR="008C49A1" w:rsidRPr="00D5385E">
        <w:rPr>
          <w:rFonts w:ascii="Book Antiqua" w:hAnsi="Book Antiqua" w:cs="Arial"/>
          <w:color w:val="000000" w:themeColor="text1"/>
          <w:sz w:val="24"/>
          <w:szCs w:val="24"/>
          <w:lang w:val="en-US"/>
        </w:rPr>
        <w:t>enetrating</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L1: </w:t>
      </w:r>
      <w:r w:rsidR="00AA4910">
        <w:rPr>
          <w:rFonts w:ascii="Book Antiqua" w:hAnsi="Book Antiqua" w:cs="Arial"/>
          <w:color w:val="000000" w:themeColor="text1"/>
          <w:sz w:val="24"/>
          <w:szCs w:val="24"/>
          <w:lang w:val="en-US"/>
        </w:rPr>
        <w:t>T</w:t>
      </w:r>
      <w:r w:rsidR="008C49A1" w:rsidRPr="00D5385E">
        <w:rPr>
          <w:rFonts w:ascii="Book Antiqua" w:hAnsi="Book Antiqua" w:cs="Arial"/>
          <w:color w:val="000000" w:themeColor="text1"/>
          <w:sz w:val="24"/>
          <w:szCs w:val="24"/>
          <w:lang w:val="en-US"/>
        </w:rPr>
        <w:t>erminal ileum</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L2: </w:t>
      </w:r>
      <w:r w:rsidR="00AA4910">
        <w:rPr>
          <w:rFonts w:ascii="Book Antiqua" w:hAnsi="Book Antiqua" w:cs="Arial"/>
          <w:color w:val="000000" w:themeColor="text1"/>
          <w:sz w:val="24"/>
          <w:szCs w:val="24"/>
          <w:lang w:val="en-US"/>
        </w:rPr>
        <w:t>C</w:t>
      </w:r>
      <w:r w:rsidR="008C49A1" w:rsidRPr="00D5385E">
        <w:rPr>
          <w:rFonts w:ascii="Book Antiqua" w:hAnsi="Book Antiqua" w:cs="Arial"/>
          <w:color w:val="000000" w:themeColor="text1"/>
          <w:sz w:val="24"/>
          <w:szCs w:val="24"/>
          <w:lang w:val="en-US"/>
        </w:rPr>
        <w:t>olon</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L3: </w:t>
      </w:r>
      <w:proofErr w:type="spellStart"/>
      <w:r w:rsidR="00AA4910">
        <w:rPr>
          <w:rFonts w:ascii="Book Antiqua" w:hAnsi="Book Antiqua" w:cs="Arial"/>
          <w:color w:val="000000" w:themeColor="text1"/>
          <w:sz w:val="24"/>
          <w:szCs w:val="24"/>
          <w:lang w:val="en-US"/>
        </w:rPr>
        <w:t>I</w:t>
      </w:r>
      <w:r w:rsidR="008C49A1" w:rsidRPr="00D5385E">
        <w:rPr>
          <w:rFonts w:ascii="Book Antiqua" w:hAnsi="Book Antiqua" w:cs="Arial"/>
          <w:color w:val="000000" w:themeColor="text1"/>
          <w:sz w:val="24"/>
          <w:szCs w:val="24"/>
          <w:lang w:val="en-US"/>
        </w:rPr>
        <w:t>leocolon</w:t>
      </w:r>
      <w:proofErr w:type="spellEnd"/>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L4: </w:t>
      </w:r>
      <w:r w:rsidR="00AA4910">
        <w:rPr>
          <w:rFonts w:ascii="Book Antiqua" w:hAnsi="Book Antiqua" w:cs="Arial"/>
          <w:color w:val="000000" w:themeColor="text1"/>
          <w:sz w:val="24"/>
          <w:szCs w:val="24"/>
          <w:lang w:val="en-US"/>
        </w:rPr>
        <w:t>I</w:t>
      </w:r>
      <w:r w:rsidR="008C49A1" w:rsidRPr="00D5385E">
        <w:rPr>
          <w:rFonts w:ascii="Book Antiqua" w:hAnsi="Book Antiqua" w:cs="Arial"/>
          <w:color w:val="000000" w:themeColor="text1"/>
          <w:sz w:val="24"/>
          <w:szCs w:val="24"/>
          <w:lang w:val="en-US"/>
        </w:rPr>
        <w:t>solated upper disease</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w:t>
      </w:r>
      <w:r w:rsidR="000117DB" w:rsidRPr="00D5385E">
        <w:rPr>
          <w:rFonts w:ascii="Book Antiqua" w:hAnsi="Book Antiqua" w:cs="Arial"/>
          <w:color w:val="000000" w:themeColor="text1"/>
          <w:sz w:val="24"/>
          <w:szCs w:val="24"/>
          <w:lang w:val="en-US"/>
        </w:rPr>
        <w:t>5</w:t>
      </w:r>
      <w:r w:rsidR="000A1048">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ASA: 5</w:t>
      </w:r>
      <w:r w:rsidR="000A1048">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aminosalicylic acid</w:t>
      </w:r>
      <w:r w:rsidR="00AA4910">
        <w:rPr>
          <w:rFonts w:ascii="Book Antiqua" w:hAnsi="Book Antiqua" w:cs="Arial"/>
          <w:color w:val="000000" w:themeColor="text1"/>
          <w:sz w:val="24"/>
          <w:szCs w:val="24"/>
          <w:lang w:val="en-US"/>
        </w:rPr>
        <w:t>;</w:t>
      </w:r>
      <w:r w:rsidR="000117DB" w:rsidRPr="00D5385E">
        <w:rPr>
          <w:rFonts w:ascii="Book Antiqua" w:hAnsi="Book Antiqua" w:cs="Arial"/>
          <w:color w:val="000000" w:themeColor="text1"/>
          <w:sz w:val="24"/>
          <w:szCs w:val="24"/>
          <w:lang w:val="en-US"/>
        </w:rPr>
        <w:t xml:space="preserve"> TNF: </w:t>
      </w:r>
      <w:r w:rsidR="00AA4910">
        <w:rPr>
          <w:rFonts w:ascii="Book Antiqua" w:hAnsi="Book Antiqua" w:cs="Arial"/>
          <w:color w:val="000000" w:themeColor="text1"/>
          <w:sz w:val="24"/>
          <w:szCs w:val="24"/>
          <w:lang w:val="en-US"/>
        </w:rPr>
        <w:t>T</w:t>
      </w:r>
      <w:r w:rsidR="000117DB" w:rsidRPr="00D5385E">
        <w:rPr>
          <w:rFonts w:ascii="Book Antiqua" w:hAnsi="Book Antiqua" w:cs="Arial"/>
          <w:color w:val="000000" w:themeColor="text1"/>
          <w:sz w:val="24"/>
          <w:szCs w:val="24"/>
          <w:lang w:val="en-US"/>
        </w:rPr>
        <w:t>umor necrosis factor</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triple IS: </w:t>
      </w:r>
      <w:r w:rsidR="00AA4910">
        <w:rPr>
          <w:rFonts w:ascii="Book Antiqua" w:hAnsi="Book Antiqua" w:cs="Arial"/>
          <w:color w:val="000000" w:themeColor="text1"/>
          <w:sz w:val="24"/>
          <w:szCs w:val="24"/>
          <w:lang w:val="en-US"/>
        </w:rPr>
        <w:t>T</w:t>
      </w:r>
      <w:r w:rsidR="008C49A1" w:rsidRPr="00D5385E">
        <w:rPr>
          <w:rFonts w:ascii="Book Antiqua" w:hAnsi="Book Antiqua" w:cs="Arial"/>
          <w:color w:val="000000" w:themeColor="text1"/>
          <w:sz w:val="24"/>
          <w:szCs w:val="24"/>
          <w:lang w:val="en-US"/>
        </w:rPr>
        <w:t>riple immunosuppression (</w:t>
      </w:r>
      <w:r w:rsidR="00B76B7C" w:rsidRPr="00D5385E">
        <w:rPr>
          <w:rFonts w:ascii="Book Antiqua" w:hAnsi="Book Antiqua" w:cs="Arial"/>
          <w:color w:val="000000" w:themeColor="text1"/>
          <w:sz w:val="24"/>
          <w:szCs w:val="24"/>
          <w:lang w:val="en-US"/>
        </w:rPr>
        <w:t>defined as</w:t>
      </w:r>
      <w:r w:rsidR="008C49A1" w:rsidRPr="00D5385E">
        <w:rPr>
          <w:rFonts w:ascii="Book Antiqua" w:hAnsi="Book Antiqua" w:cs="Arial"/>
          <w:color w:val="000000" w:themeColor="text1"/>
          <w:sz w:val="24"/>
          <w:szCs w:val="24"/>
          <w:lang w:val="en-US"/>
        </w:rPr>
        <w:t xml:space="preserve"> steroids</w:t>
      </w:r>
      <w:r w:rsidR="00B76B7C" w:rsidRPr="00D5385E">
        <w:rPr>
          <w:rFonts w:ascii="Book Antiqua" w:hAnsi="Book Antiqua" w:cs="Arial"/>
          <w:color w:val="000000" w:themeColor="text1"/>
          <w:sz w:val="24"/>
          <w:szCs w:val="24"/>
          <w:lang w:val="en-US"/>
        </w:rPr>
        <w:t>, an immunomodulatory drug and an anti</w:t>
      </w:r>
      <w:r w:rsidR="000A1048">
        <w:rPr>
          <w:rFonts w:ascii="Book Antiqua" w:hAnsi="Book Antiqua" w:cs="Arial"/>
          <w:color w:val="000000" w:themeColor="text1"/>
          <w:sz w:val="24"/>
          <w:szCs w:val="24"/>
          <w:lang w:val="en-US"/>
        </w:rPr>
        <w:t>-</w:t>
      </w:r>
      <w:r w:rsidR="00B76B7C" w:rsidRPr="00D5385E">
        <w:rPr>
          <w:rFonts w:ascii="Book Antiqua" w:hAnsi="Book Antiqua" w:cs="Arial"/>
          <w:color w:val="000000" w:themeColor="text1"/>
          <w:sz w:val="24"/>
          <w:szCs w:val="24"/>
          <w:lang w:val="en-US"/>
        </w:rPr>
        <w:t>TNF agent</w:t>
      </w:r>
      <w:r w:rsidR="008C49A1" w:rsidRPr="00D5385E">
        <w:rPr>
          <w:rFonts w:ascii="Book Antiqua" w:hAnsi="Book Antiqua" w:cs="Arial"/>
          <w:color w:val="000000" w:themeColor="text1"/>
          <w:sz w:val="24"/>
          <w:szCs w:val="24"/>
          <w:lang w:val="en-US"/>
        </w:rPr>
        <w:t>)</w:t>
      </w:r>
      <w:r w:rsidR="00AA4910">
        <w:rPr>
          <w:rFonts w:ascii="Book Antiqua" w:hAnsi="Book Antiqua" w:cs="Arial"/>
          <w:color w:val="000000" w:themeColor="text1"/>
          <w:sz w:val="24"/>
          <w:szCs w:val="24"/>
          <w:lang w:val="en-US"/>
        </w:rPr>
        <w:t>;</w:t>
      </w:r>
      <w:r w:rsidR="008C49A1"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IFX: </w:t>
      </w:r>
      <w:r w:rsidR="00AA4910">
        <w:rPr>
          <w:rFonts w:ascii="Book Antiqua" w:hAnsi="Book Antiqua" w:cs="Arial"/>
          <w:color w:val="000000" w:themeColor="text1"/>
          <w:sz w:val="24"/>
          <w:szCs w:val="24"/>
          <w:lang w:val="en-US"/>
        </w:rPr>
        <w:t>I</w:t>
      </w:r>
      <w:r w:rsidRPr="00D5385E">
        <w:rPr>
          <w:rFonts w:ascii="Book Antiqua" w:hAnsi="Book Antiqua" w:cs="Arial"/>
          <w:color w:val="000000" w:themeColor="text1"/>
          <w:sz w:val="24"/>
          <w:szCs w:val="24"/>
          <w:lang w:val="en-US"/>
        </w:rPr>
        <w:t>nfliximab</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ADA: </w:t>
      </w:r>
      <w:r w:rsidR="00AA4910">
        <w:rPr>
          <w:rFonts w:ascii="Book Antiqua" w:hAnsi="Book Antiqua" w:cs="Arial"/>
          <w:color w:val="000000" w:themeColor="text1"/>
          <w:sz w:val="24"/>
          <w:szCs w:val="24"/>
          <w:lang w:val="en-US"/>
        </w:rPr>
        <w:t>A</w:t>
      </w:r>
      <w:r w:rsidRPr="00D5385E">
        <w:rPr>
          <w:rFonts w:ascii="Book Antiqua" w:hAnsi="Book Antiqua" w:cs="Arial"/>
          <w:color w:val="000000" w:themeColor="text1"/>
          <w:sz w:val="24"/>
          <w:szCs w:val="24"/>
          <w:lang w:val="en-US"/>
        </w:rPr>
        <w:t>dalimumab</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GOL: </w:t>
      </w:r>
      <w:r w:rsidR="00AA4910">
        <w:rPr>
          <w:rFonts w:ascii="Book Antiqua" w:hAnsi="Book Antiqua" w:cs="Arial"/>
          <w:color w:val="000000" w:themeColor="text1"/>
          <w:sz w:val="24"/>
          <w:szCs w:val="24"/>
          <w:lang w:val="en-US"/>
        </w:rPr>
        <w:t>G</w:t>
      </w:r>
      <w:r w:rsidRPr="00D5385E">
        <w:rPr>
          <w:rFonts w:ascii="Book Antiqua" w:hAnsi="Book Antiqua" w:cs="Arial"/>
          <w:color w:val="000000" w:themeColor="text1"/>
          <w:sz w:val="24"/>
          <w:szCs w:val="24"/>
          <w:lang w:val="en-US"/>
        </w:rPr>
        <w:t>olimumab</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CTZ: </w:t>
      </w:r>
      <w:r w:rsidR="00AA4910">
        <w:rPr>
          <w:rFonts w:ascii="Book Antiqua" w:hAnsi="Book Antiqua" w:cs="Arial"/>
          <w:color w:val="000000" w:themeColor="text1"/>
          <w:sz w:val="24"/>
          <w:szCs w:val="24"/>
          <w:lang w:val="en-US"/>
        </w:rPr>
        <w:t>C</w:t>
      </w:r>
      <w:r w:rsidRPr="00D5385E">
        <w:rPr>
          <w:rFonts w:ascii="Book Antiqua" w:hAnsi="Book Antiqua" w:cs="Arial"/>
          <w:color w:val="000000" w:themeColor="text1"/>
          <w:sz w:val="24"/>
          <w:szCs w:val="24"/>
          <w:lang w:val="en-US"/>
        </w:rPr>
        <w:t>ertolizumab</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NA: </w:t>
      </w:r>
      <w:r w:rsidR="00AA4910">
        <w:rPr>
          <w:rFonts w:ascii="Book Antiqua" w:hAnsi="Book Antiqua" w:cs="Arial"/>
          <w:color w:val="000000" w:themeColor="text1"/>
          <w:sz w:val="24"/>
          <w:szCs w:val="24"/>
          <w:lang w:val="en-US"/>
        </w:rPr>
        <w:t>N</w:t>
      </w:r>
      <w:r w:rsidRPr="00D5385E">
        <w:rPr>
          <w:rFonts w:ascii="Book Antiqua" w:hAnsi="Book Antiqua" w:cs="Arial"/>
          <w:color w:val="000000" w:themeColor="text1"/>
          <w:sz w:val="24"/>
          <w:szCs w:val="24"/>
          <w:lang w:val="en-US"/>
        </w:rPr>
        <w:t>ot available</w:t>
      </w:r>
      <w:r w:rsidR="00AA4910">
        <w:rPr>
          <w:rFonts w:ascii="Book Antiqua" w:hAnsi="Book Antiqua" w:cs="Arial"/>
          <w:color w:val="000000" w:themeColor="text1"/>
          <w:sz w:val="24"/>
          <w:szCs w:val="24"/>
          <w:lang w:val="en-US"/>
        </w:rPr>
        <w:t>.</w:t>
      </w:r>
    </w:p>
    <w:p w14:paraId="0A56AC15" w14:textId="77777777" w:rsidR="00AA4910" w:rsidRDefault="00AA4910">
      <w:pPr>
        <w:spacing w:after="160" w:line="259" w:lineRule="auto"/>
        <w:rPr>
          <w:rFonts w:ascii="Book Antiqua" w:hAnsi="Book Antiqua" w:cs="Arial"/>
          <w:color w:val="000000" w:themeColor="text1"/>
          <w:sz w:val="24"/>
          <w:szCs w:val="24"/>
          <w:lang w:val="en-US"/>
        </w:rPr>
      </w:pPr>
      <w:r>
        <w:rPr>
          <w:rFonts w:ascii="Book Antiqua" w:hAnsi="Book Antiqua" w:cs="Arial"/>
          <w:color w:val="000000" w:themeColor="text1"/>
          <w:sz w:val="24"/>
          <w:szCs w:val="24"/>
          <w:lang w:val="en-US"/>
        </w:rPr>
        <w:br w:type="page"/>
      </w:r>
    </w:p>
    <w:p w14:paraId="2C4418C2" w14:textId="000566B9" w:rsidR="00130AA5" w:rsidRPr="00AA4910" w:rsidRDefault="00D92E31" w:rsidP="00D5385E">
      <w:pPr>
        <w:adjustRightInd w:val="0"/>
        <w:snapToGrid w:val="0"/>
        <w:spacing w:after="0" w:line="360" w:lineRule="auto"/>
        <w:jc w:val="both"/>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lastRenderedPageBreak/>
        <w:t>Table 2</w:t>
      </w:r>
      <w:r w:rsidR="00AA4910" w:rsidRPr="00AA4910">
        <w:rPr>
          <w:rFonts w:ascii="Book Antiqua" w:hAnsi="Book Antiqua" w:cs="Arial"/>
          <w:b/>
          <w:bCs/>
          <w:color w:val="000000" w:themeColor="text1"/>
          <w:sz w:val="24"/>
          <w:szCs w:val="24"/>
          <w:lang w:val="en-US"/>
        </w:rPr>
        <w:t xml:space="preserve"> </w:t>
      </w:r>
      <w:r w:rsidR="004170CD" w:rsidRPr="00AA4910">
        <w:rPr>
          <w:rFonts w:ascii="Book Antiqua" w:hAnsi="Book Antiqua" w:cs="Arial"/>
          <w:b/>
          <w:bCs/>
          <w:color w:val="000000" w:themeColor="text1"/>
          <w:sz w:val="24"/>
          <w:szCs w:val="24"/>
          <w:lang w:val="en-US"/>
        </w:rPr>
        <w:t xml:space="preserve">Summary of the </w:t>
      </w:r>
      <w:r w:rsidR="00537EAE" w:rsidRPr="00AA4910">
        <w:rPr>
          <w:rFonts w:ascii="Book Antiqua" w:hAnsi="Book Antiqua" w:cs="Arial"/>
          <w:b/>
          <w:bCs/>
          <w:color w:val="000000" w:themeColor="text1"/>
          <w:sz w:val="24"/>
          <w:szCs w:val="24"/>
          <w:lang w:val="en-US"/>
        </w:rPr>
        <w:t xml:space="preserve">trials assessing </w:t>
      </w:r>
      <w:r w:rsidRPr="00AA4910">
        <w:rPr>
          <w:rFonts w:ascii="Book Antiqua" w:hAnsi="Book Antiqua" w:cs="Arial"/>
          <w:b/>
          <w:bCs/>
          <w:color w:val="000000" w:themeColor="text1"/>
          <w:sz w:val="24"/>
          <w:szCs w:val="24"/>
          <w:lang w:val="en-US"/>
        </w:rPr>
        <w:t xml:space="preserve">the </w:t>
      </w:r>
      <w:r w:rsidR="00537EAE" w:rsidRPr="00AA4910">
        <w:rPr>
          <w:rFonts w:ascii="Book Antiqua" w:hAnsi="Book Antiqua" w:cs="Arial"/>
          <w:b/>
          <w:bCs/>
          <w:color w:val="000000" w:themeColor="text1"/>
          <w:sz w:val="24"/>
          <w:szCs w:val="24"/>
          <w:lang w:val="en-US"/>
        </w:rPr>
        <w:t xml:space="preserve">efficacy and safety </w:t>
      </w:r>
      <w:r w:rsidRPr="00AA4910">
        <w:rPr>
          <w:rFonts w:ascii="Book Antiqua" w:hAnsi="Book Antiqua" w:cs="Arial"/>
          <w:b/>
          <w:bCs/>
          <w:color w:val="000000" w:themeColor="text1"/>
          <w:sz w:val="24"/>
          <w:szCs w:val="24"/>
          <w:lang w:val="en-US"/>
        </w:rPr>
        <w:t xml:space="preserve">of </w:t>
      </w:r>
      <w:r w:rsidR="00537EAE" w:rsidRPr="00AA4910">
        <w:rPr>
          <w:rFonts w:ascii="Book Antiqua" w:hAnsi="Book Antiqua" w:cs="Arial"/>
          <w:b/>
          <w:bCs/>
          <w:color w:val="000000" w:themeColor="text1"/>
          <w:sz w:val="24"/>
          <w:szCs w:val="24"/>
          <w:lang w:val="en-US"/>
        </w:rPr>
        <w:t xml:space="preserve">vedolizumab </w:t>
      </w:r>
      <w:r w:rsidR="004170CD" w:rsidRPr="00AA4910">
        <w:rPr>
          <w:rFonts w:ascii="Book Antiqua" w:hAnsi="Book Antiqua" w:cs="Arial"/>
          <w:b/>
          <w:bCs/>
          <w:color w:val="000000" w:themeColor="text1"/>
          <w:sz w:val="24"/>
          <w:szCs w:val="24"/>
          <w:lang w:val="en-US"/>
        </w:rPr>
        <w:t xml:space="preserve">in the elderly </w:t>
      </w:r>
      <w:r w:rsidR="00AA4910" w:rsidRPr="00AA4910">
        <w:rPr>
          <w:rFonts w:ascii="Book Antiqua" w:hAnsi="Book Antiqua" w:cs="Arial"/>
          <w:b/>
          <w:bCs/>
          <w:color w:val="000000" w:themeColor="text1"/>
          <w:sz w:val="24"/>
          <w:szCs w:val="24"/>
          <w:lang w:val="en-US"/>
        </w:rPr>
        <w:t>inflammatory bowel disease population</w:t>
      </w:r>
    </w:p>
    <w:tbl>
      <w:tblPr>
        <w:tblStyle w:val="TableGrid"/>
        <w:tblW w:w="229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62"/>
        <w:gridCol w:w="1156"/>
        <w:gridCol w:w="870"/>
        <w:gridCol w:w="843"/>
        <w:gridCol w:w="1003"/>
        <w:gridCol w:w="636"/>
        <w:gridCol w:w="1520"/>
        <w:gridCol w:w="1390"/>
        <w:gridCol w:w="1493"/>
        <w:gridCol w:w="1141"/>
        <w:gridCol w:w="1129"/>
        <w:gridCol w:w="1059"/>
        <w:gridCol w:w="1586"/>
        <w:gridCol w:w="1837"/>
        <w:gridCol w:w="1111"/>
        <w:gridCol w:w="857"/>
        <w:gridCol w:w="1294"/>
        <w:gridCol w:w="1733"/>
        <w:gridCol w:w="1059"/>
        <w:gridCol w:w="1405"/>
        <w:gridCol w:w="1476"/>
      </w:tblGrid>
      <w:tr w:rsidR="00D5385E" w:rsidRPr="00D5385E" w14:paraId="05F13B7C" w14:textId="77777777" w:rsidTr="00AA4910">
        <w:trPr>
          <w:trHeight w:val="290"/>
        </w:trPr>
        <w:tc>
          <w:tcPr>
            <w:tcW w:w="1456" w:type="dxa"/>
            <w:tcBorders>
              <w:top w:val="single" w:sz="4" w:space="0" w:color="auto"/>
              <w:bottom w:val="single" w:sz="4" w:space="0" w:color="auto"/>
            </w:tcBorders>
            <w:noWrap/>
            <w:hideMark/>
          </w:tcPr>
          <w:p w14:paraId="365E46AE" w14:textId="374F3465" w:rsidR="00130AA5" w:rsidRPr="00AA4910" w:rsidRDefault="00130AA5" w:rsidP="00D5385E">
            <w:pPr>
              <w:adjustRightInd w:val="0"/>
              <w:snapToGrid w:val="0"/>
              <w:spacing w:after="0" w:line="360" w:lineRule="auto"/>
              <w:jc w:val="both"/>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Vedolizumab</w:t>
            </w:r>
            <w:r w:rsidR="004170CD" w:rsidRPr="00AA4910">
              <w:rPr>
                <w:rFonts w:ascii="Book Antiqua" w:hAnsi="Book Antiqua" w:cs="Arial"/>
                <w:b/>
                <w:bCs/>
                <w:color w:val="000000" w:themeColor="text1"/>
                <w:sz w:val="24"/>
                <w:szCs w:val="24"/>
                <w:lang w:val="en-US"/>
              </w:rPr>
              <w:t xml:space="preserve"> trials</w:t>
            </w:r>
          </w:p>
        </w:tc>
        <w:tc>
          <w:tcPr>
            <w:tcW w:w="1436" w:type="dxa"/>
            <w:tcBorders>
              <w:top w:val="single" w:sz="4" w:space="0" w:color="auto"/>
              <w:bottom w:val="single" w:sz="4" w:space="0" w:color="auto"/>
            </w:tcBorders>
            <w:noWrap/>
            <w:hideMark/>
          </w:tcPr>
          <w:p w14:paraId="59CA6324" w14:textId="09B0210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Type</w:t>
            </w:r>
          </w:p>
        </w:tc>
        <w:tc>
          <w:tcPr>
            <w:tcW w:w="996" w:type="dxa"/>
            <w:tcBorders>
              <w:top w:val="single" w:sz="4" w:space="0" w:color="auto"/>
              <w:bottom w:val="single" w:sz="4" w:space="0" w:color="auto"/>
            </w:tcBorders>
            <w:noWrap/>
            <w:hideMark/>
          </w:tcPr>
          <w:p w14:paraId="444A456D"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Patients, n</w:t>
            </w:r>
          </w:p>
        </w:tc>
        <w:tc>
          <w:tcPr>
            <w:tcW w:w="716" w:type="dxa"/>
            <w:tcBorders>
              <w:top w:val="single" w:sz="4" w:space="0" w:color="auto"/>
              <w:bottom w:val="single" w:sz="4" w:space="0" w:color="auto"/>
            </w:tcBorders>
            <w:noWrap/>
            <w:hideMark/>
          </w:tcPr>
          <w:p w14:paraId="70564F45"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Age cutoff</w:t>
            </w:r>
          </w:p>
        </w:tc>
        <w:tc>
          <w:tcPr>
            <w:tcW w:w="716" w:type="dxa"/>
            <w:tcBorders>
              <w:top w:val="single" w:sz="4" w:space="0" w:color="auto"/>
              <w:bottom w:val="single" w:sz="4" w:space="0" w:color="auto"/>
            </w:tcBorders>
            <w:noWrap/>
            <w:hideMark/>
          </w:tcPr>
          <w:p w14:paraId="3A2C00C1"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Mean age</w:t>
            </w:r>
          </w:p>
        </w:tc>
        <w:tc>
          <w:tcPr>
            <w:tcW w:w="876" w:type="dxa"/>
            <w:tcBorders>
              <w:top w:val="single" w:sz="4" w:space="0" w:color="auto"/>
              <w:bottom w:val="single" w:sz="4" w:space="0" w:color="auto"/>
            </w:tcBorders>
            <w:noWrap/>
            <w:hideMark/>
          </w:tcPr>
          <w:p w14:paraId="4525BB2A"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Female</w:t>
            </w:r>
          </w:p>
        </w:tc>
        <w:tc>
          <w:tcPr>
            <w:tcW w:w="606" w:type="dxa"/>
            <w:tcBorders>
              <w:top w:val="single" w:sz="4" w:space="0" w:color="auto"/>
              <w:bottom w:val="single" w:sz="4" w:space="0" w:color="auto"/>
            </w:tcBorders>
            <w:noWrap/>
            <w:hideMark/>
          </w:tcPr>
          <w:p w14:paraId="538A05EF" w14:textId="7777777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 UC</w:t>
            </w:r>
          </w:p>
        </w:tc>
        <w:tc>
          <w:tcPr>
            <w:tcW w:w="1146" w:type="dxa"/>
            <w:tcBorders>
              <w:top w:val="single" w:sz="4" w:space="0" w:color="auto"/>
              <w:bottom w:val="single" w:sz="4" w:space="0" w:color="auto"/>
            </w:tcBorders>
            <w:noWrap/>
            <w:hideMark/>
          </w:tcPr>
          <w:p w14:paraId="71128D32" w14:textId="476C9143"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fr-CA"/>
              </w:rPr>
            </w:pPr>
            <w:r w:rsidRPr="00AA4910">
              <w:rPr>
                <w:rFonts w:ascii="Book Antiqua" w:hAnsi="Book Antiqua" w:cs="Arial"/>
                <w:b/>
                <w:bCs/>
                <w:color w:val="000000" w:themeColor="text1"/>
                <w:sz w:val="24"/>
                <w:szCs w:val="24"/>
                <w:lang w:val="fr-CA"/>
              </w:rPr>
              <w:t xml:space="preserve">UC </w:t>
            </w:r>
            <w:proofErr w:type="spellStart"/>
            <w:r w:rsidRPr="00AA4910">
              <w:rPr>
                <w:rFonts w:ascii="Book Antiqua" w:hAnsi="Book Antiqua" w:cs="Arial"/>
                <w:b/>
                <w:bCs/>
                <w:color w:val="000000" w:themeColor="text1"/>
                <w:sz w:val="24"/>
                <w:szCs w:val="24"/>
                <w:lang w:val="fr-CA"/>
              </w:rPr>
              <w:t>phenotype</w:t>
            </w:r>
            <w:proofErr w:type="spellEnd"/>
            <w:r w:rsidRPr="00AA4910">
              <w:rPr>
                <w:rFonts w:ascii="Book Antiqua" w:hAnsi="Book Antiqua" w:cs="Arial"/>
                <w:b/>
                <w:bCs/>
                <w:color w:val="000000" w:themeColor="text1"/>
                <w:sz w:val="24"/>
                <w:szCs w:val="24"/>
                <w:lang w:val="fr-CA"/>
              </w:rPr>
              <w:t xml:space="preserve"> E1/E2/E3</w:t>
            </w:r>
            <w:r w:rsidRPr="00AA4910">
              <w:rPr>
                <w:rFonts w:ascii="Book Antiqua" w:hAnsi="Book Antiqua" w:cs="Arial"/>
                <w:b/>
                <w:bCs/>
                <w:color w:val="000000" w:themeColor="text1"/>
                <w:sz w:val="24"/>
                <w:szCs w:val="24"/>
                <w:lang w:val="fr-CA"/>
              </w:rPr>
              <w:br/>
              <w:t>(%)</w:t>
            </w:r>
          </w:p>
        </w:tc>
        <w:tc>
          <w:tcPr>
            <w:tcW w:w="1146" w:type="dxa"/>
            <w:tcBorders>
              <w:top w:val="single" w:sz="4" w:space="0" w:color="auto"/>
              <w:bottom w:val="single" w:sz="4" w:space="0" w:color="auto"/>
            </w:tcBorders>
            <w:noWrap/>
            <w:hideMark/>
          </w:tcPr>
          <w:p w14:paraId="6FBF9C2A" w14:textId="4324E407" w:rsidR="00130AA5" w:rsidRPr="00AA4910" w:rsidRDefault="00130AA5" w:rsidP="00AA4910">
            <w:pPr>
              <w:adjustRightInd w:val="0"/>
              <w:snapToGrid w:val="0"/>
              <w:spacing w:after="0" w:line="360" w:lineRule="auto"/>
              <w:jc w:val="center"/>
              <w:rPr>
                <w:rFonts w:ascii="Book Antiqua" w:hAnsi="Book Antiqua" w:cs="Arial"/>
                <w:b/>
                <w:bCs/>
                <w:color w:val="000000" w:themeColor="text1"/>
                <w:sz w:val="24"/>
                <w:szCs w:val="24"/>
                <w:lang w:val="en-US"/>
              </w:rPr>
            </w:pPr>
            <w:r w:rsidRPr="00AA4910">
              <w:rPr>
                <w:rFonts w:ascii="Book Antiqua" w:hAnsi="Book Antiqua" w:cs="Arial"/>
                <w:b/>
                <w:bCs/>
                <w:color w:val="000000" w:themeColor="text1"/>
                <w:sz w:val="24"/>
                <w:szCs w:val="24"/>
                <w:lang w:val="en-US"/>
              </w:rPr>
              <w:t>CD phenotype B1/B2/B3</w:t>
            </w:r>
            <w:r w:rsidRPr="00AA4910">
              <w:rPr>
                <w:rFonts w:ascii="Book Antiqua" w:hAnsi="Book Antiqua" w:cs="Arial"/>
                <w:b/>
                <w:bCs/>
                <w:color w:val="000000" w:themeColor="text1"/>
                <w:sz w:val="24"/>
                <w:szCs w:val="24"/>
                <w:lang w:val="en-US"/>
              </w:rPr>
              <w:br/>
              <w:t>(%)</w:t>
            </w:r>
          </w:p>
        </w:tc>
        <w:tc>
          <w:tcPr>
            <w:tcW w:w="1166" w:type="dxa"/>
            <w:tcBorders>
              <w:top w:val="single" w:sz="4" w:space="0" w:color="auto"/>
              <w:bottom w:val="single" w:sz="4" w:space="0" w:color="auto"/>
            </w:tcBorders>
            <w:noWrap/>
            <w:hideMark/>
          </w:tcPr>
          <w:p w14:paraId="24D6F1C4" w14:textId="104C2B21" w:rsidR="00130AA5" w:rsidRPr="00BE7F1A" w:rsidRDefault="00130AA5" w:rsidP="00AA4910">
            <w:pPr>
              <w:adjustRightInd w:val="0"/>
              <w:snapToGrid w:val="0"/>
              <w:spacing w:after="0" w:line="360" w:lineRule="auto"/>
              <w:jc w:val="center"/>
              <w:rPr>
                <w:rFonts w:ascii="Book Antiqua" w:hAnsi="Book Antiqua" w:cs="Arial"/>
                <w:color w:val="000000" w:themeColor="text1"/>
                <w:sz w:val="24"/>
                <w:szCs w:val="24"/>
                <w:lang w:val="fr-CA"/>
              </w:rPr>
            </w:pPr>
            <w:r w:rsidRPr="00BE7F1A">
              <w:rPr>
                <w:rFonts w:ascii="Book Antiqua" w:hAnsi="Book Antiqua" w:cs="Arial"/>
                <w:color w:val="000000" w:themeColor="text1"/>
                <w:sz w:val="24"/>
                <w:szCs w:val="24"/>
                <w:lang w:val="fr-CA"/>
              </w:rPr>
              <w:t>CD location L1/L2/L3</w:t>
            </w:r>
            <w:r w:rsidRPr="00BE7F1A">
              <w:rPr>
                <w:rFonts w:ascii="Book Antiqua" w:hAnsi="Book Antiqua" w:cs="Arial"/>
                <w:color w:val="000000" w:themeColor="text1"/>
                <w:sz w:val="24"/>
                <w:szCs w:val="24"/>
                <w:lang w:val="fr-CA"/>
              </w:rPr>
              <w:br/>
              <w:t>(%)</w:t>
            </w:r>
          </w:p>
        </w:tc>
        <w:tc>
          <w:tcPr>
            <w:tcW w:w="936" w:type="dxa"/>
            <w:noWrap/>
            <w:hideMark/>
          </w:tcPr>
          <w:p w14:paraId="6505C571" w14:textId="418B79BE"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Mean disease duration</w:t>
            </w:r>
            <w:r w:rsidRPr="00D5385E">
              <w:rPr>
                <w:rFonts w:ascii="Book Antiqua" w:hAnsi="Book Antiqua" w:cs="Arial"/>
                <w:color w:val="000000" w:themeColor="text1"/>
                <w:sz w:val="24"/>
                <w:szCs w:val="24"/>
                <w:lang w:val="en-US"/>
              </w:rPr>
              <w:br/>
            </w:r>
          </w:p>
        </w:tc>
        <w:tc>
          <w:tcPr>
            <w:tcW w:w="1129" w:type="dxa"/>
            <w:noWrap/>
            <w:hideMark/>
          </w:tcPr>
          <w:p w14:paraId="297466B4" w14:textId="4AC1C972"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Prior anti</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TNF use</w:t>
            </w:r>
            <w:r w:rsidRPr="00D5385E">
              <w:rPr>
                <w:rFonts w:ascii="Book Antiqua" w:hAnsi="Book Antiqua" w:cs="Arial"/>
                <w:color w:val="000000" w:themeColor="text1"/>
                <w:sz w:val="24"/>
                <w:szCs w:val="24"/>
                <w:lang w:val="en-US"/>
              </w:rPr>
              <w:br/>
              <w:t>(%)</w:t>
            </w:r>
          </w:p>
        </w:tc>
        <w:tc>
          <w:tcPr>
            <w:tcW w:w="423" w:type="dxa"/>
            <w:noWrap/>
            <w:hideMark/>
          </w:tcPr>
          <w:p w14:paraId="7194DB62"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Prior Surgery (%)</w:t>
            </w:r>
          </w:p>
        </w:tc>
        <w:tc>
          <w:tcPr>
            <w:tcW w:w="1276" w:type="dxa"/>
            <w:noWrap/>
            <w:hideMark/>
          </w:tcPr>
          <w:p w14:paraId="76B13031"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Charlson</w:t>
            </w:r>
            <w:proofErr w:type="spellEnd"/>
            <w:r w:rsidRPr="00D5385E">
              <w:rPr>
                <w:rFonts w:ascii="Book Antiqua" w:hAnsi="Book Antiqua" w:cs="Arial"/>
                <w:color w:val="000000" w:themeColor="text1"/>
                <w:sz w:val="24"/>
                <w:szCs w:val="24"/>
                <w:lang w:val="en-US"/>
              </w:rPr>
              <w:t xml:space="preserve"> Comorbidity Score</w:t>
            </w:r>
          </w:p>
        </w:tc>
        <w:tc>
          <w:tcPr>
            <w:tcW w:w="1546" w:type="dxa"/>
            <w:noWrap/>
            <w:hideMark/>
          </w:tcPr>
          <w:p w14:paraId="0692AFBB"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Corticosteroids (%)</w:t>
            </w:r>
          </w:p>
        </w:tc>
        <w:tc>
          <w:tcPr>
            <w:tcW w:w="856" w:type="dxa"/>
            <w:noWrap/>
            <w:hideMark/>
          </w:tcPr>
          <w:p w14:paraId="446C4A03" w14:textId="327ECC9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Combo </w:t>
            </w:r>
            <w:r w:rsidR="00CE3DF8" w:rsidRPr="00D5385E">
              <w:rPr>
                <w:rFonts w:ascii="Book Antiqua" w:hAnsi="Book Antiqua" w:cs="Arial"/>
                <w:color w:val="000000" w:themeColor="text1"/>
                <w:sz w:val="24"/>
                <w:szCs w:val="24"/>
                <w:lang w:val="en-US"/>
              </w:rPr>
              <w:t xml:space="preserve">Therapy </w:t>
            </w:r>
            <w:r w:rsidRPr="00D5385E">
              <w:rPr>
                <w:rFonts w:ascii="Book Antiqua" w:hAnsi="Book Antiqua" w:cs="Arial"/>
                <w:color w:val="000000" w:themeColor="text1"/>
                <w:sz w:val="24"/>
                <w:szCs w:val="24"/>
                <w:lang w:val="en-US"/>
              </w:rPr>
              <w:t>(%)</w:t>
            </w:r>
          </w:p>
        </w:tc>
        <w:tc>
          <w:tcPr>
            <w:tcW w:w="706" w:type="dxa"/>
            <w:noWrap/>
            <w:hideMark/>
          </w:tcPr>
          <w:p w14:paraId="09602DF5" w14:textId="268636A5"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Triple IS</w:t>
            </w:r>
            <w:r w:rsidRPr="00D5385E">
              <w:rPr>
                <w:rFonts w:ascii="Book Antiqua" w:hAnsi="Book Antiqua" w:cs="Arial"/>
                <w:color w:val="000000" w:themeColor="text1"/>
                <w:sz w:val="24"/>
                <w:szCs w:val="24"/>
                <w:lang w:val="en-US"/>
              </w:rPr>
              <w:br/>
              <w:t>(%)</w:t>
            </w:r>
          </w:p>
        </w:tc>
        <w:tc>
          <w:tcPr>
            <w:tcW w:w="1136" w:type="dxa"/>
            <w:noWrap/>
            <w:hideMark/>
          </w:tcPr>
          <w:p w14:paraId="49CFD3D0" w14:textId="743C27AC" w:rsidR="00130AA5" w:rsidRPr="00D5385E" w:rsidRDefault="006D6229"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O</w:t>
            </w:r>
            <w:r w:rsidR="00130AA5" w:rsidRPr="00D5385E">
              <w:rPr>
                <w:rFonts w:ascii="Book Antiqua" w:hAnsi="Book Antiqua" w:cs="Arial"/>
                <w:color w:val="000000" w:themeColor="text1"/>
                <w:sz w:val="24"/>
                <w:szCs w:val="24"/>
                <w:lang w:val="en-US"/>
              </w:rPr>
              <w:t>utcomes</w:t>
            </w:r>
          </w:p>
        </w:tc>
        <w:tc>
          <w:tcPr>
            <w:tcW w:w="1386" w:type="dxa"/>
            <w:noWrap/>
            <w:hideMark/>
          </w:tcPr>
          <w:p w14:paraId="44FDBB2A" w14:textId="73A945A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Remission at 3</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6</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12 months</w:t>
            </w:r>
            <w:r w:rsidRPr="00D5385E">
              <w:rPr>
                <w:rFonts w:ascii="Book Antiqua" w:hAnsi="Book Antiqua" w:cs="Arial"/>
                <w:color w:val="000000" w:themeColor="text1"/>
                <w:sz w:val="24"/>
                <w:szCs w:val="24"/>
                <w:lang w:val="en-US"/>
              </w:rPr>
              <w:br/>
              <w:t>(%)</w:t>
            </w:r>
          </w:p>
        </w:tc>
        <w:tc>
          <w:tcPr>
            <w:tcW w:w="916" w:type="dxa"/>
            <w:noWrap/>
            <w:hideMark/>
          </w:tcPr>
          <w:p w14:paraId="5502039D" w14:textId="0CBFC57D"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Surgery within 1 year</w:t>
            </w:r>
            <w:r w:rsidRPr="00D5385E">
              <w:rPr>
                <w:rFonts w:ascii="Book Antiqua" w:hAnsi="Book Antiqua" w:cs="Arial"/>
                <w:color w:val="000000" w:themeColor="text1"/>
                <w:sz w:val="24"/>
                <w:szCs w:val="24"/>
                <w:lang w:val="en-US"/>
              </w:rPr>
              <w:br/>
              <w:t>(%)</w:t>
            </w:r>
          </w:p>
        </w:tc>
        <w:tc>
          <w:tcPr>
            <w:tcW w:w="1196" w:type="dxa"/>
            <w:noWrap/>
            <w:hideMark/>
          </w:tcPr>
          <w:p w14:paraId="49517135" w14:textId="7F17EB3F"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Infectious risk </w:t>
            </w:r>
            <w:r w:rsidRPr="00D5385E">
              <w:rPr>
                <w:rFonts w:ascii="Book Antiqua" w:hAnsi="Book Antiqua" w:cs="Arial"/>
                <w:color w:val="000000" w:themeColor="text1"/>
                <w:sz w:val="24"/>
                <w:szCs w:val="24"/>
                <w:lang w:val="en-US"/>
              </w:rPr>
              <w:br/>
              <w:t>(%)</w:t>
            </w:r>
          </w:p>
        </w:tc>
        <w:tc>
          <w:tcPr>
            <w:tcW w:w="1216" w:type="dxa"/>
            <w:noWrap/>
            <w:hideMark/>
          </w:tcPr>
          <w:p w14:paraId="5470C98E" w14:textId="13B634C2"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Malignancy risk</w:t>
            </w:r>
            <w:r w:rsidRPr="00D5385E">
              <w:rPr>
                <w:rFonts w:ascii="Book Antiqua" w:hAnsi="Book Antiqua" w:cs="Arial"/>
                <w:color w:val="000000" w:themeColor="text1"/>
                <w:sz w:val="24"/>
                <w:szCs w:val="24"/>
                <w:lang w:val="en-US"/>
              </w:rPr>
              <w:br/>
              <w:t>(%)</w:t>
            </w:r>
          </w:p>
        </w:tc>
      </w:tr>
      <w:tr w:rsidR="00D5385E" w:rsidRPr="00D5385E" w14:paraId="434CEEF3" w14:textId="77777777" w:rsidTr="00AA4910">
        <w:trPr>
          <w:trHeight w:val="290"/>
        </w:trPr>
        <w:tc>
          <w:tcPr>
            <w:tcW w:w="1456" w:type="dxa"/>
            <w:tcBorders>
              <w:top w:val="single" w:sz="4" w:space="0" w:color="auto"/>
            </w:tcBorders>
            <w:noWrap/>
            <w:hideMark/>
          </w:tcPr>
          <w:p w14:paraId="1283B0EF" w14:textId="7986A565" w:rsidR="00130AA5" w:rsidRPr="00D5385E" w:rsidRDefault="00130AA5" w:rsidP="00E909D4">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Navaneethan</w:t>
            </w:r>
            <w:r w:rsidR="00AA4910">
              <w:rPr>
                <w:rFonts w:ascii="Book Antiqua" w:hAnsi="Book Antiqua" w:cs="Arial"/>
                <w:color w:val="000000" w:themeColor="text1"/>
                <w:sz w:val="24"/>
                <w:szCs w:val="24"/>
                <w:lang w:val="en-US"/>
              </w:rPr>
              <w:t xml:space="preserve"> </w:t>
            </w:r>
            <w:bookmarkStart w:id="184" w:name="OLE_LINK70"/>
            <w:bookmarkStart w:id="185" w:name="OLE_LINK77"/>
            <w:r w:rsidR="00AA4910" w:rsidRPr="00AA4910">
              <w:rPr>
                <w:rFonts w:ascii="Book Antiqua" w:hAnsi="Book Antiqua" w:cs="Arial"/>
                <w:i/>
                <w:iCs/>
                <w:color w:val="000000" w:themeColor="text1"/>
                <w:sz w:val="24"/>
                <w:szCs w:val="24"/>
                <w:lang w:val="en-US"/>
              </w:rPr>
              <w:t xml:space="preserve">et </w:t>
            </w:r>
            <w:proofErr w:type="gramStart"/>
            <w:r w:rsidR="00AA4910" w:rsidRPr="00AA4910">
              <w:rPr>
                <w:rFonts w:ascii="Book Antiqua" w:hAnsi="Book Antiqua" w:cs="Arial"/>
                <w:i/>
                <w:iCs/>
                <w:color w:val="000000" w:themeColor="text1"/>
                <w:sz w:val="24"/>
                <w:szCs w:val="24"/>
                <w:lang w:val="en-US"/>
              </w:rPr>
              <w:t>al</w:t>
            </w:r>
            <w:bookmarkEnd w:id="184"/>
            <w:bookmarkEnd w:id="185"/>
            <w:r w:rsidR="00D92E31"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69</w:t>
            </w:r>
            <w:r w:rsidR="00D92E31"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2017</w:t>
            </w:r>
          </w:p>
        </w:tc>
        <w:tc>
          <w:tcPr>
            <w:tcW w:w="1436" w:type="dxa"/>
            <w:tcBorders>
              <w:top w:val="single" w:sz="4" w:space="0" w:color="auto"/>
            </w:tcBorders>
            <w:noWrap/>
            <w:hideMark/>
          </w:tcPr>
          <w:p w14:paraId="61276CBB"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996" w:type="dxa"/>
            <w:tcBorders>
              <w:top w:val="single" w:sz="4" w:space="0" w:color="auto"/>
            </w:tcBorders>
            <w:noWrap/>
            <w:hideMark/>
          </w:tcPr>
          <w:p w14:paraId="40832CB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29</w:t>
            </w:r>
          </w:p>
        </w:tc>
        <w:tc>
          <w:tcPr>
            <w:tcW w:w="716" w:type="dxa"/>
            <w:tcBorders>
              <w:top w:val="single" w:sz="4" w:space="0" w:color="auto"/>
            </w:tcBorders>
            <w:noWrap/>
            <w:hideMark/>
          </w:tcPr>
          <w:p w14:paraId="0356EF61"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716" w:type="dxa"/>
            <w:tcBorders>
              <w:top w:val="single" w:sz="4" w:space="0" w:color="auto"/>
            </w:tcBorders>
            <w:noWrap/>
            <w:hideMark/>
          </w:tcPr>
          <w:p w14:paraId="392A04A0"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67</w:t>
            </w:r>
          </w:p>
        </w:tc>
        <w:tc>
          <w:tcPr>
            <w:tcW w:w="876" w:type="dxa"/>
            <w:tcBorders>
              <w:top w:val="single" w:sz="4" w:space="0" w:color="auto"/>
            </w:tcBorders>
            <w:noWrap/>
            <w:hideMark/>
          </w:tcPr>
          <w:p w14:paraId="1C00444C"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58</w:t>
            </w:r>
          </w:p>
        </w:tc>
        <w:tc>
          <w:tcPr>
            <w:tcW w:w="606" w:type="dxa"/>
            <w:tcBorders>
              <w:top w:val="single" w:sz="4" w:space="0" w:color="auto"/>
            </w:tcBorders>
            <w:noWrap/>
            <w:hideMark/>
          </w:tcPr>
          <w:p w14:paraId="5148C6BD"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34</w:t>
            </w:r>
          </w:p>
        </w:tc>
        <w:tc>
          <w:tcPr>
            <w:tcW w:w="1146" w:type="dxa"/>
            <w:tcBorders>
              <w:top w:val="single" w:sz="4" w:space="0" w:color="auto"/>
            </w:tcBorders>
            <w:noWrap/>
            <w:hideMark/>
          </w:tcPr>
          <w:p w14:paraId="6FFD242A"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0/20/80</w:t>
            </w:r>
          </w:p>
        </w:tc>
        <w:tc>
          <w:tcPr>
            <w:tcW w:w="1146" w:type="dxa"/>
            <w:tcBorders>
              <w:top w:val="single" w:sz="4" w:space="0" w:color="auto"/>
            </w:tcBorders>
            <w:noWrap/>
            <w:hideMark/>
          </w:tcPr>
          <w:p w14:paraId="5D61417D"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66" w:type="dxa"/>
            <w:tcBorders>
              <w:top w:val="single" w:sz="4" w:space="0" w:color="auto"/>
            </w:tcBorders>
            <w:noWrap/>
            <w:hideMark/>
          </w:tcPr>
          <w:p w14:paraId="771A3757" w14:textId="43658C2B"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21/79 (L2+L3)</w:t>
            </w:r>
          </w:p>
        </w:tc>
        <w:tc>
          <w:tcPr>
            <w:tcW w:w="936" w:type="dxa"/>
            <w:noWrap/>
            <w:hideMark/>
          </w:tcPr>
          <w:p w14:paraId="43CA0A21"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29" w:type="dxa"/>
            <w:noWrap/>
            <w:hideMark/>
          </w:tcPr>
          <w:p w14:paraId="38F361D7"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69</w:t>
            </w:r>
          </w:p>
        </w:tc>
        <w:tc>
          <w:tcPr>
            <w:tcW w:w="423" w:type="dxa"/>
            <w:noWrap/>
            <w:hideMark/>
          </w:tcPr>
          <w:p w14:paraId="6BFD4461"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276" w:type="dxa"/>
            <w:noWrap/>
            <w:hideMark/>
          </w:tcPr>
          <w:p w14:paraId="6E351DD2"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46" w:type="dxa"/>
            <w:noWrap/>
            <w:hideMark/>
          </w:tcPr>
          <w:p w14:paraId="06C5E060"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856" w:type="dxa"/>
            <w:noWrap/>
            <w:hideMark/>
          </w:tcPr>
          <w:p w14:paraId="703D89AE"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706" w:type="dxa"/>
            <w:noWrap/>
            <w:hideMark/>
          </w:tcPr>
          <w:p w14:paraId="03D7CB01"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36" w:type="dxa"/>
            <w:noWrap/>
            <w:hideMark/>
          </w:tcPr>
          <w:p w14:paraId="0893A355" w14:textId="42CADC2F"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6D6229" w:rsidRPr="00D5385E">
              <w:rPr>
                <w:rFonts w:ascii="Book Antiqua" w:hAnsi="Book Antiqua" w:cs="Arial"/>
                <w:color w:val="000000" w:themeColor="text1"/>
                <w:sz w:val="24"/>
                <w:szCs w:val="24"/>
                <w:lang w:val="en-US"/>
              </w:rPr>
              <w:t>linical</w:t>
            </w:r>
          </w:p>
        </w:tc>
        <w:tc>
          <w:tcPr>
            <w:tcW w:w="1386" w:type="dxa"/>
            <w:noWrap/>
            <w:hideMark/>
          </w:tcPr>
          <w:p w14:paraId="22EDAFAC"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38/NA/41</w:t>
            </w:r>
          </w:p>
        </w:tc>
        <w:tc>
          <w:tcPr>
            <w:tcW w:w="916" w:type="dxa"/>
            <w:noWrap/>
            <w:hideMark/>
          </w:tcPr>
          <w:p w14:paraId="13793161"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10.3</w:t>
            </w:r>
          </w:p>
        </w:tc>
        <w:tc>
          <w:tcPr>
            <w:tcW w:w="1196" w:type="dxa"/>
            <w:noWrap/>
            <w:hideMark/>
          </w:tcPr>
          <w:p w14:paraId="2B680C30" w14:textId="457BE884"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14</w:t>
            </w:r>
          </w:p>
        </w:tc>
        <w:tc>
          <w:tcPr>
            <w:tcW w:w="1216" w:type="dxa"/>
            <w:noWrap/>
            <w:hideMark/>
          </w:tcPr>
          <w:p w14:paraId="51A85EE2"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r>
      <w:tr w:rsidR="00D5385E" w:rsidRPr="00D5385E" w14:paraId="2A01ACEF" w14:textId="77777777" w:rsidTr="00AA4910">
        <w:trPr>
          <w:trHeight w:val="290"/>
        </w:trPr>
        <w:tc>
          <w:tcPr>
            <w:tcW w:w="1456" w:type="dxa"/>
            <w:noWrap/>
            <w:hideMark/>
          </w:tcPr>
          <w:p w14:paraId="7977BADD" w14:textId="1A2F0B1C"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proofErr w:type="spellStart"/>
            <w:r w:rsidRPr="00D5385E">
              <w:rPr>
                <w:rFonts w:ascii="Book Antiqua" w:hAnsi="Book Antiqua" w:cs="Arial"/>
                <w:color w:val="000000" w:themeColor="text1"/>
                <w:sz w:val="24"/>
                <w:szCs w:val="24"/>
                <w:lang w:val="en-US"/>
              </w:rPr>
              <w:t>Yajnik</w:t>
            </w:r>
            <w:proofErr w:type="spellEnd"/>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 xml:space="preserve">et </w:t>
            </w:r>
            <w:proofErr w:type="gramStart"/>
            <w:r w:rsidR="00AA4910" w:rsidRPr="00AA4910">
              <w:rPr>
                <w:rFonts w:ascii="Book Antiqua" w:hAnsi="Book Antiqua" w:cs="Arial"/>
                <w:i/>
                <w:iCs/>
                <w:color w:val="000000" w:themeColor="text1"/>
                <w:sz w:val="24"/>
                <w:szCs w:val="24"/>
                <w:lang w:val="en-US"/>
              </w:rPr>
              <w:t>al</w:t>
            </w:r>
            <w:r w:rsidR="00D92E31"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59</w:t>
            </w:r>
            <w:r w:rsidR="00D92E31" w:rsidRPr="00D5385E">
              <w:rPr>
                <w:rFonts w:ascii="Book Antiqua" w:hAnsi="Book Antiqua" w:cs="Arial"/>
                <w:color w:val="000000" w:themeColor="text1"/>
                <w:sz w:val="24"/>
                <w:szCs w:val="24"/>
                <w:vertAlign w:val="superscript"/>
                <w:lang w:val="en-US"/>
              </w:rPr>
              <w:t>]</w:t>
            </w:r>
            <w:r w:rsidRPr="00D5385E">
              <w:rPr>
                <w:rFonts w:ascii="Book Antiqua" w:hAnsi="Book Antiqua" w:cs="Arial"/>
                <w:color w:val="000000" w:themeColor="text1"/>
                <w:sz w:val="24"/>
                <w:szCs w:val="24"/>
                <w:lang w:val="en-US"/>
              </w:rPr>
              <w:t>, 2017</w:t>
            </w:r>
          </w:p>
        </w:tc>
        <w:tc>
          <w:tcPr>
            <w:tcW w:w="1436" w:type="dxa"/>
            <w:noWrap/>
            <w:hideMark/>
          </w:tcPr>
          <w:p w14:paraId="0148A148"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996" w:type="dxa"/>
            <w:noWrap/>
            <w:hideMark/>
          </w:tcPr>
          <w:p w14:paraId="5A5FF75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112</w:t>
            </w:r>
          </w:p>
        </w:tc>
        <w:tc>
          <w:tcPr>
            <w:tcW w:w="716" w:type="dxa"/>
            <w:noWrap/>
            <w:hideMark/>
          </w:tcPr>
          <w:p w14:paraId="2EA07037"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55</w:t>
            </w:r>
          </w:p>
        </w:tc>
        <w:tc>
          <w:tcPr>
            <w:tcW w:w="716" w:type="dxa"/>
            <w:noWrap/>
            <w:hideMark/>
          </w:tcPr>
          <w:p w14:paraId="5BFDC858"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61.7</w:t>
            </w:r>
          </w:p>
        </w:tc>
        <w:tc>
          <w:tcPr>
            <w:tcW w:w="876" w:type="dxa"/>
            <w:noWrap/>
            <w:hideMark/>
          </w:tcPr>
          <w:p w14:paraId="31FBB40F"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40</w:t>
            </w:r>
          </w:p>
        </w:tc>
        <w:tc>
          <w:tcPr>
            <w:tcW w:w="606" w:type="dxa"/>
            <w:noWrap/>
            <w:hideMark/>
          </w:tcPr>
          <w:p w14:paraId="20375FFE"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49.5</w:t>
            </w:r>
          </w:p>
        </w:tc>
        <w:tc>
          <w:tcPr>
            <w:tcW w:w="1146" w:type="dxa"/>
            <w:noWrap/>
            <w:hideMark/>
          </w:tcPr>
          <w:p w14:paraId="076A6420"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11/48/41</w:t>
            </w:r>
          </w:p>
        </w:tc>
        <w:tc>
          <w:tcPr>
            <w:tcW w:w="1146" w:type="dxa"/>
            <w:noWrap/>
            <w:hideMark/>
          </w:tcPr>
          <w:p w14:paraId="178FD2BB"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66" w:type="dxa"/>
            <w:noWrap/>
            <w:hideMark/>
          </w:tcPr>
          <w:p w14:paraId="0393FEC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29/36/35</w:t>
            </w:r>
          </w:p>
        </w:tc>
        <w:tc>
          <w:tcPr>
            <w:tcW w:w="936" w:type="dxa"/>
            <w:noWrap/>
            <w:hideMark/>
          </w:tcPr>
          <w:p w14:paraId="5FA16CD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12.1</w:t>
            </w:r>
          </w:p>
        </w:tc>
        <w:tc>
          <w:tcPr>
            <w:tcW w:w="1129" w:type="dxa"/>
            <w:noWrap/>
            <w:hideMark/>
          </w:tcPr>
          <w:p w14:paraId="4ED91A18" w14:textId="28D0AF20"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51.6</w:t>
            </w:r>
          </w:p>
        </w:tc>
        <w:tc>
          <w:tcPr>
            <w:tcW w:w="423" w:type="dxa"/>
            <w:noWrap/>
            <w:hideMark/>
          </w:tcPr>
          <w:p w14:paraId="79CAE814" w14:textId="3D93EF1D"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57 for CD</w:t>
            </w:r>
          </w:p>
        </w:tc>
        <w:tc>
          <w:tcPr>
            <w:tcW w:w="1276" w:type="dxa"/>
            <w:noWrap/>
            <w:hideMark/>
          </w:tcPr>
          <w:p w14:paraId="78362D8A"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546" w:type="dxa"/>
            <w:noWrap/>
            <w:hideMark/>
          </w:tcPr>
          <w:p w14:paraId="517E0516" w14:textId="1F018682"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36.5</w:t>
            </w:r>
          </w:p>
        </w:tc>
        <w:tc>
          <w:tcPr>
            <w:tcW w:w="856" w:type="dxa"/>
            <w:noWrap/>
            <w:hideMark/>
          </w:tcPr>
          <w:p w14:paraId="6A9603DE" w14:textId="6757410A"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17.4</w:t>
            </w:r>
          </w:p>
        </w:tc>
        <w:tc>
          <w:tcPr>
            <w:tcW w:w="706" w:type="dxa"/>
            <w:noWrap/>
            <w:hideMark/>
          </w:tcPr>
          <w:p w14:paraId="181F448D" w14:textId="104778FB"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12.5</w:t>
            </w:r>
          </w:p>
        </w:tc>
        <w:tc>
          <w:tcPr>
            <w:tcW w:w="1136" w:type="dxa"/>
            <w:noWrap/>
            <w:hideMark/>
          </w:tcPr>
          <w:p w14:paraId="02959417" w14:textId="7B6DC3B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6D6229" w:rsidRPr="00D5385E">
              <w:rPr>
                <w:rFonts w:ascii="Book Antiqua" w:hAnsi="Book Antiqua" w:cs="Arial"/>
                <w:color w:val="000000" w:themeColor="text1"/>
                <w:sz w:val="24"/>
                <w:szCs w:val="24"/>
                <w:lang w:val="en-US"/>
              </w:rPr>
              <w:t>linical</w:t>
            </w:r>
          </w:p>
        </w:tc>
        <w:tc>
          <w:tcPr>
            <w:tcW w:w="1386" w:type="dxa"/>
            <w:noWrap/>
            <w:hideMark/>
          </w:tcPr>
          <w:p w14:paraId="3F5EF90B"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41.8/NA/40.7</w:t>
            </w:r>
          </w:p>
        </w:tc>
        <w:tc>
          <w:tcPr>
            <w:tcW w:w="916" w:type="dxa"/>
            <w:noWrap/>
            <w:hideMark/>
          </w:tcPr>
          <w:p w14:paraId="3984E7CD"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w:t>
            </w:r>
          </w:p>
        </w:tc>
        <w:tc>
          <w:tcPr>
            <w:tcW w:w="1196" w:type="dxa"/>
            <w:noWrap/>
            <w:hideMark/>
          </w:tcPr>
          <w:p w14:paraId="3ABD74EC" w14:textId="213EB88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77 (any) </w:t>
            </w:r>
            <w:r w:rsidR="006D1438">
              <w:rPr>
                <w:rFonts w:ascii="Book Antiqua" w:hAnsi="Book Antiqua" w:cs="Arial"/>
                <w:color w:val="000000" w:themeColor="text1"/>
                <w:sz w:val="24"/>
                <w:szCs w:val="24"/>
                <w:lang w:val="en-US"/>
              </w:rPr>
              <w:t>vs</w:t>
            </w:r>
            <w:r w:rsidRPr="00D5385E">
              <w:rPr>
                <w:rFonts w:ascii="Book Antiqua" w:hAnsi="Book Antiqua" w:cs="Arial"/>
                <w:color w:val="000000" w:themeColor="text1"/>
                <w:sz w:val="24"/>
                <w:szCs w:val="24"/>
                <w:lang w:val="en-US"/>
              </w:rPr>
              <w:t xml:space="preserve"> 0.9 (serious) </w:t>
            </w:r>
          </w:p>
        </w:tc>
        <w:tc>
          <w:tcPr>
            <w:tcW w:w="1216" w:type="dxa"/>
            <w:noWrap/>
            <w:hideMark/>
          </w:tcPr>
          <w:p w14:paraId="113B4639" w14:textId="251A6E63"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0</w:t>
            </w:r>
          </w:p>
        </w:tc>
      </w:tr>
      <w:tr w:rsidR="00D5385E" w:rsidRPr="00D5385E" w14:paraId="4A0AD6DA" w14:textId="77777777" w:rsidTr="00AA4910">
        <w:trPr>
          <w:trHeight w:val="290"/>
        </w:trPr>
        <w:tc>
          <w:tcPr>
            <w:tcW w:w="1456" w:type="dxa"/>
            <w:noWrap/>
            <w:hideMark/>
          </w:tcPr>
          <w:p w14:paraId="1D541775" w14:textId="527C680A"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Adar</w:t>
            </w:r>
            <w:r w:rsidR="00AA4910">
              <w:rPr>
                <w:rFonts w:ascii="Book Antiqua" w:hAnsi="Book Antiqua" w:cs="Arial"/>
                <w:color w:val="000000" w:themeColor="text1"/>
                <w:sz w:val="24"/>
                <w:szCs w:val="24"/>
                <w:lang w:val="en-US"/>
              </w:rPr>
              <w:t xml:space="preserve"> </w:t>
            </w:r>
            <w:r w:rsidR="00AA4910" w:rsidRPr="00AA4910">
              <w:rPr>
                <w:rFonts w:ascii="Book Antiqua" w:hAnsi="Book Antiqua" w:cs="Arial"/>
                <w:i/>
                <w:iCs/>
                <w:color w:val="000000" w:themeColor="text1"/>
                <w:sz w:val="24"/>
                <w:szCs w:val="24"/>
                <w:lang w:val="en-US"/>
              </w:rPr>
              <w:t xml:space="preserve">et </w:t>
            </w:r>
            <w:proofErr w:type="gramStart"/>
            <w:r w:rsidR="00AA4910" w:rsidRPr="00AA4910">
              <w:rPr>
                <w:rFonts w:ascii="Book Antiqua" w:hAnsi="Book Antiqua" w:cs="Arial"/>
                <w:i/>
                <w:iCs/>
                <w:color w:val="000000" w:themeColor="text1"/>
                <w:sz w:val="24"/>
                <w:szCs w:val="24"/>
                <w:lang w:val="en-US"/>
              </w:rPr>
              <w:t>al</w:t>
            </w:r>
            <w:r w:rsidR="00D92E31" w:rsidRPr="00D5385E">
              <w:rPr>
                <w:rFonts w:ascii="Book Antiqua" w:hAnsi="Book Antiqua" w:cs="Arial"/>
                <w:color w:val="000000" w:themeColor="text1"/>
                <w:sz w:val="24"/>
                <w:szCs w:val="24"/>
                <w:vertAlign w:val="superscript"/>
                <w:lang w:val="en-US"/>
              </w:rPr>
              <w:t>[</w:t>
            </w:r>
            <w:proofErr w:type="gramEnd"/>
            <w:r w:rsidR="00E909D4">
              <w:rPr>
                <w:rFonts w:ascii="Book Antiqua" w:hAnsi="Book Antiqua" w:cs="Arial"/>
                <w:color w:val="000000" w:themeColor="text1"/>
                <w:sz w:val="24"/>
                <w:szCs w:val="24"/>
                <w:vertAlign w:val="superscript"/>
                <w:lang w:val="en-US"/>
              </w:rPr>
              <w:t>53</w:t>
            </w:r>
            <w:r w:rsidR="00D92E31" w:rsidRPr="00D5385E">
              <w:rPr>
                <w:rFonts w:ascii="Book Antiqua" w:hAnsi="Book Antiqua" w:cs="Arial"/>
                <w:color w:val="000000" w:themeColor="text1"/>
                <w:sz w:val="24"/>
                <w:szCs w:val="24"/>
                <w:vertAlign w:val="superscript"/>
                <w:lang w:val="en-US"/>
              </w:rPr>
              <w:t>]</w:t>
            </w:r>
            <w:r w:rsidR="00D92E31"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2019</w:t>
            </w:r>
          </w:p>
        </w:tc>
        <w:tc>
          <w:tcPr>
            <w:tcW w:w="1436" w:type="dxa"/>
            <w:noWrap/>
            <w:hideMark/>
          </w:tcPr>
          <w:p w14:paraId="3E1493AF"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Retrospective</w:t>
            </w:r>
          </w:p>
        </w:tc>
        <w:tc>
          <w:tcPr>
            <w:tcW w:w="996" w:type="dxa"/>
            <w:noWrap/>
            <w:hideMark/>
          </w:tcPr>
          <w:p w14:paraId="3672728C"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103</w:t>
            </w:r>
          </w:p>
        </w:tc>
        <w:tc>
          <w:tcPr>
            <w:tcW w:w="716" w:type="dxa"/>
            <w:noWrap/>
            <w:hideMark/>
          </w:tcPr>
          <w:p w14:paraId="5FA133C2"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716" w:type="dxa"/>
            <w:noWrap/>
            <w:hideMark/>
          </w:tcPr>
          <w:p w14:paraId="464B7D95"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68</w:t>
            </w:r>
          </w:p>
        </w:tc>
        <w:tc>
          <w:tcPr>
            <w:tcW w:w="876" w:type="dxa"/>
            <w:noWrap/>
            <w:hideMark/>
          </w:tcPr>
          <w:p w14:paraId="591D8A61"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42</w:t>
            </w:r>
          </w:p>
        </w:tc>
        <w:tc>
          <w:tcPr>
            <w:tcW w:w="606" w:type="dxa"/>
            <w:noWrap/>
            <w:hideMark/>
          </w:tcPr>
          <w:p w14:paraId="5D528F7E"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50</w:t>
            </w:r>
          </w:p>
        </w:tc>
        <w:tc>
          <w:tcPr>
            <w:tcW w:w="1146" w:type="dxa"/>
            <w:noWrap/>
            <w:hideMark/>
          </w:tcPr>
          <w:p w14:paraId="4357AFF6"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NA/NA/55</w:t>
            </w:r>
          </w:p>
        </w:tc>
        <w:tc>
          <w:tcPr>
            <w:tcW w:w="1146" w:type="dxa"/>
            <w:noWrap/>
            <w:hideMark/>
          </w:tcPr>
          <w:p w14:paraId="16064C62"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43/25/32</w:t>
            </w:r>
          </w:p>
        </w:tc>
        <w:tc>
          <w:tcPr>
            <w:tcW w:w="1166" w:type="dxa"/>
            <w:noWrap/>
            <w:hideMark/>
          </w:tcPr>
          <w:p w14:paraId="0AAD012E"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20/24/56/0</w:t>
            </w:r>
          </w:p>
        </w:tc>
        <w:tc>
          <w:tcPr>
            <w:tcW w:w="936" w:type="dxa"/>
            <w:noWrap/>
            <w:hideMark/>
          </w:tcPr>
          <w:p w14:paraId="2A12F051" w14:textId="77777777" w:rsidR="00130AA5" w:rsidRPr="00D5385E" w:rsidRDefault="00130AA5" w:rsidP="00AA4910">
            <w:pPr>
              <w:adjustRightInd w:val="0"/>
              <w:snapToGrid w:val="0"/>
              <w:spacing w:after="0" w:line="360" w:lineRule="auto"/>
              <w:jc w:val="center"/>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16</w:t>
            </w:r>
          </w:p>
        </w:tc>
        <w:tc>
          <w:tcPr>
            <w:tcW w:w="1129" w:type="dxa"/>
            <w:noWrap/>
            <w:hideMark/>
          </w:tcPr>
          <w:p w14:paraId="339A2C84"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60</w:t>
            </w:r>
          </w:p>
        </w:tc>
        <w:tc>
          <w:tcPr>
            <w:tcW w:w="423" w:type="dxa"/>
            <w:noWrap/>
            <w:hideMark/>
          </w:tcPr>
          <w:p w14:paraId="3CAA9CAB"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31</w:t>
            </w:r>
          </w:p>
        </w:tc>
        <w:tc>
          <w:tcPr>
            <w:tcW w:w="1276" w:type="dxa"/>
            <w:noWrap/>
            <w:hideMark/>
          </w:tcPr>
          <w:p w14:paraId="7849285B"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4</w:t>
            </w:r>
          </w:p>
        </w:tc>
        <w:tc>
          <w:tcPr>
            <w:tcW w:w="1546" w:type="dxa"/>
            <w:noWrap/>
            <w:hideMark/>
          </w:tcPr>
          <w:p w14:paraId="299E1BE7"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70</w:t>
            </w:r>
          </w:p>
        </w:tc>
        <w:tc>
          <w:tcPr>
            <w:tcW w:w="856" w:type="dxa"/>
            <w:noWrap/>
            <w:hideMark/>
          </w:tcPr>
          <w:p w14:paraId="31A135AD" w14:textId="331C856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33</w:t>
            </w:r>
          </w:p>
        </w:tc>
        <w:tc>
          <w:tcPr>
            <w:tcW w:w="706" w:type="dxa"/>
            <w:noWrap/>
            <w:hideMark/>
          </w:tcPr>
          <w:p w14:paraId="1094EFA3" w14:textId="0A35D3B9"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23</w:t>
            </w:r>
          </w:p>
        </w:tc>
        <w:tc>
          <w:tcPr>
            <w:tcW w:w="1136" w:type="dxa"/>
            <w:noWrap/>
            <w:hideMark/>
          </w:tcPr>
          <w:p w14:paraId="3CBA0620" w14:textId="3CFA8971"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C</w:t>
            </w:r>
            <w:r w:rsidR="006D6229" w:rsidRPr="00D5385E">
              <w:rPr>
                <w:rFonts w:ascii="Book Antiqua" w:hAnsi="Book Antiqua" w:cs="Arial"/>
                <w:color w:val="000000" w:themeColor="text1"/>
                <w:sz w:val="24"/>
                <w:szCs w:val="24"/>
                <w:lang w:val="en-US"/>
              </w:rPr>
              <w:t>linical</w:t>
            </w:r>
          </w:p>
        </w:tc>
        <w:tc>
          <w:tcPr>
            <w:tcW w:w="1386" w:type="dxa"/>
            <w:noWrap/>
            <w:hideMark/>
          </w:tcPr>
          <w:p w14:paraId="4789BF29"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38/45/54</w:t>
            </w:r>
          </w:p>
        </w:tc>
        <w:tc>
          <w:tcPr>
            <w:tcW w:w="916" w:type="dxa"/>
            <w:noWrap/>
            <w:hideMark/>
          </w:tcPr>
          <w:p w14:paraId="0A7750F4" w14:textId="77777777"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10</w:t>
            </w:r>
          </w:p>
        </w:tc>
        <w:tc>
          <w:tcPr>
            <w:tcW w:w="1196" w:type="dxa"/>
            <w:noWrap/>
            <w:hideMark/>
          </w:tcPr>
          <w:p w14:paraId="1E6957F1" w14:textId="66A295A0"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17 (</w:t>
            </w:r>
            <w:r w:rsidR="001E32CA" w:rsidRPr="00D5385E">
              <w:rPr>
                <w:rFonts w:ascii="Book Antiqua" w:hAnsi="Book Antiqua" w:cs="Arial"/>
                <w:color w:val="000000" w:themeColor="text1"/>
                <w:sz w:val="24"/>
                <w:szCs w:val="24"/>
                <w:lang w:val="en-US"/>
              </w:rPr>
              <w:t>significant infections</w:t>
            </w:r>
            <w:r w:rsidRPr="00D5385E">
              <w:rPr>
                <w:rFonts w:ascii="Book Antiqua" w:hAnsi="Book Antiqua" w:cs="Arial"/>
                <w:color w:val="000000" w:themeColor="text1"/>
                <w:sz w:val="24"/>
                <w:szCs w:val="24"/>
                <w:lang w:val="en-US"/>
              </w:rPr>
              <w:t>)</w:t>
            </w:r>
          </w:p>
        </w:tc>
        <w:tc>
          <w:tcPr>
            <w:tcW w:w="1216" w:type="dxa"/>
            <w:noWrap/>
            <w:hideMark/>
          </w:tcPr>
          <w:p w14:paraId="4A5F6DF9" w14:textId="0653084D" w:rsidR="00130AA5" w:rsidRPr="00D5385E" w:rsidRDefault="00130AA5"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2</w:t>
            </w:r>
          </w:p>
        </w:tc>
      </w:tr>
    </w:tbl>
    <w:p w14:paraId="05EB83F5" w14:textId="5272177F" w:rsidR="00F323D6" w:rsidRPr="00D5385E" w:rsidRDefault="008C49A1" w:rsidP="00D5385E">
      <w:pPr>
        <w:adjustRightInd w:val="0"/>
        <w:snapToGrid w:val="0"/>
        <w:spacing w:after="0" w:line="360" w:lineRule="auto"/>
        <w:jc w:val="both"/>
        <w:rPr>
          <w:rFonts w:ascii="Book Antiqua" w:hAnsi="Book Antiqua" w:cs="Arial"/>
          <w:color w:val="000000" w:themeColor="text1"/>
          <w:sz w:val="24"/>
          <w:szCs w:val="24"/>
          <w:lang w:val="en-US"/>
        </w:rPr>
      </w:pPr>
      <w:r w:rsidRPr="00D5385E">
        <w:rPr>
          <w:rFonts w:ascii="Book Antiqua" w:hAnsi="Book Antiqua" w:cs="Arial"/>
          <w:color w:val="000000" w:themeColor="text1"/>
          <w:sz w:val="24"/>
          <w:szCs w:val="24"/>
          <w:lang w:val="en-US"/>
        </w:rPr>
        <w:t xml:space="preserve">UC: </w:t>
      </w:r>
      <w:r w:rsidR="00AA4910">
        <w:rPr>
          <w:rFonts w:ascii="Book Antiqua" w:hAnsi="Book Antiqua" w:cs="Arial"/>
          <w:color w:val="000000" w:themeColor="text1"/>
          <w:sz w:val="24"/>
          <w:szCs w:val="24"/>
          <w:lang w:val="en-US"/>
        </w:rPr>
        <w:t>U</w:t>
      </w:r>
      <w:r w:rsidRPr="00D5385E">
        <w:rPr>
          <w:rFonts w:ascii="Book Antiqua" w:hAnsi="Book Antiqua" w:cs="Arial"/>
          <w:color w:val="000000" w:themeColor="text1"/>
          <w:sz w:val="24"/>
          <w:szCs w:val="24"/>
          <w:lang w:val="en-US"/>
        </w:rPr>
        <w:t>lcerative colitis</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E1: </w:t>
      </w:r>
      <w:r w:rsidR="00AA4910">
        <w:rPr>
          <w:rFonts w:ascii="Book Antiqua" w:hAnsi="Book Antiqua" w:cs="Arial"/>
          <w:color w:val="000000" w:themeColor="text1"/>
          <w:sz w:val="24"/>
          <w:szCs w:val="24"/>
          <w:lang w:val="en-US"/>
        </w:rPr>
        <w:t>P</w:t>
      </w:r>
      <w:r w:rsidRPr="00D5385E">
        <w:rPr>
          <w:rFonts w:ascii="Book Antiqua" w:hAnsi="Book Antiqua" w:cs="Arial"/>
          <w:color w:val="000000" w:themeColor="text1"/>
          <w:sz w:val="24"/>
          <w:szCs w:val="24"/>
          <w:lang w:val="en-US"/>
        </w:rPr>
        <w:t>roctitis</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E2: </w:t>
      </w:r>
      <w:r w:rsidR="00AA4910">
        <w:rPr>
          <w:rFonts w:ascii="Book Antiqua" w:hAnsi="Book Antiqua" w:cs="Arial"/>
          <w:color w:val="000000" w:themeColor="text1"/>
          <w:sz w:val="24"/>
          <w:szCs w:val="24"/>
          <w:lang w:val="en-US"/>
        </w:rPr>
        <w:t>L</w:t>
      </w:r>
      <w:r w:rsidRPr="00D5385E">
        <w:rPr>
          <w:rFonts w:ascii="Book Antiqua" w:hAnsi="Book Antiqua" w:cs="Arial"/>
          <w:color w:val="000000" w:themeColor="text1"/>
          <w:sz w:val="24"/>
          <w:szCs w:val="24"/>
          <w:lang w:val="en-US"/>
        </w:rPr>
        <w:t>eft</w:t>
      </w:r>
      <w:r w:rsidR="000A1048">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sided colitis</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E3: </w:t>
      </w:r>
      <w:r w:rsidR="00AA4910">
        <w:rPr>
          <w:rFonts w:ascii="Book Antiqua" w:hAnsi="Book Antiqua" w:cs="Arial"/>
          <w:color w:val="000000" w:themeColor="text1"/>
          <w:sz w:val="24"/>
          <w:szCs w:val="24"/>
          <w:lang w:val="en-US"/>
        </w:rPr>
        <w:t>P</w:t>
      </w:r>
      <w:r w:rsidRPr="00D5385E">
        <w:rPr>
          <w:rFonts w:ascii="Book Antiqua" w:hAnsi="Book Antiqua" w:cs="Arial"/>
          <w:color w:val="000000" w:themeColor="text1"/>
          <w:sz w:val="24"/>
          <w:szCs w:val="24"/>
          <w:lang w:val="en-US"/>
        </w:rPr>
        <w:t>ancolitis</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CD: Crohn’s disease</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B1: </w:t>
      </w:r>
      <w:proofErr w:type="spellStart"/>
      <w:r w:rsidR="00AA4910">
        <w:rPr>
          <w:rFonts w:ascii="Book Antiqua" w:hAnsi="Book Antiqua" w:cs="Arial"/>
          <w:color w:val="000000" w:themeColor="text1"/>
          <w:sz w:val="24"/>
          <w:szCs w:val="24"/>
          <w:lang w:val="en-US"/>
        </w:rPr>
        <w:t>N</w:t>
      </w:r>
      <w:r w:rsidRPr="00D5385E">
        <w:rPr>
          <w:rFonts w:ascii="Book Antiqua" w:hAnsi="Book Antiqua" w:cs="Arial"/>
          <w:color w:val="000000" w:themeColor="text1"/>
          <w:sz w:val="24"/>
          <w:szCs w:val="24"/>
          <w:lang w:val="en-US"/>
        </w:rPr>
        <w:t>onsticturing</w:t>
      </w:r>
      <w:proofErr w:type="spellEnd"/>
      <w:r w:rsidRPr="00D5385E">
        <w:rPr>
          <w:rFonts w:ascii="Book Antiqua" w:hAnsi="Book Antiqua" w:cs="Arial"/>
          <w:color w:val="000000" w:themeColor="text1"/>
          <w:sz w:val="24"/>
          <w:szCs w:val="24"/>
          <w:lang w:val="en-US"/>
        </w:rPr>
        <w:t>, nonpenetrating</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B2: </w:t>
      </w:r>
      <w:proofErr w:type="spellStart"/>
      <w:r w:rsidR="00AA4910">
        <w:rPr>
          <w:rFonts w:ascii="Book Antiqua" w:hAnsi="Book Antiqua" w:cs="Arial"/>
          <w:color w:val="000000" w:themeColor="text1"/>
          <w:sz w:val="24"/>
          <w:szCs w:val="24"/>
          <w:lang w:val="en-US"/>
        </w:rPr>
        <w:t>S</w:t>
      </w:r>
      <w:r w:rsidRPr="00D5385E">
        <w:rPr>
          <w:rFonts w:ascii="Book Antiqua" w:hAnsi="Book Antiqua" w:cs="Arial"/>
          <w:color w:val="000000" w:themeColor="text1"/>
          <w:sz w:val="24"/>
          <w:szCs w:val="24"/>
          <w:lang w:val="en-US"/>
        </w:rPr>
        <w:t>tricturing</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B3: </w:t>
      </w:r>
      <w:r w:rsidR="00AA4910">
        <w:rPr>
          <w:rFonts w:ascii="Book Antiqua" w:hAnsi="Book Antiqua" w:cs="Arial"/>
          <w:color w:val="000000" w:themeColor="text1"/>
          <w:sz w:val="24"/>
          <w:szCs w:val="24"/>
          <w:lang w:val="en-US"/>
        </w:rPr>
        <w:t>P</w:t>
      </w:r>
      <w:r w:rsidRPr="00D5385E">
        <w:rPr>
          <w:rFonts w:ascii="Book Antiqua" w:hAnsi="Book Antiqua" w:cs="Arial"/>
          <w:color w:val="000000" w:themeColor="text1"/>
          <w:sz w:val="24"/>
          <w:szCs w:val="24"/>
          <w:lang w:val="en-US"/>
        </w:rPr>
        <w:t>enetrating</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L1: </w:t>
      </w:r>
      <w:r w:rsidR="00AA4910">
        <w:rPr>
          <w:rFonts w:ascii="Book Antiqua" w:hAnsi="Book Antiqua" w:cs="Arial"/>
          <w:color w:val="000000" w:themeColor="text1"/>
          <w:sz w:val="24"/>
          <w:szCs w:val="24"/>
          <w:lang w:val="en-US"/>
        </w:rPr>
        <w:t>T</w:t>
      </w:r>
      <w:r w:rsidRPr="00D5385E">
        <w:rPr>
          <w:rFonts w:ascii="Book Antiqua" w:hAnsi="Book Antiqua" w:cs="Arial"/>
          <w:color w:val="000000" w:themeColor="text1"/>
          <w:sz w:val="24"/>
          <w:szCs w:val="24"/>
          <w:lang w:val="en-US"/>
        </w:rPr>
        <w:t>erminal ileum</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L2: </w:t>
      </w:r>
      <w:r w:rsidR="00AA4910">
        <w:rPr>
          <w:rFonts w:ascii="Book Antiqua" w:hAnsi="Book Antiqua" w:cs="Arial"/>
          <w:color w:val="000000" w:themeColor="text1"/>
          <w:sz w:val="24"/>
          <w:szCs w:val="24"/>
          <w:lang w:val="en-US"/>
        </w:rPr>
        <w:t>C</w:t>
      </w:r>
      <w:r w:rsidRPr="00D5385E">
        <w:rPr>
          <w:rFonts w:ascii="Book Antiqua" w:hAnsi="Book Antiqua" w:cs="Arial"/>
          <w:color w:val="000000" w:themeColor="text1"/>
          <w:sz w:val="24"/>
          <w:szCs w:val="24"/>
          <w:lang w:val="en-US"/>
        </w:rPr>
        <w:t>olon</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L3: </w:t>
      </w:r>
      <w:proofErr w:type="spellStart"/>
      <w:r w:rsidR="00AA4910">
        <w:rPr>
          <w:rFonts w:ascii="Book Antiqua" w:hAnsi="Book Antiqua" w:cs="Arial"/>
          <w:color w:val="000000" w:themeColor="text1"/>
          <w:sz w:val="24"/>
          <w:szCs w:val="24"/>
          <w:lang w:val="en-US"/>
        </w:rPr>
        <w:t>I</w:t>
      </w:r>
      <w:r w:rsidRPr="00D5385E">
        <w:rPr>
          <w:rFonts w:ascii="Book Antiqua" w:hAnsi="Book Antiqua" w:cs="Arial"/>
          <w:color w:val="000000" w:themeColor="text1"/>
          <w:sz w:val="24"/>
          <w:szCs w:val="24"/>
          <w:lang w:val="en-US"/>
        </w:rPr>
        <w:t>leocolon</w:t>
      </w:r>
      <w:proofErr w:type="spellEnd"/>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L4: </w:t>
      </w:r>
      <w:r w:rsidR="00AA4910">
        <w:rPr>
          <w:rFonts w:ascii="Book Antiqua" w:hAnsi="Book Antiqua" w:cs="Arial"/>
          <w:color w:val="000000" w:themeColor="text1"/>
          <w:sz w:val="24"/>
          <w:szCs w:val="24"/>
          <w:lang w:val="en-US"/>
        </w:rPr>
        <w:t>I</w:t>
      </w:r>
      <w:r w:rsidRPr="00D5385E">
        <w:rPr>
          <w:rFonts w:ascii="Book Antiqua" w:hAnsi="Book Antiqua" w:cs="Arial"/>
          <w:color w:val="000000" w:themeColor="text1"/>
          <w:sz w:val="24"/>
          <w:szCs w:val="24"/>
          <w:lang w:val="en-US"/>
        </w:rPr>
        <w:t>solated upper disease</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TNF: </w:t>
      </w:r>
      <w:r w:rsidR="00AA4910">
        <w:rPr>
          <w:rFonts w:ascii="Book Antiqua" w:hAnsi="Book Antiqua" w:cs="Arial"/>
          <w:color w:val="000000" w:themeColor="text1"/>
          <w:sz w:val="24"/>
          <w:szCs w:val="24"/>
          <w:lang w:val="en-US"/>
        </w:rPr>
        <w:t>T</w:t>
      </w:r>
      <w:r w:rsidRPr="00D5385E">
        <w:rPr>
          <w:rFonts w:ascii="Book Antiqua" w:hAnsi="Book Antiqua" w:cs="Arial"/>
          <w:color w:val="000000" w:themeColor="text1"/>
          <w:sz w:val="24"/>
          <w:szCs w:val="24"/>
          <w:lang w:val="en-US"/>
        </w:rPr>
        <w:t>umor necrosis factor</w:t>
      </w:r>
      <w:r w:rsidR="00AA4910">
        <w:rPr>
          <w:rFonts w:ascii="Book Antiqua" w:hAnsi="Book Antiqua" w:cs="Arial"/>
          <w:color w:val="000000" w:themeColor="text1"/>
          <w:sz w:val="24"/>
          <w:szCs w:val="24"/>
          <w:lang w:val="en-US"/>
        </w:rPr>
        <w:t>;</w:t>
      </w:r>
      <w:r w:rsidR="00CE3DF8" w:rsidRPr="00D5385E">
        <w:rPr>
          <w:rFonts w:ascii="Book Antiqua" w:hAnsi="Book Antiqua" w:cs="Arial"/>
          <w:color w:val="000000" w:themeColor="text1"/>
          <w:sz w:val="24"/>
          <w:szCs w:val="24"/>
          <w:lang w:val="en-US"/>
        </w:rPr>
        <w:t xml:space="preserve"> </w:t>
      </w:r>
      <w:r w:rsidRPr="00D5385E">
        <w:rPr>
          <w:rFonts w:ascii="Book Antiqua" w:hAnsi="Book Antiqua" w:cs="Arial"/>
          <w:color w:val="000000" w:themeColor="text1"/>
          <w:sz w:val="24"/>
          <w:szCs w:val="24"/>
          <w:lang w:val="en-US"/>
        </w:rPr>
        <w:t xml:space="preserve">triple IS: </w:t>
      </w:r>
      <w:r w:rsidR="00AA4910">
        <w:rPr>
          <w:rFonts w:ascii="Book Antiqua" w:hAnsi="Book Antiqua" w:cs="Arial"/>
          <w:color w:val="000000" w:themeColor="text1"/>
          <w:sz w:val="24"/>
          <w:szCs w:val="24"/>
          <w:lang w:val="en-US"/>
        </w:rPr>
        <w:t>T</w:t>
      </w:r>
      <w:r w:rsidRPr="00D5385E">
        <w:rPr>
          <w:rFonts w:ascii="Book Antiqua" w:hAnsi="Book Antiqua" w:cs="Arial"/>
          <w:color w:val="000000" w:themeColor="text1"/>
          <w:sz w:val="24"/>
          <w:szCs w:val="24"/>
          <w:lang w:val="en-US"/>
        </w:rPr>
        <w:t>riple immunosuppression (</w:t>
      </w:r>
      <w:r w:rsidR="00B76B7C" w:rsidRPr="00D5385E">
        <w:rPr>
          <w:rFonts w:ascii="Book Antiqua" w:hAnsi="Book Antiqua" w:cs="Arial"/>
          <w:color w:val="000000" w:themeColor="text1"/>
          <w:sz w:val="24"/>
          <w:szCs w:val="24"/>
          <w:lang w:val="en-US"/>
        </w:rPr>
        <w:t>defined as</w:t>
      </w:r>
      <w:r w:rsidRPr="00D5385E">
        <w:rPr>
          <w:rFonts w:ascii="Book Antiqua" w:hAnsi="Book Antiqua" w:cs="Arial"/>
          <w:color w:val="000000" w:themeColor="text1"/>
          <w:sz w:val="24"/>
          <w:szCs w:val="24"/>
          <w:lang w:val="en-US"/>
        </w:rPr>
        <w:t xml:space="preserve"> steroids</w:t>
      </w:r>
      <w:r w:rsidR="00B76B7C" w:rsidRPr="00D5385E">
        <w:rPr>
          <w:rFonts w:ascii="Book Antiqua" w:hAnsi="Book Antiqua" w:cs="Arial"/>
          <w:color w:val="000000" w:themeColor="text1"/>
          <w:sz w:val="24"/>
          <w:szCs w:val="24"/>
          <w:lang w:val="en-US"/>
        </w:rPr>
        <w:t>, immunomodulatory drug and vedolizumab</w:t>
      </w:r>
      <w:r w:rsidRPr="00D5385E">
        <w:rPr>
          <w:rFonts w:ascii="Book Antiqua" w:hAnsi="Book Antiqua" w:cs="Arial"/>
          <w:color w:val="000000" w:themeColor="text1"/>
          <w:sz w:val="24"/>
          <w:szCs w:val="24"/>
          <w:lang w:val="en-US"/>
        </w:rPr>
        <w:t>)</w:t>
      </w:r>
      <w:r w:rsidR="00AA4910">
        <w:rPr>
          <w:rFonts w:ascii="Book Antiqua" w:hAnsi="Book Antiqua" w:cs="Arial"/>
          <w:color w:val="000000" w:themeColor="text1"/>
          <w:sz w:val="24"/>
          <w:szCs w:val="24"/>
          <w:lang w:val="en-US"/>
        </w:rPr>
        <w:t>;</w:t>
      </w:r>
      <w:r w:rsidRPr="00D5385E">
        <w:rPr>
          <w:rFonts w:ascii="Book Antiqua" w:hAnsi="Book Antiqua" w:cs="Arial"/>
          <w:color w:val="000000" w:themeColor="text1"/>
          <w:sz w:val="24"/>
          <w:szCs w:val="24"/>
          <w:lang w:val="en-US"/>
        </w:rPr>
        <w:t xml:space="preserve"> </w:t>
      </w:r>
      <w:r w:rsidR="00F53BAB" w:rsidRPr="00D5385E">
        <w:rPr>
          <w:rFonts w:ascii="Book Antiqua" w:hAnsi="Book Antiqua" w:cs="Arial"/>
          <w:color w:val="000000" w:themeColor="text1"/>
          <w:sz w:val="24"/>
          <w:szCs w:val="24"/>
          <w:lang w:val="en-US"/>
        </w:rPr>
        <w:t xml:space="preserve">NA: </w:t>
      </w:r>
      <w:r w:rsidR="00AA4910">
        <w:rPr>
          <w:rFonts w:ascii="Book Antiqua" w:hAnsi="Book Antiqua" w:cs="Arial"/>
          <w:color w:val="000000" w:themeColor="text1"/>
          <w:sz w:val="24"/>
          <w:szCs w:val="24"/>
          <w:lang w:val="en-US"/>
        </w:rPr>
        <w:t>N</w:t>
      </w:r>
      <w:r w:rsidR="00F53BAB" w:rsidRPr="00D5385E">
        <w:rPr>
          <w:rFonts w:ascii="Book Antiqua" w:hAnsi="Book Antiqua" w:cs="Arial"/>
          <w:color w:val="000000" w:themeColor="text1"/>
          <w:sz w:val="24"/>
          <w:szCs w:val="24"/>
          <w:lang w:val="en-US"/>
        </w:rPr>
        <w:t>ot available</w:t>
      </w:r>
      <w:r w:rsidR="00AA4910">
        <w:rPr>
          <w:rFonts w:ascii="Book Antiqua" w:hAnsi="Book Antiqua" w:cs="Arial" w:hint="eastAsia"/>
          <w:color w:val="000000" w:themeColor="text1"/>
          <w:sz w:val="24"/>
          <w:szCs w:val="24"/>
          <w:lang w:val="en-US"/>
        </w:rPr>
        <w:t>.</w:t>
      </w:r>
    </w:p>
    <w:sectPr w:rsidR="00F323D6" w:rsidRPr="00D538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5484" w14:textId="77777777" w:rsidR="001A5CE1" w:rsidRDefault="001A5CE1" w:rsidP="00F932BA">
      <w:pPr>
        <w:spacing w:after="0" w:line="240" w:lineRule="auto"/>
      </w:pPr>
      <w:r>
        <w:separator/>
      </w:r>
    </w:p>
  </w:endnote>
  <w:endnote w:type="continuationSeparator" w:id="0">
    <w:p w14:paraId="221486F0" w14:textId="77777777" w:rsidR="001A5CE1" w:rsidRDefault="001A5CE1" w:rsidP="00F9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EDB1" w14:textId="77777777" w:rsidR="001A5CE1" w:rsidRDefault="001A5CE1" w:rsidP="00F932BA">
      <w:pPr>
        <w:spacing w:after="0" w:line="240" w:lineRule="auto"/>
      </w:pPr>
      <w:r>
        <w:separator/>
      </w:r>
    </w:p>
  </w:footnote>
  <w:footnote w:type="continuationSeparator" w:id="0">
    <w:p w14:paraId="7C6BC755" w14:textId="77777777" w:rsidR="001A5CE1" w:rsidRDefault="001A5CE1" w:rsidP="00F93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AD"/>
    <w:rsid w:val="000117DB"/>
    <w:rsid w:val="00013068"/>
    <w:rsid w:val="00020657"/>
    <w:rsid w:val="00025BCE"/>
    <w:rsid w:val="0003266A"/>
    <w:rsid w:val="00054A18"/>
    <w:rsid w:val="00061AAE"/>
    <w:rsid w:val="00063441"/>
    <w:rsid w:val="00092051"/>
    <w:rsid w:val="00093515"/>
    <w:rsid w:val="000955C7"/>
    <w:rsid w:val="000A066C"/>
    <w:rsid w:val="000A1048"/>
    <w:rsid w:val="000B6727"/>
    <w:rsid w:val="000D0E59"/>
    <w:rsid w:val="000D388D"/>
    <w:rsid w:val="000F405B"/>
    <w:rsid w:val="00113CBD"/>
    <w:rsid w:val="00114E46"/>
    <w:rsid w:val="00116C97"/>
    <w:rsid w:val="00117B34"/>
    <w:rsid w:val="00130AA5"/>
    <w:rsid w:val="00130D80"/>
    <w:rsid w:val="0013264B"/>
    <w:rsid w:val="001336D4"/>
    <w:rsid w:val="00145374"/>
    <w:rsid w:val="00146D77"/>
    <w:rsid w:val="00153BE2"/>
    <w:rsid w:val="00170CD7"/>
    <w:rsid w:val="00172E50"/>
    <w:rsid w:val="001A07E4"/>
    <w:rsid w:val="001A1A4B"/>
    <w:rsid w:val="001A5CE1"/>
    <w:rsid w:val="001A7170"/>
    <w:rsid w:val="001B2ADD"/>
    <w:rsid w:val="001C1422"/>
    <w:rsid w:val="001C3290"/>
    <w:rsid w:val="001D78F7"/>
    <w:rsid w:val="001E32CA"/>
    <w:rsid w:val="001E412A"/>
    <w:rsid w:val="0020280E"/>
    <w:rsid w:val="002037A1"/>
    <w:rsid w:val="0021133B"/>
    <w:rsid w:val="00211DC2"/>
    <w:rsid w:val="00216B6A"/>
    <w:rsid w:val="002213DB"/>
    <w:rsid w:val="00223988"/>
    <w:rsid w:val="002243C5"/>
    <w:rsid w:val="002248AD"/>
    <w:rsid w:val="00230FC8"/>
    <w:rsid w:val="002335B0"/>
    <w:rsid w:val="00242BBB"/>
    <w:rsid w:val="00243027"/>
    <w:rsid w:val="00244F24"/>
    <w:rsid w:val="00254828"/>
    <w:rsid w:val="00257127"/>
    <w:rsid w:val="00290606"/>
    <w:rsid w:val="0029074F"/>
    <w:rsid w:val="00295B7F"/>
    <w:rsid w:val="00295C0B"/>
    <w:rsid w:val="002A4D38"/>
    <w:rsid w:val="002B0FD4"/>
    <w:rsid w:val="002B1F4F"/>
    <w:rsid w:val="002B38A8"/>
    <w:rsid w:val="002C0C19"/>
    <w:rsid w:val="002C44D3"/>
    <w:rsid w:val="002D5100"/>
    <w:rsid w:val="002D7F7D"/>
    <w:rsid w:val="002E172A"/>
    <w:rsid w:val="002F70BB"/>
    <w:rsid w:val="0030779C"/>
    <w:rsid w:val="00312234"/>
    <w:rsid w:val="0032626F"/>
    <w:rsid w:val="003405F9"/>
    <w:rsid w:val="00344C4D"/>
    <w:rsid w:val="0035790A"/>
    <w:rsid w:val="00365D7B"/>
    <w:rsid w:val="00384885"/>
    <w:rsid w:val="00384CE7"/>
    <w:rsid w:val="00386AAD"/>
    <w:rsid w:val="00386D29"/>
    <w:rsid w:val="00390500"/>
    <w:rsid w:val="003B4DD7"/>
    <w:rsid w:val="003C1EE6"/>
    <w:rsid w:val="003C1F7E"/>
    <w:rsid w:val="003D2F16"/>
    <w:rsid w:val="003D452D"/>
    <w:rsid w:val="003D7583"/>
    <w:rsid w:val="003E0B8F"/>
    <w:rsid w:val="003F4DA6"/>
    <w:rsid w:val="00403D6B"/>
    <w:rsid w:val="004170CD"/>
    <w:rsid w:val="0043445E"/>
    <w:rsid w:val="00436FBD"/>
    <w:rsid w:val="0044587C"/>
    <w:rsid w:val="00447D10"/>
    <w:rsid w:val="004636B5"/>
    <w:rsid w:val="00472CC7"/>
    <w:rsid w:val="00475733"/>
    <w:rsid w:val="00475ABF"/>
    <w:rsid w:val="00486CC9"/>
    <w:rsid w:val="004B574E"/>
    <w:rsid w:val="004C270B"/>
    <w:rsid w:val="004D2398"/>
    <w:rsid w:val="004D2D6B"/>
    <w:rsid w:val="004D2F12"/>
    <w:rsid w:val="004D59AF"/>
    <w:rsid w:val="004E7FE0"/>
    <w:rsid w:val="004F6A4A"/>
    <w:rsid w:val="0050048A"/>
    <w:rsid w:val="00501283"/>
    <w:rsid w:val="00503DAD"/>
    <w:rsid w:val="00504BAF"/>
    <w:rsid w:val="00510F5F"/>
    <w:rsid w:val="0052060C"/>
    <w:rsid w:val="00534DC0"/>
    <w:rsid w:val="00537EAE"/>
    <w:rsid w:val="00562B5B"/>
    <w:rsid w:val="00565E35"/>
    <w:rsid w:val="00566EDA"/>
    <w:rsid w:val="005867F1"/>
    <w:rsid w:val="00592887"/>
    <w:rsid w:val="00595221"/>
    <w:rsid w:val="005B0073"/>
    <w:rsid w:val="005C403D"/>
    <w:rsid w:val="005D1A3E"/>
    <w:rsid w:val="005E5A53"/>
    <w:rsid w:val="005E5D12"/>
    <w:rsid w:val="00603F09"/>
    <w:rsid w:val="00615828"/>
    <w:rsid w:val="00624F3B"/>
    <w:rsid w:val="00647375"/>
    <w:rsid w:val="0067368E"/>
    <w:rsid w:val="00692586"/>
    <w:rsid w:val="00693B2A"/>
    <w:rsid w:val="0069679D"/>
    <w:rsid w:val="00697048"/>
    <w:rsid w:val="006C5803"/>
    <w:rsid w:val="006D1438"/>
    <w:rsid w:val="006D6229"/>
    <w:rsid w:val="006E7058"/>
    <w:rsid w:val="00700A00"/>
    <w:rsid w:val="007075B8"/>
    <w:rsid w:val="00710C1F"/>
    <w:rsid w:val="0071149F"/>
    <w:rsid w:val="007206CB"/>
    <w:rsid w:val="007361CC"/>
    <w:rsid w:val="00741C13"/>
    <w:rsid w:val="00743C94"/>
    <w:rsid w:val="007562F2"/>
    <w:rsid w:val="00773F9B"/>
    <w:rsid w:val="00777539"/>
    <w:rsid w:val="00784A20"/>
    <w:rsid w:val="007863CD"/>
    <w:rsid w:val="00786FE4"/>
    <w:rsid w:val="00790533"/>
    <w:rsid w:val="007908E2"/>
    <w:rsid w:val="007966F0"/>
    <w:rsid w:val="007A4B6C"/>
    <w:rsid w:val="007A4BC0"/>
    <w:rsid w:val="007D64B6"/>
    <w:rsid w:val="007E343A"/>
    <w:rsid w:val="007F406E"/>
    <w:rsid w:val="00810BC3"/>
    <w:rsid w:val="00821C41"/>
    <w:rsid w:val="0083048F"/>
    <w:rsid w:val="00833691"/>
    <w:rsid w:val="00846151"/>
    <w:rsid w:val="00852649"/>
    <w:rsid w:val="00864AC3"/>
    <w:rsid w:val="00866AAC"/>
    <w:rsid w:val="0087414E"/>
    <w:rsid w:val="008817D4"/>
    <w:rsid w:val="00887A38"/>
    <w:rsid w:val="008941CB"/>
    <w:rsid w:val="00896E93"/>
    <w:rsid w:val="008C49A1"/>
    <w:rsid w:val="008C712B"/>
    <w:rsid w:val="008D3804"/>
    <w:rsid w:val="008F080F"/>
    <w:rsid w:val="008F245F"/>
    <w:rsid w:val="00912398"/>
    <w:rsid w:val="0092385B"/>
    <w:rsid w:val="00926066"/>
    <w:rsid w:val="00940694"/>
    <w:rsid w:val="0094598E"/>
    <w:rsid w:val="009629C1"/>
    <w:rsid w:val="00963C5E"/>
    <w:rsid w:val="00963EA1"/>
    <w:rsid w:val="00964CDC"/>
    <w:rsid w:val="00966C6E"/>
    <w:rsid w:val="009746C8"/>
    <w:rsid w:val="00975F4C"/>
    <w:rsid w:val="009853A7"/>
    <w:rsid w:val="00987C7A"/>
    <w:rsid w:val="00992580"/>
    <w:rsid w:val="009A4178"/>
    <w:rsid w:val="009B0658"/>
    <w:rsid w:val="009B432C"/>
    <w:rsid w:val="009B6C72"/>
    <w:rsid w:val="009C6ED8"/>
    <w:rsid w:val="009E1F74"/>
    <w:rsid w:val="009F02C4"/>
    <w:rsid w:val="009F0B27"/>
    <w:rsid w:val="009F206F"/>
    <w:rsid w:val="009F2215"/>
    <w:rsid w:val="00A13BE9"/>
    <w:rsid w:val="00A36CED"/>
    <w:rsid w:val="00A6657C"/>
    <w:rsid w:val="00A76356"/>
    <w:rsid w:val="00A827C4"/>
    <w:rsid w:val="00A827E9"/>
    <w:rsid w:val="00A850F9"/>
    <w:rsid w:val="00A86E05"/>
    <w:rsid w:val="00A94A6A"/>
    <w:rsid w:val="00A955D0"/>
    <w:rsid w:val="00A97CDD"/>
    <w:rsid w:val="00AA4910"/>
    <w:rsid w:val="00AA7432"/>
    <w:rsid w:val="00AB13CE"/>
    <w:rsid w:val="00AB5B92"/>
    <w:rsid w:val="00AB6AAD"/>
    <w:rsid w:val="00AC5CF0"/>
    <w:rsid w:val="00B0569A"/>
    <w:rsid w:val="00B107AB"/>
    <w:rsid w:val="00B1637C"/>
    <w:rsid w:val="00B32FDF"/>
    <w:rsid w:val="00B33BA3"/>
    <w:rsid w:val="00B36F40"/>
    <w:rsid w:val="00B41BC6"/>
    <w:rsid w:val="00B47F36"/>
    <w:rsid w:val="00B528FA"/>
    <w:rsid w:val="00B76B7C"/>
    <w:rsid w:val="00B96E6B"/>
    <w:rsid w:val="00BA0882"/>
    <w:rsid w:val="00BA32A3"/>
    <w:rsid w:val="00BC05CD"/>
    <w:rsid w:val="00BD1969"/>
    <w:rsid w:val="00BD3EC6"/>
    <w:rsid w:val="00BE1B60"/>
    <w:rsid w:val="00BE6C84"/>
    <w:rsid w:val="00BE7F1A"/>
    <w:rsid w:val="00BF537A"/>
    <w:rsid w:val="00C041EE"/>
    <w:rsid w:val="00C05315"/>
    <w:rsid w:val="00C06EF8"/>
    <w:rsid w:val="00C1726D"/>
    <w:rsid w:val="00C23075"/>
    <w:rsid w:val="00C37B30"/>
    <w:rsid w:val="00C56BA5"/>
    <w:rsid w:val="00C639FD"/>
    <w:rsid w:val="00C66CB6"/>
    <w:rsid w:val="00C71543"/>
    <w:rsid w:val="00C86232"/>
    <w:rsid w:val="00CB1068"/>
    <w:rsid w:val="00CB68AD"/>
    <w:rsid w:val="00CC4703"/>
    <w:rsid w:val="00CD1E3E"/>
    <w:rsid w:val="00CD2BE2"/>
    <w:rsid w:val="00CD3B63"/>
    <w:rsid w:val="00CD75A3"/>
    <w:rsid w:val="00CE3DF8"/>
    <w:rsid w:val="00CE449B"/>
    <w:rsid w:val="00D02D66"/>
    <w:rsid w:val="00D043F5"/>
    <w:rsid w:val="00D10248"/>
    <w:rsid w:val="00D15219"/>
    <w:rsid w:val="00D172CD"/>
    <w:rsid w:val="00D254E3"/>
    <w:rsid w:val="00D30F2B"/>
    <w:rsid w:val="00D3528C"/>
    <w:rsid w:val="00D51576"/>
    <w:rsid w:val="00D518C6"/>
    <w:rsid w:val="00D5385E"/>
    <w:rsid w:val="00D657FB"/>
    <w:rsid w:val="00D81D38"/>
    <w:rsid w:val="00D90835"/>
    <w:rsid w:val="00D90FDB"/>
    <w:rsid w:val="00D91AA2"/>
    <w:rsid w:val="00D92E31"/>
    <w:rsid w:val="00D96DFA"/>
    <w:rsid w:val="00DD33C1"/>
    <w:rsid w:val="00DD5883"/>
    <w:rsid w:val="00E0149C"/>
    <w:rsid w:val="00E1196F"/>
    <w:rsid w:val="00E2413E"/>
    <w:rsid w:val="00E24555"/>
    <w:rsid w:val="00E3443D"/>
    <w:rsid w:val="00E562ED"/>
    <w:rsid w:val="00E67184"/>
    <w:rsid w:val="00E75901"/>
    <w:rsid w:val="00E75BA3"/>
    <w:rsid w:val="00E909D4"/>
    <w:rsid w:val="00E94FB7"/>
    <w:rsid w:val="00EA6296"/>
    <w:rsid w:val="00EB41E1"/>
    <w:rsid w:val="00EB6F49"/>
    <w:rsid w:val="00ED08BD"/>
    <w:rsid w:val="00ED3694"/>
    <w:rsid w:val="00EE4274"/>
    <w:rsid w:val="00EE528E"/>
    <w:rsid w:val="00EF3083"/>
    <w:rsid w:val="00F00B48"/>
    <w:rsid w:val="00F13222"/>
    <w:rsid w:val="00F24209"/>
    <w:rsid w:val="00F323AE"/>
    <w:rsid w:val="00F323D6"/>
    <w:rsid w:val="00F368DC"/>
    <w:rsid w:val="00F419BD"/>
    <w:rsid w:val="00F44900"/>
    <w:rsid w:val="00F46E8C"/>
    <w:rsid w:val="00F53BAB"/>
    <w:rsid w:val="00F55768"/>
    <w:rsid w:val="00F607E0"/>
    <w:rsid w:val="00F72593"/>
    <w:rsid w:val="00F82172"/>
    <w:rsid w:val="00F932BA"/>
    <w:rsid w:val="00F960AA"/>
    <w:rsid w:val="00F9703E"/>
    <w:rsid w:val="00FA1063"/>
    <w:rsid w:val="00FA12E3"/>
    <w:rsid w:val="00FA2FF3"/>
    <w:rsid w:val="00FC4BCB"/>
    <w:rsid w:val="00FC6F06"/>
    <w:rsid w:val="00FC7EFC"/>
    <w:rsid w:val="00FD1F9A"/>
    <w:rsid w:val="00FD5635"/>
    <w:rsid w:val="00FD66EE"/>
    <w:rsid w:val="00FD6B8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74621"/>
  <w15:docId w15:val="{87ABDF1B-6082-534F-8E0B-D3599E3C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AD"/>
    <w:pPr>
      <w:spacing w:after="200" w:line="276" w:lineRule="auto"/>
    </w:pPr>
    <w:rPr>
      <w:rFonts w:ascii="Arial" w:eastAsia="MS Mincho" w:hAnsi="Arial" w:cs="Times New Roman"/>
      <w:lang w:val="en-CA"/>
    </w:rPr>
  </w:style>
  <w:style w:type="paragraph" w:styleId="Heading1">
    <w:name w:val="heading 1"/>
    <w:basedOn w:val="Normal"/>
    <w:link w:val="Heading1Char"/>
    <w:uiPriority w:val="99"/>
    <w:qFormat/>
    <w:rsid w:val="00CB68AD"/>
    <w:pPr>
      <w:spacing w:before="100" w:beforeAutospacing="1" w:after="100" w:afterAutospacing="1" w:line="240" w:lineRule="auto"/>
      <w:outlineLvl w:val="0"/>
    </w:pPr>
    <w:rPr>
      <w:rFonts w:ascii="Times New Roman" w:eastAsia="Times New Roman" w:hAnsi="Times New Roman"/>
      <w:b/>
      <w:bCs/>
      <w:kern w:val="36"/>
      <w:sz w:val="48"/>
      <w:szCs w:val="48"/>
      <w:lang w:val="fr-CA" w:eastAsia="ja-JP"/>
    </w:rPr>
  </w:style>
  <w:style w:type="paragraph" w:styleId="Heading4">
    <w:name w:val="heading 4"/>
    <w:basedOn w:val="Normal"/>
    <w:next w:val="Normal"/>
    <w:link w:val="Heading4Char"/>
    <w:uiPriority w:val="9"/>
    <w:semiHidden/>
    <w:unhideWhenUsed/>
    <w:qFormat/>
    <w:rsid w:val="00966C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68AD"/>
    <w:rPr>
      <w:rFonts w:ascii="Times New Roman" w:eastAsia="Times New Roman" w:hAnsi="Times New Roman" w:cs="Times New Roman"/>
      <w:b/>
      <w:bCs/>
      <w:kern w:val="36"/>
      <w:sz w:val="48"/>
      <w:szCs w:val="48"/>
      <w:lang w:eastAsia="ja-JP"/>
    </w:rPr>
  </w:style>
  <w:style w:type="character" w:styleId="Hyperlink">
    <w:name w:val="Hyperlink"/>
    <w:basedOn w:val="DefaultParagraphFont"/>
    <w:uiPriority w:val="99"/>
    <w:unhideWhenUsed/>
    <w:rsid w:val="00A955D0"/>
    <w:rPr>
      <w:color w:val="0000FF"/>
      <w:u w:val="single"/>
    </w:rPr>
  </w:style>
  <w:style w:type="character" w:customStyle="1" w:styleId="ref-journal">
    <w:name w:val="ref-journal"/>
    <w:basedOn w:val="DefaultParagraphFont"/>
    <w:rsid w:val="00243027"/>
  </w:style>
  <w:style w:type="character" w:customStyle="1" w:styleId="ref-vol">
    <w:name w:val="ref-vol"/>
    <w:basedOn w:val="DefaultParagraphFont"/>
    <w:rsid w:val="00243027"/>
  </w:style>
  <w:style w:type="character" w:styleId="HTMLCite">
    <w:name w:val="HTML Cite"/>
    <w:basedOn w:val="DefaultParagraphFont"/>
    <w:uiPriority w:val="99"/>
    <w:semiHidden/>
    <w:unhideWhenUsed/>
    <w:rsid w:val="0013264B"/>
    <w:rPr>
      <w:i/>
      <w:iCs/>
    </w:rPr>
  </w:style>
  <w:style w:type="paragraph" w:styleId="BalloonText">
    <w:name w:val="Balloon Text"/>
    <w:basedOn w:val="Normal"/>
    <w:link w:val="BalloonTextChar"/>
    <w:uiPriority w:val="99"/>
    <w:semiHidden/>
    <w:unhideWhenUsed/>
    <w:rsid w:val="00436FB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36FBD"/>
    <w:rPr>
      <w:rFonts w:ascii="Times New Roman" w:eastAsia="MS Mincho" w:hAnsi="Times New Roman" w:cs="Times New Roman"/>
      <w:sz w:val="18"/>
      <w:szCs w:val="18"/>
      <w:lang w:val="en-CA"/>
    </w:rPr>
  </w:style>
  <w:style w:type="character" w:styleId="CommentReference">
    <w:name w:val="annotation reference"/>
    <w:basedOn w:val="DefaultParagraphFont"/>
    <w:uiPriority w:val="99"/>
    <w:semiHidden/>
    <w:unhideWhenUsed/>
    <w:rsid w:val="00390500"/>
    <w:rPr>
      <w:sz w:val="16"/>
      <w:szCs w:val="16"/>
    </w:rPr>
  </w:style>
  <w:style w:type="paragraph" w:styleId="CommentText">
    <w:name w:val="annotation text"/>
    <w:basedOn w:val="Normal"/>
    <w:link w:val="CommentTextChar"/>
    <w:uiPriority w:val="99"/>
    <w:unhideWhenUsed/>
    <w:rsid w:val="00390500"/>
    <w:pPr>
      <w:spacing w:line="240" w:lineRule="auto"/>
    </w:pPr>
    <w:rPr>
      <w:sz w:val="20"/>
      <w:szCs w:val="20"/>
    </w:rPr>
  </w:style>
  <w:style w:type="character" w:customStyle="1" w:styleId="CommentTextChar">
    <w:name w:val="Comment Text Char"/>
    <w:basedOn w:val="DefaultParagraphFont"/>
    <w:link w:val="CommentText"/>
    <w:uiPriority w:val="99"/>
    <w:rsid w:val="00390500"/>
    <w:rPr>
      <w:rFonts w:ascii="Arial" w:eastAsia="MS Mincho"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390500"/>
    <w:rPr>
      <w:b/>
      <w:bCs/>
    </w:rPr>
  </w:style>
  <w:style w:type="character" w:customStyle="1" w:styleId="CommentSubjectChar">
    <w:name w:val="Comment Subject Char"/>
    <w:basedOn w:val="CommentTextChar"/>
    <w:link w:val="CommentSubject"/>
    <w:uiPriority w:val="99"/>
    <w:semiHidden/>
    <w:rsid w:val="00390500"/>
    <w:rPr>
      <w:rFonts w:ascii="Arial" w:eastAsia="MS Mincho" w:hAnsi="Arial" w:cs="Times New Roman"/>
      <w:b/>
      <w:bCs/>
      <w:sz w:val="20"/>
      <w:szCs w:val="20"/>
      <w:lang w:val="en-CA"/>
    </w:rPr>
  </w:style>
  <w:style w:type="character" w:styleId="FollowedHyperlink">
    <w:name w:val="FollowedHyperlink"/>
    <w:basedOn w:val="DefaultParagraphFont"/>
    <w:uiPriority w:val="99"/>
    <w:semiHidden/>
    <w:unhideWhenUsed/>
    <w:rsid w:val="00BA0882"/>
    <w:rPr>
      <w:color w:val="954F72" w:themeColor="followedHyperlink"/>
      <w:u w:val="single"/>
    </w:rPr>
  </w:style>
  <w:style w:type="character" w:customStyle="1" w:styleId="Heading4Char">
    <w:name w:val="Heading 4 Char"/>
    <w:basedOn w:val="DefaultParagraphFont"/>
    <w:link w:val="Heading4"/>
    <w:uiPriority w:val="9"/>
    <w:semiHidden/>
    <w:rsid w:val="00966C6E"/>
    <w:rPr>
      <w:rFonts w:asciiTheme="majorHAnsi" w:eastAsiaTheme="majorEastAsia" w:hAnsiTheme="majorHAnsi" w:cstheme="majorBidi"/>
      <w:i/>
      <w:iCs/>
      <w:color w:val="2E74B5" w:themeColor="accent1" w:themeShade="BF"/>
      <w:lang w:val="en-CA"/>
    </w:rPr>
  </w:style>
  <w:style w:type="character" w:styleId="PlaceholderText">
    <w:name w:val="Placeholder Text"/>
    <w:basedOn w:val="DefaultParagraphFont"/>
    <w:uiPriority w:val="99"/>
    <w:semiHidden/>
    <w:rsid w:val="00E24555"/>
    <w:rPr>
      <w:color w:val="808080"/>
    </w:rPr>
  </w:style>
  <w:style w:type="table" w:styleId="TableGrid">
    <w:name w:val="Table Grid"/>
    <w:basedOn w:val="TableNormal"/>
    <w:uiPriority w:val="39"/>
    <w:rsid w:val="0013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2B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932BA"/>
    <w:rPr>
      <w:rFonts w:ascii="Arial" w:eastAsia="MS Mincho" w:hAnsi="Arial" w:cs="Times New Roman"/>
      <w:sz w:val="18"/>
      <w:szCs w:val="18"/>
      <w:lang w:val="en-CA"/>
    </w:rPr>
  </w:style>
  <w:style w:type="paragraph" w:styleId="Footer">
    <w:name w:val="footer"/>
    <w:basedOn w:val="Normal"/>
    <w:link w:val="FooterChar"/>
    <w:uiPriority w:val="99"/>
    <w:unhideWhenUsed/>
    <w:rsid w:val="00F932B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932BA"/>
    <w:rPr>
      <w:rFonts w:ascii="Arial" w:eastAsia="MS Mincho" w:hAnsi="Arial" w:cs="Times New Roman"/>
      <w:sz w:val="18"/>
      <w:szCs w:val="18"/>
      <w:lang w:val="en-CA"/>
    </w:rPr>
  </w:style>
  <w:style w:type="paragraph" w:customStyle="1" w:styleId="1">
    <w:name w:val="正文1"/>
    <w:uiPriority w:val="99"/>
    <w:rsid w:val="00693B2A"/>
    <w:pPr>
      <w:spacing w:after="0" w:line="276" w:lineRule="auto"/>
    </w:pPr>
    <w:rPr>
      <w:rFonts w:ascii="Arial" w:eastAsia="SimSun" w:hAnsi="Arial" w:cs="Arial"/>
      <w:color w:val="000000"/>
      <w:szCs w:val="20"/>
      <w:lang w:val="pl-PL" w:eastAsia="pl-PL"/>
    </w:rPr>
  </w:style>
  <w:style w:type="character" w:customStyle="1" w:styleId="10">
    <w:name w:val="未处理的提及1"/>
    <w:basedOn w:val="DefaultParagraphFont"/>
    <w:uiPriority w:val="99"/>
    <w:semiHidden/>
    <w:unhideWhenUsed/>
    <w:rsid w:val="00693B2A"/>
    <w:rPr>
      <w:color w:val="605E5C"/>
      <w:shd w:val="clear" w:color="auto" w:fill="E1DFDD"/>
    </w:rPr>
  </w:style>
  <w:style w:type="paragraph" w:styleId="ListParagraph">
    <w:name w:val="List Paragraph"/>
    <w:basedOn w:val="Normal"/>
    <w:uiPriority w:val="34"/>
    <w:qFormat/>
    <w:rsid w:val="00693B2A"/>
    <w:pPr>
      <w:widowControl w:val="0"/>
      <w:spacing w:after="0" w:line="240" w:lineRule="auto"/>
      <w:ind w:firstLineChars="200" w:firstLine="420"/>
      <w:jc w:val="both"/>
    </w:pPr>
    <w:rPr>
      <w:rFonts w:asciiTheme="minorHAnsi" w:eastAsiaTheme="minorEastAsia" w:hAnsiTheme="minorHAnsi" w:cstheme="minorBidi"/>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92">
      <w:bodyDiv w:val="1"/>
      <w:marLeft w:val="0"/>
      <w:marRight w:val="0"/>
      <w:marTop w:val="0"/>
      <w:marBottom w:val="0"/>
      <w:divBdr>
        <w:top w:val="none" w:sz="0" w:space="0" w:color="auto"/>
        <w:left w:val="none" w:sz="0" w:space="0" w:color="auto"/>
        <w:bottom w:val="none" w:sz="0" w:space="0" w:color="auto"/>
        <w:right w:val="none" w:sz="0" w:space="0" w:color="auto"/>
      </w:divBdr>
    </w:div>
    <w:div w:id="7368635">
      <w:bodyDiv w:val="1"/>
      <w:marLeft w:val="0"/>
      <w:marRight w:val="0"/>
      <w:marTop w:val="0"/>
      <w:marBottom w:val="0"/>
      <w:divBdr>
        <w:top w:val="none" w:sz="0" w:space="0" w:color="auto"/>
        <w:left w:val="none" w:sz="0" w:space="0" w:color="auto"/>
        <w:bottom w:val="none" w:sz="0" w:space="0" w:color="auto"/>
        <w:right w:val="none" w:sz="0" w:space="0" w:color="auto"/>
      </w:divBdr>
    </w:div>
    <w:div w:id="17002992">
      <w:bodyDiv w:val="1"/>
      <w:marLeft w:val="0"/>
      <w:marRight w:val="0"/>
      <w:marTop w:val="0"/>
      <w:marBottom w:val="0"/>
      <w:divBdr>
        <w:top w:val="none" w:sz="0" w:space="0" w:color="auto"/>
        <w:left w:val="none" w:sz="0" w:space="0" w:color="auto"/>
        <w:bottom w:val="none" w:sz="0" w:space="0" w:color="auto"/>
        <w:right w:val="none" w:sz="0" w:space="0" w:color="auto"/>
      </w:divBdr>
    </w:div>
    <w:div w:id="125246080">
      <w:bodyDiv w:val="1"/>
      <w:marLeft w:val="0"/>
      <w:marRight w:val="0"/>
      <w:marTop w:val="0"/>
      <w:marBottom w:val="0"/>
      <w:divBdr>
        <w:top w:val="none" w:sz="0" w:space="0" w:color="auto"/>
        <w:left w:val="none" w:sz="0" w:space="0" w:color="auto"/>
        <w:bottom w:val="none" w:sz="0" w:space="0" w:color="auto"/>
        <w:right w:val="none" w:sz="0" w:space="0" w:color="auto"/>
      </w:divBdr>
    </w:div>
    <w:div w:id="159779177">
      <w:bodyDiv w:val="1"/>
      <w:marLeft w:val="0"/>
      <w:marRight w:val="0"/>
      <w:marTop w:val="0"/>
      <w:marBottom w:val="0"/>
      <w:divBdr>
        <w:top w:val="none" w:sz="0" w:space="0" w:color="auto"/>
        <w:left w:val="none" w:sz="0" w:space="0" w:color="auto"/>
        <w:bottom w:val="none" w:sz="0" w:space="0" w:color="auto"/>
        <w:right w:val="none" w:sz="0" w:space="0" w:color="auto"/>
      </w:divBdr>
    </w:div>
    <w:div w:id="194927221">
      <w:bodyDiv w:val="1"/>
      <w:marLeft w:val="0"/>
      <w:marRight w:val="0"/>
      <w:marTop w:val="0"/>
      <w:marBottom w:val="0"/>
      <w:divBdr>
        <w:top w:val="none" w:sz="0" w:space="0" w:color="auto"/>
        <w:left w:val="none" w:sz="0" w:space="0" w:color="auto"/>
        <w:bottom w:val="none" w:sz="0" w:space="0" w:color="auto"/>
        <w:right w:val="none" w:sz="0" w:space="0" w:color="auto"/>
      </w:divBdr>
    </w:div>
    <w:div w:id="233978241">
      <w:bodyDiv w:val="1"/>
      <w:marLeft w:val="0"/>
      <w:marRight w:val="0"/>
      <w:marTop w:val="0"/>
      <w:marBottom w:val="0"/>
      <w:divBdr>
        <w:top w:val="none" w:sz="0" w:space="0" w:color="auto"/>
        <w:left w:val="none" w:sz="0" w:space="0" w:color="auto"/>
        <w:bottom w:val="none" w:sz="0" w:space="0" w:color="auto"/>
        <w:right w:val="none" w:sz="0" w:space="0" w:color="auto"/>
      </w:divBdr>
    </w:div>
    <w:div w:id="245772658">
      <w:bodyDiv w:val="1"/>
      <w:marLeft w:val="0"/>
      <w:marRight w:val="0"/>
      <w:marTop w:val="0"/>
      <w:marBottom w:val="0"/>
      <w:divBdr>
        <w:top w:val="none" w:sz="0" w:space="0" w:color="auto"/>
        <w:left w:val="none" w:sz="0" w:space="0" w:color="auto"/>
        <w:bottom w:val="none" w:sz="0" w:space="0" w:color="auto"/>
        <w:right w:val="none" w:sz="0" w:space="0" w:color="auto"/>
      </w:divBdr>
    </w:div>
    <w:div w:id="269091571">
      <w:bodyDiv w:val="1"/>
      <w:marLeft w:val="0"/>
      <w:marRight w:val="0"/>
      <w:marTop w:val="0"/>
      <w:marBottom w:val="0"/>
      <w:divBdr>
        <w:top w:val="none" w:sz="0" w:space="0" w:color="auto"/>
        <w:left w:val="none" w:sz="0" w:space="0" w:color="auto"/>
        <w:bottom w:val="none" w:sz="0" w:space="0" w:color="auto"/>
        <w:right w:val="none" w:sz="0" w:space="0" w:color="auto"/>
      </w:divBdr>
    </w:div>
    <w:div w:id="299306420">
      <w:bodyDiv w:val="1"/>
      <w:marLeft w:val="0"/>
      <w:marRight w:val="0"/>
      <w:marTop w:val="0"/>
      <w:marBottom w:val="0"/>
      <w:divBdr>
        <w:top w:val="none" w:sz="0" w:space="0" w:color="auto"/>
        <w:left w:val="none" w:sz="0" w:space="0" w:color="auto"/>
        <w:bottom w:val="none" w:sz="0" w:space="0" w:color="auto"/>
        <w:right w:val="none" w:sz="0" w:space="0" w:color="auto"/>
      </w:divBdr>
    </w:div>
    <w:div w:id="409274478">
      <w:bodyDiv w:val="1"/>
      <w:marLeft w:val="0"/>
      <w:marRight w:val="0"/>
      <w:marTop w:val="0"/>
      <w:marBottom w:val="0"/>
      <w:divBdr>
        <w:top w:val="none" w:sz="0" w:space="0" w:color="auto"/>
        <w:left w:val="none" w:sz="0" w:space="0" w:color="auto"/>
        <w:bottom w:val="none" w:sz="0" w:space="0" w:color="auto"/>
        <w:right w:val="none" w:sz="0" w:space="0" w:color="auto"/>
      </w:divBdr>
    </w:div>
    <w:div w:id="451559607">
      <w:bodyDiv w:val="1"/>
      <w:marLeft w:val="0"/>
      <w:marRight w:val="0"/>
      <w:marTop w:val="0"/>
      <w:marBottom w:val="0"/>
      <w:divBdr>
        <w:top w:val="none" w:sz="0" w:space="0" w:color="auto"/>
        <w:left w:val="none" w:sz="0" w:space="0" w:color="auto"/>
        <w:bottom w:val="none" w:sz="0" w:space="0" w:color="auto"/>
        <w:right w:val="none" w:sz="0" w:space="0" w:color="auto"/>
      </w:divBdr>
    </w:div>
    <w:div w:id="461657314">
      <w:bodyDiv w:val="1"/>
      <w:marLeft w:val="0"/>
      <w:marRight w:val="0"/>
      <w:marTop w:val="0"/>
      <w:marBottom w:val="0"/>
      <w:divBdr>
        <w:top w:val="none" w:sz="0" w:space="0" w:color="auto"/>
        <w:left w:val="none" w:sz="0" w:space="0" w:color="auto"/>
        <w:bottom w:val="none" w:sz="0" w:space="0" w:color="auto"/>
        <w:right w:val="none" w:sz="0" w:space="0" w:color="auto"/>
      </w:divBdr>
    </w:div>
    <w:div w:id="486166993">
      <w:bodyDiv w:val="1"/>
      <w:marLeft w:val="0"/>
      <w:marRight w:val="0"/>
      <w:marTop w:val="0"/>
      <w:marBottom w:val="0"/>
      <w:divBdr>
        <w:top w:val="none" w:sz="0" w:space="0" w:color="auto"/>
        <w:left w:val="none" w:sz="0" w:space="0" w:color="auto"/>
        <w:bottom w:val="none" w:sz="0" w:space="0" w:color="auto"/>
        <w:right w:val="none" w:sz="0" w:space="0" w:color="auto"/>
      </w:divBdr>
    </w:div>
    <w:div w:id="491410782">
      <w:bodyDiv w:val="1"/>
      <w:marLeft w:val="0"/>
      <w:marRight w:val="0"/>
      <w:marTop w:val="0"/>
      <w:marBottom w:val="0"/>
      <w:divBdr>
        <w:top w:val="none" w:sz="0" w:space="0" w:color="auto"/>
        <w:left w:val="none" w:sz="0" w:space="0" w:color="auto"/>
        <w:bottom w:val="none" w:sz="0" w:space="0" w:color="auto"/>
        <w:right w:val="none" w:sz="0" w:space="0" w:color="auto"/>
      </w:divBdr>
    </w:div>
    <w:div w:id="491995321">
      <w:bodyDiv w:val="1"/>
      <w:marLeft w:val="0"/>
      <w:marRight w:val="0"/>
      <w:marTop w:val="0"/>
      <w:marBottom w:val="0"/>
      <w:divBdr>
        <w:top w:val="none" w:sz="0" w:space="0" w:color="auto"/>
        <w:left w:val="none" w:sz="0" w:space="0" w:color="auto"/>
        <w:bottom w:val="none" w:sz="0" w:space="0" w:color="auto"/>
        <w:right w:val="none" w:sz="0" w:space="0" w:color="auto"/>
      </w:divBdr>
    </w:div>
    <w:div w:id="503054733">
      <w:bodyDiv w:val="1"/>
      <w:marLeft w:val="0"/>
      <w:marRight w:val="0"/>
      <w:marTop w:val="0"/>
      <w:marBottom w:val="0"/>
      <w:divBdr>
        <w:top w:val="none" w:sz="0" w:space="0" w:color="auto"/>
        <w:left w:val="none" w:sz="0" w:space="0" w:color="auto"/>
        <w:bottom w:val="none" w:sz="0" w:space="0" w:color="auto"/>
        <w:right w:val="none" w:sz="0" w:space="0" w:color="auto"/>
      </w:divBdr>
    </w:div>
    <w:div w:id="532231142">
      <w:bodyDiv w:val="1"/>
      <w:marLeft w:val="0"/>
      <w:marRight w:val="0"/>
      <w:marTop w:val="0"/>
      <w:marBottom w:val="0"/>
      <w:divBdr>
        <w:top w:val="none" w:sz="0" w:space="0" w:color="auto"/>
        <w:left w:val="none" w:sz="0" w:space="0" w:color="auto"/>
        <w:bottom w:val="none" w:sz="0" w:space="0" w:color="auto"/>
        <w:right w:val="none" w:sz="0" w:space="0" w:color="auto"/>
      </w:divBdr>
    </w:div>
    <w:div w:id="575364079">
      <w:bodyDiv w:val="1"/>
      <w:marLeft w:val="0"/>
      <w:marRight w:val="0"/>
      <w:marTop w:val="0"/>
      <w:marBottom w:val="0"/>
      <w:divBdr>
        <w:top w:val="none" w:sz="0" w:space="0" w:color="auto"/>
        <w:left w:val="none" w:sz="0" w:space="0" w:color="auto"/>
        <w:bottom w:val="none" w:sz="0" w:space="0" w:color="auto"/>
        <w:right w:val="none" w:sz="0" w:space="0" w:color="auto"/>
      </w:divBdr>
    </w:div>
    <w:div w:id="587038471">
      <w:bodyDiv w:val="1"/>
      <w:marLeft w:val="0"/>
      <w:marRight w:val="0"/>
      <w:marTop w:val="0"/>
      <w:marBottom w:val="0"/>
      <w:divBdr>
        <w:top w:val="none" w:sz="0" w:space="0" w:color="auto"/>
        <w:left w:val="none" w:sz="0" w:space="0" w:color="auto"/>
        <w:bottom w:val="none" w:sz="0" w:space="0" w:color="auto"/>
        <w:right w:val="none" w:sz="0" w:space="0" w:color="auto"/>
      </w:divBdr>
    </w:div>
    <w:div w:id="621571612">
      <w:bodyDiv w:val="1"/>
      <w:marLeft w:val="0"/>
      <w:marRight w:val="0"/>
      <w:marTop w:val="0"/>
      <w:marBottom w:val="0"/>
      <w:divBdr>
        <w:top w:val="none" w:sz="0" w:space="0" w:color="auto"/>
        <w:left w:val="none" w:sz="0" w:space="0" w:color="auto"/>
        <w:bottom w:val="none" w:sz="0" w:space="0" w:color="auto"/>
        <w:right w:val="none" w:sz="0" w:space="0" w:color="auto"/>
      </w:divBdr>
    </w:div>
    <w:div w:id="641272051">
      <w:bodyDiv w:val="1"/>
      <w:marLeft w:val="0"/>
      <w:marRight w:val="0"/>
      <w:marTop w:val="0"/>
      <w:marBottom w:val="0"/>
      <w:divBdr>
        <w:top w:val="none" w:sz="0" w:space="0" w:color="auto"/>
        <w:left w:val="none" w:sz="0" w:space="0" w:color="auto"/>
        <w:bottom w:val="none" w:sz="0" w:space="0" w:color="auto"/>
        <w:right w:val="none" w:sz="0" w:space="0" w:color="auto"/>
      </w:divBdr>
      <w:divsChild>
        <w:div w:id="202638056">
          <w:marLeft w:val="0"/>
          <w:marRight w:val="0"/>
          <w:marTop w:val="0"/>
          <w:marBottom w:val="0"/>
          <w:divBdr>
            <w:top w:val="none" w:sz="0" w:space="0" w:color="auto"/>
            <w:left w:val="none" w:sz="0" w:space="0" w:color="auto"/>
            <w:bottom w:val="none" w:sz="0" w:space="0" w:color="auto"/>
            <w:right w:val="none" w:sz="0" w:space="0" w:color="auto"/>
          </w:divBdr>
          <w:divsChild>
            <w:div w:id="1677228584">
              <w:marLeft w:val="0"/>
              <w:marRight w:val="0"/>
              <w:marTop w:val="0"/>
              <w:marBottom w:val="0"/>
              <w:divBdr>
                <w:top w:val="none" w:sz="0" w:space="0" w:color="auto"/>
                <w:left w:val="none" w:sz="0" w:space="0" w:color="auto"/>
                <w:bottom w:val="none" w:sz="0" w:space="0" w:color="auto"/>
                <w:right w:val="none" w:sz="0" w:space="0" w:color="auto"/>
              </w:divBdr>
              <w:divsChild>
                <w:div w:id="181826211">
                  <w:marLeft w:val="0"/>
                  <w:marRight w:val="0"/>
                  <w:marTop w:val="0"/>
                  <w:marBottom w:val="0"/>
                  <w:divBdr>
                    <w:top w:val="none" w:sz="0" w:space="0" w:color="auto"/>
                    <w:left w:val="none" w:sz="0" w:space="0" w:color="auto"/>
                    <w:bottom w:val="none" w:sz="0" w:space="0" w:color="auto"/>
                    <w:right w:val="none" w:sz="0" w:space="0" w:color="auto"/>
                  </w:divBdr>
                </w:div>
                <w:div w:id="2147158956">
                  <w:marLeft w:val="0"/>
                  <w:marRight w:val="0"/>
                  <w:marTop w:val="0"/>
                  <w:marBottom w:val="0"/>
                  <w:divBdr>
                    <w:top w:val="none" w:sz="0" w:space="0" w:color="auto"/>
                    <w:left w:val="none" w:sz="0" w:space="0" w:color="auto"/>
                    <w:bottom w:val="none" w:sz="0" w:space="0" w:color="auto"/>
                    <w:right w:val="none" w:sz="0" w:space="0" w:color="auto"/>
                  </w:divBdr>
                </w:div>
              </w:divsChild>
            </w:div>
            <w:div w:id="888880989">
              <w:marLeft w:val="0"/>
              <w:marRight w:val="0"/>
              <w:marTop w:val="0"/>
              <w:marBottom w:val="0"/>
              <w:divBdr>
                <w:top w:val="none" w:sz="0" w:space="0" w:color="auto"/>
                <w:left w:val="none" w:sz="0" w:space="0" w:color="auto"/>
                <w:bottom w:val="none" w:sz="0" w:space="0" w:color="auto"/>
                <w:right w:val="none" w:sz="0" w:space="0" w:color="auto"/>
              </w:divBdr>
              <w:divsChild>
                <w:div w:id="90517837">
                  <w:marLeft w:val="0"/>
                  <w:marRight w:val="0"/>
                  <w:marTop w:val="0"/>
                  <w:marBottom w:val="0"/>
                  <w:divBdr>
                    <w:top w:val="none" w:sz="0" w:space="0" w:color="auto"/>
                    <w:left w:val="none" w:sz="0" w:space="0" w:color="auto"/>
                    <w:bottom w:val="none" w:sz="0" w:space="0" w:color="auto"/>
                    <w:right w:val="none" w:sz="0" w:space="0" w:color="auto"/>
                  </w:divBdr>
                </w:div>
                <w:div w:id="1546984775">
                  <w:marLeft w:val="0"/>
                  <w:marRight w:val="0"/>
                  <w:marTop w:val="0"/>
                  <w:marBottom w:val="0"/>
                  <w:divBdr>
                    <w:top w:val="none" w:sz="0" w:space="0" w:color="auto"/>
                    <w:left w:val="none" w:sz="0" w:space="0" w:color="auto"/>
                    <w:bottom w:val="none" w:sz="0" w:space="0" w:color="auto"/>
                    <w:right w:val="none" w:sz="0" w:space="0" w:color="auto"/>
                  </w:divBdr>
                </w:div>
              </w:divsChild>
            </w:div>
            <w:div w:id="641546848">
              <w:marLeft w:val="0"/>
              <w:marRight w:val="0"/>
              <w:marTop w:val="0"/>
              <w:marBottom w:val="0"/>
              <w:divBdr>
                <w:top w:val="none" w:sz="0" w:space="0" w:color="auto"/>
                <w:left w:val="none" w:sz="0" w:space="0" w:color="auto"/>
                <w:bottom w:val="none" w:sz="0" w:space="0" w:color="auto"/>
                <w:right w:val="none" w:sz="0" w:space="0" w:color="auto"/>
              </w:divBdr>
              <w:divsChild>
                <w:div w:id="9766878">
                  <w:marLeft w:val="0"/>
                  <w:marRight w:val="0"/>
                  <w:marTop w:val="0"/>
                  <w:marBottom w:val="0"/>
                  <w:divBdr>
                    <w:top w:val="none" w:sz="0" w:space="0" w:color="auto"/>
                    <w:left w:val="none" w:sz="0" w:space="0" w:color="auto"/>
                    <w:bottom w:val="none" w:sz="0" w:space="0" w:color="auto"/>
                    <w:right w:val="none" w:sz="0" w:space="0" w:color="auto"/>
                  </w:divBdr>
                </w:div>
                <w:div w:id="16778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9443">
          <w:marLeft w:val="0"/>
          <w:marRight w:val="0"/>
          <w:marTop w:val="0"/>
          <w:marBottom w:val="0"/>
          <w:divBdr>
            <w:top w:val="none" w:sz="0" w:space="0" w:color="auto"/>
            <w:left w:val="none" w:sz="0" w:space="0" w:color="auto"/>
            <w:bottom w:val="none" w:sz="0" w:space="0" w:color="auto"/>
            <w:right w:val="none" w:sz="0" w:space="0" w:color="auto"/>
          </w:divBdr>
        </w:div>
        <w:div w:id="553548682">
          <w:marLeft w:val="0"/>
          <w:marRight w:val="0"/>
          <w:marTop w:val="0"/>
          <w:marBottom w:val="0"/>
          <w:divBdr>
            <w:top w:val="none" w:sz="0" w:space="0" w:color="auto"/>
            <w:left w:val="none" w:sz="0" w:space="0" w:color="auto"/>
            <w:bottom w:val="none" w:sz="0" w:space="0" w:color="auto"/>
            <w:right w:val="none" w:sz="0" w:space="0" w:color="auto"/>
          </w:divBdr>
        </w:div>
        <w:div w:id="164518675">
          <w:marLeft w:val="0"/>
          <w:marRight w:val="0"/>
          <w:marTop w:val="0"/>
          <w:marBottom w:val="0"/>
          <w:divBdr>
            <w:top w:val="none" w:sz="0" w:space="0" w:color="auto"/>
            <w:left w:val="none" w:sz="0" w:space="0" w:color="auto"/>
            <w:bottom w:val="none" w:sz="0" w:space="0" w:color="auto"/>
            <w:right w:val="none" w:sz="0" w:space="0" w:color="auto"/>
          </w:divBdr>
        </w:div>
        <w:div w:id="294142807">
          <w:marLeft w:val="0"/>
          <w:marRight w:val="0"/>
          <w:marTop w:val="0"/>
          <w:marBottom w:val="0"/>
          <w:divBdr>
            <w:top w:val="none" w:sz="0" w:space="0" w:color="auto"/>
            <w:left w:val="none" w:sz="0" w:space="0" w:color="auto"/>
            <w:bottom w:val="none" w:sz="0" w:space="0" w:color="auto"/>
            <w:right w:val="none" w:sz="0" w:space="0" w:color="auto"/>
          </w:divBdr>
        </w:div>
        <w:div w:id="29377361">
          <w:marLeft w:val="0"/>
          <w:marRight w:val="0"/>
          <w:marTop w:val="0"/>
          <w:marBottom w:val="0"/>
          <w:divBdr>
            <w:top w:val="none" w:sz="0" w:space="0" w:color="auto"/>
            <w:left w:val="none" w:sz="0" w:space="0" w:color="auto"/>
            <w:bottom w:val="none" w:sz="0" w:space="0" w:color="auto"/>
            <w:right w:val="none" w:sz="0" w:space="0" w:color="auto"/>
          </w:divBdr>
        </w:div>
        <w:div w:id="158860246">
          <w:marLeft w:val="0"/>
          <w:marRight w:val="0"/>
          <w:marTop w:val="0"/>
          <w:marBottom w:val="0"/>
          <w:divBdr>
            <w:top w:val="none" w:sz="0" w:space="0" w:color="auto"/>
            <w:left w:val="none" w:sz="0" w:space="0" w:color="auto"/>
            <w:bottom w:val="none" w:sz="0" w:space="0" w:color="auto"/>
            <w:right w:val="none" w:sz="0" w:space="0" w:color="auto"/>
          </w:divBdr>
        </w:div>
      </w:divsChild>
    </w:div>
    <w:div w:id="645400434">
      <w:bodyDiv w:val="1"/>
      <w:marLeft w:val="0"/>
      <w:marRight w:val="0"/>
      <w:marTop w:val="0"/>
      <w:marBottom w:val="0"/>
      <w:divBdr>
        <w:top w:val="none" w:sz="0" w:space="0" w:color="auto"/>
        <w:left w:val="none" w:sz="0" w:space="0" w:color="auto"/>
        <w:bottom w:val="none" w:sz="0" w:space="0" w:color="auto"/>
        <w:right w:val="none" w:sz="0" w:space="0" w:color="auto"/>
      </w:divBdr>
    </w:div>
    <w:div w:id="680662823">
      <w:bodyDiv w:val="1"/>
      <w:marLeft w:val="0"/>
      <w:marRight w:val="0"/>
      <w:marTop w:val="0"/>
      <w:marBottom w:val="0"/>
      <w:divBdr>
        <w:top w:val="none" w:sz="0" w:space="0" w:color="auto"/>
        <w:left w:val="none" w:sz="0" w:space="0" w:color="auto"/>
        <w:bottom w:val="none" w:sz="0" w:space="0" w:color="auto"/>
        <w:right w:val="none" w:sz="0" w:space="0" w:color="auto"/>
      </w:divBdr>
    </w:div>
    <w:div w:id="694036606">
      <w:bodyDiv w:val="1"/>
      <w:marLeft w:val="0"/>
      <w:marRight w:val="0"/>
      <w:marTop w:val="0"/>
      <w:marBottom w:val="0"/>
      <w:divBdr>
        <w:top w:val="none" w:sz="0" w:space="0" w:color="auto"/>
        <w:left w:val="none" w:sz="0" w:space="0" w:color="auto"/>
        <w:bottom w:val="none" w:sz="0" w:space="0" w:color="auto"/>
        <w:right w:val="none" w:sz="0" w:space="0" w:color="auto"/>
      </w:divBdr>
    </w:div>
    <w:div w:id="753748075">
      <w:bodyDiv w:val="1"/>
      <w:marLeft w:val="0"/>
      <w:marRight w:val="0"/>
      <w:marTop w:val="0"/>
      <w:marBottom w:val="0"/>
      <w:divBdr>
        <w:top w:val="none" w:sz="0" w:space="0" w:color="auto"/>
        <w:left w:val="none" w:sz="0" w:space="0" w:color="auto"/>
        <w:bottom w:val="none" w:sz="0" w:space="0" w:color="auto"/>
        <w:right w:val="none" w:sz="0" w:space="0" w:color="auto"/>
      </w:divBdr>
    </w:div>
    <w:div w:id="772701209">
      <w:bodyDiv w:val="1"/>
      <w:marLeft w:val="0"/>
      <w:marRight w:val="0"/>
      <w:marTop w:val="0"/>
      <w:marBottom w:val="0"/>
      <w:divBdr>
        <w:top w:val="none" w:sz="0" w:space="0" w:color="auto"/>
        <w:left w:val="none" w:sz="0" w:space="0" w:color="auto"/>
        <w:bottom w:val="none" w:sz="0" w:space="0" w:color="auto"/>
        <w:right w:val="none" w:sz="0" w:space="0" w:color="auto"/>
      </w:divBdr>
      <w:divsChild>
        <w:div w:id="62915357">
          <w:marLeft w:val="0"/>
          <w:marRight w:val="0"/>
          <w:marTop w:val="0"/>
          <w:marBottom w:val="0"/>
          <w:divBdr>
            <w:top w:val="none" w:sz="0" w:space="0" w:color="auto"/>
            <w:left w:val="none" w:sz="0" w:space="0" w:color="auto"/>
            <w:bottom w:val="none" w:sz="0" w:space="0" w:color="auto"/>
            <w:right w:val="none" w:sz="0" w:space="0" w:color="auto"/>
          </w:divBdr>
          <w:divsChild>
            <w:div w:id="1355880766">
              <w:marLeft w:val="0"/>
              <w:marRight w:val="0"/>
              <w:marTop w:val="0"/>
              <w:marBottom w:val="0"/>
              <w:divBdr>
                <w:top w:val="none" w:sz="0" w:space="0" w:color="auto"/>
                <w:left w:val="none" w:sz="0" w:space="0" w:color="auto"/>
                <w:bottom w:val="none" w:sz="0" w:space="0" w:color="auto"/>
                <w:right w:val="none" w:sz="0" w:space="0" w:color="auto"/>
              </w:divBdr>
              <w:divsChild>
                <w:div w:id="477697677">
                  <w:marLeft w:val="0"/>
                  <w:marRight w:val="0"/>
                  <w:marTop w:val="0"/>
                  <w:marBottom w:val="0"/>
                  <w:divBdr>
                    <w:top w:val="none" w:sz="0" w:space="0" w:color="auto"/>
                    <w:left w:val="none" w:sz="0" w:space="0" w:color="auto"/>
                    <w:bottom w:val="none" w:sz="0" w:space="0" w:color="auto"/>
                    <w:right w:val="none" w:sz="0" w:space="0" w:color="auto"/>
                  </w:divBdr>
                </w:div>
                <w:div w:id="752774504">
                  <w:marLeft w:val="0"/>
                  <w:marRight w:val="0"/>
                  <w:marTop w:val="0"/>
                  <w:marBottom w:val="0"/>
                  <w:divBdr>
                    <w:top w:val="none" w:sz="0" w:space="0" w:color="auto"/>
                    <w:left w:val="none" w:sz="0" w:space="0" w:color="auto"/>
                    <w:bottom w:val="none" w:sz="0" w:space="0" w:color="auto"/>
                    <w:right w:val="none" w:sz="0" w:space="0" w:color="auto"/>
                  </w:divBdr>
                </w:div>
              </w:divsChild>
            </w:div>
            <w:div w:id="187523833">
              <w:marLeft w:val="0"/>
              <w:marRight w:val="0"/>
              <w:marTop w:val="0"/>
              <w:marBottom w:val="0"/>
              <w:divBdr>
                <w:top w:val="none" w:sz="0" w:space="0" w:color="auto"/>
                <w:left w:val="none" w:sz="0" w:space="0" w:color="auto"/>
                <w:bottom w:val="none" w:sz="0" w:space="0" w:color="auto"/>
                <w:right w:val="none" w:sz="0" w:space="0" w:color="auto"/>
              </w:divBdr>
              <w:divsChild>
                <w:div w:id="1903103085">
                  <w:marLeft w:val="0"/>
                  <w:marRight w:val="0"/>
                  <w:marTop w:val="0"/>
                  <w:marBottom w:val="0"/>
                  <w:divBdr>
                    <w:top w:val="none" w:sz="0" w:space="0" w:color="auto"/>
                    <w:left w:val="none" w:sz="0" w:space="0" w:color="auto"/>
                    <w:bottom w:val="none" w:sz="0" w:space="0" w:color="auto"/>
                    <w:right w:val="none" w:sz="0" w:space="0" w:color="auto"/>
                  </w:divBdr>
                </w:div>
                <w:div w:id="1347174968">
                  <w:marLeft w:val="0"/>
                  <w:marRight w:val="0"/>
                  <w:marTop w:val="0"/>
                  <w:marBottom w:val="0"/>
                  <w:divBdr>
                    <w:top w:val="none" w:sz="0" w:space="0" w:color="auto"/>
                    <w:left w:val="none" w:sz="0" w:space="0" w:color="auto"/>
                    <w:bottom w:val="none" w:sz="0" w:space="0" w:color="auto"/>
                    <w:right w:val="none" w:sz="0" w:space="0" w:color="auto"/>
                  </w:divBdr>
                </w:div>
              </w:divsChild>
            </w:div>
            <w:div w:id="1253514649">
              <w:marLeft w:val="0"/>
              <w:marRight w:val="0"/>
              <w:marTop w:val="0"/>
              <w:marBottom w:val="0"/>
              <w:divBdr>
                <w:top w:val="none" w:sz="0" w:space="0" w:color="auto"/>
                <w:left w:val="none" w:sz="0" w:space="0" w:color="auto"/>
                <w:bottom w:val="none" w:sz="0" w:space="0" w:color="auto"/>
                <w:right w:val="none" w:sz="0" w:space="0" w:color="auto"/>
              </w:divBdr>
              <w:divsChild>
                <w:div w:id="353961314">
                  <w:marLeft w:val="0"/>
                  <w:marRight w:val="0"/>
                  <w:marTop w:val="0"/>
                  <w:marBottom w:val="0"/>
                  <w:divBdr>
                    <w:top w:val="none" w:sz="0" w:space="0" w:color="auto"/>
                    <w:left w:val="none" w:sz="0" w:space="0" w:color="auto"/>
                    <w:bottom w:val="none" w:sz="0" w:space="0" w:color="auto"/>
                    <w:right w:val="none" w:sz="0" w:space="0" w:color="auto"/>
                  </w:divBdr>
                </w:div>
                <w:div w:id="112797047">
                  <w:marLeft w:val="0"/>
                  <w:marRight w:val="0"/>
                  <w:marTop w:val="0"/>
                  <w:marBottom w:val="0"/>
                  <w:divBdr>
                    <w:top w:val="none" w:sz="0" w:space="0" w:color="auto"/>
                    <w:left w:val="none" w:sz="0" w:space="0" w:color="auto"/>
                    <w:bottom w:val="none" w:sz="0" w:space="0" w:color="auto"/>
                    <w:right w:val="none" w:sz="0" w:space="0" w:color="auto"/>
                  </w:divBdr>
                </w:div>
              </w:divsChild>
            </w:div>
            <w:div w:id="477764967">
              <w:marLeft w:val="0"/>
              <w:marRight w:val="0"/>
              <w:marTop w:val="0"/>
              <w:marBottom w:val="0"/>
              <w:divBdr>
                <w:top w:val="none" w:sz="0" w:space="0" w:color="auto"/>
                <w:left w:val="none" w:sz="0" w:space="0" w:color="auto"/>
                <w:bottom w:val="none" w:sz="0" w:space="0" w:color="auto"/>
                <w:right w:val="none" w:sz="0" w:space="0" w:color="auto"/>
              </w:divBdr>
              <w:divsChild>
                <w:div w:id="35395165">
                  <w:marLeft w:val="0"/>
                  <w:marRight w:val="0"/>
                  <w:marTop w:val="0"/>
                  <w:marBottom w:val="0"/>
                  <w:divBdr>
                    <w:top w:val="none" w:sz="0" w:space="0" w:color="auto"/>
                    <w:left w:val="none" w:sz="0" w:space="0" w:color="auto"/>
                    <w:bottom w:val="none" w:sz="0" w:space="0" w:color="auto"/>
                    <w:right w:val="none" w:sz="0" w:space="0" w:color="auto"/>
                  </w:divBdr>
                </w:div>
                <w:div w:id="1721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7200">
          <w:marLeft w:val="0"/>
          <w:marRight w:val="0"/>
          <w:marTop w:val="0"/>
          <w:marBottom w:val="0"/>
          <w:divBdr>
            <w:top w:val="none" w:sz="0" w:space="0" w:color="auto"/>
            <w:left w:val="none" w:sz="0" w:space="0" w:color="auto"/>
            <w:bottom w:val="none" w:sz="0" w:space="0" w:color="auto"/>
            <w:right w:val="none" w:sz="0" w:space="0" w:color="auto"/>
          </w:divBdr>
        </w:div>
        <w:div w:id="1213812180">
          <w:marLeft w:val="0"/>
          <w:marRight w:val="0"/>
          <w:marTop w:val="0"/>
          <w:marBottom w:val="0"/>
          <w:divBdr>
            <w:top w:val="none" w:sz="0" w:space="0" w:color="auto"/>
            <w:left w:val="none" w:sz="0" w:space="0" w:color="auto"/>
            <w:bottom w:val="none" w:sz="0" w:space="0" w:color="auto"/>
            <w:right w:val="none" w:sz="0" w:space="0" w:color="auto"/>
          </w:divBdr>
        </w:div>
        <w:div w:id="1244414074">
          <w:marLeft w:val="0"/>
          <w:marRight w:val="0"/>
          <w:marTop w:val="0"/>
          <w:marBottom w:val="0"/>
          <w:divBdr>
            <w:top w:val="none" w:sz="0" w:space="0" w:color="auto"/>
            <w:left w:val="none" w:sz="0" w:space="0" w:color="auto"/>
            <w:bottom w:val="none" w:sz="0" w:space="0" w:color="auto"/>
            <w:right w:val="none" w:sz="0" w:space="0" w:color="auto"/>
          </w:divBdr>
        </w:div>
        <w:div w:id="434860234">
          <w:marLeft w:val="0"/>
          <w:marRight w:val="0"/>
          <w:marTop w:val="0"/>
          <w:marBottom w:val="0"/>
          <w:divBdr>
            <w:top w:val="none" w:sz="0" w:space="0" w:color="auto"/>
            <w:left w:val="none" w:sz="0" w:space="0" w:color="auto"/>
            <w:bottom w:val="none" w:sz="0" w:space="0" w:color="auto"/>
            <w:right w:val="none" w:sz="0" w:space="0" w:color="auto"/>
          </w:divBdr>
        </w:div>
        <w:div w:id="742264485">
          <w:marLeft w:val="0"/>
          <w:marRight w:val="0"/>
          <w:marTop w:val="0"/>
          <w:marBottom w:val="0"/>
          <w:divBdr>
            <w:top w:val="none" w:sz="0" w:space="0" w:color="auto"/>
            <w:left w:val="none" w:sz="0" w:space="0" w:color="auto"/>
            <w:bottom w:val="none" w:sz="0" w:space="0" w:color="auto"/>
            <w:right w:val="none" w:sz="0" w:space="0" w:color="auto"/>
          </w:divBdr>
        </w:div>
        <w:div w:id="1537234150">
          <w:marLeft w:val="0"/>
          <w:marRight w:val="0"/>
          <w:marTop w:val="0"/>
          <w:marBottom w:val="0"/>
          <w:divBdr>
            <w:top w:val="none" w:sz="0" w:space="0" w:color="auto"/>
            <w:left w:val="none" w:sz="0" w:space="0" w:color="auto"/>
            <w:bottom w:val="none" w:sz="0" w:space="0" w:color="auto"/>
            <w:right w:val="none" w:sz="0" w:space="0" w:color="auto"/>
          </w:divBdr>
        </w:div>
      </w:divsChild>
    </w:div>
    <w:div w:id="855195195">
      <w:bodyDiv w:val="1"/>
      <w:marLeft w:val="0"/>
      <w:marRight w:val="0"/>
      <w:marTop w:val="0"/>
      <w:marBottom w:val="0"/>
      <w:divBdr>
        <w:top w:val="none" w:sz="0" w:space="0" w:color="auto"/>
        <w:left w:val="none" w:sz="0" w:space="0" w:color="auto"/>
        <w:bottom w:val="none" w:sz="0" w:space="0" w:color="auto"/>
        <w:right w:val="none" w:sz="0" w:space="0" w:color="auto"/>
      </w:divBdr>
    </w:div>
    <w:div w:id="863327626">
      <w:bodyDiv w:val="1"/>
      <w:marLeft w:val="0"/>
      <w:marRight w:val="0"/>
      <w:marTop w:val="0"/>
      <w:marBottom w:val="0"/>
      <w:divBdr>
        <w:top w:val="none" w:sz="0" w:space="0" w:color="auto"/>
        <w:left w:val="none" w:sz="0" w:space="0" w:color="auto"/>
        <w:bottom w:val="none" w:sz="0" w:space="0" w:color="auto"/>
        <w:right w:val="none" w:sz="0" w:space="0" w:color="auto"/>
      </w:divBdr>
    </w:div>
    <w:div w:id="916018235">
      <w:bodyDiv w:val="1"/>
      <w:marLeft w:val="0"/>
      <w:marRight w:val="0"/>
      <w:marTop w:val="0"/>
      <w:marBottom w:val="0"/>
      <w:divBdr>
        <w:top w:val="none" w:sz="0" w:space="0" w:color="auto"/>
        <w:left w:val="none" w:sz="0" w:space="0" w:color="auto"/>
        <w:bottom w:val="none" w:sz="0" w:space="0" w:color="auto"/>
        <w:right w:val="none" w:sz="0" w:space="0" w:color="auto"/>
      </w:divBdr>
    </w:div>
    <w:div w:id="953902213">
      <w:bodyDiv w:val="1"/>
      <w:marLeft w:val="0"/>
      <w:marRight w:val="0"/>
      <w:marTop w:val="0"/>
      <w:marBottom w:val="0"/>
      <w:divBdr>
        <w:top w:val="none" w:sz="0" w:space="0" w:color="auto"/>
        <w:left w:val="none" w:sz="0" w:space="0" w:color="auto"/>
        <w:bottom w:val="none" w:sz="0" w:space="0" w:color="auto"/>
        <w:right w:val="none" w:sz="0" w:space="0" w:color="auto"/>
      </w:divBdr>
    </w:div>
    <w:div w:id="976884713">
      <w:bodyDiv w:val="1"/>
      <w:marLeft w:val="0"/>
      <w:marRight w:val="0"/>
      <w:marTop w:val="0"/>
      <w:marBottom w:val="0"/>
      <w:divBdr>
        <w:top w:val="none" w:sz="0" w:space="0" w:color="auto"/>
        <w:left w:val="none" w:sz="0" w:space="0" w:color="auto"/>
        <w:bottom w:val="none" w:sz="0" w:space="0" w:color="auto"/>
        <w:right w:val="none" w:sz="0" w:space="0" w:color="auto"/>
      </w:divBdr>
    </w:div>
    <w:div w:id="1030647191">
      <w:bodyDiv w:val="1"/>
      <w:marLeft w:val="0"/>
      <w:marRight w:val="0"/>
      <w:marTop w:val="0"/>
      <w:marBottom w:val="0"/>
      <w:divBdr>
        <w:top w:val="none" w:sz="0" w:space="0" w:color="auto"/>
        <w:left w:val="none" w:sz="0" w:space="0" w:color="auto"/>
        <w:bottom w:val="none" w:sz="0" w:space="0" w:color="auto"/>
        <w:right w:val="none" w:sz="0" w:space="0" w:color="auto"/>
      </w:divBdr>
      <w:divsChild>
        <w:div w:id="164563156">
          <w:marLeft w:val="0"/>
          <w:marRight w:val="0"/>
          <w:marTop w:val="0"/>
          <w:marBottom w:val="0"/>
          <w:divBdr>
            <w:top w:val="none" w:sz="0" w:space="0" w:color="auto"/>
            <w:left w:val="none" w:sz="0" w:space="0" w:color="auto"/>
            <w:bottom w:val="none" w:sz="0" w:space="0" w:color="auto"/>
            <w:right w:val="none" w:sz="0" w:space="0" w:color="auto"/>
          </w:divBdr>
          <w:divsChild>
            <w:div w:id="1867325624">
              <w:marLeft w:val="0"/>
              <w:marRight w:val="0"/>
              <w:marTop w:val="0"/>
              <w:marBottom w:val="0"/>
              <w:divBdr>
                <w:top w:val="none" w:sz="0" w:space="0" w:color="auto"/>
                <w:left w:val="none" w:sz="0" w:space="0" w:color="auto"/>
                <w:bottom w:val="none" w:sz="0" w:space="0" w:color="auto"/>
                <w:right w:val="none" w:sz="0" w:space="0" w:color="auto"/>
              </w:divBdr>
              <w:divsChild>
                <w:div w:id="510683045">
                  <w:marLeft w:val="0"/>
                  <w:marRight w:val="0"/>
                  <w:marTop w:val="0"/>
                  <w:marBottom w:val="0"/>
                  <w:divBdr>
                    <w:top w:val="none" w:sz="0" w:space="0" w:color="auto"/>
                    <w:left w:val="none" w:sz="0" w:space="0" w:color="auto"/>
                    <w:bottom w:val="none" w:sz="0" w:space="0" w:color="auto"/>
                    <w:right w:val="none" w:sz="0" w:space="0" w:color="auto"/>
                  </w:divBdr>
                </w:div>
                <w:div w:id="1399133555">
                  <w:marLeft w:val="0"/>
                  <w:marRight w:val="0"/>
                  <w:marTop w:val="0"/>
                  <w:marBottom w:val="0"/>
                  <w:divBdr>
                    <w:top w:val="none" w:sz="0" w:space="0" w:color="auto"/>
                    <w:left w:val="none" w:sz="0" w:space="0" w:color="auto"/>
                    <w:bottom w:val="none" w:sz="0" w:space="0" w:color="auto"/>
                    <w:right w:val="none" w:sz="0" w:space="0" w:color="auto"/>
                  </w:divBdr>
                </w:div>
              </w:divsChild>
            </w:div>
            <w:div w:id="753355231">
              <w:marLeft w:val="0"/>
              <w:marRight w:val="0"/>
              <w:marTop w:val="0"/>
              <w:marBottom w:val="0"/>
              <w:divBdr>
                <w:top w:val="none" w:sz="0" w:space="0" w:color="auto"/>
                <w:left w:val="none" w:sz="0" w:space="0" w:color="auto"/>
                <w:bottom w:val="none" w:sz="0" w:space="0" w:color="auto"/>
                <w:right w:val="none" w:sz="0" w:space="0" w:color="auto"/>
              </w:divBdr>
              <w:divsChild>
                <w:div w:id="1148978526">
                  <w:marLeft w:val="0"/>
                  <w:marRight w:val="0"/>
                  <w:marTop w:val="0"/>
                  <w:marBottom w:val="0"/>
                  <w:divBdr>
                    <w:top w:val="none" w:sz="0" w:space="0" w:color="auto"/>
                    <w:left w:val="none" w:sz="0" w:space="0" w:color="auto"/>
                    <w:bottom w:val="none" w:sz="0" w:space="0" w:color="auto"/>
                    <w:right w:val="none" w:sz="0" w:space="0" w:color="auto"/>
                  </w:divBdr>
                </w:div>
                <w:div w:id="2048405008">
                  <w:marLeft w:val="0"/>
                  <w:marRight w:val="0"/>
                  <w:marTop w:val="0"/>
                  <w:marBottom w:val="0"/>
                  <w:divBdr>
                    <w:top w:val="none" w:sz="0" w:space="0" w:color="auto"/>
                    <w:left w:val="none" w:sz="0" w:space="0" w:color="auto"/>
                    <w:bottom w:val="none" w:sz="0" w:space="0" w:color="auto"/>
                    <w:right w:val="none" w:sz="0" w:space="0" w:color="auto"/>
                  </w:divBdr>
                </w:div>
              </w:divsChild>
            </w:div>
            <w:div w:id="226188994">
              <w:marLeft w:val="0"/>
              <w:marRight w:val="0"/>
              <w:marTop w:val="0"/>
              <w:marBottom w:val="0"/>
              <w:divBdr>
                <w:top w:val="none" w:sz="0" w:space="0" w:color="auto"/>
                <w:left w:val="none" w:sz="0" w:space="0" w:color="auto"/>
                <w:bottom w:val="none" w:sz="0" w:space="0" w:color="auto"/>
                <w:right w:val="none" w:sz="0" w:space="0" w:color="auto"/>
              </w:divBdr>
              <w:divsChild>
                <w:div w:id="160198217">
                  <w:marLeft w:val="0"/>
                  <w:marRight w:val="0"/>
                  <w:marTop w:val="0"/>
                  <w:marBottom w:val="0"/>
                  <w:divBdr>
                    <w:top w:val="none" w:sz="0" w:space="0" w:color="auto"/>
                    <w:left w:val="none" w:sz="0" w:space="0" w:color="auto"/>
                    <w:bottom w:val="none" w:sz="0" w:space="0" w:color="auto"/>
                    <w:right w:val="none" w:sz="0" w:space="0" w:color="auto"/>
                  </w:divBdr>
                </w:div>
                <w:div w:id="140467237">
                  <w:marLeft w:val="0"/>
                  <w:marRight w:val="0"/>
                  <w:marTop w:val="0"/>
                  <w:marBottom w:val="0"/>
                  <w:divBdr>
                    <w:top w:val="none" w:sz="0" w:space="0" w:color="auto"/>
                    <w:left w:val="none" w:sz="0" w:space="0" w:color="auto"/>
                    <w:bottom w:val="none" w:sz="0" w:space="0" w:color="auto"/>
                    <w:right w:val="none" w:sz="0" w:space="0" w:color="auto"/>
                  </w:divBdr>
                </w:div>
              </w:divsChild>
            </w:div>
            <w:div w:id="1056783390">
              <w:marLeft w:val="0"/>
              <w:marRight w:val="0"/>
              <w:marTop w:val="0"/>
              <w:marBottom w:val="0"/>
              <w:divBdr>
                <w:top w:val="none" w:sz="0" w:space="0" w:color="auto"/>
                <w:left w:val="none" w:sz="0" w:space="0" w:color="auto"/>
                <w:bottom w:val="none" w:sz="0" w:space="0" w:color="auto"/>
                <w:right w:val="none" w:sz="0" w:space="0" w:color="auto"/>
              </w:divBdr>
              <w:divsChild>
                <w:div w:id="1677419094">
                  <w:marLeft w:val="0"/>
                  <w:marRight w:val="0"/>
                  <w:marTop w:val="0"/>
                  <w:marBottom w:val="0"/>
                  <w:divBdr>
                    <w:top w:val="none" w:sz="0" w:space="0" w:color="auto"/>
                    <w:left w:val="none" w:sz="0" w:space="0" w:color="auto"/>
                    <w:bottom w:val="none" w:sz="0" w:space="0" w:color="auto"/>
                    <w:right w:val="none" w:sz="0" w:space="0" w:color="auto"/>
                  </w:divBdr>
                </w:div>
                <w:div w:id="276571700">
                  <w:marLeft w:val="0"/>
                  <w:marRight w:val="0"/>
                  <w:marTop w:val="0"/>
                  <w:marBottom w:val="0"/>
                  <w:divBdr>
                    <w:top w:val="none" w:sz="0" w:space="0" w:color="auto"/>
                    <w:left w:val="none" w:sz="0" w:space="0" w:color="auto"/>
                    <w:bottom w:val="none" w:sz="0" w:space="0" w:color="auto"/>
                    <w:right w:val="none" w:sz="0" w:space="0" w:color="auto"/>
                  </w:divBdr>
                </w:div>
              </w:divsChild>
            </w:div>
            <w:div w:id="2121338397">
              <w:marLeft w:val="0"/>
              <w:marRight w:val="0"/>
              <w:marTop w:val="0"/>
              <w:marBottom w:val="0"/>
              <w:divBdr>
                <w:top w:val="none" w:sz="0" w:space="0" w:color="auto"/>
                <w:left w:val="none" w:sz="0" w:space="0" w:color="auto"/>
                <w:bottom w:val="none" w:sz="0" w:space="0" w:color="auto"/>
                <w:right w:val="none" w:sz="0" w:space="0" w:color="auto"/>
              </w:divBdr>
              <w:divsChild>
                <w:div w:id="1814327855">
                  <w:marLeft w:val="0"/>
                  <w:marRight w:val="0"/>
                  <w:marTop w:val="0"/>
                  <w:marBottom w:val="0"/>
                  <w:divBdr>
                    <w:top w:val="none" w:sz="0" w:space="0" w:color="auto"/>
                    <w:left w:val="none" w:sz="0" w:space="0" w:color="auto"/>
                    <w:bottom w:val="none" w:sz="0" w:space="0" w:color="auto"/>
                    <w:right w:val="none" w:sz="0" w:space="0" w:color="auto"/>
                  </w:divBdr>
                </w:div>
                <w:div w:id="3370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47221">
          <w:marLeft w:val="0"/>
          <w:marRight w:val="0"/>
          <w:marTop w:val="0"/>
          <w:marBottom w:val="0"/>
          <w:divBdr>
            <w:top w:val="none" w:sz="0" w:space="0" w:color="auto"/>
            <w:left w:val="none" w:sz="0" w:space="0" w:color="auto"/>
            <w:bottom w:val="none" w:sz="0" w:space="0" w:color="auto"/>
            <w:right w:val="none" w:sz="0" w:space="0" w:color="auto"/>
          </w:divBdr>
        </w:div>
        <w:div w:id="398675541">
          <w:marLeft w:val="0"/>
          <w:marRight w:val="0"/>
          <w:marTop w:val="0"/>
          <w:marBottom w:val="0"/>
          <w:divBdr>
            <w:top w:val="none" w:sz="0" w:space="0" w:color="auto"/>
            <w:left w:val="none" w:sz="0" w:space="0" w:color="auto"/>
            <w:bottom w:val="none" w:sz="0" w:space="0" w:color="auto"/>
            <w:right w:val="none" w:sz="0" w:space="0" w:color="auto"/>
          </w:divBdr>
        </w:div>
        <w:div w:id="953170412">
          <w:marLeft w:val="0"/>
          <w:marRight w:val="0"/>
          <w:marTop w:val="0"/>
          <w:marBottom w:val="0"/>
          <w:divBdr>
            <w:top w:val="none" w:sz="0" w:space="0" w:color="auto"/>
            <w:left w:val="none" w:sz="0" w:space="0" w:color="auto"/>
            <w:bottom w:val="none" w:sz="0" w:space="0" w:color="auto"/>
            <w:right w:val="none" w:sz="0" w:space="0" w:color="auto"/>
          </w:divBdr>
        </w:div>
        <w:div w:id="775370430">
          <w:marLeft w:val="0"/>
          <w:marRight w:val="0"/>
          <w:marTop w:val="0"/>
          <w:marBottom w:val="0"/>
          <w:divBdr>
            <w:top w:val="none" w:sz="0" w:space="0" w:color="auto"/>
            <w:left w:val="none" w:sz="0" w:space="0" w:color="auto"/>
            <w:bottom w:val="none" w:sz="0" w:space="0" w:color="auto"/>
            <w:right w:val="none" w:sz="0" w:space="0" w:color="auto"/>
          </w:divBdr>
        </w:div>
        <w:div w:id="818691297">
          <w:marLeft w:val="0"/>
          <w:marRight w:val="0"/>
          <w:marTop w:val="0"/>
          <w:marBottom w:val="0"/>
          <w:divBdr>
            <w:top w:val="none" w:sz="0" w:space="0" w:color="auto"/>
            <w:left w:val="none" w:sz="0" w:space="0" w:color="auto"/>
            <w:bottom w:val="none" w:sz="0" w:space="0" w:color="auto"/>
            <w:right w:val="none" w:sz="0" w:space="0" w:color="auto"/>
          </w:divBdr>
        </w:div>
        <w:div w:id="732898939">
          <w:marLeft w:val="0"/>
          <w:marRight w:val="0"/>
          <w:marTop w:val="0"/>
          <w:marBottom w:val="0"/>
          <w:divBdr>
            <w:top w:val="none" w:sz="0" w:space="0" w:color="auto"/>
            <w:left w:val="none" w:sz="0" w:space="0" w:color="auto"/>
            <w:bottom w:val="none" w:sz="0" w:space="0" w:color="auto"/>
            <w:right w:val="none" w:sz="0" w:space="0" w:color="auto"/>
          </w:divBdr>
        </w:div>
      </w:divsChild>
    </w:div>
    <w:div w:id="1045905494">
      <w:bodyDiv w:val="1"/>
      <w:marLeft w:val="0"/>
      <w:marRight w:val="0"/>
      <w:marTop w:val="0"/>
      <w:marBottom w:val="0"/>
      <w:divBdr>
        <w:top w:val="none" w:sz="0" w:space="0" w:color="auto"/>
        <w:left w:val="none" w:sz="0" w:space="0" w:color="auto"/>
        <w:bottom w:val="none" w:sz="0" w:space="0" w:color="auto"/>
        <w:right w:val="none" w:sz="0" w:space="0" w:color="auto"/>
      </w:divBdr>
    </w:div>
    <w:div w:id="1146817379">
      <w:bodyDiv w:val="1"/>
      <w:marLeft w:val="0"/>
      <w:marRight w:val="0"/>
      <w:marTop w:val="0"/>
      <w:marBottom w:val="0"/>
      <w:divBdr>
        <w:top w:val="none" w:sz="0" w:space="0" w:color="auto"/>
        <w:left w:val="none" w:sz="0" w:space="0" w:color="auto"/>
        <w:bottom w:val="none" w:sz="0" w:space="0" w:color="auto"/>
        <w:right w:val="none" w:sz="0" w:space="0" w:color="auto"/>
      </w:divBdr>
    </w:div>
    <w:div w:id="1153330921">
      <w:bodyDiv w:val="1"/>
      <w:marLeft w:val="0"/>
      <w:marRight w:val="0"/>
      <w:marTop w:val="0"/>
      <w:marBottom w:val="0"/>
      <w:divBdr>
        <w:top w:val="none" w:sz="0" w:space="0" w:color="auto"/>
        <w:left w:val="none" w:sz="0" w:space="0" w:color="auto"/>
        <w:bottom w:val="none" w:sz="0" w:space="0" w:color="auto"/>
        <w:right w:val="none" w:sz="0" w:space="0" w:color="auto"/>
      </w:divBdr>
    </w:div>
    <w:div w:id="1191728093">
      <w:bodyDiv w:val="1"/>
      <w:marLeft w:val="0"/>
      <w:marRight w:val="0"/>
      <w:marTop w:val="0"/>
      <w:marBottom w:val="0"/>
      <w:divBdr>
        <w:top w:val="none" w:sz="0" w:space="0" w:color="auto"/>
        <w:left w:val="none" w:sz="0" w:space="0" w:color="auto"/>
        <w:bottom w:val="none" w:sz="0" w:space="0" w:color="auto"/>
        <w:right w:val="none" w:sz="0" w:space="0" w:color="auto"/>
      </w:divBdr>
    </w:div>
    <w:div w:id="1363167561">
      <w:bodyDiv w:val="1"/>
      <w:marLeft w:val="0"/>
      <w:marRight w:val="0"/>
      <w:marTop w:val="0"/>
      <w:marBottom w:val="0"/>
      <w:divBdr>
        <w:top w:val="none" w:sz="0" w:space="0" w:color="auto"/>
        <w:left w:val="none" w:sz="0" w:space="0" w:color="auto"/>
        <w:bottom w:val="none" w:sz="0" w:space="0" w:color="auto"/>
        <w:right w:val="none" w:sz="0" w:space="0" w:color="auto"/>
      </w:divBdr>
    </w:div>
    <w:div w:id="1429153403">
      <w:bodyDiv w:val="1"/>
      <w:marLeft w:val="0"/>
      <w:marRight w:val="0"/>
      <w:marTop w:val="0"/>
      <w:marBottom w:val="0"/>
      <w:divBdr>
        <w:top w:val="none" w:sz="0" w:space="0" w:color="auto"/>
        <w:left w:val="none" w:sz="0" w:space="0" w:color="auto"/>
        <w:bottom w:val="none" w:sz="0" w:space="0" w:color="auto"/>
        <w:right w:val="none" w:sz="0" w:space="0" w:color="auto"/>
      </w:divBdr>
    </w:div>
    <w:div w:id="1474520348">
      <w:bodyDiv w:val="1"/>
      <w:marLeft w:val="0"/>
      <w:marRight w:val="0"/>
      <w:marTop w:val="0"/>
      <w:marBottom w:val="0"/>
      <w:divBdr>
        <w:top w:val="none" w:sz="0" w:space="0" w:color="auto"/>
        <w:left w:val="none" w:sz="0" w:space="0" w:color="auto"/>
        <w:bottom w:val="none" w:sz="0" w:space="0" w:color="auto"/>
        <w:right w:val="none" w:sz="0" w:space="0" w:color="auto"/>
      </w:divBdr>
    </w:div>
    <w:div w:id="1504011290">
      <w:bodyDiv w:val="1"/>
      <w:marLeft w:val="0"/>
      <w:marRight w:val="0"/>
      <w:marTop w:val="0"/>
      <w:marBottom w:val="0"/>
      <w:divBdr>
        <w:top w:val="none" w:sz="0" w:space="0" w:color="auto"/>
        <w:left w:val="none" w:sz="0" w:space="0" w:color="auto"/>
        <w:bottom w:val="none" w:sz="0" w:space="0" w:color="auto"/>
        <w:right w:val="none" w:sz="0" w:space="0" w:color="auto"/>
      </w:divBdr>
    </w:div>
    <w:div w:id="1544098834">
      <w:bodyDiv w:val="1"/>
      <w:marLeft w:val="0"/>
      <w:marRight w:val="0"/>
      <w:marTop w:val="0"/>
      <w:marBottom w:val="0"/>
      <w:divBdr>
        <w:top w:val="none" w:sz="0" w:space="0" w:color="auto"/>
        <w:left w:val="none" w:sz="0" w:space="0" w:color="auto"/>
        <w:bottom w:val="none" w:sz="0" w:space="0" w:color="auto"/>
        <w:right w:val="none" w:sz="0" w:space="0" w:color="auto"/>
      </w:divBdr>
    </w:div>
    <w:div w:id="1587618404">
      <w:bodyDiv w:val="1"/>
      <w:marLeft w:val="0"/>
      <w:marRight w:val="0"/>
      <w:marTop w:val="0"/>
      <w:marBottom w:val="0"/>
      <w:divBdr>
        <w:top w:val="none" w:sz="0" w:space="0" w:color="auto"/>
        <w:left w:val="none" w:sz="0" w:space="0" w:color="auto"/>
        <w:bottom w:val="none" w:sz="0" w:space="0" w:color="auto"/>
        <w:right w:val="none" w:sz="0" w:space="0" w:color="auto"/>
      </w:divBdr>
    </w:div>
    <w:div w:id="1593007222">
      <w:bodyDiv w:val="1"/>
      <w:marLeft w:val="0"/>
      <w:marRight w:val="0"/>
      <w:marTop w:val="0"/>
      <w:marBottom w:val="0"/>
      <w:divBdr>
        <w:top w:val="none" w:sz="0" w:space="0" w:color="auto"/>
        <w:left w:val="none" w:sz="0" w:space="0" w:color="auto"/>
        <w:bottom w:val="none" w:sz="0" w:space="0" w:color="auto"/>
        <w:right w:val="none" w:sz="0" w:space="0" w:color="auto"/>
      </w:divBdr>
    </w:div>
    <w:div w:id="1611086535">
      <w:bodyDiv w:val="1"/>
      <w:marLeft w:val="0"/>
      <w:marRight w:val="0"/>
      <w:marTop w:val="0"/>
      <w:marBottom w:val="0"/>
      <w:divBdr>
        <w:top w:val="none" w:sz="0" w:space="0" w:color="auto"/>
        <w:left w:val="none" w:sz="0" w:space="0" w:color="auto"/>
        <w:bottom w:val="none" w:sz="0" w:space="0" w:color="auto"/>
        <w:right w:val="none" w:sz="0" w:space="0" w:color="auto"/>
      </w:divBdr>
    </w:div>
    <w:div w:id="1615818598">
      <w:bodyDiv w:val="1"/>
      <w:marLeft w:val="0"/>
      <w:marRight w:val="0"/>
      <w:marTop w:val="0"/>
      <w:marBottom w:val="0"/>
      <w:divBdr>
        <w:top w:val="none" w:sz="0" w:space="0" w:color="auto"/>
        <w:left w:val="none" w:sz="0" w:space="0" w:color="auto"/>
        <w:bottom w:val="none" w:sz="0" w:space="0" w:color="auto"/>
        <w:right w:val="none" w:sz="0" w:space="0" w:color="auto"/>
      </w:divBdr>
    </w:div>
    <w:div w:id="1667829370">
      <w:bodyDiv w:val="1"/>
      <w:marLeft w:val="0"/>
      <w:marRight w:val="0"/>
      <w:marTop w:val="0"/>
      <w:marBottom w:val="0"/>
      <w:divBdr>
        <w:top w:val="none" w:sz="0" w:space="0" w:color="auto"/>
        <w:left w:val="none" w:sz="0" w:space="0" w:color="auto"/>
        <w:bottom w:val="none" w:sz="0" w:space="0" w:color="auto"/>
        <w:right w:val="none" w:sz="0" w:space="0" w:color="auto"/>
      </w:divBdr>
    </w:div>
    <w:div w:id="1698774435">
      <w:bodyDiv w:val="1"/>
      <w:marLeft w:val="0"/>
      <w:marRight w:val="0"/>
      <w:marTop w:val="0"/>
      <w:marBottom w:val="0"/>
      <w:divBdr>
        <w:top w:val="none" w:sz="0" w:space="0" w:color="auto"/>
        <w:left w:val="none" w:sz="0" w:space="0" w:color="auto"/>
        <w:bottom w:val="none" w:sz="0" w:space="0" w:color="auto"/>
        <w:right w:val="none" w:sz="0" w:space="0" w:color="auto"/>
      </w:divBdr>
    </w:div>
    <w:div w:id="1725710622">
      <w:bodyDiv w:val="1"/>
      <w:marLeft w:val="0"/>
      <w:marRight w:val="0"/>
      <w:marTop w:val="0"/>
      <w:marBottom w:val="0"/>
      <w:divBdr>
        <w:top w:val="none" w:sz="0" w:space="0" w:color="auto"/>
        <w:left w:val="none" w:sz="0" w:space="0" w:color="auto"/>
        <w:bottom w:val="none" w:sz="0" w:space="0" w:color="auto"/>
        <w:right w:val="none" w:sz="0" w:space="0" w:color="auto"/>
      </w:divBdr>
    </w:div>
    <w:div w:id="1737895212">
      <w:bodyDiv w:val="1"/>
      <w:marLeft w:val="0"/>
      <w:marRight w:val="0"/>
      <w:marTop w:val="0"/>
      <w:marBottom w:val="0"/>
      <w:divBdr>
        <w:top w:val="none" w:sz="0" w:space="0" w:color="auto"/>
        <w:left w:val="none" w:sz="0" w:space="0" w:color="auto"/>
        <w:bottom w:val="none" w:sz="0" w:space="0" w:color="auto"/>
        <w:right w:val="none" w:sz="0" w:space="0" w:color="auto"/>
      </w:divBdr>
    </w:div>
    <w:div w:id="1752585586">
      <w:bodyDiv w:val="1"/>
      <w:marLeft w:val="0"/>
      <w:marRight w:val="0"/>
      <w:marTop w:val="0"/>
      <w:marBottom w:val="0"/>
      <w:divBdr>
        <w:top w:val="none" w:sz="0" w:space="0" w:color="auto"/>
        <w:left w:val="none" w:sz="0" w:space="0" w:color="auto"/>
        <w:bottom w:val="none" w:sz="0" w:space="0" w:color="auto"/>
        <w:right w:val="none" w:sz="0" w:space="0" w:color="auto"/>
      </w:divBdr>
      <w:divsChild>
        <w:div w:id="1664504322">
          <w:marLeft w:val="0"/>
          <w:marRight w:val="0"/>
          <w:marTop w:val="0"/>
          <w:marBottom w:val="0"/>
          <w:divBdr>
            <w:top w:val="none" w:sz="0" w:space="0" w:color="auto"/>
            <w:left w:val="none" w:sz="0" w:space="0" w:color="auto"/>
            <w:bottom w:val="none" w:sz="0" w:space="0" w:color="auto"/>
            <w:right w:val="none" w:sz="0" w:space="0" w:color="auto"/>
          </w:divBdr>
          <w:divsChild>
            <w:div w:id="213736062">
              <w:marLeft w:val="0"/>
              <w:marRight w:val="0"/>
              <w:marTop w:val="0"/>
              <w:marBottom w:val="0"/>
              <w:divBdr>
                <w:top w:val="none" w:sz="0" w:space="0" w:color="auto"/>
                <w:left w:val="none" w:sz="0" w:space="0" w:color="auto"/>
                <w:bottom w:val="none" w:sz="0" w:space="0" w:color="auto"/>
                <w:right w:val="none" w:sz="0" w:space="0" w:color="auto"/>
              </w:divBdr>
              <w:divsChild>
                <w:div w:id="766459680">
                  <w:marLeft w:val="0"/>
                  <w:marRight w:val="0"/>
                  <w:marTop w:val="0"/>
                  <w:marBottom w:val="0"/>
                  <w:divBdr>
                    <w:top w:val="none" w:sz="0" w:space="0" w:color="auto"/>
                    <w:left w:val="none" w:sz="0" w:space="0" w:color="auto"/>
                    <w:bottom w:val="none" w:sz="0" w:space="0" w:color="auto"/>
                    <w:right w:val="none" w:sz="0" w:space="0" w:color="auto"/>
                  </w:divBdr>
                </w:div>
                <w:div w:id="1342053492">
                  <w:marLeft w:val="0"/>
                  <w:marRight w:val="0"/>
                  <w:marTop w:val="0"/>
                  <w:marBottom w:val="0"/>
                  <w:divBdr>
                    <w:top w:val="none" w:sz="0" w:space="0" w:color="auto"/>
                    <w:left w:val="none" w:sz="0" w:space="0" w:color="auto"/>
                    <w:bottom w:val="none" w:sz="0" w:space="0" w:color="auto"/>
                    <w:right w:val="none" w:sz="0" w:space="0" w:color="auto"/>
                  </w:divBdr>
                </w:div>
              </w:divsChild>
            </w:div>
            <w:div w:id="1597400200">
              <w:marLeft w:val="0"/>
              <w:marRight w:val="0"/>
              <w:marTop w:val="0"/>
              <w:marBottom w:val="0"/>
              <w:divBdr>
                <w:top w:val="none" w:sz="0" w:space="0" w:color="auto"/>
                <w:left w:val="none" w:sz="0" w:space="0" w:color="auto"/>
                <w:bottom w:val="none" w:sz="0" w:space="0" w:color="auto"/>
                <w:right w:val="none" w:sz="0" w:space="0" w:color="auto"/>
              </w:divBdr>
              <w:divsChild>
                <w:div w:id="870993954">
                  <w:marLeft w:val="0"/>
                  <w:marRight w:val="0"/>
                  <w:marTop w:val="0"/>
                  <w:marBottom w:val="0"/>
                  <w:divBdr>
                    <w:top w:val="none" w:sz="0" w:space="0" w:color="auto"/>
                    <w:left w:val="none" w:sz="0" w:space="0" w:color="auto"/>
                    <w:bottom w:val="none" w:sz="0" w:space="0" w:color="auto"/>
                    <w:right w:val="none" w:sz="0" w:space="0" w:color="auto"/>
                  </w:divBdr>
                </w:div>
                <w:div w:id="1264604842">
                  <w:marLeft w:val="0"/>
                  <w:marRight w:val="0"/>
                  <w:marTop w:val="0"/>
                  <w:marBottom w:val="0"/>
                  <w:divBdr>
                    <w:top w:val="none" w:sz="0" w:space="0" w:color="auto"/>
                    <w:left w:val="none" w:sz="0" w:space="0" w:color="auto"/>
                    <w:bottom w:val="none" w:sz="0" w:space="0" w:color="auto"/>
                    <w:right w:val="none" w:sz="0" w:space="0" w:color="auto"/>
                  </w:divBdr>
                </w:div>
              </w:divsChild>
            </w:div>
            <w:div w:id="1229615329">
              <w:marLeft w:val="0"/>
              <w:marRight w:val="0"/>
              <w:marTop w:val="0"/>
              <w:marBottom w:val="0"/>
              <w:divBdr>
                <w:top w:val="none" w:sz="0" w:space="0" w:color="auto"/>
                <w:left w:val="none" w:sz="0" w:space="0" w:color="auto"/>
                <w:bottom w:val="none" w:sz="0" w:space="0" w:color="auto"/>
                <w:right w:val="none" w:sz="0" w:space="0" w:color="auto"/>
              </w:divBdr>
              <w:divsChild>
                <w:div w:id="1249651128">
                  <w:marLeft w:val="0"/>
                  <w:marRight w:val="0"/>
                  <w:marTop w:val="0"/>
                  <w:marBottom w:val="0"/>
                  <w:divBdr>
                    <w:top w:val="none" w:sz="0" w:space="0" w:color="auto"/>
                    <w:left w:val="none" w:sz="0" w:space="0" w:color="auto"/>
                    <w:bottom w:val="none" w:sz="0" w:space="0" w:color="auto"/>
                    <w:right w:val="none" w:sz="0" w:space="0" w:color="auto"/>
                  </w:divBdr>
                </w:div>
                <w:div w:id="138109961">
                  <w:marLeft w:val="0"/>
                  <w:marRight w:val="0"/>
                  <w:marTop w:val="0"/>
                  <w:marBottom w:val="0"/>
                  <w:divBdr>
                    <w:top w:val="none" w:sz="0" w:space="0" w:color="auto"/>
                    <w:left w:val="none" w:sz="0" w:space="0" w:color="auto"/>
                    <w:bottom w:val="none" w:sz="0" w:space="0" w:color="auto"/>
                    <w:right w:val="none" w:sz="0" w:space="0" w:color="auto"/>
                  </w:divBdr>
                </w:div>
              </w:divsChild>
            </w:div>
            <w:div w:id="1797092549">
              <w:marLeft w:val="0"/>
              <w:marRight w:val="0"/>
              <w:marTop w:val="0"/>
              <w:marBottom w:val="0"/>
              <w:divBdr>
                <w:top w:val="none" w:sz="0" w:space="0" w:color="auto"/>
                <w:left w:val="none" w:sz="0" w:space="0" w:color="auto"/>
                <w:bottom w:val="none" w:sz="0" w:space="0" w:color="auto"/>
                <w:right w:val="none" w:sz="0" w:space="0" w:color="auto"/>
              </w:divBdr>
              <w:divsChild>
                <w:div w:id="422577554">
                  <w:marLeft w:val="0"/>
                  <w:marRight w:val="0"/>
                  <w:marTop w:val="0"/>
                  <w:marBottom w:val="0"/>
                  <w:divBdr>
                    <w:top w:val="none" w:sz="0" w:space="0" w:color="auto"/>
                    <w:left w:val="none" w:sz="0" w:space="0" w:color="auto"/>
                    <w:bottom w:val="none" w:sz="0" w:space="0" w:color="auto"/>
                    <w:right w:val="none" w:sz="0" w:space="0" w:color="auto"/>
                  </w:divBdr>
                </w:div>
                <w:div w:id="9763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0079">
          <w:marLeft w:val="0"/>
          <w:marRight w:val="0"/>
          <w:marTop w:val="0"/>
          <w:marBottom w:val="0"/>
          <w:divBdr>
            <w:top w:val="none" w:sz="0" w:space="0" w:color="auto"/>
            <w:left w:val="none" w:sz="0" w:space="0" w:color="auto"/>
            <w:bottom w:val="none" w:sz="0" w:space="0" w:color="auto"/>
            <w:right w:val="none" w:sz="0" w:space="0" w:color="auto"/>
          </w:divBdr>
        </w:div>
        <w:div w:id="103812388">
          <w:marLeft w:val="0"/>
          <w:marRight w:val="0"/>
          <w:marTop w:val="0"/>
          <w:marBottom w:val="0"/>
          <w:divBdr>
            <w:top w:val="none" w:sz="0" w:space="0" w:color="auto"/>
            <w:left w:val="none" w:sz="0" w:space="0" w:color="auto"/>
            <w:bottom w:val="none" w:sz="0" w:space="0" w:color="auto"/>
            <w:right w:val="none" w:sz="0" w:space="0" w:color="auto"/>
          </w:divBdr>
        </w:div>
        <w:div w:id="540244557">
          <w:marLeft w:val="0"/>
          <w:marRight w:val="0"/>
          <w:marTop w:val="0"/>
          <w:marBottom w:val="0"/>
          <w:divBdr>
            <w:top w:val="none" w:sz="0" w:space="0" w:color="auto"/>
            <w:left w:val="none" w:sz="0" w:space="0" w:color="auto"/>
            <w:bottom w:val="none" w:sz="0" w:space="0" w:color="auto"/>
            <w:right w:val="none" w:sz="0" w:space="0" w:color="auto"/>
          </w:divBdr>
        </w:div>
        <w:div w:id="2063290713">
          <w:marLeft w:val="0"/>
          <w:marRight w:val="0"/>
          <w:marTop w:val="0"/>
          <w:marBottom w:val="0"/>
          <w:divBdr>
            <w:top w:val="none" w:sz="0" w:space="0" w:color="auto"/>
            <w:left w:val="none" w:sz="0" w:space="0" w:color="auto"/>
            <w:bottom w:val="none" w:sz="0" w:space="0" w:color="auto"/>
            <w:right w:val="none" w:sz="0" w:space="0" w:color="auto"/>
          </w:divBdr>
        </w:div>
        <w:div w:id="1973245400">
          <w:marLeft w:val="0"/>
          <w:marRight w:val="0"/>
          <w:marTop w:val="0"/>
          <w:marBottom w:val="0"/>
          <w:divBdr>
            <w:top w:val="none" w:sz="0" w:space="0" w:color="auto"/>
            <w:left w:val="none" w:sz="0" w:space="0" w:color="auto"/>
            <w:bottom w:val="none" w:sz="0" w:space="0" w:color="auto"/>
            <w:right w:val="none" w:sz="0" w:space="0" w:color="auto"/>
          </w:divBdr>
        </w:div>
        <w:div w:id="1412504297">
          <w:marLeft w:val="0"/>
          <w:marRight w:val="0"/>
          <w:marTop w:val="0"/>
          <w:marBottom w:val="0"/>
          <w:divBdr>
            <w:top w:val="none" w:sz="0" w:space="0" w:color="auto"/>
            <w:left w:val="none" w:sz="0" w:space="0" w:color="auto"/>
            <w:bottom w:val="none" w:sz="0" w:space="0" w:color="auto"/>
            <w:right w:val="none" w:sz="0" w:space="0" w:color="auto"/>
          </w:divBdr>
        </w:div>
      </w:divsChild>
    </w:div>
    <w:div w:id="1783573665">
      <w:bodyDiv w:val="1"/>
      <w:marLeft w:val="0"/>
      <w:marRight w:val="0"/>
      <w:marTop w:val="0"/>
      <w:marBottom w:val="0"/>
      <w:divBdr>
        <w:top w:val="none" w:sz="0" w:space="0" w:color="auto"/>
        <w:left w:val="none" w:sz="0" w:space="0" w:color="auto"/>
        <w:bottom w:val="none" w:sz="0" w:space="0" w:color="auto"/>
        <w:right w:val="none" w:sz="0" w:space="0" w:color="auto"/>
      </w:divBdr>
    </w:div>
    <w:div w:id="1945726716">
      <w:bodyDiv w:val="1"/>
      <w:marLeft w:val="0"/>
      <w:marRight w:val="0"/>
      <w:marTop w:val="0"/>
      <w:marBottom w:val="0"/>
      <w:divBdr>
        <w:top w:val="none" w:sz="0" w:space="0" w:color="auto"/>
        <w:left w:val="none" w:sz="0" w:space="0" w:color="auto"/>
        <w:bottom w:val="none" w:sz="0" w:space="0" w:color="auto"/>
        <w:right w:val="none" w:sz="0" w:space="0" w:color="auto"/>
      </w:divBdr>
    </w:div>
    <w:div w:id="1984188575">
      <w:bodyDiv w:val="1"/>
      <w:marLeft w:val="0"/>
      <w:marRight w:val="0"/>
      <w:marTop w:val="0"/>
      <w:marBottom w:val="0"/>
      <w:divBdr>
        <w:top w:val="none" w:sz="0" w:space="0" w:color="auto"/>
        <w:left w:val="none" w:sz="0" w:space="0" w:color="auto"/>
        <w:bottom w:val="none" w:sz="0" w:space="0" w:color="auto"/>
        <w:right w:val="none" w:sz="0" w:space="0" w:color="auto"/>
      </w:divBdr>
    </w:div>
    <w:div w:id="2015572256">
      <w:bodyDiv w:val="1"/>
      <w:marLeft w:val="0"/>
      <w:marRight w:val="0"/>
      <w:marTop w:val="0"/>
      <w:marBottom w:val="0"/>
      <w:divBdr>
        <w:top w:val="none" w:sz="0" w:space="0" w:color="auto"/>
        <w:left w:val="none" w:sz="0" w:space="0" w:color="auto"/>
        <w:bottom w:val="none" w:sz="0" w:space="0" w:color="auto"/>
        <w:right w:val="none" w:sz="0" w:space="0" w:color="auto"/>
      </w:divBdr>
    </w:div>
    <w:div w:id="2017264418">
      <w:bodyDiv w:val="1"/>
      <w:marLeft w:val="0"/>
      <w:marRight w:val="0"/>
      <w:marTop w:val="0"/>
      <w:marBottom w:val="0"/>
      <w:divBdr>
        <w:top w:val="none" w:sz="0" w:space="0" w:color="auto"/>
        <w:left w:val="none" w:sz="0" w:space="0" w:color="auto"/>
        <w:bottom w:val="none" w:sz="0" w:space="0" w:color="auto"/>
        <w:right w:val="none" w:sz="0" w:space="0" w:color="auto"/>
      </w:divBdr>
    </w:div>
    <w:div w:id="2102141811">
      <w:bodyDiv w:val="1"/>
      <w:marLeft w:val="0"/>
      <w:marRight w:val="0"/>
      <w:marTop w:val="0"/>
      <w:marBottom w:val="0"/>
      <w:divBdr>
        <w:top w:val="none" w:sz="0" w:space="0" w:color="auto"/>
        <w:left w:val="none" w:sz="0" w:space="0" w:color="auto"/>
        <w:bottom w:val="none" w:sz="0" w:space="0" w:color="auto"/>
        <w:right w:val="none" w:sz="0" w:space="0" w:color="auto"/>
      </w:divBdr>
    </w:div>
    <w:div w:id="2107925071">
      <w:bodyDiv w:val="1"/>
      <w:marLeft w:val="0"/>
      <w:marRight w:val="0"/>
      <w:marTop w:val="0"/>
      <w:marBottom w:val="0"/>
      <w:divBdr>
        <w:top w:val="none" w:sz="0" w:space="0" w:color="auto"/>
        <w:left w:val="none" w:sz="0" w:space="0" w:color="auto"/>
        <w:bottom w:val="none" w:sz="0" w:space="0" w:color="auto"/>
        <w:right w:val="none" w:sz="0" w:space="0" w:color="auto"/>
      </w:divBdr>
      <w:divsChild>
        <w:div w:id="1155415288">
          <w:marLeft w:val="0"/>
          <w:marRight w:val="0"/>
          <w:marTop w:val="0"/>
          <w:marBottom w:val="0"/>
          <w:divBdr>
            <w:top w:val="none" w:sz="0" w:space="0" w:color="auto"/>
            <w:left w:val="none" w:sz="0" w:space="0" w:color="auto"/>
            <w:bottom w:val="none" w:sz="0" w:space="0" w:color="auto"/>
            <w:right w:val="none" w:sz="0" w:space="0" w:color="auto"/>
          </w:divBdr>
          <w:divsChild>
            <w:div w:id="1366828249">
              <w:marLeft w:val="0"/>
              <w:marRight w:val="0"/>
              <w:marTop w:val="0"/>
              <w:marBottom w:val="0"/>
              <w:divBdr>
                <w:top w:val="none" w:sz="0" w:space="0" w:color="auto"/>
                <w:left w:val="none" w:sz="0" w:space="0" w:color="auto"/>
                <w:bottom w:val="none" w:sz="0" w:space="0" w:color="auto"/>
                <w:right w:val="none" w:sz="0" w:space="0" w:color="auto"/>
              </w:divBdr>
              <w:divsChild>
                <w:div w:id="1079132108">
                  <w:marLeft w:val="0"/>
                  <w:marRight w:val="0"/>
                  <w:marTop w:val="0"/>
                  <w:marBottom w:val="0"/>
                  <w:divBdr>
                    <w:top w:val="none" w:sz="0" w:space="0" w:color="auto"/>
                    <w:left w:val="none" w:sz="0" w:space="0" w:color="auto"/>
                    <w:bottom w:val="none" w:sz="0" w:space="0" w:color="auto"/>
                    <w:right w:val="none" w:sz="0" w:space="0" w:color="auto"/>
                  </w:divBdr>
                </w:div>
                <w:div w:id="493303524">
                  <w:marLeft w:val="0"/>
                  <w:marRight w:val="0"/>
                  <w:marTop w:val="0"/>
                  <w:marBottom w:val="0"/>
                  <w:divBdr>
                    <w:top w:val="none" w:sz="0" w:space="0" w:color="auto"/>
                    <w:left w:val="none" w:sz="0" w:space="0" w:color="auto"/>
                    <w:bottom w:val="none" w:sz="0" w:space="0" w:color="auto"/>
                    <w:right w:val="none" w:sz="0" w:space="0" w:color="auto"/>
                  </w:divBdr>
                </w:div>
              </w:divsChild>
            </w:div>
            <w:div w:id="1047998036">
              <w:marLeft w:val="0"/>
              <w:marRight w:val="0"/>
              <w:marTop w:val="0"/>
              <w:marBottom w:val="0"/>
              <w:divBdr>
                <w:top w:val="none" w:sz="0" w:space="0" w:color="auto"/>
                <w:left w:val="none" w:sz="0" w:space="0" w:color="auto"/>
                <w:bottom w:val="none" w:sz="0" w:space="0" w:color="auto"/>
                <w:right w:val="none" w:sz="0" w:space="0" w:color="auto"/>
              </w:divBdr>
              <w:divsChild>
                <w:div w:id="941184787">
                  <w:marLeft w:val="0"/>
                  <w:marRight w:val="0"/>
                  <w:marTop w:val="0"/>
                  <w:marBottom w:val="0"/>
                  <w:divBdr>
                    <w:top w:val="none" w:sz="0" w:space="0" w:color="auto"/>
                    <w:left w:val="none" w:sz="0" w:space="0" w:color="auto"/>
                    <w:bottom w:val="none" w:sz="0" w:space="0" w:color="auto"/>
                    <w:right w:val="none" w:sz="0" w:space="0" w:color="auto"/>
                  </w:divBdr>
                </w:div>
                <w:div w:id="75132480">
                  <w:marLeft w:val="0"/>
                  <w:marRight w:val="0"/>
                  <w:marTop w:val="0"/>
                  <w:marBottom w:val="0"/>
                  <w:divBdr>
                    <w:top w:val="none" w:sz="0" w:space="0" w:color="auto"/>
                    <w:left w:val="none" w:sz="0" w:space="0" w:color="auto"/>
                    <w:bottom w:val="none" w:sz="0" w:space="0" w:color="auto"/>
                    <w:right w:val="none" w:sz="0" w:space="0" w:color="auto"/>
                  </w:divBdr>
                </w:div>
              </w:divsChild>
            </w:div>
            <w:div w:id="1334651276">
              <w:marLeft w:val="0"/>
              <w:marRight w:val="0"/>
              <w:marTop w:val="0"/>
              <w:marBottom w:val="0"/>
              <w:divBdr>
                <w:top w:val="none" w:sz="0" w:space="0" w:color="auto"/>
                <w:left w:val="none" w:sz="0" w:space="0" w:color="auto"/>
                <w:bottom w:val="none" w:sz="0" w:space="0" w:color="auto"/>
                <w:right w:val="none" w:sz="0" w:space="0" w:color="auto"/>
              </w:divBdr>
              <w:divsChild>
                <w:div w:id="1363869733">
                  <w:marLeft w:val="0"/>
                  <w:marRight w:val="0"/>
                  <w:marTop w:val="0"/>
                  <w:marBottom w:val="0"/>
                  <w:divBdr>
                    <w:top w:val="none" w:sz="0" w:space="0" w:color="auto"/>
                    <w:left w:val="none" w:sz="0" w:space="0" w:color="auto"/>
                    <w:bottom w:val="none" w:sz="0" w:space="0" w:color="auto"/>
                    <w:right w:val="none" w:sz="0" w:space="0" w:color="auto"/>
                  </w:divBdr>
                </w:div>
                <w:div w:id="462767915">
                  <w:marLeft w:val="0"/>
                  <w:marRight w:val="0"/>
                  <w:marTop w:val="0"/>
                  <w:marBottom w:val="0"/>
                  <w:divBdr>
                    <w:top w:val="none" w:sz="0" w:space="0" w:color="auto"/>
                    <w:left w:val="none" w:sz="0" w:space="0" w:color="auto"/>
                    <w:bottom w:val="none" w:sz="0" w:space="0" w:color="auto"/>
                    <w:right w:val="none" w:sz="0" w:space="0" w:color="auto"/>
                  </w:divBdr>
                </w:div>
              </w:divsChild>
            </w:div>
            <w:div w:id="1698699981">
              <w:marLeft w:val="0"/>
              <w:marRight w:val="0"/>
              <w:marTop w:val="0"/>
              <w:marBottom w:val="0"/>
              <w:divBdr>
                <w:top w:val="none" w:sz="0" w:space="0" w:color="auto"/>
                <w:left w:val="none" w:sz="0" w:space="0" w:color="auto"/>
                <w:bottom w:val="none" w:sz="0" w:space="0" w:color="auto"/>
                <w:right w:val="none" w:sz="0" w:space="0" w:color="auto"/>
              </w:divBdr>
              <w:divsChild>
                <w:div w:id="2036534695">
                  <w:marLeft w:val="0"/>
                  <w:marRight w:val="0"/>
                  <w:marTop w:val="0"/>
                  <w:marBottom w:val="0"/>
                  <w:divBdr>
                    <w:top w:val="none" w:sz="0" w:space="0" w:color="auto"/>
                    <w:left w:val="none" w:sz="0" w:space="0" w:color="auto"/>
                    <w:bottom w:val="none" w:sz="0" w:space="0" w:color="auto"/>
                    <w:right w:val="none" w:sz="0" w:space="0" w:color="auto"/>
                  </w:divBdr>
                </w:div>
                <w:div w:id="10990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90284">
          <w:marLeft w:val="0"/>
          <w:marRight w:val="0"/>
          <w:marTop w:val="0"/>
          <w:marBottom w:val="0"/>
          <w:divBdr>
            <w:top w:val="none" w:sz="0" w:space="0" w:color="auto"/>
            <w:left w:val="none" w:sz="0" w:space="0" w:color="auto"/>
            <w:bottom w:val="none" w:sz="0" w:space="0" w:color="auto"/>
            <w:right w:val="none" w:sz="0" w:space="0" w:color="auto"/>
          </w:divBdr>
        </w:div>
        <w:div w:id="1402482786">
          <w:marLeft w:val="0"/>
          <w:marRight w:val="0"/>
          <w:marTop w:val="0"/>
          <w:marBottom w:val="0"/>
          <w:divBdr>
            <w:top w:val="none" w:sz="0" w:space="0" w:color="auto"/>
            <w:left w:val="none" w:sz="0" w:space="0" w:color="auto"/>
            <w:bottom w:val="none" w:sz="0" w:space="0" w:color="auto"/>
            <w:right w:val="none" w:sz="0" w:space="0" w:color="auto"/>
          </w:divBdr>
        </w:div>
        <w:div w:id="1224218235">
          <w:marLeft w:val="0"/>
          <w:marRight w:val="0"/>
          <w:marTop w:val="0"/>
          <w:marBottom w:val="0"/>
          <w:divBdr>
            <w:top w:val="none" w:sz="0" w:space="0" w:color="auto"/>
            <w:left w:val="none" w:sz="0" w:space="0" w:color="auto"/>
            <w:bottom w:val="none" w:sz="0" w:space="0" w:color="auto"/>
            <w:right w:val="none" w:sz="0" w:space="0" w:color="auto"/>
          </w:divBdr>
        </w:div>
        <w:div w:id="197545370">
          <w:marLeft w:val="0"/>
          <w:marRight w:val="0"/>
          <w:marTop w:val="0"/>
          <w:marBottom w:val="0"/>
          <w:divBdr>
            <w:top w:val="none" w:sz="0" w:space="0" w:color="auto"/>
            <w:left w:val="none" w:sz="0" w:space="0" w:color="auto"/>
            <w:bottom w:val="none" w:sz="0" w:space="0" w:color="auto"/>
            <w:right w:val="none" w:sz="0" w:space="0" w:color="auto"/>
          </w:divBdr>
        </w:div>
        <w:div w:id="970751328">
          <w:marLeft w:val="0"/>
          <w:marRight w:val="0"/>
          <w:marTop w:val="0"/>
          <w:marBottom w:val="0"/>
          <w:divBdr>
            <w:top w:val="none" w:sz="0" w:space="0" w:color="auto"/>
            <w:left w:val="none" w:sz="0" w:space="0" w:color="auto"/>
            <w:bottom w:val="none" w:sz="0" w:space="0" w:color="auto"/>
            <w:right w:val="none" w:sz="0" w:space="0" w:color="auto"/>
          </w:divBdr>
        </w:div>
        <w:div w:id="131873953">
          <w:marLeft w:val="0"/>
          <w:marRight w:val="0"/>
          <w:marTop w:val="0"/>
          <w:marBottom w:val="0"/>
          <w:divBdr>
            <w:top w:val="none" w:sz="0" w:space="0" w:color="auto"/>
            <w:left w:val="none" w:sz="0" w:space="0" w:color="auto"/>
            <w:bottom w:val="none" w:sz="0" w:space="0" w:color="auto"/>
            <w:right w:val="none" w:sz="0" w:space="0" w:color="auto"/>
          </w:divBdr>
        </w:div>
      </w:divsChild>
    </w:div>
    <w:div w:id="21324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at.bessissow@mcgill.ca"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A6A8-9B43-498E-8C17-8083FB39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10379</Words>
  <Characters>59166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Lian-Sheng Ma</cp:lastModifiedBy>
  <cp:revision>2</cp:revision>
  <dcterms:created xsi:type="dcterms:W3CDTF">2019-07-03T00:47:00Z</dcterms:created>
  <dcterms:modified xsi:type="dcterms:W3CDTF">2019-07-03T00:47:00Z</dcterms:modified>
</cp:coreProperties>
</file>