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96523" w:rsidRPr="00D640A9" w:rsidRDefault="002F7DEB" w:rsidP="00D44140">
      <w:pPr>
        <w:adjustRightInd w:val="0"/>
        <w:snapToGrid w:val="0"/>
        <w:spacing w:line="360" w:lineRule="auto"/>
        <w:rPr>
          <w:rFonts w:ascii="Book Antiqua" w:eastAsia="Times New Roman" w:hAnsi="Book Antiqua" w:cs="SimSun"/>
          <w:i/>
          <w:color w:val="000000" w:themeColor="text1"/>
          <w:sz w:val="24"/>
          <w:szCs w:val="24"/>
        </w:rPr>
      </w:pPr>
      <w:bookmarkStart w:id="0" w:name="OLE_LINK24"/>
      <w:bookmarkStart w:id="1" w:name="OLE_LINK25"/>
      <w:r w:rsidRPr="00D640A9">
        <w:rPr>
          <w:rFonts w:ascii="Book Antiqua" w:eastAsia="Times New Roman" w:hAnsi="Book Antiqua" w:cs="SimSun"/>
          <w:b/>
          <w:color w:val="000000" w:themeColor="text1"/>
          <w:sz w:val="24"/>
          <w:szCs w:val="24"/>
        </w:rPr>
        <w:t xml:space="preserve">Name of Journal: </w:t>
      </w:r>
      <w:r w:rsidRPr="00D640A9">
        <w:rPr>
          <w:rFonts w:ascii="Book Antiqua" w:eastAsia="Times New Roman" w:hAnsi="Book Antiqua" w:cs="SimSun"/>
          <w:i/>
          <w:color w:val="000000" w:themeColor="text1"/>
          <w:sz w:val="24"/>
          <w:szCs w:val="24"/>
        </w:rPr>
        <w:t>World Journal of Gastrointestinal Oncology</w:t>
      </w:r>
    </w:p>
    <w:p w:rsidR="00B96523" w:rsidRPr="00D640A9" w:rsidRDefault="002F7DEB" w:rsidP="00D44140">
      <w:pPr>
        <w:adjustRightInd w:val="0"/>
        <w:snapToGrid w:val="0"/>
        <w:spacing w:line="360" w:lineRule="auto"/>
        <w:rPr>
          <w:rFonts w:ascii="Book Antiqua" w:hAnsi="Book Antiqua" w:cs="Arial"/>
          <w:color w:val="000000" w:themeColor="text1"/>
          <w:sz w:val="24"/>
          <w:szCs w:val="24"/>
          <w:lang w:val="en"/>
        </w:rPr>
      </w:pPr>
      <w:r w:rsidRPr="00D640A9">
        <w:rPr>
          <w:rFonts w:ascii="Book Antiqua" w:eastAsia="Times New Roman" w:hAnsi="Book Antiqua"/>
          <w:b/>
          <w:bCs/>
          <w:color w:val="000000" w:themeColor="text1"/>
          <w:sz w:val="24"/>
          <w:szCs w:val="24"/>
        </w:rPr>
        <w:t>Manuscript NO</w:t>
      </w:r>
      <w:r w:rsidRPr="00D640A9">
        <w:rPr>
          <w:rFonts w:ascii="Book Antiqua" w:hAnsi="Book Antiqua" w:cs="Arial"/>
          <w:b/>
          <w:color w:val="000000" w:themeColor="text1"/>
          <w:sz w:val="24"/>
          <w:szCs w:val="24"/>
          <w:lang w:val="en"/>
        </w:rPr>
        <w:t xml:space="preserve">: </w:t>
      </w:r>
      <w:r w:rsidRPr="00D640A9">
        <w:rPr>
          <w:rFonts w:ascii="Book Antiqua" w:hAnsi="Book Antiqua" w:cs="Arial"/>
          <w:color w:val="000000" w:themeColor="text1"/>
          <w:sz w:val="24"/>
          <w:szCs w:val="24"/>
          <w:lang w:val="en"/>
        </w:rPr>
        <w:t>48527</w:t>
      </w:r>
    </w:p>
    <w:p w:rsidR="00B96523" w:rsidRPr="00D640A9" w:rsidRDefault="002F7DEB" w:rsidP="00D44140">
      <w:pPr>
        <w:adjustRightInd w:val="0"/>
        <w:snapToGrid w:val="0"/>
        <w:spacing w:line="360" w:lineRule="auto"/>
        <w:rPr>
          <w:rFonts w:ascii="Book Antiqua" w:hAnsi="Book Antiqua"/>
          <w:i/>
          <w:color w:val="000000" w:themeColor="text1"/>
          <w:sz w:val="24"/>
          <w:szCs w:val="24"/>
        </w:rPr>
      </w:pPr>
      <w:r w:rsidRPr="00D640A9">
        <w:rPr>
          <w:rFonts w:ascii="Book Antiqua" w:hAnsi="Book Antiqua"/>
          <w:b/>
          <w:color w:val="000000" w:themeColor="text1"/>
          <w:sz w:val="24"/>
          <w:szCs w:val="24"/>
          <w:shd w:val="clear" w:color="auto" w:fill="FFFFFF"/>
        </w:rPr>
        <w:t>Manuscript Type</w:t>
      </w:r>
      <w:r w:rsidRPr="00D640A9">
        <w:rPr>
          <w:rFonts w:ascii="Book Antiqua" w:hAnsi="Book Antiqua"/>
          <w:b/>
          <w:color w:val="000000" w:themeColor="text1"/>
          <w:sz w:val="24"/>
          <w:szCs w:val="24"/>
        </w:rPr>
        <w:t xml:space="preserve">: </w:t>
      </w:r>
      <w:r w:rsidR="00662A96" w:rsidRPr="00D640A9">
        <w:rPr>
          <w:rFonts w:ascii="Book Antiqua" w:hAnsi="Book Antiqua"/>
          <w:color w:val="000000" w:themeColor="text1"/>
          <w:sz w:val="24"/>
          <w:szCs w:val="24"/>
        </w:rPr>
        <w:t>ORIGINAL ARTICLE</w:t>
      </w:r>
    </w:p>
    <w:p w:rsidR="00B96523" w:rsidRPr="00D640A9" w:rsidRDefault="00B96523" w:rsidP="00D44140">
      <w:pPr>
        <w:spacing w:line="360" w:lineRule="auto"/>
        <w:outlineLvl w:val="1"/>
        <w:rPr>
          <w:rFonts w:ascii="Book Antiqua" w:hAnsi="Book Antiqua"/>
          <w:b/>
          <w:bCs/>
          <w:color w:val="000000" w:themeColor="text1"/>
          <w:kern w:val="28"/>
          <w:sz w:val="24"/>
          <w:szCs w:val="24"/>
        </w:rPr>
      </w:pPr>
    </w:p>
    <w:p w:rsidR="00662A96" w:rsidRPr="00D640A9" w:rsidRDefault="00662A96" w:rsidP="00D44140">
      <w:pPr>
        <w:spacing w:line="360" w:lineRule="auto"/>
        <w:outlineLvl w:val="1"/>
        <w:rPr>
          <w:rFonts w:ascii="Book Antiqua" w:hAnsi="Book Antiqua"/>
          <w:b/>
          <w:bCs/>
          <w:i/>
          <w:color w:val="000000" w:themeColor="text1"/>
          <w:kern w:val="28"/>
          <w:sz w:val="24"/>
          <w:szCs w:val="24"/>
        </w:rPr>
      </w:pPr>
      <w:r w:rsidRPr="00D640A9">
        <w:rPr>
          <w:rFonts w:ascii="Book Antiqua" w:eastAsia="STXihei" w:hAnsi="Book Antiqua" w:cs="Tahoma"/>
          <w:b/>
          <w:i/>
          <w:color w:val="000000" w:themeColor="text1"/>
          <w:sz w:val="24"/>
          <w:szCs w:val="24"/>
        </w:rPr>
        <w:t>Basic Study</w:t>
      </w:r>
    </w:p>
    <w:p w:rsidR="00B96523" w:rsidRPr="00D640A9" w:rsidRDefault="002F7DEB" w:rsidP="00D44140">
      <w:pPr>
        <w:spacing w:line="360" w:lineRule="auto"/>
        <w:outlineLvl w:val="1"/>
        <w:rPr>
          <w:rFonts w:ascii="Book Antiqua" w:hAnsi="Book Antiqua"/>
          <w:b/>
          <w:bCs/>
          <w:color w:val="000000" w:themeColor="text1"/>
          <w:kern w:val="28"/>
          <w:sz w:val="24"/>
          <w:szCs w:val="24"/>
        </w:rPr>
      </w:pPr>
      <w:r w:rsidRPr="00D640A9">
        <w:rPr>
          <w:rFonts w:ascii="Book Antiqua" w:hAnsi="Book Antiqua"/>
          <w:b/>
          <w:bCs/>
          <w:color w:val="000000" w:themeColor="text1"/>
          <w:kern w:val="28"/>
          <w:sz w:val="24"/>
          <w:szCs w:val="24"/>
        </w:rPr>
        <w:t>MicroRNA-320a suppresses tumor progression by targeting PBX3 in gastric cancer and is downregulated by DNA methylation</w:t>
      </w:r>
    </w:p>
    <w:p w:rsidR="00B96523" w:rsidRPr="00D640A9" w:rsidRDefault="00B96523" w:rsidP="00D44140">
      <w:pPr>
        <w:spacing w:line="360" w:lineRule="auto"/>
        <w:outlineLvl w:val="1"/>
        <w:rPr>
          <w:rFonts w:ascii="Book Antiqua" w:hAnsi="Book Antiqua"/>
          <w:b/>
          <w:bCs/>
          <w:color w:val="000000" w:themeColor="text1"/>
          <w:kern w:val="28"/>
          <w:sz w:val="24"/>
          <w:szCs w:val="24"/>
        </w:rPr>
      </w:pPr>
    </w:p>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Li YS </w:t>
      </w:r>
      <w:r w:rsidRPr="00D640A9">
        <w:rPr>
          <w:rFonts w:ascii="Book Antiqua" w:hAnsi="Book Antiqua"/>
          <w:bCs/>
          <w:i/>
          <w:color w:val="000000" w:themeColor="text1"/>
          <w:sz w:val="24"/>
          <w:szCs w:val="24"/>
        </w:rPr>
        <w:t>et al</w:t>
      </w:r>
      <w:r w:rsidRPr="00D640A9">
        <w:rPr>
          <w:rFonts w:ascii="Book Antiqua" w:hAnsi="Book Antiqua"/>
          <w:bCs/>
          <w:color w:val="000000" w:themeColor="text1"/>
          <w:sz w:val="24"/>
          <w:szCs w:val="24"/>
        </w:rPr>
        <w:t>. miR-320a targets PBX3 in GC</w:t>
      </w:r>
    </w:p>
    <w:p w:rsidR="00B96523" w:rsidRPr="00D640A9" w:rsidRDefault="00B96523" w:rsidP="00D44140">
      <w:pPr>
        <w:spacing w:line="360" w:lineRule="auto"/>
        <w:outlineLvl w:val="1"/>
        <w:rPr>
          <w:rFonts w:ascii="Book Antiqua" w:hAnsi="Book Antiqua"/>
          <w:bCs/>
          <w:color w:val="000000" w:themeColor="text1"/>
          <w:kern w:val="28"/>
          <w:sz w:val="24"/>
          <w:szCs w:val="24"/>
        </w:rPr>
      </w:pPr>
    </w:p>
    <w:bookmarkEnd w:id="0"/>
    <w:bookmarkEnd w:id="1"/>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Yong-Shuang Li, Ying Zou, Dong-</w:t>
      </w:r>
      <w:proofErr w:type="spellStart"/>
      <w:r w:rsidRPr="00D640A9">
        <w:rPr>
          <w:rFonts w:ascii="Book Antiqua" w:hAnsi="Book Antiqua"/>
          <w:color w:val="000000" w:themeColor="text1"/>
          <w:sz w:val="24"/>
          <w:szCs w:val="24"/>
        </w:rPr>
        <w:t>Qiu</w:t>
      </w:r>
      <w:proofErr w:type="spellEnd"/>
      <w:r w:rsidRPr="00D640A9">
        <w:rPr>
          <w:rFonts w:ascii="Book Antiqua" w:hAnsi="Book Antiqua"/>
          <w:color w:val="000000" w:themeColor="text1"/>
          <w:sz w:val="24"/>
          <w:szCs w:val="24"/>
        </w:rPr>
        <w:t xml:space="preserve"> Dai</w:t>
      </w:r>
    </w:p>
    <w:p w:rsidR="00B96523" w:rsidRPr="00D640A9" w:rsidRDefault="00B96523" w:rsidP="00D44140">
      <w:pPr>
        <w:spacing w:line="360" w:lineRule="auto"/>
        <w:rPr>
          <w:rFonts w:ascii="Book Antiqua" w:hAnsi="Book Antiqua"/>
          <w:color w:val="000000" w:themeColor="text1"/>
          <w:sz w:val="24"/>
          <w:szCs w:val="24"/>
          <w:vertAlign w:val="superscript"/>
        </w:rPr>
      </w:pPr>
    </w:p>
    <w:p w:rsidR="00B96523" w:rsidRPr="00D640A9" w:rsidRDefault="002F7DEB" w:rsidP="00D44140">
      <w:pPr>
        <w:tabs>
          <w:tab w:val="left" w:pos="0"/>
          <w:tab w:val="left" w:pos="450"/>
          <w:tab w:val="left" w:pos="540"/>
        </w:tabs>
        <w:spacing w:line="360" w:lineRule="auto"/>
        <w:ind w:left="2"/>
        <w:rPr>
          <w:rFonts w:ascii="Book Antiqua" w:hAnsi="Book Antiqua"/>
          <w:color w:val="000000" w:themeColor="text1"/>
          <w:sz w:val="24"/>
          <w:szCs w:val="24"/>
        </w:rPr>
      </w:pPr>
      <w:bookmarkStart w:id="2" w:name="OLE_LINK29"/>
      <w:bookmarkStart w:id="3" w:name="OLE_LINK28"/>
      <w:r w:rsidRPr="00D640A9">
        <w:rPr>
          <w:rFonts w:ascii="Book Antiqua" w:hAnsi="Book Antiqua"/>
          <w:b/>
          <w:color w:val="000000" w:themeColor="text1"/>
          <w:sz w:val="24"/>
          <w:szCs w:val="24"/>
        </w:rPr>
        <w:t>Yong-Shuang Li, Ying Zou, Dong-</w:t>
      </w:r>
      <w:proofErr w:type="spellStart"/>
      <w:r w:rsidRPr="00D640A9">
        <w:rPr>
          <w:rFonts w:ascii="Book Antiqua" w:hAnsi="Book Antiqua"/>
          <w:b/>
          <w:color w:val="000000" w:themeColor="text1"/>
          <w:sz w:val="24"/>
          <w:szCs w:val="24"/>
        </w:rPr>
        <w:t>Qiu</w:t>
      </w:r>
      <w:proofErr w:type="spellEnd"/>
      <w:r w:rsidRPr="00D640A9">
        <w:rPr>
          <w:rFonts w:ascii="Book Antiqua" w:hAnsi="Book Antiqua"/>
          <w:b/>
          <w:color w:val="000000" w:themeColor="text1"/>
          <w:sz w:val="24"/>
          <w:szCs w:val="24"/>
        </w:rPr>
        <w:t xml:space="preserve"> Dai,</w:t>
      </w:r>
      <w:r w:rsidRPr="00D640A9">
        <w:rPr>
          <w:rFonts w:ascii="Book Antiqua" w:hAnsi="Book Antiqua"/>
          <w:color w:val="000000" w:themeColor="text1"/>
          <w:sz w:val="24"/>
          <w:szCs w:val="24"/>
        </w:rPr>
        <w:t xml:space="preserve"> Department of Gastrointestinal Surgery, </w:t>
      </w:r>
      <w:bookmarkStart w:id="4" w:name="OLE_LINK27"/>
      <w:bookmarkStart w:id="5" w:name="OLE_LINK26"/>
      <w:r w:rsidRPr="00D640A9">
        <w:rPr>
          <w:rFonts w:ascii="Book Antiqua" w:hAnsi="Book Antiqua"/>
          <w:color w:val="000000" w:themeColor="text1"/>
          <w:sz w:val="24"/>
          <w:szCs w:val="24"/>
        </w:rPr>
        <w:t>the Fourth Affiliated Hospital of China Medical University</w:t>
      </w:r>
      <w:bookmarkEnd w:id="2"/>
      <w:bookmarkEnd w:id="3"/>
      <w:bookmarkEnd w:id="4"/>
      <w:bookmarkEnd w:id="5"/>
      <w:r w:rsidRPr="00D640A9">
        <w:rPr>
          <w:rFonts w:ascii="Book Antiqua" w:hAnsi="Book Antiqua"/>
          <w:color w:val="000000" w:themeColor="text1"/>
          <w:sz w:val="24"/>
          <w:szCs w:val="24"/>
        </w:rPr>
        <w:t>, Shenyang 110032, Liaoning Province, China</w:t>
      </w:r>
    </w:p>
    <w:p w:rsidR="00662A96" w:rsidRPr="00D640A9" w:rsidRDefault="00662A96" w:rsidP="00D44140">
      <w:pPr>
        <w:tabs>
          <w:tab w:val="left" w:pos="0"/>
          <w:tab w:val="left" w:pos="450"/>
          <w:tab w:val="left" w:pos="540"/>
        </w:tabs>
        <w:spacing w:line="360" w:lineRule="auto"/>
        <w:ind w:left="2"/>
        <w:rPr>
          <w:rFonts w:ascii="Book Antiqua" w:hAnsi="Book Antiqua"/>
          <w:color w:val="000000" w:themeColor="text1"/>
          <w:sz w:val="24"/>
          <w:szCs w:val="24"/>
        </w:rPr>
      </w:pPr>
    </w:p>
    <w:p w:rsidR="00662A96" w:rsidRPr="00D640A9" w:rsidRDefault="00662A96" w:rsidP="00D44140">
      <w:pPr>
        <w:spacing w:line="360" w:lineRule="auto"/>
        <w:rPr>
          <w:rFonts w:ascii="Book Antiqua" w:hAnsi="Book Antiqua"/>
          <w:color w:val="000000" w:themeColor="text1"/>
          <w:sz w:val="24"/>
          <w:szCs w:val="24"/>
        </w:rPr>
      </w:pPr>
      <w:r w:rsidRPr="00D640A9">
        <w:rPr>
          <w:rFonts w:ascii="Book Antiqua" w:hAnsi="Book Antiqua"/>
          <w:b/>
          <w:bCs/>
          <w:color w:val="000000" w:themeColor="text1"/>
          <w:sz w:val="24"/>
          <w:szCs w:val="24"/>
          <w:shd w:val="clear" w:color="auto" w:fill="FFFFFF"/>
        </w:rPr>
        <w:t>ORCID number</w:t>
      </w:r>
      <w:r w:rsidRPr="00D640A9">
        <w:rPr>
          <w:rFonts w:ascii="Book Antiqua" w:hAnsi="Book Antiqua"/>
          <w:b/>
          <w:color w:val="000000" w:themeColor="text1"/>
          <w:sz w:val="24"/>
          <w:szCs w:val="24"/>
          <w:lang w:val="en-GB"/>
        </w:rPr>
        <w:t>:</w:t>
      </w:r>
      <w:r w:rsidRPr="00D640A9">
        <w:rPr>
          <w:rFonts w:ascii="Book Antiqua" w:hAnsi="Book Antiqua"/>
          <w:color w:val="000000" w:themeColor="text1"/>
          <w:sz w:val="24"/>
          <w:szCs w:val="24"/>
        </w:rPr>
        <w:t xml:space="preserve"> Yong-Shuang Li (</w:t>
      </w:r>
      <w:r w:rsidR="00616E40" w:rsidRPr="00D640A9">
        <w:rPr>
          <w:rFonts w:ascii="Book Antiqua" w:hAnsi="Book Antiqua"/>
          <w:color w:val="000000" w:themeColor="text1"/>
          <w:sz w:val="24"/>
          <w:szCs w:val="24"/>
        </w:rPr>
        <w:t>0000-0002-0474-853X</w:t>
      </w:r>
      <w:r w:rsidRPr="00D640A9">
        <w:rPr>
          <w:rFonts w:ascii="Book Antiqua" w:hAnsi="Book Antiqua"/>
          <w:color w:val="000000" w:themeColor="text1"/>
          <w:sz w:val="24"/>
          <w:szCs w:val="24"/>
        </w:rPr>
        <w:t>); Ying Zou (</w:t>
      </w:r>
      <w:r w:rsidR="00616E40" w:rsidRPr="00D640A9">
        <w:rPr>
          <w:rFonts w:ascii="Book Antiqua" w:hAnsi="Book Antiqua"/>
          <w:color w:val="000000" w:themeColor="text1"/>
          <w:sz w:val="24"/>
          <w:szCs w:val="24"/>
        </w:rPr>
        <w:t>0000-0003-2067-0995</w:t>
      </w:r>
      <w:r w:rsidRPr="00D640A9">
        <w:rPr>
          <w:rFonts w:ascii="Book Antiqua" w:hAnsi="Book Antiqua"/>
          <w:color w:val="000000" w:themeColor="text1"/>
          <w:sz w:val="24"/>
          <w:szCs w:val="24"/>
        </w:rPr>
        <w:t>); Dong-</w:t>
      </w:r>
      <w:proofErr w:type="spellStart"/>
      <w:r w:rsidRPr="00D640A9">
        <w:rPr>
          <w:rFonts w:ascii="Book Antiqua" w:hAnsi="Book Antiqua"/>
          <w:color w:val="000000" w:themeColor="text1"/>
          <w:sz w:val="24"/>
          <w:szCs w:val="24"/>
        </w:rPr>
        <w:t>Qiu</w:t>
      </w:r>
      <w:proofErr w:type="spellEnd"/>
      <w:r w:rsidRPr="00D640A9">
        <w:rPr>
          <w:rFonts w:ascii="Book Antiqua" w:hAnsi="Book Antiqua"/>
          <w:color w:val="000000" w:themeColor="text1"/>
          <w:sz w:val="24"/>
          <w:szCs w:val="24"/>
        </w:rPr>
        <w:t xml:space="preserve"> </w:t>
      </w:r>
      <w:r w:rsidR="00B06558" w:rsidRPr="00D640A9">
        <w:rPr>
          <w:rFonts w:ascii="Book Antiqua" w:hAnsi="Book Antiqua"/>
          <w:color w:val="000000" w:themeColor="text1"/>
          <w:sz w:val="24"/>
          <w:szCs w:val="24"/>
        </w:rPr>
        <w:t xml:space="preserve">Dai </w:t>
      </w:r>
      <w:r w:rsidRPr="00D640A9">
        <w:rPr>
          <w:rFonts w:ascii="Book Antiqua" w:hAnsi="Book Antiqua"/>
          <w:color w:val="000000" w:themeColor="text1"/>
          <w:sz w:val="24"/>
          <w:szCs w:val="24"/>
        </w:rPr>
        <w:t>(</w:t>
      </w:r>
      <w:r w:rsidR="00616E40" w:rsidRPr="00D640A9">
        <w:rPr>
          <w:rFonts w:ascii="Book Antiqua" w:hAnsi="Book Antiqua"/>
          <w:color w:val="000000" w:themeColor="text1"/>
          <w:sz w:val="24"/>
          <w:szCs w:val="24"/>
        </w:rPr>
        <w:t>0000-0002-1154-3276</w:t>
      </w:r>
      <w:r w:rsidRPr="00D640A9">
        <w:rPr>
          <w:rFonts w:ascii="Book Antiqua" w:hAnsi="Book Antiqua"/>
          <w:color w:val="000000" w:themeColor="text1"/>
          <w:sz w:val="24"/>
          <w:szCs w:val="24"/>
        </w:rPr>
        <w:t>).</w:t>
      </w:r>
    </w:p>
    <w:p w:rsidR="00B96523" w:rsidRPr="00D640A9" w:rsidRDefault="00B96523" w:rsidP="00D44140">
      <w:pPr>
        <w:tabs>
          <w:tab w:val="left" w:pos="0"/>
          <w:tab w:val="left" w:pos="450"/>
          <w:tab w:val="left" w:pos="540"/>
        </w:tabs>
        <w:spacing w:line="360" w:lineRule="auto"/>
        <w:ind w:left="2"/>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Cs/>
          <w:color w:val="000000" w:themeColor="text1"/>
          <w:kern w:val="0"/>
          <w:sz w:val="24"/>
          <w:szCs w:val="24"/>
        </w:rPr>
      </w:pPr>
      <w:r w:rsidRPr="00D640A9">
        <w:rPr>
          <w:rFonts w:ascii="Book Antiqua" w:hAnsi="Book Antiqua"/>
          <w:b/>
          <w:bCs/>
          <w:color w:val="000000" w:themeColor="text1"/>
          <w:kern w:val="0"/>
          <w:sz w:val="24"/>
          <w:szCs w:val="24"/>
        </w:rPr>
        <w:t xml:space="preserve">Author contributions: </w:t>
      </w:r>
      <w:r w:rsidR="00B06558" w:rsidRPr="00D640A9">
        <w:rPr>
          <w:rFonts w:ascii="Book Antiqua" w:hAnsi="Book Antiqua"/>
          <w:color w:val="000000" w:themeColor="text1"/>
          <w:sz w:val="24"/>
          <w:szCs w:val="24"/>
        </w:rPr>
        <w:t xml:space="preserve">Li </w:t>
      </w:r>
      <w:r w:rsidRPr="00D640A9">
        <w:rPr>
          <w:rFonts w:ascii="Book Antiqua" w:hAnsi="Book Antiqua"/>
          <w:color w:val="000000" w:themeColor="text1"/>
          <w:sz w:val="24"/>
          <w:szCs w:val="24"/>
        </w:rPr>
        <w:t xml:space="preserve">YS and </w:t>
      </w:r>
      <w:r w:rsidR="00B06558" w:rsidRPr="00D640A9">
        <w:rPr>
          <w:rFonts w:ascii="Book Antiqua" w:hAnsi="Book Antiqua"/>
          <w:color w:val="000000" w:themeColor="text1"/>
          <w:sz w:val="24"/>
          <w:szCs w:val="24"/>
        </w:rPr>
        <w:t>Zou Y</w:t>
      </w:r>
      <w:r w:rsidRPr="00D640A9">
        <w:rPr>
          <w:rFonts w:ascii="Book Antiqua" w:hAnsi="Book Antiqua"/>
          <w:color w:val="000000" w:themeColor="text1"/>
          <w:sz w:val="24"/>
          <w:szCs w:val="24"/>
        </w:rPr>
        <w:t xml:space="preserve"> contributed equally to this work and should be </w:t>
      </w:r>
      <w:r w:rsidR="00A02843" w:rsidRPr="00D640A9">
        <w:rPr>
          <w:rFonts w:ascii="Book Antiqua" w:hAnsi="Book Antiqua"/>
          <w:color w:val="000000" w:themeColor="text1"/>
          <w:sz w:val="24"/>
          <w:szCs w:val="24"/>
        </w:rPr>
        <w:t xml:space="preserve">considered as co-first authors; </w:t>
      </w:r>
      <w:r w:rsidR="00B06558" w:rsidRPr="00D640A9">
        <w:rPr>
          <w:rFonts w:ascii="Book Antiqua" w:hAnsi="Book Antiqua"/>
          <w:color w:val="000000" w:themeColor="text1"/>
          <w:sz w:val="24"/>
          <w:szCs w:val="24"/>
        </w:rPr>
        <w:t>Li YS</w:t>
      </w:r>
      <w:r w:rsidR="00B06558" w:rsidRPr="00D640A9">
        <w:rPr>
          <w:rFonts w:ascii="Book Antiqua" w:hAnsi="Book Antiqua"/>
          <w:bCs/>
          <w:color w:val="000000" w:themeColor="text1"/>
          <w:kern w:val="0"/>
          <w:sz w:val="24"/>
          <w:szCs w:val="24"/>
        </w:rPr>
        <w:t xml:space="preserve"> </w:t>
      </w:r>
      <w:r w:rsidRPr="00D640A9">
        <w:rPr>
          <w:rFonts w:ascii="Book Antiqua" w:hAnsi="Book Antiqua"/>
          <w:bCs/>
          <w:color w:val="000000" w:themeColor="text1"/>
          <w:kern w:val="0"/>
          <w:sz w:val="24"/>
          <w:szCs w:val="24"/>
        </w:rPr>
        <w:t xml:space="preserve">and </w:t>
      </w:r>
      <w:r w:rsidR="00B06558" w:rsidRPr="00D640A9">
        <w:rPr>
          <w:rFonts w:ascii="Book Antiqua" w:hAnsi="Book Antiqua"/>
          <w:color w:val="000000" w:themeColor="text1"/>
          <w:sz w:val="24"/>
          <w:szCs w:val="24"/>
        </w:rPr>
        <w:t xml:space="preserve">Dai </w:t>
      </w:r>
      <w:r w:rsidRPr="00D640A9">
        <w:rPr>
          <w:rFonts w:ascii="Book Antiqua" w:hAnsi="Book Antiqua"/>
          <w:bCs/>
          <w:color w:val="000000" w:themeColor="text1"/>
          <w:kern w:val="0"/>
          <w:sz w:val="24"/>
          <w:szCs w:val="24"/>
        </w:rPr>
        <w:t>D</w:t>
      </w:r>
      <w:r w:rsidR="00B06558" w:rsidRPr="00D640A9">
        <w:rPr>
          <w:rFonts w:ascii="Book Antiqua" w:hAnsi="Book Antiqua"/>
          <w:bCs/>
          <w:color w:val="000000" w:themeColor="text1"/>
          <w:kern w:val="0"/>
          <w:sz w:val="24"/>
          <w:szCs w:val="24"/>
        </w:rPr>
        <w:t>Q</w:t>
      </w:r>
      <w:r w:rsidRPr="00D640A9">
        <w:rPr>
          <w:rFonts w:ascii="Book Antiqua" w:hAnsi="Book Antiqua"/>
          <w:bCs/>
          <w:color w:val="000000" w:themeColor="text1"/>
          <w:kern w:val="0"/>
          <w:sz w:val="24"/>
          <w:szCs w:val="24"/>
        </w:rPr>
        <w:t xml:space="preserve"> designed the study</w:t>
      </w:r>
      <w:r w:rsidR="00A02843" w:rsidRPr="00D640A9">
        <w:rPr>
          <w:rFonts w:ascii="Book Antiqua" w:hAnsi="Book Antiqua"/>
          <w:bCs/>
          <w:color w:val="000000" w:themeColor="text1"/>
          <w:kern w:val="0"/>
          <w:sz w:val="24"/>
          <w:szCs w:val="24"/>
        </w:rPr>
        <w:t xml:space="preserve">; </w:t>
      </w:r>
      <w:r w:rsidR="00B06558" w:rsidRPr="00D640A9">
        <w:rPr>
          <w:rFonts w:ascii="Book Antiqua" w:hAnsi="Book Antiqua"/>
          <w:color w:val="000000" w:themeColor="text1"/>
          <w:sz w:val="24"/>
          <w:szCs w:val="24"/>
        </w:rPr>
        <w:t>Li YS</w:t>
      </w:r>
      <w:r w:rsidR="00B06558" w:rsidRPr="00D640A9">
        <w:rPr>
          <w:rFonts w:ascii="Book Antiqua" w:hAnsi="Book Antiqua"/>
          <w:bCs/>
          <w:color w:val="000000" w:themeColor="text1"/>
          <w:kern w:val="0"/>
          <w:sz w:val="24"/>
          <w:szCs w:val="24"/>
        </w:rPr>
        <w:t xml:space="preserve"> </w:t>
      </w:r>
      <w:r w:rsidRPr="00D640A9">
        <w:rPr>
          <w:rFonts w:ascii="Book Antiqua" w:hAnsi="Book Antiqua"/>
          <w:bCs/>
          <w:color w:val="000000" w:themeColor="text1"/>
          <w:kern w:val="0"/>
          <w:sz w:val="24"/>
          <w:szCs w:val="24"/>
        </w:rPr>
        <w:t xml:space="preserve">and </w:t>
      </w:r>
      <w:r w:rsidR="00B06558" w:rsidRPr="00D640A9">
        <w:rPr>
          <w:rFonts w:ascii="Book Antiqua" w:hAnsi="Book Antiqua"/>
          <w:color w:val="000000" w:themeColor="text1"/>
          <w:sz w:val="24"/>
          <w:szCs w:val="24"/>
        </w:rPr>
        <w:t>Zou Y</w:t>
      </w:r>
      <w:r w:rsidR="00B06558" w:rsidRPr="00D640A9">
        <w:rPr>
          <w:rFonts w:ascii="Book Antiqua" w:hAnsi="Book Antiqua"/>
          <w:bCs/>
          <w:color w:val="000000" w:themeColor="text1"/>
          <w:kern w:val="0"/>
          <w:sz w:val="24"/>
          <w:szCs w:val="24"/>
        </w:rPr>
        <w:t xml:space="preserve"> </w:t>
      </w:r>
      <w:r w:rsidRPr="00D640A9">
        <w:rPr>
          <w:rFonts w:ascii="Book Antiqua" w:hAnsi="Book Antiqua"/>
          <w:bCs/>
          <w:color w:val="000000" w:themeColor="text1"/>
          <w:kern w:val="0"/>
          <w:sz w:val="24"/>
          <w:szCs w:val="24"/>
        </w:rPr>
        <w:t>collected and analyzed the data</w:t>
      </w:r>
      <w:r w:rsidR="00A02843" w:rsidRPr="00D640A9">
        <w:rPr>
          <w:rFonts w:ascii="Book Antiqua" w:hAnsi="Book Antiqua"/>
          <w:bCs/>
          <w:color w:val="000000" w:themeColor="text1"/>
          <w:kern w:val="0"/>
          <w:sz w:val="24"/>
          <w:szCs w:val="24"/>
        </w:rPr>
        <w:t>;</w:t>
      </w:r>
      <w:r w:rsidRPr="00D640A9">
        <w:rPr>
          <w:rFonts w:ascii="Book Antiqua" w:hAnsi="Book Antiqua"/>
          <w:bCs/>
          <w:color w:val="000000" w:themeColor="text1"/>
          <w:kern w:val="0"/>
          <w:sz w:val="24"/>
          <w:szCs w:val="24"/>
        </w:rPr>
        <w:t xml:space="preserve"> </w:t>
      </w:r>
      <w:r w:rsidR="00B06558" w:rsidRPr="00D640A9">
        <w:rPr>
          <w:rFonts w:ascii="Book Antiqua" w:hAnsi="Book Antiqua"/>
          <w:color w:val="000000" w:themeColor="text1"/>
          <w:sz w:val="24"/>
          <w:szCs w:val="24"/>
        </w:rPr>
        <w:t>Li YS</w:t>
      </w:r>
      <w:r w:rsidR="00B06558" w:rsidRPr="00D640A9">
        <w:rPr>
          <w:rFonts w:ascii="Book Antiqua" w:hAnsi="Book Antiqua"/>
          <w:bCs/>
          <w:color w:val="000000" w:themeColor="text1"/>
          <w:kern w:val="0"/>
          <w:sz w:val="24"/>
          <w:szCs w:val="24"/>
        </w:rPr>
        <w:t xml:space="preserve"> </w:t>
      </w:r>
      <w:r w:rsidRPr="00D640A9">
        <w:rPr>
          <w:rFonts w:ascii="Book Antiqua" w:hAnsi="Book Antiqua"/>
          <w:bCs/>
          <w:color w:val="000000" w:themeColor="text1"/>
          <w:kern w:val="0"/>
          <w:sz w:val="24"/>
          <w:szCs w:val="24"/>
        </w:rPr>
        <w:t xml:space="preserve">and </w:t>
      </w:r>
      <w:r w:rsidR="00B06558" w:rsidRPr="00D640A9">
        <w:rPr>
          <w:rFonts w:ascii="Book Antiqua" w:hAnsi="Book Antiqua"/>
          <w:color w:val="000000" w:themeColor="text1"/>
          <w:sz w:val="24"/>
          <w:szCs w:val="24"/>
        </w:rPr>
        <w:t>Zou Y</w:t>
      </w:r>
      <w:r w:rsidR="00B06558" w:rsidRPr="00D640A9">
        <w:rPr>
          <w:rFonts w:ascii="Book Antiqua" w:hAnsi="Book Antiqua"/>
          <w:bCs/>
          <w:color w:val="000000" w:themeColor="text1"/>
          <w:kern w:val="0"/>
          <w:sz w:val="24"/>
          <w:szCs w:val="24"/>
        </w:rPr>
        <w:t xml:space="preserve"> </w:t>
      </w:r>
      <w:r w:rsidRPr="00D640A9">
        <w:rPr>
          <w:rFonts w:ascii="Book Antiqua" w:hAnsi="Book Antiqua"/>
          <w:bCs/>
          <w:color w:val="000000" w:themeColor="text1"/>
          <w:kern w:val="0"/>
          <w:sz w:val="24"/>
          <w:szCs w:val="24"/>
        </w:rPr>
        <w:t>performed the experiments</w:t>
      </w:r>
      <w:r w:rsidR="00685C56" w:rsidRPr="00D640A9">
        <w:rPr>
          <w:rFonts w:ascii="Book Antiqua" w:hAnsi="Book Antiqua"/>
          <w:bCs/>
          <w:color w:val="000000" w:themeColor="text1"/>
          <w:kern w:val="0"/>
          <w:sz w:val="24"/>
          <w:szCs w:val="24"/>
        </w:rPr>
        <w:t>;</w:t>
      </w:r>
      <w:r w:rsidRPr="00D640A9">
        <w:rPr>
          <w:rFonts w:ascii="Book Antiqua" w:hAnsi="Book Antiqua"/>
          <w:bCs/>
          <w:color w:val="000000" w:themeColor="text1"/>
          <w:kern w:val="0"/>
          <w:sz w:val="24"/>
          <w:szCs w:val="24"/>
        </w:rPr>
        <w:t xml:space="preserve"> </w:t>
      </w:r>
      <w:r w:rsidR="00685C56" w:rsidRPr="00D640A9">
        <w:rPr>
          <w:rFonts w:ascii="Book Antiqua" w:hAnsi="Book Antiqua"/>
          <w:bCs/>
          <w:color w:val="000000" w:themeColor="text1"/>
          <w:kern w:val="0"/>
          <w:sz w:val="24"/>
          <w:szCs w:val="24"/>
        </w:rPr>
        <w:t xml:space="preserve">all </w:t>
      </w:r>
      <w:r w:rsidRPr="00D640A9">
        <w:rPr>
          <w:rFonts w:ascii="Book Antiqua" w:hAnsi="Book Antiqua"/>
          <w:bCs/>
          <w:color w:val="000000" w:themeColor="text1"/>
          <w:kern w:val="0"/>
          <w:sz w:val="24"/>
          <w:szCs w:val="24"/>
        </w:rPr>
        <w:t>authors contributed to writing, reviewing or revising the paper</w:t>
      </w:r>
      <w:r w:rsidR="00142A51" w:rsidRPr="00D640A9">
        <w:rPr>
          <w:rFonts w:ascii="Book Antiqua" w:hAnsi="Book Antiqua"/>
          <w:bCs/>
          <w:color w:val="000000" w:themeColor="text1"/>
          <w:kern w:val="0"/>
          <w:sz w:val="24"/>
          <w:szCs w:val="24"/>
        </w:rPr>
        <w:t>;</w:t>
      </w:r>
      <w:r w:rsidRPr="00D640A9">
        <w:rPr>
          <w:rFonts w:ascii="Book Antiqua" w:hAnsi="Book Antiqua"/>
          <w:bCs/>
          <w:color w:val="000000" w:themeColor="text1"/>
          <w:kern w:val="0"/>
          <w:sz w:val="24"/>
          <w:szCs w:val="24"/>
        </w:rPr>
        <w:t xml:space="preserve"> </w:t>
      </w:r>
      <w:r w:rsidR="00B06558" w:rsidRPr="00D640A9">
        <w:rPr>
          <w:rFonts w:ascii="Book Antiqua" w:hAnsi="Book Antiqua"/>
          <w:color w:val="000000" w:themeColor="text1"/>
          <w:sz w:val="24"/>
          <w:szCs w:val="24"/>
        </w:rPr>
        <w:t>Li YS</w:t>
      </w:r>
      <w:r w:rsidR="00B06558" w:rsidRPr="00D640A9">
        <w:rPr>
          <w:rFonts w:ascii="Book Antiqua" w:hAnsi="Book Antiqua"/>
          <w:bCs/>
          <w:color w:val="000000" w:themeColor="text1"/>
          <w:kern w:val="0"/>
          <w:sz w:val="24"/>
          <w:szCs w:val="24"/>
        </w:rPr>
        <w:t xml:space="preserve"> </w:t>
      </w:r>
      <w:r w:rsidRPr="00D640A9">
        <w:rPr>
          <w:rFonts w:ascii="Book Antiqua" w:hAnsi="Book Antiqua"/>
          <w:bCs/>
          <w:color w:val="000000" w:themeColor="text1"/>
          <w:kern w:val="0"/>
          <w:sz w:val="24"/>
          <w:szCs w:val="24"/>
        </w:rPr>
        <w:t xml:space="preserve">and </w:t>
      </w:r>
      <w:r w:rsidR="00B06558" w:rsidRPr="00D640A9">
        <w:rPr>
          <w:rFonts w:ascii="Book Antiqua" w:hAnsi="Book Antiqua"/>
          <w:color w:val="000000" w:themeColor="text1"/>
          <w:sz w:val="24"/>
          <w:szCs w:val="24"/>
        </w:rPr>
        <w:t xml:space="preserve">Dai </w:t>
      </w:r>
      <w:r w:rsidR="00B06558" w:rsidRPr="00D640A9">
        <w:rPr>
          <w:rFonts w:ascii="Book Antiqua" w:hAnsi="Book Antiqua"/>
          <w:bCs/>
          <w:color w:val="000000" w:themeColor="text1"/>
          <w:kern w:val="0"/>
          <w:sz w:val="24"/>
          <w:szCs w:val="24"/>
        </w:rPr>
        <w:t xml:space="preserve">DQ </w:t>
      </w:r>
      <w:r w:rsidRPr="00D640A9">
        <w:rPr>
          <w:rFonts w:ascii="Book Antiqua" w:hAnsi="Book Antiqua"/>
          <w:bCs/>
          <w:color w:val="000000" w:themeColor="text1"/>
          <w:kern w:val="0"/>
          <w:sz w:val="24"/>
          <w:szCs w:val="24"/>
        </w:rPr>
        <w:t>submitted the final manuscript and all authors read and approved the final version</w:t>
      </w:r>
      <w:r w:rsidR="00A02843" w:rsidRPr="00D640A9">
        <w:rPr>
          <w:rFonts w:ascii="Book Antiqua" w:hAnsi="Book Antiqua"/>
          <w:bCs/>
          <w:color w:val="000000" w:themeColor="text1"/>
          <w:kern w:val="0"/>
          <w:sz w:val="24"/>
          <w:szCs w:val="24"/>
        </w:rPr>
        <w:t>;</w:t>
      </w:r>
      <w:r w:rsidRPr="00D640A9">
        <w:rPr>
          <w:rFonts w:ascii="Book Antiqua" w:hAnsi="Book Antiqua"/>
          <w:bCs/>
          <w:color w:val="000000" w:themeColor="text1"/>
          <w:kern w:val="0"/>
          <w:sz w:val="24"/>
          <w:szCs w:val="24"/>
        </w:rPr>
        <w:t xml:space="preserve"> </w:t>
      </w:r>
      <w:r w:rsidR="00A02843" w:rsidRPr="00D640A9">
        <w:rPr>
          <w:rFonts w:ascii="Book Antiqua" w:hAnsi="Book Antiqua"/>
          <w:bCs/>
          <w:color w:val="000000" w:themeColor="text1"/>
          <w:kern w:val="0"/>
          <w:sz w:val="24"/>
          <w:szCs w:val="24"/>
        </w:rPr>
        <w:t xml:space="preserve">all </w:t>
      </w:r>
      <w:r w:rsidRPr="00D640A9">
        <w:rPr>
          <w:rFonts w:ascii="Book Antiqua" w:hAnsi="Book Antiqua"/>
          <w:bCs/>
          <w:color w:val="000000" w:themeColor="text1"/>
          <w:kern w:val="0"/>
          <w:sz w:val="24"/>
          <w:szCs w:val="24"/>
        </w:rPr>
        <w:t>authors agreed to be accountable for all aspects of the work in ensuring that questions related to the accuracy or integrity of any part of the work are appropriately investigated and resolved.</w:t>
      </w:r>
    </w:p>
    <w:p w:rsidR="00B96523" w:rsidRPr="00D640A9" w:rsidRDefault="00B96523" w:rsidP="00D44140">
      <w:pPr>
        <w:spacing w:line="360" w:lineRule="auto"/>
        <w:rPr>
          <w:rFonts w:ascii="Book Antiqua" w:hAnsi="Book Antiqua"/>
          <w:bCs/>
          <w:color w:val="000000" w:themeColor="text1"/>
          <w:sz w:val="24"/>
          <w:szCs w:val="24"/>
        </w:rPr>
      </w:pPr>
    </w:p>
    <w:p w:rsidR="00B96523" w:rsidRPr="00D640A9" w:rsidRDefault="002F7DEB" w:rsidP="00D44140">
      <w:pPr>
        <w:adjustRightInd w:val="0"/>
        <w:snapToGrid w:val="0"/>
        <w:spacing w:line="360" w:lineRule="auto"/>
        <w:rPr>
          <w:rFonts w:ascii="Book Antiqua" w:hAnsi="Book Antiqua"/>
          <w:b/>
          <w:color w:val="000000" w:themeColor="text1"/>
          <w:sz w:val="24"/>
          <w:szCs w:val="24"/>
        </w:rPr>
      </w:pPr>
      <w:r w:rsidRPr="00D640A9">
        <w:rPr>
          <w:rFonts w:ascii="Book Antiqua" w:hAnsi="Book Antiqua"/>
          <w:b/>
          <w:color w:val="000000" w:themeColor="text1"/>
          <w:sz w:val="24"/>
          <w:szCs w:val="24"/>
        </w:rPr>
        <w:t xml:space="preserve">Supported by </w:t>
      </w:r>
      <w:r w:rsidRPr="00D640A9">
        <w:rPr>
          <w:rFonts w:ascii="Book Antiqua" w:hAnsi="Book Antiqua"/>
          <w:color w:val="000000" w:themeColor="text1"/>
          <w:sz w:val="24"/>
          <w:szCs w:val="24"/>
        </w:rPr>
        <w:t>the</w:t>
      </w:r>
      <w:r w:rsidRPr="00D640A9">
        <w:rPr>
          <w:rFonts w:ascii="Book Antiqua" w:hAnsi="Book Antiqua"/>
          <w:b/>
          <w:color w:val="000000" w:themeColor="text1"/>
          <w:sz w:val="24"/>
          <w:szCs w:val="24"/>
        </w:rPr>
        <w:t xml:space="preserve"> </w:t>
      </w:r>
      <w:r w:rsidRPr="00D640A9">
        <w:rPr>
          <w:rFonts w:ascii="Book Antiqua" w:hAnsi="Book Antiqua"/>
          <w:color w:val="000000" w:themeColor="text1"/>
          <w:sz w:val="24"/>
          <w:szCs w:val="24"/>
        </w:rPr>
        <w:t>Natural Science Foundation of Liaoning Province, No. 201602817.</w:t>
      </w:r>
    </w:p>
    <w:p w:rsidR="00B96523" w:rsidRPr="00D640A9" w:rsidRDefault="00B96523" w:rsidP="00D44140">
      <w:pPr>
        <w:spacing w:line="360" w:lineRule="auto"/>
        <w:ind w:left="180" w:hangingChars="75" w:hanging="180"/>
        <w:rPr>
          <w:rFonts w:ascii="Book Antiqua" w:hAnsi="Book Antiqua"/>
          <w:color w:val="000000" w:themeColor="text1"/>
          <w:sz w:val="24"/>
          <w:szCs w:val="24"/>
        </w:rPr>
      </w:pP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lastRenderedPageBreak/>
        <w:t>Institutional review board statement:</w:t>
      </w:r>
      <w:r w:rsidRPr="00D640A9">
        <w:rPr>
          <w:rStyle w:val="CommentReference"/>
          <w:rFonts w:ascii="Book Antiqua" w:hAnsi="Book Antiqua"/>
          <w:color w:val="000000" w:themeColor="text1"/>
          <w:kern w:val="0"/>
          <w:sz w:val="24"/>
          <w:szCs w:val="24"/>
        </w:rPr>
        <w:t xml:space="preserve"> </w:t>
      </w:r>
      <w:r w:rsidRPr="00D640A9">
        <w:rPr>
          <w:rFonts w:ascii="Book Antiqua" w:hAnsi="Book Antiqua"/>
          <w:bCs/>
          <w:color w:val="000000" w:themeColor="text1"/>
          <w:sz w:val="24"/>
          <w:szCs w:val="24"/>
        </w:rPr>
        <w:t>Institutional review board approval of our hospital was obtained for this study.</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
          <w:color w:val="000000" w:themeColor="text1"/>
          <w:sz w:val="24"/>
          <w:szCs w:val="24"/>
        </w:rPr>
        <w:t xml:space="preserve">Conflict-of-interest statement: </w:t>
      </w:r>
      <w:r w:rsidRPr="00D640A9">
        <w:rPr>
          <w:rFonts w:ascii="Book Antiqua" w:hAnsi="Book Antiqua"/>
          <w:bCs/>
          <w:color w:val="000000" w:themeColor="text1"/>
          <w:sz w:val="24"/>
          <w:szCs w:val="24"/>
        </w:rPr>
        <w:t>All authors declare that they have no conflicts of interest.</w:t>
      </w:r>
    </w:p>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adjustRightInd w:val="0"/>
        <w:snapToGrid w:val="0"/>
        <w:spacing w:line="360" w:lineRule="auto"/>
        <w:rPr>
          <w:rFonts w:ascii="Book Antiqua" w:hAnsi="Book Antiqua"/>
          <w:bCs/>
          <w:color w:val="000000" w:themeColor="text1"/>
          <w:sz w:val="24"/>
          <w:szCs w:val="24"/>
        </w:rPr>
      </w:pPr>
      <w:bookmarkStart w:id="6" w:name="OLE_LINK30"/>
      <w:bookmarkStart w:id="7" w:name="OLE_LINK34"/>
      <w:r w:rsidRPr="00D640A9">
        <w:rPr>
          <w:rFonts w:ascii="Book Antiqua" w:hAnsi="Book Antiqua"/>
          <w:b/>
          <w:color w:val="000000" w:themeColor="text1"/>
          <w:sz w:val="24"/>
          <w:szCs w:val="24"/>
        </w:rPr>
        <w:t>Data sharing statement</w:t>
      </w:r>
      <w:bookmarkEnd w:id="6"/>
      <w:bookmarkEnd w:id="7"/>
      <w:r w:rsidRPr="00D640A9">
        <w:rPr>
          <w:rFonts w:ascii="Book Antiqua" w:hAnsi="Book Antiqua"/>
          <w:b/>
          <w:color w:val="000000" w:themeColor="text1"/>
          <w:sz w:val="24"/>
          <w:szCs w:val="24"/>
        </w:rPr>
        <w:t>:</w:t>
      </w:r>
      <w:r w:rsidRPr="00D640A9">
        <w:rPr>
          <w:rStyle w:val="CommentReference"/>
          <w:rFonts w:ascii="Book Antiqua" w:hAnsi="Book Antiqua"/>
          <w:color w:val="000000" w:themeColor="text1"/>
          <w:kern w:val="0"/>
          <w:sz w:val="24"/>
          <w:szCs w:val="24"/>
        </w:rPr>
        <w:t xml:space="preserve"> </w:t>
      </w:r>
      <w:r w:rsidRPr="00D640A9">
        <w:rPr>
          <w:rFonts w:ascii="Book Antiqua" w:hAnsi="Book Antiqua"/>
          <w:bCs/>
          <w:color w:val="000000" w:themeColor="text1"/>
          <w:sz w:val="24"/>
          <w:szCs w:val="24"/>
        </w:rPr>
        <w:t>No additional data are available.</w:t>
      </w:r>
    </w:p>
    <w:p w:rsidR="00DD7886" w:rsidRPr="00D640A9" w:rsidRDefault="00DD7886" w:rsidP="00D44140">
      <w:pPr>
        <w:adjustRightInd w:val="0"/>
        <w:snapToGrid w:val="0"/>
        <w:spacing w:line="360" w:lineRule="auto"/>
        <w:rPr>
          <w:rFonts w:ascii="Book Antiqua" w:hAnsi="Book Antiqua"/>
          <w:b/>
          <w:color w:val="000000" w:themeColor="text1"/>
          <w:sz w:val="24"/>
          <w:szCs w:val="24"/>
        </w:rPr>
      </w:pPr>
    </w:p>
    <w:p w:rsidR="00DD7886" w:rsidRPr="00D640A9" w:rsidRDefault="00DD7886"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t>Open-Access:</w:t>
      </w:r>
      <w:r w:rsidRPr="00D640A9">
        <w:rPr>
          <w:rFonts w:ascii="Book Antiqua" w:hAnsi="Book Antiqua"/>
          <w:color w:val="000000" w:themeColor="text1"/>
          <w:sz w:val="24"/>
          <w:szCs w:val="24"/>
        </w:rPr>
        <w:t xml:space="preserve"> 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DD7886" w:rsidRPr="00D640A9" w:rsidRDefault="00DD7886" w:rsidP="00D44140">
      <w:pPr>
        <w:adjustRightInd w:val="0"/>
        <w:snapToGrid w:val="0"/>
        <w:spacing w:line="360" w:lineRule="auto"/>
        <w:rPr>
          <w:rFonts w:ascii="Book Antiqua" w:hAnsi="Book Antiqua"/>
          <w:color w:val="000000" w:themeColor="text1"/>
          <w:sz w:val="24"/>
          <w:szCs w:val="24"/>
        </w:rPr>
      </w:pPr>
    </w:p>
    <w:p w:rsidR="00DD7886" w:rsidRPr="00D640A9" w:rsidRDefault="00DD7886" w:rsidP="00D44140">
      <w:pPr>
        <w:pStyle w:val="11"/>
        <w:snapToGrid w:val="0"/>
        <w:spacing w:line="360" w:lineRule="auto"/>
        <w:jc w:val="both"/>
        <w:rPr>
          <w:rFonts w:ascii="Book Antiqua" w:hAnsi="Book Antiqua" w:cs="Times New Roman"/>
          <w:b/>
          <w:bCs/>
          <w:color w:val="000000" w:themeColor="text1"/>
          <w:sz w:val="24"/>
          <w:szCs w:val="24"/>
          <w:highlight w:val="white"/>
          <w:lang w:val="en-US" w:eastAsia="zh-CN"/>
        </w:rPr>
      </w:pPr>
      <w:r w:rsidRPr="00D640A9">
        <w:rPr>
          <w:rFonts w:ascii="Book Antiqua" w:hAnsi="Book Antiqua" w:cs="Times New Roman"/>
          <w:b/>
          <w:bCs/>
          <w:color w:val="000000" w:themeColor="text1"/>
          <w:sz w:val="24"/>
          <w:szCs w:val="24"/>
          <w:highlight w:val="white"/>
          <w:lang w:val="en-US"/>
        </w:rPr>
        <w:t>Manuscript source:</w:t>
      </w:r>
      <w:r w:rsidRPr="00D640A9">
        <w:rPr>
          <w:rFonts w:ascii="Book Antiqua" w:hAnsi="Book Antiqua" w:cs="Times New Roman"/>
          <w:b/>
          <w:bCs/>
          <w:color w:val="000000" w:themeColor="text1"/>
          <w:sz w:val="24"/>
          <w:szCs w:val="24"/>
          <w:highlight w:val="white"/>
          <w:lang w:val="en-US" w:eastAsia="zh-CN"/>
        </w:rPr>
        <w:t xml:space="preserve"> </w:t>
      </w:r>
      <w:r w:rsidRPr="00D640A9">
        <w:rPr>
          <w:rFonts w:ascii="Book Antiqua" w:hAnsi="Book Antiqua" w:cs="Times New Roman"/>
          <w:bCs/>
          <w:color w:val="000000" w:themeColor="text1"/>
          <w:sz w:val="24"/>
          <w:szCs w:val="24"/>
          <w:highlight w:val="white"/>
          <w:lang w:val="en-US"/>
        </w:rPr>
        <w:t>Unsolicited manuscript</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DD7886" w:rsidP="00D44140">
      <w:pPr>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t xml:space="preserve">Corresponding author: </w:t>
      </w:r>
      <w:r w:rsidR="00D81418" w:rsidRPr="00D640A9">
        <w:rPr>
          <w:rFonts w:ascii="Book Antiqua" w:hAnsi="Book Antiqua"/>
          <w:b/>
          <w:color w:val="000000" w:themeColor="text1"/>
          <w:sz w:val="24"/>
          <w:szCs w:val="24"/>
        </w:rPr>
        <w:t>Dong-</w:t>
      </w:r>
      <w:proofErr w:type="spellStart"/>
      <w:r w:rsidR="00D81418" w:rsidRPr="00D640A9">
        <w:rPr>
          <w:rFonts w:ascii="Book Antiqua" w:hAnsi="Book Antiqua"/>
          <w:b/>
          <w:color w:val="000000" w:themeColor="text1"/>
          <w:sz w:val="24"/>
          <w:szCs w:val="24"/>
        </w:rPr>
        <w:t>Qiu</w:t>
      </w:r>
      <w:proofErr w:type="spellEnd"/>
      <w:r w:rsidR="00D81418" w:rsidRPr="00D640A9">
        <w:rPr>
          <w:rFonts w:ascii="Book Antiqua" w:hAnsi="Book Antiqua"/>
          <w:b/>
          <w:color w:val="000000" w:themeColor="text1"/>
          <w:sz w:val="24"/>
          <w:szCs w:val="24"/>
        </w:rPr>
        <w:t xml:space="preserve"> Dai, MD, PhD</w:t>
      </w:r>
      <w:r w:rsidR="002F7DEB" w:rsidRPr="00D640A9">
        <w:rPr>
          <w:rFonts w:ascii="Book Antiqua" w:hAnsi="Book Antiqua"/>
          <w:b/>
          <w:color w:val="000000" w:themeColor="text1"/>
          <w:sz w:val="24"/>
          <w:szCs w:val="24"/>
        </w:rPr>
        <w:t xml:space="preserve">, Professor, </w:t>
      </w:r>
      <w:r w:rsidR="002F7DEB" w:rsidRPr="00D640A9">
        <w:rPr>
          <w:rFonts w:ascii="Book Antiqua" w:hAnsi="Book Antiqua"/>
          <w:color w:val="000000" w:themeColor="text1"/>
          <w:sz w:val="24"/>
          <w:szCs w:val="24"/>
        </w:rPr>
        <w:t xml:space="preserve">Department of Gastrointestinal Surgery, The Fourth Affiliated Hospital of China Medical University, No. 4 </w:t>
      </w:r>
      <w:proofErr w:type="spellStart"/>
      <w:r w:rsidR="002F7DEB" w:rsidRPr="00D640A9">
        <w:rPr>
          <w:rFonts w:ascii="Book Antiqua" w:hAnsi="Book Antiqua"/>
          <w:color w:val="000000" w:themeColor="text1"/>
          <w:sz w:val="24"/>
          <w:szCs w:val="24"/>
        </w:rPr>
        <w:t>Chongshan</w:t>
      </w:r>
      <w:proofErr w:type="spellEnd"/>
      <w:r w:rsidR="002F7DEB" w:rsidRPr="00D640A9">
        <w:rPr>
          <w:rFonts w:ascii="Book Antiqua" w:hAnsi="Book Antiqua"/>
          <w:color w:val="000000" w:themeColor="text1"/>
          <w:sz w:val="24"/>
          <w:szCs w:val="24"/>
        </w:rPr>
        <w:t xml:space="preserve"> East Road, Shenyang 110032, Liaoning Province, China.</w:t>
      </w:r>
      <w:r w:rsidR="00D81418" w:rsidRPr="00D640A9">
        <w:rPr>
          <w:rFonts w:ascii="Book Antiqua" w:hAnsi="Book Antiqua"/>
          <w:color w:val="000000" w:themeColor="text1"/>
          <w:sz w:val="24"/>
          <w:szCs w:val="24"/>
        </w:rPr>
        <w:t xml:space="preserve"> </w:t>
      </w:r>
      <w:hyperlink r:id="rId7" w:history="1">
        <w:r w:rsidR="00D640A9" w:rsidRPr="0076282F">
          <w:rPr>
            <w:rStyle w:val="Hyperlink"/>
            <w:rFonts w:ascii="Book Antiqua" w:hAnsi="Book Antiqua"/>
            <w:sz w:val="24"/>
            <w:szCs w:val="24"/>
          </w:rPr>
          <w:t>daidq63@163.com</w:t>
        </w:r>
      </w:hyperlink>
      <w:r w:rsidR="00D640A9">
        <w:rPr>
          <w:rFonts w:ascii="Book Antiqua" w:hAnsi="Book Antiqua" w:hint="eastAsia"/>
          <w:color w:val="000000" w:themeColor="text1"/>
          <w:sz w:val="24"/>
          <w:szCs w:val="24"/>
        </w:rPr>
        <w:t xml:space="preserve"> </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t xml:space="preserve">Telephone: </w:t>
      </w:r>
      <w:r w:rsidRPr="00D640A9">
        <w:rPr>
          <w:rFonts w:ascii="Book Antiqua" w:hAnsi="Book Antiqua"/>
          <w:color w:val="000000" w:themeColor="text1"/>
          <w:sz w:val="24"/>
          <w:szCs w:val="24"/>
        </w:rPr>
        <w:t>+86-24-62043110</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t xml:space="preserve">Fax: </w:t>
      </w:r>
      <w:r w:rsidRPr="00D640A9">
        <w:rPr>
          <w:rFonts w:ascii="Book Antiqua" w:hAnsi="Book Antiqua"/>
          <w:color w:val="000000" w:themeColor="text1"/>
          <w:sz w:val="24"/>
          <w:szCs w:val="24"/>
        </w:rPr>
        <w:t>+86-24-62043110</w:t>
      </w:r>
    </w:p>
    <w:p w:rsidR="002A2421" w:rsidRPr="00D640A9" w:rsidRDefault="002A2421" w:rsidP="00D44140">
      <w:pPr>
        <w:adjustRightInd w:val="0"/>
        <w:snapToGrid w:val="0"/>
        <w:spacing w:line="360" w:lineRule="auto"/>
        <w:rPr>
          <w:rFonts w:ascii="Book Antiqua" w:hAnsi="Book Antiqua"/>
          <w:b/>
          <w:color w:val="000000" w:themeColor="text1"/>
          <w:sz w:val="24"/>
          <w:szCs w:val="24"/>
        </w:rPr>
      </w:pPr>
    </w:p>
    <w:p w:rsidR="002A2421" w:rsidRPr="00D640A9" w:rsidRDefault="002A2421"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t>Received:</w:t>
      </w:r>
      <w:r w:rsidRPr="00D640A9">
        <w:rPr>
          <w:rFonts w:ascii="Book Antiqua" w:hAnsi="Book Antiqua"/>
          <w:color w:val="000000" w:themeColor="text1"/>
          <w:sz w:val="24"/>
          <w:szCs w:val="24"/>
        </w:rPr>
        <w:t xml:space="preserve"> April 23, 2019</w:t>
      </w:r>
    </w:p>
    <w:p w:rsidR="002A2421" w:rsidRPr="00D640A9" w:rsidRDefault="002A2421"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t>Peer-review started:</w:t>
      </w:r>
      <w:r w:rsidRPr="00D640A9">
        <w:rPr>
          <w:rFonts w:ascii="Book Antiqua" w:hAnsi="Book Antiqua"/>
          <w:color w:val="000000" w:themeColor="text1"/>
          <w:sz w:val="24"/>
          <w:szCs w:val="24"/>
        </w:rPr>
        <w:t xml:space="preserve"> May 7, 2019</w:t>
      </w:r>
    </w:p>
    <w:p w:rsidR="002A2421" w:rsidRPr="00D640A9" w:rsidRDefault="002A2421"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t>First decision:</w:t>
      </w:r>
      <w:r w:rsidRPr="00D640A9">
        <w:rPr>
          <w:rFonts w:ascii="Book Antiqua" w:hAnsi="Book Antiqua"/>
          <w:color w:val="000000" w:themeColor="text1"/>
          <w:sz w:val="24"/>
          <w:szCs w:val="24"/>
        </w:rPr>
        <w:t xml:space="preserve"> June 4, 2019</w:t>
      </w:r>
    </w:p>
    <w:p w:rsidR="002A2421" w:rsidRPr="00D640A9" w:rsidRDefault="002A2421"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t>Revised:</w:t>
      </w:r>
      <w:r w:rsidRPr="00D640A9">
        <w:rPr>
          <w:rFonts w:ascii="Book Antiqua" w:hAnsi="Book Antiqua"/>
          <w:color w:val="000000" w:themeColor="text1"/>
          <w:sz w:val="24"/>
          <w:szCs w:val="24"/>
        </w:rPr>
        <w:t xml:space="preserve"> June 19, 2019</w:t>
      </w:r>
    </w:p>
    <w:p w:rsidR="002A2421" w:rsidRPr="00D640A9" w:rsidRDefault="002A2421"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b/>
          <w:color w:val="000000" w:themeColor="text1"/>
          <w:sz w:val="24"/>
          <w:szCs w:val="24"/>
        </w:rPr>
        <w:t>Accepted:</w:t>
      </w:r>
      <w:r w:rsidRPr="00D640A9">
        <w:rPr>
          <w:rFonts w:ascii="Book Antiqua" w:hAnsi="Book Antiqua"/>
          <w:color w:val="000000" w:themeColor="text1"/>
          <w:sz w:val="24"/>
          <w:szCs w:val="24"/>
        </w:rPr>
        <w:t xml:space="preserve"> </w:t>
      </w:r>
      <w:r w:rsidR="003E6D4A">
        <w:rPr>
          <w:rFonts w:ascii="Book Antiqua" w:hAnsi="Book Antiqua"/>
          <w:color w:val="000000" w:themeColor="text1"/>
          <w:sz w:val="24"/>
          <w:szCs w:val="24"/>
        </w:rPr>
        <w:t>July 26, 2019</w:t>
      </w:r>
    </w:p>
    <w:p w:rsidR="002A2421" w:rsidRPr="00D640A9" w:rsidRDefault="002A2421" w:rsidP="00D44140">
      <w:pPr>
        <w:adjustRightInd w:val="0"/>
        <w:snapToGrid w:val="0"/>
        <w:spacing w:line="360" w:lineRule="auto"/>
        <w:rPr>
          <w:rFonts w:ascii="Book Antiqua" w:hAnsi="Book Antiqua"/>
          <w:b/>
          <w:color w:val="000000" w:themeColor="text1"/>
          <w:sz w:val="24"/>
          <w:szCs w:val="24"/>
        </w:rPr>
      </w:pPr>
      <w:r w:rsidRPr="00D640A9">
        <w:rPr>
          <w:rFonts w:ascii="Book Antiqua" w:hAnsi="Book Antiqua"/>
          <w:b/>
          <w:color w:val="000000" w:themeColor="text1"/>
          <w:sz w:val="24"/>
          <w:szCs w:val="24"/>
        </w:rPr>
        <w:t>Article in press:</w:t>
      </w:r>
    </w:p>
    <w:p w:rsidR="002A2421" w:rsidRPr="00D640A9" w:rsidRDefault="002A2421" w:rsidP="00D44140">
      <w:pPr>
        <w:adjustRightInd w:val="0"/>
        <w:snapToGrid w:val="0"/>
        <w:spacing w:line="360" w:lineRule="auto"/>
        <w:rPr>
          <w:rFonts w:ascii="Book Antiqua" w:hAnsi="Book Antiqua"/>
          <w:b/>
          <w:color w:val="000000" w:themeColor="text1"/>
          <w:sz w:val="24"/>
          <w:szCs w:val="24"/>
        </w:rPr>
      </w:pPr>
      <w:r w:rsidRPr="00D640A9">
        <w:rPr>
          <w:rFonts w:ascii="Book Antiqua" w:hAnsi="Book Antiqua"/>
          <w:b/>
          <w:color w:val="000000" w:themeColor="text1"/>
          <w:sz w:val="24"/>
          <w:szCs w:val="24"/>
        </w:rPr>
        <w:lastRenderedPageBreak/>
        <w:t>Published online:</w:t>
      </w:r>
    </w:p>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widowControl/>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br w:type="page"/>
      </w:r>
    </w:p>
    <w:p w:rsidR="00B96523" w:rsidRPr="00D640A9" w:rsidRDefault="002F7DEB" w:rsidP="00D44140">
      <w:pPr>
        <w:spacing w:line="360" w:lineRule="auto"/>
        <w:rPr>
          <w:rFonts w:ascii="Book Antiqua" w:hAnsi="Book Antiqua"/>
          <w:b/>
          <w:color w:val="000000" w:themeColor="text1"/>
          <w:sz w:val="24"/>
          <w:szCs w:val="24"/>
        </w:rPr>
      </w:pPr>
      <w:bookmarkStart w:id="8" w:name="OLE_LINK31"/>
      <w:r w:rsidRPr="00D640A9">
        <w:rPr>
          <w:rFonts w:ascii="Book Antiqua" w:hAnsi="Book Antiqua"/>
          <w:b/>
          <w:color w:val="000000" w:themeColor="text1"/>
          <w:sz w:val="24"/>
          <w:szCs w:val="24"/>
        </w:rPr>
        <w:lastRenderedPageBreak/>
        <w:t>Abstract</w:t>
      </w: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BACKGROUND</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Ectopic expression of miRNAs promotes tumor development and progression. miRNA (</w:t>
      </w:r>
      <w:proofErr w:type="spellStart"/>
      <w:r w:rsidRPr="00D640A9">
        <w:rPr>
          <w:rFonts w:ascii="Book Antiqua" w:hAnsi="Book Antiqua"/>
          <w:color w:val="000000" w:themeColor="text1"/>
          <w:sz w:val="24"/>
          <w:szCs w:val="24"/>
        </w:rPr>
        <w:t>miR</w:t>
      </w:r>
      <w:proofErr w:type="spellEnd"/>
      <w:r w:rsidRPr="00D640A9">
        <w:rPr>
          <w:rFonts w:ascii="Book Antiqua" w:hAnsi="Book Antiqua"/>
          <w:color w:val="000000" w:themeColor="text1"/>
          <w:sz w:val="24"/>
          <w:szCs w:val="24"/>
        </w:rPr>
        <w:t>)-320a is downregulated in many cancers, including gastric cancer (GC). However, the mechanism underlying its downregulation and the role of miR-320a in GC are unknown.</w:t>
      </w:r>
    </w:p>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b/>
          <w:i/>
          <w:color w:val="000000" w:themeColor="text1"/>
          <w:sz w:val="24"/>
          <w:szCs w:val="24"/>
        </w:rPr>
        <w:t>AIM</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To determine expression and biological functions of miR-320a in GC and investigate the underlying molecular mechanisms.</w:t>
      </w:r>
    </w:p>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METHODS</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Quantitative real-time polymerase chain reaction (PCR) was used to determine expression of miR-320a in GC cell lines and tissues. TargetScanHuman7.1, </w:t>
      </w:r>
      <w:proofErr w:type="spellStart"/>
      <w:r w:rsidRPr="00D640A9">
        <w:rPr>
          <w:rFonts w:ascii="Book Antiqua" w:hAnsi="Book Antiqua"/>
          <w:color w:val="000000" w:themeColor="text1"/>
          <w:sz w:val="24"/>
          <w:szCs w:val="24"/>
        </w:rPr>
        <w:t>miRDB</w:t>
      </w:r>
      <w:proofErr w:type="spellEnd"/>
      <w:r w:rsidRPr="00D640A9">
        <w:rPr>
          <w:rFonts w:ascii="Book Antiqua" w:hAnsi="Book Antiqua"/>
          <w:color w:val="000000" w:themeColor="text1"/>
          <w:sz w:val="24"/>
          <w:szCs w:val="24"/>
        </w:rPr>
        <w:t xml:space="preserve">, and microRNA.org were used to predict the possible targets of miR-320a, and a dual luciferase assay was used to confirm the findings. Western blotting was used to detect the protein levels of </w:t>
      </w:r>
      <w:r w:rsidRPr="00D640A9">
        <w:rPr>
          <w:rFonts w:ascii="Book Antiqua" w:hAnsi="Book Antiqua"/>
          <w:bCs/>
          <w:color w:val="000000" w:themeColor="text1"/>
          <w:sz w:val="24"/>
          <w:szCs w:val="24"/>
        </w:rPr>
        <w:t>pre-B-cell leukemia homeobox 3 (</w:t>
      </w:r>
      <w:r w:rsidRPr="00D640A9">
        <w:rPr>
          <w:rFonts w:ascii="Book Antiqua" w:hAnsi="Book Antiqua"/>
          <w:color w:val="000000" w:themeColor="text1"/>
          <w:sz w:val="24"/>
          <w:szCs w:val="24"/>
        </w:rPr>
        <w:t xml:space="preserve">PBX3) in GC cells and tissue samples. </w:t>
      </w:r>
      <w:bookmarkStart w:id="9" w:name="OLE_LINK21"/>
      <w:bookmarkStart w:id="10" w:name="OLE_LINK20"/>
      <w:r w:rsidRPr="00D640A9">
        <w:rPr>
          <w:rFonts w:ascii="Book Antiqua" w:hAnsi="Book Antiqua"/>
          <w:color w:val="000000" w:themeColor="text1"/>
          <w:sz w:val="24"/>
          <w:szCs w:val="24"/>
        </w:rPr>
        <w:t xml:space="preserve">Cell Counting Kit-8 </w:t>
      </w:r>
      <w:bookmarkEnd w:id="9"/>
      <w:bookmarkEnd w:id="10"/>
      <w:r w:rsidRPr="00D640A9">
        <w:rPr>
          <w:rFonts w:ascii="Book Antiqua" w:hAnsi="Book Antiqua"/>
          <w:color w:val="000000" w:themeColor="text1"/>
          <w:sz w:val="24"/>
          <w:szCs w:val="24"/>
        </w:rPr>
        <w:t xml:space="preserve">proliferation, </w:t>
      </w:r>
      <w:proofErr w:type="spellStart"/>
      <w:r w:rsidRPr="00D640A9">
        <w:rPr>
          <w:rFonts w:ascii="Book Antiqua" w:hAnsi="Book Antiqua"/>
          <w:color w:val="000000" w:themeColor="text1"/>
          <w:sz w:val="24"/>
          <w:szCs w:val="24"/>
        </w:rPr>
        <w:t>Transwell</w:t>
      </w:r>
      <w:proofErr w:type="spellEnd"/>
      <w:r w:rsidRPr="00D640A9">
        <w:rPr>
          <w:rFonts w:ascii="Book Antiqua" w:hAnsi="Book Antiqua"/>
          <w:color w:val="000000" w:themeColor="text1"/>
          <w:sz w:val="24"/>
          <w:szCs w:val="24"/>
        </w:rPr>
        <w:t xml:space="preserve">, wound healing, and apoptosis assays were performed to analyze the biological functions of miR-320a in GC cells. Methylation-specific PCR was used to analyze the methylation level of the miR-320a promoter CpG islands. 5-Aza-2’-deoxycytidine (5-Aza-CdR) and </w:t>
      </w:r>
      <w:proofErr w:type="spellStart"/>
      <w:r w:rsidRPr="00D640A9">
        <w:rPr>
          <w:rFonts w:ascii="Book Antiqua" w:hAnsi="Book Antiqua"/>
          <w:color w:val="000000" w:themeColor="text1"/>
          <w:sz w:val="24"/>
          <w:szCs w:val="24"/>
        </w:rPr>
        <w:t>trichostatin</w:t>
      </w:r>
      <w:proofErr w:type="spellEnd"/>
      <w:r w:rsidRPr="00D640A9">
        <w:rPr>
          <w:rFonts w:ascii="Book Antiqua" w:hAnsi="Book Antiqua"/>
          <w:color w:val="000000" w:themeColor="text1"/>
          <w:sz w:val="24"/>
          <w:szCs w:val="24"/>
        </w:rPr>
        <w:t xml:space="preserve"> A (TSA) were used to treat GC cells. </w:t>
      </w:r>
    </w:p>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RESULTS</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miR-320a expression was lower in GC cell lines and tissues than in the normal gastric mucosa cell line GES-1 and matched adjacent normal tissues. miR-320a overexpression suppressed GC cell proliferation, invasion and migration, and induced apoptosis. PBX3 was a target of miR-320a in GC. </w:t>
      </w:r>
      <w:bookmarkStart w:id="11" w:name="OLE_LINK9"/>
      <w:bookmarkStart w:id="12" w:name="OLE_LINK8"/>
      <w:r w:rsidRPr="00D640A9">
        <w:rPr>
          <w:rFonts w:ascii="Book Antiqua" w:hAnsi="Book Antiqua"/>
          <w:color w:val="000000" w:themeColor="text1"/>
          <w:sz w:val="24"/>
          <w:szCs w:val="24"/>
        </w:rPr>
        <w:t xml:space="preserve">The methylation level of the miR-320a promoter CpG islands was elevated and this was partly reversed by 5-Aza-CdR and TSA. </w:t>
      </w:r>
    </w:p>
    <w:bookmarkEnd w:id="11"/>
    <w:bookmarkEnd w:id="12"/>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lastRenderedPageBreak/>
        <w:t>CONCLUSION</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miR-320a acts as a tumor suppressor and inhibits malignant behavior of GC cells, partly by targeting PBX3. DNA methylation is an important mechanism </w:t>
      </w:r>
      <w:bookmarkStart w:id="13" w:name="OLE_LINK13"/>
      <w:bookmarkStart w:id="14" w:name="OLE_LINK18"/>
      <w:r w:rsidRPr="00D640A9">
        <w:rPr>
          <w:rFonts w:ascii="Book Antiqua" w:hAnsi="Book Antiqua"/>
          <w:color w:val="000000" w:themeColor="text1"/>
          <w:sz w:val="24"/>
          <w:szCs w:val="24"/>
        </w:rPr>
        <w:t>associated with low expression of miR-320a.</w:t>
      </w:r>
      <w:bookmarkEnd w:id="13"/>
      <w:bookmarkEnd w:id="14"/>
    </w:p>
    <w:p w:rsidR="00B96523" w:rsidRPr="00D640A9" w:rsidRDefault="00B96523" w:rsidP="00D44140">
      <w:pPr>
        <w:spacing w:line="360" w:lineRule="auto"/>
        <w:rPr>
          <w:rFonts w:ascii="Book Antiqua" w:hAnsi="Book Antiqua"/>
          <w:color w:val="000000" w:themeColor="text1"/>
          <w:sz w:val="24"/>
          <w:szCs w:val="24"/>
        </w:rPr>
      </w:pPr>
    </w:p>
    <w:bookmarkEnd w:id="8"/>
    <w:p w:rsidR="00B96523" w:rsidRPr="00D640A9" w:rsidRDefault="002F7DEB" w:rsidP="00D44140">
      <w:pPr>
        <w:spacing w:line="360" w:lineRule="auto"/>
        <w:rPr>
          <w:rFonts w:ascii="Book Antiqua" w:hAnsi="Book Antiqua"/>
          <w:iCs/>
          <w:color w:val="000000" w:themeColor="text1"/>
          <w:sz w:val="24"/>
          <w:szCs w:val="24"/>
        </w:rPr>
      </w:pPr>
      <w:r w:rsidRPr="00D640A9">
        <w:rPr>
          <w:rFonts w:ascii="Book Antiqua" w:hAnsi="Book Antiqua"/>
          <w:b/>
          <w:iCs/>
          <w:color w:val="000000" w:themeColor="text1"/>
          <w:sz w:val="24"/>
          <w:szCs w:val="24"/>
        </w:rPr>
        <w:t>Key words:</w:t>
      </w:r>
      <w:bookmarkStart w:id="15" w:name="OLE_LINK32"/>
      <w:bookmarkStart w:id="16" w:name="OLE_LINK33"/>
      <w:r w:rsidRPr="00D640A9">
        <w:rPr>
          <w:rFonts w:ascii="Book Antiqua" w:hAnsi="Book Antiqua"/>
          <w:b/>
          <w:iCs/>
          <w:color w:val="000000" w:themeColor="text1"/>
          <w:sz w:val="24"/>
          <w:szCs w:val="24"/>
        </w:rPr>
        <w:t xml:space="preserve"> </w:t>
      </w:r>
      <w:r w:rsidRPr="00D640A9">
        <w:rPr>
          <w:rFonts w:ascii="Book Antiqua" w:hAnsi="Book Antiqua"/>
          <w:iCs/>
          <w:color w:val="000000" w:themeColor="text1"/>
          <w:sz w:val="24"/>
          <w:szCs w:val="24"/>
        </w:rPr>
        <w:t xml:space="preserve">Gastric cancer; </w:t>
      </w:r>
      <w:r w:rsidR="00367C5C" w:rsidRPr="00D640A9">
        <w:rPr>
          <w:rFonts w:ascii="Book Antiqua" w:hAnsi="Book Antiqua"/>
          <w:color w:val="000000" w:themeColor="text1"/>
          <w:sz w:val="24"/>
          <w:szCs w:val="24"/>
        </w:rPr>
        <w:t>miRNA</w:t>
      </w:r>
      <w:r w:rsidRPr="00D640A9">
        <w:rPr>
          <w:rFonts w:ascii="Book Antiqua" w:hAnsi="Book Antiqua"/>
          <w:iCs/>
          <w:color w:val="000000" w:themeColor="text1"/>
          <w:sz w:val="24"/>
          <w:szCs w:val="24"/>
        </w:rPr>
        <w:t>-</w:t>
      </w:r>
      <w:r w:rsidRPr="00D640A9">
        <w:rPr>
          <w:rFonts w:ascii="Book Antiqua" w:hAnsi="Book Antiqua"/>
          <w:color w:val="000000" w:themeColor="text1"/>
          <w:sz w:val="24"/>
          <w:szCs w:val="24"/>
        </w:rPr>
        <w:t>320a</w:t>
      </w:r>
      <w:r w:rsidR="00760588" w:rsidRPr="00D640A9">
        <w:rPr>
          <w:rFonts w:ascii="Book Antiqua" w:hAnsi="Book Antiqua"/>
          <w:iCs/>
          <w:color w:val="000000" w:themeColor="text1"/>
          <w:sz w:val="24"/>
          <w:szCs w:val="24"/>
        </w:rPr>
        <w:t>;</w:t>
      </w:r>
      <w:r w:rsidRPr="00D640A9">
        <w:rPr>
          <w:rFonts w:ascii="Book Antiqua" w:hAnsi="Book Antiqua"/>
          <w:iCs/>
          <w:color w:val="000000" w:themeColor="text1"/>
          <w:sz w:val="24"/>
          <w:szCs w:val="24"/>
        </w:rPr>
        <w:t xml:space="preserve"> DNA methylation; </w:t>
      </w:r>
      <w:r w:rsidR="00760588" w:rsidRPr="00D640A9">
        <w:rPr>
          <w:rFonts w:ascii="Book Antiqua" w:hAnsi="Book Antiqua"/>
          <w:bCs/>
          <w:color w:val="000000" w:themeColor="text1"/>
          <w:sz w:val="24"/>
          <w:szCs w:val="24"/>
        </w:rPr>
        <w:t>Pre-B-cell leukemia homeobox 3</w:t>
      </w:r>
      <w:r w:rsidRPr="00D640A9">
        <w:rPr>
          <w:rFonts w:ascii="Book Antiqua" w:hAnsi="Book Antiqua"/>
          <w:iCs/>
          <w:color w:val="000000" w:themeColor="text1"/>
          <w:sz w:val="24"/>
          <w:szCs w:val="24"/>
        </w:rPr>
        <w:t xml:space="preserve">; </w:t>
      </w:r>
      <w:r w:rsidR="00760588" w:rsidRPr="00D640A9">
        <w:rPr>
          <w:rFonts w:ascii="Book Antiqua" w:hAnsi="Book Antiqua"/>
          <w:iCs/>
          <w:color w:val="000000" w:themeColor="text1"/>
          <w:sz w:val="24"/>
          <w:szCs w:val="24"/>
        </w:rPr>
        <w:t xml:space="preserve">Tumor </w:t>
      </w:r>
      <w:r w:rsidRPr="00D640A9">
        <w:rPr>
          <w:rFonts w:ascii="Book Antiqua" w:hAnsi="Book Antiqua"/>
          <w:iCs/>
          <w:color w:val="000000" w:themeColor="text1"/>
          <w:sz w:val="24"/>
          <w:szCs w:val="24"/>
        </w:rPr>
        <w:t>suppressor</w:t>
      </w:r>
      <w:bookmarkEnd w:id="15"/>
      <w:bookmarkEnd w:id="16"/>
    </w:p>
    <w:p w:rsidR="00B96523" w:rsidRPr="00D640A9" w:rsidRDefault="00B96523" w:rsidP="00D44140">
      <w:pPr>
        <w:spacing w:line="360" w:lineRule="auto"/>
        <w:rPr>
          <w:rFonts w:ascii="Book Antiqua" w:hAnsi="Book Antiqua"/>
          <w:iCs/>
          <w:color w:val="000000" w:themeColor="text1"/>
          <w:sz w:val="24"/>
          <w:szCs w:val="24"/>
        </w:rPr>
      </w:pPr>
    </w:p>
    <w:p w:rsidR="00DA659D" w:rsidRPr="00D640A9" w:rsidRDefault="00DA659D" w:rsidP="00D44140">
      <w:pPr>
        <w:adjustRightInd w:val="0"/>
        <w:snapToGrid w:val="0"/>
        <w:spacing w:line="360" w:lineRule="auto"/>
        <w:rPr>
          <w:rFonts w:ascii="Book Antiqua" w:hAnsi="Book Antiqua" w:cs="Tahoma"/>
          <w:color w:val="000000" w:themeColor="text1"/>
          <w:sz w:val="24"/>
          <w:szCs w:val="24"/>
        </w:rPr>
      </w:pPr>
      <w:bookmarkStart w:id="17" w:name="OLE_LINK148"/>
      <w:bookmarkStart w:id="18" w:name="OLE_LINK149"/>
      <w:bookmarkStart w:id="19" w:name="OLE_LINK200"/>
      <w:bookmarkStart w:id="20" w:name="OLE_LINK288"/>
      <w:bookmarkStart w:id="21" w:name="OLE_LINK1864"/>
      <w:bookmarkStart w:id="22" w:name="OLE_LINK382"/>
      <w:bookmarkStart w:id="23" w:name="OLE_LINK306"/>
      <w:bookmarkStart w:id="24" w:name="OLE_LINK569"/>
      <w:bookmarkStart w:id="25" w:name="OLE_LINK682"/>
      <w:r w:rsidRPr="00D640A9">
        <w:rPr>
          <w:rFonts w:ascii="Book Antiqua" w:hAnsi="Book Antiqua" w:cs="Tahoma"/>
          <w:b/>
          <w:color w:val="000000" w:themeColor="text1"/>
          <w:sz w:val="24"/>
          <w:szCs w:val="24"/>
          <w:lang w:eastAsia="ja-JP"/>
        </w:rPr>
        <w:t xml:space="preserve">© The Author(s) </w:t>
      </w:r>
      <w:r w:rsidRPr="00D640A9">
        <w:rPr>
          <w:rFonts w:ascii="Book Antiqua" w:hAnsi="Book Antiqua" w:cs="Tahoma"/>
          <w:b/>
          <w:color w:val="000000" w:themeColor="text1"/>
          <w:sz w:val="24"/>
          <w:szCs w:val="24"/>
        </w:rPr>
        <w:t>2019</w:t>
      </w:r>
      <w:r w:rsidRPr="00D640A9">
        <w:rPr>
          <w:rFonts w:ascii="Book Antiqua" w:hAnsi="Book Antiqua" w:cs="Tahoma"/>
          <w:b/>
          <w:color w:val="000000" w:themeColor="text1"/>
          <w:sz w:val="24"/>
          <w:szCs w:val="24"/>
          <w:lang w:eastAsia="ja-JP"/>
        </w:rPr>
        <w:t>.</w:t>
      </w:r>
      <w:r w:rsidRPr="00D640A9">
        <w:rPr>
          <w:rFonts w:ascii="Book Antiqua" w:hAnsi="Book Antiqua" w:cs="Tahoma"/>
          <w:color w:val="000000" w:themeColor="text1"/>
          <w:sz w:val="24"/>
          <w:szCs w:val="24"/>
          <w:lang w:eastAsia="ja-JP"/>
        </w:rPr>
        <w:t xml:space="preserve"> Published by </w:t>
      </w:r>
      <w:proofErr w:type="spellStart"/>
      <w:r w:rsidRPr="00D640A9">
        <w:rPr>
          <w:rFonts w:ascii="Book Antiqua" w:hAnsi="Book Antiqua" w:cs="Tahoma"/>
          <w:color w:val="000000" w:themeColor="text1"/>
          <w:sz w:val="24"/>
          <w:szCs w:val="24"/>
          <w:lang w:eastAsia="ja-JP"/>
        </w:rPr>
        <w:t>Baishideng</w:t>
      </w:r>
      <w:proofErr w:type="spellEnd"/>
      <w:r w:rsidRPr="00D640A9">
        <w:rPr>
          <w:rFonts w:ascii="Book Antiqua" w:hAnsi="Book Antiqua" w:cs="Tahoma"/>
          <w:color w:val="000000" w:themeColor="text1"/>
          <w:sz w:val="24"/>
          <w:szCs w:val="24"/>
          <w:lang w:eastAsia="ja-JP"/>
        </w:rPr>
        <w:t xml:space="preserve"> Publishing Group Inc. All rights reserved.</w:t>
      </w:r>
      <w:bookmarkEnd w:id="17"/>
      <w:bookmarkEnd w:id="18"/>
      <w:bookmarkEnd w:id="19"/>
      <w:bookmarkEnd w:id="20"/>
      <w:bookmarkEnd w:id="21"/>
      <w:bookmarkEnd w:id="22"/>
      <w:bookmarkEnd w:id="23"/>
      <w:bookmarkEnd w:id="24"/>
      <w:bookmarkEnd w:id="25"/>
    </w:p>
    <w:p w:rsidR="00DA659D" w:rsidRPr="00D640A9" w:rsidRDefault="00DA659D"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iCs/>
          <w:color w:val="000000" w:themeColor="text1"/>
          <w:sz w:val="24"/>
          <w:szCs w:val="24"/>
        </w:rPr>
      </w:pPr>
      <w:r w:rsidRPr="00D640A9">
        <w:rPr>
          <w:rFonts w:ascii="Book Antiqua" w:hAnsi="Book Antiqua"/>
          <w:b/>
          <w:color w:val="000000" w:themeColor="text1"/>
          <w:sz w:val="24"/>
          <w:szCs w:val="24"/>
        </w:rPr>
        <w:t>Core tip:</w:t>
      </w:r>
      <w:r w:rsidR="00DA659D" w:rsidRPr="00D640A9">
        <w:rPr>
          <w:rFonts w:ascii="Book Antiqua" w:hAnsi="Book Antiqua"/>
          <w:b/>
          <w:color w:val="000000" w:themeColor="text1"/>
          <w:sz w:val="24"/>
          <w:szCs w:val="24"/>
        </w:rPr>
        <w:t xml:space="preserve"> </w:t>
      </w:r>
      <w:r w:rsidR="00AF305A" w:rsidRPr="00D640A9">
        <w:rPr>
          <w:rFonts w:ascii="Book Antiqua" w:hAnsi="Book Antiqua"/>
          <w:color w:val="000000" w:themeColor="text1"/>
          <w:sz w:val="24"/>
          <w:szCs w:val="24"/>
        </w:rPr>
        <w:t>miRNA</w:t>
      </w:r>
      <w:r w:rsidR="00AF305A" w:rsidRPr="00D640A9">
        <w:rPr>
          <w:rFonts w:ascii="Book Antiqua" w:hAnsi="Book Antiqua"/>
          <w:iCs/>
          <w:color w:val="000000" w:themeColor="text1"/>
          <w:sz w:val="24"/>
          <w:szCs w:val="24"/>
        </w:rPr>
        <w:t xml:space="preserve"> (</w:t>
      </w:r>
      <w:proofErr w:type="spellStart"/>
      <w:r w:rsidRPr="00D640A9">
        <w:rPr>
          <w:rFonts w:ascii="Book Antiqua" w:hAnsi="Book Antiqua"/>
          <w:iCs/>
          <w:color w:val="000000" w:themeColor="text1"/>
          <w:sz w:val="24"/>
          <w:szCs w:val="24"/>
        </w:rPr>
        <w:t>miR</w:t>
      </w:r>
      <w:proofErr w:type="spellEnd"/>
      <w:r w:rsidR="00AF305A" w:rsidRPr="00D640A9">
        <w:rPr>
          <w:rFonts w:ascii="Book Antiqua" w:hAnsi="Book Antiqua"/>
          <w:iCs/>
          <w:color w:val="000000" w:themeColor="text1"/>
          <w:sz w:val="24"/>
          <w:szCs w:val="24"/>
        </w:rPr>
        <w:t>)</w:t>
      </w:r>
      <w:r w:rsidRPr="00D640A9">
        <w:rPr>
          <w:rFonts w:ascii="Book Antiqua" w:hAnsi="Book Antiqua"/>
          <w:iCs/>
          <w:color w:val="000000" w:themeColor="text1"/>
          <w:sz w:val="24"/>
          <w:szCs w:val="24"/>
        </w:rPr>
        <w:t>-320a functioned as a tumor suppressor and was downregulated in gastric cancer (GC). miR-</w:t>
      </w:r>
      <w:r w:rsidRPr="00D640A9">
        <w:rPr>
          <w:rFonts w:ascii="Book Antiqua" w:hAnsi="Book Antiqua"/>
          <w:color w:val="000000" w:themeColor="text1"/>
          <w:sz w:val="24"/>
          <w:szCs w:val="24"/>
        </w:rPr>
        <w:t xml:space="preserve">320a </w:t>
      </w:r>
      <w:r w:rsidRPr="00D640A9">
        <w:rPr>
          <w:rFonts w:ascii="Book Antiqua" w:hAnsi="Book Antiqua"/>
          <w:iCs/>
          <w:color w:val="000000" w:themeColor="text1"/>
          <w:sz w:val="24"/>
          <w:szCs w:val="24"/>
        </w:rPr>
        <w:t xml:space="preserve">overexpression suppressed proliferation, migration and invasion, and induced apoptosis through targeting </w:t>
      </w:r>
      <w:r w:rsidRPr="00D640A9">
        <w:rPr>
          <w:rFonts w:ascii="Book Antiqua" w:hAnsi="Book Antiqua"/>
          <w:bCs/>
          <w:color w:val="000000" w:themeColor="text1"/>
          <w:sz w:val="24"/>
          <w:szCs w:val="24"/>
        </w:rPr>
        <w:t>Pre-B-cell leukemia homeobox</w:t>
      </w:r>
      <w:r w:rsidRPr="00D640A9">
        <w:rPr>
          <w:rFonts w:ascii="Book Antiqua" w:hAnsi="Book Antiqua"/>
          <w:iCs/>
          <w:color w:val="000000" w:themeColor="text1"/>
          <w:sz w:val="24"/>
          <w:szCs w:val="24"/>
        </w:rPr>
        <w:t xml:space="preserve"> 3 in GC cells. miR-</w:t>
      </w:r>
      <w:r w:rsidRPr="00D640A9">
        <w:rPr>
          <w:rFonts w:ascii="Book Antiqua" w:hAnsi="Book Antiqua"/>
          <w:color w:val="000000" w:themeColor="text1"/>
          <w:sz w:val="24"/>
          <w:szCs w:val="24"/>
        </w:rPr>
        <w:t>320a</w:t>
      </w:r>
      <w:r w:rsidRPr="00D640A9">
        <w:rPr>
          <w:rFonts w:ascii="Book Antiqua" w:hAnsi="Book Antiqua"/>
          <w:iCs/>
          <w:color w:val="000000" w:themeColor="text1"/>
          <w:sz w:val="24"/>
          <w:szCs w:val="24"/>
        </w:rPr>
        <w:t xml:space="preserve"> depletion showed the opposite results. The potential mechanism of miR-</w:t>
      </w:r>
      <w:r w:rsidRPr="00D640A9">
        <w:rPr>
          <w:rFonts w:ascii="Book Antiqua" w:hAnsi="Book Antiqua"/>
          <w:color w:val="000000" w:themeColor="text1"/>
          <w:sz w:val="24"/>
          <w:szCs w:val="24"/>
        </w:rPr>
        <w:t>320a</w:t>
      </w:r>
      <w:r w:rsidRPr="00D640A9">
        <w:rPr>
          <w:rFonts w:ascii="Book Antiqua" w:hAnsi="Book Antiqua"/>
          <w:iCs/>
          <w:color w:val="000000" w:themeColor="text1"/>
          <w:sz w:val="24"/>
          <w:szCs w:val="24"/>
        </w:rPr>
        <w:t xml:space="preserve"> deficiency in GC was the increased </w:t>
      </w:r>
      <w:r w:rsidRPr="00D640A9">
        <w:rPr>
          <w:rFonts w:ascii="Book Antiqua" w:hAnsi="Book Antiqua"/>
          <w:color w:val="000000" w:themeColor="text1"/>
          <w:sz w:val="24"/>
          <w:szCs w:val="24"/>
        </w:rPr>
        <w:t>methylation level of the miR-320a promoter CpG islands.</w:t>
      </w:r>
    </w:p>
    <w:p w:rsidR="00B96523" w:rsidRPr="00D640A9" w:rsidRDefault="00B96523" w:rsidP="00D44140">
      <w:pPr>
        <w:widowControl/>
        <w:spacing w:line="360" w:lineRule="auto"/>
        <w:rPr>
          <w:rFonts w:ascii="Book Antiqua" w:hAnsi="Book Antiqua"/>
          <w:iCs/>
          <w:color w:val="000000" w:themeColor="text1"/>
          <w:sz w:val="24"/>
          <w:szCs w:val="24"/>
        </w:rPr>
      </w:pPr>
    </w:p>
    <w:p w:rsidR="008D6201" w:rsidRPr="00D640A9" w:rsidRDefault="008D6201" w:rsidP="00D44140">
      <w:pPr>
        <w:spacing w:line="360" w:lineRule="auto"/>
        <w:rPr>
          <w:rFonts w:ascii="Book Antiqua" w:hAnsi="Book Antiqua"/>
          <w:bCs/>
          <w:color w:val="000000" w:themeColor="text1"/>
          <w:kern w:val="28"/>
          <w:sz w:val="24"/>
          <w:szCs w:val="24"/>
        </w:rPr>
      </w:pPr>
      <w:r w:rsidRPr="00D640A9">
        <w:rPr>
          <w:rFonts w:ascii="Book Antiqua" w:hAnsi="Book Antiqua"/>
          <w:color w:val="000000" w:themeColor="text1"/>
          <w:sz w:val="24"/>
          <w:szCs w:val="24"/>
        </w:rPr>
        <w:t xml:space="preserve">Li YS, Zou Y, Dai DQ. </w:t>
      </w:r>
      <w:r w:rsidRPr="00D640A9">
        <w:rPr>
          <w:rFonts w:ascii="Book Antiqua" w:hAnsi="Book Antiqua"/>
          <w:bCs/>
          <w:color w:val="000000" w:themeColor="text1"/>
          <w:kern w:val="28"/>
          <w:sz w:val="24"/>
          <w:szCs w:val="24"/>
        </w:rPr>
        <w:t>MicroRNA-320a suppresses tumor progression by targeting PBX3 in gastric cancer and is downregulated by DNA methylation.</w:t>
      </w:r>
      <w:r w:rsidR="00BD75C6" w:rsidRPr="00D640A9">
        <w:rPr>
          <w:rFonts w:ascii="Book Antiqua" w:hAnsi="Book Antiqua"/>
          <w:color w:val="000000" w:themeColor="text1"/>
          <w:sz w:val="24"/>
          <w:szCs w:val="24"/>
        </w:rPr>
        <w:t xml:space="preserve"> </w:t>
      </w:r>
      <w:r w:rsidR="00BD75C6" w:rsidRPr="00D640A9">
        <w:rPr>
          <w:rFonts w:ascii="Book Antiqua" w:hAnsi="Book Antiqua"/>
          <w:bCs/>
          <w:i/>
          <w:color w:val="000000" w:themeColor="text1"/>
          <w:kern w:val="28"/>
          <w:sz w:val="24"/>
          <w:szCs w:val="24"/>
        </w:rPr>
        <w:t xml:space="preserve">World J </w:t>
      </w:r>
      <w:proofErr w:type="spellStart"/>
      <w:r w:rsidR="00BD75C6" w:rsidRPr="00D640A9">
        <w:rPr>
          <w:rFonts w:ascii="Book Antiqua" w:hAnsi="Book Antiqua"/>
          <w:bCs/>
          <w:i/>
          <w:color w:val="000000" w:themeColor="text1"/>
          <w:kern w:val="28"/>
          <w:sz w:val="24"/>
          <w:szCs w:val="24"/>
        </w:rPr>
        <w:t>Gastrointest</w:t>
      </w:r>
      <w:proofErr w:type="spellEnd"/>
      <w:r w:rsidR="00BD75C6" w:rsidRPr="00D640A9">
        <w:rPr>
          <w:rFonts w:ascii="Book Antiqua" w:hAnsi="Book Antiqua"/>
          <w:bCs/>
          <w:i/>
          <w:color w:val="000000" w:themeColor="text1"/>
          <w:kern w:val="28"/>
          <w:sz w:val="24"/>
          <w:szCs w:val="24"/>
        </w:rPr>
        <w:t xml:space="preserve"> Oncol</w:t>
      </w:r>
      <w:r w:rsidR="00BD75C6" w:rsidRPr="00D640A9">
        <w:rPr>
          <w:rFonts w:ascii="Book Antiqua" w:hAnsi="Book Antiqua"/>
          <w:bCs/>
          <w:color w:val="000000" w:themeColor="text1"/>
          <w:kern w:val="28"/>
          <w:sz w:val="24"/>
          <w:szCs w:val="24"/>
        </w:rPr>
        <w:t xml:space="preserve"> 2019; In press</w:t>
      </w:r>
    </w:p>
    <w:p w:rsidR="008D6201" w:rsidRPr="00D640A9" w:rsidRDefault="008D6201" w:rsidP="00D44140">
      <w:pPr>
        <w:spacing w:line="360" w:lineRule="auto"/>
        <w:rPr>
          <w:rFonts w:ascii="Book Antiqua" w:hAnsi="Book Antiqua"/>
          <w:b/>
          <w:bCs/>
          <w:iCs/>
          <w:color w:val="000000" w:themeColor="text1"/>
          <w:sz w:val="24"/>
          <w:szCs w:val="24"/>
        </w:rPr>
      </w:pPr>
    </w:p>
    <w:p w:rsidR="00806431" w:rsidRPr="00D640A9" w:rsidRDefault="00806431" w:rsidP="00D44140">
      <w:pPr>
        <w:widowControl/>
        <w:spacing w:line="360" w:lineRule="auto"/>
        <w:rPr>
          <w:rFonts w:ascii="Book Antiqua" w:hAnsi="Book Antiqua"/>
          <w:b/>
          <w:bCs/>
          <w:iCs/>
          <w:color w:val="000000" w:themeColor="text1"/>
          <w:sz w:val="24"/>
          <w:szCs w:val="24"/>
        </w:rPr>
      </w:pPr>
      <w:r w:rsidRPr="00D640A9">
        <w:rPr>
          <w:rFonts w:ascii="Book Antiqua" w:hAnsi="Book Antiqua"/>
          <w:b/>
          <w:bCs/>
          <w:iCs/>
          <w:color w:val="000000" w:themeColor="text1"/>
          <w:sz w:val="24"/>
          <w:szCs w:val="24"/>
        </w:rPr>
        <w:br w:type="page"/>
      </w:r>
    </w:p>
    <w:p w:rsidR="00B96523" w:rsidRPr="00D640A9" w:rsidRDefault="002F7DEB" w:rsidP="00D44140">
      <w:pPr>
        <w:spacing w:line="360" w:lineRule="auto"/>
        <w:rPr>
          <w:rFonts w:ascii="Book Antiqua" w:hAnsi="Book Antiqua"/>
          <w:b/>
          <w:bCs/>
          <w:iCs/>
          <w:color w:val="000000" w:themeColor="text1"/>
          <w:sz w:val="24"/>
          <w:szCs w:val="24"/>
        </w:rPr>
      </w:pPr>
      <w:r w:rsidRPr="00D640A9">
        <w:rPr>
          <w:rFonts w:ascii="Book Antiqua" w:hAnsi="Book Antiqua"/>
          <w:b/>
          <w:bCs/>
          <w:iCs/>
          <w:color w:val="000000" w:themeColor="text1"/>
          <w:sz w:val="24"/>
          <w:szCs w:val="24"/>
        </w:rPr>
        <w:lastRenderedPageBreak/>
        <w:t>INTRODUCTION</w:t>
      </w:r>
    </w:p>
    <w:p w:rsidR="00B96523" w:rsidRPr="00D640A9" w:rsidRDefault="002F7DEB" w:rsidP="00D44140">
      <w:pPr>
        <w:spacing w:line="360" w:lineRule="auto"/>
        <w:rPr>
          <w:rFonts w:ascii="Book Antiqua" w:hAnsi="Book Antiqua"/>
          <w:bCs/>
          <w:iCs/>
          <w:color w:val="000000" w:themeColor="text1"/>
          <w:sz w:val="24"/>
          <w:szCs w:val="24"/>
        </w:rPr>
      </w:pPr>
      <w:r w:rsidRPr="00D640A9">
        <w:rPr>
          <w:rFonts w:ascii="Book Antiqua" w:hAnsi="Book Antiqua"/>
          <w:bCs/>
          <w:iCs/>
          <w:color w:val="000000" w:themeColor="text1"/>
          <w:sz w:val="24"/>
          <w:szCs w:val="24"/>
        </w:rPr>
        <w:t xml:space="preserve">Gastric cancer (GC) is a common malignant tumor. Although the incidence and mortality of GC have substantially decreased over the last decade in most countries worldwide, the prevalence of GC is still ranked fifth and GC mortality is ranked third in the </w:t>
      </w:r>
      <w:proofErr w:type="gramStart"/>
      <w:r w:rsidRPr="00D640A9">
        <w:rPr>
          <w:rFonts w:ascii="Book Antiqua" w:hAnsi="Book Antiqua"/>
          <w:bCs/>
          <w:iCs/>
          <w:color w:val="000000" w:themeColor="text1"/>
          <w:sz w:val="24"/>
          <w:szCs w:val="24"/>
        </w:rPr>
        <w:t>wo</w:t>
      </w:r>
      <w:r w:rsidR="00446BD3" w:rsidRPr="00D640A9">
        <w:rPr>
          <w:rFonts w:ascii="Book Antiqua" w:hAnsi="Book Antiqua"/>
          <w:bCs/>
          <w:iCs/>
          <w:color w:val="000000" w:themeColor="text1"/>
          <w:sz w:val="24"/>
          <w:szCs w:val="24"/>
        </w:rPr>
        <w:t>rld</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1]</w:t>
      </w:r>
      <w:r w:rsidRPr="00D640A9">
        <w:rPr>
          <w:rFonts w:ascii="Book Antiqua" w:hAnsi="Book Antiqua"/>
          <w:bCs/>
          <w:iCs/>
          <w:color w:val="000000" w:themeColor="text1"/>
          <w:sz w:val="24"/>
          <w:szCs w:val="24"/>
        </w:rPr>
        <w:t xml:space="preserve">. </w:t>
      </w:r>
      <w:bookmarkStart w:id="26" w:name="OLE_LINK44"/>
      <w:bookmarkStart w:id="27" w:name="OLE_LINK43"/>
      <w:r w:rsidRPr="00D640A9">
        <w:rPr>
          <w:rFonts w:ascii="Book Antiqua" w:hAnsi="Book Antiqua"/>
          <w:bCs/>
          <w:iCs/>
          <w:color w:val="000000" w:themeColor="text1"/>
          <w:sz w:val="24"/>
          <w:szCs w:val="24"/>
        </w:rPr>
        <w:t xml:space="preserve">The occurrence and development of advanced GC involve a complex process. Efficient methods for early diagnosis and curative treatment for GC are currently lacking. As precision medicine is the future direction in cancer therapy, identifying </w:t>
      </w:r>
      <w:bookmarkStart w:id="28" w:name="OLE_LINK48"/>
      <w:bookmarkStart w:id="29" w:name="OLE_LINK45"/>
      <w:r w:rsidRPr="00D640A9">
        <w:rPr>
          <w:rFonts w:ascii="Book Antiqua" w:hAnsi="Book Antiqua"/>
          <w:bCs/>
          <w:iCs/>
          <w:color w:val="000000" w:themeColor="text1"/>
          <w:sz w:val="24"/>
          <w:szCs w:val="24"/>
        </w:rPr>
        <w:t>an early diagnostic or therapeutic biomarker for GC is essential.</w:t>
      </w:r>
      <w:bookmarkEnd w:id="26"/>
      <w:bookmarkEnd w:id="27"/>
    </w:p>
    <w:bookmarkEnd w:id="28"/>
    <w:bookmarkEnd w:id="29"/>
    <w:p w:rsidR="00446BD3" w:rsidRPr="00D640A9" w:rsidRDefault="002F7DEB" w:rsidP="00D44140">
      <w:pPr>
        <w:spacing w:line="360" w:lineRule="auto"/>
        <w:ind w:firstLineChars="100" w:firstLine="240"/>
        <w:rPr>
          <w:rFonts w:ascii="Book Antiqua" w:hAnsi="Book Antiqua"/>
          <w:bCs/>
          <w:iCs/>
          <w:color w:val="000000" w:themeColor="text1"/>
          <w:sz w:val="24"/>
          <w:szCs w:val="24"/>
        </w:rPr>
      </w:pPr>
      <w:r w:rsidRPr="00D640A9">
        <w:rPr>
          <w:rFonts w:ascii="Book Antiqua" w:hAnsi="Book Antiqua"/>
          <w:color w:val="000000" w:themeColor="text1"/>
          <w:sz w:val="24"/>
          <w:szCs w:val="24"/>
        </w:rPr>
        <w:t>MicroRNAs</w:t>
      </w:r>
      <w:r w:rsidRPr="00D640A9">
        <w:rPr>
          <w:rFonts w:ascii="Book Antiqua" w:hAnsi="Book Antiqua"/>
          <w:bCs/>
          <w:iCs/>
          <w:color w:val="000000" w:themeColor="text1"/>
          <w:sz w:val="24"/>
          <w:szCs w:val="24"/>
        </w:rPr>
        <w:t xml:space="preserve"> (miRNAs) are short [19</w:t>
      </w:r>
      <w:bookmarkStart w:id="30" w:name="OLE_LINK23"/>
      <w:bookmarkStart w:id="31" w:name="OLE_LINK22"/>
      <w:r w:rsidRPr="00D640A9">
        <w:rPr>
          <w:rFonts w:ascii="Book Antiqua" w:hAnsi="Book Antiqua"/>
          <w:bCs/>
          <w:iCs/>
          <w:color w:val="000000" w:themeColor="text1"/>
          <w:sz w:val="24"/>
          <w:szCs w:val="24"/>
        </w:rPr>
        <w:t>–</w:t>
      </w:r>
      <w:bookmarkEnd w:id="30"/>
      <w:bookmarkEnd w:id="31"/>
      <w:r w:rsidRPr="00D640A9">
        <w:rPr>
          <w:rFonts w:ascii="Book Antiqua" w:hAnsi="Book Antiqua"/>
          <w:bCs/>
          <w:iCs/>
          <w:color w:val="000000" w:themeColor="text1"/>
          <w:sz w:val="24"/>
          <w:szCs w:val="24"/>
        </w:rPr>
        <w:t>25 nucleotides (</w:t>
      </w:r>
      <w:proofErr w:type="spellStart"/>
      <w:r w:rsidRPr="00D640A9">
        <w:rPr>
          <w:rFonts w:ascii="Book Antiqua" w:hAnsi="Book Antiqua"/>
          <w:bCs/>
          <w:iCs/>
          <w:color w:val="000000" w:themeColor="text1"/>
          <w:sz w:val="24"/>
          <w:szCs w:val="24"/>
        </w:rPr>
        <w:t>nt</w:t>
      </w:r>
      <w:proofErr w:type="spellEnd"/>
      <w:r w:rsidRPr="00D640A9">
        <w:rPr>
          <w:rFonts w:ascii="Book Antiqua" w:hAnsi="Book Antiqua"/>
          <w:bCs/>
          <w:iCs/>
          <w:color w:val="000000" w:themeColor="text1"/>
          <w:sz w:val="24"/>
          <w:szCs w:val="24"/>
        </w:rPr>
        <w:t>)</w:t>
      </w:r>
      <w:bookmarkStart w:id="32" w:name="OLE_LINK67"/>
      <w:bookmarkStart w:id="33" w:name="OLE_LINK66"/>
      <w:r w:rsidRPr="00D640A9">
        <w:rPr>
          <w:rFonts w:ascii="Book Antiqua" w:hAnsi="Book Antiqua"/>
          <w:bCs/>
          <w:iCs/>
          <w:color w:val="000000" w:themeColor="text1"/>
          <w:sz w:val="24"/>
          <w:szCs w:val="24"/>
        </w:rPr>
        <w:t>]</w:t>
      </w:r>
      <w:bookmarkEnd w:id="32"/>
      <w:bookmarkEnd w:id="33"/>
      <w:r w:rsidRPr="00D640A9">
        <w:rPr>
          <w:rFonts w:ascii="Book Antiqua" w:hAnsi="Book Antiqua"/>
          <w:bCs/>
          <w:iCs/>
          <w:color w:val="000000" w:themeColor="text1"/>
          <w:sz w:val="24"/>
          <w:szCs w:val="24"/>
        </w:rPr>
        <w:t xml:space="preserve"> noncoding RNAs that recognize specific target mRNAs and participate in the post-transcriptional regulation of gene expression by promoting degradation and </w:t>
      </w:r>
      <w:r w:rsidR="00446BD3" w:rsidRPr="00D640A9">
        <w:rPr>
          <w:rFonts w:ascii="Book Antiqua" w:hAnsi="Book Antiqua"/>
          <w:bCs/>
          <w:iCs/>
          <w:color w:val="000000" w:themeColor="text1"/>
          <w:sz w:val="24"/>
          <w:szCs w:val="24"/>
        </w:rPr>
        <w:t xml:space="preserve">inhibiting translation of </w:t>
      </w:r>
      <w:proofErr w:type="gramStart"/>
      <w:r w:rsidR="00446BD3" w:rsidRPr="00D640A9">
        <w:rPr>
          <w:rFonts w:ascii="Book Antiqua" w:hAnsi="Book Antiqua"/>
          <w:bCs/>
          <w:iCs/>
          <w:color w:val="000000" w:themeColor="text1"/>
          <w:sz w:val="24"/>
          <w:szCs w:val="24"/>
        </w:rPr>
        <w:t>mRNAs</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2]</w:t>
      </w:r>
      <w:r w:rsidRPr="00D640A9">
        <w:rPr>
          <w:rFonts w:ascii="Book Antiqua" w:hAnsi="Book Antiqua"/>
          <w:bCs/>
          <w:iCs/>
          <w:color w:val="000000" w:themeColor="text1"/>
          <w:sz w:val="24"/>
          <w:szCs w:val="24"/>
        </w:rPr>
        <w:t>. It was previously thought that only regulatory proteins encoded by genes could control physiological functions. However, in recent years, researchers have found that miRNAs play an important role in regulating cell differen</w:t>
      </w:r>
      <w:r w:rsidR="00446BD3" w:rsidRPr="00D640A9">
        <w:rPr>
          <w:rFonts w:ascii="Book Antiqua" w:hAnsi="Book Antiqua"/>
          <w:bCs/>
          <w:iCs/>
          <w:color w:val="000000" w:themeColor="text1"/>
          <w:sz w:val="24"/>
          <w:szCs w:val="24"/>
        </w:rPr>
        <w:t xml:space="preserve">tiation and cell fate </w:t>
      </w:r>
      <w:proofErr w:type="gramStart"/>
      <w:r w:rsidR="00446BD3" w:rsidRPr="00D640A9">
        <w:rPr>
          <w:rFonts w:ascii="Book Antiqua" w:hAnsi="Book Antiqua"/>
          <w:bCs/>
          <w:iCs/>
          <w:color w:val="000000" w:themeColor="text1"/>
          <w:sz w:val="24"/>
          <w:szCs w:val="24"/>
        </w:rPr>
        <w:t>decisions</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3]</w:t>
      </w:r>
      <w:r w:rsidRPr="00D640A9">
        <w:rPr>
          <w:rFonts w:ascii="Book Antiqua" w:hAnsi="Book Antiqua"/>
          <w:bCs/>
          <w:iCs/>
          <w:color w:val="000000" w:themeColor="text1"/>
          <w:sz w:val="24"/>
          <w:szCs w:val="24"/>
        </w:rPr>
        <w:t xml:space="preserve">. They can act as oncogenes or tumor suppressors </w:t>
      </w:r>
      <w:r w:rsidR="00446BD3" w:rsidRPr="00D640A9">
        <w:rPr>
          <w:rFonts w:ascii="Book Antiqua" w:hAnsi="Book Antiqua"/>
          <w:bCs/>
          <w:iCs/>
          <w:color w:val="000000" w:themeColor="text1"/>
          <w:sz w:val="24"/>
          <w:szCs w:val="24"/>
        </w:rPr>
        <w:t xml:space="preserve">according to their target </w:t>
      </w:r>
      <w:proofErr w:type="gramStart"/>
      <w:r w:rsidR="00446BD3" w:rsidRPr="00D640A9">
        <w:rPr>
          <w:rFonts w:ascii="Book Antiqua" w:hAnsi="Book Antiqua"/>
          <w:bCs/>
          <w:iCs/>
          <w:color w:val="000000" w:themeColor="text1"/>
          <w:sz w:val="24"/>
          <w:szCs w:val="24"/>
        </w:rPr>
        <w:t>genes</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4]</w:t>
      </w:r>
      <w:r w:rsidRPr="00D640A9">
        <w:rPr>
          <w:rFonts w:ascii="Book Antiqua" w:hAnsi="Book Antiqua"/>
          <w:bCs/>
          <w:iCs/>
          <w:color w:val="000000" w:themeColor="text1"/>
          <w:sz w:val="24"/>
          <w:szCs w:val="24"/>
        </w:rPr>
        <w:t>. For example, miR-98 is expressed at low levels and acts as a tumor suppressor in hepatocellular carcinoma by targeting Sal-like protein 4, and the highly expressed miR-27a-3p functions as an oncogene in GC by targeting </w:t>
      </w:r>
      <w:r w:rsidR="00446BD3" w:rsidRPr="00D640A9">
        <w:rPr>
          <w:rFonts w:ascii="Book Antiqua" w:hAnsi="Book Antiqua"/>
          <w:bCs/>
          <w:iCs/>
          <w:color w:val="000000" w:themeColor="text1"/>
          <w:sz w:val="24"/>
          <w:szCs w:val="24"/>
        </w:rPr>
        <w:t>the B-cell translocation gene 2</w:t>
      </w:r>
      <w:r w:rsidRPr="00D640A9">
        <w:rPr>
          <w:rFonts w:ascii="Book Antiqua" w:hAnsi="Book Antiqua"/>
          <w:bCs/>
          <w:iCs/>
          <w:color w:val="000000" w:themeColor="text1"/>
          <w:sz w:val="24"/>
          <w:szCs w:val="24"/>
          <w:vertAlign w:val="superscript"/>
        </w:rPr>
        <w:t>[5,6]</w:t>
      </w:r>
      <w:r w:rsidRPr="00D640A9">
        <w:rPr>
          <w:rFonts w:ascii="Book Antiqua" w:hAnsi="Book Antiqua"/>
          <w:bCs/>
          <w:iCs/>
          <w:color w:val="000000" w:themeColor="text1"/>
          <w:sz w:val="24"/>
          <w:szCs w:val="24"/>
        </w:rPr>
        <w:t xml:space="preserve">. Abnormal expression of miRNAs occurs in many types of cancer, and miRNAs are involved in tumorigenesis and tumor </w:t>
      </w:r>
      <w:proofErr w:type="gramStart"/>
      <w:r w:rsidRPr="00D640A9">
        <w:rPr>
          <w:rFonts w:ascii="Book Antiqua" w:hAnsi="Book Antiqua"/>
          <w:bCs/>
          <w:iCs/>
          <w:color w:val="000000" w:themeColor="text1"/>
          <w:sz w:val="24"/>
          <w:szCs w:val="24"/>
        </w:rPr>
        <w:t>pro</w:t>
      </w:r>
      <w:r w:rsidR="00446BD3" w:rsidRPr="00D640A9">
        <w:rPr>
          <w:rFonts w:ascii="Book Antiqua" w:hAnsi="Book Antiqua"/>
          <w:bCs/>
          <w:iCs/>
          <w:color w:val="000000" w:themeColor="text1"/>
          <w:sz w:val="24"/>
          <w:szCs w:val="24"/>
        </w:rPr>
        <w:t>gression</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7]</w:t>
      </w:r>
      <w:r w:rsidRPr="00D640A9">
        <w:rPr>
          <w:rFonts w:ascii="Book Antiqua" w:hAnsi="Book Antiqua"/>
          <w:bCs/>
          <w:iCs/>
          <w:color w:val="000000" w:themeColor="text1"/>
          <w:sz w:val="24"/>
          <w:szCs w:val="24"/>
        </w:rPr>
        <w:t xml:space="preserve">. miR-212 is significantly downregulated in GC and is involved in GC development and progression by regulating expression of oncogene </w:t>
      </w:r>
      <w:proofErr w:type="spellStart"/>
      <w:proofErr w:type="gramStart"/>
      <w:r w:rsidRPr="00D640A9">
        <w:rPr>
          <w:rFonts w:ascii="Book Antiqua" w:hAnsi="Book Antiqua"/>
          <w:bCs/>
          <w:i/>
          <w:iCs/>
          <w:color w:val="000000" w:themeColor="text1"/>
          <w:sz w:val="24"/>
          <w:szCs w:val="24"/>
        </w:rPr>
        <w:t>Myc</w:t>
      </w:r>
      <w:proofErr w:type="spellEnd"/>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8]</w:t>
      </w:r>
      <w:r w:rsidRPr="00D640A9">
        <w:rPr>
          <w:rFonts w:ascii="Book Antiqua" w:hAnsi="Book Antiqua"/>
          <w:bCs/>
          <w:iCs/>
          <w:color w:val="000000" w:themeColor="text1"/>
          <w:sz w:val="24"/>
          <w:szCs w:val="24"/>
        </w:rPr>
        <w:t xml:space="preserve">. miRNAs also play an important role in regulating cancer cell proliferation, invasion, migration and </w:t>
      </w:r>
      <w:proofErr w:type="gramStart"/>
      <w:r w:rsidRPr="00D640A9">
        <w:rPr>
          <w:rFonts w:ascii="Book Antiqua" w:hAnsi="Book Antiqua"/>
          <w:bCs/>
          <w:iCs/>
          <w:color w:val="000000" w:themeColor="text1"/>
          <w:sz w:val="24"/>
          <w:szCs w:val="24"/>
        </w:rPr>
        <w:t>a</w:t>
      </w:r>
      <w:r w:rsidR="00446BD3" w:rsidRPr="00D640A9">
        <w:rPr>
          <w:rFonts w:ascii="Book Antiqua" w:hAnsi="Book Antiqua"/>
          <w:bCs/>
          <w:iCs/>
          <w:color w:val="000000" w:themeColor="text1"/>
          <w:sz w:val="24"/>
          <w:szCs w:val="24"/>
        </w:rPr>
        <w:t>poptosis</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9,10]</w:t>
      </w:r>
      <w:r w:rsidR="00446BD3" w:rsidRPr="00D640A9">
        <w:rPr>
          <w:rFonts w:ascii="Book Antiqua" w:hAnsi="Book Antiqua"/>
          <w:bCs/>
          <w:iCs/>
          <w:color w:val="000000" w:themeColor="text1"/>
          <w:sz w:val="24"/>
          <w:szCs w:val="24"/>
        </w:rPr>
        <w:t>.</w:t>
      </w:r>
    </w:p>
    <w:p w:rsidR="00B96523" w:rsidRPr="00D640A9" w:rsidRDefault="002F7DEB" w:rsidP="00D44140">
      <w:pPr>
        <w:spacing w:line="360" w:lineRule="auto"/>
        <w:ind w:firstLineChars="100" w:firstLine="240"/>
        <w:rPr>
          <w:rFonts w:ascii="Book Antiqua" w:hAnsi="Book Antiqua"/>
          <w:bCs/>
          <w:iCs/>
          <w:color w:val="000000" w:themeColor="text1"/>
          <w:sz w:val="24"/>
          <w:szCs w:val="24"/>
        </w:rPr>
      </w:pPr>
      <w:r w:rsidRPr="00D640A9">
        <w:rPr>
          <w:rFonts w:ascii="Book Antiqua" w:hAnsi="Book Antiqua"/>
          <w:bCs/>
          <w:iCs/>
          <w:color w:val="000000" w:themeColor="text1"/>
          <w:sz w:val="24"/>
          <w:szCs w:val="24"/>
        </w:rPr>
        <w:t xml:space="preserve">The function of miR-320a, located on chromosome 8p21.3, was investigated previously. miR-320a acts as a tumor-suppressive miRNA in many cancers, including blood malignancies and solid tumors. </w:t>
      </w:r>
      <w:proofErr w:type="spellStart"/>
      <w:r w:rsidRPr="00D640A9">
        <w:rPr>
          <w:rFonts w:ascii="Book Antiqua" w:hAnsi="Book Antiqua"/>
          <w:bCs/>
          <w:iCs/>
          <w:color w:val="000000" w:themeColor="text1"/>
          <w:sz w:val="24"/>
          <w:szCs w:val="24"/>
        </w:rPr>
        <w:t>Xishan</w:t>
      </w:r>
      <w:proofErr w:type="spellEnd"/>
      <w:r w:rsidRPr="00D640A9">
        <w:rPr>
          <w:rFonts w:ascii="Book Antiqua" w:hAnsi="Book Antiqua"/>
          <w:bCs/>
          <w:iCs/>
          <w:color w:val="000000" w:themeColor="text1"/>
          <w:sz w:val="24"/>
          <w:szCs w:val="24"/>
        </w:rPr>
        <w:t xml:space="preserve"> </w:t>
      </w:r>
      <w:r w:rsidRPr="00D640A9">
        <w:rPr>
          <w:rFonts w:ascii="Book Antiqua" w:hAnsi="Book Antiqua"/>
          <w:bCs/>
          <w:i/>
          <w:iCs/>
          <w:color w:val="000000" w:themeColor="text1"/>
          <w:sz w:val="24"/>
          <w:szCs w:val="24"/>
        </w:rPr>
        <w:t xml:space="preserve">et </w:t>
      </w:r>
      <w:proofErr w:type="gramStart"/>
      <w:r w:rsidRPr="00D640A9">
        <w:rPr>
          <w:rFonts w:ascii="Book Antiqua" w:hAnsi="Book Antiqua"/>
          <w:bCs/>
          <w:i/>
          <w:iCs/>
          <w:color w:val="000000" w:themeColor="text1"/>
          <w:sz w:val="24"/>
          <w:szCs w:val="24"/>
        </w:rPr>
        <w:t>al</w:t>
      </w:r>
      <w:r w:rsidR="000C1747" w:rsidRPr="00D640A9">
        <w:rPr>
          <w:rFonts w:ascii="Book Antiqua" w:hAnsi="Book Antiqua"/>
          <w:bCs/>
          <w:iCs/>
          <w:color w:val="000000" w:themeColor="text1"/>
          <w:sz w:val="24"/>
          <w:szCs w:val="24"/>
          <w:vertAlign w:val="superscript"/>
        </w:rPr>
        <w:t>[</w:t>
      </w:r>
      <w:proofErr w:type="gramEnd"/>
      <w:r w:rsidR="000C1747" w:rsidRPr="00D640A9">
        <w:rPr>
          <w:rFonts w:ascii="Book Antiqua" w:hAnsi="Book Antiqua"/>
          <w:bCs/>
          <w:iCs/>
          <w:color w:val="000000" w:themeColor="text1"/>
          <w:sz w:val="24"/>
          <w:szCs w:val="24"/>
          <w:vertAlign w:val="superscript"/>
        </w:rPr>
        <w:t>11]</w:t>
      </w:r>
      <w:r w:rsidRPr="00D640A9">
        <w:rPr>
          <w:rFonts w:ascii="Book Antiqua" w:hAnsi="Book Antiqua"/>
          <w:bCs/>
          <w:iCs/>
          <w:color w:val="000000" w:themeColor="text1"/>
          <w:sz w:val="24"/>
          <w:szCs w:val="24"/>
        </w:rPr>
        <w:t xml:space="preserve"> showed that miR-320a is downregulated in chronic myeloid leukemia (CML) and inhibits CML cell migration, invasion and proliferation, and promotes apoptosis by targeting the </w:t>
      </w:r>
      <w:r w:rsidRPr="00D640A9">
        <w:rPr>
          <w:rFonts w:ascii="Book Antiqua" w:hAnsi="Book Antiqua"/>
          <w:bCs/>
          <w:i/>
          <w:iCs/>
          <w:color w:val="000000" w:themeColor="text1"/>
          <w:sz w:val="24"/>
          <w:szCs w:val="24"/>
        </w:rPr>
        <w:t>BCR/ABL</w:t>
      </w:r>
      <w:r w:rsidR="00A85B4E" w:rsidRPr="00D640A9">
        <w:rPr>
          <w:rFonts w:ascii="Book Antiqua" w:hAnsi="Book Antiqua"/>
          <w:bCs/>
          <w:iCs/>
          <w:color w:val="000000" w:themeColor="text1"/>
          <w:sz w:val="24"/>
          <w:szCs w:val="24"/>
        </w:rPr>
        <w:t xml:space="preserve"> oncogene</w:t>
      </w:r>
      <w:r w:rsidRPr="00D640A9">
        <w:rPr>
          <w:rFonts w:ascii="Book Antiqua" w:hAnsi="Book Antiqua"/>
          <w:bCs/>
          <w:iCs/>
          <w:color w:val="000000" w:themeColor="text1"/>
          <w:sz w:val="24"/>
          <w:szCs w:val="24"/>
        </w:rPr>
        <w:t xml:space="preserve">. miR-320a inhibits multiple myeloma cell proliferation and induces apoptosis by targeting </w:t>
      </w:r>
      <w:r w:rsidRPr="00D640A9">
        <w:rPr>
          <w:rFonts w:ascii="Book Antiqua" w:hAnsi="Book Antiqua"/>
          <w:bCs/>
          <w:color w:val="000000" w:themeColor="text1"/>
          <w:sz w:val="24"/>
          <w:szCs w:val="24"/>
        </w:rPr>
        <w:t>pre-B-cell leukemia homeobox</w:t>
      </w:r>
      <w:r w:rsidRPr="00D640A9">
        <w:rPr>
          <w:rFonts w:ascii="Book Antiqua" w:hAnsi="Book Antiqua"/>
          <w:bCs/>
          <w:iCs/>
          <w:color w:val="000000" w:themeColor="text1"/>
          <w:sz w:val="24"/>
          <w:szCs w:val="24"/>
        </w:rPr>
        <w:t xml:space="preserve"> 3 (PBX</w:t>
      </w:r>
      <w:proofErr w:type="gramStart"/>
      <w:r w:rsidRPr="00D640A9">
        <w:rPr>
          <w:rFonts w:ascii="Book Antiqua" w:hAnsi="Book Antiqua"/>
          <w:bCs/>
          <w:iCs/>
          <w:color w:val="000000" w:themeColor="text1"/>
          <w:sz w:val="24"/>
          <w:szCs w:val="24"/>
        </w:rPr>
        <w:t>3)</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12]</w:t>
      </w:r>
      <w:r w:rsidRPr="00D640A9">
        <w:rPr>
          <w:rFonts w:ascii="Book Antiqua" w:hAnsi="Book Antiqua"/>
          <w:bCs/>
          <w:iCs/>
          <w:color w:val="000000" w:themeColor="text1"/>
          <w:sz w:val="24"/>
          <w:szCs w:val="24"/>
        </w:rPr>
        <w:t xml:space="preserve">. miR-320a is </w:t>
      </w:r>
      <w:r w:rsidRPr="00D640A9">
        <w:rPr>
          <w:rFonts w:ascii="Book Antiqua" w:hAnsi="Book Antiqua"/>
          <w:bCs/>
          <w:iCs/>
          <w:color w:val="000000" w:themeColor="text1"/>
          <w:sz w:val="24"/>
          <w:szCs w:val="24"/>
        </w:rPr>
        <w:lastRenderedPageBreak/>
        <w:t>downregulated in many solid tumors and has important functions. mir-320a plays a tumor-suppressing role in colorectal cancer, nasopharyngeal carcinoma, breast cancer, and bladder carcinoma, and overexpression of miR-320a partly in</w:t>
      </w:r>
      <w:r w:rsidR="00D91141" w:rsidRPr="00D640A9">
        <w:rPr>
          <w:rFonts w:ascii="Book Antiqua" w:hAnsi="Book Antiqua"/>
          <w:bCs/>
          <w:iCs/>
          <w:color w:val="000000" w:themeColor="text1"/>
          <w:sz w:val="24"/>
          <w:szCs w:val="24"/>
        </w:rPr>
        <w:t xml:space="preserve">hibits tumor malignant </w:t>
      </w:r>
      <w:proofErr w:type="gramStart"/>
      <w:r w:rsidR="00D91141" w:rsidRPr="00D640A9">
        <w:rPr>
          <w:rFonts w:ascii="Book Antiqua" w:hAnsi="Book Antiqua"/>
          <w:bCs/>
          <w:iCs/>
          <w:color w:val="000000" w:themeColor="text1"/>
          <w:sz w:val="24"/>
          <w:szCs w:val="24"/>
        </w:rPr>
        <w:t>behavior</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13-16]</w:t>
      </w:r>
      <w:r w:rsidRPr="00D640A9">
        <w:rPr>
          <w:rFonts w:ascii="Book Antiqua" w:hAnsi="Book Antiqua"/>
          <w:bCs/>
          <w:iCs/>
          <w:color w:val="000000" w:themeColor="text1"/>
          <w:sz w:val="24"/>
          <w:szCs w:val="24"/>
        </w:rPr>
        <w:t>. However, the mechanism underlying the downregulation of these miRNAs is unknown.</w:t>
      </w:r>
    </w:p>
    <w:p w:rsidR="00B96523" w:rsidRPr="00D640A9" w:rsidRDefault="002F7DEB" w:rsidP="00D44140">
      <w:pPr>
        <w:spacing w:line="360" w:lineRule="auto"/>
        <w:ind w:firstLineChars="175" w:firstLine="420"/>
        <w:rPr>
          <w:rFonts w:ascii="Book Antiqua" w:hAnsi="Book Antiqua"/>
          <w:bCs/>
          <w:iCs/>
          <w:color w:val="000000" w:themeColor="text1"/>
          <w:sz w:val="24"/>
          <w:szCs w:val="24"/>
        </w:rPr>
      </w:pPr>
      <w:r w:rsidRPr="00D640A9">
        <w:rPr>
          <w:rFonts w:ascii="Book Antiqua" w:hAnsi="Book Antiqua"/>
          <w:bCs/>
          <w:iCs/>
          <w:color w:val="000000" w:themeColor="text1"/>
          <w:sz w:val="24"/>
          <w:szCs w:val="24"/>
        </w:rPr>
        <w:t xml:space="preserve">Epigenetic regulation plays a crucial role in the development and progression of tumors, and DNA methylation is an important part of this process. The expression of miRNAs is regulated by DNA methylation, and abnormal DNA hypermethylation can lead to cancer suppressor gene silencing and promotion of tumor progression. Ayala-Ortega </w:t>
      </w:r>
      <w:r w:rsidRPr="00D640A9">
        <w:rPr>
          <w:rFonts w:ascii="Book Antiqua" w:hAnsi="Book Antiqua"/>
          <w:bCs/>
          <w:i/>
          <w:iCs/>
          <w:color w:val="000000" w:themeColor="text1"/>
          <w:sz w:val="24"/>
          <w:szCs w:val="24"/>
        </w:rPr>
        <w:t xml:space="preserve">et </w:t>
      </w:r>
      <w:proofErr w:type="gramStart"/>
      <w:r w:rsidRPr="00D640A9">
        <w:rPr>
          <w:rFonts w:ascii="Book Antiqua" w:hAnsi="Book Antiqua"/>
          <w:bCs/>
          <w:i/>
          <w:iCs/>
          <w:color w:val="000000" w:themeColor="text1"/>
          <w:sz w:val="24"/>
          <w:szCs w:val="24"/>
        </w:rPr>
        <w:t>al</w:t>
      </w:r>
      <w:r w:rsidR="00D91141" w:rsidRPr="00D640A9">
        <w:rPr>
          <w:rFonts w:ascii="Book Antiqua" w:hAnsi="Book Antiqua"/>
          <w:bCs/>
          <w:iCs/>
          <w:color w:val="000000" w:themeColor="text1"/>
          <w:sz w:val="24"/>
          <w:szCs w:val="24"/>
          <w:vertAlign w:val="superscript"/>
        </w:rPr>
        <w:t>[</w:t>
      </w:r>
      <w:proofErr w:type="gramEnd"/>
      <w:r w:rsidR="00D91141" w:rsidRPr="00D640A9">
        <w:rPr>
          <w:rFonts w:ascii="Book Antiqua" w:hAnsi="Book Antiqua"/>
          <w:bCs/>
          <w:iCs/>
          <w:color w:val="000000" w:themeColor="text1"/>
          <w:sz w:val="24"/>
          <w:szCs w:val="24"/>
          <w:vertAlign w:val="superscript"/>
        </w:rPr>
        <w:t>17]</w:t>
      </w:r>
      <w:r w:rsidRPr="00D640A9">
        <w:rPr>
          <w:rFonts w:ascii="Book Antiqua" w:hAnsi="Book Antiqua"/>
          <w:bCs/>
          <w:iCs/>
          <w:color w:val="000000" w:themeColor="text1"/>
          <w:sz w:val="24"/>
          <w:szCs w:val="24"/>
        </w:rPr>
        <w:t xml:space="preserve"> showed that DNA hypermethylation at the miR-181c promoter region results in low miR-181c expression in glioblastoma cell lines compared with normal brain tissues. High methylation levels of the miR-27b promoter region downregulate expression of miR-27b, whereas demethylation restores miR-</w:t>
      </w:r>
      <w:r w:rsidR="0035617C" w:rsidRPr="00D640A9">
        <w:rPr>
          <w:rFonts w:ascii="Book Antiqua" w:hAnsi="Book Antiqua"/>
          <w:bCs/>
          <w:iCs/>
          <w:color w:val="000000" w:themeColor="text1"/>
          <w:sz w:val="24"/>
          <w:szCs w:val="24"/>
        </w:rPr>
        <w:t xml:space="preserve">27b expression in breast </w:t>
      </w:r>
      <w:proofErr w:type="gramStart"/>
      <w:r w:rsidR="0035617C" w:rsidRPr="00D640A9">
        <w:rPr>
          <w:rFonts w:ascii="Book Antiqua" w:hAnsi="Book Antiqua"/>
          <w:bCs/>
          <w:iCs/>
          <w:color w:val="000000" w:themeColor="text1"/>
          <w:sz w:val="24"/>
          <w:szCs w:val="24"/>
        </w:rPr>
        <w:t>cancer</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18]</w:t>
      </w:r>
      <w:r w:rsidRPr="00D640A9">
        <w:rPr>
          <w:rFonts w:ascii="Book Antiqua" w:hAnsi="Book Antiqua"/>
          <w:bCs/>
          <w:iCs/>
          <w:color w:val="000000" w:themeColor="text1"/>
          <w:sz w:val="24"/>
          <w:szCs w:val="24"/>
        </w:rPr>
        <w:t xml:space="preserve">. Downregulation of miR-320a is associated with regulation by methylation in breast </w:t>
      </w:r>
      <w:proofErr w:type="gramStart"/>
      <w:r w:rsidRPr="00D640A9">
        <w:rPr>
          <w:rFonts w:ascii="Book Antiqua" w:hAnsi="Book Antiqua"/>
          <w:bCs/>
          <w:iCs/>
          <w:color w:val="000000" w:themeColor="text1"/>
          <w:sz w:val="24"/>
          <w:szCs w:val="24"/>
        </w:rPr>
        <w:t>cancer</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19]</w:t>
      </w:r>
      <w:r w:rsidRPr="00D640A9">
        <w:rPr>
          <w:rFonts w:ascii="Book Antiqua" w:hAnsi="Book Antiqua"/>
          <w:bCs/>
          <w:iCs/>
          <w:color w:val="000000" w:themeColor="text1"/>
          <w:sz w:val="24"/>
          <w:szCs w:val="24"/>
        </w:rPr>
        <w:t>.</w:t>
      </w:r>
    </w:p>
    <w:p w:rsidR="00B96523" w:rsidRPr="00D640A9" w:rsidRDefault="002F7DEB" w:rsidP="00D44140">
      <w:pPr>
        <w:spacing w:line="360" w:lineRule="auto"/>
        <w:ind w:firstLineChars="175" w:firstLine="420"/>
        <w:rPr>
          <w:rFonts w:ascii="Book Antiqua" w:hAnsi="Book Antiqua"/>
          <w:bCs/>
          <w:iCs/>
          <w:color w:val="000000" w:themeColor="text1"/>
          <w:sz w:val="24"/>
          <w:szCs w:val="24"/>
        </w:rPr>
      </w:pPr>
      <w:r w:rsidRPr="00D640A9">
        <w:rPr>
          <w:rFonts w:ascii="Book Antiqua" w:hAnsi="Book Antiqua"/>
          <w:bCs/>
          <w:iCs/>
          <w:color w:val="000000" w:themeColor="text1"/>
          <w:sz w:val="24"/>
          <w:szCs w:val="24"/>
        </w:rPr>
        <w:t xml:space="preserve">miRNAs are expressed in a tissue-specific manner. However, whether miR-320a acts as a tumor suppressor in GC is unknown. </w:t>
      </w:r>
      <w:r w:rsidR="0035617C" w:rsidRPr="00D640A9">
        <w:rPr>
          <w:rFonts w:ascii="Book Antiqua" w:hAnsi="Book Antiqua"/>
          <w:bCs/>
          <w:iCs/>
          <w:color w:val="000000" w:themeColor="text1"/>
          <w:sz w:val="24"/>
          <w:szCs w:val="24"/>
        </w:rPr>
        <w:t>Wang</w:t>
      </w:r>
      <w:r w:rsidRPr="00D640A9">
        <w:rPr>
          <w:rFonts w:ascii="Book Antiqua" w:hAnsi="Book Antiqua"/>
          <w:bCs/>
          <w:iCs/>
          <w:color w:val="000000" w:themeColor="text1"/>
          <w:sz w:val="24"/>
          <w:szCs w:val="24"/>
        </w:rPr>
        <w:t xml:space="preserve"> </w:t>
      </w:r>
      <w:r w:rsidRPr="00D640A9">
        <w:rPr>
          <w:rFonts w:ascii="Book Antiqua" w:hAnsi="Book Antiqua"/>
          <w:bCs/>
          <w:i/>
          <w:iCs/>
          <w:color w:val="000000" w:themeColor="text1"/>
          <w:sz w:val="24"/>
          <w:szCs w:val="24"/>
        </w:rPr>
        <w:t xml:space="preserve">et </w:t>
      </w:r>
      <w:proofErr w:type="gramStart"/>
      <w:r w:rsidRPr="00D640A9">
        <w:rPr>
          <w:rFonts w:ascii="Book Antiqua" w:hAnsi="Book Antiqua"/>
          <w:bCs/>
          <w:i/>
          <w:iCs/>
          <w:color w:val="000000" w:themeColor="text1"/>
          <w:sz w:val="24"/>
          <w:szCs w:val="24"/>
        </w:rPr>
        <w:t>al</w:t>
      </w:r>
      <w:r w:rsidR="0035617C" w:rsidRPr="00D640A9">
        <w:rPr>
          <w:rFonts w:ascii="Book Antiqua" w:hAnsi="Book Antiqua"/>
          <w:bCs/>
          <w:iCs/>
          <w:color w:val="000000" w:themeColor="text1"/>
          <w:sz w:val="24"/>
          <w:szCs w:val="24"/>
          <w:vertAlign w:val="superscript"/>
        </w:rPr>
        <w:t>[</w:t>
      </w:r>
      <w:proofErr w:type="gramEnd"/>
      <w:r w:rsidR="0035617C" w:rsidRPr="00D640A9">
        <w:rPr>
          <w:rFonts w:ascii="Book Antiqua" w:hAnsi="Book Antiqua"/>
          <w:bCs/>
          <w:iCs/>
          <w:color w:val="000000" w:themeColor="text1"/>
          <w:sz w:val="24"/>
          <w:szCs w:val="24"/>
          <w:vertAlign w:val="superscript"/>
        </w:rPr>
        <w:t>20]</w:t>
      </w:r>
      <w:r w:rsidRPr="00D640A9">
        <w:rPr>
          <w:rFonts w:ascii="Book Antiqua" w:hAnsi="Book Antiqua"/>
          <w:bCs/>
          <w:iCs/>
          <w:color w:val="000000" w:themeColor="text1"/>
          <w:sz w:val="24"/>
          <w:szCs w:val="24"/>
        </w:rPr>
        <w:t xml:space="preserve"> found that the expression of miR-320a was reduced in GC tissues. However, the biological function and epigenetic regulatory mechanism of mi</w:t>
      </w:r>
      <w:r w:rsidR="00BD7E7F" w:rsidRPr="00D640A9">
        <w:rPr>
          <w:rFonts w:ascii="Book Antiqua" w:hAnsi="Book Antiqua"/>
          <w:bCs/>
          <w:iCs/>
          <w:color w:val="000000" w:themeColor="text1"/>
          <w:sz w:val="24"/>
          <w:szCs w:val="24"/>
        </w:rPr>
        <w:t>R-320a in GC remains unknown.</w:t>
      </w:r>
    </w:p>
    <w:p w:rsidR="00B96523" w:rsidRPr="00D640A9" w:rsidRDefault="002F7DEB" w:rsidP="00D44140">
      <w:pPr>
        <w:spacing w:line="360" w:lineRule="auto"/>
        <w:ind w:firstLineChars="100" w:firstLine="240"/>
        <w:rPr>
          <w:rFonts w:ascii="Book Antiqua" w:hAnsi="Book Antiqua"/>
          <w:color w:val="000000" w:themeColor="text1"/>
          <w:sz w:val="24"/>
          <w:szCs w:val="24"/>
        </w:rPr>
      </w:pPr>
      <w:r w:rsidRPr="00D640A9">
        <w:rPr>
          <w:rFonts w:ascii="Book Antiqua" w:hAnsi="Book Antiqua"/>
          <w:bCs/>
          <w:iCs/>
          <w:color w:val="000000" w:themeColor="text1"/>
          <w:sz w:val="24"/>
          <w:szCs w:val="24"/>
        </w:rPr>
        <w:t xml:space="preserve">In this study, we identified the biological role of miR-320a in GC and clarified the relationship between miR-320a expression and DNA methylation. miR-320a expression was reduced in GC cell lines and tissues. miR-320a interacted with the 3′ untranslated region (UTR) of the oncogene </w:t>
      </w:r>
      <w:r w:rsidRPr="00D640A9">
        <w:rPr>
          <w:rFonts w:ascii="Book Antiqua" w:hAnsi="Book Antiqua"/>
          <w:bCs/>
          <w:i/>
          <w:iCs/>
          <w:color w:val="000000" w:themeColor="text1"/>
          <w:sz w:val="24"/>
          <w:szCs w:val="24"/>
        </w:rPr>
        <w:t>PBX3</w:t>
      </w:r>
      <w:r w:rsidRPr="00D640A9">
        <w:rPr>
          <w:rFonts w:ascii="Book Antiqua" w:hAnsi="Book Antiqua"/>
          <w:bCs/>
          <w:iCs/>
          <w:color w:val="000000" w:themeColor="text1"/>
          <w:sz w:val="24"/>
          <w:szCs w:val="24"/>
        </w:rPr>
        <w:t xml:space="preserve"> in GC. miR-320a overexpression inhibited malignant biological actions in GC cells. These results suggest that miR-320a acted as a tumor suppressor by regulating </w:t>
      </w:r>
      <w:r w:rsidRPr="00D640A9">
        <w:rPr>
          <w:rFonts w:ascii="Book Antiqua" w:hAnsi="Book Antiqua"/>
          <w:bCs/>
          <w:i/>
          <w:iCs/>
          <w:color w:val="000000" w:themeColor="text1"/>
          <w:sz w:val="24"/>
          <w:szCs w:val="24"/>
        </w:rPr>
        <w:t>PBX3</w:t>
      </w:r>
      <w:r w:rsidRPr="00D640A9">
        <w:rPr>
          <w:rFonts w:ascii="Book Antiqua" w:hAnsi="Book Antiqua"/>
          <w:bCs/>
          <w:iCs/>
          <w:color w:val="000000" w:themeColor="text1"/>
          <w:sz w:val="24"/>
          <w:szCs w:val="24"/>
        </w:rPr>
        <w:t xml:space="preserve"> expression in GC. The promoter CpG islands of miR-320a showed abnormal hypermethylation, and the methylation inhibitor </w:t>
      </w:r>
      <w:r w:rsidRPr="00D640A9">
        <w:rPr>
          <w:rFonts w:ascii="Book Antiqua" w:hAnsi="Book Antiqua"/>
          <w:color w:val="000000" w:themeColor="text1"/>
          <w:sz w:val="24"/>
          <w:szCs w:val="24"/>
        </w:rPr>
        <w:t>5-aza-2′-deoxycytidine (</w:t>
      </w:r>
      <w:r w:rsidRPr="00D640A9">
        <w:rPr>
          <w:rFonts w:ascii="Book Antiqua" w:hAnsi="Book Antiqua"/>
          <w:color w:val="000000" w:themeColor="text1"/>
          <w:sz w:val="24"/>
          <w:szCs w:val="24"/>
          <w:shd w:val="clear" w:color="auto" w:fill="FFFFFF"/>
        </w:rPr>
        <w:t>5-Aza-dC) partially</w:t>
      </w:r>
      <w:r w:rsidRPr="00D640A9">
        <w:rPr>
          <w:rFonts w:ascii="Book Antiqua" w:hAnsi="Book Antiqua"/>
          <w:bCs/>
          <w:iCs/>
          <w:color w:val="000000" w:themeColor="text1"/>
          <w:sz w:val="24"/>
          <w:szCs w:val="24"/>
        </w:rPr>
        <w:t xml:space="preserve"> reversed miR-320a expression. These findings demonstrated that methylation-associated silencing of miR-320a suppressed tumor progression</w:t>
      </w:r>
      <w:r w:rsidRPr="00D640A9">
        <w:rPr>
          <w:rFonts w:ascii="Book Antiqua" w:hAnsi="Book Antiqua"/>
          <w:color w:val="000000" w:themeColor="text1"/>
          <w:sz w:val="24"/>
          <w:szCs w:val="24"/>
        </w:rPr>
        <w:t xml:space="preserve"> by targeting </w:t>
      </w:r>
      <w:r w:rsidRPr="00D640A9">
        <w:rPr>
          <w:rFonts w:ascii="Book Antiqua" w:hAnsi="Book Antiqua"/>
          <w:i/>
          <w:color w:val="000000" w:themeColor="text1"/>
          <w:sz w:val="24"/>
          <w:szCs w:val="24"/>
        </w:rPr>
        <w:t>PBX3</w:t>
      </w:r>
      <w:r w:rsidRPr="00D640A9">
        <w:rPr>
          <w:rFonts w:ascii="Book Antiqua" w:hAnsi="Book Antiqua"/>
          <w:color w:val="000000" w:themeColor="text1"/>
          <w:sz w:val="24"/>
          <w:szCs w:val="24"/>
        </w:rPr>
        <w:t xml:space="preserve"> in GC. </w:t>
      </w:r>
    </w:p>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adjustRightInd w:val="0"/>
        <w:snapToGrid w:val="0"/>
        <w:spacing w:line="360" w:lineRule="auto"/>
        <w:rPr>
          <w:rFonts w:ascii="Book Antiqua" w:hAnsi="Book Antiqua"/>
          <w:b/>
          <w:color w:val="000000" w:themeColor="text1"/>
          <w:sz w:val="24"/>
          <w:szCs w:val="24"/>
        </w:rPr>
      </w:pPr>
      <w:r w:rsidRPr="00D640A9">
        <w:rPr>
          <w:rFonts w:ascii="Book Antiqua" w:hAnsi="Book Antiqua"/>
          <w:b/>
          <w:color w:val="000000" w:themeColor="text1"/>
          <w:sz w:val="24"/>
          <w:szCs w:val="24"/>
        </w:rPr>
        <w:lastRenderedPageBreak/>
        <w:t>MATERIALS AND METHODS</w:t>
      </w:r>
    </w:p>
    <w:p w:rsidR="009C5515" w:rsidRPr="00D640A9" w:rsidRDefault="009C5515" w:rsidP="00D44140">
      <w:pPr>
        <w:spacing w:line="360" w:lineRule="auto"/>
        <w:rPr>
          <w:rFonts w:ascii="Book Antiqua" w:hAnsi="Book Antiqua"/>
          <w:i/>
          <w:color w:val="000000" w:themeColor="text1"/>
          <w:sz w:val="24"/>
          <w:szCs w:val="24"/>
        </w:rPr>
      </w:pPr>
      <w:r w:rsidRPr="00D640A9">
        <w:rPr>
          <w:rFonts w:ascii="Book Antiqua" w:hAnsi="Book Antiqua"/>
          <w:b/>
          <w:bCs/>
          <w:i/>
          <w:color w:val="000000" w:themeColor="text1"/>
          <w:sz w:val="24"/>
          <w:szCs w:val="24"/>
        </w:rPr>
        <w:t>Clinical GC samples</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This study was approved by the Ethics Committee of the Fourth Affiliated Hospital, China Medical University (Shenyang, China).</w:t>
      </w:r>
      <w:r w:rsidR="009C5515" w:rsidRPr="00D640A9">
        <w:rPr>
          <w:rFonts w:ascii="Book Antiqua" w:hAnsi="Book Antiqua"/>
          <w:color w:val="000000" w:themeColor="text1"/>
          <w:sz w:val="24"/>
          <w:szCs w:val="24"/>
        </w:rPr>
        <w:t xml:space="preserve"> </w:t>
      </w:r>
      <w:r w:rsidRPr="00D640A9">
        <w:rPr>
          <w:rFonts w:ascii="Book Antiqua" w:hAnsi="Book Antiqua"/>
          <w:color w:val="000000" w:themeColor="text1"/>
          <w:sz w:val="24"/>
          <w:szCs w:val="24"/>
        </w:rPr>
        <w:t>We obtained 84 GC tissues and matched adjacent normal tissues (located &gt; 5 cm from the tumor) from patients who had a diagnosis of GC confirmed by histopathology at the Cancer Research Institute of China Medical University (Shenyang, China) between 2013 and 2014. These patients did not receive chemotherapy before surgical resection, and all tissues were immediately frozen in liquid nitrogen after surgery</w:t>
      </w:r>
      <w:r w:rsidR="0057265D" w:rsidRPr="00D640A9">
        <w:rPr>
          <w:rFonts w:ascii="Book Antiqua" w:hAnsi="Book Antiqua"/>
          <w:color w:val="000000" w:themeColor="text1"/>
          <w:sz w:val="24"/>
          <w:szCs w:val="24"/>
        </w:rPr>
        <w:t xml:space="preserve"> </w:t>
      </w:r>
      <w:r w:rsidRPr="00D640A9">
        <w:rPr>
          <w:rFonts w:ascii="Book Antiqua" w:hAnsi="Book Antiqua"/>
          <w:color w:val="000000" w:themeColor="text1"/>
          <w:sz w:val="24"/>
          <w:szCs w:val="24"/>
        </w:rPr>
        <w:t>until DNA or RNA extraction. The basic patient data are listed in Table 1.</w:t>
      </w:r>
    </w:p>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spacing w:line="360" w:lineRule="auto"/>
        <w:rPr>
          <w:rFonts w:ascii="Book Antiqua" w:hAnsi="Book Antiqua"/>
          <w:b/>
          <w:bCs/>
          <w:i/>
          <w:color w:val="000000" w:themeColor="text1"/>
          <w:sz w:val="24"/>
          <w:szCs w:val="24"/>
        </w:rPr>
      </w:pPr>
      <w:r w:rsidRPr="00D640A9">
        <w:rPr>
          <w:rFonts w:ascii="Book Antiqua" w:hAnsi="Book Antiqua"/>
          <w:b/>
          <w:bCs/>
          <w:i/>
          <w:color w:val="000000" w:themeColor="text1"/>
          <w:sz w:val="24"/>
          <w:szCs w:val="24"/>
        </w:rPr>
        <w:t>Cell types and source and cell culture</w:t>
      </w:r>
    </w:p>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Cs/>
          <w:color w:val="000000" w:themeColor="text1"/>
          <w:sz w:val="24"/>
          <w:szCs w:val="24"/>
        </w:rPr>
        <w:t xml:space="preserve">We used five cell lines, including one normal gastric mucosa cell line (GES-1) and four GC cell lines (BGC-823, MGC-803, SGC-7901 and MKN-45). All cell lines </w:t>
      </w:r>
      <w:bookmarkStart w:id="34" w:name="OLE_LINK19"/>
      <w:r w:rsidRPr="00D640A9">
        <w:rPr>
          <w:rFonts w:ascii="Book Antiqua" w:hAnsi="Book Antiqua"/>
          <w:bCs/>
          <w:color w:val="000000" w:themeColor="text1"/>
          <w:sz w:val="24"/>
          <w:szCs w:val="24"/>
        </w:rPr>
        <w:t>were purchased from the Institute of Biochemistry and Cell Biology, China Academy of Science (Shanghai, China). Cells were cultured in RPMI 1640 medium (Invitrogen, Carlsbad, CA, USA) containing 10% fetal bovine serum (FBS; Gibco/BRL, Waltham, MA, USA) at 37°C in 5% CO</w:t>
      </w:r>
      <w:r w:rsidRPr="00D640A9">
        <w:rPr>
          <w:rFonts w:ascii="Book Antiqua" w:hAnsi="Book Antiqua"/>
          <w:bCs/>
          <w:color w:val="000000" w:themeColor="text1"/>
          <w:sz w:val="24"/>
          <w:szCs w:val="24"/>
          <w:vertAlign w:val="subscript"/>
        </w:rPr>
        <w:t>2.</w:t>
      </w:r>
    </w:p>
    <w:p w:rsidR="00B96523" w:rsidRPr="00D640A9" w:rsidRDefault="00B96523" w:rsidP="00D44140">
      <w:pPr>
        <w:spacing w:line="360" w:lineRule="auto"/>
        <w:rPr>
          <w:rFonts w:ascii="Book Antiqua" w:hAnsi="Book Antiqua"/>
          <w:b/>
          <w:bCs/>
          <w:color w:val="000000" w:themeColor="text1"/>
          <w:sz w:val="24"/>
          <w:szCs w:val="24"/>
        </w:rPr>
      </w:pPr>
    </w:p>
    <w:p w:rsidR="00B96523" w:rsidRPr="00D640A9" w:rsidRDefault="002F7DEB" w:rsidP="00D44140">
      <w:pPr>
        <w:spacing w:line="360" w:lineRule="auto"/>
        <w:rPr>
          <w:rFonts w:ascii="Book Antiqua" w:hAnsi="Book Antiqua"/>
          <w:b/>
          <w:bCs/>
          <w:i/>
          <w:color w:val="000000" w:themeColor="text1"/>
          <w:sz w:val="24"/>
          <w:szCs w:val="24"/>
        </w:rPr>
      </w:pPr>
      <w:r w:rsidRPr="00D640A9">
        <w:rPr>
          <w:rFonts w:ascii="Book Antiqua" w:hAnsi="Book Antiqua"/>
          <w:b/>
          <w:bCs/>
          <w:i/>
          <w:color w:val="000000" w:themeColor="text1"/>
          <w:sz w:val="24"/>
          <w:szCs w:val="24"/>
        </w:rPr>
        <w:t xml:space="preserve">Cell transfection </w:t>
      </w:r>
    </w:p>
    <w:bookmarkEnd w:id="34"/>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color w:val="000000" w:themeColor="text1"/>
          <w:sz w:val="24"/>
          <w:szCs w:val="24"/>
        </w:rPr>
        <w:t>The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mimics and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scramble mimics were designed and produced by </w:t>
      </w:r>
      <w:proofErr w:type="spellStart"/>
      <w:r w:rsidRPr="00D640A9">
        <w:rPr>
          <w:rFonts w:ascii="Book Antiqua" w:hAnsi="Book Antiqua"/>
          <w:color w:val="000000" w:themeColor="text1"/>
          <w:sz w:val="24"/>
          <w:szCs w:val="24"/>
        </w:rPr>
        <w:t>GenePharma</w:t>
      </w:r>
      <w:proofErr w:type="spellEnd"/>
      <w:r w:rsidRPr="00D640A9">
        <w:rPr>
          <w:rFonts w:ascii="Book Antiqua" w:hAnsi="Book Antiqua"/>
          <w:color w:val="000000" w:themeColor="text1"/>
          <w:sz w:val="24"/>
          <w:szCs w:val="24"/>
        </w:rPr>
        <w:t xml:space="preserve"> (Shanghai, China) and transfected into MKN-45 cells. The final concentration for transfection was 50 nmol/L. The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inhibitor and</w:t>
      </w:r>
      <w:bookmarkStart w:id="35" w:name="OLE_LINK37"/>
      <w:bookmarkStart w:id="36" w:name="OLE_LINK38"/>
      <w:r w:rsidRPr="00D640A9">
        <w:rPr>
          <w:rFonts w:ascii="Book Antiqua" w:hAnsi="Book Antiqua"/>
          <w:color w:val="000000" w:themeColor="text1"/>
          <w:sz w:val="24"/>
          <w:szCs w:val="24"/>
        </w:rPr>
        <w:t xml:space="preserve">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scramble inhibitor</w:t>
      </w:r>
      <w:bookmarkEnd w:id="35"/>
      <w:bookmarkEnd w:id="36"/>
      <w:r w:rsidRPr="00D640A9">
        <w:rPr>
          <w:rFonts w:ascii="Book Antiqua" w:hAnsi="Book Antiqua"/>
          <w:color w:val="000000" w:themeColor="text1"/>
          <w:sz w:val="24"/>
          <w:szCs w:val="24"/>
        </w:rPr>
        <w:t xml:space="preserve"> were designed and produced by </w:t>
      </w:r>
      <w:proofErr w:type="spellStart"/>
      <w:r w:rsidRPr="00D640A9">
        <w:rPr>
          <w:rFonts w:ascii="Book Antiqua" w:hAnsi="Book Antiqua"/>
          <w:color w:val="000000" w:themeColor="text1"/>
          <w:sz w:val="24"/>
          <w:szCs w:val="24"/>
        </w:rPr>
        <w:t>GenePharma</w:t>
      </w:r>
      <w:proofErr w:type="spellEnd"/>
      <w:r w:rsidRPr="00D640A9">
        <w:rPr>
          <w:rFonts w:ascii="Book Antiqua" w:hAnsi="Book Antiqua"/>
          <w:color w:val="000000" w:themeColor="text1"/>
          <w:sz w:val="24"/>
          <w:szCs w:val="24"/>
        </w:rPr>
        <w:t xml:space="preserve"> and transfected into </w:t>
      </w:r>
      <w:r w:rsidRPr="00D640A9">
        <w:rPr>
          <w:rFonts w:ascii="Book Antiqua" w:hAnsi="Book Antiqua"/>
          <w:bCs/>
          <w:color w:val="000000" w:themeColor="text1"/>
          <w:sz w:val="24"/>
          <w:szCs w:val="24"/>
        </w:rPr>
        <w:t>BGC-823 cells</w:t>
      </w:r>
      <w:r w:rsidRPr="00D640A9">
        <w:rPr>
          <w:rFonts w:ascii="Book Antiqua" w:hAnsi="Book Antiqua"/>
          <w:color w:val="000000" w:themeColor="text1"/>
          <w:sz w:val="24"/>
          <w:szCs w:val="24"/>
        </w:rPr>
        <w:t>. The final concentration for transfection was 100 nmol/L. Transfection was performed using Lipofectamine 3000 Transfection Reagent (Invitrogen) according to the manufacturer’s instructions. Experiments were carried out in triplicate.</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RNA extraction and quantitative real-time polymerase chain reaction (PCR)</w:t>
      </w:r>
    </w:p>
    <w:p w:rsidR="00B96523" w:rsidRPr="00D640A9" w:rsidRDefault="002F7DEB" w:rsidP="00D44140">
      <w:pPr>
        <w:spacing w:line="360" w:lineRule="auto"/>
        <w:rPr>
          <w:rFonts w:ascii="Book Antiqua" w:hAnsi="Book Antiqua"/>
          <w:b/>
          <w:color w:val="000000" w:themeColor="text1"/>
          <w:sz w:val="24"/>
          <w:szCs w:val="24"/>
        </w:rPr>
      </w:pPr>
      <w:proofErr w:type="spellStart"/>
      <w:r w:rsidRPr="00D640A9">
        <w:rPr>
          <w:rFonts w:ascii="Book Antiqua" w:hAnsi="Book Antiqua"/>
          <w:color w:val="000000" w:themeColor="text1"/>
          <w:sz w:val="24"/>
          <w:szCs w:val="24"/>
        </w:rPr>
        <w:t>TRIzol</w:t>
      </w:r>
      <w:proofErr w:type="spellEnd"/>
      <w:r w:rsidRPr="00D640A9">
        <w:rPr>
          <w:rFonts w:ascii="Book Antiqua" w:hAnsi="Book Antiqua"/>
          <w:color w:val="000000" w:themeColor="text1"/>
          <w:sz w:val="24"/>
          <w:szCs w:val="24"/>
        </w:rPr>
        <w:t xml:space="preserve"> reagent (Invitrogen) was used to extract total RNA from cell lines, GC tissues, </w:t>
      </w:r>
      <w:r w:rsidRPr="00D640A9">
        <w:rPr>
          <w:rFonts w:ascii="Book Antiqua" w:hAnsi="Book Antiqua"/>
          <w:color w:val="000000" w:themeColor="text1"/>
          <w:sz w:val="24"/>
          <w:szCs w:val="24"/>
        </w:rPr>
        <w:lastRenderedPageBreak/>
        <w:t xml:space="preserve">and matched adjacent normal tissues. RNA concentration and purity were determined spectroscopically, and samples were stored at </w:t>
      </w:r>
      <w:r w:rsidRPr="00D640A9">
        <w:rPr>
          <w:rFonts w:ascii="Book Antiqua" w:eastAsia="MS Gothic" w:hAnsi="Book Antiqua"/>
          <w:color w:val="000000" w:themeColor="text1"/>
          <w:sz w:val="24"/>
          <w:szCs w:val="24"/>
        </w:rPr>
        <w:t>−</w:t>
      </w:r>
      <w:r w:rsidRPr="00D640A9">
        <w:rPr>
          <w:rFonts w:ascii="Book Antiqua" w:hAnsi="Book Antiqua"/>
          <w:color w:val="000000" w:themeColor="text1"/>
          <w:sz w:val="24"/>
          <w:szCs w:val="24"/>
        </w:rPr>
        <w:t xml:space="preserve">80°C long term or </w:t>
      </w:r>
      <w:r w:rsidRPr="00D640A9">
        <w:rPr>
          <w:rFonts w:ascii="Book Antiqua" w:eastAsia="MS Gothic" w:hAnsi="Book Antiqua"/>
          <w:color w:val="000000" w:themeColor="text1"/>
          <w:sz w:val="24"/>
          <w:szCs w:val="24"/>
        </w:rPr>
        <w:t>−</w:t>
      </w:r>
      <w:r w:rsidRPr="00D640A9">
        <w:rPr>
          <w:rFonts w:ascii="Book Antiqua" w:hAnsi="Book Antiqua"/>
          <w:color w:val="000000" w:themeColor="text1"/>
          <w:sz w:val="24"/>
          <w:szCs w:val="24"/>
        </w:rPr>
        <w:t>20°C short term. The miRNA RT-PCR Quantitation Kit (</w:t>
      </w:r>
      <w:proofErr w:type="spellStart"/>
      <w:r w:rsidRPr="00D640A9">
        <w:rPr>
          <w:rFonts w:ascii="Book Antiqua" w:hAnsi="Book Antiqua"/>
          <w:color w:val="000000" w:themeColor="text1"/>
          <w:sz w:val="24"/>
          <w:szCs w:val="24"/>
        </w:rPr>
        <w:t>GenePharma</w:t>
      </w:r>
      <w:proofErr w:type="spellEnd"/>
      <w:r w:rsidRPr="00D640A9">
        <w:rPr>
          <w:rFonts w:ascii="Book Antiqua" w:hAnsi="Book Antiqua"/>
          <w:color w:val="000000" w:themeColor="text1"/>
          <w:sz w:val="24"/>
          <w:szCs w:val="24"/>
        </w:rPr>
        <w:t>) was used for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reverse transcription using the following protocol: 30 min at 25°C, 30 min at 42°C, and 5 min at 85°C. The cDNA product was subjected to quantitative real-time PCR using the following program: 3 min at 95°C, 40 cycles of 12 s at 95°C, and 40 s at 62°C. All mRNA quantification data were normalized to U6. The primers were designed and produced by </w:t>
      </w:r>
      <w:proofErr w:type="spellStart"/>
      <w:r w:rsidRPr="00D640A9">
        <w:rPr>
          <w:rFonts w:ascii="Book Antiqua" w:hAnsi="Book Antiqua"/>
          <w:color w:val="000000" w:themeColor="text1"/>
          <w:sz w:val="24"/>
          <w:szCs w:val="24"/>
        </w:rPr>
        <w:t>GenePharma</w:t>
      </w:r>
      <w:proofErr w:type="spellEnd"/>
      <w:r w:rsidRPr="00D640A9">
        <w:rPr>
          <w:rFonts w:ascii="Book Antiqua" w:hAnsi="Book Antiqua"/>
          <w:color w:val="000000" w:themeColor="text1"/>
          <w:sz w:val="24"/>
          <w:szCs w:val="24"/>
        </w:rPr>
        <w:t xml:space="preserve"> and the primer sequences are shown in Table 2.</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 xml:space="preserve">Cell viability and apoptosis assay </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GC cells (MKN-45 and </w:t>
      </w:r>
      <w:r w:rsidRPr="00D640A9">
        <w:rPr>
          <w:rFonts w:ascii="Book Antiqua" w:hAnsi="Book Antiqua"/>
          <w:bCs/>
          <w:color w:val="000000" w:themeColor="text1"/>
          <w:sz w:val="24"/>
          <w:szCs w:val="24"/>
        </w:rPr>
        <w:t>BGC-823</w:t>
      </w:r>
      <w:r w:rsidRPr="00D640A9">
        <w:rPr>
          <w:rFonts w:ascii="Book Antiqua" w:hAnsi="Book Antiqua"/>
          <w:color w:val="000000" w:themeColor="text1"/>
          <w:sz w:val="24"/>
          <w:szCs w:val="24"/>
        </w:rPr>
        <w:t>) were inoculated into 96-well plastic dishes containing 10% CCK-8 (</w:t>
      </w:r>
      <w:proofErr w:type="spellStart"/>
      <w:r w:rsidRPr="00D640A9">
        <w:rPr>
          <w:rFonts w:ascii="Book Antiqua" w:hAnsi="Book Antiqua"/>
          <w:color w:val="000000" w:themeColor="text1"/>
          <w:sz w:val="24"/>
          <w:szCs w:val="24"/>
        </w:rPr>
        <w:t>Dojindo</w:t>
      </w:r>
      <w:proofErr w:type="spellEnd"/>
      <w:r w:rsidRPr="00D640A9">
        <w:rPr>
          <w:rFonts w:ascii="Book Antiqua" w:hAnsi="Book Antiqua"/>
          <w:color w:val="000000" w:themeColor="text1"/>
          <w:sz w:val="24"/>
          <w:szCs w:val="24"/>
        </w:rPr>
        <w:t>, Kumamoto, Japan) diluted in culture medium and incubated at 37°C in 5% CO</w:t>
      </w:r>
      <w:r w:rsidRPr="00D640A9">
        <w:rPr>
          <w:rFonts w:ascii="Book Antiqua" w:hAnsi="Book Antiqua"/>
          <w:color w:val="000000" w:themeColor="text1"/>
          <w:sz w:val="24"/>
          <w:szCs w:val="24"/>
          <w:vertAlign w:val="subscript"/>
        </w:rPr>
        <w:t>2</w:t>
      </w:r>
      <w:r w:rsidRPr="00D640A9">
        <w:rPr>
          <w:rFonts w:ascii="Book Antiqua" w:hAnsi="Book Antiqua"/>
          <w:color w:val="000000" w:themeColor="text1"/>
          <w:sz w:val="24"/>
          <w:szCs w:val="24"/>
        </w:rPr>
        <w:t xml:space="preserve"> after transfection with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mimics, scramble mimics,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inhibitor, scramble inhibitor, or no transfection. The OD value at 0, 12, 24, 48, and 72 h after transfection was measured using an enzyme assay. All experiments were performed three times. GC cells (</w:t>
      </w:r>
      <w:r w:rsidRPr="00D640A9">
        <w:rPr>
          <w:rFonts w:ascii="Book Antiqua" w:hAnsi="Book Antiqua"/>
          <w:i/>
          <w:color w:val="000000" w:themeColor="text1"/>
          <w:sz w:val="24"/>
          <w:szCs w:val="24"/>
        </w:rPr>
        <w:t xml:space="preserve">n </w:t>
      </w:r>
      <w:r w:rsidRPr="00D640A9">
        <w:rPr>
          <w:rFonts w:ascii="Book Antiqua" w:hAnsi="Book Antiqua"/>
          <w:color w:val="000000" w:themeColor="text1"/>
          <w:sz w:val="24"/>
          <w:szCs w:val="24"/>
        </w:rPr>
        <w:t>= 10</w:t>
      </w:r>
      <w:r w:rsidRPr="00D640A9">
        <w:rPr>
          <w:rFonts w:ascii="Book Antiqua" w:hAnsi="Book Antiqua"/>
          <w:color w:val="000000" w:themeColor="text1"/>
          <w:sz w:val="24"/>
          <w:szCs w:val="24"/>
          <w:vertAlign w:val="superscript"/>
        </w:rPr>
        <w:t>6</w:t>
      </w:r>
      <w:r w:rsidRPr="00D640A9">
        <w:rPr>
          <w:rFonts w:ascii="Book Antiqua" w:hAnsi="Book Antiqua"/>
          <w:color w:val="000000" w:themeColor="text1"/>
          <w:sz w:val="24"/>
          <w:szCs w:val="24"/>
        </w:rPr>
        <w:t>) transfected with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mimics, scramble mimics,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inhibitor, scramble inhibitor, or no transfection were inoculated into six-well plates after transfection for 48 h, and all cells were harvested at 72 h. The Annexin V-PE/7AAD Apoptosis Detection Kit (</w:t>
      </w:r>
      <w:proofErr w:type="spellStart"/>
      <w:r w:rsidRPr="00D640A9">
        <w:rPr>
          <w:rFonts w:ascii="Book Antiqua" w:hAnsi="Book Antiqua"/>
          <w:color w:val="000000" w:themeColor="text1"/>
          <w:sz w:val="24"/>
          <w:szCs w:val="24"/>
        </w:rPr>
        <w:t>KeyGen</w:t>
      </w:r>
      <w:proofErr w:type="spellEnd"/>
      <w:r w:rsidRPr="00D640A9">
        <w:rPr>
          <w:rFonts w:ascii="Book Antiqua" w:hAnsi="Book Antiqua"/>
          <w:color w:val="000000" w:themeColor="text1"/>
          <w:sz w:val="24"/>
          <w:szCs w:val="24"/>
        </w:rPr>
        <w:t>, Jiangsu, China) was used to determine apoptosis.</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Cell migration and invasion assays</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GC cells (MKN-45 and </w:t>
      </w:r>
      <w:r w:rsidRPr="00D640A9">
        <w:rPr>
          <w:rFonts w:ascii="Book Antiqua" w:hAnsi="Book Antiqua"/>
          <w:bCs/>
          <w:color w:val="000000" w:themeColor="text1"/>
          <w:sz w:val="24"/>
          <w:szCs w:val="24"/>
        </w:rPr>
        <w:t>BGC-823</w:t>
      </w:r>
      <w:r w:rsidRPr="00D640A9">
        <w:rPr>
          <w:rFonts w:ascii="Book Antiqua" w:hAnsi="Book Antiqua"/>
          <w:color w:val="000000" w:themeColor="text1"/>
          <w:sz w:val="24"/>
          <w:szCs w:val="24"/>
        </w:rPr>
        <w:t>) were inoculated into six-well plastic dishes and transfected with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mimics, scramble mimics,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inhibitor, scramble inhibitor or no transfection for 36 h. Cuts were then made using a 200-μL pipette tip. </w:t>
      </w:r>
      <w:r w:rsidRPr="00D640A9">
        <w:rPr>
          <w:rFonts w:ascii="Book Antiqua" w:hAnsi="Book Antiqua"/>
          <w:bCs/>
          <w:iCs/>
          <w:color w:val="000000" w:themeColor="text1"/>
          <w:sz w:val="24"/>
          <w:szCs w:val="24"/>
        </w:rPr>
        <w:t>The</w:t>
      </w:r>
      <w:r w:rsidRPr="00D640A9">
        <w:rPr>
          <w:rFonts w:ascii="Book Antiqua" w:hAnsi="Book Antiqua"/>
          <w:color w:val="000000" w:themeColor="text1"/>
          <w:sz w:val="24"/>
          <w:szCs w:val="24"/>
        </w:rPr>
        <w:t xml:space="preserve"> wound healing percentage </w:t>
      </w:r>
      <w:r w:rsidRPr="00D640A9">
        <w:rPr>
          <w:rFonts w:ascii="Book Antiqua" w:hAnsi="Book Antiqua"/>
          <w:bCs/>
          <w:iCs/>
          <w:color w:val="000000" w:themeColor="text1"/>
          <w:sz w:val="24"/>
          <w:szCs w:val="24"/>
        </w:rPr>
        <w:t xml:space="preserve">was measured at 0, 24, and 48 h after transfection </w:t>
      </w:r>
      <w:r w:rsidRPr="00D640A9">
        <w:rPr>
          <w:rFonts w:ascii="Book Antiqua" w:hAnsi="Book Antiqua"/>
          <w:color w:val="000000" w:themeColor="text1"/>
          <w:sz w:val="24"/>
          <w:szCs w:val="24"/>
        </w:rPr>
        <w:t xml:space="preserve">using ImageJ software to evaluate the migration ability of GC cells. A </w:t>
      </w:r>
      <w:proofErr w:type="spellStart"/>
      <w:r w:rsidRPr="00D640A9">
        <w:rPr>
          <w:rFonts w:ascii="Book Antiqua" w:hAnsi="Book Antiqua"/>
          <w:color w:val="000000" w:themeColor="text1"/>
          <w:sz w:val="24"/>
          <w:szCs w:val="24"/>
        </w:rPr>
        <w:t>Transwell</w:t>
      </w:r>
      <w:proofErr w:type="spellEnd"/>
      <w:r w:rsidRPr="00D640A9">
        <w:rPr>
          <w:rFonts w:ascii="Book Antiqua" w:hAnsi="Book Antiqua"/>
          <w:color w:val="000000" w:themeColor="text1"/>
          <w:sz w:val="24"/>
          <w:szCs w:val="24"/>
        </w:rPr>
        <w:t xml:space="preserve"> assay was used to determine the invasion ability of GC cells (MKN-45 and BGC-823). A Matrigel-coated membrane matrix (</w:t>
      </w:r>
      <w:proofErr w:type="spellStart"/>
      <w:r w:rsidRPr="00D640A9">
        <w:rPr>
          <w:rFonts w:ascii="Book Antiqua" w:hAnsi="Book Antiqua"/>
          <w:color w:val="000000" w:themeColor="text1"/>
          <w:sz w:val="24"/>
          <w:szCs w:val="24"/>
        </w:rPr>
        <w:t>UnivBio</w:t>
      </w:r>
      <w:proofErr w:type="spellEnd"/>
      <w:r w:rsidRPr="00D640A9">
        <w:rPr>
          <w:rFonts w:ascii="Book Antiqua" w:hAnsi="Book Antiqua"/>
          <w:color w:val="000000" w:themeColor="text1"/>
          <w:sz w:val="24"/>
          <w:szCs w:val="24"/>
        </w:rPr>
        <w:t>, Shanghai, China) was used to simulate a physiological matrix membrane between the upper and lower chambers. GC cells (</w:t>
      </w:r>
      <w:r w:rsidRPr="00D640A9">
        <w:rPr>
          <w:rFonts w:ascii="Book Antiqua" w:hAnsi="Book Antiqua"/>
          <w:i/>
          <w:color w:val="000000" w:themeColor="text1"/>
          <w:sz w:val="24"/>
          <w:szCs w:val="24"/>
        </w:rPr>
        <w:t>n</w:t>
      </w:r>
      <w:r w:rsidRPr="00D640A9">
        <w:rPr>
          <w:rFonts w:ascii="Book Antiqua" w:hAnsi="Book Antiqua"/>
          <w:color w:val="000000" w:themeColor="text1"/>
          <w:sz w:val="24"/>
          <w:szCs w:val="24"/>
        </w:rPr>
        <w:t xml:space="preserve"> = </w:t>
      </w:r>
      <w:r w:rsidRPr="00D640A9">
        <w:rPr>
          <w:rFonts w:ascii="Book Antiqua" w:hAnsi="Book Antiqua"/>
          <w:color w:val="000000" w:themeColor="text1"/>
          <w:sz w:val="24"/>
          <w:szCs w:val="24"/>
        </w:rPr>
        <w:lastRenderedPageBreak/>
        <w:t>10</w:t>
      </w:r>
      <w:r w:rsidRPr="00D640A9">
        <w:rPr>
          <w:rFonts w:ascii="Book Antiqua" w:hAnsi="Book Antiqua"/>
          <w:color w:val="000000" w:themeColor="text1"/>
          <w:sz w:val="24"/>
          <w:szCs w:val="24"/>
          <w:vertAlign w:val="superscript"/>
        </w:rPr>
        <w:t>5</w:t>
      </w:r>
      <w:r w:rsidRPr="00D640A9">
        <w:rPr>
          <w:rFonts w:ascii="Book Antiqua" w:hAnsi="Book Antiqua"/>
          <w:color w:val="000000" w:themeColor="text1"/>
          <w:sz w:val="24"/>
          <w:szCs w:val="24"/>
        </w:rPr>
        <w:t>) transfected with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mimics, scramble mimics,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inhibitor, scramble inhibitor, or no transfection were inoculated into the upper chamber filled with serum-free medium. Medium containing 10% FBS was added to the lower chamber. After 24 h, cotton wool was used to remove the </w:t>
      </w:r>
      <w:proofErr w:type="spellStart"/>
      <w:r w:rsidRPr="00D640A9">
        <w:rPr>
          <w:rFonts w:ascii="Book Antiqua" w:hAnsi="Book Antiqua"/>
          <w:color w:val="000000" w:themeColor="text1"/>
          <w:sz w:val="24"/>
          <w:szCs w:val="24"/>
        </w:rPr>
        <w:t>noninvading</w:t>
      </w:r>
      <w:proofErr w:type="spellEnd"/>
      <w:r w:rsidRPr="00D640A9">
        <w:rPr>
          <w:rFonts w:ascii="Book Antiqua" w:hAnsi="Book Antiqua"/>
          <w:color w:val="000000" w:themeColor="text1"/>
          <w:sz w:val="24"/>
          <w:szCs w:val="24"/>
        </w:rPr>
        <w:t xml:space="preserve"> cells in the upper chamber, and crystal violet (</w:t>
      </w:r>
      <w:proofErr w:type="spellStart"/>
      <w:r w:rsidRPr="00D640A9">
        <w:rPr>
          <w:rFonts w:ascii="Book Antiqua" w:hAnsi="Book Antiqua"/>
          <w:color w:val="000000" w:themeColor="text1"/>
          <w:sz w:val="24"/>
          <w:szCs w:val="24"/>
        </w:rPr>
        <w:t>Tiangen</w:t>
      </w:r>
      <w:proofErr w:type="spellEnd"/>
      <w:r w:rsidRPr="00D640A9">
        <w:rPr>
          <w:rFonts w:ascii="Book Antiqua" w:hAnsi="Book Antiqua"/>
          <w:color w:val="000000" w:themeColor="text1"/>
          <w:sz w:val="24"/>
          <w:szCs w:val="24"/>
        </w:rPr>
        <w:t xml:space="preserve"> Biotech, Beijing, China) was used to stain the invasive cells on the lower surface of the chamber. The number of invasive cells was counted under an inverted microscope. All experiments were repeated three times.</w:t>
      </w:r>
    </w:p>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 xml:space="preserve">5-Aza-CdR and </w:t>
      </w:r>
      <w:proofErr w:type="spellStart"/>
      <w:r w:rsidRPr="00D640A9">
        <w:rPr>
          <w:rFonts w:ascii="Book Antiqua" w:hAnsi="Book Antiqua"/>
          <w:b/>
          <w:i/>
          <w:color w:val="000000" w:themeColor="text1"/>
          <w:sz w:val="24"/>
          <w:szCs w:val="24"/>
        </w:rPr>
        <w:t>t</w:t>
      </w:r>
      <w:r w:rsidR="006D131E" w:rsidRPr="00D640A9">
        <w:rPr>
          <w:rFonts w:ascii="Book Antiqua" w:hAnsi="Book Antiqua"/>
          <w:b/>
          <w:i/>
          <w:color w:val="000000" w:themeColor="text1"/>
          <w:sz w:val="24"/>
          <w:szCs w:val="24"/>
        </w:rPr>
        <w:t>richostatin</w:t>
      </w:r>
      <w:proofErr w:type="spellEnd"/>
      <w:r w:rsidR="006D131E" w:rsidRPr="00D640A9">
        <w:rPr>
          <w:rFonts w:ascii="Book Antiqua" w:hAnsi="Book Antiqua"/>
          <w:b/>
          <w:i/>
          <w:color w:val="000000" w:themeColor="text1"/>
          <w:sz w:val="24"/>
          <w:szCs w:val="24"/>
        </w:rPr>
        <w:t xml:space="preserve"> A (TSA) treatments</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MKN-45 cells were inoculated into six-well plates. Cells were treated with 5-Aza-CdR (Sigma–Aldrich, St Louis, MO, USA) at 0.5, 1, or 1.5 </w:t>
      </w:r>
      <w:proofErr w:type="spellStart"/>
      <w:r w:rsidRPr="00D640A9">
        <w:rPr>
          <w:rFonts w:ascii="Book Antiqua" w:hAnsi="Book Antiqua"/>
          <w:color w:val="000000" w:themeColor="text1"/>
          <w:sz w:val="24"/>
          <w:szCs w:val="24"/>
        </w:rPr>
        <w:t>μmol</w:t>
      </w:r>
      <w:proofErr w:type="spellEnd"/>
      <w:r w:rsidRPr="00D640A9">
        <w:rPr>
          <w:rFonts w:ascii="Book Antiqua" w:hAnsi="Book Antiqua"/>
          <w:color w:val="000000" w:themeColor="text1"/>
          <w:sz w:val="24"/>
          <w:szCs w:val="24"/>
        </w:rPr>
        <w:t>/L for 72 h, or with TSA (</w:t>
      </w:r>
      <w:proofErr w:type="spellStart"/>
      <w:r w:rsidRPr="00D640A9">
        <w:rPr>
          <w:rFonts w:ascii="Book Antiqua" w:hAnsi="Book Antiqua"/>
          <w:color w:val="000000" w:themeColor="text1"/>
          <w:sz w:val="24"/>
          <w:szCs w:val="24"/>
        </w:rPr>
        <w:t>Beyotime</w:t>
      </w:r>
      <w:proofErr w:type="spellEnd"/>
      <w:r w:rsidRPr="00D640A9">
        <w:rPr>
          <w:rFonts w:ascii="Book Antiqua" w:hAnsi="Book Antiqua"/>
          <w:color w:val="000000" w:themeColor="text1"/>
          <w:sz w:val="24"/>
          <w:szCs w:val="24"/>
        </w:rPr>
        <w:t xml:space="preserve">, Beijing, China) at 300 nmol/L for 24 h. TSA was also added to the medium for the final 24 h of the 72 h 5-Aza-CdR (0.5 </w:t>
      </w:r>
      <w:proofErr w:type="spellStart"/>
      <w:r w:rsidRPr="00D640A9">
        <w:rPr>
          <w:rFonts w:ascii="Book Antiqua" w:hAnsi="Book Antiqua"/>
          <w:color w:val="000000" w:themeColor="text1"/>
          <w:sz w:val="24"/>
          <w:szCs w:val="24"/>
        </w:rPr>
        <w:t>μmol</w:t>
      </w:r>
      <w:proofErr w:type="spellEnd"/>
      <w:r w:rsidRPr="00D640A9">
        <w:rPr>
          <w:rFonts w:ascii="Book Antiqua" w:hAnsi="Book Antiqua"/>
          <w:color w:val="000000" w:themeColor="text1"/>
          <w:sz w:val="24"/>
          <w:szCs w:val="24"/>
        </w:rPr>
        <w:t xml:space="preserve">/L) treatment period. To maintain drug effectiveness, the medium containing the drug was replaced every 24 h. Cells were then harvested, and RNA from MKN-45 cells was purified using the </w:t>
      </w:r>
      <w:proofErr w:type="spellStart"/>
      <w:r w:rsidRPr="00D640A9">
        <w:rPr>
          <w:rFonts w:ascii="Book Antiqua" w:hAnsi="Book Antiqua"/>
          <w:color w:val="000000" w:themeColor="text1"/>
          <w:sz w:val="24"/>
          <w:szCs w:val="24"/>
        </w:rPr>
        <w:t>TRIzol</w:t>
      </w:r>
      <w:proofErr w:type="spellEnd"/>
      <w:r w:rsidRPr="00D640A9">
        <w:rPr>
          <w:rFonts w:ascii="Book Antiqua" w:hAnsi="Book Antiqua"/>
          <w:color w:val="000000" w:themeColor="text1"/>
          <w:sz w:val="24"/>
          <w:szCs w:val="24"/>
        </w:rPr>
        <w:t xml:space="preserve"> reagent. cDNA synthesis was performed as described previously, and 1 mL of diluted cDNA from each sample was amplified by quantitative PCR using a previously described protocol.</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DNA isola</w:t>
      </w:r>
      <w:r w:rsidR="000356F0" w:rsidRPr="00D640A9">
        <w:rPr>
          <w:rFonts w:ascii="Book Antiqua" w:hAnsi="Book Antiqua"/>
          <w:b/>
          <w:i/>
          <w:color w:val="000000" w:themeColor="text1"/>
          <w:sz w:val="24"/>
          <w:szCs w:val="24"/>
        </w:rPr>
        <w:t>tion and bisulfite modification</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Genomic DNA was isolated from primary GC samples (cancer tissues and matched adjacent normal tissues) and GC cells, and harvested after transfection for 48 h with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mimics, scramble mimics, or no transfection. The </w:t>
      </w:r>
      <w:proofErr w:type="spellStart"/>
      <w:r w:rsidRPr="00D640A9">
        <w:rPr>
          <w:rFonts w:ascii="Book Antiqua" w:hAnsi="Book Antiqua"/>
          <w:color w:val="000000" w:themeColor="text1"/>
          <w:sz w:val="24"/>
          <w:szCs w:val="24"/>
        </w:rPr>
        <w:t>MiniBEST</w:t>
      </w:r>
      <w:proofErr w:type="spellEnd"/>
      <w:r w:rsidRPr="00D640A9">
        <w:rPr>
          <w:rFonts w:ascii="Book Antiqua" w:hAnsi="Book Antiqua"/>
          <w:color w:val="000000" w:themeColor="text1"/>
          <w:sz w:val="24"/>
          <w:szCs w:val="24"/>
        </w:rPr>
        <w:t xml:space="preserve"> Universal Genomic DNA Extraction Kit (</w:t>
      </w:r>
      <w:proofErr w:type="spellStart"/>
      <w:r w:rsidRPr="00D640A9">
        <w:rPr>
          <w:rFonts w:ascii="Book Antiqua" w:hAnsi="Book Antiqua"/>
          <w:color w:val="000000" w:themeColor="text1"/>
          <w:sz w:val="24"/>
          <w:szCs w:val="24"/>
        </w:rPr>
        <w:t>TaKaRa</w:t>
      </w:r>
      <w:proofErr w:type="spellEnd"/>
      <w:r w:rsidRPr="00D640A9">
        <w:rPr>
          <w:rFonts w:ascii="Book Antiqua" w:hAnsi="Book Antiqua"/>
          <w:color w:val="000000" w:themeColor="text1"/>
          <w:sz w:val="24"/>
          <w:szCs w:val="24"/>
        </w:rPr>
        <w:t>, Shiga, Japan) was used for DNA isolation. The genomic DNA underwent bisulfite modification using the EZ DNA Methylation-Gold Kit (</w:t>
      </w:r>
      <w:proofErr w:type="spellStart"/>
      <w:r w:rsidRPr="00D640A9">
        <w:rPr>
          <w:rFonts w:ascii="Book Antiqua" w:hAnsi="Book Antiqua"/>
          <w:color w:val="000000" w:themeColor="text1"/>
          <w:sz w:val="24"/>
          <w:szCs w:val="24"/>
        </w:rPr>
        <w:t>TaKaRa</w:t>
      </w:r>
      <w:proofErr w:type="spellEnd"/>
      <w:r w:rsidRPr="00D640A9">
        <w:rPr>
          <w:rFonts w:ascii="Book Antiqua" w:hAnsi="Book Antiqua"/>
          <w:color w:val="000000" w:themeColor="text1"/>
          <w:sz w:val="24"/>
          <w:szCs w:val="24"/>
        </w:rPr>
        <w:t>). DNA (400 ng) was diluted to 20 μL, and 130 μL of the conversion reagent (900 μL water, 50 μL M-dissolving buffer, 300 μL M-dilution buffer) was added. Bisulfite conversion was carried out as follows: 98°C for 10 min, 64°C for 150 min, and 4°C for 5 min, and DNA was recovered using a Zymo-Spin column (</w:t>
      </w:r>
      <w:proofErr w:type="spellStart"/>
      <w:r w:rsidRPr="00D640A9">
        <w:rPr>
          <w:rFonts w:ascii="Book Antiqua" w:hAnsi="Book Antiqua"/>
          <w:color w:val="000000" w:themeColor="text1"/>
          <w:sz w:val="24"/>
          <w:szCs w:val="24"/>
        </w:rPr>
        <w:t>Zymo</w:t>
      </w:r>
      <w:proofErr w:type="spellEnd"/>
      <w:r w:rsidRPr="00D640A9">
        <w:rPr>
          <w:rFonts w:ascii="Book Antiqua" w:hAnsi="Book Antiqua"/>
          <w:color w:val="000000" w:themeColor="text1"/>
          <w:sz w:val="24"/>
          <w:szCs w:val="24"/>
        </w:rPr>
        <w:t xml:space="preserve"> Research, Irvine, CA, USA). Bisulfite-treated DNA was used for methylation analyses.</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 xml:space="preserve">Methylation analysis </w:t>
      </w:r>
    </w:p>
    <w:p w:rsidR="00B96523" w:rsidRPr="00D640A9" w:rsidRDefault="002F7DEB" w:rsidP="00D44140">
      <w:pPr>
        <w:spacing w:line="360" w:lineRule="auto"/>
        <w:rPr>
          <w:rFonts w:ascii="Book Antiqua" w:hAnsi="Book Antiqua"/>
          <w:b/>
          <w:color w:val="000000" w:themeColor="text1"/>
          <w:sz w:val="24"/>
          <w:szCs w:val="24"/>
        </w:rPr>
      </w:pPr>
      <w:bookmarkStart w:id="37" w:name="OLE_LINK10"/>
      <w:bookmarkStart w:id="38" w:name="OLE_LINK11"/>
      <w:r w:rsidRPr="00D640A9">
        <w:rPr>
          <w:rFonts w:ascii="Book Antiqua" w:hAnsi="Book Antiqua"/>
          <w:color w:val="000000" w:themeColor="text1"/>
          <w:sz w:val="24"/>
          <w:szCs w:val="24"/>
        </w:rPr>
        <w:t>The methylation status of the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promoter CpG islands in cell lines and tissues was analyzed using methylation-specific PCR (MSP)</w:t>
      </w:r>
      <w:bookmarkEnd w:id="37"/>
      <w:bookmarkEnd w:id="38"/>
      <w:r w:rsidRPr="00D640A9">
        <w:rPr>
          <w:rFonts w:ascii="Book Antiqua" w:hAnsi="Book Antiqua"/>
          <w:color w:val="000000" w:themeColor="text1"/>
          <w:sz w:val="24"/>
          <w:szCs w:val="24"/>
        </w:rPr>
        <w:t xml:space="preserve">. The MSP primers were designed using </w:t>
      </w:r>
      <w:proofErr w:type="spellStart"/>
      <w:r w:rsidRPr="00D640A9">
        <w:rPr>
          <w:rFonts w:ascii="Book Antiqua" w:hAnsi="Book Antiqua"/>
          <w:color w:val="000000" w:themeColor="text1"/>
          <w:sz w:val="24"/>
          <w:szCs w:val="24"/>
        </w:rPr>
        <w:t>MethPrimer</w:t>
      </w:r>
      <w:proofErr w:type="spellEnd"/>
      <w:r w:rsidRPr="00D640A9">
        <w:rPr>
          <w:rFonts w:ascii="Book Antiqua" w:hAnsi="Book Antiqua"/>
          <w:color w:val="000000" w:themeColor="text1"/>
          <w:sz w:val="24"/>
          <w:szCs w:val="24"/>
        </w:rPr>
        <w:t xml:space="preserve"> (http://www.urogene.org/methprimer/) and are listed in Table 2. The PCR product length was 149 bp. The amplification reaction volume was 25 μL, and the reaction procedure was as follows: one cycle at 94°C for 5 min, 40 cycles at 94°C for 30 min, 58°C for 30 min, 72°C for 30 min, and one cycle at 72°C for 10 min. Agarose gel electrophoresis was performed to analyze the MSP products. </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 xml:space="preserve">Dual luciferase assay </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Luciferase activity was analyzed using a dual luciferase reporter assay system (Promega, Shanghai, China).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mimics,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negative control miRNA, wild-type PBX3 (</w:t>
      </w:r>
      <w:bookmarkStart w:id="39" w:name="OLE_LINK41"/>
      <w:bookmarkStart w:id="40" w:name="OLE_LINK42"/>
      <w:r w:rsidRPr="00D640A9">
        <w:rPr>
          <w:rFonts w:ascii="Book Antiqua" w:hAnsi="Book Antiqua"/>
          <w:color w:val="000000" w:themeColor="text1"/>
          <w:sz w:val="24"/>
          <w:szCs w:val="24"/>
        </w:rPr>
        <w:t>A</w:t>
      </w:r>
      <w:r w:rsidRPr="00D640A9">
        <w:rPr>
          <w:rFonts w:ascii="Book Antiqua" w:hAnsi="Book Antiqua"/>
          <w:color w:val="000000" w:themeColor="text1"/>
          <w:sz w:val="24"/>
          <w:szCs w:val="24"/>
          <w:u w:val="single"/>
        </w:rPr>
        <w:t>CAGCUUU</w:t>
      </w:r>
      <w:r w:rsidRPr="00D640A9">
        <w:rPr>
          <w:rFonts w:ascii="Book Antiqua" w:hAnsi="Book Antiqua"/>
          <w:color w:val="000000" w:themeColor="text1"/>
          <w:sz w:val="24"/>
          <w:szCs w:val="24"/>
        </w:rPr>
        <w:t>A</w:t>
      </w:r>
      <w:bookmarkEnd w:id="39"/>
      <w:bookmarkEnd w:id="40"/>
      <w:r w:rsidRPr="00D640A9">
        <w:rPr>
          <w:rFonts w:ascii="Book Antiqua" w:hAnsi="Book Antiqua"/>
          <w:color w:val="000000" w:themeColor="text1"/>
          <w:sz w:val="24"/>
          <w:szCs w:val="24"/>
        </w:rPr>
        <w:t>), or mutant PBX3 (A</w:t>
      </w:r>
      <w:r w:rsidRPr="00D640A9">
        <w:rPr>
          <w:rFonts w:ascii="Book Antiqua" w:hAnsi="Book Antiqua"/>
          <w:color w:val="000000" w:themeColor="text1"/>
          <w:sz w:val="24"/>
          <w:szCs w:val="24"/>
          <w:u w:val="single"/>
        </w:rPr>
        <w:t>CACCCUU</w:t>
      </w:r>
      <w:r w:rsidRPr="00D640A9">
        <w:rPr>
          <w:rFonts w:ascii="Book Antiqua" w:hAnsi="Book Antiqua"/>
          <w:color w:val="000000" w:themeColor="text1"/>
          <w:sz w:val="24"/>
          <w:szCs w:val="24"/>
        </w:rPr>
        <w:t>A) was transfected into MKN-45 cells for 48 h using Lipofectamine 3000 (Invitrogen). Experiments were repeated three times.</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 xml:space="preserve">Protein isolation and Western </w:t>
      </w:r>
      <w:bookmarkStart w:id="41" w:name="_GoBack"/>
      <w:r w:rsidRPr="00D640A9">
        <w:rPr>
          <w:rFonts w:ascii="Book Antiqua" w:hAnsi="Book Antiqua"/>
          <w:b/>
          <w:i/>
          <w:color w:val="000000" w:themeColor="text1"/>
          <w:sz w:val="24"/>
          <w:szCs w:val="24"/>
        </w:rPr>
        <w:t>blot</w:t>
      </w:r>
      <w:bookmarkEnd w:id="41"/>
      <w:r w:rsidRPr="00D640A9">
        <w:rPr>
          <w:rFonts w:ascii="Book Antiqua" w:hAnsi="Book Antiqua"/>
          <w:b/>
          <w:i/>
          <w:color w:val="000000" w:themeColor="text1"/>
          <w:sz w:val="24"/>
          <w:szCs w:val="24"/>
        </w:rPr>
        <w:t xml:space="preserve">ting </w:t>
      </w:r>
    </w:p>
    <w:p w:rsidR="00B96523" w:rsidRPr="00D640A9" w:rsidRDefault="002F7DEB" w:rsidP="00D44140">
      <w:pPr>
        <w:spacing w:line="360" w:lineRule="auto"/>
        <w:rPr>
          <w:rFonts w:ascii="Book Antiqua" w:hAnsi="Book Antiqua"/>
          <w:b/>
          <w:color w:val="000000" w:themeColor="text1"/>
          <w:sz w:val="24"/>
          <w:szCs w:val="24"/>
        </w:rPr>
      </w:pPr>
      <w:r w:rsidRPr="00D640A9">
        <w:rPr>
          <w:rFonts w:ascii="Book Antiqua" w:hAnsi="Book Antiqua"/>
          <w:color w:val="000000" w:themeColor="text1"/>
          <w:sz w:val="24"/>
          <w:szCs w:val="24"/>
        </w:rPr>
        <w:t xml:space="preserve">Total protein was extracted from GC tissues and cells (MKN-45 and </w:t>
      </w:r>
      <w:r w:rsidRPr="00D640A9">
        <w:rPr>
          <w:rFonts w:ascii="Book Antiqua" w:hAnsi="Book Antiqua"/>
          <w:bCs/>
          <w:color w:val="000000" w:themeColor="text1"/>
          <w:sz w:val="24"/>
          <w:szCs w:val="24"/>
        </w:rPr>
        <w:t>BGC-823</w:t>
      </w:r>
      <w:r w:rsidRPr="00D640A9">
        <w:rPr>
          <w:rFonts w:ascii="Book Antiqua" w:hAnsi="Book Antiqua"/>
          <w:color w:val="000000" w:themeColor="text1"/>
          <w:sz w:val="24"/>
          <w:szCs w:val="24"/>
        </w:rPr>
        <w:t>) after transfection for 48 h with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mimics, scramble mimics,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inhibitor, scramble inhibitor, or no transfection using RIPA buffer (</w:t>
      </w:r>
      <w:proofErr w:type="spellStart"/>
      <w:r w:rsidRPr="00D640A9">
        <w:rPr>
          <w:rFonts w:ascii="Book Antiqua" w:hAnsi="Book Antiqua"/>
          <w:color w:val="000000" w:themeColor="text1"/>
          <w:sz w:val="24"/>
          <w:szCs w:val="24"/>
        </w:rPr>
        <w:t>Beyotime</w:t>
      </w:r>
      <w:proofErr w:type="spellEnd"/>
      <w:r w:rsidRPr="00D640A9">
        <w:rPr>
          <w:rFonts w:ascii="Book Antiqua" w:hAnsi="Book Antiqua"/>
          <w:color w:val="000000" w:themeColor="text1"/>
          <w:sz w:val="24"/>
          <w:szCs w:val="24"/>
        </w:rPr>
        <w:t>, Shanghai, China), and protein concentration was determined using a BCA Protein Assay Kit (</w:t>
      </w:r>
      <w:proofErr w:type="spellStart"/>
      <w:r w:rsidRPr="00D640A9">
        <w:rPr>
          <w:rFonts w:ascii="Book Antiqua" w:hAnsi="Book Antiqua"/>
          <w:color w:val="000000" w:themeColor="text1"/>
          <w:sz w:val="24"/>
          <w:szCs w:val="24"/>
        </w:rPr>
        <w:t>TaKaRa</w:t>
      </w:r>
      <w:proofErr w:type="spellEnd"/>
      <w:r w:rsidRPr="00D640A9">
        <w:rPr>
          <w:rFonts w:ascii="Book Antiqua" w:hAnsi="Book Antiqua"/>
          <w:color w:val="000000" w:themeColor="text1"/>
          <w:sz w:val="24"/>
          <w:szCs w:val="24"/>
        </w:rPr>
        <w:t>, Dalian, China). Appropriate protein samples were separated by SDS-PAGE (</w:t>
      </w:r>
      <w:proofErr w:type="spellStart"/>
      <w:r w:rsidRPr="00D640A9">
        <w:rPr>
          <w:rFonts w:ascii="Book Antiqua" w:hAnsi="Book Antiqua"/>
          <w:color w:val="000000" w:themeColor="text1"/>
          <w:sz w:val="24"/>
          <w:szCs w:val="24"/>
        </w:rPr>
        <w:t>TaKaRa</w:t>
      </w:r>
      <w:proofErr w:type="spellEnd"/>
      <w:r w:rsidRPr="00D640A9">
        <w:rPr>
          <w:rFonts w:ascii="Book Antiqua" w:hAnsi="Book Antiqua"/>
          <w:color w:val="000000" w:themeColor="text1"/>
          <w:sz w:val="24"/>
          <w:szCs w:val="24"/>
        </w:rPr>
        <w:t>, Dalian, China), and electrophoresis was carried out for 100 min at 120 V. The proteins were then transferred to polyvinylidene difluoride membranes (</w:t>
      </w:r>
      <w:bookmarkStart w:id="42" w:name="OLE_LINK12"/>
      <w:r w:rsidRPr="00D640A9">
        <w:rPr>
          <w:rFonts w:ascii="Book Antiqua" w:hAnsi="Book Antiqua"/>
          <w:color w:val="000000" w:themeColor="text1"/>
          <w:sz w:val="24"/>
          <w:szCs w:val="24"/>
        </w:rPr>
        <w:t>Millipore</w:t>
      </w:r>
      <w:bookmarkEnd w:id="42"/>
      <w:r w:rsidRPr="00D640A9">
        <w:rPr>
          <w:rFonts w:ascii="Book Antiqua" w:hAnsi="Book Antiqua"/>
          <w:color w:val="000000" w:themeColor="text1"/>
          <w:sz w:val="24"/>
          <w:szCs w:val="24"/>
        </w:rPr>
        <w:t xml:space="preserve">, Shanghai, China), which were blocked in bovine serum albumin (BSA) for 2 h at room temperature. Rabbit anti-PBX3 monoclonal antibody (1:3000; </w:t>
      </w:r>
      <w:r w:rsidRPr="00D640A9">
        <w:rPr>
          <w:rFonts w:ascii="Book Antiqua" w:hAnsi="Book Antiqua"/>
          <w:bCs/>
          <w:color w:val="000000" w:themeColor="text1"/>
          <w:sz w:val="24"/>
          <w:szCs w:val="24"/>
        </w:rPr>
        <w:t>Abcam, Cambridge, UK; #Ab109173</w:t>
      </w:r>
      <w:r w:rsidRPr="00D640A9">
        <w:rPr>
          <w:rFonts w:ascii="Book Antiqua" w:hAnsi="Book Antiqua"/>
          <w:color w:val="000000" w:themeColor="text1"/>
          <w:sz w:val="24"/>
          <w:szCs w:val="24"/>
        </w:rPr>
        <w:t>) was added overnight at 4°C. Rabbit anti-GAPDH monoclonal antibody</w:t>
      </w:r>
      <w:r w:rsidRPr="00D640A9">
        <w:rPr>
          <w:rFonts w:ascii="Book Antiqua" w:hAnsi="Book Antiqua"/>
          <w:color w:val="000000" w:themeColor="text1"/>
          <w:sz w:val="24"/>
          <w:szCs w:val="24"/>
        </w:rPr>
        <w:softHyphen/>
        <w:t xml:space="preserve"> (1:3000; </w:t>
      </w:r>
      <w:proofErr w:type="spellStart"/>
      <w:r w:rsidRPr="00D640A9">
        <w:rPr>
          <w:rFonts w:ascii="Book Antiqua" w:hAnsi="Book Antiqua"/>
          <w:color w:val="000000" w:themeColor="text1"/>
          <w:sz w:val="24"/>
          <w:szCs w:val="24"/>
        </w:rPr>
        <w:t>ABclonal</w:t>
      </w:r>
      <w:proofErr w:type="spellEnd"/>
      <w:r w:rsidRPr="00D640A9">
        <w:rPr>
          <w:rFonts w:ascii="Book Antiqua" w:hAnsi="Book Antiqua"/>
          <w:color w:val="000000" w:themeColor="text1"/>
          <w:sz w:val="24"/>
          <w:szCs w:val="24"/>
        </w:rPr>
        <w:t xml:space="preserve">, Boston, MA, USA) was used as the internal reference. Goat anti-rabbit secondary antibody was added to the polyvinylidene difluoride membranes for </w:t>
      </w:r>
      <w:r w:rsidRPr="00D640A9">
        <w:rPr>
          <w:rFonts w:ascii="Book Antiqua" w:hAnsi="Book Antiqua"/>
          <w:color w:val="000000" w:themeColor="text1"/>
          <w:sz w:val="24"/>
          <w:szCs w:val="24"/>
        </w:rPr>
        <w:lastRenderedPageBreak/>
        <w:t>2 h the following day. Then, a chemiluminescence instrument (</w:t>
      </w:r>
      <w:proofErr w:type="spellStart"/>
      <w:r w:rsidRPr="00D640A9">
        <w:rPr>
          <w:rFonts w:ascii="Book Antiqua" w:hAnsi="Book Antiqua"/>
          <w:color w:val="000000" w:themeColor="text1"/>
          <w:sz w:val="24"/>
          <w:szCs w:val="24"/>
        </w:rPr>
        <w:t>Tanon</w:t>
      </w:r>
      <w:proofErr w:type="spellEnd"/>
      <w:r w:rsidRPr="00D640A9">
        <w:rPr>
          <w:rFonts w:ascii="Book Antiqua" w:hAnsi="Book Antiqua"/>
          <w:color w:val="000000" w:themeColor="text1"/>
          <w:sz w:val="24"/>
          <w:szCs w:val="24"/>
        </w:rPr>
        <w:t>, Shanghai, China) was used to determine the MSP product levels.</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Histology</w:t>
      </w:r>
    </w:p>
    <w:p w:rsidR="00B96523" w:rsidRPr="00D640A9" w:rsidRDefault="002F7DEB" w:rsidP="00D44140">
      <w:pPr>
        <w:spacing w:line="360" w:lineRule="auto"/>
        <w:rPr>
          <w:rFonts w:ascii="Book Antiqua" w:hAnsi="Book Antiqua"/>
          <w:b/>
          <w:color w:val="000000" w:themeColor="text1"/>
          <w:sz w:val="24"/>
          <w:szCs w:val="24"/>
        </w:rPr>
      </w:pPr>
      <w:r w:rsidRPr="00D640A9">
        <w:rPr>
          <w:rFonts w:ascii="Book Antiqua" w:hAnsi="Book Antiqua"/>
          <w:color w:val="000000" w:themeColor="text1"/>
          <w:sz w:val="24"/>
          <w:szCs w:val="24"/>
        </w:rPr>
        <w:t>All samples were incubated overnight in buffered formalin, after which they were embedded in paraffin, cut into 3-μm-thick sections, and st</w:t>
      </w:r>
      <w:r w:rsidR="000356F0" w:rsidRPr="00D640A9">
        <w:rPr>
          <w:rFonts w:ascii="Book Antiqua" w:hAnsi="Book Antiqua"/>
          <w:color w:val="000000" w:themeColor="text1"/>
          <w:sz w:val="24"/>
          <w:szCs w:val="24"/>
        </w:rPr>
        <w:t>ained with hematoxylin–eosin (H</w:t>
      </w:r>
      <w:r w:rsidRPr="00D640A9">
        <w:rPr>
          <w:rFonts w:ascii="Book Antiqua" w:hAnsi="Book Antiqua"/>
          <w:color w:val="000000" w:themeColor="text1"/>
          <w:sz w:val="24"/>
          <w:szCs w:val="24"/>
        </w:rPr>
        <w:t xml:space="preserve">E). </w:t>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2F7DEB" w:rsidP="00D44140">
      <w:pPr>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Bioinformatics and statistical analysis</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The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target gene was predicted by TargetScanHuman7.1 (http://www.targetscan.org/vert_71/), </w:t>
      </w:r>
      <w:proofErr w:type="spellStart"/>
      <w:r w:rsidRPr="00D640A9">
        <w:rPr>
          <w:rFonts w:ascii="Book Antiqua" w:hAnsi="Book Antiqua"/>
          <w:color w:val="000000" w:themeColor="text1"/>
          <w:sz w:val="24"/>
          <w:szCs w:val="24"/>
        </w:rPr>
        <w:t>miRDB</w:t>
      </w:r>
      <w:proofErr w:type="spellEnd"/>
      <w:r w:rsidRPr="00D640A9">
        <w:rPr>
          <w:rFonts w:ascii="Book Antiqua" w:hAnsi="Book Antiqua"/>
          <w:color w:val="000000" w:themeColor="text1"/>
          <w:sz w:val="24"/>
          <w:szCs w:val="24"/>
        </w:rPr>
        <w:t xml:space="preserve"> (http://www.mirdb.org/miRDB/), and microrna.org (http://www.microrna.org/microrna/home.do). </w:t>
      </w:r>
      <w:proofErr w:type="spellStart"/>
      <w:r w:rsidRPr="00D640A9">
        <w:rPr>
          <w:rFonts w:ascii="Book Antiqua" w:hAnsi="Book Antiqua"/>
          <w:color w:val="000000" w:themeColor="text1"/>
          <w:sz w:val="24"/>
          <w:szCs w:val="24"/>
        </w:rPr>
        <w:t>MethPrimer</w:t>
      </w:r>
      <w:proofErr w:type="spellEnd"/>
      <w:r w:rsidRPr="00D640A9">
        <w:rPr>
          <w:rFonts w:ascii="Book Antiqua" w:hAnsi="Book Antiqua"/>
          <w:color w:val="000000" w:themeColor="text1"/>
          <w:sz w:val="24"/>
          <w:szCs w:val="24"/>
        </w:rPr>
        <w:t xml:space="preserve"> (http:// www.urogene.org/methprimer2/index.html) was used to predict the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promoter CpG islands. </w:t>
      </w:r>
    </w:p>
    <w:p w:rsidR="00B96523" w:rsidRPr="00D640A9" w:rsidRDefault="002F7DEB" w:rsidP="00D44140">
      <w:pPr>
        <w:spacing w:line="360" w:lineRule="auto"/>
        <w:ind w:firstLine="420"/>
        <w:rPr>
          <w:rFonts w:ascii="Book Antiqua" w:hAnsi="Book Antiqua"/>
          <w:color w:val="000000" w:themeColor="text1"/>
          <w:sz w:val="24"/>
          <w:szCs w:val="24"/>
        </w:rPr>
      </w:pPr>
      <w:r w:rsidRPr="00D640A9">
        <w:rPr>
          <w:rFonts w:ascii="Book Antiqua" w:hAnsi="Book Antiqua"/>
          <w:color w:val="000000" w:themeColor="text1"/>
          <w:sz w:val="24"/>
          <w:szCs w:val="24"/>
        </w:rPr>
        <w:t xml:space="preserve">Statistical analysis was performed using SPSS version 17.0 (SPSS, Chicago, IL, USA). </w:t>
      </w:r>
      <w:r w:rsidRPr="00D640A9">
        <w:rPr>
          <w:rFonts w:ascii="Book Antiqua" w:hAnsi="Book Antiqua"/>
          <w:i/>
          <w:color w:val="000000" w:themeColor="text1"/>
          <w:sz w:val="24"/>
          <w:szCs w:val="24"/>
        </w:rPr>
        <w:t>X</w:t>
      </w:r>
      <w:r w:rsidRPr="00D640A9">
        <w:rPr>
          <w:rFonts w:ascii="Book Antiqua" w:hAnsi="Book Antiqua"/>
          <w:color w:val="000000" w:themeColor="text1"/>
          <w:sz w:val="24"/>
          <w:szCs w:val="24"/>
          <w:vertAlign w:val="superscript"/>
        </w:rPr>
        <w:t>2</w:t>
      </w:r>
      <w:r w:rsidRPr="00D640A9">
        <w:rPr>
          <w:rFonts w:ascii="Book Antiqua" w:hAnsi="Book Antiqua"/>
          <w:color w:val="000000" w:themeColor="text1"/>
          <w:sz w:val="24"/>
          <w:szCs w:val="24"/>
        </w:rPr>
        <w:t xml:space="preserve"> test or Student’s </w:t>
      </w:r>
      <w:r w:rsidRPr="00D640A9">
        <w:rPr>
          <w:rFonts w:ascii="Book Antiqua" w:hAnsi="Book Antiqua"/>
          <w:i/>
          <w:color w:val="000000" w:themeColor="text1"/>
          <w:sz w:val="24"/>
          <w:szCs w:val="24"/>
        </w:rPr>
        <w:t>t</w:t>
      </w:r>
      <w:r w:rsidRPr="00D640A9">
        <w:rPr>
          <w:rFonts w:ascii="Book Antiqua" w:hAnsi="Book Antiqua"/>
          <w:color w:val="000000" w:themeColor="text1"/>
          <w:sz w:val="24"/>
          <w:szCs w:val="24"/>
        </w:rPr>
        <w:t xml:space="preserve"> test (two-tailed) were used. </w:t>
      </w:r>
      <w:r w:rsidRPr="00D640A9">
        <w:rPr>
          <w:rFonts w:ascii="Book Antiqua" w:hAnsi="Book Antiqua"/>
          <w:i/>
          <w:color w:val="000000" w:themeColor="text1"/>
          <w:sz w:val="24"/>
          <w:szCs w:val="24"/>
        </w:rPr>
        <w:t>P</w:t>
      </w:r>
      <w:r w:rsidRPr="00D640A9">
        <w:rPr>
          <w:rFonts w:ascii="Book Antiqua" w:hAnsi="Book Antiqua"/>
          <w:color w:val="000000" w:themeColor="text1"/>
          <w:sz w:val="24"/>
          <w:szCs w:val="24"/>
        </w:rPr>
        <w:t xml:space="preserve"> &lt; 0.05 was considered statistically significant. </w:t>
      </w:r>
    </w:p>
    <w:p w:rsidR="00B96523" w:rsidRPr="00D640A9" w:rsidRDefault="00B96523" w:rsidP="00D44140">
      <w:pPr>
        <w:spacing w:line="360" w:lineRule="auto"/>
        <w:rPr>
          <w:rFonts w:ascii="Book Antiqua" w:hAnsi="Book Antiqua"/>
          <w:color w:val="000000" w:themeColor="text1"/>
          <w:sz w:val="24"/>
          <w:szCs w:val="24"/>
        </w:rPr>
      </w:pPr>
    </w:p>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
          <w:bCs/>
          <w:color w:val="000000" w:themeColor="text1"/>
          <w:sz w:val="24"/>
          <w:szCs w:val="24"/>
        </w:rPr>
        <w:t>RESULTS</w:t>
      </w:r>
    </w:p>
    <w:p w:rsidR="00B96523" w:rsidRPr="00D640A9" w:rsidRDefault="002F7DEB" w:rsidP="00D44140">
      <w:pPr>
        <w:spacing w:line="360" w:lineRule="auto"/>
        <w:rPr>
          <w:rFonts w:ascii="Book Antiqua" w:hAnsi="Book Antiqua"/>
          <w:b/>
          <w:bCs/>
          <w:i/>
          <w:iCs/>
          <w:color w:val="000000" w:themeColor="text1"/>
          <w:sz w:val="24"/>
          <w:szCs w:val="24"/>
        </w:rPr>
      </w:pPr>
      <w:r w:rsidRPr="00D640A9">
        <w:rPr>
          <w:rFonts w:ascii="Book Antiqua" w:hAnsi="Book Antiqua"/>
          <w:b/>
          <w:bCs/>
          <w:i/>
          <w:iCs/>
          <w:color w:val="000000" w:themeColor="text1"/>
          <w:sz w:val="24"/>
          <w:szCs w:val="24"/>
        </w:rPr>
        <w:t>miR-</w:t>
      </w:r>
      <w:r w:rsidRPr="00D640A9">
        <w:rPr>
          <w:rFonts w:ascii="Book Antiqua" w:hAnsi="Book Antiqua"/>
          <w:bCs/>
          <w:i/>
          <w:iCs/>
          <w:color w:val="000000" w:themeColor="text1"/>
          <w:sz w:val="24"/>
          <w:szCs w:val="24"/>
        </w:rPr>
        <w:t>320a</w:t>
      </w:r>
      <w:r w:rsidRPr="00D640A9">
        <w:rPr>
          <w:rFonts w:ascii="Book Antiqua" w:hAnsi="Book Antiqua"/>
          <w:b/>
          <w:bCs/>
          <w:i/>
          <w:iCs/>
          <w:color w:val="000000" w:themeColor="text1"/>
          <w:sz w:val="24"/>
          <w:szCs w:val="24"/>
        </w:rPr>
        <w:t xml:space="preserve"> expression in GC tissues and its associations with clinicopathological characteristics </w:t>
      </w:r>
    </w:p>
    <w:p w:rsidR="00B96523" w:rsidRPr="00D640A9" w:rsidRDefault="002F7DEB" w:rsidP="00D44140">
      <w:pPr>
        <w:spacing w:line="360" w:lineRule="auto"/>
        <w:rPr>
          <w:rFonts w:ascii="Book Antiqua" w:hAnsi="Book Antiqua"/>
          <w:bCs/>
          <w:iCs/>
          <w:color w:val="000000" w:themeColor="text1"/>
          <w:sz w:val="24"/>
          <w:szCs w:val="24"/>
        </w:rPr>
      </w:pPr>
      <w:r w:rsidRPr="00D640A9">
        <w:rPr>
          <w:rFonts w:ascii="Book Antiqua" w:hAnsi="Book Antiqua"/>
          <w:bCs/>
          <w:iCs/>
          <w:color w:val="000000" w:themeColor="text1"/>
          <w:sz w:val="24"/>
          <w:szCs w:val="24"/>
        </w:rPr>
        <w:t xml:space="preserve">miR-320a expression in GC tissues was measured by quantitative real-time PCR. Assessment of miR-320a expression in 84 GC tissues and matched adjacent normal tissues (Figure 1A) showed that miR-320a was downregulated in 54 samples (54/84, 64%) compared with matched adjacent normal tissues, and the difference was significant (Figure 1B, C). To assess the association between miR-320a expression and clinicopathological characteristics, the tissues were separated into two groups: upregulated and downregulated miR-320a groups. miR-320a expression was significantly associated with TNM stage, tumor differentiation, and lymph node metastasis (Table 1 and Figure 1D). These results suggest that miR-320a is involved in </w:t>
      </w:r>
      <w:r w:rsidRPr="00D640A9">
        <w:rPr>
          <w:rFonts w:ascii="Book Antiqua" w:hAnsi="Book Antiqua"/>
          <w:bCs/>
          <w:iCs/>
          <w:color w:val="000000" w:themeColor="text1"/>
          <w:sz w:val="24"/>
          <w:szCs w:val="24"/>
        </w:rPr>
        <w:lastRenderedPageBreak/>
        <w:t>GC progression.</w:t>
      </w:r>
    </w:p>
    <w:p w:rsidR="00B96523" w:rsidRPr="00D640A9" w:rsidRDefault="00B96523" w:rsidP="00D44140">
      <w:pPr>
        <w:spacing w:line="360" w:lineRule="auto"/>
        <w:rPr>
          <w:rFonts w:ascii="Book Antiqua" w:hAnsi="Book Antiqua"/>
          <w:b/>
          <w:bCs/>
          <w:iCs/>
          <w:color w:val="000000" w:themeColor="text1"/>
          <w:sz w:val="24"/>
          <w:szCs w:val="24"/>
        </w:rPr>
      </w:pPr>
    </w:p>
    <w:p w:rsidR="00B96523" w:rsidRPr="00D640A9" w:rsidRDefault="002F7DEB" w:rsidP="00D44140">
      <w:pPr>
        <w:spacing w:line="360" w:lineRule="auto"/>
        <w:rPr>
          <w:rFonts w:ascii="Book Antiqua" w:hAnsi="Book Antiqua"/>
          <w:b/>
          <w:bCs/>
          <w:i/>
          <w:iCs/>
          <w:color w:val="000000" w:themeColor="text1"/>
          <w:sz w:val="24"/>
          <w:szCs w:val="24"/>
        </w:rPr>
      </w:pPr>
      <w:r w:rsidRPr="00D640A9">
        <w:rPr>
          <w:rFonts w:ascii="Book Antiqua" w:hAnsi="Book Antiqua"/>
          <w:b/>
          <w:bCs/>
          <w:i/>
          <w:iCs/>
          <w:color w:val="000000" w:themeColor="text1"/>
          <w:sz w:val="24"/>
          <w:szCs w:val="24"/>
        </w:rPr>
        <w:t>miR-320a is downregulated in GC cell lines</w:t>
      </w:r>
    </w:p>
    <w:p w:rsidR="00B96523" w:rsidRPr="00D640A9" w:rsidRDefault="002F7DEB" w:rsidP="00D44140">
      <w:pPr>
        <w:spacing w:line="360" w:lineRule="auto"/>
        <w:rPr>
          <w:rFonts w:ascii="Book Antiqua" w:hAnsi="Book Antiqua"/>
          <w:b/>
          <w:bCs/>
          <w:iCs/>
          <w:color w:val="000000" w:themeColor="text1"/>
          <w:sz w:val="24"/>
          <w:szCs w:val="24"/>
        </w:rPr>
      </w:pPr>
      <w:r w:rsidRPr="00D640A9">
        <w:rPr>
          <w:rFonts w:ascii="Book Antiqua" w:hAnsi="Book Antiqua"/>
          <w:bCs/>
          <w:iCs/>
          <w:color w:val="000000" w:themeColor="text1"/>
          <w:sz w:val="24"/>
          <w:szCs w:val="24"/>
        </w:rPr>
        <w:t>miR-320a expression was assessed in four GC cell lines (BGC-823, MGC-803, SGC-7901 and MKN-45) and one normal gastric mucosa cell line (GES-1). miR-320a expression was lower in GC than in GES-1 cells, and particularly downregulated in MKN-45 cells (Figure 1E). These data suggest that miR-320a expression is associated with gastric carcinoma. MKN-45 and BGC-823 cells were used for subsequent miR-320a mimic and inhibitor transfection experiments, respectively.</w:t>
      </w:r>
    </w:p>
    <w:p w:rsidR="00B96523" w:rsidRPr="00D640A9" w:rsidRDefault="00B96523" w:rsidP="00D44140">
      <w:pPr>
        <w:spacing w:line="360" w:lineRule="auto"/>
        <w:rPr>
          <w:rFonts w:ascii="Book Antiqua" w:hAnsi="Book Antiqua"/>
          <w:b/>
          <w:bCs/>
          <w:iCs/>
          <w:color w:val="000000" w:themeColor="text1"/>
          <w:sz w:val="24"/>
          <w:szCs w:val="24"/>
        </w:rPr>
      </w:pPr>
    </w:p>
    <w:p w:rsidR="00B96523" w:rsidRPr="00D640A9" w:rsidRDefault="002F7DEB" w:rsidP="00D44140">
      <w:pPr>
        <w:spacing w:line="360" w:lineRule="auto"/>
        <w:rPr>
          <w:rFonts w:ascii="Book Antiqua" w:hAnsi="Book Antiqua"/>
          <w:b/>
          <w:bCs/>
          <w:i/>
          <w:iCs/>
          <w:color w:val="000000" w:themeColor="text1"/>
          <w:sz w:val="24"/>
          <w:szCs w:val="24"/>
        </w:rPr>
      </w:pPr>
      <w:r w:rsidRPr="00D640A9">
        <w:rPr>
          <w:rFonts w:ascii="Book Antiqua" w:hAnsi="Book Antiqua"/>
          <w:b/>
          <w:bCs/>
          <w:i/>
          <w:iCs/>
          <w:color w:val="000000" w:themeColor="text1"/>
          <w:sz w:val="24"/>
          <w:szCs w:val="24"/>
        </w:rPr>
        <w:t>miR-320a overexpression inhibits GC cell viability and induces apoptosis in vitro</w:t>
      </w:r>
    </w:p>
    <w:p w:rsidR="00B96523" w:rsidRPr="00D640A9" w:rsidRDefault="002F7DEB" w:rsidP="00D44140">
      <w:pPr>
        <w:spacing w:line="360" w:lineRule="auto"/>
        <w:rPr>
          <w:rFonts w:ascii="Book Antiqua" w:hAnsi="Book Antiqua"/>
          <w:bCs/>
          <w:iCs/>
          <w:color w:val="000000" w:themeColor="text1"/>
          <w:sz w:val="24"/>
          <w:szCs w:val="24"/>
        </w:rPr>
      </w:pPr>
      <w:r w:rsidRPr="00D640A9">
        <w:rPr>
          <w:rFonts w:ascii="Book Antiqua" w:hAnsi="Book Antiqua"/>
          <w:bCs/>
          <w:iCs/>
          <w:color w:val="000000" w:themeColor="text1"/>
          <w:sz w:val="24"/>
          <w:szCs w:val="24"/>
        </w:rPr>
        <w:t xml:space="preserve">To determine the role and potential biological function of miR-320a in GC, GC cells were transfected with miR-320a mimics and miR-320a inhibitor, and the effects of miR-320a up- and downregulation on cell function were evaluated. miR-320a mimics transfection significantly upregulated, whereas miR-320a inhibitor significantly downregulated </w:t>
      </w:r>
      <w:bookmarkStart w:id="43" w:name="OLE_LINK40"/>
      <w:bookmarkStart w:id="44" w:name="OLE_LINK39"/>
      <w:r w:rsidRPr="00D640A9">
        <w:rPr>
          <w:rFonts w:ascii="Book Antiqua" w:hAnsi="Book Antiqua"/>
          <w:bCs/>
          <w:iCs/>
          <w:color w:val="000000" w:themeColor="text1"/>
          <w:sz w:val="24"/>
          <w:szCs w:val="24"/>
        </w:rPr>
        <w:t>miR-320a expression</w:t>
      </w:r>
      <w:bookmarkEnd w:id="43"/>
      <w:bookmarkEnd w:id="44"/>
      <w:r w:rsidRPr="00D640A9">
        <w:rPr>
          <w:rFonts w:ascii="Book Antiqua" w:hAnsi="Book Antiqua"/>
          <w:bCs/>
          <w:iCs/>
          <w:color w:val="000000" w:themeColor="text1"/>
          <w:sz w:val="24"/>
          <w:szCs w:val="24"/>
        </w:rPr>
        <w:t xml:space="preserve"> compared with that in the other groups (Figure 2A). The CCK-8 assay was performed to estimate the effect of miR-320a on the viability of GC cells. We found that overexpression of miR-320a inhibited MKN-45 cell viability, whereas miR-320a depletion promoted BGC-823 cell viability (Figure 2B). Because apoptosis is an important part of the cell life cycle, we determined the effect of miR-320a on the early apoptosis rate of GC cells. miR-320a mimics accelerated MKN-45 cell apoptosis, whereas miR-320a inhibitor suppressed BGC-823 cell apoptosis, compared with that in the scramble and untreated groups (Figure 2C, D).</w:t>
      </w:r>
    </w:p>
    <w:p w:rsidR="00B96523" w:rsidRPr="00D640A9" w:rsidRDefault="00B96523" w:rsidP="00D44140">
      <w:pPr>
        <w:spacing w:line="360" w:lineRule="auto"/>
        <w:rPr>
          <w:rFonts w:ascii="Book Antiqua" w:hAnsi="Book Antiqua"/>
          <w:b/>
          <w:bCs/>
          <w:iCs/>
          <w:color w:val="000000" w:themeColor="text1"/>
          <w:sz w:val="24"/>
          <w:szCs w:val="24"/>
        </w:rPr>
      </w:pPr>
    </w:p>
    <w:p w:rsidR="00B96523" w:rsidRPr="00D640A9" w:rsidRDefault="002F7DEB" w:rsidP="00D44140">
      <w:pPr>
        <w:spacing w:line="360" w:lineRule="auto"/>
        <w:rPr>
          <w:rFonts w:ascii="Book Antiqua" w:hAnsi="Book Antiqua"/>
          <w:b/>
          <w:bCs/>
          <w:i/>
          <w:iCs/>
          <w:color w:val="000000" w:themeColor="text1"/>
          <w:sz w:val="24"/>
          <w:szCs w:val="24"/>
        </w:rPr>
      </w:pPr>
      <w:r w:rsidRPr="00D640A9">
        <w:rPr>
          <w:rFonts w:ascii="Book Antiqua" w:hAnsi="Book Antiqua"/>
          <w:b/>
          <w:bCs/>
          <w:i/>
          <w:iCs/>
          <w:color w:val="000000" w:themeColor="text1"/>
          <w:sz w:val="24"/>
          <w:szCs w:val="24"/>
        </w:rPr>
        <w:t>miR-320a overexpression inhibits GC cell migration and invasion in vitro</w:t>
      </w:r>
      <w:bookmarkStart w:id="45" w:name="OLE_LINK17"/>
    </w:p>
    <w:p w:rsidR="00B96523" w:rsidRPr="00D640A9" w:rsidRDefault="002F7DEB" w:rsidP="00D44140">
      <w:pPr>
        <w:spacing w:line="360" w:lineRule="auto"/>
        <w:rPr>
          <w:rFonts w:ascii="Book Antiqua" w:hAnsi="Book Antiqua"/>
          <w:bCs/>
          <w:iCs/>
          <w:color w:val="000000" w:themeColor="text1"/>
          <w:sz w:val="24"/>
          <w:szCs w:val="24"/>
        </w:rPr>
      </w:pPr>
      <w:r w:rsidRPr="00D640A9">
        <w:rPr>
          <w:rFonts w:ascii="Book Antiqua" w:hAnsi="Book Antiqua"/>
          <w:bCs/>
          <w:iCs/>
          <w:color w:val="000000" w:themeColor="text1"/>
          <w:sz w:val="24"/>
          <w:szCs w:val="24"/>
        </w:rPr>
        <w:t xml:space="preserve">Wound scratch and </w:t>
      </w:r>
      <w:proofErr w:type="spellStart"/>
      <w:r w:rsidRPr="00D640A9">
        <w:rPr>
          <w:rFonts w:ascii="Book Antiqua" w:hAnsi="Book Antiqua"/>
          <w:bCs/>
          <w:iCs/>
          <w:color w:val="000000" w:themeColor="text1"/>
          <w:sz w:val="24"/>
          <w:szCs w:val="24"/>
        </w:rPr>
        <w:t>Transwell</w:t>
      </w:r>
      <w:proofErr w:type="spellEnd"/>
      <w:r w:rsidRPr="00D640A9">
        <w:rPr>
          <w:rFonts w:ascii="Book Antiqua" w:hAnsi="Book Antiqua"/>
          <w:bCs/>
          <w:iCs/>
          <w:color w:val="000000" w:themeColor="text1"/>
          <w:sz w:val="24"/>
          <w:szCs w:val="24"/>
        </w:rPr>
        <w:t xml:space="preserve"> invasion assays</w:t>
      </w:r>
      <w:bookmarkEnd w:id="45"/>
      <w:r w:rsidRPr="00D640A9">
        <w:rPr>
          <w:rFonts w:ascii="Book Antiqua" w:hAnsi="Book Antiqua"/>
          <w:bCs/>
          <w:iCs/>
          <w:color w:val="000000" w:themeColor="text1"/>
          <w:sz w:val="24"/>
          <w:szCs w:val="24"/>
        </w:rPr>
        <w:t xml:space="preserve"> were used to determine the effects of miR-320a on the metastatic capacity and invasiveness of GC cells, which are important malignant activities of tumor cells. GC cells were divided into three treatment groups: miR-320a mimics/inhibitor, scramble mimics/inhibitor, and untreated. Wound healing was suppressed in cells treated with miR-320a mimics, whereas it was </w:t>
      </w:r>
      <w:r w:rsidRPr="00D640A9">
        <w:rPr>
          <w:rFonts w:ascii="Book Antiqua" w:hAnsi="Book Antiqua"/>
          <w:bCs/>
          <w:iCs/>
          <w:color w:val="000000" w:themeColor="text1"/>
          <w:sz w:val="24"/>
          <w:szCs w:val="24"/>
        </w:rPr>
        <w:lastRenderedPageBreak/>
        <w:t>accelerated in cells treated with miR-320a inhibitor compared with that in the other two groups at 24 and 48 h after scratching (Figure 3A and B). The number of cells traversing the Matrigel matrix was lower in cells treated with miR-320a mimics, whereas it was higher in groups treated with miR-320a inhibitor than in the other two groups (Figure 3C and D). These data suggest that miR-320a overexpression inhibits GC cell migration and invasion to overcome the malignant properties of GC cells.</w:t>
      </w:r>
    </w:p>
    <w:p w:rsidR="00B96523" w:rsidRPr="00D640A9" w:rsidRDefault="00B96523" w:rsidP="00D44140">
      <w:pPr>
        <w:spacing w:line="360" w:lineRule="auto"/>
        <w:rPr>
          <w:rFonts w:ascii="Book Antiqua" w:hAnsi="Book Antiqua"/>
          <w:b/>
          <w:bCs/>
          <w:iCs/>
          <w:color w:val="000000" w:themeColor="text1"/>
          <w:sz w:val="24"/>
          <w:szCs w:val="24"/>
        </w:rPr>
      </w:pPr>
    </w:p>
    <w:p w:rsidR="00B96523" w:rsidRPr="00D640A9" w:rsidRDefault="002F7DEB" w:rsidP="00D44140">
      <w:pPr>
        <w:spacing w:line="360" w:lineRule="auto"/>
        <w:rPr>
          <w:rFonts w:ascii="Book Antiqua" w:hAnsi="Book Antiqua"/>
          <w:b/>
          <w:bCs/>
          <w:i/>
          <w:iCs/>
          <w:color w:val="000000" w:themeColor="text1"/>
          <w:sz w:val="24"/>
          <w:szCs w:val="24"/>
        </w:rPr>
      </w:pPr>
      <w:r w:rsidRPr="00D640A9">
        <w:rPr>
          <w:rFonts w:ascii="Book Antiqua" w:hAnsi="Book Antiqua"/>
          <w:b/>
          <w:bCs/>
          <w:i/>
          <w:iCs/>
          <w:color w:val="000000" w:themeColor="text1"/>
          <w:sz w:val="24"/>
          <w:szCs w:val="24"/>
        </w:rPr>
        <w:t>miR-320a expression is regulated by DNA methylation</w:t>
      </w:r>
    </w:p>
    <w:p w:rsidR="00B96523" w:rsidRPr="00D640A9" w:rsidRDefault="002F7DEB" w:rsidP="00D44140">
      <w:pPr>
        <w:spacing w:line="360" w:lineRule="auto"/>
        <w:rPr>
          <w:rFonts w:ascii="Book Antiqua" w:hAnsi="Book Antiqua"/>
          <w:bCs/>
          <w:iCs/>
          <w:color w:val="000000" w:themeColor="text1"/>
          <w:sz w:val="24"/>
          <w:szCs w:val="24"/>
        </w:rPr>
      </w:pPr>
      <w:r w:rsidRPr="00D640A9">
        <w:rPr>
          <w:rFonts w:ascii="Book Antiqua" w:hAnsi="Book Antiqua"/>
          <w:bCs/>
          <w:iCs/>
          <w:color w:val="000000" w:themeColor="text1"/>
          <w:sz w:val="24"/>
          <w:szCs w:val="24"/>
        </w:rPr>
        <w:t xml:space="preserve">To determine the cause of miR-320a downregulation, we analyzed the relationship between DNA methylation and miR-320a expression. A search of the human genome database identified CpG islands around the miR-320a promoter (Figure 4A). MSP was used to detect the methylation level of miR-320a in the four GC cell lines and normal GES-1 cell line. miR-320a promoter CpG islands were hypermethylated in GC cells, whereas no methylation was observed in GES-1 cells (Figure 4B). To examine further the effect of methylation, MKN-45 cells were treated with </w:t>
      </w:r>
      <w:bookmarkStart w:id="46" w:name="OLE_LINK2"/>
      <w:bookmarkStart w:id="47" w:name="OLE_LINK3"/>
      <w:r w:rsidRPr="00D640A9">
        <w:rPr>
          <w:rFonts w:ascii="Book Antiqua" w:hAnsi="Book Antiqua"/>
          <w:bCs/>
          <w:iCs/>
          <w:color w:val="000000" w:themeColor="text1"/>
          <w:sz w:val="24"/>
          <w:szCs w:val="24"/>
        </w:rPr>
        <w:t>5-Aza-C</w:t>
      </w:r>
      <w:bookmarkEnd w:id="46"/>
      <w:bookmarkEnd w:id="47"/>
      <w:r w:rsidRPr="00D640A9">
        <w:rPr>
          <w:rFonts w:ascii="Book Antiqua" w:hAnsi="Book Antiqua"/>
          <w:bCs/>
          <w:iCs/>
          <w:color w:val="000000" w:themeColor="text1"/>
          <w:sz w:val="24"/>
          <w:szCs w:val="24"/>
        </w:rPr>
        <w:t>dR (DNA methylation inhibitor) and TSA (histone deacetylase inhibitor), and the expression and methylation levels of miR-320a were determined by quantitative real-time PCR and MSP, respectively. miR-320a expression was partially reversed by 5-Aza-CdR and TSA, particularly by the combination of 5-Aza-CdR and TSA, and the methylation level of the miR-320a promoter CpG islands was markedly reduced (Figure 4C). To determine the status of miR-320a CpG islands in GC samples, methylation levels were measured in six pairs of GC samples (primary cancer tissues and matched adjacent normal tissues) with low miR-320a expression and four pairs of GC samples with high miR-320a expression levels. miR-320a CpG islands tended to be hypermethylated in the miR-320a downregulated group (83%, 5/6) compared with the miR-320a upregulated group (50%, 2/4) (Figure 4D). These findings indicated that DNA methylation plays an important role in the downregulation of miR-320a expression in GC.</w:t>
      </w:r>
    </w:p>
    <w:p w:rsidR="00B96523" w:rsidRPr="00D640A9" w:rsidRDefault="00B96523" w:rsidP="00D44140">
      <w:pPr>
        <w:spacing w:line="360" w:lineRule="auto"/>
        <w:rPr>
          <w:rFonts w:ascii="Book Antiqua" w:hAnsi="Book Antiqua"/>
          <w:b/>
          <w:bCs/>
          <w:iCs/>
          <w:color w:val="000000" w:themeColor="text1"/>
          <w:sz w:val="24"/>
          <w:szCs w:val="24"/>
        </w:rPr>
      </w:pPr>
    </w:p>
    <w:p w:rsidR="00B96523" w:rsidRPr="00D640A9" w:rsidRDefault="002F7DEB" w:rsidP="00D44140">
      <w:pPr>
        <w:spacing w:line="360" w:lineRule="auto"/>
        <w:rPr>
          <w:rFonts w:ascii="Book Antiqua" w:hAnsi="Book Antiqua"/>
          <w:b/>
          <w:bCs/>
          <w:i/>
          <w:iCs/>
          <w:color w:val="000000" w:themeColor="text1"/>
          <w:sz w:val="24"/>
          <w:szCs w:val="24"/>
        </w:rPr>
      </w:pPr>
      <w:r w:rsidRPr="00D640A9">
        <w:rPr>
          <w:rFonts w:ascii="Book Antiqua" w:hAnsi="Book Antiqua"/>
          <w:b/>
          <w:bCs/>
          <w:i/>
          <w:iCs/>
          <w:color w:val="000000" w:themeColor="text1"/>
          <w:sz w:val="24"/>
          <w:szCs w:val="24"/>
        </w:rPr>
        <w:t>miR-320a directly targets the oncogene PBX3 in GC</w:t>
      </w:r>
    </w:p>
    <w:p w:rsidR="00B96523" w:rsidRPr="00D640A9" w:rsidRDefault="002F7DEB" w:rsidP="00D44140">
      <w:pPr>
        <w:spacing w:line="360" w:lineRule="auto"/>
        <w:rPr>
          <w:rFonts w:ascii="Book Antiqua" w:hAnsi="Book Antiqua"/>
          <w:bCs/>
          <w:iCs/>
          <w:color w:val="000000" w:themeColor="text1"/>
          <w:sz w:val="24"/>
          <w:szCs w:val="24"/>
        </w:rPr>
      </w:pPr>
      <w:r w:rsidRPr="00D640A9">
        <w:rPr>
          <w:rFonts w:ascii="Book Antiqua" w:hAnsi="Book Antiqua"/>
          <w:bCs/>
          <w:iCs/>
          <w:color w:val="000000" w:themeColor="text1"/>
          <w:sz w:val="24"/>
          <w:szCs w:val="24"/>
        </w:rPr>
        <w:t xml:space="preserve">To examine the mechanism underlying the effect of miR-320a in GC, </w:t>
      </w:r>
      <w:bookmarkStart w:id="48" w:name="OLE_LINK5"/>
      <w:bookmarkStart w:id="49" w:name="OLE_LINK4"/>
      <w:r w:rsidRPr="00D640A9">
        <w:rPr>
          <w:rFonts w:ascii="Book Antiqua" w:hAnsi="Book Antiqua"/>
          <w:bCs/>
          <w:iCs/>
          <w:color w:val="000000" w:themeColor="text1"/>
          <w:sz w:val="24"/>
          <w:szCs w:val="24"/>
        </w:rPr>
        <w:t xml:space="preserve">online software </w:t>
      </w:r>
      <w:r w:rsidRPr="00D640A9">
        <w:rPr>
          <w:rFonts w:ascii="Book Antiqua" w:hAnsi="Book Antiqua"/>
          <w:bCs/>
          <w:iCs/>
          <w:color w:val="000000" w:themeColor="text1"/>
          <w:sz w:val="24"/>
          <w:szCs w:val="24"/>
        </w:rPr>
        <w:lastRenderedPageBreak/>
        <w:t xml:space="preserve">programs (TargetScanHuman7.1, </w:t>
      </w:r>
      <w:proofErr w:type="spellStart"/>
      <w:r w:rsidRPr="00D640A9">
        <w:rPr>
          <w:rFonts w:ascii="Book Antiqua" w:hAnsi="Book Antiqua"/>
          <w:bCs/>
          <w:iCs/>
          <w:color w:val="000000" w:themeColor="text1"/>
          <w:sz w:val="24"/>
          <w:szCs w:val="24"/>
        </w:rPr>
        <w:t>miRDB</w:t>
      </w:r>
      <w:proofErr w:type="spellEnd"/>
      <w:r w:rsidRPr="00D640A9">
        <w:rPr>
          <w:rFonts w:ascii="Book Antiqua" w:hAnsi="Book Antiqua"/>
          <w:bCs/>
          <w:iCs/>
          <w:color w:val="000000" w:themeColor="text1"/>
          <w:sz w:val="24"/>
          <w:szCs w:val="24"/>
        </w:rPr>
        <w:t xml:space="preserve">, and microRNA.org) were used to predict the target gene of miR-320a. The three databases predicted the interaction of miR-320a with the 3′-UTR of </w:t>
      </w:r>
      <w:r w:rsidRPr="00D640A9">
        <w:rPr>
          <w:rFonts w:ascii="Book Antiqua" w:hAnsi="Book Antiqua"/>
          <w:bCs/>
          <w:i/>
          <w:iCs/>
          <w:color w:val="000000" w:themeColor="text1"/>
          <w:sz w:val="24"/>
          <w:szCs w:val="24"/>
        </w:rPr>
        <w:t>PBX3</w:t>
      </w:r>
      <w:r w:rsidRPr="00D640A9">
        <w:rPr>
          <w:rFonts w:ascii="Book Antiqua" w:hAnsi="Book Antiqua"/>
          <w:bCs/>
          <w:iCs/>
          <w:color w:val="000000" w:themeColor="text1"/>
          <w:sz w:val="24"/>
          <w:szCs w:val="24"/>
        </w:rPr>
        <w:t xml:space="preserve"> </w:t>
      </w:r>
      <w:bookmarkEnd w:id="48"/>
      <w:bookmarkEnd w:id="49"/>
      <w:r w:rsidRPr="00D640A9">
        <w:rPr>
          <w:rFonts w:ascii="Book Antiqua" w:hAnsi="Book Antiqua"/>
          <w:bCs/>
          <w:iCs/>
          <w:color w:val="000000" w:themeColor="text1"/>
          <w:sz w:val="24"/>
          <w:szCs w:val="24"/>
        </w:rPr>
        <w:t xml:space="preserve">(Figure 5A). The dual luciferase assay confirmed that </w:t>
      </w:r>
      <w:r w:rsidRPr="00D640A9">
        <w:rPr>
          <w:rFonts w:ascii="Book Antiqua" w:hAnsi="Book Antiqua"/>
          <w:bCs/>
          <w:i/>
          <w:iCs/>
          <w:color w:val="000000" w:themeColor="text1"/>
          <w:sz w:val="24"/>
          <w:szCs w:val="24"/>
        </w:rPr>
        <w:t>PBX3</w:t>
      </w:r>
      <w:r w:rsidRPr="00D640A9">
        <w:rPr>
          <w:rFonts w:ascii="Book Antiqua" w:hAnsi="Book Antiqua"/>
          <w:bCs/>
          <w:iCs/>
          <w:color w:val="000000" w:themeColor="text1"/>
          <w:sz w:val="24"/>
          <w:szCs w:val="24"/>
        </w:rPr>
        <w:t xml:space="preserve"> was a direct target gene of miR-320a, and the regulatory activities are shown in Figure 5B. To determine whether miR-320a modulates PBX3 protein expression, six pairs of samples (GC tissues and matched adjacent normal tissues) with low miR-320a expression were analyzed by western blotting using anti-PBX3 antibodies. The results showed that PBX3 was significantly upregulated in five pairs of GC tissues compared with matched adjacent normal tissues (Figure 5D). Assessment of PBX3 protein expression in MKN-45 cells transfected with miR-320a mimics, scramble mimics, or no transfection showed that PBX3 was significantly downregulated in cells transfected with miR-320a mimics compared with the other two groups (Figure 5C). </w:t>
      </w:r>
    </w:p>
    <w:p w:rsidR="00B96523" w:rsidRPr="00D640A9" w:rsidRDefault="00B96523" w:rsidP="00D44140">
      <w:pPr>
        <w:spacing w:line="360" w:lineRule="auto"/>
        <w:rPr>
          <w:rFonts w:ascii="Book Antiqua" w:hAnsi="Book Antiqua"/>
          <w:b/>
          <w:bCs/>
          <w:iCs/>
          <w:color w:val="000000" w:themeColor="text1"/>
          <w:sz w:val="24"/>
          <w:szCs w:val="24"/>
        </w:rPr>
      </w:pPr>
    </w:p>
    <w:p w:rsidR="00B96523" w:rsidRPr="00D640A9" w:rsidRDefault="002F7DEB" w:rsidP="00D44140">
      <w:pPr>
        <w:spacing w:line="360" w:lineRule="auto"/>
        <w:rPr>
          <w:rFonts w:ascii="Book Antiqua" w:hAnsi="Book Antiqua"/>
          <w:b/>
          <w:bCs/>
          <w:iCs/>
          <w:color w:val="000000" w:themeColor="text1"/>
          <w:sz w:val="24"/>
          <w:szCs w:val="24"/>
        </w:rPr>
      </w:pPr>
      <w:r w:rsidRPr="00D640A9">
        <w:rPr>
          <w:rFonts w:ascii="Book Antiqua" w:hAnsi="Book Antiqua"/>
          <w:b/>
          <w:bCs/>
          <w:iCs/>
          <w:color w:val="000000" w:themeColor="text1"/>
          <w:sz w:val="24"/>
          <w:szCs w:val="24"/>
        </w:rPr>
        <w:t>DISCUSSION</w:t>
      </w:r>
    </w:p>
    <w:p w:rsidR="00B96523" w:rsidRPr="00D640A9" w:rsidRDefault="002F7DEB" w:rsidP="00D44140">
      <w:pPr>
        <w:spacing w:line="360" w:lineRule="auto"/>
        <w:rPr>
          <w:rFonts w:ascii="Book Antiqua" w:hAnsi="Book Antiqua"/>
          <w:bCs/>
          <w:iCs/>
          <w:color w:val="000000" w:themeColor="text1"/>
          <w:sz w:val="24"/>
          <w:szCs w:val="24"/>
        </w:rPr>
      </w:pPr>
      <w:r w:rsidRPr="00D640A9">
        <w:rPr>
          <w:rFonts w:ascii="Book Antiqua" w:hAnsi="Book Antiqua"/>
          <w:bCs/>
          <w:iCs/>
          <w:color w:val="000000" w:themeColor="text1"/>
          <w:sz w:val="24"/>
          <w:szCs w:val="24"/>
        </w:rPr>
        <w:t>miRNAs act as oncogenes or tumor suppressor genes and have important functions in the progr</w:t>
      </w:r>
      <w:r w:rsidR="000356F0" w:rsidRPr="00D640A9">
        <w:rPr>
          <w:rFonts w:ascii="Book Antiqua" w:hAnsi="Book Antiqua"/>
          <w:bCs/>
          <w:iCs/>
          <w:color w:val="000000" w:themeColor="text1"/>
          <w:sz w:val="24"/>
          <w:szCs w:val="24"/>
        </w:rPr>
        <w:t xml:space="preserve">ession of many types of </w:t>
      </w:r>
      <w:proofErr w:type="gramStart"/>
      <w:r w:rsidR="000356F0" w:rsidRPr="00D640A9">
        <w:rPr>
          <w:rFonts w:ascii="Book Antiqua" w:hAnsi="Book Antiqua"/>
          <w:bCs/>
          <w:iCs/>
          <w:color w:val="000000" w:themeColor="text1"/>
          <w:sz w:val="24"/>
          <w:szCs w:val="24"/>
        </w:rPr>
        <w:t>cancers</w:t>
      </w:r>
      <w:r w:rsidRPr="00D640A9">
        <w:rPr>
          <w:rFonts w:ascii="Book Antiqua" w:hAnsi="Book Antiqua"/>
          <w:bCs/>
          <w:iCs/>
          <w:color w:val="000000" w:themeColor="text1"/>
          <w:sz w:val="24"/>
          <w:szCs w:val="24"/>
          <w:vertAlign w:val="superscript"/>
        </w:rPr>
        <w:t>[</w:t>
      </w:r>
      <w:proofErr w:type="gramEnd"/>
      <w:r w:rsidRPr="00D640A9">
        <w:rPr>
          <w:rFonts w:ascii="Book Antiqua" w:hAnsi="Book Antiqua"/>
          <w:bCs/>
          <w:iCs/>
          <w:color w:val="000000" w:themeColor="text1"/>
          <w:sz w:val="24"/>
          <w:szCs w:val="24"/>
          <w:vertAlign w:val="superscript"/>
        </w:rPr>
        <w:t>4]</w:t>
      </w:r>
      <w:r w:rsidRPr="00D640A9">
        <w:rPr>
          <w:rFonts w:ascii="Book Antiqua" w:hAnsi="Book Antiqua"/>
          <w:bCs/>
          <w:iCs/>
          <w:color w:val="000000" w:themeColor="text1"/>
          <w:sz w:val="24"/>
          <w:szCs w:val="24"/>
        </w:rPr>
        <w:t xml:space="preserve">. In the present study, we found that miR-320a was significantly downregulated in GC cell lines and tissues. miR-320a overexpression inhibited GC cell proliferation, invasion and migration, and induced apoptosis in MKN-45 cells. Further studies demonstrated that low miR-320a expression was partly due to hypermethylation of the promoter CpG islands of miR-320a. </w:t>
      </w:r>
      <w:r w:rsidRPr="00D640A9">
        <w:rPr>
          <w:rFonts w:ascii="Book Antiqua" w:hAnsi="Book Antiqua"/>
          <w:bCs/>
          <w:i/>
          <w:iCs/>
          <w:color w:val="000000" w:themeColor="text1"/>
          <w:sz w:val="24"/>
          <w:szCs w:val="24"/>
        </w:rPr>
        <w:t xml:space="preserve">PBX3 </w:t>
      </w:r>
      <w:r w:rsidRPr="00D640A9">
        <w:rPr>
          <w:rFonts w:ascii="Book Antiqua" w:hAnsi="Book Antiqua"/>
          <w:bCs/>
          <w:iCs/>
          <w:color w:val="000000" w:themeColor="text1"/>
          <w:sz w:val="24"/>
          <w:szCs w:val="24"/>
        </w:rPr>
        <w:t xml:space="preserve">was identified as a direct target gene of miR-320a. Our findings demonstrated that miR-320a plays a tumor-suppressing role in GC, and DNA methylation is a crucial mechanism </w:t>
      </w:r>
      <w:bookmarkStart w:id="50" w:name="OLE_LINK16"/>
      <w:r w:rsidRPr="00D640A9">
        <w:rPr>
          <w:rFonts w:ascii="Book Antiqua" w:hAnsi="Book Antiqua"/>
          <w:bCs/>
          <w:iCs/>
          <w:color w:val="000000" w:themeColor="text1"/>
          <w:sz w:val="24"/>
          <w:szCs w:val="24"/>
        </w:rPr>
        <w:t xml:space="preserve">underlying miR-320a </w:t>
      </w:r>
      <w:bookmarkEnd w:id="50"/>
      <w:r w:rsidRPr="00D640A9">
        <w:rPr>
          <w:rFonts w:ascii="Book Antiqua" w:hAnsi="Book Antiqua"/>
          <w:bCs/>
          <w:iCs/>
          <w:color w:val="000000" w:themeColor="text1"/>
          <w:sz w:val="24"/>
          <w:szCs w:val="24"/>
        </w:rPr>
        <w:t>silencing.</w:t>
      </w:r>
    </w:p>
    <w:p w:rsidR="00B96523" w:rsidRPr="00D640A9" w:rsidRDefault="002F7DEB" w:rsidP="00D44140">
      <w:pPr>
        <w:spacing w:line="360" w:lineRule="auto"/>
        <w:ind w:firstLineChars="100" w:firstLine="240"/>
        <w:rPr>
          <w:rFonts w:ascii="Book Antiqua" w:hAnsi="Book Antiqua"/>
          <w:bCs/>
          <w:color w:val="000000" w:themeColor="text1"/>
          <w:sz w:val="24"/>
          <w:szCs w:val="24"/>
        </w:rPr>
      </w:pPr>
      <w:r w:rsidRPr="00D640A9">
        <w:rPr>
          <w:rFonts w:ascii="Book Antiqua" w:hAnsi="Book Antiqua"/>
          <w:bCs/>
          <w:iCs/>
          <w:color w:val="000000" w:themeColor="text1"/>
          <w:sz w:val="24"/>
          <w:szCs w:val="24"/>
        </w:rPr>
        <w:t xml:space="preserve">Recent studies show that miR-320a is downregulated in </w:t>
      </w:r>
      <w:r w:rsidRPr="00D640A9">
        <w:rPr>
          <w:rFonts w:ascii="Book Antiqua" w:hAnsi="Book Antiqua"/>
          <w:bCs/>
          <w:color w:val="000000" w:themeColor="text1"/>
          <w:sz w:val="24"/>
          <w:szCs w:val="24"/>
        </w:rPr>
        <w:t>many types of cancers, including breast, colorectal and ovarian cancers, and is involved in several biological functions by r</w:t>
      </w:r>
      <w:r w:rsidR="000356F0" w:rsidRPr="00D640A9">
        <w:rPr>
          <w:rFonts w:ascii="Book Antiqua" w:hAnsi="Book Antiqua"/>
          <w:bCs/>
          <w:color w:val="000000" w:themeColor="text1"/>
          <w:sz w:val="24"/>
          <w:szCs w:val="24"/>
        </w:rPr>
        <w:t xml:space="preserve">egulating specific target </w:t>
      </w:r>
      <w:proofErr w:type="gramStart"/>
      <w:r w:rsidR="000356F0" w:rsidRPr="00D640A9">
        <w:rPr>
          <w:rFonts w:ascii="Book Antiqua" w:hAnsi="Book Antiqua"/>
          <w:bCs/>
          <w:color w:val="000000" w:themeColor="text1"/>
          <w:sz w:val="24"/>
          <w:szCs w:val="24"/>
        </w:rPr>
        <w:t>genes</w:t>
      </w:r>
      <w:r w:rsidRPr="00D640A9">
        <w:rPr>
          <w:rFonts w:ascii="Book Antiqua" w:hAnsi="Book Antiqua"/>
          <w:bCs/>
          <w:color w:val="000000" w:themeColor="text1"/>
          <w:sz w:val="24"/>
          <w:szCs w:val="24"/>
          <w:vertAlign w:val="superscript"/>
        </w:rPr>
        <w:t>[</w:t>
      </w:r>
      <w:proofErr w:type="gramEnd"/>
      <w:r w:rsidRPr="00D640A9">
        <w:rPr>
          <w:rFonts w:ascii="Book Antiqua" w:hAnsi="Book Antiqua"/>
          <w:bCs/>
          <w:color w:val="000000" w:themeColor="text1"/>
          <w:sz w:val="24"/>
          <w:szCs w:val="24"/>
          <w:vertAlign w:val="superscript"/>
        </w:rPr>
        <w:t>11–16]</w:t>
      </w:r>
      <w:r w:rsidRPr="00D640A9">
        <w:rPr>
          <w:rFonts w:ascii="Book Antiqua" w:hAnsi="Book Antiqua"/>
          <w:bCs/>
          <w:color w:val="000000" w:themeColor="text1"/>
          <w:sz w:val="24"/>
          <w:szCs w:val="24"/>
        </w:rPr>
        <w:t xml:space="preserve">. </w:t>
      </w:r>
      <w:proofErr w:type="spellStart"/>
      <w:r w:rsidRPr="00D640A9">
        <w:rPr>
          <w:rFonts w:ascii="Book Antiqua" w:hAnsi="Book Antiqua"/>
          <w:bCs/>
          <w:color w:val="000000" w:themeColor="text1"/>
          <w:sz w:val="24"/>
          <w:szCs w:val="24"/>
        </w:rPr>
        <w:t>Xie</w:t>
      </w:r>
      <w:proofErr w:type="spellEnd"/>
      <w:r w:rsidRPr="00D640A9">
        <w:rPr>
          <w:rFonts w:ascii="Book Antiqua" w:hAnsi="Book Antiqua"/>
          <w:bCs/>
          <w:color w:val="000000" w:themeColor="text1"/>
          <w:sz w:val="24"/>
          <w:szCs w:val="24"/>
        </w:rPr>
        <w:t xml:space="preserve"> </w:t>
      </w:r>
      <w:r w:rsidRPr="00D640A9">
        <w:rPr>
          <w:rFonts w:ascii="Book Antiqua" w:hAnsi="Book Antiqua"/>
          <w:bCs/>
          <w:i/>
          <w:color w:val="000000" w:themeColor="text1"/>
          <w:sz w:val="24"/>
          <w:szCs w:val="24"/>
        </w:rPr>
        <w:t xml:space="preserve">et </w:t>
      </w:r>
      <w:proofErr w:type="gramStart"/>
      <w:r w:rsidRPr="00D640A9">
        <w:rPr>
          <w:rFonts w:ascii="Book Antiqua" w:hAnsi="Book Antiqua"/>
          <w:bCs/>
          <w:i/>
          <w:color w:val="000000" w:themeColor="text1"/>
          <w:sz w:val="24"/>
          <w:szCs w:val="24"/>
        </w:rPr>
        <w:t>al</w:t>
      </w:r>
      <w:r w:rsidR="000356F0" w:rsidRPr="00D640A9">
        <w:rPr>
          <w:rFonts w:ascii="Book Antiqua" w:hAnsi="Book Antiqua"/>
          <w:bCs/>
          <w:color w:val="000000" w:themeColor="text1"/>
          <w:sz w:val="24"/>
          <w:szCs w:val="24"/>
          <w:vertAlign w:val="superscript"/>
        </w:rPr>
        <w:t>[</w:t>
      </w:r>
      <w:proofErr w:type="gramEnd"/>
      <w:r w:rsidR="000356F0" w:rsidRPr="00D640A9">
        <w:rPr>
          <w:rFonts w:ascii="Book Antiqua" w:hAnsi="Book Antiqua"/>
          <w:bCs/>
          <w:color w:val="000000" w:themeColor="text1"/>
          <w:sz w:val="24"/>
          <w:szCs w:val="24"/>
          <w:vertAlign w:val="superscript"/>
        </w:rPr>
        <w:t>21]</w:t>
      </w:r>
      <w:r w:rsidRPr="00D640A9">
        <w:rPr>
          <w:rFonts w:ascii="Book Antiqua" w:hAnsi="Book Antiqua"/>
          <w:bCs/>
          <w:color w:val="000000" w:themeColor="text1"/>
          <w:sz w:val="24"/>
          <w:szCs w:val="24"/>
        </w:rPr>
        <w:t xml:space="preserve"> showed that miR-320a is markedly decreased in hepatocellular carcinoma, and the lack of miR-320a promo</w:t>
      </w:r>
      <w:r w:rsidR="000356F0" w:rsidRPr="00D640A9">
        <w:rPr>
          <w:rFonts w:ascii="Book Antiqua" w:hAnsi="Book Antiqua"/>
          <w:bCs/>
          <w:color w:val="000000" w:themeColor="text1"/>
          <w:sz w:val="24"/>
          <w:szCs w:val="24"/>
        </w:rPr>
        <w:t>tes cell migration and invasion</w:t>
      </w:r>
      <w:r w:rsidRPr="00D640A9">
        <w:rPr>
          <w:rFonts w:ascii="Book Antiqua" w:hAnsi="Book Antiqua"/>
          <w:bCs/>
          <w:color w:val="000000" w:themeColor="text1"/>
          <w:sz w:val="24"/>
          <w:szCs w:val="24"/>
        </w:rPr>
        <w:t>. Decreased expression of miR-320a promotes proliferation and invasion of non-small cell lung cancer by targeting vol</w:t>
      </w:r>
      <w:r w:rsidR="000356F0" w:rsidRPr="00D640A9">
        <w:rPr>
          <w:rFonts w:ascii="Book Antiqua" w:hAnsi="Book Antiqua"/>
          <w:bCs/>
          <w:color w:val="000000" w:themeColor="text1"/>
          <w:sz w:val="24"/>
          <w:szCs w:val="24"/>
        </w:rPr>
        <w:t>tage dependent anion channel 1</w:t>
      </w:r>
      <w:r w:rsidRPr="00D640A9">
        <w:rPr>
          <w:rFonts w:ascii="Book Antiqua" w:hAnsi="Book Antiqua"/>
          <w:bCs/>
          <w:color w:val="000000" w:themeColor="text1"/>
          <w:sz w:val="24"/>
          <w:szCs w:val="24"/>
          <w:vertAlign w:val="superscript"/>
        </w:rPr>
        <w:t>[22]</w:t>
      </w:r>
      <w:r w:rsidRPr="00D640A9">
        <w:rPr>
          <w:rFonts w:ascii="Book Antiqua" w:hAnsi="Book Antiqua"/>
          <w:bCs/>
          <w:color w:val="000000" w:themeColor="text1"/>
          <w:sz w:val="24"/>
          <w:szCs w:val="24"/>
        </w:rPr>
        <w:t xml:space="preserve">. These data demonstrate the involvement of miR-320a in cancer. In this </w:t>
      </w:r>
      <w:r w:rsidRPr="00D640A9">
        <w:rPr>
          <w:rFonts w:ascii="Book Antiqua" w:hAnsi="Book Antiqua"/>
          <w:bCs/>
          <w:color w:val="000000" w:themeColor="text1"/>
          <w:sz w:val="24"/>
          <w:szCs w:val="24"/>
        </w:rPr>
        <w:lastRenderedPageBreak/>
        <w:t>study,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expression was significantly lower in GC cells and tissues than in the normal GES-1 cell line and matched adjacent normal tissues. Assessment of the effect of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on the malignant biological behavior of GC cells showed that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overexpression prevented GC cell proliferation, invasion and migration, and promoted apoptosis compared with those in control MKN-45 cells. These data demonstrated that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acted as a tumor suppressor in GC. However, these findings need to be confirmed using a larger data sample.</w:t>
      </w:r>
    </w:p>
    <w:p w:rsidR="00B96523" w:rsidRPr="00D640A9" w:rsidRDefault="002F7DEB" w:rsidP="00D44140">
      <w:pPr>
        <w:spacing w:line="360" w:lineRule="auto"/>
        <w:ind w:firstLineChars="100" w:firstLine="240"/>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PBX3, located on chromosome 9q33.3, belongs to the highly conserved PBX family of proteins, which are members of the PBX class of three-amino-acid loop extension superclass of homeodomain </w:t>
      </w:r>
      <w:proofErr w:type="gramStart"/>
      <w:r w:rsidRPr="00D640A9">
        <w:rPr>
          <w:rFonts w:ascii="Book Antiqua" w:hAnsi="Book Antiqua"/>
          <w:bCs/>
          <w:color w:val="000000" w:themeColor="text1"/>
          <w:sz w:val="24"/>
          <w:szCs w:val="24"/>
        </w:rPr>
        <w:t>proteins</w:t>
      </w:r>
      <w:r w:rsidRPr="00D640A9">
        <w:rPr>
          <w:rFonts w:ascii="Book Antiqua" w:hAnsi="Book Antiqua"/>
          <w:bCs/>
          <w:color w:val="000000" w:themeColor="text1"/>
          <w:sz w:val="24"/>
          <w:szCs w:val="24"/>
          <w:vertAlign w:val="superscript"/>
        </w:rPr>
        <w:t>[</w:t>
      </w:r>
      <w:proofErr w:type="gramEnd"/>
      <w:r w:rsidRPr="00D640A9">
        <w:rPr>
          <w:rFonts w:ascii="Book Antiqua" w:hAnsi="Book Antiqua"/>
          <w:bCs/>
          <w:color w:val="000000" w:themeColor="text1"/>
          <w:sz w:val="24"/>
          <w:szCs w:val="24"/>
          <w:vertAlign w:val="superscript"/>
        </w:rPr>
        <w:t>23]</w:t>
      </w:r>
      <w:r w:rsidRPr="00D640A9">
        <w:rPr>
          <w:rFonts w:ascii="Book Antiqua" w:hAnsi="Book Antiqua"/>
          <w:bCs/>
          <w:color w:val="000000" w:themeColor="text1"/>
          <w:sz w:val="24"/>
          <w:szCs w:val="24"/>
        </w:rPr>
        <w:t xml:space="preserve">. PBX3 is overexpressed in many types of </w:t>
      </w:r>
      <w:proofErr w:type="gramStart"/>
      <w:r w:rsidRPr="00D640A9">
        <w:rPr>
          <w:rFonts w:ascii="Book Antiqua" w:hAnsi="Book Antiqua"/>
          <w:bCs/>
          <w:color w:val="000000" w:themeColor="text1"/>
          <w:sz w:val="24"/>
          <w:szCs w:val="24"/>
        </w:rPr>
        <w:t>cancers</w:t>
      </w:r>
      <w:r w:rsidRPr="00D640A9">
        <w:rPr>
          <w:rFonts w:ascii="Book Antiqua" w:hAnsi="Book Antiqua"/>
          <w:bCs/>
          <w:color w:val="000000" w:themeColor="text1"/>
          <w:sz w:val="24"/>
          <w:szCs w:val="24"/>
          <w:vertAlign w:val="superscript"/>
        </w:rPr>
        <w:t>[</w:t>
      </w:r>
      <w:proofErr w:type="gramEnd"/>
      <w:r w:rsidRPr="00D640A9">
        <w:rPr>
          <w:rFonts w:ascii="Book Antiqua" w:hAnsi="Book Antiqua"/>
          <w:bCs/>
          <w:color w:val="000000" w:themeColor="text1"/>
          <w:sz w:val="24"/>
          <w:szCs w:val="24"/>
          <w:vertAlign w:val="superscript"/>
        </w:rPr>
        <w:t>24-26]</w:t>
      </w:r>
      <w:r w:rsidRPr="00D640A9">
        <w:rPr>
          <w:rFonts w:ascii="Book Antiqua" w:hAnsi="Book Antiqua"/>
          <w:bCs/>
          <w:color w:val="000000" w:themeColor="text1"/>
          <w:sz w:val="24"/>
          <w:szCs w:val="24"/>
        </w:rPr>
        <w:t>, and plays a crucial role by activating various signaling pathways including the MAPK/ERK signaling pathway</w:t>
      </w:r>
      <w:r w:rsidRPr="00D640A9">
        <w:rPr>
          <w:rFonts w:ascii="Book Antiqua" w:hAnsi="Book Antiqua"/>
          <w:bCs/>
          <w:color w:val="000000" w:themeColor="text1"/>
          <w:sz w:val="24"/>
          <w:szCs w:val="24"/>
          <w:vertAlign w:val="superscript"/>
        </w:rPr>
        <w:t>[24,26]</w:t>
      </w:r>
      <w:r w:rsidRPr="00D640A9">
        <w:rPr>
          <w:rFonts w:ascii="Book Antiqua" w:hAnsi="Book Antiqua"/>
          <w:bCs/>
          <w:color w:val="000000" w:themeColor="text1"/>
          <w:sz w:val="24"/>
          <w:szCs w:val="24"/>
        </w:rPr>
        <w:t xml:space="preserve">. These data showed the powerful function of PBX3. PBX3 can act as an oncogene, promoting cell proliferation and colony formation, and its expression is associated with the clinicopathological characteristics of GC </w:t>
      </w:r>
      <w:proofErr w:type="gramStart"/>
      <w:r w:rsidRPr="00D640A9">
        <w:rPr>
          <w:rFonts w:ascii="Book Antiqua" w:hAnsi="Book Antiqua"/>
          <w:bCs/>
          <w:color w:val="000000" w:themeColor="text1"/>
          <w:sz w:val="24"/>
          <w:szCs w:val="24"/>
        </w:rPr>
        <w:t>patients</w:t>
      </w:r>
      <w:r w:rsidRPr="00D640A9">
        <w:rPr>
          <w:rFonts w:ascii="Book Antiqua" w:hAnsi="Book Antiqua"/>
          <w:bCs/>
          <w:color w:val="000000" w:themeColor="text1"/>
          <w:sz w:val="24"/>
          <w:szCs w:val="24"/>
          <w:vertAlign w:val="superscript"/>
        </w:rPr>
        <w:t>[</w:t>
      </w:r>
      <w:proofErr w:type="gramEnd"/>
      <w:r w:rsidRPr="00D640A9">
        <w:rPr>
          <w:rFonts w:ascii="Book Antiqua" w:hAnsi="Book Antiqua"/>
          <w:bCs/>
          <w:color w:val="000000" w:themeColor="text1"/>
          <w:sz w:val="24"/>
          <w:szCs w:val="24"/>
          <w:vertAlign w:val="superscript"/>
        </w:rPr>
        <w:t>27]</w:t>
      </w:r>
      <w:r w:rsidRPr="00D640A9">
        <w:rPr>
          <w:rFonts w:ascii="Book Antiqua" w:hAnsi="Book Antiqua"/>
          <w:bCs/>
          <w:color w:val="000000" w:themeColor="text1"/>
          <w:sz w:val="24"/>
          <w:szCs w:val="24"/>
        </w:rPr>
        <w:t xml:space="preserve">. In the present study, Western blot analysis showed that PBX3 was upregulated in GC tissues and cells. </w:t>
      </w:r>
      <w:bookmarkStart w:id="51" w:name="OLE_LINK7"/>
      <w:bookmarkStart w:id="52" w:name="OLE_LINK6"/>
      <w:r w:rsidRPr="00D640A9">
        <w:rPr>
          <w:rFonts w:ascii="Book Antiqua" w:hAnsi="Book Antiqua"/>
          <w:bCs/>
          <w:color w:val="000000" w:themeColor="text1"/>
          <w:sz w:val="24"/>
          <w:szCs w:val="24"/>
        </w:rPr>
        <w:t>miRNAs function</w:t>
      </w:r>
      <w:bookmarkEnd w:id="51"/>
      <w:bookmarkEnd w:id="52"/>
      <w:r w:rsidRPr="00D640A9">
        <w:rPr>
          <w:rFonts w:ascii="Book Antiqua" w:hAnsi="Book Antiqua"/>
          <w:bCs/>
          <w:color w:val="000000" w:themeColor="text1"/>
          <w:sz w:val="24"/>
          <w:szCs w:val="24"/>
        </w:rPr>
        <w:t xml:space="preserve"> by inhibiting translation or promot</w:t>
      </w:r>
      <w:r w:rsidR="006F2719" w:rsidRPr="00D640A9">
        <w:rPr>
          <w:rFonts w:ascii="Book Antiqua" w:hAnsi="Book Antiqua"/>
          <w:bCs/>
          <w:color w:val="000000" w:themeColor="text1"/>
          <w:sz w:val="24"/>
          <w:szCs w:val="24"/>
        </w:rPr>
        <w:t xml:space="preserve">ing degradation of target </w:t>
      </w:r>
      <w:proofErr w:type="gramStart"/>
      <w:r w:rsidR="006F2719" w:rsidRPr="00D640A9">
        <w:rPr>
          <w:rFonts w:ascii="Book Antiqua" w:hAnsi="Book Antiqua"/>
          <w:bCs/>
          <w:color w:val="000000" w:themeColor="text1"/>
          <w:sz w:val="24"/>
          <w:szCs w:val="24"/>
        </w:rPr>
        <w:t>mRNAs</w:t>
      </w:r>
      <w:r w:rsidRPr="00D640A9">
        <w:rPr>
          <w:rFonts w:ascii="Book Antiqua" w:hAnsi="Book Antiqua"/>
          <w:bCs/>
          <w:color w:val="000000" w:themeColor="text1"/>
          <w:sz w:val="24"/>
          <w:szCs w:val="24"/>
          <w:vertAlign w:val="superscript"/>
        </w:rPr>
        <w:t>[</w:t>
      </w:r>
      <w:proofErr w:type="gramEnd"/>
      <w:r w:rsidRPr="00D640A9">
        <w:rPr>
          <w:rFonts w:ascii="Book Antiqua" w:hAnsi="Book Antiqua"/>
          <w:bCs/>
          <w:color w:val="000000" w:themeColor="text1"/>
          <w:sz w:val="24"/>
          <w:szCs w:val="24"/>
          <w:vertAlign w:val="superscript"/>
        </w:rPr>
        <w:t>2]</w:t>
      </w:r>
      <w:r w:rsidRPr="00D640A9">
        <w:rPr>
          <w:rFonts w:ascii="Book Antiqua" w:hAnsi="Book Antiqua"/>
          <w:bCs/>
          <w:color w:val="000000" w:themeColor="text1"/>
          <w:sz w:val="24"/>
          <w:szCs w:val="24"/>
        </w:rPr>
        <w:t xml:space="preserve">. </w:t>
      </w:r>
      <w:r w:rsidRPr="00D640A9">
        <w:rPr>
          <w:rFonts w:ascii="Book Antiqua" w:hAnsi="Book Antiqua"/>
          <w:bCs/>
          <w:i/>
          <w:color w:val="000000" w:themeColor="text1"/>
          <w:sz w:val="24"/>
          <w:szCs w:val="24"/>
        </w:rPr>
        <w:t>PBX3</w:t>
      </w:r>
      <w:r w:rsidRPr="00D640A9">
        <w:rPr>
          <w:rFonts w:ascii="Book Antiqua" w:hAnsi="Book Antiqua"/>
          <w:bCs/>
          <w:color w:val="000000" w:themeColor="text1"/>
          <w:sz w:val="24"/>
          <w:szCs w:val="24"/>
        </w:rPr>
        <w:t xml:space="preserve"> is regulated by multiple miRNAs in cancer, including let-7d, let-7c, miR-200b, miR-222, miR-424, and miR-181</w:t>
      </w:r>
      <w:r w:rsidRPr="00D640A9">
        <w:rPr>
          <w:rFonts w:ascii="Book Antiqua" w:hAnsi="Book Antiqua"/>
          <w:bCs/>
          <w:color w:val="000000" w:themeColor="text1"/>
          <w:sz w:val="24"/>
          <w:szCs w:val="24"/>
          <w:vertAlign w:val="superscript"/>
        </w:rPr>
        <w:t>[25,26,28]</w:t>
      </w:r>
      <w:r w:rsidRPr="00D640A9">
        <w:rPr>
          <w:rFonts w:ascii="Book Antiqua" w:hAnsi="Book Antiqua"/>
          <w:bCs/>
          <w:color w:val="000000" w:themeColor="text1"/>
          <w:sz w:val="24"/>
          <w:szCs w:val="24"/>
        </w:rPr>
        <w:t xml:space="preserve">. In multiple myeloma, </w:t>
      </w:r>
      <w:r w:rsidRPr="00D640A9">
        <w:rPr>
          <w:rFonts w:ascii="Book Antiqua" w:hAnsi="Book Antiqua"/>
          <w:bCs/>
          <w:i/>
          <w:color w:val="000000" w:themeColor="text1"/>
          <w:sz w:val="24"/>
          <w:szCs w:val="24"/>
        </w:rPr>
        <w:t>PBX3</w:t>
      </w:r>
      <w:r w:rsidRPr="00D640A9">
        <w:rPr>
          <w:rFonts w:ascii="Book Antiqua" w:hAnsi="Book Antiqua"/>
          <w:bCs/>
          <w:color w:val="000000" w:themeColor="text1"/>
          <w:sz w:val="24"/>
          <w:szCs w:val="24"/>
        </w:rPr>
        <w:t xml:space="preserve"> is regulated by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and involved in disease </w:t>
      </w:r>
      <w:proofErr w:type="gramStart"/>
      <w:r w:rsidRPr="00D640A9">
        <w:rPr>
          <w:rFonts w:ascii="Book Antiqua" w:hAnsi="Book Antiqua"/>
          <w:bCs/>
          <w:color w:val="000000" w:themeColor="text1"/>
          <w:sz w:val="24"/>
          <w:szCs w:val="24"/>
        </w:rPr>
        <w:t>progression</w:t>
      </w:r>
      <w:r w:rsidRPr="00D640A9">
        <w:rPr>
          <w:rFonts w:ascii="Book Antiqua" w:hAnsi="Book Antiqua"/>
          <w:bCs/>
          <w:color w:val="000000" w:themeColor="text1"/>
          <w:sz w:val="24"/>
          <w:szCs w:val="24"/>
          <w:vertAlign w:val="superscript"/>
        </w:rPr>
        <w:t>[</w:t>
      </w:r>
      <w:proofErr w:type="gramEnd"/>
      <w:r w:rsidRPr="00D640A9">
        <w:rPr>
          <w:rFonts w:ascii="Book Antiqua" w:hAnsi="Book Antiqua"/>
          <w:bCs/>
          <w:color w:val="000000" w:themeColor="text1"/>
          <w:sz w:val="24"/>
          <w:szCs w:val="24"/>
          <w:vertAlign w:val="superscript"/>
        </w:rPr>
        <w:t>12]</w:t>
      </w:r>
      <w:r w:rsidRPr="00D640A9">
        <w:rPr>
          <w:rFonts w:ascii="Book Antiqua" w:hAnsi="Book Antiqua"/>
          <w:bCs/>
          <w:color w:val="000000" w:themeColor="text1"/>
          <w:sz w:val="24"/>
          <w:szCs w:val="24"/>
        </w:rPr>
        <w:t xml:space="preserve">. However, whether </w:t>
      </w:r>
      <w:r w:rsidRPr="00D640A9">
        <w:rPr>
          <w:rFonts w:ascii="Book Antiqua" w:hAnsi="Book Antiqua"/>
          <w:bCs/>
          <w:i/>
          <w:color w:val="000000" w:themeColor="text1"/>
          <w:sz w:val="24"/>
          <w:szCs w:val="24"/>
        </w:rPr>
        <w:t>PBX3</w:t>
      </w:r>
      <w:r w:rsidRPr="00D640A9">
        <w:rPr>
          <w:rFonts w:ascii="Book Antiqua" w:hAnsi="Book Antiqua"/>
          <w:bCs/>
          <w:color w:val="000000" w:themeColor="text1"/>
          <w:sz w:val="24"/>
          <w:szCs w:val="24"/>
        </w:rPr>
        <w:t xml:space="preserve"> is regulated by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in GC remains unknown. Our findings showed that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directly interacted with the 3′-UTR of </w:t>
      </w:r>
      <w:r w:rsidRPr="00D640A9">
        <w:rPr>
          <w:rFonts w:ascii="Book Antiqua" w:hAnsi="Book Antiqua"/>
          <w:bCs/>
          <w:i/>
          <w:color w:val="000000" w:themeColor="text1"/>
          <w:sz w:val="24"/>
          <w:szCs w:val="24"/>
        </w:rPr>
        <w:t>PBX3</w:t>
      </w:r>
      <w:r w:rsidRPr="00D640A9">
        <w:rPr>
          <w:rFonts w:ascii="Book Antiqua" w:hAnsi="Book Antiqua"/>
          <w:bCs/>
          <w:color w:val="000000" w:themeColor="text1"/>
          <w:sz w:val="24"/>
          <w:szCs w:val="24"/>
        </w:rPr>
        <w:t xml:space="preserve"> and downregulated PBX3 protein expression in GC, suggesting a mechanism underlying the post-transcriptional control of </w:t>
      </w:r>
      <w:r w:rsidRPr="00D640A9">
        <w:rPr>
          <w:rFonts w:ascii="Book Antiqua" w:hAnsi="Book Antiqua"/>
          <w:bCs/>
          <w:i/>
          <w:color w:val="000000" w:themeColor="text1"/>
          <w:sz w:val="24"/>
          <w:szCs w:val="24"/>
        </w:rPr>
        <w:t>PBX3</w:t>
      </w:r>
      <w:r w:rsidRPr="00D640A9">
        <w:rPr>
          <w:rFonts w:ascii="Book Antiqua" w:hAnsi="Book Antiqua"/>
          <w:bCs/>
          <w:color w:val="000000" w:themeColor="text1"/>
          <w:sz w:val="24"/>
          <w:szCs w:val="24"/>
        </w:rPr>
        <w:t xml:space="preserve"> by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w:t>
      </w:r>
    </w:p>
    <w:p w:rsidR="00B96523" w:rsidRPr="00D640A9" w:rsidRDefault="002F7DEB" w:rsidP="00D44140">
      <w:pPr>
        <w:spacing w:line="360" w:lineRule="auto"/>
        <w:ind w:firstLineChars="100" w:firstLine="240"/>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DNA methylation plays an important role in the expression of tumor suppressor </w:t>
      </w:r>
      <w:proofErr w:type="gramStart"/>
      <w:r w:rsidRPr="00D640A9">
        <w:rPr>
          <w:rFonts w:ascii="Book Antiqua" w:hAnsi="Book Antiqua"/>
          <w:bCs/>
          <w:color w:val="000000" w:themeColor="text1"/>
          <w:sz w:val="24"/>
          <w:szCs w:val="24"/>
        </w:rPr>
        <w:t>miRNAs</w:t>
      </w:r>
      <w:r w:rsidRPr="00D640A9">
        <w:rPr>
          <w:rFonts w:ascii="Book Antiqua" w:hAnsi="Book Antiqua"/>
          <w:bCs/>
          <w:color w:val="000000" w:themeColor="text1"/>
          <w:sz w:val="24"/>
          <w:szCs w:val="24"/>
          <w:vertAlign w:val="superscript"/>
        </w:rPr>
        <w:t>[</w:t>
      </w:r>
      <w:proofErr w:type="gramEnd"/>
      <w:r w:rsidRPr="00D640A9">
        <w:rPr>
          <w:rFonts w:ascii="Book Antiqua" w:hAnsi="Book Antiqua"/>
          <w:bCs/>
          <w:color w:val="000000" w:themeColor="text1"/>
          <w:sz w:val="24"/>
          <w:szCs w:val="24"/>
          <w:vertAlign w:val="superscript"/>
        </w:rPr>
        <w:t>29]</w:t>
      </w:r>
      <w:r w:rsidRPr="00D640A9">
        <w:rPr>
          <w:rFonts w:ascii="Book Antiqua" w:hAnsi="Book Antiqua"/>
          <w:bCs/>
          <w:color w:val="000000" w:themeColor="text1"/>
          <w:sz w:val="24"/>
          <w:szCs w:val="24"/>
        </w:rPr>
        <w:t xml:space="preserve">. Many miRNAs show hypermethylation of promoter CpG islands, including classic miRNAs such as miR-335 in GC, miR-181 in glioblastoma, and miR-342 in colorectal </w:t>
      </w:r>
      <w:proofErr w:type="gramStart"/>
      <w:r w:rsidRPr="00D640A9">
        <w:rPr>
          <w:rFonts w:ascii="Book Antiqua" w:hAnsi="Book Antiqua"/>
          <w:bCs/>
          <w:color w:val="000000" w:themeColor="text1"/>
          <w:sz w:val="24"/>
          <w:szCs w:val="24"/>
        </w:rPr>
        <w:t>cancer</w:t>
      </w:r>
      <w:r w:rsidRPr="00D640A9">
        <w:rPr>
          <w:rFonts w:ascii="Book Antiqua" w:hAnsi="Book Antiqua"/>
          <w:bCs/>
          <w:color w:val="000000" w:themeColor="text1"/>
          <w:sz w:val="24"/>
          <w:szCs w:val="24"/>
          <w:vertAlign w:val="superscript"/>
        </w:rPr>
        <w:t>[</w:t>
      </w:r>
      <w:proofErr w:type="gramEnd"/>
      <w:r w:rsidRPr="00D640A9">
        <w:rPr>
          <w:rFonts w:ascii="Book Antiqua" w:hAnsi="Book Antiqua"/>
          <w:bCs/>
          <w:color w:val="000000" w:themeColor="text1"/>
          <w:sz w:val="24"/>
          <w:szCs w:val="24"/>
          <w:vertAlign w:val="superscript"/>
        </w:rPr>
        <w:t>17,30,31]</w:t>
      </w:r>
      <w:r w:rsidRPr="00D640A9">
        <w:rPr>
          <w:rFonts w:ascii="Book Antiqua" w:hAnsi="Book Antiqua"/>
          <w:bCs/>
          <w:color w:val="000000" w:themeColor="text1"/>
          <w:sz w:val="24"/>
          <w:szCs w:val="24"/>
        </w:rPr>
        <w:t>. However, the mechanism underlying the downregulation of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in GC is unknown. We found that CpG islands were present around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by searching the human genome database. </w:t>
      </w:r>
      <w:r w:rsidR="006F2719" w:rsidRPr="00D640A9">
        <w:rPr>
          <w:rFonts w:ascii="Book Antiqua" w:hAnsi="Book Antiqua"/>
          <w:bCs/>
          <w:color w:val="000000" w:themeColor="text1"/>
          <w:sz w:val="24"/>
          <w:szCs w:val="24"/>
        </w:rPr>
        <w:t>He</w:t>
      </w:r>
      <w:r w:rsidR="006F2719" w:rsidRPr="00D640A9">
        <w:rPr>
          <w:rFonts w:ascii="Book Antiqua" w:hAnsi="Book Antiqua"/>
          <w:bCs/>
          <w:i/>
          <w:color w:val="000000" w:themeColor="text1"/>
          <w:sz w:val="24"/>
          <w:szCs w:val="24"/>
        </w:rPr>
        <w:t xml:space="preserve"> </w:t>
      </w:r>
      <w:r w:rsidRPr="00D640A9">
        <w:rPr>
          <w:rFonts w:ascii="Book Antiqua" w:hAnsi="Book Antiqua"/>
          <w:bCs/>
          <w:i/>
          <w:color w:val="000000" w:themeColor="text1"/>
          <w:sz w:val="24"/>
          <w:szCs w:val="24"/>
        </w:rPr>
        <w:t xml:space="preserve">et </w:t>
      </w:r>
      <w:proofErr w:type="gramStart"/>
      <w:r w:rsidRPr="00D640A9">
        <w:rPr>
          <w:rFonts w:ascii="Book Antiqua" w:hAnsi="Book Antiqua"/>
          <w:bCs/>
          <w:i/>
          <w:color w:val="000000" w:themeColor="text1"/>
          <w:sz w:val="24"/>
          <w:szCs w:val="24"/>
        </w:rPr>
        <w:t>al</w:t>
      </w:r>
      <w:r w:rsidRPr="00D640A9">
        <w:rPr>
          <w:rFonts w:ascii="Book Antiqua" w:hAnsi="Book Antiqua"/>
          <w:bCs/>
          <w:color w:val="000000" w:themeColor="text1"/>
          <w:sz w:val="24"/>
          <w:szCs w:val="24"/>
          <w:vertAlign w:val="superscript"/>
        </w:rPr>
        <w:t>[</w:t>
      </w:r>
      <w:proofErr w:type="gramEnd"/>
      <w:r w:rsidRPr="00D640A9">
        <w:rPr>
          <w:rFonts w:ascii="Book Antiqua" w:hAnsi="Book Antiqua"/>
          <w:bCs/>
          <w:color w:val="000000" w:themeColor="text1"/>
          <w:sz w:val="24"/>
          <w:szCs w:val="24"/>
          <w:vertAlign w:val="superscript"/>
        </w:rPr>
        <w:t>19]</w:t>
      </w:r>
      <w:r w:rsidRPr="00D640A9">
        <w:rPr>
          <w:rFonts w:ascii="Book Antiqua" w:hAnsi="Book Antiqua"/>
          <w:bCs/>
          <w:color w:val="000000" w:themeColor="text1"/>
          <w:sz w:val="24"/>
          <w:szCs w:val="24"/>
        </w:rPr>
        <w:t xml:space="preserve"> reported that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was hypermethylated in colorectal cancer, which led us to </w:t>
      </w:r>
      <w:r w:rsidRPr="00D640A9">
        <w:rPr>
          <w:rFonts w:ascii="Book Antiqua" w:hAnsi="Book Antiqua"/>
          <w:bCs/>
          <w:color w:val="000000" w:themeColor="text1"/>
          <w:sz w:val="24"/>
          <w:szCs w:val="24"/>
        </w:rPr>
        <w:lastRenderedPageBreak/>
        <w:t>hypothesize that low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expression is associated with DNA methylation in GC. MSP showed that, compared with normal GES-1 cells and matched adjacent normal tissues,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promoter CpG islands were hypermethylated in GC cell lines and GC tissues in which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was downregulated. Furthermore, the level of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hypermethylation was partially reversed by the demethylating agent 5-Aza-</w:t>
      </w:r>
      <w:r w:rsidRPr="00D640A9">
        <w:rPr>
          <w:rFonts w:ascii="Book Antiqua" w:hAnsi="Book Antiqua"/>
          <w:color w:val="000000" w:themeColor="text1"/>
          <w:sz w:val="24"/>
          <w:szCs w:val="24"/>
        </w:rPr>
        <w:t>CdR</w:t>
      </w:r>
      <w:r w:rsidRPr="00D640A9">
        <w:rPr>
          <w:rFonts w:ascii="Book Antiqua" w:hAnsi="Book Antiqua"/>
          <w:bCs/>
          <w:color w:val="000000" w:themeColor="text1"/>
          <w:sz w:val="24"/>
          <w:szCs w:val="24"/>
        </w:rPr>
        <w:t>. Overall, these data demonstrate that the expression of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is regulated by DNA methylation in GC.</w:t>
      </w:r>
    </w:p>
    <w:p w:rsidR="00B96523" w:rsidRPr="00D640A9" w:rsidRDefault="002F7DEB" w:rsidP="00D44140">
      <w:pPr>
        <w:spacing w:line="360" w:lineRule="auto"/>
        <w:ind w:firstLineChars="150" w:firstLine="360"/>
        <w:rPr>
          <w:rFonts w:ascii="Book Antiqua" w:hAnsi="Book Antiqua"/>
          <w:bCs/>
          <w:color w:val="000000" w:themeColor="text1"/>
          <w:sz w:val="24"/>
          <w:szCs w:val="24"/>
        </w:rPr>
      </w:pPr>
      <w:r w:rsidRPr="00D640A9">
        <w:rPr>
          <w:rFonts w:ascii="Book Antiqua" w:hAnsi="Book Antiqua"/>
          <w:bCs/>
          <w:color w:val="000000" w:themeColor="text1"/>
          <w:sz w:val="24"/>
          <w:szCs w:val="24"/>
        </w:rPr>
        <w:t>There were some limitations in the present study. First, our study was a small, retrospective, single-institution study, and further larger, multicenter studies are required to validate our results. Second, although the expression of miR-320a is regulated by DNA methylation, the specific mechanisms remain largely undefined. Further detailed studies are currently underway to explore the participation of miR-320a in this process, to provide more comprehensive information about the functions of miR-320a in cancer.</w:t>
      </w:r>
    </w:p>
    <w:p w:rsidR="00B96523" w:rsidRPr="00D640A9" w:rsidRDefault="002F7DEB" w:rsidP="00D44140">
      <w:pPr>
        <w:spacing w:line="360" w:lineRule="auto"/>
        <w:ind w:firstLineChars="100" w:firstLine="240"/>
        <w:rPr>
          <w:rFonts w:ascii="Book Antiqua" w:hAnsi="Book Antiqua"/>
          <w:bCs/>
          <w:color w:val="000000" w:themeColor="text1"/>
          <w:sz w:val="24"/>
          <w:szCs w:val="24"/>
        </w:rPr>
      </w:pPr>
      <w:r w:rsidRPr="00D640A9">
        <w:rPr>
          <w:rFonts w:ascii="Book Antiqua" w:hAnsi="Book Antiqua"/>
          <w:bCs/>
          <w:color w:val="000000" w:themeColor="text1"/>
          <w:sz w:val="24"/>
          <w:szCs w:val="24"/>
        </w:rPr>
        <w:t>In conclusion, we showed that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was downregulated and played a tumor- suppressing role by regulating the oncogene </w:t>
      </w:r>
      <w:r w:rsidRPr="00D640A9">
        <w:rPr>
          <w:rFonts w:ascii="Book Antiqua" w:hAnsi="Book Antiqua"/>
          <w:bCs/>
          <w:i/>
          <w:color w:val="000000" w:themeColor="text1"/>
          <w:sz w:val="24"/>
          <w:szCs w:val="24"/>
        </w:rPr>
        <w:t>PBX3</w:t>
      </w:r>
      <w:r w:rsidRPr="00D640A9">
        <w:rPr>
          <w:rFonts w:ascii="Book Antiqua" w:hAnsi="Book Antiqua"/>
          <w:bCs/>
          <w:color w:val="000000" w:themeColor="text1"/>
          <w:sz w:val="24"/>
          <w:szCs w:val="24"/>
        </w:rPr>
        <w:t xml:space="preserve"> in GC.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overexpression inhibited cell proliferation, invasion and migration, and induced cell apoptosis.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expression was regulated by DNA methylation and was partially reversed by </w:t>
      </w:r>
      <w:r w:rsidRPr="00D640A9">
        <w:rPr>
          <w:rFonts w:ascii="Book Antiqua" w:hAnsi="Book Antiqua"/>
          <w:color w:val="000000" w:themeColor="text1"/>
          <w:sz w:val="24"/>
          <w:szCs w:val="24"/>
        </w:rPr>
        <w:t>5-Aza-CdR and TSA. These data</w:t>
      </w:r>
      <w:r w:rsidRPr="00D640A9">
        <w:rPr>
          <w:rFonts w:ascii="Book Antiqua" w:hAnsi="Book Antiqua"/>
          <w:bCs/>
          <w:color w:val="000000" w:themeColor="text1"/>
          <w:sz w:val="24"/>
          <w:szCs w:val="24"/>
        </w:rPr>
        <w:t xml:space="preserve"> indicate that miR-</w:t>
      </w:r>
      <w:r w:rsidRPr="00D640A9">
        <w:rPr>
          <w:rFonts w:ascii="Book Antiqua" w:hAnsi="Book Antiqua"/>
          <w:bCs/>
          <w:iCs/>
          <w:color w:val="000000" w:themeColor="text1"/>
          <w:sz w:val="24"/>
          <w:szCs w:val="24"/>
        </w:rPr>
        <w:t>320a</w:t>
      </w:r>
      <w:r w:rsidRPr="00D640A9">
        <w:rPr>
          <w:rFonts w:ascii="Book Antiqua" w:hAnsi="Book Antiqua"/>
          <w:bCs/>
          <w:color w:val="000000" w:themeColor="text1"/>
          <w:sz w:val="24"/>
          <w:szCs w:val="24"/>
        </w:rPr>
        <w:t xml:space="preserve"> may be a potential therapeutic target in GC. </w:t>
      </w:r>
    </w:p>
    <w:p w:rsidR="006F2719" w:rsidRPr="00D640A9" w:rsidRDefault="006F2719" w:rsidP="00D44140">
      <w:pPr>
        <w:adjustRightInd w:val="0"/>
        <w:snapToGrid w:val="0"/>
        <w:spacing w:line="360" w:lineRule="auto"/>
        <w:rPr>
          <w:rFonts w:ascii="Book Antiqua" w:hAnsi="Book Antiqua"/>
          <w:b/>
          <w:bCs/>
          <w:color w:val="000000" w:themeColor="text1"/>
          <w:sz w:val="24"/>
          <w:szCs w:val="24"/>
        </w:rPr>
      </w:pPr>
      <w:bookmarkStart w:id="53" w:name="OLE_LINK14"/>
      <w:bookmarkStart w:id="54" w:name="OLE_LINK15"/>
    </w:p>
    <w:p w:rsidR="00B96523" w:rsidRPr="00D640A9" w:rsidRDefault="002F7DEB" w:rsidP="00D44140">
      <w:pPr>
        <w:adjustRightInd w:val="0"/>
        <w:snapToGrid w:val="0"/>
        <w:spacing w:line="360" w:lineRule="auto"/>
        <w:rPr>
          <w:rFonts w:ascii="Book Antiqua" w:hAnsi="Book Antiqua"/>
          <w:b/>
          <w:color w:val="000000" w:themeColor="text1"/>
          <w:sz w:val="24"/>
          <w:szCs w:val="24"/>
        </w:rPr>
      </w:pPr>
      <w:r w:rsidRPr="00D640A9">
        <w:rPr>
          <w:rFonts w:ascii="Book Antiqua" w:hAnsi="Book Antiqua"/>
          <w:b/>
          <w:color w:val="000000" w:themeColor="text1"/>
          <w:sz w:val="24"/>
          <w:szCs w:val="24"/>
        </w:rPr>
        <w:t>ARTICLE HIGHLIGHTS</w:t>
      </w:r>
      <w:bookmarkEnd w:id="53"/>
      <w:bookmarkEnd w:id="54"/>
      <w:r w:rsidRPr="00D640A9">
        <w:rPr>
          <w:rFonts w:ascii="Book Antiqua" w:hAnsi="Book Antiqua"/>
          <w:b/>
          <w:color w:val="000000" w:themeColor="text1"/>
          <w:sz w:val="24"/>
          <w:szCs w:val="24"/>
        </w:rPr>
        <w:t xml:space="preserve"> </w:t>
      </w:r>
    </w:p>
    <w:p w:rsidR="00B96523" w:rsidRPr="00D640A9" w:rsidRDefault="002F7DEB" w:rsidP="00D44140">
      <w:pPr>
        <w:adjustRightInd w:val="0"/>
        <w:snapToGrid w:val="0"/>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Research background</w:t>
      </w:r>
    </w:p>
    <w:p w:rsidR="00B96523" w:rsidRPr="00D640A9" w:rsidRDefault="002F7DEB"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Gastric cancer (GC) is a common type of malignant tumor with poor prognosis and presents a serious threat to human health. In February </w:t>
      </w:r>
      <w:proofErr w:type="gramStart"/>
      <w:r w:rsidRPr="00D640A9">
        <w:rPr>
          <w:rFonts w:ascii="Book Antiqua" w:hAnsi="Book Antiqua"/>
          <w:color w:val="000000" w:themeColor="text1"/>
          <w:sz w:val="24"/>
          <w:szCs w:val="24"/>
        </w:rPr>
        <w:t>2018 ,</w:t>
      </w:r>
      <w:proofErr w:type="gramEnd"/>
      <w:r w:rsidRPr="00D640A9">
        <w:rPr>
          <w:rFonts w:ascii="Book Antiqua" w:hAnsi="Book Antiqua"/>
          <w:color w:val="000000" w:themeColor="text1"/>
          <w:sz w:val="24"/>
          <w:szCs w:val="24"/>
        </w:rPr>
        <w:t xml:space="preserve"> the latest statistics from the Chinese National Cancer Center showed that although the overall incidence of GC is declining, it remains second in terms of incidence among all malignancies in China, just below lung cancer. At present, there is no efficient early diagnosis and curative treatment strategy for GC. As precision medicine is the future direction in cancer therapy, it is important to identify an early diagnostic or therapeutic biomarker of GC.</w:t>
      </w:r>
    </w:p>
    <w:p w:rsidR="00B96523" w:rsidRPr="00D640A9" w:rsidRDefault="00B96523" w:rsidP="00D44140">
      <w:pPr>
        <w:adjustRightInd w:val="0"/>
        <w:snapToGrid w:val="0"/>
        <w:spacing w:line="360" w:lineRule="auto"/>
        <w:rPr>
          <w:rFonts w:ascii="Book Antiqua" w:hAnsi="Book Antiqua"/>
          <w:b/>
          <w:i/>
          <w:color w:val="000000" w:themeColor="text1"/>
          <w:sz w:val="24"/>
          <w:szCs w:val="24"/>
        </w:rPr>
      </w:pPr>
    </w:p>
    <w:p w:rsidR="00B96523" w:rsidRPr="00D640A9" w:rsidRDefault="002F7DEB" w:rsidP="00D44140">
      <w:pPr>
        <w:adjustRightInd w:val="0"/>
        <w:snapToGrid w:val="0"/>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Research motivation</w:t>
      </w:r>
    </w:p>
    <w:p w:rsidR="00B96523" w:rsidRPr="00D640A9" w:rsidRDefault="002F7DEB"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To explore the expression pattern, biological function and potential mechanism of miRNA (</w:t>
      </w:r>
      <w:proofErr w:type="spellStart"/>
      <w:r w:rsidRPr="00D640A9">
        <w:rPr>
          <w:rFonts w:ascii="Book Antiqua" w:hAnsi="Book Antiqua"/>
          <w:color w:val="000000" w:themeColor="text1"/>
          <w:sz w:val="24"/>
          <w:szCs w:val="24"/>
        </w:rPr>
        <w:t>miR</w:t>
      </w:r>
      <w:proofErr w:type="spellEnd"/>
      <w:r w:rsidRPr="00D640A9">
        <w:rPr>
          <w:rFonts w:ascii="Book Antiqua" w:hAnsi="Book Antiqua"/>
          <w:color w:val="000000" w:themeColor="text1"/>
          <w:sz w:val="24"/>
          <w:szCs w:val="24"/>
        </w:rPr>
        <w:t>)-</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in GC, and to determine whether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functions as an early diagnostic or therapeutic biomarker in </w:t>
      </w:r>
      <w:proofErr w:type="spellStart"/>
      <w:r w:rsidRPr="00D640A9">
        <w:rPr>
          <w:rFonts w:ascii="Book Antiqua" w:hAnsi="Book Antiqua"/>
          <w:color w:val="000000" w:themeColor="text1"/>
          <w:sz w:val="24"/>
          <w:szCs w:val="24"/>
        </w:rPr>
        <w:t>GCaccording</w:t>
      </w:r>
      <w:proofErr w:type="spellEnd"/>
      <w:r w:rsidRPr="00D640A9">
        <w:rPr>
          <w:rFonts w:ascii="Book Antiqua" w:hAnsi="Book Antiqua"/>
          <w:color w:val="000000" w:themeColor="text1"/>
          <w:sz w:val="24"/>
          <w:szCs w:val="24"/>
        </w:rPr>
        <w:t xml:space="preserve"> to its expression and biological functions. </w:t>
      </w:r>
    </w:p>
    <w:p w:rsidR="00B96523" w:rsidRPr="00D640A9" w:rsidRDefault="00B96523" w:rsidP="00D44140">
      <w:pPr>
        <w:adjustRightInd w:val="0"/>
        <w:snapToGrid w:val="0"/>
        <w:spacing w:line="360" w:lineRule="auto"/>
        <w:rPr>
          <w:rFonts w:ascii="Book Antiqua" w:hAnsi="Book Antiqua"/>
          <w:b/>
          <w:i/>
          <w:color w:val="000000" w:themeColor="text1"/>
          <w:sz w:val="24"/>
          <w:szCs w:val="24"/>
        </w:rPr>
      </w:pPr>
    </w:p>
    <w:p w:rsidR="00B96523" w:rsidRPr="00D640A9" w:rsidRDefault="002F7DEB" w:rsidP="00D44140">
      <w:pPr>
        <w:adjustRightInd w:val="0"/>
        <w:snapToGrid w:val="0"/>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 xml:space="preserve">Research objectives </w:t>
      </w:r>
    </w:p>
    <w:p w:rsidR="00B96523" w:rsidRPr="00D640A9" w:rsidRDefault="002F7DEB"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mimic and inhibitor were transfected into GC cells for bidirectional regulation of the expression level of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The effect of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on cell viability, migration, invasion and apoptosis was determined through a series of functional experiments. These results would provide scientific evidence for clinical treatment of GC.</w:t>
      </w:r>
    </w:p>
    <w:p w:rsidR="00B96523" w:rsidRPr="00D640A9" w:rsidRDefault="00B96523" w:rsidP="00D44140">
      <w:pPr>
        <w:adjustRightInd w:val="0"/>
        <w:snapToGrid w:val="0"/>
        <w:spacing w:line="360" w:lineRule="auto"/>
        <w:rPr>
          <w:rFonts w:ascii="Book Antiqua" w:hAnsi="Book Antiqua"/>
          <w:b/>
          <w:i/>
          <w:color w:val="000000" w:themeColor="text1"/>
          <w:sz w:val="24"/>
          <w:szCs w:val="24"/>
        </w:rPr>
      </w:pPr>
    </w:p>
    <w:p w:rsidR="00B96523" w:rsidRPr="00D640A9" w:rsidRDefault="002F7DEB" w:rsidP="00D44140">
      <w:pPr>
        <w:adjustRightInd w:val="0"/>
        <w:snapToGrid w:val="0"/>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Research methods</w:t>
      </w:r>
    </w:p>
    <w:p w:rsidR="00B96523" w:rsidRPr="00D640A9" w:rsidRDefault="002F7DEB"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Quantitative real-time polymerase chain reaction (PCR) and Western blotting were performed to determine the levels of related factors. Methylation-specific PCR was applied for analysis of methylation status of the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promoter CpG islands in GC cell lines and tissues. CCK8, flow cytometry, </w:t>
      </w:r>
      <w:proofErr w:type="spellStart"/>
      <w:r w:rsidRPr="00D640A9">
        <w:rPr>
          <w:rFonts w:ascii="Book Antiqua" w:hAnsi="Book Antiqua"/>
          <w:color w:val="000000" w:themeColor="text1"/>
          <w:sz w:val="24"/>
          <w:szCs w:val="24"/>
        </w:rPr>
        <w:t>Transwell</w:t>
      </w:r>
      <w:proofErr w:type="spellEnd"/>
      <w:r w:rsidRPr="00D640A9">
        <w:rPr>
          <w:rFonts w:ascii="Book Antiqua" w:hAnsi="Book Antiqua"/>
          <w:color w:val="000000" w:themeColor="text1"/>
          <w:sz w:val="24"/>
          <w:szCs w:val="24"/>
        </w:rPr>
        <w:t xml:space="preserve"> invasion and wound healing assays were performed to determine the effect of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on cell behavior. Dual luciferase assay was performed to identify whether </w:t>
      </w:r>
      <w:r w:rsidRPr="00D640A9">
        <w:rPr>
          <w:rFonts w:ascii="Book Antiqua" w:hAnsi="Book Antiqua"/>
          <w:bCs/>
          <w:color w:val="000000" w:themeColor="text1"/>
          <w:sz w:val="24"/>
          <w:szCs w:val="24"/>
        </w:rPr>
        <w:t>pre-B-cell leukemia homeobox (</w:t>
      </w:r>
      <w:r w:rsidRPr="00D640A9">
        <w:rPr>
          <w:rFonts w:ascii="Book Antiqua" w:hAnsi="Book Antiqua"/>
          <w:color w:val="000000" w:themeColor="text1"/>
          <w:sz w:val="24"/>
          <w:szCs w:val="24"/>
        </w:rPr>
        <w:t>PBX)</w:t>
      </w:r>
      <w:r w:rsidR="006C69EF" w:rsidRPr="00D640A9">
        <w:rPr>
          <w:rFonts w:ascii="Book Antiqua" w:hAnsi="Book Antiqua"/>
          <w:color w:val="000000" w:themeColor="text1"/>
          <w:sz w:val="24"/>
          <w:szCs w:val="24"/>
        </w:rPr>
        <w:t xml:space="preserve"> </w:t>
      </w:r>
      <w:r w:rsidRPr="00D640A9">
        <w:rPr>
          <w:rFonts w:ascii="Book Antiqua" w:hAnsi="Book Antiqua"/>
          <w:color w:val="000000" w:themeColor="text1"/>
          <w:sz w:val="24"/>
          <w:szCs w:val="24"/>
        </w:rPr>
        <w:t>3 was the target gene of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TargetScanHuman7.1, </w:t>
      </w:r>
      <w:proofErr w:type="spellStart"/>
      <w:r w:rsidRPr="00D640A9">
        <w:rPr>
          <w:rFonts w:ascii="Book Antiqua" w:hAnsi="Book Antiqua"/>
          <w:color w:val="000000" w:themeColor="text1"/>
          <w:sz w:val="24"/>
          <w:szCs w:val="24"/>
        </w:rPr>
        <w:t>miRDB</w:t>
      </w:r>
      <w:proofErr w:type="spellEnd"/>
      <w:r w:rsidRPr="00D640A9">
        <w:rPr>
          <w:rFonts w:ascii="Book Antiqua" w:hAnsi="Book Antiqua"/>
          <w:color w:val="000000" w:themeColor="text1"/>
          <w:sz w:val="24"/>
          <w:szCs w:val="24"/>
        </w:rPr>
        <w:t xml:space="preserve">, microrna.org and </w:t>
      </w:r>
      <w:proofErr w:type="spellStart"/>
      <w:r w:rsidRPr="00D640A9">
        <w:rPr>
          <w:rFonts w:ascii="Book Antiqua" w:hAnsi="Book Antiqua"/>
          <w:color w:val="000000" w:themeColor="text1"/>
          <w:sz w:val="24"/>
          <w:szCs w:val="24"/>
        </w:rPr>
        <w:t>MethPrimer</w:t>
      </w:r>
      <w:proofErr w:type="spellEnd"/>
      <w:r w:rsidRPr="00D640A9">
        <w:rPr>
          <w:rFonts w:ascii="Book Antiqua" w:hAnsi="Book Antiqua"/>
          <w:color w:val="000000" w:themeColor="text1"/>
          <w:sz w:val="24"/>
          <w:szCs w:val="24"/>
        </w:rPr>
        <w:t xml:space="preserve"> were used for bioinformatics analysis. Student’s </w:t>
      </w:r>
      <w:r w:rsidRPr="00D640A9">
        <w:rPr>
          <w:rFonts w:ascii="Book Antiqua" w:hAnsi="Book Antiqua"/>
          <w:i/>
          <w:color w:val="000000" w:themeColor="text1"/>
          <w:sz w:val="24"/>
          <w:szCs w:val="24"/>
        </w:rPr>
        <w:t>t</w:t>
      </w:r>
      <w:r w:rsidRPr="00D640A9">
        <w:rPr>
          <w:rFonts w:ascii="Book Antiqua" w:hAnsi="Book Antiqua"/>
          <w:color w:val="000000" w:themeColor="text1"/>
          <w:sz w:val="24"/>
          <w:szCs w:val="24"/>
        </w:rPr>
        <w:t xml:space="preserve"> test (two-tailed) and analysis of variance (ANOVA) were used for statistical analysis.</w:t>
      </w:r>
    </w:p>
    <w:p w:rsidR="00B96523" w:rsidRPr="00D640A9" w:rsidRDefault="00B96523" w:rsidP="00D44140">
      <w:pPr>
        <w:adjustRightInd w:val="0"/>
        <w:snapToGrid w:val="0"/>
        <w:spacing w:line="360" w:lineRule="auto"/>
        <w:rPr>
          <w:rFonts w:ascii="Book Antiqua" w:hAnsi="Book Antiqua"/>
          <w:b/>
          <w:i/>
          <w:color w:val="000000" w:themeColor="text1"/>
          <w:sz w:val="24"/>
          <w:szCs w:val="24"/>
        </w:rPr>
      </w:pPr>
    </w:p>
    <w:p w:rsidR="00B96523" w:rsidRPr="00D640A9" w:rsidRDefault="002F7DEB" w:rsidP="00D44140">
      <w:pPr>
        <w:adjustRightInd w:val="0"/>
        <w:snapToGrid w:val="0"/>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Research results</w:t>
      </w:r>
    </w:p>
    <w:p w:rsidR="00B96523" w:rsidRPr="00D640A9" w:rsidRDefault="002F7DEB" w:rsidP="00D44140">
      <w:pPr>
        <w:adjustRightInd w:val="0"/>
        <w:snapToGrid w:val="0"/>
        <w:spacing w:line="360" w:lineRule="auto"/>
        <w:rPr>
          <w:rFonts w:ascii="Book Antiqua" w:hAnsi="Book Antiqua"/>
          <w:color w:val="000000" w:themeColor="text1"/>
          <w:sz w:val="24"/>
          <w:szCs w:val="24"/>
        </w:rPr>
      </w:pPr>
      <w:bookmarkStart w:id="55" w:name="OLE_LINK63"/>
      <w:r w:rsidRPr="00D640A9">
        <w:rPr>
          <w:rFonts w:ascii="Book Antiqua" w:hAnsi="Book Antiqua"/>
          <w:color w:val="000000" w:themeColor="text1"/>
          <w:sz w:val="24"/>
          <w:szCs w:val="24"/>
        </w:rPr>
        <w:t>miR-</w:t>
      </w:r>
      <w:bookmarkEnd w:id="55"/>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was downregulated in GC, and its expression deficiency was partly due to hypermethylation of the promoter CpG islands.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overexpression inhibited cell viability, migration and invasion, and induced apoptosis through targeting PBX3 in GC cells.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functioned as a tumor suppressor </w:t>
      </w:r>
      <w:r w:rsidRPr="00D640A9">
        <w:rPr>
          <w:rFonts w:ascii="Book Antiqua" w:hAnsi="Book Antiqua"/>
          <w:i/>
          <w:color w:val="000000" w:themeColor="text1"/>
          <w:sz w:val="24"/>
          <w:szCs w:val="24"/>
        </w:rPr>
        <w:t>in vitro</w:t>
      </w:r>
      <w:r w:rsidRPr="00D640A9">
        <w:rPr>
          <w:rFonts w:ascii="Book Antiqua" w:hAnsi="Book Antiqua"/>
          <w:color w:val="000000" w:themeColor="text1"/>
          <w:sz w:val="24"/>
          <w:szCs w:val="24"/>
        </w:rPr>
        <w:t xml:space="preserve">. However, its biological effect in a preclinical model should be further determined. </w:t>
      </w:r>
    </w:p>
    <w:p w:rsidR="00B96523" w:rsidRPr="00D640A9" w:rsidRDefault="00B96523" w:rsidP="00D44140">
      <w:pPr>
        <w:adjustRightInd w:val="0"/>
        <w:snapToGrid w:val="0"/>
        <w:spacing w:line="360" w:lineRule="auto"/>
        <w:rPr>
          <w:rFonts w:ascii="Book Antiqua" w:hAnsi="Book Antiqua"/>
          <w:b/>
          <w:i/>
          <w:color w:val="000000" w:themeColor="text1"/>
          <w:sz w:val="24"/>
          <w:szCs w:val="24"/>
        </w:rPr>
      </w:pPr>
    </w:p>
    <w:p w:rsidR="00B96523" w:rsidRPr="00D640A9" w:rsidRDefault="002F7DEB" w:rsidP="00D44140">
      <w:pPr>
        <w:adjustRightInd w:val="0"/>
        <w:snapToGrid w:val="0"/>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lastRenderedPageBreak/>
        <w:t>Research conclusions</w:t>
      </w:r>
    </w:p>
    <w:p w:rsidR="00B96523" w:rsidRPr="00D640A9" w:rsidRDefault="002F7DEB"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was downregulated in GC tissues and cells, and its abnormal expression was related to GC cell behavior. We confirmed that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overexpression inhibited cell viability, migration and invasion, and induced apoptosis in GC cells.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deficiency showed the opposite results. Consistent with previous research,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functioned as a tumor suppressor. miR-320a could be a biomarker for GC diagnosis and treatment. We found that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downregulation in GC was due to the elevated methylation level of the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promoter CpG islands. The elevation was partly reversed by 5-Aza-2’-deoxycytidine and </w:t>
      </w:r>
      <w:proofErr w:type="spellStart"/>
      <w:r w:rsidRPr="00D640A9">
        <w:rPr>
          <w:rFonts w:ascii="Book Antiqua" w:hAnsi="Book Antiqua"/>
          <w:color w:val="000000" w:themeColor="text1"/>
          <w:sz w:val="24"/>
          <w:szCs w:val="24"/>
        </w:rPr>
        <w:t>trichostatin</w:t>
      </w:r>
      <w:proofErr w:type="spellEnd"/>
      <w:r w:rsidRPr="00D640A9">
        <w:rPr>
          <w:rFonts w:ascii="Book Antiqua" w:hAnsi="Book Antiqua"/>
          <w:color w:val="000000" w:themeColor="text1"/>
          <w:sz w:val="24"/>
          <w:szCs w:val="24"/>
        </w:rPr>
        <w:t xml:space="preserve"> A. In addition, PBX3 was firstly identified as the target gene of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in GC. </w:t>
      </w:r>
    </w:p>
    <w:p w:rsidR="00B96523" w:rsidRPr="00D640A9" w:rsidRDefault="00B96523" w:rsidP="00D44140">
      <w:pPr>
        <w:adjustRightInd w:val="0"/>
        <w:snapToGrid w:val="0"/>
        <w:spacing w:line="360" w:lineRule="auto"/>
        <w:rPr>
          <w:rFonts w:ascii="Book Antiqua" w:hAnsi="Book Antiqua"/>
          <w:color w:val="000000" w:themeColor="text1"/>
          <w:sz w:val="24"/>
          <w:szCs w:val="24"/>
        </w:rPr>
      </w:pPr>
    </w:p>
    <w:p w:rsidR="00B96523" w:rsidRPr="00D640A9" w:rsidRDefault="002F7DEB" w:rsidP="00D44140">
      <w:pPr>
        <w:adjustRightInd w:val="0"/>
        <w:snapToGrid w:val="0"/>
        <w:spacing w:line="360" w:lineRule="auto"/>
        <w:rPr>
          <w:rFonts w:ascii="Book Antiqua" w:hAnsi="Book Antiqua"/>
          <w:b/>
          <w:i/>
          <w:color w:val="000000" w:themeColor="text1"/>
          <w:sz w:val="24"/>
          <w:szCs w:val="24"/>
        </w:rPr>
      </w:pPr>
      <w:r w:rsidRPr="00D640A9">
        <w:rPr>
          <w:rFonts w:ascii="Book Antiqua" w:hAnsi="Book Antiqua"/>
          <w:b/>
          <w:i/>
          <w:color w:val="000000" w:themeColor="text1"/>
          <w:sz w:val="24"/>
          <w:szCs w:val="24"/>
        </w:rPr>
        <w:t>Research perspectives</w:t>
      </w:r>
    </w:p>
    <w:p w:rsidR="00B96523" w:rsidRPr="00D640A9" w:rsidRDefault="002F7DEB" w:rsidP="00D44140">
      <w:pPr>
        <w:adjustRightInd w:val="0"/>
        <w:snapToGrid w:val="0"/>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For future research, we will focus on the related signaling pathways through which miR-</w:t>
      </w:r>
      <w:r w:rsidRPr="00D640A9">
        <w:rPr>
          <w:rFonts w:ascii="Book Antiqua" w:hAnsi="Book Antiqua"/>
          <w:bCs/>
          <w:iCs/>
          <w:color w:val="000000" w:themeColor="text1"/>
          <w:sz w:val="24"/>
          <w:szCs w:val="24"/>
        </w:rPr>
        <w:t>320a</w:t>
      </w:r>
      <w:r w:rsidRPr="00D640A9">
        <w:rPr>
          <w:rFonts w:ascii="Book Antiqua" w:hAnsi="Book Antiqua"/>
          <w:color w:val="000000" w:themeColor="text1"/>
          <w:sz w:val="24"/>
          <w:szCs w:val="24"/>
        </w:rPr>
        <w:t xml:space="preserve"> regulates GC cell biological behaviors. Screening for related signaling pathways of GC will be performed</w:t>
      </w:r>
      <w:r w:rsidR="001C0C9A" w:rsidRPr="00D640A9">
        <w:rPr>
          <w:rFonts w:ascii="Book Antiqua" w:hAnsi="Book Antiqua"/>
          <w:color w:val="000000" w:themeColor="text1"/>
          <w:sz w:val="24"/>
          <w:szCs w:val="24"/>
        </w:rPr>
        <w:t xml:space="preserve"> using the Cancer Genome Atlas </w:t>
      </w:r>
      <w:r w:rsidRPr="00D640A9">
        <w:rPr>
          <w:rFonts w:ascii="Book Antiqua" w:hAnsi="Book Antiqua"/>
          <w:color w:val="000000" w:themeColor="text1"/>
          <w:sz w:val="24"/>
          <w:szCs w:val="24"/>
        </w:rPr>
        <w:t>database, followed by related factor detection using Western blotting and quantitative real-time PCR. Activator and inhibitor for target signaling will be applied to GC cells, and cell viability, cell cycle, cell migration, invasion and apoptosis will be determined.</w:t>
      </w:r>
    </w:p>
    <w:p w:rsidR="006F2719" w:rsidRPr="00D640A9" w:rsidRDefault="006F2719" w:rsidP="00D44140">
      <w:pPr>
        <w:adjustRightInd w:val="0"/>
        <w:snapToGrid w:val="0"/>
        <w:spacing w:line="360" w:lineRule="auto"/>
        <w:rPr>
          <w:rFonts w:ascii="Book Antiqua" w:hAnsi="Book Antiqua" w:cs="TimesNewRomanPS-BoldItalicMT"/>
          <w:bCs/>
          <w:iCs/>
          <w:color w:val="000000" w:themeColor="text1"/>
          <w:sz w:val="24"/>
          <w:szCs w:val="24"/>
        </w:rPr>
      </w:pPr>
    </w:p>
    <w:p w:rsidR="006F2719" w:rsidRPr="00D640A9" w:rsidRDefault="006F2719" w:rsidP="00D44140">
      <w:pPr>
        <w:spacing w:line="360" w:lineRule="auto"/>
        <w:rPr>
          <w:rFonts w:ascii="Book Antiqua" w:hAnsi="Book Antiqua"/>
          <w:b/>
          <w:bCs/>
          <w:color w:val="000000" w:themeColor="text1"/>
          <w:sz w:val="24"/>
          <w:szCs w:val="24"/>
        </w:rPr>
      </w:pPr>
      <w:r w:rsidRPr="00D640A9">
        <w:rPr>
          <w:rFonts w:ascii="Book Antiqua" w:hAnsi="Book Antiqua"/>
          <w:b/>
          <w:bCs/>
          <w:color w:val="000000" w:themeColor="text1"/>
          <w:sz w:val="24"/>
          <w:szCs w:val="24"/>
        </w:rPr>
        <w:t>ACKNOWLEDGEMENTS</w:t>
      </w:r>
    </w:p>
    <w:p w:rsidR="006F2719" w:rsidRPr="00D640A9" w:rsidRDefault="006F2719" w:rsidP="00D44140">
      <w:pPr>
        <w:spacing w:line="360" w:lineRule="auto"/>
        <w:rPr>
          <w:rFonts w:ascii="Book Antiqua" w:hAnsi="Book Antiqua"/>
          <w:b/>
          <w:bCs/>
          <w:color w:val="000000" w:themeColor="text1"/>
          <w:sz w:val="24"/>
          <w:szCs w:val="24"/>
        </w:rPr>
      </w:pPr>
      <w:r w:rsidRPr="00D640A9">
        <w:rPr>
          <w:rFonts w:ascii="Book Antiqua" w:hAnsi="Book Antiqua"/>
          <w:bCs/>
          <w:color w:val="000000" w:themeColor="text1"/>
          <w:sz w:val="24"/>
          <w:szCs w:val="24"/>
        </w:rPr>
        <w:t xml:space="preserve">We are grateful to the surgeons and general practitioners for their participation and patient contacts. </w:t>
      </w:r>
    </w:p>
    <w:p w:rsidR="00B96523" w:rsidRPr="00D640A9" w:rsidRDefault="00B96523" w:rsidP="00D44140">
      <w:pPr>
        <w:spacing w:line="360" w:lineRule="auto"/>
        <w:ind w:left="1"/>
        <w:rPr>
          <w:rFonts w:ascii="Book Antiqua" w:hAnsi="Book Antiqua"/>
          <w:bCs/>
          <w:color w:val="000000" w:themeColor="text1"/>
          <w:sz w:val="24"/>
          <w:szCs w:val="24"/>
        </w:rPr>
      </w:pPr>
    </w:p>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
          <w:bCs/>
          <w:color w:val="000000" w:themeColor="text1"/>
          <w:sz w:val="24"/>
          <w:szCs w:val="24"/>
        </w:rPr>
        <w:t>REFERENCES</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 </w:t>
      </w:r>
      <w:r w:rsidRPr="00D640A9">
        <w:rPr>
          <w:rFonts w:ascii="Book Antiqua" w:hAnsi="Book Antiqua"/>
          <w:b/>
          <w:color w:val="000000" w:themeColor="text1"/>
          <w:sz w:val="24"/>
          <w:szCs w:val="24"/>
        </w:rPr>
        <w:t>Ferro A</w:t>
      </w:r>
      <w:r w:rsidRPr="00D640A9">
        <w:rPr>
          <w:rFonts w:ascii="Book Antiqua" w:hAnsi="Book Antiqua"/>
          <w:color w:val="000000" w:themeColor="text1"/>
          <w:sz w:val="24"/>
          <w:szCs w:val="24"/>
        </w:rPr>
        <w:t xml:space="preserve">, </w:t>
      </w:r>
      <w:proofErr w:type="spellStart"/>
      <w:r w:rsidRPr="00D640A9">
        <w:rPr>
          <w:rFonts w:ascii="Book Antiqua" w:hAnsi="Book Antiqua"/>
          <w:color w:val="000000" w:themeColor="text1"/>
          <w:sz w:val="24"/>
          <w:szCs w:val="24"/>
        </w:rPr>
        <w:t>Peleteiro</w:t>
      </w:r>
      <w:proofErr w:type="spellEnd"/>
      <w:r w:rsidRPr="00D640A9">
        <w:rPr>
          <w:rFonts w:ascii="Book Antiqua" w:hAnsi="Book Antiqua"/>
          <w:color w:val="000000" w:themeColor="text1"/>
          <w:sz w:val="24"/>
          <w:szCs w:val="24"/>
        </w:rPr>
        <w:t xml:space="preserve"> B, </w:t>
      </w:r>
      <w:proofErr w:type="spellStart"/>
      <w:r w:rsidRPr="00D640A9">
        <w:rPr>
          <w:rFonts w:ascii="Book Antiqua" w:hAnsi="Book Antiqua"/>
          <w:color w:val="000000" w:themeColor="text1"/>
          <w:sz w:val="24"/>
          <w:szCs w:val="24"/>
        </w:rPr>
        <w:t>Malvezzi</w:t>
      </w:r>
      <w:proofErr w:type="spellEnd"/>
      <w:r w:rsidRPr="00D640A9">
        <w:rPr>
          <w:rFonts w:ascii="Book Antiqua" w:hAnsi="Book Antiqua"/>
          <w:color w:val="000000" w:themeColor="text1"/>
          <w:sz w:val="24"/>
          <w:szCs w:val="24"/>
        </w:rPr>
        <w:t xml:space="preserve"> M, </w:t>
      </w:r>
      <w:proofErr w:type="spellStart"/>
      <w:r w:rsidRPr="00D640A9">
        <w:rPr>
          <w:rFonts w:ascii="Book Antiqua" w:hAnsi="Book Antiqua"/>
          <w:color w:val="000000" w:themeColor="text1"/>
          <w:sz w:val="24"/>
          <w:szCs w:val="24"/>
        </w:rPr>
        <w:t>Bosetti</w:t>
      </w:r>
      <w:proofErr w:type="spellEnd"/>
      <w:r w:rsidRPr="00D640A9">
        <w:rPr>
          <w:rFonts w:ascii="Book Antiqua" w:hAnsi="Book Antiqua"/>
          <w:color w:val="000000" w:themeColor="text1"/>
          <w:sz w:val="24"/>
          <w:szCs w:val="24"/>
        </w:rPr>
        <w:t xml:space="preserve"> C, </w:t>
      </w:r>
      <w:proofErr w:type="spellStart"/>
      <w:r w:rsidRPr="00D640A9">
        <w:rPr>
          <w:rFonts w:ascii="Book Antiqua" w:hAnsi="Book Antiqua"/>
          <w:color w:val="000000" w:themeColor="text1"/>
          <w:sz w:val="24"/>
          <w:szCs w:val="24"/>
        </w:rPr>
        <w:t>Bertuccio</w:t>
      </w:r>
      <w:proofErr w:type="spellEnd"/>
      <w:r w:rsidRPr="00D640A9">
        <w:rPr>
          <w:rFonts w:ascii="Book Antiqua" w:hAnsi="Book Antiqua"/>
          <w:color w:val="000000" w:themeColor="text1"/>
          <w:sz w:val="24"/>
          <w:szCs w:val="24"/>
        </w:rPr>
        <w:t xml:space="preserve"> P, Levi F, Negri E, La </w:t>
      </w:r>
      <w:proofErr w:type="spellStart"/>
      <w:r w:rsidRPr="00D640A9">
        <w:rPr>
          <w:rFonts w:ascii="Book Antiqua" w:hAnsi="Book Antiqua"/>
          <w:color w:val="000000" w:themeColor="text1"/>
          <w:sz w:val="24"/>
          <w:szCs w:val="24"/>
        </w:rPr>
        <w:t>Vecchia</w:t>
      </w:r>
      <w:proofErr w:type="spellEnd"/>
      <w:r w:rsidRPr="00D640A9">
        <w:rPr>
          <w:rFonts w:ascii="Book Antiqua" w:hAnsi="Book Antiqua"/>
          <w:color w:val="000000" w:themeColor="text1"/>
          <w:sz w:val="24"/>
          <w:szCs w:val="24"/>
        </w:rPr>
        <w:t xml:space="preserve"> C, </w:t>
      </w:r>
      <w:proofErr w:type="spellStart"/>
      <w:r w:rsidRPr="00D640A9">
        <w:rPr>
          <w:rFonts w:ascii="Book Antiqua" w:hAnsi="Book Antiqua"/>
          <w:color w:val="000000" w:themeColor="text1"/>
          <w:sz w:val="24"/>
          <w:szCs w:val="24"/>
        </w:rPr>
        <w:t>Lunet</w:t>
      </w:r>
      <w:proofErr w:type="spellEnd"/>
      <w:r w:rsidRPr="00D640A9">
        <w:rPr>
          <w:rFonts w:ascii="Book Antiqua" w:hAnsi="Book Antiqua"/>
          <w:color w:val="000000" w:themeColor="text1"/>
          <w:sz w:val="24"/>
          <w:szCs w:val="24"/>
        </w:rPr>
        <w:t xml:space="preserve"> N. Worldwide trends in gastric cancer mortality (1980-2011), with predictions to 2015, and incidence by subtype. </w:t>
      </w:r>
      <w:r w:rsidRPr="00D640A9">
        <w:rPr>
          <w:rFonts w:ascii="Book Antiqua" w:hAnsi="Book Antiqua"/>
          <w:i/>
          <w:color w:val="000000" w:themeColor="text1"/>
          <w:sz w:val="24"/>
          <w:szCs w:val="24"/>
        </w:rPr>
        <w:t>Eur J Cancer</w:t>
      </w:r>
      <w:r w:rsidRPr="00D640A9">
        <w:rPr>
          <w:rFonts w:ascii="Book Antiqua" w:hAnsi="Book Antiqua"/>
          <w:color w:val="000000" w:themeColor="text1"/>
          <w:sz w:val="24"/>
          <w:szCs w:val="24"/>
        </w:rPr>
        <w:t xml:space="preserve"> 2014; </w:t>
      </w:r>
      <w:r w:rsidRPr="00D640A9">
        <w:rPr>
          <w:rFonts w:ascii="Book Antiqua" w:hAnsi="Book Antiqua"/>
          <w:b/>
          <w:color w:val="000000" w:themeColor="text1"/>
          <w:sz w:val="24"/>
          <w:szCs w:val="24"/>
        </w:rPr>
        <w:t>50</w:t>
      </w:r>
      <w:r w:rsidRPr="00D640A9">
        <w:rPr>
          <w:rFonts w:ascii="Book Antiqua" w:hAnsi="Book Antiqua"/>
          <w:color w:val="000000" w:themeColor="text1"/>
          <w:sz w:val="24"/>
          <w:szCs w:val="24"/>
        </w:rPr>
        <w:t>: 1330-1344 [PMID: 24650579 DO</w:t>
      </w:r>
      <w:r w:rsidR="00FE7EFD" w:rsidRPr="00D640A9">
        <w:rPr>
          <w:rFonts w:ascii="Book Antiqua" w:hAnsi="Book Antiqua"/>
          <w:color w:val="000000" w:themeColor="text1"/>
          <w:sz w:val="24"/>
          <w:szCs w:val="24"/>
        </w:rPr>
        <w:t>I: 10.1016/j.ejca.2014.01.029]</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 </w:t>
      </w:r>
      <w:r w:rsidRPr="00D640A9">
        <w:rPr>
          <w:rFonts w:ascii="Book Antiqua" w:hAnsi="Book Antiqua"/>
          <w:b/>
          <w:color w:val="000000" w:themeColor="text1"/>
          <w:sz w:val="24"/>
          <w:szCs w:val="24"/>
        </w:rPr>
        <w:t>Tang H</w:t>
      </w:r>
      <w:r w:rsidRPr="00D640A9">
        <w:rPr>
          <w:rFonts w:ascii="Book Antiqua" w:hAnsi="Book Antiqua"/>
          <w:color w:val="000000" w:themeColor="text1"/>
          <w:sz w:val="24"/>
          <w:szCs w:val="24"/>
        </w:rPr>
        <w:t xml:space="preserve">, Liu X, Wang Z, She X, Zeng X, Deng M, Liao Q, Guo X, Wang R, Li X, Zeng F, Wu M, Li G. Interaction of hsa-miR-381 and glioma suppressor LRRC4 is involved in glioma growth. </w:t>
      </w:r>
      <w:r w:rsidRPr="00D640A9">
        <w:rPr>
          <w:rFonts w:ascii="Book Antiqua" w:hAnsi="Book Antiqua"/>
          <w:i/>
          <w:color w:val="000000" w:themeColor="text1"/>
          <w:sz w:val="24"/>
          <w:szCs w:val="24"/>
        </w:rPr>
        <w:t>Brain Res</w:t>
      </w:r>
      <w:r w:rsidRPr="00D640A9">
        <w:rPr>
          <w:rFonts w:ascii="Book Antiqua" w:hAnsi="Book Antiqua"/>
          <w:color w:val="000000" w:themeColor="text1"/>
          <w:sz w:val="24"/>
          <w:szCs w:val="24"/>
        </w:rPr>
        <w:t xml:space="preserve"> 2011; </w:t>
      </w:r>
      <w:r w:rsidRPr="00D640A9">
        <w:rPr>
          <w:rFonts w:ascii="Book Antiqua" w:hAnsi="Book Antiqua"/>
          <w:b/>
          <w:color w:val="000000" w:themeColor="text1"/>
          <w:sz w:val="24"/>
          <w:szCs w:val="24"/>
        </w:rPr>
        <w:t>1390</w:t>
      </w:r>
      <w:r w:rsidRPr="00D640A9">
        <w:rPr>
          <w:rFonts w:ascii="Book Antiqua" w:hAnsi="Book Antiqua"/>
          <w:color w:val="000000" w:themeColor="text1"/>
          <w:sz w:val="24"/>
          <w:szCs w:val="24"/>
        </w:rPr>
        <w:t xml:space="preserve">: 21-32 [PMID: 21435336 DOI: </w:t>
      </w:r>
      <w:r w:rsidRPr="00D640A9">
        <w:rPr>
          <w:rFonts w:ascii="Book Antiqua" w:hAnsi="Book Antiqua"/>
          <w:color w:val="000000" w:themeColor="text1"/>
          <w:sz w:val="24"/>
          <w:szCs w:val="24"/>
        </w:rPr>
        <w:lastRenderedPageBreak/>
        <w:t>1</w:t>
      </w:r>
      <w:r w:rsidR="00FE7EFD" w:rsidRPr="00D640A9">
        <w:rPr>
          <w:rFonts w:ascii="Book Antiqua" w:hAnsi="Book Antiqua"/>
          <w:color w:val="000000" w:themeColor="text1"/>
          <w:sz w:val="24"/>
          <w:szCs w:val="24"/>
        </w:rPr>
        <w:t>0.1016/j.brainres.2011.03.034]</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3 </w:t>
      </w:r>
      <w:r w:rsidRPr="00D640A9">
        <w:rPr>
          <w:rFonts w:ascii="Book Antiqua" w:hAnsi="Book Antiqua"/>
          <w:b/>
          <w:color w:val="000000" w:themeColor="text1"/>
          <w:sz w:val="24"/>
          <w:szCs w:val="24"/>
        </w:rPr>
        <w:t>Ivey KN</w:t>
      </w:r>
      <w:r w:rsidRPr="00D640A9">
        <w:rPr>
          <w:rFonts w:ascii="Book Antiqua" w:hAnsi="Book Antiqua"/>
          <w:color w:val="000000" w:themeColor="text1"/>
          <w:sz w:val="24"/>
          <w:szCs w:val="24"/>
        </w:rPr>
        <w:t xml:space="preserve">, Srivastava D. MicroRNAs as regulators of differentiation and cell fate decisions. </w:t>
      </w:r>
      <w:r w:rsidRPr="00D640A9">
        <w:rPr>
          <w:rFonts w:ascii="Book Antiqua" w:hAnsi="Book Antiqua"/>
          <w:i/>
          <w:color w:val="000000" w:themeColor="text1"/>
          <w:sz w:val="24"/>
          <w:szCs w:val="24"/>
        </w:rPr>
        <w:t>Cell Stem Cell</w:t>
      </w:r>
      <w:r w:rsidRPr="00D640A9">
        <w:rPr>
          <w:rFonts w:ascii="Book Antiqua" w:hAnsi="Book Antiqua"/>
          <w:color w:val="000000" w:themeColor="text1"/>
          <w:sz w:val="24"/>
          <w:szCs w:val="24"/>
        </w:rPr>
        <w:t xml:space="preserve"> 2010; </w:t>
      </w:r>
      <w:r w:rsidRPr="00D640A9">
        <w:rPr>
          <w:rFonts w:ascii="Book Antiqua" w:hAnsi="Book Antiqua"/>
          <w:b/>
          <w:color w:val="000000" w:themeColor="text1"/>
          <w:sz w:val="24"/>
          <w:szCs w:val="24"/>
        </w:rPr>
        <w:t>7</w:t>
      </w:r>
      <w:r w:rsidRPr="00D640A9">
        <w:rPr>
          <w:rFonts w:ascii="Book Antiqua" w:hAnsi="Book Antiqua"/>
          <w:color w:val="000000" w:themeColor="text1"/>
          <w:sz w:val="24"/>
          <w:szCs w:val="24"/>
        </w:rPr>
        <w:t>: 36-41 [PMID: 20621048 DO</w:t>
      </w:r>
      <w:r w:rsidR="00FE7EFD" w:rsidRPr="00D640A9">
        <w:rPr>
          <w:rFonts w:ascii="Book Antiqua" w:hAnsi="Book Antiqua"/>
          <w:color w:val="000000" w:themeColor="text1"/>
          <w:sz w:val="24"/>
          <w:szCs w:val="24"/>
        </w:rPr>
        <w:t>I: 10.1016/j.stem.2010.06.012]</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4 </w:t>
      </w:r>
      <w:r w:rsidRPr="00D640A9">
        <w:rPr>
          <w:rFonts w:ascii="Book Antiqua" w:hAnsi="Book Antiqua"/>
          <w:b/>
          <w:color w:val="000000" w:themeColor="text1"/>
          <w:sz w:val="24"/>
          <w:szCs w:val="24"/>
        </w:rPr>
        <w:t>Chen CZ</w:t>
      </w:r>
      <w:r w:rsidRPr="00D640A9">
        <w:rPr>
          <w:rFonts w:ascii="Book Antiqua" w:hAnsi="Book Antiqua"/>
          <w:color w:val="000000" w:themeColor="text1"/>
          <w:sz w:val="24"/>
          <w:szCs w:val="24"/>
        </w:rPr>
        <w:t xml:space="preserve">. MicroRNAs as oncogenes and tumor suppressors. </w:t>
      </w:r>
      <w:r w:rsidRPr="00D640A9">
        <w:rPr>
          <w:rFonts w:ascii="Book Antiqua" w:hAnsi="Book Antiqua"/>
          <w:i/>
          <w:color w:val="000000" w:themeColor="text1"/>
          <w:sz w:val="24"/>
          <w:szCs w:val="24"/>
        </w:rPr>
        <w:t xml:space="preserve">N </w:t>
      </w:r>
      <w:proofErr w:type="spellStart"/>
      <w:r w:rsidRPr="00D640A9">
        <w:rPr>
          <w:rFonts w:ascii="Book Antiqua" w:hAnsi="Book Antiqua"/>
          <w:i/>
          <w:color w:val="000000" w:themeColor="text1"/>
          <w:sz w:val="24"/>
          <w:szCs w:val="24"/>
        </w:rPr>
        <w:t>Engl</w:t>
      </w:r>
      <w:proofErr w:type="spellEnd"/>
      <w:r w:rsidRPr="00D640A9">
        <w:rPr>
          <w:rFonts w:ascii="Book Antiqua" w:hAnsi="Book Antiqua"/>
          <w:i/>
          <w:color w:val="000000" w:themeColor="text1"/>
          <w:sz w:val="24"/>
          <w:szCs w:val="24"/>
        </w:rPr>
        <w:t xml:space="preserve"> J Med</w:t>
      </w:r>
      <w:r w:rsidRPr="00D640A9">
        <w:rPr>
          <w:rFonts w:ascii="Book Antiqua" w:hAnsi="Book Antiqua"/>
          <w:color w:val="000000" w:themeColor="text1"/>
          <w:sz w:val="24"/>
          <w:szCs w:val="24"/>
        </w:rPr>
        <w:t xml:space="preserve"> 2005; </w:t>
      </w:r>
      <w:r w:rsidRPr="00D640A9">
        <w:rPr>
          <w:rFonts w:ascii="Book Antiqua" w:hAnsi="Book Antiqua"/>
          <w:b/>
          <w:color w:val="000000" w:themeColor="text1"/>
          <w:sz w:val="24"/>
          <w:szCs w:val="24"/>
        </w:rPr>
        <w:t>353</w:t>
      </w:r>
      <w:r w:rsidRPr="00D640A9">
        <w:rPr>
          <w:rFonts w:ascii="Book Antiqua" w:hAnsi="Book Antiqua"/>
          <w:color w:val="000000" w:themeColor="text1"/>
          <w:sz w:val="24"/>
          <w:szCs w:val="24"/>
        </w:rPr>
        <w:t>: 1768-1771 [PMID: 1625</w:t>
      </w:r>
      <w:r w:rsidR="00FE7EFD" w:rsidRPr="00D640A9">
        <w:rPr>
          <w:rFonts w:ascii="Book Antiqua" w:hAnsi="Book Antiqua"/>
          <w:color w:val="000000" w:themeColor="text1"/>
          <w:sz w:val="24"/>
          <w:szCs w:val="24"/>
        </w:rPr>
        <w:t>1533 DOI: 10.1056/NEJMp058190]</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5 </w:t>
      </w:r>
      <w:r w:rsidRPr="00D640A9">
        <w:rPr>
          <w:rFonts w:ascii="Book Antiqua" w:hAnsi="Book Antiqua"/>
          <w:b/>
          <w:color w:val="000000" w:themeColor="text1"/>
          <w:sz w:val="24"/>
          <w:szCs w:val="24"/>
        </w:rPr>
        <w:t>Zhou W</w:t>
      </w:r>
      <w:r w:rsidRPr="00D640A9">
        <w:rPr>
          <w:rFonts w:ascii="Book Antiqua" w:hAnsi="Book Antiqua"/>
          <w:color w:val="000000" w:themeColor="text1"/>
          <w:sz w:val="24"/>
          <w:szCs w:val="24"/>
        </w:rPr>
        <w:t xml:space="preserve">, Zou B, Liu L, Cui K, Gao J, Yuan S, Cong N. MicroRNA-98 acts as a tumor suppressor in hepatocellular carcinoma via targeting SALL4. </w:t>
      </w:r>
      <w:proofErr w:type="spellStart"/>
      <w:r w:rsidRPr="00D640A9">
        <w:rPr>
          <w:rFonts w:ascii="Book Antiqua" w:hAnsi="Book Antiqua"/>
          <w:i/>
          <w:color w:val="000000" w:themeColor="text1"/>
          <w:sz w:val="24"/>
          <w:szCs w:val="24"/>
        </w:rPr>
        <w:t>Oncotarget</w:t>
      </w:r>
      <w:proofErr w:type="spellEnd"/>
      <w:r w:rsidRPr="00D640A9">
        <w:rPr>
          <w:rFonts w:ascii="Book Antiqua" w:hAnsi="Book Antiqua"/>
          <w:color w:val="000000" w:themeColor="text1"/>
          <w:sz w:val="24"/>
          <w:szCs w:val="24"/>
        </w:rPr>
        <w:t xml:space="preserve"> 2016; </w:t>
      </w:r>
      <w:r w:rsidRPr="00D640A9">
        <w:rPr>
          <w:rFonts w:ascii="Book Antiqua" w:hAnsi="Book Antiqua"/>
          <w:b/>
          <w:color w:val="000000" w:themeColor="text1"/>
          <w:sz w:val="24"/>
          <w:szCs w:val="24"/>
        </w:rPr>
        <w:t>7</w:t>
      </w:r>
      <w:r w:rsidRPr="00D640A9">
        <w:rPr>
          <w:rFonts w:ascii="Book Antiqua" w:hAnsi="Book Antiqua"/>
          <w:color w:val="000000" w:themeColor="text1"/>
          <w:sz w:val="24"/>
          <w:szCs w:val="24"/>
        </w:rPr>
        <w:t>: 74059-74073 [PMID: 27677076 D</w:t>
      </w:r>
      <w:r w:rsidR="00FE7EFD" w:rsidRPr="00D640A9">
        <w:rPr>
          <w:rFonts w:ascii="Book Antiqua" w:hAnsi="Book Antiqua"/>
          <w:color w:val="000000" w:themeColor="text1"/>
          <w:sz w:val="24"/>
          <w:szCs w:val="24"/>
        </w:rPr>
        <w:t>OI: 10.18632/oncotarget.12190]</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6 </w:t>
      </w:r>
      <w:r w:rsidRPr="00D640A9">
        <w:rPr>
          <w:rFonts w:ascii="Book Antiqua" w:hAnsi="Book Antiqua"/>
          <w:b/>
          <w:color w:val="000000" w:themeColor="text1"/>
          <w:sz w:val="24"/>
          <w:szCs w:val="24"/>
        </w:rPr>
        <w:t>Zhou L</w:t>
      </w:r>
      <w:r w:rsidRPr="00D640A9">
        <w:rPr>
          <w:rFonts w:ascii="Book Antiqua" w:hAnsi="Book Antiqua"/>
          <w:color w:val="000000" w:themeColor="text1"/>
          <w:sz w:val="24"/>
          <w:szCs w:val="24"/>
        </w:rPr>
        <w:t xml:space="preserve">, Liang X, Zhang L, Yang L, Nagao N, Wu H, Liu C, Lin S, Cai G, Liu J. MiR-27a-3p functions as an oncogene in gastric cancer by targeting BTG2. </w:t>
      </w:r>
      <w:proofErr w:type="spellStart"/>
      <w:r w:rsidRPr="00D640A9">
        <w:rPr>
          <w:rFonts w:ascii="Book Antiqua" w:hAnsi="Book Antiqua"/>
          <w:i/>
          <w:color w:val="000000" w:themeColor="text1"/>
          <w:sz w:val="24"/>
          <w:szCs w:val="24"/>
        </w:rPr>
        <w:t>Oncotarget</w:t>
      </w:r>
      <w:proofErr w:type="spellEnd"/>
      <w:r w:rsidRPr="00D640A9">
        <w:rPr>
          <w:rFonts w:ascii="Book Antiqua" w:hAnsi="Book Antiqua"/>
          <w:color w:val="000000" w:themeColor="text1"/>
          <w:sz w:val="24"/>
          <w:szCs w:val="24"/>
        </w:rPr>
        <w:t xml:space="preserve"> 2016; </w:t>
      </w:r>
      <w:r w:rsidRPr="00D640A9">
        <w:rPr>
          <w:rFonts w:ascii="Book Antiqua" w:hAnsi="Book Antiqua"/>
          <w:b/>
          <w:color w:val="000000" w:themeColor="text1"/>
          <w:sz w:val="24"/>
          <w:szCs w:val="24"/>
        </w:rPr>
        <w:t>7</w:t>
      </w:r>
      <w:r w:rsidRPr="00D640A9">
        <w:rPr>
          <w:rFonts w:ascii="Book Antiqua" w:hAnsi="Book Antiqua"/>
          <w:color w:val="000000" w:themeColor="text1"/>
          <w:sz w:val="24"/>
          <w:szCs w:val="24"/>
        </w:rPr>
        <w:t>: 51943-51954 [PMID: 27409164 D</w:t>
      </w:r>
      <w:r w:rsidR="00FE7EFD" w:rsidRPr="00D640A9">
        <w:rPr>
          <w:rFonts w:ascii="Book Antiqua" w:hAnsi="Book Antiqua"/>
          <w:color w:val="000000" w:themeColor="text1"/>
          <w:sz w:val="24"/>
          <w:szCs w:val="24"/>
        </w:rPr>
        <w:t>OI: 10.18632/oncotarget.10460]</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7 </w:t>
      </w:r>
      <w:r w:rsidRPr="00D640A9">
        <w:rPr>
          <w:rFonts w:ascii="Book Antiqua" w:hAnsi="Book Antiqua"/>
          <w:b/>
          <w:color w:val="000000" w:themeColor="text1"/>
          <w:sz w:val="24"/>
          <w:szCs w:val="24"/>
        </w:rPr>
        <w:t>Calin GA</w:t>
      </w:r>
      <w:r w:rsidRPr="00D640A9">
        <w:rPr>
          <w:rFonts w:ascii="Book Antiqua" w:hAnsi="Book Antiqua"/>
          <w:color w:val="000000" w:themeColor="text1"/>
          <w:sz w:val="24"/>
          <w:szCs w:val="24"/>
        </w:rPr>
        <w:t xml:space="preserve">, Croce CM. MicroRNA signatures in human cancers. </w:t>
      </w:r>
      <w:r w:rsidRPr="00D640A9">
        <w:rPr>
          <w:rFonts w:ascii="Book Antiqua" w:hAnsi="Book Antiqua"/>
          <w:i/>
          <w:color w:val="000000" w:themeColor="text1"/>
          <w:sz w:val="24"/>
          <w:szCs w:val="24"/>
        </w:rPr>
        <w:t>Nat Rev Cancer</w:t>
      </w:r>
      <w:r w:rsidRPr="00D640A9">
        <w:rPr>
          <w:rFonts w:ascii="Book Antiqua" w:hAnsi="Book Antiqua"/>
          <w:color w:val="000000" w:themeColor="text1"/>
          <w:sz w:val="24"/>
          <w:szCs w:val="24"/>
        </w:rPr>
        <w:t xml:space="preserve"> 2006; </w:t>
      </w:r>
      <w:r w:rsidRPr="00D640A9">
        <w:rPr>
          <w:rFonts w:ascii="Book Antiqua" w:hAnsi="Book Antiqua"/>
          <w:b/>
          <w:color w:val="000000" w:themeColor="text1"/>
          <w:sz w:val="24"/>
          <w:szCs w:val="24"/>
        </w:rPr>
        <w:t>6</w:t>
      </w:r>
      <w:r w:rsidRPr="00D640A9">
        <w:rPr>
          <w:rFonts w:ascii="Book Antiqua" w:hAnsi="Book Antiqua"/>
          <w:color w:val="000000" w:themeColor="text1"/>
          <w:sz w:val="24"/>
          <w:szCs w:val="24"/>
        </w:rPr>
        <w:t xml:space="preserve">: 857-866 [PMID: </w:t>
      </w:r>
      <w:r w:rsidR="00FE7EFD" w:rsidRPr="00D640A9">
        <w:rPr>
          <w:rFonts w:ascii="Book Antiqua" w:hAnsi="Book Antiqua"/>
          <w:color w:val="000000" w:themeColor="text1"/>
          <w:sz w:val="24"/>
          <w:szCs w:val="24"/>
        </w:rPr>
        <w:t>17060945 DOI: 10.1038/nrc1997]</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8 </w:t>
      </w:r>
      <w:r w:rsidRPr="00D640A9">
        <w:rPr>
          <w:rFonts w:ascii="Book Antiqua" w:hAnsi="Book Antiqua"/>
          <w:b/>
          <w:color w:val="000000" w:themeColor="text1"/>
          <w:sz w:val="24"/>
          <w:szCs w:val="24"/>
        </w:rPr>
        <w:t>Xu L</w:t>
      </w:r>
      <w:r w:rsidRPr="00D640A9">
        <w:rPr>
          <w:rFonts w:ascii="Book Antiqua" w:hAnsi="Book Antiqua"/>
          <w:color w:val="000000" w:themeColor="text1"/>
          <w:sz w:val="24"/>
          <w:szCs w:val="24"/>
        </w:rPr>
        <w:t xml:space="preserve">, Wang F, Xu XF, Mo WH, Xia YJ, Wan R, Wang XP, Guo CY. Down-regulation of miR-212 expression by DNA hypermethylation in human gastric cancer cells. </w:t>
      </w:r>
      <w:r w:rsidRPr="00D640A9">
        <w:rPr>
          <w:rFonts w:ascii="Book Antiqua" w:hAnsi="Book Antiqua"/>
          <w:i/>
          <w:color w:val="000000" w:themeColor="text1"/>
          <w:sz w:val="24"/>
          <w:szCs w:val="24"/>
        </w:rPr>
        <w:t>Med Oncol</w:t>
      </w:r>
      <w:r w:rsidRPr="00D640A9">
        <w:rPr>
          <w:rFonts w:ascii="Book Antiqua" w:hAnsi="Book Antiqua"/>
          <w:color w:val="000000" w:themeColor="text1"/>
          <w:sz w:val="24"/>
          <w:szCs w:val="24"/>
        </w:rPr>
        <w:t xml:space="preserve"> 2011; </w:t>
      </w:r>
      <w:r w:rsidRPr="00D640A9">
        <w:rPr>
          <w:rFonts w:ascii="Book Antiqua" w:hAnsi="Book Antiqua"/>
          <w:b/>
          <w:color w:val="000000" w:themeColor="text1"/>
          <w:sz w:val="24"/>
          <w:szCs w:val="24"/>
        </w:rPr>
        <w:t>28 Suppl 1</w:t>
      </w:r>
      <w:r w:rsidRPr="00D640A9">
        <w:rPr>
          <w:rFonts w:ascii="Book Antiqua" w:hAnsi="Book Antiqua"/>
          <w:color w:val="000000" w:themeColor="text1"/>
          <w:sz w:val="24"/>
          <w:szCs w:val="24"/>
        </w:rPr>
        <w:t>: S189-S196 [PMID: 21053104 D</w:t>
      </w:r>
      <w:r w:rsidR="00FE7EFD" w:rsidRPr="00D640A9">
        <w:rPr>
          <w:rFonts w:ascii="Book Antiqua" w:hAnsi="Book Antiqua"/>
          <w:color w:val="000000" w:themeColor="text1"/>
          <w:sz w:val="24"/>
          <w:szCs w:val="24"/>
        </w:rPr>
        <w:t>OI: 10.1007/s12032-010-9691-0]</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9 </w:t>
      </w:r>
      <w:r w:rsidRPr="00D640A9">
        <w:rPr>
          <w:rFonts w:ascii="Book Antiqua" w:hAnsi="Book Antiqua"/>
          <w:b/>
          <w:color w:val="000000" w:themeColor="text1"/>
          <w:sz w:val="24"/>
          <w:szCs w:val="24"/>
        </w:rPr>
        <w:t>Zhang S</w:t>
      </w:r>
      <w:r w:rsidRPr="00D640A9">
        <w:rPr>
          <w:rFonts w:ascii="Book Antiqua" w:hAnsi="Book Antiqua"/>
          <w:color w:val="000000" w:themeColor="text1"/>
          <w:sz w:val="24"/>
          <w:szCs w:val="24"/>
        </w:rPr>
        <w:t xml:space="preserve">, Zhang C, Liu W, Zheng W, Zhang Y, Wang S, Huang D, Liu X, Bai Z. MicroRNA-24 upregulation inhibits proliferation, metastasis and induces apoptosis in bladder cancer cells by targeting CARMA3. </w:t>
      </w:r>
      <w:r w:rsidRPr="00D640A9">
        <w:rPr>
          <w:rFonts w:ascii="Book Antiqua" w:hAnsi="Book Antiqua"/>
          <w:i/>
          <w:color w:val="000000" w:themeColor="text1"/>
          <w:sz w:val="24"/>
          <w:szCs w:val="24"/>
        </w:rPr>
        <w:t>Int J Oncol</w:t>
      </w:r>
      <w:r w:rsidRPr="00D640A9">
        <w:rPr>
          <w:rFonts w:ascii="Book Antiqua" w:hAnsi="Book Antiqua"/>
          <w:color w:val="000000" w:themeColor="text1"/>
          <w:sz w:val="24"/>
          <w:szCs w:val="24"/>
        </w:rPr>
        <w:t xml:space="preserve"> 2015; </w:t>
      </w:r>
      <w:r w:rsidRPr="00D640A9">
        <w:rPr>
          <w:rFonts w:ascii="Book Antiqua" w:hAnsi="Book Antiqua"/>
          <w:b/>
          <w:color w:val="000000" w:themeColor="text1"/>
          <w:sz w:val="24"/>
          <w:szCs w:val="24"/>
        </w:rPr>
        <w:t>47</w:t>
      </w:r>
      <w:r w:rsidRPr="00D640A9">
        <w:rPr>
          <w:rFonts w:ascii="Book Antiqua" w:hAnsi="Book Antiqua"/>
          <w:color w:val="000000" w:themeColor="text1"/>
          <w:sz w:val="24"/>
          <w:szCs w:val="24"/>
        </w:rPr>
        <w:t>: 1351-1360 [PMID: 262522</w:t>
      </w:r>
      <w:r w:rsidR="00FE7EFD" w:rsidRPr="00D640A9">
        <w:rPr>
          <w:rFonts w:ascii="Book Antiqua" w:hAnsi="Book Antiqua"/>
          <w:color w:val="000000" w:themeColor="text1"/>
          <w:sz w:val="24"/>
          <w:szCs w:val="24"/>
        </w:rPr>
        <w:t>00 DOI: 10.3892/ijo.2015.3117]</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10 </w:t>
      </w:r>
      <w:r w:rsidRPr="00D640A9">
        <w:rPr>
          <w:rFonts w:ascii="Book Antiqua" w:hAnsi="Book Antiqua"/>
          <w:b/>
          <w:color w:val="000000" w:themeColor="text1"/>
          <w:sz w:val="24"/>
          <w:szCs w:val="24"/>
        </w:rPr>
        <w:t>Li Z</w:t>
      </w:r>
      <w:r w:rsidRPr="00D640A9">
        <w:rPr>
          <w:rFonts w:ascii="Book Antiqua" w:hAnsi="Book Antiqua"/>
          <w:color w:val="000000" w:themeColor="text1"/>
          <w:sz w:val="24"/>
          <w:szCs w:val="24"/>
        </w:rPr>
        <w:t xml:space="preserve">, Lei H, Luo M, Wang Y, Dong L, Ma Y, Liu C, Song W, Wang F, Zhang J, Shen J, Yu J. DNA methylation downregulated mir-10b acts as a tumor suppressor in gastric cancer. </w:t>
      </w:r>
      <w:r w:rsidRPr="00D640A9">
        <w:rPr>
          <w:rFonts w:ascii="Book Antiqua" w:hAnsi="Book Antiqua"/>
          <w:i/>
          <w:color w:val="000000" w:themeColor="text1"/>
          <w:sz w:val="24"/>
          <w:szCs w:val="24"/>
        </w:rPr>
        <w:t>Gastric Cancer</w:t>
      </w:r>
      <w:r w:rsidRPr="00D640A9">
        <w:rPr>
          <w:rFonts w:ascii="Book Antiqua" w:hAnsi="Book Antiqua"/>
          <w:color w:val="000000" w:themeColor="text1"/>
          <w:sz w:val="24"/>
          <w:szCs w:val="24"/>
        </w:rPr>
        <w:t xml:space="preserve"> 2015; </w:t>
      </w:r>
      <w:r w:rsidRPr="00D640A9">
        <w:rPr>
          <w:rFonts w:ascii="Book Antiqua" w:hAnsi="Book Antiqua"/>
          <w:b/>
          <w:color w:val="000000" w:themeColor="text1"/>
          <w:sz w:val="24"/>
          <w:szCs w:val="24"/>
        </w:rPr>
        <w:t>18</w:t>
      </w:r>
      <w:r w:rsidRPr="00D640A9">
        <w:rPr>
          <w:rFonts w:ascii="Book Antiqua" w:hAnsi="Book Antiqua"/>
          <w:color w:val="000000" w:themeColor="text1"/>
          <w:sz w:val="24"/>
          <w:szCs w:val="24"/>
        </w:rPr>
        <w:t>: 43-54 [PMID: 24481854 D</w:t>
      </w:r>
      <w:r w:rsidR="00FE7EFD" w:rsidRPr="00D640A9">
        <w:rPr>
          <w:rFonts w:ascii="Book Antiqua" w:hAnsi="Book Antiqua"/>
          <w:color w:val="000000" w:themeColor="text1"/>
          <w:sz w:val="24"/>
          <w:szCs w:val="24"/>
        </w:rPr>
        <w:t>OI: 10.1007/s10120-014-0340-8]</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11 </w:t>
      </w:r>
      <w:proofErr w:type="spellStart"/>
      <w:r w:rsidRPr="00D640A9">
        <w:rPr>
          <w:rFonts w:ascii="Book Antiqua" w:hAnsi="Book Antiqua"/>
          <w:b/>
          <w:color w:val="000000" w:themeColor="text1"/>
          <w:sz w:val="24"/>
          <w:szCs w:val="24"/>
        </w:rPr>
        <w:t>Xishan</w:t>
      </w:r>
      <w:proofErr w:type="spellEnd"/>
      <w:r w:rsidRPr="00D640A9">
        <w:rPr>
          <w:rFonts w:ascii="Book Antiqua" w:hAnsi="Book Antiqua"/>
          <w:b/>
          <w:color w:val="000000" w:themeColor="text1"/>
          <w:sz w:val="24"/>
          <w:szCs w:val="24"/>
        </w:rPr>
        <w:t xml:space="preserve"> Z</w:t>
      </w:r>
      <w:r w:rsidRPr="00D640A9">
        <w:rPr>
          <w:rFonts w:ascii="Book Antiqua" w:hAnsi="Book Antiqua"/>
          <w:color w:val="000000" w:themeColor="text1"/>
          <w:sz w:val="24"/>
          <w:szCs w:val="24"/>
        </w:rPr>
        <w:t xml:space="preserve">, </w:t>
      </w:r>
      <w:proofErr w:type="spellStart"/>
      <w:r w:rsidRPr="00D640A9">
        <w:rPr>
          <w:rFonts w:ascii="Book Antiqua" w:hAnsi="Book Antiqua"/>
          <w:color w:val="000000" w:themeColor="text1"/>
          <w:sz w:val="24"/>
          <w:szCs w:val="24"/>
        </w:rPr>
        <w:t>Ziying</w:t>
      </w:r>
      <w:proofErr w:type="spellEnd"/>
      <w:r w:rsidRPr="00D640A9">
        <w:rPr>
          <w:rFonts w:ascii="Book Antiqua" w:hAnsi="Book Antiqua"/>
          <w:color w:val="000000" w:themeColor="text1"/>
          <w:sz w:val="24"/>
          <w:szCs w:val="24"/>
        </w:rPr>
        <w:t xml:space="preserve"> L, Jing D, Gang L. MicroRNA-320a acts as a tumor suppressor by targeting BCR/ABL oncogene in chronic myeloid leukemia. </w:t>
      </w:r>
      <w:r w:rsidRPr="00D640A9">
        <w:rPr>
          <w:rFonts w:ascii="Book Antiqua" w:hAnsi="Book Antiqua"/>
          <w:i/>
          <w:color w:val="000000" w:themeColor="text1"/>
          <w:sz w:val="24"/>
          <w:szCs w:val="24"/>
        </w:rPr>
        <w:t>Sci Rep</w:t>
      </w:r>
      <w:r w:rsidRPr="00D640A9">
        <w:rPr>
          <w:rFonts w:ascii="Book Antiqua" w:hAnsi="Book Antiqua"/>
          <w:color w:val="000000" w:themeColor="text1"/>
          <w:sz w:val="24"/>
          <w:szCs w:val="24"/>
        </w:rPr>
        <w:t xml:space="preserve"> 2015; </w:t>
      </w:r>
      <w:r w:rsidRPr="00D640A9">
        <w:rPr>
          <w:rFonts w:ascii="Book Antiqua" w:hAnsi="Book Antiqua"/>
          <w:b/>
          <w:color w:val="000000" w:themeColor="text1"/>
          <w:sz w:val="24"/>
          <w:szCs w:val="24"/>
        </w:rPr>
        <w:t>5</w:t>
      </w:r>
      <w:r w:rsidRPr="00D640A9">
        <w:rPr>
          <w:rFonts w:ascii="Book Antiqua" w:hAnsi="Book Antiqua"/>
          <w:color w:val="000000" w:themeColor="text1"/>
          <w:sz w:val="24"/>
          <w:szCs w:val="24"/>
        </w:rPr>
        <w:t>: 12460 [PMID: 2</w:t>
      </w:r>
      <w:r w:rsidR="00FE7EFD" w:rsidRPr="00D640A9">
        <w:rPr>
          <w:rFonts w:ascii="Book Antiqua" w:hAnsi="Book Antiqua"/>
          <w:color w:val="000000" w:themeColor="text1"/>
          <w:sz w:val="24"/>
          <w:szCs w:val="24"/>
        </w:rPr>
        <w:t>6228085 DOI: 10.1038/srep12460</w:t>
      </w:r>
      <w:r w:rsidR="00FE7EFD" w:rsidRPr="00D640A9">
        <w:rPr>
          <w:rFonts w:ascii="Book Antiqua" w:hAnsi="Book Antiqua" w:hint="eastAsia"/>
          <w:color w:val="000000" w:themeColor="text1"/>
          <w:sz w:val="24"/>
          <w:szCs w:val="24"/>
        </w:rPr>
        <w:t>]</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12 </w:t>
      </w:r>
      <w:r w:rsidRPr="00D640A9">
        <w:rPr>
          <w:rFonts w:ascii="Book Antiqua" w:hAnsi="Book Antiqua"/>
          <w:b/>
          <w:color w:val="000000" w:themeColor="text1"/>
          <w:sz w:val="24"/>
          <w:szCs w:val="24"/>
        </w:rPr>
        <w:t>Lu Y</w:t>
      </w:r>
      <w:r w:rsidRPr="00D640A9">
        <w:rPr>
          <w:rFonts w:ascii="Book Antiqua" w:hAnsi="Book Antiqua"/>
          <w:color w:val="000000" w:themeColor="text1"/>
          <w:sz w:val="24"/>
          <w:szCs w:val="24"/>
        </w:rPr>
        <w:t xml:space="preserve">, Wu D, Wang J, Li Y, Chai X, Kang Q. miR-320a regulates cell proliferation and apoptosis in multiple myeloma by targeting pre-B-cell leukemia transcription factor 3. </w:t>
      </w:r>
      <w:proofErr w:type="spellStart"/>
      <w:r w:rsidRPr="00D640A9">
        <w:rPr>
          <w:rFonts w:ascii="Book Antiqua" w:hAnsi="Book Antiqua"/>
          <w:i/>
          <w:color w:val="000000" w:themeColor="text1"/>
          <w:sz w:val="24"/>
          <w:szCs w:val="24"/>
        </w:rPr>
        <w:lastRenderedPageBreak/>
        <w:t>Biochem</w:t>
      </w:r>
      <w:proofErr w:type="spellEnd"/>
      <w:r w:rsidRPr="00D640A9">
        <w:rPr>
          <w:rFonts w:ascii="Book Antiqua" w:hAnsi="Book Antiqua"/>
          <w:i/>
          <w:color w:val="000000" w:themeColor="text1"/>
          <w:sz w:val="24"/>
          <w:szCs w:val="24"/>
        </w:rPr>
        <w:t xml:space="preserve"> </w:t>
      </w:r>
      <w:proofErr w:type="spellStart"/>
      <w:r w:rsidRPr="00D640A9">
        <w:rPr>
          <w:rFonts w:ascii="Book Antiqua" w:hAnsi="Book Antiqua"/>
          <w:i/>
          <w:color w:val="000000" w:themeColor="text1"/>
          <w:sz w:val="24"/>
          <w:szCs w:val="24"/>
        </w:rPr>
        <w:t>Biophys</w:t>
      </w:r>
      <w:proofErr w:type="spellEnd"/>
      <w:r w:rsidRPr="00D640A9">
        <w:rPr>
          <w:rFonts w:ascii="Book Antiqua" w:hAnsi="Book Antiqua"/>
          <w:i/>
          <w:color w:val="000000" w:themeColor="text1"/>
          <w:sz w:val="24"/>
          <w:szCs w:val="24"/>
        </w:rPr>
        <w:t xml:space="preserve"> Res </w:t>
      </w:r>
      <w:proofErr w:type="spellStart"/>
      <w:r w:rsidRPr="00D640A9">
        <w:rPr>
          <w:rFonts w:ascii="Book Antiqua" w:hAnsi="Book Antiqua"/>
          <w:i/>
          <w:color w:val="000000" w:themeColor="text1"/>
          <w:sz w:val="24"/>
          <w:szCs w:val="24"/>
        </w:rPr>
        <w:t>Commun</w:t>
      </w:r>
      <w:proofErr w:type="spellEnd"/>
      <w:r w:rsidRPr="00D640A9">
        <w:rPr>
          <w:rFonts w:ascii="Book Antiqua" w:hAnsi="Book Antiqua"/>
          <w:color w:val="000000" w:themeColor="text1"/>
          <w:sz w:val="24"/>
          <w:szCs w:val="24"/>
        </w:rPr>
        <w:t xml:space="preserve"> 2016; </w:t>
      </w:r>
      <w:r w:rsidRPr="00D640A9">
        <w:rPr>
          <w:rFonts w:ascii="Book Antiqua" w:hAnsi="Book Antiqua"/>
          <w:b/>
          <w:color w:val="000000" w:themeColor="text1"/>
          <w:sz w:val="24"/>
          <w:szCs w:val="24"/>
        </w:rPr>
        <w:t>473</w:t>
      </w:r>
      <w:r w:rsidRPr="00D640A9">
        <w:rPr>
          <w:rFonts w:ascii="Book Antiqua" w:hAnsi="Book Antiqua"/>
          <w:color w:val="000000" w:themeColor="text1"/>
          <w:sz w:val="24"/>
          <w:szCs w:val="24"/>
        </w:rPr>
        <w:t xml:space="preserve">: 1315-1320 [PMID: 27086852 </w:t>
      </w:r>
      <w:r w:rsidR="00FE7EFD" w:rsidRPr="00D640A9">
        <w:rPr>
          <w:rFonts w:ascii="Book Antiqua" w:hAnsi="Book Antiqua"/>
          <w:color w:val="000000" w:themeColor="text1"/>
          <w:sz w:val="24"/>
          <w:szCs w:val="24"/>
        </w:rPr>
        <w:t>DOI: 10.1016/j.bbrc.2016.04.069</w:t>
      </w:r>
      <w:r w:rsidRPr="00D640A9">
        <w:rPr>
          <w:rFonts w:ascii="Book Antiqua" w:hAnsi="Book Antiqua"/>
          <w:color w:val="000000" w:themeColor="text1"/>
          <w:sz w:val="24"/>
          <w:szCs w:val="24"/>
        </w:rPr>
        <w:t>]</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13 </w:t>
      </w:r>
      <w:r w:rsidRPr="00D640A9">
        <w:rPr>
          <w:rFonts w:ascii="Book Antiqua" w:hAnsi="Book Antiqua"/>
          <w:b/>
          <w:color w:val="000000" w:themeColor="text1"/>
          <w:sz w:val="24"/>
          <w:szCs w:val="24"/>
        </w:rPr>
        <w:t>Zhao H</w:t>
      </w:r>
      <w:r w:rsidRPr="00D640A9">
        <w:rPr>
          <w:rFonts w:ascii="Book Antiqua" w:hAnsi="Book Antiqua"/>
          <w:color w:val="000000" w:themeColor="text1"/>
          <w:sz w:val="24"/>
          <w:szCs w:val="24"/>
        </w:rPr>
        <w:t xml:space="preserve">, Dong T, Zhou H, Wang L, Huang A, Feng B, Quan Y, </w:t>
      </w:r>
      <w:proofErr w:type="spellStart"/>
      <w:r w:rsidRPr="00D640A9">
        <w:rPr>
          <w:rFonts w:ascii="Book Antiqua" w:hAnsi="Book Antiqua"/>
          <w:color w:val="000000" w:themeColor="text1"/>
          <w:sz w:val="24"/>
          <w:szCs w:val="24"/>
        </w:rPr>
        <w:t>Jin</w:t>
      </w:r>
      <w:proofErr w:type="spellEnd"/>
      <w:r w:rsidRPr="00D640A9">
        <w:rPr>
          <w:rFonts w:ascii="Book Antiqua" w:hAnsi="Book Antiqua"/>
          <w:color w:val="000000" w:themeColor="text1"/>
          <w:sz w:val="24"/>
          <w:szCs w:val="24"/>
        </w:rPr>
        <w:t xml:space="preserve"> R, Zhang W, Sun J, Zhang D, Zheng M. miR-320a suppresses colorectal cancer progression by targeting Rac1. </w:t>
      </w:r>
      <w:r w:rsidRPr="00D640A9">
        <w:rPr>
          <w:rFonts w:ascii="Book Antiqua" w:hAnsi="Book Antiqua"/>
          <w:i/>
          <w:color w:val="000000" w:themeColor="text1"/>
          <w:sz w:val="24"/>
          <w:szCs w:val="24"/>
        </w:rPr>
        <w:t>Carcinogenesis</w:t>
      </w:r>
      <w:r w:rsidRPr="00D640A9">
        <w:rPr>
          <w:rFonts w:ascii="Book Antiqua" w:hAnsi="Book Antiqua"/>
          <w:color w:val="000000" w:themeColor="text1"/>
          <w:sz w:val="24"/>
          <w:szCs w:val="24"/>
        </w:rPr>
        <w:t xml:space="preserve"> 2014; </w:t>
      </w:r>
      <w:r w:rsidRPr="00D640A9">
        <w:rPr>
          <w:rFonts w:ascii="Book Antiqua" w:hAnsi="Book Antiqua"/>
          <w:b/>
          <w:color w:val="000000" w:themeColor="text1"/>
          <w:sz w:val="24"/>
          <w:szCs w:val="24"/>
        </w:rPr>
        <w:t>35</w:t>
      </w:r>
      <w:r w:rsidRPr="00D640A9">
        <w:rPr>
          <w:rFonts w:ascii="Book Antiqua" w:hAnsi="Book Antiqua"/>
          <w:color w:val="000000" w:themeColor="text1"/>
          <w:sz w:val="24"/>
          <w:szCs w:val="24"/>
        </w:rPr>
        <w:t>: 886-895 [PMID: 2426</w:t>
      </w:r>
      <w:r w:rsidR="00FE7EFD" w:rsidRPr="00D640A9">
        <w:rPr>
          <w:rFonts w:ascii="Book Antiqua" w:hAnsi="Book Antiqua"/>
          <w:color w:val="000000" w:themeColor="text1"/>
          <w:sz w:val="24"/>
          <w:szCs w:val="24"/>
        </w:rPr>
        <w:t>5291 DOI: 10.1093/</w:t>
      </w:r>
      <w:proofErr w:type="spellStart"/>
      <w:r w:rsidR="00FE7EFD" w:rsidRPr="00D640A9">
        <w:rPr>
          <w:rFonts w:ascii="Book Antiqua" w:hAnsi="Book Antiqua"/>
          <w:color w:val="000000" w:themeColor="text1"/>
          <w:sz w:val="24"/>
          <w:szCs w:val="24"/>
        </w:rPr>
        <w:t>carcin</w:t>
      </w:r>
      <w:proofErr w:type="spellEnd"/>
      <w:r w:rsidR="00FE7EFD" w:rsidRPr="00D640A9">
        <w:rPr>
          <w:rFonts w:ascii="Book Antiqua" w:hAnsi="Book Antiqua"/>
          <w:color w:val="000000" w:themeColor="text1"/>
          <w:sz w:val="24"/>
          <w:szCs w:val="24"/>
        </w:rPr>
        <w:t>/bgt378</w:t>
      </w:r>
      <w:r w:rsidRPr="00D640A9">
        <w:rPr>
          <w:rFonts w:ascii="Book Antiqua" w:hAnsi="Book Antiqua"/>
          <w:color w:val="000000" w:themeColor="text1"/>
          <w:sz w:val="24"/>
          <w:szCs w:val="24"/>
        </w:rPr>
        <w:t>]</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14 </w:t>
      </w:r>
      <w:r w:rsidRPr="00D640A9">
        <w:rPr>
          <w:rFonts w:ascii="Book Antiqua" w:hAnsi="Book Antiqua"/>
          <w:b/>
          <w:color w:val="000000" w:themeColor="text1"/>
          <w:sz w:val="24"/>
          <w:szCs w:val="24"/>
        </w:rPr>
        <w:t>Qi X</w:t>
      </w:r>
      <w:r w:rsidRPr="00D640A9">
        <w:rPr>
          <w:rFonts w:ascii="Book Antiqua" w:hAnsi="Book Antiqua"/>
          <w:color w:val="000000" w:themeColor="text1"/>
          <w:sz w:val="24"/>
          <w:szCs w:val="24"/>
        </w:rPr>
        <w:t xml:space="preserve">, Li J, Zhou C, </w:t>
      </w:r>
      <w:proofErr w:type="spellStart"/>
      <w:r w:rsidRPr="00D640A9">
        <w:rPr>
          <w:rFonts w:ascii="Book Antiqua" w:hAnsi="Book Antiqua"/>
          <w:color w:val="000000" w:themeColor="text1"/>
          <w:sz w:val="24"/>
          <w:szCs w:val="24"/>
        </w:rPr>
        <w:t>Lv</w:t>
      </w:r>
      <w:proofErr w:type="spellEnd"/>
      <w:r w:rsidRPr="00D640A9">
        <w:rPr>
          <w:rFonts w:ascii="Book Antiqua" w:hAnsi="Book Antiqua"/>
          <w:color w:val="000000" w:themeColor="text1"/>
          <w:sz w:val="24"/>
          <w:szCs w:val="24"/>
        </w:rPr>
        <w:t xml:space="preserve"> C, Tian M. MicroRNA-320a inhibits cell proliferation, migration and invasion by targeting BMI-1 in nasopharyngeal carcinoma. </w:t>
      </w:r>
      <w:r w:rsidRPr="00D640A9">
        <w:rPr>
          <w:rFonts w:ascii="Book Antiqua" w:hAnsi="Book Antiqua"/>
          <w:i/>
          <w:color w:val="000000" w:themeColor="text1"/>
          <w:sz w:val="24"/>
          <w:szCs w:val="24"/>
        </w:rPr>
        <w:t>FEBS Lett</w:t>
      </w:r>
      <w:r w:rsidRPr="00D640A9">
        <w:rPr>
          <w:rFonts w:ascii="Book Antiqua" w:hAnsi="Book Antiqua"/>
          <w:color w:val="000000" w:themeColor="text1"/>
          <w:sz w:val="24"/>
          <w:szCs w:val="24"/>
        </w:rPr>
        <w:t xml:space="preserve"> 2014; </w:t>
      </w:r>
      <w:r w:rsidRPr="00D640A9">
        <w:rPr>
          <w:rFonts w:ascii="Book Antiqua" w:hAnsi="Book Antiqua"/>
          <w:b/>
          <w:color w:val="000000" w:themeColor="text1"/>
          <w:sz w:val="24"/>
          <w:szCs w:val="24"/>
        </w:rPr>
        <w:t>588</w:t>
      </w:r>
      <w:r w:rsidRPr="00D640A9">
        <w:rPr>
          <w:rFonts w:ascii="Book Antiqua" w:hAnsi="Book Antiqua"/>
          <w:color w:val="000000" w:themeColor="text1"/>
          <w:sz w:val="24"/>
          <w:szCs w:val="24"/>
        </w:rPr>
        <w:t>: 3732-3738 [PMID: 25171860 DOI</w:t>
      </w:r>
      <w:r w:rsidR="00FE7EFD" w:rsidRPr="00D640A9">
        <w:rPr>
          <w:rFonts w:ascii="Book Antiqua" w:hAnsi="Book Antiqua"/>
          <w:color w:val="000000" w:themeColor="text1"/>
          <w:sz w:val="24"/>
          <w:szCs w:val="24"/>
        </w:rPr>
        <w:t>: 10.1016/j.febslet.2014.08.021</w:t>
      </w:r>
      <w:r w:rsidRPr="00D640A9">
        <w:rPr>
          <w:rFonts w:ascii="Book Antiqua" w:hAnsi="Book Antiqua"/>
          <w:color w:val="000000" w:themeColor="text1"/>
          <w:sz w:val="24"/>
          <w:szCs w:val="24"/>
        </w:rPr>
        <w:t>]</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15 </w:t>
      </w:r>
      <w:r w:rsidRPr="00D640A9">
        <w:rPr>
          <w:rFonts w:ascii="Book Antiqua" w:hAnsi="Book Antiqua"/>
          <w:b/>
          <w:color w:val="000000" w:themeColor="text1"/>
          <w:sz w:val="24"/>
          <w:szCs w:val="24"/>
        </w:rPr>
        <w:t>Wang B</w:t>
      </w:r>
      <w:r w:rsidRPr="00D640A9">
        <w:rPr>
          <w:rFonts w:ascii="Book Antiqua" w:hAnsi="Book Antiqua"/>
          <w:color w:val="000000" w:themeColor="text1"/>
          <w:sz w:val="24"/>
          <w:szCs w:val="24"/>
        </w:rPr>
        <w:t xml:space="preserve">, Yang Z, Wang H, Cao Z, Zhao Y, Gong C, Ma L, Wang X, Hu X, Chen S. MicroRNA-320a inhibits proliferation and invasion of breast cancer cells by targeting RAB11A. </w:t>
      </w:r>
      <w:r w:rsidRPr="00D640A9">
        <w:rPr>
          <w:rFonts w:ascii="Book Antiqua" w:hAnsi="Book Antiqua"/>
          <w:i/>
          <w:color w:val="000000" w:themeColor="text1"/>
          <w:sz w:val="24"/>
          <w:szCs w:val="24"/>
        </w:rPr>
        <w:t>Am J Cancer Res</w:t>
      </w:r>
      <w:r w:rsidRPr="00D640A9">
        <w:rPr>
          <w:rFonts w:ascii="Book Antiqua" w:hAnsi="Book Antiqua"/>
          <w:color w:val="000000" w:themeColor="text1"/>
          <w:sz w:val="24"/>
          <w:szCs w:val="24"/>
        </w:rPr>
        <w:t xml:space="preserve"> 2015; </w:t>
      </w:r>
      <w:r w:rsidRPr="00D640A9">
        <w:rPr>
          <w:rFonts w:ascii="Book Antiqua" w:hAnsi="Book Antiqua"/>
          <w:b/>
          <w:color w:val="000000" w:themeColor="text1"/>
          <w:sz w:val="24"/>
          <w:szCs w:val="24"/>
        </w:rPr>
        <w:t>5</w:t>
      </w:r>
      <w:r w:rsidRPr="00D640A9">
        <w:rPr>
          <w:rFonts w:ascii="Book Antiqua" w:hAnsi="Book Antiqua"/>
          <w:color w:val="000000" w:themeColor="text1"/>
          <w:sz w:val="24"/>
          <w:szCs w:val="24"/>
        </w:rPr>
        <w:t>: 2719-2729 [PMID: 26609479]</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16 </w:t>
      </w:r>
      <w:r w:rsidRPr="00D640A9">
        <w:rPr>
          <w:rFonts w:ascii="Book Antiqua" w:hAnsi="Book Antiqua"/>
          <w:b/>
          <w:color w:val="000000" w:themeColor="text1"/>
          <w:sz w:val="24"/>
          <w:szCs w:val="24"/>
        </w:rPr>
        <w:t>Shang C</w:t>
      </w:r>
      <w:r w:rsidRPr="00D640A9">
        <w:rPr>
          <w:rFonts w:ascii="Book Antiqua" w:hAnsi="Book Antiqua"/>
          <w:color w:val="000000" w:themeColor="text1"/>
          <w:sz w:val="24"/>
          <w:szCs w:val="24"/>
        </w:rPr>
        <w:t xml:space="preserve">, Zhang H, Guo Y, Hong Y, Liu Y, </w:t>
      </w:r>
      <w:proofErr w:type="spellStart"/>
      <w:r w:rsidRPr="00D640A9">
        <w:rPr>
          <w:rFonts w:ascii="Book Antiqua" w:hAnsi="Book Antiqua"/>
          <w:color w:val="000000" w:themeColor="text1"/>
          <w:sz w:val="24"/>
          <w:szCs w:val="24"/>
        </w:rPr>
        <w:t>Xue</w:t>
      </w:r>
      <w:proofErr w:type="spellEnd"/>
      <w:r w:rsidRPr="00D640A9">
        <w:rPr>
          <w:rFonts w:ascii="Book Antiqua" w:hAnsi="Book Antiqua"/>
          <w:color w:val="000000" w:themeColor="text1"/>
          <w:sz w:val="24"/>
          <w:szCs w:val="24"/>
        </w:rPr>
        <w:t xml:space="preserve"> Y. MiR-320a down-regulation mediates bladder carcinoma invasion by targeting ITGB3. </w:t>
      </w:r>
      <w:r w:rsidRPr="00D640A9">
        <w:rPr>
          <w:rFonts w:ascii="Book Antiqua" w:hAnsi="Book Antiqua"/>
          <w:i/>
          <w:color w:val="000000" w:themeColor="text1"/>
          <w:sz w:val="24"/>
          <w:szCs w:val="24"/>
        </w:rPr>
        <w:t>Mol Biol Rep</w:t>
      </w:r>
      <w:r w:rsidRPr="00D640A9">
        <w:rPr>
          <w:rFonts w:ascii="Book Antiqua" w:hAnsi="Book Antiqua"/>
          <w:color w:val="000000" w:themeColor="text1"/>
          <w:sz w:val="24"/>
          <w:szCs w:val="24"/>
        </w:rPr>
        <w:t xml:space="preserve"> 2014; </w:t>
      </w:r>
      <w:r w:rsidRPr="00D640A9">
        <w:rPr>
          <w:rFonts w:ascii="Book Antiqua" w:hAnsi="Book Antiqua"/>
          <w:b/>
          <w:color w:val="000000" w:themeColor="text1"/>
          <w:sz w:val="24"/>
          <w:szCs w:val="24"/>
        </w:rPr>
        <w:t>41</w:t>
      </w:r>
      <w:r w:rsidRPr="00D640A9">
        <w:rPr>
          <w:rFonts w:ascii="Book Antiqua" w:hAnsi="Book Antiqua"/>
          <w:color w:val="000000" w:themeColor="text1"/>
          <w:sz w:val="24"/>
          <w:szCs w:val="24"/>
        </w:rPr>
        <w:t>: 2521-2527 [PMID: 24443232</w:t>
      </w:r>
      <w:r w:rsidR="00FE7EFD" w:rsidRPr="00D640A9">
        <w:rPr>
          <w:rFonts w:ascii="Book Antiqua" w:hAnsi="Book Antiqua"/>
          <w:color w:val="000000" w:themeColor="text1"/>
          <w:sz w:val="24"/>
          <w:szCs w:val="24"/>
        </w:rPr>
        <w:t xml:space="preserve"> DOI: 10.1007/s11033-014-3110-0</w:t>
      </w:r>
      <w:r w:rsidRPr="00D640A9">
        <w:rPr>
          <w:rFonts w:ascii="Book Antiqua" w:hAnsi="Book Antiqua"/>
          <w:color w:val="000000" w:themeColor="text1"/>
          <w:sz w:val="24"/>
          <w:szCs w:val="24"/>
        </w:rPr>
        <w:t>]</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17 </w:t>
      </w:r>
      <w:r w:rsidRPr="00D640A9">
        <w:rPr>
          <w:rFonts w:ascii="Book Antiqua" w:hAnsi="Book Antiqua"/>
          <w:b/>
          <w:color w:val="000000" w:themeColor="text1"/>
          <w:sz w:val="24"/>
          <w:szCs w:val="24"/>
        </w:rPr>
        <w:t>Ayala-Ortega E</w:t>
      </w:r>
      <w:r w:rsidRPr="00D640A9">
        <w:rPr>
          <w:rFonts w:ascii="Book Antiqua" w:hAnsi="Book Antiqua"/>
          <w:color w:val="000000" w:themeColor="text1"/>
          <w:sz w:val="24"/>
          <w:szCs w:val="24"/>
        </w:rPr>
        <w:t xml:space="preserve">, </w:t>
      </w:r>
      <w:proofErr w:type="spellStart"/>
      <w:r w:rsidRPr="00D640A9">
        <w:rPr>
          <w:rFonts w:ascii="Book Antiqua" w:hAnsi="Book Antiqua"/>
          <w:color w:val="000000" w:themeColor="text1"/>
          <w:sz w:val="24"/>
          <w:szCs w:val="24"/>
        </w:rPr>
        <w:t>Arzate-Mejía</w:t>
      </w:r>
      <w:proofErr w:type="spellEnd"/>
      <w:r w:rsidRPr="00D640A9">
        <w:rPr>
          <w:rFonts w:ascii="Book Antiqua" w:hAnsi="Book Antiqua"/>
          <w:color w:val="000000" w:themeColor="text1"/>
          <w:sz w:val="24"/>
          <w:szCs w:val="24"/>
        </w:rPr>
        <w:t xml:space="preserve"> R, Pérez-Molina R, González-</w:t>
      </w:r>
      <w:proofErr w:type="spellStart"/>
      <w:r w:rsidRPr="00D640A9">
        <w:rPr>
          <w:rFonts w:ascii="Book Antiqua" w:hAnsi="Book Antiqua"/>
          <w:color w:val="000000" w:themeColor="text1"/>
          <w:sz w:val="24"/>
          <w:szCs w:val="24"/>
        </w:rPr>
        <w:t>Buendía</w:t>
      </w:r>
      <w:proofErr w:type="spellEnd"/>
      <w:r w:rsidRPr="00D640A9">
        <w:rPr>
          <w:rFonts w:ascii="Book Antiqua" w:hAnsi="Book Antiqua"/>
          <w:color w:val="000000" w:themeColor="text1"/>
          <w:sz w:val="24"/>
          <w:szCs w:val="24"/>
        </w:rPr>
        <w:t xml:space="preserve"> E, Meier K, Guerrero G, </w:t>
      </w:r>
      <w:proofErr w:type="spellStart"/>
      <w:r w:rsidRPr="00D640A9">
        <w:rPr>
          <w:rFonts w:ascii="Book Antiqua" w:hAnsi="Book Antiqua"/>
          <w:color w:val="000000" w:themeColor="text1"/>
          <w:sz w:val="24"/>
          <w:szCs w:val="24"/>
        </w:rPr>
        <w:t>Recillas</w:t>
      </w:r>
      <w:proofErr w:type="spellEnd"/>
      <w:r w:rsidRPr="00D640A9">
        <w:rPr>
          <w:rFonts w:ascii="Book Antiqua" w:hAnsi="Book Antiqua"/>
          <w:color w:val="000000" w:themeColor="text1"/>
          <w:sz w:val="24"/>
          <w:szCs w:val="24"/>
        </w:rPr>
        <w:t xml:space="preserve">-Targa F. Epigenetic silencing of miR-181c by DNA methylation in glioblastoma cell lines. </w:t>
      </w:r>
      <w:r w:rsidRPr="00D640A9">
        <w:rPr>
          <w:rFonts w:ascii="Book Antiqua" w:hAnsi="Book Antiqua"/>
          <w:i/>
          <w:color w:val="000000" w:themeColor="text1"/>
          <w:sz w:val="24"/>
          <w:szCs w:val="24"/>
        </w:rPr>
        <w:t>BMC Cancer</w:t>
      </w:r>
      <w:r w:rsidRPr="00D640A9">
        <w:rPr>
          <w:rFonts w:ascii="Book Antiqua" w:hAnsi="Book Antiqua"/>
          <w:color w:val="000000" w:themeColor="text1"/>
          <w:sz w:val="24"/>
          <w:szCs w:val="24"/>
        </w:rPr>
        <w:t xml:space="preserve"> 2016; </w:t>
      </w:r>
      <w:r w:rsidRPr="00D640A9">
        <w:rPr>
          <w:rFonts w:ascii="Book Antiqua" w:hAnsi="Book Antiqua"/>
          <w:b/>
          <w:color w:val="000000" w:themeColor="text1"/>
          <w:sz w:val="24"/>
          <w:szCs w:val="24"/>
        </w:rPr>
        <w:t>16</w:t>
      </w:r>
      <w:r w:rsidRPr="00D640A9">
        <w:rPr>
          <w:rFonts w:ascii="Book Antiqua" w:hAnsi="Book Antiqua"/>
          <w:color w:val="000000" w:themeColor="text1"/>
          <w:sz w:val="24"/>
          <w:szCs w:val="24"/>
        </w:rPr>
        <w:t xml:space="preserve">: 226 [PMID: 26983574 DOI: </w:t>
      </w:r>
      <w:r w:rsidR="00FE7EFD" w:rsidRPr="00D640A9">
        <w:rPr>
          <w:rFonts w:ascii="Book Antiqua" w:hAnsi="Book Antiqua"/>
          <w:color w:val="000000" w:themeColor="text1"/>
          <w:sz w:val="24"/>
          <w:szCs w:val="24"/>
        </w:rPr>
        <w:t>10.1186/s12885-016-2273-6]</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18 </w:t>
      </w:r>
      <w:r w:rsidRPr="00D640A9">
        <w:rPr>
          <w:rFonts w:ascii="Book Antiqua" w:hAnsi="Book Antiqua"/>
          <w:b/>
          <w:color w:val="000000" w:themeColor="text1"/>
          <w:sz w:val="24"/>
          <w:szCs w:val="24"/>
        </w:rPr>
        <w:t>Li X</w:t>
      </w:r>
      <w:r w:rsidRPr="00D640A9">
        <w:rPr>
          <w:rFonts w:ascii="Book Antiqua" w:hAnsi="Book Antiqua"/>
          <w:color w:val="000000" w:themeColor="text1"/>
          <w:sz w:val="24"/>
          <w:szCs w:val="24"/>
        </w:rPr>
        <w:t xml:space="preserve">, Wu Y, Liu A, Tang X. MiR-27b is epigenetically downregulated in tamoxifen resistant breast cancer cells due to promoter methylation and regulates tamoxifen sensitivity by targeting HMGB3. </w:t>
      </w:r>
      <w:proofErr w:type="spellStart"/>
      <w:r w:rsidRPr="00D640A9">
        <w:rPr>
          <w:rFonts w:ascii="Book Antiqua" w:hAnsi="Book Antiqua"/>
          <w:i/>
          <w:color w:val="000000" w:themeColor="text1"/>
          <w:sz w:val="24"/>
          <w:szCs w:val="24"/>
        </w:rPr>
        <w:t>Biochem</w:t>
      </w:r>
      <w:proofErr w:type="spellEnd"/>
      <w:r w:rsidRPr="00D640A9">
        <w:rPr>
          <w:rFonts w:ascii="Book Antiqua" w:hAnsi="Book Antiqua"/>
          <w:i/>
          <w:color w:val="000000" w:themeColor="text1"/>
          <w:sz w:val="24"/>
          <w:szCs w:val="24"/>
        </w:rPr>
        <w:t xml:space="preserve"> </w:t>
      </w:r>
      <w:proofErr w:type="spellStart"/>
      <w:r w:rsidRPr="00D640A9">
        <w:rPr>
          <w:rFonts w:ascii="Book Antiqua" w:hAnsi="Book Antiqua"/>
          <w:i/>
          <w:color w:val="000000" w:themeColor="text1"/>
          <w:sz w:val="24"/>
          <w:szCs w:val="24"/>
        </w:rPr>
        <w:t>Biophys</w:t>
      </w:r>
      <w:proofErr w:type="spellEnd"/>
      <w:r w:rsidRPr="00D640A9">
        <w:rPr>
          <w:rFonts w:ascii="Book Antiqua" w:hAnsi="Book Antiqua"/>
          <w:i/>
          <w:color w:val="000000" w:themeColor="text1"/>
          <w:sz w:val="24"/>
          <w:szCs w:val="24"/>
        </w:rPr>
        <w:t xml:space="preserve"> Res </w:t>
      </w:r>
      <w:proofErr w:type="spellStart"/>
      <w:r w:rsidRPr="00D640A9">
        <w:rPr>
          <w:rFonts w:ascii="Book Antiqua" w:hAnsi="Book Antiqua"/>
          <w:i/>
          <w:color w:val="000000" w:themeColor="text1"/>
          <w:sz w:val="24"/>
          <w:szCs w:val="24"/>
        </w:rPr>
        <w:t>Commun</w:t>
      </w:r>
      <w:proofErr w:type="spellEnd"/>
      <w:r w:rsidRPr="00D640A9">
        <w:rPr>
          <w:rFonts w:ascii="Book Antiqua" w:hAnsi="Book Antiqua"/>
          <w:color w:val="000000" w:themeColor="text1"/>
          <w:sz w:val="24"/>
          <w:szCs w:val="24"/>
        </w:rPr>
        <w:t xml:space="preserve"> 2016; </w:t>
      </w:r>
      <w:r w:rsidRPr="00D640A9">
        <w:rPr>
          <w:rFonts w:ascii="Book Antiqua" w:hAnsi="Book Antiqua"/>
          <w:b/>
          <w:color w:val="000000" w:themeColor="text1"/>
          <w:sz w:val="24"/>
          <w:szCs w:val="24"/>
        </w:rPr>
        <w:t>477</w:t>
      </w:r>
      <w:r w:rsidRPr="00D640A9">
        <w:rPr>
          <w:rFonts w:ascii="Book Antiqua" w:hAnsi="Book Antiqua"/>
          <w:color w:val="000000" w:themeColor="text1"/>
          <w:sz w:val="24"/>
          <w:szCs w:val="24"/>
        </w:rPr>
        <w:t>: 768-773 [PMID: 27363334 D</w:t>
      </w:r>
      <w:r w:rsidR="00FE7EFD" w:rsidRPr="00D640A9">
        <w:rPr>
          <w:rFonts w:ascii="Book Antiqua" w:hAnsi="Book Antiqua"/>
          <w:color w:val="000000" w:themeColor="text1"/>
          <w:sz w:val="24"/>
          <w:szCs w:val="24"/>
        </w:rPr>
        <w:t>OI: 10.1016/j.bbrc.2016.06.133]</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19 </w:t>
      </w:r>
      <w:r w:rsidRPr="00D640A9">
        <w:rPr>
          <w:rFonts w:ascii="Book Antiqua" w:hAnsi="Book Antiqua"/>
          <w:b/>
          <w:color w:val="000000" w:themeColor="text1"/>
          <w:sz w:val="24"/>
          <w:szCs w:val="24"/>
        </w:rPr>
        <w:t>He DX</w:t>
      </w:r>
      <w:r w:rsidRPr="00D640A9">
        <w:rPr>
          <w:rFonts w:ascii="Book Antiqua" w:hAnsi="Book Antiqua"/>
          <w:color w:val="000000" w:themeColor="text1"/>
          <w:sz w:val="24"/>
          <w:szCs w:val="24"/>
        </w:rPr>
        <w:t xml:space="preserve">, Gu XT, Jiang L, </w:t>
      </w:r>
      <w:proofErr w:type="spellStart"/>
      <w:r w:rsidRPr="00D640A9">
        <w:rPr>
          <w:rFonts w:ascii="Book Antiqua" w:hAnsi="Book Antiqua"/>
          <w:color w:val="000000" w:themeColor="text1"/>
          <w:sz w:val="24"/>
          <w:szCs w:val="24"/>
        </w:rPr>
        <w:t>Jin</w:t>
      </w:r>
      <w:proofErr w:type="spellEnd"/>
      <w:r w:rsidRPr="00D640A9">
        <w:rPr>
          <w:rFonts w:ascii="Book Antiqua" w:hAnsi="Book Antiqua"/>
          <w:color w:val="000000" w:themeColor="text1"/>
          <w:sz w:val="24"/>
          <w:szCs w:val="24"/>
        </w:rPr>
        <w:t xml:space="preserve"> J, Ma X. A methylation-based regulatory network for microRNA 320a in </w:t>
      </w:r>
      <w:proofErr w:type="spellStart"/>
      <w:r w:rsidRPr="00D640A9">
        <w:rPr>
          <w:rFonts w:ascii="Book Antiqua" w:hAnsi="Book Antiqua"/>
          <w:color w:val="000000" w:themeColor="text1"/>
          <w:sz w:val="24"/>
          <w:szCs w:val="24"/>
        </w:rPr>
        <w:t>chemoresistant</w:t>
      </w:r>
      <w:proofErr w:type="spellEnd"/>
      <w:r w:rsidRPr="00D640A9">
        <w:rPr>
          <w:rFonts w:ascii="Book Antiqua" w:hAnsi="Book Antiqua"/>
          <w:color w:val="000000" w:themeColor="text1"/>
          <w:sz w:val="24"/>
          <w:szCs w:val="24"/>
        </w:rPr>
        <w:t xml:space="preserve"> breast cancer. </w:t>
      </w:r>
      <w:r w:rsidRPr="00D640A9">
        <w:rPr>
          <w:rFonts w:ascii="Book Antiqua" w:hAnsi="Book Antiqua"/>
          <w:i/>
          <w:color w:val="000000" w:themeColor="text1"/>
          <w:sz w:val="24"/>
          <w:szCs w:val="24"/>
        </w:rPr>
        <w:t xml:space="preserve">Mol </w:t>
      </w:r>
      <w:proofErr w:type="spellStart"/>
      <w:r w:rsidRPr="00D640A9">
        <w:rPr>
          <w:rFonts w:ascii="Book Antiqua" w:hAnsi="Book Antiqua"/>
          <w:i/>
          <w:color w:val="000000" w:themeColor="text1"/>
          <w:sz w:val="24"/>
          <w:szCs w:val="24"/>
        </w:rPr>
        <w:t>Pharmacol</w:t>
      </w:r>
      <w:proofErr w:type="spellEnd"/>
      <w:r w:rsidRPr="00D640A9">
        <w:rPr>
          <w:rFonts w:ascii="Book Antiqua" w:hAnsi="Book Antiqua"/>
          <w:color w:val="000000" w:themeColor="text1"/>
          <w:sz w:val="24"/>
          <w:szCs w:val="24"/>
        </w:rPr>
        <w:t xml:space="preserve"> 2014; </w:t>
      </w:r>
      <w:r w:rsidRPr="00D640A9">
        <w:rPr>
          <w:rFonts w:ascii="Book Antiqua" w:hAnsi="Book Antiqua"/>
          <w:b/>
          <w:color w:val="000000" w:themeColor="text1"/>
          <w:sz w:val="24"/>
          <w:szCs w:val="24"/>
        </w:rPr>
        <w:t>86</w:t>
      </w:r>
      <w:r w:rsidRPr="00D640A9">
        <w:rPr>
          <w:rFonts w:ascii="Book Antiqua" w:hAnsi="Book Antiqua"/>
          <w:color w:val="000000" w:themeColor="text1"/>
          <w:sz w:val="24"/>
          <w:szCs w:val="24"/>
        </w:rPr>
        <w:t>: 536-547 [PMID: 25159</w:t>
      </w:r>
      <w:r w:rsidR="00FE7EFD" w:rsidRPr="00D640A9">
        <w:rPr>
          <w:rFonts w:ascii="Book Antiqua" w:hAnsi="Book Antiqua"/>
          <w:color w:val="000000" w:themeColor="text1"/>
          <w:sz w:val="24"/>
          <w:szCs w:val="24"/>
        </w:rPr>
        <w:t>093 DOI: 10.1124/mol.114.092759</w:t>
      </w:r>
      <w:r w:rsidRPr="00D640A9">
        <w:rPr>
          <w:rFonts w:ascii="Book Antiqua" w:hAnsi="Book Antiqua"/>
          <w:color w:val="000000" w:themeColor="text1"/>
          <w:sz w:val="24"/>
          <w:szCs w:val="24"/>
        </w:rPr>
        <w:t>]</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20 </w:t>
      </w:r>
      <w:r w:rsidRPr="00D640A9">
        <w:rPr>
          <w:rFonts w:ascii="Book Antiqua" w:hAnsi="Book Antiqua"/>
          <w:b/>
          <w:color w:val="000000" w:themeColor="text1"/>
          <w:sz w:val="24"/>
          <w:szCs w:val="24"/>
        </w:rPr>
        <w:t>Wang Y</w:t>
      </w:r>
      <w:r w:rsidRPr="00D640A9">
        <w:rPr>
          <w:rFonts w:ascii="Book Antiqua" w:hAnsi="Book Antiqua"/>
          <w:color w:val="000000" w:themeColor="text1"/>
          <w:sz w:val="24"/>
          <w:szCs w:val="24"/>
        </w:rPr>
        <w:t xml:space="preserve">, Zeng J, Pan J, </w:t>
      </w:r>
      <w:proofErr w:type="spellStart"/>
      <w:r w:rsidRPr="00D640A9">
        <w:rPr>
          <w:rFonts w:ascii="Book Antiqua" w:hAnsi="Book Antiqua"/>
          <w:color w:val="000000" w:themeColor="text1"/>
          <w:sz w:val="24"/>
          <w:szCs w:val="24"/>
        </w:rPr>
        <w:t>Geng</w:t>
      </w:r>
      <w:proofErr w:type="spellEnd"/>
      <w:r w:rsidRPr="00D640A9">
        <w:rPr>
          <w:rFonts w:ascii="Book Antiqua" w:hAnsi="Book Antiqua"/>
          <w:color w:val="000000" w:themeColor="text1"/>
          <w:sz w:val="24"/>
          <w:szCs w:val="24"/>
        </w:rPr>
        <w:t xml:space="preserve"> X, Li L, Wu J, Song P, Wang Y, Liu J, Wang L. MiR-320a inhibits gastric carcinoma by targeting activity in the FoxM1-P27KIP1 axis. </w:t>
      </w:r>
      <w:proofErr w:type="spellStart"/>
      <w:r w:rsidRPr="00D640A9">
        <w:rPr>
          <w:rFonts w:ascii="Book Antiqua" w:hAnsi="Book Antiqua"/>
          <w:i/>
          <w:color w:val="000000" w:themeColor="text1"/>
          <w:sz w:val="24"/>
          <w:szCs w:val="24"/>
        </w:rPr>
        <w:t>Oncotarget</w:t>
      </w:r>
      <w:proofErr w:type="spellEnd"/>
      <w:r w:rsidRPr="00D640A9">
        <w:rPr>
          <w:rFonts w:ascii="Book Antiqua" w:hAnsi="Book Antiqua"/>
          <w:color w:val="000000" w:themeColor="text1"/>
          <w:sz w:val="24"/>
          <w:szCs w:val="24"/>
        </w:rPr>
        <w:t xml:space="preserve"> 2016; </w:t>
      </w:r>
      <w:r w:rsidRPr="00D640A9">
        <w:rPr>
          <w:rFonts w:ascii="Book Antiqua" w:hAnsi="Book Antiqua"/>
          <w:b/>
          <w:color w:val="000000" w:themeColor="text1"/>
          <w:sz w:val="24"/>
          <w:szCs w:val="24"/>
        </w:rPr>
        <w:t>7</w:t>
      </w:r>
      <w:r w:rsidRPr="00D640A9">
        <w:rPr>
          <w:rFonts w:ascii="Book Antiqua" w:hAnsi="Book Antiqua"/>
          <w:color w:val="000000" w:themeColor="text1"/>
          <w:sz w:val="24"/>
          <w:szCs w:val="24"/>
        </w:rPr>
        <w:t>: 29275-29286 [PMID: 2708691</w:t>
      </w:r>
      <w:r w:rsidR="00FE7EFD" w:rsidRPr="00D640A9">
        <w:rPr>
          <w:rFonts w:ascii="Book Antiqua" w:hAnsi="Book Antiqua"/>
          <w:color w:val="000000" w:themeColor="text1"/>
          <w:sz w:val="24"/>
          <w:szCs w:val="24"/>
        </w:rPr>
        <w:t>1 DOI: 10.18632/oncotarget.8676</w:t>
      </w:r>
      <w:r w:rsidRPr="00D640A9">
        <w:rPr>
          <w:rFonts w:ascii="Book Antiqua" w:hAnsi="Book Antiqua"/>
          <w:color w:val="000000" w:themeColor="text1"/>
          <w:sz w:val="24"/>
          <w:szCs w:val="24"/>
        </w:rPr>
        <w:t>]</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21 </w:t>
      </w:r>
      <w:proofErr w:type="spellStart"/>
      <w:r w:rsidRPr="00D640A9">
        <w:rPr>
          <w:rFonts w:ascii="Book Antiqua" w:hAnsi="Book Antiqua"/>
          <w:b/>
          <w:color w:val="000000" w:themeColor="text1"/>
          <w:sz w:val="24"/>
          <w:szCs w:val="24"/>
        </w:rPr>
        <w:t>Xie</w:t>
      </w:r>
      <w:proofErr w:type="spellEnd"/>
      <w:r w:rsidRPr="00D640A9">
        <w:rPr>
          <w:rFonts w:ascii="Book Antiqua" w:hAnsi="Book Antiqua"/>
          <w:b/>
          <w:color w:val="000000" w:themeColor="text1"/>
          <w:sz w:val="24"/>
          <w:szCs w:val="24"/>
        </w:rPr>
        <w:t xml:space="preserve"> N</w:t>
      </w:r>
      <w:r w:rsidRPr="00D640A9">
        <w:rPr>
          <w:rFonts w:ascii="Book Antiqua" w:hAnsi="Book Antiqua"/>
          <w:color w:val="000000" w:themeColor="text1"/>
          <w:sz w:val="24"/>
          <w:szCs w:val="24"/>
        </w:rPr>
        <w:t xml:space="preserve">, Wang C, Zhuang Z, Hou J, Liu X, Wu Y, Liu H, Huang H. Decreased miR-320a promotes invasion and metastasis of tumor budding cells in tongue squamous </w:t>
      </w:r>
      <w:r w:rsidRPr="00D640A9">
        <w:rPr>
          <w:rFonts w:ascii="Book Antiqua" w:hAnsi="Book Antiqua"/>
          <w:color w:val="000000" w:themeColor="text1"/>
          <w:sz w:val="24"/>
          <w:szCs w:val="24"/>
        </w:rPr>
        <w:lastRenderedPageBreak/>
        <w:t xml:space="preserve">cell carcinoma. </w:t>
      </w:r>
      <w:proofErr w:type="spellStart"/>
      <w:r w:rsidRPr="00D640A9">
        <w:rPr>
          <w:rFonts w:ascii="Book Antiqua" w:hAnsi="Book Antiqua"/>
          <w:i/>
          <w:color w:val="000000" w:themeColor="text1"/>
          <w:sz w:val="24"/>
          <w:szCs w:val="24"/>
        </w:rPr>
        <w:t>Oncotarget</w:t>
      </w:r>
      <w:proofErr w:type="spellEnd"/>
      <w:r w:rsidRPr="00D640A9">
        <w:rPr>
          <w:rFonts w:ascii="Book Antiqua" w:hAnsi="Book Antiqua"/>
          <w:color w:val="000000" w:themeColor="text1"/>
          <w:sz w:val="24"/>
          <w:szCs w:val="24"/>
        </w:rPr>
        <w:t xml:space="preserve"> 2016; </w:t>
      </w:r>
      <w:r w:rsidRPr="00D640A9">
        <w:rPr>
          <w:rFonts w:ascii="Book Antiqua" w:hAnsi="Book Antiqua"/>
          <w:b/>
          <w:color w:val="000000" w:themeColor="text1"/>
          <w:sz w:val="24"/>
          <w:szCs w:val="24"/>
        </w:rPr>
        <w:t>7</w:t>
      </w:r>
      <w:r w:rsidRPr="00D640A9">
        <w:rPr>
          <w:rFonts w:ascii="Book Antiqua" w:hAnsi="Book Antiqua"/>
          <w:color w:val="000000" w:themeColor="text1"/>
          <w:sz w:val="24"/>
          <w:szCs w:val="24"/>
        </w:rPr>
        <w:t>: 65744-65757 [PMID: 27582550</w:t>
      </w:r>
      <w:r w:rsidR="00FE7EFD" w:rsidRPr="00D640A9">
        <w:rPr>
          <w:rFonts w:ascii="Book Antiqua" w:hAnsi="Book Antiqua"/>
          <w:color w:val="000000" w:themeColor="text1"/>
          <w:sz w:val="24"/>
          <w:szCs w:val="24"/>
        </w:rPr>
        <w:t xml:space="preserve"> DOI: 10.18632/oncotarget.11612</w:t>
      </w:r>
      <w:r w:rsidRPr="00D640A9">
        <w:rPr>
          <w:rFonts w:ascii="Book Antiqua" w:hAnsi="Book Antiqua"/>
          <w:color w:val="000000" w:themeColor="text1"/>
          <w:sz w:val="24"/>
          <w:szCs w:val="24"/>
        </w:rPr>
        <w:t>]</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22 </w:t>
      </w:r>
      <w:r w:rsidRPr="00D640A9">
        <w:rPr>
          <w:rFonts w:ascii="Book Antiqua" w:hAnsi="Book Antiqua"/>
          <w:b/>
          <w:color w:val="000000" w:themeColor="text1"/>
          <w:sz w:val="24"/>
          <w:szCs w:val="24"/>
        </w:rPr>
        <w:t>Zhang G</w:t>
      </w:r>
      <w:r w:rsidRPr="00D640A9">
        <w:rPr>
          <w:rFonts w:ascii="Book Antiqua" w:hAnsi="Book Antiqua"/>
          <w:color w:val="000000" w:themeColor="text1"/>
          <w:sz w:val="24"/>
          <w:szCs w:val="24"/>
        </w:rPr>
        <w:t xml:space="preserve">, Jiang G, Wang C, Zhong K, Zhang J, </w:t>
      </w:r>
      <w:proofErr w:type="spellStart"/>
      <w:r w:rsidRPr="00D640A9">
        <w:rPr>
          <w:rFonts w:ascii="Book Antiqua" w:hAnsi="Book Antiqua"/>
          <w:color w:val="000000" w:themeColor="text1"/>
          <w:sz w:val="24"/>
          <w:szCs w:val="24"/>
        </w:rPr>
        <w:t>Xue</w:t>
      </w:r>
      <w:proofErr w:type="spellEnd"/>
      <w:r w:rsidRPr="00D640A9">
        <w:rPr>
          <w:rFonts w:ascii="Book Antiqua" w:hAnsi="Book Antiqua"/>
          <w:color w:val="000000" w:themeColor="text1"/>
          <w:sz w:val="24"/>
          <w:szCs w:val="24"/>
        </w:rPr>
        <w:t xml:space="preserve"> Q, Li X, </w:t>
      </w:r>
      <w:proofErr w:type="spellStart"/>
      <w:r w:rsidRPr="00D640A9">
        <w:rPr>
          <w:rFonts w:ascii="Book Antiqua" w:hAnsi="Book Antiqua"/>
          <w:color w:val="000000" w:themeColor="text1"/>
          <w:sz w:val="24"/>
          <w:szCs w:val="24"/>
        </w:rPr>
        <w:t>Jin</w:t>
      </w:r>
      <w:proofErr w:type="spellEnd"/>
      <w:r w:rsidRPr="00D640A9">
        <w:rPr>
          <w:rFonts w:ascii="Book Antiqua" w:hAnsi="Book Antiqua"/>
          <w:color w:val="000000" w:themeColor="text1"/>
          <w:sz w:val="24"/>
          <w:szCs w:val="24"/>
        </w:rPr>
        <w:t xml:space="preserve"> H, Li B. Decreased expression of microRNA-320a promotes proliferation and invasion of non-small cell lung cancer cells by increasing VDAC1 expression. </w:t>
      </w:r>
      <w:proofErr w:type="spellStart"/>
      <w:r w:rsidRPr="00D640A9">
        <w:rPr>
          <w:rFonts w:ascii="Book Antiqua" w:hAnsi="Book Antiqua"/>
          <w:i/>
          <w:color w:val="000000" w:themeColor="text1"/>
          <w:sz w:val="24"/>
          <w:szCs w:val="24"/>
        </w:rPr>
        <w:t>Oncotarget</w:t>
      </w:r>
      <w:proofErr w:type="spellEnd"/>
      <w:r w:rsidRPr="00D640A9">
        <w:rPr>
          <w:rFonts w:ascii="Book Antiqua" w:hAnsi="Book Antiqua"/>
          <w:color w:val="000000" w:themeColor="text1"/>
          <w:sz w:val="24"/>
          <w:szCs w:val="24"/>
        </w:rPr>
        <w:t xml:space="preserve"> 2016; </w:t>
      </w:r>
      <w:r w:rsidRPr="00D640A9">
        <w:rPr>
          <w:rFonts w:ascii="Book Antiqua" w:hAnsi="Book Antiqua"/>
          <w:b/>
          <w:color w:val="000000" w:themeColor="text1"/>
          <w:sz w:val="24"/>
          <w:szCs w:val="24"/>
        </w:rPr>
        <w:t>7</w:t>
      </w:r>
      <w:r w:rsidRPr="00D640A9">
        <w:rPr>
          <w:rFonts w:ascii="Book Antiqua" w:hAnsi="Book Antiqua"/>
          <w:color w:val="000000" w:themeColor="text1"/>
          <w:sz w:val="24"/>
          <w:szCs w:val="24"/>
        </w:rPr>
        <w:t>: 49470-49480 [PMID: 2730405</w:t>
      </w:r>
      <w:r w:rsidR="00FE7EFD" w:rsidRPr="00D640A9">
        <w:rPr>
          <w:rFonts w:ascii="Book Antiqua" w:hAnsi="Book Antiqua"/>
          <w:color w:val="000000" w:themeColor="text1"/>
          <w:sz w:val="24"/>
          <w:szCs w:val="24"/>
        </w:rPr>
        <w:t>6 DOI: 10.18632/oncotarget.9943</w:t>
      </w:r>
      <w:r w:rsidRPr="00D640A9">
        <w:rPr>
          <w:rFonts w:ascii="Book Antiqua" w:hAnsi="Book Antiqua"/>
          <w:color w:val="000000" w:themeColor="text1"/>
          <w:sz w:val="24"/>
          <w:szCs w:val="24"/>
        </w:rPr>
        <w:t>]</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23 </w:t>
      </w:r>
      <w:proofErr w:type="spellStart"/>
      <w:r w:rsidRPr="00D640A9">
        <w:rPr>
          <w:rFonts w:ascii="Book Antiqua" w:hAnsi="Book Antiqua"/>
          <w:b/>
          <w:color w:val="000000" w:themeColor="text1"/>
          <w:sz w:val="24"/>
          <w:szCs w:val="24"/>
        </w:rPr>
        <w:t>Milech</w:t>
      </w:r>
      <w:proofErr w:type="spellEnd"/>
      <w:r w:rsidRPr="00D640A9">
        <w:rPr>
          <w:rFonts w:ascii="Book Antiqua" w:hAnsi="Book Antiqua"/>
          <w:b/>
          <w:color w:val="000000" w:themeColor="text1"/>
          <w:sz w:val="24"/>
          <w:szCs w:val="24"/>
        </w:rPr>
        <w:t xml:space="preserve"> N</w:t>
      </w:r>
      <w:r w:rsidRPr="00D640A9">
        <w:rPr>
          <w:rFonts w:ascii="Book Antiqua" w:hAnsi="Book Antiqua"/>
          <w:color w:val="000000" w:themeColor="text1"/>
          <w:sz w:val="24"/>
          <w:szCs w:val="24"/>
        </w:rPr>
        <w:t xml:space="preserve">, </w:t>
      </w:r>
      <w:proofErr w:type="spellStart"/>
      <w:r w:rsidRPr="00D640A9">
        <w:rPr>
          <w:rFonts w:ascii="Book Antiqua" w:hAnsi="Book Antiqua"/>
          <w:color w:val="000000" w:themeColor="text1"/>
          <w:sz w:val="24"/>
          <w:szCs w:val="24"/>
        </w:rPr>
        <w:t>Kees</w:t>
      </w:r>
      <w:proofErr w:type="spellEnd"/>
      <w:r w:rsidRPr="00D640A9">
        <w:rPr>
          <w:rFonts w:ascii="Book Antiqua" w:hAnsi="Book Antiqua"/>
          <w:color w:val="000000" w:themeColor="text1"/>
          <w:sz w:val="24"/>
          <w:szCs w:val="24"/>
        </w:rPr>
        <w:t xml:space="preserve"> UR, Watt PM. Novel alternative PBX3 isoforms in leukemia cells with distinct interaction specificities. </w:t>
      </w:r>
      <w:r w:rsidRPr="00D640A9">
        <w:rPr>
          <w:rFonts w:ascii="Book Antiqua" w:hAnsi="Book Antiqua"/>
          <w:i/>
          <w:color w:val="000000" w:themeColor="text1"/>
          <w:sz w:val="24"/>
          <w:szCs w:val="24"/>
        </w:rPr>
        <w:t>Genes Chromosomes Cancer</w:t>
      </w:r>
      <w:r w:rsidRPr="00D640A9">
        <w:rPr>
          <w:rFonts w:ascii="Book Antiqua" w:hAnsi="Book Antiqua"/>
          <w:color w:val="000000" w:themeColor="text1"/>
          <w:sz w:val="24"/>
          <w:szCs w:val="24"/>
        </w:rPr>
        <w:t xml:space="preserve"> 2001; </w:t>
      </w:r>
      <w:r w:rsidRPr="00D640A9">
        <w:rPr>
          <w:rFonts w:ascii="Book Antiqua" w:hAnsi="Book Antiqua"/>
          <w:b/>
          <w:color w:val="000000" w:themeColor="text1"/>
          <w:sz w:val="24"/>
          <w:szCs w:val="24"/>
        </w:rPr>
        <w:t>32</w:t>
      </w:r>
      <w:r w:rsidRPr="00D640A9">
        <w:rPr>
          <w:rFonts w:ascii="Book Antiqua" w:hAnsi="Book Antiqua"/>
          <w:color w:val="000000" w:themeColor="text1"/>
          <w:sz w:val="24"/>
          <w:szCs w:val="24"/>
        </w:rPr>
        <w:t>: 275-280 [PMID: 11579467]</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24 </w:t>
      </w:r>
      <w:r w:rsidRPr="00D640A9">
        <w:rPr>
          <w:rFonts w:ascii="Book Antiqua" w:hAnsi="Book Antiqua"/>
          <w:b/>
          <w:color w:val="000000" w:themeColor="text1"/>
          <w:sz w:val="24"/>
          <w:szCs w:val="24"/>
        </w:rPr>
        <w:t>Han HB</w:t>
      </w:r>
      <w:r w:rsidRPr="00D640A9">
        <w:rPr>
          <w:rFonts w:ascii="Book Antiqua" w:hAnsi="Book Antiqua"/>
          <w:color w:val="000000" w:themeColor="text1"/>
          <w:sz w:val="24"/>
          <w:szCs w:val="24"/>
        </w:rPr>
        <w:t xml:space="preserve">, Gu J, Ji DB, Li ZW, Zhang Y, Zhao W, Wang LM, Zhang ZQ. PBX3 promotes migration and invasion of colorectal cancer cells via activation of MAPK/ERK signaling pathway. </w:t>
      </w:r>
      <w:r w:rsidRPr="00D640A9">
        <w:rPr>
          <w:rFonts w:ascii="Book Antiqua" w:hAnsi="Book Antiqua"/>
          <w:i/>
          <w:color w:val="000000" w:themeColor="text1"/>
          <w:sz w:val="24"/>
          <w:szCs w:val="24"/>
        </w:rPr>
        <w:t>World J Gastroenterol</w:t>
      </w:r>
      <w:r w:rsidRPr="00D640A9">
        <w:rPr>
          <w:rFonts w:ascii="Book Antiqua" w:hAnsi="Book Antiqua"/>
          <w:color w:val="000000" w:themeColor="text1"/>
          <w:sz w:val="24"/>
          <w:szCs w:val="24"/>
        </w:rPr>
        <w:t xml:space="preserve"> 2014; </w:t>
      </w:r>
      <w:r w:rsidRPr="00D640A9">
        <w:rPr>
          <w:rFonts w:ascii="Book Antiqua" w:hAnsi="Book Antiqua"/>
          <w:b/>
          <w:color w:val="000000" w:themeColor="text1"/>
          <w:sz w:val="24"/>
          <w:szCs w:val="24"/>
        </w:rPr>
        <w:t>20</w:t>
      </w:r>
      <w:r w:rsidRPr="00D640A9">
        <w:rPr>
          <w:rFonts w:ascii="Book Antiqua" w:hAnsi="Book Antiqua"/>
          <w:color w:val="000000" w:themeColor="text1"/>
          <w:sz w:val="24"/>
          <w:szCs w:val="24"/>
        </w:rPr>
        <w:t>: 18260-18270 [PMID: 25561793 D</w:t>
      </w:r>
      <w:r w:rsidR="00FE7EFD" w:rsidRPr="00D640A9">
        <w:rPr>
          <w:rFonts w:ascii="Book Antiqua" w:hAnsi="Book Antiqua"/>
          <w:color w:val="000000" w:themeColor="text1"/>
          <w:sz w:val="24"/>
          <w:szCs w:val="24"/>
        </w:rPr>
        <w:t>OI: 10.3748/wjg.v20.i48.18260]</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25 </w:t>
      </w:r>
      <w:r w:rsidRPr="00D640A9">
        <w:rPr>
          <w:rFonts w:ascii="Book Antiqua" w:hAnsi="Book Antiqua"/>
          <w:b/>
          <w:color w:val="000000" w:themeColor="text1"/>
          <w:sz w:val="24"/>
          <w:szCs w:val="24"/>
        </w:rPr>
        <w:t>Ramberg H</w:t>
      </w:r>
      <w:r w:rsidRPr="00D640A9">
        <w:rPr>
          <w:rFonts w:ascii="Book Antiqua" w:hAnsi="Book Antiqua"/>
          <w:color w:val="000000" w:themeColor="text1"/>
          <w:sz w:val="24"/>
          <w:szCs w:val="24"/>
        </w:rPr>
        <w:t xml:space="preserve">, </w:t>
      </w:r>
      <w:proofErr w:type="spellStart"/>
      <w:r w:rsidRPr="00D640A9">
        <w:rPr>
          <w:rFonts w:ascii="Book Antiqua" w:hAnsi="Book Antiqua"/>
          <w:color w:val="000000" w:themeColor="text1"/>
          <w:sz w:val="24"/>
          <w:szCs w:val="24"/>
        </w:rPr>
        <w:t>Alshbib</w:t>
      </w:r>
      <w:proofErr w:type="spellEnd"/>
      <w:r w:rsidRPr="00D640A9">
        <w:rPr>
          <w:rFonts w:ascii="Book Antiqua" w:hAnsi="Book Antiqua"/>
          <w:color w:val="000000" w:themeColor="text1"/>
          <w:sz w:val="24"/>
          <w:szCs w:val="24"/>
        </w:rPr>
        <w:t xml:space="preserve"> A, Berge V, </w:t>
      </w:r>
      <w:proofErr w:type="spellStart"/>
      <w:r w:rsidRPr="00D640A9">
        <w:rPr>
          <w:rFonts w:ascii="Book Antiqua" w:hAnsi="Book Antiqua"/>
          <w:color w:val="000000" w:themeColor="text1"/>
          <w:sz w:val="24"/>
          <w:szCs w:val="24"/>
        </w:rPr>
        <w:t>Svindland</w:t>
      </w:r>
      <w:proofErr w:type="spellEnd"/>
      <w:r w:rsidRPr="00D640A9">
        <w:rPr>
          <w:rFonts w:ascii="Book Antiqua" w:hAnsi="Book Antiqua"/>
          <w:color w:val="000000" w:themeColor="text1"/>
          <w:sz w:val="24"/>
          <w:szCs w:val="24"/>
        </w:rPr>
        <w:t xml:space="preserve"> A, </w:t>
      </w:r>
      <w:proofErr w:type="spellStart"/>
      <w:r w:rsidRPr="00D640A9">
        <w:rPr>
          <w:rFonts w:ascii="Book Antiqua" w:hAnsi="Book Antiqua"/>
          <w:color w:val="000000" w:themeColor="text1"/>
          <w:sz w:val="24"/>
          <w:szCs w:val="24"/>
        </w:rPr>
        <w:t>Taskén</w:t>
      </w:r>
      <w:proofErr w:type="spellEnd"/>
      <w:r w:rsidRPr="00D640A9">
        <w:rPr>
          <w:rFonts w:ascii="Book Antiqua" w:hAnsi="Book Antiqua"/>
          <w:color w:val="000000" w:themeColor="text1"/>
          <w:sz w:val="24"/>
          <w:szCs w:val="24"/>
        </w:rPr>
        <w:t xml:space="preserve"> KA. Regulation of PBX3 expression by androgen and Let-7d in prostate cancer. </w:t>
      </w:r>
      <w:r w:rsidRPr="00D640A9">
        <w:rPr>
          <w:rFonts w:ascii="Book Antiqua" w:hAnsi="Book Antiqua"/>
          <w:i/>
          <w:color w:val="000000" w:themeColor="text1"/>
          <w:sz w:val="24"/>
          <w:szCs w:val="24"/>
        </w:rPr>
        <w:t>Mol Cancer</w:t>
      </w:r>
      <w:r w:rsidRPr="00D640A9">
        <w:rPr>
          <w:rFonts w:ascii="Book Antiqua" w:hAnsi="Book Antiqua"/>
          <w:color w:val="000000" w:themeColor="text1"/>
          <w:sz w:val="24"/>
          <w:szCs w:val="24"/>
        </w:rPr>
        <w:t xml:space="preserve"> 2011; </w:t>
      </w:r>
      <w:r w:rsidRPr="00D640A9">
        <w:rPr>
          <w:rFonts w:ascii="Book Antiqua" w:hAnsi="Book Antiqua"/>
          <w:b/>
          <w:color w:val="000000" w:themeColor="text1"/>
          <w:sz w:val="24"/>
          <w:szCs w:val="24"/>
        </w:rPr>
        <w:t>10</w:t>
      </w:r>
      <w:r w:rsidRPr="00D640A9">
        <w:rPr>
          <w:rFonts w:ascii="Book Antiqua" w:hAnsi="Book Antiqua"/>
          <w:color w:val="000000" w:themeColor="text1"/>
          <w:sz w:val="24"/>
          <w:szCs w:val="24"/>
        </w:rPr>
        <w:t>: 50 [PMID: 21548940</w:t>
      </w:r>
      <w:r w:rsidR="00FE7EFD" w:rsidRPr="00D640A9">
        <w:rPr>
          <w:rFonts w:ascii="Book Antiqua" w:hAnsi="Book Antiqua"/>
          <w:color w:val="000000" w:themeColor="text1"/>
          <w:sz w:val="24"/>
          <w:szCs w:val="24"/>
        </w:rPr>
        <w:t xml:space="preserve"> DOI: 10.1186/1476-4598-10-50]</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26 </w:t>
      </w:r>
      <w:r w:rsidRPr="00D640A9">
        <w:rPr>
          <w:rFonts w:ascii="Book Antiqua" w:hAnsi="Book Antiqua"/>
          <w:b/>
          <w:color w:val="000000" w:themeColor="text1"/>
          <w:sz w:val="24"/>
          <w:szCs w:val="24"/>
        </w:rPr>
        <w:t>Han H</w:t>
      </w:r>
      <w:r w:rsidRPr="00D640A9">
        <w:rPr>
          <w:rFonts w:ascii="Book Antiqua" w:hAnsi="Book Antiqua"/>
          <w:color w:val="000000" w:themeColor="text1"/>
          <w:sz w:val="24"/>
          <w:szCs w:val="24"/>
        </w:rPr>
        <w:t xml:space="preserve">, Du Y, Zhao W, Li S, Chen D, Zhang J, Liu J, Suo Z, </w:t>
      </w:r>
      <w:proofErr w:type="spellStart"/>
      <w:r w:rsidRPr="00D640A9">
        <w:rPr>
          <w:rFonts w:ascii="Book Antiqua" w:hAnsi="Book Antiqua"/>
          <w:color w:val="000000" w:themeColor="text1"/>
          <w:sz w:val="24"/>
          <w:szCs w:val="24"/>
        </w:rPr>
        <w:t>Bian</w:t>
      </w:r>
      <w:proofErr w:type="spellEnd"/>
      <w:r w:rsidRPr="00D640A9">
        <w:rPr>
          <w:rFonts w:ascii="Book Antiqua" w:hAnsi="Book Antiqua"/>
          <w:color w:val="000000" w:themeColor="text1"/>
          <w:sz w:val="24"/>
          <w:szCs w:val="24"/>
        </w:rPr>
        <w:t xml:space="preserve"> X, Xing B, Zhang Z. PBX3 is targeted by multiple miRNAs and is essential for liver </w:t>
      </w:r>
      <w:proofErr w:type="spellStart"/>
      <w:r w:rsidRPr="00D640A9">
        <w:rPr>
          <w:rFonts w:ascii="Book Antiqua" w:hAnsi="Book Antiqua"/>
          <w:color w:val="000000" w:themeColor="text1"/>
          <w:sz w:val="24"/>
          <w:szCs w:val="24"/>
        </w:rPr>
        <w:t>tumour</w:t>
      </w:r>
      <w:proofErr w:type="spellEnd"/>
      <w:r w:rsidRPr="00D640A9">
        <w:rPr>
          <w:rFonts w:ascii="Book Antiqua" w:hAnsi="Book Antiqua"/>
          <w:color w:val="000000" w:themeColor="text1"/>
          <w:sz w:val="24"/>
          <w:szCs w:val="24"/>
        </w:rPr>
        <w:t xml:space="preserve">-initiating cells. </w:t>
      </w:r>
      <w:r w:rsidRPr="00D640A9">
        <w:rPr>
          <w:rFonts w:ascii="Book Antiqua" w:hAnsi="Book Antiqua"/>
          <w:i/>
          <w:color w:val="000000" w:themeColor="text1"/>
          <w:sz w:val="24"/>
          <w:szCs w:val="24"/>
        </w:rPr>
        <w:t xml:space="preserve">Nat </w:t>
      </w:r>
      <w:proofErr w:type="spellStart"/>
      <w:r w:rsidRPr="00D640A9">
        <w:rPr>
          <w:rFonts w:ascii="Book Antiqua" w:hAnsi="Book Antiqua"/>
          <w:i/>
          <w:color w:val="000000" w:themeColor="text1"/>
          <w:sz w:val="24"/>
          <w:szCs w:val="24"/>
        </w:rPr>
        <w:t>Commun</w:t>
      </w:r>
      <w:proofErr w:type="spellEnd"/>
      <w:r w:rsidRPr="00D640A9">
        <w:rPr>
          <w:rFonts w:ascii="Book Antiqua" w:hAnsi="Book Antiqua"/>
          <w:color w:val="000000" w:themeColor="text1"/>
          <w:sz w:val="24"/>
          <w:szCs w:val="24"/>
        </w:rPr>
        <w:t xml:space="preserve"> 2015; </w:t>
      </w:r>
      <w:r w:rsidRPr="00D640A9">
        <w:rPr>
          <w:rFonts w:ascii="Book Antiqua" w:hAnsi="Book Antiqua"/>
          <w:b/>
          <w:color w:val="000000" w:themeColor="text1"/>
          <w:sz w:val="24"/>
          <w:szCs w:val="24"/>
        </w:rPr>
        <w:t>6</w:t>
      </w:r>
      <w:r w:rsidRPr="00D640A9">
        <w:rPr>
          <w:rFonts w:ascii="Book Antiqua" w:hAnsi="Book Antiqua"/>
          <w:color w:val="000000" w:themeColor="text1"/>
          <w:sz w:val="24"/>
          <w:szCs w:val="24"/>
        </w:rPr>
        <w:t>: 8271 [PMID: 264</w:t>
      </w:r>
      <w:r w:rsidR="00FE7EFD" w:rsidRPr="00D640A9">
        <w:rPr>
          <w:rFonts w:ascii="Book Antiqua" w:hAnsi="Book Antiqua"/>
          <w:color w:val="000000" w:themeColor="text1"/>
          <w:sz w:val="24"/>
          <w:szCs w:val="24"/>
        </w:rPr>
        <w:t>20065 DOI: 10.1038/ncomms9271]</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27 </w:t>
      </w:r>
      <w:r w:rsidRPr="00D640A9">
        <w:rPr>
          <w:rFonts w:ascii="Book Antiqua" w:hAnsi="Book Antiqua"/>
          <w:b/>
          <w:color w:val="000000" w:themeColor="text1"/>
          <w:sz w:val="24"/>
          <w:szCs w:val="24"/>
        </w:rPr>
        <w:t>Li Y</w:t>
      </w:r>
      <w:r w:rsidRPr="00D640A9">
        <w:rPr>
          <w:rFonts w:ascii="Book Antiqua" w:hAnsi="Book Antiqua"/>
          <w:color w:val="000000" w:themeColor="text1"/>
          <w:sz w:val="24"/>
          <w:szCs w:val="24"/>
        </w:rPr>
        <w:t xml:space="preserve">, Sun Z, Zhu Z, Zhang J, Sun X, Xu H. PBX3 is overexpressed in gastric cancer and regulates cell proliferation. </w:t>
      </w:r>
      <w:proofErr w:type="spellStart"/>
      <w:r w:rsidRPr="00D640A9">
        <w:rPr>
          <w:rFonts w:ascii="Book Antiqua" w:hAnsi="Book Antiqua"/>
          <w:i/>
          <w:color w:val="000000" w:themeColor="text1"/>
          <w:sz w:val="24"/>
          <w:szCs w:val="24"/>
        </w:rPr>
        <w:t>Tumour</w:t>
      </w:r>
      <w:proofErr w:type="spellEnd"/>
      <w:r w:rsidRPr="00D640A9">
        <w:rPr>
          <w:rFonts w:ascii="Book Antiqua" w:hAnsi="Book Antiqua"/>
          <w:i/>
          <w:color w:val="000000" w:themeColor="text1"/>
          <w:sz w:val="24"/>
          <w:szCs w:val="24"/>
        </w:rPr>
        <w:t xml:space="preserve"> Biol</w:t>
      </w:r>
      <w:r w:rsidRPr="00D640A9">
        <w:rPr>
          <w:rFonts w:ascii="Book Antiqua" w:hAnsi="Book Antiqua"/>
          <w:color w:val="000000" w:themeColor="text1"/>
          <w:sz w:val="24"/>
          <w:szCs w:val="24"/>
        </w:rPr>
        <w:t xml:space="preserve"> 2014; </w:t>
      </w:r>
      <w:r w:rsidRPr="00D640A9">
        <w:rPr>
          <w:rFonts w:ascii="Book Antiqua" w:hAnsi="Book Antiqua"/>
          <w:b/>
          <w:color w:val="000000" w:themeColor="text1"/>
          <w:sz w:val="24"/>
          <w:szCs w:val="24"/>
        </w:rPr>
        <w:t>35</w:t>
      </w:r>
      <w:r w:rsidRPr="00D640A9">
        <w:rPr>
          <w:rFonts w:ascii="Book Antiqua" w:hAnsi="Book Antiqua"/>
          <w:color w:val="000000" w:themeColor="text1"/>
          <w:sz w:val="24"/>
          <w:szCs w:val="24"/>
        </w:rPr>
        <w:t>: 4363-4368 [PMID: 24375258 D</w:t>
      </w:r>
      <w:r w:rsidR="00FE7EFD" w:rsidRPr="00D640A9">
        <w:rPr>
          <w:rFonts w:ascii="Book Antiqua" w:hAnsi="Book Antiqua"/>
          <w:color w:val="000000" w:themeColor="text1"/>
          <w:sz w:val="24"/>
          <w:szCs w:val="24"/>
        </w:rPr>
        <w:t>OI: 10.1007/s13277-013-1573-6]</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28 </w:t>
      </w:r>
      <w:r w:rsidRPr="00D640A9">
        <w:rPr>
          <w:rFonts w:ascii="Book Antiqua" w:hAnsi="Book Antiqua"/>
          <w:b/>
          <w:color w:val="000000" w:themeColor="text1"/>
          <w:sz w:val="24"/>
          <w:szCs w:val="24"/>
        </w:rPr>
        <w:t>Li Z</w:t>
      </w:r>
      <w:r w:rsidRPr="00D640A9">
        <w:rPr>
          <w:rFonts w:ascii="Book Antiqua" w:hAnsi="Book Antiqua"/>
          <w:color w:val="000000" w:themeColor="text1"/>
          <w:sz w:val="24"/>
          <w:szCs w:val="24"/>
        </w:rPr>
        <w:t xml:space="preserve">, Huang H, Li Y, Jiang X, Chen P, </w:t>
      </w:r>
      <w:proofErr w:type="spellStart"/>
      <w:r w:rsidRPr="00D640A9">
        <w:rPr>
          <w:rFonts w:ascii="Book Antiqua" w:hAnsi="Book Antiqua"/>
          <w:color w:val="000000" w:themeColor="text1"/>
          <w:sz w:val="24"/>
          <w:szCs w:val="24"/>
        </w:rPr>
        <w:t>Arnovitz</w:t>
      </w:r>
      <w:proofErr w:type="spellEnd"/>
      <w:r w:rsidRPr="00D640A9">
        <w:rPr>
          <w:rFonts w:ascii="Book Antiqua" w:hAnsi="Book Antiqua"/>
          <w:color w:val="000000" w:themeColor="text1"/>
          <w:sz w:val="24"/>
          <w:szCs w:val="24"/>
        </w:rPr>
        <w:t xml:space="preserve"> S, </w:t>
      </w:r>
      <w:proofErr w:type="spellStart"/>
      <w:r w:rsidRPr="00D640A9">
        <w:rPr>
          <w:rFonts w:ascii="Book Antiqua" w:hAnsi="Book Antiqua"/>
          <w:color w:val="000000" w:themeColor="text1"/>
          <w:sz w:val="24"/>
          <w:szCs w:val="24"/>
        </w:rPr>
        <w:t>Radmacher</w:t>
      </w:r>
      <w:proofErr w:type="spellEnd"/>
      <w:r w:rsidRPr="00D640A9">
        <w:rPr>
          <w:rFonts w:ascii="Book Antiqua" w:hAnsi="Book Antiqua"/>
          <w:color w:val="000000" w:themeColor="text1"/>
          <w:sz w:val="24"/>
          <w:szCs w:val="24"/>
        </w:rPr>
        <w:t xml:space="preserve"> MD, </w:t>
      </w:r>
      <w:proofErr w:type="spellStart"/>
      <w:r w:rsidRPr="00D640A9">
        <w:rPr>
          <w:rFonts w:ascii="Book Antiqua" w:hAnsi="Book Antiqua"/>
          <w:color w:val="000000" w:themeColor="text1"/>
          <w:sz w:val="24"/>
          <w:szCs w:val="24"/>
        </w:rPr>
        <w:t>Maharry</w:t>
      </w:r>
      <w:proofErr w:type="spellEnd"/>
      <w:r w:rsidRPr="00D640A9">
        <w:rPr>
          <w:rFonts w:ascii="Book Antiqua" w:hAnsi="Book Antiqua"/>
          <w:color w:val="000000" w:themeColor="text1"/>
          <w:sz w:val="24"/>
          <w:szCs w:val="24"/>
        </w:rPr>
        <w:t xml:space="preserve"> K, </w:t>
      </w:r>
      <w:proofErr w:type="spellStart"/>
      <w:r w:rsidRPr="00D640A9">
        <w:rPr>
          <w:rFonts w:ascii="Book Antiqua" w:hAnsi="Book Antiqua"/>
          <w:color w:val="000000" w:themeColor="text1"/>
          <w:sz w:val="24"/>
          <w:szCs w:val="24"/>
        </w:rPr>
        <w:t>Elkahloun</w:t>
      </w:r>
      <w:proofErr w:type="spellEnd"/>
      <w:r w:rsidRPr="00D640A9">
        <w:rPr>
          <w:rFonts w:ascii="Book Antiqua" w:hAnsi="Book Antiqua"/>
          <w:color w:val="000000" w:themeColor="text1"/>
          <w:sz w:val="24"/>
          <w:szCs w:val="24"/>
        </w:rPr>
        <w:t xml:space="preserve"> A, Yang X, He C, He M, Zhang Z, </w:t>
      </w:r>
      <w:proofErr w:type="spellStart"/>
      <w:r w:rsidRPr="00D640A9">
        <w:rPr>
          <w:rFonts w:ascii="Book Antiqua" w:hAnsi="Book Antiqua"/>
          <w:color w:val="000000" w:themeColor="text1"/>
          <w:sz w:val="24"/>
          <w:szCs w:val="24"/>
        </w:rPr>
        <w:t>Dohner</w:t>
      </w:r>
      <w:proofErr w:type="spellEnd"/>
      <w:r w:rsidRPr="00D640A9">
        <w:rPr>
          <w:rFonts w:ascii="Book Antiqua" w:hAnsi="Book Antiqua"/>
          <w:color w:val="000000" w:themeColor="text1"/>
          <w:sz w:val="24"/>
          <w:szCs w:val="24"/>
        </w:rPr>
        <w:t xml:space="preserve"> K, Neilly MB, Price C, Lussier YA, Zhang Y, Larson RA, Le Beau MM, Caligiuri MA, Bullinger L, </w:t>
      </w:r>
      <w:proofErr w:type="spellStart"/>
      <w:r w:rsidRPr="00D640A9">
        <w:rPr>
          <w:rFonts w:ascii="Book Antiqua" w:hAnsi="Book Antiqua"/>
          <w:color w:val="000000" w:themeColor="text1"/>
          <w:sz w:val="24"/>
          <w:szCs w:val="24"/>
        </w:rPr>
        <w:t>Valk</w:t>
      </w:r>
      <w:proofErr w:type="spellEnd"/>
      <w:r w:rsidRPr="00D640A9">
        <w:rPr>
          <w:rFonts w:ascii="Book Antiqua" w:hAnsi="Book Antiqua"/>
          <w:color w:val="000000" w:themeColor="text1"/>
          <w:sz w:val="24"/>
          <w:szCs w:val="24"/>
        </w:rPr>
        <w:t xml:space="preserve"> PJ, </w:t>
      </w:r>
      <w:proofErr w:type="spellStart"/>
      <w:r w:rsidRPr="00D640A9">
        <w:rPr>
          <w:rFonts w:ascii="Book Antiqua" w:hAnsi="Book Antiqua"/>
          <w:color w:val="000000" w:themeColor="text1"/>
          <w:sz w:val="24"/>
          <w:szCs w:val="24"/>
        </w:rPr>
        <w:t>Delwel</w:t>
      </w:r>
      <w:proofErr w:type="spellEnd"/>
      <w:r w:rsidRPr="00D640A9">
        <w:rPr>
          <w:rFonts w:ascii="Book Antiqua" w:hAnsi="Book Antiqua"/>
          <w:color w:val="000000" w:themeColor="text1"/>
          <w:sz w:val="24"/>
          <w:szCs w:val="24"/>
        </w:rPr>
        <w:t xml:space="preserve"> R, </w:t>
      </w:r>
      <w:proofErr w:type="spellStart"/>
      <w:r w:rsidRPr="00D640A9">
        <w:rPr>
          <w:rFonts w:ascii="Book Antiqua" w:hAnsi="Book Antiqua"/>
          <w:color w:val="000000" w:themeColor="text1"/>
          <w:sz w:val="24"/>
          <w:szCs w:val="24"/>
        </w:rPr>
        <w:t>Lowenberg</w:t>
      </w:r>
      <w:proofErr w:type="spellEnd"/>
      <w:r w:rsidRPr="00D640A9">
        <w:rPr>
          <w:rFonts w:ascii="Book Antiqua" w:hAnsi="Book Antiqua"/>
          <w:color w:val="000000" w:themeColor="text1"/>
          <w:sz w:val="24"/>
          <w:szCs w:val="24"/>
        </w:rPr>
        <w:t xml:space="preserve"> B, Liu PP, </w:t>
      </w:r>
      <w:proofErr w:type="spellStart"/>
      <w:r w:rsidRPr="00D640A9">
        <w:rPr>
          <w:rFonts w:ascii="Book Antiqua" w:hAnsi="Book Antiqua"/>
          <w:color w:val="000000" w:themeColor="text1"/>
          <w:sz w:val="24"/>
          <w:szCs w:val="24"/>
        </w:rPr>
        <w:t>Marcucci</w:t>
      </w:r>
      <w:proofErr w:type="spellEnd"/>
      <w:r w:rsidRPr="00D640A9">
        <w:rPr>
          <w:rFonts w:ascii="Book Antiqua" w:hAnsi="Book Antiqua"/>
          <w:color w:val="000000" w:themeColor="text1"/>
          <w:sz w:val="24"/>
          <w:szCs w:val="24"/>
        </w:rPr>
        <w:t xml:space="preserve"> G, Bloomfield CD, Rowley JD, Chen J. Up-regulation of a HOXA-PBX3 homeobox-gene signature following down-regulation of miR-181 is associated with adverse prognosis in patients with cytogenetically abnormal AML. </w:t>
      </w:r>
      <w:r w:rsidRPr="00D640A9">
        <w:rPr>
          <w:rFonts w:ascii="Book Antiqua" w:hAnsi="Book Antiqua"/>
          <w:i/>
          <w:color w:val="000000" w:themeColor="text1"/>
          <w:sz w:val="24"/>
          <w:szCs w:val="24"/>
        </w:rPr>
        <w:t>Blood</w:t>
      </w:r>
      <w:r w:rsidRPr="00D640A9">
        <w:rPr>
          <w:rFonts w:ascii="Book Antiqua" w:hAnsi="Book Antiqua"/>
          <w:color w:val="000000" w:themeColor="text1"/>
          <w:sz w:val="24"/>
          <w:szCs w:val="24"/>
        </w:rPr>
        <w:t xml:space="preserve"> 2012; </w:t>
      </w:r>
      <w:r w:rsidRPr="00D640A9">
        <w:rPr>
          <w:rFonts w:ascii="Book Antiqua" w:hAnsi="Book Antiqua"/>
          <w:b/>
          <w:color w:val="000000" w:themeColor="text1"/>
          <w:sz w:val="24"/>
          <w:szCs w:val="24"/>
        </w:rPr>
        <w:t>119</w:t>
      </w:r>
      <w:r w:rsidRPr="00D640A9">
        <w:rPr>
          <w:rFonts w:ascii="Book Antiqua" w:hAnsi="Book Antiqua"/>
          <w:color w:val="000000" w:themeColor="text1"/>
          <w:sz w:val="24"/>
          <w:szCs w:val="24"/>
        </w:rPr>
        <w:t>: 2314-2324 [PMID: 22251480 DOI:</w:t>
      </w:r>
      <w:r w:rsidR="00FE7EFD" w:rsidRPr="00D640A9">
        <w:rPr>
          <w:rFonts w:ascii="Book Antiqua" w:hAnsi="Book Antiqua"/>
          <w:color w:val="000000" w:themeColor="text1"/>
          <w:sz w:val="24"/>
          <w:szCs w:val="24"/>
        </w:rPr>
        <w:t xml:space="preserve"> 10.1182/blood-2011-10-386235]</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29 </w:t>
      </w:r>
      <w:proofErr w:type="spellStart"/>
      <w:r w:rsidRPr="00D640A9">
        <w:rPr>
          <w:rFonts w:ascii="Book Antiqua" w:hAnsi="Book Antiqua"/>
          <w:b/>
          <w:color w:val="000000" w:themeColor="text1"/>
          <w:sz w:val="24"/>
          <w:szCs w:val="24"/>
        </w:rPr>
        <w:t>Lujambio</w:t>
      </w:r>
      <w:proofErr w:type="spellEnd"/>
      <w:r w:rsidRPr="00D640A9">
        <w:rPr>
          <w:rFonts w:ascii="Book Antiqua" w:hAnsi="Book Antiqua"/>
          <w:b/>
          <w:color w:val="000000" w:themeColor="text1"/>
          <w:sz w:val="24"/>
          <w:szCs w:val="24"/>
        </w:rPr>
        <w:t xml:space="preserve"> A</w:t>
      </w:r>
      <w:r w:rsidRPr="00D640A9">
        <w:rPr>
          <w:rFonts w:ascii="Book Antiqua" w:hAnsi="Book Antiqua"/>
          <w:color w:val="000000" w:themeColor="text1"/>
          <w:sz w:val="24"/>
          <w:szCs w:val="24"/>
        </w:rPr>
        <w:t xml:space="preserve">, Calin GA, Villanueva A, </w:t>
      </w:r>
      <w:proofErr w:type="spellStart"/>
      <w:r w:rsidRPr="00D640A9">
        <w:rPr>
          <w:rFonts w:ascii="Book Antiqua" w:hAnsi="Book Antiqua"/>
          <w:color w:val="000000" w:themeColor="text1"/>
          <w:sz w:val="24"/>
          <w:szCs w:val="24"/>
        </w:rPr>
        <w:t>Ropero</w:t>
      </w:r>
      <w:proofErr w:type="spellEnd"/>
      <w:r w:rsidRPr="00D640A9">
        <w:rPr>
          <w:rFonts w:ascii="Book Antiqua" w:hAnsi="Book Antiqua"/>
          <w:color w:val="000000" w:themeColor="text1"/>
          <w:sz w:val="24"/>
          <w:szCs w:val="24"/>
        </w:rPr>
        <w:t xml:space="preserve"> S, Sánchez-</w:t>
      </w:r>
      <w:proofErr w:type="spellStart"/>
      <w:r w:rsidRPr="00D640A9">
        <w:rPr>
          <w:rFonts w:ascii="Book Antiqua" w:hAnsi="Book Antiqua"/>
          <w:color w:val="000000" w:themeColor="text1"/>
          <w:sz w:val="24"/>
          <w:szCs w:val="24"/>
        </w:rPr>
        <w:t>Céspedes</w:t>
      </w:r>
      <w:proofErr w:type="spellEnd"/>
      <w:r w:rsidRPr="00D640A9">
        <w:rPr>
          <w:rFonts w:ascii="Book Antiqua" w:hAnsi="Book Antiqua"/>
          <w:color w:val="000000" w:themeColor="text1"/>
          <w:sz w:val="24"/>
          <w:szCs w:val="24"/>
        </w:rPr>
        <w:t xml:space="preserve"> M, Blanco D, </w:t>
      </w:r>
      <w:proofErr w:type="spellStart"/>
      <w:r w:rsidRPr="00D640A9">
        <w:rPr>
          <w:rFonts w:ascii="Book Antiqua" w:hAnsi="Book Antiqua"/>
          <w:color w:val="000000" w:themeColor="text1"/>
          <w:sz w:val="24"/>
          <w:szCs w:val="24"/>
        </w:rPr>
        <w:lastRenderedPageBreak/>
        <w:t>Montuenga</w:t>
      </w:r>
      <w:proofErr w:type="spellEnd"/>
      <w:r w:rsidRPr="00D640A9">
        <w:rPr>
          <w:rFonts w:ascii="Book Antiqua" w:hAnsi="Book Antiqua"/>
          <w:color w:val="000000" w:themeColor="text1"/>
          <w:sz w:val="24"/>
          <w:szCs w:val="24"/>
        </w:rPr>
        <w:t xml:space="preserve"> LM, Rossi S, </w:t>
      </w:r>
      <w:proofErr w:type="spellStart"/>
      <w:r w:rsidRPr="00D640A9">
        <w:rPr>
          <w:rFonts w:ascii="Book Antiqua" w:hAnsi="Book Antiqua"/>
          <w:color w:val="000000" w:themeColor="text1"/>
          <w:sz w:val="24"/>
          <w:szCs w:val="24"/>
        </w:rPr>
        <w:t>Nicoloso</w:t>
      </w:r>
      <w:proofErr w:type="spellEnd"/>
      <w:r w:rsidRPr="00D640A9">
        <w:rPr>
          <w:rFonts w:ascii="Book Antiqua" w:hAnsi="Book Antiqua"/>
          <w:color w:val="000000" w:themeColor="text1"/>
          <w:sz w:val="24"/>
          <w:szCs w:val="24"/>
        </w:rPr>
        <w:t xml:space="preserve"> MS, Faller WJ, Gallagher WM, Eccles SA, Croce CM, </w:t>
      </w:r>
      <w:proofErr w:type="spellStart"/>
      <w:r w:rsidRPr="00D640A9">
        <w:rPr>
          <w:rFonts w:ascii="Book Antiqua" w:hAnsi="Book Antiqua"/>
          <w:color w:val="000000" w:themeColor="text1"/>
          <w:sz w:val="24"/>
          <w:szCs w:val="24"/>
        </w:rPr>
        <w:t>Esteller</w:t>
      </w:r>
      <w:proofErr w:type="spellEnd"/>
      <w:r w:rsidRPr="00D640A9">
        <w:rPr>
          <w:rFonts w:ascii="Book Antiqua" w:hAnsi="Book Antiqua"/>
          <w:color w:val="000000" w:themeColor="text1"/>
          <w:sz w:val="24"/>
          <w:szCs w:val="24"/>
        </w:rPr>
        <w:t xml:space="preserve"> M. A microRNA DNA methylation signature for human cancer metastasis. </w:t>
      </w:r>
      <w:r w:rsidRPr="00D640A9">
        <w:rPr>
          <w:rFonts w:ascii="Book Antiqua" w:hAnsi="Book Antiqua"/>
          <w:i/>
          <w:color w:val="000000" w:themeColor="text1"/>
          <w:sz w:val="24"/>
          <w:szCs w:val="24"/>
        </w:rPr>
        <w:t xml:space="preserve">Proc Natl </w:t>
      </w:r>
      <w:proofErr w:type="spellStart"/>
      <w:r w:rsidRPr="00D640A9">
        <w:rPr>
          <w:rFonts w:ascii="Book Antiqua" w:hAnsi="Book Antiqua"/>
          <w:i/>
          <w:color w:val="000000" w:themeColor="text1"/>
          <w:sz w:val="24"/>
          <w:szCs w:val="24"/>
        </w:rPr>
        <w:t>Acad</w:t>
      </w:r>
      <w:proofErr w:type="spellEnd"/>
      <w:r w:rsidRPr="00D640A9">
        <w:rPr>
          <w:rFonts w:ascii="Book Antiqua" w:hAnsi="Book Antiqua"/>
          <w:i/>
          <w:color w:val="000000" w:themeColor="text1"/>
          <w:sz w:val="24"/>
          <w:szCs w:val="24"/>
        </w:rPr>
        <w:t xml:space="preserve"> Sci U S A</w:t>
      </w:r>
      <w:r w:rsidRPr="00D640A9">
        <w:rPr>
          <w:rFonts w:ascii="Book Antiqua" w:hAnsi="Book Antiqua"/>
          <w:color w:val="000000" w:themeColor="text1"/>
          <w:sz w:val="24"/>
          <w:szCs w:val="24"/>
        </w:rPr>
        <w:t xml:space="preserve"> 2008; </w:t>
      </w:r>
      <w:r w:rsidRPr="00D640A9">
        <w:rPr>
          <w:rFonts w:ascii="Book Antiqua" w:hAnsi="Book Antiqua"/>
          <w:b/>
          <w:color w:val="000000" w:themeColor="text1"/>
          <w:sz w:val="24"/>
          <w:szCs w:val="24"/>
        </w:rPr>
        <w:t>105</w:t>
      </w:r>
      <w:r w:rsidRPr="00D640A9">
        <w:rPr>
          <w:rFonts w:ascii="Book Antiqua" w:hAnsi="Book Antiqua"/>
          <w:color w:val="000000" w:themeColor="text1"/>
          <w:sz w:val="24"/>
          <w:szCs w:val="24"/>
        </w:rPr>
        <w:t>: 13556-13561 [PMID: 18768788</w:t>
      </w:r>
      <w:r w:rsidR="00FE7EFD" w:rsidRPr="00D640A9">
        <w:rPr>
          <w:rFonts w:ascii="Book Antiqua" w:hAnsi="Book Antiqua"/>
          <w:color w:val="000000" w:themeColor="text1"/>
          <w:sz w:val="24"/>
          <w:szCs w:val="24"/>
        </w:rPr>
        <w:t xml:space="preserve"> DOI: 10.1073/pnas.0803055105]</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30 </w:t>
      </w:r>
      <w:r w:rsidRPr="00D640A9">
        <w:rPr>
          <w:rFonts w:ascii="Book Antiqua" w:hAnsi="Book Antiqua"/>
          <w:b/>
          <w:color w:val="000000" w:themeColor="text1"/>
          <w:sz w:val="24"/>
          <w:szCs w:val="24"/>
        </w:rPr>
        <w:t>Li Z</w:t>
      </w:r>
      <w:r w:rsidRPr="00D640A9">
        <w:rPr>
          <w:rFonts w:ascii="Book Antiqua" w:hAnsi="Book Antiqua"/>
          <w:color w:val="000000" w:themeColor="text1"/>
          <w:sz w:val="24"/>
          <w:szCs w:val="24"/>
        </w:rPr>
        <w:t xml:space="preserve">, Li D, Zhang G, </w:t>
      </w:r>
      <w:proofErr w:type="spellStart"/>
      <w:r w:rsidRPr="00D640A9">
        <w:rPr>
          <w:rFonts w:ascii="Book Antiqua" w:hAnsi="Book Antiqua"/>
          <w:color w:val="000000" w:themeColor="text1"/>
          <w:sz w:val="24"/>
          <w:szCs w:val="24"/>
        </w:rPr>
        <w:t>Xiong</w:t>
      </w:r>
      <w:proofErr w:type="spellEnd"/>
      <w:r w:rsidRPr="00D640A9">
        <w:rPr>
          <w:rFonts w:ascii="Book Antiqua" w:hAnsi="Book Antiqua"/>
          <w:color w:val="000000" w:themeColor="text1"/>
          <w:sz w:val="24"/>
          <w:szCs w:val="24"/>
        </w:rPr>
        <w:t xml:space="preserve"> J, </w:t>
      </w:r>
      <w:proofErr w:type="spellStart"/>
      <w:r w:rsidRPr="00D640A9">
        <w:rPr>
          <w:rFonts w:ascii="Book Antiqua" w:hAnsi="Book Antiqua"/>
          <w:color w:val="000000" w:themeColor="text1"/>
          <w:sz w:val="24"/>
          <w:szCs w:val="24"/>
        </w:rPr>
        <w:t>Jie</w:t>
      </w:r>
      <w:proofErr w:type="spellEnd"/>
      <w:r w:rsidRPr="00D640A9">
        <w:rPr>
          <w:rFonts w:ascii="Book Antiqua" w:hAnsi="Book Antiqua"/>
          <w:color w:val="000000" w:themeColor="text1"/>
          <w:sz w:val="24"/>
          <w:szCs w:val="24"/>
        </w:rPr>
        <w:t xml:space="preserve"> Z, Cheng H, Cao Y, Jiang M, Lin L, Le Z, Tan S, Zou W, Gong B, Lin S, Yang K. Methylation-associated silencing of MicroRNA-335 contributes tumor cell invasion and migration by interacting with RASA1 in gastric cancer. </w:t>
      </w:r>
      <w:r w:rsidRPr="00D640A9">
        <w:rPr>
          <w:rFonts w:ascii="Book Antiqua" w:hAnsi="Book Antiqua"/>
          <w:i/>
          <w:color w:val="000000" w:themeColor="text1"/>
          <w:sz w:val="24"/>
          <w:szCs w:val="24"/>
        </w:rPr>
        <w:t>Am J Cancer Res</w:t>
      </w:r>
      <w:r w:rsidRPr="00D640A9">
        <w:rPr>
          <w:rFonts w:ascii="Book Antiqua" w:hAnsi="Book Antiqua"/>
          <w:color w:val="000000" w:themeColor="text1"/>
          <w:sz w:val="24"/>
          <w:szCs w:val="24"/>
        </w:rPr>
        <w:t xml:space="preserve"> 2014; </w:t>
      </w:r>
      <w:r w:rsidRPr="00D640A9">
        <w:rPr>
          <w:rFonts w:ascii="Book Antiqua" w:hAnsi="Book Antiqua"/>
          <w:b/>
          <w:color w:val="000000" w:themeColor="text1"/>
          <w:sz w:val="24"/>
          <w:szCs w:val="24"/>
        </w:rPr>
        <w:t>4</w:t>
      </w:r>
      <w:r w:rsidRPr="00D640A9">
        <w:rPr>
          <w:rFonts w:ascii="Book Antiqua" w:hAnsi="Book Antiqua"/>
          <w:color w:val="000000" w:themeColor="text1"/>
          <w:sz w:val="24"/>
          <w:szCs w:val="24"/>
        </w:rPr>
        <w:t>: 648-662 [PMID: 25520857]</w:t>
      </w:r>
    </w:p>
    <w:p w:rsidR="00D44140" w:rsidRPr="00D640A9" w:rsidRDefault="00D44140"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sz w:val="24"/>
          <w:szCs w:val="24"/>
        </w:rPr>
        <w:t xml:space="preserve">31 </w:t>
      </w:r>
      <w:r w:rsidRPr="00D640A9">
        <w:rPr>
          <w:rFonts w:ascii="Book Antiqua" w:hAnsi="Book Antiqua"/>
          <w:b/>
          <w:color w:val="000000" w:themeColor="text1"/>
          <w:sz w:val="24"/>
          <w:szCs w:val="24"/>
        </w:rPr>
        <w:t>Grady WM</w:t>
      </w:r>
      <w:r w:rsidRPr="00D640A9">
        <w:rPr>
          <w:rFonts w:ascii="Book Antiqua" w:hAnsi="Book Antiqua"/>
          <w:color w:val="000000" w:themeColor="text1"/>
          <w:sz w:val="24"/>
          <w:szCs w:val="24"/>
        </w:rPr>
        <w:t xml:space="preserve">, Parkin RK, Mitchell PS, Lee JH, Kim YH, Tsuchiya KD, Washington MK, </w:t>
      </w:r>
      <w:proofErr w:type="spellStart"/>
      <w:r w:rsidRPr="00D640A9">
        <w:rPr>
          <w:rFonts w:ascii="Book Antiqua" w:hAnsi="Book Antiqua"/>
          <w:color w:val="000000" w:themeColor="text1"/>
          <w:sz w:val="24"/>
          <w:szCs w:val="24"/>
        </w:rPr>
        <w:t>Paraskeva</w:t>
      </w:r>
      <w:proofErr w:type="spellEnd"/>
      <w:r w:rsidRPr="00D640A9">
        <w:rPr>
          <w:rFonts w:ascii="Book Antiqua" w:hAnsi="Book Antiqua"/>
          <w:color w:val="000000" w:themeColor="text1"/>
          <w:sz w:val="24"/>
          <w:szCs w:val="24"/>
        </w:rPr>
        <w:t xml:space="preserve"> C, </w:t>
      </w:r>
      <w:proofErr w:type="spellStart"/>
      <w:r w:rsidRPr="00D640A9">
        <w:rPr>
          <w:rFonts w:ascii="Book Antiqua" w:hAnsi="Book Antiqua"/>
          <w:color w:val="000000" w:themeColor="text1"/>
          <w:sz w:val="24"/>
          <w:szCs w:val="24"/>
        </w:rPr>
        <w:t>Willson</w:t>
      </w:r>
      <w:proofErr w:type="spellEnd"/>
      <w:r w:rsidRPr="00D640A9">
        <w:rPr>
          <w:rFonts w:ascii="Book Antiqua" w:hAnsi="Book Antiqua"/>
          <w:color w:val="000000" w:themeColor="text1"/>
          <w:sz w:val="24"/>
          <w:szCs w:val="24"/>
        </w:rPr>
        <w:t xml:space="preserve"> JK, </w:t>
      </w:r>
      <w:proofErr w:type="spellStart"/>
      <w:r w:rsidRPr="00D640A9">
        <w:rPr>
          <w:rFonts w:ascii="Book Antiqua" w:hAnsi="Book Antiqua"/>
          <w:color w:val="000000" w:themeColor="text1"/>
          <w:sz w:val="24"/>
          <w:szCs w:val="24"/>
        </w:rPr>
        <w:t>Kaz</w:t>
      </w:r>
      <w:proofErr w:type="spellEnd"/>
      <w:r w:rsidRPr="00D640A9">
        <w:rPr>
          <w:rFonts w:ascii="Book Antiqua" w:hAnsi="Book Antiqua"/>
          <w:color w:val="000000" w:themeColor="text1"/>
          <w:sz w:val="24"/>
          <w:szCs w:val="24"/>
        </w:rPr>
        <w:t xml:space="preserve"> AM, </w:t>
      </w:r>
      <w:proofErr w:type="spellStart"/>
      <w:r w:rsidRPr="00D640A9">
        <w:rPr>
          <w:rFonts w:ascii="Book Antiqua" w:hAnsi="Book Antiqua"/>
          <w:color w:val="000000" w:themeColor="text1"/>
          <w:sz w:val="24"/>
          <w:szCs w:val="24"/>
        </w:rPr>
        <w:t>Kroh</w:t>
      </w:r>
      <w:proofErr w:type="spellEnd"/>
      <w:r w:rsidRPr="00D640A9">
        <w:rPr>
          <w:rFonts w:ascii="Book Antiqua" w:hAnsi="Book Antiqua"/>
          <w:color w:val="000000" w:themeColor="text1"/>
          <w:sz w:val="24"/>
          <w:szCs w:val="24"/>
        </w:rPr>
        <w:t xml:space="preserve"> EM, Allen A, Fritz BR, Markowitz SD, Tewari M. Epigenetic silencing of the intronic microRNA hsa-miR-342 and its host gene EVL in colorectal cancer. </w:t>
      </w:r>
      <w:r w:rsidRPr="00D640A9">
        <w:rPr>
          <w:rFonts w:ascii="Book Antiqua" w:hAnsi="Book Antiqua"/>
          <w:i/>
          <w:color w:val="000000" w:themeColor="text1"/>
          <w:sz w:val="24"/>
          <w:szCs w:val="24"/>
        </w:rPr>
        <w:t>Oncogene</w:t>
      </w:r>
      <w:r w:rsidRPr="00D640A9">
        <w:rPr>
          <w:rFonts w:ascii="Book Antiqua" w:hAnsi="Book Antiqua"/>
          <w:color w:val="000000" w:themeColor="text1"/>
          <w:sz w:val="24"/>
          <w:szCs w:val="24"/>
        </w:rPr>
        <w:t xml:space="preserve"> 2008; </w:t>
      </w:r>
      <w:r w:rsidRPr="00D640A9">
        <w:rPr>
          <w:rFonts w:ascii="Book Antiqua" w:hAnsi="Book Antiqua"/>
          <w:b/>
          <w:color w:val="000000" w:themeColor="text1"/>
          <w:sz w:val="24"/>
          <w:szCs w:val="24"/>
        </w:rPr>
        <w:t>27</w:t>
      </w:r>
      <w:r w:rsidRPr="00D640A9">
        <w:rPr>
          <w:rFonts w:ascii="Book Antiqua" w:hAnsi="Book Antiqua"/>
          <w:color w:val="000000" w:themeColor="text1"/>
          <w:sz w:val="24"/>
          <w:szCs w:val="24"/>
        </w:rPr>
        <w:t>: 3880-3888 [PMID: 1826</w:t>
      </w:r>
      <w:r w:rsidR="00FE7EFD" w:rsidRPr="00D640A9">
        <w:rPr>
          <w:rFonts w:ascii="Book Antiqua" w:hAnsi="Book Antiqua"/>
          <w:color w:val="000000" w:themeColor="text1"/>
          <w:sz w:val="24"/>
          <w:szCs w:val="24"/>
        </w:rPr>
        <w:t>4139 DOI: 10.1038/onc.2008.10]</w:t>
      </w:r>
    </w:p>
    <w:p w:rsidR="000E1E7E" w:rsidRPr="00D640A9" w:rsidRDefault="000E1E7E" w:rsidP="00BB01A5">
      <w:pPr>
        <w:pStyle w:val="PlainText"/>
        <w:spacing w:line="360" w:lineRule="auto"/>
        <w:jc w:val="right"/>
        <w:rPr>
          <w:rFonts w:ascii="Book Antiqua" w:hAnsi="Book Antiqua"/>
          <w:b/>
          <w:color w:val="000000" w:themeColor="text1"/>
          <w:sz w:val="24"/>
          <w:szCs w:val="24"/>
        </w:rPr>
      </w:pPr>
      <w:r w:rsidRPr="00D640A9">
        <w:rPr>
          <w:rFonts w:ascii="Book Antiqua" w:hAnsi="Book Antiqua"/>
          <w:b/>
          <w:color w:val="000000" w:themeColor="text1"/>
          <w:sz w:val="24"/>
          <w:szCs w:val="24"/>
        </w:rPr>
        <w:t xml:space="preserve">P-Reviewer: </w:t>
      </w:r>
      <w:r w:rsidR="00E66206" w:rsidRPr="00D640A9">
        <w:rPr>
          <w:rFonts w:ascii="Book Antiqua" w:hAnsi="Book Antiqua"/>
          <w:color w:val="000000" w:themeColor="text1"/>
          <w:sz w:val="24"/>
          <w:szCs w:val="24"/>
        </w:rPr>
        <w:t>Lo GH, Mathur A, Ko E</w:t>
      </w:r>
      <w:r w:rsidRPr="00D640A9">
        <w:rPr>
          <w:rFonts w:ascii="Book Antiqua" w:hAnsi="Book Antiqua"/>
          <w:color w:val="000000" w:themeColor="text1"/>
          <w:sz w:val="24"/>
          <w:szCs w:val="24"/>
          <w:shd w:val="clear" w:color="auto" w:fill="FFFFFF"/>
        </w:rPr>
        <w:t xml:space="preserve"> </w:t>
      </w:r>
      <w:r w:rsidRPr="00D640A9">
        <w:rPr>
          <w:rFonts w:ascii="Book Antiqua" w:hAnsi="Book Antiqua"/>
          <w:b/>
          <w:color w:val="000000" w:themeColor="text1"/>
          <w:sz w:val="24"/>
          <w:szCs w:val="24"/>
        </w:rPr>
        <w:t xml:space="preserve">S-Editor: </w:t>
      </w:r>
      <w:r w:rsidRPr="00D640A9">
        <w:rPr>
          <w:rFonts w:ascii="Book Antiqua" w:hAnsi="Book Antiqua"/>
          <w:color w:val="000000" w:themeColor="text1"/>
          <w:sz w:val="24"/>
          <w:szCs w:val="24"/>
        </w:rPr>
        <w:t>Wang JL</w:t>
      </w:r>
      <w:r w:rsidRPr="00D640A9">
        <w:rPr>
          <w:rFonts w:ascii="Book Antiqua" w:hAnsi="Book Antiqua"/>
          <w:b/>
          <w:color w:val="000000" w:themeColor="text1"/>
          <w:sz w:val="24"/>
          <w:szCs w:val="24"/>
        </w:rPr>
        <w:t xml:space="preserve"> L-Editor: E-Editor: </w:t>
      </w:r>
    </w:p>
    <w:p w:rsidR="00B96523" w:rsidRPr="00D640A9" w:rsidRDefault="00B96523" w:rsidP="00D44140">
      <w:pPr>
        <w:spacing w:line="360" w:lineRule="auto"/>
        <w:ind w:left="310" w:hangingChars="129" w:hanging="310"/>
        <w:rPr>
          <w:rFonts w:ascii="Book Antiqua" w:hAnsi="Book Antiqua"/>
          <w:bCs/>
          <w:color w:val="000000" w:themeColor="text1"/>
          <w:sz w:val="24"/>
          <w:szCs w:val="24"/>
        </w:rPr>
      </w:pPr>
    </w:p>
    <w:p w:rsidR="00BD75C6" w:rsidRPr="00D640A9" w:rsidRDefault="00BD75C6" w:rsidP="00D44140">
      <w:pPr>
        <w:pStyle w:val="NormalWeb"/>
        <w:spacing w:before="0" w:beforeAutospacing="0" w:after="0" w:afterAutospacing="0" w:line="360" w:lineRule="auto"/>
        <w:jc w:val="both"/>
        <w:rPr>
          <w:rFonts w:ascii="Book Antiqua" w:hAnsi="Book Antiqua"/>
          <w:color w:val="000000" w:themeColor="text1"/>
        </w:rPr>
      </w:pPr>
      <w:r w:rsidRPr="00D640A9">
        <w:rPr>
          <w:rFonts w:ascii="Book Antiqua" w:hAnsi="Book Antiqua"/>
          <w:b/>
          <w:color w:val="000000" w:themeColor="text1"/>
        </w:rPr>
        <w:t>Specialty type:</w:t>
      </w:r>
      <w:r w:rsidRPr="00D640A9">
        <w:rPr>
          <w:rFonts w:ascii="Book Antiqua" w:hAnsi="Book Antiqua"/>
          <w:color w:val="000000" w:themeColor="text1"/>
        </w:rPr>
        <w:t xml:space="preserve"> Oncology</w:t>
      </w:r>
    </w:p>
    <w:p w:rsidR="00BD75C6" w:rsidRPr="00D640A9" w:rsidRDefault="00BD75C6" w:rsidP="00D44140">
      <w:pPr>
        <w:pStyle w:val="NormalWeb"/>
        <w:spacing w:before="0" w:beforeAutospacing="0" w:after="0" w:afterAutospacing="0" w:line="360" w:lineRule="auto"/>
        <w:jc w:val="both"/>
        <w:rPr>
          <w:rFonts w:ascii="Book Antiqua" w:hAnsi="Book Antiqua"/>
          <w:color w:val="000000" w:themeColor="text1"/>
        </w:rPr>
      </w:pPr>
      <w:r w:rsidRPr="00D640A9">
        <w:rPr>
          <w:rFonts w:ascii="Book Antiqua" w:hAnsi="Book Antiqua"/>
          <w:b/>
          <w:color w:val="000000" w:themeColor="text1"/>
        </w:rPr>
        <w:t>Country of origin:</w:t>
      </w:r>
      <w:r w:rsidRPr="00D640A9">
        <w:rPr>
          <w:rFonts w:ascii="Book Antiqua" w:hAnsi="Book Antiqua"/>
          <w:color w:val="000000" w:themeColor="text1"/>
        </w:rPr>
        <w:t xml:space="preserve"> </w:t>
      </w:r>
      <w:r w:rsidR="002F0327" w:rsidRPr="00D640A9">
        <w:rPr>
          <w:rFonts w:ascii="Book Antiqua" w:hAnsi="Book Antiqua"/>
          <w:color w:val="000000" w:themeColor="text1"/>
        </w:rPr>
        <w:t>China</w:t>
      </w:r>
    </w:p>
    <w:p w:rsidR="00BD75C6" w:rsidRPr="00D640A9" w:rsidRDefault="00BD75C6" w:rsidP="00D44140">
      <w:pPr>
        <w:pStyle w:val="NormalWeb"/>
        <w:spacing w:before="0" w:beforeAutospacing="0" w:after="0" w:afterAutospacing="0" w:line="360" w:lineRule="auto"/>
        <w:jc w:val="both"/>
        <w:rPr>
          <w:rFonts w:ascii="Book Antiqua" w:hAnsi="Book Antiqua"/>
          <w:b/>
          <w:color w:val="000000" w:themeColor="text1"/>
        </w:rPr>
      </w:pPr>
      <w:r w:rsidRPr="00D640A9">
        <w:rPr>
          <w:rFonts w:ascii="Book Antiqua" w:hAnsi="Book Antiqua"/>
          <w:b/>
          <w:color w:val="000000" w:themeColor="text1"/>
        </w:rPr>
        <w:t>Peer-review report classification</w:t>
      </w:r>
    </w:p>
    <w:p w:rsidR="00BD75C6" w:rsidRPr="00D640A9" w:rsidRDefault="00BD75C6" w:rsidP="00D44140">
      <w:pPr>
        <w:pStyle w:val="NormalWeb"/>
        <w:spacing w:before="0" w:beforeAutospacing="0" w:after="0" w:afterAutospacing="0" w:line="360" w:lineRule="auto"/>
        <w:jc w:val="both"/>
        <w:rPr>
          <w:rFonts w:ascii="Book Antiqua" w:hAnsi="Book Antiqua"/>
          <w:color w:val="000000" w:themeColor="text1"/>
        </w:rPr>
      </w:pPr>
      <w:r w:rsidRPr="00D640A9">
        <w:rPr>
          <w:rFonts w:ascii="Book Antiqua" w:hAnsi="Book Antiqua"/>
          <w:color w:val="000000" w:themeColor="text1"/>
        </w:rPr>
        <w:t>Grade A (Excellent): A</w:t>
      </w:r>
    </w:p>
    <w:p w:rsidR="00BD75C6" w:rsidRPr="00D640A9" w:rsidRDefault="00BD75C6" w:rsidP="00D44140">
      <w:pPr>
        <w:pStyle w:val="NormalWeb"/>
        <w:spacing w:before="0" w:beforeAutospacing="0" w:after="0" w:afterAutospacing="0" w:line="360" w:lineRule="auto"/>
        <w:jc w:val="both"/>
        <w:rPr>
          <w:rFonts w:ascii="Book Antiqua" w:hAnsi="Book Antiqua"/>
          <w:color w:val="000000" w:themeColor="text1"/>
        </w:rPr>
      </w:pPr>
      <w:r w:rsidRPr="00D640A9">
        <w:rPr>
          <w:rFonts w:ascii="Book Antiqua" w:hAnsi="Book Antiqua"/>
          <w:color w:val="000000" w:themeColor="text1"/>
        </w:rPr>
        <w:t>Grade B (Very good): B</w:t>
      </w:r>
    </w:p>
    <w:p w:rsidR="00BD75C6" w:rsidRPr="00D640A9" w:rsidRDefault="007E10C0" w:rsidP="00D44140">
      <w:pPr>
        <w:pStyle w:val="NormalWeb"/>
        <w:spacing w:before="0" w:beforeAutospacing="0" w:after="0" w:afterAutospacing="0" w:line="360" w:lineRule="auto"/>
        <w:jc w:val="both"/>
        <w:rPr>
          <w:rFonts w:ascii="Book Antiqua" w:hAnsi="Book Antiqua"/>
          <w:color w:val="000000" w:themeColor="text1"/>
        </w:rPr>
      </w:pPr>
      <w:r w:rsidRPr="00D640A9">
        <w:rPr>
          <w:rFonts w:ascii="Book Antiqua" w:hAnsi="Book Antiqua"/>
          <w:color w:val="000000" w:themeColor="text1"/>
        </w:rPr>
        <w:t>Grade C (Good): C</w:t>
      </w:r>
    </w:p>
    <w:p w:rsidR="00BD75C6" w:rsidRPr="00D640A9" w:rsidRDefault="00BD75C6" w:rsidP="00D44140">
      <w:pPr>
        <w:pStyle w:val="NormalWeb"/>
        <w:spacing w:before="0" w:beforeAutospacing="0" w:after="0" w:afterAutospacing="0" w:line="360" w:lineRule="auto"/>
        <w:jc w:val="both"/>
        <w:rPr>
          <w:rFonts w:ascii="Book Antiqua" w:hAnsi="Book Antiqua"/>
          <w:color w:val="000000" w:themeColor="text1"/>
        </w:rPr>
      </w:pPr>
      <w:r w:rsidRPr="00D640A9">
        <w:rPr>
          <w:rFonts w:ascii="Book Antiqua" w:hAnsi="Book Antiqua"/>
          <w:color w:val="000000" w:themeColor="text1"/>
        </w:rPr>
        <w:t>Grade D (Fair): 0</w:t>
      </w:r>
    </w:p>
    <w:p w:rsidR="00BD75C6" w:rsidRPr="00D640A9" w:rsidRDefault="00BD75C6" w:rsidP="00D44140">
      <w:pPr>
        <w:pStyle w:val="NormalWeb"/>
        <w:spacing w:before="0" w:beforeAutospacing="0" w:after="0" w:afterAutospacing="0" w:line="360" w:lineRule="auto"/>
        <w:jc w:val="both"/>
        <w:rPr>
          <w:rFonts w:ascii="Book Antiqua" w:hAnsi="Book Antiqua"/>
          <w:color w:val="000000" w:themeColor="text1"/>
        </w:rPr>
      </w:pPr>
      <w:r w:rsidRPr="00D640A9">
        <w:rPr>
          <w:rFonts w:ascii="Book Antiqua" w:hAnsi="Book Antiqua"/>
          <w:color w:val="000000" w:themeColor="text1"/>
        </w:rPr>
        <w:t>Grade E (Poor): 0</w:t>
      </w:r>
    </w:p>
    <w:p w:rsidR="000825FA" w:rsidRPr="00D640A9" w:rsidRDefault="000825FA" w:rsidP="00D44140">
      <w:pPr>
        <w:widowControl/>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br w:type="page"/>
      </w:r>
    </w:p>
    <w:p w:rsidR="00B96523" w:rsidRPr="00D640A9" w:rsidRDefault="00B96523" w:rsidP="00D44140">
      <w:pPr>
        <w:spacing w:line="360" w:lineRule="auto"/>
        <w:rPr>
          <w:rFonts w:ascii="Book Antiqua" w:hAnsi="Book Antiqua"/>
          <w:b/>
          <w:color w:val="000000" w:themeColor="text1"/>
          <w:sz w:val="24"/>
          <w:szCs w:val="24"/>
        </w:rPr>
      </w:pPr>
    </w:p>
    <w:p w:rsidR="00B96523" w:rsidRPr="00D640A9" w:rsidRDefault="00152298" w:rsidP="00D44140">
      <w:pPr>
        <w:spacing w:line="360" w:lineRule="auto"/>
        <w:rPr>
          <w:rFonts w:ascii="Book Antiqua" w:hAnsi="Book Antiqua"/>
          <w:b/>
          <w:color w:val="000000" w:themeColor="text1"/>
          <w:sz w:val="24"/>
          <w:szCs w:val="24"/>
        </w:rPr>
      </w:pPr>
      <w:r w:rsidRPr="00D640A9">
        <w:rPr>
          <w:rFonts w:ascii="Book Antiqua" w:hAnsi="Book Antiqua"/>
          <w:b/>
          <w:color w:val="000000" w:themeColor="text1"/>
          <w:sz w:val="24"/>
          <w:szCs w:val="24"/>
        </w:rPr>
        <w:t>Table 1</w:t>
      </w:r>
      <w:r w:rsidR="002F7DEB" w:rsidRPr="00D640A9">
        <w:rPr>
          <w:rFonts w:ascii="Book Antiqua" w:hAnsi="Book Antiqua"/>
          <w:b/>
          <w:color w:val="000000" w:themeColor="text1"/>
          <w:sz w:val="24"/>
          <w:szCs w:val="24"/>
        </w:rPr>
        <w:t xml:space="preserve"> Clinicopathological characteristics of patients with </w:t>
      </w:r>
      <w:r w:rsidR="00E25424" w:rsidRPr="00D640A9">
        <w:rPr>
          <w:rFonts w:ascii="Book Antiqua" w:hAnsi="Book Antiqua"/>
          <w:b/>
          <w:bCs/>
          <w:color w:val="000000" w:themeColor="text1"/>
          <w:kern w:val="28"/>
          <w:sz w:val="24"/>
          <w:szCs w:val="24"/>
        </w:rPr>
        <w:t>gastric cancer</w:t>
      </w:r>
    </w:p>
    <w:tbl>
      <w:tblPr>
        <w:tblW w:w="9200" w:type="dxa"/>
        <w:tblInd w:w="-106" w:type="dxa"/>
        <w:tblBorders>
          <w:top w:val="single" w:sz="4" w:space="0" w:color="auto"/>
          <w:bottom w:val="single" w:sz="4" w:space="0" w:color="auto"/>
        </w:tblBorders>
        <w:tblLayout w:type="fixed"/>
        <w:tblLook w:val="04A0" w:firstRow="1" w:lastRow="0" w:firstColumn="1" w:lastColumn="0" w:noHBand="0" w:noVBand="1"/>
      </w:tblPr>
      <w:tblGrid>
        <w:gridCol w:w="2057"/>
        <w:gridCol w:w="1418"/>
        <w:gridCol w:w="1559"/>
        <w:gridCol w:w="1638"/>
        <w:gridCol w:w="1055"/>
        <w:gridCol w:w="1473"/>
      </w:tblGrid>
      <w:tr w:rsidR="00D640A9" w:rsidRPr="00D640A9" w:rsidTr="00B35827">
        <w:tc>
          <w:tcPr>
            <w:tcW w:w="2057" w:type="dxa"/>
            <w:tcBorders>
              <w:top w:val="single" w:sz="4" w:space="0" w:color="auto"/>
              <w:bottom w:val="single" w:sz="4" w:space="0" w:color="auto"/>
            </w:tcBorders>
          </w:tcPr>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
                <w:bCs/>
                <w:color w:val="000000" w:themeColor="text1"/>
                <w:sz w:val="24"/>
                <w:szCs w:val="24"/>
              </w:rPr>
              <w:t>Clinicopathological characteristics</w:t>
            </w:r>
          </w:p>
        </w:tc>
        <w:tc>
          <w:tcPr>
            <w:tcW w:w="1418" w:type="dxa"/>
            <w:tcBorders>
              <w:top w:val="single" w:sz="4" w:space="0" w:color="auto"/>
              <w:bottom w:val="single" w:sz="4" w:space="0" w:color="auto"/>
            </w:tcBorders>
          </w:tcPr>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
                <w:bCs/>
                <w:color w:val="000000" w:themeColor="text1"/>
                <w:sz w:val="24"/>
                <w:szCs w:val="24"/>
              </w:rPr>
              <w:t>No. of patients</w:t>
            </w:r>
          </w:p>
        </w:tc>
        <w:tc>
          <w:tcPr>
            <w:tcW w:w="1559" w:type="dxa"/>
            <w:tcBorders>
              <w:top w:val="single" w:sz="4" w:space="0" w:color="auto"/>
              <w:bottom w:val="single" w:sz="4" w:space="0" w:color="auto"/>
            </w:tcBorders>
          </w:tcPr>
          <w:p w:rsidR="00B96523" w:rsidRPr="00D640A9" w:rsidRDefault="002F7DEB" w:rsidP="00D44140">
            <w:pPr>
              <w:spacing w:line="360" w:lineRule="auto"/>
              <w:rPr>
                <w:rFonts w:ascii="Book Antiqua" w:hAnsi="Book Antiqua"/>
                <w:b/>
                <w:bCs/>
                <w:color w:val="000000" w:themeColor="text1"/>
                <w:sz w:val="24"/>
                <w:szCs w:val="24"/>
              </w:rPr>
            </w:pPr>
            <w:bookmarkStart w:id="56" w:name="OLE_LINK1"/>
            <w:r w:rsidRPr="00D640A9">
              <w:rPr>
                <w:rFonts w:ascii="Book Antiqua" w:hAnsi="Book Antiqua"/>
                <w:b/>
                <w:bCs/>
                <w:color w:val="000000" w:themeColor="text1"/>
                <w:sz w:val="24"/>
                <w:szCs w:val="24"/>
              </w:rPr>
              <w:t>miR-</w:t>
            </w:r>
            <w:bookmarkEnd w:id="56"/>
            <w:r w:rsidRPr="00D640A9">
              <w:rPr>
                <w:rFonts w:ascii="Book Antiqua" w:hAnsi="Book Antiqua"/>
                <w:b/>
                <w:bCs/>
                <w:color w:val="000000" w:themeColor="text1"/>
                <w:sz w:val="24"/>
                <w:szCs w:val="24"/>
              </w:rPr>
              <w:t>320a low expression</w:t>
            </w:r>
          </w:p>
        </w:tc>
        <w:tc>
          <w:tcPr>
            <w:tcW w:w="1638" w:type="dxa"/>
            <w:tcBorders>
              <w:top w:val="single" w:sz="4" w:space="0" w:color="auto"/>
              <w:bottom w:val="single" w:sz="4" w:space="0" w:color="auto"/>
            </w:tcBorders>
          </w:tcPr>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
                <w:bCs/>
                <w:color w:val="000000" w:themeColor="text1"/>
                <w:sz w:val="24"/>
                <w:szCs w:val="24"/>
              </w:rPr>
              <w:t>miR-320a high expression</w:t>
            </w:r>
          </w:p>
        </w:tc>
        <w:tc>
          <w:tcPr>
            <w:tcW w:w="1055" w:type="dxa"/>
            <w:tcBorders>
              <w:top w:val="single" w:sz="4" w:space="0" w:color="auto"/>
              <w:bottom w:val="single" w:sz="4" w:space="0" w:color="auto"/>
            </w:tcBorders>
          </w:tcPr>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
                <w:bCs/>
                <w:color w:val="000000" w:themeColor="text1"/>
                <w:sz w:val="24"/>
                <w:szCs w:val="24"/>
              </w:rPr>
              <w:t>χ</w:t>
            </w:r>
            <w:r w:rsidRPr="00D640A9">
              <w:rPr>
                <w:rFonts w:ascii="Book Antiqua" w:hAnsi="Book Antiqua"/>
                <w:b/>
                <w:bCs/>
                <w:color w:val="000000" w:themeColor="text1"/>
                <w:sz w:val="24"/>
                <w:szCs w:val="24"/>
                <w:vertAlign w:val="superscript"/>
              </w:rPr>
              <w:t>2</w:t>
            </w:r>
          </w:p>
        </w:tc>
        <w:tc>
          <w:tcPr>
            <w:tcW w:w="1473" w:type="dxa"/>
            <w:tcBorders>
              <w:top w:val="single" w:sz="4" w:space="0" w:color="auto"/>
              <w:bottom w:val="single" w:sz="4" w:space="0" w:color="auto"/>
            </w:tcBorders>
          </w:tcPr>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
                <w:bCs/>
                <w:i/>
                <w:color w:val="000000" w:themeColor="text1"/>
                <w:sz w:val="24"/>
                <w:szCs w:val="24"/>
              </w:rPr>
              <w:t>P</w:t>
            </w:r>
            <w:r w:rsidR="00E25424" w:rsidRPr="00D640A9">
              <w:rPr>
                <w:rFonts w:ascii="Book Antiqua" w:hAnsi="Book Antiqua" w:hint="eastAsia"/>
                <w:b/>
                <w:bCs/>
                <w:i/>
                <w:color w:val="000000" w:themeColor="text1"/>
                <w:sz w:val="24"/>
                <w:szCs w:val="24"/>
              </w:rPr>
              <w:t xml:space="preserve"> </w:t>
            </w:r>
            <w:r w:rsidR="00E25424" w:rsidRPr="00D640A9">
              <w:rPr>
                <w:rFonts w:ascii="Book Antiqua" w:hAnsi="Book Antiqua" w:hint="eastAsia"/>
                <w:b/>
                <w:bCs/>
                <w:color w:val="000000" w:themeColor="text1"/>
                <w:sz w:val="24"/>
                <w:szCs w:val="24"/>
              </w:rPr>
              <w:t>value</w:t>
            </w:r>
          </w:p>
        </w:tc>
      </w:tr>
      <w:tr w:rsidR="00D640A9" w:rsidRPr="00D640A9" w:rsidTr="00B35827">
        <w:tc>
          <w:tcPr>
            <w:tcW w:w="9200" w:type="dxa"/>
            <w:gridSpan w:val="6"/>
            <w:tcBorders>
              <w:top w:val="single" w:sz="4" w:space="0" w:color="auto"/>
            </w:tcBorders>
          </w:tcPr>
          <w:p w:rsidR="00B35827" w:rsidRPr="00D640A9" w:rsidRDefault="00B35827"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Age (</w:t>
            </w:r>
            <w:proofErr w:type="spellStart"/>
            <w:r w:rsidRPr="00D640A9">
              <w:rPr>
                <w:rFonts w:ascii="Book Antiqua" w:hAnsi="Book Antiqua"/>
                <w:bCs/>
                <w:color w:val="000000" w:themeColor="text1"/>
                <w:sz w:val="24"/>
                <w:szCs w:val="24"/>
              </w:rPr>
              <w:t>yr</w:t>
            </w:r>
            <w:proofErr w:type="spellEnd"/>
            <w:r w:rsidRPr="00D640A9">
              <w:rPr>
                <w:rFonts w:ascii="Book Antiqua" w:hAnsi="Book Antiqua"/>
                <w:bCs/>
                <w:color w:val="000000" w:themeColor="text1"/>
                <w:sz w:val="24"/>
                <w:szCs w:val="24"/>
              </w:rPr>
              <w:t>)</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 60 </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25</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15</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10</w:t>
            </w:r>
          </w:p>
        </w:tc>
        <w:tc>
          <w:tcPr>
            <w:tcW w:w="1055"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0.285</w:t>
            </w:r>
          </w:p>
        </w:tc>
        <w:tc>
          <w:tcPr>
            <w:tcW w:w="1473"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0.594</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&gt; 60 </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59</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39</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20</w:t>
            </w:r>
          </w:p>
        </w:tc>
        <w:tc>
          <w:tcPr>
            <w:tcW w:w="1055" w:type="dxa"/>
          </w:tcPr>
          <w:p w:rsidR="00B96523" w:rsidRPr="00D640A9" w:rsidRDefault="00B96523" w:rsidP="00D44140">
            <w:pPr>
              <w:spacing w:line="360" w:lineRule="auto"/>
              <w:rPr>
                <w:rFonts w:ascii="Book Antiqua" w:hAnsi="Book Antiqua"/>
                <w:bCs/>
                <w:color w:val="000000" w:themeColor="text1"/>
                <w:sz w:val="24"/>
                <w:szCs w:val="24"/>
              </w:rPr>
            </w:pPr>
          </w:p>
        </w:tc>
        <w:tc>
          <w:tcPr>
            <w:tcW w:w="1473" w:type="dxa"/>
          </w:tcPr>
          <w:p w:rsidR="00B96523" w:rsidRPr="00D640A9" w:rsidRDefault="00B96523" w:rsidP="00D44140">
            <w:pPr>
              <w:spacing w:line="360" w:lineRule="auto"/>
              <w:rPr>
                <w:rFonts w:ascii="Book Antiqua" w:hAnsi="Book Antiqua"/>
                <w:bCs/>
                <w:color w:val="000000" w:themeColor="text1"/>
                <w:sz w:val="24"/>
                <w:szCs w:val="24"/>
              </w:rPr>
            </w:pPr>
          </w:p>
        </w:tc>
      </w:tr>
      <w:tr w:rsidR="00D640A9" w:rsidRPr="00D640A9" w:rsidTr="00B35827">
        <w:tc>
          <w:tcPr>
            <w:tcW w:w="9200" w:type="dxa"/>
            <w:gridSpan w:val="6"/>
          </w:tcPr>
          <w:p w:rsidR="00B35827" w:rsidRPr="00D640A9" w:rsidRDefault="00B35827"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Gender</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Female</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20</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11</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9</w:t>
            </w:r>
          </w:p>
        </w:tc>
        <w:tc>
          <w:tcPr>
            <w:tcW w:w="1055"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0.986</w:t>
            </w:r>
          </w:p>
        </w:tc>
        <w:tc>
          <w:tcPr>
            <w:tcW w:w="1473"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0.321</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Male</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64</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43</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21</w:t>
            </w:r>
          </w:p>
        </w:tc>
        <w:tc>
          <w:tcPr>
            <w:tcW w:w="1055" w:type="dxa"/>
          </w:tcPr>
          <w:p w:rsidR="00B96523" w:rsidRPr="00D640A9" w:rsidRDefault="00B96523" w:rsidP="00D44140">
            <w:pPr>
              <w:spacing w:line="360" w:lineRule="auto"/>
              <w:rPr>
                <w:rFonts w:ascii="Book Antiqua" w:hAnsi="Book Antiqua"/>
                <w:bCs/>
                <w:color w:val="000000" w:themeColor="text1"/>
                <w:sz w:val="24"/>
                <w:szCs w:val="24"/>
              </w:rPr>
            </w:pPr>
          </w:p>
        </w:tc>
        <w:tc>
          <w:tcPr>
            <w:tcW w:w="1473" w:type="dxa"/>
          </w:tcPr>
          <w:p w:rsidR="00B96523" w:rsidRPr="00D640A9" w:rsidRDefault="00B96523" w:rsidP="00D44140">
            <w:pPr>
              <w:spacing w:line="360" w:lineRule="auto"/>
              <w:rPr>
                <w:rFonts w:ascii="Book Antiqua" w:hAnsi="Book Antiqua"/>
                <w:bCs/>
                <w:color w:val="000000" w:themeColor="text1"/>
                <w:sz w:val="24"/>
                <w:szCs w:val="24"/>
              </w:rPr>
            </w:pPr>
          </w:p>
        </w:tc>
      </w:tr>
      <w:tr w:rsidR="00D640A9" w:rsidRPr="00D640A9" w:rsidTr="00B35827">
        <w:tc>
          <w:tcPr>
            <w:tcW w:w="9200" w:type="dxa"/>
            <w:gridSpan w:val="6"/>
          </w:tcPr>
          <w:p w:rsidR="00B35827" w:rsidRPr="00D640A9" w:rsidRDefault="00B35827"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Location</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Gastric body</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20</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15</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5</w:t>
            </w:r>
          </w:p>
        </w:tc>
        <w:tc>
          <w:tcPr>
            <w:tcW w:w="1055"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1.524</w:t>
            </w:r>
          </w:p>
        </w:tc>
        <w:tc>
          <w:tcPr>
            <w:tcW w:w="1473"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0.467</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Gastric antrum</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52</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31</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21</w:t>
            </w:r>
          </w:p>
        </w:tc>
        <w:tc>
          <w:tcPr>
            <w:tcW w:w="1055" w:type="dxa"/>
          </w:tcPr>
          <w:p w:rsidR="00B96523" w:rsidRPr="00D640A9" w:rsidRDefault="00B96523" w:rsidP="00D44140">
            <w:pPr>
              <w:spacing w:line="360" w:lineRule="auto"/>
              <w:rPr>
                <w:rFonts w:ascii="Book Antiqua" w:hAnsi="Book Antiqua"/>
                <w:bCs/>
                <w:color w:val="000000" w:themeColor="text1"/>
                <w:sz w:val="24"/>
                <w:szCs w:val="24"/>
              </w:rPr>
            </w:pPr>
          </w:p>
        </w:tc>
        <w:tc>
          <w:tcPr>
            <w:tcW w:w="1473" w:type="dxa"/>
          </w:tcPr>
          <w:p w:rsidR="00B96523" w:rsidRPr="00D640A9" w:rsidRDefault="00B96523" w:rsidP="00D44140">
            <w:pPr>
              <w:spacing w:line="360" w:lineRule="auto"/>
              <w:rPr>
                <w:rFonts w:ascii="Book Antiqua" w:hAnsi="Book Antiqua"/>
                <w:bCs/>
                <w:color w:val="000000" w:themeColor="text1"/>
                <w:sz w:val="24"/>
                <w:szCs w:val="24"/>
              </w:rPr>
            </w:pP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Gastric fundus</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12</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8</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4</w:t>
            </w:r>
          </w:p>
        </w:tc>
        <w:tc>
          <w:tcPr>
            <w:tcW w:w="1055" w:type="dxa"/>
          </w:tcPr>
          <w:p w:rsidR="00B96523" w:rsidRPr="00D640A9" w:rsidRDefault="00B96523" w:rsidP="00D44140">
            <w:pPr>
              <w:spacing w:line="360" w:lineRule="auto"/>
              <w:rPr>
                <w:rFonts w:ascii="Book Antiqua" w:hAnsi="Book Antiqua"/>
                <w:bCs/>
                <w:color w:val="000000" w:themeColor="text1"/>
                <w:sz w:val="24"/>
                <w:szCs w:val="24"/>
              </w:rPr>
            </w:pPr>
          </w:p>
        </w:tc>
        <w:tc>
          <w:tcPr>
            <w:tcW w:w="1473" w:type="dxa"/>
          </w:tcPr>
          <w:p w:rsidR="00B96523" w:rsidRPr="00D640A9" w:rsidRDefault="00B96523" w:rsidP="00D44140">
            <w:pPr>
              <w:spacing w:line="360" w:lineRule="auto"/>
              <w:rPr>
                <w:rFonts w:ascii="Book Antiqua" w:hAnsi="Book Antiqua"/>
                <w:bCs/>
                <w:color w:val="000000" w:themeColor="text1"/>
                <w:sz w:val="24"/>
                <w:szCs w:val="24"/>
              </w:rPr>
            </w:pPr>
          </w:p>
        </w:tc>
      </w:tr>
      <w:tr w:rsidR="00D640A9" w:rsidRPr="00D640A9" w:rsidTr="00B35827">
        <w:tc>
          <w:tcPr>
            <w:tcW w:w="9200" w:type="dxa"/>
            <w:gridSpan w:val="6"/>
          </w:tcPr>
          <w:p w:rsidR="00B35827" w:rsidRPr="00D640A9" w:rsidRDefault="00B35827"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Tumor size (cm)</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&lt; 5</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25</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15</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10</w:t>
            </w:r>
          </w:p>
        </w:tc>
        <w:tc>
          <w:tcPr>
            <w:tcW w:w="1055"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0.285</w:t>
            </w:r>
          </w:p>
        </w:tc>
        <w:tc>
          <w:tcPr>
            <w:tcW w:w="1473"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0.594</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5</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59</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39</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20</w:t>
            </w:r>
          </w:p>
        </w:tc>
        <w:tc>
          <w:tcPr>
            <w:tcW w:w="1055" w:type="dxa"/>
          </w:tcPr>
          <w:p w:rsidR="00B96523" w:rsidRPr="00D640A9" w:rsidRDefault="00B96523" w:rsidP="00D44140">
            <w:pPr>
              <w:spacing w:line="360" w:lineRule="auto"/>
              <w:rPr>
                <w:rFonts w:ascii="Book Antiqua" w:hAnsi="Book Antiqua"/>
                <w:bCs/>
                <w:color w:val="000000" w:themeColor="text1"/>
                <w:sz w:val="24"/>
                <w:szCs w:val="24"/>
              </w:rPr>
            </w:pPr>
          </w:p>
        </w:tc>
        <w:tc>
          <w:tcPr>
            <w:tcW w:w="1473" w:type="dxa"/>
          </w:tcPr>
          <w:p w:rsidR="00B96523" w:rsidRPr="00D640A9" w:rsidRDefault="00B96523" w:rsidP="00D44140">
            <w:pPr>
              <w:spacing w:line="360" w:lineRule="auto"/>
              <w:rPr>
                <w:rFonts w:ascii="Book Antiqua" w:hAnsi="Book Antiqua"/>
                <w:bCs/>
                <w:color w:val="000000" w:themeColor="text1"/>
                <w:sz w:val="24"/>
                <w:szCs w:val="24"/>
              </w:rPr>
            </w:pP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Differentiation</w:t>
            </w:r>
          </w:p>
        </w:tc>
        <w:tc>
          <w:tcPr>
            <w:tcW w:w="1418" w:type="dxa"/>
          </w:tcPr>
          <w:p w:rsidR="00B96523" w:rsidRPr="00D640A9" w:rsidRDefault="00B96523" w:rsidP="00D44140">
            <w:pPr>
              <w:spacing w:line="360" w:lineRule="auto"/>
              <w:rPr>
                <w:rFonts w:ascii="Book Antiqua" w:hAnsi="Book Antiqua"/>
                <w:bCs/>
                <w:color w:val="000000" w:themeColor="text1"/>
                <w:sz w:val="24"/>
                <w:szCs w:val="24"/>
              </w:rPr>
            </w:pPr>
          </w:p>
        </w:tc>
        <w:tc>
          <w:tcPr>
            <w:tcW w:w="1559" w:type="dxa"/>
          </w:tcPr>
          <w:p w:rsidR="00B96523" w:rsidRPr="00D640A9" w:rsidRDefault="00B96523" w:rsidP="00D44140">
            <w:pPr>
              <w:spacing w:line="360" w:lineRule="auto"/>
              <w:rPr>
                <w:rFonts w:ascii="Book Antiqua" w:hAnsi="Book Antiqua"/>
                <w:bCs/>
                <w:color w:val="000000" w:themeColor="text1"/>
                <w:sz w:val="24"/>
                <w:szCs w:val="24"/>
              </w:rPr>
            </w:pPr>
          </w:p>
        </w:tc>
        <w:tc>
          <w:tcPr>
            <w:tcW w:w="1638" w:type="dxa"/>
          </w:tcPr>
          <w:p w:rsidR="00B96523" w:rsidRPr="00D640A9" w:rsidRDefault="00B96523" w:rsidP="00D44140">
            <w:pPr>
              <w:spacing w:line="360" w:lineRule="auto"/>
              <w:rPr>
                <w:rFonts w:ascii="Book Antiqua" w:hAnsi="Book Antiqua"/>
                <w:bCs/>
                <w:color w:val="000000" w:themeColor="text1"/>
                <w:sz w:val="24"/>
                <w:szCs w:val="24"/>
              </w:rPr>
            </w:pPr>
          </w:p>
        </w:tc>
        <w:tc>
          <w:tcPr>
            <w:tcW w:w="1055" w:type="dxa"/>
          </w:tcPr>
          <w:p w:rsidR="00B96523" w:rsidRPr="00D640A9" w:rsidRDefault="00B96523" w:rsidP="00D44140">
            <w:pPr>
              <w:spacing w:line="360" w:lineRule="auto"/>
              <w:rPr>
                <w:rFonts w:ascii="Book Antiqua" w:hAnsi="Book Antiqua"/>
                <w:bCs/>
                <w:color w:val="000000" w:themeColor="text1"/>
                <w:sz w:val="24"/>
                <w:szCs w:val="24"/>
              </w:rPr>
            </w:pPr>
          </w:p>
        </w:tc>
        <w:tc>
          <w:tcPr>
            <w:tcW w:w="1473" w:type="dxa"/>
          </w:tcPr>
          <w:p w:rsidR="00B96523" w:rsidRPr="00D640A9" w:rsidRDefault="00B96523" w:rsidP="00D44140">
            <w:pPr>
              <w:spacing w:line="360" w:lineRule="auto"/>
              <w:rPr>
                <w:rFonts w:ascii="Book Antiqua" w:hAnsi="Book Antiqua"/>
                <w:bCs/>
                <w:color w:val="000000" w:themeColor="text1"/>
                <w:sz w:val="24"/>
                <w:szCs w:val="24"/>
              </w:rPr>
            </w:pP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Poor </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55</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40</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15</w:t>
            </w:r>
          </w:p>
        </w:tc>
        <w:tc>
          <w:tcPr>
            <w:tcW w:w="1055"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4.945</w:t>
            </w:r>
          </w:p>
        </w:tc>
        <w:tc>
          <w:tcPr>
            <w:tcW w:w="1473"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0.026</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Well and moderate </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29</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14</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15</w:t>
            </w:r>
          </w:p>
        </w:tc>
        <w:tc>
          <w:tcPr>
            <w:tcW w:w="1055" w:type="dxa"/>
          </w:tcPr>
          <w:p w:rsidR="00B96523" w:rsidRPr="00D640A9" w:rsidRDefault="00B96523" w:rsidP="00D44140">
            <w:pPr>
              <w:spacing w:line="360" w:lineRule="auto"/>
              <w:rPr>
                <w:rFonts w:ascii="Book Antiqua" w:hAnsi="Book Antiqua"/>
                <w:bCs/>
                <w:color w:val="000000" w:themeColor="text1"/>
                <w:sz w:val="24"/>
                <w:szCs w:val="24"/>
              </w:rPr>
            </w:pPr>
          </w:p>
        </w:tc>
        <w:tc>
          <w:tcPr>
            <w:tcW w:w="1473" w:type="dxa"/>
          </w:tcPr>
          <w:p w:rsidR="00B96523" w:rsidRPr="00D640A9" w:rsidRDefault="00B96523" w:rsidP="00D44140">
            <w:pPr>
              <w:spacing w:line="360" w:lineRule="auto"/>
              <w:rPr>
                <w:rFonts w:ascii="Book Antiqua" w:hAnsi="Book Antiqua"/>
                <w:bCs/>
                <w:color w:val="000000" w:themeColor="text1"/>
                <w:sz w:val="24"/>
                <w:szCs w:val="24"/>
              </w:rPr>
            </w:pPr>
          </w:p>
        </w:tc>
      </w:tr>
      <w:tr w:rsidR="00D640A9" w:rsidRPr="00D640A9" w:rsidTr="00B35827">
        <w:tc>
          <w:tcPr>
            <w:tcW w:w="9200" w:type="dxa"/>
            <w:gridSpan w:val="6"/>
          </w:tcPr>
          <w:p w:rsidR="00B35827" w:rsidRPr="00D640A9" w:rsidRDefault="00B35827"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TNM stage</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I+II</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34</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15</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19</w:t>
            </w:r>
          </w:p>
        </w:tc>
        <w:tc>
          <w:tcPr>
            <w:tcW w:w="1055"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10.120</w:t>
            </w:r>
          </w:p>
        </w:tc>
        <w:tc>
          <w:tcPr>
            <w:tcW w:w="1473"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0.001</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III+ IV</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50</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39</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11</w:t>
            </w:r>
          </w:p>
        </w:tc>
        <w:tc>
          <w:tcPr>
            <w:tcW w:w="1055" w:type="dxa"/>
          </w:tcPr>
          <w:p w:rsidR="00B96523" w:rsidRPr="00D640A9" w:rsidRDefault="00B96523" w:rsidP="00D44140">
            <w:pPr>
              <w:spacing w:line="360" w:lineRule="auto"/>
              <w:rPr>
                <w:rFonts w:ascii="Book Antiqua" w:hAnsi="Book Antiqua"/>
                <w:bCs/>
                <w:color w:val="000000" w:themeColor="text1"/>
                <w:sz w:val="24"/>
                <w:szCs w:val="24"/>
              </w:rPr>
            </w:pPr>
          </w:p>
        </w:tc>
        <w:tc>
          <w:tcPr>
            <w:tcW w:w="1473" w:type="dxa"/>
          </w:tcPr>
          <w:p w:rsidR="00B96523" w:rsidRPr="00D640A9" w:rsidRDefault="00B96523" w:rsidP="00D44140">
            <w:pPr>
              <w:spacing w:line="360" w:lineRule="auto"/>
              <w:rPr>
                <w:rFonts w:ascii="Book Antiqua" w:hAnsi="Book Antiqua"/>
                <w:bCs/>
                <w:color w:val="000000" w:themeColor="text1"/>
                <w:sz w:val="24"/>
                <w:szCs w:val="24"/>
              </w:rPr>
            </w:pPr>
          </w:p>
        </w:tc>
      </w:tr>
      <w:tr w:rsidR="00D640A9" w:rsidRPr="00D640A9" w:rsidTr="00B35827">
        <w:tc>
          <w:tcPr>
            <w:tcW w:w="9200" w:type="dxa"/>
            <w:gridSpan w:val="6"/>
          </w:tcPr>
          <w:p w:rsidR="00B35827" w:rsidRPr="00D640A9" w:rsidRDefault="00B35827"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Lymph node metastasis</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No</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18</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7</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11</w:t>
            </w:r>
          </w:p>
        </w:tc>
        <w:tc>
          <w:tcPr>
            <w:tcW w:w="1055"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6.436</w:t>
            </w:r>
          </w:p>
        </w:tc>
        <w:tc>
          <w:tcPr>
            <w:tcW w:w="1473"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0.011</w:t>
            </w:r>
          </w:p>
        </w:tc>
      </w:tr>
      <w:tr w:rsidR="00D640A9" w:rsidRPr="00D640A9" w:rsidTr="00B35827">
        <w:tc>
          <w:tcPr>
            <w:tcW w:w="2057"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 xml:space="preserve"> Yes</w:t>
            </w:r>
          </w:p>
        </w:tc>
        <w:tc>
          <w:tcPr>
            <w:tcW w:w="141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66</w:t>
            </w:r>
          </w:p>
        </w:tc>
        <w:tc>
          <w:tcPr>
            <w:tcW w:w="1559"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47</w:t>
            </w:r>
          </w:p>
        </w:tc>
        <w:tc>
          <w:tcPr>
            <w:tcW w:w="1638" w:type="dxa"/>
          </w:tcPr>
          <w:p w:rsidR="00B96523"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Cs/>
                <w:color w:val="000000" w:themeColor="text1"/>
                <w:sz w:val="24"/>
                <w:szCs w:val="24"/>
              </w:rPr>
              <w:t>19</w:t>
            </w:r>
          </w:p>
        </w:tc>
        <w:tc>
          <w:tcPr>
            <w:tcW w:w="1055" w:type="dxa"/>
          </w:tcPr>
          <w:p w:rsidR="00B96523" w:rsidRPr="00D640A9" w:rsidRDefault="00B96523" w:rsidP="00D44140">
            <w:pPr>
              <w:spacing w:line="360" w:lineRule="auto"/>
              <w:rPr>
                <w:rFonts w:ascii="Book Antiqua" w:hAnsi="Book Antiqua"/>
                <w:bCs/>
                <w:color w:val="000000" w:themeColor="text1"/>
                <w:sz w:val="24"/>
                <w:szCs w:val="24"/>
              </w:rPr>
            </w:pPr>
          </w:p>
        </w:tc>
        <w:tc>
          <w:tcPr>
            <w:tcW w:w="1473" w:type="dxa"/>
          </w:tcPr>
          <w:p w:rsidR="00B96523" w:rsidRPr="00D640A9" w:rsidRDefault="00B96523" w:rsidP="00D44140">
            <w:pPr>
              <w:spacing w:line="360" w:lineRule="auto"/>
              <w:rPr>
                <w:rFonts w:ascii="Book Antiqua" w:hAnsi="Book Antiqua"/>
                <w:bCs/>
                <w:color w:val="000000" w:themeColor="text1"/>
                <w:sz w:val="24"/>
                <w:szCs w:val="24"/>
              </w:rPr>
            </w:pPr>
          </w:p>
        </w:tc>
      </w:tr>
    </w:tbl>
    <w:p w:rsidR="00B96523" w:rsidRPr="00D640A9" w:rsidRDefault="00B96523" w:rsidP="00D44140">
      <w:pPr>
        <w:widowControl/>
        <w:spacing w:line="360" w:lineRule="auto"/>
        <w:rPr>
          <w:rFonts w:ascii="Book Antiqua" w:hAnsi="Book Antiqua"/>
          <w:color w:val="000000" w:themeColor="text1"/>
          <w:sz w:val="24"/>
          <w:szCs w:val="24"/>
        </w:rPr>
      </w:pPr>
    </w:p>
    <w:p w:rsidR="00B96523" w:rsidRPr="00D640A9" w:rsidRDefault="00B96523" w:rsidP="00D44140">
      <w:pPr>
        <w:widowControl/>
        <w:spacing w:line="360" w:lineRule="auto"/>
        <w:rPr>
          <w:rFonts w:ascii="Book Antiqua" w:hAnsi="Book Antiqua"/>
          <w:color w:val="000000" w:themeColor="text1"/>
          <w:sz w:val="24"/>
          <w:szCs w:val="24"/>
        </w:rPr>
      </w:pPr>
    </w:p>
    <w:p w:rsidR="00B96523" w:rsidRPr="00D640A9" w:rsidRDefault="002F7DEB" w:rsidP="00D44140">
      <w:pPr>
        <w:widowControl/>
        <w:spacing w:line="360" w:lineRule="auto"/>
        <w:rPr>
          <w:rFonts w:ascii="Book Antiqua" w:hAnsi="Book Antiqua"/>
          <w:color w:val="000000" w:themeColor="text1"/>
          <w:sz w:val="24"/>
          <w:szCs w:val="24"/>
        </w:rPr>
      </w:pPr>
      <w:r w:rsidRPr="00D640A9">
        <w:rPr>
          <w:rFonts w:ascii="Book Antiqua" w:hAnsi="Book Antiqua"/>
          <w:b/>
          <w:bCs/>
          <w:color w:val="000000" w:themeColor="text1"/>
          <w:kern w:val="0"/>
          <w:sz w:val="24"/>
          <w:szCs w:val="24"/>
        </w:rPr>
        <w:lastRenderedPageBreak/>
        <w:t>Table 2 Primer/mimic sequences</w:t>
      </w:r>
    </w:p>
    <w:tbl>
      <w:tblPr>
        <w:tblW w:w="8522" w:type="dxa"/>
        <w:tblBorders>
          <w:top w:val="single" w:sz="8" w:space="0" w:color="000000"/>
          <w:bottom w:val="single" w:sz="8" w:space="0" w:color="000000"/>
        </w:tblBorders>
        <w:tblLayout w:type="fixed"/>
        <w:tblLook w:val="04A0" w:firstRow="1" w:lastRow="0" w:firstColumn="1" w:lastColumn="0" w:noHBand="0" w:noVBand="1"/>
      </w:tblPr>
      <w:tblGrid>
        <w:gridCol w:w="3630"/>
        <w:gridCol w:w="4892"/>
      </w:tblGrid>
      <w:tr w:rsidR="00D640A9" w:rsidRPr="00D640A9" w:rsidTr="00B35827">
        <w:tc>
          <w:tcPr>
            <w:tcW w:w="3630" w:type="dxa"/>
            <w:tcBorders>
              <w:top w:val="single" w:sz="8" w:space="0" w:color="000000"/>
              <w:bottom w:val="single" w:sz="8" w:space="0" w:color="000000"/>
            </w:tcBorders>
          </w:tcPr>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
                <w:bCs/>
                <w:color w:val="000000" w:themeColor="text1"/>
                <w:kern w:val="0"/>
                <w:sz w:val="24"/>
                <w:szCs w:val="24"/>
              </w:rPr>
              <w:t>Name</w:t>
            </w:r>
          </w:p>
        </w:tc>
        <w:tc>
          <w:tcPr>
            <w:tcW w:w="4892" w:type="dxa"/>
            <w:tcBorders>
              <w:top w:val="single" w:sz="8" w:space="0" w:color="000000"/>
              <w:bottom w:val="single" w:sz="8" w:space="0" w:color="000000"/>
            </w:tcBorders>
          </w:tcPr>
          <w:p w:rsidR="00B96523" w:rsidRPr="00D640A9" w:rsidRDefault="002F7DEB" w:rsidP="00D44140">
            <w:pPr>
              <w:spacing w:line="360" w:lineRule="auto"/>
              <w:rPr>
                <w:rFonts w:ascii="Book Antiqua" w:hAnsi="Book Antiqua"/>
                <w:b/>
                <w:bCs/>
                <w:color w:val="000000" w:themeColor="text1"/>
                <w:sz w:val="24"/>
                <w:szCs w:val="24"/>
              </w:rPr>
            </w:pPr>
            <w:r w:rsidRPr="00D640A9">
              <w:rPr>
                <w:rFonts w:ascii="Book Antiqua" w:hAnsi="Book Antiqua"/>
                <w:b/>
                <w:bCs/>
                <w:color w:val="000000" w:themeColor="text1"/>
                <w:kern w:val="0"/>
                <w:sz w:val="24"/>
                <w:szCs w:val="24"/>
              </w:rPr>
              <w:t>Sequence</w:t>
            </w:r>
            <w:r w:rsidR="00B35827" w:rsidRPr="00D640A9">
              <w:rPr>
                <w:rFonts w:ascii="Book Antiqua" w:hAnsi="Book Antiqua" w:hint="eastAsia"/>
                <w:b/>
                <w:bCs/>
                <w:color w:val="000000" w:themeColor="text1"/>
                <w:kern w:val="0"/>
                <w:sz w:val="24"/>
                <w:szCs w:val="24"/>
              </w:rPr>
              <w:t xml:space="preserve"> </w:t>
            </w:r>
            <w:r w:rsidRPr="00D640A9">
              <w:rPr>
                <w:rFonts w:ascii="Book Antiqua" w:hAnsi="Book Antiqua"/>
                <w:b/>
                <w:bCs/>
                <w:color w:val="000000" w:themeColor="text1"/>
                <w:kern w:val="0"/>
                <w:sz w:val="24"/>
                <w:szCs w:val="24"/>
              </w:rPr>
              <w:t>(5’–3’)</w:t>
            </w:r>
          </w:p>
        </w:tc>
      </w:tr>
      <w:tr w:rsidR="00D640A9" w:rsidRPr="00D640A9" w:rsidTr="00B35827">
        <w:tc>
          <w:tcPr>
            <w:tcW w:w="8522" w:type="dxa"/>
            <w:gridSpan w:val="2"/>
            <w:tcBorders>
              <w:top w:val="single" w:sz="8" w:space="0" w:color="000000"/>
            </w:tcBorders>
          </w:tcPr>
          <w:p w:rsidR="00B35827" w:rsidRPr="00D640A9" w:rsidRDefault="00B35827" w:rsidP="00D44140">
            <w:pPr>
              <w:widowControl/>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miR-</w:t>
            </w:r>
            <w:r w:rsidRPr="00D640A9">
              <w:rPr>
                <w:rFonts w:ascii="Book Antiqua" w:hAnsi="Book Antiqua"/>
                <w:bCs/>
                <w:color w:val="000000" w:themeColor="text1"/>
                <w:sz w:val="24"/>
                <w:szCs w:val="24"/>
              </w:rPr>
              <w:t>320a</w:t>
            </w:r>
            <w:r w:rsidRPr="00D640A9">
              <w:rPr>
                <w:rFonts w:ascii="Book Antiqua" w:hAnsi="Book Antiqua"/>
                <w:color w:val="000000" w:themeColor="text1"/>
                <w:kern w:val="0"/>
                <w:sz w:val="24"/>
                <w:szCs w:val="24"/>
              </w:rPr>
              <w:t xml:space="preserve"> reverse transcription primer</w:t>
            </w:r>
          </w:p>
        </w:tc>
      </w:tr>
      <w:tr w:rsidR="00D640A9" w:rsidRPr="00D640A9" w:rsidTr="00B35827">
        <w:tc>
          <w:tcPr>
            <w:tcW w:w="3630" w:type="dxa"/>
          </w:tcPr>
          <w:p w:rsidR="00B96523" w:rsidRPr="00D640A9" w:rsidRDefault="00B35827" w:rsidP="00D44140">
            <w:pPr>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 xml:space="preserve"> </w:t>
            </w:r>
            <w:r w:rsidR="002F7DEB" w:rsidRPr="00D640A9">
              <w:rPr>
                <w:rFonts w:ascii="Book Antiqua" w:hAnsi="Book Antiqua"/>
                <w:color w:val="000000" w:themeColor="text1"/>
                <w:kern w:val="0"/>
                <w:sz w:val="24"/>
                <w:szCs w:val="24"/>
              </w:rPr>
              <w:t>miR-</w:t>
            </w:r>
            <w:r w:rsidR="002F7DEB" w:rsidRPr="00D640A9">
              <w:rPr>
                <w:rFonts w:ascii="Book Antiqua" w:hAnsi="Book Antiqua"/>
                <w:bCs/>
                <w:color w:val="000000" w:themeColor="text1"/>
                <w:sz w:val="24"/>
                <w:szCs w:val="24"/>
              </w:rPr>
              <w:t>320a</w:t>
            </w:r>
          </w:p>
        </w:tc>
        <w:tc>
          <w:tcPr>
            <w:tcW w:w="4892" w:type="dxa"/>
          </w:tcPr>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GTCTGTATGGTTGTTCTCGACTCCTTCACATCCCTATCCAACCATACAGACTCGCCCTC</w:t>
            </w:r>
          </w:p>
        </w:tc>
      </w:tr>
      <w:tr w:rsidR="00D640A9" w:rsidRPr="00D640A9" w:rsidTr="00B35827">
        <w:trPr>
          <w:trHeight w:val="377"/>
        </w:trPr>
        <w:tc>
          <w:tcPr>
            <w:tcW w:w="3630" w:type="dxa"/>
          </w:tcPr>
          <w:p w:rsidR="00B96523" w:rsidRPr="00D640A9" w:rsidRDefault="00B35827"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 xml:space="preserve"> </w:t>
            </w:r>
            <w:r w:rsidR="002F7DEB" w:rsidRPr="00D640A9">
              <w:rPr>
                <w:rFonts w:ascii="Book Antiqua" w:hAnsi="Book Antiqua"/>
                <w:color w:val="000000" w:themeColor="text1"/>
                <w:kern w:val="0"/>
                <w:sz w:val="24"/>
                <w:szCs w:val="24"/>
              </w:rPr>
              <w:t>U6 snRNA</w:t>
            </w:r>
          </w:p>
        </w:tc>
        <w:tc>
          <w:tcPr>
            <w:tcW w:w="4892" w:type="dxa"/>
          </w:tcPr>
          <w:p w:rsidR="00B96523" w:rsidRPr="00D640A9" w:rsidRDefault="002F7DEB" w:rsidP="00D44140">
            <w:pPr>
              <w:widowControl/>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GGAACGCTTCACGAATTTG </w:t>
            </w:r>
          </w:p>
        </w:tc>
      </w:tr>
      <w:tr w:rsidR="00D640A9" w:rsidRPr="00D640A9" w:rsidTr="00B35827">
        <w:tc>
          <w:tcPr>
            <w:tcW w:w="8522" w:type="dxa"/>
            <w:gridSpan w:val="2"/>
          </w:tcPr>
          <w:p w:rsidR="00B35827" w:rsidRPr="00D640A9" w:rsidRDefault="00B35827"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 xml:space="preserve">Real-time PCR primer sequence   </w:t>
            </w:r>
          </w:p>
        </w:tc>
      </w:tr>
      <w:tr w:rsidR="00D640A9" w:rsidRPr="00D640A9" w:rsidTr="00B35827">
        <w:tc>
          <w:tcPr>
            <w:tcW w:w="3630" w:type="dxa"/>
          </w:tcPr>
          <w:p w:rsidR="00B96523" w:rsidRPr="00D640A9" w:rsidRDefault="002F7DEB" w:rsidP="00D44140">
            <w:pPr>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miR-</w:t>
            </w:r>
            <w:r w:rsidRPr="00D640A9">
              <w:rPr>
                <w:rFonts w:ascii="Book Antiqua" w:hAnsi="Book Antiqua"/>
                <w:bCs/>
                <w:color w:val="000000" w:themeColor="text1"/>
                <w:sz w:val="24"/>
                <w:szCs w:val="24"/>
              </w:rPr>
              <w:t>320a</w:t>
            </w:r>
          </w:p>
        </w:tc>
        <w:tc>
          <w:tcPr>
            <w:tcW w:w="4892" w:type="dxa"/>
          </w:tcPr>
          <w:p w:rsidR="00B96523" w:rsidRPr="00D640A9" w:rsidRDefault="002F7DEB" w:rsidP="00D44140">
            <w:pPr>
              <w:widowControl/>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FO:</w:t>
            </w:r>
            <w:r w:rsidRPr="00D640A9">
              <w:rPr>
                <w:rFonts w:ascii="Book Antiqua" w:hAnsi="Book Antiqua"/>
                <w:color w:val="000000" w:themeColor="text1"/>
                <w:sz w:val="24"/>
                <w:szCs w:val="24"/>
              </w:rPr>
              <w:t>AAGGGATCGCGGGCG</w:t>
            </w:r>
          </w:p>
          <w:p w:rsidR="00B96523" w:rsidRPr="00D640A9" w:rsidRDefault="002F7DEB" w:rsidP="00D44140">
            <w:pPr>
              <w:widowControl/>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RE:</w:t>
            </w:r>
            <w:r w:rsidRPr="00D640A9">
              <w:rPr>
                <w:rFonts w:ascii="Book Antiqua" w:hAnsi="Book Antiqua"/>
                <w:color w:val="000000" w:themeColor="text1"/>
                <w:sz w:val="24"/>
                <w:szCs w:val="24"/>
              </w:rPr>
              <w:t>TGCGTGTCGTGGAGTC</w:t>
            </w:r>
          </w:p>
        </w:tc>
      </w:tr>
      <w:tr w:rsidR="00D640A9" w:rsidRPr="00D640A9" w:rsidTr="00B35827">
        <w:tc>
          <w:tcPr>
            <w:tcW w:w="3630" w:type="dxa"/>
          </w:tcPr>
          <w:p w:rsidR="00B96523" w:rsidRPr="00D640A9" w:rsidRDefault="002F7DEB" w:rsidP="00B35827">
            <w:pPr>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U</w:t>
            </w:r>
            <w:r w:rsidRPr="00D640A9">
              <w:rPr>
                <w:rFonts w:ascii="Book Antiqua" w:hAnsi="Book Antiqua"/>
                <w:color w:val="000000" w:themeColor="text1"/>
                <w:kern w:val="0"/>
                <w:sz w:val="24"/>
                <w:szCs w:val="24"/>
                <w:vertAlign w:val="subscript"/>
              </w:rPr>
              <w:t>6</w:t>
            </w:r>
            <w:r w:rsidRPr="00D640A9">
              <w:rPr>
                <w:rFonts w:ascii="Book Antiqua" w:hAnsi="Book Antiqua"/>
                <w:color w:val="000000" w:themeColor="text1"/>
                <w:kern w:val="0"/>
                <w:sz w:val="24"/>
                <w:szCs w:val="24"/>
              </w:rPr>
              <w:t xml:space="preserve"> snRNA</w:t>
            </w:r>
          </w:p>
        </w:tc>
        <w:tc>
          <w:tcPr>
            <w:tcW w:w="4892" w:type="dxa"/>
          </w:tcPr>
          <w:p w:rsidR="00B96523" w:rsidRPr="00D640A9" w:rsidRDefault="002F7DEB" w:rsidP="00D44140">
            <w:pPr>
              <w:widowControl/>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FO:ATTGGAACGATACAGAGAAGATT</w:t>
            </w:r>
          </w:p>
          <w:p w:rsidR="00B96523" w:rsidRPr="00D640A9" w:rsidRDefault="002F7DEB" w:rsidP="00D44140">
            <w:pPr>
              <w:widowControl/>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RE:GGAACGCTTCACGAATTTG </w:t>
            </w:r>
          </w:p>
        </w:tc>
      </w:tr>
      <w:tr w:rsidR="00D640A9" w:rsidRPr="00D640A9" w:rsidTr="00B35827">
        <w:tc>
          <w:tcPr>
            <w:tcW w:w="8522" w:type="dxa"/>
            <w:gridSpan w:val="2"/>
          </w:tcPr>
          <w:p w:rsidR="00B35827" w:rsidRPr="00D640A9" w:rsidRDefault="00B35827"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MSP primer sequence</w:t>
            </w:r>
          </w:p>
        </w:tc>
      </w:tr>
      <w:tr w:rsidR="00D640A9" w:rsidRPr="00D640A9" w:rsidTr="00B35827">
        <w:tc>
          <w:tcPr>
            <w:tcW w:w="3630" w:type="dxa"/>
          </w:tcPr>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 xml:space="preserve">  Methylated </w:t>
            </w:r>
          </w:p>
        </w:tc>
        <w:tc>
          <w:tcPr>
            <w:tcW w:w="4892" w:type="dxa"/>
          </w:tcPr>
          <w:p w:rsidR="00B96523" w:rsidRPr="00D640A9" w:rsidRDefault="002F7DEB" w:rsidP="00D44140">
            <w:pPr>
              <w:widowControl/>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FO:ACGTCGTAATGTGAGGATTC</w:t>
            </w:r>
          </w:p>
          <w:p w:rsidR="00B96523" w:rsidRPr="00D640A9" w:rsidRDefault="002F7DEB" w:rsidP="00D44140">
            <w:pPr>
              <w:widowControl/>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RE:CGCAAACAAAACTCGATATAA</w:t>
            </w:r>
          </w:p>
        </w:tc>
      </w:tr>
      <w:tr w:rsidR="00D640A9" w:rsidRPr="00D640A9" w:rsidTr="00B35827">
        <w:tc>
          <w:tcPr>
            <w:tcW w:w="3630" w:type="dxa"/>
          </w:tcPr>
          <w:p w:rsidR="00B96523" w:rsidRPr="00D640A9" w:rsidRDefault="00B35827" w:rsidP="00B35827">
            <w:pPr>
              <w:spacing w:line="360" w:lineRule="auto"/>
              <w:ind w:firstLineChars="100" w:firstLine="240"/>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Nonmethylated</w:t>
            </w:r>
          </w:p>
        </w:tc>
        <w:tc>
          <w:tcPr>
            <w:tcW w:w="4892" w:type="dxa"/>
          </w:tcPr>
          <w:p w:rsidR="00B96523" w:rsidRPr="00D640A9" w:rsidRDefault="002F7DEB" w:rsidP="00D44140">
            <w:pPr>
              <w:widowControl/>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FO:ATTATGTTGTAATGTGAGGATTT</w:t>
            </w:r>
          </w:p>
          <w:p w:rsidR="00B96523" w:rsidRPr="00D640A9" w:rsidRDefault="002F7DEB" w:rsidP="00D44140">
            <w:pPr>
              <w:widowControl/>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RE:CACAAACAAAACTCAATATAACCC</w:t>
            </w:r>
          </w:p>
        </w:tc>
      </w:tr>
      <w:tr w:rsidR="00D640A9" w:rsidRPr="00D640A9" w:rsidTr="00B35827">
        <w:tc>
          <w:tcPr>
            <w:tcW w:w="8522" w:type="dxa"/>
            <w:gridSpan w:val="2"/>
          </w:tcPr>
          <w:p w:rsidR="00B35827" w:rsidRPr="00D640A9" w:rsidRDefault="00B35827"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miR-</w:t>
            </w:r>
            <w:r w:rsidRPr="00D640A9">
              <w:rPr>
                <w:rFonts w:ascii="Book Antiqua" w:hAnsi="Book Antiqua"/>
                <w:bCs/>
                <w:color w:val="000000" w:themeColor="text1"/>
                <w:sz w:val="24"/>
                <w:szCs w:val="24"/>
              </w:rPr>
              <w:t>320a</w:t>
            </w:r>
            <w:r w:rsidRPr="00D640A9">
              <w:rPr>
                <w:rFonts w:ascii="Book Antiqua" w:hAnsi="Book Antiqua"/>
                <w:color w:val="000000" w:themeColor="text1"/>
                <w:kern w:val="0"/>
                <w:sz w:val="24"/>
                <w:szCs w:val="24"/>
              </w:rPr>
              <w:t xml:space="preserve"> mimics sequence</w:t>
            </w:r>
          </w:p>
        </w:tc>
      </w:tr>
      <w:tr w:rsidR="00D640A9" w:rsidRPr="00D640A9" w:rsidTr="00B35827">
        <w:tc>
          <w:tcPr>
            <w:tcW w:w="3630" w:type="dxa"/>
          </w:tcPr>
          <w:p w:rsidR="00B96523" w:rsidRPr="00D640A9" w:rsidRDefault="002F7DEB" w:rsidP="00D44140">
            <w:pPr>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 xml:space="preserve">  miR-</w:t>
            </w:r>
            <w:r w:rsidRPr="00D640A9">
              <w:rPr>
                <w:rFonts w:ascii="Book Antiqua" w:hAnsi="Book Antiqua"/>
                <w:bCs/>
                <w:color w:val="000000" w:themeColor="text1"/>
                <w:sz w:val="24"/>
                <w:szCs w:val="24"/>
              </w:rPr>
              <w:t>320a</w:t>
            </w:r>
          </w:p>
        </w:tc>
        <w:tc>
          <w:tcPr>
            <w:tcW w:w="4892" w:type="dxa"/>
          </w:tcPr>
          <w:p w:rsidR="00B96523" w:rsidRPr="00D640A9" w:rsidRDefault="002F7DEB" w:rsidP="00D44140">
            <w:pPr>
              <w:widowControl/>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Sense: AAAAGCUGGGUUGAGAGGGCGA</w:t>
            </w:r>
          </w:p>
          <w:p w:rsidR="00B96523" w:rsidRPr="00D640A9" w:rsidRDefault="002F7DEB" w:rsidP="00D44140">
            <w:pPr>
              <w:widowControl/>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Antisense: GCCCUCUCAACCCAGCUUUUUU</w:t>
            </w:r>
          </w:p>
        </w:tc>
      </w:tr>
      <w:tr w:rsidR="00D640A9" w:rsidRPr="00D640A9" w:rsidTr="00B35827">
        <w:tc>
          <w:tcPr>
            <w:tcW w:w="3630" w:type="dxa"/>
          </w:tcPr>
          <w:p w:rsidR="00B96523" w:rsidRPr="00D640A9" w:rsidRDefault="002F7DEB" w:rsidP="00D44140">
            <w:pPr>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 xml:space="preserve">  Negative control</w:t>
            </w:r>
          </w:p>
        </w:tc>
        <w:tc>
          <w:tcPr>
            <w:tcW w:w="4892" w:type="dxa"/>
          </w:tcPr>
          <w:p w:rsidR="00B96523" w:rsidRPr="00D640A9" w:rsidRDefault="002F7DEB" w:rsidP="00D44140">
            <w:pPr>
              <w:widowControl/>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Sense: UUCUUCGAACGUGUCACGUTT</w:t>
            </w:r>
          </w:p>
          <w:p w:rsidR="00B96523" w:rsidRPr="00D640A9" w:rsidRDefault="002F7DEB" w:rsidP="00D44140">
            <w:pPr>
              <w:widowControl/>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Antisense: ACGUGACACGUUCGGAGAATT</w:t>
            </w:r>
          </w:p>
        </w:tc>
      </w:tr>
      <w:tr w:rsidR="00D640A9" w:rsidRPr="00D640A9" w:rsidTr="00B35827">
        <w:tc>
          <w:tcPr>
            <w:tcW w:w="3630" w:type="dxa"/>
          </w:tcPr>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PBX3 primer sequence</w:t>
            </w:r>
          </w:p>
        </w:tc>
        <w:tc>
          <w:tcPr>
            <w:tcW w:w="4892" w:type="dxa"/>
          </w:tcPr>
          <w:p w:rsidR="00B96523" w:rsidRPr="00D640A9" w:rsidRDefault="002F7DEB" w:rsidP="00D44140">
            <w:pPr>
              <w:widowControl/>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FO:GCCAAATTGACCCAGATCAGAC</w:t>
            </w:r>
          </w:p>
          <w:p w:rsidR="00B96523" w:rsidRPr="00D640A9" w:rsidRDefault="002F7DEB" w:rsidP="00D44140">
            <w:pPr>
              <w:spacing w:line="360" w:lineRule="auto"/>
              <w:rPr>
                <w:rFonts w:ascii="Book Antiqua" w:hAnsi="Book Antiqua"/>
                <w:color w:val="000000" w:themeColor="text1"/>
                <w:sz w:val="24"/>
                <w:szCs w:val="24"/>
              </w:rPr>
            </w:pPr>
            <w:r w:rsidRPr="00D640A9">
              <w:rPr>
                <w:rFonts w:ascii="Book Antiqua" w:hAnsi="Book Antiqua"/>
                <w:color w:val="000000" w:themeColor="text1"/>
                <w:kern w:val="0"/>
                <w:sz w:val="24"/>
                <w:szCs w:val="24"/>
              </w:rPr>
              <w:t>RE:GAAATGGGACGTGTTCTACTCTGTT</w:t>
            </w:r>
          </w:p>
        </w:tc>
      </w:tr>
    </w:tbl>
    <w:p w:rsidR="00B96523" w:rsidRPr="00D640A9" w:rsidRDefault="00B35827" w:rsidP="00D44140">
      <w:pPr>
        <w:widowControl/>
        <w:spacing w:line="360" w:lineRule="auto"/>
        <w:rPr>
          <w:rFonts w:ascii="Book Antiqua" w:hAnsi="Book Antiqua"/>
          <w:color w:val="000000" w:themeColor="text1"/>
          <w:kern w:val="0"/>
          <w:sz w:val="24"/>
          <w:szCs w:val="24"/>
        </w:rPr>
      </w:pPr>
      <w:r w:rsidRPr="00D640A9">
        <w:rPr>
          <w:rFonts w:ascii="Book Antiqua" w:hAnsi="Book Antiqua"/>
          <w:color w:val="000000" w:themeColor="text1"/>
          <w:kern w:val="0"/>
          <w:sz w:val="24"/>
          <w:szCs w:val="24"/>
        </w:rPr>
        <w:t>PCR</w:t>
      </w:r>
      <w:r w:rsidRPr="00D640A9">
        <w:rPr>
          <w:rFonts w:ascii="Book Antiqua" w:hAnsi="Book Antiqua" w:hint="eastAsia"/>
          <w:color w:val="000000" w:themeColor="text1"/>
          <w:kern w:val="0"/>
          <w:sz w:val="24"/>
          <w:szCs w:val="24"/>
        </w:rPr>
        <w:t>:</w:t>
      </w:r>
      <w:r w:rsidRPr="00D640A9">
        <w:rPr>
          <w:rFonts w:ascii="Book Antiqua" w:hAnsi="Book Antiqua"/>
          <w:color w:val="000000" w:themeColor="text1"/>
          <w:sz w:val="24"/>
          <w:szCs w:val="24"/>
        </w:rPr>
        <w:t xml:space="preserve"> Polymerase chain reaction</w:t>
      </w:r>
      <w:r w:rsidRPr="00D640A9">
        <w:rPr>
          <w:rFonts w:ascii="Book Antiqua" w:hAnsi="Book Antiqua" w:hint="eastAsia"/>
          <w:color w:val="000000" w:themeColor="text1"/>
          <w:sz w:val="24"/>
          <w:szCs w:val="24"/>
        </w:rPr>
        <w:t>.</w:t>
      </w:r>
      <w:r w:rsidRPr="00D640A9">
        <w:rPr>
          <w:rFonts w:ascii="Book Antiqua" w:hAnsi="Book Antiqua"/>
          <w:b/>
          <w:bCs/>
          <w:color w:val="000000" w:themeColor="text1"/>
          <w:sz w:val="24"/>
          <w:szCs w:val="24"/>
        </w:rPr>
        <w:t xml:space="preserve"> </w:t>
      </w:r>
      <w:r w:rsidR="002F7DEB" w:rsidRPr="00D640A9">
        <w:rPr>
          <w:rFonts w:ascii="Book Antiqua" w:hAnsi="Book Antiqua"/>
          <w:b/>
          <w:bCs/>
          <w:color w:val="000000" w:themeColor="text1"/>
          <w:sz w:val="24"/>
          <w:szCs w:val="24"/>
        </w:rPr>
        <w:br w:type="page"/>
      </w:r>
    </w:p>
    <w:p w:rsidR="00B35827" w:rsidRPr="00D640A9" w:rsidRDefault="00B35827" w:rsidP="00D44140">
      <w:pPr>
        <w:spacing w:line="360" w:lineRule="auto"/>
        <w:rPr>
          <w:rFonts w:ascii="Book Antiqua" w:hAnsi="Book Antiqua"/>
          <w:b/>
          <w:bCs/>
          <w:color w:val="000000" w:themeColor="text1"/>
          <w:sz w:val="24"/>
          <w:szCs w:val="24"/>
        </w:rPr>
      </w:pPr>
    </w:p>
    <w:p w:rsidR="00116DF2" w:rsidRPr="00D640A9" w:rsidRDefault="00FC3F6F" w:rsidP="00D44140">
      <w:pPr>
        <w:spacing w:line="360" w:lineRule="auto"/>
        <w:rPr>
          <w:rFonts w:ascii="Book Antiqua" w:hAnsi="Book Antiqua"/>
          <w:b/>
          <w:bCs/>
          <w:color w:val="000000" w:themeColor="text1"/>
          <w:sz w:val="24"/>
          <w:szCs w:val="24"/>
        </w:rPr>
      </w:pPr>
      <w:r w:rsidRPr="00D640A9">
        <w:rPr>
          <w:rFonts w:ascii="Book Antiqua" w:hAnsi="Book Antiqua"/>
          <w:b/>
          <w:bCs/>
          <w:noProof/>
          <w:color w:val="000000" w:themeColor="text1"/>
          <w:sz w:val="24"/>
          <w:szCs w:val="24"/>
        </w:rPr>
        <mc:AlternateContent>
          <mc:Choice Requires="wps">
            <w:drawing>
              <wp:anchor distT="0" distB="0" distL="114300" distR="114300" simplePos="0" relativeHeight="251663360" behindDoc="0" locked="0" layoutInCell="1" allowOverlap="1" wp14:anchorId="64DCD9AB" wp14:editId="07975E79">
                <wp:simplePos x="0" y="0"/>
                <wp:positionH relativeFrom="column">
                  <wp:posOffset>3759835</wp:posOffset>
                </wp:positionH>
                <wp:positionV relativeFrom="paragraph">
                  <wp:posOffset>4718891</wp:posOffset>
                </wp:positionV>
                <wp:extent cx="277495" cy="252095"/>
                <wp:effectExtent l="0" t="0" r="8255" b="0"/>
                <wp:wrapNone/>
                <wp:docPr id="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52095"/>
                        </a:xfrm>
                        <a:prstGeom prst="rect">
                          <a:avLst/>
                        </a:prstGeom>
                        <a:solidFill>
                          <a:srgbClr val="FFFFFF"/>
                        </a:solidFill>
                        <a:ln w="9525">
                          <a:noFill/>
                          <a:miter lim="800000"/>
                          <a:headEnd/>
                          <a:tailEnd/>
                        </a:ln>
                      </wps:spPr>
                      <wps:txbx>
                        <w:txbxContent>
                          <w:p w:rsidR="00FC3F6F" w:rsidRDefault="00FC3F6F" w:rsidP="00FC3F6F">
                            <w:r>
                              <w:rPr>
                                <w:rFonts w:hint="eastAsia"/>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DCD9AB" id="_x0000_t202" coordsize="21600,21600" o:spt="202" path="m,l,21600r21600,l21600,xe">
                <v:stroke joinstyle="miter"/>
                <v:path gradientshapeok="t" o:connecttype="rect"/>
              </v:shapetype>
              <v:shape id="文本框 2" o:spid="_x0000_s1026" type="#_x0000_t202" style="position:absolute;left:0;text-align:left;margin-left:296.05pt;margin-top:371.55pt;width:21.85pt;height:19.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" stroked="f">
                <v:textbox>
                  <w:txbxContent>
                    <w:p w:rsidR="00FC3F6F" w:rsidRDefault="00FC3F6F" w:rsidP="00FC3F6F">
                      <w:r>
                        <w:rPr>
                          <w:rFonts w:hint="eastAsia"/>
                        </w:rPr>
                        <w:t>b</w:t>
                      </w:r>
                    </w:p>
                  </w:txbxContent>
                </v:textbox>
              </v:shape>
            </w:pict>
          </mc:Fallback>
        </mc:AlternateContent>
      </w:r>
      <w:r w:rsidRPr="00D640A9">
        <w:rPr>
          <w:rFonts w:ascii="Book Antiqua" w:hAnsi="Book Antiqua"/>
          <w:b/>
          <w:bCs/>
          <w:noProof/>
          <w:color w:val="000000" w:themeColor="text1"/>
          <w:sz w:val="24"/>
          <w:szCs w:val="24"/>
        </w:rPr>
        <mc:AlternateContent>
          <mc:Choice Requires="wps">
            <w:drawing>
              <wp:anchor distT="0" distB="0" distL="114300" distR="114300" simplePos="0" relativeHeight="251661312" behindDoc="0" locked="0" layoutInCell="1" allowOverlap="1" wp14:anchorId="796EE4EA" wp14:editId="2E50D062">
                <wp:simplePos x="0" y="0"/>
                <wp:positionH relativeFrom="column">
                  <wp:posOffset>4083685</wp:posOffset>
                </wp:positionH>
                <wp:positionV relativeFrom="paragraph">
                  <wp:posOffset>4398216</wp:posOffset>
                </wp:positionV>
                <wp:extent cx="277495" cy="252095"/>
                <wp:effectExtent l="0" t="0" r="8255" b="0"/>
                <wp:wrapNone/>
                <wp:docPr id="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52095"/>
                        </a:xfrm>
                        <a:prstGeom prst="rect">
                          <a:avLst/>
                        </a:prstGeom>
                        <a:solidFill>
                          <a:srgbClr val="FFFFFF"/>
                        </a:solidFill>
                        <a:ln w="9525">
                          <a:noFill/>
                          <a:miter lim="800000"/>
                          <a:headEnd/>
                          <a:tailEnd/>
                        </a:ln>
                      </wps:spPr>
                      <wps:txbx>
                        <w:txbxContent>
                          <w:p w:rsidR="00FC3F6F" w:rsidRDefault="00FC3F6F" w:rsidP="00FC3F6F">
                            <w:r>
                              <w:rPr>
                                <w:rFonts w:hint="eastAs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E4EA" id="_x0000_s1027" type="#_x0000_t202" style="position:absolute;left:0;text-align:left;margin-left:321.55pt;margin-top:346.3pt;width:21.85pt;height:19.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" stroked="f">
                <v:textbox>
                  <w:txbxContent>
                    <w:p w:rsidR="00FC3F6F" w:rsidRDefault="00FC3F6F" w:rsidP="00FC3F6F">
                      <w:r>
                        <w:rPr>
                          <w:rFonts w:hint="eastAsia"/>
                        </w:rPr>
                        <w:t>a</w:t>
                      </w:r>
                    </w:p>
                  </w:txbxContent>
                </v:textbox>
              </v:shape>
            </w:pict>
          </mc:Fallback>
        </mc:AlternateContent>
      </w:r>
      <w:r w:rsidRPr="00D640A9">
        <w:rPr>
          <w:rFonts w:ascii="Book Antiqua" w:hAnsi="Book Antiqua"/>
          <w:b/>
          <w:bCs/>
          <w:noProof/>
          <w:color w:val="000000" w:themeColor="text1"/>
          <w:sz w:val="24"/>
          <w:szCs w:val="24"/>
        </w:rPr>
        <mc:AlternateContent>
          <mc:Choice Requires="wps">
            <w:drawing>
              <wp:anchor distT="0" distB="0" distL="114300" distR="114300" simplePos="0" relativeHeight="251659264" behindDoc="0" locked="0" layoutInCell="1" allowOverlap="1" wp14:anchorId="1EFA9968" wp14:editId="0EDBFF61">
                <wp:simplePos x="0" y="0"/>
                <wp:positionH relativeFrom="column">
                  <wp:posOffset>4428490</wp:posOffset>
                </wp:positionH>
                <wp:positionV relativeFrom="paragraph">
                  <wp:posOffset>4472511</wp:posOffset>
                </wp:positionV>
                <wp:extent cx="277978" cy="252375"/>
                <wp:effectExtent l="0" t="0" r="8255" b="0"/>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78" cy="252375"/>
                        </a:xfrm>
                        <a:prstGeom prst="rect">
                          <a:avLst/>
                        </a:prstGeom>
                        <a:solidFill>
                          <a:srgbClr val="FFFFFF"/>
                        </a:solidFill>
                        <a:ln w="9525">
                          <a:noFill/>
                          <a:miter lim="800000"/>
                          <a:headEnd/>
                          <a:tailEnd/>
                        </a:ln>
                      </wps:spPr>
                      <wps:txbx>
                        <w:txbxContent>
                          <w:p w:rsidR="00FC3F6F" w:rsidRDefault="00FC3F6F">
                            <w:r>
                              <w:rPr>
                                <w:rFonts w:hint="eastAs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A9968" id="_x0000_s1028" type="#_x0000_t202" style="position:absolute;left:0;text-align:left;margin-left:348.7pt;margin-top:352.15pt;width:21.9pt;height:19.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" stroked="f">
                <v:textbox>
                  <w:txbxContent>
                    <w:p w:rsidR="00FC3F6F" w:rsidRDefault="00FC3F6F">
                      <w:r>
                        <w:rPr>
                          <w:rFonts w:hint="eastAsia"/>
                        </w:rPr>
                        <w:t>a</w:t>
                      </w:r>
                    </w:p>
                  </w:txbxContent>
                </v:textbox>
              </v:shape>
            </w:pict>
          </mc:Fallback>
        </mc:AlternateContent>
      </w:r>
      <w:r w:rsidR="00116DF2" w:rsidRPr="00D640A9">
        <w:rPr>
          <w:rFonts w:ascii="Book Antiqua" w:hAnsi="Book Antiqua"/>
          <w:b/>
          <w:bCs/>
          <w:noProof/>
          <w:color w:val="000000" w:themeColor="text1"/>
          <w:sz w:val="24"/>
          <w:szCs w:val="24"/>
        </w:rPr>
        <w:drawing>
          <wp:inline distT="0" distB="0" distL="0" distR="0" wp14:anchorId="565D9C5E" wp14:editId="60449C83">
            <wp:extent cx="5144494" cy="5913979"/>
            <wp:effectExtent l="0" t="0" r="0" b="0"/>
            <wp:docPr id="1" name="图片 1" descr="D:\WJG\15-兼任编辑部主任\编辑稿件\2019-06-12-WJCC-WJGO\48527\48527\48527-Image-File-rev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JG\15-兼任编辑部主任\编辑稿件\2019-06-12-WJCC-WJGO\48527\48527\48527-Image-File-revisio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44947" cy="5914500"/>
                    </a:xfrm>
                    <a:prstGeom prst="rect">
                      <a:avLst/>
                    </a:prstGeom>
                    <a:noFill/>
                    <a:ln>
                      <a:noFill/>
                    </a:ln>
                  </pic:spPr>
                </pic:pic>
              </a:graphicData>
            </a:graphic>
          </wp:inline>
        </w:drawing>
      </w:r>
      <w:r w:rsidR="00116DF2" w:rsidRPr="00D640A9">
        <w:rPr>
          <w:rFonts w:ascii="Book Antiqua" w:hAnsi="Book Antiqua"/>
          <w:b/>
          <w:bCs/>
          <w:color w:val="000000" w:themeColor="text1"/>
          <w:sz w:val="24"/>
          <w:szCs w:val="24"/>
        </w:rPr>
        <w:t xml:space="preserve"> </w:t>
      </w:r>
    </w:p>
    <w:p w:rsidR="00B96523" w:rsidRPr="00D640A9" w:rsidRDefault="00B35827" w:rsidP="00D44140">
      <w:pPr>
        <w:spacing w:line="360" w:lineRule="auto"/>
        <w:rPr>
          <w:rFonts w:ascii="Book Antiqua" w:hAnsi="Book Antiqua"/>
          <w:bCs/>
          <w:color w:val="000000" w:themeColor="text1"/>
          <w:sz w:val="24"/>
          <w:szCs w:val="24"/>
        </w:rPr>
      </w:pPr>
      <w:r w:rsidRPr="00D640A9">
        <w:rPr>
          <w:rFonts w:ascii="Book Antiqua" w:hAnsi="Book Antiqua"/>
          <w:b/>
          <w:bCs/>
          <w:color w:val="000000" w:themeColor="text1"/>
          <w:sz w:val="24"/>
          <w:szCs w:val="24"/>
        </w:rPr>
        <w:t>Figure 1</w:t>
      </w:r>
      <w:r w:rsidR="002F7DEB" w:rsidRPr="00D640A9">
        <w:rPr>
          <w:rFonts w:ascii="Book Antiqua" w:hAnsi="Book Antiqua"/>
          <w:b/>
          <w:bCs/>
          <w:color w:val="000000" w:themeColor="text1"/>
          <w:sz w:val="24"/>
          <w:szCs w:val="24"/>
        </w:rPr>
        <w:t xml:space="preserve"> Expression of miR-320a in </w:t>
      </w:r>
      <w:r w:rsidR="00116DF2" w:rsidRPr="00D640A9">
        <w:rPr>
          <w:rFonts w:ascii="Book Antiqua" w:hAnsi="Book Antiqua"/>
          <w:b/>
          <w:color w:val="000000" w:themeColor="text1"/>
          <w:sz w:val="24"/>
          <w:szCs w:val="24"/>
        </w:rPr>
        <w:t>gastric cancer</w:t>
      </w:r>
      <w:r w:rsidR="00116DF2" w:rsidRPr="00D640A9">
        <w:rPr>
          <w:rFonts w:ascii="Book Antiqua" w:hAnsi="Book Antiqua"/>
          <w:b/>
          <w:bCs/>
          <w:color w:val="000000" w:themeColor="text1"/>
          <w:sz w:val="24"/>
          <w:szCs w:val="24"/>
        </w:rPr>
        <w:t xml:space="preserve"> </w:t>
      </w:r>
      <w:r w:rsidR="002F7DEB" w:rsidRPr="00D640A9">
        <w:rPr>
          <w:rFonts w:ascii="Book Antiqua" w:hAnsi="Book Antiqua"/>
          <w:b/>
          <w:bCs/>
          <w:color w:val="000000" w:themeColor="text1"/>
          <w:sz w:val="24"/>
          <w:szCs w:val="24"/>
        </w:rPr>
        <w:t>samples and cell lines, and miR-320a downregulation is correlated with tumor TNM stage.</w:t>
      </w:r>
      <w:r w:rsidR="002F7DEB" w:rsidRPr="00D640A9">
        <w:rPr>
          <w:rFonts w:ascii="Book Antiqua" w:hAnsi="Book Antiqua"/>
          <w:bCs/>
          <w:color w:val="000000" w:themeColor="text1"/>
          <w:sz w:val="24"/>
          <w:szCs w:val="24"/>
        </w:rPr>
        <w:t xml:space="preserve"> A:</w:t>
      </w:r>
      <w:r w:rsidR="002F7DEB" w:rsidRPr="00D640A9">
        <w:rPr>
          <w:rFonts w:ascii="Book Antiqua" w:hAnsi="Book Antiqua"/>
          <w:b/>
          <w:bCs/>
          <w:color w:val="000000" w:themeColor="text1"/>
          <w:sz w:val="24"/>
          <w:szCs w:val="24"/>
        </w:rPr>
        <w:t xml:space="preserve"> </w:t>
      </w:r>
      <w:r w:rsidR="002F7DEB" w:rsidRPr="00D640A9">
        <w:rPr>
          <w:rFonts w:ascii="Book Antiqua" w:hAnsi="Book Antiqua"/>
          <w:bCs/>
          <w:iCs/>
          <w:color w:val="000000" w:themeColor="text1"/>
          <w:sz w:val="24"/>
          <w:szCs w:val="24"/>
        </w:rPr>
        <w:t>Representative</w:t>
      </w:r>
      <w:r w:rsidR="002F7DEB" w:rsidRPr="00D640A9">
        <w:rPr>
          <w:rFonts w:ascii="Book Antiqua" w:hAnsi="Book Antiqua"/>
          <w:bCs/>
          <w:color w:val="000000" w:themeColor="text1"/>
          <w:sz w:val="24"/>
          <w:szCs w:val="24"/>
        </w:rPr>
        <w:t xml:space="preserve"> tissue slices from </w:t>
      </w:r>
      <w:r w:rsidR="00D377F4" w:rsidRPr="00D640A9">
        <w:rPr>
          <w:rFonts w:ascii="Book Antiqua" w:hAnsi="Book Antiqua"/>
          <w:bCs/>
          <w:color w:val="000000" w:themeColor="text1"/>
          <w:sz w:val="24"/>
          <w:szCs w:val="24"/>
        </w:rPr>
        <w:t xml:space="preserve">gastric cancer </w:t>
      </w:r>
      <w:r w:rsidR="00D377F4" w:rsidRPr="00D640A9">
        <w:rPr>
          <w:rFonts w:ascii="Book Antiqua" w:hAnsi="Book Antiqua" w:hint="eastAsia"/>
          <w:bCs/>
          <w:color w:val="000000" w:themeColor="text1"/>
          <w:sz w:val="24"/>
          <w:szCs w:val="24"/>
        </w:rPr>
        <w:t>(</w:t>
      </w:r>
      <w:r w:rsidR="002F7DEB" w:rsidRPr="00D640A9">
        <w:rPr>
          <w:rFonts w:ascii="Book Antiqua" w:hAnsi="Book Antiqua"/>
          <w:bCs/>
          <w:color w:val="000000" w:themeColor="text1"/>
          <w:sz w:val="24"/>
          <w:szCs w:val="24"/>
        </w:rPr>
        <w:t>G</w:t>
      </w:r>
      <w:r w:rsidR="00116DF2" w:rsidRPr="00D640A9">
        <w:rPr>
          <w:rFonts w:ascii="Book Antiqua" w:hAnsi="Book Antiqua"/>
          <w:bCs/>
          <w:color w:val="000000" w:themeColor="text1"/>
          <w:sz w:val="24"/>
          <w:szCs w:val="24"/>
        </w:rPr>
        <w:t>C</w:t>
      </w:r>
      <w:r w:rsidR="00D377F4" w:rsidRPr="00D640A9">
        <w:rPr>
          <w:rFonts w:ascii="Book Antiqua" w:hAnsi="Book Antiqua" w:hint="eastAsia"/>
          <w:bCs/>
          <w:color w:val="000000" w:themeColor="text1"/>
          <w:sz w:val="24"/>
          <w:szCs w:val="24"/>
        </w:rPr>
        <w:t>)</w:t>
      </w:r>
      <w:r w:rsidR="00116DF2" w:rsidRPr="00D640A9">
        <w:rPr>
          <w:rFonts w:ascii="Book Antiqua" w:hAnsi="Book Antiqua"/>
          <w:bCs/>
          <w:color w:val="000000" w:themeColor="text1"/>
          <w:sz w:val="24"/>
          <w:szCs w:val="24"/>
        </w:rPr>
        <w:t xml:space="preserve"> patients were stained using H</w:t>
      </w:r>
      <w:r w:rsidR="002F7DEB" w:rsidRPr="00D640A9">
        <w:rPr>
          <w:rFonts w:ascii="Book Antiqua" w:hAnsi="Book Antiqua"/>
          <w:bCs/>
          <w:color w:val="000000" w:themeColor="text1"/>
          <w:sz w:val="24"/>
          <w:szCs w:val="24"/>
        </w:rPr>
        <w:t xml:space="preserve">E; scale bars 20 </w:t>
      </w:r>
      <w:proofErr w:type="spellStart"/>
      <w:r w:rsidR="002F7DEB" w:rsidRPr="00D640A9">
        <w:rPr>
          <w:rFonts w:ascii="Book Antiqua" w:hAnsi="Book Antiqua"/>
          <w:bCs/>
          <w:color w:val="000000" w:themeColor="text1"/>
          <w:sz w:val="24"/>
          <w:szCs w:val="24"/>
        </w:rPr>
        <w:t>μm</w:t>
      </w:r>
      <w:proofErr w:type="spellEnd"/>
      <w:r w:rsidR="00D377F4" w:rsidRPr="00D640A9">
        <w:rPr>
          <w:rFonts w:ascii="Book Antiqua" w:hAnsi="Book Antiqua" w:hint="eastAsia"/>
          <w:bCs/>
          <w:color w:val="000000" w:themeColor="text1"/>
          <w:sz w:val="24"/>
          <w:szCs w:val="24"/>
        </w:rPr>
        <w:t>;</w:t>
      </w:r>
      <w:r w:rsidR="00D377F4" w:rsidRPr="00D640A9">
        <w:rPr>
          <w:rFonts w:ascii="Book Antiqua" w:hAnsi="Book Antiqua"/>
          <w:bCs/>
          <w:color w:val="000000" w:themeColor="text1"/>
          <w:sz w:val="24"/>
          <w:szCs w:val="24"/>
        </w:rPr>
        <w:t xml:space="preserve"> B</w:t>
      </w:r>
      <w:r w:rsidR="00D377F4" w:rsidRPr="00D640A9">
        <w:rPr>
          <w:rFonts w:ascii="Book Antiqua" w:hAnsi="Book Antiqua" w:hint="eastAsia"/>
          <w:bCs/>
          <w:color w:val="000000" w:themeColor="text1"/>
          <w:sz w:val="24"/>
          <w:szCs w:val="24"/>
        </w:rPr>
        <w:t>:</w:t>
      </w:r>
      <w:r w:rsidR="002F7DEB" w:rsidRPr="00D640A9">
        <w:rPr>
          <w:rFonts w:ascii="Book Antiqua" w:hAnsi="Book Antiqua"/>
          <w:bCs/>
          <w:color w:val="000000" w:themeColor="text1"/>
          <w:sz w:val="24"/>
          <w:szCs w:val="24"/>
        </w:rPr>
        <w:t xml:space="preserve"> miR-320a expression in 84 pairs of GC tissues and adjacent nontumor tissues is presented as log2 of fold change. Expression of miR-320a in these 84 pairs of samples was</w:t>
      </w:r>
      <w:r w:rsidR="00D377F4" w:rsidRPr="00D640A9">
        <w:rPr>
          <w:rFonts w:ascii="Book Antiqua" w:hAnsi="Book Antiqua"/>
          <w:bCs/>
          <w:color w:val="000000" w:themeColor="text1"/>
          <w:sz w:val="24"/>
          <w:szCs w:val="24"/>
        </w:rPr>
        <w:t xml:space="preserve"> determined by quantitative PCR</w:t>
      </w:r>
      <w:r w:rsidR="00D377F4" w:rsidRPr="00D640A9">
        <w:rPr>
          <w:rFonts w:ascii="Book Antiqua" w:hAnsi="Book Antiqua" w:hint="eastAsia"/>
          <w:bCs/>
          <w:color w:val="000000" w:themeColor="text1"/>
          <w:sz w:val="24"/>
          <w:szCs w:val="24"/>
        </w:rPr>
        <w:t>;</w:t>
      </w:r>
      <w:r w:rsidR="002F7DEB" w:rsidRPr="00D640A9">
        <w:rPr>
          <w:rFonts w:ascii="Book Antiqua" w:hAnsi="Book Antiqua"/>
          <w:bCs/>
          <w:color w:val="000000" w:themeColor="text1"/>
          <w:sz w:val="24"/>
          <w:szCs w:val="24"/>
        </w:rPr>
        <w:t xml:space="preserve"> C: Comparison of expression of miR-320a in GC tissues and matched normal tissues (</w:t>
      </w:r>
      <w:r w:rsidR="002F7DEB" w:rsidRPr="00D640A9">
        <w:rPr>
          <w:rFonts w:ascii="Book Antiqua" w:hAnsi="Book Antiqua"/>
          <w:bCs/>
          <w:i/>
          <w:color w:val="000000" w:themeColor="text1"/>
          <w:sz w:val="24"/>
          <w:szCs w:val="24"/>
        </w:rPr>
        <w:t>P</w:t>
      </w:r>
      <w:r w:rsidR="002F7DEB" w:rsidRPr="00D640A9">
        <w:rPr>
          <w:rFonts w:ascii="Book Antiqua" w:hAnsi="Book Antiqua"/>
          <w:bCs/>
          <w:color w:val="000000" w:themeColor="text1"/>
          <w:sz w:val="24"/>
          <w:szCs w:val="24"/>
        </w:rPr>
        <w:t xml:space="preserve"> &lt; 0.05)</w:t>
      </w:r>
      <w:r w:rsidR="00BC6B38" w:rsidRPr="00D640A9">
        <w:rPr>
          <w:rFonts w:ascii="Book Antiqua" w:hAnsi="Book Antiqua" w:hint="eastAsia"/>
          <w:bCs/>
          <w:color w:val="000000" w:themeColor="text1"/>
          <w:sz w:val="24"/>
          <w:szCs w:val="24"/>
        </w:rPr>
        <w:t>;</w:t>
      </w:r>
      <w:r w:rsidR="002F7DEB" w:rsidRPr="00D640A9">
        <w:rPr>
          <w:rFonts w:ascii="Book Antiqua" w:hAnsi="Book Antiqua"/>
          <w:bCs/>
          <w:color w:val="000000" w:themeColor="text1"/>
          <w:sz w:val="24"/>
          <w:szCs w:val="24"/>
        </w:rPr>
        <w:t xml:space="preserve"> D: mir-320a expression in stage I/II (</w:t>
      </w:r>
      <w:r w:rsidR="002F7DEB" w:rsidRPr="00D640A9">
        <w:rPr>
          <w:rFonts w:ascii="Book Antiqua" w:hAnsi="Book Antiqua"/>
          <w:bCs/>
          <w:i/>
          <w:color w:val="000000" w:themeColor="text1"/>
          <w:sz w:val="24"/>
          <w:szCs w:val="24"/>
        </w:rPr>
        <w:t>n</w:t>
      </w:r>
      <w:r w:rsidR="002F7DEB" w:rsidRPr="00D640A9">
        <w:rPr>
          <w:rFonts w:ascii="Book Antiqua" w:hAnsi="Book Antiqua"/>
          <w:bCs/>
          <w:color w:val="000000" w:themeColor="text1"/>
          <w:sz w:val="24"/>
          <w:szCs w:val="24"/>
        </w:rPr>
        <w:t xml:space="preserve"> = 23) and stage III/IV (</w:t>
      </w:r>
      <w:r w:rsidR="002F7DEB" w:rsidRPr="00D640A9">
        <w:rPr>
          <w:rFonts w:ascii="Book Antiqua" w:hAnsi="Book Antiqua"/>
          <w:bCs/>
          <w:i/>
          <w:color w:val="000000" w:themeColor="text1"/>
          <w:sz w:val="24"/>
          <w:szCs w:val="24"/>
        </w:rPr>
        <w:t>n</w:t>
      </w:r>
      <w:r w:rsidR="002F7DEB" w:rsidRPr="00D640A9">
        <w:rPr>
          <w:rFonts w:ascii="Book Antiqua" w:hAnsi="Book Antiqua"/>
          <w:bCs/>
          <w:color w:val="000000" w:themeColor="text1"/>
          <w:sz w:val="24"/>
          <w:szCs w:val="24"/>
        </w:rPr>
        <w:t xml:space="preserve"> = 54) and the results are shown as log2 of fold change in GC tissues relative to normal tissues (</w:t>
      </w:r>
      <w:r w:rsidR="002F7DEB" w:rsidRPr="00D640A9">
        <w:rPr>
          <w:rFonts w:ascii="Book Antiqua" w:hAnsi="Book Antiqua"/>
          <w:bCs/>
          <w:i/>
          <w:color w:val="000000" w:themeColor="text1"/>
          <w:sz w:val="24"/>
          <w:szCs w:val="24"/>
        </w:rPr>
        <w:t>P</w:t>
      </w:r>
      <w:r w:rsidR="002F7DEB" w:rsidRPr="00D640A9">
        <w:rPr>
          <w:rFonts w:ascii="Book Antiqua" w:hAnsi="Book Antiqua"/>
          <w:bCs/>
          <w:color w:val="000000" w:themeColor="text1"/>
          <w:sz w:val="24"/>
          <w:szCs w:val="24"/>
        </w:rPr>
        <w:t xml:space="preserve"> &lt; 0.05)</w:t>
      </w:r>
      <w:r w:rsidR="00482B2C" w:rsidRPr="00D640A9">
        <w:rPr>
          <w:rFonts w:ascii="Book Antiqua" w:hAnsi="Book Antiqua" w:hint="eastAsia"/>
          <w:bCs/>
          <w:color w:val="000000" w:themeColor="text1"/>
          <w:sz w:val="24"/>
          <w:szCs w:val="24"/>
        </w:rPr>
        <w:t>;</w:t>
      </w:r>
      <w:r w:rsidR="002F7DEB" w:rsidRPr="00D640A9">
        <w:rPr>
          <w:rFonts w:ascii="Book Antiqua" w:hAnsi="Book Antiqua"/>
          <w:bCs/>
          <w:color w:val="000000" w:themeColor="text1"/>
          <w:sz w:val="24"/>
          <w:szCs w:val="24"/>
        </w:rPr>
        <w:t xml:space="preserve"> E: Expression of miR-320a in GES-1 and </w:t>
      </w:r>
      <w:r w:rsidR="002F7DEB" w:rsidRPr="00D640A9">
        <w:rPr>
          <w:rFonts w:ascii="Book Antiqua" w:hAnsi="Book Antiqua"/>
          <w:bCs/>
          <w:color w:val="000000" w:themeColor="text1"/>
          <w:sz w:val="24"/>
          <w:szCs w:val="24"/>
        </w:rPr>
        <w:lastRenderedPageBreak/>
        <w:t xml:space="preserve">GC cell lines (MKN-45, BGC-823, MGC-803 and SGC-7901). </w:t>
      </w:r>
      <w:proofErr w:type="spellStart"/>
      <w:r w:rsidR="00FC3F6F" w:rsidRPr="00D640A9">
        <w:rPr>
          <w:rFonts w:ascii="Book Antiqua" w:hAnsi="Book Antiqua" w:hint="eastAsia"/>
          <w:bCs/>
          <w:color w:val="000000" w:themeColor="text1"/>
          <w:sz w:val="24"/>
          <w:szCs w:val="24"/>
          <w:vertAlign w:val="superscript"/>
        </w:rPr>
        <w:t>a</w:t>
      </w:r>
      <w:r w:rsidR="002F7DEB" w:rsidRPr="00D640A9">
        <w:rPr>
          <w:rFonts w:ascii="Book Antiqua" w:hAnsi="Book Antiqua"/>
          <w:bCs/>
          <w:i/>
          <w:color w:val="000000" w:themeColor="text1"/>
          <w:sz w:val="24"/>
          <w:szCs w:val="24"/>
        </w:rPr>
        <w:t>P</w:t>
      </w:r>
      <w:proofErr w:type="spellEnd"/>
      <w:r w:rsidR="002F7DEB" w:rsidRPr="00D640A9">
        <w:rPr>
          <w:rFonts w:ascii="Book Antiqua" w:hAnsi="Book Antiqua"/>
          <w:bCs/>
          <w:color w:val="000000" w:themeColor="text1"/>
          <w:sz w:val="24"/>
          <w:szCs w:val="24"/>
        </w:rPr>
        <w:t xml:space="preserve"> &lt; 0.05, </w:t>
      </w:r>
      <w:proofErr w:type="spellStart"/>
      <w:r w:rsidR="00FC3F6F" w:rsidRPr="00D640A9">
        <w:rPr>
          <w:rFonts w:ascii="Book Antiqua" w:hAnsi="Book Antiqua" w:hint="eastAsia"/>
          <w:bCs/>
          <w:color w:val="000000" w:themeColor="text1"/>
          <w:sz w:val="24"/>
          <w:szCs w:val="24"/>
          <w:vertAlign w:val="superscript"/>
        </w:rPr>
        <w:t>b</w:t>
      </w:r>
      <w:r w:rsidR="002F7DEB" w:rsidRPr="00D640A9">
        <w:rPr>
          <w:rFonts w:ascii="Book Antiqua" w:hAnsi="Book Antiqua"/>
          <w:bCs/>
          <w:i/>
          <w:color w:val="000000" w:themeColor="text1"/>
          <w:sz w:val="24"/>
          <w:szCs w:val="24"/>
        </w:rPr>
        <w:t>P</w:t>
      </w:r>
      <w:proofErr w:type="spellEnd"/>
      <w:r w:rsidR="002F7DEB" w:rsidRPr="00D640A9">
        <w:rPr>
          <w:rFonts w:ascii="Book Antiqua" w:hAnsi="Book Antiqua"/>
          <w:bCs/>
          <w:color w:val="000000" w:themeColor="text1"/>
          <w:sz w:val="24"/>
          <w:szCs w:val="24"/>
        </w:rPr>
        <w:t xml:space="preserve"> &lt; 0.01. The reference genes were set using U6 snRNA. All the experiments were conducted in triplicate. Data were analyzed by ANOVA or </w:t>
      </w:r>
      <w:r w:rsidR="002F7DEB" w:rsidRPr="00D640A9">
        <w:rPr>
          <w:rFonts w:ascii="Book Antiqua" w:hAnsi="Book Antiqua"/>
          <w:bCs/>
          <w:i/>
          <w:color w:val="000000" w:themeColor="text1"/>
          <w:sz w:val="24"/>
          <w:szCs w:val="24"/>
        </w:rPr>
        <w:t>t</w:t>
      </w:r>
      <w:r w:rsidR="002F7DEB" w:rsidRPr="00D640A9">
        <w:rPr>
          <w:rFonts w:ascii="Book Antiqua" w:hAnsi="Book Antiqua"/>
          <w:bCs/>
          <w:color w:val="000000" w:themeColor="text1"/>
          <w:sz w:val="24"/>
          <w:szCs w:val="24"/>
        </w:rPr>
        <w:t xml:space="preserve"> test. The data are reported as means ± SD.</w:t>
      </w:r>
    </w:p>
    <w:p w:rsidR="00B96523" w:rsidRPr="00D640A9" w:rsidRDefault="00B96523" w:rsidP="00D44140">
      <w:pPr>
        <w:spacing w:line="360" w:lineRule="auto"/>
        <w:ind w:firstLineChars="100" w:firstLine="240"/>
        <w:rPr>
          <w:rFonts w:ascii="Book Antiqua" w:hAnsi="Book Antiqua"/>
          <w:bCs/>
          <w:color w:val="000000" w:themeColor="text1"/>
          <w:sz w:val="24"/>
          <w:szCs w:val="24"/>
        </w:rPr>
      </w:pPr>
    </w:p>
    <w:p w:rsidR="00B96523" w:rsidRPr="00D640A9" w:rsidRDefault="00512DDF" w:rsidP="00D44140">
      <w:pPr>
        <w:spacing w:line="360" w:lineRule="auto"/>
        <w:rPr>
          <w:rFonts w:ascii="Book Antiqua" w:hAnsi="Book Antiqua"/>
          <w:bCs/>
          <w:color w:val="000000" w:themeColor="text1"/>
          <w:sz w:val="24"/>
          <w:szCs w:val="24"/>
        </w:rPr>
      </w:pPr>
      <w:r w:rsidRPr="00D640A9">
        <w:rPr>
          <w:rFonts w:ascii="Book Antiqua" w:hAnsi="Book Antiqua"/>
          <w:b/>
          <w:bCs/>
          <w:noProof/>
          <w:color w:val="000000" w:themeColor="text1"/>
          <w:sz w:val="24"/>
          <w:szCs w:val="24"/>
        </w:rPr>
        <w:lastRenderedPageBreak/>
        <w:drawing>
          <wp:inline distT="0" distB="0" distL="0" distR="0" wp14:anchorId="5AA743D7" wp14:editId="5DE263FF">
            <wp:extent cx="5325745" cy="8595360"/>
            <wp:effectExtent l="0" t="0" r="8255" b="0"/>
            <wp:docPr id="11" name="图片 11" descr="D:\WJG\15-兼任编辑部主任\编辑稿件\2019-06-12-WJCC-WJGO\48527\48527\48527-Image-File-revision_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JG\15-兼任编辑部主任\编辑稿件\2019-06-12-WJCC-WJGO\48527\48527\48527-Image-File-revision_123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5745" cy="8595360"/>
                    </a:xfrm>
                    <a:prstGeom prst="rect">
                      <a:avLst/>
                    </a:prstGeom>
                    <a:noFill/>
                    <a:ln>
                      <a:noFill/>
                    </a:ln>
                  </pic:spPr>
                </pic:pic>
              </a:graphicData>
            </a:graphic>
          </wp:inline>
        </w:drawing>
      </w:r>
      <w:r w:rsidR="003F178D" w:rsidRPr="00D640A9">
        <w:rPr>
          <w:rFonts w:ascii="Book Antiqua" w:hAnsi="Book Antiqua"/>
          <w:b/>
          <w:bCs/>
          <w:color w:val="000000" w:themeColor="text1"/>
          <w:sz w:val="24"/>
          <w:szCs w:val="24"/>
        </w:rPr>
        <w:t xml:space="preserve"> </w:t>
      </w:r>
      <w:r w:rsidR="002F7DEB" w:rsidRPr="00D640A9">
        <w:rPr>
          <w:rFonts w:ascii="Book Antiqua" w:hAnsi="Book Antiqua"/>
          <w:b/>
          <w:bCs/>
          <w:color w:val="000000" w:themeColor="text1"/>
          <w:sz w:val="24"/>
          <w:szCs w:val="24"/>
        </w:rPr>
        <w:lastRenderedPageBreak/>
        <w:t>Figu</w:t>
      </w:r>
      <w:r w:rsidR="003F178D" w:rsidRPr="00D640A9">
        <w:rPr>
          <w:rFonts w:ascii="Book Antiqua" w:hAnsi="Book Antiqua"/>
          <w:b/>
          <w:bCs/>
          <w:color w:val="000000" w:themeColor="text1"/>
          <w:sz w:val="24"/>
          <w:szCs w:val="24"/>
        </w:rPr>
        <w:t>re 2</w:t>
      </w:r>
      <w:r w:rsidR="002F7DEB" w:rsidRPr="00D640A9">
        <w:rPr>
          <w:rFonts w:ascii="Book Antiqua" w:hAnsi="Book Antiqua"/>
          <w:b/>
          <w:bCs/>
          <w:color w:val="000000" w:themeColor="text1"/>
          <w:sz w:val="24"/>
          <w:szCs w:val="24"/>
        </w:rPr>
        <w:t xml:space="preserve"> Overexpression of miR-320a inhibited </w:t>
      </w:r>
      <w:r w:rsidR="003F178D" w:rsidRPr="00D640A9">
        <w:rPr>
          <w:rFonts w:ascii="Book Antiqua" w:hAnsi="Book Antiqua"/>
          <w:b/>
          <w:bCs/>
          <w:color w:val="000000" w:themeColor="text1"/>
          <w:sz w:val="24"/>
          <w:szCs w:val="24"/>
        </w:rPr>
        <w:t xml:space="preserve">gastric cancer </w:t>
      </w:r>
      <w:r w:rsidR="002F7DEB" w:rsidRPr="00D640A9">
        <w:rPr>
          <w:rFonts w:ascii="Book Antiqua" w:hAnsi="Book Antiqua"/>
          <w:b/>
          <w:bCs/>
          <w:color w:val="000000" w:themeColor="text1"/>
          <w:sz w:val="24"/>
          <w:szCs w:val="24"/>
        </w:rPr>
        <w:t xml:space="preserve">cell viability and promoted apoptosis. </w:t>
      </w:r>
      <w:r w:rsidR="002F7DEB" w:rsidRPr="00D640A9">
        <w:rPr>
          <w:rFonts w:ascii="Book Antiqua" w:hAnsi="Book Antiqua"/>
          <w:bCs/>
          <w:color w:val="000000" w:themeColor="text1"/>
          <w:sz w:val="24"/>
          <w:szCs w:val="24"/>
        </w:rPr>
        <w:t xml:space="preserve">A: Expression of miR-320a in </w:t>
      </w:r>
      <w:r w:rsidR="003F178D" w:rsidRPr="00D640A9">
        <w:rPr>
          <w:rFonts w:ascii="Book Antiqua" w:hAnsi="Book Antiqua"/>
          <w:bCs/>
          <w:color w:val="000000" w:themeColor="text1"/>
          <w:sz w:val="24"/>
          <w:szCs w:val="24"/>
        </w:rPr>
        <w:t xml:space="preserve">gastric cancer </w:t>
      </w:r>
      <w:r w:rsidR="003F178D" w:rsidRPr="00D640A9">
        <w:rPr>
          <w:rFonts w:ascii="Book Antiqua" w:hAnsi="Book Antiqua" w:hint="eastAsia"/>
          <w:bCs/>
          <w:color w:val="000000" w:themeColor="text1"/>
          <w:sz w:val="24"/>
          <w:szCs w:val="24"/>
        </w:rPr>
        <w:t>(</w:t>
      </w:r>
      <w:r w:rsidR="002F7DEB" w:rsidRPr="00D640A9">
        <w:rPr>
          <w:rFonts w:ascii="Book Antiqua" w:hAnsi="Book Antiqua"/>
          <w:bCs/>
          <w:color w:val="000000" w:themeColor="text1"/>
          <w:sz w:val="24"/>
          <w:szCs w:val="24"/>
        </w:rPr>
        <w:t>GC</w:t>
      </w:r>
      <w:r w:rsidR="003F178D" w:rsidRPr="00D640A9">
        <w:rPr>
          <w:rFonts w:ascii="Book Antiqua" w:hAnsi="Book Antiqua" w:hint="eastAsia"/>
          <w:bCs/>
          <w:color w:val="000000" w:themeColor="text1"/>
          <w:sz w:val="24"/>
          <w:szCs w:val="24"/>
        </w:rPr>
        <w:t>)</w:t>
      </w:r>
      <w:r w:rsidR="002F7DEB" w:rsidRPr="00D640A9">
        <w:rPr>
          <w:rFonts w:ascii="Book Antiqua" w:hAnsi="Book Antiqua"/>
          <w:bCs/>
          <w:color w:val="000000" w:themeColor="text1"/>
          <w:sz w:val="24"/>
          <w:szCs w:val="24"/>
        </w:rPr>
        <w:t xml:space="preserve"> cells was determined by quantitative PCR after transfection with miR-320a mimics (50 nmol/L), scramble mimics, miR-320a inhibitor (100 nmol/L), scramble inhibitor or no transfection</w:t>
      </w:r>
      <w:r w:rsidR="005D0709" w:rsidRPr="00D640A9">
        <w:rPr>
          <w:rFonts w:ascii="Book Antiqua" w:hAnsi="Book Antiqua" w:hint="eastAsia"/>
          <w:bCs/>
          <w:color w:val="000000" w:themeColor="text1"/>
          <w:sz w:val="24"/>
          <w:szCs w:val="24"/>
        </w:rPr>
        <w:t>;</w:t>
      </w:r>
      <w:r w:rsidR="002F7DEB" w:rsidRPr="00D640A9">
        <w:rPr>
          <w:rFonts w:ascii="Book Antiqua" w:hAnsi="Book Antiqua"/>
          <w:bCs/>
          <w:color w:val="000000" w:themeColor="text1"/>
          <w:sz w:val="24"/>
          <w:szCs w:val="24"/>
        </w:rPr>
        <w:t xml:space="preserve"> B: </w:t>
      </w:r>
      <w:r w:rsidR="002F7DEB" w:rsidRPr="00D640A9">
        <w:rPr>
          <w:rFonts w:ascii="Book Antiqua" w:hAnsi="Book Antiqua"/>
          <w:bCs/>
          <w:iCs/>
          <w:color w:val="000000" w:themeColor="text1"/>
          <w:sz w:val="24"/>
          <w:szCs w:val="24"/>
        </w:rPr>
        <w:t>CCK8 assay was performed to determine cell viability after transfection at 0, 12, 24 and 72 h</w:t>
      </w:r>
      <w:r w:rsidR="005D0709" w:rsidRPr="00D640A9">
        <w:rPr>
          <w:rFonts w:ascii="Book Antiqua" w:hAnsi="Book Antiqua" w:hint="eastAsia"/>
          <w:bCs/>
          <w:iCs/>
          <w:color w:val="000000" w:themeColor="text1"/>
          <w:sz w:val="24"/>
          <w:szCs w:val="24"/>
        </w:rPr>
        <w:t>;</w:t>
      </w:r>
      <w:r w:rsidR="002F7DEB" w:rsidRPr="00D640A9">
        <w:rPr>
          <w:rFonts w:ascii="Book Antiqua" w:hAnsi="Book Antiqua"/>
          <w:bCs/>
          <w:iCs/>
          <w:color w:val="000000" w:themeColor="text1"/>
          <w:sz w:val="24"/>
          <w:szCs w:val="24"/>
        </w:rPr>
        <w:t xml:space="preserve"> C: Early apoptosis rate in the three groups is shown in the histogram</w:t>
      </w:r>
      <w:r w:rsidR="005D0709" w:rsidRPr="00D640A9">
        <w:rPr>
          <w:rFonts w:ascii="Book Antiqua" w:hAnsi="Book Antiqua" w:hint="eastAsia"/>
          <w:bCs/>
          <w:iCs/>
          <w:color w:val="000000" w:themeColor="text1"/>
          <w:sz w:val="24"/>
          <w:szCs w:val="24"/>
        </w:rPr>
        <w:t>;</w:t>
      </w:r>
      <w:r w:rsidR="002F7DEB" w:rsidRPr="00D640A9">
        <w:rPr>
          <w:rFonts w:ascii="Book Antiqua" w:hAnsi="Book Antiqua"/>
          <w:bCs/>
          <w:iCs/>
          <w:color w:val="000000" w:themeColor="text1"/>
          <w:sz w:val="24"/>
          <w:szCs w:val="24"/>
        </w:rPr>
        <w:t xml:space="preserve"> D: Flow cytometry was used to determine apoptosis after transfection for 48 h. </w:t>
      </w:r>
      <w:r w:rsidR="002F7DEB" w:rsidRPr="00D640A9">
        <w:rPr>
          <w:rFonts w:ascii="Book Antiqua" w:hAnsi="Book Antiqua"/>
          <w:bCs/>
          <w:color w:val="000000" w:themeColor="text1"/>
          <w:sz w:val="24"/>
          <w:szCs w:val="24"/>
        </w:rPr>
        <w:t xml:space="preserve">The data are reported as means ± SD. </w:t>
      </w:r>
      <w:proofErr w:type="spellStart"/>
      <w:r w:rsidRPr="00D640A9">
        <w:rPr>
          <w:rFonts w:ascii="Book Antiqua" w:hAnsi="Book Antiqua" w:hint="eastAsia"/>
          <w:bCs/>
          <w:color w:val="000000" w:themeColor="text1"/>
          <w:sz w:val="24"/>
          <w:szCs w:val="24"/>
          <w:vertAlign w:val="superscript"/>
        </w:rPr>
        <w:t>a</w:t>
      </w:r>
      <w:r w:rsidR="002F7DEB" w:rsidRPr="00D640A9">
        <w:rPr>
          <w:rFonts w:ascii="Book Antiqua" w:hAnsi="Book Antiqua"/>
          <w:bCs/>
          <w:i/>
          <w:color w:val="000000" w:themeColor="text1"/>
          <w:sz w:val="24"/>
          <w:szCs w:val="24"/>
        </w:rPr>
        <w:t>P</w:t>
      </w:r>
      <w:proofErr w:type="spellEnd"/>
      <w:r w:rsidR="002F7DEB" w:rsidRPr="00D640A9">
        <w:rPr>
          <w:rFonts w:ascii="Book Antiqua" w:hAnsi="Book Antiqua"/>
          <w:bCs/>
          <w:color w:val="000000" w:themeColor="text1"/>
          <w:sz w:val="24"/>
          <w:szCs w:val="24"/>
        </w:rPr>
        <w:t xml:space="preserve"> &lt; 0.05,</w:t>
      </w:r>
      <w:r w:rsidRPr="00D640A9">
        <w:rPr>
          <w:rFonts w:ascii="Book Antiqua" w:hAnsi="Book Antiqua" w:hint="eastAsia"/>
          <w:bCs/>
          <w:color w:val="000000" w:themeColor="text1"/>
          <w:sz w:val="24"/>
          <w:szCs w:val="24"/>
        </w:rPr>
        <w:t xml:space="preserve"> </w:t>
      </w:r>
      <w:proofErr w:type="spellStart"/>
      <w:r w:rsidRPr="00D640A9">
        <w:rPr>
          <w:rFonts w:ascii="Book Antiqua" w:hAnsi="Book Antiqua" w:hint="eastAsia"/>
          <w:bCs/>
          <w:color w:val="000000" w:themeColor="text1"/>
          <w:sz w:val="24"/>
          <w:szCs w:val="24"/>
          <w:vertAlign w:val="superscript"/>
        </w:rPr>
        <w:t>b</w:t>
      </w:r>
      <w:r w:rsidR="002F7DEB" w:rsidRPr="00D640A9">
        <w:rPr>
          <w:rFonts w:ascii="Book Antiqua" w:hAnsi="Book Antiqua"/>
          <w:bCs/>
          <w:i/>
          <w:color w:val="000000" w:themeColor="text1"/>
          <w:sz w:val="24"/>
          <w:szCs w:val="24"/>
        </w:rPr>
        <w:t>P</w:t>
      </w:r>
      <w:proofErr w:type="spellEnd"/>
      <w:r w:rsidR="002F7DEB" w:rsidRPr="00D640A9">
        <w:rPr>
          <w:rFonts w:ascii="Book Antiqua" w:hAnsi="Book Antiqua"/>
          <w:bCs/>
          <w:color w:val="000000" w:themeColor="text1"/>
          <w:sz w:val="24"/>
          <w:szCs w:val="24"/>
        </w:rPr>
        <w:t xml:space="preserve"> &lt; 0.01.</w:t>
      </w:r>
    </w:p>
    <w:p w:rsidR="00B96523" w:rsidRPr="00D640A9" w:rsidRDefault="00B96523" w:rsidP="00512DDF">
      <w:pPr>
        <w:spacing w:line="360" w:lineRule="auto"/>
        <w:ind w:firstLineChars="100" w:firstLine="240"/>
        <w:rPr>
          <w:rFonts w:ascii="Book Antiqua" w:hAnsi="Book Antiqua"/>
          <w:bCs/>
          <w:color w:val="000000" w:themeColor="text1"/>
          <w:sz w:val="24"/>
          <w:szCs w:val="24"/>
        </w:rPr>
      </w:pPr>
    </w:p>
    <w:p w:rsidR="00F12E57" w:rsidRPr="00D640A9" w:rsidRDefault="00B50239" w:rsidP="00D44140">
      <w:pPr>
        <w:spacing w:line="360" w:lineRule="auto"/>
        <w:rPr>
          <w:rFonts w:ascii="Book Antiqua" w:hAnsi="Book Antiqua"/>
          <w:b/>
          <w:bCs/>
          <w:color w:val="000000" w:themeColor="text1"/>
          <w:sz w:val="24"/>
          <w:szCs w:val="24"/>
        </w:rPr>
      </w:pPr>
      <w:r w:rsidRPr="00D640A9">
        <w:rPr>
          <w:rFonts w:ascii="Book Antiqua" w:hAnsi="Book Antiqua"/>
          <w:b/>
          <w:bCs/>
          <w:noProof/>
          <w:color w:val="000000" w:themeColor="text1"/>
          <w:sz w:val="24"/>
          <w:szCs w:val="24"/>
        </w:rPr>
        <w:lastRenderedPageBreak/>
        <mc:AlternateContent>
          <mc:Choice Requires="wps">
            <w:drawing>
              <wp:anchor distT="0" distB="0" distL="114300" distR="114300" simplePos="0" relativeHeight="251667456" behindDoc="0" locked="0" layoutInCell="1" allowOverlap="1" wp14:anchorId="3A239F43" wp14:editId="03A196D9">
                <wp:simplePos x="0" y="0"/>
                <wp:positionH relativeFrom="column">
                  <wp:posOffset>1803456</wp:posOffset>
                </wp:positionH>
                <wp:positionV relativeFrom="paragraph">
                  <wp:posOffset>732790</wp:posOffset>
                </wp:positionV>
                <wp:extent cx="292100" cy="314325"/>
                <wp:effectExtent l="0" t="0" r="0" b="9525"/>
                <wp:wrapNone/>
                <wp:docPr id="1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4325"/>
                        </a:xfrm>
                        <a:prstGeom prst="rect">
                          <a:avLst/>
                        </a:prstGeom>
                        <a:solidFill>
                          <a:srgbClr val="FFFFFF"/>
                        </a:solidFill>
                        <a:ln w="9525">
                          <a:noFill/>
                          <a:miter lim="800000"/>
                          <a:headEnd/>
                          <a:tailEnd/>
                        </a:ln>
                      </wps:spPr>
                      <wps:txbx>
                        <w:txbxContent>
                          <w:p w:rsidR="00B50239" w:rsidRDefault="00B50239" w:rsidP="00B50239">
                            <w:r>
                              <w:rPr>
                                <w:rFonts w:hint="eastAs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39F43" id="_x0000_s1029" type="#_x0000_t202" style="position:absolute;left:0;text-align:left;margin-left:142pt;margin-top:57.7pt;width:23pt;height:2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" stroked="f">
                <v:textbox>
                  <w:txbxContent>
                    <w:p w:rsidR="00B50239" w:rsidRDefault="00B50239" w:rsidP="00B50239">
                      <w:r>
                        <w:rPr>
                          <w:rFonts w:hint="eastAsia"/>
                        </w:rPr>
                        <w:t>a</w:t>
                      </w:r>
                    </w:p>
                  </w:txbxContent>
                </v:textbox>
              </v:shape>
            </w:pict>
          </mc:Fallback>
        </mc:AlternateContent>
      </w:r>
      <w:r w:rsidR="005874B0" w:rsidRPr="00D640A9">
        <w:rPr>
          <w:rFonts w:ascii="Book Antiqua" w:hAnsi="Book Antiqua"/>
          <w:b/>
          <w:bCs/>
          <w:noProof/>
          <w:color w:val="000000" w:themeColor="text1"/>
          <w:sz w:val="24"/>
          <w:szCs w:val="24"/>
        </w:rPr>
        <mc:AlternateContent>
          <mc:Choice Requires="wps">
            <w:drawing>
              <wp:anchor distT="0" distB="0" distL="114300" distR="114300" simplePos="0" relativeHeight="251665408" behindDoc="0" locked="0" layoutInCell="1" allowOverlap="1" wp14:anchorId="4959E6D0" wp14:editId="18F888FD">
                <wp:simplePos x="0" y="0"/>
                <wp:positionH relativeFrom="column">
                  <wp:posOffset>4073525</wp:posOffset>
                </wp:positionH>
                <wp:positionV relativeFrom="paragraph">
                  <wp:posOffset>318287</wp:posOffset>
                </wp:positionV>
                <wp:extent cx="292608" cy="314553"/>
                <wp:effectExtent l="0" t="0" r="0" b="9525"/>
                <wp:wrapNone/>
                <wp:docPr id="1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 cy="314553"/>
                        </a:xfrm>
                        <a:prstGeom prst="rect">
                          <a:avLst/>
                        </a:prstGeom>
                        <a:solidFill>
                          <a:srgbClr val="FFFFFF"/>
                        </a:solidFill>
                        <a:ln w="9525">
                          <a:noFill/>
                          <a:miter lim="800000"/>
                          <a:headEnd/>
                          <a:tailEnd/>
                        </a:ln>
                      </wps:spPr>
                      <wps:txbx>
                        <w:txbxContent>
                          <w:p w:rsidR="005874B0" w:rsidRDefault="005874B0" w:rsidP="005874B0">
                            <w:r>
                              <w:rPr>
                                <w:rFonts w:hint="eastAs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9E6D0" id="_x0000_s1030" type="#_x0000_t202" style="position:absolute;left:0;text-align:left;margin-left:320.75pt;margin-top:25.05pt;width:23.05pt;height:2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" stroked="f">
                <v:textbox>
                  <w:txbxContent>
                    <w:p w:rsidR="005874B0" w:rsidRDefault="005874B0" w:rsidP="005874B0">
                      <w:r>
                        <w:rPr>
                          <w:rFonts w:hint="eastAsia"/>
                        </w:rPr>
                        <w:t>a</w:t>
                      </w:r>
                    </w:p>
                  </w:txbxContent>
                </v:textbox>
              </v:shape>
            </w:pict>
          </mc:Fallback>
        </mc:AlternateContent>
      </w:r>
      <w:r w:rsidR="00FF6113" w:rsidRPr="00D640A9">
        <w:rPr>
          <w:rFonts w:ascii="Book Antiqua" w:hAnsi="Book Antiqua"/>
          <w:b/>
          <w:bCs/>
          <w:noProof/>
          <w:color w:val="000000" w:themeColor="text1"/>
          <w:sz w:val="24"/>
          <w:szCs w:val="24"/>
        </w:rPr>
        <w:drawing>
          <wp:inline distT="0" distB="0" distL="0" distR="0" wp14:anchorId="1270D4F2" wp14:editId="0DA6086E">
            <wp:extent cx="5135270" cy="8600006"/>
            <wp:effectExtent l="0" t="0" r="8255" b="0"/>
            <wp:docPr id="12" name="图片 12" descr="D:\WJG\15-兼任编辑部主任\编辑稿件\2019-06-12-WJCC-WJGO\48527\48527\48527-Image-File-revision_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JG\15-兼任编辑部主任\编辑稿件\2019-06-12-WJCC-WJGO\48527\48527\48527-Image-File-revision_130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7400" cy="8603573"/>
                    </a:xfrm>
                    <a:prstGeom prst="rect">
                      <a:avLst/>
                    </a:prstGeom>
                    <a:noFill/>
                    <a:ln>
                      <a:noFill/>
                    </a:ln>
                  </pic:spPr>
                </pic:pic>
              </a:graphicData>
            </a:graphic>
          </wp:inline>
        </w:drawing>
      </w:r>
      <w:r w:rsidR="005D0709" w:rsidRPr="00D640A9">
        <w:rPr>
          <w:rFonts w:ascii="Book Antiqua" w:hAnsi="Book Antiqua"/>
          <w:b/>
          <w:bCs/>
          <w:color w:val="000000" w:themeColor="text1"/>
          <w:sz w:val="24"/>
          <w:szCs w:val="24"/>
        </w:rPr>
        <w:t xml:space="preserve"> </w:t>
      </w:r>
    </w:p>
    <w:p w:rsidR="00FB3B9E" w:rsidRPr="00D640A9" w:rsidRDefault="002F7DEB" w:rsidP="00D44140">
      <w:pPr>
        <w:spacing w:line="360" w:lineRule="auto"/>
        <w:rPr>
          <w:rFonts w:ascii="Book Antiqua" w:hAnsi="Book Antiqua"/>
          <w:bCs/>
          <w:color w:val="000000" w:themeColor="text1"/>
          <w:sz w:val="24"/>
          <w:szCs w:val="24"/>
        </w:rPr>
      </w:pPr>
      <w:r w:rsidRPr="00D640A9">
        <w:rPr>
          <w:rFonts w:ascii="Book Antiqua" w:hAnsi="Book Antiqua"/>
          <w:b/>
          <w:bCs/>
          <w:color w:val="000000" w:themeColor="text1"/>
          <w:sz w:val="24"/>
          <w:szCs w:val="24"/>
        </w:rPr>
        <w:lastRenderedPageBreak/>
        <w:t xml:space="preserve">Figure 3 Overexpression of miR-320a suppressed </w:t>
      </w:r>
      <w:r w:rsidR="005D0709" w:rsidRPr="00D640A9">
        <w:rPr>
          <w:rFonts w:ascii="Book Antiqua" w:hAnsi="Book Antiqua"/>
          <w:b/>
          <w:bCs/>
          <w:color w:val="000000" w:themeColor="text1"/>
          <w:sz w:val="24"/>
          <w:szCs w:val="24"/>
        </w:rPr>
        <w:t xml:space="preserve">gastric cancer </w:t>
      </w:r>
      <w:r w:rsidRPr="00D640A9">
        <w:rPr>
          <w:rFonts w:ascii="Book Antiqua" w:hAnsi="Book Antiqua"/>
          <w:b/>
          <w:bCs/>
          <w:color w:val="000000" w:themeColor="text1"/>
          <w:sz w:val="24"/>
          <w:szCs w:val="24"/>
        </w:rPr>
        <w:t xml:space="preserve">cell migration and invasion. </w:t>
      </w:r>
      <w:r w:rsidRPr="00D640A9">
        <w:rPr>
          <w:rFonts w:ascii="Book Antiqua" w:hAnsi="Book Antiqua"/>
          <w:bCs/>
          <w:color w:val="000000" w:themeColor="text1"/>
          <w:sz w:val="24"/>
          <w:szCs w:val="24"/>
        </w:rPr>
        <w:t>A, B:</w:t>
      </w:r>
      <w:r w:rsidRPr="00D640A9">
        <w:rPr>
          <w:rFonts w:ascii="Book Antiqua" w:hAnsi="Book Antiqua"/>
          <w:bCs/>
          <w:iCs/>
          <w:color w:val="000000" w:themeColor="text1"/>
          <w:sz w:val="24"/>
          <w:szCs w:val="24"/>
        </w:rPr>
        <w:t xml:space="preserve"> Wound scratch assay was used to assess migration of MKN-45 cells. Wound healing percentage was measured at 0, 24 and 48 h after transfection with </w:t>
      </w:r>
      <w:r w:rsidRPr="00D640A9">
        <w:rPr>
          <w:rFonts w:ascii="Book Antiqua" w:hAnsi="Book Antiqua"/>
          <w:bCs/>
          <w:color w:val="000000" w:themeColor="text1"/>
          <w:sz w:val="24"/>
          <w:szCs w:val="24"/>
        </w:rPr>
        <w:t>miR-320a mimics (50 nmol/L), scramble mimics, miR-320a inhibitor (100 nmol/L), scramble inhibitor</w:t>
      </w:r>
      <w:r w:rsidR="005D0709" w:rsidRPr="00D640A9">
        <w:rPr>
          <w:rFonts w:ascii="Book Antiqua" w:hAnsi="Book Antiqua"/>
          <w:bCs/>
          <w:iCs/>
          <w:color w:val="000000" w:themeColor="text1"/>
          <w:sz w:val="24"/>
          <w:szCs w:val="24"/>
        </w:rPr>
        <w:t xml:space="preserve"> or no transfection</w:t>
      </w:r>
      <w:r w:rsidR="005D0709" w:rsidRPr="00D640A9">
        <w:rPr>
          <w:rFonts w:ascii="Book Antiqua" w:hAnsi="Book Antiqua" w:hint="eastAsia"/>
          <w:bCs/>
          <w:iCs/>
          <w:color w:val="000000" w:themeColor="text1"/>
          <w:sz w:val="24"/>
          <w:szCs w:val="24"/>
        </w:rPr>
        <w:t xml:space="preserve">; </w:t>
      </w:r>
      <w:r w:rsidRPr="00D640A9">
        <w:rPr>
          <w:rFonts w:ascii="Book Antiqua" w:hAnsi="Book Antiqua"/>
          <w:bCs/>
          <w:iCs/>
          <w:color w:val="000000" w:themeColor="text1"/>
          <w:sz w:val="24"/>
          <w:szCs w:val="24"/>
        </w:rPr>
        <w:t>C, D:</w:t>
      </w:r>
      <w:r w:rsidRPr="00D640A9">
        <w:rPr>
          <w:rFonts w:ascii="Book Antiqua" w:hAnsi="Book Antiqua"/>
          <w:b/>
          <w:bCs/>
          <w:iCs/>
          <w:color w:val="000000" w:themeColor="text1"/>
          <w:sz w:val="24"/>
          <w:szCs w:val="24"/>
        </w:rPr>
        <w:t xml:space="preserve"> </w:t>
      </w:r>
      <w:proofErr w:type="spellStart"/>
      <w:r w:rsidRPr="00D640A9">
        <w:rPr>
          <w:rFonts w:ascii="Book Antiqua" w:hAnsi="Book Antiqua"/>
          <w:bCs/>
          <w:iCs/>
          <w:color w:val="000000" w:themeColor="text1"/>
          <w:sz w:val="24"/>
          <w:szCs w:val="24"/>
        </w:rPr>
        <w:t>Transwell</w:t>
      </w:r>
      <w:proofErr w:type="spellEnd"/>
      <w:r w:rsidRPr="00D640A9">
        <w:rPr>
          <w:rFonts w:ascii="Book Antiqua" w:hAnsi="Book Antiqua"/>
          <w:bCs/>
          <w:iCs/>
          <w:color w:val="000000" w:themeColor="text1"/>
          <w:sz w:val="24"/>
          <w:szCs w:val="24"/>
        </w:rPr>
        <w:t xml:space="preserve"> invasion assay was carried out to determine </w:t>
      </w:r>
      <w:r w:rsidR="005D0709" w:rsidRPr="00D640A9">
        <w:rPr>
          <w:rFonts w:ascii="Book Antiqua" w:hAnsi="Book Antiqua"/>
          <w:bCs/>
          <w:color w:val="000000" w:themeColor="text1"/>
          <w:sz w:val="24"/>
          <w:szCs w:val="24"/>
        </w:rPr>
        <w:t>gastric cancer</w:t>
      </w:r>
      <w:r w:rsidR="005D0709" w:rsidRPr="00D640A9">
        <w:rPr>
          <w:rFonts w:ascii="Book Antiqua" w:hAnsi="Book Antiqua"/>
          <w:bCs/>
          <w:iCs/>
          <w:color w:val="000000" w:themeColor="text1"/>
          <w:sz w:val="24"/>
          <w:szCs w:val="24"/>
        </w:rPr>
        <w:t xml:space="preserve"> </w:t>
      </w:r>
      <w:r w:rsidRPr="00D640A9">
        <w:rPr>
          <w:rFonts w:ascii="Book Antiqua" w:hAnsi="Book Antiqua"/>
          <w:bCs/>
          <w:iCs/>
          <w:color w:val="000000" w:themeColor="text1"/>
          <w:sz w:val="24"/>
          <w:szCs w:val="24"/>
        </w:rPr>
        <w:t xml:space="preserve">cell invasion after transfection with </w:t>
      </w:r>
      <w:r w:rsidRPr="00D640A9">
        <w:rPr>
          <w:rFonts w:ascii="Book Antiqua" w:hAnsi="Book Antiqua"/>
          <w:bCs/>
          <w:color w:val="000000" w:themeColor="text1"/>
          <w:sz w:val="24"/>
          <w:szCs w:val="24"/>
        </w:rPr>
        <w:t xml:space="preserve">miR-320a </w:t>
      </w:r>
      <w:r w:rsidRPr="00D640A9">
        <w:rPr>
          <w:rFonts w:ascii="Book Antiqua" w:hAnsi="Book Antiqua"/>
          <w:bCs/>
          <w:iCs/>
          <w:color w:val="000000" w:themeColor="text1"/>
          <w:sz w:val="24"/>
          <w:szCs w:val="24"/>
        </w:rPr>
        <w:t>mimics/inhibitor, scramble mimics/inhibitor or no transfection for 48 h. Cell invasion was assessed at 24 h.</w:t>
      </w:r>
      <w:r w:rsidRPr="00D640A9">
        <w:rPr>
          <w:rFonts w:ascii="Book Antiqua" w:hAnsi="Book Antiqua"/>
          <w:bCs/>
          <w:color w:val="000000" w:themeColor="text1"/>
          <w:sz w:val="24"/>
          <w:szCs w:val="24"/>
          <w:vertAlign w:val="superscript"/>
        </w:rPr>
        <w:t xml:space="preserve"> </w:t>
      </w:r>
      <w:proofErr w:type="spellStart"/>
      <w:r w:rsidR="00F12E57" w:rsidRPr="00D640A9">
        <w:rPr>
          <w:rFonts w:ascii="Book Antiqua" w:hAnsi="Book Antiqua" w:hint="eastAsia"/>
          <w:bCs/>
          <w:color w:val="000000" w:themeColor="text1"/>
          <w:sz w:val="24"/>
          <w:szCs w:val="24"/>
          <w:vertAlign w:val="superscript"/>
        </w:rPr>
        <w:t>a</w:t>
      </w:r>
      <w:r w:rsidRPr="00D640A9">
        <w:rPr>
          <w:rFonts w:ascii="Book Antiqua" w:hAnsi="Book Antiqua"/>
          <w:bCs/>
          <w:i/>
          <w:color w:val="000000" w:themeColor="text1"/>
          <w:sz w:val="24"/>
          <w:szCs w:val="24"/>
        </w:rPr>
        <w:t>P</w:t>
      </w:r>
      <w:proofErr w:type="spellEnd"/>
      <w:r w:rsidRPr="00D640A9">
        <w:rPr>
          <w:rFonts w:ascii="Book Antiqua" w:hAnsi="Book Antiqua"/>
          <w:bCs/>
          <w:color w:val="000000" w:themeColor="text1"/>
          <w:sz w:val="24"/>
          <w:szCs w:val="24"/>
        </w:rPr>
        <w:t xml:space="preserve"> &lt; 0.05, </w:t>
      </w:r>
      <w:proofErr w:type="spellStart"/>
      <w:r w:rsidR="00F12E57" w:rsidRPr="00D640A9">
        <w:rPr>
          <w:rFonts w:ascii="Book Antiqua" w:hAnsi="Book Antiqua" w:hint="eastAsia"/>
          <w:bCs/>
          <w:color w:val="000000" w:themeColor="text1"/>
          <w:sz w:val="24"/>
          <w:szCs w:val="24"/>
          <w:vertAlign w:val="superscript"/>
        </w:rPr>
        <w:t>b</w:t>
      </w:r>
      <w:r w:rsidRPr="00D640A9">
        <w:rPr>
          <w:rFonts w:ascii="Book Antiqua" w:hAnsi="Book Antiqua"/>
          <w:bCs/>
          <w:i/>
          <w:color w:val="000000" w:themeColor="text1"/>
          <w:sz w:val="24"/>
          <w:szCs w:val="24"/>
        </w:rPr>
        <w:t>P</w:t>
      </w:r>
      <w:proofErr w:type="spellEnd"/>
      <w:r w:rsidRPr="00D640A9">
        <w:rPr>
          <w:rFonts w:ascii="Book Antiqua" w:hAnsi="Book Antiqua"/>
          <w:bCs/>
          <w:color w:val="000000" w:themeColor="text1"/>
          <w:sz w:val="24"/>
          <w:szCs w:val="24"/>
        </w:rPr>
        <w:t xml:space="preserve"> &lt; 0.01.</w:t>
      </w:r>
    </w:p>
    <w:p w:rsidR="00FB3B9E" w:rsidRPr="00D640A9" w:rsidRDefault="00FB3B9E">
      <w:pPr>
        <w:widowControl/>
        <w:jc w:val="left"/>
        <w:rPr>
          <w:rFonts w:ascii="Book Antiqua" w:hAnsi="Book Antiqua"/>
          <w:bCs/>
          <w:color w:val="000000" w:themeColor="text1"/>
          <w:sz w:val="24"/>
          <w:szCs w:val="24"/>
        </w:rPr>
      </w:pPr>
      <w:r w:rsidRPr="00D640A9">
        <w:rPr>
          <w:rFonts w:ascii="Book Antiqua" w:hAnsi="Book Antiqua"/>
          <w:bCs/>
          <w:color w:val="000000" w:themeColor="text1"/>
          <w:sz w:val="24"/>
          <w:szCs w:val="24"/>
        </w:rPr>
        <w:br w:type="page"/>
      </w:r>
    </w:p>
    <w:p w:rsidR="00B96523" w:rsidRPr="00D640A9" w:rsidRDefault="00B96523" w:rsidP="00D44140">
      <w:pPr>
        <w:spacing w:line="360" w:lineRule="auto"/>
        <w:rPr>
          <w:rFonts w:ascii="Book Antiqua" w:hAnsi="Book Antiqua"/>
          <w:bCs/>
          <w:color w:val="000000" w:themeColor="text1"/>
          <w:sz w:val="24"/>
          <w:szCs w:val="24"/>
        </w:rPr>
      </w:pPr>
    </w:p>
    <w:p w:rsidR="00B96523" w:rsidRPr="00D640A9" w:rsidRDefault="00950579" w:rsidP="00D44140">
      <w:pPr>
        <w:spacing w:line="360" w:lineRule="auto"/>
        <w:rPr>
          <w:rFonts w:ascii="Book Antiqua" w:hAnsi="Book Antiqua"/>
          <w:bCs/>
          <w:color w:val="000000" w:themeColor="text1"/>
          <w:sz w:val="24"/>
          <w:szCs w:val="24"/>
        </w:rPr>
      </w:pPr>
      <w:r w:rsidRPr="00D640A9">
        <w:rPr>
          <w:rFonts w:ascii="Book Antiqua" w:hAnsi="Book Antiqua"/>
          <w:bCs/>
          <w:noProof/>
          <w:color w:val="000000" w:themeColor="text1"/>
          <w:sz w:val="24"/>
          <w:szCs w:val="24"/>
        </w:rPr>
        <w:drawing>
          <wp:inline distT="0" distB="0" distL="0" distR="0" wp14:anchorId="1F144E08" wp14:editId="69025688">
            <wp:extent cx="4844955" cy="5570692"/>
            <wp:effectExtent l="0" t="0" r="0" b="0"/>
            <wp:docPr id="4" name="图片 4" descr="D:\WJG\15-兼任编辑部主任\编辑稿件\2019-06-12-WJCC-WJGO\48527\48527\48527-Image-File-revision_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JG\15-兼任编辑部主任\编辑稿件\2019-06-12-WJCC-WJGO\48527\48527\48527-Image-File-revision_132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45035" cy="5570784"/>
                    </a:xfrm>
                    <a:prstGeom prst="rect">
                      <a:avLst/>
                    </a:prstGeom>
                    <a:noFill/>
                    <a:ln>
                      <a:noFill/>
                    </a:ln>
                  </pic:spPr>
                </pic:pic>
              </a:graphicData>
            </a:graphic>
          </wp:inline>
        </w:drawing>
      </w:r>
    </w:p>
    <w:p w:rsidR="00B96523" w:rsidRPr="00D640A9" w:rsidRDefault="005D0709" w:rsidP="00D44140">
      <w:pPr>
        <w:spacing w:line="360" w:lineRule="auto"/>
        <w:rPr>
          <w:rFonts w:ascii="Book Antiqua" w:hAnsi="Book Antiqua"/>
          <w:bCs/>
          <w:iCs/>
          <w:color w:val="000000" w:themeColor="text1"/>
          <w:sz w:val="24"/>
          <w:szCs w:val="24"/>
        </w:rPr>
      </w:pPr>
      <w:r w:rsidRPr="00D640A9">
        <w:rPr>
          <w:rFonts w:ascii="Book Antiqua" w:hAnsi="Book Antiqua"/>
          <w:b/>
          <w:bCs/>
          <w:color w:val="000000" w:themeColor="text1"/>
          <w:sz w:val="24"/>
          <w:szCs w:val="24"/>
        </w:rPr>
        <w:t>Figure 4</w:t>
      </w:r>
      <w:r w:rsidR="002F7DEB" w:rsidRPr="00D640A9">
        <w:rPr>
          <w:rFonts w:ascii="Book Antiqua" w:hAnsi="Book Antiqua"/>
          <w:b/>
          <w:bCs/>
          <w:color w:val="000000" w:themeColor="text1"/>
          <w:sz w:val="24"/>
          <w:szCs w:val="24"/>
        </w:rPr>
        <w:t xml:space="preserve"> Expression of miR-320a and methylation status of its promoter CpG islands in </w:t>
      </w:r>
      <w:r w:rsidRPr="00D640A9">
        <w:rPr>
          <w:rFonts w:ascii="Book Antiqua" w:hAnsi="Book Antiqua"/>
          <w:b/>
          <w:bCs/>
          <w:color w:val="000000" w:themeColor="text1"/>
          <w:sz w:val="24"/>
          <w:szCs w:val="24"/>
        </w:rPr>
        <w:t xml:space="preserve">gastric cancer </w:t>
      </w:r>
      <w:r w:rsidR="002F7DEB" w:rsidRPr="00D640A9">
        <w:rPr>
          <w:rFonts w:ascii="Book Antiqua" w:hAnsi="Book Antiqua"/>
          <w:b/>
          <w:bCs/>
          <w:color w:val="000000" w:themeColor="text1"/>
          <w:sz w:val="24"/>
          <w:szCs w:val="24"/>
        </w:rPr>
        <w:t xml:space="preserve">cell lines and tissue samples. </w:t>
      </w:r>
      <w:r w:rsidR="002F7DEB" w:rsidRPr="00D640A9">
        <w:rPr>
          <w:rFonts w:ascii="Book Antiqua" w:hAnsi="Book Antiqua"/>
          <w:bCs/>
          <w:color w:val="000000" w:themeColor="text1"/>
          <w:sz w:val="24"/>
          <w:szCs w:val="24"/>
        </w:rPr>
        <w:t>A:</w:t>
      </w:r>
      <w:r w:rsidR="002F7DEB" w:rsidRPr="00D640A9">
        <w:rPr>
          <w:rFonts w:ascii="Book Antiqua" w:hAnsi="Book Antiqua"/>
          <w:b/>
          <w:bCs/>
          <w:color w:val="000000" w:themeColor="text1"/>
          <w:sz w:val="24"/>
          <w:szCs w:val="24"/>
        </w:rPr>
        <w:t xml:space="preserve"> </w:t>
      </w:r>
      <w:r w:rsidR="002F7DEB" w:rsidRPr="00D640A9">
        <w:rPr>
          <w:rFonts w:ascii="Book Antiqua" w:hAnsi="Book Antiqua"/>
          <w:bCs/>
          <w:color w:val="000000" w:themeColor="text1"/>
          <w:sz w:val="24"/>
          <w:szCs w:val="24"/>
        </w:rPr>
        <w:t xml:space="preserve">Schematic of the location of miR-320a promoter CpG islands obtained from the </w:t>
      </w:r>
      <w:r w:rsidR="002F7DEB" w:rsidRPr="00D640A9">
        <w:rPr>
          <w:rFonts w:ascii="Book Antiqua" w:hAnsi="Book Antiqua"/>
          <w:bCs/>
          <w:iCs/>
          <w:color w:val="000000" w:themeColor="text1"/>
          <w:sz w:val="24"/>
          <w:szCs w:val="24"/>
        </w:rPr>
        <w:t xml:space="preserve">human genome database and </w:t>
      </w:r>
      <w:proofErr w:type="spellStart"/>
      <w:r w:rsidR="002F7DEB" w:rsidRPr="00D640A9">
        <w:rPr>
          <w:rFonts w:ascii="Book Antiqua" w:hAnsi="Book Antiqua"/>
          <w:bCs/>
          <w:iCs/>
          <w:color w:val="000000" w:themeColor="text1"/>
          <w:sz w:val="24"/>
          <w:szCs w:val="24"/>
        </w:rPr>
        <w:t>MethPrimer</w:t>
      </w:r>
      <w:proofErr w:type="spellEnd"/>
      <w:r w:rsidR="002F7DEB" w:rsidRPr="00D640A9">
        <w:rPr>
          <w:rFonts w:ascii="Book Antiqua" w:hAnsi="Book Antiqua"/>
          <w:bCs/>
          <w:iCs/>
          <w:color w:val="000000" w:themeColor="text1"/>
          <w:sz w:val="24"/>
          <w:szCs w:val="24"/>
        </w:rPr>
        <w:t xml:space="preserve"> 2.0 (online)</w:t>
      </w:r>
      <w:r w:rsidR="00950579" w:rsidRPr="00D640A9">
        <w:rPr>
          <w:rFonts w:ascii="Book Antiqua" w:hAnsi="Book Antiqua" w:hint="eastAsia"/>
          <w:bCs/>
          <w:iCs/>
          <w:color w:val="000000" w:themeColor="text1"/>
          <w:sz w:val="24"/>
          <w:szCs w:val="24"/>
        </w:rPr>
        <w:t>;</w:t>
      </w:r>
      <w:r w:rsidR="002F7DEB" w:rsidRPr="00D640A9">
        <w:rPr>
          <w:rFonts w:ascii="Book Antiqua" w:hAnsi="Book Antiqua"/>
          <w:bCs/>
          <w:iCs/>
          <w:color w:val="000000" w:themeColor="text1"/>
          <w:sz w:val="24"/>
          <w:szCs w:val="24"/>
        </w:rPr>
        <w:t xml:space="preserve"> B: Methylation level of miR-</w:t>
      </w:r>
      <w:r w:rsidR="002F7DEB" w:rsidRPr="00D640A9">
        <w:rPr>
          <w:rFonts w:ascii="Book Antiqua" w:hAnsi="Book Antiqua"/>
          <w:bCs/>
          <w:color w:val="000000" w:themeColor="text1"/>
          <w:sz w:val="24"/>
          <w:szCs w:val="24"/>
        </w:rPr>
        <w:t>320a</w:t>
      </w:r>
      <w:r w:rsidR="002F7DEB" w:rsidRPr="00D640A9">
        <w:rPr>
          <w:rFonts w:ascii="Book Antiqua" w:hAnsi="Book Antiqua"/>
          <w:bCs/>
          <w:iCs/>
          <w:color w:val="000000" w:themeColor="text1"/>
          <w:sz w:val="24"/>
          <w:szCs w:val="24"/>
        </w:rPr>
        <w:t xml:space="preserve"> in GES-1 and four </w:t>
      </w:r>
      <w:r w:rsidR="0094250D" w:rsidRPr="00D640A9">
        <w:rPr>
          <w:rFonts w:ascii="Book Antiqua" w:hAnsi="Book Antiqua"/>
          <w:bCs/>
          <w:iCs/>
          <w:color w:val="000000" w:themeColor="text1"/>
          <w:sz w:val="24"/>
          <w:szCs w:val="24"/>
        </w:rPr>
        <w:t xml:space="preserve">gastric cancer </w:t>
      </w:r>
      <w:r w:rsidR="0094250D" w:rsidRPr="00D640A9">
        <w:rPr>
          <w:rFonts w:ascii="Book Antiqua" w:hAnsi="Book Antiqua" w:hint="eastAsia"/>
          <w:bCs/>
          <w:iCs/>
          <w:color w:val="000000" w:themeColor="text1"/>
          <w:sz w:val="24"/>
          <w:szCs w:val="24"/>
        </w:rPr>
        <w:t>(</w:t>
      </w:r>
      <w:r w:rsidR="002F7DEB" w:rsidRPr="00D640A9">
        <w:rPr>
          <w:rFonts w:ascii="Book Antiqua" w:hAnsi="Book Antiqua"/>
          <w:bCs/>
          <w:iCs/>
          <w:color w:val="000000" w:themeColor="text1"/>
          <w:sz w:val="24"/>
          <w:szCs w:val="24"/>
        </w:rPr>
        <w:t>GC</w:t>
      </w:r>
      <w:r w:rsidR="0094250D" w:rsidRPr="00D640A9">
        <w:rPr>
          <w:rFonts w:ascii="Book Antiqua" w:hAnsi="Book Antiqua" w:hint="eastAsia"/>
          <w:bCs/>
          <w:iCs/>
          <w:color w:val="000000" w:themeColor="text1"/>
          <w:sz w:val="24"/>
          <w:szCs w:val="24"/>
        </w:rPr>
        <w:t>)</w:t>
      </w:r>
      <w:r w:rsidR="002F7DEB" w:rsidRPr="00D640A9">
        <w:rPr>
          <w:rFonts w:ascii="Book Antiqua" w:hAnsi="Book Antiqua"/>
          <w:bCs/>
          <w:iCs/>
          <w:color w:val="000000" w:themeColor="text1"/>
          <w:sz w:val="24"/>
          <w:szCs w:val="24"/>
        </w:rPr>
        <w:t xml:space="preserve"> cell lines</w:t>
      </w:r>
      <w:r w:rsidR="00950579" w:rsidRPr="00D640A9">
        <w:rPr>
          <w:rFonts w:ascii="Book Antiqua" w:hAnsi="Book Antiqua" w:hint="eastAsia"/>
          <w:bCs/>
          <w:iCs/>
          <w:color w:val="000000" w:themeColor="text1"/>
          <w:sz w:val="24"/>
          <w:szCs w:val="24"/>
        </w:rPr>
        <w:t>;</w:t>
      </w:r>
      <w:r w:rsidR="002F7DEB" w:rsidRPr="00D640A9">
        <w:rPr>
          <w:rFonts w:ascii="Book Antiqua" w:hAnsi="Book Antiqua"/>
          <w:bCs/>
          <w:iCs/>
          <w:color w:val="000000" w:themeColor="text1"/>
          <w:sz w:val="24"/>
          <w:szCs w:val="24"/>
        </w:rPr>
        <w:t xml:space="preserve"> C:</w:t>
      </w:r>
      <w:r w:rsidR="002F7DEB" w:rsidRPr="00D640A9">
        <w:rPr>
          <w:rFonts w:ascii="Book Antiqua" w:hAnsi="Book Antiqua"/>
          <w:b/>
          <w:bCs/>
          <w:iCs/>
          <w:color w:val="000000" w:themeColor="text1"/>
          <w:sz w:val="24"/>
          <w:szCs w:val="24"/>
        </w:rPr>
        <w:t xml:space="preserve"> </w:t>
      </w:r>
      <w:r w:rsidR="002F7DEB" w:rsidRPr="00D640A9">
        <w:rPr>
          <w:rFonts w:ascii="Book Antiqua" w:hAnsi="Book Antiqua"/>
          <w:bCs/>
          <w:iCs/>
          <w:color w:val="000000" w:themeColor="text1"/>
          <w:sz w:val="24"/>
          <w:szCs w:val="24"/>
        </w:rPr>
        <w:t>miR-</w:t>
      </w:r>
      <w:r w:rsidR="002F7DEB" w:rsidRPr="00D640A9">
        <w:rPr>
          <w:rFonts w:ascii="Book Antiqua" w:hAnsi="Book Antiqua"/>
          <w:bCs/>
          <w:color w:val="000000" w:themeColor="text1"/>
          <w:sz w:val="24"/>
          <w:szCs w:val="24"/>
        </w:rPr>
        <w:t>320a</w:t>
      </w:r>
      <w:r w:rsidR="002F7DEB" w:rsidRPr="00D640A9">
        <w:rPr>
          <w:rFonts w:ascii="Book Antiqua" w:hAnsi="Book Antiqua"/>
          <w:bCs/>
          <w:iCs/>
          <w:color w:val="000000" w:themeColor="text1"/>
          <w:sz w:val="24"/>
          <w:szCs w:val="24"/>
        </w:rPr>
        <w:t xml:space="preserve"> expression and its promoter CpG island methylation level after 5-Aza-CdR and/or TSA treatment of MKN-45 cells</w:t>
      </w:r>
      <w:r w:rsidR="00950579" w:rsidRPr="00D640A9">
        <w:rPr>
          <w:rFonts w:ascii="Book Antiqua" w:hAnsi="Book Antiqua" w:hint="eastAsia"/>
          <w:bCs/>
          <w:iCs/>
          <w:color w:val="000000" w:themeColor="text1"/>
          <w:sz w:val="24"/>
          <w:szCs w:val="24"/>
        </w:rPr>
        <w:t>;</w:t>
      </w:r>
      <w:r w:rsidR="002F7DEB" w:rsidRPr="00D640A9">
        <w:rPr>
          <w:rFonts w:ascii="Book Antiqua" w:hAnsi="Book Antiqua"/>
          <w:bCs/>
          <w:iCs/>
          <w:color w:val="000000" w:themeColor="text1"/>
          <w:sz w:val="24"/>
          <w:szCs w:val="24"/>
        </w:rPr>
        <w:t xml:space="preserve"> D: Representative MSP results of miR-</w:t>
      </w:r>
      <w:r w:rsidR="002F7DEB" w:rsidRPr="00D640A9">
        <w:rPr>
          <w:rFonts w:ascii="Book Antiqua" w:hAnsi="Book Antiqua"/>
          <w:bCs/>
          <w:color w:val="000000" w:themeColor="text1"/>
          <w:sz w:val="24"/>
          <w:szCs w:val="24"/>
        </w:rPr>
        <w:t>320a</w:t>
      </w:r>
      <w:r w:rsidR="002F7DEB" w:rsidRPr="00D640A9">
        <w:rPr>
          <w:rFonts w:ascii="Book Antiqua" w:hAnsi="Book Antiqua"/>
          <w:bCs/>
          <w:iCs/>
          <w:color w:val="000000" w:themeColor="text1"/>
          <w:sz w:val="24"/>
          <w:szCs w:val="24"/>
        </w:rPr>
        <w:t xml:space="preserve"> promoter CPG islands in GC samples (cancer tissues and matched adjacent normal tissues). Cases with hypermethylation are marked. M: </w:t>
      </w:r>
      <w:r w:rsidR="00950579" w:rsidRPr="00D640A9">
        <w:rPr>
          <w:rFonts w:ascii="Book Antiqua" w:hAnsi="Book Antiqua"/>
          <w:bCs/>
          <w:iCs/>
          <w:color w:val="000000" w:themeColor="text1"/>
          <w:sz w:val="24"/>
          <w:szCs w:val="24"/>
        </w:rPr>
        <w:t>Methylated</w:t>
      </w:r>
      <w:r w:rsidR="002F7DEB" w:rsidRPr="00D640A9">
        <w:rPr>
          <w:rFonts w:ascii="Book Antiqua" w:hAnsi="Book Antiqua"/>
          <w:bCs/>
          <w:iCs/>
          <w:color w:val="000000" w:themeColor="text1"/>
          <w:sz w:val="24"/>
          <w:szCs w:val="24"/>
        </w:rPr>
        <w:t xml:space="preserve">; U: unmethylated; C: </w:t>
      </w:r>
      <w:r w:rsidR="00950579" w:rsidRPr="00D640A9">
        <w:rPr>
          <w:rFonts w:ascii="Book Antiqua" w:hAnsi="Book Antiqua"/>
          <w:bCs/>
          <w:iCs/>
          <w:color w:val="000000" w:themeColor="text1"/>
          <w:sz w:val="24"/>
          <w:szCs w:val="24"/>
        </w:rPr>
        <w:t xml:space="preserve">Cancer </w:t>
      </w:r>
      <w:r w:rsidR="002F7DEB" w:rsidRPr="00D640A9">
        <w:rPr>
          <w:rFonts w:ascii="Book Antiqua" w:hAnsi="Book Antiqua"/>
          <w:bCs/>
          <w:iCs/>
          <w:color w:val="000000" w:themeColor="text1"/>
          <w:sz w:val="24"/>
          <w:szCs w:val="24"/>
        </w:rPr>
        <w:t xml:space="preserve">tissues; N: </w:t>
      </w:r>
      <w:r w:rsidR="00950579" w:rsidRPr="00D640A9">
        <w:rPr>
          <w:rFonts w:ascii="Book Antiqua" w:hAnsi="Book Antiqua"/>
          <w:bCs/>
          <w:iCs/>
          <w:color w:val="000000" w:themeColor="text1"/>
          <w:sz w:val="24"/>
          <w:szCs w:val="24"/>
        </w:rPr>
        <w:t xml:space="preserve">Normal </w:t>
      </w:r>
      <w:r w:rsidR="002F7DEB" w:rsidRPr="00D640A9">
        <w:rPr>
          <w:rFonts w:ascii="Book Antiqua" w:hAnsi="Book Antiqua"/>
          <w:bCs/>
          <w:iCs/>
          <w:color w:val="000000" w:themeColor="text1"/>
          <w:sz w:val="24"/>
          <w:szCs w:val="24"/>
        </w:rPr>
        <w:t>tissues; *</w:t>
      </w:r>
      <w:r w:rsidR="00F11F9A" w:rsidRPr="00D640A9">
        <w:rPr>
          <w:rFonts w:ascii="Book Antiqua" w:hAnsi="Book Antiqua" w:hint="eastAsia"/>
          <w:bCs/>
          <w:iCs/>
          <w:color w:val="000000" w:themeColor="text1"/>
          <w:sz w:val="24"/>
          <w:szCs w:val="24"/>
        </w:rPr>
        <w:t xml:space="preserve">: </w:t>
      </w:r>
      <w:r w:rsidR="00F11F9A" w:rsidRPr="00D640A9">
        <w:rPr>
          <w:rFonts w:ascii="Book Antiqua" w:hAnsi="Book Antiqua"/>
          <w:bCs/>
          <w:iCs/>
          <w:color w:val="000000" w:themeColor="text1"/>
          <w:sz w:val="24"/>
          <w:szCs w:val="24"/>
        </w:rPr>
        <w:lastRenderedPageBreak/>
        <w:t>Hypermethylation</w:t>
      </w:r>
      <w:r w:rsidR="002F7DEB" w:rsidRPr="00D640A9">
        <w:rPr>
          <w:rFonts w:ascii="Book Antiqua" w:hAnsi="Book Antiqua"/>
          <w:bCs/>
          <w:iCs/>
          <w:color w:val="000000" w:themeColor="text1"/>
          <w:sz w:val="24"/>
          <w:szCs w:val="24"/>
        </w:rPr>
        <w:t>.</w:t>
      </w:r>
    </w:p>
    <w:p w:rsidR="00F73A24" w:rsidRPr="00D640A9" w:rsidRDefault="00F73A24">
      <w:pPr>
        <w:widowControl/>
        <w:jc w:val="left"/>
        <w:rPr>
          <w:rFonts w:ascii="Book Antiqua" w:hAnsi="Book Antiqua"/>
          <w:bCs/>
          <w:iCs/>
          <w:color w:val="000000" w:themeColor="text1"/>
          <w:sz w:val="24"/>
          <w:szCs w:val="24"/>
        </w:rPr>
      </w:pPr>
      <w:r w:rsidRPr="00D640A9">
        <w:rPr>
          <w:rFonts w:ascii="Book Antiqua" w:hAnsi="Book Antiqua"/>
          <w:bCs/>
          <w:iCs/>
          <w:color w:val="000000" w:themeColor="text1"/>
          <w:sz w:val="24"/>
          <w:szCs w:val="24"/>
        </w:rPr>
        <w:br w:type="page"/>
      </w:r>
    </w:p>
    <w:p w:rsidR="00B96523" w:rsidRPr="00D640A9" w:rsidRDefault="00B96523" w:rsidP="00D44140">
      <w:pPr>
        <w:spacing w:line="360" w:lineRule="auto"/>
        <w:ind w:firstLineChars="100" w:firstLine="240"/>
        <w:rPr>
          <w:rFonts w:ascii="Book Antiqua" w:hAnsi="Book Antiqua"/>
          <w:bCs/>
          <w:iCs/>
          <w:color w:val="000000" w:themeColor="text1"/>
          <w:sz w:val="24"/>
          <w:szCs w:val="24"/>
        </w:rPr>
      </w:pPr>
    </w:p>
    <w:p w:rsidR="00C8725B" w:rsidRPr="00D640A9" w:rsidRDefault="00F73A24" w:rsidP="00D44140">
      <w:pPr>
        <w:spacing w:line="360" w:lineRule="auto"/>
        <w:rPr>
          <w:rFonts w:ascii="Book Antiqua" w:hAnsi="Book Antiqua"/>
          <w:b/>
          <w:bCs/>
          <w:iCs/>
          <w:color w:val="000000" w:themeColor="text1"/>
          <w:sz w:val="24"/>
          <w:szCs w:val="24"/>
        </w:rPr>
      </w:pPr>
      <w:r w:rsidRPr="00D640A9">
        <w:rPr>
          <w:rFonts w:ascii="Book Antiqua" w:hAnsi="Book Antiqua"/>
          <w:b/>
          <w:bCs/>
          <w:iCs/>
          <w:noProof/>
          <w:color w:val="000000" w:themeColor="text1"/>
          <w:sz w:val="24"/>
          <w:szCs w:val="24"/>
        </w:rPr>
        <w:drawing>
          <wp:inline distT="0" distB="0" distL="0" distR="0" wp14:anchorId="104E286E" wp14:editId="2171AC20">
            <wp:extent cx="5320374" cy="7769757"/>
            <wp:effectExtent l="0" t="0" r="0" b="3175"/>
            <wp:docPr id="3" name="图片 3" descr="D:\WJG\15-兼任编辑部主任\编辑稿件\2019-06-12-WJCC-WJGO\48527\48527\48527-Image-File-revision_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JG\15-兼任编辑部主任\编辑稿件\2019-06-12-WJCC-WJGO\48527\48527\48527-Image-File-revision_133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21429" cy="7771297"/>
                    </a:xfrm>
                    <a:prstGeom prst="rect">
                      <a:avLst/>
                    </a:prstGeom>
                    <a:noFill/>
                    <a:ln>
                      <a:noFill/>
                    </a:ln>
                  </pic:spPr>
                </pic:pic>
              </a:graphicData>
            </a:graphic>
          </wp:inline>
        </w:drawing>
      </w:r>
      <w:r w:rsidR="00C8725B" w:rsidRPr="00D640A9">
        <w:rPr>
          <w:rFonts w:ascii="Book Antiqua" w:hAnsi="Book Antiqua"/>
          <w:b/>
          <w:bCs/>
          <w:iCs/>
          <w:color w:val="000000" w:themeColor="text1"/>
          <w:sz w:val="24"/>
          <w:szCs w:val="24"/>
        </w:rPr>
        <w:t xml:space="preserve"> </w:t>
      </w:r>
    </w:p>
    <w:p w:rsidR="00B96523" w:rsidRPr="00D640A9" w:rsidRDefault="002F7DEB" w:rsidP="00D44140">
      <w:pPr>
        <w:spacing w:line="360" w:lineRule="auto"/>
        <w:rPr>
          <w:rFonts w:ascii="Book Antiqua" w:hAnsi="Book Antiqua"/>
          <w:bCs/>
          <w:iCs/>
          <w:color w:val="000000" w:themeColor="text1"/>
          <w:sz w:val="24"/>
          <w:szCs w:val="24"/>
        </w:rPr>
      </w:pPr>
      <w:r w:rsidRPr="00D640A9">
        <w:rPr>
          <w:rFonts w:ascii="Book Antiqua" w:hAnsi="Book Antiqua"/>
          <w:b/>
          <w:bCs/>
          <w:iCs/>
          <w:color w:val="000000" w:themeColor="text1"/>
          <w:sz w:val="24"/>
          <w:szCs w:val="24"/>
        </w:rPr>
        <w:t>Figure 5 PBX3 was a direct target of miR-</w:t>
      </w:r>
      <w:r w:rsidRPr="00D640A9">
        <w:rPr>
          <w:rFonts w:ascii="Book Antiqua" w:hAnsi="Book Antiqua"/>
          <w:b/>
          <w:bCs/>
          <w:color w:val="000000" w:themeColor="text1"/>
          <w:sz w:val="24"/>
          <w:szCs w:val="24"/>
        </w:rPr>
        <w:t>320a</w:t>
      </w:r>
      <w:r w:rsidRPr="00D640A9">
        <w:rPr>
          <w:rFonts w:ascii="Book Antiqua" w:hAnsi="Book Antiqua"/>
          <w:b/>
          <w:bCs/>
          <w:iCs/>
          <w:color w:val="000000" w:themeColor="text1"/>
          <w:sz w:val="24"/>
          <w:szCs w:val="24"/>
        </w:rPr>
        <w:t>.</w:t>
      </w:r>
      <w:r w:rsidRPr="00D640A9">
        <w:rPr>
          <w:rFonts w:ascii="Book Antiqua" w:hAnsi="Book Antiqua"/>
          <w:bCs/>
          <w:iCs/>
          <w:color w:val="000000" w:themeColor="text1"/>
          <w:sz w:val="24"/>
          <w:szCs w:val="24"/>
        </w:rPr>
        <w:t xml:space="preserve"> A: Banding region between miR-</w:t>
      </w:r>
      <w:r w:rsidRPr="00D640A9">
        <w:rPr>
          <w:rFonts w:ascii="Book Antiqua" w:hAnsi="Book Antiqua"/>
          <w:bCs/>
          <w:color w:val="000000" w:themeColor="text1"/>
          <w:sz w:val="24"/>
          <w:szCs w:val="24"/>
        </w:rPr>
        <w:t>320a</w:t>
      </w:r>
      <w:r w:rsidRPr="00D640A9">
        <w:rPr>
          <w:rFonts w:ascii="Book Antiqua" w:hAnsi="Book Antiqua"/>
          <w:bCs/>
          <w:iCs/>
          <w:color w:val="000000" w:themeColor="text1"/>
          <w:sz w:val="24"/>
          <w:szCs w:val="24"/>
        </w:rPr>
        <w:t xml:space="preserve"> and PBX3 was predicted by microRNA.org</w:t>
      </w:r>
      <w:r w:rsidR="00C8725B" w:rsidRPr="00D640A9">
        <w:rPr>
          <w:rFonts w:ascii="Book Antiqua" w:hAnsi="Book Antiqua" w:hint="eastAsia"/>
          <w:bCs/>
          <w:iCs/>
          <w:color w:val="000000" w:themeColor="text1"/>
          <w:sz w:val="24"/>
          <w:szCs w:val="24"/>
        </w:rPr>
        <w:t>;</w:t>
      </w:r>
      <w:r w:rsidRPr="00D640A9">
        <w:rPr>
          <w:rFonts w:ascii="Book Antiqua" w:hAnsi="Book Antiqua"/>
          <w:bCs/>
          <w:iCs/>
          <w:color w:val="000000" w:themeColor="text1"/>
          <w:sz w:val="24"/>
          <w:szCs w:val="24"/>
        </w:rPr>
        <w:t xml:space="preserve"> B: Relative luciferase activities of PBX3 in </w:t>
      </w:r>
      <w:r w:rsidRPr="00D640A9">
        <w:rPr>
          <w:rFonts w:ascii="Book Antiqua" w:hAnsi="Book Antiqua"/>
          <w:bCs/>
          <w:iCs/>
          <w:color w:val="000000" w:themeColor="text1"/>
          <w:sz w:val="24"/>
          <w:szCs w:val="24"/>
        </w:rPr>
        <w:lastRenderedPageBreak/>
        <w:t>wild type and mutant</w:t>
      </w:r>
      <w:r w:rsidR="00C8725B" w:rsidRPr="00D640A9">
        <w:rPr>
          <w:rFonts w:ascii="Book Antiqua" w:hAnsi="Book Antiqua" w:hint="eastAsia"/>
          <w:bCs/>
          <w:iCs/>
          <w:color w:val="000000" w:themeColor="text1"/>
          <w:sz w:val="24"/>
          <w:szCs w:val="24"/>
        </w:rPr>
        <w:t>;</w:t>
      </w:r>
      <w:r w:rsidRPr="00D640A9">
        <w:rPr>
          <w:rFonts w:ascii="Book Antiqua" w:hAnsi="Book Antiqua"/>
          <w:bCs/>
          <w:iCs/>
          <w:color w:val="000000" w:themeColor="text1"/>
          <w:sz w:val="24"/>
          <w:szCs w:val="24"/>
        </w:rPr>
        <w:t xml:space="preserve"> C: PBX3 protein level in </w:t>
      </w:r>
      <w:r w:rsidR="0094250D" w:rsidRPr="00D640A9">
        <w:rPr>
          <w:rFonts w:ascii="Book Antiqua" w:hAnsi="Book Antiqua"/>
          <w:bCs/>
          <w:iCs/>
          <w:color w:val="000000" w:themeColor="text1"/>
          <w:sz w:val="24"/>
          <w:szCs w:val="24"/>
        </w:rPr>
        <w:t xml:space="preserve">gastric cancer </w:t>
      </w:r>
      <w:r w:rsidR="0094250D" w:rsidRPr="00D640A9">
        <w:rPr>
          <w:rFonts w:ascii="Book Antiqua" w:hAnsi="Book Antiqua" w:hint="eastAsia"/>
          <w:bCs/>
          <w:iCs/>
          <w:color w:val="000000" w:themeColor="text1"/>
          <w:sz w:val="24"/>
          <w:szCs w:val="24"/>
        </w:rPr>
        <w:t>(</w:t>
      </w:r>
      <w:r w:rsidRPr="00D640A9">
        <w:rPr>
          <w:rFonts w:ascii="Book Antiqua" w:hAnsi="Book Antiqua"/>
          <w:bCs/>
          <w:iCs/>
          <w:color w:val="000000" w:themeColor="text1"/>
          <w:sz w:val="24"/>
          <w:szCs w:val="24"/>
        </w:rPr>
        <w:t>GC</w:t>
      </w:r>
      <w:r w:rsidR="0094250D" w:rsidRPr="00D640A9">
        <w:rPr>
          <w:rFonts w:ascii="Book Antiqua" w:hAnsi="Book Antiqua" w:hint="eastAsia"/>
          <w:bCs/>
          <w:iCs/>
          <w:color w:val="000000" w:themeColor="text1"/>
          <w:sz w:val="24"/>
          <w:szCs w:val="24"/>
        </w:rPr>
        <w:t>)</w:t>
      </w:r>
      <w:r w:rsidRPr="00D640A9">
        <w:rPr>
          <w:rFonts w:ascii="Book Antiqua" w:hAnsi="Book Antiqua"/>
          <w:bCs/>
          <w:iCs/>
          <w:color w:val="000000" w:themeColor="text1"/>
          <w:sz w:val="24"/>
          <w:szCs w:val="24"/>
        </w:rPr>
        <w:t xml:space="preserve"> cells after transfection with </w:t>
      </w:r>
      <w:r w:rsidRPr="00D640A9">
        <w:rPr>
          <w:rFonts w:ascii="Book Antiqua" w:hAnsi="Book Antiqua"/>
          <w:bCs/>
          <w:color w:val="000000" w:themeColor="text1"/>
          <w:sz w:val="24"/>
          <w:szCs w:val="24"/>
        </w:rPr>
        <w:t>miR-320a mimics, scramble mimics, miR-320a inhibitor, scramble inhibitor</w:t>
      </w:r>
      <w:r w:rsidRPr="00D640A9">
        <w:rPr>
          <w:rFonts w:ascii="Book Antiqua" w:hAnsi="Book Antiqua"/>
          <w:bCs/>
          <w:iCs/>
          <w:color w:val="000000" w:themeColor="text1"/>
          <w:sz w:val="24"/>
          <w:szCs w:val="24"/>
        </w:rPr>
        <w:t xml:space="preserve"> or no transfection for 48 h</w:t>
      </w:r>
      <w:r w:rsidR="00C8725B" w:rsidRPr="00D640A9">
        <w:rPr>
          <w:rFonts w:ascii="Book Antiqua" w:hAnsi="Book Antiqua" w:hint="eastAsia"/>
          <w:bCs/>
          <w:iCs/>
          <w:color w:val="000000" w:themeColor="text1"/>
          <w:sz w:val="24"/>
          <w:szCs w:val="24"/>
        </w:rPr>
        <w:t>;</w:t>
      </w:r>
      <w:r w:rsidRPr="00D640A9">
        <w:rPr>
          <w:rFonts w:ascii="Book Antiqua" w:hAnsi="Book Antiqua"/>
          <w:bCs/>
          <w:iCs/>
          <w:color w:val="000000" w:themeColor="text1"/>
          <w:sz w:val="24"/>
          <w:szCs w:val="24"/>
        </w:rPr>
        <w:t xml:space="preserve"> D: Protein level of PBX3 in GC tissues and matched adjacent normal tissues. </w:t>
      </w:r>
      <w:r w:rsidRPr="00D640A9">
        <w:rPr>
          <w:rFonts w:ascii="Book Antiqua" w:hAnsi="Book Antiqua"/>
          <w:bCs/>
          <w:color w:val="000000" w:themeColor="text1"/>
          <w:sz w:val="24"/>
          <w:szCs w:val="24"/>
        </w:rPr>
        <w:t>Reference protein was set using GAPDH.</w:t>
      </w:r>
      <w:r w:rsidRPr="00D640A9">
        <w:rPr>
          <w:rFonts w:ascii="Book Antiqua" w:hAnsi="Book Antiqua"/>
          <w:bCs/>
          <w:iCs/>
          <w:color w:val="000000" w:themeColor="text1"/>
          <w:sz w:val="24"/>
          <w:szCs w:val="24"/>
        </w:rPr>
        <w:t xml:space="preserve"> C: </w:t>
      </w:r>
      <w:r w:rsidR="00C8725B" w:rsidRPr="00D640A9">
        <w:rPr>
          <w:rFonts w:ascii="Book Antiqua" w:hAnsi="Book Antiqua"/>
          <w:bCs/>
          <w:iCs/>
          <w:color w:val="000000" w:themeColor="text1"/>
          <w:sz w:val="24"/>
          <w:szCs w:val="24"/>
        </w:rPr>
        <w:t xml:space="preserve">Cancer </w:t>
      </w:r>
      <w:r w:rsidRPr="00D640A9">
        <w:rPr>
          <w:rFonts w:ascii="Book Antiqua" w:hAnsi="Book Antiqua"/>
          <w:bCs/>
          <w:iCs/>
          <w:color w:val="000000" w:themeColor="text1"/>
          <w:sz w:val="24"/>
          <w:szCs w:val="24"/>
        </w:rPr>
        <w:t xml:space="preserve">tissues; N: </w:t>
      </w:r>
      <w:r w:rsidR="00C8725B" w:rsidRPr="00D640A9">
        <w:rPr>
          <w:rFonts w:ascii="Book Antiqua" w:hAnsi="Book Antiqua"/>
          <w:bCs/>
          <w:iCs/>
          <w:color w:val="000000" w:themeColor="text1"/>
          <w:sz w:val="24"/>
          <w:szCs w:val="24"/>
        </w:rPr>
        <w:t xml:space="preserve">Normal </w:t>
      </w:r>
      <w:r w:rsidRPr="00D640A9">
        <w:rPr>
          <w:rFonts w:ascii="Book Antiqua" w:hAnsi="Book Antiqua"/>
          <w:bCs/>
          <w:iCs/>
          <w:color w:val="000000" w:themeColor="text1"/>
          <w:sz w:val="24"/>
          <w:szCs w:val="24"/>
        </w:rPr>
        <w:t xml:space="preserve">tissues; </w:t>
      </w:r>
      <w:proofErr w:type="spellStart"/>
      <w:r w:rsidR="00896BE2" w:rsidRPr="00D640A9">
        <w:rPr>
          <w:rFonts w:ascii="Book Antiqua" w:hAnsi="Book Antiqua" w:hint="eastAsia"/>
          <w:bCs/>
          <w:iCs/>
          <w:color w:val="000000" w:themeColor="text1"/>
          <w:sz w:val="24"/>
          <w:szCs w:val="24"/>
          <w:vertAlign w:val="superscript"/>
        </w:rPr>
        <w:t>a</w:t>
      </w:r>
      <w:r w:rsidRPr="00D640A9">
        <w:rPr>
          <w:rFonts w:ascii="Book Antiqua" w:hAnsi="Book Antiqua"/>
          <w:bCs/>
          <w:i/>
          <w:iCs/>
          <w:color w:val="000000" w:themeColor="text1"/>
          <w:sz w:val="24"/>
          <w:szCs w:val="24"/>
        </w:rPr>
        <w:t>P</w:t>
      </w:r>
      <w:proofErr w:type="spellEnd"/>
      <w:r w:rsidRPr="00D640A9">
        <w:rPr>
          <w:rFonts w:ascii="Book Antiqua" w:hAnsi="Book Antiqua"/>
          <w:bCs/>
          <w:i/>
          <w:iCs/>
          <w:color w:val="000000" w:themeColor="text1"/>
          <w:sz w:val="24"/>
          <w:szCs w:val="24"/>
        </w:rPr>
        <w:t xml:space="preserve"> </w:t>
      </w:r>
      <w:r w:rsidRPr="00D640A9">
        <w:rPr>
          <w:rFonts w:ascii="Book Antiqua" w:hAnsi="Book Antiqua"/>
          <w:bCs/>
          <w:iCs/>
          <w:color w:val="000000" w:themeColor="text1"/>
          <w:sz w:val="24"/>
          <w:szCs w:val="24"/>
        </w:rPr>
        <w:t xml:space="preserve">&lt; 0.05; </w:t>
      </w:r>
      <w:proofErr w:type="spellStart"/>
      <w:r w:rsidR="00896BE2" w:rsidRPr="00D640A9">
        <w:rPr>
          <w:rFonts w:ascii="Book Antiqua" w:hAnsi="Book Antiqua" w:hint="eastAsia"/>
          <w:bCs/>
          <w:iCs/>
          <w:color w:val="000000" w:themeColor="text1"/>
          <w:sz w:val="24"/>
          <w:szCs w:val="24"/>
          <w:vertAlign w:val="superscript"/>
        </w:rPr>
        <w:t>b</w:t>
      </w:r>
      <w:r w:rsidRPr="00D640A9">
        <w:rPr>
          <w:rFonts w:ascii="Book Antiqua" w:hAnsi="Book Antiqua"/>
          <w:bCs/>
          <w:i/>
          <w:iCs/>
          <w:color w:val="000000" w:themeColor="text1"/>
          <w:sz w:val="24"/>
          <w:szCs w:val="24"/>
        </w:rPr>
        <w:t>P</w:t>
      </w:r>
      <w:proofErr w:type="spellEnd"/>
      <w:r w:rsidRPr="00D640A9">
        <w:rPr>
          <w:rFonts w:ascii="Book Antiqua" w:hAnsi="Book Antiqua"/>
          <w:bCs/>
          <w:i/>
          <w:iCs/>
          <w:color w:val="000000" w:themeColor="text1"/>
          <w:sz w:val="24"/>
          <w:szCs w:val="24"/>
        </w:rPr>
        <w:t xml:space="preserve"> </w:t>
      </w:r>
      <w:r w:rsidRPr="00D640A9">
        <w:rPr>
          <w:rFonts w:ascii="Book Antiqua" w:hAnsi="Book Antiqua"/>
          <w:bCs/>
          <w:iCs/>
          <w:color w:val="000000" w:themeColor="text1"/>
          <w:sz w:val="24"/>
          <w:szCs w:val="24"/>
        </w:rPr>
        <w:t>&lt; 0.01.</w:t>
      </w:r>
    </w:p>
    <w:sectPr w:rsidR="00B96523" w:rsidRPr="00D640A9">
      <w:headerReference w:type="default" r:id="rId13"/>
      <w:footerReference w:type="default" r:id="rId14"/>
      <w:pgSz w:w="11906" w:h="16838"/>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03D25" w:rsidRDefault="00B03D25">
      <w:r>
        <w:separator/>
      </w:r>
    </w:p>
  </w:endnote>
  <w:endnote w:type="continuationSeparator" w:id="0">
    <w:p w:rsidR="00B03D25" w:rsidRDefault="00B03D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notTrueType/>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TXihei">
    <w:panose1 w:val="02010600040101010101"/>
    <w:charset w:val="86"/>
    <w:family w:val="auto"/>
    <w:pitch w:val="variable"/>
    <w:sig w:usb0="00000287" w:usb1="080F0000" w:usb2="00000010" w:usb3="00000000" w:csb0="000400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BoldItalicMT">
    <w:panose1 w:val="020B0604020202020204"/>
    <w:charset w:val="00"/>
    <w:family w:val="auto"/>
    <w:pitch w:val="default"/>
    <w:sig w:usb0="00000000" w:usb1="00000000" w:usb2="00000001" w:usb3="00000000" w:csb0="000001B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7DEB" w:rsidRDefault="002F7DEB">
    <w:pPr>
      <w:pStyle w:val="Footer"/>
      <w:jc w:val="center"/>
    </w:pPr>
    <w:r>
      <w:fldChar w:fldCharType="begin"/>
    </w:r>
    <w:r>
      <w:instrText>PAGE   \* MERGEFORMAT</w:instrText>
    </w:r>
    <w:r>
      <w:fldChar w:fldCharType="separate"/>
    </w:r>
    <w:r w:rsidR="00D640A9" w:rsidRPr="00D640A9">
      <w:rPr>
        <w:noProof/>
        <w:lang w:val="zh-CN"/>
      </w:rPr>
      <w:t>2</w:t>
    </w:r>
    <w:r>
      <w:rPr>
        <w:lang w:val="zh-CN"/>
      </w:rPr>
      <w:fldChar w:fldCharType="end"/>
    </w:r>
  </w:p>
  <w:p w:rsidR="002F7DEB" w:rsidRDefault="002F7D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03D25" w:rsidRDefault="00B03D25">
      <w:r>
        <w:separator/>
      </w:r>
    </w:p>
  </w:footnote>
  <w:footnote w:type="continuationSeparator" w:id="0">
    <w:p w:rsidR="00B03D25" w:rsidRDefault="00B03D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F7DEB" w:rsidRDefault="002F7DEB">
    <w:pPr>
      <w:pStyle w:val="Header"/>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D91941"/>
    <w:rsid w:val="000356F0"/>
    <w:rsid w:val="00044DF4"/>
    <w:rsid w:val="00063C90"/>
    <w:rsid w:val="000825FA"/>
    <w:rsid w:val="00086DBB"/>
    <w:rsid w:val="00087EB7"/>
    <w:rsid w:val="00091F0F"/>
    <w:rsid w:val="000B6F6E"/>
    <w:rsid w:val="000C1747"/>
    <w:rsid w:val="000D41DE"/>
    <w:rsid w:val="000E1000"/>
    <w:rsid w:val="000E1E7E"/>
    <w:rsid w:val="001054CC"/>
    <w:rsid w:val="001055AB"/>
    <w:rsid w:val="00116DF2"/>
    <w:rsid w:val="001204B9"/>
    <w:rsid w:val="00142A51"/>
    <w:rsid w:val="00152298"/>
    <w:rsid w:val="00167122"/>
    <w:rsid w:val="0018122C"/>
    <w:rsid w:val="001A50F5"/>
    <w:rsid w:val="001B091E"/>
    <w:rsid w:val="001B4D5C"/>
    <w:rsid w:val="001C0C9A"/>
    <w:rsid w:val="001C1C41"/>
    <w:rsid w:val="001E4531"/>
    <w:rsid w:val="00200125"/>
    <w:rsid w:val="002212E0"/>
    <w:rsid w:val="0022649C"/>
    <w:rsid w:val="00257329"/>
    <w:rsid w:val="00264BD2"/>
    <w:rsid w:val="0029534B"/>
    <w:rsid w:val="002A2421"/>
    <w:rsid w:val="002A26C8"/>
    <w:rsid w:val="002A3E39"/>
    <w:rsid w:val="002A3EC6"/>
    <w:rsid w:val="002A72F1"/>
    <w:rsid w:val="002A7C24"/>
    <w:rsid w:val="002F0327"/>
    <w:rsid w:val="002F7DEB"/>
    <w:rsid w:val="00312F68"/>
    <w:rsid w:val="003257C9"/>
    <w:rsid w:val="0035617C"/>
    <w:rsid w:val="00367C5C"/>
    <w:rsid w:val="003762C0"/>
    <w:rsid w:val="003C25CC"/>
    <w:rsid w:val="003E0073"/>
    <w:rsid w:val="003E6D4A"/>
    <w:rsid w:val="003F178D"/>
    <w:rsid w:val="00406CD5"/>
    <w:rsid w:val="00446BD3"/>
    <w:rsid w:val="00482B2C"/>
    <w:rsid w:val="004B7264"/>
    <w:rsid w:val="004D3C59"/>
    <w:rsid w:val="00512D73"/>
    <w:rsid w:val="00512DDF"/>
    <w:rsid w:val="00542F31"/>
    <w:rsid w:val="00547E11"/>
    <w:rsid w:val="0055090C"/>
    <w:rsid w:val="005678F4"/>
    <w:rsid w:val="0057265D"/>
    <w:rsid w:val="005874B0"/>
    <w:rsid w:val="005A7ED8"/>
    <w:rsid w:val="005B2BA7"/>
    <w:rsid w:val="005C5EA2"/>
    <w:rsid w:val="005C7CF0"/>
    <w:rsid w:val="005D0709"/>
    <w:rsid w:val="00613B47"/>
    <w:rsid w:val="00616E40"/>
    <w:rsid w:val="00635A10"/>
    <w:rsid w:val="006546DA"/>
    <w:rsid w:val="00662A96"/>
    <w:rsid w:val="00680482"/>
    <w:rsid w:val="006857EB"/>
    <w:rsid w:val="00685C56"/>
    <w:rsid w:val="006B0197"/>
    <w:rsid w:val="006C69EF"/>
    <w:rsid w:val="006D131E"/>
    <w:rsid w:val="006F2719"/>
    <w:rsid w:val="006F5ED1"/>
    <w:rsid w:val="00702BD5"/>
    <w:rsid w:val="007341E1"/>
    <w:rsid w:val="00760588"/>
    <w:rsid w:val="00772DAB"/>
    <w:rsid w:val="00787BED"/>
    <w:rsid w:val="007905BB"/>
    <w:rsid w:val="007E10C0"/>
    <w:rsid w:val="007F03CB"/>
    <w:rsid w:val="00806431"/>
    <w:rsid w:val="008211FB"/>
    <w:rsid w:val="00833F96"/>
    <w:rsid w:val="00840D73"/>
    <w:rsid w:val="008741D8"/>
    <w:rsid w:val="008963A3"/>
    <w:rsid w:val="00896BE2"/>
    <w:rsid w:val="008976FB"/>
    <w:rsid w:val="008A7E70"/>
    <w:rsid w:val="008D1332"/>
    <w:rsid w:val="008D6201"/>
    <w:rsid w:val="008E7C30"/>
    <w:rsid w:val="00906DE9"/>
    <w:rsid w:val="0094250D"/>
    <w:rsid w:val="00950579"/>
    <w:rsid w:val="0096603C"/>
    <w:rsid w:val="009837B3"/>
    <w:rsid w:val="00987E18"/>
    <w:rsid w:val="009A1101"/>
    <w:rsid w:val="009C5515"/>
    <w:rsid w:val="00A02843"/>
    <w:rsid w:val="00A8526D"/>
    <w:rsid w:val="00A85B4E"/>
    <w:rsid w:val="00AA3247"/>
    <w:rsid w:val="00AF305A"/>
    <w:rsid w:val="00B03D25"/>
    <w:rsid w:val="00B06558"/>
    <w:rsid w:val="00B35827"/>
    <w:rsid w:val="00B50239"/>
    <w:rsid w:val="00B6796A"/>
    <w:rsid w:val="00B72622"/>
    <w:rsid w:val="00B773E2"/>
    <w:rsid w:val="00B8116F"/>
    <w:rsid w:val="00B903E5"/>
    <w:rsid w:val="00B96523"/>
    <w:rsid w:val="00BA1F4C"/>
    <w:rsid w:val="00BB01A5"/>
    <w:rsid w:val="00BC552C"/>
    <w:rsid w:val="00BC6B38"/>
    <w:rsid w:val="00BD75C6"/>
    <w:rsid w:val="00BD7E7F"/>
    <w:rsid w:val="00BF04F8"/>
    <w:rsid w:val="00C100B9"/>
    <w:rsid w:val="00C303AD"/>
    <w:rsid w:val="00C42589"/>
    <w:rsid w:val="00C5737F"/>
    <w:rsid w:val="00C80F38"/>
    <w:rsid w:val="00C867EA"/>
    <w:rsid w:val="00C8725B"/>
    <w:rsid w:val="00C978CE"/>
    <w:rsid w:val="00CF7395"/>
    <w:rsid w:val="00D02F7A"/>
    <w:rsid w:val="00D377F4"/>
    <w:rsid w:val="00D41986"/>
    <w:rsid w:val="00D44140"/>
    <w:rsid w:val="00D640A9"/>
    <w:rsid w:val="00D73349"/>
    <w:rsid w:val="00D81418"/>
    <w:rsid w:val="00D85F2A"/>
    <w:rsid w:val="00D91141"/>
    <w:rsid w:val="00D91941"/>
    <w:rsid w:val="00DA5FEE"/>
    <w:rsid w:val="00DA659D"/>
    <w:rsid w:val="00DD0CB9"/>
    <w:rsid w:val="00DD5BD3"/>
    <w:rsid w:val="00DD7886"/>
    <w:rsid w:val="00E00FF4"/>
    <w:rsid w:val="00E25424"/>
    <w:rsid w:val="00E66206"/>
    <w:rsid w:val="00EB1595"/>
    <w:rsid w:val="00EB2863"/>
    <w:rsid w:val="00EC4ED4"/>
    <w:rsid w:val="00EF4FDE"/>
    <w:rsid w:val="00F11F9A"/>
    <w:rsid w:val="00F12E57"/>
    <w:rsid w:val="00F354E9"/>
    <w:rsid w:val="00F444F6"/>
    <w:rsid w:val="00F53972"/>
    <w:rsid w:val="00F62C26"/>
    <w:rsid w:val="00F73A24"/>
    <w:rsid w:val="00FA528E"/>
    <w:rsid w:val="00FB3B9E"/>
    <w:rsid w:val="00FC3F6F"/>
    <w:rsid w:val="00FE7EFD"/>
    <w:rsid w:val="00FF6113"/>
    <w:rsid w:val="07631985"/>
    <w:rsid w:val="07E95E49"/>
    <w:rsid w:val="087B76D4"/>
    <w:rsid w:val="08F961CE"/>
    <w:rsid w:val="09507041"/>
    <w:rsid w:val="0A494F5D"/>
    <w:rsid w:val="0C160187"/>
    <w:rsid w:val="0CC346B2"/>
    <w:rsid w:val="0F175777"/>
    <w:rsid w:val="18304B22"/>
    <w:rsid w:val="20277266"/>
    <w:rsid w:val="21CB678F"/>
    <w:rsid w:val="25786A76"/>
    <w:rsid w:val="30357B7A"/>
    <w:rsid w:val="335C08F1"/>
    <w:rsid w:val="38792E4C"/>
    <w:rsid w:val="3E0762C5"/>
    <w:rsid w:val="41676169"/>
    <w:rsid w:val="416D4E6B"/>
    <w:rsid w:val="4E4F1D67"/>
    <w:rsid w:val="4F497760"/>
    <w:rsid w:val="506B3A50"/>
    <w:rsid w:val="54600352"/>
    <w:rsid w:val="554D3212"/>
    <w:rsid w:val="58F5359C"/>
    <w:rsid w:val="5E255B52"/>
    <w:rsid w:val="603219E3"/>
    <w:rsid w:val="603B09E7"/>
    <w:rsid w:val="644A1D8A"/>
    <w:rsid w:val="68806A0D"/>
    <w:rsid w:val="6BF85110"/>
    <w:rsid w:val="6C2523BF"/>
    <w:rsid w:val="7738777C"/>
    <w:rsid w:val="7B580782"/>
    <w:rsid w:val="7CB659E5"/>
    <w:rsid w:val="7DB524E3"/>
    <w:rsid w:val="7E8350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01EAC56"/>
  <w15:docId w15:val="{F75183C5-A5B3-8840-86D3-08C6F66DAA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qFormat="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semiHidden="1" w:uiPriority="59" w:unhideWhenUsed="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rFonts w:ascii="Calibri" w:hAnsi="Calibri"/>
      <w:kern w:val="2"/>
      <w:sz w:val="21"/>
      <w:szCs w:val="22"/>
    </w:rPr>
  </w:style>
  <w:style w:type="paragraph" w:styleId="Heading1">
    <w:name w:val="heading 1"/>
    <w:basedOn w:val="Normal"/>
    <w:next w:val="Normal"/>
    <w:link w:val="Heading1Char"/>
    <w:uiPriority w:val="99"/>
    <w:qFormat/>
    <w:pPr>
      <w:widowControl/>
      <w:spacing w:before="100" w:beforeAutospacing="1" w:after="100" w:afterAutospacing="1"/>
      <w:jc w:val="left"/>
      <w:outlineLvl w:val="0"/>
    </w:pPr>
    <w:rPr>
      <w:rFonts w:ascii="SimSun" w:hAnsi="SimSun" w:cs="SimSu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1"/>
    <w:uiPriority w:val="99"/>
    <w:qFormat/>
    <w:rPr>
      <w:kern w:val="0"/>
      <w:sz w:val="20"/>
      <w:szCs w:val="20"/>
    </w:rPr>
  </w:style>
  <w:style w:type="paragraph" w:styleId="BalloonText">
    <w:name w:val="Balloon Text"/>
    <w:basedOn w:val="Normal"/>
    <w:link w:val="BalloonTextChar1"/>
    <w:uiPriority w:val="99"/>
    <w:semiHidden/>
    <w:qFormat/>
    <w:rPr>
      <w:rFonts w:ascii="Tahoma" w:hAnsi="Tahoma"/>
      <w:kern w:val="0"/>
      <w:sz w:val="16"/>
      <w:szCs w:val="16"/>
    </w:rPr>
  </w:style>
  <w:style w:type="paragraph" w:styleId="Footer">
    <w:name w:val="footer"/>
    <w:basedOn w:val="Normal"/>
    <w:link w:val="FooterChar1"/>
    <w:uiPriority w:val="99"/>
    <w:qFormat/>
    <w:pPr>
      <w:tabs>
        <w:tab w:val="center" w:pos="4153"/>
        <w:tab w:val="right" w:pos="8306"/>
      </w:tabs>
      <w:snapToGrid w:val="0"/>
      <w:jc w:val="left"/>
    </w:pPr>
    <w:rPr>
      <w:kern w:val="0"/>
      <w:sz w:val="18"/>
      <w:szCs w:val="18"/>
    </w:rPr>
  </w:style>
  <w:style w:type="paragraph" w:styleId="Header">
    <w:name w:val="header"/>
    <w:basedOn w:val="Normal"/>
    <w:link w:val="HeaderChar1"/>
    <w:uiPriority w:val="99"/>
    <w:qFormat/>
    <w:pPr>
      <w:pBdr>
        <w:bottom w:val="single" w:sz="6" w:space="1" w:color="auto"/>
      </w:pBdr>
      <w:tabs>
        <w:tab w:val="center" w:pos="4153"/>
        <w:tab w:val="right" w:pos="8306"/>
      </w:tabs>
      <w:snapToGrid w:val="0"/>
      <w:jc w:val="center"/>
    </w:pPr>
    <w:rPr>
      <w:kern w:val="0"/>
      <w:sz w:val="18"/>
      <w:szCs w:val="18"/>
    </w:rPr>
  </w:style>
  <w:style w:type="paragraph" w:styleId="NormalWeb">
    <w:name w:val="Normal (Web)"/>
    <w:basedOn w:val="Normal"/>
    <w:uiPriority w:val="99"/>
    <w:unhideWhenUsed/>
    <w:pPr>
      <w:widowControl/>
      <w:spacing w:before="100" w:beforeAutospacing="1" w:after="100" w:afterAutospacing="1"/>
      <w:jc w:val="left"/>
    </w:pPr>
    <w:rPr>
      <w:rFonts w:ascii="SimSun" w:hAnsi="SimSun" w:cs="SimSun"/>
      <w:kern w:val="0"/>
      <w:sz w:val="24"/>
      <w:szCs w:val="24"/>
    </w:rPr>
  </w:style>
  <w:style w:type="paragraph" w:styleId="CommentSubject">
    <w:name w:val="annotation subject"/>
    <w:basedOn w:val="CommentText"/>
    <w:next w:val="CommentText"/>
    <w:link w:val="CommentSubjectChar1"/>
    <w:uiPriority w:val="99"/>
    <w:semiHidden/>
    <w:qFormat/>
    <w:rPr>
      <w:b/>
      <w:bCs/>
    </w:rPr>
  </w:style>
  <w:style w:type="character" w:styleId="Strong">
    <w:name w:val="Strong"/>
    <w:uiPriority w:val="22"/>
    <w:qFormat/>
    <w:rPr>
      <w:b/>
      <w:bCs/>
    </w:rPr>
  </w:style>
  <w:style w:type="character" w:styleId="LineNumber">
    <w:name w:val="line number"/>
    <w:basedOn w:val="DefaultParagraphFont"/>
    <w:uiPriority w:val="99"/>
    <w:semiHidden/>
    <w:qFormat/>
    <w:rPr>
      <w:rFonts w:cs="Times New Roman"/>
    </w:rPr>
  </w:style>
  <w:style w:type="character" w:styleId="Hyperlink">
    <w:name w:val="Hyperlink"/>
    <w:basedOn w:val="DefaultParagraphFont"/>
    <w:uiPriority w:val="99"/>
    <w:qFormat/>
    <w:rPr>
      <w:rFonts w:cs="Times New Roman"/>
      <w:color w:val="0000FF"/>
      <w:u w:val="single"/>
    </w:rPr>
  </w:style>
  <w:style w:type="character" w:styleId="CommentReference">
    <w:name w:val="annotation reference"/>
    <w:basedOn w:val="DefaultParagraphFont"/>
    <w:uiPriority w:val="99"/>
    <w:semiHidden/>
    <w:unhideWhenUsed/>
    <w:qFormat/>
    <w:rPr>
      <w:sz w:val="16"/>
      <w:szCs w:val="16"/>
    </w:rPr>
  </w:style>
  <w:style w:type="character" w:customStyle="1" w:styleId="Heading1Char">
    <w:name w:val="Heading 1 Char"/>
    <w:basedOn w:val="DefaultParagraphFont"/>
    <w:link w:val="Heading1"/>
    <w:uiPriority w:val="9"/>
    <w:qFormat/>
    <w:rPr>
      <w:rFonts w:ascii="SimSun" w:eastAsia="SimSun" w:hAnsi="SimSun" w:cs="SimSun"/>
      <w:b/>
      <w:bCs/>
      <w:kern w:val="36"/>
      <w:sz w:val="48"/>
      <w:szCs w:val="48"/>
    </w:rPr>
  </w:style>
  <w:style w:type="character" w:customStyle="1" w:styleId="CommentTextChar1">
    <w:name w:val="Comment Text Char1"/>
    <w:basedOn w:val="DefaultParagraphFont"/>
    <w:link w:val="CommentText"/>
    <w:uiPriority w:val="99"/>
    <w:qFormat/>
    <w:rPr>
      <w:rFonts w:ascii="Calibri" w:eastAsia="SimSun" w:hAnsi="Calibri" w:cs="Times New Roman"/>
      <w:kern w:val="0"/>
      <w:sz w:val="20"/>
      <w:szCs w:val="20"/>
    </w:rPr>
  </w:style>
  <w:style w:type="character" w:customStyle="1" w:styleId="BalloonTextChar1">
    <w:name w:val="Balloon Text Char1"/>
    <w:basedOn w:val="DefaultParagraphFont"/>
    <w:link w:val="BalloonText"/>
    <w:uiPriority w:val="99"/>
    <w:semiHidden/>
    <w:qFormat/>
    <w:rPr>
      <w:rFonts w:ascii="Tahoma" w:eastAsia="SimSun" w:hAnsi="Tahoma" w:cs="Times New Roman"/>
      <w:kern w:val="0"/>
      <w:sz w:val="16"/>
      <w:szCs w:val="16"/>
    </w:rPr>
  </w:style>
  <w:style w:type="character" w:customStyle="1" w:styleId="FooterChar1">
    <w:name w:val="Footer Char1"/>
    <w:basedOn w:val="DefaultParagraphFont"/>
    <w:link w:val="Footer"/>
    <w:uiPriority w:val="99"/>
    <w:qFormat/>
    <w:rPr>
      <w:rFonts w:ascii="Calibri" w:eastAsia="SimSun" w:hAnsi="Calibri" w:cs="Times New Roman"/>
      <w:kern w:val="0"/>
      <w:sz w:val="18"/>
      <w:szCs w:val="18"/>
    </w:rPr>
  </w:style>
  <w:style w:type="character" w:customStyle="1" w:styleId="HeaderChar1">
    <w:name w:val="Header Char1"/>
    <w:basedOn w:val="DefaultParagraphFont"/>
    <w:link w:val="Header"/>
    <w:uiPriority w:val="99"/>
    <w:qFormat/>
    <w:rPr>
      <w:rFonts w:ascii="Calibri" w:eastAsia="SimSun" w:hAnsi="Calibri" w:cs="Times New Roman"/>
      <w:kern w:val="0"/>
      <w:sz w:val="18"/>
      <w:szCs w:val="18"/>
    </w:rPr>
  </w:style>
  <w:style w:type="character" w:customStyle="1" w:styleId="CommentSubjectChar1">
    <w:name w:val="Comment Subject Char1"/>
    <w:basedOn w:val="CommentTextChar"/>
    <w:link w:val="CommentSubject"/>
    <w:uiPriority w:val="99"/>
    <w:semiHidden/>
    <w:qFormat/>
    <w:rPr>
      <w:rFonts w:ascii="Calibri" w:eastAsia="SimSun" w:hAnsi="Calibri" w:cs="Times New Roman"/>
      <w:b/>
      <w:bCs/>
      <w:kern w:val="0"/>
      <w:sz w:val="20"/>
      <w:szCs w:val="20"/>
    </w:rPr>
  </w:style>
  <w:style w:type="character" w:customStyle="1" w:styleId="CommentTextChar">
    <w:name w:val="Comment Text Char"/>
    <w:uiPriority w:val="99"/>
    <w:qFormat/>
    <w:locked/>
    <w:rPr>
      <w:sz w:val="20"/>
    </w:rPr>
  </w:style>
  <w:style w:type="paragraph" w:customStyle="1" w:styleId="DecimalAligned">
    <w:name w:val="Decimal Aligned"/>
    <w:basedOn w:val="Normal"/>
    <w:uiPriority w:val="99"/>
    <w:qFormat/>
    <w:pPr>
      <w:widowControl/>
      <w:tabs>
        <w:tab w:val="decimal" w:pos="360"/>
      </w:tabs>
      <w:spacing w:after="200" w:line="276" w:lineRule="auto"/>
      <w:jc w:val="left"/>
    </w:pPr>
    <w:rPr>
      <w:kern w:val="0"/>
      <w:sz w:val="22"/>
    </w:rPr>
  </w:style>
  <w:style w:type="paragraph" w:styleId="ListParagraph">
    <w:name w:val="List Paragraph"/>
    <w:basedOn w:val="Normal"/>
    <w:uiPriority w:val="99"/>
    <w:qFormat/>
    <w:pPr>
      <w:ind w:firstLineChars="200" w:firstLine="420"/>
    </w:pPr>
  </w:style>
  <w:style w:type="character" w:customStyle="1" w:styleId="HeaderChar">
    <w:name w:val="Header Char"/>
    <w:uiPriority w:val="99"/>
    <w:qFormat/>
    <w:locked/>
    <w:rPr>
      <w:sz w:val="18"/>
    </w:rPr>
  </w:style>
  <w:style w:type="character" w:customStyle="1" w:styleId="FooterChar">
    <w:name w:val="Footer Char"/>
    <w:uiPriority w:val="99"/>
    <w:qFormat/>
    <w:locked/>
    <w:rPr>
      <w:sz w:val="18"/>
    </w:rPr>
  </w:style>
  <w:style w:type="character" w:customStyle="1" w:styleId="BalloonTextChar">
    <w:name w:val="Balloon Text Char"/>
    <w:uiPriority w:val="99"/>
    <w:semiHidden/>
    <w:qFormat/>
    <w:locked/>
    <w:rPr>
      <w:rFonts w:ascii="Tahoma" w:hAnsi="Tahoma"/>
      <w:sz w:val="16"/>
    </w:rPr>
  </w:style>
  <w:style w:type="character" w:customStyle="1" w:styleId="CommentSubjectChar">
    <w:name w:val="Comment Subject Char"/>
    <w:uiPriority w:val="99"/>
    <w:semiHidden/>
    <w:qFormat/>
    <w:locked/>
    <w:rPr>
      <w:b/>
      <w:sz w:val="20"/>
    </w:rPr>
  </w:style>
  <w:style w:type="character" w:customStyle="1" w:styleId="1">
    <w:name w:val="明显强调1"/>
    <w:basedOn w:val="DefaultParagraphFont"/>
    <w:uiPriority w:val="99"/>
    <w:qFormat/>
    <w:rPr>
      <w:rFonts w:cs="Times New Roman"/>
      <w:b/>
      <w:bCs/>
      <w:i/>
      <w:iCs/>
      <w:color w:val="4F81BD"/>
    </w:rPr>
  </w:style>
  <w:style w:type="character" w:customStyle="1" w:styleId="apple-converted-space">
    <w:name w:val="apple-converted-space"/>
    <w:basedOn w:val="DefaultParagraphFont"/>
    <w:uiPriority w:val="99"/>
    <w:qFormat/>
    <w:rPr>
      <w:rFonts w:cs="Times New Roman"/>
    </w:rPr>
  </w:style>
  <w:style w:type="character" w:customStyle="1" w:styleId="highlight">
    <w:name w:val="highlight"/>
    <w:basedOn w:val="DefaultParagraphFont"/>
    <w:uiPriority w:val="99"/>
    <w:qFormat/>
    <w:rPr>
      <w:rFonts w:cs="Times New Roman"/>
    </w:rPr>
  </w:style>
  <w:style w:type="paragraph" w:customStyle="1" w:styleId="10">
    <w:name w:val="修订1"/>
    <w:hidden/>
    <w:uiPriority w:val="99"/>
    <w:semiHidden/>
    <w:qFormat/>
    <w:rPr>
      <w:rFonts w:ascii="Calibri" w:hAnsi="Calibri"/>
      <w:kern w:val="2"/>
      <w:sz w:val="21"/>
      <w:szCs w:val="22"/>
    </w:rPr>
  </w:style>
  <w:style w:type="paragraph" w:customStyle="1" w:styleId="11">
    <w:name w:val="正文1"/>
    <w:uiPriority w:val="99"/>
    <w:rsid w:val="00DD7886"/>
    <w:pPr>
      <w:spacing w:line="276" w:lineRule="auto"/>
    </w:pPr>
    <w:rPr>
      <w:rFonts w:ascii="Arial" w:hAnsi="Arial" w:cs="Arial"/>
      <w:color w:val="000000"/>
      <w:sz w:val="22"/>
      <w:lang w:val="pl-PL" w:eastAsia="pl-PL"/>
    </w:rPr>
  </w:style>
  <w:style w:type="paragraph" w:styleId="PlainText">
    <w:name w:val="Plain Text"/>
    <w:basedOn w:val="Normal"/>
    <w:link w:val="PlainTextChar"/>
    <w:rsid w:val="000E1E7E"/>
    <w:rPr>
      <w:rFonts w:ascii="SimSun" w:hAnsi="Courier New" w:cs="Courier New"/>
      <w:szCs w:val="21"/>
    </w:rPr>
  </w:style>
  <w:style w:type="character" w:customStyle="1" w:styleId="PlainTextChar">
    <w:name w:val="Plain Text Char"/>
    <w:basedOn w:val="DefaultParagraphFont"/>
    <w:link w:val="PlainText"/>
    <w:rsid w:val="000E1E7E"/>
    <w:rPr>
      <w:rFonts w:ascii="SimSun" w:hAnsi="Courier New" w:cs="Courier New"/>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12637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mailto:daidq63@163.com" TargetMode="External"/><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35</Pages>
  <Words>7001</Words>
  <Characters>39912</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46820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Li Ma</cp:lastModifiedBy>
  <cp:revision>3</cp:revision>
  <dcterms:created xsi:type="dcterms:W3CDTF">2019-07-27T02:04:00Z</dcterms:created>
  <dcterms:modified xsi:type="dcterms:W3CDTF">2019-07-28T17:45:00Z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2052-11.1.0.8661</vt:lpwstr>
  </property>
</Properties>
</file>