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2D47" w14:textId="77777777" w:rsidR="00FA44A0" w:rsidRPr="00372D52" w:rsidRDefault="00FA44A0" w:rsidP="00372D52">
      <w:pPr>
        <w:pStyle w:val="Default"/>
        <w:spacing w:line="360" w:lineRule="auto"/>
        <w:jc w:val="both"/>
        <w:rPr>
          <w:i/>
          <w:iCs/>
        </w:rPr>
      </w:pPr>
      <w:r w:rsidRPr="00372D52">
        <w:rPr>
          <w:b/>
          <w:bCs/>
        </w:rPr>
        <w:t xml:space="preserve">Name of Journal: </w:t>
      </w:r>
      <w:r w:rsidRPr="00372D52">
        <w:rPr>
          <w:i/>
          <w:iCs/>
        </w:rPr>
        <w:t>World Journal of Critical Care Medicine</w:t>
      </w:r>
    </w:p>
    <w:p w14:paraId="60BED5F5" w14:textId="4D890C55" w:rsidR="00FA44A0" w:rsidRPr="00372D52" w:rsidRDefault="00713BF2" w:rsidP="00372D52">
      <w:pPr>
        <w:pStyle w:val="Default"/>
        <w:spacing w:line="360" w:lineRule="auto"/>
        <w:jc w:val="both"/>
      </w:pPr>
      <w:r w:rsidRPr="00372D52">
        <w:rPr>
          <w:rFonts w:eastAsia="Book Antiqua"/>
          <w:b/>
        </w:rPr>
        <w:t xml:space="preserve">Manuscript NO: </w:t>
      </w:r>
      <w:r w:rsidRPr="00372D52">
        <w:rPr>
          <w:rFonts w:eastAsia="Book Antiqua"/>
          <w:bCs/>
        </w:rPr>
        <w:t>4</w:t>
      </w:r>
      <w:r w:rsidR="007E35EC" w:rsidRPr="00372D52">
        <w:rPr>
          <w:rFonts w:eastAsia="Book Antiqua"/>
          <w:bCs/>
        </w:rPr>
        <w:t>8699</w:t>
      </w:r>
    </w:p>
    <w:p w14:paraId="1422F7B1" w14:textId="77777777" w:rsidR="00FA44A0" w:rsidRPr="00372D52" w:rsidRDefault="00FA44A0" w:rsidP="00372D52">
      <w:pPr>
        <w:pStyle w:val="Default"/>
        <w:spacing w:line="360" w:lineRule="auto"/>
        <w:jc w:val="both"/>
      </w:pPr>
      <w:r w:rsidRPr="00372D52">
        <w:rPr>
          <w:b/>
          <w:bCs/>
        </w:rPr>
        <w:t xml:space="preserve">Manuscript Type: </w:t>
      </w:r>
      <w:r w:rsidRPr="00372D52">
        <w:t>REVIEW</w:t>
      </w:r>
    </w:p>
    <w:p w14:paraId="1C84F30E" w14:textId="77777777" w:rsidR="00FA44A0" w:rsidRPr="00372D52" w:rsidRDefault="00FA44A0" w:rsidP="00372D52">
      <w:pPr>
        <w:pStyle w:val="Default"/>
        <w:spacing w:line="360" w:lineRule="auto"/>
        <w:jc w:val="both"/>
      </w:pPr>
    </w:p>
    <w:p w14:paraId="336D2AF1" w14:textId="3714BAC8" w:rsidR="00F462D1" w:rsidRPr="00372D52" w:rsidRDefault="008D0685" w:rsidP="00372D52">
      <w:pPr>
        <w:spacing w:after="0" w:line="360" w:lineRule="auto"/>
        <w:jc w:val="both"/>
        <w:rPr>
          <w:rFonts w:ascii="Book Antiqua" w:hAnsi="Book Antiqua"/>
          <w:b/>
          <w:noProof/>
          <w:sz w:val="24"/>
          <w:szCs w:val="24"/>
        </w:rPr>
      </w:pPr>
      <w:bookmarkStart w:id="0" w:name="OLE_LINK86"/>
      <w:bookmarkStart w:id="1" w:name="OLE_LINK87"/>
      <w:r w:rsidRPr="00372D52">
        <w:rPr>
          <w:rFonts w:ascii="Book Antiqua" w:hAnsi="Book Antiqua"/>
          <w:b/>
          <w:noProof/>
          <w:sz w:val="24"/>
          <w:szCs w:val="24"/>
        </w:rPr>
        <w:t xml:space="preserve">Diagnosis and </w:t>
      </w:r>
      <w:r w:rsidR="007E35EC" w:rsidRPr="00372D52">
        <w:rPr>
          <w:rFonts w:ascii="Book Antiqua" w:hAnsi="Book Antiqua"/>
          <w:b/>
          <w:noProof/>
          <w:sz w:val="24"/>
          <w:szCs w:val="24"/>
        </w:rPr>
        <w:t>treatment of acute pulmonary inflammation in critically ill patients</w:t>
      </w:r>
      <w:r w:rsidR="00BF40D9" w:rsidRPr="00372D52">
        <w:rPr>
          <w:rFonts w:ascii="Book Antiqua" w:hAnsi="Book Antiqua"/>
          <w:b/>
          <w:noProof/>
          <w:sz w:val="24"/>
          <w:szCs w:val="24"/>
        </w:rPr>
        <w:t>: The role of inflammatory biomarkers</w:t>
      </w:r>
    </w:p>
    <w:bookmarkEnd w:id="0"/>
    <w:bookmarkEnd w:id="1"/>
    <w:p w14:paraId="41C81D3F" w14:textId="51CD2E96" w:rsidR="00713BF2" w:rsidRPr="00372D52" w:rsidRDefault="00713BF2" w:rsidP="00372D52">
      <w:pPr>
        <w:spacing w:after="0" w:line="360" w:lineRule="auto"/>
        <w:jc w:val="both"/>
        <w:rPr>
          <w:rFonts w:ascii="Book Antiqua" w:hAnsi="Book Antiqua"/>
          <w:b/>
          <w:noProof/>
          <w:sz w:val="24"/>
          <w:szCs w:val="24"/>
        </w:rPr>
      </w:pPr>
    </w:p>
    <w:p w14:paraId="641A460B" w14:textId="5EB0BF6D" w:rsidR="00666449" w:rsidRPr="00372D52" w:rsidRDefault="00666449" w:rsidP="00372D52">
      <w:pPr>
        <w:adjustRightInd w:val="0"/>
        <w:snapToGrid w:val="0"/>
        <w:spacing w:after="0" w:line="360" w:lineRule="auto"/>
        <w:jc w:val="both"/>
        <w:rPr>
          <w:rFonts w:ascii="Book Antiqua" w:hAnsi="Book Antiqua"/>
          <w:sz w:val="24"/>
          <w:szCs w:val="24"/>
        </w:rPr>
      </w:pPr>
      <w:bookmarkStart w:id="2" w:name="_Hlk6583281"/>
      <w:r w:rsidRPr="00372D52">
        <w:rPr>
          <w:rFonts w:ascii="Book Antiqua" w:hAnsi="Book Antiqua"/>
          <w:sz w:val="24"/>
          <w:szCs w:val="24"/>
          <w:lang w:val="en"/>
        </w:rPr>
        <w:t xml:space="preserve">Chalmers </w:t>
      </w:r>
      <w:r w:rsidR="007E35EC" w:rsidRPr="00372D52">
        <w:rPr>
          <w:rFonts w:ascii="Book Antiqua" w:hAnsi="Book Antiqua"/>
          <w:sz w:val="24"/>
          <w:szCs w:val="24"/>
          <w:lang w:val="en"/>
        </w:rPr>
        <w:t xml:space="preserve">S </w:t>
      </w:r>
      <w:r w:rsidRPr="00372D52">
        <w:rPr>
          <w:rFonts w:ascii="Book Antiqua" w:hAnsi="Book Antiqua"/>
          <w:i/>
          <w:iCs/>
          <w:sz w:val="24"/>
          <w:szCs w:val="24"/>
          <w:lang w:val="en"/>
        </w:rPr>
        <w:t>et al</w:t>
      </w:r>
      <w:r w:rsidRPr="00372D52">
        <w:rPr>
          <w:rFonts w:ascii="Book Antiqua" w:hAnsi="Book Antiqua"/>
          <w:sz w:val="24"/>
          <w:szCs w:val="24"/>
          <w:lang w:val="en"/>
        </w:rPr>
        <w:t>.</w:t>
      </w:r>
      <w:r w:rsidR="007E35EC" w:rsidRPr="00372D52">
        <w:rPr>
          <w:rFonts w:ascii="Book Antiqua" w:hAnsi="Book Antiqua"/>
          <w:sz w:val="24"/>
          <w:szCs w:val="24"/>
          <w:lang w:val="en"/>
        </w:rPr>
        <w:t xml:space="preserve"> </w:t>
      </w:r>
      <w:r w:rsidRPr="00372D52">
        <w:rPr>
          <w:rFonts w:ascii="Book Antiqua" w:hAnsi="Book Antiqua"/>
          <w:sz w:val="24"/>
          <w:szCs w:val="24"/>
          <w:lang w:val="en"/>
        </w:rPr>
        <w:t>Biomarker</w:t>
      </w:r>
      <w:r w:rsidR="008D59E3" w:rsidRPr="00372D52">
        <w:rPr>
          <w:rFonts w:ascii="Book Antiqua" w:hAnsi="Book Antiqua"/>
          <w:sz w:val="24"/>
          <w:szCs w:val="24"/>
          <w:lang w:val="en"/>
        </w:rPr>
        <w:t>s</w:t>
      </w:r>
      <w:r w:rsidRPr="00372D52">
        <w:rPr>
          <w:rFonts w:ascii="Book Antiqua" w:hAnsi="Book Antiqua"/>
          <w:sz w:val="24"/>
          <w:szCs w:val="24"/>
          <w:lang w:val="en"/>
        </w:rPr>
        <w:t xml:space="preserve"> in </w:t>
      </w:r>
      <w:r w:rsidR="007E35EC" w:rsidRPr="00372D52">
        <w:rPr>
          <w:rFonts w:ascii="Book Antiqua" w:hAnsi="Book Antiqua"/>
          <w:sz w:val="24"/>
          <w:szCs w:val="24"/>
          <w:lang w:val="en"/>
        </w:rPr>
        <w:t>acute pulmonary inflammation</w:t>
      </w:r>
    </w:p>
    <w:bookmarkEnd w:id="2"/>
    <w:p w14:paraId="478118F1" w14:textId="77777777" w:rsidR="00713BF2" w:rsidRPr="00372D52" w:rsidRDefault="00713BF2" w:rsidP="00372D52">
      <w:pPr>
        <w:spacing w:after="0" w:line="360" w:lineRule="auto"/>
        <w:jc w:val="both"/>
        <w:rPr>
          <w:rFonts w:ascii="Book Antiqua" w:hAnsi="Book Antiqua"/>
          <w:b/>
          <w:noProof/>
          <w:sz w:val="24"/>
          <w:szCs w:val="24"/>
        </w:rPr>
      </w:pPr>
    </w:p>
    <w:p w14:paraId="7E1524A2" w14:textId="728AF5E8" w:rsidR="00F462D1" w:rsidRPr="00372D52" w:rsidRDefault="00F462D1" w:rsidP="00372D52">
      <w:pPr>
        <w:spacing w:after="0" w:line="360" w:lineRule="auto"/>
        <w:jc w:val="both"/>
        <w:rPr>
          <w:rFonts w:ascii="Book Antiqua" w:hAnsi="Book Antiqua"/>
          <w:sz w:val="24"/>
          <w:szCs w:val="24"/>
        </w:rPr>
      </w:pPr>
      <w:r w:rsidRPr="00372D52">
        <w:rPr>
          <w:rFonts w:ascii="Book Antiqua" w:hAnsi="Book Antiqua"/>
          <w:sz w:val="24"/>
          <w:szCs w:val="24"/>
        </w:rPr>
        <w:t>Sarah Chalmers,</w:t>
      </w:r>
      <w:r w:rsidRPr="00372D52">
        <w:rPr>
          <w:rFonts w:ascii="Book Antiqua" w:hAnsi="Book Antiqua" w:cs="Tahoma"/>
          <w:sz w:val="24"/>
          <w:szCs w:val="24"/>
        </w:rPr>
        <w:t xml:space="preserve"> Ali Khawaja, </w:t>
      </w:r>
      <w:r w:rsidRPr="00372D52">
        <w:rPr>
          <w:rFonts w:ascii="Book Antiqua" w:hAnsi="Book Antiqua"/>
          <w:sz w:val="24"/>
          <w:szCs w:val="24"/>
        </w:rPr>
        <w:t>Patrick M Wieruszewski, Ognjen Gajic, Yewande Odeyemi</w:t>
      </w:r>
    </w:p>
    <w:p w14:paraId="0C2B46D4" w14:textId="77777777" w:rsidR="0071216B" w:rsidRPr="00372D52" w:rsidRDefault="0071216B" w:rsidP="00372D52">
      <w:pPr>
        <w:spacing w:after="0" w:line="360" w:lineRule="auto"/>
        <w:jc w:val="both"/>
        <w:rPr>
          <w:rFonts w:ascii="Book Antiqua" w:hAnsi="Book Antiqua"/>
          <w:sz w:val="24"/>
          <w:szCs w:val="24"/>
        </w:rPr>
      </w:pPr>
    </w:p>
    <w:p w14:paraId="7348DCBF" w14:textId="77777777" w:rsidR="00FA44A0" w:rsidRPr="00372D52" w:rsidRDefault="0071216B" w:rsidP="00372D52">
      <w:pPr>
        <w:spacing w:after="0" w:line="360" w:lineRule="auto"/>
        <w:jc w:val="both"/>
        <w:rPr>
          <w:rFonts w:ascii="Book Antiqua" w:hAnsi="Book Antiqua"/>
          <w:sz w:val="24"/>
          <w:szCs w:val="24"/>
        </w:rPr>
      </w:pPr>
      <w:r w:rsidRPr="00372D52">
        <w:rPr>
          <w:rFonts w:ascii="Book Antiqua" w:hAnsi="Book Antiqua"/>
          <w:b/>
          <w:sz w:val="24"/>
          <w:szCs w:val="24"/>
        </w:rPr>
        <w:t>Sarah Chalmers,</w:t>
      </w:r>
      <w:r w:rsidRPr="00372D52">
        <w:rPr>
          <w:rFonts w:ascii="Book Antiqua" w:hAnsi="Book Antiqua" w:cs="Tahoma"/>
          <w:b/>
          <w:sz w:val="24"/>
          <w:szCs w:val="24"/>
        </w:rPr>
        <w:t xml:space="preserve"> Ali Khawaja</w:t>
      </w:r>
      <w:r w:rsidRPr="00372D52">
        <w:rPr>
          <w:rFonts w:ascii="Book Antiqua" w:hAnsi="Book Antiqua"/>
          <w:b/>
          <w:sz w:val="24"/>
          <w:szCs w:val="24"/>
        </w:rPr>
        <w:t xml:space="preserve">, Patrick M Wieruszewski, Ognjen Gajic, Yewande Odeyemi, </w:t>
      </w:r>
      <w:r w:rsidRPr="00372D52">
        <w:rPr>
          <w:rFonts w:ascii="Book Antiqua" w:hAnsi="Book Antiqua"/>
          <w:sz w:val="24"/>
          <w:szCs w:val="24"/>
        </w:rPr>
        <w:t>Multidisciplinary Epidemiology and Translational Research in Intensive Care Group, Mayo Clinic, Rochester, MN 55905, United States</w:t>
      </w:r>
    </w:p>
    <w:p w14:paraId="4D499242" w14:textId="77777777" w:rsidR="0071216B" w:rsidRPr="00372D52" w:rsidRDefault="0071216B" w:rsidP="00372D52">
      <w:pPr>
        <w:spacing w:after="0" w:line="360" w:lineRule="auto"/>
        <w:jc w:val="both"/>
        <w:rPr>
          <w:rFonts w:ascii="Book Antiqua" w:hAnsi="Book Antiqua"/>
          <w:sz w:val="24"/>
          <w:szCs w:val="24"/>
        </w:rPr>
      </w:pPr>
    </w:p>
    <w:p w14:paraId="1A7CC605" w14:textId="77777777" w:rsidR="008D0685" w:rsidRPr="00372D52" w:rsidRDefault="0071216B" w:rsidP="00372D52">
      <w:pPr>
        <w:spacing w:after="0" w:line="360" w:lineRule="auto"/>
        <w:jc w:val="both"/>
        <w:rPr>
          <w:rFonts w:ascii="Book Antiqua" w:hAnsi="Book Antiqua"/>
          <w:sz w:val="24"/>
          <w:szCs w:val="24"/>
        </w:rPr>
      </w:pPr>
      <w:r w:rsidRPr="00372D52">
        <w:rPr>
          <w:rFonts w:ascii="Book Antiqua" w:hAnsi="Book Antiqua"/>
          <w:b/>
          <w:sz w:val="24"/>
          <w:szCs w:val="24"/>
        </w:rPr>
        <w:t>Sarah Chalmers,</w:t>
      </w:r>
      <w:r w:rsidRPr="00372D52">
        <w:rPr>
          <w:rFonts w:ascii="Book Antiqua" w:hAnsi="Book Antiqua" w:cs="Tahoma"/>
          <w:b/>
          <w:sz w:val="24"/>
          <w:szCs w:val="24"/>
        </w:rPr>
        <w:t xml:space="preserve"> Ali Khawaja</w:t>
      </w:r>
      <w:r w:rsidRPr="00372D52">
        <w:rPr>
          <w:rFonts w:ascii="Book Antiqua" w:hAnsi="Book Antiqua"/>
          <w:b/>
          <w:sz w:val="24"/>
          <w:szCs w:val="24"/>
        </w:rPr>
        <w:t xml:space="preserve">, Ognjen Gajic, Yewande Odeyemi, </w:t>
      </w:r>
      <w:r w:rsidR="008D0685" w:rsidRPr="00372D52">
        <w:rPr>
          <w:rFonts w:ascii="Book Antiqua" w:hAnsi="Book Antiqua"/>
          <w:sz w:val="24"/>
          <w:szCs w:val="24"/>
        </w:rPr>
        <w:t>Division of Pulmonary and Critical Care Medicine, Mayo Clinic, Rochester, MN 55905, United States</w:t>
      </w:r>
    </w:p>
    <w:p w14:paraId="3FC571B4" w14:textId="77777777" w:rsidR="0071216B" w:rsidRPr="00372D52" w:rsidRDefault="0071216B" w:rsidP="00372D52">
      <w:pPr>
        <w:spacing w:after="0" w:line="360" w:lineRule="auto"/>
        <w:jc w:val="both"/>
        <w:rPr>
          <w:rFonts w:ascii="Book Antiqua" w:hAnsi="Book Antiqua"/>
          <w:b/>
          <w:sz w:val="24"/>
          <w:szCs w:val="24"/>
        </w:rPr>
      </w:pPr>
    </w:p>
    <w:p w14:paraId="14A7CF99" w14:textId="77777777" w:rsidR="008D0685" w:rsidRPr="00372D52" w:rsidRDefault="00F462D1" w:rsidP="00372D52">
      <w:pPr>
        <w:spacing w:after="0" w:line="360" w:lineRule="auto"/>
        <w:jc w:val="both"/>
        <w:rPr>
          <w:rFonts w:ascii="Book Antiqua" w:hAnsi="Book Antiqua"/>
          <w:sz w:val="24"/>
          <w:szCs w:val="24"/>
        </w:rPr>
      </w:pPr>
      <w:r w:rsidRPr="00372D52">
        <w:rPr>
          <w:rFonts w:ascii="Book Antiqua" w:hAnsi="Book Antiqua"/>
          <w:b/>
          <w:sz w:val="24"/>
          <w:szCs w:val="24"/>
        </w:rPr>
        <w:t>Patrick M Wieruszewski</w:t>
      </w:r>
      <w:r w:rsidRPr="00372D52">
        <w:rPr>
          <w:rFonts w:ascii="Book Antiqua" w:hAnsi="Book Antiqua"/>
          <w:sz w:val="24"/>
          <w:szCs w:val="24"/>
        </w:rPr>
        <w:t>, Department of Pharmacy, Mayo Clinic, Rochester, MN 55905, United States</w:t>
      </w:r>
    </w:p>
    <w:p w14:paraId="04D3E5D2" w14:textId="77777777" w:rsidR="0071216B" w:rsidRPr="00372D52" w:rsidRDefault="0071216B" w:rsidP="00372D52">
      <w:pPr>
        <w:spacing w:after="0" w:line="360" w:lineRule="auto"/>
        <w:jc w:val="both"/>
        <w:rPr>
          <w:rFonts w:ascii="Book Antiqua" w:hAnsi="Book Antiqua"/>
          <w:sz w:val="24"/>
          <w:szCs w:val="24"/>
        </w:rPr>
      </w:pPr>
    </w:p>
    <w:p w14:paraId="50245678" w14:textId="3A8FE518" w:rsidR="0071216B" w:rsidRPr="00372D52" w:rsidRDefault="007E35EC" w:rsidP="00372D52">
      <w:pPr>
        <w:spacing w:after="0" w:line="360" w:lineRule="auto"/>
        <w:jc w:val="both"/>
        <w:rPr>
          <w:rFonts w:ascii="Book Antiqua" w:hAnsi="Book Antiqua"/>
          <w:sz w:val="24"/>
          <w:szCs w:val="24"/>
        </w:rPr>
      </w:pPr>
      <w:bookmarkStart w:id="3" w:name="_Hlk13661282"/>
      <w:r w:rsidRPr="00372D52">
        <w:rPr>
          <w:rFonts w:ascii="Book Antiqua" w:hAnsi="Book Antiqua" w:cs="Times New Roman"/>
          <w:b/>
          <w:sz w:val="24"/>
          <w:szCs w:val="24"/>
          <w:lang w:val="pt-BR"/>
        </w:rPr>
        <w:t>ORCID number:</w:t>
      </w:r>
      <w:r w:rsidRPr="00372D52">
        <w:rPr>
          <w:rFonts w:ascii="Book Antiqua" w:hAnsi="Book Antiqua"/>
          <w:b/>
          <w:sz w:val="24"/>
          <w:szCs w:val="24"/>
        </w:rPr>
        <w:t xml:space="preserve"> </w:t>
      </w:r>
      <w:bookmarkEnd w:id="3"/>
      <w:r w:rsidR="0071216B" w:rsidRPr="00372D52">
        <w:rPr>
          <w:rFonts w:ascii="Book Antiqua" w:hAnsi="Book Antiqua"/>
          <w:sz w:val="24"/>
          <w:szCs w:val="24"/>
        </w:rPr>
        <w:t xml:space="preserve">Sarah Chalmers </w:t>
      </w:r>
      <w:r w:rsidR="0071216B" w:rsidRPr="00372D52">
        <w:rPr>
          <w:rFonts w:ascii="Book Antiqua" w:hAnsi="Book Antiqua"/>
          <w:b/>
          <w:sz w:val="24"/>
          <w:szCs w:val="24"/>
        </w:rPr>
        <w:t>(</w:t>
      </w:r>
      <w:r w:rsidR="004D776F" w:rsidRPr="00372D52">
        <w:rPr>
          <w:rFonts w:ascii="Book Antiqua" w:hAnsi="Book Antiqua"/>
          <w:sz w:val="24"/>
          <w:szCs w:val="24"/>
          <w:lang w:val="en"/>
        </w:rPr>
        <w:t>0000-0001-6565-9023</w:t>
      </w:r>
      <w:r w:rsidR="0071216B" w:rsidRPr="00372D52">
        <w:rPr>
          <w:rFonts w:ascii="Book Antiqua" w:hAnsi="Book Antiqua"/>
          <w:b/>
          <w:sz w:val="24"/>
          <w:szCs w:val="24"/>
        </w:rPr>
        <w:t>)</w:t>
      </w:r>
      <w:r w:rsidRPr="00372D52">
        <w:rPr>
          <w:rFonts w:ascii="Book Antiqua" w:hAnsi="Book Antiqua"/>
          <w:sz w:val="24"/>
          <w:szCs w:val="24"/>
        </w:rPr>
        <w:t>;</w:t>
      </w:r>
      <w:r w:rsidR="00C24A32" w:rsidRPr="00372D52">
        <w:rPr>
          <w:rFonts w:ascii="Book Antiqua" w:hAnsi="Book Antiqua"/>
          <w:sz w:val="24"/>
          <w:szCs w:val="24"/>
        </w:rPr>
        <w:t xml:space="preserve"> Ali Khawaja (</w:t>
      </w:r>
      <w:r w:rsidR="000F24C0" w:rsidRPr="00372D52">
        <w:rPr>
          <w:rFonts w:ascii="Book Antiqua" w:hAnsi="Book Antiqua"/>
          <w:sz w:val="24"/>
          <w:szCs w:val="24"/>
        </w:rPr>
        <w:t>0000-0002-1595-9316</w:t>
      </w:r>
      <w:r w:rsidR="00C24A32" w:rsidRPr="00372D52">
        <w:rPr>
          <w:rFonts w:ascii="Book Antiqua" w:hAnsi="Book Antiqua"/>
          <w:sz w:val="24"/>
          <w:szCs w:val="24"/>
        </w:rPr>
        <w:t>)</w:t>
      </w:r>
      <w:r w:rsidRPr="00372D52">
        <w:rPr>
          <w:rFonts w:ascii="Book Antiqua" w:hAnsi="Book Antiqua"/>
          <w:sz w:val="24"/>
          <w:szCs w:val="24"/>
        </w:rPr>
        <w:t>;</w:t>
      </w:r>
      <w:r w:rsidR="00DB420B" w:rsidRPr="00372D52">
        <w:rPr>
          <w:rFonts w:ascii="Book Antiqua" w:hAnsi="Book Antiqua"/>
          <w:sz w:val="24"/>
          <w:szCs w:val="24"/>
        </w:rPr>
        <w:t xml:space="preserve"> </w:t>
      </w:r>
      <w:r w:rsidR="00C24A32" w:rsidRPr="00372D52">
        <w:rPr>
          <w:rFonts w:ascii="Book Antiqua" w:hAnsi="Book Antiqua"/>
          <w:sz w:val="24"/>
          <w:szCs w:val="24"/>
        </w:rPr>
        <w:t>Patrick</w:t>
      </w:r>
      <w:r w:rsidR="00DB420B" w:rsidRPr="00372D52">
        <w:rPr>
          <w:rFonts w:ascii="Book Antiqua" w:hAnsi="Book Antiqua"/>
          <w:sz w:val="24"/>
          <w:szCs w:val="24"/>
        </w:rPr>
        <w:t xml:space="preserve"> M</w:t>
      </w:r>
      <w:r w:rsidR="00C24A32" w:rsidRPr="00372D52">
        <w:rPr>
          <w:rFonts w:ascii="Book Antiqua" w:hAnsi="Book Antiqua"/>
          <w:sz w:val="24"/>
          <w:szCs w:val="24"/>
        </w:rPr>
        <w:t xml:space="preserve"> Wieruszewski</w:t>
      </w:r>
      <w:r w:rsidR="00C24A32" w:rsidRPr="00372D52">
        <w:rPr>
          <w:rFonts w:ascii="Book Antiqua" w:hAnsi="Book Antiqua"/>
          <w:b/>
          <w:sz w:val="24"/>
          <w:szCs w:val="24"/>
        </w:rPr>
        <w:t xml:space="preserve"> </w:t>
      </w:r>
      <w:r w:rsidR="00C24A32" w:rsidRPr="00372D52">
        <w:rPr>
          <w:rFonts w:ascii="Book Antiqua" w:hAnsi="Book Antiqua"/>
          <w:sz w:val="24"/>
          <w:szCs w:val="24"/>
        </w:rPr>
        <w:t>(0000-0002-5871-5186)</w:t>
      </w:r>
      <w:r w:rsidRPr="00372D52">
        <w:rPr>
          <w:rFonts w:ascii="Book Antiqua" w:hAnsi="Book Antiqua"/>
          <w:sz w:val="24"/>
          <w:szCs w:val="24"/>
        </w:rPr>
        <w:t>;</w:t>
      </w:r>
      <w:r w:rsidR="0071216B" w:rsidRPr="00372D52">
        <w:rPr>
          <w:rFonts w:ascii="Book Antiqua" w:hAnsi="Book Antiqua"/>
          <w:sz w:val="24"/>
          <w:szCs w:val="24"/>
        </w:rPr>
        <w:t xml:space="preserve"> Ognjen Gajic (0000-0003-4218-0890)</w:t>
      </w:r>
      <w:r w:rsidRPr="00372D52">
        <w:rPr>
          <w:rFonts w:ascii="Book Antiqua" w:hAnsi="Book Antiqua"/>
          <w:sz w:val="24"/>
          <w:szCs w:val="24"/>
        </w:rPr>
        <w:t>;</w:t>
      </w:r>
      <w:r w:rsidR="0071216B" w:rsidRPr="00372D52">
        <w:rPr>
          <w:rFonts w:ascii="Book Antiqua" w:hAnsi="Book Antiqua"/>
          <w:sz w:val="24"/>
          <w:szCs w:val="24"/>
        </w:rPr>
        <w:t xml:space="preserve"> Yewande Odeyemi(0000-0002-4446-198X)</w:t>
      </w:r>
      <w:r w:rsidRPr="00372D52">
        <w:rPr>
          <w:rFonts w:ascii="Book Antiqua" w:hAnsi="Book Antiqua"/>
          <w:sz w:val="24"/>
          <w:szCs w:val="24"/>
        </w:rPr>
        <w:t>.</w:t>
      </w:r>
    </w:p>
    <w:p w14:paraId="1D1627BE" w14:textId="77777777" w:rsidR="0071216B" w:rsidRPr="00372D52" w:rsidRDefault="0071216B" w:rsidP="00372D52">
      <w:pPr>
        <w:spacing w:after="0" w:line="360" w:lineRule="auto"/>
        <w:jc w:val="both"/>
        <w:rPr>
          <w:rFonts w:ascii="Book Antiqua" w:hAnsi="Book Antiqua"/>
          <w:sz w:val="24"/>
          <w:szCs w:val="24"/>
        </w:rPr>
      </w:pPr>
    </w:p>
    <w:p w14:paraId="75FF57F2" w14:textId="07F97FE3" w:rsidR="008D0685" w:rsidRPr="00372D52" w:rsidRDefault="007E35EC" w:rsidP="00372D52">
      <w:pPr>
        <w:spacing w:after="0" w:line="360" w:lineRule="auto"/>
        <w:jc w:val="both"/>
        <w:rPr>
          <w:rFonts w:ascii="Book Antiqua" w:hAnsi="Book Antiqua"/>
          <w:sz w:val="24"/>
          <w:szCs w:val="24"/>
        </w:rPr>
      </w:pPr>
      <w:r w:rsidRPr="00372D52">
        <w:rPr>
          <w:rFonts w:ascii="Book Antiqua" w:hAnsi="Book Antiqua" w:cs="Times New Roman"/>
          <w:b/>
          <w:sz w:val="24"/>
          <w:szCs w:val="24"/>
        </w:rPr>
        <w:t xml:space="preserve">Author contributions: </w:t>
      </w:r>
      <w:r w:rsidR="00C24A32" w:rsidRPr="00372D52">
        <w:rPr>
          <w:rFonts w:ascii="Book Antiqua" w:hAnsi="Book Antiqua"/>
          <w:sz w:val="24"/>
          <w:szCs w:val="24"/>
        </w:rPr>
        <w:t>Chalmers S</w:t>
      </w:r>
      <w:r w:rsidR="0071216B" w:rsidRPr="00372D52">
        <w:rPr>
          <w:rFonts w:ascii="Book Antiqua" w:hAnsi="Book Antiqua"/>
          <w:sz w:val="24"/>
          <w:szCs w:val="24"/>
        </w:rPr>
        <w:t>,</w:t>
      </w:r>
      <w:r w:rsidR="00C24A32" w:rsidRPr="00372D52">
        <w:rPr>
          <w:rFonts w:ascii="Book Antiqua" w:hAnsi="Book Antiqua"/>
          <w:sz w:val="24"/>
          <w:szCs w:val="24"/>
        </w:rPr>
        <w:t xml:space="preserve"> Khawaja A, </w:t>
      </w:r>
      <w:proofErr w:type="spellStart"/>
      <w:r w:rsidR="00C24A32" w:rsidRPr="00372D52">
        <w:rPr>
          <w:rFonts w:ascii="Book Antiqua" w:hAnsi="Book Antiqua"/>
          <w:sz w:val="24"/>
          <w:szCs w:val="24"/>
        </w:rPr>
        <w:t>Wieruszewski</w:t>
      </w:r>
      <w:proofErr w:type="spellEnd"/>
      <w:r w:rsidR="00C24A32" w:rsidRPr="00372D52">
        <w:rPr>
          <w:rFonts w:ascii="Book Antiqua" w:hAnsi="Book Antiqua"/>
          <w:sz w:val="24"/>
          <w:szCs w:val="24"/>
        </w:rPr>
        <w:t xml:space="preserve"> P</w:t>
      </w:r>
      <w:r w:rsidR="00C8120E" w:rsidRPr="00372D52">
        <w:rPr>
          <w:rFonts w:ascii="Book Antiqua" w:hAnsi="Book Antiqua"/>
          <w:sz w:val="24"/>
          <w:szCs w:val="24"/>
        </w:rPr>
        <w:t>M</w:t>
      </w:r>
      <w:r w:rsidR="00C24A32" w:rsidRPr="00372D52">
        <w:rPr>
          <w:rFonts w:ascii="Book Antiqua" w:hAnsi="Book Antiqua"/>
          <w:sz w:val="24"/>
          <w:szCs w:val="24"/>
        </w:rPr>
        <w:t xml:space="preserve">, </w:t>
      </w:r>
      <w:proofErr w:type="spellStart"/>
      <w:r w:rsidR="0071216B" w:rsidRPr="00372D52">
        <w:rPr>
          <w:rFonts w:ascii="Book Antiqua" w:hAnsi="Book Antiqua"/>
          <w:sz w:val="24"/>
          <w:szCs w:val="24"/>
        </w:rPr>
        <w:t>Ognjen</w:t>
      </w:r>
      <w:proofErr w:type="spellEnd"/>
      <w:r w:rsidR="0071216B" w:rsidRPr="00372D52">
        <w:rPr>
          <w:rFonts w:ascii="Book Antiqua" w:hAnsi="Book Antiqua"/>
          <w:sz w:val="24"/>
          <w:szCs w:val="24"/>
        </w:rPr>
        <w:t xml:space="preserve"> G,</w:t>
      </w:r>
      <w:r w:rsidR="00C24A32" w:rsidRPr="00372D52">
        <w:rPr>
          <w:rFonts w:ascii="Book Antiqua" w:hAnsi="Book Antiqua"/>
          <w:sz w:val="24"/>
          <w:szCs w:val="24"/>
        </w:rPr>
        <w:t xml:space="preserve"> and Odeyemi Y</w:t>
      </w:r>
      <w:r w:rsidR="0071216B" w:rsidRPr="00372D52">
        <w:rPr>
          <w:rFonts w:ascii="Book Antiqua" w:hAnsi="Book Antiqua"/>
          <w:sz w:val="24"/>
          <w:szCs w:val="24"/>
        </w:rPr>
        <w:t>, contributed to writing of the manuscript, provided intellectual contributions</w:t>
      </w:r>
    </w:p>
    <w:p w14:paraId="5FDDDA65" w14:textId="77777777" w:rsidR="00C24A32" w:rsidRPr="00372D52" w:rsidRDefault="00C24A32" w:rsidP="00372D52">
      <w:pPr>
        <w:spacing w:after="0" w:line="360" w:lineRule="auto"/>
        <w:jc w:val="both"/>
        <w:rPr>
          <w:rFonts w:ascii="Book Antiqua" w:hAnsi="Book Antiqua"/>
          <w:sz w:val="24"/>
          <w:szCs w:val="24"/>
        </w:rPr>
      </w:pPr>
    </w:p>
    <w:p w14:paraId="5D103BB7" w14:textId="3D912513" w:rsidR="00C24A32" w:rsidRPr="00372D52" w:rsidRDefault="007E35EC" w:rsidP="00372D52">
      <w:pPr>
        <w:spacing w:after="0" w:line="360" w:lineRule="auto"/>
        <w:jc w:val="both"/>
        <w:rPr>
          <w:rFonts w:ascii="Book Antiqua" w:hAnsi="Book Antiqua"/>
          <w:sz w:val="24"/>
          <w:szCs w:val="24"/>
        </w:rPr>
      </w:pPr>
      <w:bookmarkStart w:id="4" w:name="_Hlk7505351"/>
      <w:r w:rsidRPr="00372D52">
        <w:rPr>
          <w:rFonts w:ascii="Book Antiqua" w:hAnsi="Book Antiqua" w:cs="TimesNewRomanPS-BoldItalicMT"/>
          <w:b/>
          <w:bCs/>
          <w:iCs/>
          <w:sz w:val="24"/>
          <w:szCs w:val="24"/>
        </w:rPr>
        <w:t>Conflict-of-interest</w:t>
      </w:r>
      <w:r w:rsidRPr="00372D52">
        <w:rPr>
          <w:rFonts w:ascii="Book Antiqua" w:hAnsi="Book Antiqua"/>
          <w:sz w:val="24"/>
          <w:szCs w:val="24"/>
        </w:rPr>
        <w:t xml:space="preserve"> </w:t>
      </w:r>
      <w:r w:rsidRPr="00372D52">
        <w:rPr>
          <w:rFonts w:ascii="Book Antiqua" w:hAnsi="Book Antiqua" w:cs="TimesNewRomanPS-BoldItalicMT"/>
          <w:b/>
          <w:bCs/>
          <w:iCs/>
          <w:sz w:val="24"/>
          <w:szCs w:val="24"/>
        </w:rPr>
        <w:t xml:space="preserve">statement: </w:t>
      </w:r>
      <w:bookmarkEnd w:id="4"/>
      <w:r w:rsidR="00C24A32" w:rsidRPr="00372D52">
        <w:rPr>
          <w:rFonts w:ascii="Book Antiqua" w:hAnsi="Book Antiqua"/>
          <w:sz w:val="24"/>
          <w:szCs w:val="24"/>
        </w:rPr>
        <w:t>Authors declare no conflict of interests for this article.</w:t>
      </w:r>
    </w:p>
    <w:p w14:paraId="52CFD251" w14:textId="77777777" w:rsidR="00C24A32" w:rsidRPr="00372D52" w:rsidRDefault="00C24A32" w:rsidP="00372D52">
      <w:pPr>
        <w:spacing w:after="0" w:line="360" w:lineRule="auto"/>
        <w:jc w:val="both"/>
        <w:rPr>
          <w:rFonts w:ascii="Book Antiqua" w:hAnsi="Book Antiqua"/>
          <w:sz w:val="24"/>
          <w:szCs w:val="24"/>
        </w:rPr>
      </w:pPr>
    </w:p>
    <w:p w14:paraId="06B1C89E" w14:textId="77777777" w:rsidR="007E35EC" w:rsidRPr="00372D52" w:rsidRDefault="007E35EC" w:rsidP="00372D52">
      <w:pPr>
        <w:widowControl w:val="0"/>
        <w:spacing w:after="0" w:line="360" w:lineRule="auto"/>
        <w:jc w:val="both"/>
        <w:rPr>
          <w:rFonts w:ascii="Book Antiqua" w:hAnsi="Book Antiqua" w:cs="Times New Roman"/>
          <w:b/>
          <w:sz w:val="24"/>
          <w:szCs w:val="24"/>
        </w:rPr>
      </w:pPr>
      <w:bookmarkStart w:id="5" w:name="OLE_LINK1839"/>
      <w:bookmarkStart w:id="6" w:name="OLE_LINK1840"/>
      <w:bookmarkStart w:id="7" w:name="OLE_LINK1024"/>
      <w:bookmarkStart w:id="8" w:name="OLE_LINK1025"/>
      <w:bookmarkStart w:id="9" w:name="OLE_LINK570"/>
      <w:bookmarkStart w:id="10" w:name="OLE_LINK1096"/>
      <w:bookmarkStart w:id="11" w:name="OLE_LINK1097"/>
      <w:bookmarkStart w:id="12" w:name="OLE_LINK1098"/>
      <w:bookmarkStart w:id="13" w:name="OLE_LINK985"/>
      <w:bookmarkStart w:id="14" w:name="OLE_LINK986"/>
      <w:bookmarkStart w:id="15" w:name="OLE_LINK1122"/>
      <w:bookmarkStart w:id="16" w:name="OLE_LINK649"/>
      <w:bookmarkStart w:id="17" w:name="OLE_LINK650"/>
      <w:bookmarkStart w:id="18" w:name="OLE_LINK1706"/>
      <w:bookmarkStart w:id="19" w:name="OLE_LINK1707"/>
      <w:bookmarkStart w:id="20" w:name="OLE_LINK564"/>
      <w:bookmarkStart w:id="21" w:name="OLE_LINK155"/>
      <w:bookmarkStart w:id="22" w:name="OLE_LINK183"/>
      <w:bookmarkStart w:id="23" w:name="OLE_LINK441"/>
      <w:bookmarkStart w:id="24" w:name="OLE_LINK142"/>
      <w:bookmarkStart w:id="25" w:name="OLE_LINK376"/>
      <w:bookmarkStart w:id="26" w:name="OLE_LINK687"/>
      <w:bookmarkStart w:id="27" w:name="OLE_LINK716"/>
      <w:bookmarkStart w:id="28" w:name="OLE_LINK731"/>
      <w:bookmarkStart w:id="29" w:name="OLE_LINK809"/>
      <w:bookmarkStart w:id="30" w:name="OLE_LINK812"/>
      <w:bookmarkStart w:id="31" w:name="OLE_LINK916"/>
      <w:bookmarkStart w:id="32" w:name="OLE_LINK917"/>
      <w:bookmarkStart w:id="33" w:name="OLE_LINK1013"/>
      <w:bookmarkStart w:id="34" w:name="OLE_LINK1015"/>
      <w:bookmarkStart w:id="35" w:name="OLE_LINK1016"/>
      <w:bookmarkStart w:id="36" w:name="OLE_LINK1546"/>
      <w:bookmarkStart w:id="37" w:name="OLE_LINK1547"/>
      <w:bookmarkStart w:id="38" w:name="OLE_LINK1596"/>
      <w:bookmarkStart w:id="39" w:name="OLE_LINK1749"/>
      <w:bookmarkStart w:id="40" w:name="OLE_LINK1750"/>
      <w:bookmarkStart w:id="41" w:name="OLE_LINK1751"/>
      <w:bookmarkStart w:id="42" w:name="OLE_LINK1924"/>
      <w:bookmarkStart w:id="43" w:name="OLE_LINK1933"/>
      <w:bookmarkStart w:id="44" w:name="OLE_LINK1934"/>
      <w:bookmarkStart w:id="45" w:name="OLE_LINK1935"/>
      <w:bookmarkStart w:id="46" w:name="OLE_LINK1996"/>
      <w:bookmarkStart w:id="47" w:name="OLE_LINK1896"/>
      <w:bookmarkStart w:id="48" w:name="OLE_LINK1900"/>
      <w:bookmarkStart w:id="49" w:name="OLE_LINK2088"/>
      <w:bookmarkStart w:id="50" w:name="_Hlk7505383"/>
      <w:bookmarkStart w:id="51" w:name="OLE_LINK42"/>
      <w:bookmarkStart w:id="52" w:name="OLE_LINK53"/>
      <w:r w:rsidRPr="00372D52">
        <w:rPr>
          <w:rFonts w:ascii="Book Antiqua" w:hAnsi="Book Antiqua" w:cs="Times New Roman"/>
          <w:b/>
          <w:sz w:val="24"/>
          <w:szCs w:val="24"/>
        </w:rPr>
        <w:lastRenderedPageBreak/>
        <w:t>Open-Access:</w:t>
      </w:r>
      <w:bookmarkEnd w:id="5"/>
      <w:bookmarkEnd w:id="6"/>
      <w:r w:rsidRPr="00372D52">
        <w:rPr>
          <w:rFonts w:ascii="Book Antiqua" w:hAnsi="Book Antiqua" w:cs="Times New Roman"/>
          <w:b/>
          <w:sz w:val="24"/>
          <w:szCs w:val="24"/>
        </w:rPr>
        <w:t xml:space="preserve"> </w:t>
      </w:r>
      <w:bookmarkStart w:id="53" w:name="OLE_LINK760"/>
      <w:bookmarkStart w:id="54" w:name="OLE_LINK907"/>
      <w:bookmarkStart w:id="55" w:name="OLE_LINK1365"/>
      <w:bookmarkStart w:id="56" w:name="OLE_LINK25"/>
      <w:r w:rsidRPr="00372D52">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53"/>
      <w:bookmarkEnd w:id="54"/>
      <w:bookmarkEnd w:id="55"/>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56"/>
    <w:p w14:paraId="6D6A00A1" w14:textId="77777777" w:rsidR="007E35EC" w:rsidRPr="00372D52" w:rsidRDefault="007E35EC" w:rsidP="00372D52">
      <w:pPr>
        <w:widowControl w:val="0"/>
        <w:spacing w:after="0" w:line="360" w:lineRule="auto"/>
        <w:jc w:val="both"/>
        <w:rPr>
          <w:rFonts w:ascii="Book Antiqua" w:hAnsi="Book Antiqua" w:cs="Arial Unicode MS"/>
          <w:kern w:val="2"/>
          <w:sz w:val="24"/>
          <w:szCs w:val="24"/>
        </w:rPr>
      </w:pPr>
    </w:p>
    <w:p w14:paraId="16A71947" w14:textId="0DD5117C" w:rsidR="007E35EC" w:rsidRPr="00372D52" w:rsidRDefault="007E35EC" w:rsidP="00372D52">
      <w:pPr>
        <w:widowControl w:val="0"/>
        <w:autoSpaceDE w:val="0"/>
        <w:autoSpaceDN w:val="0"/>
        <w:adjustRightInd w:val="0"/>
        <w:spacing w:after="0" w:line="360" w:lineRule="auto"/>
        <w:jc w:val="both"/>
        <w:rPr>
          <w:rFonts w:ascii="Book Antiqua" w:hAnsi="Book Antiqua" w:cs="Arial Unicode MS"/>
          <w:kern w:val="2"/>
          <w:sz w:val="24"/>
          <w:szCs w:val="24"/>
        </w:rPr>
      </w:pPr>
      <w:bookmarkStart w:id="57" w:name="OLE_LINK918"/>
      <w:bookmarkStart w:id="58" w:name="OLE_LINK919"/>
      <w:bookmarkStart w:id="59" w:name="OLE_LINK571"/>
      <w:bookmarkStart w:id="60" w:name="OLE_LINK776"/>
      <w:bookmarkStart w:id="61" w:name="OLE_LINK927"/>
      <w:bookmarkStart w:id="62" w:name="OLE_LINK1123"/>
      <w:bookmarkStart w:id="63" w:name="OLE_LINK709"/>
      <w:bookmarkStart w:id="64" w:name="OLE_LINK759"/>
      <w:r w:rsidRPr="00372D52">
        <w:rPr>
          <w:rFonts w:ascii="Book Antiqua" w:hAnsi="Book Antiqua" w:cs="Arial Unicode MS"/>
          <w:b/>
          <w:kern w:val="2"/>
          <w:sz w:val="24"/>
          <w:szCs w:val="24"/>
        </w:rPr>
        <w:t>Manuscript source:</w:t>
      </w:r>
      <w:r w:rsidRPr="00372D52">
        <w:rPr>
          <w:rFonts w:ascii="Book Antiqua" w:hAnsi="Book Antiqua" w:cs="Arial Unicode MS"/>
          <w:kern w:val="2"/>
          <w:sz w:val="24"/>
          <w:szCs w:val="24"/>
        </w:rPr>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7"/>
      <w:bookmarkEnd w:id="58"/>
      <w:bookmarkEnd w:id="59"/>
      <w:bookmarkEnd w:id="60"/>
      <w:bookmarkEnd w:id="61"/>
      <w:bookmarkEnd w:id="62"/>
      <w:bookmarkEnd w:id="63"/>
      <w:bookmarkEnd w:id="64"/>
      <w:r w:rsidRPr="00372D52">
        <w:rPr>
          <w:rFonts w:ascii="Book Antiqua" w:hAnsi="Book Antiqua" w:cs="Times New Roman"/>
          <w:sz w:val="24"/>
          <w:szCs w:val="24"/>
          <w:lang w:eastAsia="zh-CN"/>
        </w:rPr>
        <w:t>Invited manuscript</w:t>
      </w:r>
    </w:p>
    <w:p w14:paraId="238164C7" w14:textId="77777777" w:rsidR="007E35EC" w:rsidRPr="00372D52" w:rsidRDefault="007E35EC" w:rsidP="00372D52">
      <w:pPr>
        <w:spacing w:after="0" w:line="360" w:lineRule="auto"/>
        <w:jc w:val="both"/>
        <w:rPr>
          <w:rFonts w:ascii="Book Antiqua" w:hAnsi="Book Antiqua" w:cs="Book Antiqua"/>
          <w:sz w:val="24"/>
          <w:szCs w:val="24"/>
        </w:rPr>
      </w:pPr>
    </w:p>
    <w:p w14:paraId="09C44A6A" w14:textId="7F31592C" w:rsidR="008D0685" w:rsidRPr="00372D52" w:rsidRDefault="007E35EC" w:rsidP="00372D52">
      <w:pPr>
        <w:spacing w:after="0" w:line="360" w:lineRule="auto"/>
        <w:jc w:val="both"/>
        <w:rPr>
          <w:rFonts w:ascii="Book Antiqua" w:hAnsi="Book Antiqua"/>
          <w:sz w:val="24"/>
          <w:szCs w:val="24"/>
        </w:rPr>
      </w:pPr>
      <w:bookmarkStart w:id="65" w:name="OLE_LINK951"/>
      <w:bookmarkStart w:id="66" w:name="OLE_LINK950"/>
      <w:bookmarkStart w:id="67" w:name="OLE_LINK949"/>
      <w:bookmarkStart w:id="68" w:name="OLE_LINK948"/>
      <w:bookmarkStart w:id="69" w:name="OLE_LINK1997"/>
      <w:bookmarkStart w:id="70" w:name="OLE_LINK1752"/>
      <w:bookmarkStart w:id="71" w:name="OLE_LINK1271"/>
      <w:bookmarkStart w:id="72" w:name="OLE_LINK1270"/>
      <w:bookmarkStart w:id="73" w:name="OLE_LINK1269"/>
      <w:bookmarkStart w:id="74" w:name="OLE_LINK1268"/>
      <w:bookmarkStart w:id="75" w:name="OLE_LINK1267"/>
      <w:bookmarkStart w:id="76" w:name="OLE_LINK1263"/>
      <w:bookmarkStart w:id="77" w:name="OLE_LINK1031"/>
      <w:bookmarkStart w:id="78" w:name="OLE_LINK1020"/>
      <w:bookmarkStart w:id="79" w:name="OLE_LINK1019"/>
      <w:bookmarkStart w:id="80" w:name="OLE_LINK1018"/>
      <w:r w:rsidRPr="00372D52">
        <w:rPr>
          <w:rFonts w:ascii="Book Antiqua" w:hAnsi="Book Antiqua"/>
          <w:b/>
          <w:sz w:val="24"/>
          <w:szCs w:val="24"/>
          <w:lang w:val="pt-BR"/>
        </w:rPr>
        <w:t>Correspond</w:t>
      </w:r>
      <w:bookmarkEnd w:id="65"/>
      <w:bookmarkEnd w:id="66"/>
      <w:bookmarkEnd w:id="67"/>
      <w:bookmarkEnd w:id="68"/>
      <w:r w:rsidRPr="00372D52">
        <w:rPr>
          <w:rFonts w:ascii="Book Antiqua" w:hAnsi="Book Antiqua"/>
          <w:b/>
          <w:sz w:val="24"/>
          <w:szCs w:val="24"/>
          <w:lang w:val="pt-BR"/>
        </w:rPr>
        <w:t>ing author:</w:t>
      </w:r>
      <w:bookmarkEnd w:id="69"/>
      <w:bookmarkEnd w:id="70"/>
      <w:bookmarkEnd w:id="71"/>
      <w:bookmarkEnd w:id="72"/>
      <w:bookmarkEnd w:id="73"/>
      <w:bookmarkEnd w:id="74"/>
      <w:bookmarkEnd w:id="75"/>
      <w:bookmarkEnd w:id="76"/>
      <w:bookmarkEnd w:id="77"/>
      <w:bookmarkEnd w:id="78"/>
      <w:bookmarkEnd w:id="79"/>
      <w:bookmarkEnd w:id="80"/>
      <w:r w:rsidRPr="00372D52">
        <w:rPr>
          <w:rFonts w:ascii="Book Antiqua" w:hAnsi="Book Antiqua"/>
          <w:b/>
          <w:sz w:val="24"/>
          <w:szCs w:val="24"/>
          <w:lang w:val="pt-BR"/>
        </w:rPr>
        <w:t xml:space="preserve"> </w:t>
      </w:r>
      <w:bookmarkEnd w:id="50"/>
      <w:bookmarkEnd w:id="51"/>
      <w:bookmarkEnd w:id="52"/>
      <w:r w:rsidR="006C0051" w:rsidRPr="00372D52">
        <w:rPr>
          <w:rFonts w:ascii="Book Antiqua" w:hAnsi="Book Antiqua"/>
          <w:b/>
          <w:sz w:val="24"/>
          <w:szCs w:val="24"/>
        </w:rPr>
        <w:t xml:space="preserve">Sarah Chalmers, </w:t>
      </w:r>
      <w:r w:rsidRPr="00372D52">
        <w:rPr>
          <w:rFonts w:ascii="Book Antiqua" w:hAnsi="Book Antiqua"/>
          <w:b/>
          <w:sz w:val="24"/>
          <w:szCs w:val="24"/>
        </w:rPr>
        <w:t xml:space="preserve">MD, Fellow, </w:t>
      </w:r>
      <w:bookmarkStart w:id="81" w:name="OLE_LINK77"/>
      <w:r w:rsidR="008D0685" w:rsidRPr="00372D52">
        <w:rPr>
          <w:rFonts w:ascii="Book Antiqua" w:hAnsi="Book Antiqua"/>
          <w:sz w:val="24"/>
          <w:szCs w:val="24"/>
        </w:rPr>
        <w:t>Division of Pulmonary and Critical Care Medicine</w:t>
      </w:r>
      <w:bookmarkEnd w:id="81"/>
      <w:r w:rsidR="008D0685" w:rsidRPr="00372D52">
        <w:rPr>
          <w:rFonts w:ascii="Book Antiqua" w:hAnsi="Book Antiqua"/>
          <w:sz w:val="24"/>
          <w:szCs w:val="24"/>
        </w:rPr>
        <w:t xml:space="preserve">, Mayo Clinic, </w:t>
      </w:r>
      <w:bookmarkStart w:id="82" w:name="OLE_LINK78"/>
      <w:bookmarkStart w:id="83" w:name="OLE_LINK79"/>
      <w:r w:rsidR="008D0685" w:rsidRPr="00372D52">
        <w:rPr>
          <w:rFonts w:ascii="Book Antiqua" w:hAnsi="Book Antiqua"/>
          <w:sz w:val="24"/>
          <w:szCs w:val="24"/>
        </w:rPr>
        <w:t>200 First Street SW</w:t>
      </w:r>
      <w:bookmarkEnd w:id="82"/>
      <w:bookmarkEnd w:id="83"/>
      <w:r w:rsidR="008D0685" w:rsidRPr="00372D52">
        <w:rPr>
          <w:rFonts w:ascii="Book Antiqua" w:hAnsi="Book Antiqua"/>
          <w:sz w:val="24"/>
          <w:szCs w:val="24"/>
        </w:rPr>
        <w:t>, Rochester, MN 55905, United States.</w:t>
      </w:r>
      <w:r w:rsidR="00F43D02" w:rsidRPr="00372D52">
        <w:rPr>
          <w:rFonts w:ascii="Book Antiqua" w:hAnsi="Book Antiqua"/>
          <w:sz w:val="24"/>
          <w:szCs w:val="24"/>
        </w:rPr>
        <w:t xml:space="preserve"> </w:t>
      </w:r>
      <w:r w:rsidR="001A1FB4" w:rsidRPr="003467CF">
        <w:rPr>
          <w:rFonts w:ascii="Book Antiqua" w:hAnsi="Book Antiqua"/>
          <w:sz w:val="24"/>
          <w:szCs w:val="24"/>
        </w:rPr>
        <w:t>chalmers</w:t>
      </w:r>
      <w:r w:rsidR="00C24A32" w:rsidRPr="003467CF">
        <w:rPr>
          <w:rFonts w:ascii="Book Antiqua" w:hAnsi="Book Antiqua"/>
          <w:sz w:val="24"/>
          <w:szCs w:val="24"/>
        </w:rPr>
        <w:t>.</w:t>
      </w:r>
      <w:r w:rsidR="001A1FB4" w:rsidRPr="003467CF">
        <w:rPr>
          <w:rFonts w:ascii="Book Antiqua" w:hAnsi="Book Antiqua"/>
          <w:sz w:val="24"/>
          <w:szCs w:val="24"/>
        </w:rPr>
        <w:t>sarah</w:t>
      </w:r>
      <w:r w:rsidR="008D0685" w:rsidRPr="003467CF">
        <w:rPr>
          <w:rFonts w:ascii="Book Antiqua" w:hAnsi="Book Antiqua"/>
          <w:sz w:val="24"/>
          <w:szCs w:val="24"/>
        </w:rPr>
        <w:t>@mayo.edu</w:t>
      </w:r>
    </w:p>
    <w:p w14:paraId="41DAC9AE" w14:textId="644F44BE" w:rsidR="00713BF2" w:rsidRPr="00372D52" w:rsidRDefault="00713BF2" w:rsidP="00372D52">
      <w:pPr>
        <w:widowControl w:val="0"/>
        <w:tabs>
          <w:tab w:val="left" w:pos="1775"/>
        </w:tabs>
        <w:adjustRightInd w:val="0"/>
        <w:snapToGrid w:val="0"/>
        <w:spacing w:after="0" w:line="360" w:lineRule="auto"/>
        <w:jc w:val="both"/>
        <w:rPr>
          <w:rFonts w:ascii="Book Antiqua" w:hAnsi="Book Antiqua" w:cs="Times New Roman"/>
          <w:bCs/>
          <w:kern w:val="2"/>
          <w:sz w:val="24"/>
          <w:szCs w:val="24"/>
        </w:rPr>
      </w:pPr>
      <w:r w:rsidRPr="00372D52">
        <w:rPr>
          <w:rFonts w:ascii="Book Antiqua" w:hAnsi="Book Antiqua" w:cs="Times New Roman"/>
          <w:b/>
          <w:kern w:val="2"/>
          <w:sz w:val="24"/>
          <w:szCs w:val="24"/>
        </w:rPr>
        <w:t>Telephone:</w:t>
      </w:r>
      <w:r w:rsidR="00666449" w:rsidRPr="00372D52">
        <w:rPr>
          <w:rFonts w:ascii="Book Antiqua" w:hAnsi="Book Antiqua" w:cs="Times New Roman"/>
          <w:b/>
          <w:kern w:val="2"/>
          <w:sz w:val="24"/>
          <w:szCs w:val="24"/>
        </w:rPr>
        <w:t xml:space="preserve"> </w:t>
      </w:r>
      <w:r w:rsidR="007E35EC" w:rsidRPr="00372D52">
        <w:rPr>
          <w:rFonts w:ascii="Book Antiqua" w:hAnsi="Book Antiqua" w:cs="Times New Roman"/>
          <w:bCs/>
          <w:kern w:val="2"/>
          <w:sz w:val="24"/>
          <w:szCs w:val="24"/>
        </w:rPr>
        <w:t>+1-</w:t>
      </w:r>
      <w:r w:rsidR="00666449" w:rsidRPr="00372D52">
        <w:rPr>
          <w:rFonts w:ascii="Book Antiqua" w:hAnsi="Book Antiqua" w:cs="Times New Roman"/>
          <w:bCs/>
          <w:kern w:val="2"/>
          <w:sz w:val="24"/>
          <w:szCs w:val="24"/>
        </w:rPr>
        <w:t>507-2663958</w:t>
      </w:r>
    </w:p>
    <w:p w14:paraId="017802D7" w14:textId="112BD2B7" w:rsidR="00713BF2" w:rsidRPr="00372D52" w:rsidRDefault="00713BF2" w:rsidP="00372D52">
      <w:pPr>
        <w:widowControl w:val="0"/>
        <w:adjustRightInd w:val="0"/>
        <w:snapToGrid w:val="0"/>
        <w:spacing w:after="0" w:line="360" w:lineRule="auto"/>
        <w:jc w:val="both"/>
        <w:rPr>
          <w:rFonts w:ascii="Book Antiqua" w:hAnsi="Book Antiqua" w:cs="Times New Roman"/>
          <w:kern w:val="2"/>
          <w:sz w:val="24"/>
          <w:szCs w:val="24"/>
        </w:rPr>
      </w:pPr>
      <w:r w:rsidRPr="00372D52">
        <w:rPr>
          <w:rFonts w:ascii="Book Antiqua" w:hAnsi="Book Antiqua" w:cs="Times New Roman"/>
          <w:b/>
          <w:kern w:val="2"/>
          <w:sz w:val="24"/>
          <w:szCs w:val="24"/>
        </w:rPr>
        <w:t>Fax:</w:t>
      </w:r>
      <w:r w:rsidRPr="00372D52">
        <w:rPr>
          <w:rFonts w:ascii="Book Antiqua" w:hAnsi="Book Antiqua" w:cs="Times New Roman"/>
          <w:kern w:val="2"/>
          <w:sz w:val="24"/>
          <w:szCs w:val="24"/>
        </w:rPr>
        <w:t xml:space="preserve"> </w:t>
      </w:r>
      <w:r w:rsidR="007E35EC" w:rsidRPr="00372D52">
        <w:rPr>
          <w:rFonts w:ascii="Book Antiqua" w:hAnsi="Book Antiqua" w:cs="Times New Roman"/>
          <w:kern w:val="2"/>
          <w:sz w:val="24"/>
          <w:szCs w:val="24"/>
        </w:rPr>
        <w:t>+1-</w:t>
      </w:r>
      <w:r w:rsidR="00E44F9A" w:rsidRPr="00372D52">
        <w:rPr>
          <w:rFonts w:ascii="Book Antiqua" w:hAnsi="Book Antiqua"/>
          <w:sz w:val="24"/>
          <w:szCs w:val="24"/>
        </w:rPr>
        <w:t>507-2664372</w:t>
      </w:r>
    </w:p>
    <w:p w14:paraId="4A6787F1" w14:textId="77777777" w:rsidR="008D0685" w:rsidRPr="00372D52" w:rsidRDefault="008D0685" w:rsidP="00372D52">
      <w:pPr>
        <w:spacing w:after="0" w:line="360" w:lineRule="auto"/>
        <w:jc w:val="both"/>
        <w:rPr>
          <w:rFonts w:ascii="Book Antiqua" w:hAnsi="Book Antiqua"/>
          <w:sz w:val="24"/>
          <w:szCs w:val="24"/>
        </w:rPr>
      </w:pPr>
    </w:p>
    <w:p w14:paraId="6E9613D4" w14:textId="3BDBD85E" w:rsidR="007E35EC" w:rsidRPr="00372D52" w:rsidRDefault="007E35EC" w:rsidP="00372D52">
      <w:pPr>
        <w:widowControl w:val="0"/>
        <w:spacing w:after="0" w:line="360" w:lineRule="auto"/>
        <w:jc w:val="both"/>
        <w:rPr>
          <w:rFonts w:ascii="Book Antiqua" w:hAnsi="Book Antiqua" w:cs="Times New Roman"/>
          <w:b/>
          <w:kern w:val="2"/>
          <w:sz w:val="24"/>
          <w:szCs w:val="24"/>
        </w:rPr>
      </w:pPr>
      <w:bookmarkStart w:id="84" w:name="OLE_LINK1712"/>
      <w:bookmarkStart w:id="85" w:name="_Hlk7505421"/>
      <w:bookmarkStart w:id="86" w:name="OLE_LINK775"/>
      <w:bookmarkStart w:id="87" w:name="OLE_LINK923"/>
      <w:bookmarkStart w:id="88" w:name="OLE_LINK924"/>
      <w:bookmarkStart w:id="89" w:name="OLE_LINK64"/>
      <w:bookmarkStart w:id="90" w:name="OLE_LINK67"/>
      <w:bookmarkStart w:id="91" w:name="OLE_LINK218"/>
      <w:bookmarkStart w:id="92" w:name="OLE_LINK245"/>
      <w:bookmarkStart w:id="93" w:name="OLE_LINK934"/>
      <w:bookmarkStart w:id="94" w:name="OLE_LINK1107"/>
      <w:bookmarkStart w:id="95" w:name="OLE_LINK1108"/>
      <w:bookmarkStart w:id="96" w:name="OLE_LINK1109"/>
      <w:bookmarkStart w:id="97" w:name="OLE_LINK989"/>
      <w:bookmarkStart w:id="98" w:name="OLE_LINK990"/>
      <w:bookmarkStart w:id="99" w:name="OLE_LINK1124"/>
      <w:bookmarkStart w:id="100" w:name="OLE_LINK1213"/>
      <w:bookmarkStart w:id="101" w:name="OLE_LINK971"/>
      <w:bookmarkStart w:id="102" w:name="OLE_LINK1014"/>
      <w:bookmarkStart w:id="103" w:name="OLE_LINK1153"/>
      <w:bookmarkStart w:id="104" w:name="OLE_LINK1541"/>
      <w:bookmarkStart w:id="105" w:name="OLE_LINK1542"/>
      <w:bookmarkStart w:id="106" w:name="OLE_LINK1509"/>
      <w:bookmarkStart w:id="107" w:name="OLE_LINK1601"/>
      <w:bookmarkStart w:id="108" w:name="OLE_LINK1602"/>
      <w:bookmarkStart w:id="109" w:name="OLE_LINK1757"/>
      <w:bookmarkStart w:id="110" w:name="OLE_LINK1779"/>
      <w:bookmarkStart w:id="111" w:name="OLE_LINK580"/>
      <w:bookmarkStart w:id="112" w:name="OLE_LINK2000"/>
      <w:bookmarkStart w:id="113" w:name="OLE_LINK2001"/>
      <w:bookmarkStart w:id="114" w:name="OLE_LINK1730"/>
      <w:bookmarkStart w:id="115" w:name="OLE_LINK1959"/>
      <w:bookmarkStart w:id="116" w:name="OLE_LINK1960"/>
      <w:bookmarkStart w:id="117" w:name="OLE_LINK1961"/>
      <w:bookmarkStart w:id="118" w:name="OLE_LINK1965"/>
      <w:bookmarkStart w:id="119" w:name="OLE_LINK1966"/>
      <w:bookmarkStart w:id="120" w:name="OLE_LINK1973"/>
      <w:bookmarkStart w:id="121" w:name="OLE_LINK1974"/>
      <w:bookmarkStart w:id="122" w:name="OLE_LINK1978"/>
      <w:bookmarkStart w:id="123" w:name="OLE_LINK1979"/>
      <w:bookmarkStart w:id="124" w:name="OLE_LINK2089"/>
      <w:bookmarkStart w:id="125" w:name="OLE_LINK2150"/>
      <w:bookmarkStart w:id="126" w:name="_Hlk13647877"/>
      <w:bookmarkStart w:id="127" w:name="OLE_LINK43"/>
      <w:r w:rsidRPr="00372D52">
        <w:rPr>
          <w:rFonts w:ascii="Book Antiqua" w:hAnsi="Book Antiqua" w:cs="Times New Roman"/>
          <w:b/>
          <w:kern w:val="2"/>
          <w:sz w:val="24"/>
          <w:szCs w:val="24"/>
        </w:rPr>
        <w:t xml:space="preserve">Received: </w:t>
      </w:r>
      <w:bookmarkStart w:id="128" w:name="OLE_LINK2486"/>
      <w:bookmarkStart w:id="129" w:name="OLE_LINK2487"/>
      <w:r w:rsidRPr="00372D52">
        <w:rPr>
          <w:rFonts w:ascii="Book Antiqua" w:hAnsi="Book Antiqua" w:cs="Times New Roman"/>
          <w:kern w:val="2"/>
          <w:sz w:val="24"/>
          <w:szCs w:val="24"/>
        </w:rPr>
        <w:t>May 2, 201</w:t>
      </w:r>
      <w:bookmarkEnd w:id="128"/>
      <w:bookmarkEnd w:id="129"/>
      <w:r w:rsidRPr="00372D52">
        <w:rPr>
          <w:rFonts w:ascii="Book Antiqua" w:hAnsi="Book Antiqua" w:cs="Times New Roman"/>
          <w:kern w:val="2"/>
          <w:sz w:val="24"/>
          <w:szCs w:val="24"/>
        </w:rPr>
        <w:t>9</w:t>
      </w:r>
    </w:p>
    <w:p w14:paraId="0E839897" w14:textId="503C9F80" w:rsidR="007E35EC" w:rsidRPr="00372D52" w:rsidRDefault="007E35EC" w:rsidP="00372D52">
      <w:pPr>
        <w:widowControl w:val="0"/>
        <w:spacing w:after="0" w:line="360" w:lineRule="auto"/>
        <w:jc w:val="both"/>
        <w:rPr>
          <w:rFonts w:ascii="Book Antiqua" w:hAnsi="Book Antiqua" w:cs="Times New Roman"/>
          <w:b/>
          <w:kern w:val="2"/>
          <w:sz w:val="24"/>
          <w:szCs w:val="24"/>
        </w:rPr>
      </w:pPr>
      <w:r w:rsidRPr="00372D52">
        <w:rPr>
          <w:rFonts w:ascii="Book Antiqua" w:hAnsi="Book Antiqua" w:cs="Times New Roman"/>
          <w:b/>
          <w:kern w:val="2"/>
          <w:sz w:val="24"/>
          <w:szCs w:val="24"/>
        </w:rPr>
        <w:t xml:space="preserve">Peer-review started: </w:t>
      </w:r>
      <w:r w:rsidRPr="00372D52">
        <w:rPr>
          <w:rFonts w:ascii="Book Antiqua" w:hAnsi="Book Antiqua" w:cs="Times New Roman"/>
          <w:kern w:val="2"/>
          <w:sz w:val="24"/>
          <w:szCs w:val="24"/>
        </w:rPr>
        <w:t>May 5, 2019</w:t>
      </w:r>
    </w:p>
    <w:p w14:paraId="698193F9" w14:textId="5F6E1AC4" w:rsidR="007E35EC" w:rsidRPr="00372D52" w:rsidRDefault="007E35EC" w:rsidP="00372D52">
      <w:pPr>
        <w:widowControl w:val="0"/>
        <w:spacing w:after="0" w:line="360" w:lineRule="auto"/>
        <w:jc w:val="both"/>
        <w:rPr>
          <w:rFonts w:ascii="Book Antiqua" w:hAnsi="Book Antiqua" w:cs="Times New Roman"/>
          <w:b/>
          <w:kern w:val="2"/>
          <w:sz w:val="24"/>
          <w:szCs w:val="24"/>
        </w:rPr>
      </w:pPr>
      <w:r w:rsidRPr="00372D52">
        <w:rPr>
          <w:rFonts w:ascii="Book Antiqua" w:hAnsi="Book Antiqua" w:cs="Times New Roman"/>
          <w:b/>
          <w:kern w:val="2"/>
          <w:sz w:val="24"/>
          <w:szCs w:val="24"/>
        </w:rPr>
        <w:t xml:space="preserve">First decision: </w:t>
      </w:r>
      <w:bookmarkStart w:id="130" w:name="OLE_LINK2488"/>
      <w:bookmarkStart w:id="131" w:name="OLE_LINK2489"/>
      <w:r w:rsidRPr="00372D52">
        <w:rPr>
          <w:rFonts w:ascii="Book Antiqua" w:hAnsi="Book Antiqua" w:cs="Times New Roman"/>
          <w:kern w:val="2"/>
          <w:sz w:val="24"/>
          <w:szCs w:val="24"/>
        </w:rPr>
        <w:t>June 6, 201</w:t>
      </w:r>
      <w:bookmarkEnd w:id="130"/>
      <w:bookmarkEnd w:id="131"/>
      <w:r w:rsidRPr="00372D52">
        <w:rPr>
          <w:rFonts w:ascii="Book Antiqua" w:hAnsi="Book Antiqua" w:cs="Times New Roman"/>
          <w:kern w:val="2"/>
          <w:sz w:val="24"/>
          <w:szCs w:val="24"/>
        </w:rPr>
        <w:t>9</w:t>
      </w:r>
    </w:p>
    <w:p w14:paraId="2B169D5C" w14:textId="5EC105A7" w:rsidR="007E35EC" w:rsidRPr="00372D52" w:rsidRDefault="007E35EC" w:rsidP="00372D52">
      <w:pPr>
        <w:widowControl w:val="0"/>
        <w:spacing w:after="0" w:line="360" w:lineRule="auto"/>
        <w:jc w:val="both"/>
        <w:rPr>
          <w:rFonts w:ascii="Book Antiqua" w:hAnsi="Book Antiqua" w:cs="Times New Roman"/>
          <w:b/>
          <w:kern w:val="2"/>
          <w:sz w:val="24"/>
          <w:szCs w:val="24"/>
        </w:rPr>
      </w:pPr>
      <w:r w:rsidRPr="00372D52">
        <w:rPr>
          <w:rFonts w:ascii="Book Antiqua" w:hAnsi="Book Antiqua" w:cs="Times New Roman"/>
          <w:b/>
          <w:kern w:val="2"/>
          <w:sz w:val="24"/>
          <w:szCs w:val="24"/>
        </w:rPr>
        <w:t xml:space="preserve">Revised: </w:t>
      </w:r>
      <w:r w:rsidRPr="00372D52">
        <w:rPr>
          <w:rFonts w:ascii="Book Antiqua" w:hAnsi="Book Antiqua" w:cs="Times New Roman"/>
          <w:kern w:val="2"/>
          <w:sz w:val="24"/>
          <w:szCs w:val="24"/>
          <w:lang w:eastAsia="zh-CN"/>
        </w:rPr>
        <w:t>July</w:t>
      </w:r>
      <w:r w:rsidRPr="00372D52">
        <w:rPr>
          <w:rFonts w:ascii="Book Antiqua" w:hAnsi="Book Antiqua" w:cs="Times New Roman"/>
          <w:kern w:val="2"/>
          <w:sz w:val="24"/>
          <w:szCs w:val="24"/>
        </w:rPr>
        <w:t xml:space="preserve"> 2, 2019</w:t>
      </w:r>
    </w:p>
    <w:p w14:paraId="1D9FAD76" w14:textId="2B628E60" w:rsidR="007E35EC" w:rsidRPr="00372D52" w:rsidRDefault="007E35EC" w:rsidP="00372D52">
      <w:pPr>
        <w:widowControl w:val="0"/>
        <w:spacing w:after="0" w:line="360" w:lineRule="auto"/>
        <w:jc w:val="both"/>
        <w:rPr>
          <w:rFonts w:ascii="Book Antiqua" w:hAnsi="Book Antiqua" w:cs="Times New Roman"/>
          <w:b/>
          <w:kern w:val="2"/>
          <w:sz w:val="24"/>
          <w:szCs w:val="24"/>
        </w:rPr>
      </w:pPr>
      <w:r w:rsidRPr="00372D52">
        <w:rPr>
          <w:rFonts w:ascii="Book Antiqua" w:hAnsi="Book Antiqua" w:cs="Times New Roman"/>
          <w:b/>
          <w:kern w:val="2"/>
          <w:sz w:val="24"/>
          <w:szCs w:val="24"/>
        </w:rPr>
        <w:t>Accepted:</w:t>
      </w:r>
      <w:r w:rsidRPr="00372D52">
        <w:rPr>
          <w:rFonts w:ascii="Book Antiqua" w:hAnsi="Book Antiqua" w:cs="Times New Roman"/>
          <w:kern w:val="2"/>
          <w:sz w:val="24"/>
          <w:szCs w:val="24"/>
        </w:rPr>
        <w:t xml:space="preserve"> </w:t>
      </w:r>
      <w:r w:rsidR="00CC19D7">
        <w:rPr>
          <w:rFonts w:ascii="Book Antiqua" w:hAnsi="Book Antiqua" w:cs="Times New Roman"/>
          <w:kern w:val="2"/>
          <w:sz w:val="24"/>
          <w:szCs w:val="24"/>
        </w:rPr>
        <w:t>August 6, 2019</w:t>
      </w:r>
    </w:p>
    <w:p w14:paraId="11CE55F2" w14:textId="77777777" w:rsidR="007E35EC" w:rsidRPr="00372D52" w:rsidRDefault="007E35EC" w:rsidP="00372D52">
      <w:pPr>
        <w:widowControl w:val="0"/>
        <w:spacing w:after="0" w:line="360" w:lineRule="auto"/>
        <w:jc w:val="both"/>
        <w:rPr>
          <w:rFonts w:ascii="Book Antiqua" w:hAnsi="Book Antiqua" w:cs="Times New Roman"/>
          <w:b/>
          <w:kern w:val="2"/>
          <w:sz w:val="24"/>
          <w:szCs w:val="24"/>
        </w:rPr>
      </w:pPr>
      <w:r w:rsidRPr="00372D52">
        <w:rPr>
          <w:rFonts w:ascii="Book Antiqua" w:hAnsi="Book Antiqua" w:cs="Times New Roman"/>
          <w:b/>
          <w:kern w:val="2"/>
          <w:sz w:val="24"/>
          <w:szCs w:val="24"/>
        </w:rPr>
        <w:t>Article in press:</w:t>
      </w:r>
    </w:p>
    <w:p w14:paraId="33C3E2BB" w14:textId="77777777" w:rsidR="007E35EC" w:rsidRPr="00372D52" w:rsidRDefault="007E35EC" w:rsidP="00372D52">
      <w:pPr>
        <w:spacing w:after="0" w:line="360" w:lineRule="auto"/>
        <w:jc w:val="both"/>
        <w:rPr>
          <w:rFonts w:ascii="Book Antiqua" w:hAnsi="Book Antiqua" w:cs="Times New Roman"/>
          <w:bCs/>
          <w:sz w:val="24"/>
          <w:szCs w:val="24"/>
          <w:lang w:bidi="th-TH"/>
        </w:rPr>
      </w:pPr>
      <w:r w:rsidRPr="00372D52">
        <w:rPr>
          <w:rFonts w:ascii="Book Antiqua" w:hAnsi="Book Antiqua" w:cs="Times New Roman"/>
          <w:b/>
          <w:kern w:val="2"/>
          <w:sz w:val="24"/>
          <w:szCs w:val="24"/>
        </w:rPr>
        <w:t>Published online</w:t>
      </w:r>
      <w:bookmarkEnd w:id="84"/>
      <w:r w:rsidRPr="00372D52">
        <w:rPr>
          <w:rFonts w:ascii="Book Antiqua" w:hAnsi="Book Antiqua" w:cs="Times New Roman"/>
          <w:b/>
          <w:kern w:val="2"/>
          <w:sz w:val="24"/>
          <w:szCs w:val="24"/>
        </w:rPr>
        <w: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bookmarkEnd w:id="126"/>
    <w:bookmarkEnd w:id="127"/>
    <w:p w14:paraId="2225B76C" w14:textId="77777777" w:rsidR="007E35EC" w:rsidRPr="00372D52" w:rsidRDefault="007E35EC" w:rsidP="00372D52">
      <w:pPr>
        <w:spacing w:after="0" w:line="360" w:lineRule="auto"/>
        <w:jc w:val="both"/>
        <w:rPr>
          <w:rFonts w:ascii="Book Antiqua" w:hAnsi="Book Antiqua"/>
          <w:b/>
          <w:sz w:val="24"/>
          <w:szCs w:val="24"/>
        </w:rPr>
      </w:pPr>
      <w:r w:rsidRPr="00372D52">
        <w:rPr>
          <w:rFonts w:ascii="Book Antiqua" w:hAnsi="Book Antiqua"/>
          <w:b/>
          <w:sz w:val="24"/>
          <w:szCs w:val="24"/>
        </w:rPr>
        <w:br w:type="page"/>
      </w:r>
    </w:p>
    <w:p w14:paraId="61516617" w14:textId="500D1D31" w:rsidR="008D0685" w:rsidRPr="00372D52" w:rsidRDefault="00F43D02" w:rsidP="00372D52">
      <w:pPr>
        <w:spacing w:after="0" w:line="360" w:lineRule="auto"/>
        <w:jc w:val="both"/>
        <w:rPr>
          <w:rFonts w:ascii="Book Antiqua" w:hAnsi="Book Antiqua"/>
          <w:b/>
          <w:sz w:val="24"/>
          <w:szCs w:val="24"/>
        </w:rPr>
      </w:pPr>
      <w:r w:rsidRPr="00372D52">
        <w:rPr>
          <w:rFonts w:ascii="Book Antiqua" w:hAnsi="Book Antiqua"/>
          <w:b/>
          <w:sz w:val="24"/>
          <w:szCs w:val="24"/>
        </w:rPr>
        <w:lastRenderedPageBreak/>
        <w:t xml:space="preserve">Abstract </w:t>
      </w:r>
    </w:p>
    <w:p w14:paraId="0AC6648A" w14:textId="3720A9BD" w:rsidR="00C24A32" w:rsidRPr="00372D52" w:rsidRDefault="00DF5F31" w:rsidP="00372D52">
      <w:pPr>
        <w:spacing w:after="0" w:line="360" w:lineRule="auto"/>
        <w:jc w:val="both"/>
        <w:rPr>
          <w:rFonts w:ascii="Book Antiqua" w:hAnsi="Book Antiqua"/>
          <w:sz w:val="24"/>
          <w:szCs w:val="24"/>
        </w:rPr>
      </w:pPr>
      <w:r w:rsidRPr="00372D52">
        <w:rPr>
          <w:rFonts w:ascii="Book Antiqua" w:hAnsi="Book Antiqua"/>
          <w:sz w:val="24"/>
          <w:szCs w:val="24"/>
        </w:rPr>
        <w:t xml:space="preserve">Pneumonia and acute respiratory distress syndrome are </w:t>
      </w:r>
      <w:r w:rsidR="006315F2" w:rsidRPr="00372D52">
        <w:rPr>
          <w:rFonts w:ascii="Book Antiqua" w:hAnsi="Book Antiqua"/>
          <w:sz w:val="24"/>
          <w:szCs w:val="24"/>
        </w:rPr>
        <w:t>common and</w:t>
      </w:r>
      <w:r w:rsidRPr="00372D52">
        <w:rPr>
          <w:rFonts w:ascii="Book Antiqua" w:hAnsi="Book Antiqua"/>
          <w:sz w:val="24"/>
          <w:szCs w:val="24"/>
        </w:rPr>
        <w:t xml:space="preserve"> important </w:t>
      </w:r>
      <w:r w:rsidR="001F7B24" w:rsidRPr="00372D52">
        <w:rPr>
          <w:rFonts w:ascii="Book Antiqua" w:hAnsi="Book Antiqua"/>
          <w:sz w:val="24"/>
          <w:szCs w:val="24"/>
        </w:rPr>
        <w:t>causes of</w:t>
      </w:r>
      <w:r w:rsidRPr="00372D52">
        <w:rPr>
          <w:rFonts w:ascii="Book Antiqua" w:hAnsi="Book Antiqua"/>
          <w:sz w:val="24"/>
          <w:szCs w:val="24"/>
        </w:rPr>
        <w:t xml:space="preserve"> respiratory failure in the intensive care unit </w:t>
      </w:r>
      <w:r w:rsidR="001F7B24" w:rsidRPr="00372D52">
        <w:rPr>
          <w:rFonts w:ascii="Book Antiqua" w:hAnsi="Book Antiqua"/>
          <w:sz w:val="24"/>
          <w:szCs w:val="24"/>
        </w:rPr>
        <w:t>with a significant impact on morbidity, mortality and health care utilization</w:t>
      </w:r>
      <w:r w:rsidR="006B0EEA" w:rsidRPr="00372D52">
        <w:rPr>
          <w:rFonts w:ascii="Book Antiqua" w:hAnsi="Book Antiqua"/>
          <w:sz w:val="24"/>
          <w:szCs w:val="24"/>
        </w:rPr>
        <w:t xml:space="preserve"> despite early antimicrobial therapy and lung protective mechanical ventilation. Both</w:t>
      </w:r>
      <w:r w:rsidRPr="00372D52">
        <w:rPr>
          <w:rFonts w:ascii="Book Antiqua" w:hAnsi="Book Antiqua"/>
          <w:sz w:val="24"/>
          <w:szCs w:val="24"/>
        </w:rPr>
        <w:t xml:space="preserve"> clinical entities are characterized by</w:t>
      </w:r>
      <w:r w:rsidR="006B0EEA" w:rsidRPr="00372D52">
        <w:rPr>
          <w:rFonts w:ascii="Book Antiqua" w:hAnsi="Book Antiqua"/>
          <w:sz w:val="24"/>
          <w:szCs w:val="24"/>
        </w:rPr>
        <w:t xml:space="preserve"> acute pulmonary</w:t>
      </w:r>
      <w:r w:rsidRPr="00372D52">
        <w:rPr>
          <w:rFonts w:ascii="Book Antiqua" w:hAnsi="Book Antiqua"/>
          <w:sz w:val="24"/>
          <w:szCs w:val="24"/>
        </w:rPr>
        <w:t xml:space="preserve"> inflammation</w:t>
      </w:r>
      <w:r w:rsidR="006B0EEA" w:rsidRPr="00372D52">
        <w:rPr>
          <w:rFonts w:ascii="Book Antiqua" w:hAnsi="Book Antiqua"/>
          <w:sz w:val="24"/>
          <w:szCs w:val="24"/>
        </w:rPr>
        <w:t xml:space="preserve"> in response to direct or indirect lung injury</w:t>
      </w:r>
      <w:r w:rsidR="006315F2" w:rsidRPr="00372D52">
        <w:rPr>
          <w:rFonts w:ascii="Book Antiqua" w:hAnsi="Book Antiqua"/>
          <w:sz w:val="24"/>
          <w:szCs w:val="24"/>
        </w:rPr>
        <w:t>. Adjunct anti-inflammatory treatment</w:t>
      </w:r>
      <w:r w:rsidR="006B0EEA" w:rsidRPr="00372D52">
        <w:rPr>
          <w:rFonts w:ascii="Book Antiqua" w:hAnsi="Book Antiqua"/>
          <w:sz w:val="24"/>
          <w:szCs w:val="24"/>
        </w:rPr>
        <w:t xml:space="preserve"> </w:t>
      </w:r>
      <w:r w:rsidR="006315F2" w:rsidRPr="00372D52">
        <w:rPr>
          <w:rFonts w:ascii="Book Antiqua" w:hAnsi="Book Antiqua"/>
          <w:sz w:val="24"/>
          <w:szCs w:val="24"/>
        </w:rPr>
        <w:t xml:space="preserve">with corticosteroids is increasingly used, although the evidence for benefit is limited. The treatment decisions are based </w:t>
      </w:r>
      <w:r w:rsidR="006B0EEA" w:rsidRPr="00372D52">
        <w:rPr>
          <w:rFonts w:ascii="Book Antiqua" w:hAnsi="Book Antiqua"/>
          <w:sz w:val="24"/>
          <w:szCs w:val="24"/>
        </w:rPr>
        <w:t>on radiographic, clinical and physiological variables</w:t>
      </w:r>
      <w:r w:rsidR="007819A9" w:rsidRPr="00372D52">
        <w:rPr>
          <w:rFonts w:ascii="Book Antiqua" w:hAnsi="Book Antiqua"/>
          <w:sz w:val="24"/>
          <w:szCs w:val="24"/>
        </w:rPr>
        <w:t xml:space="preserve"> </w:t>
      </w:r>
      <w:r w:rsidR="006315F2" w:rsidRPr="00372D52">
        <w:rPr>
          <w:rFonts w:ascii="Book Antiqua" w:hAnsi="Book Antiqua"/>
          <w:sz w:val="24"/>
          <w:szCs w:val="24"/>
        </w:rPr>
        <w:t>without regards to inflammatory state.</w:t>
      </w:r>
      <w:r w:rsidR="00BA7909" w:rsidRPr="00372D52">
        <w:rPr>
          <w:rFonts w:ascii="Book Antiqua" w:hAnsi="Book Antiqua"/>
          <w:sz w:val="24"/>
          <w:szCs w:val="24"/>
        </w:rPr>
        <w:t xml:space="preserve"> C</w:t>
      </w:r>
      <w:r w:rsidR="006B0EEA" w:rsidRPr="00372D52">
        <w:rPr>
          <w:rFonts w:ascii="Book Antiqua" w:hAnsi="Book Antiqua"/>
          <w:sz w:val="24"/>
          <w:szCs w:val="24"/>
        </w:rPr>
        <w:t>urrent evidence</w:t>
      </w:r>
      <w:r w:rsidR="002268BA" w:rsidRPr="00372D52">
        <w:rPr>
          <w:rFonts w:ascii="Book Antiqua" w:hAnsi="Book Antiqua"/>
          <w:sz w:val="24"/>
          <w:szCs w:val="24"/>
        </w:rPr>
        <w:t xml:space="preserve"> suggests a role of bio</w:t>
      </w:r>
      <w:r w:rsidR="006B0EEA" w:rsidRPr="00372D52">
        <w:rPr>
          <w:rFonts w:ascii="Book Antiqua" w:hAnsi="Book Antiqua"/>
          <w:sz w:val="24"/>
          <w:szCs w:val="24"/>
        </w:rPr>
        <w:t xml:space="preserve">markers </w:t>
      </w:r>
      <w:r w:rsidR="00E47745" w:rsidRPr="00372D52">
        <w:rPr>
          <w:rFonts w:ascii="Book Antiqua" w:hAnsi="Book Antiqua"/>
          <w:sz w:val="24"/>
          <w:szCs w:val="24"/>
        </w:rPr>
        <w:t xml:space="preserve">for </w:t>
      </w:r>
      <w:r w:rsidR="006315F2" w:rsidRPr="00372D52">
        <w:rPr>
          <w:rFonts w:ascii="Book Antiqua" w:hAnsi="Book Antiqua"/>
          <w:sz w:val="24"/>
          <w:szCs w:val="24"/>
        </w:rPr>
        <w:t>the</w:t>
      </w:r>
      <w:r w:rsidR="00EC7111" w:rsidRPr="00372D52">
        <w:rPr>
          <w:rFonts w:ascii="Book Antiqua" w:hAnsi="Book Antiqua"/>
          <w:sz w:val="24"/>
          <w:szCs w:val="24"/>
        </w:rPr>
        <w:t xml:space="preserve"> </w:t>
      </w:r>
      <w:r w:rsidR="00E47745" w:rsidRPr="00372D52">
        <w:rPr>
          <w:rFonts w:ascii="Book Antiqua" w:hAnsi="Book Antiqua"/>
          <w:sz w:val="24"/>
          <w:szCs w:val="24"/>
        </w:rPr>
        <w:t>assessment of</w:t>
      </w:r>
      <w:r w:rsidR="00BA7909" w:rsidRPr="00372D52">
        <w:rPr>
          <w:rFonts w:ascii="Book Antiqua" w:hAnsi="Book Antiqua"/>
          <w:sz w:val="24"/>
          <w:szCs w:val="24"/>
        </w:rPr>
        <w:t xml:space="preserve"> severity</w:t>
      </w:r>
      <w:r w:rsidR="00EC7111" w:rsidRPr="00372D52">
        <w:rPr>
          <w:rFonts w:ascii="Book Antiqua" w:hAnsi="Book Antiqua"/>
          <w:sz w:val="24"/>
          <w:szCs w:val="24"/>
        </w:rPr>
        <w:t>,</w:t>
      </w:r>
      <w:r w:rsidR="00E47745" w:rsidRPr="00372D52">
        <w:rPr>
          <w:rFonts w:ascii="Book Antiqua" w:hAnsi="Book Antiqua"/>
          <w:sz w:val="24"/>
          <w:szCs w:val="24"/>
        </w:rPr>
        <w:t xml:space="preserve"> and distinguishing</w:t>
      </w:r>
      <w:r w:rsidR="00C227B8" w:rsidRPr="00372D52">
        <w:rPr>
          <w:rFonts w:ascii="Book Antiqua" w:hAnsi="Book Antiqua"/>
          <w:sz w:val="24"/>
          <w:szCs w:val="24"/>
        </w:rPr>
        <w:t xml:space="preserve"> </w:t>
      </w:r>
      <w:r w:rsidR="0019153A" w:rsidRPr="00372D52">
        <w:rPr>
          <w:rFonts w:ascii="Book Antiqua" w:hAnsi="Book Antiqua"/>
          <w:sz w:val="24"/>
          <w:szCs w:val="24"/>
        </w:rPr>
        <w:t>sub-</w:t>
      </w:r>
      <w:r w:rsidR="00C227B8" w:rsidRPr="00372D52">
        <w:rPr>
          <w:rFonts w:ascii="Book Antiqua" w:hAnsi="Book Antiqua"/>
          <w:sz w:val="24"/>
          <w:szCs w:val="24"/>
        </w:rPr>
        <w:t>phenotypes (</w:t>
      </w:r>
      <w:r w:rsidR="00BA7909" w:rsidRPr="00372D52">
        <w:rPr>
          <w:rFonts w:ascii="Book Antiqua" w:hAnsi="Book Antiqua"/>
          <w:sz w:val="24"/>
          <w:szCs w:val="24"/>
        </w:rPr>
        <w:t>hyper-inflammatory</w:t>
      </w:r>
      <w:r w:rsidR="00C227B8" w:rsidRPr="00372D52">
        <w:rPr>
          <w:rFonts w:ascii="Book Antiqua" w:hAnsi="Book Antiqua"/>
          <w:sz w:val="24"/>
          <w:szCs w:val="24"/>
        </w:rPr>
        <w:t xml:space="preserve"> versus </w:t>
      </w:r>
      <w:r w:rsidR="001B0E75" w:rsidRPr="00372D52">
        <w:rPr>
          <w:rFonts w:ascii="Book Antiqua" w:hAnsi="Book Antiqua"/>
          <w:sz w:val="24"/>
          <w:szCs w:val="24"/>
        </w:rPr>
        <w:t>hypo-inflammatory)</w:t>
      </w:r>
      <w:r w:rsidR="0019153A" w:rsidRPr="00372D52">
        <w:rPr>
          <w:rFonts w:ascii="Book Antiqua" w:hAnsi="Book Antiqua"/>
          <w:sz w:val="24"/>
          <w:szCs w:val="24"/>
        </w:rPr>
        <w:t xml:space="preserve"> with important prognostic and therapeutic implications</w:t>
      </w:r>
      <w:r w:rsidR="001B0E75" w:rsidRPr="00372D52">
        <w:rPr>
          <w:rFonts w:ascii="Book Antiqua" w:hAnsi="Book Antiqua"/>
          <w:sz w:val="24"/>
          <w:szCs w:val="24"/>
        </w:rPr>
        <w:t xml:space="preserve">. Although many inflammatory biomarkers have been studied the most common </w:t>
      </w:r>
      <w:r w:rsidR="005C215C" w:rsidRPr="00372D52">
        <w:rPr>
          <w:rFonts w:ascii="Book Antiqua" w:hAnsi="Book Antiqua"/>
          <w:sz w:val="24"/>
          <w:szCs w:val="24"/>
        </w:rPr>
        <w:t xml:space="preserve">and of interest </w:t>
      </w:r>
      <w:r w:rsidR="001B0E75" w:rsidRPr="00372D52">
        <w:rPr>
          <w:rFonts w:ascii="Book Antiqua" w:hAnsi="Book Antiqua"/>
          <w:sz w:val="24"/>
          <w:szCs w:val="24"/>
        </w:rPr>
        <w:t>are C-reactive protein</w:t>
      </w:r>
      <w:r w:rsidR="006315F2" w:rsidRPr="00372D52">
        <w:rPr>
          <w:rFonts w:ascii="Book Antiqua" w:hAnsi="Book Antiqua"/>
          <w:sz w:val="24"/>
          <w:szCs w:val="24"/>
        </w:rPr>
        <w:t>,</w:t>
      </w:r>
      <w:r w:rsidR="00E6738F" w:rsidRPr="00372D52">
        <w:rPr>
          <w:rFonts w:ascii="Book Antiqua" w:hAnsi="Book Antiqua"/>
          <w:sz w:val="24"/>
          <w:szCs w:val="24"/>
        </w:rPr>
        <w:t xml:space="preserve"> </w:t>
      </w:r>
      <w:r w:rsidR="007D3D73" w:rsidRPr="00372D52">
        <w:rPr>
          <w:rFonts w:ascii="Book Antiqua" w:hAnsi="Book Antiqua"/>
          <w:sz w:val="24"/>
          <w:szCs w:val="24"/>
        </w:rPr>
        <w:t>procalcitonin</w:t>
      </w:r>
      <w:r w:rsidR="006315F2" w:rsidRPr="00372D52">
        <w:rPr>
          <w:rFonts w:ascii="Book Antiqua" w:hAnsi="Book Antiqua"/>
          <w:sz w:val="24"/>
          <w:szCs w:val="24"/>
        </w:rPr>
        <w:t>,</w:t>
      </w:r>
      <w:r w:rsidR="007D3D73" w:rsidRPr="00372D52">
        <w:rPr>
          <w:rFonts w:ascii="Book Antiqua" w:hAnsi="Book Antiqua"/>
          <w:sz w:val="24"/>
          <w:szCs w:val="24"/>
        </w:rPr>
        <w:t xml:space="preserve"> </w:t>
      </w:r>
      <w:r w:rsidR="001B0E75" w:rsidRPr="00372D52">
        <w:rPr>
          <w:rFonts w:ascii="Book Antiqua" w:hAnsi="Book Antiqua"/>
          <w:sz w:val="24"/>
          <w:szCs w:val="24"/>
        </w:rPr>
        <w:t xml:space="preserve">and </w:t>
      </w:r>
      <w:r w:rsidR="005C215C" w:rsidRPr="00372D52">
        <w:rPr>
          <w:rFonts w:ascii="Book Antiqua" w:hAnsi="Book Antiqua"/>
          <w:sz w:val="24"/>
          <w:szCs w:val="24"/>
        </w:rPr>
        <w:t xml:space="preserve">pro-inflammatory </w:t>
      </w:r>
      <w:r w:rsidR="0019153A" w:rsidRPr="00372D52">
        <w:rPr>
          <w:rFonts w:ascii="Book Antiqua" w:hAnsi="Book Antiqua"/>
          <w:sz w:val="24"/>
          <w:szCs w:val="24"/>
        </w:rPr>
        <w:t>cytokines including interleukin</w:t>
      </w:r>
      <w:r w:rsidR="007819A9" w:rsidRPr="00372D52">
        <w:rPr>
          <w:rFonts w:ascii="Book Antiqua" w:hAnsi="Book Antiqua"/>
          <w:sz w:val="24"/>
          <w:szCs w:val="24"/>
        </w:rPr>
        <w:t xml:space="preserve"> </w:t>
      </w:r>
      <w:r w:rsidR="005C215C" w:rsidRPr="00372D52">
        <w:rPr>
          <w:rFonts w:ascii="Book Antiqua" w:hAnsi="Book Antiqua"/>
          <w:sz w:val="24"/>
          <w:szCs w:val="24"/>
        </w:rPr>
        <w:t xml:space="preserve">6. </w:t>
      </w:r>
      <w:r w:rsidR="008F4C61" w:rsidRPr="00372D52">
        <w:rPr>
          <w:rFonts w:ascii="Book Antiqua" w:hAnsi="Book Antiqua"/>
          <w:sz w:val="24"/>
          <w:szCs w:val="24"/>
        </w:rPr>
        <w:t>While extensively studied as prognostic tools (prognostic enrichment), limited data are available for the role of biomarkers in determining appropriate initiation, timing and dosing of adjunct anti-inflammatory treatment (predictive enrichment)</w:t>
      </w:r>
    </w:p>
    <w:p w14:paraId="736B5D0A" w14:textId="77777777" w:rsidR="00C24A32" w:rsidRPr="00372D52" w:rsidRDefault="00C24A32" w:rsidP="00372D52">
      <w:pPr>
        <w:spacing w:after="0" w:line="360" w:lineRule="auto"/>
        <w:jc w:val="both"/>
        <w:rPr>
          <w:rFonts w:ascii="Book Antiqua" w:hAnsi="Book Antiqua"/>
          <w:b/>
          <w:sz w:val="24"/>
          <w:szCs w:val="24"/>
        </w:rPr>
      </w:pPr>
    </w:p>
    <w:p w14:paraId="769F8837" w14:textId="256FF918" w:rsidR="00C24A32" w:rsidRPr="00372D52" w:rsidRDefault="007E35EC" w:rsidP="00372D52">
      <w:pPr>
        <w:spacing w:after="0" w:line="360" w:lineRule="auto"/>
        <w:jc w:val="both"/>
        <w:rPr>
          <w:rFonts w:ascii="Book Antiqua" w:hAnsi="Book Antiqua"/>
          <w:bCs/>
          <w:sz w:val="24"/>
          <w:szCs w:val="24"/>
        </w:rPr>
      </w:pPr>
      <w:bookmarkStart w:id="132" w:name="_Hlk13661912"/>
      <w:r w:rsidRPr="00372D52">
        <w:rPr>
          <w:rFonts w:ascii="Book Antiqua" w:hAnsi="Book Antiqua"/>
          <w:b/>
          <w:sz w:val="24"/>
          <w:szCs w:val="24"/>
        </w:rPr>
        <w:t>Key words:</w:t>
      </w:r>
      <w:r w:rsidRPr="00372D52">
        <w:rPr>
          <w:rFonts w:ascii="Book Antiqua" w:hAnsi="Book Antiqua"/>
          <w:sz w:val="24"/>
          <w:szCs w:val="24"/>
        </w:rPr>
        <w:t xml:space="preserve"> </w:t>
      </w:r>
      <w:bookmarkStart w:id="133" w:name="OLE_LINK88"/>
      <w:bookmarkStart w:id="134" w:name="OLE_LINK89"/>
      <w:bookmarkEnd w:id="132"/>
      <w:r w:rsidR="00C24A32" w:rsidRPr="00372D52">
        <w:rPr>
          <w:rFonts w:ascii="Book Antiqua" w:hAnsi="Book Antiqua"/>
          <w:bCs/>
          <w:sz w:val="24"/>
          <w:szCs w:val="24"/>
        </w:rPr>
        <w:t>Acute pulmonary inflammation</w:t>
      </w:r>
      <w:r w:rsidR="00F43D02" w:rsidRPr="00372D52">
        <w:rPr>
          <w:rFonts w:ascii="Book Antiqua" w:hAnsi="Book Antiqua"/>
          <w:bCs/>
          <w:sz w:val="24"/>
          <w:szCs w:val="24"/>
        </w:rPr>
        <w:t>;</w:t>
      </w:r>
      <w:r w:rsidR="00C24A32" w:rsidRPr="00372D52">
        <w:rPr>
          <w:rFonts w:ascii="Book Antiqua" w:hAnsi="Book Antiqua"/>
          <w:bCs/>
          <w:sz w:val="24"/>
          <w:szCs w:val="24"/>
        </w:rPr>
        <w:t xml:space="preserve"> </w:t>
      </w:r>
      <w:r w:rsidR="00672F0B" w:rsidRPr="00372D52">
        <w:rPr>
          <w:rFonts w:ascii="Book Antiqua" w:hAnsi="Book Antiqua"/>
          <w:bCs/>
          <w:sz w:val="24"/>
          <w:szCs w:val="24"/>
        </w:rPr>
        <w:t>I</w:t>
      </w:r>
      <w:r w:rsidR="001B0E75" w:rsidRPr="00372D52">
        <w:rPr>
          <w:rFonts w:ascii="Book Antiqua" w:hAnsi="Book Antiqua"/>
          <w:bCs/>
          <w:sz w:val="24"/>
          <w:szCs w:val="24"/>
        </w:rPr>
        <w:t>nflammatory biomarkers</w:t>
      </w:r>
      <w:r w:rsidRPr="00372D52">
        <w:rPr>
          <w:rFonts w:ascii="Book Antiqua" w:hAnsi="Book Antiqua"/>
          <w:bCs/>
          <w:sz w:val="24"/>
          <w:szCs w:val="24"/>
        </w:rPr>
        <w:t>;</w:t>
      </w:r>
      <w:r w:rsidR="001B0E75" w:rsidRPr="00372D52">
        <w:rPr>
          <w:rFonts w:ascii="Book Antiqua" w:hAnsi="Book Antiqua"/>
          <w:bCs/>
          <w:sz w:val="24"/>
          <w:szCs w:val="24"/>
        </w:rPr>
        <w:t xml:space="preserve"> </w:t>
      </w:r>
      <w:r w:rsidR="00C24A32" w:rsidRPr="00372D52">
        <w:rPr>
          <w:rFonts w:ascii="Book Antiqua" w:hAnsi="Book Antiqua"/>
          <w:bCs/>
          <w:sz w:val="24"/>
          <w:szCs w:val="24"/>
        </w:rPr>
        <w:t>Acut</w:t>
      </w:r>
      <w:r w:rsidR="00F43D02" w:rsidRPr="00372D52">
        <w:rPr>
          <w:rFonts w:ascii="Book Antiqua" w:hAnsi="Book Antiqua"/>
          <w:bCs/>
          <w:sz w:val="24"/>
          <w:szCs w:val="24"/>
        </w:rPr>
        <w:t>e respiratory distress syndrome;</w:t>
      </w:r>
      <w:r w:rsidR="00C24A32" w:rsidRPr="00372D52">
        <w:rPr>
          <w:rFonts w:ascii="Book Antiqua" w:hAnsi="Book Antiqua"/>
          <w:bCs/>
          <w:sz w:val="24"/>
          <w:szCs w:val="24"/>
        </w:rPr>
        <w:t xml:space="preserve"> </w:t>
      </w:r>
      <w:r w:rsidR="00F43D02" w:rsidRPr="00372D52">
        <w:rPr>
          <w:rFonts w:ascii="Book Antiqua" w:hAnsi="Book Antiqua"/>
          <w:bCs/>
          <w:sz w:val="24"/>
          <w:szCs w:val="24"/>
        </w:rPr>
        <w:t>Pneumonia;</w:t>
      </w:r>
      <w:r w:rsidR="00C24A32" w:rsidRPr="00372D52">
        <w:rPr>
          <w:rFonts w:ascii="Book Antiqua" w:hAnsi="Book Antiqua"/>
          <w:bCs/>
          <w:sz w:val="24"/>
          <w:szCs w:val="24"/>
        </w:rPr>
        <w:t xml:space="preserve"> </w:t>
      </w:r>
      <w:r w:rsidR="00F43D02" w:rsidRPr="00372D52">
        <w:rPr>
          <w:rFonts w:ascii="Book Antiqua" w:hAnsi="Book Antiqua"/>
          <w:bCs/>
          <w:sz w:val="24"/>
          <w:szCs w:val="24"/>
        </w:rPr>
        <w:t>C</w:t>
      </w:r>
      <w:r w:rsidR="00C24A32" w:rsidRPr="00372D52">
        <w:rPr>
          <w:rFonts w:ascii="Book Antiqua" w:hAnsi="Book Antiqua"/>
          <w:bCs/>
          <w:sz w:val="24"/>
          <w:szCs w:val="24"/>
        </w:rPr>
        <w:t>ritical illness</w:t>
      </w:r>
      <w:r w:rsidRPr="00372D52">
        <w:rPr>
          <w:rFonts w:ascii="Book Antiqua" w:hAnsi="Book Antiqua"/>
          <w:bCs/>
          <w:sz w:val="24"/>
          <w:szCs w:val="24"/>
        </w:rPr>
        <w:t>;</w:t>
      </w:r>
      <w:r w:rsidR="00F43D02" w:rsidRPr="00372D52">
        <w:rPr>
          <w:rFonts w:ascii="Book Antiqua" w:hAnsi="Book Antiqua"/>
          <w:bCs/>
          <w:sz w:val="24"/>
          <w:szCs w:val="24"/>
        </w:rPr>
        <w:t xml:space="preserve"> Diagnosis</w:t>
      </w:r>
      <w:r w:rsidRPr="00372D52">
        <w:rPr>
          <w:rFonts w:ascii="Book Antiqua" w:hAnsi="Book Antiqua"/>
          <w:bCs/>
          <w:sz w:val="24"/>
          <w:szCs w:val="24"/>
        </w:rPr>
        <w:t>;</w:t>
      </w:r>
      <w:r w:rsidR="00F43D02" w:rsidRPr="00372D52">
        <w:rPr>
          <w:rFonts w:ascii="Book Antiqua" w:hAnsi="Book Antiqua"/>
          <w:bCs/>
          <w:sz w:val="24"/>
          <w:szCs w:val="24"/>
        </w:rPr>
        <w:t xml:space="preserve"> Treatment</w:t>
      </w:r>
    </w:p>
    <w:bookmarkEnd w:id="133"/>
    <w:bookmarkEnd w:id="134"/>
    <w:p w14:paraId="6139A668" w14:textId="77777777" w:rsidR="00C24A32" w:rsidRPr="00372D52" w:rsidRDefault="00C24A32" w:rsidP="00372D52">
      <w:pPr>
        <w:spacing w:after="0" w:line="360" w:lineRule="auto"/>
        <w:jc w:val="both"/>
        <w:rPr>
          <w:rFonts w:ascii="Book Antiqua" w:hAnsi="Book Antiqua"/>
          <w:b/>
          <w:sz w:val="24"/>
          <w:szCs w:val="24"/>
        </w:rPr>
      </w:pPr>
    </w:p>
    <w:p w14:paraId="59C91BC9" w14:textId="77777777" w:rsidR="007E35EC" w:rsidRPr="00372D52" w:rsidRDefault="007E35EC" w:rsidP="00372D52">
      <w:pPr>
        <w:spacing w:after="0" w:line="360" w:lineRule="auto"/>
        <w:jc w:val="both"/>
        <w:rPr>
          <w:rFonts w:ascii="Book Antiqua" w:hAnsi="Book Antiqua" w:cs="Arial"/>
          <w:sz w:val="24"/>
          <w:szCs w:val="24"/>
        </w:rPr>
      </w:pPr>
      <w:bookmarkStart w:id="135" w:name="OLE_LINK55"/>
      <w:bookmarkStart w:id="136" w:name="OLE_LINK56"/>
      <w:bookmarkStart w:id="137" w:name="OLE_LINK779"/>
      <w:bookmarkStart w:id="138" w:name="OLE_LINK780"/>
      <w:bookmarkStart w:id="139" w:name="OLE_LINK935"/>
      <w:bookmarkStart w:id="140" w:name="OLE_LINK936"/>
      <w:bookmarkStart w:id="141" w:name="OLE_LINK255"/>
      <w:bookmarkStart w:id="142" w:name="OLE_LINK940"/>
      <w:bookmarkStart w:id="143" w:name="OLE_LINK941"/>
      <w:bookmarkStart w:id="144" w:name="OLE_LINK942"/>
      <w:bookmarkStart w:id="145" w:name="OLE_LINK1112"/>
      <w:bookmarkStart w:id="146" w:name="OLE_LINK1113"/>
      <w:bookmarkStart w:id="147" w:name="OLE_LINK1114"/>
      <w:bookmarkStart w:id="148" w:name="OLE_LINK1115"/>
      <w:bookmarkStart w:id="149" w:name="OLE_LINK929"/>
      <w:bookmarkStart w:id="150" w:name="OLE_LINK930"/>
      <w:bookmarkStart w:id="151" w:name="OLE_LINK931"/>
      <w:bookmarkStart w:id="152" w:name="OLE_LINK932"/>
      <w:bookmarkStart w:id="153" w:name="OLE_LINK1125"/>
      <w:bookmarkStart w:id="154" w:name="OLE_LINK1150"/>
      <w:bookmarkStart w:id="155" w:name="OLE_LINK1151"/>
      <w:bookmarkStart w:id="156" w:name="OLE_LINK1164"/>
      <w:bookmarkStart w:id="157" w:name="OLE_LINK1166"/>
      <w:bookmarkStart w:id="158" w:name="OLE_LINK1167"/>
      <w:bookmarkStart w:id="159" w:name="OLE_LINK1226"/>
      <w:bookmarkStart w:id="160" w:name="OLE_LINK1227"/>
      <w:bookmarkStart w:id="161" w:name="OLE_LINK1228"/>
      <w:bookmarkStart w:id="162" w:name="OLE_LINK1229"/>
      <w:bookmarkStart w:id="163" w:name="OLE_LINK1230"/>
      <w:bookmarkStart w:id="164" w:name="OLE_LINK1231"/>
      <w:bookmarkStart w:id="165" w:name="OLE_LINK1364"/>
      <w:bookmarkStart w:id="166" w:name="OLE_LINK1714"/>
      <w:bookmarkStart w:id="167" w:name="OLE_LINK1715"/>
      <w:bookmarkStart w:id="168" w:name="OLE_LINK1831"/>
      <w:bookmarkStart w:id="169" w:name="OLE_LINK1603"/>
      <w:bookmarkStart w:id="170" w:name="OLE_LINK1604"/>
      <w:bookmarkStart w:id="171" w:name="OLE_LINK1633"/>
      <w:bookmarkStart w:id="172" w:name="OLE_LINK1634"/>
      <w:bookmarkStart w:id="173" w:name="OLE_LINK1635"/>
      <w:bookmarkStart w:id="174" w:name="OLE_LINK1637"/>
      <w:bookmarkStart w:id="175" w:name="OLE_LINK1640"/>
      <w:bookmarkStart w:id="176" w:name="OLE_LINK1641"/>
      <w:bookmarkStart w:id="177" w:name="OLE_LINK1687"/>
      <w:bookmarkStart w:id="178" w:name="OLE_LINK1688"/>
      <w:bookmarkStart w:id="179" w:name="OLE_LINK1794"/>
      <w:bookmarkStart w:id="180" w:name="OLE_LINK1795"/>
      <w:bookmarkStart w:id="181" w:name="OLE_LINK1796"/>
      <w:bookmarkStart w:id="182" w:name="OLE_LINK1690"/>
      <w:bookmarkStart w:id="183" w:name="OLE_LINK1691"/>
      <w:bookmarkStart w:id="184" w:name="OLE_LINK1983"/>
      <w:bookmarkStart w:id="185" w:name="OLE_LINK1985"/>
      <w:bookmarkStart w:id="186" w:name="OLE_LINK1986"/>
      <w:bookmarkStart w:id="187" w:name="OLE_LINK1987"/>
      <w:bookmarkStart w:id="188" w:name="OLE_LINK2093"/>
      <w:bookmarkStart w:id="189" w:name="OLE_LINK2156"/>
      <w:bookmarkStart w:id="190" w:name="OLE_LINK2157"/>
      <w:bookmarkStart w:id="191" w:name="OLE_LINK2158"/>
      <w:bookmarkStart w:id="192" w:name="_Hlk7505613"/>
      <w:r w:rsidRPr="00372D52">
        <w:rPr>
          <w:rFonts w:ascii="Book Antiqua" w:hAnsi="Book Antiqua"/>
          <w:b/>
          <w:sz w:val="24"/>
          <w:szCs w:val="24"/>
        </w:rPr>
        <w:t>©</w:t>
      </w:r>
      <w:bookmarkEnd w:id="135"/>
      <w:bookmarkEnd w:id="136"/>
      <w:r w:rsidRPr="00372D52">
        <w:rPr>
          <w:rFonts w:ascii="Book Antiqua" w:hAnsi="Book Antiqua"/>
          <w:b/>
          <w:sz w:val="24"/>
          <w:szCs w:val="24"/>
        </w:rPr>
        <w:t xml:space="preserve"> </w:t>
      </w:r>
      <w:r w:rsidRPr="00372D52">
        <w:rPr>
          <w:rFonts w:ascii="Book Antiqua" w:hAnsi="Book Antiqua" w:cs="Arial"/>
          <w:b/>
          <w:sz w:val="24"/>
          <w:szCs w:val="24"/>
        </w:rPr>
        <w:t xml:space="preserve">The Author(s) 2019. </w:t>
      </w:r>
      <w:r w:rsidRPr="00372D52">
        <w:rPr>
          <w:rFonts w:ascii="Book Antiqua" w:hAnsi="Book Antiqua" w:cs="Arial"/>
          <w:sz w:val="24"/>
          <w:szCs w:val="24"/>
        </w:rPr>
        <w:t xml:space="preserve">Published by </w:t>
      </w:r>
      <w:proofErr w:type="spellStart"/>
      <w:r w:rsidRPr="00372D52">
        <w:rPr>
          <w:rFonts w:ascii="Book Antiqua" w:hAnsi="Book Antiqua" w:cs="Arial"/>
          <w:sz w:val="24"/>
          <w:szCs w:val="24"/>
        </w:rPr>
        <w:t>Baishideng</w:t>
      </w:r>
      <w:proofErr w:type="spellEnd"/>
      <w:r w:rsidRPr="00372D52">
        <w:rPr>
          <w:rFonts w:ascii="Book Antiqua" w:hAnsi="Book Antiqua" w:cs="Arial"/>
          <w:sz w:val="24"/>
          <w:szCs w:val="24"/>
        </w:rPr>
        <w:t xml:space="preserve"> Publishing Group Inc. All rights reserved</w:t>
      </w:r>
      <w:bookmarkStart w:id="193" w:name="OLE_LINK969"/>
      <w:bookmarkStart w:id="194" w:name="OLE_LINK970"/>
      <w:bookmarkStart w:id="195" w:name="OLE_LINK972"/>
      <w:bookmarkStart w:id="196" w:name="OLE_LINK973"/>
      <w:bookmarkStart w:id="197" w:name="OLE_LINK974"/>
      <w:bookmarkStart w:id="198" w:name="OLE_LINK975"/>
      <w:bookmarkStart w:id="199" w:name="OLE_LINK976"/>
      <w:r w:rsidRPr="00372D52">
        <w:rPr>
          <w:rFonts w:ascii="Book Antiqua" w:hAnsi="Book Antiqua" w:cs="Arial"/>
          <w:sz w:val="24"/>
          <w:szCs w:val="24"/>
        </w:rPr>
        <w: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3"/>
      <w:bookmarkEnd w:id="194"/>
      <w:bookmarkEnd w:id="195"/>
      <w:bookmarkEnd w:id="196"/>
      <w:bookmarkEnd w:id="197"/>
      <w:bookmarkEnd w:id="198"/>
      <w:bookmarkEnd w:id="199"/>
    </w:p>
    <w:p w14:paraId="133BC17E" w14:textId="77777777" w:rsidR="007E35EC" w:rsidRPr="00372D52" w:rsidRDefault="007E35EC" w:rsidP="00372D52">
      <w:pPr>
        <w:spacing w:after="0" w:line="360" w:lineRule="auto"/>
        <w:jc w:val="both"/>
        <w:rPr>
          <w:rFonts w:ascii="Book Antiqua" w:hAnsi="Book Antiqua" w:cs="Calibri"/>
          <w:sz w:val="24"/>
          <w:szCs w:val="24"/>
        </w:rPr>
      </w:pPr>
    </w:p>
    <w:p w14:paraId="43E3FC16" w14:textId="52D6E02A" w:rsidR="007F358B" w:rsidRPr="00372D52" w:rsidRDefault="007E35EC" w:rsidP="00372D52">
      <w:pPr>
        <w:spacing w:after="0" w:line="360" w:lineRule="auto"/>
        <w:jc w:val="both"/>
        <w:rPr>
          <w:rFonts w:ascii="Book Antiqua" w:hAnsi="Book Antiqua"/>
          <w:b/>
          <w:sz w:val="24"/>
          <w:szCs w:val="24"/>
        </w:rPr>
      </w:pPr>
      <w:r w:rsidRPr="00372D52">
        <w:rPr>
          <w:rFonts w:ascii="Book Antiqua" w:hAnsi="Book Antiqua" w:cs="Times New Roman"/>
          <w:b/>
          <w:sz w:val="24"/>
          <w:szCs w:val="24"/>
        </w:rPr>
        <w:t xml:space="preserve">Core tip: </w:t>
      </w:r>
      <w:bookmarkStart w:id="200" w:name="OLE_LINK90"/>
      <w:bookmarkStart w:id="201" w:name="OLE_LINK91"/>
      <w:bookmarkEnd w:id="192"/>
      <w:r w:rsidR="007F358B" w:rsidRPr="00372D52">
        <w:rPr>
          <w:rFonts w:ascii="Book Antiqua" w:hAnsi="Book Antiqua"/>
          <w:sz w:val="24"/>
          <w:szCs w:val="24"/>
        </w:rPr>
        <w:t xml:space="preserve">Community acquired pneumonia and </w:t>
      </w:r>
      <w:r w:rsidRPr="00372D52">
        <w:rPr>
          <w:rFonts w:ascii="Book Antiqua" w:hAnsi="Book Antiqua"/>
          <w:sz w:val="24"/>
          <w:szCs w:val="24"/>
        </w:rPr>
        <w:t>acute respiratory distress syndrome</w:t>
      </w:r>
      <w:r w:rsidR="007F358B" w:rsidRPr="00372D52">
        <w:rPr>
          <w:rFonts w:ascii="Book Antiqua" w:hAnsi="Book Antiqua"/>
          <w:sz w:val="24"/>
          <w:szCs w:val="24"/>
        </w:rPr>
        <w:t xml:space="preserve"> are common and important causes of respiratory failure in the </w:t>
      </w:r>
      <w:r w:rsidRPr="00372D52">
        <w:rPr>
          <w:rFonts w:ascii="Book Antiqua" w:hAnsi="Book Antiqua"/>
          <w:sz w:val="24"/>
          <w:szCs w:val="24"/>
        </w:rPr>
        <w:t>intensive care unit</w:t>
      </w:r>
      <w:r w:rsidR="007F358B" w:rsidRPr="00372D52">
        <w:rPr>
          <w:rFonts w:ascii="Book Antiqua" w:hAnsi="Book Antiqua"/>
          <w:sz w:val="24"/>
          <w:szCs w:val="24"/>
        </w:rPr>
        <w:t>. Both clinical entities are characterized by acute pulmonary inflammation in response to direct or indirect lung injury and current evidence suggests a role of biomarkers for the assessment of severity, and distinguishing sub-phenotypes (hyper-inflammatory versus hypo-inflammatory) with important prognostic and therapeutic implications.</w:t>
      </w:r>
    </w:p>
    <w:bookmarkEnd w:id="200"/>
    <w:bookmarkEnd w:id="201"/>
    <w:p w14:paraId="6EB2B830" w14:textId="77777777" w:rsidR="00C24A32" w:rsidRPr="00372D52" w:rsidRDefault="00C24A32" w:rsidP="00372D52">
      <w:pPr>
        <w:spacing w:after="0" w:line="360" w:lineRule="auto"/>
        <w:jc w:val="both"/>
        <w:rPr>
          <w:rFonts w:ascii="Book Antiqua" w:hAnsi="Book Antiqua"/>
          <w:b/>
          <w:sz w:val="24"/>
          <w:szCs w:val="24"/>
        </w:rPr>
      </w:pPr>
    </w:p>
    <w:p w14:paraId="5D3811E1" w14:textId="3C363BF5" w:rsidR="006E5DC9" w:rsidRPr="00372D52" w:rsidRDefault="00391AE3" w:rsidP="00372D52">
      <w:pPr>
        <w:spacing w:after="0" w:line="360" w:lineRule="auto"/>
        <w:jc w:val="both"/>
        <w:rPr>
          <w:rFonts w:ascii="Book Antiqua" w:hAnsi="Book Antiqua" w:cs="Book Antiqua"/>
          <w:sz w:val="24"/>
          <w:szCs w:val="24"/>
        </w:rPr>
      </w:pPr>
      <w:r w:rsidRPr="00372D52">
        <w:rPr>
          <w:rFonts w:ascii="Book Antiqua" w:hAnsi="Book Antiqua"/>
          <w:sz w:val="24"/>
          <w:szCs w:val="24"/>
        </w:rPr>
        <w:t>Chalmers S, Khawaja A, Wieruszewski P</w:t>
      </w:r>
      <w:r w:rsidR="00C8120E" w:rsidRPr="00372D52">
        <w:rPr>
          <w:rFonts w:ascii="Book Antiqua" w:hAnsi="Book Antiqua"/>
          <w:sz w:val="24"/>
          <w:szCs w:val="24"/>
        </w:rPr>
        <w:t>M</w:t>
      </w:r>
      <w:r w:rsidRPr="00372D52">
        <w:rPr>
          <w:rFonts w:ascii="Book Antiqua" w:hAnsi="Book Antiqua"/>
          <w:sz w:val="24"/>
          <w:szCs w:val="24"/>
        </w:rPr>
        <w:t xml:space="preserve">, </w:t>
      </w:r>
      <w:r w:rsidR="00DB420B" w:rsidRPr="00372D52">
        <w:rPr>
          <w:rFonts w:ascii="Book Antiqua" w:hAnsi="Book Antiqua"/>
          <w:sz w:val="24"/>
          <w:szCs w:val="24"/>
        </w:rPr>
        <w:t>Gajic O</w:t>
      </w:r>
      <w:r w:rsidRPr="00372D52">
        <w:rPr>
          <w:rFonts w:ascii="Book Antiqua" w:hAnsi="Book Antiqua"/>
          <w:sz w:val="24"/>
          <w:szCs w:val="24"/>
        </w:rPr>
        <w:t xml:space="preserve">, and Odeyemi Y. </w:t>
      </w:r>
      <w:r w:rsidR="007E35EC" w:rsidRPr="00372D52">
        <w:rPr>
          <w:rFonts w:ascii="Book Antiqua" w:hAnsi="Book Antiqua"/>
          <w:noProof/>
          <w:sz w:val="24"/>
          <w:szCs w:val="24"/>
        </w:rPr>
        <w:t>Diagnosis and treatment of acute pulmonary inflammation in critically ill patients</w:t>
      </w:r>
      <w:r w:rsidR="006E5DC9" w:rsidRPr="00372D52">
        <w:rPr>
          <w:rFonts w:ascii="Book Antiqua" w:hAnsi="Book Antiqua"/>
          <w:noProof/>
          <w:sz w:val="24"/>
          <w:szCs w:val="24"/>
        </w:rPr>
        <w:t xml:space="preserve">: </w:t>
      </w:r>
      <w:r w:rsidR="006E5DC9" w:rsidRPr="00372D52">
        <w:rPr>
          <w:rFonts w:ascii="Book Antiqua" w:hAnsi="Book Antiqua"/>
          <w:bCs/>
          <w:noProof/>
          <w:sz w:val="24"/>
          <w:szCs w:val="24"/>
        </w:rPr>
        <w:t xml:space="preserve">The role of inflammatory biomarkers </w:t>
      </w:r>
      <w:bookmarkStart w:id="202" w:name="_Hlk13648266"/>
      <w:bookmarkStart w:id="203" w:name="OLE_LINK59"/>
      <w:r w:rsidR="006E5DC9" w:rsidRPr="00372D52">
        <w:rPr>
          <w:rFonts w:ascii="Book Antiqua" w:hAnsi="Book Antiqua"/>
          <w:i/>
          <w:sz w:val="24"/>
          <w:szCs w:val="24"/>
        </w:rPr>
        <w:t xml:space="preserve">World J </w:t>
      </w:r>
      <w:proofErr w:type="spellStart"/>
      <w:r w:rsidR="006E5DC9" w:rsidRPr="00372D52">
        <w:rPr>
          <w:rFonts w:ascii="Book Antiqua" w:hAnsi="Book Antiqua"/>
          <w:i/>
          <w:sz w:val="24"/>
          <w:szCs w:val="24"/>
          <w:lang w:eastAsia="zh-CN"/>
        </w:rPr>
        <w:t>Crit</w:t>
      </w:r>
      <w:proofErr w:type="spellEnd"/>
      <w:r w:rsidR="006E5DC9" w:rsidRPr="00372D52">
        <w:rPr>
          <w:rFonts w:ascii="Book Antiqua" w:hAnsi="Book Antiqua"/>
          <w:i/>
          <w:sz w:val="24"/>
          <w:szCs w:val="24"/>
          <w:lang w:eastAsia="zh-CN"/>
        </w:rPr>
        <w:t xml:space="preserve"> Care Med </w:t>
      </w:r>
      <w:r w:rsidR="006E5DC9" w:rsidRPr="00372D52">
        <w:rPr>
          <w:rFonts w:ascii="Book Antiqua" w:eastAsia="Book Antiqua" w:hAnsi="Book Antiqua" w:cs="Book Antiqua"/>
          <w:sz w:val="24"/>
          <w:szCs w:val="24"/>
        </w:rPr>
        <w:t>2019; In pre</w:t>
      </w:r>
      <w:r w:rsidR="006E5DC9" w:rsidRPr="00372D52">
        <w:rPr>
          <w:rFonts w:ascii="Book Antiqua" w:hAnsi="Book Antiqua" w:cs="Book Antiqua"/>
          <w:sz w:val="24"/>
          <w:szCs w:val="24"/>
        </w:rPr>
        <w:t>ss</w:t>
      </w:r>
    </w:p>
    <w:bookmarkEnd w:id="202"/>
    <w:bookmarkEnd w:id="203"/>
    <w:p w14:paraId="73110080" w14:textId="77777777" w:rsidR="006E5DC9" w:rsidRPr="00372D52" w:rsidRDefault="006E5DC9" w:rsidP="00372D52">
      <w:pPr>
        <w:spacing w:after="0" w:line="360" w:lineRule="auto"/>
        <w:jc w:val="both"/>
        <w:rPr>
          <w:rFonts w:ascii="Book Antiqua" w:hAnsi="Book Antiqua"/>
          <w:b/>
          <w:sz w:val="24"/>
          <w:szCs w:val="24"/>
        </w:rPr>
      </w:pPr>
      <w:r w:rsidRPr="00372D52">
        <w:rPr>
          <w:rFonts w:ascii="Book Antiqua" w:hAnsi="Book Antiqua"/>
          <w:b/>
          <w:sz w:val="24"/>
          <w:szCs w:val="24"/>
        </w:rPr>
        <w:br w:type="page"/>
      </w:r>
    </w:p>
    <w:p w14:paraId="1D23E9A7" w14:textId="2BBA9E44" w:rsidR="00662897" w:rsidRPr="00372D52" w:rsidRDefault="006E5DC9" w:rsidP="00372D52">
      <w:pPr>
        <w:spacing w:after="0" w:line="360" w:lineRule="auto"/>
        <w:jc w:val="both"/>
        <w:rPr>
          <w:rFonts w:ascii="Book Antiqua" w:hAnsi="Book Antiqua"/>
          <w:b/>
          <w:sz w:val="24"/>
          <w:szCs w:val="24"/>
        </w:rPr>
      </w:pPr>
      <w:r w:rsidRPr="00372D52">
        <w:rPr>
          <w:rFonts w:ascii="Book Antiqua" w:hAnsi="Book Antiqua"/>
          <w:b/>
          <w:sz w:val="24"/>
          <w:szCs w:val="24"/>
        </w:rPr>
        <w:lastRenderedPageBreak/>
        <w:t>INTRODUCTION</w:t>
      </w:r>
    </w:p>
    <w:p w14:paraId="05C76B96" w14:textId="2936E601" w:rsidR="00245B97" w:rsidRPr="00372D52" w:rsidRDefault="00DF2CA1" w:rsidP="00372D52">
      <w:pPr>
        <w:spacing w:after="0" w:line="360" w:lineRule="auto"/>
        <w:jc w:val="both"/>
        <w:rPr>
          <w:rFonts w:ascii="Book Antiqua" w:hAnsi="Book Antiqua"/>
          <w:sz w:val="24"/>
          <w:szCs w:val="24"/>
        </w:rPr>
      </w:pPr>
      <w:r w:rsidRPr="00372D52">
        <w:rPr>
          <w:rFonts w:ascii="Book Antiqua" w:hAnsi="Book Antiqua"/>
          <w:sz w:val="24"/>
          <w:szCs w:val="24"/>
        </w:rPr>
        <w:t>Inflammation is a</w:t>
      </w:r>
      <w:r w:rsidR="00233668" w:rsidRPr="00372D52">
        <w:rPr>
          <w:rFonts w:ascii="Book Antiqua" w:hAnsi="Book Antiqua"/>
          <w:sz w:val="24"/>
          <w:szCs w:val="24"/>
        </w:rPr>
        <w:t xml:space="preserve"> natural</w:t>
      </w:r>
      <w:r w:rsidRPr="00372D52">
        <w:rPr>
          <w:rFonts w:ascii="Book Antiqua" w:hAnsi="Book Antiqua"/>
          <w:sz w:val="24"/>
          <w:szCs w:val="24"/>
        </w:rPr>
        <w:t xml:space="preserve"> body response to infectious and non-infectious insults resulting in </w:t>
      </w:r>
      <w:r w:rsidR="00D31E58" w:rsidRPr="00372D52">
        <w:rPr>
          <w:rFonts w:ascii="Book Antiqua" w:hAnsi="Book Antiqua"/>
          <w:sz w:val="24"/>
          <w:szCs w:val="24"/>
        </w:rPr>
        <w:t xml:space="preserve">a </w:t>
      </w:r>
      <w:r w:rsidR="00245B97" w:rsidRPr="00372D52">
        <w:rPr>
          <w:rFonts w:ascii="Book Antiqua" w:hAnsi="Book Antiqua"/>
          <w:sz w:val="24"/>
          <w:szCs w:val="24"/>
        </w:rPr>
        <w:t xml:space="preserve">complex </w:t>
      </w:r>
      <w:r w:rsidR="00D31E58" w:rsidRPr="00372D52">
        <w:rPr>
          <w:rFonts w:ascii="Book Antiqua" w:hAnsi="Book Antiqua"/>
          <w:sz w:val="24"/>
          <w:szCs w:val="24"/>
        </w:rPr>
        <w:t>variety of mechanisms</w:t>
      </w:r>
      <w:r w:rsidRPr="00372D52">
        <w:rPr>
          <w:rFonts w:ascii="Book Antiqua" w:hAnsi="Book Antiqua"/>
          <w:sz w:val="24"/>
          <w:szCs w:val="24"/>
        </w:rPr>
        <w:t xml:space="preserve"> that eventually lead to tissue repair. </w:t>
      </w:r>
      <w:r w:rsidR="00672F0B" w:rsidRPr="00372D52">
        <w:rPr>
          <w:rFonts w:ascii="Book Antiqua" w:hAnsi="Book Antiqua"/>
          <w:sz w:val="24"/>
          <w:szCs w:val="24"/>
        </w:rPr>
        <w:t>Infla</w:t>
      </w:r>
      <w:r w:rsidR="00753E7D" w:rsidRPr="00372D52">
        <w:rPr>
          <w:rFonts w:ascii="Book Antiqua" w:hAnsi="Book Antiqua"/>
          <w:sz w:val="24"/>
          <w:szCs w:val="24"/>
        </w:rPr>
        <w:t xml:space="preserve">mmatory response in the lungs </w:t>
      </w:r>
      <w:r w:rsidR="00320F32" w:rsidRPr="00372D52">
        <w:rPr>
          <w:rFonts w:ascii="Book Antiqua" w:hAnsi="Book Antiqua"/>
          <w:sz w:val="24"/>
          <w:szCs w:val="24"/>
        </w:rPr>
        <w:t xml:space="preserve">is </w:t>
      </w:r>
      <w:r w:rsidR="00753E7D" w:rsidRPr="00372D52">
        <w:rPr>
          <w:rFonts w:ascii="Book Antiqua" w:hAnsi="Book Antiqua"/>
          <w:sz w:val="24"/>
          <w:szCs w:val="24"/>
        </w:rPr>
        <w:t>most commonly</w:t>
      </w:r>
      <w:r w:rsidR="00320F32" w:rsidRPr="00372D52">
        <w:rPr>
          <w:rFonts w:ascii="Book Antiqua" w:hAnsi="Book Antiqua"/>
          <w:sz w:val="24"/>
          <w:szCs w:val="24"/>
        </w:rPr>
        <w:t xml:space="preserve"> due to </w:t>
      </w:r>
      <w:r w:rsidR="00753E7D" w:rsidRPr="00372D52">
        <w:rPr>
          <w:rFonts w:ascii="Book Antiqua" w:hAnsi="Book Antiqua"/>
          <w:sz w:val="24"/>
          <w:szCs w:val="24"/>
        </w:rPr>
        <w:t>infections, and exposure</w:t>
      </w:r>
      <w:r w:rsidR="00672F0B" w:rsidRPr="00372D52">
        <w:rPr>
          <w:rFonts w:ascii="Book Antiqua" w:hAnsi="Book Antiqua"/>
          <w:sz w:val="24"/>
          <w:szCs w:val="24"/>
        </w:rPr>
        <w:t xml:space="preserve"> to toxins, allergens and irritants</w:t>
      </w:r>
      <w:r w:rsidR="00E368B5" w:rsidRPr="00372D52">
        <w:rPr>
          <w:rFonts w:ascii="Book Antiqua" w:hAnsi="Book Antiqua"/>
          <w:sz w:val="24"/>
          <w:szCs w:val="24"/>
        </w:rPr>
        <w:t>.</w:t>
      </w:r>
      <w:r w:rsidR="00672F0B" w:rsidRPr="00372D52">
        <w:rPr>
          <w:rFonts w:ascii="Book Antiqua" w:hAnsi="Book Antiqua"/>
          <w:sz w:val="24"/>
          <w:szCs w:val="24"/>
        </w:rPr>
        <w:t xml:space="preserve"> </w:t>
      </w:r>
      <w:r w:rsidRPr="00372D52">
        <w:rPr>
          <w:rFonts w:ascii="Book Antiqua" w:hAnsi="Book Antiqua"/>
          <w:sz w:val="24"/>
          <w:szCs w:val="24"/>
        </w:rPr>
        <w:t>Normal inflammation is intended t</w:t>
      </w:r>
      <w:r w:rsidR="00233668" w:rsidRPr="00372D52">
        <w:rPr>
          <w:rFonts w:ascii="Book Antiqua" w:hAnsi="Book Antiqua"/>
          <w:sz w:val="24"/>
          <w:szCs w:val="24"/>
        </w:rPr>
        <w:t>o be protective but when excessive</w:t>
      </w:r>
      <w:r w:rsidR="00320F32" w:rsidRPr="00372D52">
        <w:rPr>
          <w:rFonts w:ascii="Book Antiqua" w:hAnsi="Book Antiqua"/>
          <w:sz w:val="24"/>
          <w:szCs w:val="24"/>
        </w:rPr>
        <w:t xml:space="preserve"> and/or prolonged</w:t>
      </w:r>
      <w:r w:rsidR="00233668" w:rsidRPr="00372D52">
        <w:rPr>
          <w:rFonts w:ascii="Book Antiqua" w:hAnsi="Book Antiqua"/>
          <w:sz w:val="24"/>
          <w:szCs w:val="24"/>
        </w:rPr>
        <w:t xml:space="preserve"> can have dele</w:t>
      </w:r>
      <w:r w:rsidR="00320F32" w:rsidRPr="00372D52">
        <w:rPr>
          <w:rFonts w:ascii="Book Antiqua" w:hAnsi="Book Antiqua"/>
          <w:sz w:val="24"/>
          <w:szCs w:val="24"/>
        </w:rPr>
        <w:t>terious</w:t>
      </w:r>
      <w:r w:rsidR="00D31E58" w:rsidRPr="00372D52">
        <w:rPr>
          <w:rFonts w:ascii="Book Antiqua" w:hAnsi="Book Antiqua"/>
          <w:sz w:val="24"/>
          <w:szCs w:val="24"/>
        </w:rPr>
        <w:t xml:space="preserve"> </w:t>
      </w:r>
      <w:r w:rsidR="00245B97" w:rsidRPr="00372D52">
        <w:rPr>
          <w:rFonts w:ascii="Book Antiqua" w:hAnsi="Book Antiqua"/>
          <w:sz w:val="24"/>
          <w:szCs w:val="24"/>
        </w:rPr>
        <w:t>effects</w:t>
      </w:r>
      <w:r w:rsidR="00320F32" w:rsidRPr="00372D52">
        <w:rPr>
          <w:rFonts w:ascii="Book Antiqua" w:hAnsi="Book Antiqua"/>
          <w:sz w:val="24"/>
          <w:szCs w:val="24"/>
        </w:rPr>
        <w:t xml:space="preserve"> associated with worse outcomes</w:t>
      </w:r>
      <w:r w:rsidR="00E5494F" w:rsidRPr="00372D52">
        <w:rPr>
          <w:rFonts w:ascii="Book Antiqua" w:hAnsi="Book Antiqua"/>
          <w:sz w:val="24"/>
          <w:szCs w:val="24"/>
        </w:rPr>
        <w:fldChar w:fldCharType="begin" w:fldLock="1"/>
      </w:r>
      <w:r w:rsidR="0033339F" w:rsidRPr="00372D52">
        <w:rPr>
          <w:rFonts w:ascii="Book Antiqua" w:hAnsi="Book Antiqua"/>
          <w:sz w:val="24"/>
          <w:szCs w:val="24"/>
        </w:rPr>
        <w:instrText>ADDIN CSL_CITATION {"citationItems":[{"id":"ITEM-1","itemData":{"DOI":"10.2147/JIR.S4385","ISSN":"1178-7031","PMID":"22096348","abstract":"Inflammation is the body's response to insults, which include infection, trauma, and hypersensitivity. The inflammatory response is complex and involves a variety of mechanisms to defend against pathogens and repair tissue. In the lung, inflammation is usually caused by pathogens or by exposure to toxins, pollutants, irritants, and allergens. During inflammation, numerous types of inflammatory cells are activated. Each releases cytokines and mediators to modify activities of other inflammatory cells. Orchestration of these cells and molecules leads to progression of inflammation. Clinically, acute inflammation is seen in pneumonia and acute respiratory distress syndrome (ARDS), whereas chronic inflammation is represented by asthma and chronic obstructive pulmonary disease (COPD). Because the lung is a vital organ for gas exchange, excessive inflammation can be life threatening. Because the lung is constantly exposed to harmful pathogens, an immediate and intense defense action (mainly inflammation) is required to eliminate the invaders as early as possible. A delicate balance between inflammation and anti-inflammation is essential for lung homeostasis. A full understanding of the underlying mechanisms is vital in the treatment of patients with lung inflammation. This review focuses on cellular and molecular aspects of lung inflammation during acute and chronic inflammatory states.","author":[{"dropping-particle":"","family":"Moldoveanu","given":"B","non-dropping-particle":"","parse-names":false,"suffix":""},{"dropping-particle":"","family":"Otmishi","given":"P","non-dropping-particle":"","parse-names":false,"suffix":""},{"dropping-particle":"","family":"Jani","given":"P","non-dropping-particle":"","parse-names":false,"suffix":""},{"dropping-particle":"","family":"Walker","given":"J","non-dropping-particle":"","parse-names":false,"suffix":""},{"dropping-particle":"","family":"Sarmiento","given":"X","non-dropping-particle":"","parse-names":false,"suffix":""},{"dropping-particle":"","family":"Guardiola","given":"J","non-dropping-particle":"","parse-names":false,"suffix":""},{"dropping-particle":"","family":"Saad","given":"M","non-dropping-particle":"","parse-names":false,"suffix":""},{"dropping-particle":"","family":"Yu","given":"Jerry","non-dropping-particle":"","parse-names":false,"suffix":""}],"container-title":"Journal of Inflammation Research","id":"ITEM-1","issued":{"date-parts":[["2009"]]},"page":"1-11","title":"Inflammatory mechanisms in the lung.","type":"article-journal","volume":"2"},"uris":["http://www.mendeley.com/documents/?uuid=36c2e1d8-8d8f-474b-9bd5-2f24cb1e87d1","http://www.mendeley.com/documents/?uuid=a94274c0-3950-4aad-968a-5ad34881a956"]}],"mendeley":{"formattedCitation":"&lt;sup&gt;[1]&lt;/sup&gt;","plainTextFormattedCitation":"[1]","previouslyFormattedCitation":"&lt;sup&gt;[1]&lt;/sup&gt;"},"properties":{"noteIndex":0},"schema":"https://github.com/citation-style-language/schema/raw/master/csl-citation.json"}</w:instrText>
      </w:r>
      <w:r w:rsidR="00E5494F" w:rsidRPr="00372D52">
        <w:rPr>
          <w:rFonts w:ascii="Book Antiqua" w:hAnsi="Book Antiqua"/>
          <w:sz w:val="24"/>
          <w:szCs w:val="24"/>
        </w:rPr>
        <w:fldChar w:fldCharType="separate"/>
      </w:r>
      <w:r w:rsidR="0033339F" w:rsidRPr="00372D52">
        <w:rPr>
          <w:rFonts w:ascii="Book Antiqua" w:hAnsi="Book Antiqua"/>
          <w:noProof/>
          <w:sz w:val="24"/>
          <w:szCs w:val="24"/>
          <w:vertAlign w:val="superscript"/>
        </w:rPr>
        <w:t>[1]</w:t>
      </w:r>
      <w:r w:rsidR="00E5494F" w:rsidRPr="00372D52">
        <w:rPr>
          <w:rFonts w:ascii="Book Antiqua" w:hAnsi="Book Antiqua"/>
          <w:sz w:val="24"/>
          <w:szCs w:val="24"/>
        </w:rPr>
        <w:fldChar w:fldCharType="end"/>
      </w:r>
      <w:r w:rsidR="00E5494F" w:rsidRPr="00372D52">
        <w:rPr>
          <w:rFonts w:ascii="Book Antiqua" w:hAnsi="Book Antiqua"/>
          <w:sz w:val="24"/>
          <w:szCs w:val="24"/>
        </w:rPr>
        <w:t xml:space="preserve">. </w:t>
      </w:r>
      <w:r w:rsidR="00116381" w:rsidRPr="00372D52">
        <w:rPr>
          <w:rFonts w:ascii="Book Antiqua" w:hAnsi="Book Antiqua"/>
          <w:sz w:val="24"/>
          <w:szCs w:val="24"/>
        </w:rPr>
        <w:t>The most common a</w:t>
      </w:r>
      <w:r w:rsidR="00962E3E" w:rsidRPr="00372D52">
        <w:rPr>
          <w:rFonts w:ascii="Book Antiqua" w:hAnsi="Book Antiqua"/>
          <w:sz w:val="24"/>
          <w:szCs w:val="24"/>
        </w:rPr>
        <w:t>cute pulmonary inflammatory conditions in</w:t>
      </w:r>
      <w:r w:rsidR="00EA4645" w:rsidRPr="00372D52">
        <w:rPr>
          <w:rFonts w:ascii="Book Antiqua" w:hAnsi="Book Antiqua"/>
          <w:sz w:val="24"/>
          <w:szCs w:val="24"/>
        </w:rPr>
        <w:t xml:space="preserve"> the intensive care unit (ICU) </w:t>
      </w:r>
      <w:r w:rsidR="00DC7B70" w:rsidRPr="00372D52">
        <w:rPr>
          <w:rFonts w:ascii="Book Antiqua" w:hAnsi="Book Antiqua"/>
          <w:sz w:val="24"/>
          <w:szCs w:val="24"/>
        </w:rPr>
        <w:t xml:space="preserve">are </w:t>
      </w:r>
      <w:r w:rsidR="00962E3E" w:rsidRPr="00372D52">
        <w:rPr>
          <w:rFonts w:ascii="Book Antiqua" w:hAnsi="Book Antiqua"/>
          <w:sz w:val="24"/>
          <w:szCs w:val="24"/>
        </w:rPr>
        <w:t>pneumonia</w:t>
      </w:r>
      <w:r w:rsidR="00CF61C9" w:rsidRPr="00372D52">
        <w:rPr>
          <w:rFonts w:ascii="Book Antiqua" w:hAnsi="Book Antiqua"/>
          <w:sz w:val="24"/>
          <w:szCs w:val="24"/>
        </w:rPr>
        <w:t>, either</w:t>
      </w:r>
      <w:r w:rsidR="00245B97" w:rsidRPr="00372D52">
        <w:rPr>
          <w:rFonts w:ascii="Book Antiqua" w:hAnsi="Book Antiqua"/>
          <w:sz w:val="24"/>
          <w:szCs w:val="24"/>
        </w:rPr>
        <w:t xml:space="preserve"> community or </w:t>
      </w:r>
      <w:r w:rsidR="00E368B5" w:rsidRPr="00372D52">
        <w:rPr>
          <w:rFonts w:ascii="Book Antiqua" w:hAnsi="Book Antiqua"/>
          <w:sz w:val="24"/>
          <w:szCs w:val="24"/>
        </w:rPr>
        <w:t xml:space="preserve">health care </w:t>
      </w:r>
      <w:r w:rsidR="00245B97" w:rsidRPr="00372D52">
        <w:rPr>
          <w:rFonts w:ascii="Book Antiqua" w:hAnsi="Book Antiqua"/>
          <w:sz w:val="24"/>
          <w:szCs w:val="24"/>
        </w:rPr>
        <w:t>acquired,</w:t>
      </w:r>
      <w:r w:rsidR="00116381" w:rsidRPr="00372D52">
        <w:rPr>
          <w:rFonts w:ascii="Book Antiqua" w:hAnsi="Book Antiqua"/>
          <w:sz w:val="24"/>
          <w:szCs w:val="24"/>
        </w:rPr>
        <w:t xml:space="preserve"> and</w:t>
      </w:r>
      <w:r w:rsidR="000D1BC8" w:rsidRPr="00372D52">
        <w:rPr>
          <w:rFonts w:ascii="Book Antiqua" w:hAnsi="Book Antiqua"/>
          <w:sz w:val="24"/>
          <w:szCs w:val="24"/>
        </w:rPr>
        <w:t xml:space="preserve"> </w:t>
      </w:r>
      <w:r w:rsidR="00962E3E" w:rsidRPr="00372D52">
        <w:rPr>
          <w:rFonts w:ascii="Book Antiqua" w:hAnsi="Book Antiqua"/>
          <w:sz w:val="24"/>
          <w:szCs w:val="24"/>
        </w:rPr>
        <w:t>acute respiratory distress syndrome (ARDS)</w:t>
      </w:r>
      <w:r w:rsidR="00245B97" w:rsidRPr="00372D52">
        <w:rPr>
          <w:rFonts w:ascii="Book Antiqua" w:hAnsi="Book Antiqua"/>
          <w:sz w:val="24"/>
          <w:szCs w:val="24"/>
        </w:rPr>
        <w:t>, a complication of other acute illnesses.</w:t>
      </w:r>
    </w:p>
    <w:p w14:paraId="4E770AA5" w14:textId="0B1D2632" w:rsidR="009E2850" w:rsidRPr="00372D52" w:rsidRDefault="00DC7B70"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Community acquired p</w:t>
      </w:r>
      <w:r w:rsidR="00C777FE" w:rsidRPr="00372D52">
        <w:rPr>
          <w:rFonts w:ascii="Book Antiqua" w:hAnsi="Book Antiqua"/>
          <w:sz w:val="24"/>
          <w:szCs w:val="24"/>
        </w:rPr>
        <w:t>neumonia</w:t>
      </w:r>
      <w:r w:rsidRPr="00372D52">
        <w:rPr>
          <w:rFonts w:ascii="Book Antiqua" w:hAnsi="Book Antiqua"/>
          <w:sz w:val="24"/>
          <w:szCs w:val="24"/>
        </w:rPr>
        <w:t xml:space="preserve"> (CAP)</w:t>
      </w:r>
      <w:r w:rsidR="00E149EE" w:rsidRPr="00372D52">
        <w:rPr>
          <w:rFonts w:ascii="Book Antiqua" w:hAnsi="Book Antiqua"/>
          <w:sz w:val="24"/>
          <w:szCs w:val="24"/>
        </w:rPr>
        <w:t xml:space="preserve"> is a leading infectious cause of hospitalizations worldwide accounting for over 1 million inpatient hospitalizations</w:t>
      </w:r>
      <w:r w:rsidR="00803108" w:rsidRPr="00372D52">
        <w:rPr>
          <w:rFonts w:ascii="Book Antiqua" w:hAnsi="Book Antiqua"/>
          <w:sz w:val="24"/>
          <w:szCs w:val="24"/>
        </w:rPr>
        <w:t xml:space="preserve"> annually </w:t>
      </w:r>
      <w:r w:rsidR="00E149EE" w:rsidRPr="00372D52">
        <w:rPr>
          <w:rFonts w:ascii="Book Antiqua" w:hAnsi="Book Antiqua"/>
          <w:sz w:val="24"/>
          <w:szCs w:val="24"/>
        </w:rPr>
        <w:t xml:space="preserve">in the United </w:t>
      </w:r>
      <w:r w:rsidR="0033339F" w:rsidRPr="00372D52">
        <w:rPr>
          <w:rFonts w:ascii="Book Antiqua" w:hAnsi="Book Antiqua"/>
          <w:sz w:val="24"/>
          <w:szCs w:val="24"/>
        </w:rPr>
        <w:t>S</w:t>
      </w:r>
      <w:r w:rsidR="00E149EE" w:rsidRPr="00372D52">
        <w:rPr>
          <w:rFonts w:ascii="Book Antiqua" w:hAnsi="Book Antiqua"/>
          <w:sz w:val="24"/>
          <w:szCs w:val="24"/>
        </w:rPr>
        <w:t>tates</w:t>
      </w:r>
      <w:r w:rsidR="0033339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{"citationItems":[{"id":"ITEM-1","itemData":{"DOI":"10.1093/cid/cix647","ISSN":"1537-6591","PMID":"29020164","abstract":"Background Understanding the burden of community-acquired pneumonia (CAP) is critical to allocate resources for prevention, management, and research. The objectives of this study were to define incidence, epidemiology, and mortality of adult patients hospitalized with CAP in the city of Louisville, and to estimate burden of CAP in the US adult population. Methods This was a prospective population-based cohort study of adult residents in Louisville, Kentucky, from 1 June 2014 to 31 May 2016. Consecutive hospitalized patients with CAP were enrolled at all adult hospitals in Louisville. The annual population-based CAP incidence was calculated. Geospatial epidemiology was used to define ecological associations among CAP and income level, race, and age. Mortality was evaluated during hospitalization and at 30 days, 6 months, and 1 year after hospitalization. Results During the 2-year study, from a Louisville population of 587499 adults, 186384 hospitalizations occurred. A total of 7449 unique patients hospitalized with CAP were documented. The annual age-adjusted incidence was 649 patients hospitalized with CAP per 100000 adults (95% confidence interval, 628.2-669.8), corresponding to 1591825 annual adult CAP hospitalizations in the United States. Clusters of CAP cases were found in areas with low-income and black/African American populations. Mortality during hospitalization was 6.5%, corresponding to 102821 annual deaths in the United States. Mortality at 30 days, 6 months, and 1 year was 13.0%, 23.4%, and 30.6%, respectively. Conclusions The estimated US burden of CAP is substantial, with &gt;1.5 million unique adults being hospitalized annually, 100000 deaths occurring during hospitalization, and approximately 1 of 3 patients hospitalized with CAP dying within 1 year.","author":[{"dropping-particle":"","family":"Ramirez","given":"Julio A","non-dropping-particle":"","parse-names":false,"suffix":""},{"dropping-particle":"","family":"Wiemken","given":"Timothy L","non-dropping-particle":"","parse-names":false,"suffix":""},{"dropping-particle":"","family":"Peyrani","given":"Paula","non-dropping-particle":"","parse-names":false,"suffix":""},{"dropping-particle":"","family":"Arnold","given":"Forest W","non-dropping-particle":"","parse-names":false,"suffix":""},{"dropping-particle":"","family":"Kelley","given":"Robert","non-dropping-particle":"","parse-names":false,"suffix":""},{"dropping-particle":"","family":"Mattingly","given":"William A","non-dropping-particle":"","parse-names":false,"suffix":""},{"dropping-particle":"","family":"Nakamatsu","given":"Raul","non-dropping-particle":"","parse-names":false,"suffix":""},{"dropping-particle":"","family":"Pena","given":"Senen","non-dropping-particle":"","parse-names":false,"suffix":""},{"dropping-particle":"","family":"Guinn","given":"Brian E","non-dropping-particle":"","parse-names":false,"suffix":""},{"dropping-particle":"","family":"Furmanek","given":"Stephen P","non-dropping-particle":"","parse-names":false,"suffix":""},{"dropping-particle":"","family":"Persaud","given":"Annuradha K","non-dropping-particle":"","parse-names":false,"suffix":""},{"dropping-particle":"","family":"Raghuram","given":"Anupama","non-dropping-particle":"","parse-names":false,"suffix":""},{"dropping-particle":"","family":"Fernandez","given":"Francisco","non-dropping-particle":"","parse-names":false,"suffix":""},{"dropping-particle":"","family":"Beavin","given":"Leslie","non-dropping-particle":"","parse-names":false,"suffix":""},{"dropping-particle":"","family":"Bosson","given":"Rahel","non-dropping-particle":"","parse-names":false,"suffix":""},{"dropping-particle":"","family":"Fernandez-Botran","given":"Rafael","non-dropping-particle":"","parse-names":false,"suffix":""},{"dropping-particle":"","family":"Cavallazzi","given":"Rodrigo","non-dropping-particle":"","parse-names":false,"suffix":""},{"dropping-particle":"","family":"Bordon","given":"Jose","non-dropping-particle":"","parse-names":false,"suffix":""},{"dropping-particle":"","family":"Valdivieso","given":"Claudia","non-dropping-particle":"","parse-names":false,"suffix":""},{"dropping-particle":"","family":"Schulte","given":"Joann","non-dropping-particle":"","parse-names":false,"suffix":""},{"dropping-particle":"","family":"Carrico","given":"Ruth M","non-dropping-particle":"","parse-names":false,"suffix":""},{"dropping-particle":"","family":"University of Louisville Pneumonia Study","given":"","non-dropping-particle":"","parse-names":false,"suffix":""},{"dropping-particle":"","family":"Group","given":"","non-dropping-particle":"","parse-names":false,"suffix":""}],"container-title":"Clinical Infectious Diseases","id":"ITEM-1","issue":"11","issued":{"date-parts":[["2017","11","13"]]},"page":"1806-1812","title":"Adults Hospitalized With Pneumonia in the United States: Incidence, Epidemiology, and Mortality.","type":"article-journal","volume":"65"},"uris":["http://www.mendeley.com/documents/?uuid=f32d002f-8bc8-4ec9-8c08-3f196135dfaa"]},{"id":"ITEM-2","itemData":{"ISSN":"1551-8922","PMID":"27378572","abstract":"Objectives-This report presents final 2014 data on U.S. deaths, death rates, life expectancy, infant mortality, and trends, by selected characteristics such as age, sex, Hispanic origin, race, state of residence, and cause of death.","author":[{"dropping-particle":"","family":"Kochanek","given":"Kenneth D","non-dropping-particle":"","parse-names":false,"suffix":""},{"dropping-particle":"","family":"Murphy","given":"Sherry L","non-dropping-particle":"","parse-names":false,"suffix":""},{"dropping-particle":"","family":"Xu","given":"Jiaquan","non-dropping-particle":"","parse-names":false,"suffix":""},{"dropping-particle":"","family":"Tejada-Vera","given":"Betzaida","non-dropping-particle":"","parse-names":false,"suffix":""}],"container-title":"National Vital Statistics Reports","id":"ITEM-2","issue":"4","issued":{"date-parts":[["2016","6"]]},"page":"1-122","title":"Deaths: Final Data for 2014.","type":"article-journal","volume":"65"},"uris":["http://www.mendeley.com/documents/?uuid=66f8beb3-7800-46db-8cee-2d9debedcb84","http://www.mendeley.com/documents/?uuid=8cdb30c8-36f5-47e9-b342-1d704ece28a5"]}],"mendeley":{"formattedCitation":"&lt;sup&gt;[2,3]&lt;/sup&gt;","plainTextFormattedCitation":"[2,3]","previouslyFormattedCitation":"&lt;sup&gt;[2,3]&lt;/sup&gt;"},"properties":{"noteIndex":0},"schema":"https://github.com/citation-style-language/schema/raw/master/csl-citation.json"}</w:instrText>
      </w:r>
      <w:r w:rsidR="0033339F"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[2,3]</w:t>
      </w:r>
      <w:r w:rsidR="0033339F" w:rsidRPr="00372D52">
        <w:rPr>
          <w:rFonts w:ascii="Book Antiqua" w:hAnsi="Book Antiqua"/>
          <w:sz w:val="24"/>
          <w:szCs w:val="24"/>
        </w:rPr>
        <w:fldChar w:fldCharType="end"/>
      </w:r>
      <w:r w:rsidR="008B5D20" w:rsidRPr="00372D52">
        <w:rPr>
          <w:rFonts w:ascii="Book Antiqua" w:hAnsi="Book Antiqua"/>
          <w:sz w:val="24"/>
          <w:szCs w:val="24"/>
        </w:rPr>
        <w:t>. L</w:t>
      </w:r>
      <w:r w:rsidRPr="00372D52">
        <w:rPr>
          <w:rFonts w:ascii="Book Antiqua" w:hAnsi="Book Antiqua"/>
          <w:sz w:val="24"/>
          <w:szCs w:val="24"/>
        </w:rPr>
        <w:t>imited data suggests a</w:t>
      </w:r>
      <w:r w:rsidR="0033339F" w:rsidRPr="00372D52">
        <w:rPr>
          <w:rFonts w:ascii="Book Antiqua" w:hAnsi="Book Antiqua"/>
          <w:sz w:val="24"/>
          <w:szCs w:val="24"/>
        </w:rPr>
        <w:t>bout 20</w:t>
      </w:r>
      <w:r w:rsidR="004E1447" w:rsidRPr="00372D52">
        <w:rPr>
          <w:rFonts w:ascii="Book Antiqua" w:hAnsi="Book Antiqua"/>
          <w:sz w:val="24"/>
          <w:szCs w:val="24"/>
        </w:rPr>
        <w:t xml:space="preserve">% of adults hospitalized for pneumonia </w:t>
      </w:r>
      <w:r w:rsidR="006A6C2A" w:rsidRPr="00372D52">
        <w:rPr>
          <w:rFonts w:ascii="Book Antiqua" w:hAnsi="Book Antiqua"/>
          <w:sz w:val="24"/>
          <w:szCs w:val="24"/>
        </w:rPr>
        <w:t>required</w:t>
      </w:r>
      <w:r w:rsidR="004E1447" w:rsidRPr="00372D52">
        <w:rPr>
          <w:rFonts w:ascii="Book Antiqua" w:hAnsi="Book Antiqua"/>
          <w:sz w:val="24"/>
          <w:szCs w:val="24"/>
        </w:rPr>
        <w:t xml:space="preserve"> </w:t>
      </w:r>
      <w:r w:rsidR="006A6C2A" w:rsidRPr="00372D52">
        <w:rPr>
          <w:rFonts w:ascii="Book Antiqua" w:hAnsi="Book Antiqua"/>
          <w:sz w:val="24"/>
          <w:szCs w:val="24"/>
        </w:rPr>
        <w:t xml:space="preserve">an </w:t>
      </w:r>
      <w:r w:rsidR="004E1447" w:rsidRPr="00372D52">
        <w:rPr>
          <w:rFonts w:ascii="Book Antiqua" w:hAnsi="Book Antiqua"/>
          <w:sz w:val="24"/>
          <w:szCs w:val="24"/>
        </w:rPr>
        <w:t>ICU</w:t>
      </w:r>
      <w:r w:rsidR="006A6C2A" w:rsidRPr="00372D52">
        <w:rPr>
          <w:rFonts w:ascii="Book Antiqua" w:hAnsi="Book Antiqua"/>
          <w:sz w:val="24"/>
          <w:szCs w:val="24"/>
        </w:rPr>
        <w:t xml:space="preserve"> admission </w:t>
      </w:r>
      <w:r w:rsidR="009F4C1C" w:rsidRPr="00372D52">
        <w:rPr>
          <w:rFonts w:ascii="Book Antiqua" w:hAnsi="Book Antiqua"/>
          <w:sz w:val="24"/>
          <w:szCs w:val="24"/>
        </w:rPr>
        <w:t xml:space="preserve">which was directly </w:t>
      </w:r>
      <w:r w:rsidR="000D1BC8" w:rsidRPr="00372D52">
        <w:rPr>
          <w:rFonts w:ascii="Book Antiqua" w:hAnsi="Book Antiqua"/>
          <w:sz w:val="24"/>
          <w:szCs w:val="24"/>
        </w:rPr>
        <w:t>associated</w:t>
      </w:r>
      <w:r w:rsidR="009F4C1C" w:rsidRPr="00372D52">
        <w:rPr>
          <w:rFonts w:ascii="Book Antiqua" w:hAnsi="Book Antiqua"/>
          <w:sz w:val="24"/>
          <w:szCs w:val="24"/>
        </w:rPr>
        <w:t xml:space="preserve"> with a </w:t>
      </w:r>
      <w:r w:rsidR="0062595C" w:rsidRPr="00372D52">
        <w:rPr>
          <w:rFonts w:ascii="Book Antiqua" w:hAnsi="Book Antiqua"/>
          <w:sz w:val="24"/>
          <w:szCs w:val="24"/>
        </w:rPr>
        <w:t xml:space="preserve">50% </w:t>
      </w:r>
      <w:r w:rsidR="000D1BC8" w:rsidRPr="00372D52">
        <w:rPr>
          <w:rFonts w:ascii="Book Antiqua" w:hAnsi="Book Antiqua"/>
          <w:sz w:val="24"/>
          <w:szCs w:val="24"/>
        </w:rPr>
        <w:t xml:space="preserve">increase in </w:t>
      </w:r>
      <w:r w:rsidR="0062595C" w:rsidRPr="00372D52">
        <w:rPr>
          <w:rFonts w:ascii="Book Antiqua" w:hAnsi="Book Antiqua"/>
          <w:sz w:val="24"/>
          <w:szCs w:val="24"/>
        </w:rPr>
        <w:t xml:space="preserve">length of </w:t>
      </w:r>
      <w:r w:rsidR="00C43441" w:rsidRPr="00372D52">
        <w:rPr>
          <w:rFonts w:ascii="Book Antiqua" w:hAnsi="Book Antiqua"/>
          <w:sz w:val="24"/>
          <w:szCs w:val="24"/>
        </w:rPr>
        <w:t xml:space="preserve">hospital </w:t>
      </w:r>
      <w:r w:rsidR="0062595C" w:rsidRPr="00372D52">
        <w:rPr>
          <w:rFonts w:ascii="Book Antiqua" w:hAnsi="Book Antiqua"/>
          <w:sz w:val="24"/>
          <w:szCs w:val="24"/>
        </w:rPr>
        <w:t>stay</w:t>
      </w:r>
      <w:r w:rsidR="0033339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{"citationItems":[{"id":"ITEM-1","itemData":{"DOI":"10.1186/s12890-017-0552-x","ISSN":"1471-2466","PMID":"29246210","abstract":"BACKGROUND Pneumonia poses a significant burden to the U.S. health-care system. However, there are few data focusing on severe pneumonia, particularly cases of pneumonia associated with specialized care in intensive care units (ICU). METHODS We used administrative and electronic medical record data from six integrated health care systems to estimate rates of pneumonia hospitalizations with ICU admissions among adults during 2006 through 2010. Pneumonia hospitalization was defined as either a primary discharge diagnosis of pneumonia or a primary discharge diagnosis of sepsis or respiratory failure with a secondary diagnosis of pneumonia in administrative data. ICU admissions were collected from internal electronic medical records from each system. Comorbidities were identified by ICD-9-CM codes coded during the current pneumonia hospitalization, as well as during medical visits that occurred during the year prior to the date of admission. RESULTS We identified 119,537 adult hospitalizations meeting our definition for pneumonia. Approximately 19% of adult pneumonia hospitalizations had an ICU admission. The rate of pneumonia hospitalizations requiring ICU admission during the study period was 76 per 100,000 population/year; rates increased for each age-group with the highest rates among adults aged ≥85 years. Having a co-morbidity approximately doubled the risk of ICU admission in all age-groups. CONCLUSIONS Our study indicates a significant burden of pneumonia hospitalizations with an ICU admission among adults in our cohort during 2006 through 2010, especially older age-groups and persons with underlying medical conditions. These findings reinforce current strategies aimed to prevent pneumonia among adults.","author":[{"dropping-particle":"","family":"Storms","given":"Aaron D","non-dropping-particle":"","parse-names":false,"suffix":""},{"dropping-particle":"","family":"Chen","given":"Jufu","non-dropping-particle":"","parse-names":false,"suffix":""},{"dropping-particle":"","family":"Jackson","given":"Lisa A","non-dropping-particle":"","parse-names":false,"suffix":""},{"dropping-particle":"","family":"Nordin","given":"James D","non-dropping-particle":"","parse-names":false,"suffix":""},{"dropping-particle":"","family":"Naleway","given":"Allison L","non-dropping-particle":"","parse-names":false,"suffix":""},{"dropping-particle":"","family":"Glanz","given":"Jason M","non-dropping-particle":"","parse-names":false,"suffix":""},{"dropping-particle":"","family":"Jacobsen","given":"Steven J","non-dropping-particle":"","parse-names":false,"suffix":""},{"dropping-particle":"","family":"Weintraub","given":"Eric S","non-dropping-particle":"","parse-names":false,"suffix":""},{"dropping-particle":"","family":"Klein","given":"Nicola P","non-dropping-particle":"","parse-names":false,"suffix":""},{"dropping-particle":"","family":"Gargiullo","given":"Paul M","non-dropping-particle":"","parse-names":false,"suffix":""},{"dropping-particle":"","family":"Fry","given":"Alicia M","non-dropping-particle":"","parse-names":false,"suffix":""}],"container-title":"BMC Pulmonary Medicine","id":"ITEM-1","issue":"1","issued":{"date-parts":[["2017","12","16"]]},"page":"208","title":"Rates and risk factors associated with hospitalization for pneumonia with ICU admission among adults.","type":"article-journal","volume":"17"},"uris":["http://www.mendeley.com/documents/?uuid=e31db19e-e3e4-4dfa-9de6-6b9fb39bf0a8"]}],"mendeley":{"formattedCitation":"&lt;sup&gt;[4]&lt;/sup&gt;","plainTextFormattedCitation":"[4]","previouslyFormattedCitation":"&lt;sup&gt;[4]&lt;/sup&gt;"},"properties":{"noteIndex":0},"schema":"https://github.com/citation-style-language/schema/raw/master/csl-citation.json"}</w:instrText>
      </w:r>
      <w:r w:rsidR="0033339F"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[4]</w:t>
      </w:r>
      <w:r w:rsidR="0033339F" w:rsidRPr="00372D52">
        <w:rPr>
          <w:rFonts w:ascii="Book Antiqua" w:hAnsi="Book Antiqua"/>
          <w:sz w:val="24"/>
          <w:szCs w:val="24"/>
        </w:rPr>
        <w:fldChar w:fldCharType="end"/>
      </w:r>
      <w:r w:rsidR="0033339F" w:rsidRPr="00372D52">
        <w:rPr>
          <w:rFonts w:ascii="Book Antiqua" w:hAnsi="Book Antiqua"/>
          <w:sz w:val="24"/>
          <w:szCs w:val="24"/>
        </w:rPr>
        <w:t>.</w:t>
      </w:r>
      <w:r w:rsidR="004E1447" w:rsidRPr="00372D52">
        <w:rPr>
          <w:rFonts w:ascii="Book Antiqua" w:hAnsi="Book Antiqua"/>
          <w:sz w:val="24"/>
          <w:szCs w:val="24"/>
        </w:rPr>
        <w:t xml:space="preserve"> </w:t>
      </w:r>
      <w:r w:rsidR="00CF6F47" w:rsidRPr="00372D52">
        <w:rPr>
          <w:rFonts w:ascii="Book Antiqua" w:hAnsi="Book Antiqua"/>
          <w:sz w:val="24"/>
          <w:szCs w:val="24"/>
        </w:rPr>
        <w:t>Although less common than pneumonia, ARDS accounts for approximately</w:t>
      </w:r>
      <w:r w:rsidR="0033339F" w:rsidRPr="00372D52">
        <w:rPr>
          <w:rFonts w:ascii="Book Antiqua" w:hAnsi="Book Antiqua"/>
          <w:sz w:val="24"/>
          <w:szCs w:val="24"/>
        </w:rPr>
        <w:t xml:space="preserve"> 10.4</w:t>
      </w:r>
      <w:r w:rsidR="00CF6F47" w:rsidRPr="00372D52">
        <w:rPr>
          <w:rFonts w:ascii="Book Antiqua" w:hAnsi="Book Antiqua"/>
          <w:sz w:val="24"/>
          <w:szCs w:val="24"/>
        </w:rPr>
        <w:t xml:space="preserve">% of ICU admissions worldwide </w:t>
      </w:r>
      <w:r w:rsidR="0033339F" w:rsidRPr="00372D52">
        <w:rPr>
          <w:rFonts w:ascii="Book Antiqua" w:hAnsi="Book Antiqua"/>
          <w:sz w:val="24"/>
          <w:szCs w:val="24"/>
        </w:rPr>
        <w:t>with an associated 40</w:t>
      </w:r>
      <w:r w:rsidR="00CF6F47" w:rsidRPr="00372D52">
        <w:rPr>
          <w:rFonts w:ascii="Book Antiqua" w:hAnsi="Book Antiqua"/>
          <w:sz w:val="24"/>
          <w:szCs w:val="24"/>
        </w:rPr>
        <w:t>% mortality rate depending on severity</w:t>
      </w:r>
      <w:r w:rsidR="0033339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10.1186/s13054-016-1443-x","ISSN":"1466-609X","PMID":"27608629","author":[{"dropping-particle":"","family":"Bellani","given":"Giacomo","non-dropping-particle":"","parse-names":false,"suffix":""},{"dropping-particle":"","family":"Laffey","given":"John G","non-dropping-particle":"","parse-names":false,"suffix":""},{"dropping-particle":"","family":"Pham","given":"Tài","non-dropping-particle":"","parse-names":false,"suffix":""},{"dropping-particle":"","family":"Fan","given":"Eddy","non-dropping-particle":"","parse-names":false,"suffix":""},{"dropping-particle":"","family":"LUNG SAFE Investigators and the ESICM Trials Group","given":"","non-dropping-particle":"","parse-names":false,"suffix":""}],"container-title":"Critical Care","id":"ITEM-1","issued":{"date-parts":[["2016"]]},"page":"268","title":"The LUNG SAFE study: a presentation of the prevalence of ARDS according to the Berlin Definition!","type":"article-journal","volume":"20"},"uris":["http://www.mendeley.com/documents/?uuid=b76126f6-ad05-4dba-b311-30b79789bd77"]}],"mendeley":{"formattedCitation":"&lt;sup&gt;[5]&lt;/sup&gt;","plainTextFormattedCitation":"[5]","previouslyFormattedCitation":"&lt;sup&gt;[5]&lt;/sup&gt;"},"properties":{"noteIndex":0},"schema":"https://github.com/citation-style-language/schema/raw/master/csl-citation.json"}</w:instrText>
      </w:r>
      <w:r w:rsidR="0033339F"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[5]</w:t>
      </w:r>
      <w:r w:rsidR="0033339F" w:rsidRPr="00372D52">
        <w:rPr>
          <w:rFonts w:ascii="Book Antiqua" w:hAnsi="Book Antiqua"/>
          <w:sz w:val="24"/>
          <w:szCs w:val="24"/>
        </w:rPr>
        <w:fldChar w:fldCharType="end"/>
      </w:r>
      <w:r w:rsidR="0033339F" w:rsidRPr="00372D52">
        <w:rPr>
          <w:rFonts w:ascii="Book Antiqua" w:hAnsi="Book Antiqua"/>
          <w:sz w:val="24"/>
          <w:szCs w:val="24"/>
        </w:rPr>
        <w:t>.</w:t>
      </w:r>
      <w:r w:rsidR="00245B97" w:rsidRPr="00372D52">
        <w:rPr>
          <w:rFonts w:ascii="Book Antiqua" w:hAnsi="Book Antiqua"/>
          <w:sz w:val="24"/>
          <w:szCs w:val="24"/>
        </w:rPr>
        <w:t xml:space="preserve"> It</w:t>
      </w:r>
      <w:r w:rsidR="000738CD" w:rsidRPr="00372D52">
        <w:rPr>
          <w:rFonts w:ascii="Book Antiqua" w:hAnsi="Book Antiqua"/>
          <w:sz w:val="24"/>
          <w:szCs w:val="24"/>
        </w:rPr>
        <w:t xml:space="preserve"> </w:t>
      </w:r>
      <w:r w:rsidR="00245B97" w:rsidRPr="00372D52">
        <w:rPr>
          <w:rFonts w:ascii="Book Antiqua" w:hAnsi="Book Antiqua"/>
          <w:sz w:val="24"/>
          <w:szCs w:val="24"/>
        </w:rPr>
        <w:t xml:space="preserve">usually </w:t>
      </w:r>
      <w:r w:rsidR="000738CD" w:rsidRPr="00372D52">
        <w:rPr>
          <w:rFonts w:ascii="Book Antiqua" w:hAnsi="Book Antiqua"/>
          <w:sz w:val="24"/>
          <w:szCs w:val="24"/>
        </w:rPr>
        <w:t>occurs as</w:t>
      </w:r>
      <w:r w:rsidR="00245B97" w:rsidRPr="00372D52">
        <w:rPr>
          <w:rFonts w:ascii="Book Antiqua" w:hAnsi="Book Antiqua"/>
          <w:sz w:val="24"/>
          <w:szCs w:val="24"/>
        </w:rPr>
        <w:t xml:space="preserve"> a sequela of</w:t>
      </w:r>
      <w:r w:rsidR="000738CD" w:rsidRPr="00372D52">
        <w:rPr>
          <w:rFonts w:ascii="Book Antiqua" w:hAnsi="Book Antiqua"/>
          <w:sz w:val="24"/>
          <w:szCs w:val="24"/>
        </w:rPr>
        <w:t xml:space="preserve"> other acute illnesses including pneumonia</w:t>
      </w:r>
      <w:r w:rsidR="009E2850" w:rsidRPr="00372D52">
        <w:rPr>
          <w:rFonts w:ascii="Book Antiqua" w:hAnsi="Book Antiqua"/>
          <w:sz w:val="24"/>
          <w:szCs w:val="24"/>
        </w:rPr>
        <w:t xml:space="preserve"> and</w:t>
      </w:r>
      <w:r w:rsidR="000738CD" w:rsidRPr="00372D52">
        <w:rPr>
          <w:rFonts w:ascii="Book Antiqua" w:hAnsi="Book Antiqua"/>
          <w:sz w:val="24"/>
          <w:szCs w:val="24"/>
        </w:rPr>
        <w:t xml:space="preserve"> </w:t>
      </w:r>
      <w:r w:rsidR="009E2850" w:rsidRPr="00372D52">
        <w:rPr>
          <w:rFonts w:ascii="Book Antiqua" w:hAnsi="Book Antiqua"/>
          <w:sz w:val="24"/>
          <w:szCs w:val="24"/>
        </w:rPr>
        <w:t>non-pulmonary sepsis</w:t>
      </w:r>
      <w:r w:rsidR="000738CD" w:rsidRPr="00372D52">
        <w:rPr>
          <w:rFonts w:ascii="Book Antiqua" w:hAnsi="Book Antiqua"/>
          <w:sz w:val="24"/>
          <w:szCs w:val="24"/>
        </w:rPr>
        <w:t xml:space="preserve">. Other risk factors </w:t>
      </w:r>
      <w:r w:rsidR="0062595C" w:rsidRPr="00372D52">
        <w:rPr>
          <w:rFonts w:ascii="Book Antiqua" w:hAnsi="Book Antiqua"/>
          <w:sz w:val="24"/>
          <w:szCs w:val="24"/>
        </w:rPr>
        <w:t>are aspiration</w:t>
      </w:r>
      <w:r w:rsidR="009E2850" w:rsidRPr="00372D52">
        <w:rPr>
          <w:rFonts w:ascii="Book Antiqua" w:hAnsi="Book Antiqua"/>
          <w:sz w:val="24"/>
          <w:szCs w:val="24"/>
        </w:rPr>
        <w:t xml:space="preserve"> pneumonia</w:t>
      </w:r>
      <w:r w:rsidR="000738CD" w:rsidRPr="00372D52">
        <w:rPr>
          <w:rFonts w:ascii="Book Antiqua" w:hAnsi="Book Antiqua"/>
          <w:sz w:val="24"/>
          <w:szCs w:val="24"/>
        </w:rPr>
        <w:t>, trauma and transfusion of blood products.</w:t>
      </w:r>
    </w:p>
    <w:p w14:paraId="77809D1F" w14:textId="784F08A1" w:rsidR="00BF40D9" w:rsidRPr="00372D52" w:rsidRDefault="000738CD" w:rsidP="00372D52">
      <w:pPr>
        <w:autoSpaceDE w:val="0"/>
        <w:autoSpaceDN w:val="0"/>
        <w:adjustRightInd w:val="0"/>
        <w:spacing w:after="0" w:line="360" w:lineRule="auto"/>
        <w:ind w:firstLineChars="100" w:firstLine="240"/>
        <w:jc w:val="both"/>
        <w:rPr>
          <w:rFonts w:ascii="Book Antiqua" w:hAnsi="Book Antiqua"/>
          <w:sz w:val="24"/>
          <w:szCs w:val="24"/>
          <w:lang w:val="en"/>
        </w:rPr>
      </w:pPr>
      <w:r w:rsidRPr="00372D52">
        <w:rPr>
          <w:rFonts w:ascii="Book Antiqua" w:hAnsi="Book Antiqua"/>
          <w:sz w:val="24"/>
          <w:szCs w:val="24"/>
        </w:rPr>
        <w:t>Together</w:t>
      </w:r>
      <w:r w:rsidR="00C43441" w:rsidRPr="00372D52">
        <w:rPr>
          <w:rFonts w:ascii="Book Antiqua" w:hAnsi="Book Antiqua"/>
          <w:sz w:val="24"/>
          <w:szCs w:val="24"/>
        </w:rPr>
        <w:t>,</w:t>
      </w:r>
      <w:r w:rsidRPr="00372D52">
        <w:rPr>
          <w:rFonts w:ascii="Book Antiqua" w:hAnsi="Book Antiqua"/>
          <w:sz w:val="24"/>
          <w:szCs w:val="24"/>
        </w:rPr>
        <w:t xml:space="preserve"> both conditions have a significant im</w:t>
      </w:r>
      <w:r w:rsidR="009E2850" w:rsidRPr="00372D52">
        <w:rPr>
          <w:rFonts w:ascii="Book Antiqua" w:hAnsi="Book Antiqua"/>
          <w:sz w:val="24"/>
          <w:szCs w:val="24"/>
        </w:rPr>
        <w:t xml:space="preserve">pact on morbidity and </w:t>
      </w:r>
      <w:r w:rsidRPr="00372D52">
        <w:rPr>
          <w:rFonts w:ascii="Book Antiqua" w:hAnsi="Book Antiqua"/>
          <w:sz w:val="24"/>
          <w:szCs w:val="24"/>
        </w:rPr>
        <w:t xml:space="preserve">mortality </w:t>
      </w:r>
      <w:r w:rsidR="009E2850" w:rsidRPr="00372D52">
        <w:rPr>
          <w:rFonts w:ascii="Book Antiqua" w:hAnsi="Book Antiqua"/>
          <w:sz w:val="24"/>
          <w:szCs w:val="24"/>
        </w:rPr>
        <w:t xml:space="preserve">in the ICU </w:t>
      </w:r>
      <w:r w:rsidRPr="00372D52">
        <w:rPr>
          <w:rFonts w:ascii="Book Antiqua" w:hAnsi="Book Antiqua"/>
          <w:sz w:val="24"/>
          <w:szCs w:val="24"/>
        </w:rPr>
        <w:t xml:space="preserve">with an associated increase in </w:t>
      </w:r>
      <w:r w:rsidR="009E2850" w:rsidRPr="00372D52">
        <w:rPr>
          <w:rFonts w:ascii="Book Antiqua" w:hAnsi="Book Antiqua"/>
          <w:sz w:val="24"/>
          <w:szCs w:val="24"/>
        </w:rPr>
        <w:t xml:space="preserve">overall </w:t>
      </w:r>
      <w:r w:rsidRPr="00372D52">
        <w:rPr>
          <w:rFonts w:ascii="Book Antiqua" w:hAnsi="Book Antiqua"/>
          <w:sz w:val="24"/>
          <w:szCs w:val="24"/>
        </w:rPr>
        <w:t>health care utilization despite early antimicrobial therapy and lung protective mechanical ventilation</w:t>
      </w:r>
      <w:r w:rsidR="007467B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{"citationItems":[{"id":"ITEM-1","itemData":{"DOI":"10.1378/chest.07-1456","ISSN":"0012-3692","PMID":"17989157","abstract":"BACKGROUND Limited information is available on the health-care utilization of hospitalized patients with community-acquired pneumonia (CAP) depending on the location of care. Our aim was to compare the clinical characteristics, etiologies, and outcomes of patients with CAP who were admitted to the ICU with those admitted who were to the ward service. METHODS A retrospective cohort study, at two tertiary teaching hospitals, one of which was a Veterans Affairs hospital, and the other a county hospital. Eligible subjects had been admitted to the hospital with a diagnosis of CAP between January 1, 1999, and December 31, 2001, had a confirmatory chest radiograph, and a hospital discharge International Classification of Diseases, ninth revision, diagnosis of pneumonia. Subjects were excluded from the study if they had designated \"comfort measures only\" or had been transferred from another acute care hospital or were nursing home patients. Bivariate and multivariable analysis evaluated 30-day and 90-day mortality as the dependent measures. RESULTS Data were abstracted on 730 patients (ICU, 145 patients; wards, 585 patients). Compared to ward patients, ICU patients were more likely to be male (p = 0.001), and to have congestive heart failure (p = 0.01) and COPD (p = 0.01). ICU patients also had higher mean pneumonia severity index scores (112 [SD, 35] vs 83 [SD, 30], respectively; p = 0.02). Patients admitted to the ICU had a longer mean length of hospital stay (12 days [SD, 10 days] vs 7 days [SD, 17 days], respectively; p = 0.07), and a higher 30-day mortality rate (23% vs 4%, respectively; p &lt; 0.001) and 90-day mortality rate (28% vs 8%, respectively; p &lt; 0.001) compared to ward patients. CONCLUSIONS ICU patients present with more severe disease and more comorbidities. ICU patients stay longer in the hospital and have a much higher mortality rate when compared to ward patients. Management strategies should be designed to improve clinical outcomes in ICU patients.","author":[{"dropping-particle":"","family":"Restrepo","given":"Marcos I","non-dropping-particle":"","parse-names":false,"suffix":""},{"dropping-particle":"","family":"Mortensen","given":"Eric M","non-dropping-particle":"","parse-names":false,"suffix":""},{"dropping-particle":"","family":"Velez","given":"Jose A","non-dropping-particle":"","parse-names":false,"suffix":""},{"dropping-particle":"","family":"Frei","given":"Christopher","non-dropping-particle":"","parse-names":false,"suffix":""},{"dropping-particle":"","family":"Anzueto","given":"Antonio","non-dropping-particle":"","parse-names":false,"suffix":""}],"container-title":"Chest","id":"ITEM-1","issue":"3","issued":{"date-parts":[["2008","3"]]},"page":"610-7","title":"A comparative study of community-acquired pneumonia patients admitted to the ward and the ICU.","type":"article-journal","volume":"133"},"uris":["http://www.mendeley.com/documents/?uuid=849f69d8-2898-47ef-8b7a-dfd0c18d325b"]},{"id":"ITEM-2","itemData":{"DOI":"10.1186/s13054-016-1443-x","ISSN":"1466-609X","PMID":"27608629","author":[{"dropping-particle":"","family":"Bellani","given":"Giacomo","non-dropping-particle":"","parse-names":false,"suffix":""},{"dropping-particle":"","family":"Laffey","given":"John G","non-dropping-particle":"","parse-names":false,"suffix":""},{"dropping-particle":"","family":"Pham","given":"Tài","non-dropping-particle":"","parse-names":false,"suffix":""},{"dropping-particle":"","family":"Fan","given":"Eddy","non-dropping-particle":"","parse-names":false,"suffix":""},{"dropping-particle":"","family":"LUNG SAFE Investigators and the ESICM Trials Group","given":"","non-dropping-particle":"","parse-names":false,"suffix":""}],"container-title":"Critical Care","id":"ITEM-2","issued":{"date-parts":[["2016"]]},"page":"268","title":"The LUNG SAFE study: a presentation of the prevalence of ARDS according to the Berlin Definition!","type":"article-journal","volume":"20"},"uris":["http://www.mendeley.com/documents/?uuid=b76126f6-ad05-4dba-b311-30b79789bd77"]}],"mendeley":{"formattedCitation":"&lt;sup&gt;[5,6]&lt;/sup&gt;","plainTextFormattedCitation":"[5,6]","previouslyFormattedCitation":"&lt;sup&gt;[5,6]&lt;/sup&gt;"},"properties":{"noteIndex":0},"schema":"https://github.com/citation-style-language/schema/raw/master/csl-citation.json"}</w:instrText>
      </w:r>
      <w:r w:rsidR="007467BF"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[5,6]</w:t>
      </w:r>
      <w:r w:rsidR="007467BF" w:rsidRPr="00372D52">
        <w:rPr>
          <w:rFonts w:ascii="Book Antiqua" w:hAnsi="Book Antiqua"/>
          <w:sz w:val="24"/>
          <w:szCs w:val="24"/>
        </w:rPr>
        <w:fldChar w:fldCharType="end"/>
      </w:r>
      <w:r w:rsidR="00332A44" w:rsidRPr="00372D52">
        <w:rPr>
          <w:rFonts w:ascii="Book Antiqua" w:hAnsi="Book Antiqua"/>
          <w:sz w:val="24"/>
          <w:szCs w:val="24"/>
        </w:rPr>
        <w:t xml:space="preserve">. </w:t>
      </w:r>
      <w:r w:rsidR="00E368B5" w:rsidRPr="00372D52">
        <w:rPr>
          <w:rFonts w:ascii="Book Antiqua" w:hAnsi="Book Antiqua"/>
          <w:sz w:val="24"/>
          <w:szCs w:val="24"/>
        </w:rPr>
        <w:t xml:space="preserve">Acute and sometimes exaggerated inflammatory response is </w:t>
      </w:r>
      <w:r w:rsidR="007F358B" w:rsidRPr="00372D52">
        <w:rPr>
          <w:rFonts w:ascii="Book Antiqua" w:hAnsi="Book Antiqua"/>
          <w:sz w:val="24"/>
          <w:szCs w:val="24"/>
        </w:rPr>
        <w:t xml:space="preserve">a </w:t>
      </w:r>
      <w:r w:rsidR="00E368B5" w:rsidRPr="00372D52">
        <w:rPr>
          <w:rFonts w:ascii="Book Antiqua" w:hAnsi="Book Antiqua"/>
          <w:sz w:val="24"/>
          <w:szCs w:val="24"/>
        </w:rPr>
        <w:t>common and important</w:t>
      </w:r>
      <w:r w:rsidR="00332A44" w:rsidRPr="00372D52">
        <w:rPr>
          <w:rFonts w:ascii="Book Antiqua" w:hAnsi="Book Antiqua"/>
          <w:sz w:val="24"/>
          <w:szCs w:val="24"/>
        </w:rPr>
        <w:t xml:space="preserve"> feature in both clinical entities with important prognostic implications</w:t>
      </w:r>
      <w:r w:rsidR="00C064AB" w:rsidRPr="00372D52">
        <w:rPr>
          <w:rFonts w:ascii="Book Antiqua" w:hAnsi="Book Antiqua"/>
          <w:sz w:val="24"/>
          <w:szCs w:val="24"/>
        </w:rPr>
        <w:t xml:space="preserve"> and reflective of an ineffective regulatory mechanism to</w:t>
      </w:r>
      <w:r w:rsidR="00C064AB" w:rsidRPr="00372D52">
        <w:rPr>
          <w:rFonts w:ascii="Book Antiqua" w:hAnsi="Book Antiqua"/>
          <w:sz w:val="24"/>
          <w:szCs w:val="24"/>
          <w:lang w:val="en"/>
        </w:rPr>
        <w:t xml:space="preserve"> limit inflammation-induced damage</w:t>
      </w:r>
      <w:r w:rsidR="00960782" w:rsidRPr="00372D52">
        <w:rPr>
          <w:rFonts w:ascii="Book Antiqua" w:hAnsi="Book Antiqua"/>
          <w:sz w:val="24"/>
          <w:szCs w:val="24"/>
          <w:lang w:val="en"/>
        </w:rPr>
        <w:fldChar w:fldCharType="begin" w:fldLock="1"/>
      </w:r>
      <w:r w:rsidR="00DB420B" w:rsidRPr="00372D52">
        <w:rPr>
          <w:rFonts w:ascii="Book Antiqua" w:hAnsi="Book Antiqua"/>
          <w:sz w:val="24"/>
          <w:szCs w:val="24"/>
          <w:lang w:val="en"/>
        </w:rPr>
        <w:instrText>ADDIN CSL_CITATION {"citationItems":[{"id":"ITEM-1","itemData":{"DOI":"10.1183/09031936.00040710","ISSN":"1399-3003","PMID":"20595152","abstract":"Raised systemic levels of interleukin (IL)-6 and IL-10 cytokines have been associated with poorer outcome in community-acquired pneumonia. The aim of our study was to identify potential associated factors with increased levels of IL-6, IL-10, or both cytokines. We performed a prospective study of 685 patients admitted to hospital with community-acquired pneumonia. IL-6 and IL-10 were measured in blood in the first 24 h. 30-day mortality increased from 4.8% to 11.4% (p = 0.003) when both cytokines were higher than the median. Independent associated factors with an excess of IL-6 were neurologic disease, confusion, serum sodium &lt; 130 mEq·L</w:instrText>
      </w:r>
      <w:r w:rsidR="00DB420B" w:rsidRPr="00372D52">
        <w:rPr>
          <w:rFonts w:ascii="Times New Roman" w:hAnsi="Times New Roman" w:cs="Times New Roman"/>
          <w:sz w:val="24"/>
          <w:szCs w:val="24"/>
          <w:lang w:val="en"/>
        </w:rPr>
        <w:instrText>⁻</w:instrText>
      </w:r>
      <w:r w:rsidR="00DB420B" w:rsidRPr="00372D52">
        <w:rPr>
          <w:rFonts w:ascii="Book Antiqua" w:hAnsi="Book Antiqua"/>
          <w:sz w:val="24"/>
          <w:szCs w:val="24"/>
          <w:lang w:val="en"/>
        </w:rPr>
        <w:instrText>¹, pleural effusion, and bacteraemia. The associated factors for an excess of IL-10 were respiratory rate ≥ 30 breaths·min</w:instrText>
      </w:r>
      <w:r w:rsidR="00DB420B" w:rsidRPr="00372D52">
        <w:rPr>
          <w:rFonts w:ascii="Times New Roman" w:hAnsi="Times New Roman" w:cs="Times New Roman"/>
          <w:sz w:val="24"/>
          <w:szCs w:val="24"/>
          <w:lang w:val="en"/>
        </w:rPr>
        <w:instrText>⁻</w:instrText>
      </w:r>
      <w:r w:rsidR="00DB420B" w:rsidRPr="00372D52">
        <w:rPr>
          <w:rFonts w:ascii="Book Antiqua" w:hAnsi="Book Antiqua"/>
          <w:sz w:val="24"/>
          <w:szCs w:val="24"/>
          <w:lang w:val="en"/>
        </w:rPr>
        <w:instrText>¹, systolic blood pressure &lt; 90 mmHg and glycaemia ≥ 250 mg·dL</w:instrText>
      </w:r>
      <w:r w:rsidR="00DB420B" w:rsidRPr="00372D52">
        <w:rPr>
          <w:rFonts w:ascii="Times New Roman" w:hAnsi="Times New Roman" w:cs="Times New Roman"/>
          <w:sz w:val="24"/>
          <w:szCs w:val="24"/>
          <w:lang w:val="en"/>
        </w:rPr>
        <w:instrText>⁻</w:instrText>
      </w:r>
      <w:r w:rsidR="00DB420B" w:rsidRPr="00372D52">
        <w:rPr>
          <w:rFonts w:ascii="Book Antiqua" w:hAnsi="Book Antiqua"/>
          <w:sz w:val="24"/>
          <w:szCs w:val="24"/>
          <w:lang w:val="en"/>
        </w:rPr>
        <w:instrText>¹. The independent associated factors for an excess of both cytokines were confusion, systolic blood pressure &lt; 90 mmHg, pleural effusion and bacteraemia. Protective factors were prior antibiotic treatment and pneumococcal vaccination. Different independent factors are related to an excess of IL-6 and IL-10. Confusion, hypotension, pleural effusion and bacteraemia were associated with the inflammatory profile with the highest mortality rate, whereas anti-pneumococcal vaccination and previous antibiotic treatment appeared to be protective factors.","author":[{"dropping-particle":"","family":"Martínez","given":"R","non-dropping-particle":"","parse-names":false,"suffix":""},{"dropping-particle":"","family":"Menéndez","given":"R","non-dropping-particle":"","parse-names":false,"suffix":""},{"dropping-particle":"","family":"Reyes","given":"S","non-dropping-particle":"","parse-names":false,"suffix":""},{"dropping-particle":"","family":"Polverino","given":"E","non-dropping-particle":"","parse-names":false,"suffix":""},{"dropping-particle":"","family":"Cillóniz","given":"C","non-dropping-particle":"","parse-names":false,"suffix":""},{"dropping-particle":"","family":"Martínez","given":"A","non-dropping-particle":"","parse-names":false,"suffix":""},{"dropping-particle":"","family":"Esquinas","given":"C","non-dropping-particle":"","parse-names":false,"suffix":""},{"dropping-particle":"","family":"Filella","given":"X","non-dropping-particle":"","parse-names":false,"suffix":""},{"dropping-particle":"","family":"Ramírez","given":"P","non-dropping-particle":"","parse-names":false,"suffix":""},{"dropping-particle":"","family":"Torres","given":"A","non-dropping-particle":"","parse-names":false,"suffix":""}],"container-title":"The European Respiratory Journal","id":"ITEM-1","issue":"2","issued":{"date-parts":[["2011","2"]]},"page":"393-9","title":"Factors associated with inflammatory cytokine patterns in community-acquired pneumonia.","type":"article-journal","volume":"37"},"uris":["http://www.mendeley.com/documents/?uuid=b1b0941e-2ea3-4ff2-b15b-52831394619e","http://www.mendeley.com/documents/?uuid=efcb3758-83ec-455f-8406-76384292ce8f"]},{"id":"ITEM-2","itemData":{"DOI":"10.1016/S2213-2600(14)70097-9","ISSN":"2213-2619","PMID":"24853585","abstract":"BACKGROUND Subphenotypes have been identified within heterogeneous diseases such as asthma and breast cancer, with important therapeutic implications. We assessed whether subphenotypes exist within acute respiratory distress syndrome (ARDS), another heterogeneous disorder. METHODS We used data from two ARDS randomised controlled trials (ARMA trial and ALVEOLI trial), sponsored by the National Heart, Lung, and Blood Institute. We applied latent class modelling to identify subphenotypes using clinical and biological data. We modelled data from both studies independently. We then tested the association of subphenotypes with clinical outcomes in both cohorts and with the response to positive end-expiratory pressure (PEEP) in the ALVEOLI cohort. FINDINGS We analysed data for 1022 patients: 473 in the ARMA cohort and 549 in the ALVEOLI cohort. Independent latent class models indicated that a two-class (ie, two subphenotype) model was the best fit for both cohorts. In both cohorts, we identified a hyperinflammatory subphenotype (phenotype 2) that was characterised by higher plasma concentrations of inflammatory biomarkers, a higher prevalence of vasopressor use, lower serum bicarbonate concentrations, and a higher prevalence of sepsis than phenotype 1. Participants in phenotype 2 had higher mortality and fewer ventilator-free days and organ failure-free days in both cohorts than did those in phenotype 1 (p&lt;0·007 for all). In the ALVEOLI cohort, the effects of ventilation strategy (high PEEP vs low PEEP) on mortality, ventilator-free days and organ failure-free days differed by phenotype (p=0·049 for mortality, p=0·018 for ventilator-free days, p=0·003 for organ-failure-free days). INTERPRETATION We have identified two subphenotypes within ARDS, one of which is categorised by more severe inflammation, shock, and metabolic acidosis and by worse clinical outcomes. Response to treatment in a randomised trial of PEEP strategies differed on the basis of subphenotype. Identification of ARDS subphenotypes might be useful in selecting patients for future clinical trials. FUNDING National Institutes of Health.","author":[{"dropping-particle":"","family":"Calfee","given":"Carolyn S","non-dropping-particle":"","parse-names":false,"suffix":""},{"dropping-particle":"","family":"Delucchi","given":"Kevin","non-dropping-particle":"","parse-names":false,"suffix":""},{"dropping-particle":"","family":"Parsons","given":"Polly E","non-dropping-particle":"","parse-names":false,"suffix":""},{"dropping-particle":"","family":"Thompson","given":"B Taylor","non-dropping-particle":"","parse-names":false,"suffix":""},{"dropping-particle":"","family":"Ware","given":"Lorraine B","non-dropping-particle":"","parse-names":false,"suffix":""},{"dropping-particle":"","family":"Matthay","given":"Michael A","non-dropping-particle":"","parse-names":false,"suffix":""},{"dropping-particle":"","family":"NHLBI ARDS Network","given":"","non-dropping-particle":"","parse-names":false,"suffix":""}],"container-title":"The Lancet Respiratory Medicine","id":"ITEM-2","issue":"8","issued":{"date-parts":[["2014","8"]]},"page":"611-20","title":"Subphenotypes in acute respiratory distress syndrome: latent class analysis of data from two randomised controlled trials.","type":"article-journal","volume":"2"},"uris":["http://www.mendeley.com/documents/?uuid=7d375e79-a626-4adc-95a2-99682ec4a773","http://www.mendeley.com/documents/?uuid=838dcc1e-1354-402d-96f0-9ca3d2a1124d"]}],"mendeley":{"formattedCitation":"&lt;sup&gt;[7,8]&lt;/sup&gt;","plainTextFormattedCitation":"[7,8]","previouslyFormattedCitation":"&lt;sup&gt;[7,8]&lt;/sup&gt;"},"properties":{"noteIndex":0},"schema":"https://github.com/citation-style-language/schema/raw/master/csl-citation.json"}</w:instrText>
      </w:r>
      <w:r w:rsidR="00960782" w:rsidRPr="00372D52">
        <w:rPr>
          <w:rFonts w:ascii="Book Antiqua" w:hAnsi="Book Antiqua"/>
          <w:sz w:val="24"/>
          <w:szCs w:val="24"/>
          <w:lang w:val="en"/>
        </w:rPr>
        <w:fldChar w:fldCharType="separate"/>
      </w:r>
      <w:r w:rsidR="008B5D20" w:rsidRPr="00372D52">
        <w:rPr>
          <w:rFonts w:ascii="Book Antiqua" w:hAnsi="Book Antiqua"/>
          <w:noProof/>
          <w:sz w:val="24"/>
          <w:szCs w:val="24"/>
          <w:vertAlign w:val="superscript"/>
          <w:lang w:val="en"/>
        </w:rPr>
        <w:t>[7,8]</w:t>
      </w:r>
      <w:r w:rsidR="00960782" w:rsidRPr="00372D52">
        <w:rPr>
          <w:rFonts w:ascii="Book Antiqua" w:hAnsi="Book Antiqua"/>
          <w:sz w:val="24"/>
          <w:szCs w:val="24"/>
          <w:lang w:val="en"/>
        </w:rPr>
        <w:fldChar w:fldCharType="end"/>
      </w:r>
      <w:r w:rsidR="00960782" w:rsidRPr="00372D52">
        <w:rPr>
          <w:rFonts w:ascii="Book Antiqua" w:hAnsi="Book Antiqua"/>
          <w:sz w:val="24"/>
          <w:szCs w:val="24"/>
          <w:lang w:val="en"/>
        </w:rPr>
        <w:t>.</w:t>
      </w:r>
      <w:r w:rsidR="00C064AB" w:rsidRPr="00372D52">
        <w:rPr>
          <w:rFonts w:ascii="Book Antiqua" w:hAnsi="Book Antiqua"/>
          <w:sz w:val="24"/>
          <w:szCs w:val="24"/>
          <w:lang w:val="en"/>
        </w:rPr>
        <w:t xml:space="preserve"> </w:t>
      </w:r>
      <w:r w:rsidR="00BF40D9" w:rsidRPr="00372D52">
        <w:rPr>
          <w:rFonts w:ascii="Book Antiqua" w:hAnsi="Book Antiqua"/>
          <w:sz w:val="24"/>
          <w:szCs w:val="24"/>
        </w:rPr>
        <w:t>Adjunct anti-inflammatory treatment (</w:t>
      </w:r>
      <w:r w:rsidR="00BF40D9" w:rsidRPr="00372D52">
        <w:rPr>
          <w:rFonts w:ascii="Book Antiqua" w:hAnsi="Book Antiqua"/>
          <w:i/>
          <w:iCs/>
          <w:sz w:val="24"/>
          <w:szCs w:val="24"/>
        </w:rPr>
        <w:t>i.e.</w:t>
      </w:r>
      <w:r w:rsidR="006E5DC9" w:rsidRPr="00372D52">
        <w:rPr>
          <w:rFonts w:ascii="Book Antiqua" w:hAnsi="Book Antiqua"/>
          <w:sz w:val="24"/>
          <w:szCs w:val="24"/>
        </w:rPr>
        <w:t>,</w:t>
      </w:r>
      <w:r w:rsidR="00BF40D9" w:rsidRPr="00372D52">
        <w:rPr>
          <w:rFonts w:ascii="Book Antiqua" w:hAnsi="Book Antiqua"/>
          <w:sz w:val="24"/>
          <w:szCs w:val="24"/>
        </w:rPr>
        <w:t xml:space="preserve"> corticosteroids) is often used, however the treatment decisions are based on severity of illness without regards to inflammatory state.</w:t>
      </w:r>
    </w:p>
    <w:p w14:paraId="47E03BC6" w14:textId="615B95D1" w:rsidR="000828F7" w:rsidRPr="00372D52" w:rsidRDefault="00A4234F" w:rsidP="00D42981">
      <w:pPr>
        <w:autoSpaceDE w:val="0"/>
        <w:autoSpaceDN w:val="0"/>
        <w:adjustRightInd w:val="0"/>
        <w:spacing w:after="0" w:line="360" w:lineRule="auto"/>
        <w:ind w:firstLineChars="100" w:firstLine="240"/>
        <w:jc w:val="both"/>
        <w:rPr>
          <w:rFonts w:ascii="Book Antiqua" w:hAnsi="Book Antiqua"/>
          <w:sz w:val="24"/>
          <w:szCs w:val="24"/>
        </w:rPr>
      </w:pPr>
      <w:r w:rsidRPr="00372D52">
        <w:rPr>
          <w:rFonts w:ascii="Book Antiqua" w:hAnsi="Book Antiqua"/>
          <w:sz w:val="24"/>
          <w:szCs w:val="24"/>
          <w:lang w:val="en"/>
        </w:rPr>
        <w:t xml:space="preserve">Several </w:t>
      </w:r>
      <w:r w:rsidR="00BE39DF" w:rsidRPr="00372D52">
        <w:rPr>
          <w:rFonts w:ascii="Book Antiqua" w:hAnsi="Book Antiqua"/>
          <w:sz w:val="24"/>
          <w:szCs w:val="24"/>
          <w:lang w:val="en"/>
        </w:rPr>
        <w:t xml:space="preserve">inflammatory </w:t>
      </w:r>
      <w:r w:rsidRPr="00372D52">
        <w:rPr>
          <w:rFonts w:ascii="Book Antiqua" w:hAnsi="Book Antiqua"/>
          <w:sz w:val="24"/>
          <w:szCs w:val="24"/>
          <w:lang w:val="en"/>
        </w:rPr>
        <w:t xml:space="preserve">biomarkers have been </w:t>
      </w:r>
      <w:r w:rsidR="00BE39DF" w:rsidRPr="00372D52">
        <w:rPr>
          <w:rFonts w:ascii="Book Antiqua" w:hAnsi="Book Antiqua"/>
          <w:sz w:val="24"/>
          <w:szCs w:val="24"/>
          <w:lang w:val="en"/>
        </w:rPr>
        <w:t xml:space="preserve">identified and </w:t>
      </w:r>
      <w:r w:rsidRPr="00372D52">
        <w:rPr>
          <w:rFonts w:ascii="Book Antiqua" w:hAnsi="Book Antiqua"/>
          <w:sz w:val="24"/>
          <w:szCs w:val="24"/>
          <w:lang w:val="en"/>
        </w:rPr>
        <w:t xml:space="preserve">implicated in the pathophysiology </w:t>
      </w:r>
      <w:r w:rsidR="00E368B5" w:rsidRPr="00372D52">
        <w:rPr>
          <w:rFonts w:ascii="Book Antiqua" w:hAnsi="Book Antiqua"/>
          <w:sz w:val="24"/>
          <w:szCs w:val="24"/>
          <w:lang w:val="en"/>
        </w:rPr>
        <w:t>of inflammatory response in</w:t>
      </w:r>
      <w:r w:rsidR="00BE39DF" w:rsidRPr="00372D52">
        <w:rPr>
          <w:rFonts w:ascii="Book Antiqua" w:hAnsi="Book Antiqua"/>
          <w:sz w:val="24"/>
          <w:szCs w:val="24"/>
          <w:lang w:val="en"/>
        </w:rPr>
        <w:t xml:space="preserve"> pneumonia and ARDS. More recently, </w:t>
      </w:r>
      <w:r w:rsidR="00BE39DF" w:rsidRPr="00372D52">
        <w:rPr>
          <w:rFonts w:ascii="Book Antiqua" w:hAnsi="Book Antiqua"/>
          <w:sz w:val="24"/>
          <w:szCs w:val="24"/>
        </w:rPr>
        <w:t>several studies have assess</w:t>
      </w:r>
      <w:r w:rsidR="000677ED" w:rsidRPr="00372D52">
        <w:rPr>
          <w:rFonts w:ascii="Book Antiqua" w:hAnsi="Book Antiqua"/>
          <w:sz w:val="24"/>
          <w:szCs w:val="24"/>
        </w:rPr>
        <w:t>ed the role of biomarkers as key</w:t>
      </w:r>
      <w:r w:rsidR="00BE39DF" w:rsidRPr="00372D52">
        <w:rPr>
          <w:rFonts w:ascii="Book Antiqua" w:hAnsi="Book Antiqua"/>
          <w:sz w:val="24"/>
          <w:szCs w:val="24"/>
        </w:rPr>
        <w:t xml:space="preserve"> evaluation and management </w:t>
      </w:r>
      <w:r w:rsidR="000677ED" w:rsidRPr="00372D52">
        <w:rPr>
          <w:rFonts w:ascii="Book Antiqua" w:hAnsi="Book Antiqua"/>
          <w:sz w:val="24"/>
          <w:szCs w:val="24"/>
        </w:rPr>
        <w:lastRenderedPageBreak/>
        <w:t xml:space="preserve">tools specifically aiding diagnoses, assessing severity, prognostication and </w:t>
      </w:r>
      <w:r w:rsidR="000828F7" w:rsidRPr="00372D52">
        <w:rPr>
          <w:rFonts w:ascii="Book Antiqua" w:hAnsi="Book Antiqua"/>
          <w:sz w:val="24"/>
          <w:szCs w:val="24"/>
        </w:rPr>
        <w:t xml:space="preserve">informing </w:t>
      </w:r>
      <w:r w:rsidR="000677ED" w:rsidRPr="00372D52">
        <w:rPr>
          <w:rFonts w:ascii="Book Antiqua" w:hAnsi="Book Antiqua"/>
          <w:sz w:val="24"/>
          <w:szCs w:val="24"/>
        </w:rPr>
        <w:t>therapeutic strategie</w:t>
      </w:r>
      <w:r w:rsidR="000828F7" w:rsidRPr="00372D52">
        <w:rPr>
          <w:rFonts w:ascii="Book Antiqua" w:hAnsi="Book Antiqua"/>
          <w:sz w:val="24"/>
          <w:szCs w:val="24"/>
        </w:rPr>
        <w:t>s.</w:t>
      </w:r>
    </w:p>
    <w:p w14:paraId="006200FC" w14:textId="51A3A55D" w:rsidR="00A36DA3" w:rsidRPr="00372D52" w:rsidRDefault="000828F7"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 xml:space="preserve">This review focuses </w:t>
      </w:r>
      <w:r w:rsidR="00104404" w:rsidRPr="00372D52">
        <w:rPr>
          <w:rFonts w:ascii="Book Antiqua" w:hAnsi="Book Antiqua"/>
          <w:sz w:val="24"/>
          <w:szCs w:val="24"/>
        </w:rPr>
        <w:t>on</w:t>
      </w:r>
      <w:r w:rsidR="00CF6F47" w:rsidRPr="00372D52">
        <w:rPr>
          <w:rFonts w:ascii="Book Antiqua" w:hAnsi="Book Antiqua"/>
          <w:sz w:val="24"/>
          <w:szCs w:val="24"/>
        </w:rPr>
        <w:t xml:space="preserve"> biomarkers</w:t>
      </w:r>
      <w:r w:rsidR="00104404" w:rsidRPr="00372D52">
        <w:rPr>
          <w:rFonts w:ascii="Book Antiqua" w:hAnsi="Book Antiqua"/>
          <w:sz w:val="24"/>
          <w:szCs w:val="24"/>
        </w:rPr>
        <w:t xml:space="preserve"> and their potential role</w:t>
      </w:r>
      <w:r w:rsidR="005F74F6" w:rsidRPr="00372D52">
        <w:rPr>
          <w:rFonts w:ascii="Book Antiqua" w:hAnsi="Book Antiqua"/>
          <w:sz w:val="24"/>
          <w:szCs w:val="24"/>
        </w:rPr>
        <w:t xml:space="preserve"> in the evaluation and management</w:t>
      </w:r>
      <w:r w:rsidR="00CF6F47" w:rsidRPr="00372D52">
        <w:rPr>
          <w:rFonts w:ascii="Book Antiqua" w:hAnsi="Book Antiqua"/>
          <w:sz w:val="24"/>
          <w:szCs w:val="24"/>
        </w:rPr>
        <w:t xml:space="preserve"> of acute inflammation i</w:t>
      </w:r>
      <w:r w:rsidRPr="00372D52">
        <w:rPr>
          <w:rFonts w:ascii="Book Antiqua" w:hAnsi="Book Antiqua"/>
          <w:sz w:val="24"/>
          <w:szCs w:val="24"/>
        </w:rPr>
        <w:t>n CAP</w:t>
      </w:r>
      <w:r w:rsidR="00CF6F47" w:rsidRPr="00372D52">
        <w:rPr>
          <w:rFonts w:ascii="Book Antiqua" w:hAnsi="Book Antiqua"/>
          <w:sz w:val="24"/>
          <w:szCs w:val="24"/>
        </w:rPr>
        <w:t xml:space="preserve"> and ARDS in critically ill patients.</w:t>
      </w:r>
    </w:p>
    <w:p w14:paraId="4ACC8628" w14:textId="77777777" w:rsidR="00A36DA3" w:rsidRPr="00372D52" w:rsidRDefault="00A36DA3" w:rsidP="00372D52">
      <w:pPr>
        <w:spacing w:after="0" w:line="360" w:lineRule="auto"/>
        <w:jc w:val="both"/>
        <w:rPr>
          <w:rFonts w:ascii="Book Antiqua" w:hAnsi="Book Antiqua"/>
          <w:b/>
          <w:sz w:val="24"/>
          <w:szCs w:val="24"/>
        </w:rPr>
      </w:pPr>
    </w:p>
    <w:p w14:paraId="73470AE2" w14:textId="5A6F0088" w:rsidR="008D0685" w:rsidRPr="00372D52" w:rsidRDefault="006E5DC9" w:rsidP="00372D52">
      <w:pPr>
        <w:spacing w:after="0" w:line="360" w:lineRule="auto"/>
        <w:jc w:val="both"/>
        <w:rPr>
          <w:rFonts w:ascii="Book Antiqua" w:hAnsi="Book Antiqua"/>
          <w:b/>
          <w:sz w:val="24"/>
          <w:szCs w:val="24"/>
        </w:rPr>
      </w:pPr>
      <w:r w:rsidRPr="00372D52">
        <w:rPr>
          <w:rFonts w:ascii="Book Antiqua" w:hAnsi="Book Antiqua"/>
          <w:b/>
          <w:sz w:val="24"/>
          <w:szCs w:val="24"/>
        </w:rPr>
        <w:t>PATHOPHYSIOLOGY OF ACUTE PULMONARY INFLAMMATION</w:t>
      </w:r>
    </w:p>
    <w:p w14:paraId="07796ED9" w14:textId="3D4A4222" w:rsidR="00A36DA3" w:rsidRPr="00372D52" w:rsidRDefault="00A36DA3" w:rsidP="00372D52">
      <w:pPr>
        <w:spacing w:after="0" w:line="360" w:lineRule="auto"/>
        <w:jc w:val="both"/>
        <w:rPr>
          <w:rFonts w:ascii="Book Antiqua" w:hAnsi="Book Antiqua"/>
          <w:sz w:val="24"/>
          <w:szCs w:val="24"/>
        </w:rPr>
      </w:pPr>
      <w:r w:rsidRPr="00372D52">
        <w:rPr>
          <w:rFonts w:ascii="Book Antiqua" w:hAnsi="Book Antiqua"/>
          <w:sz w:val="24"/>
          <w:szCs w:val="24"/>
        </w:rPr>
        <w:t xml:space="preserve">Acute pulmonary inflammation involves both the innate and adaptive immune responses. When a pathogen is encountered, the airway epithelium acts as the first line of defense mechanism. It is well equipped to release several enzymes including defensins, mucins and </w:t>
      </w:r>
      <w:proofErr w:type="spellStart"/>
      <w:r w:rsidRPr="00372D52">
        <w:rPr>
          <w:rFonts w:ascii="Book Antiqua" w:hAnsi="Book Antiqua"/>
          <w:sz w:val="24"/>
          <w:szCs w:val="24"/>
        </w:rPr>
        <w:t>lyzozymes</w:t>
      </w:r>
      <w:proofErr w:type="spellEnd"/>
      <w:r w:rsidRPr="00372D52">
        <w:rPr>
          <w:rFonts w:ascii="Book Antiqua" w:hAnsi="Book Antiqua"/>
          <w:sz w:val="24"/>
          <w:szCs w:val="24"/>
        </w:rPr>
        <w:t xml:space="preserve"> along with reactive oxygen species (ROS), nitric oxide, platelet activating factor and cytokines to attract inflammatory cells. In addition, plasma cells secrete IgA which creates an overlying epithelial protective barrier preventing microbial adherence, and </w:t>
      </w:r>
      <w:r w:rsidRPr="00372D52">
        <w:rPr>
          <w:rFonts w:ascii="Book Antiqua" w:hAnsi="Book Antiqua"/>
          <w:sz w:val="24"/>
          <w:szCs w:val="24"/>
          <w:lang w:val="en"/>
        </w:rPr>
        <w:t>surfactant proteins A and D in the alveoli sacs stick to surface bacterial molecules to facilitate opsonization</w:t>
      </w:r>
      <w:r w:rsidR="00960782" w:rsidRPr="00372D52">
        <w:rPr>
          <w:rFonts w:ascii="Book Antiqua" w:hAnsi="Book Antiqua"/>
          <w:sz w:val="24"/>
          <w:szCs w:val="24"/>
          <w:lang w:val="en"/>
        </w:rPr>
        <w:fldChar w:fldCharType="begin" w:fldLock="1"/>
      </w:r>
      <w:r w:rsidR="00DB420B" w:rsidRPr="00372D52">
        <w:rPr>
          <w:rFonts w:ascii="Book Antiqua" w:hAnsi="Book Antiqua"/>
          <w:sz w:val="24"/>
          <w:szCs w:val="24"/>
          <w:lang w:val="en"/>
        </w:rPr>
        <w:instrText>ADDIN CSL_CITATION {"citationItems":[{"id":"ITEM-1","itemData":{"DOI":"10.1111/j.1749-6632.1994.tb00275.x","ISSN":"0077-8923","PMID":"8030984","abstract":"Epithelial cells lining respiratory airways can participate in inflammation in a number of ways. They can act as target cells, responding to exposure to a variety of inflammatory mediators and cytokines by altering one or several of their functions, such as mucin secretion, ion transport, or ciliary beating. Aberrations in any of these functions can affect local inflammatory responses and compromise pulmonary defense. For example, oxidant stress can increase secretion of mucin and depress ciliary beating efficiency, thereby affecting the ability of the mucociliary system to clear potentially pathogenic microbial agents. Recent studies have indicated that airway epithelial cells also can act as \"effector\" cells, synthesizing and releasing cytokines, lipid mediators, and reactive oxygen species in response to a number of pathologically relevant stimuli, thereby contributing to inflammation. Many of these epithelial-derived substances can act locally, affecting both neighboring cells and tissues, or, via autocrine or paracrine mechanisms, affect structure and function of the epithelial cells themselves. Studies in our laboratories utilized cell cultures of both human and guinea pig tracheobronchial and nasal epithelial cells, and isolated human nasal epithelial cells, to investigate activity of respiratory epithelial cells in vitro as sources of cytokines and inflammatory mediators. Primary cultures of guinea pig and human tracheobronchial and nasal epithelial cells synthesize and secrete low levels of IL-6 and IL-8 constitutively. Production and release of these cytokines increases substantially after exposure to specific inflammatory stimuli, such as TNF or IL-1, and after viral infection.","author":[{"dropping-particle":"","family":"Adler","given":"K B","non-dropping-particle":"","parse-names":false,"suffix":""},{"dropping-particle":"","family":"Fischer","given":"B M","non-dropping-particle":"","parse-names":false,"suffix":""},{"dropping-particle":"","family":"Wright","given":"D T","non-dropping-particle":"","parse-names":false,"suffix":""},{"dropping-particle":"","family":"Cohn","given":"L A","non-dropping-particle":"","parse-names":false,"suffix":""},{"dropping-particle":"","family":"Becker","given":"S","non-dropping-particle":"","parse-names":false,"suffix":""}],"container-title":"Annals of the New York Academy of Sciences","id":"ITEM-1","issued":{"date-parts":[["1994","5","28"]]},"page":"128-45","title":"Interactions between respiratory epithelial cells and cytokines: relationships to lung inflammation.","type":"article-journal","volume":"725"},"uris":["http://www.mendeley.com/documents/?uuid=2480c495-cef4-424f-b047-d2257d55e04f","http://www.mendeley.com/documents/?uuid=c579aae8-2f2b-4e7f-808c-12e2d64a6528"]},{"id":"ITEM-2","itemData":{"DOI":"10.2147/JIR.S4385","ISSN":"1178-7031","PMID":"22096348","abstract":"Inflammation is the body's response to insults, which include infection, trauma, and hypersensitivity. The inflammatory response is complex and involves a variety of mechanisms to defend against pathogens and repair tissue. In the lung, inflammation is usually caused by pathogens or by exposure to toxins, pollutants, irritants, and allergens. During inflammation, numerous types of inflammatory cells are activated. Each releases cytokines and mediators to modify activities of other inflammatory cells. Orchestration of these cells and molecules leads to progression of inflammation. Clinically, acute inflammation is seen in pneumonia and acute respiratory distress syndrome (ARDS), whereas chronic inflammation is represented by asthma and chronic obstructive pulmonary disease (COPD). Because the lung is a vital organ for gas exchange, excessive inflammation can be life threatening. Because the lung is constantly exposed to harmful pathogens, an immediate and intense defense action (mainly inflammation) is required to eliminate the invaders as early as possible. A delicate balance between inflammation and anti-inflammation is essential for lung homeostasis. A full understanding of the underlying mechanisms is vital in the treatment of patients with lung inflammation. This review focuses on cellular and molecular aspects of lung inflammation during acute and chronic inflammatory states.","author":[{"dropping-particle":"","family":"Moldoveanu","given":"B","non-dropping-particle":"","parse-names":false,"suffix":""},{"dropping-particle":"","family":"Otmishi","given":"P","non-dropping-particle":"","parse-names":false,"suffix":""},{"dropping-particle":"","family":"Jani","given":"P","non-dropping-particle":"","parse-names":false,"suffix":""},{"dropping-particle":"","family":"Walker","given":"J","non-dropping-particle":"","parse-names":false,"suffix":""},{"dropping-particle":"","family":"Sarmiento","given":"X","non-dropping-particle":"","parse-names":false,"suffix":""},{"dropping-particle":"","family":"Guardiola","given":"J","non-dropping-particle":"","parse-names":false,"suffix":""},{"dropping-particle":"","family":"Saad","given":"M","non-dropping-particle":"","parse-names":false,"suffix":""},{"dropping-particle":"","family":"Yu","given":"Jerry","non-dropping-particle":"","parse-names":false,"suffix":""}],"container-title":"Journal of Inflammation Research","id":"ITEM-2","issued":{"date-parts":[["2009"]]},"page":"1-11","title":"Inflammatory mechanisms in the lung.","type":"article-journal","volume":"2"},"uris":["http://www.mendeley.com/documents/?uuid=a94274c0-3950-4aad-968a-5ad34881a956","http://www.mendeley.com/documents/?uuid=36c2e1d8-8d8f-474b-9bd5-2f24cb1e87d1"]}],"mendeley":{"formattedCitation":"&lt;sup&gt;[1,9]&lt;/sup&gt;","plainTextFormattedCitation":"[1,9]","previouslyFormattedCitation":"&lt;sup&gt;[1,9]&lt;/sup&gt;"},"properties":{"noteIndex":0},"schema":"https://github.com/citation-style-language/schema/raw/master/csl-citation.json"}</w:instrText>
      </w:r>
      <w:r w:rsidR="00960782" w:rsidRPr="00372D52">
        <w:rPr>
          <w:rFonts w:ascii="Book Antiqua" w:hAnsi="Book Antiqua"/>
          <w:sz w:val="24"/>
          <w:szCs w:val="24"/>
          <w:lang w:val="en"/>
        </w:rPr>
        <w:fldChar w:fldCharType="separate"/>
      </w:r>
      <w:r w:rsidR="008B5D20" w:rsidRPr="00372D52">
        <w:rPr>
          <w:rFonts w:ascii="Book Antiqua" w:hAnsi="Book Antiqua"/>
          <w:noProof/>
          <w:sz w:val="24"/>
          <w:szCs w:val="24"/>
          <w:vertAlign w:val="superscript"/>
          <w:lang w:val="en"/>
        </w:rPr>
        <w:t>[1,9]</w:t>
      </w:r>
      <w:r w:rsidR="00960782" w:rsidRPr="00372D52">
        <w:rPr>
          <w:rFonts w:ascii="Book Antiqua" w:hAnsi="Book Antiqua"/>
          <w:sz w:val="24"/>
          <w:szCs w:val="24"/>
          <w:lang w:val="en"/>
        </w:rPr>
        <w:fldChar w:fldCharType="end"/>
      </w:r>
      <w:r w:rsidRPr="00372D52">
        <w:rPr>
          <w:rFonts w:ascii="Book Antiqua" w:hAnsi="Book Antiqua"/>
          <w:sz w:val="24"/>
          <w:szCs w:val="24"/>
        </w:rPr>
        <w:t xml:space="preserve">. If a pathogen is able to overcome the epithelium’s defenses, it encounters a group of inflammatory cells particularly macrophages, dendritic cells and lymphocytes, residing in the airways and throughout the lung parenchyma and </w:t>
      </w:r>
      <w:proofErr w:type="spellStart"/>
      <w:r w:rsidRPr="00372D52">
        <w:rPr>
          <w:rFonts w:ascii="Book Antiqua" w:hAnsi="Book Antiqua"/>
          <w:sz w:val="24"/>
          <w:szCs w:val="24"/>
        </w:rPr>
        <w:t>interstitium</w:t>
      </w:r>
      <w:proofErr w:type="spellEnd"/>
      <w:r w:rsidRPr="00372D52">
        <w:rPr>
          <w:rFonts w:ascii="Book Antiqua" w:hAnsi="Book Antiqua"/>
          <w:sz w:val="24"/>
          <w:szCs w:val="24"/>
        </w:rPr>
        <w:t xml:space="preserve">. Dendritic cells are antigen presenting cells which not only stimulate the naïve T cell lymphocytes but also potentiate macrophages and assist in phagocytosis. They do so with the help of toll like receptors on their surfaces also referred to as </w:t>
      </w:r>
      <w:r w:rsidRPr="00372D52">
        <w:rPr>
          <w:rFonts w:ascii="Book Antiqua" w:hAnsi="Book Antiqua"/>
          <w:sz w:val="24"/>
          <w:szCs w:val="24"/>
          <w:lang w:val="en"/>
        </w:rPr>
        <w:t xml:space="preserve">pattern-recognition receptors </w:t>
      </w:r>
      <w:r w:rsidRPr="00372D52">
        <w:rPr>
          <w:rFonts w:ascii="Book Antiqua" w:hAnsi="Book Antiqua"/>
          <w:sz w:val="24"/>
          <w:szCs w:val="24"/>
        </w:rPr>
        <w:t>which identify pathogen associated molecular patterns on pathogens’ surfaces</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{"citationItems":[{"id":"ITEM-1","itemData":{"DOI":"10.1016/j.jaci.2006.02.023","ISSN":"0091-6749","PMID":"16675322","abstract":"Mammals sense pathogen invasion through pattern-recognition receptors. A group of transmembrane proteins, Toll-like receptors (TLRs), play critical roles as pattern-recognition receptors. They are mainly expressed on antigen-presenting cells, such as macrophages or dendritic cells, and their signaling activates antigen-presenting cells to provoke innate immunity and to establish adaptive immunity. Each TLR has common effects, such as inflammatory cytokine induction or upregulation of costimulatory molecule expression, but also has its specific function, exemplified by type I IFN-inducing ability. These immunoadjuvant effects are not only critical in antimicrobial immunity but are also involved in manifestations of autoimmunity. Furthermore, some TLR agonists are now promising therapeutic tools for various immune disorders, including allergy. Therefore understanding molecular mechanisms on TLRs should be quite useful in the development of therapeutic maneuvers against allergy and autoimmune diseases.","author":[{"dropping-particle":"","family":"Kaisho","given":"Tsuneyasu","non-dropping-particle":"","parse-names":false,"suffix":""},{"dropping-particle":"","family":"Akira","given":"Shizuo","non-dropping-particle":"","parse-names":false,"suffix":""}],"container-title":"The Journal of Allergy and Clinical Immunology","id":"ITEM-1","issue":"5","issued":{"date-parts":[["2006","5"]]},"page":"979-87","title":"Toll-like receptor function and signaling.","type":"article-journal","volume":"117"},"uris":["http://www.mendeley.com/documents/?uuid=5f45cc03-2718-4298-b973-36058c7f68d5","http://www.mendeley.com/documents/?uuid=5520aa65-23f1-4bd4-9015-1df3b6f2800c"]},{"id":"ITEM-2","itemData":{"DOI":"10.2147/JIR.S4385","ISSN":"1178-7031","PMID":"22096348","abstract":"Inflammation is the body's response to insults, which include infection, trauma, and hypersensitivity. The inflammatory response is complex and involves a variety of mechanisms to defend against pathogens and repair tissue. In the lung, inflammation is usually caused by pathogens or by exposure to toxins, pollutants, irritants, and allergens. During inflammation, numerous types of inflammatory cells are activated. Each releases cytokines and mediators to modify activities of other inflammatory cells. Orchestration of these cells and molecules leads to progression of inflammation. Clinically, acute inflammation is seen in pneumonia and acute respiratory distress syndrome (ARDS), whereas chronic inflammation is represented by asthma and chronic obstructive pulmonary disease (COPD). Because the lung is a vital organ for gas exchange, excessive inflammation can be life threatening. Because the lung is constantly exposed to harmful pathogens, an immediate and intense defense action (mainly inflammation) is required to eliminate the invaders as early as possible. A delicate balance between inflammation and anti-inflammation is essential for lung homeostasis. A full understanding of the underlying mechanisms is vital in the treatment of patients with lung inflammation. This review focuses on cellular and molecular aspects of lung inflammation during acute and chronic inflammatory states.","author":[{"dropping-particle":"","family":"Moldoveanu","given":"B","non-dropping-particle":"","parse-names":false,"suffix":""},{"dropping-particle":"","family":"Otmishi","given":"P","non-dropping-particle":"","parse-names":false,"suffix":""},{"dropping-particle":"","family":"Jani","given":"P","non-dropping-particle":"","parse-names":false,"suffix":""},{"dropping-particle":"","family":"Walker","given":"J","non-dropping-particle":"","parse-names":false,"suffix":""},{"dropping-particle":"","family":"Sarmiento","given":"X","non-dropping-particle":"","parse-names":false,"suffix":""},{"dropping-particle":"","family":"Guardiola","given":"J","non-dropping-particle":"","parse-names":false,"suffix":""},{"dropping-particle":"","family":"Saad","given":"M","non-dropping-particle":"","parse-names":false,"suffix":""},{"dropping-particle":"","family":"Yu","given":"Jerry","non-dropping-particle":"","parse-names":false,"suffix":""}],"container-title":"Journal of Inflammation Research","id":"ITEM-2","issued":{"date-parts":[["2009"]]},"page":"1-11","title":"Inflammatory mechanisms in the lung.","type":"article-journal","volume":"2"},"uris":["http://www.mendeley.com/documents/?uuid=a94274c0-3950-4aad-968a-5ad34881a956","http://www.mendeley.com/documents/?uuid=36c2e1d8-8d8f-474b-9bd5-2f24cb1e87d1"]}],"mendeley":{"formattedCitation":"&lt;sup&gt;[1,10]&lt;/sup&gt;","plainTextFormattedCitation":"[1,10]","previouslyFormattedCitation":"&lt;sup&gt;[1,10]&lt;/sup&gt;"},"properties":{"noteIndex":0},"schema":"https://github.com/citation-style-language/schema/raw/master/csl-citation.json"}</w:instrText>
      </w:r>
      <w:r w:rsidR="00960782"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[1,10]</w:t>
      </w:r>
      <w:r w:rsidR="00960782" w:rsidRPr="00372D52">
        <w:rPr>
          <w:rFonts w:ascii="Book Antiqua" w:hAnsi="Book Antiqua"/>
          <w:sz w:val="24"/>
          <w:szCs w:val="24"/>
        </w:rPr>
        <w:fldChar w:fldCharType="end"/>
      </w:r>
      <w:r w:rsidRPr="00372D52">
        <w:rPr>
          <w:rFonts w:ascii="Book Antiqua" w:hAnsi="Book Antiqua"/>
          <w:sz w:val="24"/>
          <w:szCs w:val="24"/>
        </w:rPr>
        <w:t>. Stimulated naïve T cells activate either a T helper 1 (Th</w:t>
      </w:r>
      <w:r w:rsidR="006E5DC9" w:rsidRPr="00372D52">
        <w:rPr>
          <w:rFonts w:ascii="Book Antiqua" w:hAnsi="Book Antiqua"/>
          <w:sz w:val="24"/>
          <w:szCs w:val="24"/>
        </w:rPr>
        <w:t xml:space="preserve"> </w:t>
      </w:r>
      <w:r w:rsidRPr="00372D52">
        <w:rPr>
          <w:rFonts w:ascii="Book Antiqua" w:hAnsi="Book Antiqua"/>
          <w:sz w:val="24"/>
          <w:szCs w:val="24"/>
        </w:rPr>
        <w:t xml:space="preserve">1) and Th2 response which results in both cell-mediated and humoral mediated immune responses against the invading organism. This culminates in further stimulation of macrophages and T lymphocytes resulting in the release of a variety of chemokines and cytokines based on the type of invading pathogen, including interferon gamma, </w:t>
      </w:r>
      <w:r w:rsidR="006E5DC9" w:rsidRPr="00372D52">
        <w:rPr>
          <w:rFonts w:ascii="Book Antiqua" w:hAnsi="Book Antiqua"/>
          <w:sz w:val="24"/>
          <w:szCs w:val="24"/>
        </w:rPr>
        <w:t>tumor necrosis factor (</w:t>
      </w:r>
      <w:r w:rsidRPr="00372D52">
        <w:rPr>
          <w:rFonts w:ascii="Book Antiqua" w:hAnsi="Book Antiqua"/>
          <w:sz w:val="24"/>
          <w:szCs w:val="24"/>
        </w:rPr>
        <w:t>TNF</w:t>
      </w:r>
      <w:r w:rsidR="006E5DC9" w:rsidRPr="00372D52">
        <w:rPr>
          <w:rFonts w:ascii="Book Antiqua" w:hAnsi="Book Antiqua"/>
          <w:sz w:val="24"/>
          <w:szCs w:val="24"/>
        </w:rPr>
        <w:t>)</w:t>
      </w:r>
      <w:r w:rsidRPr="00372D52">
        <w:rPr>
          <w:rFonts w:ascii="Book Antiqua" w:hAnsi="Book Antiqua"/>
          <w:sz w:val="24"/>
          <w:szCs w:val="24"/>
        </w:rPr>
        <w:t xml:space="preserve">-α, </w:t>
      </w:r>
      <w:r w:rsidR="006E5DC9" w:rsidRPr="00372D52">
        <w:rPr>
          <w:rFonts w:ascii="Book Antiqua" w:hAnsi="Book Antiqua"/>
          <w:sz w:val="24"/>
          <w:szCs w:val="24"/>
        </w:rPr>
        <w:t xml:space="preserve">interleukin </w:t>
      </w:r>
      <w:r w:rsidR="005A4DC4" w:rsidRPr="00372D52">
        <w:rPr>
          <w:rFonts w:ascii="Book Antiqua" w:hAnsi="Book Antiqua"/>
          <w:sz w:val="24"/>
          <w:szCs w:val="24"/>
        </w:rPr>
        <w:t>(</w:t>
      </w:r>
      <w:r w:rsidRPr="00372D52">
        <w:rPr>
          <w:rFonts w:ascii="Book Antiqua" w:hAnsi="Book Antiqua"/>
          <w:sz w:val="24"/>
          <w:szCs w:val="24"/>
        </w:rPr>
        <w:t>IL</w:t>
      </w:r>
      <w:r w:rsidR="005A4DC4" w:rsidRPr="00372D52">
        <w:rPr>
          <w:rFonts w:ascii="Book Antiqua" w:hAnsi="Book Antiqua"/>
          <w:sz w:val="24"/>
          <w:szCs w:val="24"/>
        </w:rPr>
        <w:t>)</w:t>
      </w:r>
      <w:r w:rsidRPr="00372D52">
        <w:rPr>
          <w:rFonts w:ascii="Book Antiqua" w:hAnsi="Book Antiqua"/>
          <w:sz w:val="24"/>
          <w:szCs w:val="24"/>
        </w:rPr>
        <w:t>-1, IL-4, IL-5, IL-6, IL-8, IL-9, IL-12 and IL-13. Simultaneously, the lung insult activates the capillary endothelial cells which in addition to contributing towards chemokine release, upregulate the surface adhesion molecules facilitating the attachment and migration of inflammatory cells to the site of insult</w:t>
      </w:r>
      <w:r w:rsidR="00960782" w:rsidRPr="00372D52">
        <w:rPr>
          <w:rFonts w:ascii="Book Antiqua" w:hAnsi="Book Antiqua"/>
          <w:sz w:val="24"/>
          <w:szCs w:val="24"/>
        </w:rPr>
        <w:fldChar w:fldCharType="begin" w:fldLock="1"/>
      </w:r>
      <w:r w:rsidR="0033339F" w:rsidRPr="00372D52">
        <w:rPr>
          <w:rFonts w:ascii="Book Antiqua" w:hAnsi="Book Antiqua"/>
          <w:sz w:val="24"/>
          <w:szCs w:val="24"/>
        </w:rPr>
        <w:instrText>ADDIN CSL_CITATION {"citationItems":[{"id":"ITEM-1","itemData":{"DOI":"10.2147/JIR.S4385","ISSN":"1178-7031","PMID":"22096348","abstract":"Inflammation is the body's response to insults, which include infection, trauma, and hypersensitivity. The inflammatory response is complex and involves a variety of mechanisms to defend against pathogens and repair tissue. In the lung, inflammation is usually caused by pathogens or by exposure to toxins, pollutants, irritants, and allergens. During inflammation, numerous types of inflammatory cells are activated. Each releases cytokines and mediators to modify activities of other inflammatory cells. Orchestration of these cells and molecules leads to progression of inflammation. Clinically, acute inflammation is seen in pneumonia and acute respiratory distress syndrome (ARDS), whereas chronic inflammation is represented by asthma and chronic obstructive pulmonary disease (COPD). Because the lung is a vital organ for gas exchange, excessive inflammation can be life threatening. Because the lung is constantly exposed to harmful pathogens, an immediate and intense defense action (mainly inflammation) is required to eliminate the invaders as early as possible. A delicate balance between inflammation and anti-inflammation is essential for lung homeostasis. A full understanding of the underlying mechanisms is vital in the treatment of patients with lung inflammation. This review focuses on cellular and molecular aspects of lung inflammation during acute and chronic inflammatory states.","author":[{"dropping-particle":"","family":"Moldoveanu","given":"B","non-dropping-particle":"","parse-names":false,"suffix":""},{"dropping-particle":"","family":"Otmishi","given":"P","non-dropping-particle":"","parse-names":false,"suffix":""},{"dropping-particle":"","family":"Jani","given":"P","non-dropping-particle":"","parse-names":false,"suffix":""},{"dropping-particle":"","family":"Walker","given":"J","non-dropping-particle":"","parse-names":false,"suffix":""},{"dropping-particle":"","family":"Sarmiento","given":"X","non-dropping-particle":"","parse-names":false,"suffix":""},{"dropping-particle":"","family":"Guardiola","given":"J","non-dropping-particle":"","parse-names":false,"suffix":""},{"dropping-particle":"","family":"Saad","given":"M","non-dropping-particle":"","parse-names":false,"suffix":""},{"dropping-particle":"","family":"Yu","given":"Jerry","non-dropping-particle":"","parse-names":false,"suffix":""}],"container-title":"Journal of Inflammation Research","id":"ITEM-1","issued":{"date-parts":[["2009"]]},"page":"1-11","title":"Inflammatory mechanisms in the lung.","type":"article-journal","volume":"2"},"uris":["http://www.mendeley.com/documents/?uuid=a94274c0-3950-4aad-968a-5ad34881a956","http://www.mendeley.com/documents/?uuid=36c2e1d8-8d8f-474b-9bd5-2f24cb1e87d1"]}],"mendeley":{"formattedCitation":"&lt;sup&gt;[1]&lt;/sup&gt;","plainTextFormattedCitation":"[1]","previouslyFormattedCitation":"&lt;sup&gt;[1]&lt;/sup&gt;"},"properties":{"noteIndex":0},"schema":"https://github.com/citation-style-language/schema/raw/master/csl-citation.json"}</w:instrText>
      </w:r>
      <w:r w:rsidR="00960782" w:rsidRPr="00372D52">
        <w:rPr>
          <w:rFonts w:ascii="Book Antiqua" w:hAnsi="Book Antiqua"/>
          <w:sz w:val="24"/>
          <w:szCs w:val="24"/>
        </w:rPr>
        <w:fldChar w:fldCharType="separate"/>
      </w:r>
      <w:r w:rsidR="0033339F" w:rsidRPr="00372D52">
        <w:rPr>
          <w:rFonts w:ascii="Book Antiqua" w:hAnsi="Book Antiqua"/>
          <w:noProof/>
          <w:sz w:val="24"/>
          <w:szCs w:val="24"/>
          <w:vertAlign w:val="superscript"/>
        </w:rPr>
        <w:t>[1]</w:t>
      </w:r>
      <w:r w:rsidR="00960782" w:rsidRPr="00372D52">
        <w:rPr>
          <w:rFonts w:ascii="Book Antiqua" w:hAnsi="Book Antiqua"/>
          <w:sz w:val="24"/>
          <w:szCs w:val="24"/>
        </w:rPr>
        <w:fldChar w:fldCharType="end"/>
      </w:r>
      <w:r w:rsidRPr="00372D52">
        <w:rPr>
          <w:rFonts w:ascii="Book Antiqua" w:hAnsi="Book Antiqua"/>
          <w:sz w:val="24"/>
          <w:szCs w:val="24"/>
        </w:rPr>
        <w:t xml:space="preserve">. In acute inflammation, neutrophils are the primary cells to respond to the cytokine release; </w:t>
      </w:r>
      <w:r w:rsidRPr="00372D52">
        <w:rPr>
          <w:rFonts w:ascii="Book Antiqua" w:hAnsi="Book Antiqua"/>
          <w:sz w:val="24"/>
          <w:szCs w:val="24"/>
        </w:rPr>
        <w:lastRenderedPageBreak/>
        <w:t>IL-8 being the primary neutrophil chemotactic cytokine. Neutrophils kill the phagocytosed pathogens with ROS, antimicrobial proteins and elastase. If the lung insult has been successfully controlled, a rise in anti-inflammatory cytokines particularly IL-10, TGF-β and IL-1Ra is expected. These assist in down regulating the defense system and facilitate apoptosis of the inflammatory cells by macrophages</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{"citationItems":[{"id":"ITEM-1","itemData":{"ISSN":"0022-1767","PMID":"8617974","abstract":"As the main immunocytes lining pulmonary alveoli, alveolar macrophages (AM) are critical to the maintenance of immune hemostasis of the lung. This study examined the capacity of AM obtained from healthy individuals in comparison with autologous blood monocytes (MN) to produce transforming growth factor-beta 1 (TGF-beta), a pivotal molecule in regulation of immune responses and in promotion of fibrosis. AM produced negligible TGF-beta in response to LPS at both 24 and 72 h of culture. In contrast, LPS induced significant levels of TGF-beta in MN cultures (79.5 +/- 35 pg/ml in AM vs 890 +/- 162 pg/ml in MN, p less than 0.001, at 24 h). AM also produced significantly less TGF-beta than MN in response to phorbol ester and Con A. By northern blot analysis, constitutive expression of TGF-beta mRNA was lower in AM than MN at the time of isolation and after 24 h of culture. Lower expression of steady state TGF-beta message was not due to a more rapid decay of its mRNA in AM. Furthermore, TGF-beta mRNA expression was up-regulated by rTGF-beta in MN but was not induced in AM. In contrast to TGF-beta, LPS-stimulated AM produced sixfold higher levels of TGF-alpha at 24 h than MN (p less than 0.01). Production of IL-10 by LPS-stimulated AM was sixfold lower than MN (p less than 0.005) at 24 h of culture, but was comparable with MN at 72 h. Both 10-day cultured monocytes and peritoneal macrophages also had reduced capacity to produce TGF-beta. Therefore, the inability to produce TGF-beta may be a feature of more differentiated mononuclear phagocytes. In health, the reduced expression of TGF-beta by AM and the intact ability to produce TGF-alpha and IL-10 may favor a timely and regulated host response to inhaled pathogens while limiting potentially deleterious inflammatory responses.","author":[{"dropping-particle":"","family":"Toossi","given":"Z","non-dropping-particle":"","parse-names":false,"suffix":""},{"dropping-particle":"","family":"Hirsch","given":"C S","non-dropping-particle":"","parse-names":false,"suffix":""},{"dropping-particle":"","family":"Hamilton","given":"B D","non-dropping-particle":"","parse-names":false,"suffix":""},{"dropping-particle":"","family":"Knuth","given":"C K","non-dropping-particle":"","parse-names":false,"suffix":""},{"dropping-particle":"","family":"Friedlander","given":"M A","non-dropping-particle":"","parse-names":false,"suffix":""},{"dropping-particle":"","family":"Rich","given":"E A","non-dropping-particle":"","parse-names":false,"suffix":""}],"container-title":"Journal of Immunology","id":"ITEM-1","issue":"9","issued":{"date-parts":[["1996","5","1"]]},"page":"3461-8","title":"Decreased production of TGF-beta 1 by human alveolar macrophages compared with blood monocytes.","type":"article-journal","volume":"156"},"uris":["http://www.mendeley.com/documents/?uuid=9842e148-acd2-4a01-b25c-667f460d48ec","http://www.mendeley.com/documents/?uuid=87d19a57-b8c4-413c-bd2e-cbb3b0870297"]}],"mendeley":{"formattedCitation":"&lt;sup&gt;[11]&lt;/sup&gt;","plainTextFormattedCitation":"[11]","previouslyFormattedCitation":"&lt;sup&gt;[11]&lt;/sup&gt;"},"properties":{"noteIndex":0},"schema":"https://github.com/citation-style-language/schema/raw/master/csl-citation.json"}</w:instrText>
      </w:r>
      <w:r w:rsidR="00960782"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[11]</w:t>
      </w:r>
      <w:r w:rsidR="00960782" w:rsidRPr="00372D52">
        <w:rPr>
          <w:rFonts w:ascii="Book Antiqua" w:hAnsi="Book Antiqua"/>
          <w:sz w:val="24"/>
          <w:szCs w:val="24"/>
        </w:rPr>
        <w:fldChar w:fldCharType="end"/>
      </w:r>
      <w:r w:rsidRPr="00372D52">
        <w:rPr>
          <w:rFonts w:ascii="Book Antiqua" w:hAnsi="Book Antiqua"/>
          <w:sz w:val="24"/>
          <w:szCs w:val="24"/>
        </w:rPr>
        <w:t>. However, in cases of overwhelming infection, the anti-inflammatory mechanisms are unable to control the underlying inflammation resulting in continuous lung injury.</w:t>
      </w:r>
    </w:p>
    <w:p w14:paraId="589E404A" w14:textId="04614865" w:rsidR="00A36DA3" w:rsidRPr="00372D52" w:rsidRDefault="00A36DA3"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 xml:space="preserve">In early ARDS, increased capillary permeability is the hallmark outcome of the inflammatory process resulting from direct or indirect lung injury with disruption of the capillary-alveolar interface. This leads to leakage of protein-rich fluid from the capillary into the alveoli resulting in diffuse alveolar injury triggering an overwhelming release of pro-inflammatory cytokines mainly TNF, IL-1 and IL-6 and </w:t>
      </w:r>
      <w:r w:rsidR="00C43441" w:rsidRPr="00372D52">
        <w:rPr>
          <w:rFonts w:ascii="Book Antiqua" w:hAnsi="Book Antiqua"/>
          <w:sz w:val="24"/>
          <w:szCs w:val="24"/>
        </w:rPr>
        <w:t xml:space="preserve">creating </w:t>
      </w:r>
      <w:r w:rsidRPr="00372D52">
        <w:rPr>
          <w:rFonts w:ascii="Book Antiqua" w:hAnsi="Book Antiqua"/>
          <w:sz w:val="24"/>
          <w:szCs w:val="24"/>
        </w:rPr>
        <w:t xml:space="preserve">an imbalance </w:t>
      </w:r>
      <w:r w:rsidR="00C43441" w:rsidRPr="00372D52">
        <w:rPr>
          <w:rFonts w:ascii="Book Antiqua" w:hAnsi="Book Antiqua"/>
          <w:sz w:val="24"/>
          <w:szCs w:val="24"/>
        </w:rPr>
        <w:t>between</w:t>
      </w:r>
      <w:r w:rsidRPr="00372D52">
        <w:rPr>
          <w:rFonts w:ascii="Book Antiqua" w:hAnsi="Book Antiqua"/>
          <w:sz w:val="24"/>
          <w:szCs w:val="24"/>
        </w:rPr>
        <w:t xml:space="preserve"> pro-inflammatory and anti-inflammatory cytokines. This initiates the inflammation cascade and </w:t>
      </w:r>
      <w:r w:rsidR="00D42981" w:rsidRPr="00372D52">
        <w:rPr>
          <w:rFonts w:ascii="Book Antiqua" w:hAnsi="Book Antiqua"/>
          <w:sz w:val="24"/>
          <w:szCs w:val="24"/>
        </w:rPr>
        <w:t>recruits’</w:t>
      </w:r>
      <w:r w:rsidRPr="00372D52">
        <w:rPr>
          <w:rFonts w:ascii="Book Antiqua" w:hAnsi="Book Antiqua"/>
          <w:sz w:val="24"/>
          <w:szCs w:val="24"/>
        </w:rPr>
        <w:t xml:space="preserve"> neutrophils which again play a crucial role in causing inflammation by releasing ROS and proteases. It has been noted that patients with ARDS, have transcription abnormalities involving NF-kappa B which is required for transcription of genes responsible for pro-inflammatory mediators. Other substances such as endothelin-1, angiotensin-2 and phospholipase A2 have also been found to worsen vascular permeability and underlying inflammation causing increased lung injury</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{"citationItems":[{"id":"ITEM-1","itemData":{"DOI":"10.4021/jocmr761w","ISSN":"1918-3011","PMID":"22383921","abstract":"UNLABELLED Acute Respiratory Distress Syndrome (ARDS) is a common entity in critical care. ARDS is associated with many diagnoses, including trauma and sepsis, can lead to multiple organ failure and has high mortality. The present article is a narrative review of the literature on ARDS, including ARDS pathophysiology and therapeutic options currently being evaluated or in use in clinical practice. The literature review covers relevant publications until January 2011. Recent developments in the therapeutic approach to ARDS include refinements of mechanical ventilatory support with emphasis on protective lung ventilation using low tidal volumes, increased PEEP with use of recruitment maneuvers to promote reopening of collapsed lung alveoli, prone position as rescue therapy for severe hypoxemia, and high frequency ventilation. Supportive measures in the management of ARDS include attention to fluid balance, restrictive transfusion strategies, and minimization of sedatives and neuromuscular blocking agents. Inhaled bronchodilators such as inhaled nitric oxide and prostaglandins confer short term improvement without proven effect on survival, but are currently used in many centers. Use of corticosteroids is also important, and appropriate timely use may reduce mortality. Finally, extra corporeal oxygenation methods are very useful as rescue therapy in patients with intractable hypoxemia, even though a survival benefit has not, to this date been demonstrated. Despite intense ongoing research on the pathophysiology and treatment of ARDS, mortality remains high. Many pharmacologic and supportive strategies have shown promising results, but data from large randomized clinical trials are needed to fully evaluate the true effectiveness of these therapies. KEYWORDS ARDS; Pathophysiology; Treatment.","author":[{"dropping-particle":"","family":"Pierrakos","given":"Charalampos","non-dropping-particle":"","parse-names":false,"suffix":""},{"dropping-particle":"","family":"Karanikolas","given":"Menelaos","non-dropping-particle":"","parse-names":false,"suffix":""},{"dropping-particle":"","family":"Scolletta","given":"Sabino","non-dropping-particle":"","parse-names":false,"suffix":""},{"dropping-particle":"","family":"Karamouzos","given":"Vasilios","non-dropping-particle":"","parse-names":false,"suffix":""},{"dropping-particle":"","family":"Velissaris","given":"Dimitrios","non-dropping-particle":"","parse-names":false,"suffix":""}],"container-title":"Journal of Clinical Medicine Research","id":"ITEM-1","issue":"1","issued":{"date-parts":[["2012","2"]]},"page":"7-16","title":"Acute respiratory distress syndrome: pathophysiology and therapeutic options.","type":"article-journal","volume":"4"},"uris":["http://www.mendeley.com/documents/?uuid=21dc0b0a-575f-40fb-aae2-807a24dc1c7c","http://www.mendeley.com/documents/?uuid=4a1e95d6-1125-4856-9553-6e7c2132322d"]},{"id":"ITEM-2","itemData":{"DOI":"10.1002/bjs.1800800106","ISSN":"0007-1323","PMID":"8428262","abstract":"Adult respiratory distress syndrome (ARDS) remains a significant cause of morbidity and mortality in surgical practice. Despite the continued advance of surgical technique and therapy, the mainstay of treatment of ARDS remains supportive. In the past decade cytokines have been found to be primary chemical mediators of the host response to inflammatory disease. The polymorphonuclear leucocyte has also emerged as a possible cellular mediator of the end-organ damage that characterizes these inflammatory processes. The role of the neutrophil as the primary cellular mediator of alveolar capillary membrane injury in ARDS remains controversial. This article reviews the relevant current literature and considers the implications of the prevailing evidence on future management of this syndrome.","author":[{"dropping-particle":"","family":"Windsor","given":"A C","non-dropping-particle":"","parse-names":false,"suffix":""},{"dropping-particle":"","family":"Mullen","given":"P G","non-dropping-particle":"","parse-names":false,"suffix":""},{"dropping-particle":"","family":"Fowler","given":"A A","non-dropping-particle":"","parse-names":false,"suffix":""},{"dropping-particle":"","family":"Sugerman","given":"H J","non-dropping-particle":"","parse-names":false,"suffix":""}],"container-title":"The British Journal of Surgery","id":"ITEM-2","issue":"1","issued":{"date-parts":[["1993","1"]]},"page":"10-7","title":"Role of the neutrophil in adult respiratory distress syndrome.","type":"article-journal","volume":"80"},"uris":["http://www.mendeley.com/documents/?uuid=05270a61-d78d-482a-91a8-19f11a2e496a","http://www.mendeley.com/documents/?uuid=ac879f2c-b2c2-4092-9659-4728104897fd"]},{"id":"ITEM-3","itemData":{"DOI":"10.1378/chest.110.6_Supplement.273S","ISSN":"0012-3692","PMID":"8989164","abstract":"As in hereditary alpha 1-antitrypsin deficiency, protease-antiprotease and oxidant-antioxidant balances play a significant role in the pathogenesis of ARDS. However, the disease processes and possibilities for therapeutic intervention differ markedly.","author":[{"dropping-particle":"","family":"Gadek","given":"J E","non-dropping-particle":"","parse-names":false,"suffix":""},{"dropping-particle":"","family":"Pacht","given":"E R","non-dropping-particle":"","parse-names":false,"suffix":""}],"container-title":"Chest","id":"ITEM-3","issue":"6 Suppl","issued":{"date-parts":[["1996","12"]]},"page":"273S-277S","title":"The interdependence of lung antioxidants and antiprotease defense in ARDS.","type":"article-journal","volume":"110"},"uris":["http://www.mendeley.com/documents/?uuid=da77445a-6672-4bca-9c93-8894a0a2e5f3","http://www.mendeley.com/documents/?uuid=4d79d0e1-3374-4e28-a988-3b5e52bd3ad5"]},{"id":"ITEM-4","itemData":{"ISSN":"1073-2322","PMID":"10670837","abstract":"Activation of the nuclear regulatory factor NF-kappaB occurs in the lungs of patients with the acute respiratory distress syndrome (ARDS) and may contribute to the increased expression of immunoregulatory cytokines and other proinflammatory mediators in this setting. Because of the important role that NF-kappaB activation appears to play in the development of acute lung injury, we examined cytoplasmic and nuclear NF-kapppaB counterregulatory mechanisms, involving IkappaB proteins, in alveolar macrophages obtained from 7 control patients without lung injury and 11 patients with established ARDS. Cytoplasmic levels of the NF-kappaB subunits p50, p65, and c-Rel were significantly decreased in alveolar macrophages from patients with ARDS, consistent with enhanced migration of liberated NF-kappaB dimers from the cytoplasm to the nucleus. Cytoplasmic and nuclear levels of IkappaBalpha were not significantly altered in alveolar macrophages from patients with established ARDS, compared with controls. In contrast, nuclear levels of Bcl-3 were significantly decreased in patients with ARDS compared with controls (P = 0.02). No IkappaBgamma, IkappaBbeta, or p105 proteins were detected in the cytoplasm of alveolar macrophages from control patients or patients with ARDS. The presence of activated NF-kappaB in alveolar macrophages from patients with established ARDS implies the presence of an ongoing stimulus for NF-kappaB activation. In this setting, appropriate counterregulatory mechanisms to normalize nuclear levels of NF-kappaB and to suppress NF-kappaB-mediated transcription, such as increased cytoplasmic and nuclear IkappaBalpha levels or decreased Bcl-3 levels, appeared to be induced. Nevertheless, even though counterregulatory mechanisms to NF-kappaB activation are activated in lung macrophages of patients with ARDS, NF-kappaB remains activated. These results suggest that fundamental abnormalities in transcriptional mechanisms involving NF-kappaB and important in the inflammatory response occur in the lungs of patients with ARDS.","author":[{"dropping-particle":"","family":"Moine","given":"P","non-dropping-particle":"","parse-names":false,"suffix":""},{"dropping-particle":"","family":"McIntyre","given":"R","non-dropping-particle":"","parse-names":false,"suffix":""},{"dropping-particle":"","family":"Schwartz","given":"M D","non-dropping-particle":"","parse-names":false,"suffix":""},{"dropping-particle":"","family":"Kaneko","given":"D","non-dropping-particle":"","parse-names":false,"suffix":""},{"dropping-particle":"","family":"Shenkar","given":"R","non-dropping-particle":"","parse-names":false,"suffix":""},{"dropping-particle":"","family":"Tulzo","given":"Y","non-dropping-particle":"Le","parse-names":false,"suffix":""},{"dropping-particle":"","family":"Moore","given":"E E","non-dropping-particle":"","parse-names":false,"suffix":""},{"dropping-particle":"","family":"Abraham","given":"E","non-dropping-particle":"","parse-names":false,"suffix":""}],"container-title":"Shock","id":"ITEM-4","issue":"2","issued":{"date-parts":[["2000","2"]]},"page":"85-91","title":"NF-kappaB regulatory mechanisms in alveolar macrophages from patients with acute respiratory distress syndrome.","type":"article-journal","volume":"13"},"uris":["http://www.mendeley.com/documents/?uuid=faffed6c-89cc-4f43-9a6f-d8e46aa1a736","http://www.mendeley.com/documents/?uuid=35c2be40-da17-4f06-8e5c-322abdecc8cd"]}],"mendeley":{"formattedCitation":"&lt;sup&gt;[12–15]&lt;/sup&gt;","plainTextFormattedCitation":"[12–15]","previouslyFormattedCitation":"&lt;sup&gt;[12–15]&lt;/sup&gt;"},"properties":{"noteIndex":0},"schema":"https://github.com/citation-style-language/schema/raw/master/csl-citation.json"}</w:instrText>
      </w:r>
      <w:r w:rsidR="00960782"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[12</w:t>
      </w:r>
      <w:r w:rsidR="005A4DC4" w:rsidRPr="00372D52">
        <w:rPr>
          <w:rFonts w:ascii="Book Antiqua" w:hAnsi="Book Antiqua"/>
          <w:noProof/>
          <w:sz w:val="24"/>
          <w:szCs w:val="24"/>
          <w:vertAlign w:val="superscript"/>
        </w:rPr>
        <w:t>-</w:t>
      </w:r>
      <w:r w:rsidR="008B5D20" w:rsidRPr="00372D52">
        <w:rPr>
          <w:rFonts w:ascii="Book Antiqua" w:hAnsi="Book Antiqua"/>
          <w:noProof/>
          <w:sz w:val="24"/>
          <w:szCs w:val="24"/>
          <w:vertAlign w:val="superscript"/>
        </w:rPr>
        <w:t>15]</w:t>
      </w:r>
      <w:r w:rsidR="00960782" w:rsidRPr="00372D52">
        <w:rPr>
          <w:rFonts w:ascii="Book Antiqua" w:hAnsi="Book Antiqua"/>
          <w:sz w:val="24"/>
          <w:szCs w:val="24"/>
        </w:rPr>
        <w:fldChar w:fldCharType="end"/>
      </w:r>
      <w:r w:rsidR="00960782" w:rsidRPr="00372D52">
        <w:rPr>
          <w:rFonts w:ascii="Book Antiqua" w:hAnsi="Book Antiqua"/>
          <w:sz w:val="24"/>
          <w:szCs w:val="24"/>
        </w:rPr>
        <w:t>.</w:t>
      </w:r>
      <w:r w:rsidRPr="00372D52">
        <w:rPr>
          <w:rFonts w:ascii="Book Antiqua" w:hAnsi="Book Antiqua"/>
          <w:sz w:val="24"/>
          <w:szCs w:val="24"/>
        </w:rPr>
        <w:t xml:space="preserve"> A hyper- inflammatory sub phenotype in ARDS has been recently identified and associated with worse outcomes </w:t>
      </w:r>
      <w:r w:rsidR="00A9667F" w:rsidRPr="00372D52">
        <w:rPr>
          <w:rFonts w:ascii="Book Antiqua" w:hAnsi="Book Antiqua"/>
          <w:sz w:val="24"/>
          <w:szCs w:val="24"/>
        </w:rPr>
        <w:t>compared to a</w:t>
      </w:r>
      <w:r w:rsidRPr="00372D52">
        <w:rPr>
          <w:rFonts w:ascii="Book Antiqua" w:hAnsi="Book Antiqua"/>
          <w:sz w:val="24"/>
          <w:szCs w:val="24"/>
        </w:rPr>
        <w:t xml:space="preserve"> hypo-inflammatory sub phenotype</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{"citationItems":[{"id":"ITEM-1","itemData":{"DOI":"10.1016/S2213-2600(14)70097-9","ISSN":"2213-2619","PMID":"24853585","abstract":"BACKGROUND Subphenotypes have been identified within heterogeneous diseases such as asthma and breast cancer, with important therapeutic implications. We assessed whether subphenotypes exist within acute respiratory distress syndrome (ARDS), another heterogeneous disorder. METHODS We used data from two ARDS randomised controlled trials (ARMA trial and ALVEOLI trial), sponsored by the National Heart, Lung, and Blood Institute. We applied latent class modelling to identify subphenotypes using clinical and biological data. We modelled data from both studies independently. We then tested the association of subphenotypes with clinical outcomes in both cohorts and with the response to positive end-expiratory pressure (PEEP) in the ALVEOLI cohort. FINDINGS We analysed data for 1022 patients: 473 in the ARMA cohort and 549 in the ALVEOLI cohort. Independent latent class models indicated that a two-class (ie, two subphenotype) model was the best fit for both cohorts. In both cohorts, we identified a hyperinflammatory subphenotype (phenotype 2) that was characterised by higher plasma concentrations of inflammatory biomarkers, a higher prevalence of vasopressor use, lower serum bicarbonate concentrations, and a higher prevalence of sepsis than phenotype 1. Participants in phenotype 2 had higher mortality and fewer ventilator-free days and organ failure-free days in both cohorts than did those in phenotype 1 (p&lt;0·007 for all). In the ALVEOLI cohort, the effects of ventilation strategy (high PEEP vs low PEEP) on mortality, ventilator-free days and organ failure-free days differed by phenotype (p=0·049 for mortality, p=0·018 for ventilator-free days, p=0·003 for organ-failure-free days). INTERPRETATION We have identified two subphenotypes within ARDS, one of which is categorised by more severe inflammation, shock, and metabolic acidosis and by worse clinical outcomes. Response to treatment in a randomised trial of PEEP strategies differed on the basis of subphenotype. Identification of ARDS subphenotypes might be useful in selecting patients for future clinical trials. FUNDING National Institutes of Health.","author":[{"dropping-particle":"","family":"Calfee","given":"Carolyn S","non-dropping-particle":"","parse-names":false,"suffix":""},{"dropping-particle":"","family":"Delucchi","given":"Kevin","non-dropping-particle":"","parse-names":false,"suffix":""},{"dropping-particle":"","family":"Parsons","given":"Polly E","non-dropping-particle":"","parse-names":false,"suffix":""},{"dropping-particle":"","family":"Thompson","given":"B Taylor","non-dropping-particle":"","parse-names":false,"suffix":""},{"dropping-particle":"","family":"Ware","given":"Lorraine B","non-dropping-particle":"","parse-names":false,"suffix":""},{"dropping-particle":"","family":"Matthay","given":"Michael A","non-dropping-particle":"","parse-names":false,"suffix":""},{"dropping-particle":"","family":"NHLBI ARDS Network","given":"","non-dropping-particle":"","parse-names":false,"suffix":""}],"container-title":"The Lancet Respiratory Medicine","id":"ITEM-1","issue":"8","issued":{"date-parts":[["2014","8"]]},"page":"611-20","title":"Subphenotypes in acute respiratory distress syndrome: latent class analysis of data from two randomised controlled trials.","type":"article-journal","volume":"2"},"uris":["http://www.mendeley.com/documents/?uuid=838dcc1e-1354-402d-96f0-9ca3d2a1124d","http://www.mendeley.com/documents/?uuid=7d375e79-a626-4adc-95a2-99682ec4a773"]}],"mendeley":{"formattedCitation":"&lt;sup&gt;[8]&lt;/sup&gt;","plainTextFormattedCitation":"[8]","previouslyFormattedCitation":"&lt;sup&gt;[8]&lt;/sup&gt;"},"properties":{"noteIndex":0},"schema":"https://github.com/citation-style-language/schema/raw/master/csl-citation.json"}</w:instrText>
      </w:r>
      <w:r w:rsidR="00960782"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[8]</w:t>
      </w:r>
      <w:r w:rsidR="00960782" w:rsidRPr="00372D52">
        <w:rPr>
          <w:rFonts w:ascii="Book Antiqua" w:hAnsi="Book Antiqua"/>
          <w:sz w:val="24"/>
          <w:szCs w:val="24"/>
        </w:rPr>
        <w:fldChar w:fldCharType="end"/>
      </w:r>
      <w:r w:rsidR="00960782" w:rsidRPr="00372D52">
        <w:rPr>
          <w:rFonts w:ascii="Book Antiqua" w:hAnsi="Book Antiqua"/>
          <w:sz w:val="24"/>
          <w:szCs w:val="24"/>
        </w:rPr>
        <w:t>.</w:t>
      </w:r>
    </w:p>
    <w:p w14:paraId="167F06D3" w14:textId="77777777" w:rsidR="005A4DC4" w:rsidRPr="00372D52" w:rsidRDefault="005A4DC4" w:rsidP="00372D52">
      <w:pPr>
        <w:spacing w:after="0" w:line="360" w:lineRule="auto"/>
        <w:ind w:firstLineChars="100" w:firstLine="241"/>
        <w:jc w:val="both"/>
        <w:rPr>
          <w:rFonts w:ascii="Book Antiqua" w:hAnsi="Book Antiqua"/>
          <w:b/>
          <w:sz w:val="24"/>
          <w:szCs w:val="24"/>
        </w:rPr>
      </w:pPr>
    </w:p>
    <w:p w14:paraId="37397B1D" w14:textId="1BD756BA" w:rsidR="00912353" w:rsidRPr="00372D52" w:rsidRDefault="005A4DC4" w:rsidP="00372D52">
      <w:pPr>
        <w:spacing w:after="0" w:line="360" w:lineRule="auto"/>
        <w:jc w:val="both"/>
        <w:rPr>
          <w:rFonts w:ascii="Book Antiqua" w:hAnsi="Book Antiqua"/>
          <w:b/>
          <w:sz w:val="24"/>
          <w:szCs w:val="24"/>
        </w:rPr>
      </w:pPr>
      <w:r w:rsidRPr="00372D52">
        <w:rPr>
          <w:rFonts w:ascii="Book Antiqua" w:hAnsi="Book Antiqua"/>
          <w:b/>
          <w:sz w:val="24"/>
          <w:szCs w:val="24"/>
        </w:rPr>
        <w:t>DIAGNOSIS, EVALUATION, AND MANAGEMENT OF CAP AND ARDS-EVIDENCE ON INFLAMMATORY BIOMARKERS</w:t>
      </w:r>
    </w:p>
    <w:p w14:paraId="3683BBFC" w14:textId="76CF7C46" w:rsidR="00912353" w:rsidRPr="00372D52" w:rsidRDefault="00912353" w:rsidP="00372D52">
      <w:pPr>
        <w:spacing w:after="0" w:line="360" w:lineRule="auto"/>
        <w:jc w:val="both"/>
        <w:rPr>
          <w:rFonts w:ascii="Book Antiqua" w:hAnsi="Book Antiqua"/>
          <w:sz w:val="24"/>
          <w:szCs w:val="24"/>
        </w:rPr>
      </w:pPr>
      <w:r w:rsidRPr="00372D52">
        <w:rPr>
          <w:rFonts w:ascii="Book Antiqua" w:hAnsi="Book Antiqua"/>
          <w:sz w:val="24"/>
          <w:szCs w:val="24"/>
        </w:rPr>
        <w:t>Early identification and assessment of severity are essential for institution of timely antibiotic therapy and appropriate supportive care in CAP and ARDS. As current diagnostic, evaluation, and management strategies are based on radiographic, clinical and physiological variables only, the use of biomarkers in these conditions has been proposed and extensively evaluated.</w:t>
      </w:r>
    </w:p>
    <w:p w14:paraId="2C2B81A9" w14:textId="37DE22BA" w:rsidR="008D14EE" w:rsidRPr="00372D52" w:rsidRDefault="008D14EE"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lastRenderedPageBreak/>
        <w:t xml:space="preserve">A biomarker </w:t>
      </w:r>
      <w:r w:rsidR="00960782" w:rsidRPr="00372D52">
        <w:rPr>
          <w:rFonts w:ascii="Book Antiqua" w:hAnsi="Book Antiqua"/>
          <w:sz w:val="24"/>
          <w:szCs w:val="24"/>
        </w:rPr>
        <w:t xml:space="preserve">is </w:t>
      </w:r>
      <w:r w:rsidRPr="00372D52">
        <w:rPr>
          <w:rFonts w:ascii="Book Antiqua" w:hAnsi="Book Antiqua"/>
          <w:sz w:val="24"/>
          <w:szCs w:val="24"/>
        </w:rPr>
        <w:t>“a defined characteristic that is measureable and an indicator of normal biological processes, pathogenic processes, or responses to an exposure or intervention”</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URL":"https://www.fda.gov/downloads/Drugs/DevelopmentApprovalProcess/DrugDevelopmentToolsQualificationProgram/UCM533161.pdf","accessed":{"date-parts":[["2019","4","20"]]},"author":[{"dropping-particle":"","family":"Amur","given":"S","non-dropping-particle":"","parse-names":false,"suffix":""}],"id":"ITEM-1","issued":{"date-parts":[["0"]]},"title":"Biomarker Terminology: Speaking The Same Language","type":"webpage"},"uris":["http://www.mendeley.com/documents/?uuid=ad6dda2a-2aea-4268-a399-41f121cfdd24","http://www.mendeley.com/documents/?uuid=10a1a539-c8ca-431b-b11b-bba81bc4b16d"]}],"mendeley":{"formattedCitation":"&lt;sup&gt;[16]&lt;/sup&gt;","plainTextFormattedCitation":"[16]","previouslyFormattedCitation":"&lt;sup&gt;[16]&lt;/sup&gt;"},"properties":{"noteIndex":0},"schema":"https://github.com/citation-style-language/schema/raw/master/csl-citation.json"}</w:instrText>
      </w:r>
      <w:r w:rsidR="00960782" w:rsidRPr="00372D52">
        <w:rPr>
          <w:rFonts w:ascii="Book Antiqua" w:hAnsi="Book Antiqua"/>
          <w:sz w:val="24"/>
          <w:szCs w:val="24"/>
        </w:rPr>
        <w:fldChar w:fldCharType="separate"/>
      </w:r>
      <w:r w:rsidR="008B5D20" w:rsidRPr="00372D52">
        <w:rPr>
          <w:rFonts w:ascii="Book Antiqua" w:hAnsi="Book Antiqua"/>
          <w:noProof/>
          <w:sz w:val="24"/>
          <w:szCs w:val="24"/>
          <w:vertAlign w:val="superscript"/>
        </w:rPr>
        <w:t>[16]</w:t>
      </w:r>
      <w:r w:rsidR="00960782" w:rsidRPr="00372D52">
        <w:rPr>
          <w:rFonts w:ascii="Book Antiqua" w:hAnsi="Book Antiqua"/>
          <w:sz w:val="24"/>
          <w:szCs w:val="24"/>
        </w:rPr>
        <w:fldChar w:fldCharType="end"/>
      </w:r>
      <w:r w:rsidRPr="00372D52">
        <w:rPr>
          <w:rFonts w:ascii="Book Antiqua" w:hAnsi="Book Antiqua"/>
          <w:sz w:val="24"/>
          <w:szCs w:val="24"/>
        </w:rPr>
        <w:t xml:space="preserve">. The quintessential biomarker that can aid </w:t>
      </w:r>
      <w:r w:rsidR="00912353" w:rsidRPr="00372D52">
        <w:rPr>
          <w:rFonts w:ascii="Book Antiqua" w:hAnsi="Book Antiqua"/>
          <w:sz w:val="24"/>
          <w:szCs w:val="24"/>
        </w:rPr>
        <w:t xml:space="preserve">early </w:t>
      </w:r>
      <w:r w:rsidRPr="00372D52">
        <w:rPr>
          <w:rFonts w:ascii="Book Antiqua" w:hAnsi="Book Antiqua"/>
          <w:sz w:val="24"/>
          <w:szCs w:val="24"/>
        </w:rPr>
        <w:t>identification, prognostication, as well as guide and monitor response to treatment in critically ill patients with acute pulmonary inflammation has been long sought-after. Several other fields have successful</w:t>
      </w:r>
      <w:r w:rsidR="00912353" w:rsidRPr="00372D52">
        <w:rPr>
          <w:rFonts w:ascii="Book Antiqua" w:hAnsi="Book Antiqua"/>
          <w:sz w:val="24"/>
          <w:szCs w:val="24"/>
        </w:rPr>
        <w:t>ly</w:t>
      </w:r>
      <w:r w:rsidRPr="00372D52">
        <w:rPr>
          <w:rFonts w:ascii="Book Antiqua" w:hAnsi="Book Antiqua"/>
          <w:sz w:val="24"/>
          <w:szCs w:val="24"/>
        </w:rPr>
        <w:t xml:space="preserve"> identified biomarkers </w:t>
      </w:r>
      <w:r w:rsidR="00912353" w:rsidRPr="00372D52">
        <w:rPr>
          <w:rFonts w:ascii="Book Antiqua" w:hAnsi="Book Antiqua"/>
          <w:sz w:val="24"/>
          <w:szCs w:val="24"/>
        </w:rPr>
        <w:t>with therapeutic implications and improvement in outcomes</w:t>
      </w:r>
      <w:r w:rsidRPr="00372D52">
        <w:rPr>
          <w:rFonts w:ascii="Book Antiqua" w:hAnsi="Book Antiqua"/>
          <w:sz w:val="24"/>
          <w:szCs w:val="24"/>
        </w:rPr>
        <w:t xml:space="preserve">. The identification of the programed cell death ligand-1 (PD-L1) and its role in several malignancies, led to the development of PD-L1 inhibitors which have revolutionized the treatment of several types of cancer. Asthma is another example of a heterogeneous disease that was revolutionized by the identification of various phenotypes and the associated biomarker(s) leading to treatments such as anti-IL-5 inhibitors. </w:t>
      </w:r>
      <w:r w:rsidR="00912353" w:rsidRPr="00372D52">
        <w:rPr>
          <w:rFonts w:ascii="Book Antiqua" w:hAnsi="Book Antiqua"/>
          <w:sz w:val="24"/>
          <w:szCs w:val="24"/>
        </w:rPr>
        <w:t>Recent evidence and ongoing efforts suggests a potential for similar success in CAP and ARDS with the recent identification of hyper-inflammatory phenotypes with important prognostic and therapeutic implications</w:t>
      </w:r>
      <w:r w:rsidR="00DB420B"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{"citationItems":[{"id":"ITEM-1","itemData":{"DOI":"10.1016/S2213-2600(14)70097-9","ISSN":"2213-2619","PMID":"24853585","abstract":"BACKGROUND Subphenotypes have been identified within heterogeneous diseases such as asthma and breast cancer, with important therapeutic implications. We assessed whether subphenotypes exist within acute respiratory distress syndrome (ARDS), another heterogeneous disorder. METHODS We used data from two ARDS randomised controlled trials (ARMA trial and ALVEOLI trial), sponsored by the National Heart, Lung, and Blood Institute. We applied latent class modelling to identify subphenotypes using clinical and biological data. We modelled data from both studies independently. We then tested the association of subphenotypes with clinical outcomes in both cohorts and with the response to positive end-expiratory pressure (PEEP) in the ALVEOLI cohort. FINDINGS We analysed data for 1022 patients: 473 in the ARMA cohort and 549 in the ALVEOLI cohort. Independent latent class models indicated that a two-class (ie, two subphenotype) model was the best fit for both cohorts. In both cohorts, we identified a hyperinflammatory subphenotype (phenotype 2) that was characterised by higher plasma concentrations of inflammatory biomarkers, a higher prevalence of vasopressor use, lower serum bicarbonate concentrations, and a higher prevalence of sepsis than phenotype 1. Participants in phenotype 2 had higher mortality and fewer ventilator-free days and organ failure-free days in both cohorts than did those in phenotype 1 (p&lt;0·007 for all). In the ALVEOLI cohort, the effects of ventilation strategy (high PEEP vs low PEEP) on mortality, ventilator-free days and organ failure-free days differed by phenotype (p=0·049 for mortality, p=0·018 for ventilator-free days, p=0·003 for organ-failure-free days). INTERPRETATION We have identified two subphenotypes within ARDS, one of which is categorised by more severe inflammation, shock, and metabolic acidosis and by worse clinical outcomes. Response to treatment in a randomised trial of PEEP strategies differed on the basis of subphenotype. Identification of ARDS subphenotypes might be useful in selecting patients for future clinical trials. FUNDING National Institutes of Health.","author":[{"dropping-particle":"","family":"Calfee","given":"Carolyn S","non-dropping-particle":"","parse-names":false,"suffix":""},{"dropping-particle":"","family":"Delucchi","given":"Kevin","non-dropping-particle":"","parse-names":false,"suffix":""},{"dropping-particle":"","family":"Parsons","given":"Polly E","non-dropping-particle":"","parse-names":false,"suffix":""},{"dropping-particle":"","family":"Thompson","given":"B Taylor","non-dropping-particle":"","parse-names":false,"suffix":""},{"dropping-particle":"","family":"Ware","given":"Lorraine B","non-dropping-particle":"","parse-names":false,"suffix":""},{"dropping-particle":"","family":"Matthay","given":"Michael A","non-dropping-particle":"","parse-names":false,"suffix":""},{"dropping-particle":"","family":"NHLBI ARDS Network","given":"","non-dropping-particle":"","parse-names":false,"suffix":""}],"container-title":"The Lancet Respiratory Medicine","id":"ITEM-1","issue":"8","issued":{"date-parts":[["2014","8"]]},"page":"611-20","title":"Subphenotypes in acute respiratory distress syndrome: latent class analysis of data from two randomised controlled trials.","type":"article-journal","volume":"2"},"uris":["http://www.mendeley.com/documents/?uuid=7d375e79-a626-4adc-95a2-99682ec4a773"]},{"id":"ITEM-2","itemData":{"DOI":"10.1001/jama.2015.88","ISSN":"1538-3598","PMID":"25688779","abstract":"IMPORTANCE In patients with severe community-acquired pneumonia, treatment failure is associated with excessive inflammatory response and worse outcomes. Corticosteroids may modulate cytokine release in these patients, but the benefit of this adjunctive therapy remains controversial. OBJECTIVE To assess the effect of corticosteroids in patients with severe community-acquired pneumonia and high associated inflammatory response. DESIGN, SETTING, AND PARTICIPANTS Multicenter, randomized, double-blind, placebo-controlled trial conducted in 3 Spanish teaching hospitals involving patients with both severe community-acquired pneumonia and a high inflammatory response, which was defined as a level of C-reactive protein greater than 150 mg/L at admission. Patients were recruited and followed up from June 2004 through February 2012. INTERVENTIONS Patients were randomized to receive either an intravenous bolus of 0.5 mg/kg per 12 hours of methylprednisolone (n = 61) or placebo (n = 59) for 5 days started within 36 hours of hospital admission. MAIN OUTCOMES AND MEASURES The primary outcome was treatment failure (composite outcome of early treatment failure defined as [1] clinical deterioration indicated by development of shock, [2] need for invasive mechanical ventilation not present at baseline, or [3] death within 72 hours of treatment; or composite outcome of late treatment failure defined as [1] radiographic progression, [2] persistence of severe respiratory failure, [3] development of shock, [4] need for invasive mechanical ventilation not present at baseline, or [5] death between 72 hours and 120 hours after treatment initiation; or both early and late treatment failure). In-hospital mortality was a secondary outcome and adverse events were assessed. RESULTS There was less treatment failure among patients from the methylprednisolone group (8 patients [13%]) compared with the placebo group (18 patients [31%]) (P = .02), with a difference between groups of 18% (95% CI, 3% to 32%). Corticosteroid treatment reduced the risk of treatment failure (odds ratio, 0.34 [95% CI, 0.14 to 0.87]; P = .02). In-hospital mortality did not differ between the 2 groups (6 patients [10%] in the methylprednisolone group vs 9 patients [15%] in the placebo group; P = .37); the difference between groups was 5% (95% CI, -6% to 17%). Hyperglycemia occurred in 11 patients (18%) in the methylprednisolone group and in 7 patients (12%) in the placebo group (P = .34). CONCLUSIONS AND RELEVAN…","author":[{"dropping-particle":"","family":"Torres","given":"Antoni","non-dropping-particle":"","parse-names":false,"suffix":""},{"dropping-particle":"","family":"Sibila","given":"Oriol","non-dropping-particle":"","parse-names":false,"suffix":""},{"dropping-particle":"","family":"Ferrer","given":"Miquel","non-dropping-particle":"","parse-names":false,"suffix":""},{"dropping-particle":"","family":"Polverino","given":"Eva","non-dropping-particle":"","parse-names":false,"suffix":""},{"dropping-particle":"","family":"Menendez","given":"Rosario","non-dropping-particle":"","parse-names":false,"suffix":""},{"dropping-particle":"","family":"Mensa","given":"Josep","non-dropping-particle":"","parse-names":false,"suffix":""},{"dropping-particle":"","family":"Gabarrús","given":"Albert","non-dropping-particle":"","parse-names":false,"suffix":""},{"dropping-particle":"","family":"Sellarés","given":"Jacobo","non-dropping-particle":"","parse-names":false,"suffix":""},{"dropping-particle":"","family":"Restrepo","given":"Marcos I","non-dropping-particle":"","parse-names":false,"suffix":""},{"dropping-particle":"","family":"Anzueto","given":"Antonio","non-dropping-particle":"","parse-names":false,"suffix":""},{"dropping-particle":"","family":"Niederman","given":"Michael S","non-dropping-particle":"","parse-names":false,"suffix":""},{"dropping-particle":"","family":"Agustí","given":"Carles","non-dropping-particle":"","parse-names":false,"suffix":""}],"container-title":"JAMA","id":"ITEM-2","issue":"7","issued":{"date-parts":[["2015","2","17"]]},"page":"677-86","title":"Effect of corticosteroids on treatment failure among hospitalized patients with severe community-acquired pneumonia and high inflammatory response: a randomized clinical trial.","type":"article-journal","volume":"313"},"uris":["http://www.mendeley.com/documents/?uuid=4a61569a-5892-4de5-81ab-90782a789ff3"]}],"mendeley":{"formattedCitation":"&lt;sup&gt;[8,17]&lt;/sup&gt;","plainTextFormattedCitation":"[8,17]","previouslyFormattedCitation":"&lt;sup&gt;[8,17]&lt;/sup&gt;"},"properties":{"noteIndex":0},"schema":"https://github.com/citation-style-language/schema/raw/master/csl-citation.json"}</w:instrText>
      </w:r>
      <w:r w:rsidR="00DB420B"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[8,17]</w:t>
      </w:r>
      <w:r w:rsidR="00DB420B" w:rsidRPr="00372D52">
        <w:rPr>
          <w:rFonts w:ascii="Book Antiqua" w:hAnsi="Book Antiqua"/>
          <w:sz w:val="24"/>
          <w:szCs w:val="24"/>
        </w:rPr>
        <w:fldChar w:fldCharType="end"/>
      </w:r>
      <w:r w:rsidRPr="00372D52">
        <w:rPr>
          <w:rFonts w:ascii="Book Antiqua" w:hAnsi="Book Antiqua"/>
          <w:sz w:val="24"/>
          <w:szCs w:val="24"/>
        </w:rPr>
        <w:t>.</w:t>
      </w:r>
      <w:r w:rsidR="00912353" w:rsidRPr="00372D52">
        <w:rPr>
          <w:rFonts w:ascii="Book Antiqua" w:hAnsi="Book Antiqua"/>
          <w:sz w:val="24"/>
          <w:szCs w:val="24"/>
        </w:rPr>
        <w:t xml:space="preserve"> The biomarkers that have been most extensively studied in CAP include </w:t>
      </w:r>
      <w:r w:rsidR="00C43441" w:rsidRPr="00372D52">
        <w:rPr>
          <w:rFonts w:ascii="Book Antiqua" w:hAnsi="Book Antiqua"/>
          <w:sz w:val="24"/>
          <w:szCs w:val="24"/>
        </w:rPr>
        <w:t>C-reactive protein (</w:t>
      </w:r>
      <w:r w:rsidR="00912353" w:rsidRPr="00372D52">
        <w:rPr>
          <w:rFonts w:ascii="Book Antiqua" w:hAnsi="Book Antiqua"/>
          <w:sz w:val="24"/>
          <w:szCs w:val="24"/>
        </w:rPr>
        <w:t>CRP</w:t>
      </w:r>
      <w:r w:rsidR="00C43441" w:rsidRPr="00372D52">
        <w:rPr>
          <w:rFonts w:ascii="Book Antiqua" w:hAnsi="Book Antiqua"/>
          <w:sz w:val="24"/>
          <w:szCs w:val="24"/>
        </w:rPr>
        <w:t>)</w:t>
      </w:r>
      <w:r w:rsidR="00912353" w:rsidRPr="00372D52">
        <w:rPr>
          <w:rFonts w:ascii="Book Antiqua" w:hAnsi="Book Antiqua"/>
          <w:sz w:val="24"/>
          <w:szCs w:val="24"/>
        </w:rPr>
        <w:t xml:space="preserve"> and</w:t>
      </w:r>
      <w:r w:rsidR="00C43441" w:rsidRPr="00372D52">
        <w:rPr>
          <w:rFonts w:ascii="Book Antiqua" w:hAnsi="Book Antiqua"/>
          <w:sz w:val="24"/>
          <w:szCs w:val="24"/>
        </w:rPr>
        <w:t xml:space="preserve"> procalcitonin</w:t>
      </w:r>
      <w:r w:rsidR="00912353" w:rsidRPr="00372D52">
        <w:rPr>
          <w:rFonts w:ascii="Book Antiqua" w:hAnsi="Book Antiqua"/>
          <w:sz w:val="24"/>
          <w:szCs w:val="24"/>
        </w:rPr>
        <w:t xml:space="preserve"> </w:t>
      </w:r>
      <w:r w:rsidR="00C43441" w:rsidRPr="00372D52">
        <w:rPr>
          <w:rFonts w:ascii="Book Antiqua" w:hAnsi="Book Antiqua"/>
          <w:sz w:val="24"/>
          <w:szCs w:val="24"/>
        </w:rPr>
        <w:t>(</w:t>
      </w:r>
      <w:r w:rsidR="00912353" w:rsidRPr="00372D52">
        <w:rPr>
          <w:rFonts w:ascii="Book Antiqua" w:hAnsi="Book Antiqua"/>
          <w:sz w:val="24"/>
          <w:szCs w:val="24"/>
        </w:rPr>
        <w:t>PCT</w:t>
      </w:r>
      <w:r w:rsidR="00C43441" w:rsidRPr="00372D52">
        <w:rPr>
          <w:rFonts w:ascii="Book Antiqua" w:hAnsi="Book Antiqua"/>
          <w:sz w:val="24"/>
          <w:szCs w:val="24"/>
        </w:rPr>
        <w:t>)</w:t>
      </w:r>
      <w:r w:rsidR="00912353" w:rsidRPr="00372D52">
        <w:rPr>
          <w:rFonts w:ascii="Book Antiqua" w:hAnsi="Book Antiqua"/>
          <w:sz w:val="24"/>
          <w:szCs w:val="24"/>
        </w:rPr>
        <w:t xml:space="preserve"> and in ARDS, cytokines which will henceforth be reviewed.</w:t>
      </w:r>
    </w:p>
    <w:p w14:paraId="5C615E2A" w14:textId="77777777" w:rsidR="007F358B" w:rsidRPr="00372D52" w:rsidRDefault="007F358B" w:rsidP="00372D52">
      <w:pPr>
        <w:spacing w:after="0" w:line="360" w:lineRule="auto"/>
        <w:jc w:val="both"/>
        <w:rPr>
          <w:rFonts w:ascii="Book Antiqua" w:hAnsi="Book Antiqua"/>
          <w:sz w:val="24"/>
          <w:szCs w:val="24"/>
        </w:rPr>
      </w:pPr>
    </w:p>
    <w:p w14:paraId="1C1A0BCF" w14:textId="37C054D3" w:rsidR="008D14EE" w:rsidRPr="00372D52" w:rsidRDefault="005A4DC4" w:rsidP="00372D52">
      <w:pPr>
        <w:spacing w:after="0" w:line="360" w:lineRule="auto"/>
        <w:jc w:val="both"/>
        <w:rPr>
          <w:rFonts w:ascii="Book Antiqua" w:hAnsi="Book Antiqua"/>
          <w:b/>
          <w:bCs/>
          <w:i/>
          <w:iCs/>
          <w:sz w:val="24"/>
          <w:szCs w:val="24"/>
        </w:rPr>
      </w:pPr>
      <w:r w:rsidRPr="00372D52">
        <w:rPr>
          <w:rFonts w:ascii="Book Antiqua" w:hAnsi="Book Antiqua"/>
          <w:b/>
          <w:bCs/>
          <w:i/>
          <w:iCs/>
          <w:sz w:val="24"/>
          <w:szCs w:val="24"/>
        </w:rPr>
        <w:t>CRP</w:t>
      </w:r>
    </w:p>
    <w:p w14:paraId="2E43CEC1" w14:textId="54331D86" w:rsidR="008D14EE" w:rsidRPr="00372D52" w:rsidRDefault="008D14EE" w:rsidP="00372D52">
      <w:pPr>
        <w:spacing w:after="0" w:line="360" w:lineRule="auto"/>
        <w:jc w:val="both"/>
        <w:rPr>
          <w:rFonts w:ascii="Book Antiqua" w:hAnsi="Book Antiqua"/>
          <w:sz w:val="24"/>
          <w:szCs w:val="24"/>
        </w:rPr>
      </w:pPr>
      <w:r w:rsidRPr="00372D52">
        <w:rPr>
          <w:rFonts w:ascii="Book Antiqua" w:hAnsi="Book Antiqua"/>
          <w:sz w:val="24"/>
          <w:szCs w:val="24"/>
        </w:rPr>
        <w:t xml:space="preserve">CRP was first discovered in 1930. Scientists William S </w:t>
      </w:r>
      <w:proofErr w:type="spellStart"/>
      <w:r w:rsidRPr="00372D52">
        <w:rPr>
          <w:rFonts w:ascii="Book Antiqua" w:hAnsi="Book Antiqua"/>
          <w:sz w:val="24"/>
          <w:szCs w:val="24"/>
        </w:rPr>
        <w:t>Tillet</w:t>
      </w:r>
      <w:proofErr w:type="spellEnd"/>
      <w:r w:rsidRPr="00372D52">
        <w:rPr>
          <w:rFonts w:ascii="Book Antiqua" w:hAnsi="Book Antiqua"/>
          <w:sz w:val="24"/>
          <w:szCs w:val="24"/>
        </w:rPr>
        <w:t xml:space="preserve"> and Thomas Francis Jr, discovered a novel antigen on the surface of pneumococcal bacteria that was present in the initial stages of infection and resolved as the patient improved</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{"citationItems":[{"id":"ITEM-1","itemData":{"DOI":"10.1084/jem.52.4.561","ISSN":"0022-1007","PMID":"19869788","abstract":"1. Sera from individuals acutely ill with lobar pneumonia possess the capacity to precipitate in high titre a non-protein somatic fraction derived from pneumococci (Fraction C). Following crisis the reaction is no longer demonstrable. 2. Sera obtained from cases of pneumococcus pneumonia during illness and convalescence have been tested for antibodies specifically reactive with three chemically distinct constituents of Pneumococcus. The results, when correlated with the course of disease, demonstrate differences in the occurrence of each qualitatively distinct antibody. 3. The precipitation of pneumococcus Fraction C is not limited to the sera of individuals ill with pneumococcus infection. But in the few other cases available for comparative tests, definite reactions have been obtained only in streptococcus and staphylococcus infections and in acute rheumatic fever.","author":[{"dropping-particle":"","family":"Tillett","given":"W S","non-dropping-particle":"","parse-names":false,"suffix":""},{"dropping-particle":"","family":"Francis","given":"T","non-dropping-particle":"","parse-names":false,"suffix":""}],"container-title":"The Journal of Experimental Medicine","id":"ITEM-1","issue":"4","issued":{"date-parts":[["1930","9","30"]]},"page":"561-71","title":"Serological reactions in pneumonia with a non-protein somatic fraction of Pneumococcus","type":"article-journal","volume":"52"},"uris":["http://www.mendeley.com/documents/?uuid=b421e616-8557-4c27-9d31-66a4bd43c4e1","http://www.mendeley.com/documents/?uuid=c7a51c30-bbad-41dd-9309-f6a16bdfffe9"]}],"mendeley":{"formattedCitation":"&lt;sup&gt;[18]&lt;/sup&gt;","plainTextFormattedCitation":"[18]","previouslyFormattedCitation":"&lt;sup&gt;[18]&lt;/sup&gt;"},"properties":{"noteIndex":0},"schema":"https://github.com/citation-style-language/schema/raw/master/csl-citation.json"}</w:instrText>
      </w:r>
      <w:r w:rsidR="00960782"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[18]</w:t>
      </w:r>
      <w:r w:rsidR="00960782" w:rsidRPr="00372D52">
        <w:rPr>
          <w:rFonts w:ascii="Book Antiqua" w:hAnsi="Book Antiqua"/>
          <w:sz w:val="24"/>
          <w:szCs w:val="24"/>
        </w:rPr>
        <w:fldChar w:fldCharType="end"/>
      </w:r>
      <w:r w:rsidR="00960782" w:rsidRPr="00372D52">
        <w:rPr>
          <w:rFonts w:ascii="Book Antiqua" w:hAnsi="Book Antiqua"/>
          <w:sz w:val="24"/>
          <w:szCs w:val="24"/>
        </w:rPr>
        <w:t>.</w:t>
      </w:r>
      <w:r w:rsidRPr="00372D52">
        <w:rPr>
          <w:rFonts w:ascii="Book Antiqua" w:hAnsi="Book Antiqua"/>
          <w:sz w:val="24"/>
          <w:szCs w:val="24"/>
        </w:rPr>
        <w:t xml:space="preserve"> Several years later, it was discovered that this “antigen” was a protein involved in acute systemic inflammation, CRP.</w:t>
      </w:r>
    </w:p>
    <w:p w14:paraId="56FF032B" w14:textId="3F3F508D" w:rsidR="005A4DC4" w:rsidRPr="00372D52" w:rsidRDefault="008D14EE"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CRP is an acute phase protein predominately synthesized in hepatocytes in response to IL-6. As part of the innate immune response, it binds to microorganisms and stimulates phagocytosis and activation of the classical complement pathway</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author":[{"dropping-particle":"","family":"Male","given":"David","non-dropping-particle":"","parse-names":false,"suffix":""},{"dropping-particle":"","family":"Brostoff","given":"Johnathon","non-dropping-particle":"","parse-names":false,"suffix":""},{"dropping-particle":"","family":"Roth","given":"David","non-dropping-particle":"","parse-names":false,"suffix":""}],"id":"ITEM-1","issued":{"date-parts":[["2013"]]},"number-of-pages":"109-116","title":"Chapter 6: Mechanisms of Injury. In Immunology","type":"book"},"uris":["http://www.mendeley.com/documents/?uuid=af56e29a-9cdf-4493-a855-5b5f5acdb570","http://www.mendeley.com/documents/?uuid=d2638c78-e264-432f-b392-4106179bf088"]}],"mendeley":{"formattedCitation":"&lt;sup&gt;[19]&lt;/sup&gt;","plainTextFormattedCitation":"[19]","previouslyFormattedCitation":"&lt;sup&gt;[19]&lt;/sup&gt;"},"properties":{"noteIndex":0},"schema":"https://github.com/citation-style-language/schema/raw/master/csl-citation.json"}</w:instrText>
      </w:r>
      <w:r w:rsidR="00960782"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[19]</w:t>
      </w:r>
      <w:r w:rsidR="00960782" w:rsidRPr="00372D52">
        <w:rPr>
          <w:rFonts w:ascii="Book Antiqua" w:hAnsi="Book Antiqua"/>
          <w:sz w:val="24"/>
          <w:szCs w:val="24"/>
        </w:rPr>
        <w:fldChar w:fldCharType="end"/>
      </w:r>
      <w:r w:rsidR="00960782" w:rsidRPr="00372D52">
        <w:rPr>
          <w:rFonts w:ascii="Book Antiqua" w:hAnsi="Book Antiqua"/>
          <w:sz w:val="24"/>
          <w:szCs w:val="24"/>
        </w:rPr>
        <w:t>.</w:t>
      </w:r>
      <w:r w:rsidRPr="00372D52">
        <w:rPr>
          <w:rFonts w:ascii="Book Antiqua" w:hAnsi="Book Antiqua"/>
          <w:sz w:val="24"/>
          <w:szCs w:val="24"/>
        </w:rPr>
        <w:t xml:space="preserve"> It is detectable in serum within 6-10 h of inflammation initiation and has a half-life of approximately 25 h accounting for its rapid disappearance as inflammation subsides</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{"citationItems":[{"id":"ITEM-1","itemData":{"author":[{"dropping-particle":"","family":"Chernecky","given":"Cynthia C","non-dropping-particle":"","parse-names":false,"suffix":""},{"dropping-particle":"","family":"Berger","given":"Barbara J","non-dropping-particle":"","parse-names":false,"suffix":""}],"edition":"6th","id":"ITEM-1","issued":{"date-parts":[["2013"]]},"number-of-pages":"266-432","publisher":"Elsevier Saunders","publisher-place":"St. Louis, MO","title":"Laboratory Tests and Diagnostic Procedures. In: Laboratory tests and diagnostic procedures","type":"book"},"uris":["http://www.mendeley.com/documents/?uuid=7984b7e3-6340-4201-84b8-fb8d9b90f600","http://www.mendeley.com/documents/?uuid=601dbddd-2fb8-4146-9e6e-4c24858508ef"]}],"mendeley":{"formattedCitation":"&lt;sup&gt;[20]&lt;/sup&gt;","plainTextFormattedCitation":"[20]","previouslyFormattedCitation":"&lt;sup&gt;[20]&lt;/sup&gt;"},"properties":{"noteIndex":0},"schema":"https://github.com/citation-style-language/schema/raw/master/csl-citation.json"}</w:instrText>
      </w:r>
      <w:r w:rsidR="00960782"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[20]</w:t>
      </w:r>
      <w:r w:rsidR="00960782" w:rsidRPr="00372D52">
        <w:rPr>
          <w:rFonts w:ascii="Book Antiqua" w:hAnsi="Book Antiqua"/>
          <w:sz w:val="24"/>
          <w:szCs w:val="24"/>
        </w:rPr>
        <w:fldChar w:fldCharType="end"/>
      </w:r>
      <w:r w:rsidRPr="00372D52">
        <w:rPr>
          <w:rFonts w:ascii="Book Antiqua" w:hAnsi="Book Antiqua"/>
          <w:sz w:val="24"/>
          <w:szCs w:val="24"/>
        </w:rPr>
        <w:t xml:space="preserve">. It is a non-specific acute phase reactant and has been shown to be elevated in various types of inflammation including infection regardless of pathogen type, malignancy, autoimmune disorders, and </w:t>
      </w:r>
      <w:r w:rsidR="005A4DC4" w:rsidRPr="00372D52">
        <w:rPr>
          <w:rFonts w:ascii="Book Antiqua" w:hAnsi="Book Antiqua"/>
          <w:sz w:val="24"/>
          <w:szCs w:val="24"/>
        </w:rPr>
        <w:lastRenderedPageBreak/>
        <w:t>systemic inflammatory response syndrome (</w:t>
      </w:r>
      <w:r w:rsidRPr="00372D52">
        <w:rPr>
          <w:rFonts w:ascii="Book Antiqua" w:hAnsi="Book Antiqua"/>
          <w:sz w:val="24"/>
          <w:szCs w:val="24"/>
        </w:rPr>
        <w:t>SIRS</w:t>
      </w:r>
      <w:r w:rsidR="005A4DC4" w:rsidRPr="00372D52">
        <w:rPr>
          <w:rFonts w:ascii="Book Antiqua" w:hAnsi="Book Antiqua"/>
          <w:sz w:val="24"/>
          <w:szCs w:val="24"/>
        </w:rPr>
        <w:t>)</w:t>
      </w:r>
      <w:r w:rsidRPr="00372D52">
        <w:rPr>
          <w:rFonts w:ascii="Book Antiqua" w:hAnsi="Book Antiqua"/>
          <w:sz w:val="24"/>
          <w:szCs w:val="24"/>
        </w:rPr>
        <w:t xml:space="preserve"> response occurring without active infection</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{"citationItems":[{"id":"ITEM-1","itemData":{"ISSN":"0065-2822","PMID":"1558000","author":[{"dropping-particle":"","family":"Ballou","given":"S P","non-dropping-particle":"","parse-names":false,"suffix":""},{"dropping-particle":"","family":"Kushner","given":"I","non-dropping-particle":"","parse-names":false,"suffix":""}],"container-title":"Advances in Internal Medicine","id":"ITEM-1","issued":{"date-parts":[["1992"]]},"page":"313-36","title":"C-reactive protein and the acute phase response.","type":"article-journal","volume":"37"},"uris":["http://www.mendeley.com/documents/?uuid=02752096-2356-436a-bb01-7f2ec3827b0e","http://www.mendeley.com/documents/?uuid=c74eb3c3-d2a7-4d3c-9d02-5ee3a9cf4523"]}],"mendeley":{"formattedCitation":"&lt;sup&gt;[21]&lt;/sup&gt;","plainTextFormattedCitation":"[21]","previouslyFormattedCitation":"&lt;sup&gt;[21]&lt;/sup&gt;"},"properties":{"noteIndex":0},"schema":"https://github.com/citation-style-language/schema/raw/master/csl-citation.json"}</w:instrText>
      </w:r>
      <w:r w:rsidR="00960782"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[21]</w:t>
      </w:r>
      <w:r w:rsidR="00960782" w:rsidRPr="00372D52">
        <w:rPr>
          <w:rFonts w:ascii="Book Antiqua" w:hAnsi="Book Antiqua"/>
          <w:sz w:val="24"/>
          <w:szCs w:val="24"/>
        </w:rPr>
        <w:fldChar w:fldCharType="end"/>
      </w:r>
      <w:r w:rsidRPr="00372D52">
        <w:rPr>
          <w:rFonts w:ascii="Book Antiqua" w:hAnsi="Book Antiqua"/>
          <w:sz w:val="24"/>
          <w:szCs w:val="24"/>
        </w:rPr>
        <w:t>.</w:t>
      </w:r>
      <w:r w:rsidR="00960782" w:rsidRPr="00372D52">
        <w:rPr>
          <w:rFonts w:ascii="Book Antiqua" w:hAnsi="Book Antiqua"/>
          <w:sz w:val="24"/>
          <w:szCs w:val="24"/>
        </w:rPr>
        <w:t xml:space="preserve"> </w:t>
      </w:r>
      <w:r w:rsidRPr="00372D52">
        <w:rPr>
          <w:rFonts w:ascii="Book Antiqua" w:hAnsi="Book Antiqua"/>
          <w:sz w:val="24"/>
          <w:szCs w:val="24"/>
        </w:rPr>
        <w:t>Current literature supports its use in diagnosis of pneumonia, assessment of severity of illness, prognostication, and assessment of clinical stability though the literature can be difficult to interpret due to the heterogeneous populations studied and the wide array of cut off levels suggested</w:t>
      </w:r>
      <w:r w:rsidR="007467B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10.1183/13993003.02469-2018","ISSN":"1399-3003","PMID":"30819808","author":[{"dropping-particle":"","family":"Sibila","given":"Oriol","non-dropping-particle":"","parse-names":false,"suffix":""},{"dropping-particle":"","family":"Restrepo","given":"Marcos I","non-dropping-particle":"","parse-names":false,"suffix":""}],"container-title":"The European Respiratory Journal","id":"ITEM-1","issue":"2","issued":{"date-parts":[["2019","2"]]},"title":"Biomarkers in community-acquired pneumonia: still searching for the one.","type":"article-journal","volume":"53"},"uris":["http://www.mendeley.com/documents/?uuid=e26d18e6-cb2b-4c5a-b7d2-16bf200b0ee7"]}],"mendeley":{"formattedCitation":"&lt;sup&gt;[22]&lt;/sup&gt;","plainTextFormattedCitation":"[22]","previouslyFormattedCitation":"&lt;sup&gt;[22]&lt;/sup&gt;"},"properties":{"noteIndex":0},"schema":"https://github.com/citation-style-language/schema/raw/master/csl-citation.json"}</w:instrText>
      </w:r>
      <w:r w:rsidR="007467BF"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[22]</w:t>
      </w:r>
      <w:r w:rsidR="007467BF" w:rsidRPr="00372D52">
        <w:rPr>
          <w:rFonts w:ascii="Book Antiqua" w:hAnsi="Book Antiqua"/>
          <w:sz w:val="24"/>
          <w:szCs w:val="24"/>
        </w:rPr>
        <w:fldChar w:fldCharType="end"/>
      </w:r>
      <w:r w:rsidR="00C43441" w:rsidRPr="00372D52">
        <w:rPr>
          <w:rFonts w:ascii="Book Antiqua" w:hAnsi="Book Antiqua"/>
          <w:sz w:val="24"/>
          <w:szCs w:val="24"/>
        </w:rPr>
        <w:t xml:space="preserve"> (Table 1)</w:t>
      </w:r>
      <w:r w:rsidRPr="00372D52">
        <w:rPr>
          <w:rFonts w:ascii="Book Antiqua" w:hAnsi="Book Antiqua"/>
          <w:sz w:val="24"/>
          <w:szCs w:val="24"/>
        </w:rPr>
        <w:t>. Given its non-specific but direct correlation with the innate immune system, its rapid turn-around time, low cost, and wide availability, it could be used as a biomarker to help ident</w:t>
      </w:r>
      <w:r w:rsidR="00960782" w:rsidRPr="00372D52">
        <w:rPr>
          <w:rFonts w:ascii="Book Antiqua" w:hAnsi="Book Antiqua"/>
          <w:sz w:val="24"/>
          <w:szCs w:val="24"/>
        </w:rPr>
        <w:t>if</w:t>
      </w:r>
      <w:r w:rsidRPr="00372D52">
        <w:rPr>
          <w:rFonts w:ascii="Book Antiqua" w:hAnsi="Book Antiqua"/>
          <w:sz w:val="24"/>
          <w:szCs w:val="24"/>
        </w:rPr>
        <w:t>y and guide treatment in patients with hyper-inflammatory phenotypes of CAP. Further studies are needed to help define the natural history of CRP in hyper-inflammatory CAP phenotypes.</w:t>
      </w:r>
    </w:p>
    <w:p w14:paraId="7A5F91AF" w14:textId="0A721E3F" w:rsidR="008D14EE" w:rsidRPr="00372D52" w:rsidRDefault="008D14EE"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 xml:space="preserve"> </w:t>
      </w:r>
    </w:p>
    <w:p w14:paraId="3F64E308" w14:textId="58ACEA50" w:rsidR="008D14EE" w:rsidRPr="00372D52" w:rsidRDefault="005A4DC4" w:rsidP="00372D52">
      <w:pPr>
        <w:spacing w:after="0" w:line="360" w:lineRule="auto"/>
        <w:jc w:val="both"/>
        <w:rPr>
          <w:rFonts w:ascii="Book Antiqua" w:hAnsi="Book Antiqua"/>
          <w:b/>
          <w:bCs/>
          <w:i/>
          <w:iCs/>
          <w:sz w:val="24"/>
          <w:szCs w:val="24"/>
        </w:rPr>
      </w:pPr>
      <w:r w:rsidRPr="00372D52">
        <w:rPr>
          <w:rFonts w:ascii="Book Antiqua" w:hAnsi="Book Antiqua"/>
          <w:b/>
          <w:bCs/>
          <w:i/>
          <w:iCs/>
          <w:sz w:val="24"/>
          <w:szCs w:val="24"/>
        </w:rPr>
        <w:t>PCR</w:t>
      </w:r>
    </w:p>
    <w:p w14:paraId="1C667882" w14:textId="01404E6B" w:rsidR="008D14EE" w:rsidRPr="00372D52" w:rsidRDefault="008D14EE" w:rsidP="00372D52">
      <w:pPr>
        <w:spacing w:after="0" w:line="360" w:lineRule="auto"/>
        <w:jc w:val="both"/>
        <w:rPr>
          <w:rFonts w:ascii="Book Antiqua" w:hAnsi="Book Antiqua"/>
          <w:sz w:val="24"/>
          <w:szCs w:val="24"/>
        </w:rPr>
      </w:pPr>
      <w:r w:rsidRPr="00372D52">
        <w:rPr>
          <w:rFonts w:ascii="Book Antiqua" w:hAnsi="Book Antiqua"/>
          <w:sz w:val="24"/>
          <w:szCs w:val="24"/>
        </w:rPr>
        <w:t xml:space="preserve">PCT was more recently discovered. It is a 116 amino acid peptide precursor to calcitonin and is encoded by the </w:t>
      </w:r>
      <w:r w:rsidRPr="00372D52">
        <w:rPr>
          <w:rFonts w:ascii="Book Antiqua" w:hAnsi="Book Antiqua"/>
          <w:i/>
          <w:iCs/>
          <w:sz w:val="24"/>
          <w:szCs w:val="24"/>
        </w:rPr>
        <w:t>CALC-1</w:t>
      </w:r>
      <w:r w:rsidRPr="00372D52">
        <w:rPr>
          <w:rFonts w:ascii="Book Antiqua" w:hAnsi="Book Antiqua"/>
          <w:sz w:val="24"/>
          <w:szCs w:val="24"/>
        </w:rPr>
        <w:t xml:space="preserve"> gene. In non-infectious states, it is produced in the C cells of the thyroid gland. In the presence of infection, and in particular, systemic bacterial infection, </w:t>
      </w:r>
      <w:r w:rsidRPr="00372D52">
        <w:rPr>
          <w:rFonts w:ascii="Book Antiqua" w:hAnsi="Book Antiqua"/>
          <w:i/>
          <w:iCs/>
          <w:sz w:val="24"/>
          <w:szCs w:val="24"/>
        </w:rPr>
        <w:t>CALC-1</w:t>
      </w:r>
      <w:r w:rsidRPr="00372D52">
        <w:rPr>
          <w:rFonts w:ascii="Book Antiqua" w:hAnsi="Book Antiqua"/>
          <w:sz w:val="24"/>
          <w:szCs w:val="24"/>
        </w:rPr>
        <w:t xml:space="preserve"> gene expression is induced in non-neuroendocrine cells throughout the body and transcription and translation of PCT occurs. In addition, release of interferon stimulated by viral infection has been shown to down-regulate the production of PCT. It is detectable in serum within 4 h of onset of infection and peaks within 12-48 h</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{"citationItems":[{"id":"ITEM-1","itemData":{"DOI":"10.1309/LMQ2GRR4QLFKHCH9","ISSN":"0007-5027","author":[{"dropping-particle":"","family":"Jin","given":"Ming","non-dropping-particle":"","parse-names":false,"suffix":""},{"dropping-particle":"","family":"Khan","given":"Adil I.","non-dropping-particle":"","parse-names":false,"suffix":""}],"container-title":"Laboratory Medicine","id":"ITEM-1","issue":"3","issued":{"date-parts":[["2010","3","1"]]},"page":"173-177","title":"Procalcitonin: Uses in the Clinical Laboratory for the Diagnosis of Sepsis","type":"article-journal","volume":"41"},"uris":["http://www.mendeley.com/documents/?uuid=a79d740e-f8ad-4d4f-b153-8e9479c1b7d3","http://www.mendeley.com/documents/?uuid=8a919218-36aa-46d6-92bf-5e2938d9dc48"]},{"id":"ITEM-2","itemData":{"DOI":"10.1128/JCM.00655-10","ISSN":"1098-660X","PMID":"20421436","abstract":"Procalcitonin (PCT) is synthesized by a large number of tissues and organs in response to invasion by pathogenic bacteria, fungi, and some parasites. Current PCT assays are rapid, specific, and of sufficient sensitivity to detect increases in PCT serum levels within 4 to 6 h of initiation of infection. Clinically, PCT levels may help in decisions regarding the need for empirical antibiotic therapy, \"source control\" of infection, and duration of antibiotic therapy. The addition of PCT levels to bacterial culture and viral detection results can assist with the separation of colonization and invasion by pathogenic bacteria.","author":[{"dropping-particle":"","family":"Gilbert","given":"David N","non-dropping-particle":"","parse-names":false,"suffix":""}],"container-title":"Journal of Clinical Microbiology","id":"ITEM-2","issue":"7","issued":{"date-parts":[["2010","7"]]},"page":"2325-9","title":"Use of plasma procalcitonin levels as an adjunct to clinical microbiology.","type":"article-journal","volume":"48"},"uris":["http://www.mendeley.com/documents/?uuid=6a8a56b5-2f93-4962-824b-ac32f331337c","http://www.mendeley.com/documents/?uuid=0bd22f37-8be0-486d-b594-5757a769c79f"]},{"id":"ITEM-3","itemData":{"DOI":"10.1186/s41479-016-0017-7","ISSN":"2200-6133","PMID":"28702296","abstract":"Community-acquired pneumonia (CAP) is a leading cause of death in both the developed and developing world. The very young and elderly are especially vulnerable. Even with appropriate early antibiotics we still have not improved the outcomes in these patients since the 1950s, with 30-day case fatality rates of between 10-12%. Interventions to improve outcomes include immunomodulatory agents such as macrolides and corticosteroids. Treating doctors identify CAP patients who are likely to have poor outcomes by using severity scores such as the pneumonia severity index and CURB-65, which allows these patients to be placed in ICU settings from the start of the admission. Another novel way to identify these patients is with the use of biomarkers. This review illustrates how various biomarkers have been shown to predict mortality, complications and response to treatment in CAP patients. The evidence using either procalcitonin or C-reactive protein to demonstrate response to treatment and hence that the antibiotics chosen are appropriate can play an important role in antibiotic stewardship.","author":[{"dropping-particle":"","family":"Shaddock","given":"Erica J","non-dropping-particle":"","parse-names":false,"suffix":""}],"container-title":"Pneumonia","id":"ITEM-3","issued":{"date-parts":[["2016"]]},"page":"17","title":"How and when to use common biomarkers in community-acquired pneumonia.","type":"article-journal","volume":"8"},"uris":["http://www.mendeley.com/documents/?uuid=48750d43-b10f-4462-bc36-908564c4ab18","http://www.mendeley.com/documents/?uuid=1f441842-3e9b-4a73-be0e-d4f8948bfc15"]}],"mendeley":{"formattedCitation":"&lt;sup&gt;[23–25]&lt;/sup&gt;","plainTextFormattedCitation":"[23–25]","previouslyFormattedCitation":"&lt;sup&gt;[23–25]&lt;/sup&gt;"},"properties":{"noteIndex":0},"schema":"https://github.com/citation-style-language/schema/raw/master/csl-citation.json"}</w:instrText>
      </w:r>
      <w:r w:rsidR="00960782"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[23–25]</w:t>
      </w:r>
      <w:r w:rsidR="00960782" w:rsidRPr="00372D52">
        <w:rPr>
          <w:rFonts w:ascii="Book Antiqua" w:hAnsi="Book Antiqua"/>
          <w:sz w:val="24"/>
          <w:szCs w:val="24"/>
        </w:rPr>
        <w:fldChar w:fldCharType="end"/>
      </w:r>
      <w:r w:rsidRPr="00372D52">
        <w:rPr>
          <w:rFonts w:ascii="Book Antiqua" w:hAnsi="Book Antiqua"/>
          <w:sz w:val="24"/>
          <w:szCs w:val="24"/>
        </w:rPr>
        <w:t>.</w:t>
      </w:r>
    </w:p>
    <w:p w14:paraId="2229DB76" w14:textId="153BFB58" w:rsidR="008D14EE" w:rsidRPr="00372D52" w:rsidRDefault="008D14EE"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 xml:space="preserve">While it is </w:t>
      </w:r>
      <w:r w:rsidR="00BF40D9" w:rsidRPr="00372D52">
        <w:rPr>
          <w:rFonts w:ascii="Book Antiqua" w:hAnsi="Book Antiqua"/>
          <w:sz w:val="24"/>
          <w:szCs w:val="24"/>
        </w:rPr>
        <w:t xml:space="preserve">often used as </w:t>
      </w:r>
      <w:r w:rsidRPr="00372D52">
        <w:rPr>
          <w:rFonts w:ascii="Book Antiqua" w:hAnsi="Book Antiqua"/>
          <w:sz w:val="24"/>
          <w:szCs w:val="24"/>
        </w:rPr>
        <w:t>a marker of systemic bacterial infection, it may not be elevated in isolated infections such as abscesses or empyema. Similar to CRP, it can be elevated in SIRS response without infection. Accuracy in patients with renal dysfunction has been brought into questions as levels can be falsely elevated due at least in part to impaired clearance though higher cut off levels have been proposed in this population</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{"citationItems":[{"id":"ITEM-1","itemData":{"DOI":"10.1097/CCM.0b013e3181692966","ISSN":"1530-0293","PMID":"18379240","abstract":"OBJECTIVE Procalcitonin has been advocated as a specific biomarker for bacterial infection. We performed this study to determine whether accuracy of procalcitonin for diagnosis of postoperative bacterial infection is affected by renal function after aortic surgery. DESIGN Single-center prospective study. SETTING University hospital. PATIENTS Two hundred seventy-six patients scheduled for elective major aortic surgery. INTERVENTIONS Blood samples were taken before surgery and each day over the 5-day postoperative period, and measurement of serum procalcitonin was performed. Diagnosis of infection was performed by a blinded expert panel. Renal function was assessed using an estimate of creatinine clearance with the Cockcroft formulas. Renal dysfunction was defined as a creatinine clearance &lt;50 mL x min(-1). MEASUREMENTS AND MAIN RESULTS Infection was diagnosed in 67 patients. Seventy five patients (27%) had postoperative renal dysfunction. Procalcitonin was significantly higher in infected patients, with a peak reached at the fourth postoperative day, but it was significantly higher in patients with impaired renal function in both control and infected patients. The optimal threshold of procalcitonin markedly differed in patients with renal dysfunction compared with patients without renal dysfunction (2.57 vs. 0.80 ng x mL(-1), p &lt; .05). The diagnostic accuracy of procalcitonin significantly increased (0.74 vs. 0.70, p &lt; .05) when the threshold of procalcitonin was adapted to the renal function. The elevation of procalcitonin occurred 2 days before the medical team was able to diagnose infection. CONCLUSIONS Procalcitonin is a valuable marker of bacterial infections after major aortic surgery, but renal function is a major determinant of procalcitonin levels and thus different thresholds should be applied according to renal function impairment.","author":[{"dropping-particle":"","family":"Amour","given":"Julien","non-dropping-particle":"","parse-names":false,"suffix":""},{"dropping-particle":"","family":"Birenbaum","given":"Aurélie","non-dropping-particle":"","parse-names":false,"suffix":""},{"dropping-particle":"","family":"Langeron","given":"Olivier","non-dropping-particle":"","parse-names":false,"suffix":""},{"dropping-particle":"","family":"Manach","given":"Yannick","non-dropping-particle":"Le","parse-names":false,"suffix":""},{"dropping-particle":"","family":"Bertrand","given":"Michèle","non-dropping-particle":"","parse-names":false,"suffix":""},{"dropping-particle":"","family":"Coriat","given":"Pierre","non-dropping-particle":"","parse-names":false,"suffix":""},{"dropping-particle":"","family":"Riou","given":"Bruno","non-dropping-particle":"","parse-names":false,"suffix":""},{"dropping-particle":"","family":"Bernard","given":"Maguy","non-dropping-particle":"","parse-names":false,"suffix":""},{"dropping-particle":"","family":"Hausfater","given":"Pierre","non-dropping-particle":"","parse-names":false,"suffix":""}],"container-title":"Critical Care Medicine","id":"ITEM-1","issue":"4","issued":{"date-parts":[["2008","4"]]},"page":"1147-54","title":"Influence of renal dysfunction on the accuracy of procalcitonin for the diagnosis of postoperative infection after vascular surgery.","type":"article-journal","volume":"36"},"uris":["http://www.mendeley.com/documents/?uuid=a7f3bc62-49cb-42b4-8971-03b7c8ffdacb","http://www.mendeley.com/documents/?uuid=98a6a3ea-7515-4453-a004-f235129e5728"]}],"mendeley":{"formattedCitation":"&lt;sup&gt;[26]&lt;/sup&gt;","plainTextFormattedCitation":"[26]","previouslyFormattedCitation":"&lt;sup&gt;[26]&lt;/sup&gt;"},"properties":{"noteIndex":0},"schema":"https://github.com/citation-style-language/schema/raw/master/csl-citation.json"}</w:instrText>
      </w:r>
      <w:r w:rsidR="00960782"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[26]</w:t>
      </w:r>
      <w:r w:rsidR="00960782" w:rsidRPr="00372D52">
        <w:rPr>
          <w:rFonts w:ascii="Book Antiqua" w:hAnsi="Book Antiqua"/>
          <w:sz w:val="24"/>
          <w:szCs w:val="24"/>
        </w:rPr>
        <w:fldChar w:fldCharType="end"/>
      </w:r>
      <w:r w:rsidRPr="00372D52">
        <w:rPr>
          <w:rFonts w:ascii="Book Antiqua" w:hAnsi="Book Antiqua"/>
          <w:sz w:val="24"/>
          <w:szCs w:val="24"/>
        </w:rPr>
        <w:t>. Similar to CRP, current literature supports its use in diagnosis, assessment of severity of illness, prognostication, and assessment of clinical stability in patients with CAP. In addition, it has been shown to be effective in identifying bacterial pathogens as the source of infection and in de-escalation of antibiotic therapy</w:t>
      </w:r>
      <w:r w:rsidR="007467B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10.1183/13993003.02469-2018","ISSN":"1399-3003","PMID":"30819808","author":[{"dropping-particle":"","family":"Sibila","given":"Oriol","non-dropping-particle":"","parse-names":false,"suffix":""},{"dropping-particle":"","family":"Restrepo","given":"Marcos I","non-dropping-particle":"","parse-names":false,"suffix":""}],"container-title":"The European Respiratory Journal","id":"ITEM-1","issue":"2","issued":{"date-parts":[["2019","2"]]},"title":"Biomarkers in community-acquired pneumonia: still searching for the one.","type":"article-journal","volume":"53"},"uris":["http://www.mendeley.com/documents/?uuid=e26d18e6-cb2b-4c5a-b7d2-16bf200b0ee7"]}],"mendeley":{"formattedCitation":"&lt;sup&gt;[22]&lt;/sup&gt;","plainTextFormattedCitation":"[22]","previouslyFormattedCitation":"&lt;sup&gt;[22]&lt;/sup&gt;"},"properties":{"noteIndex":0},"schema":"https://github.com/citation-style-language/schema/raw/master/csl-citation.json"}</w:instrText>
      </w:r>
      <w:r w:rsidR="007467BF"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[22]</w:t>
      </w:r>
      <w:r w:rsidR="007467BF" w:rsidRPr="00372D52">
        <w:rPr>
          <w:rFonts w:ascii="Book Antiqua" w:hAnsi="Book Antiqua"/>
          <w:sz w:val="24"/>
          <w:szCs w:val="24"/>
        </w:rPr>
        <w:fldChar w:fldCharType="end"/>
      </w:r>
      <w:r w:rsidRPr="00372D52">
        <w:rPr>
          <w:rFonts w:ascii="Book Antiqua" w:hAnsi="Book Antiqua"/>
          <w:sz w:val="24"/>
          <w:szCs w:val="24"/>
        </w:rPr>
        <w:t xml:space="preserve">. </w:t>
      </w:r>
      <w:r w:rsidR="005A4DC4" w:rsidRPr="00372D52">
        <w:rPr>
          <w:rFonts w:ascii="Book Antiqua" w:hAnsi="Book Antiqua"/>
          <w:sz w:val="24"/>
          <w:szCs w:val="24"/>
        </w:rPr>
        <w:t>(</w:t>
      </w:r>
      <w:r w:rsidRPr="00372D52">
        <w:rPr>
          <w:rFonts w:ascii="Book Antiqua" w:hAnsi="Book Antiqua"/>
          <w:sz w:val="24"/>
          <w:szCs w:val="24"/>
        </w:rPr>
        <w:t>Table 1</w:t>
      </w:r>
      <w:r w:rsidR="005A4DC4" w:rsidRPr="00372D52">
        <w:rPr>
          <w:rFonts w:ascii="Book Antiqua" w:hAnsi="Book Antiqua"/>
          <w:sz w:val="24"/>
          <w:szCs w:val="24"/>
        </w:rPr>
        <w:t>)</w:t>
      </w:r>
    </w:p>
    <w:p w14:paraId="3AD4F53D" w14:textId="77777777" w:rsidR="008D14EE" w:rsidRPr="00372D52" w:rsidRDefault="008D14EE" w:rsidP="00372D52">
      <w:pPr>
        <w:spacing w:after="0" w:line="360" w:lineRule="auto"/>
        <w:jc w:val="both"/>
        <w:rPr>
          <w:rFonts w:ascii="Book Antiqua" w:hAnsi="Book Antiqua"/>
          <w:i/>
          <w:sz w:val="24"/>
          <w:szCs w:val="24"/>
        </w:rPr>
      </w:pPr>
    </w:p>
    <w:p w14:paraId="16D107EB" w14:textId="1B5E51EC" w:rsidR="008D14EE" w:rsidRPr="00372D52" w:rsidRDefault="005A4DC4" w:rsidP="00372D52">
      <w:pPr>
        <w:spacing w:after="0" w:line="360" w:lineRule="auto"/>
        <w:jc w:val="both"/>
        <w:rPr>
          <w:rFonts w:ascii="Book Antiqua" w:hAnsi="Book Antiqua"/>
          <w:b/>
          <w:bCs/>
          <w:i/>
          <w:sz w:val="24"/>
          <w:szCs w:val="24"/>
        </w:rPr>
      </w:pPr>
      <w:r w:rsidRPr="00372D52">
        <w:rPr>
          <w:rFonts w:ascii="Book Antiqua" w:hAnsi="Book Antiqua"/>
          <w:b/>
          <w:bCs/>
          <w:i/>
          <w:sz w:val="24"/>
          <w:szCs w:val="24"/>
        </w:rPr>
        <w:t>CRP</w:t>
      </w:r>
      <w:r w:rsidR="008D14EE" w:rsidRPr="00372D52">
        <w:rPr>
          <w:rFonts w:ascii="Book Antiqua" w:hAnsi="Book Antiqua"/>
          <w:b/>
          <w:bCs/>
          <w:i/>
          <w:sz w:val="24"/>
          <w:szCs w:val="24"/>
        </w:rPr>
        <w:t xml:space="preserve"> and </w:t>
      </w:r>
      <w:r w:rsidRPr="00372D52">
        <w:rPr>
          <w:rFonts w:ascii="Book Antiqua" w:hAnsi="Book Antiqua"/>
          <w:b/>
          <w:bCs/>
          <w:i/>
          <w:sz w:val="24"/>
          <w:szCs w:val="24"/>
        </w:rPr>
        <w:t>PCT</w:t>
      </w:r>
      <w:r w:rsidR="008D14EE" w:rsidRPr="00372D52">
        <w:rPr>
          <w:rFonts w:ascii="Book Antiqua" w:hAnsi="Book Antiqua"/>
          <w:b/>
          <w:bCs/>
          <w:i/>
          <w:sz w:val="24"/>
          <w:szCs w:val="24"/>
        </w:rPr>
        <w:t xml:space="preserve"> in </w:t>
      </w:r>
      <w:r w:rsidR="006E5DC9" w:rsidRPr="00372D52">
        <w:rPr>
          <w:rFonts w:ascii="Book Antiqua" w:hAnsi="Book Antiqua"/>
          <w:b/>
          <w:bCs/>
          <w:i/>
          <w:sz w:val="24"/>
          <w:szCs w:val="24"/>
        </w:rPr>
        <w:t>CAP</w:t>
      </w:r>
      <w:r w:rsidR="008D14EE" w:rsidRPr="00372D52">
        <w:rPr>
          <w:rFonts w:ascii="Book Antiqua" w:hAnsi="Book Antiqua"/>
          <w:b/>
          <w:bCs/>
          <w:i/>
          <w:sz w:val="24"/>
          <w:szCs w:val="24"/>
        </w:rPr>
        <w:t xml:space="preserve"> </w:t>
      </w:r>
    </w:p>
    <w:p w14:paraId="6C298548" w14:textId="44B367DD" w:rsidR="008D14EE" w:rsidRPr="00372D52" w:rsidRDefault="00912353" w:rsidP="00372D52">
      <w:pPr>
        <w:spacing w:after="0" w:line="360" w:lineRule="auto"/>
        <w:jc w:val="both"/>
        <w:rPr>
          <w:rFonts w:ascii="Book Antiqua" w:hAnsi="Book Antiqua"/>
          <w:sz w:val="24"/>
          <w:szCs w:val="24"/>
        </w:rPr>
      </w:pPr>
      <w:r w:rsidRPr="00372D52">
        <w:rPr>
          <w:rFonts w:ascii="Book Antiqua" w:hAnsi="Book Antiqua"/>
          <w:sz w:val="24"/>
          <w:szCs w:val="24"/>
        </w:rPr>
        <w:lastRenderedPageBreak/>
        <w:t>CRP and PCT have been shown to aid in diagnosis in CAP particularly in comparison to clinical signs and symptoms alone and in patients with co-morbid conditions that contribute to clinical ambiguity, such as chronic obstructive pulmonary disease and acute heart failure.</w:t>
      </w:r>
      <w:r w:rsidR="00960782"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{"citationItems":[{"id":"ITEM-1","itemData":{"DOI":"10.1186/1471-2334-7-10","ISSN":"1471-2334","PMID":"17335562","abstract":"BACKGROUND Community-acquired pneumonia (CAP) is the most frequent infection-related cause of death. The reference standard to diagnose CAP is a new infiltrate on chest radiograph in the presence of recently acquired respiratory signs and symptoms. This study aims to evaluate the diagnostic and prognostic accuracy of clinical signs and symptoms and laboratory biomarkers for CAP. METHODS 545 patients with suspected lower respiratory tract infection, admitted to the emergency department of a university hospital were included in a pre-planned post-hoc analysis of two controlled intervention trials. Baseline assessment included history, clinical examination, radiography and measurements of procalcitonin (PCT), highly sensitive C-reactive protein (hsCRP) and leukocyte count. RESULTS Of the 545 patients, 373 had CAP, 132 other respiratory tract infections, and 40 other final diagnoses. The AUC of a clinical model including standard clinical signs and symptoms (i.e. fever, cough, sputum production, abnormal chest auscultation and dyspnea) to diagnose CAP was 0.79 [95% CI, 0.75-0.83]. This AUC was significantly improved by including PCT and hsCRP (0.92 [0.89-0.94]; p &lt; 0.001). PCT had a higher diagnostic accuracy (AUC, 0.88 [0.84-0.93]) in differentiating CAP from other diagnoses, as compared to hsCRP (AUC, 0.76 [0.69-0.83]; p &lt; 0.001) and total leukocyte count (AUC, 0.69 [0.62-0.77]; p &lt; 0.001). To predict bacteremia, PCT had a higher AUC (0.85 [0.80-0.91]) as compared to hsCRP (p = 0.01), leukocyte count (p = 0.002) and elevated body temperature (p &lt; 0.001). PCT, in contrast to hsCRP and leukocyte count, increased with increasing severity of CAP, as assessed by the pneumonia severity index (p &lt; 0.001). CONCLUSION PCT, and to a lesser degree hsCRP, improve the accuracy of currently recommended approaches for the diagnosis of CAP, thereby complementing clinical signs and symptoms. PCT is useful in the severity assessment of CAP.","author":[{"dropping-particle":"","family":"Müller","given":"Beat","non-dropping-particle":"","parse-names":false,"suffix":""},{"dropping-particle":"","family":"Harbarth","given":"Stephan","non-dropping-particle":"","parse-names":false,"suffix":""},{"dropping-particle":"","family":"Stolz","given":"Daiana","non-dropping-particle":"","parse-names":false,"suffix":""},{"dropping-particle":"","family":"Bingisser","given":"Roland","non-dropping-particle":"","parse-names":false,"suffix":""},{"dropping-particle":"","family":"Mueller","given":"Christian","non-dropping-particle":"","parse-names":false,"suffix":""},{"dropping-particle":"","family":"Leuppi","given":"Jörg","non-dropping-particle":"","parse-names":false,"suffix":""},{"dropping-particle":"","family":"Nusbaumer","given":"Charly","non-dropping-particle":"","parse-names":false,"suffix":""},{"dropping-particle":"","family":"Tamm","given":"Michael","non-dropping-particle":"","parse-names":false,"suffix":""},{"dropping-particle":"","family":"Christ-Crain","given":"Mirjam","non-dropping-particle":"","parse-names":false,"suffix":""}],"container-title":"BMC Infectious Diseases","id":"ITEM-1","issued":{"date-parts":[["2007","3","2"]]},"page":"10","title":"Diagnostic and prognostic accuracy of clinical and laboratory parameters in community-acquired pneumonia.","type":"article-journal","volume":"7"},"uris":["http://www.mendeley.com/documents/?uuid=3336fcfc-995b-4f8d-80dc-15555a87e03d","http://www.mendeley.com/documents/?uuid=23f3855a-cdbd-4906-9262-b8e862c22689"]},{"id":"ITEM-2","itemData":{"DOI":"10.1186/s41479-016-0017-7","ISSN":"2200-6133","PMID":"28702296","abstract":"Community-acquired pneumonia (CAP) is a leading cause of death in both the developed and developing world. The very young and elderly are especially vulnerable. Even with appropriate early antibiotics we still have not improved the outcomes in these patients since the 1950s, with 30-day case fatality rates of between 10-12%. Interventions to improve outcomes include immunomodulatory agents such as macrolides and corticosteroids. Treating doctors identify CAP patients who are likely to have poor outcomes by using severity scores such as the pneumonia severity index and CURB-65, which allows these patients to be placed in ICU settings from the start of the admission. Another novel way to identify these patients is with the use of biomarkers. This review illustrates how various biomarkers have been shown to predict mortality, complications and response to treatment in CAP patients. The evidence using either procalcitonin or C-reactive protein to demonstrate response to treatment and hence that the antibiotics chosen are appropriate can play an important role in antibiotic stewardship.","author":[{"dropping-particle":"","family":"Shaddock","given":"Erica J","non-dropping-particle":"","parse-names":false,"suffix":""}],"container-title":"Pneumonia","id":"ITEM-2","issued":{"date-parts":[["2016"]]},"page":"17","title":"How and when to use common biomarkers in community-acquired pneumonia.","type":"article-journal","volume":"8"},"uris":["http://www.mendeley.com/documents/?uuid=1f441842-3e9b-4a73-be0e-d4f8948bfc15","http://www.mendeley.com/documents/?uuid=48750d43-b10f-4462-bc36-908564c4ab18"]}],"mendeley":{"formattedCitation":"&lt;sup&gt;[25,27]&lt;/sup&gt;","plainTextFormattedCitation":"[25,27]","previouslyFormattedCitation":"&lt;sup&gt;[25,27]&lt;/sup&gt;"},"properties":{"noteIndex":0},"schema":"https://github.com/citation-style-language/schema/raw/master/csl-citation.json"}</w:instrText>
      </w:r>
      <w:r w:rsidR="00960782"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[25,27]</w:t>
      </w:r>
      <w:r w:rsidR="00960782" w:rsidRPr="00372D52">
        <w:rPr>
          <w:rFonts w:ascii="Book Antiqua" w:hAnsi="Book Antiqua"/>
          <w:sz w:val="24"/>
          <w:szCs w:val="24"/>
        </w:rPr>
        <w:fldChar w:fldCharType="end"/>
      </w:r>
      <w:r w:rsidR="008D14EE" w:rsidRPr="00372D52">
        <w:rPr>
          <w:rFonts w:ascii="Book Antiqua" w:hAnsi="Book Antiqua"/>
          <w:sz w:val="24"/>
          <w:szCs w:val="24"/>
        </w:rPr>
        <w:t>.</w:t>
      </w:r>
      <w:r w:rsidRPr="00372D52">
        <w:rPr>
          <w:rFonts w:ascii="Book Antiqua" w:hAnsi="Book Antiqua"/>
          <w:sz w:val="24"/>
          <w:szCs w:val="24"/>
        </w:rPr>
        <w:t xml:space="preserve"> However, time from symptom onset to initial healthcare presentation may impact initial levels of CRP and PCT. A study looked at 541 patients who presented to the emergency department with CAP and were differentiated into early presenters (&lt;</w:t>
      </w:r>
      <w:r w:rsidR="005A4DC4" w:rsidRPr="00372D52">
        <w:rPr>
          <w:rFonts w:ascii="Book Antiqua" w:hAnsi="Book Antiqua"/>
          <w:sz w:val="24"/>
          <w:szCs w:val="24"/>
        </w:rPr>
        <w:t xml:space="preserve"> </w:t>
      </w:r>
      <w:r w:rsidRPr="00372D52">
        <w:rPr>
          <w:rFonts w:ascii="Book Antiqua" w:hAnsi="Book Antiqua"/>
          <w:sz w:val="24"/>
          <w:szCs w:val="24"/>
        </w:rPr>
        <w:t>3 d since onset of symptoms) and late presenters (&gt;</w:t>
      </w:r>
      <w:r w:rsidR="005A4DC4" w:rsidRPr="00372D52">
        <w:rPr>
          <w:rFonts w:ascii="Book Antiqua" w:hAnsi="Book Antiqua"/>
          <w:sz w:val="24"/>
          <w:szCs w:val="24"/>
        </w:rPr>
        <w:t xml:space="preserve"> </w:t>
      </w:r>
      <w:r w:rsidRPr="00372D52">
        <w:rPr>
          <w:rFonts w:ascii="Book Antiqua" w:hAnsi="Book Antiqua"/>
          <w:sz w:val="24"/>
          <w:szCs w:val="24"/>
        </w:rPr>
        <w:t>3 d). Results showed that CRP and PCT were lower in patients who were early presenters suggesting that time to presentation may affect the interpretation of these biomarkers</w:t>
      </w:r>
      <w:r w:rsidR="00DB420B"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{"citationItems":[{"id":"ITEM-1","itemData":{"DOI":"10.1164/rccm.201709-1908OC","ISSN":"1535-4970","PMID":"29509439","abstract":"RATIONALE Assessment of the inflammatory response can help the decision-making process when diagnosing community-acquired pneumonia (CAP), but there is a lack of information about the influence of time since onset of symptoms. OBJECTIVES We studied the impact of the number of days since onset of symptoms on inflammatory cytokines and biomarker concentrations at CAP diagnosis in hospitalized patients. METHODS We performed a secondary analysis in two prospective cohorts including 541 patients in the derivation cohort and 422 in the validation cohort. The time since onset of symptoms was self-reported, and patients were classified as early presenters (&lt;3 d) and nonearly presenters. Biomarkers (C-reactive protein [CRP] and procalcitonin [PCT] in both cohorts) and cytokines in the derivation cohort (IL-1, - 6, -8, -10, and tumor necrosis factor-α) were measured within 24 hours of hospital admission. MEASUREMENTS AND MAIN RESULTS In early presenters, CRP was significantly lower, whereas PCT, IL-6, and IL-8 were higher. Nonearly presenters showed significantly lower PCT, IL-6, and IL-8 levels. In the validation cohort, CRP and PCT exhibited identical patterns: CRP levels were 36.4% greater in patients with 3 or more days since onset of symptoms than in those with less than 3 days since symptom onset in the derivation cohort and 38.2% in the validation cohort. PCT levels were 40% lower in patients with 3 or more days since onset of symptoms in the derivation cohort and 56% in the validation cohort. CONCLUSIONS Time since symptom onset modifies the systemic inflammatory profile at CAP diagnosis. This information has relevant clinical implications for management, and it should be taken into account in the design of future clinical trials.","author":[{"dropping-particle":"","family":"Méndez","given":"Raúl","non-dropping-particle":"","parse-names":false,"suffix":""},{"dropping-particle":"","family":"Menéndez","given":"Rosario","non-dropping-particle":"","parse-names":false,"suffix":""},{"dropping-particle":"","family":"Cillóniz","given":"Catia","non-dropping-particle":"","parse-names":false,"suffix":""},{"dropping-particle":"","family":"Amara-Elori","given":"Isabel","non-dropping-particle":"","parse-names":false,"suffix":""},{"dropping-particle":"","family":"Amaro","given":"Rosanel","non-dropping-particle":"","parse-names":false,"suffix":""},{"dropping-particle":"","family":"González","given":"Paula","non-dropping-particle":"","parse-names":false,"suffix":""},{"dropping-particle":"","family":"Posadas","given":"Tomás","non-dropping-particle":"","parse-names":false,"suffix":""},{"dropping-particle":"","family":"Gimeno","given":"Alexandra","non-dropping-particle":"","parse-names":false,"suffix":""},{"dropping-particle":"","family":"España","given":"Pedro P","non-dropping-particle":"","parse-names":false,"suffix":""},{"dropping-particle":"","family":"Almirall","given":"Jordi","non-dropping-particle":"","parse-names":false,"suffix":""},{"dropping-particle":"","family":"Torres","given":"Antoni","non-dropping-particle":"","parse-names":false,"suffix":""}],"container-title":"American Journal of Respiratory and Critical Care Medicine","id":"ITEM-1","issue":"3","issued":{"date-parts":[["2018","8","1"]]},"page":"370-378","title":"Initial Inflammatory Profile in Community-acquired Pneumonia Depends on Time since Onset of Symptoms.","type":"article-journal","volume":"198"},"uris":["http://www.mendeley.com/documents/?uuid=2f920143-ea34-4e28-ba36-fa4515901cef"]}],"mendeley":{"formattedCitation":"&lt;sup&gt;[28]&lt;/sup&gt;","plainTextFormattedCitation":"[28]","previouslyFormattedCitation":"&lt;sup&gt;[28]&lt;/sup&gt;"},"properties":{"noteIndex":0},"schema":"https://github.com/citation-style-language/schema/raw/master/csl-citation.json"}</w:instrText>
      </w:r>
      <w:r w:rsidR="00DB420B"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[28]</w:t>
      </w:r>
      <w:r w:rsidR="00DB420B" w:rsidRPr="00372D52">
        <w:rPr>
          <w:rFonts w:ascii="Book Antiqua" w:hAnsi="Book Antiqua"/>
          <w:sz w:val="24"/>
          <w:szCs w:val="24"/>
        </w:rPr>
        <w:fldChar w:fldCharType="end"/>
      </w:r>
      <w:r w:rsidRPr="00372D52">
        <w:rPr>
          <w:rFonts w:ascii="Book Antiqua" w:hAnsi="Book Antiqua"/>
          <w:sz w:val="24"/>
          <w:szCs w:val="24"/>
        </w:rPr>
        <w:t>.</w:t>
      </w:r>
    </w:p>
    <w:p w14:paraId="0FEAFCDE" w14:textId="16B5E235" w:rsidR="008D14EE" w:rsidRPr="00372D52" w:rsidRDefault="00912353"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Both CRP and PCT have demonstrated moderate positive correlation with severity of disease assessed by CURB-65 with a receiver operating characteristic curves of 0.61 and 0.72 respectively</w:t>
      </w:r>
      <w:r w:rsidR="00E42D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{"citationItems":[{"id":"ITEM-1","itemData":{"DOI":"10.2147/IJGM.S165190","ISSN":"1178-7074","PMID":"29942144","abstract":"Background The concentration of diagnostic markers such as inflammatory biomarkers including procalcitonin (PCT) and C-reactive protein (CRP) increases in bacterial infections. The aim of this study was to compare serum PCT and CRP levels with CURB-65 ranking, in the patients with community-acquired pneumonia (CAP). Patients and methods In a cross-sectional study, 93 hospitalized patients with a definite diagnosis of CAP, considering inclusion and exclusion criteria, were enrolled. Serum PCT and CRP levels and their relations with CURB-65 criteria were assessed. Results The mean serum levels of PCT and CRP were 3.64±12.32 ng/mL and 75.01±51.93 mg/L, respectively. There was a statistically significant association between CURB-65 criteria and serum levels of PCT (P=0.0001) and CRP (P=0.007), which means that the concentration of these two inflammatory biomarkers increased with an increase in the score of CURB-65 criteria. Moreover, there was a statistically significant association between the serum level of PCT and the outcomes of the disease (P&lt;0.001). Conclusion According to the results, the serum level of PCT or CRP is a strong prognostic factor for evaluating severity of CAP and is a suitable factor for the CURB-65 criteria in the decision making of whether a patient with CAP in the ICU should be admitted.","author":[{"dropping-particle":"","family":"Keramat","given":"Fariba","non-dropping-particle":"","parse-names":false,"suffix":""},{"dropping-particle":"","family":"Ghasemi Basir","given":"Hamid Reza","non-dropping-particle":"","parse-names":false,"suffix":""},{"dropping-particle":"","family":"Abdoli","given":"Elham","non-dropping-particle":"","parse-names":false,"suffix":""},{"dropping-particle":"","family":"Shafiei Aghdam","given":"Arghavan","non-dropping-particle":"","parse-names":false,"suffix":""},{"dropping-particle":"","family":"Poorolajal","given":"Jalal","non-dropping-particle":"","parse-names":false,"suffix":""}],"container-title":"International Journal of General Medicine","id":"ITEM-1","issued":{"date-parts":[["2018"]]},"page":"217-223","title":"Association of serum procalcitonin and C-reactive protein levels with CURB-65 criteria among patients with community-acquired pneumonia.","type":"article-journal","volume":"11"},"uris":["http://www.mendeley.com/documents/?uuid=e085d61d-7378-454a-afec-355ecad682d2","http://www.mendeley.com/documents/?uuid=e1024e78-d003-4ad4-bbe4-6a085e4b6dec"]}],"mendeley":{"formattedCitation":"&lt;sup&gt;[29]&lt;/sup&gt;","plainTextFormattedCitation":"[29]","previouslyFormattedCitation":"&lt;sup&gt;[29]&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[29]</w:t>
      </w:r>
      <w:r w:rsidR="00E42D5C" w:rsidRPr="00372D52">
        <w:rPr>
          <w:rFonts w:ascii="Book Antiqua" w:hAnsi="Book Antiqua"/>
          <w:sz w:val="24"/>
          <w:szCs w:val="24"/>
        </w:rPr>
        <w:fldChar w:fldCharType="end"/>
      </w:r>
      <w:r w:rsidR="008D14EE" w:rsidRPr="00372D52">
        <w:rPr>
          <w:rFonts w:ascii="Book Antiqua" w:hAnsi="Book Antiqua"/>
          <w:sz w:val="24"/>
          <w:szCs w:val="24"/>
        </w:rPr>
        <w:t>.</w:t>
      </w:r>
    </w:p>
    <w:p w14:paraId="44F37EBB" w14:textId="3E653C6A" w:rsidR="008D14EE" w:rsidRPr="00372D52" w:rsidRDefault="008D14EE"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Evidence of CRP and PCT in prognostication of CAP is variable. One recent cross-sectional study of 93 hospitalized adult patients with CAP showed a statistically significant association with mortality in patients with PCT &gt;</w:t>
      </w:r>
      <w:r w:rsidR="005A4DC4" w:rsidRPr="00372D52">
        <w:rPr>
          <w:rFonts w:ascii="Book Antiqua" w:hAnsi="Book Antiqua"/>
          <w:sz w:val="24"/>
          <w:szCs w:val="24"/>
        </w:rPr>
        <w:t xml:space="preserve"> </w:t>
      </w:r>
      <w:r w:rsidRPr="00372D52">
        <w:rPr>
          <w:rFonts w:ascii="Book Antiqua" w:hAnsi="Book Antiqua"/>
          <w:sz w:val="24"/>
          <w:szCs w:val="24"/>
        </w:rPr>
        <w:t>0.5 ng/mL</w:t>
      </w:r>
      <w:r w:rsidR="00E42D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{"citationItems":[{"id":"ITEM-1","itemData":{"DOI":"10.2147/IJGM.S165190","ISSN":"1178-7074","PMID":"29942144","abstract":"Background The concentration of diagnostic markers such as inflammatory biomarkers including procalcitonin (PCT) and C-reactive protein (CRP) increases in bacterial infections. The aim of this study was to compare serum PCT and CRP levels with CURB-65 ranking, in the patients with community-acquired pneumonia (CAP). Patients and methods In a cross-sectional study, 93 hospitalized patients with a definite diagnosis of CAP, considering inclusion and exclusion criteria, were enrolled. Serum PCT and CRP levels and their relations with CURB-65 criteria were assessed. Results The mean serum levels of PCT and CRP were 3.64±12.32 ng/mL and 75.01±51.93 mg/L, respectively. There was a statistically significant association between CURB-65 criteria and serum levels of PCT (P=0.0001) and CRP (P=0.007), which means that the concentration of these two inflammatory biomarkers increased with an increase in the score of CURB-65 criteria. Moreover, there was a statistically significant association between the serum level of PCT and the outcomes of the disease (P&lt;0.001). Conclusion According to the results, the serum level of PCT or CRP is a strong prognostic factor for evaluating severity of CAP and is a suitable factor for the CURB-65 criteria in the decision making of whether a patient with CAP in the ICU should be admitted.","author":[{"dropping-particle":"","family":"Keramat","given":"Fariba","non-dropping-particle":"","parse-names":false,"suffix":""},{"dropping-particle":"","family":"Ghasemi Basir","given":"Hamid Reza","non-dropping-particle":"","parse-names":false,"suffix":""},{"dropping-particle":"","family":"Abdoli","given":"Elham","non-dropping-particle":"","parse-names":false,"suffix":""},{"dropping-particle":"","family":"Shafiei Aghdam","given":"Arghavan","non-dropping-particle":"","parse-names":false,"suffix":""},{"dropping-particle":"","family":"Poorolajal","given":"Jalal","non-dropping-particle":"","parse-names":false,"suffix":""}],"container-title":"International Journal of General Medicine","id":"ITEM-1","issued":{"date-parts":[["2018"]]},"page":"217-223","title":"Association of serum procalcitonin and C-reactive protein levels with CURB-65 criteria among patients with community-acquired pneumonia.","type":"article-journal","volume":"11"},"uris":["http://www.mendeley.com/documents/?uuid=e1024e78-d003-4ad4-bbe4-6a085e4b6dec","http://www.mendeley.com/documents/?uuid=e085d61d-7378-454a-afec-355ecad682d2"]}],"mendeley":{"formattedCitation":"&lt;sup&gt;[29]&lt;/sup&gt;","plainTextFormattedCitation":"[29]","previouslyFormattedCitation":"&lt;sup&gt;[29]&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[29]</w:t>
      </w:r>
      <w:r w:rsidR="00E42D5C" w:rsidRPr="00372D52">
        <w:rPr>
          <w:rFonts w:ascii="Book Antiqua" w:hAnsi="Book Antiqua"/>
          <w:sz w:val="24"/>
          <w:szCs w:val="24"/>
        </w:rPr>
        <w:fldChar w:fldCharType="end"/>
      </w:r>
      <w:r w:rsidRPr="00372D52">
        <w:rPr>
          <w:rFonts w:ascii="Book Antiqua" w:hAnsi="Book Antiqua"/>
          <w:sz w:val="24"/>
          <w:szCs w:val="24"/>
        </w:rPr>
        <w:t xml:space="preserve">. </w:t>
      </w:r>
      <w:r w:rsidR="00912353" w:rsidRPr="00372D52">
        <w:rPr>
          <w:rFonts w:ascii="Book Antiqua" w:hAnsi="Book Antiqua"/>
          <w:sz w:val="24"/>
          <w:szCs w:val="24"/>
        </w:rPr>
        <w:t>Another study assessed prognostication ability of PCT alone and in conjunction with CURB-65 compared with CRP and leukocytes , and demonstrated a better prediction of mortality of PCT alone which was increased in combination with CURB-65</w:t>
      </w:r>
      <w:r w:rsidR="00DB420B"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{"citationItems":[{"id":"ITEM-1","itemData":{"DOI":"10.1183/09031936.00054507","ISSN":"1399-3003","PMID":"17959641","abstract":"The aim of the present study was to investigate the prognostic value, in patients with community-acquired pneumonia (CAP), of procalcitonin (PCT) compared with the established inflammatory markers C-reactive protein (CRP) and leukocyte (WBC) count alone or in combination with the CRB-65 (confusion, respiratory rate &gt;or=30 breaths x min(-1), low blood pressure (systolic value &lt;90 mmHg or diastolic value &lt;or=60 mmHg) and age &gt;or=65 yrs) score. In total, 1,671 patients with proven CAP were enrolled in the study. PCT, CRP, WBC and CRB-65 score were all determined on admission and patients were followed-up for 28 days for survival. In contrast to CRP and WBC, PCT levels markedly increased with the severity of CAP, as measured by the CRB-65 score. In 70 patients who died during follow-up, PCT levels on admission were significantly higher compared with levels in survivors. In receiver operating characteristic analysis for survival, the area under the curve (95% confidence interval) for PCT and CRB-65 was comparable (0.80 (0.75-0.84) versus 0.79 (0.74-0.84)), but each significantly higher compared with CRP (0.62 (0.54-0.68)) and WBC (0.61 (0.54-0.68)). PCT identified low-risk patients across CRB classes 0-4. In conclusion, procalcitonin levels on admission predict the severity and outcome of community-acquired pneumonia with a similar prognostic accuracy as the CRB-65 score and a higher prognostic accuracy compared with C-reactive protein and leukocyte count. Procalcitonin levels can provide independent identification of patients at low risk of death within CRB-65 (confusion, respiratory rate &gt;or=30 breaths x min(-1), low blood pressure (systolic value &lt;90 mmHg or diastolic value &lt;or=60 mmHg) and age &gt;or=65 yrs) risk classes.","author":[{"dropping-particle":"","family":"Krüger","given":"S","non-dropping-particle":"","parse-names":false,"suffix":""},{"dropping-particle":"","family":"Ewig","given":"S","non-dropping-particle":"","parse-names":false,"suffix":""},{"dropping-particle":"","family":"Marre","given":"R","non-dropping-particle":"","parse-names":false,"suffix":""},{"dropping-particle":"","family":"Papassotiriou","given":"J","non-dropping-particle":"","parse-names":false,"suffix":""},{"dropping-particle":"","family":"Richter","given":"K","non-dropping-particle":"","parse-names":false,"suffix":""},{"dropping-particle":"","family":"Baum","given":"H","non-dropping-particle":"von","parse-names":false,"suffix":""},{"dropping-particle":"","family":"Suttorp","given":"N","non-dropping-particle":"","parse-names":false,"suffix":""},{"dropping-particle":"","family":"Welte","given":"T","non-dropping-particle":"","parse-names":false,"suffix":""},{"dropping-particle":"","family":"CAPNETZ Study Group","given":"","non-dropping-particle":"","parse-names":false,"suffix":""}],"container-title":"The European Respiratory Journal","id":"ITEM-1","issue":"2","issued":{"date-parts":[["2008","2"]]},"page":"349-55","title":"Procalcitonin predicts patients at low risk of death from community-acquired pneumonia across all CRB-65 classes.","type":"article-journal","volume":"31"},"uris":["http://www.mendeley.com/documents/?uuid=71c8c1bd-adbd-4c92-9918-fce1d799a36f"]}],"mendeley":{"formattedCitation":"&lt;sup&gt;[30]&lt;/sup&gt;","plainTextFormattedCitation":"[30]","previouslyFormattedCitation":"&lt;sup&gt;[30]&lt;/sup&gt;"},"properties":{"noteIndex":0},"schema":"https://github.com/citation-style-language/schema/raw/master/csl-citation.json"}</w:instrText>
      </w:r>
      <w:r w:rsidR="00DB420B"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[30]</w:t>
      </w:r>
      <w:r w:rsidR="00DB420B" w:rsidRPr="00372D52">
        <w:rPr>
          <w:rFonts w:ascii="Book Antiqua" w:hAnsi="Book Antiqua"/>
          <w:sz w:val="24"/>
          <w:szCs w:val="24"/>
        </w:rPr>
        <w:fldChar w:fldCharType="end"/>
      </w:r>
      <w:r w:rsidRPr="00372D52">
        <w:rPr>
          <w:rFonts w:ascii="Book Antiqua" w:hAnsi="Book Antiqua"/>
          <w:sz w:val="24"/>
          <w:szCs w:val="24"/>
        </w:rPr>
        <w:t>. Yet another study showed that elevated PCT was able to predict an increase in adverse events but not mortality</w:t>
      </w:r>
      <w:r w:rsidR="00E42D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{"citationItems":[{"id":"ITEM-1","itemData":{"DOI":"10.1183/09031936.00054507","ISSN":"1399-3003","PMID":"17959641","abstract":"The aim of the present study was to investigate the prognostic value, in patients with community-acquired pneumonia (CAP), of procalcitonin (PCT) compared with the established inflammatory markers C-reactive protein (CRP) and leukocyte (WBC) count alone or in combination with the CRB-65 (confusion, respiratory rate &gt;or=30 breaths x min(-1), low blood pressure (systolic value &lt;90 mmHg or diastolic value &lt;or=60 mmHg) and age &gt;or=65 yrs) score. In total, 1,671 patients with proven CAP were enrolled in the study. PCT, CRP, WBC and CRB-65 score were all determined on admission and patients were followed-up for 28 days for survival. In contrast to CRP and WBC, PCT levels markedly increased with the severity of CAP, as measured by the CRB-65 score. In 70 patients who died during follow-up, PCT levels on admission were significantly higher compared with levels in survivors. In receiver operating characteristic analysis for survival, the area under the curve (95% confidence interval) for PCT and CRB-65 was comparable (0.80 (0.75-0.84) versus 0.79 (0.74-0.84)), but each significantly higher compared with CRP (0.62 (0.54-0.68)) and WBC (0.61 (0.54-0.68)). PCT identified low-risk patients across CRB classes 0-4. In conclusion, procalcitonin levels on admission predict the severity and outcome of community-acquired pneumonia with a similar prognostic accuracy as the CRB-65 score and a higher prognostic accuracy compared with C-reactive protein and leukocyte count. Procalcitonin levels can provide independent identification of patients at low risk of death within CRB-65 (confusion, respiratory rate &gt;or=30 breaths x min(-1), low blood pressure (systolic value &lt;90 mmHg or diastolic value &lt;or=60 mmHg) and age &gt;or=65 yrs) risk classes.","author":[{"dropping-particle":"","family":"Krüger","given":"S","non-dropping-particle":"","parse-names":false,"suffix":""},{"dropping-particle":"","family":"Ewig","given":"S","non-dropping-particle":"","parse-names":false,"suffix":""},{"dropping-particle":"","family":"Marre","given":"R","non-dropping-particle":"","parse-names":false,"suffix":""},{"dropping-particle":"","family":"Papassotiriou","given":"J","non-dropping-particle":"","parse-names":false,"suffix":""},{"dropping-particle":"","family":"Richter","given":"K","non-dropping-particle":"","parse-names":false,"suffix":""},{"dropping-particle":"","family":"Baum","given":"H","non-dropping-particle":"von","parse-names":false,"suffix":""},{"dropping-particle":"","family":"Suttorp","given":"N","non-dropping-particle":"","parse-names":false,"suffix":""},{"dropping-particle":"","family":"Welte","given":"T","non-dropping-particle":"","parse-names":false,"suffix":""},{"dropping-particle":"","family":"CAPNETZ Study Group","given":"","non-dropping-particle":"","parse-names":false,"suffix":""}],"container-title":"The European Respiratory Journal","id":"ITEM-1","issue":"2","issued":{"date-parts":[["2008","2"]]},"page":"349-55","title":"Procalcitonin predicts patients at low risk of death from community-acquired pneumonia across all CRB-65 classes.","type":"article-journal","volume":"31"},"uris":["http://www.mendeley.com/documents/?uuid=71c8c1bd-adbd-4c92-9918-fce1d799a36f","http://www.mendeley.com/documents/?uuid=069c55e0-dcf8-45da-8d93-f2e5286b2763"]},{"id":"ITEM-2","itemData":{"DOI":"10.1183/09031936.00035610","ISSN":"1399-3003","PMID":"20595156","abstract":"The prognostic value of procalcitonin (PCT) levels to predict mortality and other adverse events in community-acquired pneumonia (CAP) remains undefined. We assessed the performance of PCT overall, stratified into four predefined procalcitonin tiers (&lt; 0.1, 0.1-0.25, &gt; 0.25-0.5, &gt;0.5 μg·L</w:instrText>
      </w:r>
      <w:r w:rsidR="00DB420B" w:rsidRPr="00372D52">
        <w:rPr>
          <w:rFonts w:ascii="Times New Roman" w:hAnsi="Times New Roman" w:cs="Times New Roman"/>
          <w:sz w:val="24"/>
          <w:szCs w:val="24"/>
        </w:rPr>
        <w:instrText>⁻</w:instrText>
      </w:r>
      <w:r w:rsidR="00DB420B" w:rsidRPr="00372D52">
        <w:rPr>
          <w:rFonts w:ascii="Book Antiqua" w:hAnsi="Book Antiqua"/>
          <w:sz w:val="24"/>
          <w:szCs w:val="24"/>
        </w:rPr>
        <w:instrText>¹) and stratified by Pneumonia Severity Index (PSI) and CURB-65 (confusion, urea &gt;7 mmol·L</w:instrText>
      </w:r>
      <w:r w:rsidR="00DB420B" w:rsidRPr="00372D52">
        <w:rPr>
          <w:rFonts w:ascii="Times New Roman" w:hAnsi="Times New Roman" w:cs="Times New Roman"/>
          <w:sz w:val="24"/>
          <w:szCs w:val="24"/>
        </w:rPr>
        <w:instrText>⁻</w:instrText>
      </w:r>
      <w:r w:rsidR="00DB420B" w:rsidRPr="00372D52">
        <w:rPr>
          <w:rFonts w:ascii="Book Antiqua" w:hAnsi="Book Antiqua"/>
          <w:sz w:val="24"/>
          <w:szCs w:val="24"/>
        </w:rPr>
        <w:instrText>¹, respiratory frequency ≥ 30 breaths·min</w:instrText>
      </w:r>
      <w:r w:rsidR="00DB420B" w:rsidRPr="00372D52">
        <w:rPr>
          <w:rFonts w:ascii="Times New Roman" w:hAnsi="Times New Roman" w:cs="Times New Roman"/>
          <w:sz w:val="24"/>
          <w:szCs w:val="24"/>
        </w:rPr>
        <w:instrText>⁻</w:instrText>
      </w:r>
      <w:r w:rsidR="00DB420B" w:rsidRPr="00372D52">
        <w:rPr>
          <w:rFonts w:ascii="Book Antiqua" w:hAnsi="Book Antiqua"/>
          <w:sz w:val="24"/>
          <w:szCs w:val="24"/>
        </w:rPr>
        <w:instrText>¹, systolic blood pressure &lt; 90 mmHg or diastolic blood pressure ≤ 60 mmHg, and age ≥ 65 yrs) risk classes to predict all-cause mortality and adverse events within 30 days follow-up in 925 CAP patients. In receiver operating characteristic curves, initial PCT levels performed only moderately for mortality prediction (area under the curve (AUC) 0.60) and did not improve clinical risk scores. Follow-up measurements on days 3, 5 and 7 showed better prognostic performance (AUCs 0.61, 0.68 and 0.73). For prediction of adverse events, the AUC was 0.66 and PCT significantly improved the PSI (from 0.67 to 0.71) and the CURB-65 (from 0.64 to 0.70). In Kaplan-Meier curves, PCT tiers significantly separated patients within PSI and CURB-65 risk classes for adverse events prediction, but not for mortality. Reclassification analysis confirmed the added value of PCT for adverse event prediction, but not mortality. Initial PCT levels provide only moderate prognostic information concerning mortality risk and did not improve clinical risk scores. However, PCT was helpful during follow-up and for prediction of adverse events and, thereby, improved the PSI and CURB65 scores.","author":[{"dropping-particle":"","family":"Schuetz","given":"P","non-dropping-particle":"","parse-names":false,"suffix":""},{"dropping-particle":"","family":"Suter-Widmer","given":"I","non-dropping-particle":"","parse-names":false,"suffix":""},{"dropping-particle":"","family":"Chaudri","given":"A","non-dropping-particle":"","parse-names":false,"suffix":""},{"dropping-particle":"","family":"Christ-Crain","given":"M","non-dropping-particle":"","parse-names":false,"suffix":""},{"dropping-particle":"","family":"Zimmerli","given":"W","non-dropping-particle":"","parse-names":false,"suffix":""},{"dropping-particle":"","family":"Mueller","given":"B","non-dropping-particle":"","parse-names":false,"suffix":""},{"dropping-particle":"","family":"Procalcitonin-Guided Antibiotic Therapy and Hospitalisation in Patients with Lower Respiratory Tract Infections (ProHOSP) Study Group","given":"","non-dropping-particle":"","parse-names":false,"suffix":""}],"container-title":"The European Respiratory Journal","id":"ITEM-2","issue":"2","issued":{"date-parts":[["2011","2"]]},"page":"384-92","title":"Prognostic value of procalcitonin in community-acquired pneumonia.","type":"article-journal","volume":"37"},"uris":["http://www.mendeley.com/documents/?uuid=43110c10-bd2b-4049-a82a-a9731eedac0b","http://www.mendeley.com/documents/?uuid=10ac762f-a746-484c-b222-221204537d20"]}],"mendeley":{"formattedCitation":"&lt;sup&gt;[30,31]&lt;/sup&gt;","plainTextFormattedCitation":"[30,31]","previouslyFormattedCitation":"&lt;sup&gt;[30,31]&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[30,31]</w:t>
      </w:r>
      <w:r w:rsidR="00E42D5C" w:rsidRPr="00372D52">
        <w:rPr>
          <w:rFonts w:ascii="Book Antiqua" w:hAnsi="Book Antiqua"/>
          <w:sz w:val="24"/>
          <w:szCs w:val="24"/>
        </w:rPr>
        <w:fldChar w:fldCharType="end"/>
      </w:r>
      <w:r w:rsidRPr="00372D52">
        <w:rPr>
          <w:rFonts w:ascii="Book Antiqua" w:hAnsi="Book Antiqua"/>
          <w:sz w:val="24"/>
          <w:szCs w:val="24"/>
        </w:rPr>
        <w:t>. The correlation of CRP with prognosis in CAP has varied with some studies demonstrating prognostic value of initial CRP while other studies demonstrate the prognostic ability of CRP trend but not initial measurement</w:t>
      </w:r>
      <w:r w:rsidR="00E42D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{"citationItems":[{"id":"ITEM-1","itemData":{"DOI":"10.1186/s12931-018-0877-x","ISSN":"1465-993X","PMID":"30285748","abstract":"BACKGROUND To predict the prognosis by observing the dynamic change of C-reactive protein (CRP) and procalcitonin (PCT) for hospitalized community-acquired pneumonia (CAP). METHODS The data were collected from January to December 2017 from the first affiliated Hospital of Zhengzhou University. Demographic and clinical patient information including age, length of hospital stay and Charlson Comorbidity Index (CCI) were recorded. Blood samples were taken for CRP, PCT, and white blood cell count (WBC). Receiver Operating Characteristic (ROC) curve was used to verify each biomarker's association with the prognosis of pneumonia. RESULTS A total of 350 patients were enrolled in the study. The 30-day mortality was 10.86%. Serial serum CRP3, CRP5, PCT3, PCT5 and PCT5c levels were statistically lower in CAP survivors than non-survivors. CRP3c &lt; 0, CRP5c &lt; 0 and PCT5c &lt; 0 were observed with a statistically lower frequency in patients with 30-day mortality and initial treatment failure. The AUC for 30-day mortality for serial CRP levels combined with CRP clearances was 0.85 (95% CI 0.77-0.92), as compared to an AUC of 0.81 (95% CI 0.73-0.9) for serial PCT levels combined with PCT clearances. CONCLUSIONS Serum serial CRP and PCT levels had moderate predictive value for hospitalized CAP prognosis. The dynamic CRP and PCT changes may potentially be used in the future to predict hospitalized CAP prognosis.","author":[{"dropping-particle":"","family":"Guo","given":"Shuren","non-dropping-particle":"","parse-names":false,"suffix":""},{"dropping-particle":"","family":"Mao","given":"Xiaohuan","non-dropping-particle":"","parse-names":false,"suffix":""},{"dropping-particle":"","family":"Liang","given":"Ming","non-dropping-particle":"","parse-names":false,"suffix":""}],"container-title":"Respiratory Research","id":"ITEM-1","issue":"1","issued":{"date-parts":[["2018","10","1"]]},"page":"193","title":"The moderate predictive value of serial serum CRP and PCT levels for the prognosis of hospitalized community-acquired pneumonia.","type":"article-journal","volume":"19"},"uris":["http://www.mendeley.com/documents/?uuid=be349bb6-7da7-4228-9c69-beebef35340e","http://www.mendeley.com/documents/?uuid=e2e84419-a2e3-4abf-8fab-b61df550eb99"]},{"id":"ITEM-2","itemData":{"DOI":"10.1111/resp.12846","ISSN":"1440-1843","PMID":"27398948","abstract":"BACKGROUND AND OBJECTIVE This study aimed to investigate the usefulness of addition of serial measurements of procalcitonin (PCT) to C-reactive protein (CRP) values and pneumonia severity scores, such as CURB-65 (confusion, urea &gt; 7 mmol/L, respiratory rate ≥ 30 breaths/min, low blood pressure (systolic &lt; 90 mm Hg or diastolic ≤ 60 mm Hg) and age ≥ 65 years) and the Pneumonia Severity Index, and attempted to create and evaluate a new scoring system for predicting mortality risk using the biomarkers and pneumonia severity scores. METHODS A total of 365 hospitalized community-acquired pneumonia (CAP) patients in an observational cohort study in which PCT was measured serially from admission to 2-3 days after admission between December 2010 and December 2014 were reviewed retrospectively. PCT and CRP were measured on admission (PCT D1 and CRP D1) and within 48-72 h after admission (PCT D3 and CRP D3). RESULTS Twenty-one patients died (5.8%), and 52 patients (14.2%) did not respond to initial therapy. On multivariate analysis, CRP D1 ≥ 100 mg/L (P = 0.002), CURB-65 ≥ 3 (P &lt; 0.001) and PCT D3/D1 ≥ 1 (P &lt; 0.001) were significant predictors of 30-day mortality. Peak CRP (P = 0.02) and PCT D3/D1 ≥ 1 (P = 0.03) were significant predictors of initial treatment failure. Using the new scoring system that defines CRP D1 ≥ 100 mg/L as 2 points, CURB-65 ≥ 3 as 1 point and PCT D3/D1 ≥ 1 as 1 point, in CAP patients with both CRP D1 ≥ 100 mg/L and CURB-65 ≥ 3 on admission, the 30-day mortality rate was 21.8%, and with PCT D3/D1 ≥ 1, it increased to 50.0%. CONCLUSION It is useful to add serial measurements of PCT to CRP measurement and assessment of CURB-65 on admission of CAP patients to predict prognosis and initial treatment failure.","author":[{"dropping-particle":"","family":"Ito","given":"Akihiro","non-dropping-particle":"","parse-names":false,"suffix":""},{"dropping-particle":"","family":"Ishida","given":"Tadashi","non-dropping-particle":"","parse-names":false,"suffix":""},{"dropping-particle":"","family":"Tachibana","given":"Hiromasa","non-dropping-particle":"","parse-names":false,"suffix":""},{"dropping-particle":"","family":"Ito","given":"Yuhei","non-dropping-particle":"","parse-names":false,"suffix":""},{"dropping-particle":"","family":"Takaiwa","given":"Takuya","non-dropping-particle":"","parse-names":false,"suffix":""}],"container-title":"Respirology","id":"ITEM-2","issue":"8","issued":{"date-parts":[["2016"]]},"page":"1459-1464","title":"Serial procalcitonin levels for predicting prognosis in community-acquired pneumonia.","type":"article-journal","volume":"21"},"uris":["http://www.mendeley.com/documents/?uuid=f7e60f86-e8c0-4d91-959e-f2ebc74b9bd5","http://www.mendeley.com/documents/?uuid=42e52b5a-c73b-4b7d-9e76-20434a441f69"]},{"id":"ITEM-3","itemData":{"ISSN":"1565-1088","PMID":"29911753","abstract":"BACKGROUND Accurate diagnosis of community acquired pneumonia (CAP) is crucial to its proper management and to combating antibiotic resistance. Levels of C-reactive protein (CRP) have been shown to distinguish pneumonia from other pathological conditions and can be used to control the severity of infection during admission. OBJECTIVES To investigate an association between consecutive measurements of CRP and the severity of CAP in hospitalized patients. METHODS A total of 500 patients with CAP were admitted to the hospital. Traditional markers of inflammation including CRP, leukocyte count, body temperature, were measured on the first, second, and fifth days of hospitalization. Correlations between these measures and the length of the hospital stay were calculated. RESULTS Mean levels of CRP, body temperature, and leukocyte count were significantly lower on the second day after hospital admission and even lower on the fifth day. A positive correlation of medium strength was found between the level of CRP on the second day of hospitalization and the length of hospital stay (P &lt; 0.001, rs = 0.447), and a negative correlation was noted between the decrease in CRP level from the first to second day and the length of hospital stay. CONCLUSIONS CRP levels correlated with body temperature and leukocyte count, traditional markers of inflammation. A greater decrease in CRP level between the first and second day of hospitalization was associated with shorter hospital stay and rapid improvement. These findings support the use of CRP as a marker for the severity and complication of CAP.","author":[{"dropping-particle":"","family":"Farah","given":"Raymond","non-dropping-particle":"","parse-names":false,"suffix":""},{"dropping-particle":"","family":"Khamisy-Farah","given":"Rola","non-dropping-particle":"","parse-names":false,"suffix":""},{"dropping-particle":"","family":"Makhoul","given":"Nicola","non-dropping-particle":"","parse-names":false,"suffix":""}],"container-title":"The Israel Medical Association Journal","id":"ITEM-3","issue":"6","issued":{"date-parts":[["2018","6"]]},"page":"345-348","title":"Consecutive Measures of CRP Correlate with Length of Hospital Stay in Patients with Community-Acquired Pneumonia.","type":"article-journal","volume":"20"},"uris":["http://www.mendeley.com/documents/?uuid=13dc7e0f-2e5e-47bb-bc5c-dd28c0cd3c7e","http://www.mendeley.com/documents/?uuid=334d3189-6633-4abb-b146-17e95db430e6"]}],"mendeley":{"formattedCitation":"&lt;sup&gt;[32–34]&lt;/sup&gt;","plainTextFormattedCitation":"[32–34]","previouslyFormattedCitation":"&lt;sup&gt;[32–34]&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[32</w:t>
      </w:r>
      <w:r w:rsidR="005A4DC4" w:rsidRPr="00372D52">
        <w:rPr>
          <w:rFonts w:ascii="Book Antiqua" w:hAnsi="Book Antiqua"/>
          <w:noProof/>
          <w:sz w:val="24"/>
          <w:szCs w:val="24"/>
          <w:vertAlign w:val="superscript"/>
        </w:rPr>
        <w:t>-</w:t>
      </w:r>
      <w:r w:rsidR="00DB420B" w:rsidRPr="00372D52">
        <w:rPr>
          <w:rFonts w:ascii="Book Antiqua" w:hAnsi="Book Antiqua"/>
          <w:noProof/>
          <w:sz w:val="24"/>
          <w:szCs w:val="24"/>
          <w:vertAlign w:val="superscript"/>
        </w:rPr>
        <w:t>34]</w:t>
      </w:r>
      <w:r w:rsidR="00E42D5C" w:rsidRPr="00372D52">
        <w:rPr>
          <w:rFonts w:ascii="Book Antiqua" w:hAnsi="Book Antiqua"/>
          <w:sz w:val="24"/>
          <w:szCs w:val="24"/>
        </w:rPr>
        <w:fldChar w:fldCharType="end"/>
      </w:r>
      <w:r w:rsidRPr="00372D52">
        <w:rPr>
          <w:rFonts w:ascii="Book Antiqua" w:hAnsi="Book Antiqua"/>
          <w:sz w:val="24"/>
          <w:szCs w:val="24"/>
        </w:rPr>
        <w:t>. A recent prospective observational study evaluated the natural history of CRP in hospitalized patients with CAP, and showed that CRP at day 3 and 5 as opposed to initial CRP measurement, predicted mortality</w:t>
      </w:r>
      <w:r w:rsidR="00E42D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{"citationItems":[{"id":"ITEM-1","itemData":{"DOI":"10.1186/s12931-018-0877-x","ISSN":"1465-993X","PMID":"30285748","abstract":"BACKGROUND To predict the prognosis by observing the dynamic change of C-reactive protein (CRP) and procalcitonin (PCT) for hospitalized community-acquired pneumonia (CAP). METHODS The data were collected from January to December 2017 from the first affiliated Hospital of Zhengzhou University. Demographic and clinical patient information including age, length of hospital stay and Charlson Comorbidity Index (CCI) were recorded. Blood samples were taken for CRP, PCT, and white blood cell count (WBC). Receiver Operating Characteristic (ROC) curve was used to verify each biomarker's association with the prognosis of pneumonia. RESULTS A total of 350 patients were enrolled in the study. The 30-day mortality was 10.86%. Serial serum CRP3, CRP5, PCT3, PCT5 and PCT5c levels were statistically lower in CAP survivors than non-survivors. CRP3c &lt; 0, CRP5c &lt; 0 and PCT5c &lt; 0 were observed with a statistically lower frequency in patients with 30-day mortality and initial treatment failure. The AUC for 30-day mortality for serial CRP levels combined with CRP clearances was 0.85 (95% CI 0.77-0.92), as compared to an AUC of 0.81 (95% CI 0.73-0.9) for serial PCT levels combined with PCT clearances. CONCLUSIONS Serum serial CRP and PCT levels had moderate predictive value for hospitalized CAP prognosis. The dynamic CRP and PCT changes may potentially be used in the future to predict hospitalized CAP prognosis.","author":[{"dropping-particle":"","family":"Guo","given":"Shuren","non-dropping-particle":"","parse-names":false,"suffix":""},{"dropping-particle":"","family":"Mao","given":"Xiaohuan","non-dropping-particle":"","parse-names":false,"suffix":""},{"dropping-particle":"","family":"Liang","given":"Ming","non-dropping-particle":"","parse-names":false,"suffix":""}],"container-title":"Respiratory Research","id":"ITEM-1","issue":"1","issued":{"date-parts":[["2018","10"]]},"page":"193","title":"The moderate predictive value of serial serum CRP and PCT levels for the prognosis of hospitalized community-acquired pneumonia.","type":"article-journal","volume":"19"},"uris":["http://www.mendeley.com/documents/?uuid=e2e84419-a2e3-4abf-8fab-b61df550eb99","http://www.mendeley.com/documents/?uuid=be349bb6-7da7-4228-9c69-beebef35340e"]}],"mendeley":{"formattedCitation":"&lt;sup&gt;[35]&lt;/sup&gt;","plainTextFormattedCitation":"[35]","previouslyFormattedCitation":"&lt;sup&gt;[35]&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[3</w:t>
      </w:r>
      <w:r w:rsidR="00371C43" w:rsidRPr="00372D52">
        <w:rPr>
          <w:rFonts w:ascii="Book Antiqua" w:hAnsi="Book Antiqua"/>
          <w:noProof/>
          <w:sz w:val="24"/>
          <w:szCs w:val="24"/>
          <w:vertAlign w:val="superscript"/>
        </w:rPr>
        <w:t>2</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Pr="00372D52">
        <w:rPr>
          <w:rFonts w:ascii="Book Antiqua" w:hAnsi="Book Antiqua"/>
          <w:sz w:val="24"/>
          <w:szCs w:val="24"/>
        </w:rPr>
        <w:t>. One study even demonstrated that lack of CRP decline regardless of initial value was predictive of 30-day mortality</w:t>
      </w:r>
      <w:r w:rsidR="007467B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{"citationItems":[{"id":"ITEM-1","itemData":{"DOI":"10.1080/23744235.2016.1253860","ISSN":"2374-4243","PMID":"27887037","abstract":"BACKGROUND C-reactive protein (CRP) is a well-known acute phase protein used to monitor the patient's response during treatment in infectious diseases. Mortality from Community-acquired Pneumonia (CAP) remains high, particularly in hospitalized patients. Better risk prediction during hospitalization could improve management and ultimately reduce mortality levels. The aim of this study was to evaluate CRP on the 3rd day (CRP3) of hospitalization as a predictor for 30 days mortality. METHODS A retrospective multicentre cohort study of adult patients admitted with CAP at three Danish hospitals. Predictive associations of CRP3 (absolute levels and relative decline) and 30 days mortality were analysed using receiver operating characteristics and logistic regression. RESULTS Eight hundred and fourteen patients were included and 90 (11%) died within 30 days. The area under the curve for CRP3 level and decline for predicting 30 days mortality were 0.64 (0.57-0.70) and 0.71 (0.65-0.76). Risk of death was increased in patients with CRP3 level &gt;75 mg/l (OR 2.44; 95%CI 1.36-4.37) and in patients with a CRP3 decline &lt;50% (OR 4.25; 95%CI 2.30-7.83). In the multivariate analysis, the highest mortality risk was seen in patients who failed to decline by 50%, irrespective of the actual level of CRP (OR 7.8; 95%CI 3.2-19.3). Mortality risk increased significantly according to CRP decline for all strata of CURB-65 score. CONCLUSIONS CRP responses day 3 is a valuable predictor of 30 days mortality in hospitalized CAP patients. Failure to decline in CRP was associated with a poor prognosis irrespective of the actual level of CRP or CURB-65.","author":[{"dropping-particle":"","family":"Andersen","given":"Stine Bang","non-dropping-particle":"","parse-names":false,"suffix":""},{"dropping-particle":"","family":"Baunbæk Egelund","given":"Gertrud","non-dropping-particle":"","parse-names":false,"suffix":""},{"dropping-particle":"","family":"Jensen","given":"Andreas Vestergaard","non-dropping-particle":"","parse-names":false,"suffix":""},{"dropping-particle":"","family":"Petersen","given":"Pelle Trier","non-dropping-particle":"","parse-names":false,"suffix":""},{"dropping-particle":"","family":"Rohde","given":"Gernot","non-dropping-particle":"","parse-names":false,"suffix":""},{"dropping-particle":"","family":"Ravn","given":"Pernille","non-dropping-particle":"","parse-names":false,"suffix":""}],"container-title":"Infectious Diseases","id":"ITEM-1","issue":"4","issued":{"date-parts":[["2017","4"]]},"page":"251-260","title":"Failure of CRP decline within three days of hospitalization is associated with poor prognosis of Community-acquired Pneumonia.","type":"article-journal","volume":"49"},"uris":["http://www.mendeley.com/documents/?uuid=118df0b4-281a-4fcf-8291-51d7f81664b9"]}],"mendeley":{"formattedCitation":"&lt;sup&gt;[36]&lt;/sup&gt;","plainTextFormattedCitation":"[36]","previouslyFormattedCitation":"&lt;sup&gt;[36]&lt;/sup&gt;"},"properties":{"noteIndex":0},"schema":"https://github.com/citation-style-language/schema/raw/master/csl-citation.json"}</w:instrText>
      </w:r>
      <w:r w:rsidR="007467BF"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[3</w:t>
      </w:r>
      <w:r w:rsidR="00371C43" w:rsidRPr="00372D52">
        <w:rPr>
          <w:rFonts w:ascii="Book Antiqua" w:hAnsi="Book Antiqua"/>
          <w:noProof/>
          <w:sz w:val="24"/>
          <w:szCs w:val="24"/>
          <w:vertAlign w:val="superscript"/>
        </w:rPr>
        <w:t>5</w:t>
      </w:r>
      <w:r w:rsidR="00DB420B" w:rsidRPr="00372D52">
        <w:rPr>
          <w:rFonts w:ascii="Book Antiqua" w:hAnsi="Book Antiqua"/>
          <w:noProof/>
          <w:sz w:val="24"/>
          <w:szCs w:val="24"/>
          <w:vertAlign w:val="superscript"/>
        </w:rPr>
        <w:t>]</w:t>
      </w:r>
      <w:r w:rsidR="007467BF" w:rsidRPr="00372D52">
        <w:rPr>
          <w:rFonts w:ascii="Book Antiqua" w:hAnsi="Book Antiqua"/>
          <w:sz w:val="24"/>
          <w:szCs w:val="24"/>
        </w:rPr>
        <w:fldChar w:fldCharType="end"/>
      </w:r>
      <w:r w:rsidRPr="00372D52">
        <w:rPr>
          <w:rFonts w:ascii="Book Antiqua" w:hAnsi="Book Antiqua"/>
          <w:sz w:val="24"/>
          <w:szCs w:val="24"/>
        </w:rPr>
        <w:t xml:space="preserve">. A recent study compared independent prognostication for PCT, CRP, and three pneumonia severity scores (Pneumonia Severity Index, CURB-65, IDSA/ATS defined severe CAP) and three mortality prediction tools </w:t>
      </w:r>
      <w:r w:rsidR="005A4DC4" w:rsidRPr="00372D52">
        <w:rPr>
          <w:rFonts w:ascii="Book Antiqua" w:hAnsi="Book Antiqua"/>
          <w:sz w:val="24"/>
          <w:szCs w:val="24"/>
        </w:rPr>
        <w:t>[</w:t>
      </w:r>
      <w:r w:rsidRPr="00372D52">
        <w:rPr>
          <w:rFonts w:ascii="Book Antiqua" w:hAnsi="Book Antiqua" w:cs="Arial"/>
          <w:sz w:val="24"/>
          <w:szCs w:val="24"/>
          <w:lang w:val="en"/>
        </w:rPr>
        <w:t>Acute Physiology Chronic Health Evaluation II, Sequential Organ Failure Assessment (SOFA), and quick SOFA</w:t>
      </w:r>
      <w:r w:rsidR="005A4DC4" w:rsidRPr="00372D52">
        <w:rPr>
          <w:rFonts w:ascii="Book Antiqua" w:hAnsi="Book Antiqua" w:cs="Arial"/>
          <w:sz w:val="24"/>
          <w:szCs w:val="24"/>
          <w:lang w:val="en"/>
        </w:rPr>
        <w:t>]</w:t>
      </w:r>
      <w:r w:rsidRPr="00372D52">
        <w:rPr>
          <w:rFonts w:ascii="Book Antiqua" w:hAnsi="Book Antiqua" w:cs="Arial"/>
          <w:sz w:val="24"/>
          <w:szCs w:val="24"/>
          <w:lang w:val="en"/>
        </w:rPr>
        <w:t xml:space="preserve">. AUC for each clinical prediction </w:t>
      </w:r>
      <w:r w:rsidRPr="00372D52">
        <w:rPr>
          <w:rFonts w:ascii="Book Antiqua" w:hAnsi="Book Antiqua" w:cs="Arial"/>
          <w:sz w:val="24"/>
          <w:szCs w:val="24"/>
          <w:lang w:val="en"/>
        </w:rPr>
        <w:lastRenderedPageBreak/>
        <w:t>tool was similar to PCT and slightly higher than CRP (AUC range of pneumonia severity scores 0.77-0.87; AUC range of mortality scores 0.81-0.85; AUC for PCT 0.83; AUC for CRP 0.77)</w:t>
      </w:r>
      <w:r w:rsidR="00E42D5C" w:rsidRPr="00372D52">
        <w:rPr>
          <w:rFonts w:ascii="Book Antiqua" w:hAnsi="Book Antiqua" w:cs="Arial"/>
          <w:sz w:val="24"/>
          <w:szCs w:val="24"/>
          <w:lang w:val="en"/>
        </w:rPr>
        <w:fldChar w:fldCharType="begin" w:fldLock="1"/>
      </w:r>
      <w:r w:rsidR="00DB420B" w:rsidRPr="00372D52">
        <w:rPr>
          <w:rFonts w:ascii="Book Antiqua" w:hAnsi="Book Antiqua" w:cs="Arial"/>
          <w:sz w:val="24"/>
          <w:szCs w:val="24"/>
          <w:lang w:val="en"/>
        </w:rPr>
        <w:instrText>ADDIN CSL_CITATION {"citationItems":[{"id":"ITEM-1","itemData":{"DOI":"10.1080/00365513.2017.1344298","ISSN":"1502-7686","PMID":"28678546","abstract":"We evaluated the predictive value of serum biomarkers and various clinical risk scales for the 28-day mortality of community-acquired pneumonia (CAP). Serum biomarkers including procalcitonin (PCT) and C-reactive protein (CRP) were evaluated in the emergency department. Scores for the pneumonia severity index (PSI); CURB65 (confusion, urea, respiration, blood pressure; age &gt;65 years); Infectious Disease Society of America (IDSA) and American Thoracic Society (ATS) guidelines for severe CAP; Acute Physiology, Chronic Health Evaluation (APACHE) II; Sequential Organ Failure Assessment (SOFA); and quick SOFA (qSOFA) were calculated. Receiver-operating characteristic curves for 28-day mortality were calculated for each predictor using cut-off values, and we applied logistic regression models and area under the curve (AUC) analysis to compare the performance of predictors. Of the 125 enrolled patients, 13 died within 28 days. The AUCs of the PCT and CRP were 0.83 and 0.77, respectively. Using a PCT level &gt;5.6 μg/L as the cut-off, the sensitivity and specificity for mortality were 76.9% and 90.2%, respectively. The three pneumonia severity scales showed an AUC of 0.86 (PSI), 0.87 (IDSA/ATS) and 0.77 (CURB65). The AUCs of the APACHE II, SOFA and qSOFA scores were 0.85, 0.83 and 0.81, respectively. The models combining CRP and/or PCT with PSI or the IDSA/ATS guidelines demonstrated superior performance to those of either PSI or the IDAS/ATS guidelines alone. In conclusion, serum PCT is a reliable single predictor for short-term mortality. Inclusion of CRP and/or PCT could significantly improve the performance of the PSI and IDAS/ATS guidelines.","author":[{"dropping-particle":"","family":"Kim","given":"Min Woo","non-dropping-particle":"","parse-names":false,"suffix":""},{"dropping-particle":"","family":"Lim","given":"Jee Yong","non-dropping-particle":"","parse-names":false,"suffix":""},{"dropping-particle":"","family":"Oh","given":"Sang Hoon","non-dropping-particle":"","parse-names":false,"suffix":""}],"container-title":"Scandinavian Journal of Clinical and Laboratory Investigation","id":"ITEM-1","issue":"7","issued":{"date-parts":[["2017","11"]]},"page":"486-492","title":"Mortality prediction using serum biomarkers and various clinical risk scales in community-acquired pneumonia.","type":"article-journal","volume":"77"},"uris":["http://www.mendeley.com/documents/?uuid=13aaccb0-1d67-4e11-80c6-9946f86de14c","http://www.mendeley.com/documents/?uuid=ff334e0f-cb55-4a5e-b0f7-fa57a6695ba5"]}],"mendeley":{"formattedCitation":"&lt;sup&gt;[37]&lt;/sup&gt;","plainTextFormattedCitation":"[37]","previouslyFormattedCitation":"&lt;sup&gt;[37]&lt;/sup&gt;"},"properties":{"noteIndex":0},"schema":"https://github.com/citation-style-language/schema/raw/master/csl-citation.json"}</w:instrText>
      </w:r>
      <w:r w:rsidR="00E42D5C" w:rsidRPr="00372D52">
        <w:rPr>
          <w:rFonts w:ascii="Book Antiqua" w:hAnsi="Book Antiqua" w:cs="Arial"/>
          <w:sz w:val="24"/>
          <w:szCs w:val="24"/>
          <w:lang w:val="en"/>
        </w:rPr>
        <w:fldChar w:fldCharType="separate"/>
      </w:r>
      <w:r w:rsidR="00DB420B" w:rsidRPr="00372D52">
        <w:rPr>
          <w:rFonts w:ascii="Book Antiqua" w:hAnsi="Book Antiqua" w:cs="Arial"/>
          <w:noProof/>
          <w:sz w:val="24"/>
          <w:szCs w:val="24"/>
          <w:vertAlign w:val="superscript"/>
          <w:lang w:val="en"/>
        </w:rPr>
        <w:t>[3</w:t>
      </w:r>
      <w:r w:rsidR="00371C43" w:rsidRPr="00372D52">
        <w:rPr>
          <w:rFonts w:ascii="Book Antiqua" w:hAnsi="Book Antiqua" w:cs="Arial"/>
          <w:noProof/>
          <w:sz w:val="24"/>
          <w:szCs w:val="24"/>
          <w:vertAlign w:val="superscript"/>
          <w:lang w:val="en"/>
        </w:rPr>
        <w:t>6</w:t>
      </w:r>
      <w:r w:rsidR="00DB420B" w:rsidRPr="00372D52">
        <w:rPr>
          <w:rFonts w:ascii="Book Antiqua" w:hAnsi="Book Antiqua" w:cs="Arial"/>
          <w:noProof/>
          <w:sz w:val="24"/>
          <w:szCs w:val="24"/>
          <w:vertAlign w:val="superscript"/>
          <w:lang w:val="en"/>
        </w:rPr>
        <w:t>]</w:t>
      </w:r>
      <w:r w:rsidR="00E42D5C" w:rsidRPr="00372D52">
        <w:rPr>
          <w:rFonts w:ascii="Book Antiqua" w:hAnsi="Book Antiqua" w:cs="Arial"/>
          <w:sz w:val="24"/>
          <w:szCs w:val="24"/>
          <w:lang w:val="en"/>
        </w:rPr>
        <w:fldChar w:fldCharType="end"/>
      </w:r>
      <w:r w:rsidRPr="00372D52">
        <w:rPr>
          <w:rFonts w:ascii="Book Antiqua" w:hAnsi="Book Antiqua" w:cs="Arial"/>
          <w:sz w:val="24"/>
          <w:szCs w:val="24"/>
          <w:lang w:val="en"/>
        </w:rPr>
        <w:t xml:space="preserve">. </w:t>
      </w:r>
      <w:r w:rsidRPr="00372D52">
        <w:rPr>
          <w:rFonts w:ascii="Book Antiqua" w:hAnsi="Book Antiqua"/>
          <w:sz w:val="24"/>
          <w:szCs w:val="24"/>
        </w:rPr>
        <w:t>With justification from prior studies demonstrating improved predictability with combination clinical predictor tools as well as CRP and/or PCT levels, a study proposed a new clinical decision tool for in hospital mortality in patients with severe CAP that incorporated previous prediction tool elements in conjunction with CRP</w:t>
      </w:r>
      <w:r w:rsidR="00E42D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{"citationItems":[{"id":"ITEM-1","itemData":{"DOI":"10.1016/j.ejim.2017.02.013","ISSN":"1879-0828","PMID":"28320569","abstract":"BACKGROUND &amp; AIMS The aim of this study is to develop a new method that is able to accurately predict the 28day hospital mortality in patients with severe community acquired pneumonia (SCAP) at an early stage. METHODS We selected 37,348 SCAP patients in ICU from 173 hospitals during 2011.1-2013.12. The predictive factors for 28day hospital mortality were evaluated retrospectively. All cases underwent intensive care, blood routine, blood biochemical tests and arterial blood gas analysis. Under the Classification and Regression Tree (CART) analysis, a new clinical scoring system was developed for early prediction in SCAP patients. The receiver-operating characteristic (ROC) curve was plotted to calculate the area under the receiver operating characteristic curve (AUC). RESULTS A novel clinical model named CLCGH scoring system, including Serum creatinine (Cr) &gt;259.5μmol/L, leukocyte (WBC)&gt;17.35×109/L, C-reactive protein (CRP)&gt;189.4μg/mL, GCS≤9 and serum HCO3-≤17.65mmol/L, was carried out and each index was an independent factor for hospital mortality in SCAP. In validation cohort, the AUC of the new scoring system was 0.889 for prediction of hospital mortality, which was similar to SOFA score 0.877, APACHEII score 0.864, and was better than the PSI score 0.761 and CURB-65 score 0.767. CONCLUSIONS The new scoring system CLCGH is an efficient, accurate and objective method to predicate the early hospital mortality among SCAP patients.","author":[{"dropping-particle":"","family":"Wang","given":"Xin","non-dropping-particle":"","parse-names":false,"suffix":""},{"dropping-particle":"","family":"Jiao","given":"Jianlong","non-dropping-particle":"","parse-names":false,"suffix":""},{"dropping-particle":"","family":"Wei","given":"Rongwei","non-dropping-particle":"","parse-names":false,"suffix":""},{"dropping-particle":"","family":"Feng","given":"Yongli","non-dropping-particle":"","parse-names":false,"suffix":""},{"dropping-particle":"","family":"Ma","given":"Xiuqin","non-dropping-particle":"","parse-names":false,"suffix":""},{"dropping-particle":"","family":"Li","given":"Yuan","non-dropping-particle":"","parse-names":false,"suffix":""},{"dropping-particle":"","family":"Du","given":"Yue","non-dropping-particle":"","parse-names":false,"suffix":""}],"container-title":"European Journal of Internal Medicine","id":"ITEM-1","issued":{"date-parts":[["2017","5"]]},"page":"56-63","title":"A new method to predict hospital mortality in severe community acquired pneumonia.","type":"article-journal","volume":"40"},"uris":["http://www.mendeley.com/documents/?uuid=6354ea7c-4958-4dba-a5fe-57d23ed43708","http://www.mendeley.com/documents/?uuid=bcb95632-88dd-41e4-a894-bd5cfe1191b0"]}],"mendeley":{"formattedCitation":"&lt;sup&gt;[38]&lt;/sup&gt;","plainTextFormattedCitation":"[38]","previouslyFormattedCitation":"&lt;sup&gt;[38]&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w:t>
      </w:r>
      <w:r w:rsidR="00371C43" w:rsidRPr="00372D52">
        <w:rPr>
          <w:rFonts w:ascii="Book Antiqua" w:hAnsi="Book Antiqua"/>
          <w:noProof/>
          <w:sz w:val="24"/>
          <w:szCs w:val="24"/>
          <w:vertAlign w:val="superscript"/>
        </w:rPr>
        <w:t>37</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Pr="00372D52">
        <w:rPr>
          <w:rFonts w:ascii="Book Antiqua" w:hAnsi="Book Antiqua"/>
          <w:sz w:val="24"/>
          <w:szCs w:val="24"/>
        </w:rPr>
        <w:t>.</w:t>
      </w:r>
    </w:p>
    <w:p w14:paraId="71A521DE" w14:textId="146567AF" w:rsidR="008D14EE" w:rsidRPr="00372D52" w:rsidRDefault="00E23156" w:rsidP="00372D52">
      <w:pPr>
        <w:spacing w:after="0" w:line="360" w:lineRule="auto"/>
        <w:ind w:firstLineChars="100" w:firstLine="240"/>
        <w:jc w:val="both"/>
        <w:rPr>
          <w:rFonts w:ascii="Book Antiqua" w:hAnsi="Book Antiqua"/>
          <w:sz w:val="24"/>
          <w:szCs w:val="24"/>
        </w:rPr>
      </w:pPr>
      <w:r w:rsidRPr="00372D52">
        <w:rPr>
          <w:rFonts w:ascii="Book Antiqua" w:hAnsi="Book Antiqua"/>
          <w:sz w:val="24"/>
          <w:szCs w:val="24"/>
        </w:rPr>
        <w:t xml:space="preserve">In a large multi-center randomized control trial, evaluating steroid treatment in hospitalized patients with severe community-acquired pneumonia (CAP), an </w:t>
      </w:r>
      <w:r w:rsidR="00DB420B" w:rsidRPr="00372D52">
        <w:rPr>
          <w:rFonts w:ascii="Book Antiqua" w:hAnsi="Book Antiqua"/>
          <w:sz w:val="24"/>
          <w:szCs w:val="24"/>
        </w:rPr>
        <w:t>inclusion criterion of CRP</w:t>
      </w:r>
      <w:r w:rsidRPr="00372D52">
        <w:rPr>
          <w:rFonts w:ascii="Book Antiqua" w:hAnsi="Book Antiqua"/>
          <w:sz w:val="24"/>
          <w:szCs w:val="24"/>
        </w:rPr>
        <w:t xml:space="preserve"> &gt;</w:t>
      </w:r>
      <w:r w:rsidR="005A4DC4" w:rsidRPr="00372D52">
        <w:rPr>
          <w:rFonts w:ascii="Book Antiqua" w:hAnsi="Book Antiqua"/>
          <w:sz w:val="24"/>
          <w:szCs w:val="24"/>
        </w:rPr>
        <w:t xml:space="preserve"> </w:t>
      </w:r>
      <w:r w:rsidRPr="00372D52">
        <w:rPr>
          <w:rFonts w:ascii="Book Antiqua" w:hAnsi="Book Antiqua"/>
          <w:sz w:val="24"/>
          <w:szCs w:val="24"/>
        </w:rPr>
        <w:t>150 mg/L on admission was utilized. The results of this study demonstrate a reduction in treatment failure in the steroid group compared with placebo and indicates that, CRP may be a useful tool to help identify the population that may benefit from adjunctive corticosteroid therapy</w:t>
      </w:r>
      <w:r w:rsidR="00E42D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{"citationItems":[{"id":"ITEM-1","itemData":{"DOI":"10.1001/jama.2015.88","ISSN":"1538-3598","PMID":"25688779","abstract":"IMPORTANCE In patients with severe community-acquired pneumonia, treatment failure is associated with excessive inflammatory response and worse outcomes. Corticosteroids may modulate cytokine release in these patients, but the benefit of this adjunctive therapy remains controversial. OBJECTIVE To assess the effect of corticosteroids in patients with severe community-acquired pneumonia and high associated inflammatory response. DESIGN, SETTING, AND PARTICIPANTS Multicenter, randomized, double-blind, placebo-controlled trial conducted in 3 Spanish teaching hospitals involving patients with both severe community-acquired pneumonia and a high inflammatory response, which was defined as a level of C-reactive protein greater than 150 mg/L at admission. Patients were recruited and followed up from June 2004 through February 2012. INTERVENTIONS Patients were randomized to receive either an intravenous bolus of 0.5 mg/kg per 12 hours of methylprednisolone (n = 61) or placebo (n = 59) for 5 days started within 36 hours of hospital admission. MAIN OUTCOMES AND MEASURES The primary outcome was treatment failure (composite outcome of early treatment failure defined as [1] clinical deterioration indicated by development of shock, [2] need for invasive mechanical ventilation not present at baseline, or [3] death within 72 hours of treatment; or composite outcome of late treatment failure defined as [1] radiographic progression, [2] persistence of severe respiratory failure, [3] development of shock, [4] need for invasive mechanical ventilation not present at baseline, or [5] death between 72 hours and 120 hours after treatment initiation; or both early and late treatment failure). In-hospital mortality was a secondary outcome and adverse events were assessed. RESULTS There was less treatment failure among patients from the methylprednisolone group (8 patients [13%]) compared with the placebo group (18 patients [31%]) (P = .02), with a difference between groups of 18% (95% CI, 3% to 32%). Corticosteroid treatment reduced the risk of treatment failure (odds ratio, 0.34 [95% CI, 0.14 to 0.87]; P = .02). In-hospital mortality did not differ between the 2 groups (6 patients [10%] in the methylprednisolone group vs 9 patients [15%] in the placebo group; P = .37); the difference between groups was 5% (95% CI, -6% to 17%). Hyperglycemia occurred in 11 patients (18%) in the methylprednisolone group and in 7 patients (12%) in the placebo group (P = .34). CONCLUSIONS AND RELEVAN…","author":[{"dropping-particle":"","family":"Torres","given":"Antoni","non-dropping-particle":"","parse-names":false,"suffix":""},{"dropping-particle":"","family":"Sibila","given":"Oriol","non-dropping-particle":"","parse-names":false,"suffix":""},{"dropping-particle":"","family":"Ferrer","given":"Miquel","non-dropping-particle":"","parse-names":false,"suffix":""},{"dropping-particle":"","family":"Polverino","given":"Eva","non-dropping-particle":"","parse-names":false,"suffix":""},{"dropping-particle":"","family":"Menendez","given":"Rosario","non-dropping-particle":"","parse-names":false,"suffix":""},{"dropping-particle":"","family":"Mensa","given":"Josep","non-dropping-particle":"","parse-names":false,"suffix":""},{"dropping-particle":"","family":"Gabarrús","given":"Albert","non-dropping-particle":"","parse-names":false,"suffix":""},{"dropping-particle":"","family":"Sellarés","given":"Jacobo","non-dropping-particle":"","parse-names":false,"suffix":""},{"dropping-particle":"","family":"Restrepo","given":"Marcos I","non-dropping-particle":"","parse-names":false,"suffix":""},{"dropping-particle":"","family":"Anzueto","given":"Antonio","non-dropping-particle":"","parse-names":false,"suffix":""},{"dropping-particle":"","family":"Niederman","given":"Michael S","non-dropping-particle":"","parse-names":false,"suffix":""},{"dropping-particle":"","family":"Agustí","given":"Carles","non-dropping-particle":"","parse-names":false,"suffix":""}],"container-title":"JAMA","id":"ITEM-1","issue":"7","issued":{"date-parts":[["2015","2","17"]]},"page":"677-86","title":"Effect of corticosteroids on treatment failure among hospitalized patients with severe community-acquired pneumonia and high inflammatory response: a randomized clinical trial.","type":"article-journal","volume":"313"},"uris":["http://www.mendeley.com/documents/?uuid=4a61569a-5892-4de5-81ab-90782a789ff3","http://www.mendeley.com/documents/?uuid=52f7ae17-552e-40fd-a045-d9b1ce4a508d"]}],"mendeley":{"formattedCitation":"&lt;sup&gt;[17]&lt;/sup&gt;","plainTextFormattedCitation":"[17]","previouslyFormattedCitation":"&lt;sup&gt;[17]&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[17]</w:t>
      </w:r>
      <w:r w:rsidR="00E42D5C" w:rsidRPr="00372D52">
        <w:rPr>
          <w:rFonts w:ascii="Book Antiqua" w:hAnsi="Book Antiqua"/>
          <w:sz w:val="24"/>
          <w:szCs w:val="24"/>
        </w:rPr>
        <w:fldChar w:fldCharType="end"/>
      </w:r>
      <w:r w:rsidRPr="00372D52">
        <w:rPr>
          <w:rFonts w:ascii="Book Antiqua" w:hAnsi="Book Antiqua"/>
          <w:sz w:val="24"/>
          <w:szCs w:val="24"/>
        </w:rPr>
        <w:t>. In addition, CRP may have</w:t>
      </w:r>
      <w:r w:rsidR="008D14EE" w:rsidRPr="00372D52">
        <w:rPr>
          <w:rFonts w:ascii="Book Antiqua" w:hAnsi="Book Antiqua"/>
          <w:sz w:val="24"/>
          <w:szCs w:val="24"/>
        </w:rPr>
        <w:t xml:space="preserve"> the potential to help guide duration of treatment as steroid therapy has been shown to decrease the level of CRP</w:t>
      </w:r>
      <w:r w:rsidR="00DB420B"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{"citationItems":[{"id":"ITEM-1","itemData":{"DOI":"10.1186/cc10103","ISSN":"1466-609X","PMID":"21406101","abstract":"INTRODUCTION The benefit of corticosteroids as adjunctive treatment in patients with severe community-acquired pneumonia (CAP) requiring hospital admission remains unclear. This study aimed to evaluate the impact of corticosteroid treatment on outcomes in patients with CAP. METHODS This was a prospective, double-blind and randomized study. All patients received treatment with ceftriaxone plus levofloxacin and methyl-prednisolone (MPDN) administered randomly and blindly as an initial bolus, followed by a tapering regimen, or placebo. RESULTS Of the 56 patients included in the study, 28 (50%) were treated with concomitant corticosteroids. Patients included in the MPDN group show a more favourable evolution of the pO2/FiO2 ratio and faster decrease of fever, as well as greater radiological improvement at seven days. The time to resolution of morbidity was also significantly shorter in this group. Six patients met the criteria for mechanical ventilation (MV): five in the placebo group (22.7%) and one in the MPDN group (4.3%). The duration of MV was 13 days (interquartile range 7 to 26 days) for the placebo group and three days for the only case in the MPDN group. The differences did not reach statistical significance. Interleukin (IL)-6 and C-reactive protein (CRP) showed a significantly quicker decrease after 24 h of treatment among patients treated with MPDN. No differences in mortality were found among groups. CONCLUSIONS MPDN treatment, in combination with antibiotics, improves respiratory failure and accelerates the timing of clinical resolution of severe CAP needing hospital admission. TRIAL REGISTRATION International Standard Randomized Controlled Trials Register, ISRCTN22426306.","author":[{"dropping-particle":"","family":"Fernández-Serrano","given":"Silvia","non-dropping-particle":"","parse-names":false,"suffix":""},{"dropping-particle":"","family":"Dorca","given":"Jordi","non-dropping-particle":"","parse-names":false,"suffix":""},{"dropping-particle":"","family":"Garcia-Vidal","given":"Carolina","non-dropping-particle":"","parse-names":false,"suffix":""},{"dropping-particle":"","family":"Fernández-Sabé","given":"Núria","non-dropping-particle":"","parse-names":false,"suffix":""},{"dropping-particle":"","family":"Carratalà","given":"Jordi","non-dropping-particle":"","parse-names":false,"suffix":""},{"dropping-particle":"","family":"Fernández-Agüera","given":"Ana","non-dropping-particle":"","parse-names":false,"suffix":""},{"dropping-particle":"","family":"Corominas","given":"Mercè","non-dropping-particle":"","parse-names":false,"suffix":""},{"dropping-particle":"","family":"Padrones","given":"Susana","non-dropping-particle":"","parse-names":false,"suffix":""},{"dropping-particle":"","family":"Gudiol","given":"Francesc","non-dropping-particle":"","parse-names":false,"suffix":""},{"dropping-particle":"","family":"Manresa","given":"Frederic","non-dropping-particle":"","parse-names":false,"suffix":""}],"container-title":"Critical Care","id":"ITEM-1","issue":"2","issued":{"date-parts":[["2011","3","15"]]},"page":"R96","title":"Effect of corticosteroids on the clinical course of community-acquired pneumonia: a randomized controlled trial.","type":"article-journal","volume":"15"},"uris":["http://www.mendeley.com/documents/?uuid=2c9ab6fe-0b35-48a4-a7b6-4fb7466942ec"]}],"mendeley":{"formattedCitation":"&lt;sup&gt;[39]&lt;/sup&gt;","plainTextFormattedCitation":"[39]","previouslyFormattedCitation":"&lt;sup&gt;[39]&lt;/sup&gt;"},"properties":{"noteIndex":0},"schema":"https://github.com/citation-style-language/schema/raw/master/csl-citation.json"}</w:instrText>
      </w:r>
      <w:r w:rsidR="00DB420B"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[3</w:t>
      </w:r>
      <w:r w:rsidR="00371C43" w:rsidRPr="00372D52">
        <w:rPr>
          <w:rFonts w:ascii="Book Antiqua" w:hAnsi="Book Antiqua"/>
          <w:noProof/>
          <w:sz w:val="24"/>
          <w:szCs w:val="24"/>
          <w:vertAlign w:val="superscript"/>
        </w:rPr>
        <w:t>8</w:t>
      </w:r>
      <w:r w:rsidR="00DB420B" w:rsidRPr="00372D52">
        <w:rPr>
          <w:rFonts w:ascii="Book Antiqua" w:hAnsi="Book Antiqua"/>
          <w:noProof/>
          <w:sz w:val="24"/>
          <w:szCs w:val="24"/>
          <w:vertAlign w:val="superscript"/>
        </w:rPr>
        <w:t>]</w:t>
      </w:r>
      <w:r w:rsidR="00DB420B" w:rsidRPr="00372D52">
        <w:rPr>
          <w:rFonts w:ascii="Book Antiqua" w:hAnsi="Book Antiqua"/>
          <w:sz w:val="24"/>
          <w:szCs w:val="24"/>
        </w:rPr>
        <w:fldChar w:fldCharType="end"/>
      </w:r>
      <w:r w:rsidR="008D14EE" w:rsidRPr="00372D52">
        <w:rPr>
          <w:rFonts w:ascii="Book Antiqua" w:hAnsi="Book Antiqua"/>
          <w:sz w:val="24"/>
          <w:szCs w:val="24"/>
        </w:rPr>
        <w:t>. PCT has been used to guide initiation and duration of antibiotic therapy without worse outcomes but has not been used to guide treatment with corticosteroids or other anti-inflammatory specific treatments</w:t>
      </w:r>
      <w:r w:rsidR="00E42D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{"citationItems":[{"id":"ITEM-1","itemData":{"DOI":"10.1016/S0140-6736(04)15591-8","ISSN":"1474-547X","PMID":"14987884","abstract":"BACKGROUND Lower respiratory tract infections are often treated with antibiotics without evidence of clinically relevant bacterial disease. Serum calcitonin precursor concentrations, including procalcitonin, are raised in bacterial infections. We aimed to assess a procalcitonin-based therapeutic strategy to reduce antibiotic use in lower respiratory tract infections with a new rapid and sensitive assay. METHODS 243 patients admitted with suspected lower respiratory tract infections were randomly assigned standard care (standard group; n=119) or procalcitonin-guided treatment (procalcitonin group; n=124). On the basis of serum procalcitonin concentrations, use of antibiotics was more or less discouraged (&lt;0.1 microg/L or &lt;0.25 microg/L) or encouraged (&gt; or =0.5 microg/L or &gt; or =0.25 microg/L), respectively. Re-evaluation was possible after 6-24 h in both groups. Primary endpoint was use of antibiotics and analysis was by intention to treat. FINDINGS Final diagnoses were pneumonia (n=87; 36%), acute exacerbation of chronic obstructive pulmonary disease (60; 25%), acute bronchitis (59; 24%), asthma (13; 5%), and other respiratory affections (24; 10%). Serological evidence of viral infection was recorded in 141 of 175 tested patients (81%). Bacterial cultures were positive from sputum in 51 (21%) and from blood in 16 (7%). In the procalcitonin group, the adjusted relative risk of antibiotic exposure was 0.49 (95% CI 0.44-0.55; p&lt;0.0001) compared with the standard group. Antibiotic use was significantly reduced in all diagnostic subgroups. Clinical and laboratory outcome was similar in both groups and favourable in 235 (97%). INTERPRETATION Procalcitonin guidance substantially reduced antibiotic use in lower respiratory tract infections. Withholding antimicrobial treatment did not compromise outcome. In view of the current overuse of antimicrobial therapy in often self-limiting acute respiratory tract infections, treatment based on procalcitonin measurement could have important clinical and financial implications.","author":[{"dropping-particle":"","family":"Christ-Crain","given":"Mirjam","non-dropping-particle":"","parse-names":false,"suffix":""},{"dropping-particle":"","family":"Jaccard-Stolz","given":"Daiana","non-dropping-particle":"","parse-names":false,"suffix":""},{"dropping-particle":"","family":"Bingisser","given":"Roland","non-dropping-particle":"","parse-names":false,"suffix":""},{"dropping-particle":"","family":"Gencay","given":"Mikael M","non-dropping-particle":"","parse-names":false,"suffix":""},{"dropping-particle":"","family":"Huber","given":"Peter R","non-dropping-particle":"","parse-names":false,"suffix":""},{"dropping-particle":"","family":"Tamm","given":"Michael","non-dropping-particle":"","parse-names":false,"suffix":""},{"dropping-particle":"","family":"Müller","given":"Beat","non-dropping-particle":"","parse-names":false,"suffix":""}],"container-title":"Lancet","id":"ITEM-1","issue":"9409","issued":{"date-parts":[["2004","2","21"]]},"page":"600-7","title":"Effect of procalcitonin-guided treatment on antibiotic use and outcome in lower respiratory tract infections: cluster-randomised, single-blinded intervention trial.","type":"article-journal","volume":"363"},"uris":["http://www.mendeley.com/documents/?uuid=c94c3b10-8307-4d1d-a33e-8947ce5a0484","http://www.mendeley.com/documents/?uuid=542d9b48-d7d0-437e-b8b6-aa86b558a097"]},{"id":"ITEM-2","itemData":{"DOI":"10.1164/rccm.200512-1922OC","ISSN":"1535-4970","PMID":"16603606","abstract":"RATIONALE In patients with community-acquired pneumonia, guidelines recommend antibiotic treatment for 7 to 21 d. Procalcitonin is elevated in bacterial infections, and its dynamics have prognostic implications. OBJECTIVE To assess procalcitonin guidance for the initiation and duration of antibiotic therapy in community-acquired pneumonia. METHODS In a randomized intervention trial, 302 consecutive patients with suspected community-acquired pneumonia were included. Data were assessed at baseline, after 4, 6, and 8 d, and after 6 wk. The control group (n = 151) received antibiotics according to usual practice. In the procalcitonin group (n = 151), antibiotic treatment was based on serum procalcitonin concentrations as follows: strongly discouraged, less than 0.1 microg/L; discouraged, less than 0.25 microg/L; encouraged, greater than 0.25 microg/L; strongly encouraged, greater than 0.5 microg/L. The primary endpoint was antibiotic use; secondary endpoints were measures of clinical, laboratory, and radiographic outcome. RESULTS At baseline, both groups were similar regarding clinical, laboratory, and microbiology characteristics, and Pneumonia Severity Index. Procalcitonin guidance reduced total antibiotic exposure (relative risk, 0.52; 95% confidence interval, 0.48-0.55; p &lt; 0.001), antibiotic prescriptions on admission (85 vs. 99%; p &lt; 0.001), and antibiotic treatment duration (median, 5 vs. 12 d; p &lt; 0.001) compared with patients treated according to guidelines. After adjustment for Pneumonia Severity Index, the hazard ratio of antibiotic discontinuation was higher in the procalcitonin group than in the control group (3.2; 95% confidence interval, 2.5 to 4.2). Outcome was similar in both groups, with an overall success rate of 83%. CONCLUSIONS Procalcitonin guidance substantially reduces antibiotic use in community-acquired pneumonia. These findings may have important clinical and public health implications.","author":[{"dropping-particle":"","family":"Christ-Crain","given":"Mirjam","non-dropping-particle":"","parse-names":false,"suffix":""},{"dropping-particle":"","family":"Stolz","given":"Daiana","non-dropping-particle":"","parse-names":false,"suffix":""},{"dropping-particle":"","family":"Bingisser","given":"Roland","non-dropping-particle":"","parse-names":false,"suffix":""},{"dropping-particle":"","family":"Müller","given":"Christian","non-dropping-particle":"","parse-names":false,"suffix":""},{"dropping-particle":"","family":"Miedinger","given":"David","non-dropping-particle":"","parse-names":false,"suffix":""},{"dropping-particle":"","family":"Huber","given":"Peter R","non-dropping-particle":"","parse-names":false,"suffix":""},{"dropping-particle":"","family":"Zimmerli","given":"Werner","non-dropping-particle":"","parse-names":false,"suffix":""},{"dropping-particle":"","family":"Harbarth","given":"Stephan","non-dropping-particle":"","parse-names":false,"suffix":""},{"dropping-particle":"","family":"Tamm","given":"Michael","non-dropping-particle":"","parse-names":false,"suffix":""},{"dropping-particle":"","family":"Müller","given":"Beat","non-dropping-particle":"","parse-names":false,"suffix":""}],"container-title":"American Journal of Respiratory and Critical Care Medicine","id":"ITEM-2","issue":"1","issued":{"date-parts":[["2006","7","1"]]},"page":"84-93","title":"Procalcitonin guidance of antibiotic therapy in community-acquired pneumonia: a randomized trial.","type":"article-journal","volume":"174"},"uris":["http://www.mendeley.com/documents/?uuid=86d1c341-4d2d-48ca-b45b-ad1a9f01f999","http://www.mendeley.com/documents/?uuid=a761d81f-4653-4235-be36-0d2b2f8c727a"]},{"id":"ITEM-3","itemData":{"DOI":"10.1001/jama.2009.1297","ISSN":"1538-3598","PMID":"19738090","abstract":"CONTEXT In previous smaller trials, a procalcitonin (PCT) algorithm reduced antibiotic use in patients with lower respiratory tract infections (LRTIs). OBJECTIVE To examine whether a PCT algorithm can reduce antibiotic exposure without increasing the risk for serious adverse outcomes. DESIGN, SETTING, AND PATIENTS A multicenter, noninferiority, randomized controlled trial in emergency departments of 6 tertiary care hospitals in Switzerland with an open intervention of 1359 patients with mostly severe LRTIs randomized between October 2006 and March 2008. INTERVENTION Patients were randomized to administration of antibiotics based on a PCT algorithm with predefined cutoff ranges for initiating or stopping antibiotics (PCT group) or according to standard guidelines (control group). Serum PCT was measured locally in each hospital and instructions were Web-based. MAIN OUTCOME MEASURES Noninferiority of the composite adverse outcomes of death, intensive care unit admission, disease-specific complications, or recurrent infection requiring antibiotic treatment within 30 days, with a predefined noninferiority boundary of 7.5%; and antibiotic exposure and adverse effects from antibiotics. RESULTS The rate of overall adverse outcomes was similar in the PCT and control groups (15.4% [n = 103] vs 18.9% [n = 130]; difference, -3.5%; 95% CI, -7.6% to 0.4%). The mean duration of antibiotics exposure in the PCT vs control groups was lower in all patients (5.7 vs 8.7 days; relative change, -34.8%; 95% CI, -40.3% to -28.7%) and in the subgroups of patients with community-acquired pneumonia (n = 925, 7.2 vs 10.7 days; -32.4%; 95% CI, -37.6% to -26.9%), exacerbation of chronic obstructive pulmonary disease (n = 228, 2.5 vs 5.1 days; -50.4%; 95% CI, -64.0% to -34.0%), and acute bronchitis (n = 151, 1.0 vs 2.8 days; -65.0%; 95% CI, -84.7% to -37.5%). Antibiotic-associated adverse effects were less frequent in the PCT group (19.8% [n = 133] vs 28.1% [n = 193]; difference, -8.2%; 95% CI, -12.7% to -3.7%). CONCLUSION In patients with LRTIs, a strategy of PCT guidance compared with standard guidelines resulted in similar rates of adverse outcomes, as well as lower rates of antibiotic exposure and antibiotic-associated adverse effects. TRIAL REGISTRATION isrctn.org Identifier: ISRCTN95122877.","author":[{"dropping-particle":"","family":"Schuetz","given":"Philipp","non-dropping-particle":"","parse-names":false,"suffix":""},{"dropping-particle":"","family":"Christ-Crain","given":"Mirjam","non-dropping-particle":"","parse-names":false,"suffix":""},{"dropping-particle":"","family":"Thomann","given":"Robert","non-dropping-particle":"","parse-names":false,"suffix":""},{"dropping-particle":"","family":"Falconnier","given":"Claudine","non-dropping-particle":"","parse-names":false,"suffix":""},{"dropping-particle":"","family":"Wolbers","given":"Marcel","non-dropping-particle":"","parse-names":false,"suffix":""},{"dropping-particle":"","family":"Widmer","given":"Isabelle","non-dropping-particle":"","parse-names":false,"suffix":""},{"dropping-particle":"","family":"Neidert","given":"Stefanie","non-dropping-particle":"","parse-names":false,"suffix":""},{"dropping-particle":"","family":"Fricker","given":"Thomas","non-dropping-particle":"","parse-names":false,"suffix":""},{"dropping-particle":"","family":"Blum","given":"Claudine","non-dropping-particle":"","parse-names":false,"suffix":""},{"dropping-particle":"","family":"Schild","given":"Ursula","non-dropping-particle":"","parse-names":false,"suffix":""},{"dropping-particle":"","family":"Regez","given":"Katharina","non-dropping-particle":"","parse-names":false,"suffix":""},{"dropping-particle":"","family":"Schoenenberger","given":"Ronald","non-dropping-particle":"","parse-names":false,"suffix":""},{"dropping-particle":"","family":"Henzen","given":"Christoph","non-dropping-particle":"","parse-names":false,"suffix":""},{"dropping-particle":"","family":"Bregenzer","given":"Thomas","non-dropping-particle":"","parse-names":false,"suffix":""},{"dropping-particle":"","family":"Hoess","given":"Claus","non-dropping-particle":"","parse-names":false,"suffix":""},{"dropping-particle":"","family":"Krause","given":"Martin","non-dropping-particle":"","parse-names":false,"suffix":""},{"dropping-particle":"","family":"Bucher","given":"Heiner C","non-dropping-particle":"","parse-names":false,"suffix":""},{"dropping-particle":"","family":"Zimmerli","given":"Werner","non-dropping-particle":"","parse-names":false,"suffix":""},{"dropping-particle":"","family":"Mueller","given":"Beat","non-dropping-particle":"","parse-names":false,"suffix":""},{"dropping-particle":"","family":"ProHOSP Study Group","given":"","non-dropping-particle":"","parse-names":false,"suffix":""}],"container-title":"JAMA","id":"ITEM-3","issue":"10","issued":{"date-parts":[["2009","9","9"]]},"page":"1059-66","title":"Effect of procalcitonin-based guidelines vs standard guidelines on antibiotic use in lower respiratory tract infections: the ProHOSP randomized controlled trial.","type":"article-journal","volume":"302"},"uris":["http://www.mendeley.com/documents/?uuid=578a3fae-2c0e-46ce-b22f-9df24942e739","http://www.mendeley.com/documents/?uuid=f6574373-5bd2-422c-b78e-bc42d4ea6fd1"]}],"mendeley":{"formattedCitation":"&lt;sup&gt;[40–42]&lt;/sup&gt;","plainTextFormattedCitation":"[40–42]","previouslyFormattedCitation":"&lt;sup&gt;[40–42]&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w:t>
      </w:r>
      <w:r w:rsidR="00371C43" w:rsidRPr="00372D52">
        <w:rPr>
          <w:rFonts w:ascii="Book Antiqua" w:hAnsi="Book Antiqua"/>
          <w:noProof/>
          <w:sz w:val="24"/>
          <w:szCs w:val="24"/>
          <w:vertAlign w:val="superscript"/>
        </w:rPr>
        <w:t>39</w:t>
      </w:r>
      <w:r w:rsidR="005A4DC4" w:rsidRPr="00372D52">
        <w:rPr>
          <w:rFonts w:ascii="Book Antiqua" w:hAnsi="Book Antiqua"/>
          <w:noProof/>
          <w:sz w:val="24"/>
          <w:szCs w:val="24"/>
          <w:vertAlign w:val="superscript"/>
        </w:rPr>
        <w:t>-</w:t>
      </w:r>
      <w:r w:rsidR="00DB420B" w:rsidRPr="00372D52">
        <w:rPr>
          <w:rFonts w:ascii="Book Antiqua" w:hAnsi="Book Antiqua"/>
          <w:noProof/>
          <w:sz w:val="24"/>
          <w:szCs w:val="24"/>
          <w:vertAlign w:val="superscript"/>
        </w:rPr>
        <w:t>4</w:t>
      </w:r>
      <w:r w:rsidR="00371C43" w:rsidRPr="00372D52">
        <w:rPr>
          <w:rFonts w:ascii="Book Antiqua" w:hAnsi="Book Antiqua"/>
          <w:noProof/>
          <w:sz w:val="24"/>
          <w:szCs w:val="24"/>
          <w:vertAlign w:val="superscript"/>
        </w:rPr>
        <w:t>1</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008D14EE" w:rsidRPr="00372D52">
        <w:rPr>
          <w:rFonts w:ascii="Book Antiqua" w:hAnsi="Book Antiqua"/>
          <w:sz w:val="24"/>
          <w:szCs w:val="24"/>
        </w:rPr>
        <w:t>.</w:t>
      </w:r>
      <w:r w:rsidRPr="00372D52">
        <w:rPr>
          <w:rFonts w:ascii="Book Antiqua" w:hAnsi="Book Antiqua"/>
          <w:sz w:val="24"/>
          <w:szCs w:val="24"/>
        </w:rPr>
        <w:t xml:space="preserve"> Other less studied biomarkers are listed in Table 1.</w:t>
      </w:r>
    </w:p>
    <w:p w14:paraId="671141A0" w14:textId="77777777" w:rsidR="008D14EE" w:rsidRPr="00372D52" w:rsidRDefault="008D14EE" w:rsidP="00372D52">
      <w:pPr>
        <w:spacing w:after="0" w:line="360" w:lineRule="auto"/>
        <w:jc w:val="both"/>
        <w:rPr>
          <w:rFonts w:ascii="Book Antiqua" w:hAnsi="Book Antiqua"/>
          <w:sz w:val="24"/>
          <w:szCs w:val="24"/>
        </w:rPr>
      </w:pPr>
    </w:p>
    <w:p w14:paraId="1C0F7A42" w14:textId="57FC0FE7" w:rsidR="008D14EE" w:rsidRPr="00372D52" w:rsidRDefault="008D14EE" w:rsidP="00372D52">
      <w:pPr>
        <w:spacing w:after="0" w:line="360" w:lineRule="auto"/>
        <w:jc w:val="both"/>
        <w:rPr>
          <w:rFonts w:ascii="Book Antiqua" w:hAnsi="Book Antiqua"/>
          <w:b/>
          <w:bCs/>
          <w:sz w:val="24"/>
          <w:szCs w:val="24"/>
        </w:rPr>
      </w:pPr>
      <w:r w:rsidRPr="00372D52">
        <w:rPr>
          <w:rFonts w:ascii="Book Antiqua" w:hAnsi="Book Antiqua"/>
          <w:b/>
          <w:bCs/>
          <w:i/>
          <w:sz w:val="24"/>
          <w:szCs w:val="24"/>
        </w:rPr>
        <w:t xml:space="preserve">Cytokines in </w:t>
      </w:r>
      <w:r w:rsidR="00D42981" w:rsidRPr="00372D52">
        <w:rPr>
          <w:rFonts w:ascii="Book Antiqua" w:hAnsi="Book Antiqua"/>
          <w:b/>
          <w:bCs/>
          <w:i/>
          <w:sz w:val="24"/>
          <w:szCs w:val="24"/>
        </w:rPr>
        <w:t>pneumonia</w:t>
      </w:r>
    </w:p>
    <w:p w14:paraId="18D1F55E" w14:textId="392629AC" w:rsidR="008D14EE" w:rsidRPr="00372D52" w:rsidRDefault="008D14EE" w:rsidP="00372D52">
      <w:pPr>
        <w:spacing w:after="0" w:line="360" w:lineRule="auto"/>
        <w:jc w:val="both"/>
        <w:rPr>
          <w:rFonts w:ascii="Book Antiqua" w:hAnsi="Book Antiqua"/>
          <w:sz w:val="24"/>
          <w:szCs w:val="24"/>
        </w:rPr>
      </w:pPr>
      <w:r w:rsidRPr="00372D52">
        <w:rPr>
          <w:rFonts w:ascii="Book Antiqua" w:hAnsi="Book Antiqua"/>
          <w:sz w:val="24"/>
          <w:szCs w:val="24"/>
        </w:rPr>
        <w:t>Elevated pro-inflammatory cytokine (include IL-1, 6, and 8; TNF-alpha; and macrophage inflammatory protin-1beta) levels in CAP are indicative of a hyper-inflammatory phenotype and are associated with increased disease severity, length of ICU and hospital stay, ventilator days, and mortality</w:t>
      </w:r>
      <w:r w:rsidR="00E42D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{"citationItems":[{"id":"ITEM-1","itemData":{"DOI":"10.1128/CDLI.10.5.813-820.2003","ISSN":"1071-412X","PMID":"12965910","abstract":"In order to analyze the characteristics of the inflammatory response occurring in blood during pneumonia, we studied 38 patients with severe community-acquired pneumonia. Venous and arterial blood samples were collected at study entry and on days 1, 2, 3, 5, and 7 after inclusion. The concentrations of proinflammatory (tumor necrosis factor alpha [TNF-alpha], interleukin 1beta [IL-1beta], IL-6, and IL-8) and anti-inflammatory (IL-10) cytokines were determined in order to detect differences related to the origin of the sample, the causative organism, the clinical variables, and the final outcome of the episode. Legionella pneumonia infections showed higher concentrations of TNF-alpha, IL-6, IL-8, and IL-10. After 24 h, plasma IL-6, IL-8, and IL-10 concentrations in pneumococcal episodes increased, whereas in the same time interval, cytokine concentrations in Legionella episodes markedly decreased. The characteristics of the inflammatory response in bacteremic pneumococcal episodes were different from those in nonbacteremic episodes, as indicated by the higher plasma cytokine concentrations in the former group. Finally, our analysis of cytokine concentrations with regard to the outcome--in terms of the need for intensive care unit admittance and/or mechanical ventilation as well as mortality--suggests that there is a direct relationship between the intensity of the inflammatory response measured in blood and the severity of the episode.","author":[{"dropping-particle":"","family":"Fernández-Serrano","given":"Silvia","non-dropping-particle":"","parse-names":false,"suffix":""},{"dropping-particle":"","family":"Dorca","given":"Jordi","non-dropping-particle":"","parse-names":false,"suffix":""},{"dropping-particle":"","family":"Coromines","given":"Mercè","non-dropping-particle":"","parse-names":false,"suffix":""},{"dropping-particle":"","family":"Carratalà","given":"Jordi","non-dropping-particle":"","parse-names":false,"suffix":""},{"dropping-particle":"","family":"Gudiol","given":"Francesc","non-dropping-particle":"","parse-names":false,"suffix":""},{"dropping-particle":"","family":"Manresa","given":"Frederic","non-dropping-particle":"","parse-names":false,"suffix":""}],"container-title":"Clinical and Diagnostic Laboratory Immunology","id":"ITEM-1","issue":"5","issued":{"date-parts":[["2003","9"]]},"page":"813-20","title":"Molecular inflammatory responses measured in blood of patients with severe community-acquired pneumonia.","type":"article-journal","volume":"10"},"uris":["http://www.mendeley.com/documents/?uuid=ea8c2500-d6c9-41c8-8b52-2a5673b9db73","http://www.mendeley.com/documents/?uuid=da868fb2-d2e7-42c6-bcef-6ede0ff407e2"]},{"id":"ITEM-2","itemData":{"DOI":"10.1097/CCM.0b013e3182257445","ISSN":"1530-0293","PMID":"21705887","abstract":"OBJECTIVE Increased inflammatory response is related to severity and outcome in community-acquired pneumonia, but the role of inflammatory biomarkers in deciding intensive care unit admission is unknown. We assessed the relationship between inflammatory response, prediction for intensive care unit admission, delayed intensive care unit admission, and outcome in patients with community-acquired pneumonia. DESIGN Prospective clinical study. SETTING Intensive care units of two university hospitals. PATIENTS We included 627 ward and 58 intensive care unit patients with community-acquired pneumonia, 36 with direct and 22 with delayed intensive care unit admission. INTERVENTIONS Serum levels of C-reactive protein, procalcitonin, tumor necrosis factor-α, interleukin-1, interleukin-6, interleukin-8, and interleukin-10 at admission. MEASUREMENTS AND MAIN RESULTS We assessed the prediction for intensive care unit admission of biomarkers and the Infectious Diseases Society of America/American Thoracic Society guidelines minor criteria for severe community-acquired pneumonia. Procalcitonin (p=.001), C-reactive protein (p=.005), tumor necrosis factor-α (p=.042), and interleukin-6 (p=.003) levels were higher in intensive care unit-admitted patients; however, the Infectious Diseases Society of America/American Thoracic Society guidelines minor severity criteria predicted better intensive care unit admission (odds ratio, 12.03; 95% confidence interval, 5.13-28.20; p&lt;.001). No patient with severe community-acquired pneumonia by three or more minor severity criteria and procalcitonin levels below the optimal cutoff (0.35 ng/mL) needed intensive care unit admission compared with 14 (23%) with levels above the cutoff (p=.032). In patients initially admitted to wards, procalcitonin (p=.012) and C-reactive protein (p=.039) were higher in those 22 patients subsequently transferred to the intensive care unit after adjusting for age, comorbidities, and Pneumonia Severity Index risk class. Despite initially admitted to wards, 14 (64%) patients with delayed intensive care unit admission had already criteria for severe community-acquired pneumonia at admission compared with 73 (12%) ward patients (p&lt;.001). CONCLUSION Inflammatory biomarkers identified patients needing intensive care unit admission, including those with delayed intensive care unit admission. Patients with severe community-acquired pneumonia by minor criteria and low levels of procalcitonin may be safely admitted to…","author":[{"dropping-particle":"","family":"Ramírez","given":"Paula","non-dropping-particle":"","parse-names":false,"suffix":""},{"dropping-particle":"","family":"Ferrer","given":"Miquel","non-dropping-particle":"","parse-names":false,"suffix":""},{"dropping-particle":"","family":"Martí","given":"Verónica","non-dropping-particle":"","parse-names":false,"suffix":""},{"dropping-particle":"","family":"Reyes","given":"Soledad","non-dropping-particle":"","parse-names":false,"suffix":""},{"dropping-particle":"","family":"Martínez","given":"Raquel","non-dropping-particle":"","parse-names":false,"suffix":""},{"dropping-particle":"","family":"Menéndez","given":"Rosario","non-dropping-particle":"","parse-names":false,"suffix":""},{"dropping-particle":"","family":"Ewig","given":"Santiago","non-dropping-particle":"","parse-names":false,"suffix":""},{"dropping-particle":"","family":"Torres","given":"Antoni","non-dropping-particle":"","parse-names":false,"suffix":""}],"container-title":"Critical Care Medicine","id":"ITEM-2","issue":"10","issued":{"date-parts":[["2011","10"]]},"page":"2211-7","title":"Inflammatory biomarkers and prediction for intensive care unit admission in severe community-acquired pneumonia.","type":"article-journal","volume":"39"},"uris":["http://www.mendeley.com/documents/?uuid=a21610d3-e7d6-4770-be86-b5992683ef7b","http://www.mendeley.com/documents/?uuid=10581e2f-035d-42ef-89da-b72f820af18a"]},{"id":"ITEM-3","itemData":{"DOI":"10.1183/09031936.00040710","ISSN":"1399-3003","PMID":"20595152","abstract":"Raised systemic levels of interleukin (IL)-6 and IL-10 cytokines have been associated with poorer outcome in community-acquired pneumonia. The aim of our study was to identify potential associated factors with increased levels of IL-6, IL-10, or both cytokines. We performed a prospective study of 685 patients admitted to hospital with community-acquired pneumonia. IL-6 and IL-10 were measured in blood in the first 24 h. 30-day mortality increased from 4.8% to 11.4% (p = 0.003) when both cytokines were higher than the median. Independent associated factors with an excess of IL-6 were neurologic disease, confusion, serum sodium &lt; 130 mEq·L</w:instrText>
      </w:r>
      <w:r w:rsidR="00B53EF6" w:rsidRPr="00372D52">
        <w:rPr>
          <w:rFonts w:ascii="Times New Roman" w:hAnsi="Times New Roman" w:cs="Times New Roman"/>
          <w:sz w:val="24"/>
          <w:szCs w:val="24"/>
        </w:rPr>
        <w:instrText>⁻</w:instrText>
      </w:r>
      <w:r w:rsidR="00B53EF6" w:rsidRPr="00372D52">
        <w:rPr>
          <w:rFonts w:ascii="Book Antiqua" w:hAnsi="Book Antiqua"/>
          <w:sz w:val="24"/>
          <w:szCs w:val="24"/>
        </w:rPr>
        <w:instrText>¹, pleural effusion, and bacteraemia. The associated factors for an excess of IL-10 were respiratory rate ≥ 30 breaths·min</w:instrText>
      </w:r>
      <w:r w:rsidR="00B53EF6" w:rsidRPr="00372D52">
        <w:rPr>
          <w:rFonts w:ascii="Times New Roman" w:hAnsi="Times New Roman" w:cs="Times New Roman"/>
          <w:sz w:val="24"/>
          <w:szCs w:val="24"/>
        </w:rPr>
        <w:instrText>⁻</w:instrText>
      </w:r>
      <w:r w:rsidR="00B53EF6" w:rsidRPr="00372D52">
        <w:rPr>
          <w:rFonts w:ascii="Book Antiqua" w:hAnsi="Book Antiqua"/>
          <w:sz w:val="24"/>
          <w:szCs w:val="24"/>
        </w:rPr>
        <w:instrText>¹, systolic blood pressure &lt; 90 mmHg and glycaemia ≥ 250 mg·dL</w:instrText>
      </w:r>
      <w:r w:rsidR="00B53EF6" w:rsidRPr="00372D52">
        <w:rPr>
          <w:rFonts w:ascii="Times New Roman" w:hAnsi="Times New Roman" w:cs="Times New Roman"/>
          <w:sz w:val="24"/>
          <w:szCs w:val="24"/>
        </w:rPr>
        <w:instrText>⁻</w:instrText>
      </w:r>
      <w:r w:rsidR="00B53EF6" w:rsidRPr="00372D52">
        <w:rPr>
          <w:rFonts w:ascii="Book Antiqua" w:hAnsi="Book Antiqua"/>
          <w:sz w:val="24"/>
          <w:szCs w:val="24"/>
        </w:rPr>
        <w:instrText>¹. The independent associated factors for an excess of both cytokines were confusion, systolic blood pressure &lt; 90 mmHg, pleural effusion and bacteraemia. Protective factors were prior antibiotic treatment and pneumococcal vaccination. Different independent factors are related to an excess of IL-6 and IL-10. Confusion, hypotension, pleural effusion and bacteraemia were associated with the inflammatory profile with the highest mortality rate, whereas anti-pneumococcal vaccination and previous antibiotic treatment appeared to be protective factors.","author":[{"dropping-particle":"","family":"Martínez","given":"R","non-dropping-particle":"","parse-names":false,"suffix":""},{"dropping-particle":"","family":"Menéndez","given":"R","non-dropping-particle":"","parse-names":false,"suffix":""},{"dropping-particle":"","family":"Reyes","given":"S","non-dropping-particle":"","parse-names":false,"suffix":""},{"dropping-particle":"","family":"Polverino","given":"E","non-dropping-particle":"","parse-names":false,"suffix":""},{"dropping-particle":"","family":"Cillóniz","given":"C","non-dropping-particle":"","parse-names":false,"suffix":""},{"dropping-particle":"","family":"Martínez","given":"A","non-dropping-particle":"","parse-names":false,"suffix":""},{"dropping-particle":"","family":"Esquinas","given":"C","non-dropping-particle":"","parse-names":false,"suffix":""},{"dropping-particle":"","family":"Filella","given":"X","non-dropping-particle":"","parse-names":false,"suffix":""},{"dropping-particle":"","family":"Ramírez","given":"P","non-dropping-particle":"","parse-names":false,"suffix":""},{"dropping-particle":"","family":"Torres","given":"A","non-dropping-particle":"","parse-names":false,"suffix":""}],"container-title":"The European Respiratory Journal","id":"ITEM-3","issue":"2","issued":{"date-parts":[["2011","2"]]},"page":"393-9","title":"Factors associated with inflammatory cytokine patterns in community-acquired pneumonia.","type":"article-journal","volume":"37"},"uris":["http://www.mendeley.com/documents/?uuid=efcb3758-83ec-455f-8406-76384292ce8f","http://www.mendeley.com/documents/?uuid=b1b0941e-2ea3-4ff2-b15b-52831394619e"]}],"mendeley":{"formattedCitation":"&lt;sup&gt;[7,43,44]&lt;/sup&gt;","plainTextFormattedCitation":"[7,43,44]","previouslyFormattedCitation":"&lt;sup&gt;[7,43,44]&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[7,4</w:t>
      </w:r>
      <w:r w:rsidR="00371C43" w:rsidRPr="00372D52">
        <w:rPr>
          <w:rFonts w:ascii="Book Antiqua" w:hAnsi="Book Antiqua"/>
          <w:noProof/>
          <w:sz w:val="24"/>
          <w:szCs w:val="24"/>
          <w:vertAlign w:val="superscript"/>
        </w:rPr>
        <w:t>2</w:t>
      </w:r>
      <w:r w:rsidR="00DB420B" w:rsidRPr="00372D52">
        <w:rPr>
          <w:rFonts w:ascii="Book Antiqua" w:hAnsi="Book Antiqua"/>
          <w:noProof/>
          <w:sz w:val="24"/>
          <w:szCs w:val="24"/>
          <w:vertAlign w:val="superscript"/>
        </w:rPr>
        <w:t>,4</w:t>
      </w:r>
      <w:r w:rsidR="00371C43" w:rsidRPr="00372D52">
        <w:rPr>
          <w:rFonts w:ascii="Book Antiqua" w:hAnsi="Book Antiqua"/>
          <w:noProof/>
          <w:sz w:val="24"/>
          <w:szCs w:val="24"/>
          <w:vertAlign w:val="superscript"/>
        </w:rPr>
        <w:t>3</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Pr="00372D52">
        <w:rPr>
          <w:rFonts w:ascii="Book Antiqua" w:hAnsi="Book Antiqua"/>
          <w:sz w:val="24"/>
          <w:szCs w:val="24"/>
        </w:rPr>
        <w:t>. This phenotype may benefit from tailored treatments such as corticosteroids</w:t>
      </w:r>
      <w:r w:rsidR="00E42D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{"citationItems":[{"id":"ITEM-1","itemData":{"DOI":"10.1001/jama.2015.88","ISSN":"1538-3598","PMID":"25688779","abstract":"IMPORTANCE In patients with severe community-acquired pneumonia, treatment failure is associated with excessive inflammatory response and worse outcomes. Corticosteroids may modulate cytokine release in these patients, but the benefit of this adjunctive therapy remains controversial. OBJECTIVE To assess the effect of corticosteroids in patients with severe community-acquired pneumonia and high associated inflammatory response. DESIGN, SETTING, AND PARTICIPANTS Multicenter, randomized, double-blind, placebo-controlled trial conducted in 3 Spanish teaching hospitals involving patients with both severe community-acquired pneumonia and a high inflammatory response, which was defined as a level of C-reactive protein greater than 150 mg/L at admission. Patients were recruited and followed up from June 2004 through February 2012. INTERVENTIONS Patients were randomized to receive either an intravenous bolus of 0.5 mg/kg per 12 hours of methylprednisolone (n = 61) or placebo (n = 59) for 5 days started within 36 hours of hospital admission. MAIN OUTCOMES AND MEASURES The primary outcome was treatment failure (composite outcome of early treatment failure defined as [1] clinical deterioration indicated by development of shock, [2] need for invasive mechanical ventilation not present at baseline, or [3] death within 72 hours of treatment; or composite outcome of late treatment failure defined as [1] radiographic progression, [2] persistence of severe respiratory failure, [3] development of shock, [4] need for invasive mechanical ventilation not present at baseline, or [5] death between 72 hours and 120 hours after treatment initiation; or both early and late treatment failure). In-hospital mortality was a secondary outcome and adverse events were assessed. RESULTS There was less treatment failure among patients from the methylprednisolone group (8 patients [13%]) compared with the placebo group (18 patients [31%]) (P = .02), with a difference between groups of 18% (95% CI, 3% to 32%). Corticosteroid treatment reduced the risk of treatment failure (odds ratio, 0.34 [95% CI, 0.14 to 0.87]; P = .02). In-hospital mortality did not differ between the 2 groups (6 patients [10%] in the methylprednisolone group vs 9 patients [15%] in the placebo group; P = .37); the difference between groups was 5% (95% CI, -6% to 17%). Hyperglycemia occurred in 11 patients (18%) in the methylprednisolone group and in 7 patients (12%) in the placebo group (P = .34). CONCLUSIONS AND RELEVAN…","author":[{"dropping-particle":"","family":"Torres","given":"Antoni","non-dropping-particle":"","parse-names":false,"suffix":""},{"dropping-particle":"","family":"Sibila","given":"Oriol","non-dropping-particle":"","parse-names":false,"suffix":""},{"dropping-particle":"","family":"Ferrer","given":"Miquel","non-dropping-particle":"","parse-names":false,"suffix":""},{"dropping-particle":"","family":"Polverino","given":"Eva","non-dropping-particle":"","parse-names":false,"suffix":""},{"dropping-particle":"","family":"Menendez","given":"Rosario","non-dropping-particle":"","parse-names":false,"suffix":""},{"dropping-particle":"","family":"Mensa","given":"Josep","non-dropping-particle":"","parse-names":false,"suffix":""},{"dropping-particle":"","family":"Gabarrús","given":"Albert","non-dropping-particle":"","parse-names":false,"suffix":""},{"dropping-particle":"","family":"Sellarés","given":"Jacobo","non-dropping-particle":"","parse-names":false,"suffix":""},{"dropping-particle":"","family":"Restrepo","given":"Marcos I","non-dropping-particle":"","parse-names":false,"suffix":""},{"dropping-particle":"","family":"Anzueto","given":"Antonio","non-dropping-particle":"","parse-names":false,"suffix":""},{"dropping-particle":"","family":"Niederman","given":"Michael S","non-dropping-particle":"","parse-names":false,"suffix":""},{"dropping-particle":"","family":"Agustí","given":"Carles","non-dropping-particle":"","parse-names":false,"suffix":""}],"container-title":"JAMA","id":"ITEM-1","issue":"7","issued":{"date-parts":[["2015","2"]]},"page":"677-86","title":"Effect of corticosteroids on treatment failure among hospitalized patients with severe community-acquired pneumonia and high inflammatory response: a randomized clinical trial.","type":"article-journal","volume":"313"},"uris":["http://www.mendeley.com/documents/?uuid=52f7ae17-552e-40fd-a045-d9b1ce4a508d","http://www.mendeley.com/documents/?uuid=4a61569a-5892-4de5-81ab-90782a789ff3"]}],"mendeley":{"formattedCitation":"&lt;sup&gt;[45]&lt;/sup&gt;","plainTextFormattedCitation":"[45]","previouslyFormattedCitation":"&lt;sup&gt;[45]&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w:t>
      </w:r>
      <w:r w:rsidR="002F20AA" w:rsidRPr="00372D52">
        <w:rPr>
          <w:rFonts w:ascii="Book Antiqua" w:hAnsi="Book Antiqua"/>
          <w:noProof/>
          <w:sz w:val="24"/>
          <w:szCs w:val="24"/>
          <w:vertAlign w:val="superscript"/>
        </w:rPr>
        <w:t>17</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Pr="00372D52">
        <w:rPr>
          <w:rFonts w:ascii="Book Antiqua" w:hAnsi="Book Antiqua"/>
          <w:sz w:val="24"/>
          <w:szCs w:val="24"/>
        </w:rPr>
        <w:t>. While cytokine panels may accurately identify the hyper-inflammatory phenotype, these panels are expensive, not universally available, and have a slow turn-around time that limits their ability to help guide potential treatments. Correlation of the natural history of CRP in relation to these cytokine patterns may allow for CRP to be a surrogate of these more expensive and cumbersome diagnostic panels.</w:t>
      </w:r>
    </w:p>
    <w:p w14:paraId="49BEE440" w14:textId="77777777" w:rsidR="008D14EE" w:rsidRPr="00372D52" w:rsidRDefault="008D14EE" w:rsidP="00372D52">
      <w:pPr>
        <w:spacing w:after="0" w:line="360" w:lineRule="auto"/>
        <w:jc w:val="both"/>
        <w:rPr>
          <w:rFonts w:ascii="Book Antiqua" w:hAnsi="Book Antiqua"/>
          <w:i/>
          <w:sz w:val="24"/>
          <w:szCs w:val="24"/>
        </w:rPr>
      </w:pPr>
    </w:p>
    <w:p w14:paraId="3B474191" w14:textId="1211A52D" w:rsidR="008D14EE" w:rsidRPr="00372D52" w:rsidRDefault="008D14EE" w:rsidP="00372D52">
      <w:pPr>
        <w:spacing w:after="0" w:line="360" w:lineRule="auto"/>
        <w:jc w:val="both"/>
        <w:rPr>
          <w:rFonts w:ascii="Book Antiqua" w:hAnsi="Book Antiqua"/>
          <w:b/>
          <w:bCs/>
          <w:i/>
          <w:sz w:val="24"/>
          <w:szCs w:val="24"/>
        </w:rPr>
      </w:pPr>
      <w:r w:rsidRPr="00372D52">
        <w:rPr>
          <w:rFonts w:ascii="Book Antiqua" w:hAnsi="Book Antiqua"/>
          <w:b/>
          <w:bCs/>
          <w:i/>
          <w:sz w:val="24"/>
          <w:szCs w:val="24"/>
        </w:rPr>
        <w:lastRenderedPageBreak/>
        <w:t xml:space="preserve">Biomarkers </w:t>
      </w:r>
      <w:r w:rsidR="00B77ABA" w:rsidRPr="00372D52">
        <w:rPr>
          <w:rFonts w:ascii="Book Antiqua" w:hAnsi="Book Antiqua"/>
          <w:b/>
          <w:bCs/>
          <w:i/>
          <w:sz w:val="24"/>
          <w:szCs w:val="24"/>
        </w:rPr>
        <w:t>i</w:t>
      </w:r>
      <w:r w:rsidRPr="00372D52">
        <w:rPr>
          <w:rFonts w:ascii="Book Antiqua" w:hAnsi="Book Antiqua"/>
          <w:b/>
          <w:bCs/>
          <w:i/>
          <w:sz w:val="24"/>
          <w:szCs w:val="24"/>
        </w:rPr>
        <w:t xml:space="preserve">n </w:t>
      </w:r>
      <w:r w:rsidR="006E5DC9" w:rsidRPr="00372D52">
        <w:rPr>
          <w:rFonts w:ascii="Book Antiqua" w:hAnsi="Book Antiqua"/>
          <w:b/>
          <w:bCs/>
          <w:i/>
          <w:sz w:val="24"/>
          <w:szCs w:val="24"/>
        </w:rPr>
        <w:t>ARDS</w:t>
      </w:r>
    </w:p>
    <w:p w14:paraId="37AB3B1B" w14:textId="7BFAEA14" w:rsidR="008D14EE" w:rsidRPr="00372D52" w:rsidRDefault="008D14EE" w:rsidP="00372D52">
      <w:pPr>
        <w:spacing w:after="0" w:line="360" w:lineRule="auto"/>
        <w:jc w:val="both"/>
        <w:rPr>
          <w:rFonts w:ascii="Book Antiqua" w:hAnsi="Book Antiqua"/>
          <w:sz w:val="24"/>
          <w:szCs w:val="24"/>
        </w:rPr>
      </w:pPr>
      <w:r w:rsidRPr="00372D52">
        <w:rPr>
          <w:rFonts w:ascii="Book Antiqua" w:hAnsi="Book Antiqua"/>
          <w:sz w:val="24"/>
          <w:szCs w:val="24"/>
        </w:rPr>
        <w:t xml:space="preserve">Similar to CAP, biomarkers have the potential to aid in diagnosis, </w:t>
      </w:r>
      <w:r w:rsidRPr="00372D52">
        <w:rPr>
          <w:rFonts w:ascii="Book Antiqua" w:hAnsi="Book Antiqua"/>
          <w:sz w:val="24"/>
          <w:szCs w:val="24"/>
          <w:lang w:val="en"/>
        </w:rPr>
        <w:t xml:space="preserve">risk stratification, prognostication, and treatment response in ARDS. </w:t>
      </w:r>
      <w:r w:rsidRPr="00372D52">
        <w:rPr>
          <w:rFonts w:ascii="Book Antiqua" w:hAnsi="Book Antiqua"/>
          <w:sz w:val="24"/>
          <w:szCs w:val="24"/>
        </w:rPr>
        <w:t>A wide variety of biomarkers have been studied in the ARDS population and many have been found to correlate with worse outcomes</w:t>
      </w:r>
      <w:r w:rsidR="00E42D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{"citationItems":[{"id":"ITEM-1","itemData":{"DOI":"10.1186/s12950-018-0202-y","ISSN":"1476-9255","PMID":"30675131","abstract":"Acute lung injury (ALI) affects over 10% of patients hospitalised in critical care, with acute respiratory distress syndrome (ARDS) being the most severe form of ALI and having a mortality rate in the region of 40%. There has been slow but incremental progress in identification of biomarkers that contribute to the pathophysiology of ARDS, have utility in diagnosis and monitoring, and that are potential therapeutic targets (Calfee CS, Delucchi K, Parsons PE, Thompson BT, Ware LB, Matthay MA, Thompson T, Ware LB, Matthay MA, Lancet Respir Med 2014, 2:611--620). However, a major issue is that ARDS is such a heterogeneous, multi-factorial, end-stage condition that the strategies for \"lumping and splitting\" are critical (Prescott HC, Calfee CS, Thompson BT, Angus DC, Liu VX, Am J Respir Crit Care Med 2016, 194:147--155). Nevertheless, sequencing of the human genome, the availability of improved methods for analysis of transcription to mRNA (gene expression), and development of sensitive immunoassays has allowed the application of network biology to ARDS, with these biomarkers offering potential for personalised or precision medicine (Sweeney TE, Khatri P, Toward precision medicine Crit Care Med; 2017 45:934-939). Biomarker panels have potential applications in molecular phenotyping for identifying patients at risk of developing ARDS, diagnosis of ARDS, risk stratification and monitoring. Two subphenotypes of ARDS have been identified on the basis of blood biomarkers: hypo-inflammatory and hyper-inflammatory. The hyper-inflammatory subphenotype is associated with shock, metabolic acidosis and worst clinical outcomes. Biomarkers of particular interest have included interleukins (IL-6 and IL-8), interferon gamma (IFN-γ), surfactant proteins (SPD and SPB), von Willebrand factor antigen, angiopoietin 1/2 and plasminogen activator inhibitor-1 (PAI-1). In terms of gene expression (mRNA) in blood there have been found to be increases in neutrophil-related genes in sepsis-induced and influenza-induced ARDS, but whole blood expression does not give a robust diagnostic test for ARDS. Despite improvements in management of ARDS on the critical care unit, this complex disease continues to be a major life-threatening event. Clinical trials of β2-agonists, statins, surfactants and keratinocyte growth factor (KGF) have been disappointing. In addition, monoclonal antibodies (anti-TNF) and TNFR fusion protein have also been unconvincing. However, there have been major advances…","author":[{"dropping-particle":"","family":"Spadaro","given":"Savino","non-dropping-particle":"","parse-names":false,"suffix":""},{"dropping-particle":"","family":"Park","given":"Mirae","non-dropping-particle":"","parse-names":false,"suffix":""},{"dropping-particle":"","family":"Turrini","given":"Cecilia","non-dropping-particle":"","parse-names":false,"suffix":""},{"dropping-particle":"","family":"Tunstall","given":"Tanushree","non-dropping-particle":"","parse-names":false,"suffix":""},{"dropping-particle":"","family":"Thwaites","given":"Ryan","non-dropping-particle":"","parse-names":false,"suffix":""},{"dropping-particle":"","family":"Mauri","given":"Tommaso","non-dropping-particle":"","parse-names":false,"suffix":""},{"dropping-particle":"","family":"Ragazzi","given":"Riccardo","non-dropping-particle":"","parse-names":false,"suffix":""},{"dropping-particle":"","family":"Ruggeri","given":"Paolo","non-dropping-particle":"","parse-names":false,"suffix":""},{"dropping-particle":"","family":"Hansel","given":"Trevor T","non-dropping-particle":"","parse-names":false,"suffix":""},{"dropping-particle":"","family":"Caramori","given":"Gaetano","non-dropping-particle":"","parse-names":false,"suffix":""},{"dropping-particle":"","family":"Volta","given":"Carlo Alberto","non-dropping-particle":"","parse-names":false,"suffix":""}],"container-title":"Journal of Inflammation","id":"ITEM-1","issued":{"date-parts":[["2019"]]},"page":"1","title":"Biomarkers for Acute Respiratory Distress syndrome and prospects for personalised medicine.","type":"article-journal","volume":"16"},"uris":["http://www.mendeley.com/documents/?uuid=5a70684e-3738-4917-bb14-06ab731858d3","http://www.mendeley.com/documents/?uuid=15ff35df-0e4d-4f1b-b97e-6a9965e9c037"]}],"mendeley":{"formattedCitation":"&lt;sup&gt;[46]&lt;/sup&gt;","plainTextFormattedCitation":"[46]","previouslyFormattedCitation":"&lt;sup&gt;[46]&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[4</w:t>
      </w:r>
      <w:r w:rsidR="002F20AA" w:rsidRPr="00372D52">
        <w:rPr>
          <w:rFonts w:ascii="Book Antiqua" w:hAnsi="Book Antiqua"/>
          <w:noProof/>
          <w:sz w:val="24"/>
          <w:szCs w:val="24"/>
          <w:vertAlign w:val="superscript"/>
        </w:rPr>
        <w:t>4</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00D42981">
        <w:rPr>
          <w:rFonts w:ascii="Book Antiqua" w:hAnsi="Book Antiqua"/>
          <w:sz w:val="24"/>
          <w:szCs w:val="24"/>
        </w:rPr>
        <w:t xml:space="preserve"> </w:t>
      </w:r>
      <w:r w:rsidR="004A14A8" w:rsidRPr="00372D52">
        <w:rPr>
          <w:rFonts w:ascii="Book Antiqua" w:hAnsi="Book Antiqua"/>
          <w:sz w:val="24"/>
          <w:szCs w:val="24"/>
        </w:rPr>
        <w:t>(Table 2)</w:t>
      </w:r>
      <w:r w:rsidRPr="00372D52">
        <w:rPr>
          <w:rFonts w:ascii="Book Antiqua" w:hAnsi="Book Antiqua"/>
          <w:sz w:val="24"/>
          <w:szCs w:val="24"/>
        </w:rPr>
        <w:t>. A combination of biomarkers that pull from multiple areas described in conjunction with clinical predictors was found to be superior to any single component at mortality prediction</w:t>
      </w:r>
      <w:r w:rsidR="00E42D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{"citationItems":[{"id":"ITEM-1","itemData":{"DOI":"10.1378/chest.09-1484","ISSN":"1931-3543","PMID":"19858233","abstract":"BACKGROUND No single clinical or biologic marker reliably predicts clinical outcomes in acute lung injury (ALI)/ARDS. We hypothesized that a combination of biologic and clinical markers would be superior to either biomarkers or clinical factors alone in predicting ALI/ARDS mortality and would provide insight into the pathogenesis of clinical ALI/ARDS. METHODS Eight biologic markers that reflect endothelial and epithelial injury, inflammation, and coagulation (von Willebrand factor antigen, surfactant protein D [SP-D]), tumor necrosis factor receptor-1, interleukin [IL]-6, IL-8, intercellular adhesion molecule-1, protein C, plasminogen activator inhibitor-1) were measured in baseline plasma from 549 patients in the ARDSNet trial of low vs high positive end-expiratory pressure. Mortality was modeled with multivariable logistic regression. Predictors were selected using backward elimination. Comparisons between candidate models were based on the receiver operating characteristics (ROC) and tests of integrated discrimination improvement. RESULTS Clinical predictors (Acute Physiology And Chronic Health Evaluation III [APACHE III], organ failures, age, underlying cause, alveolar-arterial oxygen gradient, plateau pressure) predicted mortality with an area under the ROC curve (AUC) of 0.82; a combination of eight biomarkers and the clinical predictors had an AUC of 0.85. The best performing biomarkers were the neutrophil chemotactic factor, IL-8, and SP-D, a product of alveolar type 2 cells, supporting the concept that acute inflammation and alveolar epithelial injury are important pathogenetic pathways in human ALI/ARDS. CONCLUSIONS A combination of biomarkers and clinical predictors is superior to clinical predictors or biomarkers alone for predicting mortality in ALI/ARDS and may be useful for stratifying patients in clinical trials. From a pathogenesis perspective, the degree of acute inflammation and alveolar epithelial injury are highly associated with the outcome of human ALI/ARDS.","author":[{"dropping-particle":"","family":"Ware","given":"Lorraine B","non-dropping-particle":"","parse-names":false,"suffix":""},{"dropping-particle":"","family":"Koyama","given":"Tatsuki","non-dropping-particle":"","parse-names":false,"suffix":""},{"dropping-particle":"","family":"Billheimer","given":"D Dean","non-dropping-particle":"","parse-names":false,"suffix":""},{"dropping-particle":"","family":"Wu","given":"William","non-dropping-particle":"","parse-names":false,"suffix":""},{"dropping-particle":"","family":"Bernard","given":"Gordon R","non-dropping-particle":"","parse-names":false,"suffix":""},{"dropping-particle":"","family":"Thompson","given":"B Taylor","non-dropping-particle":"","parse-names":false,"suffix":""},{"dropping-particle":"","family":"Brower","given":"Roy G","non-dropping-particle":"","parse-names":false,"suffix":""},{"dropping-particle":"","family":"Standiford","given":"Theodore J","non-dropping-particle":"","parse-names":false,"suffix":""},{"dropping-particle":"","family":"Martin","given":"Thomas R","non-dropping-particle":"","parse-names":false,"suffix":""},{"dropping-particle":"","family":"Matthay","given":"Michael A","non-dropping-particle":"","parse-names":false,"suffix":""},{"dropping-particle":"","family":"NHLBI ARDS Clinical Trials Network","given":"","non-dropping-particle":"","parse-names":false,"suffix":""}],"container-title":"Chest","id":"ITEM-1","issue":"2","issued":{"date-parts":[["2010","2"]]},"page":"288-96","title":"Prognostic and pathogenetic value of combining clinical and biochemical indices in patients with acute lung injury.","type":"article-journal","volume":"137"},"uris":["http://www.mendeley.com/documents/?uuid=e28aec1f-bc26-46ad-80da-39907fd92711","http://www.mendeley.com/documents/?uuid=e721352f-823d-42df-b136-113b6938710e"]}],"mendeley":{"formattedCitation":"&lt;sup&gt;[47]&lt;/sup&gt;","plainTextFormattedCitation":"[47]","previouslyFormattedCitation":"&lt;sup&gt;[47]&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[4</w:t>
      </w:r>
      <w:r w:rsidR="002F20AA" w:rsidRPr="00372D52">
        <w:rPr>
          <w:rFonts w:ascii="Book Antiqua" w:hAnsi="Book Antiqua"/>
          <w:noProof/>
          <w:sz w:val="24"/>
          <w:szCs w:val="24"/>
          <w:vertAlign w:val="superscript"/>
        </w:rPr>
        <w:t>5</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Pr="00372D52">
        <w:rPr>
          <w:rFonts w:ascii="Book Antiqua" w:hAnsi="Book Antiqua"/>
          <w:sz w:val="24"/>
          <w:szCs w:val="24"/>
        </w:rPr>
        <w:t>.</w:t>
      </w:r>
    </w:p>
    <w:p w14:paraId="3F075612" w14:textId="77777777" w:rsidR="008D14EE" w:rsidRPr="00372D52" w:rsidRDefault="008D14EE" w:rsidP="00372D52">
      <w:pPr>
        <w:spacing w:after="0" w:line="360" w:lineRule="auto"/>
        <w:jc w:val="both"/>
        <w:rPr>
          <w:rFonts w:ascii="Book Antiqua" w:hAnsi="Book Antiqua"/>
          <w:sz w:val="24"/>
          <w:szCs w:val="24"/>
        </w:rPr>
      </w:pPr>
    </w:p>
    <w:p w14:paraId="177DD386" w14:textId="04B9D952" w:rsidR="008D14EE" w:rsidRPr="00372D52" w:rsidRDefault="008D14EE" w:rsidP="00372D52">
      <w:pPr>
        <w:spacing w:after="0" w:line="360" w:lineRule="auto"/>
        <w:jc w:val="both"/>
        <w:rPr>
          <w:rFonts w:ascii="Book Antiqua" w:hAnsi="Book Antiqua"/>
          <w:b/>
          <w:bCs/>
          <w:i/>
          <w:sz w:val="24"/>
          <w:szCs w:val="24"/>
        </w:rPr>
      </w:pPr>
      <w:r w:rsidRPr="00372D52">
        <w:rPr>
          <w:rFonts w:ascii="Book Antiqua" w:hAnsi="Book Antiqua"/>
          <w:b/>
          <w:bCs/>
          <w:i/>
          <w:sz w:val="24"/>
          <w:szCs w:val="24"/>
        </w:rPr>
        <w:t xml:space="preserve">Cytokines in </w:t>
      </w:r>
      <w:r w:rsidR="006E5DC9" w:rsidRPr="00372D52">
        <w:rPr>
          <w:rFonts w:ascii="Book Antiqua" w:hAnsi="Book Antiqua"/>
          <w:b/>
          <w:bCs/>
          <w:i/>
          <w:sz w:val="24"/>
          <w:szCs w:val="24"/>
        </w:rPr>
        <w:t>ARDS</w:t>
      </w:r>
    </w:p>
    <w:p w14:paraId="51286D22" w14:textId="2C227F27" w:rsidR="008D14EE" w:rsidRPr="00372D52" w:rsidRDefault="008D14EE" w:rsidP="00372D52">
      <w:pPr>
        <w:spacing w:after="0" w:line="360" w:lineRule="auto"/>
        <w:jc w:val="both"/>
        <w:rPr>
          <w:rFonts w:ascii="Book Antiqua" w:hAnsi="Book Antiqua"/>
          <w:sz w:val="24"/>
          <w:szCs w:val="24"/>
        </w:rPr>
      </w:pPr>
      <w:r w:rsidRPr="00372D52">
        <w:rPr>
          <w:rFonts w:ascii="Book Antiqua" w:hAnsi="Book Antiqua"/>
          <w:sz w:val="24"/>
          <w:szCs w:val="24"/>
        </w:rPr>
        <w:t xml:space="preserve">Inflammatory cytokines have been extensively studied in ARDS and have proven useful at identifying hyper-inflammatory phenotypes. Utilizing latent class analysis and cytokine panels consisting of protein C, plasminogen activator inhibitor-1 (PAI-1), IL-6 and 8, </w:t>
      </w:r>
      <w:r w:rsidR="005A4DC4" w:rsidRPr="00372D52">
        <w:rPr>
          <w:rFonts w:ascii="Book Antiqua" w:hAnsi="Book Antiqua"/>
          <w:sz w:val="24"/>
          <w:szCs w:val="24"/>
        </w:rPr>
        <w:t>TNF</w:t>
      </w:r>
      <w:r w:rsidRPr="00372D52">
        <w:rPr>
          <w:rFonts w:ascii="Book Antiqua" w:hAnsi="Book Antiqua"/>
          <w:sz w:val="24"/>
          <w:szCs w:val="24"/>
        </w:rPr>
        <w:t xml:space="preserve"> receptor-I, intercellular adhesion molecule-1 (ICAM-1), surfactant protein D, and von</w:t>
      </w:r>
      <w:r w:rsidR="00D9243F" w:rsidRPr="00372D52">
        <w:rPr>
          <w:rFonts w:ascii="Book Antiqua" w:hAnsi="Book Antiqua"/>
          <w:sz w:val="24"/>
          <w:szCs w:val="24"/>
        </w:rPr>
        <w:t xml:space="preserve"> </w:t>
      </w:r>
      <w:r w:rsidRPr="00372D52">
        <w:rPr>
          <w:rFonts w:ascii="Book Antiqua" w:hAnsi="Book Antiqua"/>
          <w:sz w:val="24"/>
          <w:szCs w:val="24"/>
        </w:rPr>
        <w:t>Willebrand factor antigen, Calfee</w:t>
      </w:r>
      <w:r w:rsidR="00D9243F" w:rsidRPr="00372D52">
        <w:rPr>
          <w:rFonts w:ascii="Book Antiqua" w:hAnsi="Book Antiqua"/>
          <w:sz w:val="24"/>
          <w:szCs w:val="24"/>
        </w:rPr>
        <w:t xml:space="preserve"> </w:t>
      </w:r>
      <w:r w:rsidRPr="00372D52">
        <w:rPr>
          <w:rFonts w:ascii="Book Antiqua" w:hAnsi="Book Antiqua"/>
          <w:i/>
          <w:iCs/>
          <w:sz w:val="24"/>
          <w:szCs w:val="24"/>
        </w:rPr>
        <w:t xml:space="preserve">et </w:t>
      </w:r>
      <w:r w:rsidR="00D9243F" w:rsidRPr="00372D52">
        <w:rPr>
          <w:rFonts w:ascii="Book Antiqua" w:hAnsi="Book Antiqua"/>
          <w:i/>
          <w:iCs/>
          <w:sz w:val="24"/>
          <w:szCs w:val="24"/>
        </w:rPr>
        <w:t>a</w:t>
      </w:r>
      <w:r w:rsidRPr="00372D52">
        <w:rPr>
          <w:rFonts w:ascii="Book Antiqua" w:hAnsi="Book Antiqua"/>
          <w:i/>
          <w:iCs/>
          <w:sz w:val="24"/>
          <w:szCs w:val="24"/>
        </w:rPr>
        <w:t>l</w:t>
      </w:r>
      <w:r w:rsidR="005A4DC4" w:rsidRPr="00372D52">
        <w:rPr>
          <w:rFonts w:ascii="Book Antiqua" w:hAnsi="Book Antiqua"/>
          <w:sz w:val="24"/>
          <w:szCs w:val="24"/>
        </w:rPr>
        <w:fldChar w:fldCharType="begin" w:fldLock="1"/>
      </w:r>
      <w:r w:rsidR="005A4DC4" w:rsidRPr="00372D52">
        <w:rPr>
          <w:rFonts w:ascii="Book Antiqua" w:hAnsi="Book Antiqua"/>
          <w:sz w:val="24"/>
          <w:szCs w:val="24"/>
        </w:rPr>
        <w:instrText>ADDIN CSL_CITATION {"citationItems":[{"id":"ITEM-1","itemData":{"DOI":"10.1016/S2213-2600(14)70097-9","ISSN":"2213-2619","PMID":"24853585","abstract":"BACKGROUND Subphenotypes have been identified within heterogeneous diseases such as asthma and breast cancer, with important therapeutic implications. We assessed whether subphenotypes exist within acute respiratory distress syndrome (ARDS), another heterogeneous disorder. METHODS We used data from two ARDS randomised controlled trials (ARMA trial and ALVEOLI trial), sponsored by the National Heart, Lung, and Blood Institute. We applied latent class modelling to identify subphenotypes using clinical and biological data. We modelled data from both studies independently. We then tested the association of subphenotypes with clinical outcomes in both cohorts and with the response to positive end-expiratory pressure (PEEP) in the ALVEOLI cohort. FINDINGS We analysed data for 1022 patients: 473 in the ARMA cohort and 549 in the ALVEOLI cohort. Independent latent class models indicated that a two-class (ie, two subphenotype) model was the best fit for both cohorts. In both cohorts, we identified a hyperinflammatory subphenotype (phenotype 2) that was characterised by higher plasma concentrations of inflammatory biomarkers, a higher prevalence of vasopressor use, lower serum bicarbonate concentrations, and a higher prevalence of sepsis than phenotype 1. Participants in phenotype 2 had higher mortality and fewer ventilator-free days and organ failure-free days in both cohorts than did those in phenotype 1 (p&lt;0·007 for all). In the ALVEOLI cohort, the effects of ventilation strategy (high PEEP vs low PEEP) on mortality, ventilator-free days and organ failure-free days differed by phenotype (p=0·049 for mortality, p=0·018 for ventilator-free days, p=0·003 for organ-failure-free days). INTERPRETATION We have identified two subphenotypes within ARDS, one of which is categorised by more severe inflammation, shock, and metabolic acidosis and by worse clinical outcomes. Response to treatment in a randomised trial of PEEP strategies differed on the basis of subphenotype. Identification of ARDS subphenotypes might be useful in selecting patients for future clinical trials. FUNDING National Institutes of Health.","author":[{"dropping-particle":"","family":"Calfee","given":"Carolyn S","non-dropping-particle":"","parse-names":false,"suffix":""},{"dropping-particle":"","family":"Delucchi","given":"Kevin","non-dropping-particle":"","parse-names":false,"suffix":""},{"dropping-particle":"","family":"Parsons","given":"Polly E","non-dropping-particle":"","parse-names":false,"suffix":""},{"dropping-particle":"","family":"Thompson","given":"B Taylor","non-dropping-particle":"","parse-names":false,"suffix":""},{"dropping-particle":"","family":"Ware","given":"Lorraine B","non-dropping-particle":"","parse-names":false,"suffix":""},{"dropping-particle":"","family":"Matthay","given":"Michael A","non-dropping-particle":"","parse-names":false,"suffix":""},{"dropping-particle":"","family":"NHLBI ARDS Network","given":"","non-dropping-particle":"","parse-names":false,"suffix":""}],"container-title":"The Lancet Respiratory Medicine","id":"ITEM-1","issue":"8","issued":{"date-parts":[["2014","8"]]},"page":"611-20","title":"Subphenotypes in acute respiratory distress syndrome: latent class analysis of data from two randomised controlled trials.","type":"article-journal","volume":"2"},"uris":["http://www.mendeley.com/documents/?uuid=838dcc1e-1354-402d-96f0-9ca3d2a1124d","http://www.mendeley.com/documents/?uuid=7d375e79-a626-4adc-95a2-99682ec4a773"]}],"mendeley":{"formattedCitation":"&lt;sup&gt;[8]&lt;/sup&gt;","plainTextFormattedCitation":"[8]","previouslyFormattedCitation":"&lt;sup&gt;[8]&lt;/sup&gt;"},"properties":{"noteIndex":0},"schema":"https://github.com/citation-style-language/schema/raw/master/csl-citation.json"}</w:instrText>
      </w:r>
      <w:r w:rsidR="005A4DC4" w:rsidRPr="00372D52">
        <w:rPr>
          <w:rFonts w:ascii="Book Antiqua" w:hAnsi="Book Antiqua"/>
          <w:sz w:val="24"/>
          <w:szCs w:val="24"/>
        </w:rPr>
        <w:fldChar w:fldCharType="separate"/>
      </w:r>
      <w:r w:rsidR="005A4DC4" w:rsidRPr="00372D52">
        <w:rPr>
          <w:rFonts w:ascii="Book Antiqua" w:hAnsi="Book Antiqua"/>
          <w:noProof/>
          <w:sz w:val="24"/>
          <w:szCs w:val="24"/>
          <w:vertAlign w:val="superscript"/>
        </w:rPr>
        <w:t>[8]</w:t>
      </w:r>
      <w:r w:rsidR="005A4DC4" w:rsidRPr="00372D52">
        <w:rPr>
          <w:rFonts w:ascii="Book Antiqua" w:hAnsi="Book Antiqua"/>
          <w:sz w:val="24"/>
          <w:szCs w:val="24"/>
        </w:rPr>
        <w:fldChar w:fldCharType="end"/>
      </w:r>
      <w:r w:rsidRPr="00372D52">
        <w:rPr>
          <w:rFonts w:ascii="Book Antiqua" w:hAnsi="Book Antiqua"/>
          <w:sz w:val="24"/>
          <w:szCs w:val="24"/>
        </w:rPr>
        <w:t xml:space="preserve"> identified two ARDS phenotypes, a hyper and hypo-inflammatory type. The hyper-inflammatory phenotype was associated with increased inflammatory biomarker levels (IL-6 and 8, TNFr1, PAI-1, and ICAM-1) vasopressor use, prevalence of sepsis, acidosis, and 90-d mortality, and decreased ventilator and organ failure free days. </w:t>
      </w:r>
      <w:r w:rsidR="00E23156" w:rsidRPr="00372D52">
        <w:rPr>
          <w:rFonts w:ascii="Book Antiqua" w:hAnsi="Book Antiqua"/>
          <w:sz w:val="24"/>
          <w:szCs w:val="24"/>
        </w:rPr>
        <w:t>Furthermore, a high PEEP strategy was associated with a significant decrease in mortality in the hyper-inflammatory group suggesting a possible therapeutic implication of distinguishing phenotypes</w:t>
      </w:r>
      <w:r w:rsidR="00DB420B"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{"citationItems":[{"id":"ITEM-1","itemData":{"DOI":"10.1016/S2213-2600(14)70097-9","ISSN":"2213-2619","PMID":"24853585","abstract":"BACKGROUND Subphenotypes have been identified within heterogeneous diseases such as asthma and breast cancer, with important therapeutic implications. We assessed whether subphenotypes exist within acute respiratory distress syndrome (ARDS), another heterogeneous disorder. METHODS We used data from two ARDS randomised controlled trials (ARMA trial and ALVEOLI trial), sponsored by the National Heart, Lung, and Blood Institute. We applied latent class modelling to identify subphenotypes using clinical and biological data. We modelled data from both studies independently. We then tested the association of subphenotypes with clinical outcomes in both cohorts and with the response to positive end-expiratory pressure (PEEP) in the ALVEOLI cohort. FINDINGS We analysed data for 1022 patients: 473 in the ARMA cohort and 549 in the ALVEOLI cohort. Independent latent class models indicated that a two-class (ie, two subphenotype) model was the best fit for both cohorts. In both cohorts, we identified a hyperinflammatory subphenotype (phenotype 2) that was characterised by higher plasma concentrations of inflammatory biomarkers, a higher prevalence of vasopressor use, lower serum bicarbonate concentrations, and a higher prevalence of sepsis than phenotype 1. Participants in phenotype 2 had higher mortality and fewer ventilator-free days and organ failure-free days in both cohorts than did those in phenotype 1 (p&lt;0·007 for all). In the ALVEOLI cohort, the effects of ventilation strategy (high PEEP vs low PEEP) on mortality, ventilator-free days and organ failure-free days differed by phenotype (p=0·049 for mortality, p=0·018 for ventilator-free days, p=0·003 for organ-failure-free days). INTERPRETATION We have identified two subphenotypes within ARDS, one of which is categorised by more severe inflammation, shock, and metabolic acidosis and by worse clinical outcomes. Response to treatment in a randomised trial of PEEP strategies differed on the basis of subphenotype. Identification of ARDS subphenotypes might be useful in selecting patients for future clinical trials. FUNDING National Institutes of Health.","author":[{"dropping-particle":"","family":"Calfee","given":"Carolyn S","non-dropping-particle":"","parse-names":false,"suffix":""},{"dropping-particle":"","family":"Delucchi","given":"Kevin","non-dropping-particle":"","parse-names":false,"suffix":""},{"dropping-particle":"","family":"Parsons","given":"Polly E","non-dropping-particle":"","parse-names":false,"suffix":""},{"dropping-particle":"","family":"Thompson","given":"B Taylor","non-dropping-particle":"","parse-names":false,"suffix":""},{"dropping-particle":"","family":"Ware","given":"Lorraine B","non-dropping-particle":"","parse-names":false,"suffix":""},{"dropping-particle":"","family":"Matthay","given":"Michael A","non-dropping-particle":"","parse-names":false,"suffix":""},{"dropping-particle":"","family":"NHLBI ARDS Network","given":"","non-dropping-particle":"","parse-names":false,"suffix":""}],"container-title":"The Lancet Respiratory Medicine","id":"ITEM-1","issue":"8","issued":{"date-parts":[["2014","8"]]},"page":"611-20","title":"Subphenotypes in acute respiratory distress syndrome: latent class analysis of data from two randomised controlled trials.","type":"article-journal","volume":"2"},"uris":["http://www.mendeley.com/documents/?uuid=7d375e79-a626-4adc-95a2-99682ec4a773"]}],"mendeley":{"formattedCitation":"&lt;sup&gt;[8]&lt;/sup&gt;","plainTextFormattedCitation":"[8]","previouslyFormattedCitation":"&lt;sup&gt;[8]&lt;/sup&gt;"},"properties":{"noteIndex":0},"schema":"https://github.com/citation-style-language/schema/raw/master/csl-citation.json"}</w:instrText>
      </w:r>
      <w:r w:rsidR="00DB420B"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[8]</w:t>
      </w:r>
      <w:r w:rsidR="00DB420B" w:rsidRPr="00372D52">
        <w:rPr>
          <w:rFonts w:ascii="Book Antiqua" w:hAnsi="Book Antiqua"/>
          <w:sz w:val="24"/>
          <w:szCs w:val="24"/>
        </w:rPr>
        <w:fldChar w:fldCharType="end"/>
      </w:r>
      <w:r w:rsidR="00E23156" w:rsidRPr="00372D52">
        <w:rPr>
          <w:rFonts w:ascii="Book Antiqua" w:hAnsi="Book Antiqua"/>
          <w:sz w:val="24"/>
          <w:szCs w:val="24"/>
        </w:rPr>
        <w:t>.</w:t>
      </w:r>
      <w:r w:rsidR="00DB420B" w:rsidRPr="00372D52">
        <w:rPr>
          <w:rFonts w:ascii="Book Antiqua" w:hAnsi="Book Antiqua"/>
          <w:sz w:val="24"/>
          <w:szCs w:val="24"/>
        </w:rPr>
        <w:t xml:space="preserve"> </w:t>
      </w:r>
      <w:r w:rsidRPr="00372D52">
        <w:rPr>
          <w:rFonts w:ascii="Book Antiqua" w:hAnsi="Book Antiqua"/>
          <w:sz w:val="24"/>
          <w:szCs w:val="24"/>
        </w:rPr>
        <w:t>These two types persisted over time with &gt;</w:t>
      </w:r>
      <w:r w:rsidR="002A7F54" w:rsidRPr="00372D52">
        <w:rPr>
          <w:rFonts w:ascii="Book Antiqua" w:hAnsi="Book Antiqua"/>
          <w:sz w:val="24"/>
          <w:szCs w:val="24"/>
        </w:rPr>
        <w:t xml:space="preserve"> </w:t>
      </w:r>
      <w:r w:rsidRPr="00372D52">
        <w:rPr>
          <w:rFonts w:ascii="Book Antiqua" w:hAnsi="Book Antiqua"/>
          <w:sz w:val="24"/>
          <w:szCs w:val="24"/>
        </w:rPr>
        <w:t>94% of patients remaining within their initial phenotype by hospital day three</w:t>
      </w:r>
      <w:r w:rsidR="00E42D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{"citationItems":[{"id":"ITEM-1","itemData":{"DOI":"10.1136/thoraxjnl-2017-211090","ISSN":"1468-3296","PMID":"29477989","abstract":"RATIONALE Two distinct acute respiratory distress syndrome (ARDS) subphenotypes have been identified using data obtained at time of enrolment in clinical trials; it remains unknown if these subphenotypes are durable over time. OBJECTIVE To determine the stability of ARDS subphenotypes over time. METHODS Secondary analysis of data from two randomised controlled trials in ARDS, the ARMA trial of lung protective ventilation (n=473; patients randomised to low tidal volumes only) and the ALVEOLI trial of low versus high positive end-expiratory pressure (n=549). Latent class analysis (LCA) and latent transition analysis (LTA) were applied to data from day 0 and day 3, independent of clinical outcomes. MEASUREMENTS AND MAIN RESULTS In ALVEOLI, LCA indicated strong evidence of two ARDS latent classes at days 0 and 3; in ARMA, evidence of two classes was stronger at day 0 than at day 3. The clinical and biological features of these two classes were similar to those in our prior work and were largely stable over time, though class 2 demonstrated evidence of progressive organ failures by day 3, compared with class 1. In both LCA and LTA models, the majority of patients (&gt;94%) stayed in the same class from day 0 to day 3. Clinical outcomes were statistically significantly worse in class 2 than class 1 and were more strongly associated with day 3 class assignment. CONCLUSIONS ARDS subphenotypes are largely stable over the first 3 days of enrolment in two ARDS Network trials, suggesting that subphenotype identification may be feasible in the context of clinical trials.","author":[{"dropping-particle":"","family":"Delucchi","given":"Kevin","non-dropping-particle":"","parse-names":false,"suffix":""},{"dropping-particle":"","family":"Famous","given":"Katie R","non-dropping-particle":"","parse-names":false,"suffix":""},{"dropping-particle":"","family":"Ware","given":"Lorraine B","non-dropping-particle":"","parse-names":false,"suffix":""},{"dropping-particle":"","family":"Parsons","given":"Polly E","non-dropping-particle":"","parse-names":false,"suffix":""},{"dropping-particle":"","family":"Thompson","given":"B Taylor","non-dropping-particle":"","parse-names":false,"suffix":""},{"dropping-particle":"","family":"Calfee","given":"Carolyn S","non-dropping-particle":"","parse-names":false,"suffix":""},{"dropping-particle":"","family":"ARDS Network","given":"","non-dropping-particle":"","parse-names":false,"suffix":""}],"container-title":"Thorax","id":"ITEM-1","issue":"5","issued":{"date-parts":[["2018"]]},"page":"439-445","title":"Stability of ARDS subphenotypes over time in two randomised controlled trials.","type":"article-journal","volume":"73"},"uris":["http://www.mendeley.com/documents/?uuid=c10a8a0b-ff0d-43c0-93db-81335934eafa","http://www.mendeley.com/documents/?uuid=2af02f20-14f0-460b-a671-4b7c9073d4ed"]}],"mendeley":{"formattedCitation":"&lt;sup&gt;[48]&lt;/sup&gt;","plainTextFormattedCitation":"[48]","previouslyFormattedCitation":"&lt;sup&gt;[48]&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[4</w:t>
      </w:r>
      <w:r w:rsidR="002F20AA" w:rsidRPr="00372D52">
        <w:rPr>
          <w:rFonts w:ascii="Book Antiqua" w:hAnsi="Book Antiqua"/>
          <w:noProof/>
          <w:sz w:val="24"/>
          <w:szCs w:val="24"/>
          <w:vertAlign w:val="superscript"/>
        </w:rPr>
        <w:t>6</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Pr="00372D52">
        <w:rPr>
          <w:rFonts w:ascii="Book Antiqua" w:hAnsi="Book Antiqua"/>
          <w:sz w:val="24"/>
          <w:szCs w:val="24"/>
        </w:rPr>
        <w:t xml:space="preserve">. </w:t>
      </w:r>
      <w:r w:rsidR="001659B9" w:rsidRPr="00372D52">
        <w:rPr>
          <w:rFonts w:ascii="Book Antiqua" w:hAnsi="Book Antiqua"/>
          <w:sz w:val="24"/>
          <w:szCs w:val="24"/>
        </w:rPr>
        <w:t>A follow up study with 2 distinct cohorts demonstrated increased levels of markers of epithelial cell injury with decreased levels of markers of endothelial injury in direct ARDS (defined as those with pulmonary cause such as pneumonia) compared with indirect ARDS (caused by non-pulmonary etiologies such as sepsis</w:t>
      </w:r>
      <w:r w:rsidRPr="00372D52">
        <w:rPr>
          <w:rFonts w:ascii="Book Antiqua" w:hAnsi="Book Antiqua"/>
          <w:sz w:val="24"/>
          <w:szCs w:val="24"/>
        </w:rPr>
        <w:t>)</w:t>
      </w:r>
      <w:r w:rsidR="00E42D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{"citationItems":[{"id":"ITEM-1","itemData":{"DOI":"10.1378/chest.14-2454","ISSN":"1931-3543","PMID":"26033126","abstract":"BACKGROUND ARDS is a heterogeneous syndrome that encompasses lung injury from both direct and indirect sources. Direct ARDS (pneumonia, aspiration) has been hypothesized to cause more severe lung epithelial injury than indirect ARDS (eg, nonpulmonary sepsis); however, this hypothesis has not been well studied in humans. METHODS We measured plasma biomarkers of lung epithelial and endothelial injury and inflammation in a single-center study of 100 patients with ARDS and severe sepsis and in a secondary analysis of 853 patients with ARDS drawn from a multicenter randomized controlled trial. Biomarker levels in patients with direct vs indirect ARDS were compared in both cohorts. RESULTS In both studies, patients with direct ARDS had significantly higher levels of a biomarker of lung epithelial injury (surfactant protein D) and significantly lower levels of a biomarker of endothelial injury (angiopoietin-2) than those with indirect ARDS. These associations were robust to adjustment for severity of illness and ARDS severity. In the multicenter study, patients with direct ARDS also had lower levels of von Willebrand factor antigen and IL-6 and IL-8, markers of endothelial injury and inflammation, respectively. The prognostic value of the biomarkers was similar in direct and indirect ARDS. CONCLUSIONS Direct lung injury in humans is characterized by a molecular phenotype consistent with more severe lung epithelial injury and less severe endothelial injury. The opposite pattern was identified in indirect lung injury. Clinical trials of novel therapies targeted specifically at the lung epithelium or endothelium may benefit from preferentially enrolling patients with direct and indirect ARDS, respectively.","author":[{"dropping-particle":"","family":"Calfee","given":"Carolyn S","non-dropping-particle":"","parse-names":false,"suffix":""},{"dropping-particle":"","family":"Janz","given":"David R","non-dropping-particle":"","parse-names":false,"suffix":""},{"dropping-particle":"","family":"Bernard","given":"Gordon R","non-dropping-particle":"","parse-names":false,"suffix":""},{"dropping-particle":"","family":"May","given":"Addison K","non-dropping-particle":"","parse-names":false,"suffix":""},{"dropping-particle":"","family":"Kangelaris","given":"Kirsten N","non-dropping-particle":"","parse-names":false,"suffix":""},{"dropping-particle":"","family":"Matthay","given":"Michael A","non-dropping-particle":"","parse-names":false,"suffix":""},{"dropping-particle":"","family":"Ware","given":"Lorraine B","non-dropping-particle":"","parse-names":false,"suffix":""}],"container-title":"Chest","id":"ITEM-1","issue":"6","issued":{"date-parts":[["2015","6"]]},"page":"1539-1548","title":"Distinct molecular phenotypes of direct vs indirect ARDS in single-center and multicenter studies.","type":"article-journal","volume":"147"},"uris":["http://www.mendeley.com/documents/?uuid=bb358a21-8dd3-4e86-ac2d-5be85342f446","http://www.mendeley.com/documents/?uuid=64ac7a13-420b-4ae5-9f9d-069a62bcc362"]}],"mendeley":{"formattedCitation":"&lt;sup&gt;[49]&lt;/sup&gt;","plainTextFormattedCitation":"[49]","previouslyFormattedCitation":"&lt;sup&gt;[49]&lt;/sup&gt;"},"properties":{"noteIndex":0},"schema":"https://github.com/citation-style-language/schema/raw/master/csl-citation.json"}</w:instrText>
      </w:r>
      <w:r w:rsidR="00E42D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[4</w:t>
      </w:r>
      <w:r w:rsidR="002F20AA" w:rsidRPr="00372D52">
        <w:rPr>
          <w:rFonts w:ascii="Book Antiqua" w:hAnsi="Book Antiqua"/>
          <w:noProof/>
          <w:sz w:val="24"/>
          <w:szCs w:val="24"/>
          <w:vertAlign w:val="superscript"/>
        </w:rPr>
        <w:t>7</w:t>
      </w:r>
      <w:r w:rsidR="00DB420B" w:rsidRPr="00372D52">
        <w:rPr>
          <w:rFonts w:ascii="Book Antiqua" w:hAnsi="Book Antiqua"/>
          <w:noProof/>
          <w:sz w:val="24"/>
          <w:szCs w:val="24"/>
          <w:vertAlign w:val="superscript"/>
        </w:rPr>
        <w:t>]</w:t>
      </w:r>
      <w:r w:rsidR="00E42D5C" w:rsidRPr="00372D52">
        <w:rPr>
          <w:rFonts w:ascii="Book Antiqua" w:hAnsi="Book Antiqua"/>
          <w:sz w:val="24"/>
          <w:szCs w:val="24"/>
        </w:rPr>
        <w:fldChar w:fldCharType="end"/>
      </w:r>
      <w:r w:rsidRPr="00372D52">
        <w:rPr>
          <w:rFonts w:ascii="Book Antiqua" w:hAnsi="Book Antiqua"/>
          <w:sz w:val="24"/>
          <w:szCs w:val="24"/>
        </w:rPr>
        <w:t xml:space="preserve">. </w:t>
      </w:r>
      <w:r w:rsidR="001659B9" w:rsidRPr="00372D52">
        <w:rPr>
          <w:rFonts w:ascii="Book Antiqua" w:hAnsi="Book Antiqua"/>
          <w:sz w:val="24"/>
          <w:szCs w:val="24"/>
        </w:rPr>
        <w:t>To stratify even further, inflammatory biomarkers have been shown to be elevated in mixed ICU patients but not in trauma patients</w:t>
      </w:r>
      <w:r w:rsidR="00C70531"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{"citationItems":[{"id":"ITEM-1","itemData":{"ISSN":"0022-5282","PMID":"8189465","abstract":"The aim of this study was to search for early inflammatory mediators in severely traumatized patients that could predict the occurrence of adult respiratory distress syndrome (ARDS). We measured sequential plasma levels of tumor necrosis factor (TNF), interleukin 1 (IL-1), interleukin 6 (IL-6), interleukin 8 (IL-8), complement fragment C3a, and endotoxin. In addition, we measured sequentially the values of hemodynamics, oxygen transport, and pulmonary function. The temporal patterns seen in the patients who developed ARDS were compared with those who did not. In the patients who developed ARDS, the first observed findings were low cardiac index (CI) and oxygen delivery (DO2) followed by progressive increases in IL-6, IL-8 and C3a levels, worsening of pulmonary function, and increases in hemodynamic values. The maximum values of IL-6, IL-8, and C3a occurred after the onset of ARDS. In the patients who did not develop ARDS, initial oxygen transport values were not low, the levels of IL-6, IL-8, and C3a decreased rapidly from their initial peaks, and there were no further increases in hemodynamic values. In both ARDS and nonARDS patients, no measurable quantities of TNF, IL-1, or endotoxin were found. We concluded that none of the mediators we measured reached their peaks before the onset of ARDS and none were found to be predictive of posttraumatic ARDS. However, these and other mediators may augment or intensify the development of ARDS.","author":[{"dropping-particle":"","family":"Meade","given":"P","non-dropping-particle":"","parse-names":false,"suffix":""},{"dropping-particle":"","family":"Shoemaker","given":"W C","non-dropping-particle":"","parse-names":false,"suffix":""},{"dropping-particle":"","family":"Donnelly","given":"T J","non-dropping-particle":"","parse-names":false,"suffix":""},{"dropping-particle":"","family":"Abraham","given":"E","non-dropping-particle":"","parse-names":false,"suffix":""},{"dropping-particle":"","family":"Jagels","given":"M A","non-dropping-particle":"","parse-names":false,"suffix":""},{"dropping-particle":"","family":"Cryer","given":"H G","non-dropping-particle":"","parse-names":false,"suffix":""},{"dropping-particle":"","family":"Hugli","given":"T E","non-dropping-particle":"","parse-names":false,"suffix":""},{"dropping-particle":"","family":"Bishop","given":"M H","non-dropping-particle":"","parse-names":false,"suffix":""},{"dropping-particle":"","family":"Wo","given":"C C","non-dropping-particle":"","parse-names":false,"suffix":""}],"container-title":"The Journal of Trauma","id":"ITEM-1","issue":"5","issued":{"date-parts":[["1994","5"]]},"page":"651-7","title":"Temporal patterns of hemodynamics, oxygen transport, cytokine activity, and complement activity in the development of adult respiratory distress syndrome after severe injury.","type":"article-journal","volume":"36"},"uris":["http://www.mendeley.com/documents/?uuid=892312a7-1d74-4fe7-bd7f-b27fe451aa23","http://www.mendeley.com/documents/?uuid=f3af20e3-d0a2-462a-a75d-b4804834c131"]},{"id":"ITEM-2","itemData":{"DOI":"10.1186/cc5037","ISSN":"1466-609X","PMID":"16956410","abstract":"BACKGROUND Several biological markers of lung injury are predictors of morbidity and mortality in patients with acute lung injury (ALI). The low tidal volume lung-protective ventilation strategy is associated with a significant decrease in plasma biomarker levels compared to the high tidal volume ventilation strategy. The primary objective of this study was to test whether the institution of lung-protective positive pressure ventilation in spontaneously ventilating patients with ALI exacerbates pre-existing lung injury by using measurements of biomarkers of lung injury before and after intubation. MATERIALS AND METHODS A prospective observational cohort study was conducted in the intensive care unit of a tertiary care university hospital. Twenty-five intubated, mechanically ventilated patients with ALI were enrolled. Physiologic data and serum samples were collected within 6 hours before intubation and at two different time points within the first 24 hours after intubation to measure the concentration of interleukin (IL)-6, IL-8, intercellular adhesion molecule 1 (ICAM-1), and von Willebrand factor (vWF). The differences in biomarker levels before and after intubation were analysed using repeated measures analysis of variance and a paired t test with correction for multiple comparisons. RESULTS Before endotracheal intubation, all of the biological markers (IL-8, IL-6, ICAM-1, and vWF) were elevated in the spontaneously breathing patients with ALI. After intubation and the institution of positive pressure ventilation (tidal volume 7 to 8 ml/kg per ideal body weight), none of the biological markers was significantly increased at either an early (3 +/- 2 hours) or later (21 +/- 5 hours) time point. However, the levels of IL-8 were significantly decreased at the later time point (21 +/- 5 hours) after intubation. During the 24-hour period after intubation, the PaO2/FiO2 (partial pressure of arterial oxygen/fraction of the inspired oxygen) ratio significantly increased and the plateau airway pressure significantly decreased. CONCLUSION Levels of IL-8, IL-6, vWF, and ICAM-1 are elevated in spontaneously ventilating patients with ALI prior to endotracheal intubation. The institution of a lung-protective ventilation strategy with positive pressure ventilation does not further increase the levels of biological markers of lung injury. The results suggest that the institution of a lung-protective positive pressure ventilation strategy does not worsen the pre-exist…","author":[{"dropping-particle":"","family":"Cepkova","given":"Magda","non-dropping-particle":"","parse-names":false,"suffix":""},{"dropping-particle":"","family":"Brady","given":"Sandra","non-dropping-particle":"","parse-names":false,"suffix":""},{"dropping-particle":"","family":"Sapru","given":"Anil","non-dropping-particle":"","parse-names":false,"suffix":""},{"dropping-particle":"","family":"Matthay","given":"Michael A","non-dropping-particle":"","parse-names":false,"suffix":""},{"dropping-particle":"","family":"Church","given":"Gwynne","non-dropping-particle":"","parse-names":false,"suffix":""}],"container-title":"Critical Care","id":"ITEM-2","issue":"5","issued":{"date-parts":[["2006"]]},"page":"R126","title":"Biological markers of lung injury before and after the institution of positive pressure ventilation in patients with acute lung injury.","type":"article-journal","volume":"10"},"uris":["http://www.mendeley.com/documents/?uuid=1ccb4bd4-0ed2-43f5-9cb2-98d2f847bb4a","http://www.mendeley.com/documents/?uuid=5cc1f943-f2e4-4edf-9462-8497ffe1efe4"]},{"id":"ITEM-3","itemData":{"DOI":"10.1016/j.clinbiochem.2010.12.014","ISSN":"1873-2933","PMID":"21211520","abstract":"OBJECTIVES Receptor for advanced glycation end products (RAGE) plays a role in inflammatory reactions. Soluble RAGE (sRAGE) level is elevated in patients with acute respiratory distress syndrome (ARDS). However, which clinical parameters and inflammatory biomarkers including sRAGE are associated with death in ARDS patients remain unknown. DESIGN AND METHODS We examined whether sRAGE level was independently associated with death in 20 ARDS patients with severe infection. RESULTS Compared with age- and sex-matched control subjects, blood pressure levels were lower and KL-6, high mobility group box 1 (HMGB1), interleukin-6 and sRAGE levels were higher in ARDS patients. In multivariate analysis, sRAGE was associated with death in ARDS patients, but severity of illness was not. HMGB1 was a sole independent correlate of sRAGE. CONCLUSIONS This study demonstrated that sRAGE was independently associated with death in ARDS patients. Our present results suggest active involvement of HMGB1-RAGE axis in poor prognosis of ARDS.","author":[{"dropping-particle":"","family":"Nakamura","given":"Tsukasa","non-dropping-particle":"","parse-names":false,"suffix":""},{"dropping-particle":"","family":"Sato","given":"Eiichi","non-dropping-particle":"","parse-names":false,"suffix":""},{"dropping-particle":"","family":"Fujiwara","given":"Nobuharu","non-dropping-particle":"","parse-names":false,"suffix":""},{"dropping-particle":"","family":"Kawagoe","given":"Yasuhiro","non-dropping-particle":"","parse-names":false,"suffix":""},{"dropping-particle":"","family":"Maeda","given":"Sayaka","non-dropping-particle":"","parse-names":false,"suffix":""},{"dropping-particle":"","family":"Yamagishi","given":"Sho-ichi","non-dropping-particle":"","parse-names":false,"suffix":""}],"container-title":"Clinical Biochemistry","id":"ITEM-3","issue":"8-9","issued":{"date-parts":[["2011","6"]]},"page":"601-4","title":"Increased levels of soluble receptor for advanced glycation end products (sRAGE) and high mobility group box 1 (HMGB1) are associated with death in patients with acute respiratory distress syndrome.","type":"article-journal","volume":"44"},"uris":["http://www.mendeley.com/documents/?uuid=7a905a80-df01-448c-ab70-b36f37892147","http://www.mendeley.com/documents/?uuid=cbb6f7d9-eb27-4f39-890b-6041b9064c1a"]}],"mendeley":{"formattedCitation":"&lt;sup&gt;[50–52]&lt;/sup&gt;","plainTextFormattedCitation":"[50–52]","previouslyFormattedCitation":"&lt;sup&gt;[50–52]&lt;/sup&gt;"},"properties":{"noteIndex":0},"schema":"https://github.com/citation-style-language/schema/raw/master/csl-citation.json"}</w:instrText>
      </w:r>
      <w:r w:rsidR="00C70531"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w:t>
      </w:r>
      <w:r w:rsidR="002F20AA" w:rsidRPr="00372D52">
        <w:rPr>
          <w:rFonts w:ascii="Book Antiqua" w:hAnsi="Book Antiqua"/>
          <w:noProof/>
          <w:sz w:val="24"/>
          <w:szCs w:val="24"/>
          <w:vertAlign w:val="superscript"/>
        </w:rPr>
        <w:t>48</w:t>
      </w:r>
      <w:r w:rsidR="002A7F54" w:rsidRPr="00372D52">
        <w:rPr>
          <w:rFonts w:ascii="Book Antiqua" w:hAnsi="Book Antiqua"/>
          <w:noProof/>
          <w:sz w:val="24"/>
          <w:szCs w:val="24"/>
          <w:vertAlign w:val="superscript"/>
        </w:rPr>
        <w:t>-</w:t>
      </w:r>
      <w:r w:rsidR="00DB420B" w:rsidRPr="00372D52">
        <w:rPr>
          <w:rFonts w:ascii="Book Antiqua" w:hAnsi="Book Antiqua"/>
          <w:noProof/>
          <w:sz w:val="24"/>
          <w:szCs w:val="24"/>
          <w:vertAlign w:val="superscript"/>
        </w:rPr>
        <w:t>5</w:t>
      </w:r>
      <w:r w:rsidR="002F20AA" w:rsidRPr="00372D52">
        <w:rPr>
          <w:rFonts w:ascii="Book Antiqua" w:hAnsi="Book Antiqua"/>
          <w:noProof/>
          <w:sz w:val="24"/>
          <w:szCs w:val="24"/>
          <w:vertAlign w:val="superscript"/>
        </w:rPr>
        <w:t>0</w:t>
      </w:r>
      <w:r w:rsidR="00DB420B" w:rsidRPr="00372D52">
        <w:rPr>
          <w:rFonts w:ascii="Book Antiqua" w:hAnsi="Book Antiqua"/>
          <w:noProof/>
          <w:sz w:val="24"/>
          <w:szCs w:val="24"/>
          <w:vertAlign w:val="superscript"/>
        </w:rPr>
        <w:t>]</w:t>
      </w:r>
      <w:r w:rsidR="00C70531" w:rsidRPr="00372D52">
        <w:rPr>
          <w:rFonts w:ascii="Book Antiqua" w:hAnsi="Book Antiqua"/>
          <w:sz w:val="24"/>
          <w:szCs w:val="24"/>
        </w:rPr>
        <w:fldChar w:fldCharType="end"/>
      </w:r>
      <w:r w:rsidRPr="00372D52">
        <w:rPr>
          <w:rFonts w:ascii="Book Antiqua" w:hAnsi="Book Antiqua"/>
          <w:sz w:val="24"/>
          <w:szCs w:val="24"/>
        </w:rPr>
        <w:t xml:space="preserve">. More recently, a study utilizing logistic regression, evaluated 20 biomarkers including those in the inflammatory, coagulation, and endothelial activation categories and again identified a </w:t>
      </w:r>
      <w:r w:rsidR="002A7F54" w:rsidRPr="00372D52">
        <w:rPr>
          <w:rFonts w:ascii="Book Antiqua" w:hAnsi="Book Antiqua"/>
          <w:sz w:val="24"/>
          <w:szCs w:val="24"/>
        </w:rPr>
        <w:t>hyper and hypo-inflammatory phenotype</w:t>
      </w:r>
      <w:r w:rsidRPr="00372D52">
        <w:rPr>
          <w:rFonts w:ascii="Book Antiqua" w:hAnsi="Book Antiqua"/>
          <w:sz w:val="24"/>
          <w:szCs w:val="24"/>
        </w:rPr>
        <w:t xml:space="preserve"> with the hyper-inflammatory phenotype demonstrating higher </w:t>
      </w:r>
      <w:r w:rsidRPr="00372D52">
        <w:rPr>
          <w:rFonts w:ascii="Book Antiqua" w:hAnsi="Book Antiqua"/>
          <w:sz w:val="24"/>
          <w:szCs w:val="24"/>
        </w:rPr>
        <w:lastRenderedPageBreak/>
        <w:t>ICU mortality. Furthermore, it was discovered that a mere 4 biomarkers (</w:t>
      </w:r>
      <w:r w:rsidRPr="00372D52">
        <w:rPr>
          <w:rFonts w:ascii="Book Antiqua" w:hAnsi="Book Antiqua"/>
          <w:sz w:val="24"/>
          <w:szCs w:val="24"/>
          <w:lang w:val="en"/>
        </w:rPr>
        <w:t xml:space="preserve">IL-6, interferon gamma, </w:t>
      </w:r>
      <w:proofErr w:type="spellStart"/>
      <w:r w:rsidRPr="00372D52">
        <w:rPr>
          <w:rFonts w:ascii="Book Antiqua" w:hAnsi="Book Antiqua"/>
          <w:sz w:val="24"/>
          <w:szCs w:val="24"/>
          <w:lang w:val="en"/>
        </w:rPr>
        <w:t>angiopoetin</w:t>
      </w:r>
      <w:proofErr w:type="spellEnd"/>
      <w:r w:rsidRPr="00372D52">
        <w:rPr>
          <w:rFonts w:ascii="Book Antiqua" w:hAnsi="Book Antiqua"/>
          <w:sz w:val="24"/>
          <w:szCs w:val="24"/>
          <w:lang w:val="en"/>
        </w:rPr>
        <w:t xml:space="preserve"> 1/2 and PAI-1) could be used to identify the hyper-inflammatory phenotype (AUC 0.98)</w:t>
      </w:r>
      <w:r w:rsidR="00C70531" w:rsidRPr="00372D52">
        <w:rPr>
          <w:rFonts w:ascii="Book Antiqua" w:hAnsi="Book Antiqua"/>
          <w:sz w:val="24"/>
          <w:szCs w:val="24"/>
          <w:lang w:val="en"/>
        </w:rPr>
        <w:fldChar w:fldCharType="begin" w:fldLock="1"/>
      </w:r>
      <w:r w:rsidR="00B53EF6" w:rsidRPr="00372D52">
        <w:rPr>
          <w:rFonts w:ascii="Book Antiqua" w:hAnsi="Book Antiqua"/>
          <w:sz w:val="24"/>
          <w:szCs w:val="24"/>
          <w:lang w:val="en"/>
        </w:rPr>
        <w:instrText>ADDIN CSL_CITATION {"citationItems":[{"id":"ITEM-1","itemData":{"DOI":"10.1136/thoraxjnl-2016-209719","ISSN":"1468-3296","PMID":"28450529","abstract":"RATIONALE We hypothesised that patients with acute respiratory distress syndrome (ARDS) can be clustered based on concentrations of plasma biomarkers and that the thereby identified biological phenotypes are associated with mortality. METHODS Consecutive patients with ARDS were included in this prospective observational cohort study. Cluster analysis of 20 biomarkers of inflammation, coagulation and endothelial activation provided the phenotypes in a training cohort, not taking any outcome data into account. Logistic regression with backward selection was used to select the most predictive biomarkers, and these predicted phenotypes were validated in a separate cohort. Multivariable logistic regression was used to quantify the independent association with mortality. RESULTS Two phenotypes were identified in 454 patients, which we named 'uninflamed' (N=218) and 'reactive' (N=236). A selection of four biomarkers (interleukin-6, interferon gamma, angiopoietin 1/2 and plasminogen activator inhibitor-1) could be used to accurately predict the phenotype in the training cohort (area under the receiver operating characteristics curve: 0.98, 95% CI 0.97 to 0.99). Mortality rates were 15.6% and 36.4% (p&lt;0.001) in the training cohort and 13.6% and 37.5% (p&lt;0.001) in the validation cohort (N=207). The 'reactive phenotype' was independent from confounders associated with intensive care unit mortality (training cohort: OR 1.13, 95% CI 1.04 to 1.23; validation cohort: OR 1.18, 95% CI 1.06 to 1.31). CONCLUSIONS Patients with ARDS can be clustered into two biological phenotypes, with different mortality rates. Four biomarkers can be used to predict the phenotype with high accuracy. The phenotypes were very similar to those found in cohorts derived from randomised controlled trials, and these results may improve patient selection for future clinical trials targeting host response in patients with ARDS.","author":[{"dropping-particle":"","family":"Bos","given":"L D","non-dropping-particle":"","parse-names":false,"suffix":""},{"dropping-particle":"","family":"Schouten","given":"L R","non-dropping-particle":"","parse-names":false,"suffix":""},{"dropping-particle":"","family":"Vught","given":"L A","non-dropping-particle":"van","parse-names":false,"suffix":""},{"dropping-particle":"","family":"Wiewel","given":"M A","non-dropping-particle":"","parse-names":false,"suffix":""},{"dropping-particle":"","family":"Ong","given":"D S Y","non-dropping-particle":"","parse-names":false,"suffix":""},{"dropping-particle":"","family":"Cremer","given":"O","non-dropping-particle":"","parse-names":false,"suffix":""},{"dropping-particle":"","family":"Artigas","given":"A","non-dropping-particle":"","parse-names":false,"suffix":""},{"dropping-particle":"","family":"Martin-Loeches","given":"I","non-dropping-particle":"","parse-names":false,"suffix":""},{"dropping-particle":"","family":"Hoogendijk","given":"A J","non-dropping-particle":"","parse-names":false,"suffix":""},{"dropping-particle":"","family":"Poll","given":"T","non-dropping-particle":"van der","parse-names":false,"suffix":""},{"dropping-particle":"","family":"Horn","given":"J","non-dropping-particle":"","parse-names":false,"suffix":""},{"dropping-particle":"","family":"Juffermans","given":"N","non-dropping-particle":"","parse-names":false,"suffix":""},{"dropping-particle":"","family":"Calfee","given":"C S","non-dropping-particle":"","parse-names":false,"suffix":""},{"dropping-particle":"","family":"Schultz","given":"M J","non-dropping-particle":"","parse-names":false,"suffix":""},{"dropping-particle":"","family":"MARS consortium","given":"","non-dropping-particle":"","parse-names":false,"suffix":""}],"container-title":"Thorax","id":"ITEM-1","issue":"10","issued":{"date-parts":[["2017"]]},"page":"876-883","title":"Identification and validation of distinct biological phenotypes in patients with acute respiratory distress syndrome by cluster analysis.","type":"article-journal","volume":"72"},"uris":["http://www.mendeley.com/documents/?uuid=3e2946ec-7e87-4a1e-a64a-2e00817d414e","http://www.mendeley.com/documents/?uuid=a9590e27-659d-4468-8d6a-80c1cc8d0e7c"]}],"mendeley":{"formattedCitation":"&lt;sup&gt;[53]&lt;/sup&gt;","plainTextFormattedCitation":"[53]","previouslyFormattedCitation":"&lt;sup&gt;[53]&lt;/sup&gt;"},"properties":{"noteIndex":0},"schema":"https://github.com/citation-style-language/schema/raw/master/csl-citation.json"}</w:instrText>
      </w:r>
      <w:r w:rsidR="00C70531" w:rsidRPr="00372D52">
        <w:rPr>
          <w:rFonts w:ascii="Book Antiqua" w:hAnsi="Book Antiqua"/>
          <w:sz w:val="24"/>
          <w:szCs w:val="24"/>
          <w:lang w:val="en"/>
        </w:rPr>
        <w:fldChar w:fldCharType="separate"/>
      </w:r>
      <w:r w:rsidR="00DB420B" w:rsidRPr="00372D52">
        <w:rPr>
          <w:rFonts w:ascii="Book Antiqua" w:hAnsi="Book Antiqua"/>
          <w:noProof/>
          <w:sz w:val="24"/>
          <w:szCs w:val="24"/>
          <w:vertAlign w:val="superscript"/>
          <w:lang w:val="en"/>
        </w:rPr>
        <w:t>[5</w:t>
      </w:r>
      <w:r w:rsidR="002F20AA" w:rsidRPr="00372D52">
        <w:rPr>
          <w:rFonts w:ascii="Book Antiqua" w:hAnsi="Book Antiqua"/>
          <w:noProof/>
          <w:sz w:val="24"/>
          <w:szCs w:val="24"/>
          <w:vertAlign w:val="superscript"/>
          <w:lang w:val="en"/>
        </w:rPr>
        <w:t>1</w:t>
      </w:r>
      <w:r w:rsidR="00DB420B" w:rsidRPr="00372D52">
        <w:rPr>
          <w:rFonts w:ascii="Book Antiqua" w:hAnsi="Book Antiqua"/>
          <w:noProof/>
          <w:sz w:val="24"/>
          <w:szCs w:val="24"/>
          <w:vertAlign w:val="superscript"/>
          <w:lang w:val="en"/>
        </w:rPr>
        <w:t>]</w:t>
      </w:r>
      <w:r w:rsidR="00C70531" w:rsidRPr="00372D52">
        <w:rPr>
          <w:rFonts w:ascii="Book Antiqua" w:hAnsi="Book Antiqua"/>
          <w:sz w:val="24"/>
          <w:szCs w:val="24"/>
          <w:lang w:val="en"/>
        </w:rPr>
        <w:fldChar w:fldCharType="end"/>
      </w:r>
      <w:r w:rsidRPr="00372D52">
        <w:rPr>
          <w:rFonts w:ascii="Book Antiqua" w:hAnsi="Book Antiqua"/>
          <w:sz w:val="24"/>
          <w:szCs w:val="24"/>
          <w:lang w:val="en"/>
        </w:rPr>
        <w:t>.</w:t>
      </w:r>
    </w:p>
    <w:p w14:paraId="16EF86B3" w14:textId="77777777" w:rsidR="008D14EE" w:rsidRPr="00372D52" w:rsidRDefault="008D14EE" w:rsidP="00372D52">
      <w:pPr>
        <w:spacing w:after="0" w:line="360" w:lineRule="auto"/>
        <w:jc w:val="both"/>
        <w:rPr>
          <w:rFonts w:ascii="Book Antiqua" w:hAnsi="Book Antiqua"/>
          <w:sz w:val="24"/>
          <w:szCs w:val="24"/>
        </w:rPr>
      </w:pPr>
    </w:p>
    <w:p w14:paraId="7E0F303B" w14:textId="695CB7BB" w:rsidR="008D14EE" w:rsidRPr="00372D52" w:rsidRDefault="008D14EE" w:rsidP="00372D52">
      <w:pPr>
        <w:spacing w:after="0" w:line="360" w:lineRule="auto"/>
        <w:jc w:val="both"/>
        <w:rPr>
          <w:rFonts w:ascii="Book Antiqua" w:hAnsi="Book Antiqua"/>
          <w:b/>
          <w:bCs/>
          <w:i/>
          <w:sz w:val="24"/>
          <w:szCs w:val="24"/>
        </w:rPr>
      </w:pPr>
      <w:r w:rsidRPr="00372D52">
        <w:rPr>
          <w:rFonts w:ascii="Book Antiqua" w:hAnsi="Book Antiqua"/>
          <w:b/>
          <w:bCs/>
          <w:i/>
          <w:sz w:val="24"/>
          <w:szCs w:val="24"/>
        </w:rPr>
        <w:t>C</w:t>
      </w:r>
      <w:r w:rsidR="00D42981">
        <w:rPr>
          <w:rFonts w:ascii="Book Antiqua" w:hAnsi="Book Antiqua"/>
          <w:b/>
          <w:bCs/>
          <w:i/>
          <w:sz w:val="24"/>
          <w:szCs w:val="24"/>
        </w:rPr>
        <w:t>RP</w:t>
      </w:r>
      <w:r w:rsidR="00D42981" w:rsidRPr="00372D52">
        <w:rPr>
          <w:rFonts w:ascii="Book Antiqua" w:hAnsi="Book Antiqua"/>
          <w:b/>
          <w:bCs/>
          <w:i/>
          <w:sz w:val="24"/>
          <w:szCs w:val="24"/>
        </w:rPr>
        <w:t xml:space="preserve"> </w:t>
      </w:r>
      <w:r w:rsidRPr="00372D52">
        <w:rPr>
          <w:rFonts w:ascii="Book Antiqua" w:hAnsi="Book Antiqua"/>
          <w:b/>
          <w:bCs/>
          <w:i/>
          <w:sz w:val="24"/>
          <w:szCs w:val="24"/>
        </w:rPr>
        <w:t xml:space="preserve">and </w:t>
      </w:r>
      <w:r w:rsidR="005A4DC4" w:rsidRPr="00372D52">
        <w:rPr>
          <w:rFonts w:ascii="Book Antiqua" w:hAnsi="Book Antiqua"/>
          <w:b/>
          <w:bCs/>
          <w:i/>
          <w:sz w:val="24"/>
          <w:szCs w:val="24"/>
        </w:rPr>
        <w:t>PCT</w:t>
      </w:r>
      <w:r w:rsidRPr="00372D52">
        <w:rPr>
          <w:rFonts w:ascii="Book Antiqua" w:hAnsi="Book Antiqua"/>
          <w:b/>
          <w:bCs/>
          <w:i/>
          <w:sz w:val="24"/>
          <w:szCs w:val="24"/>
        </w:rPr>
        <w:t xml:space="preserve"> in </w:t>
      </w:r>
      <w:r w:rsidR="006E5DC9" w:rsidRPr="00372D52">
        <w:rPr>
          <w:rFonts w:ascii="Book Antiqua" w:hAnsi="Book Antiqua"/>
          <w:b/>
          <w:bCs/>
          <w:i/>
          <w:sz w:val="24"/>
          <w:szCs w:val="24"/>
        </w:rPr>
        <w:t>ARDS</w:t>
      </w:r>
    </w:p>
    <w:p w14:paraId="27BA31E9" w14:textId="256F0634" w:rsidR="008D14EE" w:rsidRPr="00372D52" w:rsidRDefault="008D14EE" w:rsidP="00372D52">
      <w:pPr>
        <w:spacing w:after="0" w:line="360" w:lineRule="auto"/>
        <w:jc w:val="both"/>
        <w:rPr>
          <w:rFonts w:ascii="Book Antiqua" w:hAnsi="Book Antiqua"/>
          <w:sz w:val="24"/>
          <w:szCs w:val="24"/>
        </w:rPr>
      </w:pPr>
      <w:r w:rsidRPr="00372D52">
        <w:rPr>
          <w:rFonts w:ascii="Book Antiqua" w:hAnsi="Book Antiqua"/>
          <w:sz w:val="24"/>
          <w:szCs w:val="24"/>
        </w:rPr>
        <w:t>The combination of PCT and CRP have been shown to correlate with severity of disease in patients with ARDS however, this is not true for either biomarker independently, and even less so for CRP</w:t>
      </w:r>
      <w:r w:rsidR="00C70531"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{"citationItems":[{"id":"ITEM-1","itemData":{"DOI":"10.3760/cma.j.issn.2095-4352.2017.01.008","ISSN":"2095-4352","PMID":"28459401","abstract":"OBJECTIVE To investigate the value of procalcitonin (PCT) on predicting the severity and prognosis in patients with early acute respiratory distress syndrome (ARDS). METHODS A prospective observation study was conducted. A total of 113 patients with ARDS undergoing mechanical ventilation admitted to intensive care unit (ICU) of Affiliated People's Hospital of Jiangsu University from October 2012 to April 2016 were enrolled. Based on oxygenation index (PaO2/FiO2), the patients were classified into mild, moderate, and severe groups according to Berlin Definition. Twenty-five healthy volunteers were served as controls. Demographics, acute physiology and chronic health evaluation II (APACHE II) score, and Murray lung injury score were recorded. Within 24 hours after diagnosis of ARDS, the serum levels of PCT and C-reactive protein (CRP) were determined by enzyme-linked fluorescence analysis (ELFA) and immune turbidimetric method, respectively. The patients were also divided into survival and non-survival groups according to clinical outcome within 28-day follow-up, and the clinical data were compared between the two groups. Spearman rank correlation was applied to determine the correlation between variables. The predictive value of the parameters on 28-day mortality was evaluated with receiver operating characteristic curve (ROC). Kaplan-Meier survival curve analysis was used to compare different PCT levels of patients with 28-day cumulative survival rate. RESULTS After excluding patients who did not meet the inclusion criteria and loss to follow-up, the final 89 patients were enrolled in the analysis. Among 89 ARDS patients analyzed, 27 of them were mild, 34 moderate, and 28 severe ARDS. No significant differences were found in age and gender between ARDS and healthy control groups. Infection and trauma were the most common etiology of ARDS (55.1% and 34.8%, respectively). Compared with healthy control group, both CRP and PCT in serum of ARDS group were higher [CRP (mg/L): 146.32 (111.31, 168.49) vs. 6.08 (4.47, 7.89), PCT (μg/L): 3.46 (1.98, 5.56) vs. 0.02 (0.01, 0.04), both P &lt; 0.01], and the two showed sustained upward trends with the ARDS course of disease. Compared with mild group, severe group had significantly higher APACHE II and Murray scores. Spearman rank correlation analysis showed that both serum PCT and CRP in patients with ARDS was correlated well with APACHE II score (r values were 0.669 and 0.601, respectively, both P &lt; 0.001), while PCT w…","author":[{"dropping-particle":"","family":"Yu","given":"Zhixin","non-dropping-particle":"","parse-names":false,"suffix":""},{"dropping-particle":"","family":"Ji","given":"Musen","non-dropping-particle":"","parse-names":false,"suffix":""},{"dropping-particle":"","family":"Hu","given":"Xiulan","non-dropping-particle":"","parse-names":false,"suffix":""},{"dropping-particle":"","family":"Yan","given":"Jun","non-dropping-particle":"","parse-names":false,"suffix":""},{"dropping-particle":"","family":"Jin","given":"Zhaochen","non-dropping-particle":"","parse-names":false,"suffix":""}],"container-title":"Zhonghua wei zhong bing ji jiu yi xue","id":"ITEM-1","issue":"1","issued":{"date-parts":[["2017"]]},"page":"34-38","title":"[Value of procalcitonin on predicting the severity and prognosis in patients with early ARDS: a prospective observation study].","type":"article-journal","volume":"29"},"uris":["http://www.mendeley.com/documents/?uuid=c1ce9832-5ea7-47a8-8087-34a06194cebe","http://www.mendeley.com/documents/?uuid=2f049c26-7ba6-4dff-bf1e-861d21cb9c3f"]}],"mendeley":{"formattedCitation":"&lt;sup&gt;[54]&lt;/sup&gt;","plainTextFormattedCitation":"[54]","previouslyFormattedCitation":"&lt;sup&gt;[54]&lt;/sup&gt;"},"properties":{"noteIndex":0},"schema":"https://github.com/citation-style-language/schema/raw/master/csl-citation.json"}</w:instrText>
      </w:r>
      <w:r w:rsidR="00C70531"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[5</w:t>
      </w:r>
      <w:r w:rsidR="002F20AA" w:rsidRPr="00372D52">
        <w:rPr>
          <w:rFonts w:ascii="Book Antiqua" w:hAnsi="Book Antiqua"/>
          <w:noProof/>
          <w:sz w:val="24"/>
          <w:szCs w:val="24"/>
          <w:vertAlign w:val="superscript"/>
        </w:rPr>
        <w:t>2</w:t>
      </w:r>
      <w:r w:rsidR="00DB420B" w:rsidRPr="00372D52">
        <w:rPr>
          <w:rFonts w:ascii="Book Antiqua" w:hAnsi="Book Antiqua"/>
          <w:noProof/>
          <w:sz w:val="24"/>
          <w:szCs w:val="24"/>
          <w:vertAlign w:val="superscript"/>
        </w:rPr>
        <w:t>]</w:t>
      </w:r>
      <w:r w:rsidR="00C70531" w:rsidRPr="00372D52">
        <w:rPr>
          <w:rFonts w:ascii="Book Antiqua" w:hAnsi="Book Antiqua"/>
          <w:sz w:val="24"/>
          <w:szCs w:val="24"/>
        </w:rPr>
        <w:fldChar w:fldCharType="end"/>
      </w:r>
      <w:r w:rsidRPr="00372D52">
        <w:rPr>
          <w:rFonts w:ascii="Book Antiqua" w:hAnsi="Book Antiqua"/>
          <w:sz w:val="24"/>
          <w:szCs w:val="24"/>
        </w:rPr>
        <w:t xml:space="preserve">. </w:t>
      </w:r>
      <w:r w:rsidR="008F4C61" w:rsidRPr="00372D52">
        <w:rPr>
          <w:rFonts w:ascii="Book Antiqua" w:hAnsi="Book Antiqua"/>
          <w:sz w:val="24"/>
          <w:szCs w:val="24"/>
        </w:rPr>
        <w:t>However, serial CRP levels have been shown to correlate with treatment response to corticosteroids</w:t>
      </w:r>
      <w:r w:rsidR="00B53EF6"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{"citationItems":[{"id":"ITEM-1","itemData":{"DOI":"10.1378/chest.06-2100","ISSN":"0012-3692","PMID":"17426195","abstract":"OBJECTIVE To determine the effects of low-dose prolonged methylprednisolone infusion on lung function in patients with early severe ARDS. DESIGN Randomized, double-blind, placebo-controlled trial. SETTING ICUs of five hospitals in Memphis. PARTICIPANTS Ninety-one patients with severe early ARDS (&lt;/= 72 h), 66% with sepsis. INTERVENTIONS Patients were randomized (2:1 fashion) to methylprednisolone infusion (1 mg/kg/d) vs placebo. The duration of treatment was up to 28 days. Infection surveillance and avoidance of paralysis were integral components of the protocol. MAIN OUTCOME MEASURE The predefined primary end point was a 1-point reduction in lung injury score (LIS) or successful extubation by day 7. RESULTS In intention-to-treat analysis, the response of the two groups (63 treated and 28 control) clearly diverged by day 7, with twice the proportion of treated patients achieving a 1-point reduction in LIS (69.8% vs 35.7%; p = 0.002) and breathing without assistance (53.9% vs 25.0%; p = 0.01). Treated patients had significant reduction in C-reactive protein levels, and by day 7 had lower LIS and multiple organ dysfunction syndrome scores. Treatment was associated with a reduction in the duration of mechanical ventilation (p = 0.002), ICU stay (p = 0.007), and ICU mortality (20.6% vs 42.9%; p = 0.03). Treated patients had a lower rate of infections (p = 0.0002), and infection surveillance identified 56% of nosocomial infections in patients without fever. CONCLUSIONS Methylprednisolone-induced down-regulation of systemic inflammation was associated with significant improvement in pulmonary and extrapulmonary organ dysfunction and reduction in duration of mechanical ventilation and ICU length of stay.","author":[{"dropping-particle":"","family":"Meduri","given":"G Umberto","non-dropping-particle":"","parse-names":false,"suffix":""},{"dropping-particle":"","family":"Golden","given":"Emmel","non-dropping-particle":"","parse-names":false,"suffix":""},{"dropping-particle":"","family":"Freire","given":"Amado X","non-dropping-particle":"","parse-names":false,"suffix":""},{"dropping-particle":"","family":"Taylor","given":"Edwin","non-dropping-particle":"","parse-names":false,"suffix":""},{"dropping-particle":"","family":"Zaman","given":"Muhammad","non-dropping-particle":"","parse-names":false,"suffix":""},{"dropping-particle":"","family":"Carson","given":"Stephanie J","non-dropping-particle":"","parse-names":false,"suffix":""},{"dropping-particle":"","family":"Gibson","given":"Mary","non-dropping-particle":"","parse-names":false,"suffix":""},{"dropping-particle":"","family":"Umberger","given":"Reba","non-dropping-particle":"","parse-names":false,"suffix":""}],"container-title":"Chest","id":"ITEM-1","issue":"4","issued":{"date-parts":[["2007","4"]]},"page":"954-63","title":"Methylprednisolone infusion in early severe ARDS: results of a randomized controlled trial.","type":"article-journal","volume":"131"},"uris":["http://www.mendeley.com/documents/?uuid=674819d9-68f8-4077-bcae-331c6092a15f"]}],"mendeley":{"formattedCitation":"&lt;sup&gt;[55]&lt;/sup&gt;","plainTextFormattedCitation":"[55]","previouslyFormattedCitation":"&lt;sup&gt;[55]&lt;/sup&gt;"},"properties":{"noteIndex":0},"schema":"https://github.com/citation-style-language/schema/raw/master/csl-citation.json"}</w:instrText>
      </w:r>
      <w:r w:rsidR="00B53EF6" w:rsidRPr="00372D52">
        <w:rPr>
          <w:rFonts w:ascii="Book Antiqua" w:hAnsi="Book Antiqua"/>
          <w:sz w:val="24"/>
          <w:szCs w:val="24"/>
        </w:rPr>
        <w:fldChar w:fldCharType="separate"/>
      </w:r>
      <w:r w:rsidR="00B53EF6" w:rsidRPr="00372D52">
        <w:rPr>
          <w:rFonts w:ascii="Book Antiqua" w:hAnsi="Book Antiqua"/>
          <w:noProof/>
          <w:sz w:val="24"/>
          <w:szCs w:val="24"/>
          <w:vertAlign w:val="superscript"/>
        </w:rPr>
        <w:t>[5</w:t>
      </w:r>
      <w:r w:rsidR="002F20AA" w:rsidRPr="00372D52">
        <w:rPr>
          <w:rFonts w:ascii="Book Antiqua" w:hAnsi="Book Antiqua"/>
          <w:noProof/>
          <w:sz w:val="24"/>
          <w:szCs w:val="24"/>
          <w:vertAlign w:val="superscript"/>
        </w:rPr>
        <w:t>3</w:t>
      </w:r>
      <w:r w:rsidR="00B53EF6" w:rsidRPr="00372D52">
        <w:rPr>
          <w:rFonts w:ascii="Book Antiqua" w:hAnsi="Book Antiqua"/>
          <w:noProof/>
          <w:sz w:val="24"/>
          <w:szCs w:val="24"/>
          <w:vertAlign w:val="superscript"/>
        </w:rPr>
        <w:t>]</w:t>
      </w:r>
      <w:r w:rsidR="00B53EF6" w:rsidRPr="00372D52">
        <w:rPr>
          <w:rFonts w:ascii="Book Antiqua" w:hAnsi="Book Antiqua"/>
          <w:sz w:val="24"/>
          <w:szCs w:val="24"/>
        </w:rPr>
        <w:fldChar w:fldCharType="end"/>
      </w:r>
      <w:r w:rsidR="008F4C61" w:rsidRPr="00372D52">
        <w:rPr>
          <w:rFonts w:ascii="Book Antiqua" w:hAnsi="Book Antiqua"/>
          <w:sz w:val="24"/>
          <w:szCs w:val="24"/>
        </w:rPr>
        <w:t xml:space="preserve">. </w:t>
      </w:r>
      <w:r w:rsidRPr="00372D52">
        <w:rPr>
          <w:rFonts w:ascii="Book Antiqua" w:hAnsi="Book Antiqua"/>
          <w:sz w:val="24"/>
          <w:szCs w:val="24"/>
        </w:rPr>
        <w:t>In addition</w:t>
      </w:r>
      <w:r w:rsidR="004A14A8" w:rsidRPr="00372D52">
        <w:rPr>
          <w:rFonts w:ascii="Book Antiqua" w:hAnsi="Book Antiqua"/>
          <w:sz w:val="24"/>
          <w:szCs w:val="24"/>
        </w:rPr>
        <w:t>,</w:t>
      </w:r>
      <w:r w:rsidRPr="00372D52">
        <w:rPr>
          <w:rFonts w:ascii="Book Antiqua" w:hAnsi="Book Antiqua"/>
          <w:sz w:val="24"/>
          <w:szCs w:val="24"/>
        </w:rPr>
        <w:t xml:space="preserve"> and in agreement with previous studies that found higher levels of inflammatory biomarkers in indirect ARDS, </w:t>
      </w:r>
      <w:r w:rsidR="005A4DC4" w:rsidRPr="00372D52">
        <w:rPr>
          <w:rFonts w:ascii="Book Antiqua" w:hAnsi="Book Antiqua"/>
          <w:sz w:val="24"/>
          <w:szCs w:val="24"/>
        </w:rPr>
        <w:t>PCT</w:t>
      </w:r>
      <w:r w:rsidRPr="00372D52">
        <w:rPr>
          <w:rFonts w:ascii="Book Antiqua" w:hAnsi="Book Antiqua"/>
          <w:sz w:val="24"/>
          <w:szCs w:val="24"/>
        </w:rPr>
        <w:t xml:space="preserve"> levels are significantly higher in ARDS patients with sepsis making it a useful tool in identification of this population</w:t>
      </w:r>
      <w:r w:rsidR="00C70531"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{"citationItems":[{"id":"ITEM-1","itemData":{"ISSN":"0090-3493","PMID":"10548201","abstract":"OBJECTIVE To test the sepsis marker procalcitonin (PCT) for its applicability to discriminate between septic and nonseptic causes of acute respiratory distress syndrome (ARDS). DESIGN Prospective study, assessing the course of PCT serum levels in early (within 72 hrs after onset) ARDS. The three other inflammation markers neopterin, interleukin-6 (IL-6), and C-reactive protein (CRP) were tested in parallel. SETTING Twenty-four-bed medical intensive care unit of a 1,990-bed primary hospital, providing health care for an estimated 39,000 patients. PATIENTS Twenty-seven patients, 18 male and nine female, aged 16-85 yrs, with early ARDS of known cause (17 with septic and ten with nonseptic ARDS) were enrolled in a prospective study between May 1994 and May 1995. INTERVENTIONS Serum samples were drawn every 4-6 hrs for measurement of PCT, neopterin, IL-6, and CRP concentrations. Blood cultures, tracheal aspirates, and urine samples were obtained every 12-24 hrs. In 24 of 27 patients, bronchoscopic cultures were also obtained. Clinical sepsis criteria as defined by the American College of Chest Physicians/Society of Critical Care Medicine Consensus Conference were checked daily. MEASUREMENTS AND MAIN RESULTS Assessment of inflammation marker serum levels in septic vs. nonseptic ARDS. PCT serum levels were significantly higher (p &lt; .0005) in the patients with septic ARDS than in patients with nonseptic ARDS within 72 hrs after onset of ARDS. There was no overlap between the two groups. Also, neopterin allowed a differentiation (p &lt; .005), although a substantial overlap between serum levels of septic and nonseptic patients was observed. No discrimination could be achieved by determination of CRP and IL-6 levels. CONCLUSION PCT determination in early ARDS could help to discriminate between septic and nonseptic underlying disease.","author":[{"dropping-particle":"","family":"Brunkhorst","given":"F M","non-dropping-particle":"","parse-names":false,"suffix":""},{"dropping-particle":"","family":"Eberhard","given":"O K","non-dropping-particle":"","parse-names":false,"suffix":""},{"dropping-particle":"","family":"Brunkhorst","given":"R","non-dropping-particle":"","parse-names":false,"suffix":""}],"container-title":"Critical Care Medicine","id":"ITEM-1","issue":"10","issued":{"date-parts":[["1999","10"]]},"page":"2172-6","title":"Discrimination of infectious and noninfectious causes of early acute respiratory distress syndrome by procalcitonin.","type":"article-journal","volume":"27"},"uris":["http://www.mendeley.com/documents/?uuid=5b1ca1ef-7d87-422a-93f5-4cd6dc8b5dac","http://www.mendeley.com/documents/?uuid=1e2584bc-ffe6-4bd7-b640-067b462119c5"]}],"mendeley":{"formattedCitation":"&lt;sup&gt;[56]&lt;/sup&gt;","plainTextFormattedCitation":"[56]","previouslyFormattedCitation":"&lt;sup&gt;[56]&lt;/sup&gt;"},"properties":{"noteIndex":0},"schema":"https://github.com/citation-style-language/schema/raw/master/csl-citation.json"}</w:instrText>
      </w:r>
      <w:r w:rsidR="00C70531" w:rsidRPr="00372D52">
        <w:rPr>
          <w:rFonts w:ascii="Book Antiqua" w:hAnsi="Book Antiqua"/>
          <w:sz w:val="24"/>
          <w:szCs w:val="24"/>
        </w:rPr>
        <w:fldChar w:fldCharType="separate"/>
      </w:r>
      <w:r w:rsidR="00B53EF6" w:rsidRPr="00372D52">
        <w:rPr>
          <w:rFonts w:ascii="Book Antiqua" w:hAnsi="Book Antiqua"/>
          <w:noProof/>
          <w:sz w:val="24"/>
          <w:szCs w:val="24"/>
          <w:vertAlign w:val="superscript"/>
        </w:rPr>
        <w:t>[5</w:t>
      </w:r>
      <w:r w:rsidR="002F20AA" w:rsidRPr="00372D52">
        <w:rPr>
          <w:rFonts w:ascii="Book Antiqua" w:hAnsi="Book Antiqua"/>
          <w:noProof/>
          <w:sz w:val="24"/>
          <w:szCs w:val="24"/>
          <w:vertAlign w:val="superscript"/>
        </w:rPr>
        <w:t>4</w:t>
      </w:r>
      <w:r w:rsidR="00B53EF6" w:rsidRPr="00372D52">
        <w:rPr>
          <w:rFonts w:ascii="Book Antiqua" w:hAnsi="Book Antiqua"/>
          <w:noProof/>
          <w:sz w:val="24"/>
          <w:szCs w:val="24"/>
          <w:vertAlign w:val="superscript"/>
        </w:rPr>
        <w:t>]</w:t>
      </w:r>
      <w:r w:rsidR="00C70531" w:rsidRPr="00372D52">
        <w:rPr>
          <w:rFonts w:ascii="Book Antiqua" w:hAnsi="Book Antiqua"/>
          <w:sz w:val="24"/>
          <w:szCs w:val="24"/>
        </w:rPr>
        <w:fldChar w:fldCharType="end"/>
      </w:r>
      <w:r w:rsidRPr="00372D52">
        <w:rPr>
          <w:rFonts w:ascii="Book Antiqua" w:hAnsi="Book Antiqua"/>
          <w:sz w:val="24"/>
          <w:szCs w:val="24"/>
        </w:rPr>
        <w:t>.</w:t>
      </w:r>
    </w:p>
    <w:p w14:paraId="43D60E6F" w14:textId="77777777" w:rsidR="008D14EE" w:rsidRPr="00372D52" w:rsidRDefault="008D14EE" w:rsidP="00372D52">
      <w:pPr>
        <w:spacing w:after="0" w:line="360" w:lineRule="auto"/>
        <w:jc w:val="both"/>
        <w:rPr>
          <w:rFonts w:ascii="Book Antiqua" w:hAnsi="Book Antiqua"/>
          <w:b/>
          <w:sz w:val="24"/>
          <w:szCs w:val="24"/>
        </w:rPr>
      </w:pPr>
    </w:p>
    <w:p w14:paraId="1133B6F8" w14:textId="25B09FA4" w:rsidR="00B65F88" w:rsidRPr="00372D52" w:rsidRDefault="002A7F54" w:rsidP="00372D52">
      <w:pPr>
        <w:spacing w:after="0" w:line="360" w:lineRule="auto"/>
        <w:jc w:val="both"/>
        <w:rPr>
          <w:rFonts w:ascii="Book Antiqua" w:hAnsi="Book Antiqua"/>
          <w:b/>
          <w:sz w:val="24"/>
          <w:szCs w:val="24"/>
        </w:rPr>
      </w:pPr>
      <w:r w:rsidRPr="00372D52">
        <w:rPr>
          <w:rFonts w:ascii="Book Antiqua" w:hAnsi="Book Antiqua"/>
          <w:b/>
          <w:sz w:val="24"/>
          <w:szCs w:val="24"/>
        </w:rPr>
        <w:t>CURRENT EVIDENCE ON ADJUNCT ANTI-INFLAMMATORY THERAPIES</w:t>
      </w:r>
    </w:p>
    <w:p w14:paraId="07FF0769" w14:textId="5646F0DD" w:rsidR="000F25EF" w:rsidRPr="00372D52" w:rsidRDefault="000E7FF1" w:rsidP="00372D52">
      <w:pPr>
        <w:spacing w:after="0" w:line="360" w:lineRule="auto"/>
        <w:jc w:val="both"/>
        <w:rPr>
          <w:rFonts w:ascii="Book Antiqua" w:hAnsi="Book Antiqua" w:cs="Arial"/>
          <w:sz w:val="24"/>
          <w:szCs w:val="24"/>
          <w:shd w:val="clear" w:color="auto" w:fill="FFFFFF"/>
        </w:rPr>
      </w:pPr>
      <w:r w:rsidRPr="00372D52">
        <w:rPr>
          <w:rFonts w:ascii="Book Antiqua" w:hAnsi="Book Antiqua"/>
          <w:sz w:val="24"/>
          <w:szCs w:val="24"/>
        </w:rPr>
        <w:t>Early antimicrobial therapy</w:t>
      </w:r>
      <w:r w:rsidR="0039663E" w:rsidRPr="00372D52">
        <w:rPr>
          <w:rFonts w:ascii="Book Antiqua" w:hAnsi="Book Antiqua"/>
          <w:sz w:val="24"/>
          <w:szCs w:val="24"/>
        </w:rPr>
        <w:t xml:space="preserve"> and</w:t>
      </w:r>
      <w:r w:rsidR="009D31AC" w:rsidRPr="00372D52">
        <w:rPr>
          <w:rFonts w:ascii="Book Antiqua" w:hAnsi="Book Antiqua"/>
          <w:b/>
          <w:sz w:val="24"/>
          <w:szCs w:val="24"/>
        </w:rPr>
        <w:t xml:space="preserve"> </w:t>
      </w:r>
      <w:r w:rsidR="009D31AC" w:rsidRPr="00372D52">
        <w:rPr>
          <w:rFonts w:ascii="Book Antiqua" w:hAnsi="Book Antiqua" w:cs="Arial"/>
          <w:sz w:val="24"/>
          <w:szCs w:val="24"/>
          <w:shd w:val="clear" w:color="auto" w:fill="FFFFFF"/>
        </w:rPr>
        <w:t>lu</w:t>
      </w:r>
      <w:r w:rsidR="0039663E" w:rsidRPr="00372D52">
        <w:rPr>
          <w:rFonts w:ascii="Book Antiqua" w:hAnsi="Book Antiqua" w:cs="Arial"/>
          <w:sz w:val="24"/>
          <w:szCs w:val="24"/>
          <w:shd w:val="clear" w:color="auto" w:fill="FFFFFF"/>
        </w:rPr>
        <w:t xml:space="preserve">ng protective ventilation are essential management strategies in pneumonia and ARDS. In addition early neuromuscular blockade </w:t>
      </w:r>
      <w:r w:rsidR="00404290" w:rsidRPr="00372D52">
        <w:rPr>
          <w:rFonts w:ascii="Book Antiqua" w:hAnsi="Book Antiqua" w:cs="Arial"/>
          <w:sz w:val="24"/>
          <w:szCs w:val="24"/>
          <w:shd w:val="clear" w:color="auto" w:fill="FFFFFF"/>
        </w:rPr>
        <w:t>has been</w:t>
      </w:r>
      <w:r w:rsidR="0039663E" w:rsidRPr="00372D52">
        <w:rPr>
          <w:rFonts w:ascii="Book Antiqua" w:hAnsi="Book Antiqua" w:cs="Arial"/>
          <w:sz w:val="24"/>
          <w:szCs w:val="24"/>
          <w:shd w:val="clear" w:color="auto" w:fill="FFFFFF"/>
        </w:rPr>
        <w:t xml:space="preserve"> associated with improved survival and </w:t>
      </w:r>
      <w:r w:rsidR="00404290" w:rsidRPr="00372D52">
        <w:rPr>
          <w:rFonts w:ascii="Book Antiqua" w:hAnsi="Book Antiqua" w:cs="Arial"/>
          <w:sz w:val="24"/>
          <w:szCs w:val="24"/>
          <w:shd w:val="clear" w:color="auto" w:fill="FFFFFF"/>
        </w:rPr>
        <w:t xml:space="preserve">decreased ventilator days in </w:t>
      </w:r>
      <w:r w:rsidR="008F4C61" w:rsidRPr="00372D52">
        <w:rPr>
          <w:rFonts w:ascii="Book Antiqua" w:hAnsi="Book Antiqua" w:cs="Arial"/>
          <w:sz w:val="24"/>
          <w:szCs w:val="24"/>
          <w:shd w:val="clear" w:color="auto" w:fill="FFFFFF"/>
        </w:rPr>
        <w:t xml:space="preserve">severe </w:t>
      </w:r>
      <w:r w:rsidR="00404290" w:rsidRPr="00372D52">
        <w:rPr>
          <w:rFonts w:ascii="Book Antiqua" w:hAnsi="Book Antiqua" w:cs="Arial"/>
          <w:sz w:val="24"/>
          <w:szCs w:val="24"/>
          <w:shd w:val="clear" w:color="auto" w:fill="FFFFFF"/>
        </w:rPr>
        <w:t>ARDS</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{"citationItems":[{"id":"ITEM-1","itemData":{"DOI":"10.1056/NEJMoa1005372","ISSN":"1533-4406","PMID":"20843245","abstract":"BACKGROUND In patients undergoing mechanical ventilation for the acute respiratory distress syndrome (ARDS), neuromuscular blocking agents may improve oxygenation and decrease ventilator-induced lung injury but may also cause muscle weakness. We evaluated clinical outcomes after 2 days of therapy with neuromuscular blocking agents in patients with early, severe ARDS. METHODS In this multicenter, double-blind trial, 340 patients presenting to the intensive care unit (ICU) with an onset of severe ARDS within the previous 48 hours were randomly assigned to receive, for 48 hours, either cisatracurium besylate (178 patients) or placebo (162 patients). Severe ARDS was defined as a ratio of the partial pressure of arterial oxygen (PaO2) to the fraction of inspired oxygen (FIO2) of less than 150, with a positive end-expiratory pressure of 5 cm or more of water and a tidal volume of 6 to 8 ml per kilogram of predicted body weight. The primary outcome was the proportion of patients who died either before hospital discharge or within 90 days after study enrollment (i.e., the 90-day in-hospital mortality rate), adjusted for predefined covariates and baseline differences between groups with the use of a Cox model. RESULTS The hazard ratio for death at 90 days in the cisatracurium group, as compared with the placebo group, was 0.68 (95% confidence interval [CI], 0.48 to 0.98; P=0.04), after adjustment for both the baseline PaO2:FIO2 and plateau pressure and the Simplified Acute Physiology II score. The crude 90-day mortality was 31.6% (95% CI, 25.2 to 38.8) in the cisatracurium group and 40.7% (95% CI, 33.5 to 48.4) in the placebo group (P=0.08). Mortality at 28 days was 23.7% (95% CI, 18.1 to 30.5) with cisatracurium and 33.3% (95% CI, 26.5 to 40.9) with placebo (P=0.05). The rate of ICU-acquired paresis did not differ significantly between the two groups. CONCLUSIONS In patients with severe ARDS, early administration of a neuromuscular blocking agent improved the adjusted 90-day survival and increased the time off the ventilator without increasing muscle weakness. (Funded by Assistance Publique-Hôpitaux de Marseille and the Programme Hospitalier de Recherche Clinique Régional 2004-26 of the French Ministry of Health; ClinicalTrials.gov number, NCT00299650.)","author":[{"dropping-particle":"","family":"Papazian","given":"Laurent","non-dropping-particle":"","parse-names":false,"suffix":""},{"dropping-particle":"","family":"Forel","given":"Jean-Marie","non-dropping-particle":"","parse-names":false,"suffix":""},{"dropping-particle":"","family":"Gacouin","given":"Arnaud","non-dropping-particle":"","parse-names":false,"suffix":""},{"dropping-particle":"","family":"Penot-Ragon","given":"Christine","non-dropping-particle":"","parse-names":false,"suffix":""},{"dropping-particle":"","family":"Perrin","given":"Gilles","non-dropping-particle":"","parse-names":false,"suffix":""},{"dropping-particle":"","family":"Loundou","given":"Anderson","non-dropping-particle":"","parse-names":false,"suffix":""},{"dropping-particle":"","family":"Jaber","given":"Samir","non-dropping-particle":"","parse-names":false,"suffix":""},{"dropping-particle":"","family":"Arnal","given":"Jean-Michel","non-dropping-particle":"","parse-names":false,"suffix":""},{"dropping-particle":"","family":"Perez","given":"Didier","non-dropping-particle":"","parse-names":false,"suffix":""},{"dropping-particle":"","family":"Seghboyan","given":"Jean-Marie","non-dropping-particle":"","parse-names":false,"suffix":""},{"dropping-particle":"","family":"Constantin","given":"Jean-Michel","non-dropping-particle":"","parse-names":false,"suffix":""},{"dropping-particle":"","family":"Courant","given":"Pierre","non-dropping-particle":"","parse-names":false,"suffix":""},{"dropping-particle":"","family":"Lefrant","given":"Jean-Yves","non-dropping-particle":"","parse-names":false,"suffix":""},{"dropping-particle":"","family":"Guérin","given":"Claude","non-dropping-particle":"","parse-names":false,"suffix":""},{"dropping-particle":"","family":"Prat","given":"Gwenaël","non-dropping-particle":"","parse-names":false,"suffix":""},{"dropping-particle":"","family":"Morange","given":"Sophie","non-dropping-particle":"","parse-names":false,"suffix":""},{"dropping-particle":"","family":"Roch","given":"Antoine","non-dropping-particle":"","parse-names":false,"suffix":""},{"dropping-particle":"","family":"ACURASYS Study Investigators","given":"","non-dropping-particle":"","parse-names":false,"suffix":""}],"container-title":"The New England Journal of Medicine","id":"ITEM-1","issue":"12","issued":{"date-parts":[["2010","9","16"]]},"page":"1107-16","title":"Neuromuscular blockers in early acute respiratory distress syndrome.","type":"article-journal","volume":"363"},"uris":["http://www.mendeley.com/documents/?uuid=9f0eaefb-1366-4cad-849e-de2f0ee7d6de","http://www.mendeley.com/documents/?uuid=e598c418-ace8-4f5d-b2ff-2dd2958f65b1"]}],"mendeley":{"formattedCitation":"&lt;sup&gt;[57]&lt;/sup&gt;","plainTextFormattedCitation":"[57]","previouslyFormattedCitation":"&lt;sup&gt;[57]&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[5</w:t>
      </w:r>
      <w:r w:rsidR="002F20AA" w:rsidRPr="00372D52">
        <w:rPr>
          <w:rFonts w:ascii="Book Antiqua" w:hAnsi="Book Antiqua" w:cs="Arial"/>
          <w:noProof/>
          <w:sz w:val="24"/>
          <w:szCs w:val="24"/>
          <w:shd w:val="clear" w:color="auto" w:fill="FFFFFF"/>
          <w:vertAlign w:val="superscript"/>
        </w:rPr>
        <w:t>5</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00C70531" w:rsidRPr="00372D52">
        <w:rPr>
          <w:rFonts w:ascii="Book Antiqua" w:hAnsi="Book Antiqua" w:cs="Arial"/>
          <w:sz w:val="24"/>
          <w:szCs w:val="24"/>
          <w:shd w:val="clear" w:color="auto" w:fill="FFFFFF"/>
        </w:rPr>
        <w:t>.</w:t>
      </w:r>
      <w:r w:rsidR="00404290" w:rsidRPr="00372D52">
        <w:rPr>
          <w:rFonts w:ascii="Book Antiqua" w:hAnsi="Book Antiqua" w:cs="Arial"/>
          <w:sz w:val="24"/>
          <w:szCs w:val="24"/>
          <w:shd w:val="clear" w:color="auto" w:fill="FFFFFF"/>
        </w:rPr>
        <w:t xml:space="preserve"> As antimicrobial therapy alone is insufficient to curb an exaggerated inflammatory response, several studies have evaluated the use of anti-inflammatory agents including corticosteroids in these conditions.</w:t>
      </w:r>
    </w:p>
    <w:p w14:paraId="22D3D77A" w14:textId="77777777" w:rsidR="002A7F54" w:rsidRPr="00372D52" w:rsidRDefault="002A7F54" w:rsidP="00372D52">
      <w:pPr>
        <w:spacing w:after="0" w:line="360" w:lineRule="auto"/>
        <w:jc w:val="both"/>
        <w:rPr>
          <w:rFonts w:ascii="Book Antiqua" w:hAnsi="Book Antiqua" w:cs="Arial"/>
          <w:sz w:val="24"/>
          <w:szCs w:val="24"/>
          <w:shd w:val="clear" w:color="auto" w:fill="FFFFFF"/>
        </w:rPr>
      </w:pPr>
    </w:p>
    <w:p w14:paraId="5DCC0D47" w14:textId="0794396C" w:rsidR="001E6825" w:rsidRPr="00372D52" w:rsidRDefault="002A7F54" w:rsidP="00372D52">
      <w:pPr>
        <w:spacing w:after="0" w:line="360" w:lineRule="auto"/>
        <w:jc w:val="both"/>
        <w:rPr>
          <w:rFonts w:ascii="Book Antiqua" w:hAnsi="Book Antiqua" w:cs="Arial"/>
          <w:b/>
          <w:bCs/>
          <w:i/>
          <w:iCs/>
          <w:sz w:val="24"/>
          <w:szCs w:val="24"/>
          <w:shd w:val="clear" w:color="auto" w:fill="FFFFFF"/>
        </w:rPr>
      </w:pPr>
      <w:r w:rsidRPr="00372D52">
        <w:rPr>
          <w:rFonts w:ascii="Book Antiqua" w:hAnsi="Book Antiqua" w:cs="Arial"/>
          <w:b/>
          <w:bCs/>
          <w:i/>
          <w:iCs/>
          <w:sz w:val="24"/>
          <w:szCs w:val="24"/>
          <w:shd w:val="clear" w:color="auto" w:fill="FFFFFF"/>
        </w:rPr>
        <w:t>Corticosteroids</w:t>
      </w:r>
    </w:p>
    <w:p w14:paraId="7826373A" w14:textId="7E487953" w:rsidR="001E6825" w:rsidRPr="00372D52" w:rsidRDefault="001E6825" w:rsidP="00372D52">
      <w:pPr>
        <w:spacing w:after="0" w:line="360" w:lineRule="auto"/>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Corticosteroids have wide-ranging therapeutic application in the critically ill, particularly as anti-inflammatory agents for a variety of acute illnesses. Corticosteroids bind to glucocorticoid receptors intracellularly prompting genomic signaling with subsequent effects on gene transcription and post-translation</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10.1056/NEJMra050541","ISSN":"1533-4406","PMID":"16236742","author":[{"dropping-particle":"","family":"Rhen","given":"Turk","non-dropping-particle":"","parse-names":false,"suffix":""},{"dropping-particle":"","family":"Cidlowski","given":"John A","non-dropping-particle":"","parse-names":false,"suffix":""}],"container-title":"The New England Journal of Medicine","id":"ITEM-1","issue":"16","issued":{"date-parts":[["2005","10","20"]]},"page":"1711-23","title":"Antiinflammatory action of glucocorticoids--new mechanisms for old drugs.","type":"article-journal","volume":"353"},"uris":["http://www.mendeley.com/documents/?uuid=6ad3528d-bd0b-40ed-8a11-e38617398ae5","http://www.mendeley.com/documents/?uuid=a7538d6d-8d7f-4c9a-9413-9581be2453f0"]}],"mendeley":{"formattedCitation":"&lt;sup&gt;[58]&lt;/sup&gt;","plainTextFormattedCitation":"[58]","previouslyFormattedCitation":"&lt;sup&gt;[58]&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[5</w:t>
      </w:r>
      <w:r w:rsidR="002F20AA" w:rsidRPr="00372D52">
        <w:rPr>
          <w:rFonts w:ascii="Book Antiqua" w:hAnsi="Book Antiqua" w:cs="Arial"/>
          <w:noProof/>
          <w:sz w:val="24"/>
          <w:szCs w:val="24"/>
          <w:shd w:val="clear" w:color="auto" w:fill="FFFFFF"/>
          <w:vertAlign w:val="superscript"/>
        </w:rPr>
        <w:t>6</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00C70531" w:rsidRPr="00372D52">
        <w:rPr>
          <w:rFonts w:ascii="Book Antiqua" w:hAnsi="Book Antiqua" w:cs="Arial"/>
          <w:sz w:val="24"/>
          <w:szCs w:val="24"/>
          <w:shd w:val="clear" w:color="auto" w:fill="FFFFFF"/>
        </w:rPr>
        <w:t xml:space="preserve">. </w:t>
      </w:r>
      <w:r w:rsidRPr="00372D52">
        <w:rPr>
          <w:rFonts w:ascii="Book Antiqua" w:hAnsi="Book Antiqua" w:cs="Arial"/>
          <w:sz w:val="24"/>
          <w:szCs w:val="24"/>
          <w:shd w:val="clear" w:color="auto" w:fill="FFFFFF"/>
        </w:rPr>
        <w:t xml:space="preserve">These result in downstream inhibition and blockade of a variety of pro-inflammatory mediators including </w:t>
      </w:r>
      <w:r w:rsidR="005A4DC4" w:rsidRPr="00372D52">
        <w:rPr>
          <w:rFonts w:ascii="Book Antiqua" w:hAnsi="Book Antiqua" w:cs="Arial"/>
          <w:sz w:val="24"/>
          <w:szCs w:val="24"/>
          <w:shd w:val="clear" w:color="auto" w:fill="FFFFFF"/>
        </w:rPr>
        <w:t>IL</w:t>
      </w:r>
      <w:r w:rsidRPr="00372D52">
        <w:rPr>
          <w:rFonts w:ascii="Book Antiqua" w:hAnsi="Book Antiqua" w:cs="Arial"/>
          <w:sz w:val="24"/>
          <w:szCs w:val="24"/>
          <w:shd w:val="clear" w:color="auto" w:fill="FFFFFF"/>
        </w:rPr>
        <w:t xml:space="preserve">s, </w:t>
      </w:r>
      <w:r w:rsidR="005A4DC4" w:rsidRPr="00372D52">
        <w:rPr>
          <w:rFonts w:ascii="Book Antiqua" w:hAnsi="Book Antiqua" w:cs="Arial"/>
          <w:sz w:val="24"/>
          <w:szCs w:val="24"/>
          <w:shd w:val="clear" w:color="auto" w:fill="FFFFFF"/>
        </w:rPr>
        <w:t>TNF</w:t>
      </w:r>
      <w:r w:rsidRPr="00372D52">
        <w:rPr>
          <w:rFonts w:ascii="Book Antiqua" w:hAnsi="Book Antiqua" w:cs="Arial"/>
          <w:sz w:val="24"/>
          <w:szCs w:val="24"/>
          <w:shd w:val="clear" w:color="auto" w:fill="FFFFFF"/>
        </w:rPr>
        <w:t xml:space="preserve"> nuclear factor-kB, and suppression of inflammatory eicosanoids and cyclooxygenase 2.</w:t>
      </w:r>
    </w:p>
    <w:p w14:paraId="6D21B57D" w14:textId="602B6685" w:rsidR="001E6825" w:rsidRPr="00372D52" w:rsidRDefault="001E6825"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Insufficient suppression of nuclear factor-kB and increased levels of pro-inflammatory cytokines are thought to be a major driver of pulmonary inflammation in ARDS</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10.1159/000069969","ISSN":"1021-7401","author":[{"dropping-particle":"","family":"Franchimont","given":"Denis","non-dropping-particle":"","parse-names":false,"suffix":""},{"dropping-particle":"","family":"Kino","given":"Tomoshige","non-dropping-particle":"","parse-names":false,"suffix":""},{"dropping-particle":"","family":"Galon","given":"Jerome","non-dropping-particle":"","parse-names":false,"suffix":""},{"dropping-particle":"","family":"Meduri","given":"Gianfranco Umberto","non-dropping-particle":"","parse-names":false,"suffix":""},{"dropping-particle":"","family":"Chrousos","given":"George","non-dropping-particle":"","parse-names":false,"suffix":""}],"container-title":"Neuroimmunomodulation","id":"ITEM-1","issue":"5","issued":{"date-parts":[["2002"]]},"page":"247-260","title":"Glucocorticoids and Inflammation Revisited: The State of the Art","type":"article-journal","volume":"10"},"uris":["http://www.mendeley.com/documents/?uuid=976872b0-11ac-4249-97ad-f9db2e40e10a","http://www.mendeley.com/documents/?uuid=f5be8f9e-33c6-488d-bd90-d4d17f406675"]},{"id":"ITEM-2","itemData":{"ISBN":"1931-3543 (Electronic)\\r0012-3692 (Linking)","PMID":"19801579","abstract":"Experimental and clinical evidence has demonstrated a strong cause-and-effect relationship between persistence vs reduction in systemic inflammation and progression (unresolving) vs resolution (resolving) of ARDS. In this review, the cellular mechanisms involved in activating and regulating inflammation are contrasted between patients with resolving and unresolving ARDS. At the cellular level, patients with unresolving ARDS have deficient glucocorticoid (GC)-mediated down-regulation of inflammatory cytokine and chemokine transcription despite elevated levels of circulating cortisol, a condition defined as systemic inflammation-associated acquired GC resistance. These patients, contrary to those with resolving ARDS, have persistent elevation in levels of both systemic and BAL fluid inflammatory cytokines and chemokines, markers of alveolar-capillary membrane permeability and fibrogenesis. At the tissue level, the continued production of inflammatory mediators leads to tissue injury, intravascular and extravascular coagulation, and the proliferation of mesenchymal cells, all resulting in maladaptive lung repair and progression of extrapulmonary organ dysfunction. In ARDS, down-regulation of systemic inflammation is essential to restoring homeostasis, decreasing morbidity, and improving survival. Prolonged low-to-moderate dose GC therapy promotes the down-regulation of inflammatory cytokine transcription at the cellular level. Eight controlled studies have consistently reported a significant reduction in markers of systemic inflammation, pulmonary and extrapulmonary organ dysfunction scores, duration of mechanical ventilation, and ICU length of stay. In the aggregate (n = 628), reduction in mortality was substantial for all patients (relative risk [RR], 0.75; 95% CI, 0.63 to 0.89; p &lt; 0.001; I(2), 43%) and for those treated before day 14 (RR, 0.71; 95% CI, 0.59 to 0.85; p &lt; 0.001; I(2), 40%).","author":[{"dropping-particle":"","family":"Meduri","given":"G. Umberto","non-dropping-particle":"","parse-names":false,"suffix":""},{"dropping-particle":"","family":"Annane","given":"Djillali","non-dropping-particle":"","parse-names":false,"suffix":""},{"dropping-particle":"","family":"Chrousos","given":"George P.","non-dropping-particle":"","parse-names":false,"suffix":""},{"dropping-particle":"","family":"Marik","given":"Paul E.","non-dropping-particle":"","parse-names":false,"suffix":""},{"dropping-particle":"","family":"Sinclair","given":"Scott E.","non-dropping-particle":"","parse-names":false,"suffix":""}],"container-title":"Chest","id":"ITEM-2","issue":"6","issued":{"date-parts":[["2009"]]},"page":"1631-1643","publisher":"The American College of Chest Physicians","title":"Activation and regulation of systemic inflammation in ARDS: Rationale for prolonged glucocorticoid therapy","type":"article-journal","volume":"136"},"uris":["http://www.mendeley.com/documents/?uuid=3eedaf14-a155-44b4-ad60-dca176fc3386"]},{"id":"ITEM-3","itemData":{"DOI":"10.1056/NEJMra1608077","ISSN":"1533-4406","PMID":"28792873","author":[{"dropping-particle":"","family":"Thompson","given":"B Taylor","non-dropping-particle":"","parse-names":false,"suffix":""},{"dropping-particle":"","family":"Chambers","given":"Rachel C","non-dropping-particle":"","parse-names":false,"suffix":""},{"dropping-particle":"","family":"Liu","given":"Kathleen D","non-dropping-particle":"","parse-names":false,"suffix":""}],"container-title":"The New England Journal of Medicine","id":"ITEM-3","issue":"6","issued":{"date-parts":[["2017","8","10"]]},"page":"562-572","title":"Acute Respiratory Distress Syndrome.","type":"article-journal","volume":"377"},"uris":["http://www.mendeley.com/documents/?uuid=199b26ea-9144-4c6c-a8af-d88beb83f3e2","http://www.mendeley.com/documents/?uuid=2c142dd5-6e73-4f59-9c5b-412add0df478"]}],"mendeley":{"formattedCitation":"&lt;sup&gt;[59–61]&lt;/sup&gt;","plainTextFormattedCitation":"[59–61]","previouslyFormattedCitation":"&lt;sup&gt;[59–61]&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[5</w:t>
      </w:r>
      <w:r w:rsidR="002F20AA" w:rsidRPr="00372D52">
        <w:rPr>
          <w:rFonts w:ascii="Book Antiqua" w:hAnsi="Book Antiqua" w:cs="Arial"/>
          <w:noProof/>
          <w:sz w:val="24"/>
          <w:szCs w:val="24"/>
          <w:shd w:val="clear" w:color="auto" w:fill="FFFFFF"/>
          <w:vertAlign w:val="superscript"/>
        </w:rPr>
        <w:t>7</w:t>
      </w:r>
      <w:r w:rsidR="002A7F54"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59</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00C70531" w:rsidRPr="00372D52">
        <w:rPr>
          <w:rFonts w:ascii="Book Antiqua" w:hAnsi="Book Antiqua" w:cs="Arial"/>
          <w:sz w:val="24"/>
          <w:szCs w:val="24"/>
          <w:shd w:val="clear" w:color="auto" w:fill="FFFFFF"/>
        </w:rPr>
        <w:t xml:space="preserve"> </w:t>
      </w:r>
      <w:r w:rsidRPr="00372D52">
        <w:rPr>
          <w:rFonts w:ascii="Book Antiqua" w:hAnsi="Book Antiqua" w:cs="Arial"/>
          <w:sz w:val="24"/>
          <w:szCs w:val="24"/>
          <w:shd w:val="clear" w:color="auto" w:fill="FFFFFF"/>
        </w:rPr>
        <w:t xml:space="preserve">and </w:t>
      </w:r>
      <w:r w:rsidRPr="00372D52">
        <w:rPr>
          <w:rFonts w:ascii="Book Antiqua" w:hAnsi="Book Antiqua" w:cs="Arial"/>
          <w:sz w:val="24"/>
          <w:szCs w:val="24"/>
          <w:shd w:val="clear" w:color="auto" w:fill="FFFFFF"/>
        </w:rPr>
        <w:lastRenderedPageBreak/>
        <w:t>severe CAP</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{"citationItems":[{"id":"ITEM-1","itemData":{"ISSN":"0012-3692","PMID":"7750329","abstract":"BACKGROUND Pneumonia continues to be a major cause of disease and death among patients worldwide. Aspects of the host response to infection, such as the release of cytokines, may be contributing to the persistent morbidity and mortality. METHODS Plasma levels of cytokines interleukin (IL)-1 beta, IL-6, and tumor necrosis factor alpha (TNF-alpha) were measured in critically ill patients with pneumonia (ICUP; n = 12) and less severely ill patients with pneumonia (NONICUP; n = 8), and in 2 additional control groups of patients, viz, severely ill postoperative patients without evidence of infection (POSTOP; n = 11) and less severely ill patients with nonpneumonia infections (NONP; n = 9). All four groups of patients were studied in a multivariate one-way analysis of variance using the parameter vector: plasma IL-1 beta, IL-6, TNF-alpha, systolic blood pressure, diastolic blood pressure, plasma urea, creatinine, and temperature. Thereafter the significance of individual parameters were assessed by univariate analysis and pairwise comparisons. RESULTS All cytokine concentrations were highest in the ICUP group. In the case of IL-1 beta, levels were significantly higher in the ICUP group when compared with the noninfected POSTOP group. The acute physiology and chronic health evaluation (APACHE) II scores were identical in these two groups (17 +/- 3 [SD] and 10 +/- 1, respectively, not significantly different). Intermediate levels were found in those groups with intermediate levels of infection. The IL-6 levels were not significantly different between the groups and in particular, the levels in the ICUP and POSTOP groups were similar. The TNF-alpha levels tended to mimic those of IL-1 beta, although the significant difference found was between the ICUP and NONICUP groups which had significantly different APACHE II scores (17 +/- 3 vs 4.4 +/- 1, respectively). No association between cytokine levels and patient mortality was demonstrated. CONCLUSION Among the cytokines, IL-1 beta appeared to be associated with the severity of infection, IL-6 appears to reflect severity of stress whether of infection or noninfective origin, and TNF-alpha may be a marker of severity of pneumonia.","author":[{"dropping-particle":"","family":"Puren","given":"A J","non-dropping-particle":"","parse-names":false,"suffix":""},{"dropping-particle":"","family":"Feldman","given":"C","non-dropping-particle":"","parse-names":false,"suffix":""},{"dropping-particle":"","family":"Savage","given":"N","non-dropping-particle":"","parse-names":false,"suffix":""},{"dropping-particle":"","family":"Becker","given":"P J","non-dropping-particle":"","parse-names":false,"suffix":""},{"dropping-particle":"","family":"Smith","given":"C","non-dropping-particle":"","parse-names":false,"suffix":""}],"container-title":"Chest","id":"ITEM-1","issue":"5","issued":{"date-parts":[["1995","5"]]},"page":"1342-9","title":"Patterns of cytokine expression in community-acquired pneumonia.","type":"article-journal","volume":"107"},"uris":["http://www.mendeley.com/documents/?uuid=f3a5d309-c331-47b8-93ab-f3e8de2b78d0","http://www.mendeley.com/documents/?uuid=84decdc9-5c0a-4ace-a4e7-c36be4a827bc"]}],"mendeley":{"formattedCitation":"&lt;sup&gt;[62]&lt;/sup&gt;","plainTextFormattedCitation":"[62]","previouslyFormattedCitation":"&lt;sup&gt;[62]&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0</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xml:space="preserve"> associated with worse outcomes</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{"citationItems":[{"id":"ITEM-1","itemData":{"ISSN":"0012-3692","PMID":"7705118","abstract":"BACKGROUND Inflammatory cytokines have been related to the development of adult respiratory distress syndrome (ARDS), shock, and multiple organ dysfunction syndrome (MODS). We tested the hypothesis that unfavorable outcome in patients with ARDS is related to the presence of a persistent inflammatory response. For this purpose, we evaluated the behavior of inflammatory cytokines during progression of ARDS and the relationship of plasma inflammatory cytokines with clinical variables and outcome. METHODS We prospectively studied 27 consecutive patients with severe medical ARDS. Plasma levels of tumor necrosis factor alpha (TNF-alpha) and interleukins (ILs) 1 beta, 2, 4, 6, and 8 were measured (enzyme-linked immunosorbent assay [ELISA] method) on days 1, 2, 3, 5, 7, 10, and 12 of ARDS and every third day thereafter while patients were receiving mechanical ventilation. Subgroups of patients were identified based on outcome, cause of ARDS, presence or absence of sepsis, shock, and MODS at the time ARDS developed. Subgroups were compared for levels of plasma inflammatory cytokines on day 1 of ARDS and over time. RESULTS Of the 27 patients, 13 survived ICU admission and 14 died (a mortality rate of 52%). Overall mortality was higher in patients with sepsis (86 vs 38%, p &lt; 0.02). The mean initial plasma levels of TNF-alpha, IL-1 beta, IL-6, and IL-8 were significantly higher in nonsurvivors (p &lt; 0.0001) and in those patients with sepsis (p &lt; 0.0001). Plasma levels of IL-1 beta (p &lt; 0.01) and IL-6 (p = 0.03) were more strongly associated with patient outcome than cause of ARDS (p = 0.8), lung injury score (LIS), APACHE II score, sepsis (p = 0.16), shock, or MODS score. Plasma levels of TNF-alpha, IL-1 beta, IL-6, and IL-8 remained significantly elevated over time (p &lt; 0.0001) in those who died. Although it was the best early predictor of death (p &lt; 0.001), plasma IL-2 &gt; 200 pg/mL lost its usefulness after the first 48 h. A plasma IL-1 beta or IL-6 level &gt; 400 pg/mL on any day in the first week of ARDS was associated with a low likelihood of survival. CONCLUSIONS Our findings indicate that unfavorable outcome in acute lung injury is related to the degree of inflammatory response at the onset and during the course of ARDS. Patients with higher plasma levels of TNF-alpha, IL-1 beta, IL-6, and IL-8 on day 1 of ARDS had persistent elevation of these inflammatory cytokines over time and died. Survivors had lesser elevations of plasma inflammatory cytokines on day 1 of …","author":[{"dropping-particle":"","family":"Meduri","given":"G U","non-dropping-particle":"","parse-names":false,"suffix":""},{"dropping-particle":"","family":"Headley","given":"S","non-dropping-particle":"","parse-names":false,"suffix":""},{"dropping-particle":"","family":"Kohler","given":"G","non-dropping-particle":"","parse-names":false,"suffix":""},{"dropping-particle":"","family":"Stentz","given":"F","non-dropping-particle":"","parse-names":false,"suffix":""},{"dropping-particle":"","family":"Tolley","given":"E","non-dropping-particle":"","parse-names":false,"suffix":""},{"dropping-particle":"","family":"Umberger","given":"R","non-dropping-particle":"","parse-names":false,"suffix":""},{"dropping-particle":"","family":"Leeper","given":"K","non-dropping-particle":"","parse-names":false,"suffix":""}],"container-title":"Chest","id":"ITEM-1","issue":"4","issued":{"date-parts":[["1995","4"]]},"page":"1062-73","title":"Persistent elevation of inflammatory cytokines predicts a poor outcome in ARDS. Plasma IL-1 beta and IL-6 levels are consistent and efficient predictors of outcome over time.","type":"article-journal","volume":"107"},"uris":["http://www.mendeley.com/documents/?uuid=8b09e38a-22b8-41b9-9b7f-f71f69864ce7","http://www.mendeley.com/documents/?uuid=131c2383-c10a-404d-b058-3b65dac3f401"]}],"mendeley":{"formattedCitation":"&lt;sup&gt;[63]&lt;/sup&gt;","plainTextFormattedCitation":"[63]","previouslyFormattedCitation":"&lt;sup&gt;[63]&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1</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Therefore the use of corticosteroids to blunt these effects has been proposed</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{"citationItems":[{"id":"ITEM-1","itemData":{"DOI":"10.1007/s00134-007-0933-3","ISSN":"0342-4642","PMID":"18000649","abstract":"OBJECTIVES To compare the design and results of randomized trials investigating prolonged glucocorticoid treatment (&gt; or =7 days) in patients with acute lung injury-acute respiratory distress syndrome (ALI-ARDS), and review factors affecting response to therapy, including the role of secondary prevention. DESIGN Trials were retrieved from the Cochrane Central Register of Controlled Trials (CENTRAL). Two investigators collected data on study characteristics, treatment intervention, and outcomes. The methodological quality of trials was determined and data were analyzed with Review Manager 4.2.3. MEASUREMENTS AND RESULTS Five selected trials (n=518) consistently reported significant improvement in gas exchange, reduction in markers of inflammation, and decreased duration of mechanical ventilation and intensive care unit stay (all p&lt;0.05). Two early small clinical trials showed marked reductions in the relative risk (RR) of death with glucocorticoid therapy (RR=0.14, 95% CI 0.04-0.53; p=0.004, I2=0%). Three subsequent larger trials, when combined, although nominally beneficial, did not reproduce the marked reductions observed in the earlier trials (RR=0.84; 95% CI 0.68-1.03; p=0.09, I2=9.1%), but achieved a distinct reduction in the RR of death in the larger subgroup of patients (n=400) treated before day 14 of ARDS [82/214 (38%) vs. 98/186 (52.5%), RR=0.78; 95% CI 0.64-0.96; p=0.02, I2=0%]. CONCLUSIONS Prolonged glucocorticoid treatment substantially and significantly improves meaningful patient-centered outcome variables, and has a distinct survival benefit when initiated before day 14 of ARDS.","author":[{"dropping-particle":"","family":"Meduri","given":"G Umberto","non-dropping-particle":"","parse-names":false,"suffix":""},{"dropping-particle":"","family":"Marik","given":"Paul E","non-dropping-particle":"","parse-names":false,"suffix":""},{"dropping-particle":"","family":"Chrousos","given":"George P","non-dropping-particle":"","parse-names":false,"suffix":""},{"dropping-particle":"","family":"Pastores","given":"Stephen M","non-dropping-particle":"","parse-names":false,"suffix":""},{"dropping-particle":"","family":"Arlt","given":"Wiebke","non-dropping-particle":"","parse-names":false,"suffix":""},{"dropping-particle":"","family":"Beishuizen","given":"Albertus","non-dropping-particle":"","parse-names":false,"suffix":""},{"dropping-particle":"","family":"Bokhari","given":"Faran","non-dropping-particle":"","parse-names":false,"suffix":""},{"dropping-particle":"","family":"Zaloga","given":"Gary","non-dropping-particle":"","parse-names":false,"suffix":""},{"dropping-particle":"","family":"Annane","given":"Djillali","non-dropping-particle":"","parse-names":false,"suffix":""}],"container-title":"Intensive Care Medicine","id":"ITEM-1","issue":"1","issued":{"date-parts":[["2008","1"]]},"page":"61-9","title":"Steroid treatment in ARDS: a critical appraisal of the ARDS network trial and the recent literature.","type":"article-journal","volume":"34"},"uris":["http://www.mendeley.com/documents/?uuid=e85abf67-6709-4f10-87db-4f886955a4e5","http://www.mendeley.com/documents/?uuid=ce48c2db-6538-4972-ae3d-f8cc16ec0eec"]},{"id":"ITEM-2","itemData":{"DOI":"10.1164/rccm.200406-808OC","ISSN":"1073-449X","PMID":"15557131","abstract":"We hypothesize that hydrocortisone infusion in severe community-acquired pneumonia attenuates systemic inflammation and leads to earlier resolution of pneumonia and a reduction in sepsis-related complications. In a multicenter trial, patients admitted to the Intensive Care Unit (ICU) with severe community-acquired pneumonia received protocol-guided antibiotic treatment and were randomly assigned to hydrocortisone infusion or placebo. Hydrocortisone was given as an intravenous 200-mg bolus followed by infusion at a rate of 10 mg/hour for 7 days. Primary end-points of the study were improvement in Pa(O(2)):FI(O(2)) (Pa(O(2)):FI(O(2)) &gt; 300 or &gt;/= 100 increase from study entry) and multiple organ dysfunction syndrome (MODS) score by Study Day 8 and reduction in delayed septic shock. Forty-six patients entered the study. At study entry, the hydrocortisone group had lower Pa(O(2)):FI(O(2)), and higher chest radiograph score and C-reactive protein level. By Study Day 8, treated patients had, compared with control subjects, a significant improvement in Pa(O(2)):FI(O(2)) (p = 0.002) and chest radiograph score (p &lt; 0.0001), and a significant reduction in C-reactive protein levels (p = 0.01), MODS score (p = 0.003), and delayed septic shock (p = 0.001). Hydrocortisone treatment was associated with a significant reduction in length of hospital stay (p = 0.03) and mortality (p = 0.009).","author":[{"dropping-particle":"","family":"Confalonieri","given":"Marco","non-dropping-particle":"","parse-names":false,"suffix":""},{"dropping-particle":"","family":"Urbino","given":"Rosario","non-dropping-particle":"","parse-names":false,"suffix":""},{"dropping-particle":"","family":"Potena","given":"Alfredo","non-dropping-particle":"","parse-names":false,"suffix":""},{"dropping-particle":"","family":"Piattella","given":"Marco","non-dropping-particle":"","parse-names":false,"suffix":""},{"dropping-particle":"","family":"Parigi","given":"Piercarlo","non-dropping-particle":"","parse-names":false,"suffix":""},{"dropping-particle":"","family":"Puccio","given":"Giacomo","non-dropping-particle":"","parse-names":false,"suffix":""},{"dropping-particle":"","family":"Porta","given":"Rossana","non-dropping-particle":"Della","parse-names":false,"suffix":""},{"dropping-particle":"","family":"Giorgio","given":"Carbone","non-dropping-particle":"","parse-names":false,"suffix":""},{"dropping-particle":"","family":"Blasi","given":"Francesco","non-dropping-particle":"","parse-names":false,"suffix":""},{"dropping-particle":"","family":"Umberger","given":"Reba","non-dropping-particle":"","parse-names":false,"suffix":""},{"dropping-particle":"","family":"Meduri","given":"G Umberto","non-dropping-particle":"","parse-names":false,"suffix":""}],"container-title":"American Journal of Respiratory and Critical Care Medicine","id":"ITEM-2","issue":"3","issued":{"date-parts":[["2005","2","1"]]},"page":"242-8","title":"Hydrocortisone infusion for severe community-acquired pneumonia: a preliminary randomized study.","type":"article-journal","volume":"171"},"uris":["http://www.mendeley.com/documents/?uuid=05819c0c-2b6e-44db-b4be-3b5f4f78fc12","http://www.mendeley.com/documents/?uuid=a34c7f65-cbfa-4f50-ad6a-7e72f8500a0b"]}],"mendeley":{"formattedCitation":"&lt;sup&gt;[64,65]&lt;/sup&gt;","plainTextFormattedCitation":"[64,65]","previouslyFormattedCitation":"&lt;sup&gt;[64,65]&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2</w:t>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3</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w:t>
      </w:r>
      <w:r w:rsidR="001C1AF0" w:rsidRPr="00372D52">
        <w:rPr>
          <w:rFonts w:ascii="Book Antiqua" w:hAnsi="Book Antiqua" w:cs="Arial"/>
          <w:sz w:val="24"/>
          <w:szCs w:val="24"/>
          <w:shd w:val="clear" w:color="auto" w:fill="FFFFFF"/>
        </w:rPr>
        <w:t xml:space="preserve"> </w:t>
      </w:r>
      <w:r w:rsidRPr="00372D52">
        <w:rPr>
          <w:rFonts w:ascii="Book Antiqua" w:hAnsi="Book Antiqua" w:cs="Arial"/>
          <w:sz w:val="24"/>
          <w:szCs w:val="24"/>
          <w:shd w:val="clear" w:color="auto" w:fill="FFFFFF"/>
        </w:rPr>
        <w:t>Translational efforts of these hypotheses however have been inconsistent in demonstrating clinical benefit.</w:t>
      </w:r>
    </w:p>
    <w:p w14:paraId="4B02CF7E" w14:textId="77777777" w:rsidR="002A7F54" w:rsidRPr="00372D52" w:rsidRDefault="002A7F54" w:rsidP="00372D52">
      <w:pPr>
        <w:spacing w:after="0" w:line="360" w:lineRule="auto"/>
        <w:ind w:firstLineChars="100" w:firstLine="240"/>
        <w:jc w:val="both"/>
        <w:rPr>
          <w:rFonts w:ascii="Book Antiqua" w:hAnsi="Book Antiqua" w:cs="Arial"/>
          <w:sz w:val="24"/>
          <w:szCs w:val="24"/>
          <w:shd w:val="clear" w:color="auto" w:fill="FFFFFF"/>
        </w:rPr>
      </w:pPr>
    </w:p>
    <w:p w14:paraId="5D85C721" w14:textId="5A98C6C7" w:rsidR="00522BB1" w:rsidRPr="00372D52" w:rsidRDefault="00D42981" w:rsidP="00372D52">
      <w:pPr>
        <w:spacing w:after="0" w:line="360" w:lineRule="auto"/>
        <w:jc w:val="both"/>
        <w:rPr>
          <w:rFonts w:ascii="Book Antiqua" w:hAnsi="Book Antiqua" w:cs="Arial"/>
          <w:b/>
          <w:bCs/>
          <w:sz w:val="24"/>
          <w:szCs w:val="24"/>
          <w:shd w:val="clear" w:color="auto" w:fill="FFFFFF"/>
        </w:rPr>
      </w:pPr>
      <w:r>
        <w:rPr>
          <w:rFonts w:ascii="Book Antiqua" w:hAnsi="Book Antiqua" w:cs="Arial"/>
          <w:b/>
          <w:bCs/>
          <w:i/>
          <w:sz w:val="24"/>
          <w:szCs w:val="24"/>
          <w:shd w:val="clear" w:color="auto" w:fill="FFFFFF"/>
        </w:rPr>
        <w:t>CAP</w:t>
      </w:r>
    </w:p>
    <w:p w14:paraId="70352B6E" w14:textId="10D852E9" w:rsidR="00522BB1" w:rsidRPr="00372D52" w:rsidRDefault="00522BB1" w:rsidP="00372D52">
      <w:pPr>
        <w:spacing w:after="0" w:line="360" w:lineRule="auto"/>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Early studies and subsequent meta-analyses found improvements in mortality, ventilator-free days, time to clinical stabilization, and reduced lengths of stays</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{"citationItems":[{"id":"ITEM-1","itemData":{"DOI":"10.7326/M15-0715","ISSN":"1539-3704","PMID":"26258555","abstract":"BACKGROUND Community-acquired pneumonia (CAP) is common and often severe. PURPOSE To examine the effect of adjunctive corticosteroid therapy on mortality, morbidity, and duration of hospitalization in patients with CAP. DATA SOURCES MEDLINE, EMBASE, and the Cochrane Central Register of Controlled Trials through 24 May 2015. STUDY SELECTION Randomized trials of systemic corticosteroids in hospitalized adults with CAP. DATA EXTRACTION Two reviewers independently extracted study data and assessed risk of bias. Quality of evidence was assessed with the Grading of Recommendations Assessment, Development, and Evaluation system by consensus among the authors. DATA SYNTHESIS The median age was typically in the 60s, and approximately 60% of patients were male. Adjunctive corticosteroids were associated with possible reductions in all-cause mortality (12 trials; 1974 patients; risk ratio [RR], 0.67 [95% CI, 0.45 to 1.01]; risk difference [RD], 2.8%; moderate certainty), need for mechanical ventilation (5 trials; 1060 patients; RR, 0.45 [CI, 0.26 to 0.79]; RD, 5.0%; moderate certainty), and the acute respiratory distress syndrome (4 trials; 945 patients; RR, 0.24 [CI, 0.10 to 0.56]; RD, 6.2%; moderate certainty). They also decreased time to clinical stability (5 trials; 1180 patients; mean difference, -1.22 days [CI, -2.08 to -0.35 days]; high certainty) and duration of hospitalization (6 trials; 1499 patients; mean difference, -1.00 day [CI, -1.79 to -0.21 days]; high certainty). Adjunctive corticosteroids increased frequency of hyperglycemia requiring treatment (6 trials; 1534 patients; RR, 1.49 [CI, 1.01 to 2.19]; RD, 3.5%; high certainty) but did not increase frequency of gastrointestinal hemorrhage. LIMITATIONS There were few events and trials for many outcomes. Trials often excluded patients at high risk for adverse events. CONCLUSION For hospitalized adults with CAP, systemic corticosteroid therapy may reduce mortality by approximately 3%, need for mechanical ventilation by approximately 5%, and hospital stay by approximately 1 day. PRIMARY FUNDING SOURCE None.","author":[{"dropping-particle":"","family":"Siemieniuk","given":"Reed A C","non-dropping-particle":"","parse-names":false,"suffix":""},{"dropping-particle":"","family":"Meade","given":"Maureen O","non-dropping-particle":"","parse-names":false,"suffix":""},{"dropping-particle":"","family":"Alonso-Coello","given":"Pablo","non-dropping-particle":"","parse-names":false,"suffix":""},{"dropping-particle":"","family":"Briel","given":"Matthias","non-dropping-particle":"","parse-names":false,"suffix":""},{"dropping-particle":"","family":"Evaniew","given":"Nathan","non-dropping-particle":"","parse-names":false,"suffix":""},{"dropping-particle":"","family":"Prasad","given":"Manya","non-dropping-particle":"","parse-names":false,"suffix":""},{"dropping-particle":"","family":"Alexander","given":"Paul E","non-dropping-particle":"","parse-names":false,"suffix":""},{"dropping-particle":"","family":"Fei","given":"Yutong","non-dropping-particle":"","parse-names":false,"suffix":""},{"dropping-particle":"","family":"Vandvik","given":"Per O","non-dropping-particle":"","parse-names":false,"suffix":""},{"dropping-particle":"","family":"Loeb","given":"Mark","non-dropping-particle":"","parse-names":false,"suffix":""},{"dropping-particle":"","family":"Guyatt","given":"Gordon H","non-dropping-particle":"","parse-names":false,"suffix":""}],"container-title":"Annals of Internal Medicine","id":"ITEM-1","issue":"7","issued":{"date-parts":[["2015","10","6"]]},"page":"519-28","title":"Corticosteroid Therapy for Patients Hospitalized With Community-Acquired Pneumonia: A Systematic Review and Meta-analysis.","type":"article-journal","volume":"163"},"uris":["http://www.mendeley.com/documents/?uuid=d42cde2c-59c5-4d4d-8e96-a036129f6c4c","http://www.mendeley.com/documents/?uuid=66c5e8f7-3849-4731-9d2a-6b286af514b6"]},{"id":"ITEM-2","itemData":{"DOI":"10.1038/srep14061","ISSN":"2045-2322","PMID":"26374694","abstract":"Previous randomized controlled trials (RCTs) and meta-analyses evaluated the efficacy and safety of adjunctive corticosteroids for community-acquired pneumonia (CAP). However, the results from them had large discrepancies. The eligibility criteria for the current meta-analysis were original RCTs written in English as a full article that evaluated adjunctive systemic corticosteroids adding on antibiotic therapy targeting typical and/or atypical pathogen for treating hospitalized human CAP cases. Four investigators independently searched for eligible articles through PubMed, Embase, and Cochrane databases. Random model was used. The heterogeneity among original studies and subgroups was evaluated with the I(2) statistics. Of 54 articles that met the preliminary criteria, we found 10 eligible RCTs comprising 1780 cases. Our analyses revealed following pooled values by corticosteroids. OR for all-cause death: 0.80 (95% confidence interval (95% CI) 0.53-1.21) from all studies; 0.41 (95% CI 0.19-0.90) from severe-case subgroup; 0.21 (95% CI 0.0-0.74) from intensive care unit (ICU) subgroup. Length of ICU stay: -1.30 days (95% CI (-3.04)-0.44). Length of hospital stay: -0.98 days (95% CI (-1.26)-(-0.71)). Length to clinical stability: -1.16 days (95% CI (-1.73)-(-0.58)). Serious complications do not seem to largely increase by steroids. In conclusion, adjunctive systemic corticosteroids for hospitalized patients with CAP seems preferred strategies.","author":[{"dropping-particle":"","family":"Horita","given":"Nobuyuki","non-dropping-particle":"","parse-names":false,"suffix":""},{"dropping-particle":"","family":"Otsuka","given":"Tatsuya","non-dropping-particle":"","parse-names":false,"suffix":""},{"dropping-particle":"","family":"Haranaga","given":"Shusaku","non-dropping-particle":"","parse-names":false,"suffix":""},{"dropping-particle":"","family":"Namkoong","given":"Ho","non-dropping-particle":"","parse-names":false,"suffix":""},{"dropping-particle":"","family":"Miki","given":"Makoto","non-dropping-particle":"","parse-names":false,"suffix":""},{"dropping-particle":"","family":"Miyashita","given":"Naoyuki","non-dropping-particle":"","parse-names":false,"suffix":""},{"dropping-particle":"","family":"Higa","given":"Futoshi","non-dropping-particle":"","parse-names":false,"suffix":""},{"dropping-particle":"","family":"Takahashi","given":"Hiroshi","non-dropping-particle":"","parse-names":false,"suffix":""},{"dropping-particle":"","family":"Yoshida","given":"Masahiro","non-dropping-particle":"","parse-names":false,"suffix":""},{"dropping-particle":"","family":"Kohno","given":"Shigeru","non-dropping-particle":"","parse-names":false,"suffix":""},{"dropping-particle":"","family":"Kaneko","given":"Takeshi","non-dropping-particle":"","parse-names":false,"suffix":""}],"container-title":"Scientific Reports","id":"ITEM-2","issued":{"date-parts":[["2015","9","16"]]},"page":"14061","title":"Adjunctive Systemic Corticosteroids for Hospitalized Community-Acquired Pneumonia: Systematic Review and Meta-Analysis 2015 Update.","type":"article-journal","volume":"5"},"uris":["http://www.mendeley.com/documents/?uuid=53c31978-207d-48a0-a8e1-17a9e31846d3","http://www.mendeley.com/documents/?uuid=7bbb5ddc-38fd-4ccf-885b-1ad2041666c3"]},{"id":"ITEM-3","itemData":{"DOI":"10.1371/journal.pone.0144032","ISSN":"1932-6203","PMID":"26641253","abstract":"BACKGROUND Community-acquired pneumonia (CAP) induces lung and systemic inflammation, leading to high morbidity and mortality. We systematically reviewed the risks and benefits of adjunctive corticotherapy in the management of patients with CAP. METHODS We systematically searched Pubmed, Embase and the Cochrane Library for randomized controlled trials comparing adjunctive corticotherapy and antimicrobial therapy with antimicrobial therapy alone in patients with CAP. The primary outcome was 30-day mortality. Secondary outcomes were length of hospital stay, time to clinical stability and severe complications. RESULTS 14 trials (2077 patients) were included. The reported 30-day mortality was 7.9% (80/1018) among patients treated with adjunctive corticotherapy versus 8.3% (85/1028) among patients treated with antimicrobial therapy alone (RR 0.84; 95%CI 0.55 to1.29). Adjunctive corticotherapy was associated with a reduction of severe complications (RR 0.36; 95%CI 0.23 to 0.56), a shorter length of stay (9.0 days; 95%CI 7.6 to 10.7 vs 10.6 days; 95%CI 7.4 to 15.3) and a shorter time to clinical stability (3.3 days; 95% CI 2.8 to 4.1 vs 4.3 days; 95%CI 3.6 to 5.1). The risk of hyperglycemia was higher among patients treated with adjunctive corticotherapy (RR 1.59; 95%CI 1.06 to 2.38), whereas the risk of gastro-intestinal bleeding was similar (RR 0.83; 95%CI 0.35 to 1.93). In the subgroup analysis based on CAP severity, a survival benefit was found among patients with severe CAP (RR 0.47; 95%CI 0.23 to 0.96). CONCLUSION Adjunctive corticotherapy is associated with a reduction of length of stay, time to clinical stability, and severe complications among patients with CAP, but the effect on mortality remains uncertain.","author":[{"dropping-particle":"","family":"Marti","given":"Christophe","non-dropping-particle":"","parse-names":false,"suffix":""},{"dropping-particle":"","family":"Grosgurin","given":"Olivier","non-dropping-particle":"","parse-names":false,"suffix":""},{"dropping-particle":"","family":"Harbarth","given":"Stephan","non-dropping-particle":"","parse-names":false,"suffix":""},{"dropping-particle":"","family":"Combescure","given":"Christophe","non-dropping-particle":"","parse-names":false,"suffix":""},{"dropping-particle":"","family":"Abbas","given":"Mohamed","non-dropping-particle":"","parse-names":false,"suffix":""},{"dropping-particle":"","family":"Rutschmann","given":"Olivier","non-dropping-particle":"","parse-names":false,"suffix":""},{"dropping-particle":"","family":"Perrier","given":"Arnaud","non-dropping-particle":"","parse-names":false,"suffix":""},{"dropping-particle":"","family":"Garin","given":"Nicolas","non-dropping-particle":"","parse-names":false,"suffix":""}],"container-title":"PLoS ONE","id":"ITEM-3","issue":"12","issued":{"date-parts":[["2015"]]},"page":"e0144032","title":"Adjunctive Corticotherapy for Community Acquired Pneumonia: A Systematic Review and Meta-Analysis.","type":"article-journal","volume":"10"},"uris":["http://www.mendeley.com/documents/?uuid=de6637b3-e7cf-4f8c-8d67-0fda26241005","http://www.mendeley.com/documents/?uuid=210b4781-0efa-41e9-bce5-d7781f00c64e"]}],"mendeley":{"formattedCitation":"&lt;sup&gt;[66–68]&lt;/sup&gt;","plainTextFormattedCitation":"[66–68]","previouslyFormattedCitation":"&lt;sup&gt;[66–68]&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4</w:t>
      </w:r>
      <w:r w:rsidR="002A7F54" w:rsidRPr="00372D52">
        <w:rPr>
          <w:rFonts w:ascii="Book Antiqua" w:hAnsi="Book Antiqua" w:cs="Arial"/>
          <w:noProof/>
          <w:sz w:val="24"/>
          <w:szCs w:val="24"/>
          <w:shd w:val="clear" w:color="auto" w:fill="FFFFFF"/>
          <w:vertAlign w:val="superscript"/>
        </w:rPr>
        <w:t>-</w:t>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6</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xml:space="preserve">. The recent </w:t>
      </w:r>
      <w:r w:rsidR="0065487E" w:rsidRPr="00372D52">
        <w:rPr>
          <w:rFonts w:ascii="Book Antiqua" w:hAnsi="Book Antiqua" w:cs="Arial"/>
          <w:sz w:val="24"/>
          <w:szCs w:val="24"/>
          <w:shd w:val="clear" w:color="auto" w:fill="FFFFFF"/>
        </w:rPr>
        <w:t>society of critical care medicine (SCCM)/ European society of intensive care medicine (ESICM)</w:t>
      </w:r>
      <w:r w:rsidRPr="00372D52">
        <w:rPr>
          <w:rFonts w:ascii="Book Antiqua" w:hAnsi="Book Antiqua" w:cs="Arial"/>
          <w:sz w:val="24"/>
          <w:szCs w:val="24"/>
          <w:shd w:val="clear" w:color="auto" w:fill="FFFFFF"/>
        </w:rPr>
        <w:t xml:space="preserve"> guidelines thus suggest the use of adjunctive corticosteroids in hospitalized patients with CAP</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{"citationItems":[{"id":"ITEM-1","itemData":{"DOI":"10.1097/CCM.0000000000002840","ISSN":"1530-0293","PMID":"29095205","author":[{"dropping-particle":"","family":"Pastores","given":"Stephen M","non-dropping-particle":"","parse-names":false,"suffix":""},{"dropping-particle":"","family":"Annane","given":"Djillali","non-dropping-particle":"","parse-names":false,"suffix":""},{"dropping-particle":"","family":"Rochwerg","given":"Bram","non-dropping-particle":"","parse-names":false,"suffix":""},{"dropping-particle":"","family":"Corticosteroid Guideline Task Force of SCCM and ESICM","given":"","non-dropping-particle":"","parse-names":false,"suffix":""}],"container-title":"Critical Care Medicine","id":"ITEM-1","issue":"1","issued":{"date-parts":[["2018"]]},"page":"146-148","title":"Guidelines for the Diagnosis and Management of Critical Illness-Related Corticosteroid Insufficiency (CIRCI) in Critically Ill Patients (Part II): Society of Critical Care Medicine (SCCM) and European Society of Intensive Care Medicine (ESICM) 2017.","type":"article-journal","volume":"46"},"uris":["http://www.mendeley.com/documents/?uuid=6342eed6-a78e-487c-bd38-707c5987c282","http://www.mendeley.com/documents/?uuid=baada018-ba3d-48e0-8990-a5ba50dcf284"]}],"mendeley":{"formattedCitation":"&lt;sup&gt;[69]&lt;/sup&gt;","plainTextFormattedCitation":"[69]","previouslyFormattedCitation":"&lt;sup&gt;[69]&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7</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w:t>
      </w:r>
    </w:p>
    <w:p w14:paraId="42D0111F" w14:textId="17165510" w:rsidR="00522BB1" w:rsidRPr="00372D52" w:rsidRDefault="00522BB1"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Unfortunately, these studies included heterogeneous populations and more importantly patients with CAP of wide-ranging severities. Nonetheless, there appeared to be early signal that patients with severe CAP may be those who benefit greatest from corticosteroids. A more contemporary meta-analysis of nine randomized controlled trials and six observational studies found no difference in survival, even in patients with severe CAP</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{"citationItems":[{"id":"ITEM-1","itemData":{"DOI":"10.1378/chest.15-1733","ISSN":"1931-3543","PMID":"26501852","abstract":"BACKGROUND Corticosteroids are an option in the treatment of community-acquired pneumonia (CAP). However, the benefits and adverse effects of corticosteroids, especially in severe CAP, have not been well assessed. METHODS PubMed, Embase, and Cochrane library databases from inception to May 2015 were searched. Randomized controlled trials (RCTs) and cohort studies that evaluated use of corticosteroids in adult patients with CAP were included. The quality of outcomes was evaluated using Grading of Recommendations Assessment, Development and Evaluation methodology. The Mantel-Haenszel method with random-effects modeling was used to calculate pooled relative risks (RRs) and 95% CIs. RESULTS Nine eligible RCTs (1,667 patients) and six cohort studies (4,095 patients) were identified. The mean corticosteroid dose and treatment duration were 30 mg/day methylprednisolone for 7 days. Corticosteroids did not have a statistically significant effect on mortality (RR, 0.72; 95% CI, 0.43-1.21; evidence rank, low) in patients with CAP and patients with severe CAP (RCTs: RR, 0.72; 95% CI, 0.43-1.21; evidence rank, low; cohort studies: RR, 1.00; 95% CI, 0.86-1.17 ). Corticosteroids treatment was associated with a decreased risk of ARDS (RR, 0.21; 95% CI, 0.08-0.59) and may reduce lengths of hospital and ICU stay, duration of IV antibiotic treatment, and time to clinical stability. Corticosteroids were not associated with increased rates of adverse events. CONCLUSIONS Short-term treatment with corticosteroids is safe and may reduce the risk of ARDS, shortening the length of the disease in patients with CAP.","author":[{"dropping-particle":"","family":"Wan","given":"You-Dong","non-dropping-particle":"","parse-names":false,"suffix":""},{"dropping-particle":"","family":"Sun","given":"Tong-Wen","non-dropping-particle":"","parse-names":false,"suffix":""},{"dropping-particle":"","family":"Liu","given":"Zi-Qi","non-dropping-particle":"","parse-names":false,"suffix":""},{"dropping-particle":"","family":"Zhang","given":"Shu-Guang","non-dropping-particle":"","parse-names":false,"suffix":""},{"dropping-particle":"","family":"Wang","given":"Le-Xin","non-dropping-particle":"","parse-names":false,"suffix":""},{"dropping-particle":"","family":"Kan","given":"Quan-Cheng","non-dropping-particle":"","parse-names":false,"suffix":""}],"container-title":"Chest","id":"ITEM-1","issue":"1","issued":{"date-parts":[["2016","1"]]},"page":"209-19","title":"Efficacy and Safety of Corticosteroids for Community-Acquired Pneumonia: A Systematic Review and Meta-Analysis.","type":"article-journal","volume":"149"},"uris":["http://www.mendeley.com/documents/?uuid=3240a0f4-c87d-4437-8b4a-2a811736f225","http://www.mendeley.com/documents/?uuid=cdc8842b-c1ba-4f45-adf9-e0261cb0f66e"]}],"mendeley":{"formattedCitation":"&lt;sup&gt;[70]&lt;/sup&gt;","plainTextFormattedCitation":"[70]","previouslyFormattedCitation":"&lt;sup&gt;[70]&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68</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Interestingly, progression to ARDS was reduced in corticosteroid recipients. Furthermore, an individual patient data meta-analysis of six studies found corticosteroids reduced time to clinical stabilization and time in the hospital, but had no effects on survival, regardless of severity of the disease</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{"citationItems":[{"id":"ITEM-1","itemData":{"DOI":"10.1093/cid/cix801","ISSN":"1537-6591","PMID":"29020323","abstract":"Background Our aim was to evaluate the benefits and harms of adjunctive corticosteroids in adults hospitalized with community-acquired pneumonia (CAP) using individual patient data from randomized, placebo-controlled trials and to explore subgroup differences. Methods We systematically searched Medline, Embase, Cochrane Central, and trial registers (all through July 2017). Data from 1506 individual patients in 6 trials were analyzed using uniform outcome definitions. We investigated prespecified effect modifiers using multivariable hierarchical regression, adjusting for pneumonia severity, age, and clustering effects. Results Within 30 days of randomization, 37 of 748 patients (5.0%) assigned to corticosteroids and 45 of 758 patients (5.9%) assigned to placebo died (adjusted odds ratio [aOR], 0.75; 95% confidence interval [CI], .46 to 1.21; P &amp;#x003D; .24). Time to clinical stability and length of hospital stay were reduced by approximately 1 day with corticosteroids (-1.03 days; 95% CI, -1.62 to -.43; P &amp;#x003D; .001 and -1.15 days; 95% CI, -1.75 to -.55; P &lt; .001, respectively). More patients with corticosteroids had hyperglycemia (160 [22.1%] vs 88 [12.0%]; aOR, 2.15; 95% CI, 1.60 to 2.90; P &lt; .001) and CAP-related rehospitalization (33 [5.0%] vs 18 [2.7%]; aOR, 1.85; 95% CI, 1.03 to 3.32; P &amp;#x003D; .04). We did not find significant effect modification by CAP severity or degree of inflammation. Conclusions Adjunct corticosteroids for patients hospitalized with CAP reduce time to clinical stability and length of hospital stay by approximately 1 day without a significant effect on overall mortality but with an increased risk for CAP-related rehospitalization and hyperglycemia.","author":[{"dropping-particle":"","family":"Briel","given":"Matthias","non-dropping-particle":"","parse-names":false,"suffix":""},{"dropping-particle":"","family":"Spoorenberg","given":"Simone M C","non-dropping-particle":"","parse-names":false,"suffix":""},{"dropping-particle":"","family":"Snijders","given":"Dominic","non-dropping-particle":"","parse-names":false,"suffix":""},{"dropping-particle":"","family":"Torres","given":"Antoni","non-dropping-particle":"","parse-names":false,"suffix":""},{"dropping-particle":"","family":"Fernandez-Serrano","given":"Silvia","non-dropping-particle":"","parse-names":false,"suffix":""},{"dropping-particle":"","family":"Meduri","given":"G Umberto","non-dropping-particle":"","parse-names":false,"suffix":""},{"dropping-particle":"","family":"Gabarrús","given":"Albert","non-dropping-particle":"","parse-names":false,"suffix":""},{"dropping-particle":"","family":"Blum","given":"Claudine A","non-dropping-particle":"","parse-names":false,"suffix":""},{"dropping-particle":"","family":"Confalonieri","given":"Marco","non-dropping-particle":"","parse-names":false,"suffix":""},{"dropping-particle":"","family":"Kasenda","given":"Benjamin","non-dropping-particle":"","parse-names":false,"suffix":""},{"dropping-particle":"","family":"Siemieniuk","given":"Reed A C","non-dropping-particle":"","parse-names":false,"suffix":""},{"dropping-particle":"","family":"Boersma","given":"Wim","non-dropping-particle":"","parse-names":false,"suffix":""},{"dropping-particle":"","family":"Bos","given":"Willem Jan W","non-dropping-particle":"","parse-names":false,"suffix":""},{"dropping-particle":"","family":"Christ-Crain","given":"Mirjam","non-dropping-particle":"","parse-names":false,"suffix":""},{"dropping-particle":"","family":"Ovidius Study Group","given":"","non-dropping-particle":"","parse-names":false,"suffix":""},{"dropping-particle":"","family":"Capisce Study Group","given":"","non-dropping-particle":"","parse-names":false,"suffix":""},{"dropping-particle":"","family":"STEP Study Group","given":"","non-dropping-particle":"","parse-names":false,"suffix":""}],"container-title":"Clinical Infectious Diseases","id":"ITEM-1","issue":"3","issued":{"date-parts":[["2018","1","18"]]},"page":"346-354","title":"Corticosteroids in Patients Hospitalized With Community-Acquired Pneumonia: Systematic Review and Individual Patient Data Metaanalysis.","type":"article-journal","volume":"66"},"uris":["http://www.mendeley.com/documents/?uuid=ca8e4d47-abe4-4d01-8fc8-bf59f0668141","http://www.mendeley.com/documents/?uuid=4640353b-2688-41b6-a21c-bb67774cd529"]}],"mendeley":{"formattedCitation":"&lt;sup&gt;[71]&lt;/sup&gt;","plainTextFormattedCitation":"[71]","previouslyFormattedCitation":"&lt;sup&gt;[71]&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69</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More recently, a meta-analysis of ten studies of severe CAP found corticosteroids were associated with improved in-hospital survival, but no clinical effect or differences in ventilator duration</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{"citationItems":[{"id":"ITEM-1","itemData":{"DOI":"10.1016/j.ajem.2017.07.050","ISSN":"1532-8171","PMID":"28756034","abstract":"BACKGROUND The benefits and adverse effects of corticosteroids in the treatment of severe community-acquired pneumonia (CAP) have not been well assessed. The aim of this systematic review of the literature and meta-analysis was to evaluate the clinical efficacy of adjuvant corticosteroid therapy in patients with severe CAP. METHODS The following databases were searched: PubMed, the Cochrane database, Embase, Wanfang, the China National Knowledge Infrastructure (CNKI), and the WeiPu (VIP) database in Chinese. Published randomized controlled clinical trial results were identified that compared corticosteroid therapy with conventional therapy for patients with severe CAP, up to November 2016. The relative risk (RR), weighted mean difference (WMD), and 95% confidence interval (CI) were evaluated. Statistical analysis was performed using STATA 10.0. The quality of the published studies was evaluated using the Oxford quality scoring system (Jadad scale). RESULTS Ten randomized controlled trials (RCTs) were identified that included 729 patients with severe CAP. Data analysis showed that corticosteroid therapy did not have a statistically significant clinical effect in patients with severe CAP (RR: 1.19; 95% CI: 0.99-1.42), mechanical ventilation time (WMD: -2.30; 95% CI: -6.09-1.49). However, corticosteroids treatment was significantly associated with reduced in-hospital mortality (RR: 0.49; 95% CI: 0.29-0.85), reduced length of hospital stay (WMD: -4.21; 95% CI: -6.61 to -1.81). CONCLUSION Corticosteroids adjuvant therapy in patients with severe CAP may reduce the rate of in-hospital mortality, reduce the length of hospital stay, and reduce CRP levels.","author":[{"dropping-particle":"","family":"Wu","given":"Wei-Fang","non-dropping-particle":"","parse-names":false,"suffix":""},{"dropping-particle":"","family":"Fang","given":"Qiang","non-dropping-particle":"","parse-names":false,"suffix":""},{"dropping-particle":"","family":"He","given":"Guo-Jun","non-dropping-particle":"","parse-names":false,"suffix":""}],"container-title":"The American Journal of Emergency Medicine","id":"ITEM-1","issue":"2","issued":{"date-parts":[["2018","2"]]},"page":"179-184","title":"Efficacy of corticosteroid treatment for severe community-acquired pneumonia: A meta-analysis.","type":"article-journal","volume":"36"},"uris":["http://www.mendeley.com/documents/?uuid=ef9b0b3f-21a2-490c-9a1f-cbb487d793f0","http://www.mendeley.com/documents/?uuid=a03c7a7b-1195-4cf1-91e1-555465676973"]}],"mendeley":{"formattedCitation":"&lt;sup&gt;[72]&lt;/sup&gt;","plainTextFormattedCitation":"[72]","previouslyFormattedCitation":"&lt;sup&gt;[72]&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[7</w:t>
      </w:r>
      <w:r w:rsidR="002F20AA" w:rsidRPr="00372D52">
        <w:rPr>
          <w:rFonts w:ascii="Book Antiqua" w:hAnsi="Book Antiqua" w:cs="Arial"/>
          <w:noProof/>
          <w:sz w:val="24"/>
          <w:szCs w:val="24"/>
          <w:shd w:val="clear" w:color="auto" w:fill="FFFFFF"/>
          <w:vertAlign w:val="superscript"/>
        </w:rPr>
        <w:t>0</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w:t>
      </w:r>
    </w:p>
    <w:p w14:paraId="432DBD56" w14:textId="05CBF1B7" w:rsidR="00522BB1" w:rsidRPr="00372D52" w:rsidRDefault="00522BB1"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 xml:space="preserve">The </w:t>
      </w:r>
      <w:proofErr w:type="spellStart"/>
      <w:r w:rsidRPr="00372D52">
        <w:rPr>
          <w:rFonts w:ascii="Book Antiqua" w:hAnsi="Book Antiqua" w:cs="Arial"/>
          <w:sz w:val="24"/>
          <w:szCs w:val="24"/>
          <w:shd w:val="clear" w:color="auto" w:fill="FFFFFF"/>
        </w:rPr>
        <w:t>ESCAPe</w:t>
      </w:r>
      <w:proofErr w:type="spellEnd"/>
      <w:r w:rsidRPr="00372D52">
        <w:rPr>
          <w:rFonts w:ascii="Book Antiqua" w:hAnsi="Book Antiqua" w:cs="Arial"/>
          <w:sz w:val="24"/>
          <w:szCs w:val="24"/>
          <w:shd w:val="clear" w:color="auto" w:fill="FFFFFF"/>
        </w:rPr>
        <w:t xml:space="preserve"> trial a multicenter, randomized controlled study in patients with severe CAP requiring ICU admission who met IDSA/ATS guideline criteria (NCT01283009) was recently concluded and results due to be published. Patients were randomized to methylprednisolone 40 mg per day for 7 d followed by 20 mg per d for 7 d followed by 12 mg per day for 6 d followed by 4 mg per day for 6 d or placebo with a primary outcome of 60-d all-cause mortality.</w:t>
      </w:r>
    </w:p>
    <w:p w14:paraId="4CC5555F" w14:textId="4D4471FA" w:rsidR="00522BB1" w:rsidRPr="00372D52" w:rsidRDefault="00522BB1"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 xml:space="preserve">Corticosteroid use in pathogen-specific </w:t>
      </w:r>
      <w:r w:rsidR="00D42981">
        <w:rPr>
          <w:rFonts w:ascii="Book Antiqua" w:hAnsi="Book Antiqua" w:cs="Arial"/>
          <w:sz w:val="24"/>
          <w:szCs w:val="24"/>
          <w:shd w:val="clear" w:color="auto" w:fill="FFFFFF"/>
        </w:rPr>
        <w:t>CAPs</w:t>
      </w:r>
      <w:r w:rsidRPr="00372D52">
        <w:rPr>
          <w:rFonts w:ascii="Book Antiqua" w:hAnsi="Book Antiqua" w:cs="Arial"/>
          <w:sz w:val="24"/>
          <w:szCs w:val="24"/>
          <w:shd w:val="clear" w:color="auto" w:fill="FFFFFF"/>
        </w:rPr>
        <w:t xml:space="preserve"> has had somewhat more consistent findings. Studies of corticosteroids for CAP from influenza have rather consistently shown delayed viral clearance and increased mortality</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{"citationItems":[{"id":"ITEM-1","itemData":{"DOI":"10.1016/j.jcrc.2018.08.015","ISSN":"1557-8615","PMID":"30172033","abstract":"Despite continued efforts to optimize vaccination composition, severe influenza disease requiring intensive care unit (ICU) admission remains a clinical issue. Influenza epidemics and pandemics worldwide continue to challenge clinicians with managing infected patients requiring ICU care. While routine use of antiviral therapy is deployed in ambulatory outpatients, their use in the ICU in patients with hypoxemic respiratory failure is less well established. Additionally, these therapies primarily target the neuraminidase protein, while contemporary research is increasingly demonstrating potential therapeutic benefits of targeting the hemagglutinin protein. These data have given rise to a growing interest in the use of immune modulating therapies for treatment of severe influenza. Additionally, pandemic outbreaks have revealed the growing need for salvage management, wherein lies the potential role for venovenous extracorporeal membrane oxygenation therapy in refractory respiratory failure. In this report, we review the contemporary ICU care of the severe influenza patient.","author":[{"dropping-particle":"","family":"Wieruszewski","given":"Patrick M","non-dropping-particle":"","parse-names":false,"suffix":""},{"dropping-particle":"","family":"Linn","given":"Dustin D","non-dropping-particle":"","parse-names":false,"suffix":""}],"container-title":"Journal of Critical Care","id":"ITEM-1","issued":{"date-parts":[["2018","12"]]},"page":"48-55","title":"Contemporary management of severe influenza disease in the intensive care unit.","type":"article-journal","volume":"48"},"uris":["http://www.mendeley.com/documents/?uuid=0343362b-a25c-4d87-a957-f8b5cd465be8","http://www.mendeley.com/documents/?uuid=1171ed40-c58d-4c6f-911b-a2b8ccefaa42"]}],"mendeley":{"formattedCitation":"&lt;sup&gt;[73]&lt;/sup&gt;","plainTextFormattedCitation":"[73]","previouslyFormattedCitation":"&lt;sup&gt;[73]&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[7</w:t>
      </w:r>
      <w:r w:rsidR="002F20AA" w:rsidRPr="00372D52">
        <w:rPr>
          <w:rFonts w:ascii="Book Antiqua" w:hAnsi="Book Antiqua" w:cs="Arial"/>
          <w:noProof/>
          <w:sz w:val="24"/>
          <w:szCs w:val="24"/>
          <w:shd w:val="clear" w:color="auto" w:fill="FFFFFF"/>
          <w:vertAlign w:val="superscript"/>
        </w:rPr>
        <w:t>1</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xml:space="preserve">. While corticosteroids provide </w:t>
      </w:r>
      <w:r w:rsidRPr="00372D52">
        <w:rPr>
          <w:rFonts w:ascii="Book Antiqua" w:hAnsi="Book Antiqua" w:cs="Arial"/>
          <w:sz w:val="24"/>
          <w:szCs w:val="24"/>
          <w:shd w:val="clear" w:color="auto" w:fill="FFFFFF"/>
        </w:rPr>
        <w:lastRenderedPageBreak/>
        <w:t xml:space="preserve">considerable mortality benefit in CAP from </w:t>
      </w:r>
      <w:r w:rsidRPr="00372D52">
        <w:rPr>
          <w:rFonts w:ascii="Book Antiqua" w:hAnsi="Book Antiqua" w:cs="Arial"/>
          <w:i/>
          <w:sz w:val="24"/>
          <w:szCs w:val="24"/>
          <w:shd w:val="clear" w:color="auto" w:fill="FFFFFF"/>
        </w:rPr>
        <w:t>Pneumocystis</w:t>
      </w:r>
      <w:r w:rsidRPr="00372D52">
        <w:rPr>
          <w:rFonts w:ascii="Book Antiqua" w:hAnsi="Book Antiqua" w:cs="Arial"/>
          <w:sz w:val="24"/>
          <w:szCs w:val="24"/>
          <w:shd w:val="clear" w:color="auto" w:fill="FFFFFF"/>
        </w:rPr>
        <w:t xml:space="preserve"> in HIV-positive individuals</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{"citationItems":[{"id":"ITEM-1","itemData":{"DOI":"10.1056/NEJM199011223232131","ISSN":"0028-4793","PMID":"2136587","author":[{"dropping-particle":"","family":"National Institutes of Health-University of California Expert Panel for Corticosteroids as Adjunctive Therapy for Pneumocystis Pneumonia","given":"","non-dropping-particle":"","parse-names":false,"suffix":""}],"container-title":"The New England Journal of Medicine","id":"ITEM-1","issue":"21","issued":{"date-parts":[["1990"]]},"page":"1500-4","title":"Consensus statement on the use of corticosteroids as adjunctive therapy for pneumocystis pneumonia in the acquired immunodeficiency syndrome.","type":"article-journal","volume":"323"},"uris":["http://www.mendeley.com/documents/?uuid=bd8f603b-1ae6-4759-bba9-b0a1b12fed7d","http://www.mendeley.com/documents/?uuid=a7130175-a6f2-4d02-9fab-3ddafe2834b5"]}],"mendeley":{"formattedCitation":"&lt;sup&gt;[74]&lt;/sup&gt;","plainTextFormattedCitation":"[74]","previouslyFormattedCitation":"&lt;sup&gt;[74]&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[7</w:t>
      </w:r>
      <w:r w:rsidR="002F20AA" w:rsidRPr="00372D52">
        <w:rPr>
          <w:rFonts w:ascii="Book Antiqua" w:hAnsi="Book Antiqua" w:cs="Arial"/>
          <w:noProof/>
          <w:sz w:val="24"/>
          <w:szCs w:val="24"/>
          <w:shd w:val="clear" w:color="auto" w:fill="FFFFFF"/>
          <w:vertAlign w:val="superscript"/>
        </w:rPr>
        <w:t>2</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their benefit in other immune-suppressed hosts without HIV has not been substantiated</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{"citationItems":[{"id":"ITEM-1","itemData":{"ISSN":"1931-3543","PMID":"29705221","abstract":"BACKGROUND Evidence supporting adjunctive corticosteroids during the treatment of Pneumocystis jirovecii pneumonia (PcP) in adults without HIV is minimal and controversial. METHODS This retrospective cohort study included P jirovecii pneumonia-positive, hospitalized patients without HIV admitted to the Mayo Clinic from 2006 to 2016. Change from baseline in the respiratory component of the Sequential Organ Failure Assessment score (SOFAresp) at day 5 was compared between early (within 48 h) steroid recipients and nonrecipients by using multivariable logistic regression and in a propensity-matched analysis. RESULTS Among the 323 included patients (early steroids, n = 258; no steroids, n = 65), the median (interquartile range) age was 65 (53, 73) years, 63% were male, and 92% were white. Severity-adjusted regression and propensity-matched analyses found that early administration of steroids was associated with less improvement in SOFAresp at day 5 compared with no steroids (P = .001 and P = .017, respectively). No differences were observed in the odds of having at least a one-point improvement in SOFAresp at day 5 compared with baseline between groups (adjusted OR, 0.76 [95% CI, 0.24-2.28]; P = .61). Overall 30-day mortality was 22.9% (95% CI, 18.2-27.4). No differences in mortality, length of stay, admission to the ICU, or need for mechanical ventilation were found between early steroid recipients and nonrecipients. CONCLUSIONS The addition of early corticosteroids to anti-Pneumocystis therapy in patients without HIV was not associated with improved respiratory outcomes.","author":[{"dropping-particle":"","family":"Wieruszewski","given":"Patrick M","non-dropping-particle":"","parse-names":false,"suffix":""},{"dropping-particle":"","family":"Barreto","given":"Jason N","non-dropping-particle":"","parse-names":false,"suffix":""},{"dropping-particle":"","family":"Frazee","given":"Erin","non-dropping-particle":"","parse-names":false,"suffix":""},{"dropping-particle":"","family":"Daniels","given":"Craig E","non-dropping-particle":"","parse-names":false,"suffix":""},{"dropping-particle":"","family":"Tosh","given":"Pritish K","non-dropping-particle":"","parse-names":false,"suffix":""},{"dropping-particle":"","family":"Dierkhising","given":"Ross A","non-dropping-particle":"","parse-names":false,"suffix":""},{"dropping-particle":"","family":"Mara","given":"Kristin C","non-dropping-particle":"","parse-names":false,"suffix":""},{"dropping-particle":"","family":"Limper","given":"Andrew H","non-dropping-particle":"","parse-names":false,"suffix":""}],"container-title":"Chest","id":"ITEM-1","issue":"3","issued":{"date-parts":[["2018","9"]]},"page":"636-644","title":"Early Corticosteroids for Pneumocystis Pneumonia in Adults Without HIV Are Not Associated With Better Outcome.","type":"article-journal","volume":"154"},"uris":["http://www.mendeley.com/documents/?uuid=c6d73899-7dfc-34fb-82ec-84407c6f230b"]}],"mendeley":{"formattedCitation":"&lt;sup&gt;[75]&lt;/sup&gt;","plainTextFormattedCitation":"[75]","previouslyFormattedCitation":"&lt;sup&gt;[75]&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[7</w:t>
      </w:r>
      <w:r w:rsidR="002F20AA" w:rsidRPr="00372D52">
        <w:rPr>
          <w:rFonts w:ascii="Book Antiqua" w:hAnsi="Book Antiqua" w:cs="Arial"/>
          <w:noProof/>
          <w:sz w:val="24"/>
          <w:szCs w:val="24"/>
          <w:shd w:val="clear" w:color="auto" w:fill="FFFFFF"/>
          <w:vertAlign w:val="superscript"/>
        </w:rPr>
        <w:t>3</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xml:space="preserve">. Corticosteroid use in CAP from </w:t>
      </w:r>
      <w:r w:rsidRPr="00372D52">
        <w:rPr>
          <w:rFonts w:ascii="Book Antiqua" w:hAnsi="Book Antiqua" w:cs="Arial"/>
          <w:i/>
          <w:sz w:val="24"/>
          <w:szCs w:val="24"/>
          <w:shd w:val="clear" w:color="auto" w:fill="FFFFFF"/>
        </w:rPr>
        <w:t>Aspergillus</w:t>
      </w:r>
      <w:r w:rsidRPr="00372D52">
        <w:rPr>
          <w:rFonts w:ascii="Book Antiqua" w:hAnsi="Book Antiqua" w:cs="Arial"/>
          <w:sz w:val="24"/>
          <w:szCs w:val="24"/>
          <w:shd w:val="clear" w:color="auto" w:fill="FFFFFF"/>
        </w:rPr>
        <w:t xml:space="preserve"> has shown increased mortality amongst hematopoietic cell transplant recipients</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{"citationItems":[{"id":"ITEM-1","itemData":{"DOI":"10.1086/592255","ISSN":"1537-6591","PMID":"18808352","abstract":"BACKGROUND Invasive aspergillosis is associated with high death rates. Factors associated with increased mortality have not yet been identified in a large population of patients with various underlying conditions. METHODS We retrospectively reviewed 385 cases of suspected or documented aspergillosis that occurred during a 9-year period. We identified 289 episodes that fulfilled the criteria for possible, probable, or proven invasive aspergillosis according to the international definition criteria and that was treated with an anti-Aspergillus active antifungal drug. Clinical and microbiological variables were analyzed for their effects on overall and attributable mortality. Significant variables in univariate analysis were introduced into a multivariate Cox model. RESULTS Twelve-week overall and disease-specific survival rates were 52.2% (95% confidence interval, 46.5%-57.9%) and 59.8% (95% confidence interval, 54.0%-65.4%), respectively. Receipt of allogeneic hematopoietic stem cell or solid-organ transplant, progression of underlying malignancy, prior respiratory disease, receipt of corticosteroid therapy, renal impairment, low monocyte counts, disseminated aspergillosis, diffuse pulmonary lesions, pleural effusion, and proven or probable (as opposed to possible) aspergillosis are predictors of increased overall mortality. Similar factors are also predictors of increased attributable mortality, with the following exceptions: pleural effusion and low monocyte counts have no impact, whereas neutropenia is associated with a higher attributable mortality. CONCLUSIONS Identification of predictors of death helps in the identification of patients who could benefit from more-aggressive therapeutic strategies. Initiation of therapy at the stage of possible infection improves outcome, and this finding calls for the development of efficient preemptive strategies to fill the gap between empirical and directed therapy.","author":[{"dropping-particle":"","family":"Nivoix","given":"Yasmine","non-dropping-particle":"","parse-names":false,"suffix":""},{"dropping-particle":"","family":"Velten","given":"Michel","non-dropping-particle":"","parse-names":false,"suffix":""},{"dropping-particle":"","family":"Letscher-Bru","given":"Valérie","non-dropping-particle":"","parse-names":false,"suffix":""},{"dropping-particle":"","family":"Moghaddam","given":"Alireza","non-dropping-particle":"","parse-names":false,"suffix":""},{"dropping-particle":"","family":"Natarajan-Amé","given":"Shanti","non-dropping-particle":"","parse-names":false,"suffix":""},{"dropping-particle":"","family":"Fohrer","given":"Cécile","non-dropping-particle":"","parse-names":false,"suffix":""},{"dropping-particle":"","family":"Lioure","given":"Bruno","non-dropping-particle":"","parse-names":false,"suffix":""},{"dropping-particle":"","family":"Bilger","given":"Karin","non-dropping-particle":"","parse-names":false,"suffix":""},{"dropping-particle":"","family":"Lutun","given":"Philippe","non-dropping-particle":"","parse-names":false,"suffix":""},{"dropping-particle":"","family":"Marcellin","given":"Luc","non-dropping-particle":"","parse-names":false,"suffix":""},{"dropping-particle":"","family":"Launoy","given":"Anne","non-dropping-particle":"","parse-names":false,"suffix":""},{"dropping-particle":"","family":"Freys","given":"Guy","non-dropping-particle":"","parse-names":false,"suffix":""},{"dropping-particle":"","family":"Bergerat","given":"Jean-Pierre","non-dropping-particle":"","parse-names":false,"suffix":""},{"dropping-particle":"","family":"Herbrecht","given":"Raoul","non-dropping-particle":"","parse-names":false,"suffix":""}],"container-title":"Clinical Infectious Diseases","id":"ITEM-1","issue":"9","issued":{"date-parts":[["2008","11","1"]]},"page":"1176-84","title":"Factors associated with overall and attributable mortality in invasive aspergillosis.","type":"article-journal","volume":"47"},"uris":["http://www.mendeley.com/documents/?uuid=c8cd2506-7a59-46bf-8982-9a940646fd12","http://www.mendeley.com/documents/?uuid=c59e18d3-a818-4af4-bdc8-cdd46481fb35"]},{"id":"ITEM-2","itemData":{"DOI":"10.1086/510592","ISSN":"1537-6591","PMID":"17243056","abstract":"BACKGROUND Invasive aspergillosis (IA) is a leading cause of infection-related mortality following hematopoietic cell transplantation (HCT). The aim of this study was to determine the probability of survival and prognostic factors associated with outcomes over a long period of time. METHODS Cases of proven and probable IA diagnosed in HCT recipients at the Fred Hutchinson Cancer Research Center from 1 January 1990 through 31 December 2004 were included. Patient data were collected from a prospectively maintained database and by retrospective clinical chart review. Survival was estimated using Kaplan-Meier curves, and Cox regression models were used for multivariable analyses. RESULTS Four hundred five cases were identified. The probability of survival at 90 days after diagnosis was higher for patients identified as having IA between 2002 and 2004 than for patients whose IA was diagnosed in preceding years (45% vs. 22%; P&lt;.001). Risk factors independently associated with all-cause mortality include impairment in pulmonary function before HCT, receipt of human leukocyte antigen-mismatched stem cells, neutropenia, elevated bilirubin and creatinine levels, receipt of corticosteroids at &gt; or =2 mg/kg per day, disseminated and proven IA, and IA occurring &gt;40 days after HCT. Factors associated with a decreased risk of all-cause mortality included receipt of nonmyeloablative conditioning and peripheral blood stem cells. In a subanalysis of attributable mortality restricted to patients receiving antifungal therapy, receipt of voriconazole was independently associated with protection from IA-related death. CONCLUSIONS There has been a significant decrease in mortality in patients with a diagnosis of IA following HCT in recent years, coinciding with multiple changes in transplantation practices, including use of nonmyeloablative conditioning regimens, receipt of peripheral blood stem cells, more prompt diagnosis of IA, and use of voriconazole.","author":[{"dropping-particle":"","family":"Upton","given":"Arlo","non-dropping-particle":"","parse-names":false,"suffix":""},{"dropping-particle":"","family":"Kirby","given":"Katharine A","non-dropping-particle":"","parse-names":false,"suffix":""},{"dropping-particle":"","family":"Carpenter","given":"Paul","non-dropping-particle":"","parse-names":false,"suffix":""},{"dropping-particle":"","family":"Boeckh","given":"Michael","non-dropping-particle":"","parse-names":false,"suffix":""},{"dropping-particle":"","family":"Marr","given":"Kieren A","non-dropping-particle":"","parse-names":false,"suffix":""}],"container-title":"Clinical Infectious Diseases","id":"ITEM-2","issue":"4","issued":{"date-parts":[["2007","2","15"]]},"page":"531-40","title":"Invasive aspergillosis following hematopoietic cell transplantation: outcomes and prognostic factors associated with mortality.","type":"article-journal","volume":"44"},"uris":["http://www.mendeley.com/documents/?uuid=29027660-148c-4113-9e17-30da08b12877","http://www.mendeley.com/documents/?uuid=a3b7aa5d-b538-4b67-9286-892f1d96e4de"]}],"mendeley":{"formattedCitation":"&lt;sup&gt;[76,77]&lt;/sup&gt;","plainTextFormattedCitation":"[76,77]","previouslyFormattedCitation":"&lt;sup&gt;[76,77]&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[7</w:t>
      </w:r>
      <w:r w:rsidR="002F20AA" w:rsidRPr="00372D52">
        <w:rPr>
          <w:rFonts w:ascii="Book Antiqua" w:hAnsi="Book Antiqua" w:cs="Arial"/>
          <w:noProof/>
          <w:sz w:val="24"/>
          <w:szCs w:val="24"/>
          <w:shd w:val="clear" w:color="auto" w:fill="FFFFFF"/>
          <w:vertAlign w:val="superscript"/>
        </w:rPr>
        <w:t>4</w:t>
      </w:r>
      <w:r w:rsidR="00B53EF6" w:rsidRPr="00372D52">
        <w:rPr>
          <w:rFonts w:ascii="Book Antiqua" w:hAnsi="Book Antiqua" w:cs="Arial"/>
          <w:noProof/>
          <w:sz w:val="24"/>
          <w:szCs w:val="24"/>
          <w:shd w:val="clear" w:color="auto" w:fill="FFFFFF"/>
          <w:vertAlign w:val="superscript"/>
        </w:rPr>
        <w:t>,7</w:t>
      </w:r>
      <w:r w:rsidR="002F20AA" w:rsidRPr="00372D52">
        <w:rPr>
          <w:rFonts w:ascii="Book Antiqua" w:hAnsi="Book Antiqua" w:cs="Arial"/>
          <w:noProof/>
          <w:sz w:val="24"/>
          <w:szCs w:val="24"/>
          <w:shd w:val="clear" w:color="auto" w:fill="FFFFFF"/>
          <w:vertAlign w:val="superscript"/>
        </w:rPr>
        <w:t>5</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whereas solid organ transplant recipients have reduced mortality</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{"citationItems":[{"id":"ITEM-1","itemData":{"DOI":"10.1086/652768","ISSN":"1537-6591","PMID":"20450350","abstract":"BACKGROUND Invasive aspergillosis (IA) is an important cause of morbidity and mortality in hematopoietic stem cell transplant (HSCT) and solid organ transplant (SOT) recipients. The purpose of this study was to evaluate factors associated with mortality in transplant patients with IA. METHODS Transplant patients from 23 US centers were enrolled from March 2001 to October 2005 as part of the Transplant Associated Infection Surveillance Network. IA cases were identified prospectively in this cohort through March 2006, and data were collected. Factors associated with 12-week all-cause mortality were determined by logistic regression analysis and Cox proportional hazards regression. RESULTS Six-hundred forty-two cases of proven or probable IA were evaluated, of which 317 (49.4%) died by the study endpoint. All-cause mortality was greater in HSCT patients (239 [57.5%] of 415) than in SOT patients (78 [34.4%] of 227; P&lt;.001). Independent poor prognostic factors in HSCT patients were neutropenia, renal insufficiency, hepatic insufficiency, early-onset IA, proven IA, and methylprednisolone use. In contrast, white race was associated with decreased risk of death. Among SOT patients, hepatic insufficiency, malnutrition, and central nervous system disease were poor prognostic indicators, whereas prednisone use was associated with decreased risk of death. Among HSCT or SOT patients who received antifungal therapy, use of an amphotericin B preparation as part of initial therapy was associated with increased risk of death. CONCLUSIONS There are multiple variables associated with survival in transplant patients with IA. Understanding these prognostic factors may assist in the development of treatment algorithms and clinical trials.","author":[{"dropping-particle":"","family":"Baddley","given":"John W","non-dropping-particle":"","parse-names":false,"suffix":""},{"dropping-particle":"","family":"Andes","given":"David R","non-dropping-particle":"","parse-names":false,"suffix":""},{"dropping-particle":"","family":"Marr","given":"Kieren A","non-dropping-particle":"","parse-names":false,"suffix":""},{"dropping-particle":"","family":"Kontoyiannis","given":"Dimitrios P","non-dropping-particle":"","parse-names":false,"suffix":""},{"dropping-particle":"","family":"Alexander","given":"Barbara D","non-dropping-particle":"","parse-names":false,"suffix":""},{"dropping-particle":"","family":"Kauffman","given":"Carol A","non-dropping-particle":"","parse-names":false,"suffix":""},{"dropping-particle":"","family":"Oster","given":"Robert A","non-dropping-particle":"","parse-names":false,"suffix":""},{"dropping-particle":"","family":"Anaissie","given":"Elias J","non-dropping-particle":"","parse-names":false,"suffix":""},{"dropping-particle":"","family":"Walsh","given":"Thomas J","non-dropping-particle":"","parse-names":false,"suffix":""},{"dropping-particle":"","family":"Schuster","given":"Mindy G","non-dropping-particle":"","parse-names":false,"suffix":""},{"dropping-particle":"","family":"Wingard","given":"John R","non-dropping-particle":"","parse-names":false,"suffix":""},{"dropping-particle":"","family":"Patterson","given":"Thomas F","non-dropping-particle":"","parse-names":false,"suffix":""},{"dropping-particle":"","family":"Ito","given":"James I","non-dropping-particle":"","parse-names":false,"suffix":""},{"dropping-particle":"","family":"Williams","given":"O Dale","non-dropping-particle":"","parse-names":false,"suffix":""},{"dropping-particle":"","family":"Chiller","given":"Tom","non-dropping-particle":"","parse-names":false,"suffix":""},{"dropping-particle":"","family":"Pappas","given":"Peter G","non-dropping-particle":"","parse-names":false,"suffix":""}],"container-title":"Clinical Infectious Diseases","id":"ITEM-1","issue":"12","issued":{"date-parts":[["2010","6","15"]]},"page":"1559-67","title":"Factors associated with mortality in transplant patients with invasive aspergillosis.","type":"article-journal","volume":"50"},"uris":["http://www.mendeley.com/documents/?uuid=c7862b9e-fa6c-4df3-a116-14559a2fb422","http://www.mendeley.com/documents/?uuid=b6116eb1-92c6-4e34-8c56-e9c13533ec69"]}],"mendeley":{"formattedCitation":"&lt;sup&gt;[78]&lt;/sup&gt;","plainTextFormattedCitation":"[78]","previouslyFormattedCitation":"&lt;sup&gt;[78]&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[7</w:t>
      </w:r>
      <w:r w:rsidR="002F20AA" w:rsidRPr="00372D52">
        <w:rPr>
          <w:rFonts w:ascii="Book Antiqua" w:hAnsi="Book Antiqua" w:cs="Arial"/>
          <w:noProof/>
          <w:sz w:val="24"/>
          <w:szCs w:val="24"/>
          <w:shd w:val="clear" w:color="auto" w:fill="FFFFFF"/>
          <w:vertAlign w:val="superscript"/>
        </w:rPr>
        <w:t>6</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w:t>
      </w:r>
    </w:p>
    <w:p w14:paraId="5C83F6BE" w14:textId="013435A6" w:rsidR="00522BB1" w:rsidRPr="00372D52" w:rsidRDefault="00522BB1"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Because of their propensity to induce hyperglycemia, neuropsychiatric effects, immune-suppression and thereby potentially increased infection, suppressed wound healing, sodium retention, among other adverse effects</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10.1056/NEJMra050541","ISSN":"1533-4406","PMID":"16236742","author":[{"dropping-particle":"","family":"Rhen","given":"Turk","non-dropping-particle":"","parse-names":false,"suffix":""},{"dropping-particle":"","family":"Cidlowski","given":"John A","non-dropping-particle":"","parse-names":false,"suffix":""}],"container-title":"The New England Journal of Medicine","id":"ITEM-1","issue":"16","issued":{"date-parts":[["2005","10"]]},"page":"1711-23","title":"Antiinflammatory action of glucocorticoids--new mechanisms for old drugs.","type":"article-journal","volume":"353"},"uris":["http://www.mendeley.com/documents/?uuid=a7538d6d-8d7f-4c9a-9413-9581be2453f0","http://www.mendeley.com/documents/?uuid=6ad3528d-bd0b-40ed-8a11-e38617398ae5"]}],"mendeley":{"formattedCitation":"&lt;sup&gt;[79]&lt;/sup&gt;","plainTextFormattedCitation":"[79]","previouslyFormattedCitation":"&lt;sup&gt;[79]&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56</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judicious use of corticosteroids in the critically ill</w:t>
      </w:r>
      <w:r w:rsidR="002A7F54" w:rsidRPr="00372D52">
        <w:rPr>
          <w:rFonts w:ascii="Book Antiqua" w:hAnsi="Book Antiqua" w:cs="Arial"/>
          <w:sz w:val="24"/>
          <w:szCs w:val="24"/>
          <w:shd w:val="clear" w:color="auto" w:fill="FFFFFF"/>
        </w:rPr>
        <w:t xml:space="preserve"> - </w:t>
      </w:r>
      <w:r w:rsidRPr="00372D52">
        <w:rPr>
          <w:rFonts w:ascii="Book Antiqua" w:hAnsi="Book Antiqua" w:cs="Arial"/>
          <w:sz w:val="24"/>
          <w:szCs w:val="24"/>
          <w:shd w:val="clear" w:color="auto" w:fill="FFFFFF"/>
        </w:rPr>
        <w:t>a population already at high risk of poor outcome</w:t>
      </w:r>
      <w:r w:rsidR="002A7F54" w:rsidRPr="00372D52">
        <w:rPr>
          <w:rFonts w:ascii="Book Antiqua" w:hAnsi="Book Antiqua" w:cs="Arial"/>
          <w:sz w:val="24"/>
          <w:szCs w:val="24"/>
          <w:shd w:val="clear" w:color="auto" w:fill="FFFFFF"/>
        </w:rPr>
        <w:t xml:space="preserve"> - </w:t>
      </w:r>
      <w:r w:rsidRPr="00372D52">
        <w:rPr>
          <w:rFonts w:ascii="Book Antiqua" w:hAnsi="Book Antiqua" w:cs="Arial"/>
          <w:sz w:val="24"/>
          <w:szCs w:val="24"/>
          <w:shd w:val="clear" w:color="auto" w:fill="FFFFFF"/>
        </w:rPr>
        <w:t xml:space="preserve">is becoming increasingly more important. Use of biomarkers may therefore inform steroid use, dosing and duration in patients with severe CAP and may potentially provide individualized selection of patients most likely to benefit. However, evaluation of contemporary clinical practice reveals corticosteroid use in CAP is not consistent with </w:t>
      </w:r>
      <w:r w:rsidR="005A4DC4" w:rsidRPr="00372D52">
        <w:rPr>
          <w:rFonts w:ascii="Book Antiqua" w:hAnsi="Book Antiqua" w:cs="Arial"/>
          <w:sz w:val="24"/>
          <w:szCs w:val="24"/>
          <w:shd w:val="clear" w:color="auto" w:fill="FFFFFF"/>
        </w:rPr>
        <w:t>CRP</w:t>
      </w:r>
      <w:r w:rsidRPr="00372D52">
        <w:rPr>
          <w:rFonts w:ascii="Book Antiqua" w:hAnsi="Book Antiqua" w:cs="Arial"/>
          <w:sz w:val="24"/>
          <w:szCs w:val="24"/>
          <w:shd w:val="clear" w:color="auto" w:fill="FFFFFF"/>
        </w:rPr>
        <w:t xml:space="preserve"> and </w:t>
      </w:r>
      <w:r w:rsidR="005A4DC4" w:rsidRPr="00372D52">
        <w:rPr>
          <w:rFonts w:ascii="Book Antiqua" w:hAnsi="Book Antiqua" w:cs="Arial"/>
          <w:sz w:val="24"/>
          <w:szCs w:val="24"/>
          <w:shd w:val="clear" w:color="auto" w:fill="FFFFFF"/>
        </w:rPr>
        <w:t>PCT</w:t>
      </w:r>
      <w:r w:rsidRPr="00372D52">
        <w:rPr>
          <w:rFonts w:ascii="Book Antiqua" w:hAnsi="Book Antiqua" w:cs="Arial"/>
          <w:sz w:val="24"/>
          <w:szCs w:val="24"/>
          <w:shd w:val="clear" w:color="auto" w:fill="FFFFFF"/>
        </w:rPr>
        <w:t xml:space="preserve"> concentrations</w:t>
      </w:r>
      <w:r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10.1097/01.ccm.0000551834.00753.8a","ISSN":"0090-3493","author":[{"dropping-particle":"","family":"Odeyemi","given":"Yewande","non-dropping-particle":"","parse-names":false,"suffix":""},{"dropping-particle":"","family":"Herasevich","given":"Svetlana","non-dropping-particle":"","parse-names":false,"suffix":""},{"dropping-particle":"","family":"Schwegman","given":"Alex","non-dropping-particle":"","parse-names":false,"suffix":""},{"dropping-particle":"","family":"Barreto","given":"Erin","non-dropping-particle":"","parse-names":false,"suffix":""},{"dropping-particle":"","family":"Gajic","given":"Ognjen","non-dropping-particle":"","parse-names":false,"suffix":""},{"dropping-particle":"","family":"Yadav","given":"Hemang","non-dropping-particle":"","parse-names":false,"suffix":""}],"container-title":"Critical Care Medicine","id":"ITEM-1","issued":{"date-parts":[["2019","1"]]},"page":"521","title":"Biomarker concordant steroid use in critically ill patients with pneumonia","type":"article-journal","volume":"47"},"uris":["http://www.mendeley.com/documents/?uuid=5ce26a68-5cc7-4d8c-a766-a211780318ee","http://www.mendeley.com/documents/?uuid=2c469da5-6828-4fb7-bf66-5a0a11c821bb"]}],"mendeley":{"formattedCitation":"&lt;sup&gt;[80]&lt;/sup&gt;","plainTextFormattedCitation":"[80]","previouslyFormattedCitation":"&lt;sup&gt;[80]&lt;/sup&gt;"},"properties":{"noteIndex":0},"schema":"https://github.com/citation-style-language/schema/raw/master/csl-citation.json"}</w:instrText>
      </w:r>
      <w:r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77</w:t>
      </w:r>
      <w:r w:rsidR="00B53EF6" w:rsidRPr="00372D52">
        <w:rPr>
          <w:rFonts w:ascii="Book Antiqua" w:hAnsi="Book Antiqua" w:cs="Arial"/>
          <w:noProof/>
          <w:sz w:val="24"/>
          <w:szCs w:val="24"/>
          <w:shd w:val="clear" w:color="auto" w:fill="FFFFFF"/>
          <w:vertAlign w:val="superscript"/>
        </w:rPr>
        <w:t>]</w:t>
      </w:r>
      <w:r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and requires further investigation.</w:t>
      </w:r>
    </w:p>
    <w:p w14:paraId="413C5B58" w14:textId="77777777" w:rsidR="001E6825" w:rsidRPr="00372D52" w:rsidRDefault="001E6825" w:rsidP="00372D52">
      <w:pPr>
        <w:spacing w:after="0" w:line="360" w:lineRule="auto"/>
        <w:jc w:val="both"/>
        <w:rPr>
          <w:rFonts w:ascii="Book Antiqua" w:hAnsi="Book Antiqua" w:cs="Arial"/>
          <w:sz w:val="24"/>
          <w:szCs w:val="24"/>
          <w:shd w:val="clear" w:color="auto" w:fill="FFFFFF"/>
        </w:rPr>
      </w:pPr>
    </w:p>
    <w:p w14:paraId="43891E34" w14:textId="3E83DC4F" w:rsidR="001E6825" w:rsidRPr="00372D52" w:rsidRDefault="006E5DC9" w:rsidP="00372D52">
      <w:pPr>
        <w:spacing w:after="0" w:line="360" w:lineRule="auto"/>
        <w:jc w:val="both"/>
        <w:rPr>
          <w:rFonts w:ascii="Book Antiqua" w:hAnsi="Book Antiqua" w:cs="Arial"/>
          <w:b/>
          <w:bCs/>
          <w:i/>
          <w:sz w:val="24"/>
          <w:szCs w:val="24"/>
          <w:shd w:val="clear" w:color="auto" w:fill="FFFFFF"/>
        </w:rPr>
      </w:pPr>
      <w:r w:rsidRPr="00372D52">
        <w:rPr>
          <w:rFonts w:ascii="Book Antiqua" w:hAnsi="Book Antiqua" w:cs="Arial"/>
          <w:b/>
          <w:bCs/>
          <w:i/>
          <w:sz w:val="24"/>
          <w:szCs w:val="24"/>
          <w:shd w:val="clear" w:color="auto" w:fill="FFFFFF"/>
        </w:rPr>
        <w:t>ARDS</w:t>
      </w:r>
    </w:p>
    <w:p w14:paraId="7E58858E" w14:textId="650D07BB" w:rsidR="001E6825" w:rsidRPr="00372D52" w:rsidRDefault="001E6825" w:rsidP="00372D52">
      <w:pPr>
        <w:spacing w:after="0" w:line="360" w:lineRule="auto"/>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A major contributor to the controversy of using corticosteroids for treatment of ARDS is the heterogeneity of studies published, wherein different dosing strategies are used, timing of initiation of steroids varies, outcomes studied are different, and the evolution of identifying and classifying the syndrome overtime. While a meta-analysis of nine studies found increase ventilator-free days but did not demonstrate survival benefit</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{"citationItems":[{"id":"ITEM-1","itemData":{"DOI":"10.1136/bmj.39537.939039.BE","ISSN":"1756-1833","PMID":"18434379","abstract":"OBJECTIVE To systematically review the efficacy of steroids in the prevention of acute respiratory distress syndrome (ARDS) in critically ill adults, and treatment for established ARDS. DATA SOURCES Search of randomised controlled trials (1966-April 2007) of PubMed, Cochrane central register of controlled trials, Cochrane database of systematic reviews, American College of Physicians Journal Club, health technology assessment database, and database of abstracts of reviews of effects. DATA EXTRACTION Two investigators independently assessed trials for inclusion and extracted data into standardised forms; differences were resolved by consensus. DATA SYNTHESIS Steroid efficacy was assessed through a Bayesian hierarchical model for comparing the odds of developing ARDS and mortality (both expressed as odds ratio with 95% credible interval) and duration of ventilator free days, assessed as mean difference. Bayesian outcome probabilities were calculated as the probability that the odds ratio would be &gt; or =1 or the probability that the mean difference would be &gt; or =0. Nine randomised trials using variable dose and duration of steroids were identified. Preventive steroids (four studies) were associated with a trend to increase both the odds of patients developing ARDS (odds ratio 1.55, 95% credible interval 0.58 to 4.05; P(odds ratio &gt; or =1)=86.6%), and the risk of mortality in those who subsequently developed ARDS (three studies, odds ratio 1.52, 95% credible interval 0.30 to 5.94; P(odds ratio &gt; or =1)=72.8%). Steroid administration after onset of ARDS (five studies) was associated with a trend towards reduction in mortality (odds ratio 0.62, 95% credible interval 0.23 to 1.26; P(odds ratio &gt; or =1)=6.8%). Steroid therapy increased the number of ventilator free days compared with controls (three studies, mean difference 4.05 days, 95% credible interval 0.22 to 8.71; P(mean difference &gt; or =0)=97.9%). Steroids were not associated with increase in risk of infection. CONCLUSIONS A definitive role of corticosteroids in the treatment of ARDS in adults is not established. A possibility of reduced mortality and increased ventilator free days with steroids started after the onset of ARDS was suggested. Preventive steroids possibly increase the incidence of ARDS in critically ill adults.","author":[{"dropping-particle":"","family":"Peter","given":"John Victor","non-dropping-particle":"","parse-names":false,"suffix":""},{"dropping-particle":"","family":"John","given":"Preeta","non-dropping-particle":"","parse-names":false,"suffix":""},{"dropping-particle":"","family":"Graham","given":"Petra L","non-dropping-particle":"","parse-names":false,"suffix":""},{"dropping-particle":"","family":"Moran","given":"John L","non-dropping-particle":"","parse-names":false,"suffix":""},{"dropping-particle":"","family":"George","given":"Ige Abraham","non-dropping-particle":"","parse-names":false,"suffix":""},{"dropping-particle":"","family":"Bersten","given":"Andrew","non-dropping-particle":"","parse-names":false,"suffix":""}],"container-title":"BMJ","id":"ITEM-1","issue":"7651","issued":{"date-parts":[["2008","5","3"]]},"page":"1006-9","title":"Corticosteroids in the prevention and treatment of acute respiratory distress syndrome (ARDS) in adults: meta-analysis.","type":"article-journal","volume":"336"},"uris":["http://www.mendeley.com/documents/?uuid=dfba2666-bcec-48f3-a376-ca87475f916f","http://www.mendeley.com/documents/?uuid=16be350a-2e6e-4b51-994a-421197d3d0b4"]}],"mendeley":{"formattedCitation":"&lt;sup&gt;[81]&lt;/sup&gt;","plainTextFormattedCitation":"[81]","previouslyFormattedCitation":"&lt;sup&gt;[81]&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78</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00C70531" w:rsidRPr="00372D52">
        <w:rPr>
          <w:rFonts w:ascii="Book Antiqua" w:hAnsi="Book Antiqua" w:cs="Arial"/>
          <w:sz w:val="24"/>
          <w:szCs w:val="24"/>
          <w:shd w:val="clear" w:color="auto" w:fill="FFFFFF"/>
        </w:rPr>
        <w:t>,</w:t>
      </w:r>
      <w:r w:rsidRPr="00372D52">
        <w:rPr>
          <w:rFonts w:ascii="Book Antiqua" w:hAnsi="Book Antiqua" w:cs="Arial"/>
          <w:sz w:val="24"/>
          <w:szCs w:val="24"/>
          <w:shd w:val="clear" w:color="auto" w:fill="FFFFFF"/>
        </w:rPr>
        <w:t xml:space="preserve"> a subsequent individual patient data analysis and trial level meta-analysis showed prolonged corticosteroids increased both survival and ventilator-free days</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{"citationItems":[{"id":"ITEM-1","itemData":{"DOI":"10.1007/s00134-015-4095-4","ISSN":"1432-1238","PMID":"26508525","abstract":"PURPOSE To investigate the effect of prolonged glucocorticoid treatment for patients with acute respiratory distress syndrome (ARDS). METHODS We conducted two sets of intention-to-treat analyses: (1) a primary analysis of individual patients' data (IPD) of four randomized controlled trials (RCTs) which investigated methylprednisolone treatment (n = 322) and (2) a trial-level meta-analysis incorporating four additional RCTs which investigated hydrocortisone treatment in early ARDS (n = 297). We standardized definitions to derive outcomes in all datasets. The primary outcome for the IPD analysis was time to achieving unassisted breathing (UAB) by study day 28. Secondary outcomes included mechanical ventilation (MV) and intensive care unit (ICU)-free days, hospital mortality, and time to hospital mortality by day 28. RESULTS By study day 28, compared to the placebo group, the methylprednisolone group had fewer patients who died before achieving UAB (12 vs. 29 %; p &lt; 0.001) and more patients who achieved UAB (80 vs. 50 %; p &lt; 0.001). In the methylprednisolone group, time to achieving UAB was shorter [hazard ratio 2.59, 95 % confidence interval (CI) 1.95-3.43; p &lt; 0.001], and hospital mortality was decreased (20 vs. 33 %; p = 0.006), leading to increased MV (13.3 ± 11.8 vs. 7.6 ± 5.7; p &lt; 0.001) and ICU-free days (10.8 ± 0.71 vs. 6.4 ± 0.85; p &lt; 0.001). In those patients randomized before day 14 of ARDS onset, the trial-level meta-analysis indicated decreased hospital mortality (36 vs. 49 %; risk ratio 0.76, 95 % CI 0.59-0.98, I (2) = 17 %, p = 0.035; moderate certainty). Treatment was not associated with increased risk for infections (risk ratio 0.77, 95 % CI 0.56-1.08, I (2) = 26 %; p = 0.13; moderate certainty). CONCLUSIONS Prolonged methylprednisolone treatment accelerates the resolution of ARDS, improving a broad spectrum of interrelated clinical outcomes and decreasing hospital mortality and healthcare utilization.","author":[{"dropping-particle":"","family":"Meduri","given":"G Umberto","non-dropping-particle":"","parse-names":false,"suffix":""},{"dropping-particle":"","family":"Bridges","given":"Lisa","non-dropping-particle":"","parse-names":false,"suffix":""},{"dropping-particle":"","family":"Shih","given":"Mei-Chiung","non-dropping-particle":"","parse-names":false,"suffix":""},{"dropping-particle":"","family":"Marik","given":"Paul E","non-dropping-particle":"","parse-names":false,"suffix":""},{"dropping-particle":"","family":"Siemieniuk","given":"Reed A C","non-dropping-particle":"","parse-names":false,"suffix":""},{"dropping-particle":"","family":"Kocak","given":"Mehmet","non-dropping-particle":"","parse-names":false,"suffix":""}],"container-title":"Intensive Care Medicine","id":"ITEM-1","issue":"5","issued":{"date-parts":[["2016","5"]]},"page":"829-840","title":"Prolonged glucocorticoid treatment is associated with improved ARDS outcomes: analysis of individual patients' data from four randomized trials and trial-level meta-analysis of the updated literature.","type":"article-journal","volume":"42"},"uris":["http://www.mendeley.com/documents/?uuid=0a9857ef-02a8-412f-9987-07ba190004ba","http://www.mendeley.com/documents/?uuid=50dcacf7-0689-480b-a49c-5066199020af"]}],"mendeley":{"formattedCitation":"&lt;sup&gt;[82]&lt;/sup&gt;","plainTextFormattedCitation":"[82]","previouslyFormattedCitation":"&lt;sup&gt;[82]&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79</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More recently, a study of hydrocortisone initiated within 12 hours of severe sepsis-associated ARDS found improved oxygenation but not time to liberation of the ventilator or survival</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{"citationItems":[{"id":"ITEM-1","itemData":{"DOI":"10.1186/s13054-016-1511-2","ISSN":"1466-609X","PMID":"27741949","abstract":"BACKGROUND Authors of recent meta-analyses have reported that prolonged glucocorticoid treatment is associated with significant improvements in patients with severe pneumonia or acute respiratory distress syndrome (ARDS) of multifactorial etiology. A prospective randomized trial limited to patients with sepsis-associated ARDS is lacking. The objective of our study was to evaluate the efficacy of hydrocortisone treatment in sepsis-associated ARDS. METHODS In this double-blind, single-center (Siriraj Hospital, Bangkok), randomized, placebo-controlled trial, we recruited adult patients with severe sepsis within 12 h of their meeting ARDS criteria. Patients were randomly assigned (1:1 ratio) to receive either hydrocortisone 50 mg every 6 h or placebo. The primary endpoint was 28-day all-cause mortality; secondary endpoints included survival without organ support on day 28. RESULTS Over the course of 4 years, 197 patients were randomized to either hydrocortisone (n = 98) or placebo (n = 99) and were included in this intention-to-treat analysis. The treatment group had significant improvement in the ratio of partial pressure of oxygen in arterial blood to fraction of inspired oxygen and lung injury score (p = 0.01), and similar timing to removal of vital organ support (HR 0.74, 95 % CI 0.51-1.07; p = 0.107). After adjustment for significant covariates, day 28 survival was similar for the whole group (HR 0.80, 95 % CI 0.46-1.41; p = 0.44) and for the larger subgroup (n = 126) with Acute Physiology and Chronic Health Evaluation II score &lt;25 (HR 0.57, 95 % CI 0.24-1.36; p = 0.20). With the exception of hyperglycemia (80.6 % vs. 67.7 %; p = 0.04), the rate of adverse events was similar. Hyperglycemia had no impact on outcome. CONCLUSIONS In sepsis-associated ARDS, hydrocortisone treatment was associated with a significant improvement in pulmonary physiology, but without a significant survival benefit. TRIAL REGISTRATION ClinicalTrials.gov identifier NCT01284452 . Registered on 18 January 2011.","author":[{"dropping-particle":"","family":"Tongyoo","given":"Surat","non-dropping-particle":"","parse-names":false,"suffix":""},{"dropping-particle":"","family":"Permpikul","given":"Chairat","non-dropping-particle":"","parse-names":false,"suffix":""},{"dropping-particle":"","family":"Mongkolpun","given":"Wasineenart","non-dropping-particle":"","parse-names":false,"suffix":""},{"dropping-particle":"","family":"Vattanavanit","given":"Veerapong","non-dropping-particle":"","parse-names":false,"suffix":""},{"dropping-particle":"","family":"Udompanturak","given":"Suthipol","non-dropping-particle":"","parse-names":false,"suffix":""},{"dropping-particle":"","family":"Kocak","given":"Mehmet","non-dropping-particle":"","parse-names":false,"suffix":""},{"dropping-particle":"","family":"Meduri","given":"G Umberto","non-dropping-particle":"","parse-names":false,"suffix":""}],"container-title":"Critical Care","id":"ITEM-1","issue":"1","issued":{"date-parts":[["2016"]]},"page":"329","title":"Hydrocortisone treatment in early sepsis-associated acute respiratory distress syndrome: results of a randomized controlled trial.","type":"article-journal","volume":"20"},"uris":["http://www.mendeley.com/documents/?uuid=aa0bc0ef-34c9-4869-a92b-befe110848d7","http://www.mendeley.com/documents/?uuid=606096f2-9e50-4e97-bcfc-1583206b80a4"]}],"mendeley":{"formattedCitation":"&lt;sup&gt;[83]&lt;/sup&gt;","plainTextFormattedCitation":"[83]","previouslyFormattedCitation":"&lt;sup&gt;[83]&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[8</w:t>
      </w:r>
      <w:r w:rsidR="002F20AA" w:rsidRPr="00372D52">
        <w:rPr>
          <w:rFonts w:ascii="Book Antiqua" w:hAnsi="Book Antiqua" w:cs="Arial"/>
          <w:noProof/>
          <w:sz w:val="24"/>
          <w:szCs w:val="24"/>
          <w:shd w:val="clear" w:color="auto" w:fill="FFFFFF"/>
          <w:vertAlign w:val="superscript"/>
        </w:rPr>
        <w:t>0</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00C70531" w:rsidRPr="00372D52">
        <w:rPr>
          <w:rFonts w:ascii="Book Antiqua" w:hAnsi="Book Antiqua" w:cs="Arial"/>
          <w:sz w:val="24"/>
          <w:szCs w:val="24"/>
          <w:shd w:val="clear" w:color="auto" w:fill="FFFFFF"/>
        </w:rPr>
        <w:t>.</w:t>
      </w:r>
    </w:p>
    <w:p w14:paraId="2508A288" w14:textId="56A96C7C" w:rsidR="001E6825" w:rsidRPr="00372D52" w:rsidRDefault="001E6825"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 xml:space="preserve">Timing of corticosteroid initiation may be an important consideration in ARDS. The </w:t>
      </w:r>
      <w:proofErr w:type="spellStart"/>
      <w:r w:rsidRPr="00372D52">
        <w:rPr>
          <w:rFonts w:ascii="Book Antiqua" w:hAnsi="Book Antiqua" w:cs="Arial"/>
          <w:sz w:val="24"/>
          <w:szCs w:val="24"/>
          <w:shd w:val="clear" w:color="auto" w:fill="FFFFFF"/>
        </w:rPr>
        <w:t>ARDSNet</w:t>
      </w:r>
      <w:proofErr w:type="spellEnd"/>
      <w:r w:rsidRPr="00372D52">
        <w:rPr>
          <w:rFonts w:ascii="Book Antiqua" w:hAnsi="Book Antiqua" w:cs="Arial"/>
          <w:sz w:val="24"/>
          <w:szCs w:val="24"/>
          <w:shd w:val="clear" w:color="auto" w:fill="FFFFFF"/>
        </w:rPr>
        <w:t xml:space="preserve"> trial randomized patients with ARDS that was persistent beyond 7 d and found improved oxygenation and ventilator compliance resulting in increased ventilator-free days, but again, no survival benefit</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{"citationItems":[{"id":"ITEM-1","itemData":{"DOI":"10.1056/NEJMoa051693","ISSN":"1533-4406","PMID":"16625008","abstract":"BACKGROUND Persistent acute respiratory distress syndrome (ARDS) is characterized by excessive fibroproliferation, ongoing inflammation, prolonged mechanical ventilation, and a substantial risk of death. Because previous reports suggested that corticosteroids may improve survival, we performed a multicenter, randomized controlled trial of corticosteroids in patients with persistent ARDS. METHODS We randomly assigned 180 patients with ARDS of at least seven days' duration to receive either methylprednisolone or placebo in a double-blind fashion. The primary end point was mortality at 60 days. Secondary end points included the number of ventilator-free days and organ-failure-free days, biochemical markers of inflammation and fibroproliferation, and infectious complications. RESULTS At 60 days, the hospital mortality rate was 28.6 percent in the placebo group (95 percent confidence interval, 20.3 to 38.6 percent) and 29.2 percent in the methylprednisolone group (95 percent confidence interval, 20.8 to 39.4 percent; P=1.0); at 180 days, the rates were 31.9 percent (95 percent confidence interval, 23.2 to 42.0 percent) and 31.5 percent (95 percent confidence interval, 22.8 to 41.7 percent; P=1.0), respectively. Methylprednisolone was associated with significantly increased 60- and 180-day mortality rates among patients enrolled at least 14 days after the onset of ARDS. Methylprednisolone increased the number of ventilator-free and shock-free days during the first 28 days in association with an improvement in oxygenation, respiratory-system compliance, and blood pressure with fewer days of vasopressor therapy. As compared with placebo, methylprednisolone did not increase the rate of infectious complications but was associated with a higher rate of neuromuscular weakness. CONCLUSIONS These results do not support the routine use of methylprednisolone for persistent ARDS despite the improvement in cardiopulmonary physiology. In addition, starting methylprednisolone therapy more than two weeks after the onset of ARDS may increase the risk of death. (ClinicalTrials.gov number, NCT00295269.).","author":[{"dropping-particle":"","family":"Steinberg","given":"Kenneth P","non-dropping-particle":"","parse-names":false,"suffix":""},{"dropping-particle":"","family":"Hudson","given":"Leonard D","non-dropping-particle":"","parse-names":false,"suffix":""},{"dropping-particle":"","family":"Goodman","given":"Richard B","non-dropping-particle":"","parse-names":false,"suffix":""},{"dropping-particle":"","family":"Hough","given":"Catherine Lee","non-dropping-particle":"","parse-names":false,"suffix":""},{"dropping-particle":"","family":"Lanken","given":"Paul N","non-dropping-particle":"","parse-names":false,"suffix":""},{"dropping-particle":"","family":"Hyzy","given":"Robert","non-dropping-particle":"","parse-names":false,"suffix":""},{"dropping-particle":"","family":"Thompson","given":"B Taylor","non-dropping-particle":"","parse-names":false,"suffix":""},{"dropping-particle":"","family":"Ancukiewicz","given":"Marek","non-dropping-particle":"","parse-names":false,"suffix":""},{"dropping-particle":"","family":"National Heart, Lung","given":"and Blood Institute Acute Respiratory Distress Syndrome (ARDS) Clinical Trials Network","non-dropping-particle":"","parse-names":false,"suffix":""}],"container-title":"The New England Journal of Medicine","id":"ITEM-1","issue":"16","issued":{"date-parts":[["2006","4","20"]]},"page":"1671-84","title":"Efficacy and safety of corticosteroids for persistent acute respiratory distress syndrome.","type":"article-journal","volume":"354"},"uris":["http://www.mendeley.com/documents/?uuid=19fb5a4d-bd96-4be3-83ef-a08ec53b10d9","http://www.mendeley.com/documents/?uuid=ae016072-6c8c-4fe4-a0e3-a1d3332f1636"]}],"mendeley":{"formattedCitation":"&lt;sup&gt;[84]&lt;/sup&gt;","plainTextFormattedCitation":"[84]","previouslyFormattedCitation":"&lt;sup&gt;[84]&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[8</w:t>
      </w:r>
      <w:r w:rsidR="002F20AA" w:rsidRPr="00372D52">
        <w:rPr>
          <w:rFonts w:ascii="Book Antiqua" w:hAnsi="Book Antiqua" w:cs="Arial"/>
          <w:noProof/>
          <w:sz w:val="24"/>
          <w:szCs w:val="24"/>
          <w:shd w:val="clear" w:color="auto" w:fill="FFFFFF"/>
          <w:vertAlign w:val="superscript"/>
        </w:rPr>
        <w:t>1</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xml:space="preserve">. More importantly, when corticosteroids were </w:t>
      </w:r>
      <w:r w:rsidRPr="00372D52">
        <w:rPr>
          <w:rFonts w:ascii="Book Antiqua" w:hAnsi="Book Antiqua" w:cs="Arial"/>
          <w:sz w:val="24"/>
          <w:szCs w:val="24"/>
          <w:shd w:val="clear" w:color="auto" w:fill="FFFFFF"/>
        </w:rPr>
        <w:lastRenderedPageBreak/>
        <w:t>initiated late after ARDS onset (defined by 14 d), they were associated with increased mortality. Other studies have had similar findings where greater survival and ventilator-free days were observed if corticosteroids were initiated within 72 h</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{"citationItems":[{"id":"ITEM-1","itemData":{"DOI":"10.1378/chest.06-2100","ISSN":"0012-3692","PMID":"17426195","abstract":"OBJECTIVE To determine the effects of low-dose prolonged methylprednisolone infusion on lung function in patients with early severe ARDS. DESIGN Randomized, double-blind, placebo-controlled trial. SETTING ICUs of five hospitals in Memphis. PARTICIPANTS Ninety-one patients with severe early ARDS (&lt;/= 72 h), 66% with sepsis. INTERVENTIONS Patients were randomized (2:1 fashion) to methylprednisolone infusion (1 mg/kg/d) vs placebo. The duration of treatment was up to 28 days. Infection surveillance and avoidance of paralysis were integral components of the protocol. MAIN OUTCOME MEASURE The predefined primary end point was a 1-point reduction in lung injury score (LIS) or successful extubation by day 7. RESULTS In intention-to-treat analysis, the response of the two groups (63 treated and 28 control) clearly diverged by day 7, with twice the proportion of treated patients achieving a 1-point reduction in LIS (69.8% vs 35.7%; p = 0.002) and breathing without assistance (53.9% vs 25.0%; p = 0.01). Treated patients had significant reduction in C-reactive protein levels, and by day 7 had lower LIS and multiple organ dysfunction syndrome scores. Treatment was associated with a reduction in the duration of mechanical ventilation (p = 0.002), ICU stay (p = 0.007), and ICU mortality (20.6% vs 42.9%; p = 0.03). Treated patients had a lower rate of infections (p = 0.0002), and infection surveillance identified 56% of nosocomial infections in patients without fever. CONCLUSIONS Methylprednisolone-induced down-regulation of systemic inflammation was associated with significant improvement in pulmonary and extrapulmonary organ dysfunction and reduction in duration of mechanical ventilation and ICU length of stay.","author":[{"dropping-particle":"","family":"Meduri","given":"G Umberto","non-dropping-particle":"","parse-names":false,"suffix":""},{"dropping-particle":"","family":"Golden","given":"Emmel","non-dropping-particle":"","parse-names":false,"suffix":""},{"dropping-particle":"","family":"Freire","given":"Amado X","non-dropping-particle":"","parse-names":false,"suffix":""},{"dropping-particle":"","family":"Taylor","given":"Edwin","non-dropping-particle":"","parse-names":false,"suffix":""},{"dropping-particle":"","family":"Zaman","given":"Muhammad","non-dropping-particle":"","parse-names":false,"suffix":""},{"dropping-particle":"","family":"Carson","given":"Stephanie J","non-dropping-particle":"","parse-names":false,"suffix":""},{"dropping-particle":"","family":"Gibson","given":"Mary","non-dropping-particle":"","parse-names":false,"suffix":""},{"dropping-particle":"","family":"Umberger","given":"Reba","non-dropping-particle":"","parse-names":false,"suffix":""}],"container-title":"Chest","id":"ITEM-1","issue":"4","issued":{"date-parts":[["2007","4"]]},"page":"954-63","title":"Methylprednisolone infusion in early severe ARDS: results of a randomized controlled trial.","type":"article-journal","volume":"131"},"uris":["http://www.mendeley.com/documents/?uuid=674819d9-68f8-4077-bcae-331c6092a15f","http://www.mendeley.com/documents/?uuid=e25553cc-a79f-4a75-85f3-2e2dd3c5cff2"]}],"mendeley":{"formattedCitation":"&lt;sup&gt;[55]&lt;/sup&gt;","plainTextFormattedCitation":"[55]","previouslyFormattedCitation":"&lt;sup&gt;[55]&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[5</w:t>
      </w:r>
      <w:r w:rsidR="002F20AA" w:rsidRPr="00372D52">
        <w:rPr>
          <w:rFonts w:ascii="Book Antiqua" w:hAnsi="Book Antiqua" w:cs="Arial"/>
          <w:noProof/>
          <w:sz w:val="24"/>
          <w:szCs w:val="24"/>
          <w:shd w:val="clear" w:color="auto" w:fill="FFFFFF"/>
          <w:vertAlign w:val="superscript"/>
        </w:rPr>
        <w:t>3</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When concomitant pneumonia is present, initiation of corticosteroids within 12 h may result in more beneficial outcomes including reduced need for and duration on the ventilator and reduced hospital mortality</w:t>
      </w:r>
      <w:r w:rsidR="00C70531"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10.1097/01.ccm.0000551906.96335.48","ISSN":"0090-3493","author":[{"dropping-particle":"","family":"Herasevich","given":"Svetlana","non-dropping-particle":"","parse-names":false,"suffix":""},{"dropping-particle":"","family":"Odeyemi","given":"Yewande","non-dropping-particle":"","parse-names":false,"suffix":""},{"dropping-particle":"","family":"Wieruszewski","given":"Patrick","non-dropping-particle":"","parse-names":false,"suffix":""},{"dropping-particle":"","family":"Gajic","given":"Ognjen","non-dropping-particle":"","parse-names":false,"suffix":""},{"dropping-particle":"","family":"Yadav","given":"Hemang","non-dropping-particle":"","parse-names":false,"suffix":""}],"container-title":"Critical Care Medicine","id":"ITEM-1","issued":{"date-parts":[["2019","1"]]},"page":"557","title":"Timeliness of corticosteroid use in ICU patients with pneumonia and ARDS","type":"article-journal","volume":"47"},"uris":["http://www.mendeley.com/documents/?uuid=4de7d1df-ebeb-483c-a030-e452077aaffa","http://www.mendeley.com/documents/?uuid=f08b0209-37da-4a65-99f5-c72ae6aae7a9"]}],"mendeley":{"formattedCitation":"&lt;sup&gt;[85]&lt;/sup&gt;","plainTextFormattedCitation":"[85]","previouslyFormattedCitation":"&lt;sup&gt;[85]&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[8</w:t>
      </w:r>
      <w:r w:rsidR="002F20AA" w:rsidRPr="00372D52">
        <w:rPr>
          <w:rFonts w:ascii="Book Antiqua" w:hAnsi="Book Antiqua" w:cs="Arial"/>
          <w:noProof/>
          <w:sz w:val="24"/>
          <w:szCs w:val="24"/>
          <w:shd w:val="clear" w:color="auto" w:fill="FFFFFF"/>
          <w:vertAlign w:val="superscript"/>
        </w:rPr>
        <w:t>2</w:t>
      </w:r>
      <w:r w:rsidR="00DB420B"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00C70531" w:rsidRPr="00372D52">
        <w:rPr>
          <w:rFonts w:ascii="Book Antiqua" w:hAnsi="Book Antiqua" w:cs="Arial"/>
          <w:sz w:val="24"/>
          <w:szCs w:val="24"/>
          <w:shd w:val="clear" w:color="auto" w:fill="FFFFFF"/>
        </w:rPr>
        <w:t>.</w:t>
      </w:r>
    </w:p>
    <w:p w14:paraId="574FFE51" w14:textId="393F5246" w:rsidR="001E6825" w:rsidRPr="00372D52" w:rsidRDefault="001E6825"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 xml:space="preserve">Based on this cumulative evidence, the recent SCCM/ESICM guidelines suggests the use of corticosteroid in patients with early moderate to severe </w:t>
      </w:r>
      <w:r w:rsidR="006E5DC9" w:rsidRPr="00372D52">
        <w:rPr>
          <w:rFonts w:ascii="Book Antiqua" w:hAnsi="Book Antiqua" w:cs="Arial"/>
          <w:sz w:val="24"/>
          <w:szCs w:val="24"/>
          <w:shd w:val="clear" w:color="auto" w:fill="FFFFFF"/>
        </w:rPr>
        <w:t>ARDS</w:t>
      </w:r>
      <w:r w:rsidRPr="00372D52">
        <w:rPr>
          <w:rFonts w:ascii="Book Antiqua" w:hAnsi="Book Antiqua" w:cs="Arial"/>
          <w:sz w:val="24"/>
          <w:szCs w:val="24"/>
          <w:shd w:val="clear" w:color="auto" w:fill="FFFFFF"/>
        </w:rPr>
        <w:t xml:space="preserve"> within 14 d of onset</w:t>
      </w:r>
      <w:r w:rsidR="00C70531" w:rsidRPr="00372D52">
        <w:rPr>
          <w:rFonts w:ascii="Book Antiqua" w:hAnsi="Book Antiqua" w:cs="Arial"/>
          <w:sz w:val="24"/>
          <w:szCs w:val="24"/>
          <w:shd w:val="clear" w:color="auto" w:fill="FFFFFF"/>
        </w:rPr>
        <w:fldChar w:fldCharType="begin" w:fldLock="1"/>
      </w:r>
      <w:r w:rsidR="00B53EF6" w:rsidRPr="00372D52">
        <w:rPr>
          <w:rFonts w:ascii="Book Antiqua" w:hAnsi="Book Antiqua" w:cs="Arial"/>
          <w:sz w:val="24"/>
          <w:szCs w:val="24"/>
          <w:shd w:val="clear" w:color="auto" w:fill="FFFFFF"/>
        </w:rPr>
        <w:instrText>ADDIN CSL_CITATION {"citationItems":[{"id":"ITEM-1","itemData":{"DOI":"10.1097/CCM.0000000000002840","ISSN":"1530-0293","PMID":"29095205","author":[{"dropping-particle":"","family":"Pastores","given":"Stephen M","non-dropping-particle":"","parse-names":false,"suffix":""},{"dropping-particle":"","family":"Annane","given":"Djillali","non-dropping-particle":"","parse-names":false,"suffix":""},{"dropping-particle":"","family":"Rochwerg","given":"Bram","non-dropping-particle":"","parse-names":false,"suffix":""},{"dropping-particle":"","family":"Corticosteroid Guideline Task Force of SCCM and ESICM","given":"","non-dropping-particle":"","parse-names":false,"suffix":""}],"container-title":"Critical Care Medicine","id":"ITEM-1","issue":"1","issued":{"date-parts":[["2018"]]},"page":"146-148","title":"Guidelines for the Diagnosis and Management of Critical Illness-Related Corticosteroid Insufficiency (CIRCI) in Critically Ill Patients (Part II): Society of Critical Care Medicine (SCCM) and European Society of Intensive Care Medicine (ESICM) 2017.","type":"article-journal","volume":"46"},"uris":["http://www.mendeley.com/documents/?uuid=baada018-ba3d-48e0-8990-a5ba50dcf284","http://www.mendeley.com/documents/?uuid=6342eed6-a78e-487c-bd38-707c5987c282"]}],"mendeley":{"formattedCitation":"&lt;sup&gt;[69]&lt;/sup&gt;","plainTextFormattedCitation":"[69]","previouslyFormattedCitation":"&lt;sup&gt;[69]&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B53EF6" w:rsidRPr="00372D52">
        <w:rPr>
          <w:rFonts w:ascii="Book Antiqua" w:hAnsi="Book Antiqua" w:cs="Arial"/>
          <w:noProof/>
          <w:sz w:val="24"/>
          <w:szCs w:val="24"/>
          <w:shd w:val="clear" w:color="auto" w:fill="FFFFFF"/>
          <w:vertAlign w:val="superscript"/>
        </w:rPr>
        <w:t>[6</w:t>
      </w:r>
      <w:r w:rsidR="002F20AA" w:rsidRPr="00372D52">
        <w:rPr>
          <w:rFonts w:ascii="Book Antiqua" w:hAnsi="Book Antiqua" w:cs="Arial"/>
          <w:noProof/>
          <w:sz w:val="24"/>
          <w:szCs w:val="24"/>
          <w:shd w:val="clear" w:color="auto" w:fill="FFFFFF"/>
          <w:vertAlign w:val="superscript"/>
        </w:rPr>
        <w:t>7</w:t>
      </w:r>
      <w:r w:rsidR="00B53EF6"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w:t>
      </w:r>
    </w:p>
    <w:p w14:paraId="32DC4B22" w14:textId="2117E216" w:rsidR="008D14EE" w:rsidRPr="00372D52" w:rsidRDefault="001E6825"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The DEXA-ARDS trial a multicenter, randomized controlled study in patients with moderate to severe ARDS persistent beyond 24 h was recently concluded and results due to be published</w:t>
      </w:r>
      <w:r w:rsidR="00C70531"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{"citationItems":[{"id":"ITEM-1","itemData":{"DOI":"10.1186/s13063-016-1456-4","ISSN":"1745-6215","PMID":"27449641","abstract":"BACKGROUND Although much has evolved in our understanding of the pathogenesis and factors affecting outcome of patients with acute respiratory distress syndrome (ARDS), still there is no specific pharmacologic treatment for ARDS. Several clinical trials have evaluated the utility of corticoids but none of them has demonstrated a definitive benefit due to small sample sizes, selection bias, patient heterogeneity, and time of initiation of treatment or duration of therapy. We postulated that adjunctive treatment of persistent ARDS with intravenous dexamethasone might change the pulmonary and systemic inflammatory response and thereby reduce morbidity, leading to a decrease in duration of mechanical ventilation and a decrease in mortality. METHODS/DESIGN This is a prospective, multicenter, randomized, controlled trial in 314 patients with persistent moderate/severe ARDS. Persistent ARDS is defined as maintaining a PaO2/FiO2 ≤ 200 mmHg on PEEP ≥ 10 cmH2O and FiO2 ≥ 0.5 after 24 hours of routine intensive care. Eligible patients will be randomly allocated to two arms: (i) conventional treatment without dexamethasone, (ii) conventional treatment plus dexamethasone. Patients in the dexamethasone group will be treated with a daily dose of 20 mg iv from day 1 to day 5, and 10 mg iv from day 6 to day 10. Primary outcome is the number of ventilator-free days, defined as days alive and free from mechanical ventilation at day 28 after intubation. Secondary outcome is all-cause mortality at day 60 after enrollment. DISCUSSION This study will be the largest randomized controlled clinical trial to assess the role of dexamethasone in patients with persistent ARDS. TRIAL REGISTRATION Registered on 21 November 2012 as DEXA-ARDS at ClinicalTrials.gov website ( NCT01731795 ).","author":[{"dropping-particle":"","family":"Villar","given":"Jesús","non-dropping-particle":"","parse-names":false,"suffix":""},{"dropping-particle":"","family":"Belda","given":"Javier","non-dropping-particle":"","parse-names":false,"suffix":""},{"dropping-particle":"","family":"Añón","given":"José Manuel","non-dropping-particle":"","parse-names":false,"suffix":""},{"dropping-particle":"","family":"Blanco","given":"Jesús","non-dropping-particle":"","parse-names":false,"suffix":""},{"dropping-particle":"","family":"Pérez-Méndez","given":"Lina","non-dropping-particle":"","parse-names":false,"suffix":""},{"dropping-particle":"","family":"Ferrando","given":"Carlos","non-dropping-particle":"","parse-names":false,"suffix":""},{"dropping-particle":"","family":"Martínez","given":"Domingo","non-dropping-particle":"","parse-names":false,"suffix":""},{"dropping-particle":"","family":"Soler","given":"Juan Alfonso","non-dropping-particle":"","parse-names":false,"suffix":""},{"dropping-particle":"","family":"Ambrós","given":"Alfonso","non-dropping-particle":"","parse-names":false,"suffix":""},{"dropping-particle":"","family":"Muñoz","given":"Tomás","non-dropping-particle":"","parse-names":false,"suffix":""},{"dropping-particle":"","family":"Rivas","given":"Rosana","non-dropping-particle":"","parse-names":false,"suffix":""},{"dropping-particle":"","family":"Corpas","given":"Ruth","non-dropping-particle":"","parse-names":false,"suffix":""},{"dropping-particle":"","family":"Díaz-Dominguez","given":"Francisco J","non-dropping-particle":"","parse-names":false,"suffix":""},{"dropping-particle":"","family":"Soro","given":"Marina","non-dropping-particle":"","parse-names":false,"suffix":""},{"dropping-particle":"","family":"García-Bello","given":"Miguel Angel","non-dropping-particle":"","parse-names":false,"suffix":""},{"dropping-particle":"","family":"Fernández","given":"Rosa Lidia","non-dropping-particle":"","parse-names":false,"suffix":""},{"dropping-particle":"","family":"Kacmarek","given":"Robert M","non-dropping-particle":"","parse-names":false,"suffix":""},{"dropping-particle":"","family":"DEXA-ARDS Network","given":"","non-dropping-particle":"","parse-names":false,"suffix":""}],"container-title":"Trials","id":"ITEM-1","issued":{"date-parts":[["2016"]]},"page":"342","title":"Evaluating the efficacy of dexamethasone in the treatment of patients with persistent acute respiratory distress syndrome: study protocol for a randomized controlled trial.","type":"article-journal","volume":"17"},"uris":["http://www.mendeley.com/documents/?uuid=1865c0de-6afd-4105-bb44-d4f2134f3728","http://www.mendeley.com/documents/?uuid=950e412a-91b1-4a6d-879f-7d31e56ca918"]}],"mendeley":{"formattedCitation":"&lt;sup&gt;[86]&lt;/sup&gt;","plainTextFormattedCitation":"[86]","previouslyFormattedCitation":"&lt;sup&gt;[86]&lt;/sup&gt;"},"properties":{"noteIndex":0},"schema":"https://github.com/citation-style-language/schema/raw/master/csl-citation.json"}</w:instrText>
      </w:r>
      <w:r w:rsidR="00C70531"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[8</w:t>
      </w:r>
      <w:r w:rsidR="002F20AA" w:rsidRPr="00372D52">
        <w:rPr>
          <w:rFonts w:ascii="Book Antiqua" w:hAnsi="Book Antiqua" w:cs="Arial"/>
          <w:noProof/>
          <w:sz w:val="24"/>
          <w:szCs w:val="24"/>
          <w:shd w:val="clear" w:color="auto" w:fill="FFFFFF"/>
          <w:vertAlign w:val="superscript"/>
        </w:rPr>
        <w:t>3</w:t>
      </w:r>
      <w:r w:rsidR="00DB420B" w:rsidRPr="00372D52">
        <w:rPr>
          <w:rFonts w:ascii="Book Antiqua" w:hAnsi="Book Antiqua" w:cs="Arial"/>
          <w:noProof/>
          <w:sz w:val="24"/>
          <w:szCs w:val="24"/>
          <w:shd w:val="clear" w:color="auto" w:fill="FFFFFF"/>
          <w:vertAlign w:val="superscript"/>
        </w:rPr>
        <w:t>]</w:t>
      </w:r>
      <w:r w:rsidR="00C70531" w:rsidRPr="00372D52">
        <w:rPr>
          <w:rFonts w:ascii="Book Antiqua" w:hAnsi="Book Antiqua" w:cs="Arial"/>
          <w:sz w:val="24"/>
          <w:szCs w:val="24"/>
          <w:shd w:val="clear" w:color="auto" w:fill="FFFFFF"/>
        </w:rPr>
        <w:fldChar w:fldCharType="end"/>
      </w:r>
      <w:r w:rsidR="00C70531" w:rsidRPr="00372D52">
        <w:rPr>
          <w:rFonts w:ascii="Book Antiqua" w:hAnsi="Book Antiqua" w:cs="Arial"/>
          <w:sz w:val="24"/>
          <w:szCs w:val="24"/>
          <w:shd w:val="clear" w:color="auto" w:fill="FFFFFF"/>
        </w:rPr>
        <w:t xml:space="preserve">. </w:t>
      </w:r>
      <w:r w:rsidRPr="00372D52">
        <w:rPr>
          <w:rFonts w:ascii="Book Antiqua" w:hAnsi="Book Antiqua" w:cs="Arial"/>
          <w:sz w:val="24"/>
          <w:szCs w:val="24"/>
          <w:shd w:val="clear" w:color="auto" w:fill="FFFFFF"/>
        </w:rPr>
        <w:t xml:space="preserve">Patients were randomized to dexamethasone 20 mg per day for 5 d followed by 10 mg per day for 5 d or placebo with ventilator-free days as primary outcome. </w:t>
      </w:r>
    </w:p>
    <w:p w14:paraId="483B2BCC" w14:textId="77777777" w:rsidR="008D14EE" w:rsidRPr="00372D52" w:rsidRDefault="008D14EE" w:rsidP="00372D52">
      <w:pPr>
        <w:spacing w:after="0" w:line="360" w:lineRule="auto"/>
        <w:jc w:val="both"/>
        <w:rPr>
          <w:rFonts w:ascii="Book Antiqua" w:hAnsi="Book Antiqua" w:cs="Arial"/>
          <w:sz w:val="24"/>
          <w:szCs w:val="24"/>
          <w:shd w:val="clear" w:color="auto" w:fill="FFFFFF"/>
        </w:rPr>
      </w:pPr>
    </w:p>
    <w:p w14:paraId="6242F2A4" w14:textId="77777777" w:rsidR="001E6825" w:rsidRPr="00372D52" w:rsidRDefault="001E6825" w:rsidP="00372D52">
      <w:pPr>
        <w:spacing w:after="0" w:line="360" w:lineRule="auto"/>
        <w:jc w:val="both"/>
        <w:rPr>
          <w:rFonts w:ascii="Book Antiqua" w:hAnsi="Book Antiqua" w:cs="Arial"/>
          <w:b/>
          <w:bCs/>
          <w:sz w:val="24"/>
          <w:szCs w:val="24"/>
          <w:shd w:val="clear" w:color="auto" w:fill="FFFFFF"/>
        </w:rPr>
      </w:pPr>
      <w:r w:rsidRPr="00372D52">
        <w:rPr>
          <w:rFonts w:ascii="Book Antiqua" w:hAnsi="Book Antiqua" w:cs="Arial"/>
          <w:b/>
          <w:bCs/>
          <w:sz w:val="24"/>
          <w:szCs w:val="24"/>
          <w:shd w:val="clear" w:color="auto" w:fill="FFFFFF"/>
        </w:rPr>
        <w:t>OTHER ANTI-INFLAMMATORY THERAPIES</w:t>
      </w:r>
    </w:p>
    <w:p w14:paraId="3D636368" w14:textId="2FC1CCE2" w:rsidR="001E6825" w:rsidRPr="00372D52" w:rsidRDefault="001E6825" w:rsidP="00372D52">
      <w:pPr>
        <w:spacing w:after="0" w:line="360" w:lineRule="auto"/>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Many different pharmacotherapies exerting anti-inflammatory actions have been mechanistically believed to provide benefits for pulmonary inflammation in ARDS and CAP. The majority of these therapies have failed to show clinical benefit, including statins</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{"citationItems":[{"id":"ITEM-1","itemData":{"DOI":"10.1056/NEJMoa1401520","ISSN":"1533-4406","PMID":"24835849","abstract":"BACKGROUND In the acute respiratory distress syndrome (ARDS), inflammation in the lungs and other organs can cause life-threatening organ failure. Inhibitors of 3-hydroxy-3-methylglutaryl coenzyme A reductase (statins) can modulate inflammatory responses. Previous observational studies suggested that statins improved clinical outcomes in patients with sepsis. We hypothesized that rosuvastatin therapy would improve clinical outcomes in critically ill patients with sepsis-associated ARDS. METHODS We conducted a multicenter trial in which patients with sepsis-associated ARDS were randomly assigned to receive either enteral rosuvastatin or placebo in a double-blind manner. The primary outcome was mortality before hospital discharge home or until study day 60 if the patient was still in a health care facility. Secondary outcomes included the number of ventilator-free days (days that patients were alive and breathing spontaneously) to day 28 and organ-failure-free days to day 14. RESULTS The study was stopped because of futility after 745 of an estimated 1000 patients had been enrolled. There was no significant difference between study groups in 60-day in-hospital mortality (28.5% with rosuvastatin and 24.9% with placebo, P=0.21) or in mean (±SD) ventilator-free days (15.1±10.8 with rosuvastatin and 15.1±11.0 with placebo, P=0.96). The groups were well matched with respect to demographic and key physiological variables. Rosuvastatin therapy, as compared with placebo, was associated with fewer days free of renal failure to day 14 (10.1±5.3 vs. 11.0±4.7, P=0.01) and fewer days free of hepatic failure to day 14 (10.8±5.0 vs. 11.8±4.3, P=0.003). Rosuvastatin was not associated with an increased incidence of serum creatine kinase levels that were more than 10 times the upper limit of the normal range. CONCLUSIONS Rosuvastatin therapy did not improve clinical outcomes in patients with sepsis-associated ARDS and may have contributed to hepatic and renal organ dysfunction. (Funded by the National Heart, Lung, and Blood Institute and the Investigator-Sponsored Study Program of AstraZeneca; ClinicalTrials.gov number, NCT00979121.).","author":[{"dropping-particle":"","family":"National Heart, Lung","given":"and Blood Institute ARDS Clinical Trials Network","non-dropping-particle":"","parse-names":false,"suffix":""},{"dropping-particle":"","family":"Truwit","given":"Jonathon D","non-dropping-particle":"","parse-names":false,"suffix":""},{"dropping-particle":"","family":"Bernard","given":"Gordon R","non-dropping-particle":"","parse-names":false,"suffix":""},{"dropping-particle":"","family":"Steingrub","given":"Jay","non-dropping-particle":"","parse-names":false,"suffix":""},{"dropping-particle":"","family":"Matthay","given":"Michael A","non-dropping-particle":"","parse-names":false,"suffix":""},{"dropping-particle":"","family":"Liu","given":"Kathleen D","non-dropping-particle":"","parse-names":false,"suffix":""},{"dropping-particle":"","family":"Albertson","given":"Timothy E","non-dropping-particle":"","parse-names":false,"suffix":""},{"dropping-particle":"","family":"Brower","given":"Roy G","non-dropping-particle":"","parse-names":false,"suffix":""},{"dropping-particle":"","family":"Shanholtz","given":"Carl","non-dropping-particle":"","parse-names":false,"suffix":""},{"dropping-particle":"","family":"Rock","given":"Peter","non-dropping-particle":"","parse-names":false,"suffix":""},{"dropping-particle":"","family":"Douglas","given":"Ivor S","non-dropping-particle":"","parse-names":false,"suffix":""},{"dropping-particle":"","family":"DeBoisblanc","given":"Bennett P","non-dropping-particle":"","parse-names":false,"suffix":""},{"dropping-particle":"","family":"Hough","given":"Catherine L","non-dropping-particle":"","parse-names":false,"suffix":""},{"dropping-particle":"","family":"Hite","given":"R Duncan","non-dropping-particle":"","parse-names":false,"suffix":""},{"dropping-particle":"","family":"Thompson","given":"B Taylor","non-dropping-particle":"","parse-names":false,"suffix":""}],"container-title":"The New England Journal of Medicine","id":"ITEM-1","issue":"23","issued":{"date-parts":[["2014","6","5"]]},"page":"2191-200","title":"Rosuvastatin for sepsis-associated acute respiratory distress syndrome.","type":"article-journal","volume":"370"},"uris":["http://www.mendeley.com/documents/?uuid=6dc1dc80-42bd-4978-89c8-57c8feec6c61","http://www.mendeley.com/documents/?uuid=403ff9ae-188d-4469-b46b-167608980127"]}],"mendeley":{"formattedCitation":"&lt;sup&gt;[87]&lt;/sup&gt;","plainTextFormattedCitation":"[87]","previouslyFormattedCitation":"&lt;sup&gt;[87]&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[8</w:t>
      </w:r>
      <w:r w:rsidR="002F20AA" w:rsidRPr="00372D52">
        <w:rPr>
          <w:rFonts w:ascii="Book Antiqua" w:hAnsi="Book Antiqua" w:cs="Arial"/>
          <w:noProof/>
          <w:sz w:val="24"/>
          <w:szCs w:val="24"/>
          <w:shd w:val="clear" w:color="auto" w:fill="FFFFFF"/>
          <w:vertAlign w:val="superscript"/>
        </w:rPr>
        <w:t>4</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0083125C" w:rsidRPr="00372D52">
        <w:rPr>
          <w:rFonts w:ascii="Book Antiqua" w:hAnsi="Book Antiqua" w:cs="Arial"/>
          <w:sz w:val="24"/>
          <w:szCs w:val="24"/>
          <w:shd w:val="clear" w:color="auto" w:fill="FFFFFF"/>
        </w:rPr>
        <w:t xml:space="preserve">, </w:t>
      </w:r>
      <w:r w:rsidRPr="00372D52">
        <w:rPr>
          <w:rFonts w:ascii="Book Antiqua" w:hAnsi="Book Antiqua" w:cs="Arial"/>
          <w:sz w:val="24"/>
          <w:szCs w:val="24"/>
          <w:shd w:val="clear" w:color="auto" w:fill="FFFFFF"/>
        </w:rPr>
        <w:t>neutrophil elastase inhibitors</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{"citationItems":[{"id":"ITEM-1","itemData":{"ISSN":"1349-7235","PMID":"21088343","abstract":"INTRODUCTION Sivelestat is neutrophil elastase inhibitor, which is widely used in Japan for the treatment of acute lung injury. However, the clinical efficacy of the medication has not been convincingly demonstrated. METHODS We conducted a systematic review and meta-analysis of randomized controlled trials on sivelestat for the treatment of acute lung injury and acute respiratory distress syndrome. Studies were identified using MEDLINE, EMBASE, Cochrane library, conference proceedings, and references of included studies. Authors were contacted if necessary. ICHUSHI, the Japanese database for medical literature and conference proceedings was also used for the search, since many studies on sivelestat were published in Japanese language and not registered in major databases such as MEDLINE. The primary outcome was mortality within 28-30 days after randomization. Relative risks were pooled with the random effect model. RESULTS 8 trials were included in the analysis. There was no difference in mortality within 28-30 days after randomization (relative risk 0.95, 95% confidence interval 0.72 to 1.26). Subgroup analysis conducted only on studies conducted in Japan showed the same result (0.59, 0.28 to 1.28). There was no difference in mechanical ventilation days (standardized mean difference -0.43, -1.12 to 0.27), but sivelestat was associated with a better short term PaO(2)/FiO(2) ratio (0.30, 0.05 to 0.56). Heterogeneity was not significant for the main analysis and funnel plot did not suggest publication bias. CONCLUSION Sivelestat was not associated with decreased mortality, even when including studies published in Japanese language.","author":[{"dropping-particle":"","family":"Iwata","given":"Kentaro","non-dropping-particle":"","parse-names":false,"suffix":""},{"dropping-particle":"","family":"Doi","given":"Asako","non-dropping-particle":"","parse-names":false,"suffix":""},{"dropping-particle":"","family":"Ohji","given":"Goh","non-dropping-particle":"","parse-names":false,"suffix":""},{"dropping-particle":"","family":"Oka","given":"Hideaki","non-dropping-particle":"","parse-names":false,"suffix":""},{"dropping-particle":"","family":"Oba","given":"Yuichiro","non-dropping-particle":"","parse-names":false,"suffix":""},{"dropping-particle":"","family":"Takimoto","given":"Kohei","non-dropping-particle":"","parse-names":false,"suffix":""},{"dropping-particle":"","family":"Igarashi","given":"Wataru","non-dropping-particle":"","parse-names":false,"suffix":""},{"dropping-particle":"","family":"Gremillion","given":"David H","non-dropping-particle":"","parse-names":false,"suffix":""},{"dropping-particle":"","family":"Shimada","given":"Toshihiko","non-dropping-particle":"","parse-names":false,"suffix":""}],"container-title":"Internal Medicine","id":"ITEM-1","issue":"22","issued":{"date-parts":[["2010"]]},"page":"2423-32","title":"Effect of neutrophil elastase inhibitor (sivelestat sodium) in the treatment of acute lung injury (ALI) and acute respiratory distress syndrome (ARDS): a systematic review and meta-analysis.","type":"article-journal","volume":"49"},"uris":["http://www.mendeley.com/documents/?uuid=1e986258-0485-4c04-924c-66fc005fce69","http://www.mendeley.com/documents/?uuid=6363d7ff-e3ef-4790-a9f9-abfc87797c24"]}],"mendeley":{"formattedCitation":"&lt;sup&gt;[88]&lt;/sup&gt;","plainTextFormattedCitation":"[88]","previouslyFormattedCitation":"&lt;sup&gt;[88]&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[8</w:t>
      </w:r>
      <w:r w:rsidR="002F20AA" w:rsidRPr="00372D52">
        <w:rPr>
          <w:rFonts w:ascii="Book Antiqua" w:hAnsi="Book Antiqua" w:cs="Arial"/>
          <w:noProof/>
          <w:sz w:val="24"/>
          <w:szCs w:val="24"/>
          <w:shd w:val="clear" w:color="auto" w:fill="FFFFFF"/>
          <w:vertAlign w:val="superscript"/>
        </w:rPr>
        <w:t>5</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and ibuprofen</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{"citationItems":[{"id":"ITEM-1","itemData":{"DOI":"10.1056/NEJM199703273361303","ISSN":"0028-4793","PMID":"9070471","abstract":"BACKGROUND In patients with sepsis the production of arachidonic acid metabolites by cyclooxygenase increases, but the pathophysiologic role of these prostaglandins is unclear. In animal models, inhibition of cyclooxygenase by treatment with ibuprofen before the onset of sepsis reduces physiologic abnormalities and improves survival. In pilot studies of patients with sepsis, treatment with ibuprofen led to improvements in gas exchange and airway mechanics. METHODS From October 1989 to March 1995, we conducted a randomized, double-blind, placebo-controlled trial of intravenous ibuprofen (10 mg per kilogram of body weight [maximal dose, 800 mg], given every six hours for eight doses) in 455 patients who had sepsis, defined as fever, tachycardia, tachypnea, and acute failure of at least one organ system. RESULTS In the ibuprofen group, but not the placebo group, there were significant declines in urinary levels of prostacyclin and thromboxane, temperature, heart rate, oxygen consumption, and lactic acidosis. With ibuprofen therapy there was no increased incidence of renal dysfunction, gastrointestinal bleeding, or other adverse events. However, treatment with ibuprofen did not reduce the incidence or duration of shock or the acute respiratory distress syndrome and did not significantly improve the rate of survival at 30 days (mortality, 37 percent with ibuprofen vs 40 percent with placebo). CONCLUSIONS In patients with sepsis, treatment with ibuprofen reduces levels of prostacyclin and thromboxane and decreases fever, tachycardia, oxygen consumption, and lactic acidosis, but it does not prevent the development of shock or the acute respiratory distress syndrome and does not improve survival.","author":[{"dropping-particle":"","family":"Bernard","given":"G R","non-dropping-particle":"","parse-names":false,"suffix":""},{"dropping-particle":"","family":"Wheeler","given":"A P","non-dropping-particle":"","parse-names":false,"suffix":""},{"dropping-particle":"","family":"Russell","given":"J A","non-dropping-particle":"","parse-names":false,"suffix":""},{"dropping-particle":"","family":"Schein","given":"R","non-dropping-particle":"","parse-names":false,"suffix":""},{"dropping-particle":"","family":"Summer","given":"W R","non-dropping-particle":"","parse-names":false,"suffix":""},{"dropping-particle":"","family":"Steinberg","given":"K P","non-dropping-particle":"","parse-names":false,"suffix":""},{"dropping-particle":"","family":"Fulkerson","given":"W J","non-dropping-particle":"","parse-names":false,"suffix":""},{"dropping-particle":"","family":"Wright","given":"P E","non-dropping-particle":"","parse-names":false,"suffix":""},{"dropping-particle":"","family":"Christman","given":"B W","non-dropping-particle":"","parse-names":false,"suffix":""},{"dropping-particle":"","family":"Dupont","given":"W D","non-dropping-particle":"","parse-names":false,"suffix":""},{"dropping-particle":"","family":"Higgins","given":"S B","non-dropping-particle":"","parse-names":false,"suffix":""},{"dropping-particle":"","family":"Swindell","given":"B B","non-dropping-particle":"","parse-names":false,"suffix":""}],"container-title":"The New England Journal of Medicine","id":"ITEM-1","issue":"13","issued":{"date-parts":[["1997","3","27"]]},"page":"912-8","title":"The effects of ibuprofen on the physiology and survival of patients with sepsis. The Ibuprofen in Sepsis Study Group.","type":"article-journal","volume":"336"},"uris":["http://www.mendeley.com/documents/?uuid=982406dc-7598-4746-9bd9-0a60ebf81d70","http://www.mendeley.com/documents/?uuid=06a92838-a4ef-4015-8d2f-5a9fe435976a"]}],"mendeley":{"formattedCitation":"&lt;sup&gt;[89]&lt;/sup&gt;","plainTextFormattedCitation":"[89]","previouslyFormattedCitation":"&lt;sup&gt;[89]&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[8</w:t>
      </w:r>
      <w:r w:rsidR="002F20AA" w:rsidRPr="00372D52">
        <w:rPr>
          <w:rFonts w:ascii="Book Antiqua" w:hAnsi="Book Antiqua" w:cs="Arial"/>
          <w:noProof/>
          <w:sz w:val="24"/>
          <w:szCs w:val="24"/>
          <w:shd w:val="clear" w:color="auto" w:fill="FFFFFF"/>
          <w:vertAlign w:val="superscript"/>
        </w:rPr>
        <w:t>6</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An open-label study of moderate to severe ARDS found improved oxygenation at 48 h and reductions in inflammatory markers with use of inhaled sevoflurane</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{"citationItems":[{"id":"ITEM-1","itemData":{"DOI":"10.1164/rccm.201604-0686OC","ISSN":"1535-4970","PMID":"27611637","abstract":"RATIONALE Sevoflurane improves gas exchange, and reduces alveolar edema and inflammation in preclinical studies of lung injury, but its therapeutic effects have never been investigated in acute respiratory distress syndrome (ARDS). OBJECTIVES To assess whether sevoflurane would improve gas exchange and inflammation in ARDS. METHODS We did a parallel, open-label single-center randomized controlled trial at three intensive care units from a French university hospital between April 2014 and February 2016. Adult patients were randomized within 24 hours of moderate-to-severe ARDS onset to receive either intravenous midazolam or inhaled sevoflurane for 48 hours. The primary outcome was the PaO2/FiO2 ratio on Day 2. Secondary endpoints included alveolar and plasma levels of cytokines and soluble form of the receptor for advanced glycation end-products, and safety. Investigators who did the analyses were masked to group allocation. Analysis was by intention to treat. MEASUREMENTS AND MAIN RESULTS Twenty-five patients were assigned to the sevoflurane group and 25 to the midazolam group. On Day 2, PaO2/FiO2 ratio was higher in the sevoflurane group than in the midazolam group (mean ± SD, 205 ± 56 vs. 166 ± 59, respectively; P = 0.04). There was a significant reduction over time in cytokines and soluble form of the receptor for advanced glycation end-products levels in the sevoflurane group, compared with the midazolam group, and no serious adverse event was observed with sevoflurane. CONCLUSIONS In patients with ARDS, use of inhaled sevoflurane improved oxygenation and decreased levels of a marker of epithelial injury and of some inflammatory markers, compared with midazolam. Clinical trial registered with www.clinicaltrials.gov (NCT 02166853).","author":[{"dropping-particle":"","family":"Jabaudon","given":"Matthieu","non-dropping-particle":"","parse-names":false,"suffix":""},{"dropping-particle":"","family":"Boucher","given":"Pierre","non-dropping-particle":"","parse-names":false,"suffix":""},{"dropping-particle":"","family":"Imhoff","given":"Etienne","non-dropping-particle":"","parse-names":false,"suffix":""},{"dropping-particle":"","family":"Chabanne","given":"Russell","non-dropping-particle":"","parse-names":false,"suffix":""},{"dropping-particle":"","family":"Faure","given":"Jean-Sébastien","non-dropping-particle":"","parse-names":false,"suffix":""},{"dropping-particle":"","family":"Roszyk","given":"Laurence","non-dropping-particle":"","parse-names":false,"suffix":""},{"dropping-particle":"","family":"Thibault","given":"Sandrine","non-dropping-particle":"","parse-names":false,"suffix":""},{"dropping-particle":"","family":"Blondonnet","given":"Raiko","non-dropping-particle":"","parse-names":false,"suffix":""},{"dropping-particle":"","family":"Clairefond","given":"Gael","non-dropping-particle":"","parse-names":false,"suffix":""},{"dropping-particle":"","family":"Guérin","given":"Renaud","non-dropping-particle":"","parse-names":false,"suffix":""},{"dropping-particle":"","family":"Perbet","given":"Sébastien","non-dropping-particle":"","parse-names":false,"suffix":""},{"dropping-particle":"","family":"Cayot","given":"Sophie","non-dropping-particle":"","parse-names":false,"suffix":""},{"dropping-particle":"","family":"Godet","given":"Thomas","non-dropping-particle":"","parse-names":false,"suffix":""},{"dropping-particle":"","family":"Pereira","given":"Bruno","non-dropping-particle":"","parse-names":false,"suffix":""},{"dropping-particle":"","family":"Sapin","given":"Vincent","non-dropping-particle":"","parse-names":false,"suffix":""},{"dropping-particle":"","family":"Bazin","given":"Jean-Etienne","non-dropping-particle":"","parse-names":false,"suffix":""},{"dropping-particle":"","family":"Futier","given":"Emmanuel","non-dropping-particle":"","parse-names":false,"suffix":""},{"dropping-particle":"","family":"Constantin","given":"Jean-Michel","non-dropping-particle":"","parse-names":false,"suffix":""}],"container-title":"American Journal of Respiratory and Critical Care Medicine","id":"ITEM-1","issue":"6","issued":{"date-parts":[["2017"]]},"page":"792-800","title":"Sevoflurane for Sedation in Acute Respiratory Distress Syndrome. A Randomized Controlled Pilot Study.","type":"article-journal","volume":"195"},"uris":["http://www.mendeley.com/documents/?uuid=29339be5-8138-4e3a-b9e6-72680ef71b0f","http://www.mendeley.com/documents/?uuid=41813fb0-27d8-4d41-91a8-3334a053ab88"]}],"mendeley":{"formattedCitation":"&lt;sup&gt;[90]&lt;/sup&gt;","plainTextFormattedCitation":"[90]","previouslyFormattedCitation":"&lt;sup&gt;[90]&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87</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0083125C" w:rsidRPr="00372D52">
        <w:rPr>
          <w:rFonts w:ascii="Book Antiqua" w:hAnsi="Book Antiqua" w:cs="Arial"/>
          <w:sz w:val="24"/>
          <w:szCs w:val="24"/>
          <w:shd w:val="clear" w:color="auto" w:fill="FFFFFF"/>
        </w:rPr>
        <w:t>.</w:t>
      </w:r>
    </w:p>
    <w:p w14:paraId="28E960DA" w14:textId="5707A36B" w:rsidR="001E6825" w:rsidRPr="00372D52" w:rsidRDefault="001E6825"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Anti-platelet agents have been proposed to suppress neutrophil-recruitment induced by platelet activation. Early observational studies found a signal of aspirin use prior to admission to the hospital reduced progression to ARDS</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{"citationItems":[{"id":"ITEM-1","itemData":{"DOI":"10.1097/CCM.0000000000000789","ISSN":"1530-0293","PMID":"25559436","abstract":"OBJECTIVES Platelet activation plays an active role in the pathogenesis of acute respiratory distress syndrome. In our prior study of 575 patients at high risk for acute respiratory distress syndrome, concurrent statin and aspirin use was associated with reduced acute respiratory distress syndrome. However, the largest study (n = 3,855) to date found no significant benefit of prehospital aspirin in a lower-risk population when adjusted for the propensity for aspirin use. We aimed to determine whether prehospital aspirin use is associated with decreased acute respiratory distress syndrome in patients at high risk for acute respiratory distress syndrome after adjusting for the propensity to receive aspirin. DESIGN Secondary analysis of patients enrolled prospectively in the Validating Acute Lung Injury Markers for Diagnosis study. PATIENTS A total of 1,149 critically ill patients (≥40 years old) admitted to the medical or surgical ICUs of an academic tertiary care hospital including 575 previously reported patients as well as additional patients who were enrolled after completion of the prior statin and aspirin study. INTERVENTION None. MEASUREMENTS AND RESULTS Of 1,149 patients, 368 (32%) developed acute respiratory distress syndrome during the first 4 ICU days and 287 (25%) patients had prehospital aspirin use. Patients with prehospital aspirin had significantly lower prevalence of acute respiratory distress syndrome (27% vs 34%; p=0.034). In a multivariable, propensity-adjusted analysis including age, gender, race, sepsis, and Acute Physiology and Chronic Health Evaluation score II, prehospital aspirin use was associated with a decreased risk of acute respiratory distress syndrome (odds ratio, 0.66; 95% CI, 0.46-0.94) in the entire cohort and in a subgroup of 725 patients with sepsis (odds ratio, 0.60; 95% CI, 0.41-0.90). CONCLUSIONS In this selected cohort of critically ill patients, prehospital aspirin use was independently associated with a decreased risk of acute respiratory distress syndrome even after adjusting for the propensity of prehospital aspirin use. These findings support the need for prospective clinical trials to determine whether aspirin may be beneficial for the prevention of clinical acute respiratory distress syndrome.","author":[{"dropping-particle":"","family":"Chen","given":"Wei","non-dropping-particle":"","parse-names":false,"suffix":""},{"dropping-particle":"","family":"Janz","given":"David R","non-dropping-particle":"","parse-names":false,"suffix":""},{"dropping-particle":"","family":"Bastarache","given":"Julie A","non-dropping-particle":"","parse-names":false,"suffix":""},{"dropping-particle":"","family":"May","given":"Addison K","non-dropping-particle":"","parse-names":false,"suffix":""},{"dropping-particle":"","family":"O'Neal","given":"Hollis R","non-dropping-particle":"","parse-names":false,"suffix":""},{"dropping-particle":"","family":"Bernard","given":"Gordon R","non-dropping-particle":"","parse-names":false,"suffix":""},{"dropping-particle":"","family":"Ware","given":"Lorraine B","non-dropping-particle":"","parse-names":false,"suffix":""}],"container-title":"Critical Care Medicine","id":"ITEM-1","issue":"4","issued":{"date-parts":[["2015","4"]]},"page":"801-7","title":"Prehospital aspirin use is associated with reduced risk of acute respiratory distress syndrome in critically ill patients: a propensity-adjusted analysis.","type":"article-journal","volume":"43"},"uris":["http://www.mendeley.com/documents/?uuid=776680ad-9d31-43e1-8ead-87e19dd60489","http://www.mendeley.com/documents/?uuid=c418ac1f-2e5f-4b70-8434-273599aad0db"]},{"id":"ITEM-2","itemData":{"DOI":"10.1378/chest.10-0891","ISSN":"1931-3543","PMID":"20688925","abstract":"BACKGROUND Acute lung injury (ALI) is a potentially fatal lung disease with few treatment options. Platelet activation is a key component of ALI pathophysiology and may provide an opportunity for prevention strategies. We examined the association of prehospitalization antiplatelet therapy with development of ALI in critically ill patients. METHODS All Olmsted County, Minnesota, residents with a medical ICU admission in the year 2006 were evaluated. Patients with at least one major risk factor for ALI who did not meet criteria for ALI at the time of hospital admission were included in the analysis. Baseline characteristics, major risk factors for ALI, the presence of antiplatelet therapy at the time of hospitalization, and the propensity to receive this therapy were determined. The primary outcome was ALI or ARDS during the hospitalization. Secondary outcomes were ICU and hospital-free days and ICU and hospital mortality. RESULTS A total of 161 patients were evaluated. Seventy-nine (49%) were receiving antiplatelet therapy at hospital admission; 33 (21%) developed ALI/ARDS. Antiplatelet therapy was associated with a reduced incidence of ALI/ARDS (12.7% vs 28.0%; OR, 0.37; 95% CI, 0.16-0.84; P = .02). This association remained significant after adjusting for confounding variables. CONCLUSIONS Prehospitalization antiplatelet therapy was associated with a reduced incidence of ALI/ARDS. If confirmed in a more diverse patient population, these results would support the use of antiplatelet agents in an ALI prevention trial.","author":[{"dropping-particle":"","family":"Erlich","given":"Jason M","non-dropping-particle":"","parse-names":false,"suffix":""},{"dropping-particle":"","family":"Talmor","given":"Daniel S","non-dropping-particle":"","parse-names":false,"suffix":""},{"dropping-particle":"","family":"Cartin-Ceba","given":"Rodrigo","non-dropping-particle":"","parse-names":false,"suffix":""},{"dropping-particle":"","family":"Gajic","given":"Ognjen","non-dropping-particle":"","parse-names":false,"suffix":""},{"dropping-particle":"","family":"Kor","given":"Daryl J","non-dropping-particle":"","parse-names":false,"suffix":""}],"container-title":"Chest","id":"ITEM-2","issue":"2","issued":{"date-parts":[["2011","2"]]},"page":"289-295","title":"Prehospitalization antiplatelet therapy is associated with a reduced incidence of acute lung injury: a population-based cohort study.","type":"article-journal","volume":"139"},"uris":["http://www.mendeley.com/documents/?uuid=e6090ff5-a2aa-44ce-bddc-47953208c16f","http://www.mendeley.com/documents/?uuid=0039b4bb-c7b3-4611-b0ce-206c9fe58e5d"]}],"mendeley":{"formattedCitation":"&lt;sup&gt;[91,92]&lt;/sup&gt;","plainTextFormattedCitation":"[91,92]","previouslyFormattedCitation":"&lt;sup&gt;[91,92]&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88</w:t>
      </w:r>
      <w:r w:rsidR="00DB420B" w:rsidRPr="00372D52">
        <w:rPr>
          <w:rFonts w:ascii="Book Antiqua" w:hAnsi="Book Antiqua" w:cs="Arial"/>
          <w:noProof/>
          <w:sz w:val="24"/>
          <w:szCs w:val="24"/>
          <w:shd w:val="clear" w:color="auto" w:fill="FFFFFF"/>
          <w:vertAlign w:val="superscript"/>
        </w:rPr>
        <w:t>,</w:t>
      </w:r>
      <w:r w:rsidR="002F20AA" w:rsidRPr="00372D52">
        <w:rPr>
          <w:rFonts w:ascii="Book Antiqua" w:hAnsi="Book Antiqua" w:cs="Arial"/>
          <w:noProof/>
          <w:sz w:val="24"/>
          <w:szCs w:val="24"/>
          <w:shd w:val="clear" w:color="auto" w:fill="FFFFFF"/>
          <w:vertAlign w:val="superscript"/>
        </w:rPr>
        <w:t>89</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In a randomized study, early administration of aspirin to patients at risk of ARDS did not reduce the risk of ARDS</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{"citationItems":[{"id":"ITEM-1","itemData":{"DOI":"10.1001/jama.2016.6330","ISSN":"1538-3598","PMID":"27179988","abstract":"IMPORTANCE Management of acute respiratory distress syndrome (ARDS) remains largely supportive. Whether early intervention can prevent development of ARDS remains unclear. OBJECTIVE To evaluate the efficacy and safety of early aspirin administration for the prevention of ARDS. DESIGN, SETTING, AND PARTICIPANTS A multicenter, double-blind, placebo-controlled, randomized clinical trial conducted at 16 US academic hospitals. Between January 2, 2012, and November 17, 2014, 7673 patients at risk for ARDS (Lung Injury Prediction Score ≥4) in the emergency department were screened and 400 were randomized. Ten patients were excluded, leaving 390 in the final modified intention-to-treat analysis cohort. INTERVENTIONS Administration of aspirin, 325-mg loading dose followed by 81 mg/d (n = 195) or placebo (n = 195) within 24 hours of emergency department presentation and continued to hospital day 7, discharge, or death. MAIN OUTCOMES AND MEASURES The primary outcome was the development of ARDS by study day 7. Secondary measures included ventilator-free days, hospital and intensive care unit length of stay, 28-day and 1-year survival, and change in serum biomarkers associated with ARDS. A final α level of .0737 (α = .10 overall) was required for statistical significance of the primary outcome. RESULTS Among 390 analyzed patients (median age, 57 years; 187 [48%] women), the median (IQR) hospital length of stay was 6 3-10) days. Administration of aspirin, compared with placebo, did not significantly reduce the incidence of ARDS at 7 days (10.3% vs 8.7%, respectively; odds ratio, 1.24 [92.6% CI, 0.67 to 2.31], P = .53). No significant differences were seen in secondary outcomes: ventilator-free to day 28, mean (SD), 24.9 (7.4) days vs 25.2 (7.0) days (mean [90% CI] difference, -0.26 [-1.46 to 0.94] days; P = .72); ICU length of stay, mean (SD), 5.2 (7.0) days vs 5.4 (7.0) days (mean [90% CI] difference, -0.16 [-1.75 to 1.43] days; P = .87); hospital length of stay, mean (SD), 8.8 (10.3) days vs 9.0 (9.9) days (mean [90% CI] difference, -0.27 [-1.96 to 1.42] days; P = .79); or 28-day survival, 90% vs 90% (hazard ratio [90% CI], 1.03 [0.60 to 1.79]; P = .92) or 1-year survival, 73% vs 75% (hazard ratio [90% CI], 1.06 [0.75 to 1.50]; P = .79). Bleeding-related adverse events were infrequent in both groups (aspirin vs placebo, 5.6% vs 2.6%; odds ratio [90% CI], 2.27 [0.92 to 5.61]; P = .13). RESULTS Among 390 analyzed patients (median age, 57 years; 187 [48%] women), medi…","author":[{"dropping-particle":"","family":"Kor","given":"Daryl J","non-dropping-particle":"","parse-names":false,"suffix":""},{"dropping-particle":"","family":"Carter","given":"Rickey E","non-dropping-particle":"","parse-names":false,"suffix":""},{"dropping-particle":"","family":"Park","given":"Pauline K","non-dropping-particle":"","parse-names":false,"suffix":""},{"dropping-particle":"","family":"Festic","given":"Emir","non-dropping-particle":"","parse-names":false,"suffix":""},{"dropping-particle":"","family":"Banner-Goodspeed","given":"Valerie M","non-dropping-particle":"","parse-names":false,"suffix":""},{"dropping-particle":"","family":"Hinds","given":"Richard","non-dropping-particle":"","parse-names":false,"suffix":""},{"dropping-particle":"","family":"Talmor","given":"Daniel","non-dropping-particle":"","parse-names":false,"suffix":""},{"dropping-particle":"","family":"Gajic","given":"Ognjen","non-dropping-particle":"","parse-names":false,"suffix":""},{"dropping-particle":"","family":"Ware","given":"Lorraine B","non-dropping-particle":"","parse-names":false,"suffix":""},{"dropping-particle":"","family":"Gong","given":"Michelle Ng","non-dropping-particle":"","parse-names":false,"suffix":""},{"dropping-particle":"","family":"US Critical Illness and Injury Trials Group: Lung Injury Prevention with Aspirin Study Group (USCIITG: LIPS-A)","given":"","non-dropping-particle":"","parse-names":false,"suffix":""}],"container-title":"JAMA","id":"ITEM-1","issue":"22","issued":{"date-parts":[["2016","6"]]},"page":"2406-14","title":"Effect of Aspirin on Development of ARDS in At-Risk Patients Presenting to the Emergency Department: The LIPS-A Randomized Clinical Trial.","type":"article-journal","volume":"315"},"uris":["http://www.mendeley.com/documents/?uuid=41c47f66-b9f0-4039-8e13-428208b45491"]}],"mendeley":{"formattedCitation":"&lt;sup&gt;[93]&lt;/sup&gt;","plainTextFormattedCitation":"[93]","previouslyFormattedCitation":"&lt;sup&gt;[93]&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[9</w:t>
      </w:r>
      <w:r w:rsidR="002F20AA" w:rsidRPr="00372D52">
        <w:rPr>
          <w:rFonts w:ascii="Book Antiqua" w:hAnsi="Book Antiqua" w:cs="Arial"/>
          <w:noProof/>
          <w:sz w:val="24"/>
          <w:szCs w:val="24"/>
          <w:shd w:val="clear" w:color="auto" w:fill="FFFFFF"/>
          <w:vertAlign w:val="superscript"/>
        </w:rPr>
        <w:t>0</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There have been no investigations of aspirin for the treatment of those who have already developed ARDS.</w:t>
      </w:r>
    </w:p>
    <w:p w14:paraId="1C355D65" w14:textId="5AB3350A" w:rsidR="001E6825" w:rsidRPr="00372D52" w:rsidRDefault="001E6825"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 xml:space="preserve">Macrolide antimicrobials have been shown to suppress proinflammatory actions of nuclear factor-kB and inhibition of the nitric oxide pathway-driven inflammatory </w:t>
      </w:r>
      <w:r w:rsidRPr="00372D52">
        <w:rPr>
          <w:rFonts w:ascii="Book Antiqua" w:hAnsi="Book Antiqua" w:cs="Arial"/>
          <w:sz w:val="24"/>
          <w:szCs w:val="24"/>
          <w:shd w:val="clear" w:color="auto" w:fill="FFFFFF"/>
        </w:rPr>
        <w:lastRenderedPageBreak/>
        <w:t>effects</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{"citationItems":[{"id":"ITEM-1","itemData":{"DOI":"10.1016/j.resinv.2015.05.003","ISSN":"2212-5353","PMID":"26344609","abstract":"Community-acquired pneumonia (CAP) is a leading cause of death from an infectious cause worldwide. Guideline-concordant antibiotic therapy initiated in a timely manner is associated with improved treatment responses and patient outcomes. In the post-antibiotic era, much of the morbidity and mortality of CAP is as a result of the interaction between bacterial virulence factors and host immune responses. In patients with severe CAP, or who are critically ill, there is a lot of emerging observational evidence demonstrating improved survival rates when treatment using combination therapy with a β-lactam and a macrolide is initiated, as compared to other antibiotic regimes without a macrolide. Macrolides in combination with a β-lactam antibiotic provide broader coverage for the atypical organisms implicated in CAP, and may contribute to antibacterial synergism. However, it has been postulated that the documented immunomodulatory effects of macrolides are the primary mechanism for improved patient outcomes through attenuation of bacterial virulence factors and host systemic inflammatory responses. Despite concerns regarding the limitations of observational evidence and the lack of confirmatory randomized controlled trials, the potential magnitude of mortality benefits estimated at 20-50% cannot be overlooked. In light of recent data from a number of trials showing that combination treatment with a macrolide and a suitable second agent is justified in all patients with severe CAP, such treatment should be obligatory for those admitted to an intensive care setting.","author":[{"dropping-particle":"","family":"Emmet O'Brien","given":"M","non-dropping-particle":"","parse-names":false,"suffix":""},{"dropping-particle":"","family":"Restrepo","given":"Marcos I","non-dropping-particle":"","parse-names":false,"suffix":""},{"dropping-particle":"","family":"Martin-Loeches","given":"Ignacio","non-dropping-particle":"","parse-names":false,"suffix":""}],"container-title":"Respiratory Investigation","id":"ITEM-1","issue":"5","issued":{"date-parts":[["2015","9"]]},"page":"201-9","title":"Update on the combination effect of macrolide antibiotics in community-acquired pneumonia.","type":"article-journal","volume":"53"},"uris":["http://www.mendeley.com/documents/?uuid=c067382b-12f9-4dc9-b2ec-54eef9752eed","http://www.mendeley.com/documents/?uuid=639f6849-6d61-4e40-9fc2-9bbfcbdae48e"]}],"mendeley":{"formattedCitation":"&lt;sup&gt;[94]&lt;/sup&gt;","plainTextFormattedCitation":"[94]","previouslyFormattedCitation":"&lt;sup&gt;[94]&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[9</w:t>
      </w:r>
      <w:r w:rsidR="002F20AA" w:rsidRPr="00372D52">
        <w:rPr>
          <w:rFonts w:ascii="Book Antiqua" w:hAnsi="Book Antiqua" w:cs="Arial"/>
          <w:noProof/>
          <w:sz w:val="24"/>
          <w:szCs w:val="24"/>
          <w:shd w:val="clear" w:color="auto" w:fill="FFFFFF"/>
          <w:vertAlign w:val="superscript"/>
        </w:rPr>
        <w:t>1</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In an observational ARDS study, LARMA, a subset of patients who received macrolide antimicrobials as part of their clinical management had a signal towards improved long-term mortality</w:t>
      </w:r>
      <w:r w:rsidR="0083125C" w:rsidRPr="00372D52">
        <w:rPr>
          <w:rFonts w:ascii="Book Antiqua" w:hAnsi="Book Antiqua" w:cs="Arial"/>
          <w:sz w:val="24"/>
          <w:szCs w:val="24"/>
          <w:shd w:val="clear" w:color="auto" w:fill="FFFFFF"/>
        </w:rPr>
        <w:fldChar w:fldCharType="begin" w:fldLock="1"/>
      </w:r>
      <w:r w:rsidR="00DB420B" w:rsidRPr="00372D52">
        <w:rPr>
          <w:rFonts w:ascii="Book Antiqua" w:hAnsi="Book Antiqua" w:cs="Arial"/>
          <w:sz w:val="24"/>
          <w:szCs w:val="24"/>
          <w:shd w:val="clear" w:color="auto" w:fill="FFFFFF"/>
        </w:rPr>
        <w:instrText>ADDIN CSL_CITATION {"citationItems":[{"id":"ITEM-1","itemData":{"DOI":"10.1378/chest.11-1908","ISSN":"1931-3543","PMID":"22116799","abstract":"BACKGROUND Animal models suggest that immunomodulatory properties of macrolide antibiotics have therapeutic value for patients with acute lung injury (ALI). We investigated the association between receipt of macrolide antibiotics and clinical outcomes in patients with ALI. METHODS Secondary analysis of multicenter, randomized controlled trial data from the Acute Respiratory Distress Syndrome Network Lisofylline and Respiratory Management of Acute Lung Injury Trial, which collected detailed data regarding antibiotic use among participants with ALI. RESULTS Forty-seven of 235 participants (20%) received a macrolide antibiotic within 24 h of trial enrollment. Among patients who received a macrolide, erythromycin was the most common (57%), followed by azithromycin (40%). The median duration of macrolide use after study enrollment was 4 days (interquartile range, 2-8 days). Eleven of the 47 (23%) patients who received macrolides died, compared with 67 of the 188 (36%) who did not receive a macrolide (P = .11). Participants administered macrolides were more likely to have pneumonia as an ALI risk factor, were less likely to have nonpulmonary sepsis or to be randomized to low tidal volume ventilation, and had a shorter length of stay prior to trial enrollment. After adjusting for potentially confounding covariates, use of macrolide was associated with lower 180-day mortality (hazard ratio [HR], 0.46; 95% CI, 0.23-0.92; P = .028) and shorter time to successful discontinuation of mechanical ventilation (HR, 1.93; 95% CI, 1.18-3.17; P = .009). In contrast, fluoroquinolone (n = 90) and cephalosporin antibiotics (n = 93) were not associated with improved outcomes. CONCLUSIONS Receipt of macrolide antibiotics was associated with improved outcomes in patients with ALI.","author":[{"dropping-particle":"","family":"Walkey","given":"Allan J","non-dropping-particle":"","parse-names":false,"suffix":""},{"dropping-particle":"","family":"Wiener","given":"Renda S","non-dropping-particle":"","parse-names":false,"suffix":""}],"container-title":"Chest","id":"ITEM-1","issue":"5","issued":{"date-parts":[["2012","5"]]},"page":"1153-1159","title":"Macrolide antibiotics and survival in patients with acute lung injury.","type":"article-journal","volume":"141"},"uris":["http://www.mendeley.com/documents/?uuid=f546a239-1780-44ee-8b56-c0c79b35bf3f","http://www.mendeley.com/documents/?uuid=a03398ae-5ac9-4b53-91a0-bd2ff97e6e20"]}],"mendeley":{"formattedCitation":"&lt;sup&gt;[95]&lt;/sup&gt;","plainTextFormattedCitation":"[95]","previouslyFormattedCitation":"&lt;sup&gt;[95]&lt;/sup&gt;"},"properties":{"noteIndex":0},"schema":"https://github.com/citation-style-language/schema/raw/master/csl-citation.json"}</w:instrText>
      </w:r>
      <w:r w:rsidR="0083125C" w:rsidRPr="00372D52">
        <w:rPr>
          <w:rFonts w:ascii="Book Antiqua" w:hAnsi="Book Antiqua" w:cs="Arial"/>
          <w:sz w:val="24"/>
          <w:szCs w:val="24"/>
          <w:shd w:val="clear" w:color="auto" w:fill="FFFFFF"/>
        </w:rPr>
        <w:fldChar w:fldCharType="separate"/>
      </w:r>
      <w:r w:rsidR="00DB420B" w:rsidRPr="00372D52">
        <w:rPr>
          <w:rFonts w:ascii="Book Antiqua" w:hAnsi="Book Antiqua" w:cs="Arial"/>
          <w:noProof/>
          <w:sz w:val="24"/>
          <w:szCs w:val="24"/>
          <w:shd w:val="clear" w:color="auto" w:fill="FFFFFF"/>
          <w:vertAlign w:val="superscript"/>
        </w:rPr>
        <w:t>[9</w:t>
      </w:r>
      <w:r w:rsidR="002F20AA" w:rsidRPr="00372D52">
        <w:rPr>
          <w:rFonts w:ascii="Book Antiqua" w:hAnsi="Book Antiqua" w:cs="Arial"/>
          <w:noProof/>
          <w:sz w:val="24"/>
          <w:szCs w:val="24"/>
          <w:shd w:val="clear" w:color="auto" w:fill="FFFFFF"/>
          <w:vertAlign w:val="superscript"/>
        </w:rPr>
        <w:t>2</w:t>
      </w:r>
      <w:r w:rsidR="00DB420B" w:rsidRPr="00372D52">
        <w:rPr>
          <w:rFonts w:ascii="Book Antiqua" w:hAnsi="Book Antiqua" w:cs="Arial"/>
          <w:noProof/>
          <w:sz w:val="24"/>
          <w:szCs w:val="24"/>
          <w:shd w:val="clear" w:color="auto" w:fill="FFFFFF"/>
          <w:vertAlign w:val="superscript"/>
        </w:rPr>
        <w:t>]</w:t>
      </w:r>
      <w:r w:rsidR="0083125C" w:rsidRPr="00372D52">
        <w:rPr>
          <w:rFonts w:ascii="Book Antiqua" w:hAnsi="Book Antiqua" w:cs="Arial"/>
          <w:sz w:val="24"/>
          <w:szCs w:val="24"/>
          <w:shd w:val="clear" w:color="auto" w:fill="FFFFFF"/>
        </w:rPr>
        <w:fldChar w:fldCharType="end"/>
      </w:r>
      <w:r w:rsidRPr="00372D52">
        <w:rPr>
          <w:rFonts w:ascii="Book Antiqua" w:hAnsi="Book Antiqua" w:cs="Arial"/>
          <w:sz w:val="24"/>
          <w:szCs w:val="24"/>
          <w:shd w:val="clear" w:color="auto" w:fill="FFFFFF"/>
        </w:rPr>
        <w:t>, though these benefits have not been substantiated in larger, controlled studies.</w:t>
      </w:r>
    </w:p>
    <w:p w14:paraId="464CA922" w14:textId="77777777" w:rsidR="00B65F88" w:rsidRPr="00372D52" w:rsidRDefault="001E6825" w:rsidP="00372D52">
      <w:pPr>
        <w:spacing w:after="0" w:line="360" w:lineRule="auto"/>
        <w:ind w:firstLineChars="100" w:firstLine="240"/>
        <w:jc w:val="both"/>
        <w:rPr>
          <w:rFonts w:ascii="Book Antiqua" w:hAnsi="Book Antiqua" w:cs="Arial"/>
          <w:sz w:val="24"/>
          <w:szCs w:val="24"/>
          <w:shd w:val="clear" w:color="auto" w:fill="FFFFFF"/>
        </w:rPr>
      </w:pPr>
      <w:r w:rsidRPr="00372D52">
        <w:rPr>
          <w:rFonts w:ascii="Book Antiqua" w:hAnsi="Book Antiqua" w:cs="Arial"/>
          <w:sz w:val="24"/>
          <w:szCs w:val="24"/>
          <w:shd w:val="clear" w:color="auto" w:fill="FFFFFF"/>
        </w:rPr>
        <w:t>The PETAL network recently completed a study evaluating the effect of early vitamin D3 administration in patients at high risk of ARDS and is awaiting release of results (NCT03096314). A study evaluating the efficacy, safety, and effects on inflammatory biomarkers of inhaled carbon monoxide in ARDS will be recruiting soon (NCT03799874).</w:t>
      </w:r>
    </w:p>
    <w:p w14:paraId="06F76BCC" w14:textId="77777777" w:rsidR="002A7F54" w:rsidRPr="00372D52" w:rsidRDefault="002A7F54" w:rsidP="00372D52">
      <w:pPr>
        <w:spacing w:after="0" w:line="360" w:lineRule="auto"/>
        <w:jc w:val="both"/>
        <w:rPr>
          <w:rFonts w:ascii="Book Antiqua" w:hAnsi="Book Antiqua"/>
          <w:b/>
          <w:sz w:val="24"/>
          <w:szCs w:val="24"/>
        </w:rPr>
      </w:pPr>
    </w:p>
    <w:p w14:paraId="7D1C9A68" w14:textId="2637F46C" w:rsidR="008D0685" w:rsidRPr="00372D52" w:rsidRDefault="002A7F54" w:rsidP="00372D52">
      <w:pPr>
        <w:spacing w:after="0" w:line="360" w:lineRule="auto"/>
        <w:jc w:val="both"/>
        <w:rPr>
          <w:rFonts w:ascii="Book Antiqua" w:hAnsi="Book Antiqua"/>
          <w:b/>
          <w:sz w:val="24"/>
          <w:szCs w:val="24"/>
        </w:rPr>
      </w:pPr>
      <w:r w:rsidRPr="00372D52">
        <w:rPr>
          <w:rFonts w:ascii="Book Antiqua" w:hAnsi="Book Antiqua"/>
          <w:b/>
          <w:sz w:val="24"/>
          <w:szCs w:val="24"/>
        </w:rPr>
        <w:t>FUTURE DIRECTIONS</w:t>
      </w:r>
    </w:p>
    <w:p w14:paraId="4D5C71F4" w14:textId="24E92AEF" w:rsidR="00D72AE5" w:rsidRPr="00372D52" w:rsidRDefault="007B4A34" w:rsidP="00372D52">
      <w:pPr>
        <w:autoSpaceDE w:val="0"/>
        <w:autoSpaceDN w:val="0"/>
        <w:adjustRightInd w:val="0"/>
        <w:spacing w:after="0" w:line="360" w:lineRule="auto"/>
        <w:jc w:val="both"/>
        <w:rPr>
          <w:rFonts w:ascii="Book Antiqua" w:hAnsi="Book Antiqua"/>
          <w:sz w:val="24"/>
          <w:szCs w:val="24"/>
        </w:rPr>
      </w:pPr>
      <w:r w:rsidRPr="00372D52">
        <w:rPr>
          <w:rFonts w:ascii="Book Antiqua" w:hAnsi="Book Antiqua"/>
          <w:sz w:val="24"/>
          <w:szCs w:val="24"/>
        </w:rPr>
        <w:t>In</w:t>
      </w:r>
      <w:r w:rsidR="00585DF5" w:rsidRPr="00372D52">
        <w:rPr>
          <w:rFonts w:ascii="Book Antiqua" w:hAnsi="Book Antiqua"/>
          <w:sz w:val="24"/>
          <w:szCs w:val="24"/>
        </w:rPr>
        <w:t xml:space="preserve"> th</w:t>
      </w:r>
      <w:r w:rsidR="008F4C61" w:rsidRPr="00372D52">
        <w:rPr>
          <w:rFonts w:ascii="Book Antiqua" w:hAnsi="Book Antiqua"/>
          <w:sz w:val="24"/>
          <w:szCs w:val="24"/>
        </w:rPr>
        <w:t>e</w:t>
      </w:r>
      <w:r w:rsidR="00585DF5" w:rsidRPr="00372D52">
        <w:rPr>
          <w:rFonts w:ascii="Book Antiqua" w:hAnsi="Book Antiqua"/>
          <w:sz w:val="24"/>
          <w:szCs w:val="24"/>
        </w:rPr>
        <w:t xml:space="preserve"> era of precision medicine</w:t>
      </w:r>
      <w:r w:rsidRPr="00372D52">
        <w:rPr>
          <w:rFonts w:ascii="Book Antiqua" w:hAnsi="Book Antiqua"/>
          <w:sz w:val="24"/>
          <w:szCs w:val="24"/>
        </w:rPr>
        <w:t>, biomarkers</w:t>
      </w:r>
      <w:r w:rsidR="00585DF5" w:rsidRPr="00372D52">
        <w:rPr>
          <w:rFonts w:ascii="Book Antiqua" w:hAnsi="Book Antiqua"/>
          <w:sz w:val="24"/>
          <w:szCs w:val="24"/>
        </w:rPr>
        <w:t xml:space="preserve"> </w:t>
      </w:r>
      <w:r w:rsidRPr="00372D52">
        <w:rPr>
          <w:rFonts w:ascii="Book Antiqua" w:hAnsi="Book Antiqua"/>
          <w:sz w:val="24"/>
          <w:szCs w:val="24"/>
        </w:rPr>
        <w:t xml:space="preserve">have the potential to </w:t>
      </w:r>
      <w:r w:rsidR="00585DF5" w:rsidRPr="00372D52">
        <w:rPr>
          <w:rFonts w:ascii="Book Antiqua" w:hAnsi="Book Antiqua"/>
          <w:sz w:val="24"/>
          <w:szCs w:val="24"/>
        </w:rPr>
        <w:t>guide disease specific evaluation and management strategies</w:t>
      </w:r>
      <w:r w:rsidR="0091139A" w:rsidRPr="00372D52">
        <w:rPr>
          <w:rFonts w:ascii="Book Antiqua" w:hAnsi="Book Antiqua"/>
          <w:sz w:val="24"/>
          <w:szCs w:val="24"/>
        </w:rPr>
        <w:t xml:space="preserve"> in </w:t>
      </w:r>
      <w:r w:rsidR="000F24C0" w:rsidRPr="00372D52">
        <w:rPr>
          <w:rFonts w:ascii="Book Antiqua" w:hAnsi="Book Antiqua"/>
          <w:sz w:val="24"/>
          <w:szCs w:val="24"/>
        </w:rPr>
        <w:t xml:space="preserve">critically </w:t>
      </w:r>
      <w:r w:rsidR="000F25EF" w:rsidRPr="00372D52">
        <w:rPr>
          <w:rFonts w:ascii="Book Antiqua" w:hAnsi="Book Antiqua"/>
          <w:sz w:val="24"/>
          <w:szCs w:val="24"/>
        </w:rPr>
        <w:t>ill patients with CAP</w:t>
      </w:r>
      <w:r w:rsidR="000F24C0" w:rsidRPr="00372D52">
        <w:rPr>
          <w:rFonts w:ascii="Book Antiqua" w:hAnsi="Book Antiqua"/>
          <w:sz w:val="24"/>
          <w:szCs w:val="24"/>
        </w:rPr>
        <w:t xml:space="preserve"> and ARDS</w:t>
      </w:r>
      <w:r w:rsidR="000E7FF1" w:rsidRPr="00372D52">
        <w:rPr>
          <w:rFonts w:ascii="Book Antiqua" w:hAnsi="Book Antiqua"/>
          <w:sz w:val="24"/>
          <w:szCs w:val="24"/>
        </w:rPr>
        <w:t xml:space="preserve"> with the goal of improvement in outcomes of both conditions and early ARDS prevention</w:t>
      </w:r>
      <w:r w:rsidR="000F24C0" w:rsidRPr="00372D52">
        <w:rPr>
          <w:rFonts w:ascii="Book Antiqua" w:hAnsi="Book Antiqua"/>
          <w:sz w:val="24"/>
          <w:szCs w:val="24"/>
        </w:rPr>
        <w:t xml:space="preserve">. </w:t>
      </w:r>
      <w:r w:rsidR="00D72AE5" w:rsidRPr="00372D52">
        <w:rPr>
          <w:rFonts w:ascii="Book Antiqua" w:hAnsi="Book Antiqua"/>
          <w:sz w:val="24"/>
          <w:szCs w:val="24"/>
        </w:rPr>
        <w:t>The id</w:t>
      </w:r>
      <w:r w:rsidR="000F24C0" w:rsidRPr="00372D52">
        <w:rPr>
          <w:rFonts w:ascii="Book Antiqua" w:hAnsi="Book Antiqua"/>
          <w:sz w:val="24"/>
          <w:szCs w:val="24"/>
        </w:rPr>
        <w:t>eal biomarker should be accurate,</w:t>
      </w:r>
      <w:r w:rsidR="00D72AE5" w:rsidRPr="00372D52">
        <w:rPr>
          <w:rFonts w:ascii="Book Antiqua" w:hAnsi="Book Antiqua"/>
          <w:sz w:val="24"/>
          <w:szCs w:val="24"/>
        </w:rPr>
        <w:t xml:space="preserve"> reproducible</w:t>
      </w:r>
      <w:r w:rsidR="007467BF"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10.1183/13993003.02469-2018","ISSN":"1399-3003","PMID":"30819808","author":[{"dropping-particle":"","family":"Sibila","given":"Oriol","non-dropping-particle":"","parse-names":false,"suffix":""},{"dropping-particle":"","family":"Restrepo","given":"Marcos I","non-dropping-particle":"","parse-names":false,"suffix":""}],"container-title":"The European Respiratory Journal","id":"ITEM-1","issue":"2","issued":{"date-parts":[["2019","2"]]},"title":"Biomarkers in community-acquired pneumonia: still searching for the one.","type":"article-journal","volume":"53"},"uris":["http://www.mendeley.com/documents/?uuid=e26d18e6-cb2b-4c5a-b7d2-16bf200b0ee7"]}],"mendeley":{"formattedCitation":"&lt;sup&gt;[22]&lt;/sup&gt;","plainTextFormattedCitation":"[22]","previouslyFormattedCitation":"&lt;sup&gt;[22]&lt;/sup&gt;"},"properties":{"noteIndex":0},"schema":"https://github.com/citation-style-language/schema/raw/master/csl-citation.json"}</w:instrText>
      </w:r>
      <w:r w:rsidR="007467BF"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[22]</w:t>
      </w:r>
      <w:r w:rsidR="007467BF" w:rsidRPr="00372D52">
        <w:rPr>
          <w:rFonts w:ascii="Book Antiqua" w:hAnsi="Book Antiqua"/>
          <w:sz w:val="24"/>
          <w:szCs w:val="24"/>
        </w:rPr>
        <w:fldChar w:fldCharType="end"/>
      </w:r>
      <w:r w:rsidR="00D72AE5" w:rsidRPr="00372D52">
        <w:rPr>
          <w:rFonts w:ascii="Book Antiqua" w:hAnsi="Book Antiqua"/>
          <w:sz w:val="24"/>
          <w:szCs w:val="24"/>
        </w:rPr>
        <w:t>, detected early</w:t>
      </w:r>
      <w:r w:rsidR="0083125C" w:rsidRPr="00372D52">
        <w:rPr>
          <w:rFonts w:ascii="Book Antiqua" w:hAnsi="Book Antiqua"/>
          <w:sz w:val="24"/>
          <w:szCs w:val="24"/>
        </w:rPr>
        <w:fldChar w:fldCharType="begin" w:fldLock="1"/>
      </w:r>
      <w:r w:rsidR="00B53EF6" w:rsidRPr="00372D52">
        <w:rPr>
          <w:rFonts w:ascii="Book Antiqua" w:hAnsi="Book Antiqua"/>
          <w:sz w:val="24"/>
          <w:szCs w:val="24"/>
        </w:rPr>
        <w:instrText>ADDIN CSL_CITATION {"citationItems":[{"id":"ITEM-1","itemData":{"DOI":"10.1186/s12950-018-0202-y","ISSN":"1476-9255","PMID":"30675131","abstract":"Acute lung injury (ALI) affects over 10% of patients hospitalised in critical care, with acute respiratory distress syndrome (ARDS) being the most severe form of ALI and having a mortality rate in the region of 40%. There has been slow but incremental progress in identification of biomarkers that contribute to the pathophysiology of ARDS, have utility in diagnosis and monitoring, and that are potential therapeutic targets (Calfee CS, Delucchi K, Parsons PE, Thompson BT, Ware LB, Matthay MA, Thompson T, Ware LB, Matthay MA, Lancet Respir Med 2014, 2:611--620). However, a major issue is that ARDS is such a heterogeneous, multi-factorial, end-stage condition that the strategies for \"lumping and splitting\" are critical (Prescott HC, Calfee CS, Thompson BT, Angus DC, Liu VX, Am J Respir Crit Care Med 2016, 194:147--155). Nevertheless, sequencing of the human genome, the availability of improved methods for analysis of transcription to mRNA (gene expression), and development of sensitive immunoassays has allowed the application of network biology to ARDS, with these biomarkers offering potential for personalised or precision medicine (Sweeney TE, Khatri P, Toward precision medicine Crit Care Med; 2017 45:934-939). Biomarker panels have potential applications in molecular phenotyping for identifying patients at risk of developing ARDS, diagnosis of ARDS, risk stratification and monitoring. Two subphenotypes of ARDS have been identified on the basis of blood biomarkers: hypo-inflammatory and hyper-inflammatory. The hyper-inflammatory subphenotype is associated with shock, metabolic acidosis and worst clinical outcomes. Biomarkers of particular interest have included interleukins (IL-6 and IL-8), interferon gamma (IFN-γ), surfactant proteins (SPD and SPB), von Willebrand factor antigen, angiopoietin 1/2 and plasminogen activator inhibitor-1 (PAI-1). In terms of gene expression (mRNA) in blood there have been found to be increases in neutrophil-related genes in sepsis-induced and influenza-induced ARDS, but whole blood expression does not give a robust diagnostic test for ARDS. Despite improvements in management of ARDS on the critical care unit, this complex disease continues to be a major life-threatening event. Clinical trials of β2-agonists, statins, surfactants and keratinocyte growth factor (KGF) have been disappointing. In addition, monoclonal antibodies (anti-TNF) and TNFR fusion protein have also been unconvincing. However, there have been major advances…","author":[{"dropping-particle":"","family":"Spadaro","given":"Savino","non-dropping-particle":"","parse-names":false,"suffix":""},{"dropping-particle":"","family":"Park","given":"Mirae","non-dropping-particle":"","parse-names":false,"suffix":""},{"dropping-particle":"","family":"Turrini","given":"Cecilia","non-dropping-particle":"","parse-names":false,"suffix":""},{"dropping-particle":"","family":"Tunstall","given":"Tanushree","non-dropping-particle":"","parse-names":false,"suffix":""},{"dropping-particle":"","family":"Thwaites","given":"Ryan","non-dropping-particle":"","parse-names":false,"suffix":""},{"dropping-particle":"","family":"Mauri","given":"Tommaso","non-dropping-particle":"","parse-names":false,"suffix":""},{"dropping-particle":"","family":"Ragazzi","given":"Riccardo","non-dropping-particle":"","parse-names":false,"suffix":""},{"dropping-particle":"","family":"Ruggeri","given":"Paolo","non-dropping-particle":"","parse-names":false,"suffix":""},{"dropping-particle":"","family":"Hansel","given":"Trevor T","non-dropping-particle":"","parse-names":false,"suffix":""},{"dropping-particle":"","family":"Caramori","given":"Gaetano","non-dropping-particle":"","parse-names":false,"suffix":""},{"dropping-particle":"","family":"Volta","given":"Carlo Alberto","non-dropping-particle":"","parse-names":false,"suffix":""}],"container-title":"Journal of Inflammation","id":"ITEM-1","issued":{"date-parts":[["2019"]]},"page":"1","title":"Biomarkers for Acute Respiratory Distress syndrome and prospects for personalised medicine.","type":"article-journal","volume":"16"},"uris":["http://www.mendeley.com/documents/?uuid=15ff35df-0e4d-4f1b-b97e-6a9965e9c037","http://www.mendeley.com/documents/?uuid=5a70684e-3738-4917-bb14-06ab731858d3"]}],"mendeley":{"formattedCitation":"&lt;sup&gt;[46]&lt;/sup&gt;","plainTextFormattedCitation":"[46]","previouslyFormattedCitation":"&lt;sup&gt;[46]&lt;/sup&gt;"},"properties":{"noteIndex":0},"schema":"https://github.com/citation-style-language/schema/raw/master/csl-citation.json"}</w:instrText>
      </w:r>
      <w:r w:rsidR="008312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w:t>
      </w:r>
      <w:r w:rsidR="002F20AA" w:rsidRPr="00372D52">
        <w:rPr>
          <w:rFonts w:ascii="Book Antiqua" w:hAnsi="Book Antiqua"/>
          <w:noProof/>
          <w:sz w:val="24"/>
          <w:szCs w:val="24"/>
          <w:vertAlign w:val="superscript"/>
        </w:rPr>
        <w:t>44</w:t>
      </w:r>
      <w:r w:rsidR="00DB420B" w:rsidRPr="00372D52">
        <w:rPr>
          <w:rFonts w:ascii="Book Antiqua" w:hAnsi="Book Antiqua"/>
          <w:noProof/>
          <w:sz w:val="24"/>
          <w:szCs w:val="24"/>
          <w:vertAlign w:val="superscript"/>
        </w:rPr>
        <w:t>]</w:t>
      </w:r>
      <w:r w:rsidR="0083125C" w:rsidRPr="00372D52">
        <w:rPr>
          <w:rFonts w:ascii="Book Antiqua" w:hAnsi="Book Antiqua"/>
          <w:sz w:val="24"/>
          <w:szCs w:val="24"/>
        </w:rPr>
        <w:fldChar w:fldCharType="end"/>
      </w:r>
      <w:r w:rsidR="00D72AE5" w:rsidRPr="00372D52">
        <w:rPr>
          <w:rFonts w:ascii="Book Antiqua" w:hAnsi="Book Antiqua"/>
          <w:sz w:val="24"/>
          <w:szCs w:val="24"/>
        </w:rPr>
        <w:t>, clearly reflect the degree of inflammation</w:t>
      </w:r>
      <w:r w:rsidR="000F24C0" w:rsidRPr="00372D52">
        <w:rPr>
          <w:rFonts w:ascii="Book Antiqua" w:hAnsi="Book Antiqua"/>
          <w:sz w:val="24"/>
          <w:szCs w:val="24"/>
        </w:rPr>
        <w:t>,</w:t>
      </w:r>
      <w:r w:rsidR="00D72AE5" w:rsidRPr="00372D52">
        <w:rPr>
          <w:rFonts w:ascii="Book Antiqua" w:hAnsi="Book Antiqua"/>
          <w:sz w:val="24"/>
          <w:szCs w:val="24"/>
        </w:rPr>
        <w:t xml:space="preserve"> response to treatment</w:t>
      </w:r>
      <w:r w:rsidR="008312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{"citationItems":[{"id":"ITEM-1","itemData":{"DOI":"10.1186/s41479-016-0017-7","ISSN":"2200-6133","PMID":"28702296","abstract":"Community-acquired pneumonia (CAP) is a leading cause of death in both the developed and developing world. The very young and elderly are especially vulnerable. Even with appropriate early antibiotics we still have not improved the outcomes in these patients since the 1950s, with 30-day case fatality rates of between 10-12%. Interventions to improve outcomes include immunomodulatory agents such as macrolides and corticosteroids. Treating doctors identify CAP patients who are likely to have poor outcomes by using severity scores such as the pneumonia severity index and CURB-65, which allows these patients to be placed in ICU settings from the start of the admission. Another novel way to identify these patients is with the use of biomarkers. This review illustrates how various biomarkers have been shown to predict mortality, complications and response to treatment in CAP patients. The evidence using either procalcitonin or C-reactive protein to demonstrate response to treatment and hence that the antibiotics chosen are appropriate can play an important role in antibiotic stewardship.","author":[{"dropping-particle":"","family":"Shaddock","given":"Erica J","non-dropping-particle":"","parse-names":false,"suffix":""}],"container-title":"Pneumonia","id":"ITEM-1","issued":{"date-parts":[["2016"]]},"page":"17","title":"How and when to use common biomarkers in community-acquired pneumonia.","type":"article-journal","volume":"8"},"uris":["http://www.mendeley.com/documents/?uuid=1f441842-3e9b-4a73-be0e-d4f8948bfc15","http://www.mendeley.com/documents/?uuid=48750d43-b10f-4462-bc36-908564c4ab18"]}],"mendeley":{"formattedCitation":"&lt;sup&gt;[25]&lt;/sup&gt;","plainTextFormattedCitation":"[25]","previouslyFormattedCitation":"&lt;sup&gt;[25]&lt;/sup&gt;"},"properties":{"noteIndex":0},"schema":"https://github.com/citation-style-language/schema/raw/master/csl-citation.json"}</w:instrText>
      </w:r>
      <w:r w:rsidR="008312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[25]</w:t>
      </w:r>
      <w:r w:rsidR="0083125C" w:rsidRPr="00372D52">
        <w:rPr>
          <w:rFonts w:ascii="Book Antiqua" w:hAnsi="Book Antiqua"/>
          <w:sz w:val="24"/>
          <w:szCs w:val="24"/>
        </w:rPr>
        <w:fldChar w:fldCharType="end"/>
      </w:r>
      <w:r w:rsidR="00D72AE5" w:rsidRPr="00372D52">
        <w:rPr>
          <w:rFonts w:ascii="Book Antiqua" w:hAnsi="Book Antiqua"/>
          <w:sz w:val="24"/>
          <w:szCs w:val="24"/>
        </w:rPr>
        <w:t xml:space="preserve"> and trajectory of illness, and identify patients at risk of worse outcomes</w:t>
      </w:r>
      <w:r w:rsidR="0083125C" w:rsidRPr="00372D52">
        <w:rPr>
          <w:rFonts w:ascii="Book Antiqua" w:hAnsi="Book Antiqua"/>
          <w:sz w:val="24"/>
          <w:szCs w:val="24"/>
        </w:rPr>
        <w:fldChar w:fldCharType="begin" w:fldLock="1"/>
      </w:r>
      <w:r w:rsidR="00DB420B" w:rsidRPr="00372D52">
        <w:rPr>
          <w:rFonts w:ascii="Book Antiqua" w:hAnsi="Book Antiqua"/>
          <w:sz w:val="24"/>
          <w:szCs w:val="24"/>
        </w:rPr>
        <w:instrText>ADDIN CSL_CITATION {"citationItems":[{"id":"ITEM-1","itemData":{"DOI":"10.1586/ers.12.6","ISSN":"1747-6356","PMID":"22455492","abstract":"A relevant problem in the management of pulmonary infections is the low specificity of clinical symptoms for the exact diagnosis and the need of antibiotic therapy. An ideal biomarker for bacterial pulmonary infections should allow a rapid diagnosis, have a prognostic value and facilitate therapeutic decision making. The two biomarkers currently needed in clinical use are C-reactive protein and procalcitonin. C-reactive protein is very unspecific and elevated in bacterial as well as viral infections. Today, procalcitonin is the best validated biomarker for pulmonary infections. In several interventional studies procalcitonin-guided therapy has proven to allow a significant reduction of duration and frequency of antibiotic therapy. However, for the evaluation of prognosis in community-acquired pneumonia, new cardiovascular biomarkers are superior compared with inflammatory markers, especially for the determination of long-term mortality. The combination of several biomarkers reflecting different pathophysiological pathways has the potential to improve the management of community-acquired pneumonia in the future.","author":[{"dropping-particle":"","family":"Krüger","given":"Stefan","non-dropping-particle":"","parse-names":false,"suffix":""},{"dropping-particle":"","family":"Welte","given":"Tobias","non-dropping-particle":"","parse-names":false,"suffix":""}],"container-title":"Expert Review of Respiratory Medicine","id":"ITEM-1","issue":"2","issued":{"date-parts":[["2012","4"]]},"page":"203-14","title":"Biomarkers in community-acquired pneumonia.","type":"article-journal","volume":"6"},"uris":["http://www.mendeley.com/documents/?uuid=426d1d72-7e96-488d-a816-abc89db353c7","http://www.mendeley.com/documents/?uuid=b8ea0c04-8106-411b-98e3-3d672e122b8a"]}],"mendeley":{"formattedCitation":"&lt;sup&gt;[96]&lt;/sup&gt;","plainTextFormattedCitation":"[96]","previouslyFormattedCitation":"&lt;sup&gt;[96]&lt;/sup&gt;"},"properties":{"noteIndex":0},"schema":"https://github.com/citation-style-language/schema/raw/master/csl-citation.json"}</w:instrText>
      </w:r>
      <w:r w:rsidR="0083125C" w:rsidRPr="00372D52">
        <w:rPr>
          <w:rFonts w:ascii="Book Antiqua" w:hAnsi="Book Antiqua"/>
          <w:sz w:val="24"/>
          <w:szCs w:val="24"/>
        </w:rPr>
        <w:fldChar w:fldCharType="separate"/>
      </w:r>
      <w:r w:rsidR="00DB420B" w:rsidRPr="00372D52">
        <w:rPr>
          <w:rFonts w:ascii="Book Antiqua" w:hAnsi="Book Antiqua"/>
          <w:noProof/>
          <w:sz w:val="24"/>
          <w:szCs w:val="24"/>
          <w:vertAlign w:val="superscript"/>
        </w:rPr>
        <w:t>[9</w:t>
      </w:r>
      <w:r w:rsidR="002F20AA" w:rsidRPr="00372D52">
        <w:rPr>
          <w:rFonts w:ascii="Book Antiqua" w:hAnsi="Book Antiqua"/>
          <w:noProof/>
          <w:sz w:val="24"/>
          <w:szCs w:val="24"/>
          <w:vertAlign w:val="superscript"/>
        </w:rPr>
        <w:t>3</w:t>
      </w:r>
      <w:r w:rsidR="00DB420B" w:rsidRPr="00372D52">
        <w:rPr>
          <w:rFonts w:ascii="Book Antiqua" w:hAnsi="Book Antiqua"/>
          <w:noProof/>
          <w:sz w:val="24"/>
          <w:szCs w:val="24"/>
          <w:vertAlign w:val="superscript"/>
        </w:rPr>
        <w:t>]</w:t>
      </w:r>
      <w:r w:rsidR="0083125C" w:rsidRPr="00372D52">
        <w:rPr>
          <w:rFonts w:ascii="Book Antiqua" w:hAnsi="Book Antiqua"/>
          <w:sz w:val="24"/>
          <w:szCs w:val="24"/>
        </w:rPr>
        <w:fldChar w:fldCharType="end"/>
      </w:r>
      <w:r w:rsidR="0083125C" w:rsidRPr="00372D52">
        <w:rPr>
          <w:rFonts w:ascii="Book Antiqua" w:hAnsi="Book Antiqua"/>
          <w:sz w:val="24"/>
          <w:szCs w:val="24"/>
        </w:rPr>
        <w:t>.</w:t>
      </w:r>
      <w:r w:rsidR="00D72AE5" w:rsidRPr="00372D52">
        <w:rPr>
          <w:rFonts w:ascii="Book Antiqua" w:hAnsi="Book Antiqua"/>
          <w:sz w:val="24"/>
          <w:szCs w:val="24"/>
        </w:rPr>
        <w:t xml:space="preserve"> Furthermore, an ideal biomarker in pneumonia and ARDS should be </w:t>
      </w:r>
      <w:r w:rsidR="004A14A8" w:rsidRPr="00372D52">
        <w:rPr>
          <w:rFonts w:ascii="Book Antiqua" w:hAnsi="Book Antiqua"/>
          <w:sz w:val="24"/>
          <w:szCs w:val="24"/>
        </w:rPr>
        <w:t>inexpensive</w:t>
      </w:r>
      <w:r w:rsidR="00D72AE5" w:rsidRPr="00372D52">
        <w:rPr>
          <w:rFonts w:ascii="Book Antiqua" w:hAnsi="Book Antiqua"/>
          <w:sz w:val="24"/>
          <w:szCs w:val="24"/>
        </w:rPr>
        <w:t>, easily available, rapidly analyzable and consistent across all groups of patients for generalizability to be useful in clinical practice.</w:t>
      </w:r>
    </w:p>
    <w:p w14:paraId="6E8C8650" w14:textId="46953123" w:rsidR="007D3D73" w:rsidRPr="00372D52" w:rsidRDefault="007D3D73" w:rsidP="00372D52">
      <w:pPr>
        <w:spacing w:after="0" w:line="360" w:lineRule="auto"/>
        <w:ind w:firstLineChars="100" w:firstLine="240"/>
        <w:jc w:val="both"/>
        <w:rPr>
          <w:rFonts w:ascii="Book Antiqua" w:hAnsi="Book Antiqua"/>
          <w:b/>
          <w:sz w:val="24"/>
          <w:szCs w:val="24"/>
        </w:rPr>
      </w:pPr>
      <w:r w:rsidRPr="00372D52">
        <w:rPr>
          <w:rFonts w:ascii="Book Antiqua" w:hAnsi="Book Antiqua"/>
          <w:sz w:val="24"/>
          <w:szCs w:val="24"/>
        </w:rPr>
        <w:t>Pragmatic clinical trials</w:t>
      </w:r>
      <w:r w:rsidR="00BC599D" w:rsidRPr="00372D52">
        <w:rPr>
          <w:rFonts w:ascii="Book Antiqua" w:hAnsi="Book Antiqua"/>
          <w:sz w:val="24"/>
          <w:szCs w:val="24"/>
        </w:rPr>
        <w:t xml:space="preserve"> with </w:t>
      </w:r>
      <w:r w:rsidR="000F24C0" w:rsidRPr="00372D52">
        <w:rPr>
          <w:rFonts w:ascii="Book Antiqua" w:hAnsi="Book Antiqua"/>
          <w:sz w:val="24"/>
          <w:szCs w:val="24"/>
        </w:rPr>
        <w:t xml:space="preserve">an adaptive design </w:t>
      </w:r>
      <w:r w:rsidRPr="00372D52">
        <w:rPr>
          <w:rFonts w:ascii="Book Antiqua" w:hAnsi="Book Antiqua"/>
          <w:sz w:val="24"/>
          <w:szCs w:val="24"/>
        </w:rPr>
        <w:t xml:space="preserve">are needed to further define the roles of </w:t>
      </w:r>
      <w:r w:rsidR="00324CCC" w:rsidRPr="00372D52">
        <w:rPr>
          <w:rFonts w:ascii="Book Antiqua" w:hAnsi="Book Antiqua"/>
          <w:sz w:val="24"/>
          <w:szCs w:val="24"/>
        </w:rPr>
        <w:t xml:space="preserve">inflammatory </w:t>
      </w:r>
      <w:r w:rsidRPr="00372D52">
        <w:rPr>
          <w:rFonts w:ascii="Book Antiqua" w:hAnsi="Book Antiqua"/>
          <w:sz w:val="24"/>
          <w:szCs w:val="24"/>
        </w:rPr>
        <w:t xml:space="preserve">biomarkers </w:t>
      </w:r>
      <w:r w:rsidR="00C064AB" w:rsidRPr="00372D52">
        <w:rPr>
          <w:rFonts w:ascii="Book Antiqua" w:hAnsi="Book Antiqua"/>
          <w:sz w:val="24"/>
          <w:szCs w:val="24"/>
        </w:rPr>
        <w:t>(individually or as a panel</w:t>
      </w:r>
      <w:r w:rsidRPr="00372D52">
        <w:rPr>
          <w:rFonts w:ascii="Book Antiqua" w:hAnsi="Book Antiqua"/>
          <w:sz w:val="24"/>
          <w:szCs w:val="24"/>
        </w:rPr>
        <w:t>) as predictive and/or prognostic enrichment tools</w:t>
      </w:r>
      <w:r w:rsidR="00C250DA" w:rsidRPr="00372D52">
        <w:rPr>
          <w:rFonts w:ascii="Book Antiqua" w:hAnsi="Book Antiqua"/>
          <w:sz w:val="24"/>
          <w:szCs w:val="24"/>
        </w:rPr>
        <w:t xml:space="preserve"> as well as therapeutic guides</w:t>
      </w:r>
      <w:r w:rsidRPr="00372D52">
        <w:rPr>
          <w:rFonts w:ascii="Book Antiqua" w:hAnsi="Book Antiqua"/>
          <w:sz w:val="24"/>
          <w:szCs w:val="24"/>
        </w:rPr>
        <w:t xml:space="preserve"> in acute pulmonary inflammation in critically ill patients</w:t>
      </w:r>
      <w:r w:rsidR="00C250DA" w:rsidRPr="00372D52">
        <w:rPr>
          <w:rFonts w:ascii="Book Antiqua" w:hAnsi="Book Antiqua"/>
          <w:sz w:val="24"/>
          <w:szCs w:val="24"/>
        </w:rPr>
        <w:t>.</w:t>
      </w:r>
    </w:p>
    <w:p w14:paraId="2009A1C0" w14:textId="77777777" w:rsidR="00A17F89" w:rsidRPr="00372D52" w:rsidRDefault="00A17F89" w:rsidP="00372D52">
      <w:pPr>
        <w:spacing w:after="0" w:line="360" w:lineRule="auto"/>
        <w:jc w:val="both"/>
        <w:rPr>
          <w:rFonts w:ascii="Book Antiqua" w:hAnsi="Book Antiqua"/>
          <w:b/>
          <w:sz w:val="24"/>
          <w:szCs w:val="24"/>
        </w:rPr>
      </w:pPr>
    </w:p>
    <w:p w14:paraId="2C8F11CD" w14:textId="1D2D6FCE" w:rsidR="008D0685" w:rsidRPr="00372D52" w:rsidRDefault="002A7F54" w:rsidP="00372D52">
      <w:pPr>
        <w:spacing w:after="0" w:line="360" w:lineRule="auto"/>
        <w:jc w:val="both"/>
        <w:rPr>
          <w:rFonts w:ascii="Book Antiqua" w:hAnsi="Book Antiqua"/>
          <w:b/>
          <w:sz w:val="24"/>
          <w:szCs w:val="24"/>
        </w:rPr>
      </w:pPr>
      <w:r w:rsidRPr="00372D52">
        <w:rPr>
          <w:rFonts w:ascii="Book Antiqua" w:hAnsi="Book Antiqua"/>
          <w:b/>
          <w:sz w:val="24"/>
          <w:szCs w:val="24"/>
        </w:rPr>
        <w:t>CONCLUSION</w:t>
      </w:r>
    </w:p>
    <w:p w14:paraId="07AAB127" w14:textId="7327012F" w:rsidR="00706071" w:rsidRPr="00372D52" w:rsidRDefault="00324CCC" w:rsidP="00372D52">
      <w:pPr>
        <w:spacing w:after="0" w:line="360" w:lineRule="auto"/>
        <w:jc w:val="both"/>
        <w:rPr>
          <w:rFonts w:ascii="Book Antiqua" w:hAnsi="Book Antiqua"/>
          <w:b/>
          <w:sz w:val="24"/>
          <w:szCs w:val="24"/>
        </w:rPr>
      </w:pPr>
      <w:r w:rsidRPr="00372D52">
        <w:rPr>
          <w:rFonts w:ascii="Book Antiqua" w:hAnsi="Book Antiqua"/>
          <w:sz w:val="24"/>
          <w:szCs w:val="24"/>
        </w:rPr>
        <w:t>In addition to early antibiotics, safe lung ventilation strategies and neuromuscular blockade, corticosteroids are the only anti-inflammatory medications with potential benefits</w:t>
      </w:r>
      <w:r w:rsidR="00C250DA" w:rsidRPr="00372D52">
        <w:rPr>
          <w:rFonts w:ascii="Book Antiqua" w:hAnsi="Book Antiqua"/>
          <w:sz w:val="24"/>
          <w:szCs w:val="24"/>
        </w:rPr>
        <w:t xml:space="preserve"> in these conditions</w:t>
      </w:r>
      <w:r w:rsidR="004F0601" w:rsidRPr="00372D52">
        <w:rPr>
          <w:rFonts w:ascii="Book Antiqua" w:hAnsi="Book Antiqua"/>
          <w:sz w:val="24"/>
          <w:szCs w:val="24"/>
        </w:rPr>
        <w:t xml:space="preserve">. Inflammatory biomarkers have been used for early diagnosis, assessment of severity, and prognostication in </w:t>
      </w:r>
      <w:r w:rsidR="006E5DC9" w:rsidRPr="00372D52">
        <w:rPr>
          <w:rFonts w:ascii="Book Antiqua" w:hAnsi="Book Antiqua"/>
          <w:sz w:val="24"/>
          <w:szCs w:val="24"/>
        </w:rPr>
        <w:t>CAP</w:t>
      </w:r>
      <w:r w:rsidR="004F0601" w:rsidRPr="00372D52">
        <w:rPr>
          <w:rFonts w:ascii="Book Antiqua" w:hAnsi="Book Antiqua"/>
          <w:sz w:val="24"/>
          <w:szCs w:val="24"/>
        </w:rPr>
        <w:t xml:space="preserve"> and ARDS. The use of biomarkers for patient selection and for guiding adjunct anti-inflammatory treatment is appealing, however, further studies are needed to define their role in clinical practice.</w:t>
      </w:r>
    </w:p>
    <w:p w14:paraId="3A5AEA2D" w14:textId="77777777" w:rsidR="00706071" w:rsidRPr="00372D52" w:rsidRDefault="00706071" w:rsidP="00372D52">
      <w:pPr>
        <w:spacing w:after="0" w:line="360" w:lineRule="auto"/>
        <w:jc w:val="both"/>
        <w:rPr>
          <w:rFonts w:ascii="Book Antiqua" w:hAnsi="Book Antiqua"/>
          <w:b/>
          <w:sz w:val="24"/>
          <w:szCs w:val="24"/>
        </w:rPr>
      </w:pPr>
    </w:p>
    <w:p w14:paraId="118CC628" w14:textId="3E8C10BA" w:rsidR="000F1524" w:rsidRPr="00372D52" w:rsidRDefault="0083125C" w:rsidP="00372D52">
      <w:pPr>
        <w:tabs>
          <w:tab w:val="left" w:pos="3120"/>
        </w:tabs>
        <w:spacing w:after="0" w:line="360" w:lineRule="auto"/>
        <w:jc w:val="both"/>
        <w:rPr>
          <w:rFonts w:ascii="Book Antiqua" w:hAnsi="Book Antiqua"/>
          <w:b/>
          <w:bCs/>
          <w:sz w:val="24"/>
          <w:szCs w:val="24"/>
        </w:rPr>
      </w:pPr>
      <w:r w:rsidRPr="00372D52">
        <w:rPr>
          <w:rFonts w:ascii="Book Antiqua" w:hAnsi="Book Antiqua"/>
          <w:b/>
          <w:bCs/>
          <w:sz w:val="24"/>
          <w:szCs w:val="24"/>
        </w:rPr>
        <w:t>REFERENCES</w:t>
      </w:r>
    </w:p>
    <w:p w14:paraId="29CDEC0E"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 </w:t>
      </w:r>
      <w:proofErr w:type="spellStart"/>
      <w:r w:rsidRPr="00372D52">
        <w:rPr>
          <w:rFonts w:ascii="Book Antiqua" w:hAnsi="Book Antiqua"/>
          <w:b/>
          <w:sz w:val="24"/>
          <w:szCs w:val="24"/>
        </w:rPr>
        <w:t>Moldoveanu</w:t>
      </w:r>
      <w:proofErr w:type="spellEnd"/>
      <w:r w:rsidRPr="00372D52">
        <w:rPr>
          <w:rFonts w:ascii="Book Antiqua" w:hAnsi="Book Antiqua"/>
          <w:b/>
          <w:sz w:val="24"/>
          <w:szCs w:val="24"/>
        </w:rPr>
        <w:t xml:space="preserve"> B</w:t>
      </w:r>
      <w:r w:rsidRPr="00372D52">
        <w:rPr>
          <w:rFonts w:ascii="Book Antiqua" w:hAnsi="Book Antiqua"/>
          <w:sz w:val="24"/>
          <w:szCs w:val="24"/>
        </w:rPr>
        <w:t xml:space="preserve">, </w:t>
      </w:r>
      <w:proofErr w:type="spellStart"/>
      <w:r w:rsidRPr="00372D52">
        <w:rPr>
          <w:rFonts w:ascii="Book Antiqua" w:hAnsi="Book Antiqua"/>
          <w:sz w:val="24"/>
          <w:szCs w:val="24"/>
        </w:rPr>
        <w:t>Otmishi</w:t>
      </w:r>
      <w:proofErr w:type="spellEnd"/>
      <w:r w:rsidRPr="00372D52">
        <w:rPr>
          <w:rFonts w:ascii="Book Antiqua" w:hAnsi="Book Antiqua"/>
          <w:sz w:val="24"/>
          <w:szCs w:val="24"/>
        </w:rPr>
        <w:t xml:space="preserve"> P, Jani P, Walker J, Sarmiento X, Guardiola J, Saad M, Yu J. Inflammatory mechanisms in the lung. </w:t>
      </w:r>
      <w:r w:rsidRPr="00372D52">
        <w:rPr>
          <w:rFonts w:ascii="Book Antiqua" w:hAnsi="Book Antiqua"/>
          <w:i/>
          <w:sz w:val="24"/>
          <w:szCs w:val="24"/>
        </w:rPr>
        <w:t xml:space="preserve">J </w:t>
      </w:r>
      <w:proofErr w:type="spellStart"/>
      <w:r w:rsidRPr="00372D52">
        <w:rPr>
          <w:rFonts w:ascii="Book Antiqua" w:hAnsi="Book Antiqua"/>
          <w:i/>
          <w:sz w:val="24"/>
          <w:szCs w:val="24"/>
        </w:rPr>
        <w:t>Inflamm</w:t>
      </w:r>
      <w:proofErr w:type="spellEnd"/>
      <w:r w:rsidRPr="00372D52">
        <w:rPr>
          <w:rFonts w:ascii="Book Antiqua" w:hAnsi="Book Antiqua"/>
          <w:i/>
          <w:sz w:val="24"/>
          <w:szCs w:val="24"/>
        </w:rPr>
        <w:t xml:space="preserve"> Res</w:t>
      </w:r>
      <w:r w:rsidRPr="00372D52">
        <w:rPr>
          <w:rFonts w:ascii="Book Antiqua" w:hAnsi="Book Antiqua"/>
          <w:sz w:val="24"/>
          <w:szCs w:val="24"/>
        </w:rPr>
        <w:t xml:space="preserve"> 2009; </w:t>
      </w:r>
      <w:r w:rsidRPr="00372D52">
        <w:rPr>
          <w:rFonts w:ascii="Book Antiqua" w:hAnsi="Book Antiqua"/>
          <w:b/>
          <w:sz w:val="24"/>
          <w:szCs w:val="24"/>
        </w:rPr>
        <w:t>2</w:t>
      </w:r>
      <w:r w:rsidRPr="00372D52">
        <w:rPr>
          <w:rFonts w:ascii="Book Antiqua" w:hAnsi="Book Antiqua"/>
          <w:sz w:val="24"/>
          <w:szCs w:val="24"/>
        </w:rPr>
        <w:t>: 1-11 [PMID: 22096348 DOI: 10.2147/JIR.S4385]</w:t>
      </w:r>
    </w:p>
    <w:p w14:paraId="5BE5A81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 </w:t>
      </w:r>
      <w:r w:rsidRPr="00372D52">
        <w:rPr>
          <w:rFonts w:ascii="Book Antiqua" w:hAnsi="Book Antiqua"/>
          <w:b/>
          <w:sz w:val="24"/>
          <w:szCs w:val="24"/>
        </w:rPr>
        <w:t>Ramirez JA</w:t>
      </w:r>
      <w:r w:rsidRPr="00372D52">
        <w:rPr>
          <w:rFonts w:ascii="Book Antiqua" w:hAnsi="Book Antiqua"/>
          <w:sz w:val="24"/>
          <w:szCs w:val="24"/>
        </w:rPr>
        <w:t xml:space="preserve">, </w:t>
      </w:r>
      <w:proofErr w:type="spellStart"/>
      <w:r w:rsidRPr="00372D52">
        <w:rPr>
          <w:rFonts w:ascii="Book Antiqua" w:hAnsi="Book Antiqua"/>
          <w:sz w:val="24"/>
          <w:szCs w:val="24"/>
        </w:rPr>
        <w:t>Wiemken</w:t>
      </w:r>
      <w:proofErr w:type="spellEnd"/>
      <w:r w:rsidRPr="00372D52">
        <w:rPr>
          <w:rFonts w:ascii="Book Antiqua" w:hAnsi="Book Antiqua"/>
          <w:sz w:val="24"/>
          <w:szCs w:val="24"/>
        </w:rPr>
        <w:t xml:space="preserve"> TL, </w:t>
      </w:r>
      <w:proofErr w:type="spellStart"/>
      <w:r w:rsidRPr="00372D52">
        <w:rPr>
          <w:rFonts w:ascii="Book Antiqua" w:hAnsi="Book Antiqua"/>
          <w:sz w:val="24"/>
          <w:szCs w:val="24"/>
        </w:rPr>
        <w:t>Peyrani</w:t>
      </w:r>
      <w:proofErr w:type="spellEnd"/>
      <w:r w:rsidRPr="00372D52">
        <w:rPr>
          <w:rFonts w:ascii="Book Antiqua" w:hAnsi="Book Antiqua"/>
          <w:sz w:val="24"/>
          <w:szCs w:val="24"/>
        </w:rPr>
        <w:t xml:space="preserve"> P, Arnold FW, Kelley R, Mattingly WA, </w:t>
      </w:r>
      <w:proofErr w:type="spellStart"/>
      <w:r w:rsidRPr="00372D52">
        <w:rPr>
          <w:rFonts w:ascii="Book Antiqua" w:hAnsi="Book Antiqua"/>
          <w:sz w:val="24"/>
          <w:szCs w:val="24"/>
        </w:rPr>
        <w:t>Nakamatsu</w:t>
      </w:r>
      <w:proofErr w:type="spellEnd"/>
      <w:r w:rsidRPr="00372D52">
        <w:rPr>
          <w:rFonts w:ascii="Book Antiqua" w:hAnsi="Book Antiqua"/>
          <w:sz w:val="24"/>
          <w:szCs w:val="24"/>
        </w:rPr>
        <w:t xml:space="preserve"> R, Pena S, Guinn BE, </w:t>
      </w:r>
      <w:proofErr w:type="spellStart"/>
      <w:r w:rsidRPr="00372D52">
        <w:rPr>
          <w:rFonts w:ascii="Book Antiqua" w:hAnsi="Book Antiqua"/>
          <w:sz w:val="24"/>
          <w:szCs w:val="24"/>
        </w:rPr>
        <w:t>Furmanek</w:t>
      </w:r>
      <w:proofErr w:type="spellEnd"/>
      <w:r w:rsidRPr="00372D52">
        <w:rPr>
          <w:rFonts w:ascii="Book Antiqua" w:hAnsi="Book Antiqua"/>
          <w:sz w:val="24"/>
          <w:szCs w:val="24"/>
        </w:rPr>
        <w:t xml:space="preserve"> SP, Persaud AK, Raghuram A, Fernandez F, </w:t>
      </w:r>
      <w:proofErr w:type="spellStart"/>
      <w:r w:rsidRPr="00372D52">
        <w:rPr>
          <w:rFonts w:ascii="Book Antiqua" w:hAnsi="Book Antiqua"/>
          <w:sz w:val="24"/>
          <w:szCs w:val="24"/>
        </w:rPr>
        <w:t>Beavin</w:t>
      </w:r>
      <w:proofErr w:type="spellEnd"/>
      <w:r w:rsidRPr="00372D52">
        <w:rPr>
          <w:rFonts w:ascii="Book Antiqua" w:hAnsi="Book Antiqua"/>
          <w:sz w:val="24"/>
          <w:szCs w:val="24"/>
        </w:rPr>
        <w:t xml:space="preserve"> L, </w:t>
      </w:r>
      <w:proofErr w:type="spellStart"/>
      <w:r w:rsidRPr="00372D52">
        <w:rPr>
          <w:rFonts w:ascii="Book Antiqua" w:hAnsi="Book Antiqua"/>
          <w:sz w:val="24"/>
          <w:szCs w:val="24"/>
        </w:rPr>
        <w:t>Bosson</w:t>
      </w:r>
      <w:proofErr w:type="spellEnd"/>
      <w:r w:rsidRPr="00372D52">
        <w:rPr>
          <w:rFonts w:ascii="Book Antiqua" w:hAnsi="Book Antiqua"/>
          <w:sz w:val="24"/>
          <w:szCs w:val="24"/>
        </w:rPr>
        <w:t xml:space="preserve"> R, Fernandez-</w:t>
      </w:r>
      <w:proofErr w:type="spellStart"/>
      <w:r w:rsidRPr="00372D52">
        <w:rPr>
          <w:rFonts w:ascii="Book Antiqua" w:hAnsi="Book Antiqua"/>
          <w:sz w:val="24"/>
          <w:szCs w:val="24"/>
        </w:rPr>
        <w:t>Botran</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Cavallazzi</w:t>
      </w:r>
      <w:proofErr w:type="spellEnd"/>
      <w:r w:rsidRPr="00372D52">
        <w:rPr>
          <w:rFonts w:ascii="Book Antiqua" w:hAnsi="Book Antiqua"/>
          <w:sz w:val="24"/>
          <w:szCs w:val="24"/>
        </w:rPr>
        <w:t xml:space="preserve"> R, Bordon J, </w:t>
      </w:r>
      <w:proofErr w:type="spellStart"/>
      <w:r w:rsidRPr="00372D52">
        <w:rPr>
          <w:rFonts w:ascii="Book Antiqua" w:hAnsi="Book Antiqua"/>
          <w:sz w:val="24"/>
          <w:szCs w:val="24"/>
        </w:rPr>
        <w:t>Valdivieso</w:t>
      </w:r>
      <w:proofErr w:type="spellEnd"/>
      <w:r w:rsidRPr="00372D52">
        <w:rPr>
          <w:rFonts w:ascii="Book Antiqua" w:hAnsi="Book Antiqua"/>
          <w:sz w:val="24"/>
          <w:szCs w:val="24"/>
        </w:rPr>
        <w:t xml:space="preserve"> C, Schulte J, Carrico RM; University of Louisville Pneumonia Study Group. Adults Hospitalized </w:t>
      </w:r>
      <w:proofErr w:type="gramStart"/>
      <w:r w:rsidRPr="00372D52">
        <w:rPr>
          <w:rFonts w:ascii="Book Antiqua" w:hAnsi="Book Antiqua"/>
          <w:sz w:val="24"/>
          <w:szCs w:val="24"/>
        </w:rPr>
        <w:t>With</w:t>
      </w:r>
      <w:proofErr w:type="gramEnd"/>
      <w:r w:rsidRPr="00372D52">
        <w:rPr>
          <w:rFonts w:ascii="Book Antiqua" w:hAnsi="Book Antiqua"/>
          <w:sz w:val="24"/>
          <w:szCs w:val="24"/>
        </w:rPr>
        <w:t xml:space="preserve"> Pneumonia in the United States: Incidence, Epidemiology, and Mortality. </w:t>
      </w:r>
      <w:r w:rsidRPr="00372D52">
        <w:rPr>
          <w:rFonts w:ascii="Book Antiqua" w:hAnsi="Book Antiqua"/>
          <w:i/>
          <w:sz w:val="24"/>
          <w:szCs w:val="24"/>
        </w:rPr>
        <w:t>Clin Infect Dis</w:t>
      </w:r>
      <w:r w:rsidRPr="00372D52">
        <w:rPr>
          <w:rFonts w:ascii="Book Antiqua" w:hAnsi="Book Antiqua"/>
          <w:sz w:val="24"/>
          <w:szCs w:val="24"/>
        </w:rPr>
        <w:t xml:space="preserve"> 2017; </w:t>
      </w:r>
      <w:r w:rsidRPr="00372D52">
        <w:rPr>
          <w:rFonts w:ascii="Book Antiqua" w:hAnsi="Book Antiqua"/>
          <w:b/>
          <w:sz w:val="24"/>
          <w:szCs w:val="24"/>
        </w:rPr>
        <w:t>65</w:t>
      </w:r>
      <w:r w:rsidRPr="00372D52">
        <w:rPr>
          <w:rFonts w:ascii="Book Antiqua" w:hAnsi="Book Antiqua"/>
          <w:sz w:val="24"/>
          <w:szCs w:val="24"/>
        </w:rPr>
        <w:t>: 1806-1812 [PMID: 29020164 DOI: 10.1093/</w:t>
      </w:r>
      <w:proofErr w:type="spellStart"/>
      <w:r w:rsidRPr="00372D52">
        <w:rPr>
          <w:rFonts w:ascii="Book Antiqua" w:hAnsi="Book Antiqua"/>
          <w:sz w:val="24"/>
          <w:szCs w:val="24"/>
        </w:rPr>
        <w:t>cid</w:t>
      </w:r>
      <w:proofErr w:type="spellEnd"/>
      <w:r w:rsidRPr="00372D52">
        <w:rPr>
          <w:rFonts w:ascii="Book Antiqua" w:hAnsi="Book Antiqua"/>
          <w:sz w:val="24"/>
          <w:szCs w:val="24"/>
        </w:rPr>
        <w:t>/cix647]</w:t>
      </w:r>
    </w:p>
    <w:p w14:paraId="146EF78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 </w:t>
      </w:r>
      <w:proofErr w:type="spellStart"/>
      <w:r w:rsidRPr="00372D52">
        <w:rPr>
          <w:rFonts w:ascii="Book Antiqua" w:hAnsi="Book Antiqua"/>
          <w:b/>
          <w:sz w:val="24"/>
          <w:szCs w:val="24"/>
        </w:rPr>
        <w:t>Kochanek</w:t>
      </w:r>
      <w:proofErr w:type="spellEnd"/>
      <w:r w:rsidRPr="00372D52">
        <w:rPr>
          <w:rFonts w:ascii="Book Antiqua" w:hAnsi="Book Antiqua"/>
          <w:b/>
          <w:sz w:val="24"/>
          <w:szCs w:val="24"/>
        </w:rPr>
        <w:t xml:space="preserve"> KD</w:t>
      </w:r>
      <w:r w:rsidRPr="00372D52">
        <w:rPr>
          <w:rFonts w:ascii="Book Antiqua" w:hAnsi="Book Antiqua"/>
          <w:sz w:val="24"/>
          <w:szCs w:val="24"/>
        </w:rPr>
        <w:t xml:space="preserve">, Murphy SL, Xu J, Tejada-Vera B. Deaths: Final Data for 2014. </w:t>
      </w:r>
      <w:r w:rsidRPr="00372D52">
        <w:rPr>
          <w:rFonts w:ascii="Book Antiqua" w:hAnsi="Book Antiqua"/>
          <w:i/>
          <w:sz w:val="24"/>
          <w:szCs w:val="24"/>
        </w:rPr>
        <w:t>Natl Vital Stat Rep</w:t>
      </w:r>
      <w:r w:rsidRPr="00372D52">
        <w:rPr>
          <w:rFonts w:ascii="Book Antiqua" w:hAnsi="Book Antiqua"/>
          <w:sz w:val="24"/>
          <w:szCs w:val="24"/>
        </w:rPr>
        <w:t xml:space="preserve"> 2016; </w:t>
      </w:r>
      <w:r w:rsidRPr="00372D52">
        <w:rPr>
          <w:rFonts w:ascii="Book Antiqua" w:hAnsi="Book Antiqua"/>
          <w:b/>
          <w:sz w:val="24"/>
          <w:szCs w:val="24"/>
        </w:rPr>
        <w:t>65</w:t>
      </w:r>
      <w:r w:rsidRPr="00372D52">
        <w:rPr>
          <w:rFonts w:ascii="Book Antiqua" w:hAnsi="Book Antiqua"/>
          <w:sz w:val="24"/>
          <w:szCs w:val="24"/>
        </w:rPr>
        <w:t>: 1-122 [PMID: 27378572]</w:t>
      </w:r>
    </w:p>
    <w:p w14:paraId="001B39E9"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 </w:t>
      </w:r>
      <w:r w:rsidRPr="00372D52">
        <w:rPr>
          <w:rFonts w:ascii="Book Antiqua" w:hAnsi="Book Antiqua"/>
          <w:b/>
          <w:sz w:val="24"/>
          <w:szCs w:val="24"/>
        </w:rPr>
        <w:t>Storms AD</w:t>
      </w:r>
      <w:r w:rsidRPr="00372D52">
        <w:rPr>
          <w:rFonts w:ascii="Book Antiqua" w:hAnsi="Book Antiqua"/>
          <w:sz w:val="24"/>
          <w:szCs w:val="24"/>
        </w:rPr>
        <w:t xml:space="preserve">, Chen J, Jackson LA, </w:t>
      </w:r>
      <w:proofErr w:type="spellStart"/>
      <w:r w:rsidRPr="00372D52">
        <w:rPr>
          <w:rFonts w:ascii="Book Antiqua" w:hAnsi="Book Antiqua"/>
          <w:sz w:val="24"/>
          <w:szCs w:val="24"/>
        </w:rPr>
        <w:t>Nordin</w:t>
      </w:r>
      <w:proofErr w:type="spellEnd"/>
      <w:r w:rsidRPr="00372D52">
        <w:rPr>
          <w:rFonts w:ascii="Book Antiqua" w:hAnsi="Book Antiqua"/>
          <w:sz w:val="24"/>
          <w:szCs w:val="24"/>
        </w:rPr>
        <w:t xml:space="preserve"> JD, </w:t>
      </w:r>
      <w:proofErr w:type="spellStart"/>
      <w:r w:rsidRPr="00372D52">
        <w:rPr>
          <w:rFonts w:ascii="Book Antiqua" w:hAnsi="Book Antiqua"/>
          <w:sz w:val="24"/>
          <w:szCs w:val="24"/>
        </w:rPr>
        <w:t>Naleway</w:t>
      </w:r>
      <w:proofErr w:type="spellEnd"/>
      <w:r w:rsidRPr="00372D52">
        <w:rPr>
          <w:rFonts w:ascii="Book Antiqua" w:hAnsi="Book Antiqua"/>
          <w:sz w:val="24"/>
          <w:szCs w:val="24"/>
        </w:rPr>
        <w:t xml:space="preserve"> AL, Glanz JM, Jacobsen SJ, Weintraub ES, Klein NP, </w:t>
      </w:r>
      <w:proofErr w:type="spellStart"/>
      <w:r w:rsidRPr="00372D52">
        <w:rPr>
          <w:rFonts w:ascii="Book Antiqua" w:hAnsi="Book Antiqua"/>
          <w:sz w:val="24"/>
          <w:szCs w:val="24"/>
        </w:rPr>
        <w:t>Gargiullo</w:t>
      </w:r>
      <w:proofErr w:type="spellEnd"/>
      <w:r w:rsidRPr="00372D52">
        <w:rPr>
          <w:rFonts w:ascii="Book Antiqua" w:hAnsi="Book Antiqua"/>
          <w:sz w:val="24"/>
          <w:szCs w:val="24"/>
        </w:rPr>
        <w:t xml:space="preserve"> PM, Fry AM. Rates and risk factors associated with hospitalization for pneumonia with ICU admission among adults. </w:t>
      </w:r>
      <w:r w:rsidRPr="00372D52">
        <w:rPr>
          <w:rFonts w:ascii="Book Antiqua" w:hAnsi="Book Antiqua"/>
          <w:i/>
          <w:sz w:val="24"/>
          <w:szCs w:val="24"/>
        </w:rPr>
        <w:t xml:space="preserve">BMC </w:t>
      </w:r>
      <w:proofErr w:type="spellStart"/>
      <w:r w:rsidRPr="00372D52">
        <w:rPr>
          <w:rFonts w:ascii="Book Antiqua" w:hAnsi="Book Antiqua"/>
          <w:i/>
          <w:sz w:val="24"/>
          <w:szCs w:val="24"/>
        </w:rPr>
        <w:t>Pulm</w:t>
      </w:r>
      <w:proofErr w:type="spellEnd"/>
      <w:r w:rsidRPr="00372D52">
        <w:rPr>
          <w:rFonts w:ascii="Book Antiqua" w:hAnsi="Book Antiqua"/>
          <w:i/>
          <w:sz w:val="24"/>
          <w:szCs w:val="24"/>
        </w:rPr>
        <w:t xml:space="preserve"> Med</w:t>
      </w:r>
      <w:r w:rsidRPr="00372D52">
        <w:rPr>
          <w:rFonts w:ascii="Book Antiqua" w:hAnsi="Book Antiqua"/>
          <w:sz w:val="24"/>
          <w:szCs w:val="24"/>
        </w:rPr>
        <w:t xml:space="preserve"> 2017; </w:t>
      </w:r>
      <w:r w:rsidRPr="00372D52">
        <w:rPr>
          <w:rFonts w:ascii="Book Antiqua" w:hAnsi="Book Antiqua"/>
          <w:b/>
          <w:sz w:val="24"/>
          <w:szCs w:val="24"/>
        </w:rPr>
        <w:t>17</w:t>
      </w:r>
      <w:r w:rsidRPr="00372D52">
        <w:rPr>
          <w:rFonts w:ascii="Book Antiqua" w:hAnsi="Book Antiqua"/>
          <w:sz w:val="24"/>
          <w:szCs w:val="24"/>
        </w:rPr>
        <w:t>: 208 [PMID: 29246210 DOI: 10.1186/s12890-017-0552-x]</w:t>
      </w:r>
    </w:p>
    <w:p w14:paraId="2F894BC7"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 </w:t>
      </w:r>
      <w:proofErr w:type="spellStart"/>
      <w:r w:rsidRPr="00372D52">
        <w:rPr>
          <w:rFonts w:ascii="Book Antiqua" w:hAnsi="Book Antiqua"/>
          <w:b/>
          <w:sz w:val="24"/>
          <w:szCs w:val="24"/>
        </w:rPr>
        <w:t>Bellani</w:t>
      </w:r>
      <w:proofErr w:type="spellEnd"/>
      <w:r w:rsidRPr="00372D52">
        <w:rPr>
          <w:rFonts w:ascii="Book Antiqua" w:hAnsi="Book Antiqua"/>
          <w:b/>
          <w:sz w:val="24"/>
          <w:szCs w:val="24"/>
        </w:rPr>
        <w:t xml:space="preserve"> G</w:t>
      </w:r>
      <w:r w:rsidRPr="00372D52">
        <w:rPr>
          <w:rFonts w:ascii="Book Antiqua" w:hAnsi="Book Antiqua"/>
          <w:sz w:val="24"/>
          <w:szCs w:val="24"/>
        </w:rPr>
        <w:t xml:space="preserve">, Laffey JG, Pham T, Fan E; LUNG SAFE Investigators and the ESICM Trials Group. The LUNG SAFE study: a presentation of the prevalence of ARDS according to the Berlin Definition!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w:t>
      </w:r>
      <w:r w:rsidRPr="00372D52">
        <w:rPr>
          <w:rFonts w:ascii="Book Antiqua" w:hAnsi="Book Antiqua"/>
          <w:sz w:val="24"/>
          <w:szCs w:val="24"/>
        </w:rPr>
        <w:t xml:space="preserve"> 2016; </w:t>
      </w:r>
      <w:r w:rsidRPr="00372D52">
        <w:rPr>
          <w:rFonts w:ascii="Book Antiqua" w:hAnsi="Book Antiqua"/>
          <w:b/>
          <w:sz w:val="24"/>
          <w:szCs w:val="24"/>
        </w:rPr>
        <w:t>20</w:t>
      </w:r>
      <w:r w:rsidRPr="00372D52">
        <w:rPr>
          <w:rFonts w:ascii="Book Antiqua" w:hAnsi="Book Antiqua"/>
          <w:sz w:val="24"/>
          <w:szCs w:val="24"/>
        </w:rPr>
        <w:t>: 268 [PMID: 27608629 DOI: 10.1186/s13054-016-1443-x]</w:t>
      </w:r>
    </w:p>
    <w:p w14:paraId="412CEA9C"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 </w:t>
      </w:r>
      <w:r w:rsidRPr="00372D52">
        <w:rPr>
          <w:rFonts w:ascii="Book Antiqua" w:hAnsi="Book Antiqua"/>
          <w:b/>
          <w:sz w:val="24"/>
          <w:szCs w:val="24"/>
        </w:rPr>
        <w:t>Restrepo MI</w:t>
      </w:r>
      <w:r w:rsidRPr="00372D52">
        <w:rPr>
          <w:rFonts w:ascii="Book Antiqua" w:hAnsi="Book Antiqua"/>
          <w:sz w:val="24"/>
          <w:szCs w:val="24"/>
        </w:rPr>
        <w:t xml:space="preserve">, Mortensen EM, Velez JA, Frei C, </w:t>
      </w:r>
      <w:proofErr w:type="spellStart"/>
      <w:r w:rsidRPr="00372D52">
        <w:rPr>
          <w:rFonts w:ascii="Book Antiqua" w:hAnsi="Book Antiqua"/>
          <w:sz w:val="24"/>
          <w:szCs w:val="24"/>
        </w:rPr>
        <w:t>Anzueto</w:t>
      </w:r>
      <w:proofErr w:type="spellEnd"/>
      <w:r w:rsidRPr="00372D52">
        <w:rPr>
          <w:rFonts w:ascii="Book Antiqua" w:hAnsi="Book Antiqua"/>
          <w:sz w:val="24"/>
          <w:szCs w:val="24"/>
        </w:rPr>
        <w:t xml:space="preserve"> A. A comparative study of community-acquired pneumonia patients admitted to the ward and the ICU. </w:t>
      </w:r>
      <w:r w:rsidRPr="00372D52">
        <w:rPr>
          <w:rFonts w:ascii="Book Antiqua" w:hAnsi="Book Antiqua"/>
          <w:i/>
          <w:sz w:val="24"/>
          <w:szCs w:val="24"/>
        </w:rPr>
        <w:t>Chest</w:t>
      </w:r>
      <w:r w:rsidRPr="00372D52">
        <w:rPr>
          <w:rFonts w:ascii="Book Antiqua" w:hAnsi="Book Antiqua"/>
          <w:sz w:val="24"/>
          <w:szCs w:val="24"/>
        </w:rPr>
        <w:t xml:space="preserve"> 2008; </w:t>
      </w:r>
      <w:r w:rsidRPr="00372D52">
        <w:rPr>
          <w:rFonts w:ascii="Book Antiqua" w:hAnsi="Book Antiqua"/>
          <w:b/>
          <w:sz w:val="24"/>
          <w:szCs w:val="24"/>
        </w:rPr>
        <w:t>133</w:t>
      </w:r>
      <w:r w:rsidRPr="00372D52">
        <w:rPr>
          <w:rFonts w:ascii="Book Antiqua" w:hAnsi="Book Antiqua"/>
          <w:sz w:val="24"/>
          <w:szCs w:val="24"/>
        </w:rPr>
        <w:t>: 610-617 [PMID: 17989157 DOI: 10.1378/chest.07-1456]</w:t>
      </w:r>
    </w:p>
    <w:p w14:paraId="73313850"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 </w:t>
      </w:r>
      <w:r w:rsidRPr="00372D52">
        <w:rPr>
          <w:rFonts w:ascii="Book Antiqua" w:hAnsi="Book Antiqua"/>
          <w:b/>
          <w:sz w:val="24"/>
          <w:szCs w:val="24"/>
        </w:rPr>
        <w:t>Martínez R</w:t>
      </w:r>
      <w:r w:rsidRPr="00372D52">
        <w:rPr>
          <w:rFonts w:ascii="Book Antiqua" w:hAnsi="Book Antiqua"/>
          <w:sz w:val="24"/>
          <w:szCs w:val="24"/>
        </w:rPr>
        <w:t xml:space="preserve">, Menéndez R, Reyes S, </w:t>
      </w:r>
      <w:proofErr w:type="spellStart"/>
      <w:r w:rsidRPr="00372D52">
        <w:rPr>
          <w:rFonts w:ascii="Book Antiqua" w:hAnsi="Book Antiqua"/>
          <w:sz w:val="24"/>
          <w:szCs w:val="24"/>
        </w:rPr>
        <w:t>Polverino</w:t>
      </w:r>
      <w:proofErr w:type="spellEnd"/>
      <w:r w:rsidRPr="00372D52">
        <w:rPr>
          <w:rFonts w:ascii="Book Antiqua" w:hAnsi="Book Antiqua"/>
          <w:sz w:val="24"/>
          <w:szCs w:val="24"/>
        </w:rPr>
        <w:t xml:space="preserve"> E, </w:t>
      </w:r>
      <w:proofErr w:type="spellStart"/>
      <w:r w:rsidRPr="00372D52">
        <w:rPr>
          <w:rFonts w:ascii="Book Antiqua" w:hAnsi="Book Antiqua"/>
          <w:sz w:val="24"/>
          <w:szCs w:val="24"/>
        </w:rPr>
        <w:t>Cillóniz</w:t>
      </w:r>
      <w:proofErr w:type="spellEnd"/>
      <w:r w:rsidRPr="00372D52">
        <w:rPr>
          <w:rFonts w:ascii="Book Antiqua" w:hAnsi="Book Antiqua"/>
          <w:sz w:val="24"/>
          <w:szCs w:val="24"/>
        </w:rPr>
        <w:t xml:space="preserve"> C, Martínez A, </w:t>
      </w:r>
      <w:proofErr w:type="spellStart"/>
      <w:r w:rsidRPr="00372D52">
        <w:rPr>
          <w:rFonts w:ascii="Book Antiqua" w:hAnsi="Book Antiqua"/>
          <w:sz w:val="24"/>
          <w:szCs w:val="24"/>
        </w:rPr>
        <w:t>Esquinas</w:t>
      </w:r>
      <w:proofErr w:type="spellEnd"/>
      <w:r w:rsidRPr="00372D52">
        <w:rPr>
          <w:rFonts w:ascii="Book Antiqua" w:hAnsi="Book Antiqua"/>
          <w:sz w:val="24"/>
          <w:szCs w:val="24"/>
        </w:rPr>
        <w:t xml:space="preserve"> C, </w:t>
      </w:r>
      <w:proofErr w:type="spellStart"/>
      <w:r w:rsidRPr="00372D52">
        <w:rPr>
          <w:rFonts w:ascii="Book Antiqua" w:hAnsi="Book Antiqua"/>
          <w:sz w:val="24"/>
          <w:szCs w:val="24"/>
        </w:rPr>
        <w:t>Filella</w:t>
      </w:r>
      <w:proofErr w:type="spellEnd"/>
      <w:r w:rsidRPr="00372D52">
        <w:rPr>
          <w:rFonts w:ascii="Book Antiqua" w:hAnsi="Book Antiqua"/>
          <w:sz w:val="24"/>
          <w:szCs w:val="24"/>
        </w:rPr>
        <w:t xml:space="preserve"> X, Ramírez P, Torres A. Factors associated with inflammatory cytokine patterns in community-acquired pneumonia. </w:t>
      </w:r>
      <w:r w:rsidRPr="00372D52">
        <w:rPr>
          <w:rFonts w:ascii="Book Antiqua" w:hAnsi="Book Antiqua"/>
          <w:i/>
          <w:sz w:val="24"/>
          <w:szCs w:val="24"/>
        </w:rPr>
        <w:t>Eur Respir J</w:t>
      </w:r>
      <w:r w:rsidRPr="00372D52">
        <w:rPr>
          <w:rFonts w:ascii="Book Antiqua" w:hAnsi="Book Antiqua"/>
          <w:sz w:val="24"/>
          <w:szCs w:val="24"/>
        </w:rPr>
        <w:t xml:space="preserve"> 2011; </w:t>
      </w:r>
      <w:r w:rsidRPr="00372D52">
        <w:rPr>
          <w:rFonts w:ascii="Book Antiqua" w:hAnsi="Book Antiqua"/>
          <w:b/>
          <w:sz w:val="24"/>
          <w:szCs w:val="24"/>
        </w:rPr>
        <w:t>37</w:t>
      </w:r>
      <w:r w:rsidRPr="00372D52">
        <w:rPr>
          <w:rFonts w:ascii="Book Antiqua" w:hAnsi="Book Antiqua"/>
          <w:sz w:val="24"/>
          <w:szCs w:val="24"/>
        </w:rPr>
        <w:t>: 393-399 [PMID: 20595152 DOI: 10.1183/09031936.00040710]</w:t>
      </w:r>
    </w:p>
    <w:p w14:paraId="424A4681"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 </w:t>
      </w:r>
      <w:r w:rsidRPr="00372D52">
        <w:rPr>
          <w:rFonts w:ascii="Book Antiqua" w:hAnsi="Book Antiqua"/>
          <w:b/>
          <w:sz w:val="24"/>
          <w:szCs w:val="24"/>
        </w:rPr>
        <w:t>Calfee CS</w:t>
      </w:r>
      <w:r w:rsidRPr="00372D52">
        <w:rPr>
          <w:rFonts w:ascii="Book Antiqua" w:hAnsi="Book Antiqua"/>
          <w:sz w:val="24"/>
          <w:szCs w:val="24"/>
        </w:rPr>
        <w:t xml:space="preserve">, </w:t>
      </w:r>
      <w:proofErr w:type="spellStart"/>
      <w:r w:rsidRPr="00372D52">
        <w:rPr>
          <w:rFonts w:ascii="Book Antiqua" w:hAnsi="Book Antiqua"/>
          <w:sz w:val="24"/>
          <w:szCs w:val="24"/>
        </w:rPr>
        <w:t>Delucchi</w:t>
      </w:r>
      <w:proofErr w:type="spellEnd"/>
      <w:r w:rsidRPr="00372D52">
        <w:rPr>
          <w:rFonts w:ascii="Book Antiqua" w:hAnsi="Book Antiqua"/>
          <w:sz w:val="24"/>
          <w:szCs w:val="24"/>
        </w:rPr>
        <w:t xml:space="preserve"> K, Parsons PE, Thompson BT, Ware LB, </w:t>
      </w:r>
      <w:proofErr w:type="spellStart"/>
      <w:r w:rsidRPr="00372D52">
        <w:rPr>
          <w:rFonts w:ascii="Book Antiqua" w:hAnsi="Book Antiqua"/>
          <w:sz w:val="24"/>
          <w:szCs w:val="24"/>
        </w:rPr>
        <w:t>Matthay</w:t>
      </w:r>
      <w:proofErr w:type="spellEnd"/>
      <w:r w:rsidRPr="00372D52">
        <w:rPr>
          <w:rFonts w:ascii="Book Antiqua" w:hAnsi="Book Antiqua"/>
          <w:sz w:val="24"/>
          <w:szCs w:val="24"/>
        </w:rPr>
        <w:t xml:space="preserve"> MA; NHLBI ARDS Network. </w:t>
      </w:r>
      <w:proofErr w:type="spellStart"/>
      <w:r w:rsidRPr="00372D52">
        <w:rPr>
          <w:rFonts w:ascii="Book Antiqua" w:hAnsi="Book Antiqua"/>
          <w:sz w:val="24"/>
          <w:szCs w:val="24"/>
        </w:rPr>
        <w:t>Subphenotypes</w:t>
      </w:r>
      <w:proofErr w:type="spellEnd"/>
      <w:r w:rsidRPr="00372D52">
        <w:rPr>
          <w:rFonts w:ascii="Book Antiqua" w:hAnsi="Book Antiqua"/>
          <w:sz w:val="24"/>
          <w:szCs w:val="24"/>
        </w:rPr>
        <w:t xml:space="preserve"> in acute respiratory distress syndrome: latent class </w:t>
      </w:r>
      <w:r w:rsidRPr="00372D52">
        <w:rPr>
          <w:rFonts w:ascii="Book Antiqua" w:hAnsi="Book Antiqua"/>
          <w:sz w:val="24"/>
          <w:szCs w:val="24"/>
        </w:rPr>
        <w:lastRenderedPageBreak/>
        <w:t xml:space="preserve">analysis of data from two </w:t>
      </w:r>
      <w:proofErr w:type="spellStart"/>
      <w:r w:rsidRPr="00372D52">
        <w:rPr>
          <w:rFonts w:ascii="Book Antiqua" w:hAnsi="Book Antiqua"/>
          <w:sz w:val="24"/>
          <w:szCs w:val="24"/>
        </w:rPr>
        <w:t>randomised</w:t>
      </w:r>
      <w:proofErr w:type="spellEnd"/>
      <w:r w:rsidRPr="00372D52">
        <w:rPr>
          <w:rFonts w:ascii="Book Antiqua" w:hAnsi="Book Antiqua"/>
          <w:sz w:val="24"/>
          <w:szCs w:val="24"/>
        </w:rPr>
        <w:t xml:space="preserve"> controlled trials. </w:t>
      </w:r>
      <w:r w:rsidRPr="00372D52">
        <w:rPr>
          <w:rFonts w:ascii="Book Antiqua" w:hAnsi="Book Antiqua"/>
          <w:i/>
          <w:sz w:val="24"/>
          <w:szCs w:val="24"/>
        </w:rPr>
        <w:t>Lancet Respir Med</w:t>
      </w:r>
      <w:r w:rsidRPr="00372D52">
        <w:rPr>
          <w:rFonts w:ascii="Book Antiqua" w:hAnsi="Book Antiqua"/>
          <w:sz w:val="24"/>
          <w:szCs w:val="24"/>
        </w:rPr>
        <w:t xml:space="preserve"> 2014; </w:t>
      </w:r>
      <w:r w:rsidRPr="00372D52">
        <w:rPr>
          <w:rFonts w:ascii="Book Antiqua" w:hAnsi="Book Antiqua"/>
          <w:b/>
          <w:sz w:val="24"/>
          <w:szCs w:val="24"/>
        </w:rPr>
        <w:t>2</w:t>
      </w:r>
      <w:r w:rsidRPr="00372D52">
        <w:rPr>
          <w:rFonts w:ascii="Book Antiqua" w:hAnsi="Book Antiqua"/>
          <w:sz w:val="24"/>
          <w:szCs w:val="24"/>
        </w:rPr>
        <w:t>: 611-620 [PMID: 24853585 DOI: 10.1016/S2213-2600(14)70097-9]</w:t>
      </w:r>
    </w:p>
    <w:p w14:paraId="367F9D01"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9 </w:t>
      </w:r>
      <w:r w:rsidRPr="00372D52">
        <w:rPr>
          <w:rFonts w:ascii="Book Antiqua" w:hAnsi="Book Antiqua"/>
          <w:b/>
          <w:sz w:val="24"/>
          <w:szCs w:val="24"/>
        </w:rPr>
        <w:t>Adler KB</w:t>
      </w:r>
      <w:r w:rsidRPr="00372D52">
        <w:rPr>
          <w:rFonts w:ascii="Book Antiqua" w:hAnsi="Book Antiqua"/>
          <w:sz w:val="24"/>
          <w:szCs w:val="24"/>
        </w:rPr>
        <w:t xml:space="preserve">, Fischer BM, Wright DT, Cohn LA, Becker S. Interactions between respiratory epithelial cells and cytokines: relationships to lung inflammation. </w:t>
      </w:r>
      <w:r w:rsidRPr="00372D52">
        <w:rPr>
          <w:rFonts w:ascii="Book Antiqua" w:hAnsi="Book Antiqua"/>
          <w:i/>
          <w:sz w:val="24"/>
          <w:szCs w:val="24"/>
        </w:rPr>
        <w:t xml:space="preserve">Ann N Y </w:t>
      </w:r>
      <w:proofErr w:type="spellStart"/>
      <w:r w:rsidRPr="00372D52">
        <w:rPr>
          <w:rFonts w:ascii="Book Antiqua" w:hAnsi="Book Antiqua"/>
          <w:i/>
          <w:sz w:val="24"/>
          <w:szCs w:val="24"/>
        </w:rPr>
        <w:t>Acad</w:t>
      </w:r>
      <w:proofErr w:type="spellEnd"/>
      <w:r w:rsidRPr="00372D52">
        <w:rPr>
          <w:rFonts w:ascii="Book Antiqua" w:hAnsi="Book Antiqua"/>
          <w:i/>
          <w:sz w:val="24"/>
          <w:szCs w:val="24"/>
        </w:rPr>
        <w:t xml:space="preserve"> Sci</w:t>
      </w:r>
      <w:r w:rsidRPr="00372D52">
        <w:rPr>
          <w:rFonts w:ascii="Book Antiqua" w:hAnsi="Book Antiqua"/>
          <w:sz w:val="24"/>
          <w:szCs w:val="24"/>
        </w:rPr>
        <w:t xml:space="preserve"> 1994; </w:t>
      </w:r>
      <w:r w:rsidRPr="00372D52">
        <w:rPr>
          <w:rFonts w:ascii="Book Antiqua" w:hAnsi="Book Antiqua"/>
          <w:b/>
          <w:sz w:val="24"/>
          <w:szCs w:val="24"/>
        </w:rPr>
        <w:t>725</w:t>
      </w:r>
      <w:r w:rsidRPr="00372D52">
        <w:rPr>
          <w:rFonts w:ascii="Book Antiqua" w:hAnsi="Book Antiqua"/>
          <w:sz w:val="24"/>
          <w:szCs w:val="24"/>
        </w:rPr>
        <w:t>: 128-145 [PMID: 8030984 DOI: 10.1111/j.1749-</w:t>
      </w:r>
      <w:proofErr w:type="gramStart"/>
      <w:r w:rsidRPr="00372D52">
        <w:rPr>
          <w:rFonts w:ascii="Book Antiqua" w:hAnsi="Book Antiqua"/>
          <w:sz w:val="24"/>
          <w:szCs w:val="24"/>
        </w:rPr>
        <w:t>6632.1994.tb</w:t>
      </w:r>
      <w:proofErr w:type="gramEnd"/>
      <w:r w:rsidRPr="00372D52">
        <w:rPr>
          <w:rFonts w:ascii="Book Antiqua" w:hAnsi="Book Antiqua"/>
          <w:sz w:val="24"/>
          <w:szCs w:val="24"/>
        </w:rPr>
        <w:t>00275.x]</w:t>
      </w:r>
    </w:p>
    <w:p w14:paraId="58B6F68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10 </w:t>
      </w:r>
      <w:proofErr w:type="spellStart"/>
      <w:r w:rsidRPr="00372D52">
        <w:rPr>
          <w:rFonts w:ascii="Book Antiqua" w:hAnsi="Book Antiqua"/>
          <w:b/>
          <w:sz w:val="24"/>
          <w:szCs w:val="24"/>
        </w:rPr>
        <w:t>Kaisho</w:t>
      </w:r>
      <w:proofErr w:type="spellEnd"/>
      <w:r w:rsidRPr="00372D52">
        <w:rPr>
          <w:rFonts w:ascii="Book Antiqua" w:hAnsi="Book Antiqua"/>
          <w:b/>
          <w:sz w:val="24"/>
          <w:szCs w:val="24"/>
        </w:rPr>
        <w:t xml:space="preserve"> T</w:t>
      </w:r>
      <w:r w:rsidRPr="00372D52">
        <w:rPr>
          <w:rFonts w:ascii="Book Antiqua" w:hAnsi="Book Antiqua"/>
          <w:sz w:val="24"/>
          <w:szCs w:val="24"/>
        </w:rPr>
        <w:t xml:space="preserve">, Akira S. Toll-like receptor function and signaling. </w:t>
      </w:r>
      <w:r w:rsidRPr="00372D52">
        <w:rPr>
          <w:rFonts w:ascii="Book Antiqua" w:hAnsi="Book Antiqua"/>
          <w:i/>
          <w:sz w:val="24"/>
          <w:szCs w:val="24"/>
        </w:rPr>
        <w:t>J Allergy Clin Immunol</w:t>
      </w:r>
      <w:r w:rsidRPr="00372D52">
        <w:rPr>
          <w:rFonts w:ascii="Book Antiqua" w:hAnsi="Book Antiqua"/>
          <w:sz w:val="24"/>
          <w:szCs w:val="24"/>
        </w:rPr>
        <w:t xml:space="preserve"> 2006; </w:t>
      </w:r>
      <w:r w:rsidRPr="00372D52">
        <w:rPr>
          <w:rFonts w:ascii="Book Antiqua" w:hAnsi="Book Antiqua"/>
          <w:b/>
          <w:sz w:val="24"/>
          <w:szCs w:val="24"/>
        </w:rPr>
        <w:t>117</w:t>
      </w:r>
      <w:r w:rsidRPr="00372D52">
        <w:rPr>
          <w:rFonts w:ascii="Book Antiqua" w:hAnsi="Book Antiqua"/>
          <w:sz w:val="24"/>
          <w:szCs w:val="24"/>
        </w:rPr>
        <w:t>: 979-87; quiz 988 [PMID: 16675322 DOI: 10.1016/j.jaci.2006.02.023]</w:t>
      </w:r>
    </w:p>
    <w:p w14:paraId="7E1D21C3"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11 </w:t>
      </w:r>
      <w:proofErr w:type="spellStart"/>
      <w:r w:rsidRPr="00372D52">
        <w:rPr>
          <w:rFonts w:ascii="Book Antiqua" w:hAnsi="Book Antiqua"/>
          <w:b/>
          <w:sz w:val="24"/>
          <w:szCs w:val="24"/>
        </w:rPr>
        <w:t>Toossi</w:t>
      </w:r>
      <w:proofErr w:type="spellEnd"/>
      <w:r w:rsidRPr="00372D52">
        <w:rPr>
          <w:rFonts w:ascii="Book Antiqua" w:hAnsi="Book Antiqua"/>
          <w:b/>
          <w:sz w:val="24"/>
          <w:szCs w:val="24"/>
        </w:rPr>
        <w:t xml:space="preserve"> Z</w:t>
      </w:r>
      <w:r w:rsidRPr="00372D52">
        <w:rPr>
          <w:rFonts w:ascii="Book Antiqua" w:hAnsi="Book Antiqua"/>
          <w:sz w:val="24"/>
          <w:szCs w:val="24"/>
        </w:rPr>
        <w:t xml:space="preserve">, Hirsch CS, Hamilton BD, Knuth CK, Friedlander MA, Rich EA. Decreased production of TGF-beta 1 by human alveolar macrophages compared with blood monocytes. </w:t>
      </w:r>
      <w:r w:rsidRPr="00372D52">
        <w:rPr>
          <w:rFonts w:ascii="Book Antiqua" w:hAnsi="Book Antiqua"/>
          <w:i/>
          <w:sz w:val="24"/>
          <w:szCs w:val="24"/>
        </w:rPr>
        <w:t>J Immunol</w:t>
      </w:r>
      <w:r w:rsidRPr="00372D52">
        <w:rPr>
          <w:rFonts w:ascii="Book Antiqua" w:hAnsi="Book Antiqua"/>
          <w:sz w:val="24"/>
          <w:szCs w:val="24"/>
        </w:rPr>
        <w:t xml:space="preserve"> 1996; </w:t>
      </w:r>
      <w:r w:rsidRPr="00372D52">
        <w:rPr>
          <w:rFonts w:ascii="Book Antiqua" w:hAnsi="Book Antiqua"/>
          <w:b/>
          <w:sz w:val="24"/>
          <w:szCs w:val="24"/>
        </w:rPr>
        <w:t>156</w:t>
      </w:r>
      <w:r w:rsidRPr="00372D52">
        <w:rPr>
          <w:rFonts w:ascii="Book Antiqua" w:hAnsi="Book Antiqua"/>
          <w:sz w:val="24"/>
          <w:szCs w:val="24"/>
        </w:rPr>
        <w:t>: 3461-3468 [PMID: 8617974]</w:t>
      </w:r>
    </w:p>
    <w:p w14:paraId="3EA52BED"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12 </w:t>
      </w:r>
      <w:proofErr w:type="spellStart"/>
      <w:r w:rsidRPr="00372D52">
        <w:rPr>
          <w:rFonts w:ascii="Book Antiqua" w:hAnsi="Book Antiqua"/>
          <w:b/>
          <w:sz w:val="24"/>
          <w:szCs w:val="24"/>
        </w:rPr>
        <w:t>Pierrakos</w:t>
      </w:r>
      <w:proofErr w:type="spellEnd"/>
      <w:r w:rsidRPr="00372D52">
        <w:rPr>
          <w:rFonts w:ascii="Book Antiqua" w:hAnsi="Book Antiqua"/>
          <w:b/>
          <w:sz w:val="24"/>
          <w:szCs w:val="24"/>
        </w:rPr>
        <w:t xml:space="preserve"> C</w:t>
      </w:r>
      <w:r w:rsidRPr="00372D52">
        <w:rPr>
          <w:rFonts w:ascii="Book Antiqua" w:hAnsi="Book Antiqua"/>
          <w:sz w:val="24"/>
          <w:szCs w:val="24"/>
        </w:rPr>
        <w:t xml:space="preserve">, </w:t>
      </w:r>
      <w:proofErr w:type="spellStart"/>
      <w:r w:rsidRPr="00372D52">
        <w:rPr>
          <w:rFonts w:ascii="Book Antiqua" w:hAnsi="Book Antiqua"/>
          <w:sz w:val="24"/>
          <w:szCs w:val="24"/>
        </w:rPr>
        <w:t>Karanikolas</w:t>
      </w:r>
      <w:proofErr w:type="spellEnd"/>
      <w:r w:rsidRPr="00372D52">
        <w:rPr>
          <w:rFonts w:ascii="Book Antiqua" w:hAnsi="Book Antiqua"/>
          <w:sz w:val="24"/>
          <w:szCs w:val="24"/>
        </w:rPr>
        <w:t xml:space="preserve"> M, </w:t>
      </w:r>
      <w:proofErr w:type="spellStart"/>
      <w:r w:rsidRPr="00372D52">
        <w:rPr>
          <w:rFonts w:ascii="Book Antiqua" w:hAnsi="Book Antiqua"/>
          <w:sz w:val="24"/>
          <w:szCs w:val="24"/>
        </w:rPr>
        <w:t>Scolletta</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Karamouzos</w:t>
      </w:r>
      <w:proofErr w:type="spellEnd"/>
      <w:r w:rsidRPr="00372D52">
        <w:rPr>
          <w:rFonts w:ascii="Book Antiqua" w:hAnsi="Book Antiqua"/>
          <w:sz w:val="24"/>
          <w:szCs w:val="24"/>
        </w:rPr>
        <w:t xml:space="preserve"> V, </w:t>
      </w:r>
      <w:proofErr w:type="spellStart"/>
      <w:r w:rsidRPr="00372D52">
        <w:rPr>
          <w:rFonts w:ascii="Book Antiqua" w:hAnsi="Book Antiqua"/>
          <w:sz w:val="24"/>
          <w:szCs w:val="24"/>
        </w:rPr>
        <w:t>Velissaris</w:t>
      </w:r>
      <w:proofErr w:type="spellEnd"/>
      <w:r w:rsidRPr="00372D52">
        <w:rPr>
          <w:rFonts w:ascii="Book Antiqua" w:hAnsi="Book Antiqua"/>
          <w:sz w:val="24"/>
          <w:szCs w:val="24"/>
        </w:rPr>
        <w:t xml:space="preserve"> D. Acute respiratory distress syndrome: pathophysiology and therapeutic options. </w:t>
      </w:r>
      <w:r w:rsidRPr="00372D52">
        <w:rPr>
          <w:rFonts w:ascii="Book Antiqua" w:hAnsi="Book Antiqua"/>
          <w:i/>
          <w:sz w:val="24"/>
          <w:szCs w:val="24"/>
        </w:rPr>
        <w:t>J Clin Med Res</w:t>
      </w:r>
      <w:r w:rsidRPr="00372D52">
        <w:rPr>
          <w:rFonts w:ascii="Book Antiqua" w:hAnsi="Book Antiqua"/>
          <w:sz w:val="24"/>
          <w:szCs w:val="24"/>
        </w:rPr>
        <w:t xml:space="preserve"> 2012; </w:t>
      </w:r>
      <w:r w:rsidRPr="00372D52">
        <w:rPr>
          <w:rFonts w:ascii="Book Antiqua" w:hAnsi="Book Antiqua"/>
          <w:b/>
          <w:sz w:val="24"/>
          <w:szCs w:val="24"/>
        </w:rPr>
        <w:t>4</w:t>
      </w:r>
      <w:r w:rsidRPr="00372D52">
        <w:rPr>
          <w:rFonts w:ascii="Book Antiqua" w:hAnsi="Book Antiqua"/>
          <w:sz w:val="24"/>
          <w:szCs w:val="24"/>
        </w:rPr>
        <w:t>: 7-16 [PMID: 22383921 DOI: 10.4021/jocmr761w]</w:t>
      </w:r>
    </w:p>
    <w:p w14:paraId="61930720"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13 </w:t>
      </w:r>
      <w:r w:rsidRPr="00372D52">
        <w:rPr>
          <w:rFonts w:ascii="Book Antiqua" w:hAnsi="Book Antiqua"/>
          <w:b/>
          <w:sz w:val="24"/>
          <w:szCs w:val="24"/>
        </w:rPr>
        <w:t>Windsor AC</w:t>
      </w:r>
      <w:r w:rsidRPr="00372D52">
        <w:rPr>
          <w:rFonts w:ascii="Book Antiqua" w:hAnsi="Book Antiqua"/>
          <w:sz w:val="24"/>
          <w:szCs w:val="24"/>
        </w:rPr>
        <w:t xml:space="preserve">, Mullen PG, Fowler AA, </w:t>
      </w:r>
      <w:proofErr w:type="spellStart"/>
      <w:r w:rsidRPr="00372D52">
        <w:rPr>
          <w:rFonts w:ascii="Book Antiqua" w:hAnsi="Book Antiqua"/>
          <w:sz w:val="24"/>
          <w:szCs w:val="24"/>
        </w:rPr>
        <w:t>Sugerman</w:t>
      </w:r>
      <w:proofErr w:type="spellEnd"/>
      <w:r w:rsidRPr="00372D52">
        <w:rPr>
          <w:rFonts w:ascii="Book Antiqua" w:hAnsi="Book Antiqua"/>
          <w:sz w:val="24"/>
          <w:szCs w:val="24"/>
        </w:rPr>
        <w:t xml:space="preserve"> HJ. Role of the neutrophil in adult respiratory distress syndrome. </w:t>
      </w:r>
      <w:r w:rsidRPr="00372D52">
        <w:rPr>
          <w:rFonts w:ascii="Book Antiqua" w:hAnsi="Book Antiqua"/>
          <w:i/>
          <w:sz w:val="24"/>
          <w:szCs w:val="24"/>
        </w:rPr>
        <w:t>Br J Surg</w:t>
      </w:r>
      <w:r w:rsidRPr="00372D52">
        <w:rPr>
          <w:rFonts w:ascii="Book Antiqua" w:hAnsi="Book Antiqua"/>
          <w:sz w:val="24"/>
          <w:szCs w:val="24"/>
        </w:rPr>
        <w:t xml:space="preserve"> 1993; </w:t>
      </w:r>
      <w:r w:rsidRPr="00372D52">
        <w:rPr>
          <w:rFonts w:ascii="Book Antiqua" w:hAnsi="Book Antiqua"/>
          <w:b/>
          <w:sz w:val="24"/>
          <w:szCs w:val="24"/>
        </w:rPr>
        <w:t>80</w:t>
      </w:r>
      <w:r w:rsidRPr="00372D52">
        <w:rPr>
          <w:rFonts w:ascii="Book Antiqua" w:hAnsi="Book Antiqua"/>
          <w:sz w:val="24"/>
          <w:szCs w:val="24"/>
        </w:rPr>
        <w:t>: 10-17 [PMID: 8428262 DOI: 10.1002/bjs.1800800106]</w:t>
      </w:r>
    </w:p>
    <w:p w14:paraId="6085434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14 </w:t>
      </w:r>
      <w:proofErr w:type="spellStart"/>
      <w:r w:rsidRPr="00372D52">
        <w:rPr>
          <w:rFonts w:ascii="Book Antiqua" w:hAnsi="Book Antiqua"/>
          <w:b/>
          <w:sz w:val="24"/>
          <w:szCs w:val="24"/>
        </w:rPr>
        <w:t>Gadek</w:t>
      </w:r>
      <w:proofErr w:type="spellEnd"/>
      <w:r w:rsidRPr="00372D52">
        <w:rPr>
          <w:rFonts w:ascii="Book Antiqua" w:hAnsi="Book Antiqua"/>
          <w:b/>
          <w:sz w:val="24"/>
          <w:szCs w:val="24"/>
        </w:rPr>
        <w:t xml:space="preserve"> JE</w:t>
      </w:r>
      <w:r w:rsidRPr="00372D52">
        <w:rPr>
          <w:rFonts w:ascii="Book Antiqua" w:hAnsi="Book Antiqua"/>
          <w:sz w:val="24"/>
          <w:szCs w:val="24"/>
        </w:rPr>
        <w:t xml:space="preserve">, </w:t>
      </w:r>
      <w:proofErr w:type="spellStart"/>
      <w:r w:rsidRPr="00372D52">
        <w:rPr>
          <w:rFonts w:ascii="Book Antiqua" w:hAnsi="Book Antiqua"/>
          <w:sz w:val="24"/>
          <w:szCs w:val="24"/>
        </w:rPr>
        <w:t>Pacht</w:t>
      </w:r>
      <w:proofErr w:type="spellEnd"/>
      <w:r w:rsidRPr="00372D52">
        <w:rPr>
          <w:rFonts w:ascii="Book Antiqua" w:hAnsi="Book Antiqua"/>
          <w:sz w:val="24"/>
          <w:szCs w:val="24"/>
        </w:rPr>
        <w:t xml:space="preserve"> ER. The interdependence of lung antioxidants and antiprotease defense in ARDS. </w:t>
      </w:r>
      <w:r w:rsidRPr="00372D52">
        <w:rPr>
          <w:rFonts w:ascii="Book Antiqua" w:hAnsi="Book Antiqua"/>
          <w:i/>
          <w:sz w:val="24"/>
          <w:szCs w:val="24"/>
        </w:rPr>
        <w:t>Chest</w:t>
      </w:r>
      <w:r w:rsidRPr="00372D52">
        <w:rPr>
          <w:rFonts w:ascii="Book Antiqua" w:hAnsi="Book Antiqua"/>
          <w:sz w:val="24"/>
          <w:szCs w:val="24"/>
        </w:rPr>
        <w:t xml:space="preserve"> 1996; </w:t>
      </w:r>
      <w:r w:rsidRPr="00372D52">
        <w:rPr>
          <w:rFonts w:ascii="Book Antiqua" w:hAnsi="Book Antiqua"/>
          <w:b/>
          <w:sz w:val="24"/>
          <w:szCs w:val="24"/>
        </w:rPr>
        <w:t>110</w:t>
      </w:r>
      <w:r w:rsidRPr="00372D52">
        <w:rPr>
          <w:rFonts w:ascii="Book Antiqua" w:hAnsi="Book Antiqua"/>
          <w:sz w:val="24"/>
          <w:szCs w:val="24"/>
        </w:rPr>
        <w:t>: 273S-277S [PMID: 8989164 DOI: 10.1378/chest.110.6_Supplement.273S]</w:t>
      </w:r>
    </w:p>
    <w:p w14:paraId="73729670"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15 </w:t>
      </w:r>
      <w:proofErr w:type="spellStart"/>
      <w:r w:rsidRPr="00372D52">
        <w:rPr>
          <w:rFonts w:ascii="Book Antiqua" w:hAnsi="Book Antiqua"/>
          <w:b/>
          <w:sz w:val="24"/>
          <w:szCs w:val="24"/>
        </w:rPr>
        <w:t>Moine</w:t>
      </w:r>
      <w:proofErr w:type="spellEnd"/>
      <w:r w:rsidRPr="00372D52">
        <w:rPr>
          <w:rFonts w:ascii="Book Antiqua" w:hAnsi="Book Antiqua"/>
          <w:b/>
          <w:sz w:val="24"/>
          <w:szCs w:val="24"/>
        </w:rPr>
        <w:t xml:space="preserve"> P</w:t>
      </w:r>
      <w:r w:rsidRPr="00372D52">
        <w:rPr>
          <w:rFonts w:ascii="Book Antiqua" w:hAnsi="Book Antiqua"/>
          <w:sz w:val="24"/>
          <w:szCs w:val="24"/>
        </w:rPr>
        <w:t xml:space="preserve">, McIntyre R, Schwartz MD, Kaneko D, </w:t>
      </w:r>
      <w:proofErr w:type="spellStart"/>
      <w:r w:rsidRPr="00372D52">
        <w:rPr>
          <w:rFonts w:ascii="Book Antiqua" w:hAnsi="Book Antiqua"/>
          <w:sz w:val="24"/>
          <w:szCs w:val="24"/>
        </w:rPr>
        <w:t>Shenkar</w:t>
      </w:r>
      <w:proofErr w:type="spellEnd"/>
      <w:r w:rsidRPr="00372D52">
        <w:rPr>
          <w:rFonts w:ascii="Book Antiqua" w:hAnsi="Book Antiqua"/>
          <w:sz w:val="24"/>
          <w:szCs w:val="24"/>
        </w:rPr>
        <w:t xml:space="preserve"> R, Le </w:t>
      </w:r>
      <w:proofErr w:type="spellStart"/>
      <w:r w:rsidRPr="00372D52">
        <w:rPr>
          <w:rFonts w:ascii="Book Antiqua" w:hAnsi="Book Antiqua"/>
          <w:sz w:val="24"/>
          <w:szCs w:val="24"/>
        </w:rPr>
        <w:t>Tulzo</w:t>
      </w:r>
      <w:proofErr w:type="spellEnd"/>
      <w:r w:rsidRPr="00372D52">
        <w:rPr>
          <w:rFonts w:ascii="Book Antiqua" w:hAnsi="Book Antiqua"/>
          <w:sz w:val="24"/>
          <w:szCs w:val="24"/>
        </w:rPr>
        <w:t xml:space="preserve"> Y, Moore EE, Abraham E. NF-</w:t>
      </w:r>
      <w:proofErr w:type="spellStart"/>
      <w:r w:rsidRPr="00372D52">
        <w:rPr>
          <w:rFonts w:ascii="Book Antiqua" w:hAnsi="Book Antiqua"/>
          <w:sz w:val="24"/>
          <w:szCs w:val="24"/>
        </w:rPr>
        <w:t>kappaB</w:t>
      </w:r>
      <w:proofErr w:type="spellEnd"/>
      <w:r w:rsidRPr="00372D52">
        <w:rPr>
          <w:rFonts w:ascii="Book Antiqua" w:hAnsi="Book Antiqua"/>
          <w:sz w:val="24"/>
          <w:szCs w:val="24"/>
        </w:rPr>
        <w:t xml:space="preserve"> regulatory mechanisms in alveolar macrophages from patients with acute respiratory distress syndrome. </w:t>
      </w:r>
      <w:r w:rsidRPr="00372D52">
        <w:rPr>
          <w:rFonts w:ascii="Book Antiqua" w:hAnsi="Book Antiqua"/>
          <w:i/>
          <w:sz w:val="24"/>
          <w:szCs w:val="24"/>
        </w:rPr>
        <w:t>Shock</w:t>
      </w:r>
      <w:r w:rsidRPr="00372D52">
        <w:rPr>
          <w:rFonts w:ascii="Book Antiqua" w:hAnsi="Book Antiqua"/>
          <w:sz w:val="24"/>
          <w:szCs w:val="24"/>
        </w:rPr>
        <w:t xml:space="preserve"> 2000; </w:t>
      </w:r>
      <w:r w:rsidRPr="00372D52">
        <w:rPr>
          <w:rFonts w:ascii="Book Antiqua" w:hAnsi="Book Antiqua"/>
          <w:b/>
          <w:sz w:val="24"/>
          <w:szCs w:val="24"/>
        </w:rPr>
        <w:t>13</w:t>
      </w:r>
      <w:r w:rsidRPr="00372D52">
        <w:rPr>
          <w:rFonts w:ascii="Book Antiqua" w:hAnsi="Book Antiqua"/>
          <w:sz w:val="24"/>
          <w:szCs w:val="24"/>
        </w:rPr>
        <w:t>: 85-91 [PMID: 10670837 DOI: 10.1097/00024382-200013020-00001]</w:t>
      </w:r>
    </w:p>
    <w:p w14:paraId="0E0247DE" w14:textId="7D13E33A" w:rsidR="00372D52" w:rsidRPr="00372D52" w:rsidRDefault="00372D52" w:rsidP="00372D52">
      <w:pPr>
        <w:spacing w:after="0" w:line="360" w:lineRule="auto"/>
        <w:jc w:val="both"/>
        <w:rPr>
          <w:rFonts w:ascii="Book Antiqua" w:hAnsi="Book Antiqua"/>
          <w:sz w:val="24"/>
          <w:szCs w:val="24"/>
        </w:rPr>
      </w:pPr>
      <w:r w:rsidRPr="0065487E">
        <w:rPr>
          <w:rFonts w:ascii="Book Antiqua" w:hAnsi="Book Antiqua"/>
          <w:sz w:val="24"/>
          <w:szCs w:val="24"/>
          <w:highlight w:val="yellow"/>
        </w:rPr>
        <w:t xml:space="preserve">16 </w:t>
      </w:r>
      <w:r w:rsidRPr="0065487E">
        <w:rPr>
          <w:rFonts w:ascii="Book Antiqua" w:hAnsi="Book Antiqua"/>
          <w:b/>
          <w:bCs/>
          <w:sz w:val="24"/>
          <w:szCs w:val="24"/>
          <w:highlight w:val="yellow"/>
        </w:rPr>
        <w:t>Amur S</w:t>
      </w:r>
      <w:r w:rsidRPr="0065487E">
        <w:rPr>
          <w:rFonts w:ascii="Book Antiqua" w:hAnsi="Book Antiqua"/>
          <w:sz w:val="24"/>
          <w:szCs w:val="24"/>
          <w:highlight w:val="yellow"/>
        </w:rPr>
        <w:t xml:space="preserve">. Biomarker Terminology: Speaking </w:t>
      </w:r>
      <w:proofErr w:type="gramStart"/>
      <w:r w:rsidRPr="0065487E">
        <w:rPr>
          <w:rFonts w:ascii="Book Antiqua" w:hAnsi="Book Antiqua"/>
          <w:sz w:val="24"/>
          <w:szCs w:val="24"/>
          <w:highlight w:val="yellow"/>
        </w:rPr>
        <w:t>The</w:t>
      </w:r>
      <w:proofErr w:type="gramEnd"/>
      <w:r w:rsidRPr="0065487E">
        <w:rPr>
          <w:rFonts w:ascii="Book Antiqua" w:hAnsi="Book Antiqua"/>
          <w:sz w:val="24"/>
          <w:szCs w:val="24"/>
          <w:highlight w:val="yellow"/>
        </w:rPr>
        <w:t xml:space="preserve"> Same Language [Internet]. </w:t>
      </w:r>
      <w:r w:rsidR="0065487E" w:rsidRPr="0065487E">
        <w:rPr>
          <w:rFonts w:ascii="Book Antiqua" w:hAnsi="Book Antiqua"/>
          <w:sz w:val="24"/>
          <w:szCs w:val="24"/>
          <w:highlight w:val="yellow"/>
        </w:rPr>
        <w:t xml:space="preserve">2019 </w:t>
      </w:r>
      <w:r w:rsidRPr="0065487E">
        <w:rPr>
          <w:rFonts w:ascii="Book Antiqua" w:hAnsi="Book Antiqua"/>
          <w:sz w:val="24"/>
          <w:szCs w:val="24"/>
          <w:highlight w:val="yellow"/>
        </w:rPr>
        <w:t>Available from: https://www.fda.gov/downloads/Drugs/DevelopmentApprovalProcess/DrugDevelopmentToolsQualificationProgram/UCM533161.pdf</w:t>
      </w:r>
    </w:p>
    <w:p w14:paraId="088BC8D3"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17 </w:t>
      </w:r>
      <w:r w:rsidRPr="00372D52">
        <w:rPr>
          <w:rFonts w:ascii="Book Antiqua" w:hAnsi="Book Antiqua"/>
          <w:b/>
          <w:sz w:val="24"/>
          <w:szCs w:val="24"/>
        </w:rPr>
        <w:t>Torres A</w:t>
      </w:r>
      <w:r w:rsidRPr="00372D52">
        <w:rPr>
          <w:rFonts w:ascii="Book Antiqua" w:hAnsi="Book Antiqua"/>
          <w:sz w:val="24"/>
          <w:szCs w:val="24"/>
        </w:rPr>
        <w:t xml:space="preserve">, </w:t>
      </w:r>
      <w:proofErr w:type="spellStart"/>
      <w:r w:rsidRPr="00372D52">
        <w:rPr>
          <w:rFonts w:ascii="Book Antiqua" w:hAnsi="Book Antiqua"/>
          <w:sz w:val="24"/>
          <w:szCs w:val="24"/>
        </w:rPr>
        <w:t>Sibila</w:t>
      </w:r>
      <w:proofErr w:type="spellEnd"/>
      <w:r w:rsidRPr="00372D52">
        <w:rPr>
          <w:rFonts w:ascii="Book Antiqua" w:hAnsi="Book Antiqua"/>
          <w:sz w:val="24"/>
          <w:szCs w:val="24"/>
        </w:rPr>
        <w:t xml:space="preserve"> O, Ferrer M, </w:t>
      </w:r>
      <w:proofErr w:type="spellStart"/>
      <w:r w:rsidRPr="00372D52">
        <w:rPr>
          <w:rFonts w:ascii="Book Antiqua" w:hAnsi="Book Antiqua"/>
          <w:sz w:val="24"/>
          <w:szCs w:val="24"/>
        </w:rPr>
        <w:t>Polverino</w:t>
      </w:r>
      <w:proofErr w:type="spellEnd"/>
      <w:r w:rsidRPr="00372D52">
        <w:rPr>
          <w:rFonts w:ascii="Book Antiqua" w:hAnsi="Book Antiqua"/>
          <w:sz w:val="24"/>
          <w:szCs w:val="24"/>
        </w:rPr>
        <w:t xml:space="preserve"> E, Menendez R, Mensa J, </w:t>
      </w:r>
      <w:proofErr w:type="spellStart"/>
      <w:r w:rsidRPr="00372D52">
        <w:rPr>
          <w:rFonts w:ascii="Book Antiqua" w:hAnsi="Book Antiqua"/>
          <w:sz w:val="24"/>
          <w:szCs w:val="24"/>
        </w:rPr>
        <w:t>Gabarrús</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Sellarés</w:t>
      </w:r>
      <w:proofErr w:type="spellEnd"/>
      <w:r w:rsidRPr="00372D52">
        <w:rPr>
          <w:rFonts w:ascii="Book Antiqua" w:hAnsi="Book Antiqua"/>
          <w:sz w:val="24"/>
          <w:szCs w:val="24"/>
        </w:rPr>
        <w:t xml:space="preserve"> J, Restrepo MI, </w:t>
      </w:r>
      <w:proofErr w:type="spellStart"/>
      <w:r w:rsidRPr="00372D52">
        <w:rPr>
          <w:rFonts w:ascii="Book Antiqua" w:hAnsi="Book Antiqua"/>
          <w:sz w:val="24"/>
          <w:szCs w:val="24"/>
        </w:rPr>
        <w:t>Anzueto</w:t>
      </w:r>
      <w:proofErr w:type="spellEnd"/>
      <w:r w:rsidRPr="00372D52">
        <w:rPr>
          <w:rFonts w:ascii="Book Antiqua" w:hAnsi="Book Antiqua"/>
          <w:sz w:val="24"/>
          <w:szCs w:val="24"/>
        </w:rPr>
        <w:t xml:space="preserve"> A, Niederman MS, </w:t>
      </w:r>
      <w:proofErr w:type="spellStart"/>
      <w:r w:rsidRPr="00372D52">
        <w:rPr>
          <w:rFonts w:ascii="Book Antiqua" w:hAnsi="Book Antiqua"/>
          <w:sz w:val="24"/>
          <w:szCs w:val="24"/>
        </w:rPr>
        <w:t>Agustí</w:t>
      </w:r>
      <w:proofErr w:type="spellEnd"/>
      <w:r w:rsidRPr="00372D52">
        <w:rPr>
          <w:rFonts w:ascii="Book Antiqua" w:hAnsi="Book Antiqua"/>
          <w:sz w:val="24"/>
          <w:szCs w:val="24"/>
        </w:rPr>
        <w:t xml:space="preserve"> C. Effect of corticosteroids on treatment failure among hospitalized patients with severe community-acquired </w:t>
      </w:r>
      <w:r w:rsidRPr="00372D52">
        <w:rPr>
          <w:rFonts w:ascii="Book Antiqua" w:hAnsi="Book Antiqua"/>
          <w:sz w:val="24"/>
          <w:szCs w:val="24"/>
        </w:rPr>
        <w:lastRenderedPageBreak/>
        <w:t xml:space="preserve">pneumonia and high inflammatory response: a randomized clinical trial. </w:t>
      </w:r>
      <w:r w:rsidRPr="00372D52">
        <w:rPr>
          <w:rFonts w:ascii="Book Antiqua" w:hAnsi="Book Antiqua"/>
          <w:i/>
          <w:sz w:val="24"/>
          <w:szCs w:val="24"/>
        </w:rPr>
        <w:t>JAMA</w:t>
      </w:r>
      <w:r w:rsidRPr="00372D52">
        <w:rPr>
          <w:rFonts w:ascii="Book Antiqua" w:hAnsi="Book Antiqua"/>
          <w:sz w:val="24"/>
          <w:szCs w:val="24"/>
        </w:rPr>
        <w:t xml:space="preserve"> 2015; </w:t>
      </w:r>
      <w:r w:rsidRPr="00372D52">
        <w:rPr>
          <w:rFonts w:ascii="Book Antiqua" w:hAnsi="Book Antiqua"/>
          <w:b/>
          <w:sz w:val="24"/>
          <w:szCs w:val="24"/>
        </w:rPr>
        <w:t>313</w:t>
      </w:r>
      <w:r w:rsidRPr="00372D52">
        <w:rPr>
          <w:rFonts w:ascii="Book Antiqua" w:hAnsi="Book Antiqua"/>
          <w:sz w:val="24"/>
          <w:szCs w:val="24"/>
        </w:rPr>
        <w:t>: 677-686 [PMID: 25688779 DOI: 10.1001/jama.2015.88]</w:t>
      </w:r>
    </w:p>
    <w:p w14:paraId="75A3EA77"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18 </w:t>
      </w:r>
      <w:r w:rsidRPr="00372D52">
        <w:rPr>
          <w:rFonts w:ascii="Book Antiqua" w:hAnsi="Book Antiqua"/>
          <w:b/>
          <w:sz w:val="24"/>
          <w:szCs w:val="24"/>
        </w:rPr>
        <w:t>Tillett WS</w:t>
      </w:r>
      <w:r w:rsidRPr="00372D52">
        <w:rPr>
          <w:rFonts w:ascii="Book Antiqua" w:hAnsi="Book Antiqua"/>
          <w:sz w:val="24"/>
          <w:szCs w:val="24"/>
        </w:rPr>
        <w:t xml:space="preserve">, Francis T. SEROLOGICAL REACTIONS IN PNEUMONIA WITH A NON-PROTEIN SOMATIC FRACTION OF PNEUMOCOCCUS. </w:t>
      </w:r>
      <w:r w:rsidRPr="00372D52">
        <w:rPr>
          <w:rFonts w:ascii="Book Antiqua" w:hAnsi="Book Antiqua"/>
          <w:i/>
          <w:sz w:val="24"/>
          <w:szCs w:val="24"/>
        </w:rPr>
        <w:t>J Exp Med</w:t>
      </w:r>
      <w:r w:rsidRPr="00372D52">
        <w:rPr>
          <w:rFonts w:ascii="Book Antiqua" w:hAnsi="Book Antiqua"/>
          <w:sz w:val="24"/>
          <w:szCs w:val="24"/>
        </w:rPr>
        <w:t xml:space="preserve"> 1930; </w:t>
      </w:r>
      <w:r w:rsidRPr="00372D52">
        <w:rPr>
          <w:rFonts w:ascii="Book Antiqua" w:hAnsi="Book Antiqua"/>
          <w:b/>
          <w:sz w:val="24"/>
          <w:szCs w:val="24"/>
        </w:rPr>
        <w:t>52</w:t>
      </w:r>
      <w:r w:rsidRPr="00372D52">
        <w:rPr>
          <w:rFonts w:ascii="Book Antiqua" w:hAnsi="Book Antiqua"/>
          <w:sz w:val="24"/>
          <w:szCs w:val="24"/>
        </w:rPr>
        <w:t>: 561-571 [PMID: 19869788 DOI: 10.1084/jem.52.4.561]</w:t>
      </w:r>
    </w:p>
    <w:p w14:paraId="2C66D0B1" w14:textId="2778905A" w:rsidR="00372D52" w:rsidRPr="00372D52" w:rsidRDefault="00372D52" w:rsidP="00372D52">
      <w:pPr>
        <w:spacing w:after="0" w:line="360" w:lineRule="auto"/>
        <w:jc w:val="both"/>
        <w:rPr>
          <w:rFonts w:ascii="Book Antiqua" w:hAnsi="Book Antiqua"/>
          <w:sz w:val="24"/>
          <w:szCs w:val="24"/>
          <w:highlight w:val="yellow"/>
        </w:rPr>
      </w:pPr>
      <w:r w:rsidRPr="00372D52">
        <w:rPr>
          <w:rFonts w:ascii="Book Antiqua" w:hAnsi="Book Antiqua"/>
          <w:sz w:val="24"/>
          <w:szCs w:val="24"/>
          <w:highlight w:val="yellow"/>
        </w:rPr>
        <w:t xml:space="preserve">19 </w:t>
      </w:r>
      <w:bookmarkStart w:id="204" w:name="OLE_LINK94"/>
      <w:bookmarkStart w:id="205" w:name="OLE_LINK95"/>
      <w:r w:rsidRPr="00372D52">
        <w:rPr>
          <w:rFonts w:ascii="Book Antiqua" w:hAnsi="Book Antiqua"/>
          <w:b/>
          <w:sz w:val="24"/>
          <w:szCs w:val="24"/>
          <w:highlight w:val="yellow"/>
        </w:rPr>
        <w:t>Male D,</w:t>
      </w:r>
      <w:r w:rsidRPr="00372D52">
        <w:rPr>
          <w:rFonts w:ascii="Book Antiqua" w:hAnsi="Book Antiqua"/>
          <w:sz w:val="24"/>
          <w:szCs w:val="24"/>
          <w:highlight w:val="yellow"/>
        </w:rPr>
        <w:t xml:space="preserve"> </w:t>
      </w:r>
      <w:proofErr w:type="spellStart"/>
      <w:r w:rsidRPr="00372D52">
        <w:rPr>
          <w:rFonts w:ascii="Book Antiqua" w:hAnsi="Book Antiqua"/>
          <w:sz w:val="24"/>
          <w:szCs w:val="24"/>
          <w:highlight w:val="yellow"/>
        </w:rPr>
        <w:t>Brostoff</w:t>
      </w:r>
      <w:proofErr w:type="spellEnd"/>
      <w:r w:rsidRPr="00372D52">
        <w:rPr>
          <w:rFonts w:ascii="Book Antiqua" w:hAnsi="Book Antiqua"/>
          <w:sz w:val="24"/>
          <w:szCs w:val="24"/>
          <w:highlight w:val="yellow"/>
        </w:rPr>
        <w:t xml:space="preserve"> J, Roth D. Chapter 6: Mechanisms of </w:t>
      </w:r>
      <w:r w:rsidR="00D42981">
        <w:rPr>
          <w:rFonts w:ascii="Book Antiqua" w:hAnsi="Book Antiqua"/>
          <w:sz w:val="24"/>
          <w:szCs w:val="24"/>
          <w:highlight w:val="yellow"/>
        </w:rPr>
        <w:t xml:space="preserve">Innate </w:t>
      </w:r>
      <w:r w:rsidRPr="00372D52">
        <w:rPr>
          <w:rFonts w:ascii="Book Antiqua" w:hAnsi="Book Antiqua"/>
          <w:sz w:val="24"/>
          <w:szCs w:val="24"/>
          <w:highlight w:val="yellow"/>
        </w:rPr>
        <w:t>Injury. In</w:t>
      </w:r>
      <w:r w:rsidR="00D42981">
        <w:rPr>
          <w:rFonts w:ascii="Book Antiqua" w:hAnsi="Book Antiqua"/>
          <w:sz w:val="24"/>
          <w:szCs w:val="24"/>
          <w:highlight w:val="yellow"/>
        </w:rPr>
        <w:t>:</w:t>
      </w:r>
      <w:r w:rsidRPr="00372D52">
        <w:rPr>
          <w:rFonts w:ascii="Book Antiqua" w:hAnsi="Book Antiqua"/>
          <w:sz w:val="24"/>
          <w:szCs w:val="24"/>
          <w:highlight w:val="yellow"/>
        </w:rPr>
        <w:t xml:space="preserve"> Immunology.</w:t>
      </w:r>
      <w:r w:rsidR="00D42981" w:rsidRPr="00D42981">
        <w:rPr>
          <w:rFonts w:ascii="Book Antiqua" w:hAnsi="Book Antiqua"/>
          <w:sz w:val="24"/>
          <w:szCs w:val="24"/>
          <w:highlight w:val="yellow"/>
        </w:rPr>
        <w:t xml:space="preserve"> </w:t>
      </w:r>
      <w:r w:rsidR="00D42981">
        <w:rPr>
          <w:rFonts w:ascii="Book Antiqua" w:hAnsi="Book Antiqua"/>
          <w:sz w:val="24"/>
          <w:szCs w:val="24"/>
          <w:highlight w:val="yellow"/>
        </w:rPr>
        <w:t>8</w:t>
      </w:r>
      <w:r w:rsidR="00D42981" w:rsidRPr="00372D52">
        <w:rPr>
          <w:rFonts w:ascii="Book Antiqua" w:hAnsi="Book Antiqua"/>
          <w:sz w:val="24"/>
          <w:szCs w:val="24"/>
          <w:highlight w:val="yellow"/>
        </w:rPr>
        <w:t>th ed.</w:t>
      </w:r>
      <w:r w:rsidRPr="00372D52">
        <w:rPr>
          <w:rFonts w:ascii="Book Antiqua" w:hAnsi="Book Antiqua"/>
          <w:sz w:val="24"/>
          <w:szCs w:val="24"/>
          <w:highlight w:val="yellow"/>
        </w:rPr>
        <w:t xml:space="preserve"> </w:t>
      </w:r>
      <w:r w:rsidR="00D42981" w:rsidRPr="00372D52">
        <w:rPr>
          <w:rFonts w:ascii="Book Antiqua" w:hAnsi="Book Antiqua"/>
          <w:sz w:val="24"/>
          <w:szCs w:val="24"/>
          <w:highlight w:val="yellow"/>
        </w:rPr>
        <w:t>Elsevier</w:t>
      </w:r>
      <w:r w:rsidR="00D42981">
        <w:rPr>
          <w:rFonts w:ascii="Book Antiqua" w:hAnsi="Book Antiqua"/>
          <w:sz w:val="24"/>
          <w:szCs w:val="24"/>
          <w:highlight w:val="yellow"/>
        </w:rPr>
        <w:t>,</w:t>
      </w:r>
      <w:r w:rsidR="00D42981" w:rsidRPr="00372D52">
        <w:rPr>
          <w:rFonts w:ascii="Book Antiqua" w:hAnsi="Book Antiqua"/>
          <w:sz w:val="24"/>
          <w:szCs w:val="24"/>
          <w:highlight w:val="yellow"/>
        </w:rPr>
        <w:t xml:space="preserve"> </w:t>
      </w:r>
      <w:r w:rsidRPr="00372D52">
        <w:rPr>
          <w:rFonts w:ascii="Book Antiqua" w:hAnsi="Book Antiqua"/>
          <w:sz w:val="24"/>
          <w:szCs w:val="24"/>
          <w:highlight w:val="yellow"/>
        </w:rPr>
        <w:t>2013</w:t>
      </w:r>
      <w:bookmarkEnd w:id="204"/>
      <w:bookmarkEnd w:id="205"/>
    </w:p>
    <w:p w14:paraId="7F60DAB5" w14:textId="0B11DDF6"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highlight w:val="yellow"/>
        </w:rPr>
        <w:t xml:space="preserve">20 </w:t>
      </w:r>
      <w:proofErr w:type="spellStart"/>
      <w:r w:rsidRPr="00372D52">
        <w:rPr>
          <w:rFonts w:ascii="Book Antiqua" w:hAnsi="Book Antiqua"/>
          <w:b/>
          <w:sz w:val="24"/>
          <w:szCs w:val="24"/>
          <w:highlight w:val="yellow"/>
        </w:rPr>
        <w:t>Chernecky</w:t>
      </w:r>
      <w:proofErr w:type="spellEnd"/>
      <w:r w:rsidRPr="00372D52">
        <w:rPr>
          <w:rFonts w:ascii="Book Antiqua" w:hAnsi="Book Antiqua"/>
          <w:b/>
          <w:sz w:val="24"/>
          <w:szCs w:val="24"/>
          <w:highlight w:val="yellow"/>
        </w:rPr>
        <w:t xml:space="preserve"> CC,</w:t>
      </w:r>
      <w:r w:rsidRPr="00372D52">
        <w:rPr>
          <w:rFonts w:ascii="Book Antiqua" w:hAnsi="Book Antiqua"/>
          <w:sz w:val="24"/>
          <w:szCs w:val="24"/>
          <w:highlight w:val="yellow"/>
        </w:rPr>
        <w:t xml:space="preserve"> Berger BJ. </w:t>
      </w:r>
      <w:bookmarkStart w:id="206" w:name="OLE_LINK96"/>
      <w:bookmarkStart w:id="207" w:name="OLE_LINK97"/>
      <w:r w:rsidRPr="00372D52">
        <w:rPr>
          <w:rFonts w:ascii="Book Antiqua" w:hAnsi="Book Antiqua"/>
          <w:sz w:val="24"/>
          <w:szCs w:val="24"/>
          <w:highlight w:val="yellow"/>
        </w:rPr>
        <w:t>Laboratory Tests and Diagnostic Procedures. In: Laboratory tests and diagnostic procedures.</w:t>
      </w:r>
      <w:bookmarkEnd w:id="206"/>
      <w:bookmarkEnd w:id="207"/>
      <w:r w:rsidRPr="00372D52">
        <w:rPr>
          <w:rFonts w:ascii="Book Antiqua" w:hAnsi="Book Antiqua"/>
          <w:sz w:val="24"/>
          <w:szCs w:val="24"/>
          <w:highlight w:val="yellow"/>
        </w:rPr>
        <w:t xml:space="preserve"> 6th ed. St. Louis, MO: Elsevier Saunders; 2013</w:t>
      </w:r>
    </w:p>
    <w:p w14:paraId="41B34BBD"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21 </w:t>
      </w:r>
      <w:r w:rsidRPr="00372D52">
        <w:rPr>
          <w:rFonts w:ascii="Book Antiqua" w:hAnsi="Book Antiqua"/>
          <w:b/>
          <w:sz w:val="24"/>
          <w:szCs w:val="24"/>
        </w:rPr>
        <w:t>Ballou SP</w:t>
      </w:r>
      <w:r w:rsidRPr="00372D52">
        <w:rPr>
          <w:rFonts w:ascii="Book Antiqua" w:hAnsi="Book Antiqua"/>
          <w:sz w:val="24"/>
          <w:szCs w:val="24"/>
        </w:rPr>
        <w:t xml:space="preserve">, Kushner I. C-reactive protein and the acute phase response. </w:t>
      </w:r>
      <w:r w:rsidRPr="00372D52">
        <w:rPr>
          <w:rFonts w:ascii="Book Antiqua" w:hAnsi="Book Antiqua"/>
          <w:i/>
          <w:sz w:val="24"/>
          <w:szCs w:val="24"/>
        </w:rPr>
        <w:t>Adv Intern Med</w:t>
      </w:r>
      <w:r w:rsidRPr="00372D52">
        <w:rPr>
          <w:rFonts w:ascii="Book Antiqua" w:hAnsi="Book Antiqua"/>
          <w:sz w:val="24"/>
          <w:szCs w:val="24"/>
        </w:rPr>
        <w:t xml:space="preserve"> 1992; </w:t>
      </w:r>
      <w:r w:rsidRPr="00372D52">
        <w:rPr>
          <w:rFonts w:ascii="Book Antiqua" w:hAnsi="Book Antiqua"/>
          <w:b/>
          <w:sz w:val="24"/>
          <w:szCs w:val="24"/>
        </w:rPr>
        <w:t>37</w:t>
      </w:r>
      <w:r w:rsidRPr="00372D52">
        <w:rPr>
          <w:rFonts w:ascii="Book Antiqua" w:hAnsi="Book Antiqua"/>
          <w:sz w:val="24"/>
          <w:szCs w:val="24"/>
        </w:rPr>
        <w:t>: 313-336 [PMID: 1558000]</w:t>
      </w:r>
    </w:p>
    <w:p w14:paraId="166D606A" w14:textId="7ADC029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22 </w:t>
      </w:r>
      <w:proofErr w:type="spellStart"/>
      <w:r w:rsidRPr="00372D52">
        <w:rPr>
          <w:rFonts w:ascii="Book Antiqua" w:hAnsi="Book Antiqua"/>
          <w:b/>
          <w:sz w:val="24"/>
          <w:szCs w:val="24"/>
        </w:rPr>
        <w:t>Sibila</w:t>
      </w:r>
      <w:proofErr w:type="spellEnd"/>
      <w:r w:rsidRPr="00372D52">
        <w:rPr>
          <w:rFonts w:ascii="Book Antiqua" w:hAnsi="Book Antiqua"/>
          <w:b/>
          <w:sz w:val="24"/>
          <w:szCs w:val="24"/>
        </w:rPr>
        <w:t xml:space="preserve"> O</w:t>
      </w:r>
      <w:r w:rsidRPr="00372D52">
        <w:rPr>
          <w:rFonts w:ascii="Book Antiqua" w:hAnsi="Book Antiqua"/>
          <w:sz w:val="24"/>
          <w:szCs w:val="24"/>
        </w:rPr>
        <w:t xml:space="preserve">, Restrepo MI. Biomarkers in community-acquired pneumonia: still searching for the one. </w:t>
      </w:r>
      <w:r w:rsidRPr="00372D52">
        <w:rPr>
          <w:rFonts w:ascii="Book Antiqua" w:hAnsi="Book Antiqua"/>
          <w:i/>
          <w:sz w:val="24"/>
          <w:szCs w:val="24"/>
        </w:rPr>
        <w:t>Eur Respir J</w:t>
      </w:r>
      <w:r w:rsidRPr="00372D52">
        <w:rPr>
          <w:rFonts w:ascii="Book Antiqua" w:hAnsi="Book Antiqua"/>
          <w:sz w:val="24"/>
          <w:szCs w:val="24"/>
        </w:rPr>
        <w:t xml:space="preserve"> 2019; </w:t>
      </w:r>
      <w:r w:rsidRPr="00372D52">
        <w:rPr>
          <w:rFonts w:ascii="Book Antiqua" w:hAnsi="Book Antiqua"/>
          <w:b/>
          <w:sz w:val="24"/>
          <w:szCs w:val="24"/>
        </w:rPr>
        <w:t>53</w:t>
      </w:r>
      <w:r w:rsidRPr="00372D52">
        <w:rPr>
          <w:rFonts w:ascii="Book Antiqua" w:hAnsi="Book Antiqua"/>
          <w:sz w:val="24"/>
          <w:szCs w:val="24"/>
        </w:rPr>
        <w:t xml:space="preserve"> [PMID: 30819808 DOI: 10.1183/13993003.02469-2018]</w:t>
      </w:r>
    </w:p>
    <w:p w14:paraId="7D18724F" w14:textId="2791572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23 </w:t>
      </w:r>
      <w:proofErr w:type="spellStart"/>
      <w:r w:rsidRPr="00372D52">
        <w:rPr>
          <w:rFonts w:ascii="Book Antiqua" w:hAnsi="Book Antiqua"/>
          <w:b/>
          <w:sz w:val="24"/>
          <w:szCs w:val="24"/>
        </w:rPr>
        <w:t>Jin</w:t>
      </w:r>
      <w:proofErr w:type="spellEnd"/>
      <w:r w:rsidRPr="00372D52">
        <w:rPr>
          <w:rFonts w:ascii="Book Antiqua" w:hAnsi="Book Antiqua"/>
          <w:b/>
          <w:sz w:val="24"/>
          <w:szCs w:val="24"/>
        </w:rPr>
        <w:t xml:space="preserve"> M,</w:t>
      </w:r>
      <w:r w:rsidRPr="00372D52">
        <w:rPr>
          <w:rFonts w:ascii="Book Antiqua" w:hAnsi="Book Antiqua"/>
          <w:sz w:val="24"/>
          <w:szCs w:val="24"/>
        </w:rPr>
        <w:t xml:space="preserve"> Khan AI. Procalcitonin: Uses in the Clinical Laboratory for the Diagnosis of Sepsis.</w:t>
      </w:r>
      <w:r w:rsidRPr="00372D52">
        <w:rPr>
          <w:rFonts w:ascii="Book Antiqua" w:hAnsi="Book Antiqua"/>
          <w:i/>
          <w:iCs/>
          <w:sz w:val="24"/>
          <w:szCs w:val="24"/>
        </w:rPr>
        <w:t xml:space="preserve"> Lab Med</w:t>
      </w:r>
      <w:r w:rsidRPr="00372D52">
        <w:rPr>
          <w:rFonts w:ascii="Book Antiqua" w:hAnsi="Book Antiqua"/>
          <w:sz w:val="24"/>
          <w:szCs w:val="24"/>
        </w:rPr>
        <w:t xml:space="preserve"> 2010;</w:t>
      </w:r>
      <w:r>
        <w:rPr>
          <w:rFonts w:ascii="Book Antiqua" w:hAnsi="Book Antiqua"/>
          <w:sz w:val="24"/>
          <w:szCs w:val="24"/>
        </w:rPr>
        <w:t xml:space="preserve"> </w:t>
      </w:r>
      <w:r w:rsidRPr="00372D52">
        <w:rPr>
          <w:rFonts w:ascii="Book Antiqua" w:hAnsi="Book Antiqua"/>
          <w:b/>
          <w:bCs/>
          <w:sz w:val="24"/>
          <w:szCs w:val="24"/>
        </w:rPr>
        <w:t>41</w:t>
      </w:r>
      <w:r w:rsidRPr="00372D52">
        <w:rPr>
          <w:rFonts w:ascii="Book Antiqua" w:hAnsi="Book Antiqua"/>
          <w:sz w:val="24"/>
          <w:szCs w:val="24"/>
        </w:rPr>
        <w:t>:</w:t>
      </w:r>
      <w:r>
        <w:rPr>
          <w:rFonts w:ascii="Book Antiqua" w:hAnsi="Book Antiqua"/>
          <w:sz w:val="24"/>
          <w:szCs w:val="24"/>
        </w:rPr>
        <w:t xml:space="preserve"> </w:t>
      </w:r>
      <w:r w:rsidRPr="00372D52">
        <w:rPr>
          <w:rFonts w:ascii="Book Antiqua" w:hAnsi="Book Antiqua"/>
          <w:sz w:val="24"/>
          <w:szCs w:val="24"/>
        </w:rPr>
        <w:t>173</w:t>
      </w:r>
      <w:r>
        <w:rPr>
          <w:rFonts w:ascii="Book Antiqua" w:hAnsi="Book Antiqua"/>
          <w:sz w:val="24"/>
          <w:szCs w:val="24"/>
        </w:rPr>
        <w:t>-17</w:t>
      </w:r>
      <w:r w:rsidRPr="00372D52">
        <w:rPr>
          <w:rFonts w:ascii="Book Antiqua" w:hAnsi="Book Antiqua"/>
          <w:sz w:val="24"/>
          <w:szCs w:val="24"/>
        </w:rPr>
        <w:t>7 [DOI: 10.1309/LMQ2GRR4QLFKHCH9]</w:t>
      </w:r>
    </w:p>
    <w:p w14:paraId="2DE63C8F"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24 </w:t>
      </w:r>
      <w:r w:rsidRPr="00372D52">
        <w:rPr>
          <w:rFonts w:ascii="Book Antiqua" w:hAnsi="Book Antiqua"/>
          <w:b/>
          <w:sz w:val="24"/>
          <w:szCs w:val="24"/>
        </w:rPr>
        <w:t>Gilbert DN</w:t>
      </w:r>
      <w:r w:rsidRPr="00372D52">
        <w:rPr>
          <w:rFonts w:ascii="Book Antiqua" w:hAnsi="Book Antiqua"/>
          <w:sz w:val="24"/>
          <w:szCs w:val="24"/>
        </w:rPr>
        <w:t xml:space="preserve">. Use of plasma procalcitonin levels as an adjunct to clinical microbiology. </w:t>
      </w:r>
      <w:r w:rsidRPr="00372D52">
        <w:rPr>
          <w:rFonts w:ascii="Book Antiqua" w:hAnsi="Book Antiqua"/>
          <w:i/>
          <w:sz w:val="24"/>
          <w:szCs w:val="24"/>
        </w:rPr>
        <w:t>J Clin Microbiol</w:t>
      </w:r>
      <w:r w:rsidRPr="00372D52">
        <w:rPr>
          <w:rFonts w:ascii="Book Antiqua" w:hAnsi="Book Antiqua"/>
          <w:sz w:val="24"/>
          <w:szCs w:val="24"/>
        </w:rPr>
        <w:t xml:space="preserve"> 2010; </w:t>
      </w:r>
      <w:r w:rsidRPr="00372D52">
        <w:rPr>
          <w:rFonts w:ascii="Book Antiqua" w:hAnsi="Book Antiqua"/>
          <w:b/>
          <w:sz w:val="24"/>
          <w:szCs w:val="24"/>
        </w:rPr>
        <w:t>48</w:t>
      </w:r>
      <w:r w:rsidRPr="00372D52">
        <w:rPr>
          <w:rFonts w:ascii="Book Antiqua" w:hAnsi="Book Antiqua"/>
          <w:sz w:val="24"/>
          <w:szCs w:val="24"/>
        </w:rPr>
        <w:t>: 2325-2329 [PMID: 20421436 DOI: 10.1128/JCM.00655-10]</w:t>
      </w:r>
    </w:p>
    <w:p w14:paraId="74ADF72A"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25 </w:t>
      </w:r>
      <w:r w:rsidRPr="00372D52">
        <w:rPr>
          <w:rFonts w:ascii="Book Antiqua" w:hAnsi="Book Antiqua"/>
          <w:b/>
          <w:sz w:val="24"/>
          <w:szCs w:val="24"/>
        </w:rPr>
        <w:t>Shaddock EJ</w:t>
      </w:r>
      <w:r w:rsidRPr="00372D52">
        <w:rPr>
          <w:rFonts w:ascii="Book Antiqua" w:hAnsi="Book Antiqua"/>
          <w:sz w:val="24"/>
          <w:szCs w:val="24"/>
        </w:rPr>
        <w:t xml:space="preserve">. How and when to use common biomarkers in community-acquired pneumonia. </w:t>
      </w:r>
      <w:r w:rsidRPr="00372D52">
        <w:rPr>
          <w:rFonts w:ascii="Book Antiqua" w:hAnsi="Book Antiqua"/>
          <w:i/>
          <w:sz w:val="24"/>
          <w:szCs w:val="24"/>
        </w:rPr>
        <w:t>Pneumonia (Nathan)</w:t>
      </w:r>
      <w:r w:rsidRPr="00372D52">
        <w:rPr>
          <w:rFonts w:ascii="Book Antiqua" w:hAnsi="Book Antiqua"/>
          <w:sz w:val="24"/>
          <w:szCs w:val="24"/>
        </w:rPr>
        <w:t xml:space="preserve"> 2016; </w:t>
      </w:r>
      <w:r w:rsidRPr="00372D52">
        <w:rPr>
          <w:rFonts w:ascii="Book Antiqua" w:hAnsi="Book Antiqua"/>
          <w:b/>
          <w:sz w:val="24"/>
          <w:szCs w:val="24"/>
        </w:rPr>
        <w:t>8</w:t>
      </w:r>
      <w:r w:rsidRPr="00372D52">
        <w:rPr>
          <w:rFonts w:ascii="Book Antiqua" w:hAnsi="Book Antiqua"/>
          <w:sz w:val="24"/>
          <w:szCs w:val="24"/>
        </w:rPr>
        <w:t>: 17 [PMID: 28702296 DOI: 10.1186/s41479-016-0017-7]</w:t>
      </w:r>
    </w:p>
    <w:p w14:paraId="50EFEF7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26 </w:t>
      </w:r>
      <w:r w:rsidRPr="00372D52">
        <w:rPr>
          <w:rFonts w:ascii="Book Antiqua" w:hAnsi="Book Antiqua"/>
          <w:b/>
          <w:sz w:val="24"/>
          <w:szCs w:val="24"/>
        </w:rPr>
        <w:t>Amour J</w:t>
      </w:r>
      <w:r w:rsidRPr="00372D52">
        <w:rPr>
          <w:rFonts w:ascii="Book Antiqua" w:hAnsi="Book Antiqua"/>
          <w:sz w:val="24"/>
          <w:szCs w:val="24"/>
        </w:rPr>
        <w:t xml:space="preserve">, </w:t>
      </w:r>
      <w:proofErr w:type="spellStart"/>
      <w:r w:rsidRPr="00372D52">
        <w:rPr>
          <w:rFonts w:ascii="Book Antiqua" w:hAnsi="Book Antiqua"/>
          <w:sz w:val="24"/>
          <w:szCs w:val="24"/>
        </w:rPr>
        <w:t>Birenbaum</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Langeron</w:t>
      </w:r>
      <w:proofErr w:type="spellEnd"/>
      <w:r w:rsidRPr="00372D52">
        <w:rPr>
          <w:rFonts w:ascii="Book Antiqua" w:hAnsi="Book Antiqua"/>
          <w:sz w:val="24"/>
          <w:szCs w:val="24"/>
        </w:rPr>
        <w:t xml:space="preserve"> O, Le </w:t>
      </w:r>
      <w:proofErr w:type="spellStart"/>
      <w:r w:rsidRPr="00372D52">
        <w:rPr>
          <w:rFonts w:ascii="Book Antiqua" w:hAnsi="Book Antiqua"/>
          <w:sz w:val="24"/>
          <w:szCs w:val="24"/>
        </w:rPr>
        <w:t>Manach</w:t>
      </w:r>
      <w:proofErr w:type="spellEnd"/>
      <w:r w:rsidRPr="00372D52">
        <w:rPr>
          <w:rFonts w:ascii="Book Antiqua" w:hAnsi="Book Antiqua"/>
          <w:sz w:val="24"/>
          <w:szCs w:val="24"/>
        </w:rPr>
        <w:t xml:space="preserve"> Y, Bertrand M, </w:t>
      </w:r>
      <w:proofErr w:type="spellStart"/>
      <w:r w:rsidRPr="00372D52">
        <w:rPr>
          <w:rFonts w:ascii="Book Antiqua" w:hAnsi="Book Antiqua"/>
          <w:sz w:val="24"/>
          <w:szCs w:val="24"/>
        </w:rPr>
        <w:t>Coriat</w:t>
      </w:r>
      <w:proofErr w:type="spellEnd"/>
      <w:r w:rsidRPr="00372D52">
        <w:rPr>
          <w:rFonts w:ascii="Book Antiqua" w:hAnsi="Book Antiqua"/>
          <w:sz w:val="24"/>
          <w:szCs w:val="24"/>
        </w:rPr>
        <w:t xml:space="preserve"> P, </w:t>
      </w:r>
      <w:proofErr w:type="spellStart"/>
      <w:r w:rsidRPr="00372D52">
        <w:rPr>
          <w:rFonts w:ascii="Book Antiqua" w:hAnsi="Book Antiqua"/>
          <w:sz w:val="24"/>
          <w:szCs w:val="24"/>
        </w:rPr>
        <w:t>Riou</w:t>
      </w:r>
      <w:proofErr w:type="spellEnd"/>
      <w:r w:rsidRPr="00372D52">
        <w:rPr>
          <w:rFonts w:ascii="Book Antiqua" w:hAnsi="Book Antiqua"/>
          <w:sz w:val="24"/>
          <w:szCs w:val="24"/>
        </w:rPr>
        <w:t xml:space="preserve"> B, Bernard M, </w:t>
      </w:r>
      <w:proofErr w:type="spellStart"/>
      <w:r w:rsidRPr="00372D52">
        <w:rPr>
          <w:rFonts w:ascii="Book Antiqua" w:hAnsi="Book Antiqua"/>
          <w:sz w:val="24"/>
          <w:szCs w:val="24"/>
        </w:rPr>
        <w:t>Hausfater</w:t>
      </w:r>
      <w:proofErr w:type="spellEnd"/>
      <w:r w:rsidRPr="00372D52">
        <w:rPr>
          <w:rFonts w:ascii="Book Antiqua" w:hAnsi="Book Antiqua"/>
          <w:sz w:val="24"/>
          <w:szCs w:val="24"/>
        </w:rPr>
        <w:t xml:space="preserve"> P. Influence of renal dysfunction on the accuracy of procalcitonin for the diagnosis of postoperative infection after vascular surgery.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2008; </w:t>
      </w:r>
      <w:r w:rsidRPr="00372D52">
        <w:rPr>
          <w:rFonts w:ascii="Book Antiqua" w:hAnsi="Book Antiqua"/>
          <w:b/>
          <w:sz w:val="24"/>
          <w:szCs w:val="24"/>
        </w:rPr>
        <w:t>36</w:t>
      </w:r>
      <w:r w:rsidRPr="00372D52">
        <w:rPr>
          <w:rFonts w:ascii="Book Antiqua" w:hAnsi="Book Antiqua"/>
          <w:sz w:val="24"/>
          <w:szCs w:val="24"/>
        </w:rPr>
        <w:t>: 1147-1154 [PMID: 18379240 DOI: 10.1097/CCM.0b013e3181692966]</w:t>
      </w:r>
    </w:p>
    <w:p w14:paraId="1FC2363F"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27 </w:t>
      </w:r>
      <w:r w:rsidRPr="00372D52">
        <w:rPr>
          <w:rFonts w:ascii="Book Antiqua" w:hAnsi="Book Antiqua"/>
          <w:b/>
          <w:sz w:val="24"/>
          <w:szCs w:val="24"/>
        </w:rPr>
        <w:t>Müller B</w:t>
      </w:r>
      <w:r w:rsidRPr="00372D52">
        <w:rPr>
          <w:rFonts w:ascii="Book Antiqua" w:hAnsi="Book Antiqua"/>
          <w:sz w:val="24"/>
          <w:szCs w:val="24"/>
        </w:rPr>
        <w:t xml:space="preserve">, </w:t>
      </w:r>
      <w:proofErr w:type="spellStart"/>
      <w:r w:rsidRPr="00372D52">
        <w:rPr>
          <w:rFonts w:ascii="Book Antiqua" w:hAnsi="Book Antiqua"/>
          <w:sz w:val="24"/>
          <w:szCs w:val="24"/>
        </w:rPr>
        <w:t>Harbarth</w:t>
      </w:r>
      <w:proofErr w:type="spellEnd"/>
      <w:r w:rsidRPr="00372D52">
        <w:rPr>
          <w:rFonts w:ascii="Book Antiqua" w:hAnsi="Book Antiqua"/>
          <w:sz w:val="24"/>
          <w:szCs w:val="24"/>
        </w:rPr>
        <w:t xml:space="preserve"> S, Stolz D, </w:t>
      </w:r>
      <w:proofErr w:type="spellStart"/>
      <w:r w:rsidRPr="00372D52">
        <w:rPr>
          <w:rFonts w:ascii="Book Antiqua" w:hAnsi="Book Antiqua"/>
          <w:sz w:val="24"/>
          <w:szCs w:val="24"/>
        </w:rPr>
        <w:t>Bingisser</w:t>
      </w:r>
      <w:proofErr w:type="spellEnd"/>
      <w:r w:rsidRPr="00372D52">
        <w:rPr>
          <w:rFonts w:ascii="Book Antiqua" w:hAnsi="Book Antiqua"/>
          <w:sz w:val="24"/>
          <w:szCs w:val="24"/>
        </w:rPr>
        <w:t xml:space="preserve"> R, Mueller C, </w:t>
      </w:r>
      <w:proofErr w:type="spellStart"/>
      <w:r w:rsidRPr="00372D52">
        <w:rPr>
          <w:rFonts w:ascii="Book Antiqua" w:hAnsi="Book Antiqua"/>
          <w:sz w:val="24"/>
          <w:szCs w:val="24"/>
        </w:rPr>
        <w:t>Leuppi</w:t>
      </w:r>
      <w:proofErr w:type="spellEnd"/>
      <w:r w:rsidRPr="00372D52">
        <w:rPr>
          <w:rFonts w:ascii="Book Antiqua" w:hAnsi="Book Antiqua"/>
          <w:sz w:val="24"/>
          <w:szCs w:val="24"/>
        </w:rPr>
        <w:t xml:space="preserve"> J, Nusbaumer C, Tamm M, Christ-Crain M. Diagnostic and prognostic accuracy of clinical and laboratory parameters in community-acquired pneumonia. </w:t>
      </w:r>
      <w:r w:rsidRPr="00372D52">
        <w:rPr>
          <w:rFonts w:ascii="Book Antiqua" w:hAnsi="Book Antiqua"/>
          <w:i/>
          <w:sz w:val="24"/>
          <w:szCs w:val="24"/>
        </w:rPr>
        <w:t>BMC Infect Dis</w:t>
      </w:r>
      <w:r w:rsidRPr="00372D52">
        <w:rPr>
          <w:rFonts w:ascii="Book Antiqua" w:hAnsi="Book Antiqua"/>
          <w:sz w:val="24"/>
          <w:szCs w:val="24"/>
        </w:rPr>
        <w:t xml:space="preserve"> 2007; </w:t>
      </w:r>
      <w:r w:rsidRPr="00372D52">
        <w:rPr>
          <w:rFonts w:ascii="Book Antiqua" w:hAnsi="Book Antiqua"/>
          <w:b/>
          <w:sz w:val="24"/>
          <w:szCs w:val="24"/>
        </w:rPr>
        <w:t>7</w:t>
      </w:r>
      <w:r w:rsidRPr="00372D52">
        <w:rPr>
          <w:rFonts w:ascii="Book Antiqua" w:hAnsi="Book Antiqua"/>
          <w:sz w:val="24"/>
          <w:szCs w:val="24"/>
        </w:rPr>
        <w:t>: 10 [PMID: 17335562 DOI: 10.1186/1471-2334-7-10]</w:t>
      </w:r>
    </w:p>
    <w:p w14:paraId="78A7C116"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28 </w:t>
      </w:r>
      <w:r w:rsidRPr="00372D52">
        <w:rPr>
          <w:rFonts w:ascii="Book Antiqua" w:hAnsi="Book Antiqua"/>
          <w:b/>
          <w:sz w:val="24"/>
          <w:szCs w:val="24"/>
        </w:rPr>
        <w:t>Méndez R</w:t>
      </w:r>
      <w:r w:rsidRPr="00372D52">
        <w:rPr>
          <w:rFonts w:ascii="Book Antiqua" w:hAnsi="Book Antiqua"/>
          <w:sz w:val="24"/>
          <w:szCs w:val="24"/>
        </w:rPr>
        <w:t xml:space="preserve">, Menéndez R, </w:t>
      </w:r>
      <w:proofErr w:type="spellStart"/>
      <w:r w:rsidRPr="00372D52">
        <w:rPr>
          <w:rFonts w:ascii="Book Antiqua" w:hAnsi="Book Antiqua"/>
          <w:sz w:val="24"/>
          <w:szCs w:val="24"/>
        </w:rPr>
        <w:t>Cillóniz</w:t>
      </w:r>
      <w:proofErr w:type="spellEnd"/>
      <w:r w:rsidRPr="00372D52">
        <w:rPr>
          <w:rFonts w:ascii="Book Antiqua" w:hAnsi="Book Antiqua"/>
          <w:sz w:val="24"/>
          <w:szCs w:val="24"/>
        </w:rPr>
        <w:t xml:space="preserve"> C, Amara-</w:t>
      </w:r>
      <w:proofErr w:type="spellStart"/>
      <w:r w:rsidRPr="00372D52">
        <w:rPr>
          <w:rFonts w:ascii="Book Antiqua" w:hAnsi="Book Antiqua"/>
          <w:sz w:val="24"/>
          <w:szCs w:val="24"/>
        </w:rPr>
        <w:t>Elori</w:t>
      </w:r>
      <w:proofErr w:type="spellEnd"/>
      <w:r w:rsidRPr="00372D52">
        <w:rPr>
          <w:rFonts w:ascii="Book Antiqua" w:hAnsi="Book Antiqua"/>
          <w:sz w:val="24"/>
          <w:szCs w:val="24"/>
        </w:rPr>
        <w:t xml:space="preserve"> I, Amaro R, González P, Posadas T, </w:t>
      </w:r>
      <w:proofErr w:type="spellStart"/>
      <w:r w:rsidRPr="00372D52">
        <w:rPr>
          <w:rFonts w:ascii="Book Antiqua" w:hAnsi="Book Antiqua"/>
          <w:sz w:val="24"/>
          <w:szCs w:val="24"/>
        </w:rPr>
        <w:t>Gimeno</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España</w:t>
      </w:r>
      <w:proofErr w:type="spellEnd"/>
      <w:r w:rsidRPr="00372D52">
        <w:rPr>
          <w:rFonts w:ascii="Book Antiqua" w:hAnsi="Book Antiqua"/>
          <w:sz w:val="24"/>
          <w:szCs w:val="24"/>
        </w:rPr>
        <w:t xml:space="preserve"> PP, </w:t>
      </w:r>
      <w:proofErr w:type="spellStart"/>
      <w:r w:rsidRPr="00372D52">
        <w:rPr>
          <w:rFonts w:ascii="Book Antiqua" w:hAnsi="Book Antiqua"/>
          <w:sz w:val="24"/>
          <w:szCs w:val="24"/>
        </w:rPr>
        <w:t>Almirall</w:t>
      </w:r>
      <w:proofErr w:type="spellEnd"/>
      <w:r w:rsidRPr="00372D52">
        <w:rPr>
          <w:rFonts w:ascii="Book Antiqua" w:hAnsi="Book Antiqua"/>
          <w:sz w:val="24"/>
          <w:szCs w:val="24"/>
        </w:rPr>
        <w:t xml:space="preserve"> J, Torres A. Initial Inflammatory Profile in Community-</w:t>
      </w:r>
      <w:r w:rsidRPr="00372D52">
        <w:rPr>
          <w:rFonts w:ascii="Book Antiqua" w:hAnsi="Book Antiqua"/>
          <w:sz w:val="24"/>
          <w:szCs w:val="24"/>
        </w:rPr>
        <w:lastRenderedPageBreak/>
        <w:t xml:space="preserve">acquired Pneumonia Depends on Time since Onset of Symptoms. </w:t>
      </w:r>
      <w:r w:rsidRPr="00372D52">
        <w:rPr>
          <w:rFonts w:ascii="Book Antiqua" w:hAnsi="Book Antiqua"/>
          <w:i/>
          <w:sz w:val="24"/>
          <w:szCs w:val="24"/>
        </w:rPr>
        <w:t xml:space="preserve">Am J Respir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2018; </w:t>
      </w:r>
      <w:r w:rsidRPr="00372D52">
        <w:rPr>
          <w:rFonts w:ascii="Book Antiqua" w:hAnsi="Book Antiqua"/>
          <w:b/>
          <w:sz w:val="24"/>
          <w:szCs w:val="24"/>
        </w:rPr>
        <w:t>198</w:t>
      </w:r>
      <w:r w:rsidRPr="00372D52">
        <w:rPr>
          <w:rFonts w:ascii="Book Antiqua" w:hAnsi="Book Antiqua"/>
          <w:sz w:val="24"/>
          <w:szCs w:val="24"/>
        </w:rPr>
        <w:t>: 370-378 [PMID: 29509439 DOI: 10.1164/rccm.201709-1908OC]</w:t>
      </w:r>
    </w:p>
    <w:p w14:paraId="56A75DA8"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29 </w:t>
      </w:r>
      <w:proofErr w:type="spellStart"/>
      <w:r w:rsidRPr="00372D52">
        <w:rPr>
          <w:rFonts w:ascii="Book Antiqua" w:hAnsi="Book Antiqua"/>
          <w:b/>
          <w:sz w:val="24"/>
          <w:szCs w:val="24"/>
        </w:rPr>
        <w:t>Keramat</w:t>
      </w:r>
      <w:proofErr w:type="spellEnd"/>
      <w:r w:rsidRPr="00372D52">
        <w:rPr>
          <w:rFonts w:ascii="Book Antiqua" w:hAnsi="Book Antiqua"/>
          <w:b/>
          <w:sz w:val="24"/>
          <w:szCs w:val="24"/>
        </w:rPr>
        <w:t xml:space="preserve"> F</w:t>
      </w:r>
      <w:r w:rsidRPr="00372D52">
        <w:rPr>
          <w:rFonts w:ascii="Book Antiqua" w:hAnsi="Book Antiqua"/>
          <w:sz w:val="24"/>
          <w:szCs w:val="24"/>
        </w:rPr>
        <w:t xml:space="preserve">, </w:t>
      </w:r>
      <w:proofErr w:type="spellStart"/>
      <w:r w:rsidRPr="00372D52">
        <w:rPr>
          <w:rFonts w:ascii="Book Antiqua" w:hAnsi="Book Antiqua"/>
          <w:sz w:val="24"/>
          <w:szCs w:val="24"/>
        </w:rPr>
        <w:t>Ghasemi</w:t>
      </w:r>
      <w:proofErr w:type="spellEnd"/>
      <w:r w:rsidRPr="00372D52">
        <w:rPr>
          <w:rFonts w:ascii="Book Antiqua" w:hAnsi="Book Antiqua"/>
          <w:sz w:val="24"/>
          <w:szCs w:val="24"/>
        </w:rPr>
        <w:t xml:space="preserve"> </w:t>
      </w:r>
      <w:proofErr w:type="spellStart"/>
      <w:r w:rsidRPr="00372D52">
        <w:rPr>
          <w:rFonts w:ascii="Book Antiqua" w:hAnsi="Book Antiqua"/>
          <w:sz w:val="24"/>
          <w:szCs w:val="24"/>
        </w:rPr>
        <w:t>Basir</w:t>
      </w:r>
      <w:proofErr w:type="spellEnd"/>
      <w:r w:rsidRPr="00372D52">
        <w:rPr>
          <w:rFonts w:ascii="Book Antiqua" w:hAnsi="Book Antiqua"/>
          <w:sz w:val="24"/>
          <w:szCs w:val="24"/>
        </w:rPr>
        <w:t xml:space="preserve"> HR, </w:t>
      </w:r>
      <w:proofErr w:type="spellStart"/>
      <w:r w:rsidRPr="00372D52">
        <w:rPr>
          <w:rFonts w:ascii="Book Antiqua" w:hAnsi="Book Antiqua"/>
          <w:sz w:val="24"/>
          <w:szCs w:val="24"/>
        </w:rPr>
        <w:t>Abdoli</w:t>
      </w:r>
      <w:proofErr w:type="spellEnd"/>
      <w:r w:rsidRPr="00372D52">
        <w:rPr>
          <w:rFonts w:ascii="Book Antiqua" w:hAnsi="Book Antiqua"/>
          <w:sz w:val="24"/>
          <w:szCs w:val="24"/>
        </w:rPr>
        <w:t xml:space="preserve"> E, </w:t>
      </w:r>
      <w:proofErr w:type="spellStart"/>
      <w:r w:rsidRPr="00372D52">
        <w:rPr>
          <w:rFonts w:ascii="Book Antiqua" w:hAnsi="Book Antiqua"/>
          <w:sz w:val="24"/>
          <w:szCs w:val="24"/>
        </w:rPr>
        <w:t>Shafiei</w:t>
      </w:r>
      <w:proofErr w:type="spellEnd"/>
      <w:r w:rsidRPr="00372D52">
        <w:rPr>
          <w:rFonts w:ascii="Book Antiqua" w:hAnsi="Book Antiqua"/>
          <w:sz w:val="24"/>
          <w:szCs w:val="24"/>
        </w:rPr>
        <w:t xml:space="preserve"> </w:t>
      </w:r>
      <w:proofErr w:type="spellStart"/>
      <w:r w:rsidRPr="00372D52">
        <w:rPr>
          <w:rFonts w:ascii="Book Antiqua" w:hAnsi="Book Antiqua"/>
          <w:sz w:val="24"/>
          <w:szCs w:val="24"/>
        </w:rPr>
        <w:t>Aghdam</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Poorolajal</w:t>
      </w:r>
      <w:proofErr w:type="spellEnd"/>
      <w:r w:rsidRPr="00372D52">
        <w:rPr>
          <w:rFonts w:ascii="Book Antiqua" w:hAnsi="Book Antiqua"/>
          <w:sz w:val="24"/>
          <w:szCs w:val="24"/>
        </w:rPr>
        <w:t xml:space="preserve"> J. Association of serum procalcitonin and C-reactive protein levels with CURB-65 criteria among patients with community-acquired pneumonia. </w:t>
      </w:r>
      <w:r w:rsidRPr="00372D52">
        <w:rPr>
          <w:rFonts w:ascii="Book Antiqua" w:hAnsi="Book Antiqua"/>
          <w:i/>
          <w:sz w:val="24"/>
          <w:szCs w:val="24"/>
        </w:rPr>
        <w:t>Int J Gen Med</w:t>
      </w:r>
      <w:r w:rsidRPr="00372D52">
        <w:rPr>
          <w:rFonts w:ascii="Book Antiqua" w:hAnsi="Book Antiqua"/>
          <w:sz w:val="24"/>
          <w:szCs w:val="24"/>
        </w:rPr>
        <w:t xml:space="preserve"> 2018; </w:t>
      </w:r>
      <w:r w:rsidRPr="00372D52">
        <w:rPr>
          <w:rFonts w:ascii="Book Antiqua" w:hAnsi="Book Antiqua"/>
          <w:b/>
          <w:sz w:val="24"/>
          <w:szCs w:val="24"/>
        </w:rPr>
        <w:t>11</w:t>
      </w:r>
      <w:r w:rsidRPr="00372D52">
        <w:rPr>
          <w:rFonts w:ascii="Book Antiqua" w:hAnsi="Book Antiqua"/>
          <w:sz w:val="24"/>
          <w:szCs w:val="24"/>
        </w:rPr>
        <w:t>: 217-223 [PMID: 29942144 DOI: 10.2147/IJGM.S165190]</w:t>
      </w:r>
    </w:p>
    <w:p w14:paraId="6DC0C8D3"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30 </w:t>
      </w:r>
      <w:proofErr w:type="spellStart"/>
      <w:r w:rsidRPr="00372D52">
        <w:rPr>
          <w:rFonts w:ascii="Book Antiqua" w:hAnsi="Book Antiqua"/>
          <w:b/>
          <w:sz w:val="24"/>
          <w:szCs w:val="24"/>
        </w:rPr>
        <w:t>Krüger</w:t>
      </w:r>
      <w:proofErr w:type="spellEnd"/>
      <w:r w:rsidRPr="00372D52">
        <w:rPr>
          <w:rFonts w:ascii="Book Antiqua" w:hAnsi="Book Antiqua"/>
          <w:b/>
          <w:sz w:val="24"/>
          <w:szCs w:val="24"/>
        </w:rPr>
        <w:t xml:space="preserve"> S</w:t>
      </w:r>
      <w:r w:rsidRPr="00372D52">
        <w:rPr>
          <w:rFonts w:ascii="Book Antiqua" w:hAnsi="Book Antiqua"/>
          <w:sz w:val="24"/>
          <w:szCs w:val="24"/>
        </w:rPr>
        <w:t xml:space="preserve">, </w:t>
      </w:r>
      <w:proofErr w:type="spellStart"/>
      <w:r w:rsidRPr="00372D52">
        <w:rPr>
          <w:rFonts w:ascii="Book Antiqua" w:hAnsi="Book Antiqua"/>
          <w:sz w:val="24"/>
          <w:szCs w:val="24"/>
        </w:rPr>
        <w:t>Ewig</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Marre</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Papassotiriou</w:t>
      </w:r>
      <w:proofErr w:type="spellEnd"/>
      <w:r w:rsidRPr="00372D52">
        <w:rPr>
          <w:rFonts w:ascii="Book Antiqua" w:hAnsi="Book Antiqua"/>
          <w:sz w:val="24"/>
          <w:szCs w:val="24"/>
        </w:rPr>
        <w:t xml:space="preserve"> J, Richter K, von Baum H, </w:t>
      </w:r>
      <w:proofErr w:type="spellStart"/>
      <w:r w:rsidRPr="00372D52">
        <w:rPr>
          <w:rFonts w:ascii="Book Antiqua" w:hAnsi="Book Antiqua"/>
          <w:sz w:val="24"/>
          <w:szCs w:val="24"/>
        </w:rPr>
        <w:t>Suttorp</w:t>
      </w:r>
      <w:proofErr w:type="spellEnd"/>
      <w:r w:rsidRPr="00372D52">
        <w:rPr>
          <w:rFonts w:ascii="Book Antiqua" w:hAnsi="Book Antiqua"/>
          <w:sz w:val="24"/>
          <w:szCs w:val="24"/>
        </w:rPr>
        <w:t xml:space="preserve"> N, </w:t>
      </w:r>
      <w:proofErr w:type="spellStart"/>
      <w:r w:rsidRPr="00372D52">
        <w:rPr>
          <w:rFonts w:ascii="Book Antiqua" w:hAnsi="Book Antiqua"/>
          <w:sz w:val="24"/>
          <w:szCs w:val="24"/>
        </w:rPr>
        <w:t>Welte</w:t>
      </w:r>
      <w:proofErr w:type="spellEnd"/>
      <w:r w:rsidRPr="00372D52">
        <w:rPr>
          <w:rFonts w:ascii="Book Antiqua" w:hAnsi="Book Antiqua"/>
          <w:sz w:val="24"/>
          <w:szCs w:val="24"/>
        </w:rPr>
        <w:t xml:space="preserve"> T; CAPNETZ Study Group. Procalcitonin predicts patients at low risk of death from community-acquired pneumonia across all CRB-65 classes. </w:t>
      </w:r>
      <w:r w:rsidRPr="00372D52">
        <w:rPr>
          <w:rFonts w:ascii="Book Antiqua" w:hAnsi="Book Antiqua"/>
          <w:i/>
          <w:sz w:val="24"/>
          <w:szCs w:val="24"/>
        </w:rPr>
        <w:t>Eur Respir J</w:t>
      </w:r>
      <w:r w:rsidRPr="00372D52">
        <w:rPr>
          <w:rFonts w:ascii="Book Antiqua" w:hAnsi="Book Antiqua"/>
          <w:sz w:val="24"/>
          <w:szCs w:val="24"/>
        </w:rPr>
        <w:t xml:space="preserve"> 2008; </w:t>
      </w:r>
      <w:r w:rsidRPr="00372D52">
        <w:rPr>
          <w:rFonts w:ascii="Book Antiqua" w:hAnsi="Book Antiqua"/>
          <w:b/>
          <w:sz w:val="24"/>
          <w:szCs w:val="24"/>
        </w:rPr>
        <w:t>31</w:t>
      </w:r>
      <w:r w:rsidRPr="00372D52">
        <w:rPr>
          <w:rFonts w:ascii="Book Antiqua" w:hAnsi="Book Antiqua"/>
          <w:sz w:val="24"/>
          <w:szCs w:val="24"/>
        </w:rPr>
        <w:t>: 349-355 [PMID: 17959641 DOI: 10.1183/09031936.00054507]</w:t>
      </w:r>
    </w:p>
    <w:p w14:paraId="17E53BD8"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31 </w:t>
      </w:r>
      <w:r w:rsidRPr="00372D52">
        <w:rPr>
          <w:rFonts w:ascii="Book Antiqua" w:hAnsi="Book Antiqua"/>
          <w:b/>
          <w:sz w:val="24"/>
          <w:szCs w:val="24"/>
        </w:rPr>
        <w:t>Schuetz P</w:t>
      </w:r>
      <w:r w:rsidRPr="00372D52">
        <w:rPr>
          <w:rFonts w:ascii="Book Antiqua" w:hAnsi="Book Antiqua"/>
          <w:sz w:val="24"/>
          <w:szCs w:val="24"/>
        </w:rPr>
        <w:t xml:space="preserve">, Suter-Widmer I, </w:t>
      </w:r>
      <w:proofErr w:type="spellStart"/>
      <w:r w:rsidRPr="00372D52">
        <w:rPr>
          <w:rFonts w:ascii="Book Antiqua" w:hAnsi="Book Antiqua"/>
          <w:sz w:val="24"/>
          <w:szCs w:val="24"/>
        </w:rPr>
        <w:t>Chaudri</w:t>
      </w:r>
      <w:proofErr w:type="spellEnd"/>
      <w:r w:rsidRPr="00372D52">
        <w:rPr>
          <w:rFonts w:ascii="Book Antiqua" w:hAnsi="Book Antiqua"/>
          <w:sz w:val="24"/>
          <w:szCs w:val="24"/>
        </w:rPr>
        <w:t xml:space="preserve"> A, Christ-Crain M, </w:t>
      </w:r>
      <w:proofErr w:type="spellStart"/>
      <w:r w:rsidRPr="00372D52">
        <w:rPr>
          <w:rFonts w:ascii="Book Antiqua" w:hAnsi="Book Antiqua"/>
          <w:sz w:val="24"/>
          <w:szCs w:val="24"/>
        </w:rPr>
        <w:t>Zimmerli</w:t>
      </w:r>
      <w:proofErr w:type="spellEnd"/>
      <w:r w:rsidRPr="00372D52">
        <w:rPr>
          <w:rFonts w:ascii="Book Antiqua" w:hAnsi="Book Antiqua"/>
          <w:sz w:val="24"/>
          <w:szCs w:val="24"/>
        </w:rPr>
        <w:t xml:space="preserve"> W, Mueller B; Procalcitonin-Guided Antibiotic Therapy and </w:t>
      </w:r>
      <w:proofErr w:type="spellStart"/>
      <w:r w:rsidRPr="00372D52">
        <w:rPr>
          <w:rFonts w:ascii="Book Antiqua" w:hAnsi="Book Antiqua"/>
          <w:sz w:val="24"/>
          <w:szCs w:val="24"/>
        </w:rPr>
        <w:t>Hospitalisation</w:t>
      </w:r>
      <w:proofErr w:type="spellEnd"/>
      <w:r w:rsidRPr="00372D52">
        <w:rPr>
          <w:rFonts w:ascii="Book Antiqua" w:hAnsi="Book Antiqua"/>
          <w:sz w:val="24"/>
          <w:szCs w:val="24"/>
        </w:rPr>
        <w:t xml:space="preserve"> in Patients with Lower Respiratory Tract Infections (</w:t>
      </w:r>
      <w:proofErr w:type="spellStart"/>
      <w:r w:rsidRPr="00372D52">
        <w:rPr>
          <w:rFonts w:ascii="Book Antiqua" w:hAnsi="Book Antiqua"/>
          <w:sz w:val="24"/>
          <w:szCs w:val="24"/>
        </w:rPr>
        <w:t>ProHOSP</w:t>
      </w:r>
      <w:proofErr w:type="spellEnd"/>
      <w:r w:rsidRPr="00372D52">
        <w:rPr>
          <w:rFonts w:ascii="Book Antiqua" w:hAnsi="Book Antiqua"/>
          <w:sz w:val="24"/>
          <w:szCs w:val="24"/>
        </w:rPr>
        <w:t xml:space="preserve">) Study Group. Prognostic value of procalcitonin in community-acquired pneumonia. </w:t>
      </w:r>
      <w:r w:rsidRPr="00372D52">
        <w:rPr>
          <w:rFonts w:ascii="Book Antiqua" w:hAnsi="Book Antiqua"/>
          <w:i/>
          <w:sz w:val="24"/>
          <w:szCs w:val="24"/>
        </w:rPr>
        <w:t>Eur Respir J</w:t>
      </w:r>
      <w:r w:rsidRPr="00372D52">
        <w:rPr>
          <w:rFonts w:ascii="Book Antiqua" w:hAnsi="Book Antiqua"/>
          <w:sz w:val="24"/>
          <w:szCs w:val="24"/>
        </w:rPr>
        <w:t xml:space="preserve"> 2011; </w:t>
      </w:r>
      <w:r w:rsidRPr="00372D52">
        <w:rPr>
          <w:rFonts w:ascii="Book Antiqua" w:hAnsi="Book Antiqua"/>
          <w:b/>
          <w:sz w:val="24"/>
          <w:szCs w:val="24"/>
        </w:rPr>
        <w:t>37</w:t>
      </w:r>
      <w:r w:rsidRPr="00372D52">
        <w:rPr>
          <w:rFonts w:ascii="Book Antiqua" w:hAnsi="Book Antiqua"/>
          <w:sz w:val="24"/>
          <w:szCs w:val="24"/>
        </w:rPr>
        <w:t>: 384-392 [PMID: 20595156 DOI: 10.1183/09031936.00035610]</w:t>
      </w:r>
    </w:p>
    <w:p w14:paraId="5035843E"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32 </w:t>
      </w:r>
      <w:r w:rsidRPr="00372D52">
        <w:rPr>
          <w:rFonts w:ascii="Book Antiqua" w:hAnsi="Book Antiqua"/>
          <w:b/>
          <w:sz w:val="24"/>
          <w:szCs w:val="24"/>
        </w:rPr>
        <w:t>Guo S</w:t>
      </w:r>
      <w:r w:rsidRPr="00372D52">
        <w:rPr>
          <w:rFonts w:ascii="Book Antiqua" w:hAnsi="Book Antiqua"/>
          <w:sz w:val="24"/>
          <w:szCs w:val="24"/>
        </w:rPr>
        <w:t xml:space="preserve">, Mao X, Liang M. The moderate predictive value of serial serum CRP and PCT levels for the prognosis of hospitalized community-acquired pneumonia. </w:t>
      </w:r>
      <w:r w:rsidRPr="00372D52">
        <w:rPr>
          <w:rFonts w:ascii="Book Antiqua" w:hAnsi="Book Antiqua"/>
          <w:i/>
          <w:sz w:val="24"/>
          <w:szCs w:val="24"/>
        </w:rPr>
        <w:t>Respir Res</w:t>
      </w:r>
      <w:r w:rsidRPr="00372D52">
        <w:rPr>
          <w:rFonts w:ascii="Book Antiqua" w:hAnsi="Book Antiqua"/>
          <w:sz w:val="24"/>
          <w:szCs w:val="24"/>
        </w:rPr>
        <w:t xml:space="preserve"> 2018; </w:t>
      </w:r>
      <w:r w:rsidRPr="00372D52">
        <w:rPr>
          <w:rFonts w:ascii="Book Antiqua" w:hAnsi="Book Antiqua"/>
          <w:b/>
          <w:sz w:val="24"/>
          <w:szCs w:val="24"/>
        </w:rPr>
        <w:t>19</w:t>
      </w:r>
      <w:r w:rsidRPr="00372D52">
        <w:rPr>
          <w:rFonts w:ascii="Book Antiqua" w:hAnsi="Book Antiqua"/>
          <w:sz w:val="24"/>
          <w:szCs w:val="24"/>
        </w:rPr>
        <w:t>: 193 [PMID: 30285748 DOI: 10.1186/s12931-018-0877-x]</w:t>
      </w:r>
    </w:p>
    <w:p w14:paraId="301F0FE6"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33 </w:t>
      </w:r>
      <w:r w:rsidRPr="00372D52">
        <w:rPr>
          <w:rFonts w:ascii="Book Antiqua" w:hAnsi="Book Antiqua"/>
          <w:b/>
          <w:sz w:val="24"/>
          <w:szCs w:val="24"/>
        </w:rPr>
        <w:t>Ito A</w:t>
      </w:r>
      <w:r w:rsidRPr="00372D52">
        <w:rPr>
          <w:rFonts w:ascii="Book Antiqua" w:hAnsi="Book Antiqua"/>
          <w:sz w:val="24"/>
          <w:szCs w:val="24"/>
        </w:rPr>
        <w:t xml:space="preserve">, Ishida T, Tachibana H, Ito Y, </w:t>
      </w:r>
      <w:proofErr w:type="spellStart"/>
      <w:r w:rsidRPr="00372D52">
        <w:rPr>
          <w:rFonts w:ascii="Book Antiqua" w:hAnsi="Book Antiqua"/>
          <w:sz w:val="24"/>
          <w:szCs w:val="24"/>
        </w:rPr>
        <w:t>Takaiwa</w:t>
      </w:r>
      <w:proofErr w:type="spellEnd"/>
      <w:r w:rsidRPr="00372D52">
        <w:rPr>
          <w:rFonts w:ascii="Book Antiqua" w:hAnsi="Book Antiqua"/>
          <w:sz w:val="24"/>
          <w:szCs w:val="24"/>
        </w:rPr>
        <w:t xml:space="preserve"> T. Serial procalcitonin levels for predicting prognosis in community-acquired pneumonia. </w:t>
      </w:r>
      <w:proofErr w:type="spellStart"/>
      <w:r w:rsidRPr="00372D52">
        <w:rPr>
          <w:rFonts w:ascii="Book Antiqua" w:hAnsi="Book Antiqua"/>
          <w:i/>
          <w:sz w:val="24"/>
          <w:szCs w:val="24"/>
        </w:rPr>
        <w:t>Respirology</w:t>
      </w:r>
      <w:proofErr w:type="spellEnd"/>
      <w:r w:rsidRPr="00372D52">
        <w:rPr>
          <w:rFonts w:ascii="Book Antiqua" w:hAnsi="Book Antiqua"/>
          <w:sz w:val="24"/>
          <w:szCs w:val="24"/>
        </w:rPr>
        <w:t xml:space="preserve"> 2016; </w:t>
      </w:r>
      <w:r w:rsidRPr="00372D52">
        <w:rPr>
          <w:rFonts w:ascii="Book Antiqua" w:hAnsi="Book Antiqua"/>
          <w:b/>
          <w:sz w:val="24"/>
          <w:szCs w:val="24"/>
        </w:rPr>
        <w:t>21</w:t>
      </w:r>
      <w:r w:rsidRPr="00372D52">
        <w:rPr>
          <w:rFonts w:ascii="Book Antiqua" w:hAnsi="Book Antiqua"/>
          <w:sz w:val="24"/>
          <w:szCs w:val="24"/>
        </w:rPr>
        <w:t>: 1459-1464 [PMID: 27398948 DOI: 10.1111/resp.12846]</w:t>
      </w:r>
    </w:p>
    <w:p w14:paraId="32B1A812"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34 </w:t>
      </w:r>
      <w:r w:rsidRPr="00372D52">
        <w:rPr>
          <w:rFonts w:ascii="Book Antiqua" w:hAnsi="Book Antiqua"/>
          <w:b/>
          <w:sz w:val="24"/>
          <w:szCs w:val="24"/>
        </w:rPr>
        <w:t>Farah R</w:t>
      </w:r>
      <w:r w:rsidRPr="00372D52">
        <w:rPr>
          <w:rFonts w:ascii="Book Antiqua" w:hAnsi="Book Antiqua"/>
          <w:sz w:val="24"/>
          <w:szCs w:val="24"/>
        </w:rPr>
        <w:t xml:space="preserve">, </w:t>
      </w:r>
      <w:proofErr w:type="spellStart"/>
      <w:r w:rsidRPr="00372D52">
        <w:rPr>
          <w:rFonts w:ascii="Book Antiqua" w:hAnsi="Book Antiqua"/>
          <w:sz w:val="24"/>
          <w:szCs w:val="24"/>
        </w:rPr>
        <w:t>Khamisy</w:t>
      </w:r>
      <w:proofErr w:type="spellEnd"/>
      <w:r w:rsidRPr="00372D52">
        <w:rPr>
          <w:rFonts w:ascii="Book Antiqua" w:hAnsi="Book Antiqua"/>
          <w:sz w:val="24"/>
          <w:szCs w:val="24"/>
        </w:rPr>
        <w:t xml:space="preserve">-Farah R, </w:t>
      </w:r>
      <w:proofErr w:type="spellStart"/>
      <w:r w:rsidRPr="00372D52">
        <w:rPr>
          <w:rFonts w:ascii="Book Antiqua" w:hAnsi="Book Antiqua"/>
          <w:sz w:val="24"/>
          <w:szCs w:val="24"/>
        </w:rPr>
        <w:t>Makhoul</w:t>
      </w:r>
      <w:proofErr w:type="spellEnd"/>
      <w:r w:rsidRPr="00372D52">
        <w:rPr>
          <w:rFonts w:ascii="Book Antiqua" w:hAnsi="Book Antiqua"/>
          <w:sz w:val="24"/>
          <w:szCs w:val="24"/>
        </w:rPr>
        <w:t xml:space="preserve"> N. Consecutive Measures of CRP Correlate with Length of Hospital Stay in Patients with Community-Acquired Pneumonia. </w:t>
      </w:r>
      <w:proofErr w:type="spellStart"/>
      <w:r w:rsidRPr="00372D52">
        <w:rPr>
          <w:rFonts w:ascii="Book Antiqua" w:hAnsi="Book Antiqua"/>
          <w:i/>
          <w:sz w:val="24"/>
          <w:szCs w:val="24"/>
        </w:rPr>
        <w:t>Isr</w:t>
      </w:r>
      <w:proofErr w:type="spellEnd"/>
      <w:r w:rsidRPr="00372D52">
        <w:rPr>
          <w:rFonts w:ascii="Book Antiqua" w:hAnsi="Book Antiqua"/>
          <w:i/>
          <w:sz w:val="24"/>
          <w:szCs w:val="24"/>
        </w:rPr>
        <w:t xml:space="preserve"> Med Assoc J</w:t>
      </w:r>
      <w:r w:rsidRPr="00372D52">
        <w:rPr>
          <w:rFonts w:ascii="Book Antiqua" w:hAnsi="Book Antiqua"/>
          <w:sz w:val="24"/>
          <w:szCs w:val="24"/>
        </w:rPr>
        <w:t xml:space="preserve"> 2018; </w:t>
      </w:r>
      <w:r w:rsidRPr="00372D52">
        <w:rPr>
          <w:rFonts w:ascii="Book Antiqua" w:hAnsi="Book Antiqua"/>
          <w:b/>
          <w:sz w:val="24"/>
          <w:szCs w:val="24"/>
        </w:rPr>
        <w:t>20</w:t>
      </w:r>
      <w:r w:rsidRPr="00372D52">
        <w:rPr>
          <w:rFonts w:ascii="Book Antiqua" w:hAnsi="Book Antiqua"/>
          <w:sz w:val="24"/>
          <w:szCs w:val="24"/>
        </w:rPr>
        <w:t>: 345-348 [PMID: 29911753]</w:t>
      </w:r>
    </w:p>
    <w:p w14:paraId="6489993F"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35 </w:t>
      </w:r>
      <w:r w:rsidRPr="00372D52">
        <w:rPr>
          <w:rFonts w:ascii="Book Antiqua" w:hAnsi="Book Antiqua"/>
          <w:b/>
          <w:sz w:val="24"/>
          <w:szCs w:val="24"/>
        </w:rPr>
        <w:t>Andersen SB</w:t>
      </w:r>
      <w:r w:rsidRPr="00372D52">
        <w:rPr>
          <w:rFonts w:ascii="Book Antiqua" w:hAnsi="Book Antiqua"/>
          <w:sz w:val="24"/>
          <w:szCs w:val="24"/>
        </w:rPr>
        <w:t xml:space="preserve">, </w:t>
      </w:r>
      <w:proofErr w:type="spellStart"/>
      <w:r w:rsidRPr="00372D52">
        <w:rPr>
          <w:rFonts w:ascii="Book Antiqua" w:hAnsi="Book Antiqua"/>
          <w:sz w:val="24"/>
          <w:szCs w:val="24"/>
        </w:rPr>
        <w:t>Baunbæk</w:t>
      </w:r>
      <w:proofErr w:type="spellEnd"/>
      <w:r w:rsidRPr="00372D52">
        <w:rPr>
          <w:rFonts w:ascii="Book Antiqua" w:hAnsi="Book Antiqua"/>
          <w:sz w:val="24"/>
          <w:szCs w:val="24"/>
        </w:rPr>
        <w:t xml:space="preserve"> </w:t>
      </w:r>
      <w:proofErr w:type="spellStart"/>
      <w:r w:rsidRPr="00372D52">
        <w:rPr>
          <w:rFonts w:ascii="Book Antiqua" w:hAnsi="Book Antiqua"/>
          <w:sz w:val="24"/>
          <w:szCs w:val="24"/>
        </w:rPr>
        <w:t>Egelund</w:t>
      </w:r>
      <w:proofErr w:type="spellEnd"/>
      <w:r w:rsidRPr="00372D52">
        <w:rPr>
          <w:rFonts w:ascii="Book Antiqua" w:hAnsi="Book Antiqua"/>
          <w:sz w:val="24"/>
          <w:szCs w:val="24"/>
        </w:rPr>
        <w:t xml:space="preserve"> G, Jensen AV, Petersen PT, Rohde G, </w:t>
      </w:r>
      <w:proofErr w:type="spellStart"/>
      <w:r w:rsidRPr="00372D52">
        <w:rPr>
          <w:rFonts w:ascii="Book Antiqua" w:hAnsi="Book Antiqua"/>
          <w:sz w:val="24"/>
          <w:szCs w:val="24"/>
        </w:rPr>
        <w:t>Ravn</w:t>
      </w:r>
      <w:proofErr w:type="spellEnd"/>
      <w:r w:rsidRPr="00372D52">
        <w:rPr>
          <w:rFonts w:ascii="Book Antiqua" w:hAnsi="Book Antiqua"/>
          <w:sz w:val="24"/>
          <w:szCs w:val="24"/>
        </w:rPr>
        <w:t xml:space="preserve"> P. Failure of CRP decline within three days of hospitalization is associated with poor prognosis of Community-acquired Pneumonia. </w:t>
      </w:r>
      <w:r w:rsidRPr="00372D52">
        <w:rPr>
          <w:rFonts w:ascii="Book Antiqua" w:hAnsi="Book Antiqua"/>
          <w:i/>
          <w:sz w:val="24"/>
          <w:szCs w:val="24"/>
        </w:rPr>
        <w:t>Infect Dis (</w:t>
      </w:r>
      <w:proofErr w:type="spellStart"/>
      <w:r w:rsidRPr="00372D52">
        <w:rPr>
          <w:rFonts w:ascii="Book Antiqua" w:hAnsi="Book Antiqua"/>
          <w:i/>
          <w:sz w:val="24"/>
          <w:szCs w:val="24"/>
        </w:rPr>
        <w:t>Lond</w:t>
      </w:r>
      <w:proofErr w:type="spellEnd"/>
      <w:r w:rsidRPr="00372D52">
        <w:rPr>
          <w:rFonts w:ascii="Book Antiqua" w:hAnsi="Book Antiqua"/>
          <w:i/>
          <w:sz w:val="24"/>
          <w:szCs w:val="24"/>
        </w:rPr>
        <w:t>)</w:t>
      </w:r>
      <w:r w:rsidRPr="00372D52">
        <w:rPr>
          <w:rFonts w:ascii="Book Antiqua" w:hAnsi="Book Antiqua"/>
          <w:sz w:val="24"/>
          <w:szCs w:val="24"/>
        </w:rPr>
        <w:t xml:space="preserve"> 2017; </w:t>
      </w:r>
      <w:r w:rsidRPr="00372D52">
        <w:rPr>
          <w:rFonts w:ascii="Book Antiqua" w:hAnsi="Book Antiqua"/>
          <w:b/>
          <w:sz w:val="24"/>
          <w:szCs w:val="24"/>
        </w:rPr>
        <w:t>49</w:t>
      </w:r>
      <w:r w:rsidRPr="00372D52">
        <w:rPr>
          <w:rFonts w:ascii="Book Antiqua" w:hAnsi="Book Antiqua"/>
          <w:sz w:val="24"/>
          <w:szCs w:val="24"/>
        </w:rPr>
        <w:t>: 251-260 [PMID: 27887037 DOI: 10.1080/23744235.2016.1253860]</w:t>
      </w:r>
    </w:p>
    <w:p w14:paraId="0DC8F682"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lastRenderedPageBreak/>
        <w:t xml:space="preserve">36 </w:t>
      </w:r>
      <w:r w:rsidRPr="00372D52">
        <w:rPr>
          <w:rFonts w:ascii="Book Antiqua" w:hAnsi="Book Antiqua"/>
          <w:b/>
          <w:sz w:val="24"/>
          <w:szCs w:val="24"/>
        </w:rPr>
        <w:t>Kim MW</w:t>
      </w:r>
      <w:r w:rsidRPr="00372D52">
        <w:rPr>
          <w:rFonts w:ascii="Book Antiqua" w:hAnsi="Book Antiqua"/>
          <w:sz w:val="24"/>
          <w:szCs w:val="24"/>
        </w:rPr>
        <w:t xml:space="preserve">, Lim JY, Oh SH. Mortality prediction using serum biomarkers and various clinical risk scales in community-acquired pneumonia. </w:t>
      </w:r>
      <w:proofErr w:type="spellStart"/>
      <w:r w:rsidRPr="00372D52">
        <w:rPr>
          <w:rFonts w:ascii="Book Antiqua" w:hAnsi="Book Antiqua"/>
          <w:i/>
          <w:sz w:val="24"/>
          <w:szCs w:val="24"/>
        </w:rPr>
        <w:t>Scand</w:t>
      </w:r>
      <w:proofErr w:type="spellEnd"/>
      <w:r w:rsidRPr="00372D52">
        <w:rPr>
          <w:rFonts w:ascii="Book Antiqua" w:hAnsi="Book Antiqua"/>
          <w:i/>
          <w:sz w:val="24"/>
          <w:szCs w:val="24"/>
        </w:rPr>
        <w:t xml:space="preserve"> J Clin Lab Invest</w:t>
      </w:r>
      <w:r w:rsidRPr="00372D52">
        <w:rPr>
          <w:rFonts w:ascii="Book Antiqua" w:hAnsi="Book Antiqua"/>
          <w:sz w:val="24"/>
          <w:szCs w:val="24"/>
        </w:rPr>
        <w:t xml:space="preserve"> 2017; </w:t>
      </w:r>
      <w:r w:rsidRPr="00372D52">
        <w:rPr>
          <w:rFonts w:ascii="Book Antiqua" w:hAnsi="Book Antiqua"/>
          <w:b/>
          <w:sz w:val="24"/>
          <w:szCs w:val="24"/>
        </w:rPr>
        <w:t>77</w:t>
      </w:r>
      <w:r w:rsidRPr="00372D52">
        <w:rPr>
          <w:rFonts w:ascii="Book Antiqua" w:hAnsi="Book Antiqua"/>
          <w:sz w:val="24"/>
          <w:szCs w:val="24"/>
        </w:rPr>
        <w:t>: 486-492 [PMID: 28678546 DOI: 10.1080/00365513.2017.1344298]</w:t>
      </w:r>
    </w:p>
    <w:p w14:paraId="71A58CED"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37 </w:t>
      </w:r>
      <w:r w:rsidRPr="00372D52">
        <w:rPr>
          <w:rFonts w:ascii="Book Antiqua" w:hAnsi="Book Antiqua"/>
          <w:b/>
          <w:sz w:val="24"/>
          <w:szCs w:val="24"/>
        </w:rPr>
        <w:t>Wang X</w:t>
      </w:r>
      <w:r w:rsidRPr="00372D52">
        <w:rPr>
          <w:rFonts w:ascii="Book Antiqua" w:hAnsi="Book Antiqua"/>
          <w:sz w:val="24"/>
          <w:szCs w:val="24"/>
        </w:rPr>
        <w:t xml:space="preserve">, Jiao J, Wei R, Feng Y, Ma X, Li Y, Du Y. A new method to predict hospital mortality in severe community acquired pneumonia. </w:t>
      </w:r>
      <w:r w:rsidRPr="00372D52">
        <w:rPr>
          <w:rFonts w:ascii="Book Antiqua" w:hAnsi="Book Antiqua"/>
          <w:i/>
          <w:sz w:val="24"/>
          <w:szCs w:val="24"/>
        </w:rPr>
        <w:t>Eur J Intern Med</w:t>
      </w:r>
      <w:r w:rsidRPr="00372D52">
        <w:rPr>
          <w:rFonts w:ascii="Book Antiqua" w:hAnsi="Book Antiqua"/>
          <w:sz w:val="24"/>
          <w:szCs w:val="24"/>
        </w:rPr>
        <w:t xml:space="preserve"> 2017; </w:t>
      </w:r>
      <w:r w:rsidRPr="00372D52">
        <w:rPr>
          <w:rFonts w:ascii="Book Antiqua" w:hAnsi="Book Antiqua"/>
          <w:b/>
          <w:sz w:val="24"/>
          <w:szCs w:val="24"/>
        </w:rPr>
        <w:t>40</w:t>
      </w:r>
      <w:r w:rsidRPr="00372D52">
        <w:rPr>
          <w:rFonts w:ascii="Book Antiqua" w:hAnsi="Book Antiqua"/>
          <w:sz w:val="24"/>
          <w:szCs w:val="24"/>
        </w:rPr>
        <w:t>: 56-63 [PMID: 28320569 DOI: 10.1016/j.ejim.2017.02.013]</w:t>
      </w:r>
    </w:p>
    <w:p w14:paraId="771C46AC"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38 </w:t>
      </w:r>
      <w:r w:rsidRPr="00372D52">
        <w:rPr>
          <w:rFonts w:ascii="Book Antiqua" w:hAnsi="Book Antiqua"/>
          <w:b/>
          <w:sz w:val="24"/>
          <w:szCs w:val="24"/>
        </w:rPr>
        <w:t>Fernández-Serrano S</w:t>
      </w:r>
      <w:r w:rsidRPr="00372D52">
        <w:rPr>
          <w:rFonts w:ascii="Book Antiqua" w:hAnsi="Book Antiqua"/>
          <w:sz w:val="24"/>
          <w:szCs w:val="24"/>
        </w:rPr>
        <w:t xml:space="preserve">, </w:t>
      </w:r>
      <w:proofErr w:type="spellStart"/>
      <w:r w:rsidRPr="00372D52">
        <w:rPr>
          <w:rFonts w:ascii="Book Antiqua" w:hAnsi="Book Antiqua"/>
          <w:sz w:val="24"/>
          <w:szCs w:val="24"/>
        </w:rPr>
        <w:t>Dorca</w:t>
      </w:r>
      <w:proofErr w:type="spellEnd"/>
      <w:r w:rsidRPr="00372D52">
        <w:rPr>
          <w:rFonts w:ascii="Book Antiqua" w:hAnsi="Book Antiqua"/>
          <w:sz w:val="24"/>
          <w:szCs w:val="24"/>
        </w:rPr>
        <w:t xml:space="preserve"> J, Garcia-Vidal C, Fernández-</w:t>
      </w:r>
      <w:proofErr w:type="spellStart"/>
      <w:r w:rsidRPr="00372D52">
        <w:rPr>
          <w:rFonts w:ascii="Book Antiqua" w:hAnsi="Book Antiqua"/>
          <w:sz w:val="24"/>
          <w:szCs w:val="24"/>
        </w:rPr>
        <w:t>Sabé</w:t>
      </w:r>
      <w:proofErr w:type="spellEnd"/>
      <w:r w:rsidRPr="00372D52">
        <w:rPr>
          <w:rFonts w:ascii="Book Antiqua" w:hAnsi="Book Antiqua"/>
          <w:sz w:val="24"/>
          <w:szCs w:val="24"/>
        </w:rPr>
        <w:t xml:space="preserve"> N, </w:t>
      </w:r>
      <w:proofErr w:type="spellStart"/>
      <w:r w:rsidRPr="00372D52">
        <w:rPr>
          <w:rFonts w:ascii="Book Antiqua" w:hAnsi="Book Antiqua"/>
          <w:sz w:val="24"/>
          <w:szCs w:val="24"/>
        </w:rPr>
        <w:t>Carratalà</w:t>
      </w:r>
      <w:proofErr w:type="spellEnd"/>
      <w:r w:rsidRPr="00372D52">
        <w:rPr>
          <w:rFonts w:ascii="Book Antiqua" w:hAnsi="Book Antiqua"/>
          <w:sz w:val="24"/>
          <w:szCs w:val="24"/>
        </w:rPr>
        <w:t xml:space="preserve"> J, Fernández-</w:t>
      </w:r>
      <w:proofErr w:type="spellStart"/>
      <w:r w:rsidRPr="00372D52">
        <w:rPr>
          <w:rFonts w:ascii="Book Antiqua" w:hAnsi="Book Antiqua"/>
          <w:sz w:val="24"/>
          <w:szCs w:val="24"/>
        </w:rPr>
        <w:t>Agüera</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Corominas</w:t>
      </w:r>
      <w:proofErr w:type="spellEnd"/>
      <w:r w:rsidRPr="00372D52">
        <w:rPr>
          <w:rFonts w:ascii="Book Antiqua" w:hAnsi="Book Antiqua"/>
          <w:sz w:val="24"/>
          <w:szCs w:val="24"/>
        </w:rPr>
        <w:t xml:space="preserve"> M, Padrones S, </w:t>
      </w:r>
      <w:proofErr w:type="spellStart"/>
      <w:r w:rsidRPr="00372D52">
        <w:rPr>
          <w:rFonts w:ascii="Book Antiqua" w:hAnsi="Book Antiqua"/>
          <w:sz w:val="24"/>
          <w:szCs w:val="24"/>
        </w:rPr>
        <w:t>Gudiol</w:t>
      </w:r>
      <w:proofErr w:type="spellEnd"/>
      <w:r w:rsidRPr="00372D52">
        <w:rPr>
          <w:rFonts w:ascii="Book Antiqua" w:hAnsi="Book Antiqua"/>
          <w:sz w:val="24"/>
          <w:szCs w:val="24"/>
        </w:rPr>
        <w:t xml:space="preserve"> F, Manresa F. Effect of corticosteroids on the clinical course of community-acquired pneumonia: a randomized controlled trial.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w:t>
      </w:r>
      <w:r w:rsidRPr="00372D52">
        <w:rPr>
          <w:rFonts w:ascii="Book Antiqua" w:hAnsi="Book Antiqua"/>
          <w:sz w:val="24"/>
          <w:szCs w:val="24"/>
        </w:rPr>
        <w:t xml:space="preserve"> 2011; </w:t>
      </w:r>
      <w:r w:rsidRPr="00372D52">
        <w:rPr>
          <w:rFonts w:ascii="Book Antiqua" w:hAnsi="Book Antiqua"/>
          <w:b/>
          <w:sz w:val="24"/>
          <w:szCs w:val="24"/>
        </w:rPr>
        <w:t>15</w:t>
      </w:r>
      <w:r w:rsidRPr="00372D52">
        <w:rPr>
          <w:rFonts w:ascii="Book Antiqua" w:hAnsi="Book Antiqua"/>
          <w:sz w:val="24"/>
          <w:szCs w:val="24"/>
        </w:rPr>
        <w:t>: R96 [PMID: 21406101 DOI: 10.1186/cc10103]</w:t>
      </w:r>
    </w:p>
    <w:p w14:paraId="12D027F4"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39 </w:t>
      </w:r>
      <w:r w:rsidRPr="00372D52">
        <w:rPr>
          <w:rFonts w:ascii="Book Antiqua" w:hAnsi="Book Antiqua"/>
          <w:b/>
          <w:sz w:val="24"/>
          <w:szCs w:val="24"/>
        </w:rPr>
        <w:t>Christ-Crain M</w:t>
      </w:r>
      <w:r w:rsidRPr="00372D52">
        <w:rPr>
          <w:rFonts w:ascii="Book Antiqua" w:hAnsi="Book Antiqua"/>
          <w:sz w:val="24"/>
          <w:szCs w:val="24"/>
        </w:rPr>
        <w:t xml:space="preserve">, Jaccard-Stolz D, </w:t>
      </w:r>
      <w:proofErr w:type="spellStart"/>
      <w:r w:rsidRPr="00372D52">
        <w:rPr>
          <w:rFonts w:ascii="Book Antiqua" w:hAnsi="Book Antiqua"/>
          <w:sz w:val="24"/>
          <w:szCs w:val="24"/>
        </w:rPr>
        <w:t>Bingisser</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Gencay</w:t>
      </w:r>
      <w:proofErr w:type="spellEnd"/>
      <w:r w:rsidRPr="00372D52">
        <w:rPr>
          <w:rFonts w:ascii="Book Antiqua" w:hAnsi="Book Antiqua"/>
          <w:sz w:val="24"/>
          <w:szCs w:val="24"/>
        </w:rPr>
        <w:t xml:space="preserve"> MM, Huber PR, Tamm M, Müller B. Effect of procalcitonin-guided treatment on antibiotic use and outcome in lower respiratory tract infections: cluster-</w:t>
      </w:r>
      <w:proofErr w:type="spellStart"/>
      <w:r w:rsidRPr="00372D52">
        <w:rPr>
          <w:rFonts w:ascii="Book Antiqua" w:hAnsi="Book Antiqua"/>
          <w:sz w:val="24"/>
          <w:szCs w:val="24"/>
        </w:rPr>
        <w:t>randomised</w:t>
      </w:r>
      <w:proofErr w:type="spellEnd"/>
      <w:r w:rsidRPr="00372D52">
        <w:rPr>
          <w:rFonts w:ascii="Book Antiqua" w:hAnsi="Book Antiqua"/>
          <w:sz w:val="24"/>
          <w:szCs w:val="24"/>
        </w:rPr>
        <w:t xml:space="preserve">, single-blinded intervention trial. </w:t>
      </w:r>
      <w:r w:rsidRPr="00372D52">
        <w:rPr>
          <w:rFonts w:ascii="Book Antiqua" w:hAnsi="Book Antiqua"/>
          <w:i/>
          <w:sz w:val="24"/>
          <w:szCs w:val="24"/>
        </w:rPr>
        <w:t>Lancet</w:t>
      </w:r>
      <w:r w:rsidRPr="00372D52">
        <w:rPr>
          <w:rFonts w:ascii="Book Antiqua" w:hAnsi="Book Antiqua"/>
          <w:sz w:val="24"/>
          <w:szCs w:val="24"/>
        </w:rPr>
        <w:t xml:space="preserve"> 2004; </w:t>
      </w:r>
      <w:r w:rsidRPr="00372D52">
        <w:rPr>
          <w:rFonts w:ascii="Book Antiqua" w:hAnsi="Book Antiqua"/>
          <w:b/>
          <w:sz w:val="24"/>
          <w:szCs w:val="24"/>
        </w:rPr>
        <w:t>363</w:t>
      </w:r>
      <w:r w:rsidRPr="00372D52">
        <w:rPr>
          <w:rFonts w:ascii="Book Antiqua" w:hAnsi="Book Antiqua"/>
          <w:sz w:val="24"/>
          <w:szCs w:val="24"/>
        </w:rPr>
        <w:t>: 600-607 [PMID: 14987884 DOI: 10.1016/S0140-6736(04)15591-8]</w:t>
      </w:r>
    </w:p>
    <w:p w14:paraId="56996BA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40 </w:t>
      </w:r>
      <w:r w:rsidRPr="00372D52">
        <w:rPr>
          <w:rFonts w:ascii="Book Antiqua" w:hAnsi="Book Antiqua"/>
          <w:b/>
          <w:sz w:val="24"/>
          <w:szCs w:val="24"/>
        </w:rPr>
        <w:t>Christ-Crain M</w:t>
      </w:r>
      <w:r w:rsidRPr="00372D52">
        <w:rPr>
          <w:rFonts w:ascii="Book Antiqua" w:hAnsi="Book Antiqua"/>
          <w:sz w:val="24"/>
          <w:szCs w:val="24"/>
        </w:rPr>
        <w:t xml:space="preserve">, Stolz D, </w:t>
      </w:r>
      <w:proofErr w:type="spellStart"/>
      <w:r w:rsidRPr="00372D52">
        <w:rPr>
          <w:rFonts w:ascii="Book Antiqua" w:hAnsi="Book Antiqua"/>
          <w:sz w:val="24"/>
          <w:szCs w:val="24"/>
        </w:rPr>
        <w:t>Bingisser</w:t>
      </w:r>
      <w:proofErr w:type="spellEnd"/>
      <w:r w:rsidRPr="00372D52">
        <w:rPr>
          <w:rFonts w:ascii="Book Antiqua" w:hAnsi="Book Antiqua"/>
          <w:sz w:val="24"/>
          <w:szCs w:val="24"/>
        </w:rPr>
        <w:t xml:space="preserve"> R, Müller C, </w:t>
      </w:r>
      <w:proofErr w:type="spellStart"/>
      <w:r w:rsidRPr="00372D52">
        <w:rPr>
          <w:rFonts w:ascii="Book Antiqua" w:hAnsi="Book Antiqua"/>
          <w:sz w:val="24"/>
          <w:szCs w:val="24"/>
        </w:rPr>
        <w:t>Miedinger</w:t>
      </w:r>
      <w:proofErr w:type="spellEnd"/>
      <w:r w:rsidRPr="00372D52">
        <w:rPr>
          <w:rFonts w:ascii="Book Antiqua" w:hAnsi="Book Antiqua"/>
          <w:sz w:val="24"/>
          <w:szCs w:val="24"/>
        </w:rPr>
        <w:t xml:space="preserve"> D, Huber PR, </w:t>
      </w:r>
      <w:proofErr w:type="spellStart"/>
      <w:r w:rsidRPr="00372D52">
        <w:rPr>
          <w:rFonts w:ascii="Book Antiqua" w:hAnsi="Book Antiqua"/>
          <w:sz w:val="24"/>
          <w:szCs w:val="24"/>
        </w:rPr>
        <w:t>Zimmerli</w:t>
      </w:r>
      <w:proofErr w:type="spellEnd"/>
      <w:r w:rsidRPr="00372D52">
        <w:rPr>
          <w:rFonts w:ascii="Book Antiqua" w:hAnsi="Book Antiqua"/>
          <w:sz w:val="24"/>
          <w:szCs w:val="24"/>
        </w:rPr>
        <w:t xml:space="preserve"> W, </w:t>
      </w:r>
      <w:proofErr w:type="spellStart"/>
      <w:r w:rsidRPr="00372D52">
        <w:rPr>
          <w:rFonts w:ascii="Book Antiqua" w:hAnsi="Book Antiqua"/>
          <w:sz w:val="24"/>
          <w:szCs w:val="24"/>
        </w:rPr>
        <w:t>Harbarth</w:t>
      </w:r>
      <w:proofErr w:type="spellEnd"/>
      <w:r w:rsidRPr="00372D52">
        <w:rPr>
          <w:rFonts w:ascii="Book Antiqua" w:hAnsi="Book Antiqua"/>
          <w:sz w:val="24"/>
          <w:szCs w:val="24"/>
        </w:rPr>
        <w:t xml:space="preserve"> S, Tamm M, Müller B. Procalcitonin guidance of antibiotic therapy in community-acquired pneumonia: a randomized trial. </w:t>
      </w:r>
      <w:r w:rsidRPr="00372D52">
        <w:rPr>
          <w:rFonts w:ascii="Book Antiqua" w:hAnsi="Book Antiqua"/>
          <w:i/>
          <w:sz w:val="24"/>
          <w:szCs w:val="24"/>
        </w:rPr>
        <w:t xml:space="preserve">Am J Respir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2006; </w:t>
      </w:r>
      <w:r w:rsidRPr="00372D52">
        <w:rPr>
          <w:rFonts w:ascii="Book Antiqua" w:hAnsi="Book Antiqua"/>
          <w:b/>
          <w:sz w:val="24"/>
          <w:szCs w:val="24"/>
        </w:rPr>
        <w:t>174</w:t>
      </w:r>
      <w:r w:rsidRPr="00372D52">
        <w:rPr>
          <w:rFonts w:ascii="Book Antiqua" w:hAnsi="Book Antiqua"/>
          <w:sz w:val="24"/>
          <w:szCs w:val="24"/>
        </w:rPr>
        <w:t>: 84-93 [PMID: 16603606 DOI: 10.1164/rccm.200512-1922OC]</w:t>
      </w:r>
    </w:p>
    <w:p w14:paraId="56C4698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41 </w:t>
      </w:r>
      <w:r w:rsidRPr="00372D52">
        <w:rPr>
          <w:rFonts w:ascii="Book Antiqua" w:hAnsi="Book Antiqua"/>
          <w:b/>
          <w:sz w:val="24"/>
          <w:szCs w:val="24"/>
        </w:rPr>
        <w:t>Schuetz P</w:t>
      </w:r>
      <w:r w:rsidRPr="00372D52">
        <w:rPr>
          <w:rFonts w:ascii="Book Antiqua" w:hAnsi="Book Antiqua"/>
          <w:sz w:val="24"/>
          <w:szCs w:val="24"/>
        </w:rPr>
        <w:t xml:space="preserve">, Christ-Crain M, Thomann R, </w:t>
      </w:r>
      <w:proofErr w:type="spellStart"/>
      <w:r w:rsidRPr="00372D52">
        <w:rPr>
          <w:rFonts w:ascii="Book Antiqua" w:hAnsi="Book Antiqua"/>
          <w:sz w:val="24"/>
          <w:szCs w:val="24"/>
        </w:rPr>
        <w:t>Falconnier</w:t>
      </w:r>
      <w:proofErr w:type="spellEnd"/>
      <w:r w:rsidRPr="00372D52">
        <w:rPr>
          <w:rFonts w:ascii="Book Antiqua" w:hAnsi="Book Antiqua"/>
          <w:sz w:val="24"/>
          <w:szCs w:val="24"/>
        </w:rPr>
        <w:t xml:space="preserve"> C, </w:t>
      </w:r>
      <w:proofErr w:type="spellStart"/>
      <w:r w:rsidRPr="00372D52">
        <w:rPr>
          <w:rFonts w:ascii="Book Antiqua" w:hAnsi="Book Antiqua"/>
          <w:sz w:val="24"/>
          <w:szCs w:val="24"/>
        </w:rPr>
        <w:t>Wolbers</w:t>
      </w:r>
      <w:proofErr w:type="spellEnd"/>
      <w:r w:rsidRPr="00372D52">
        <w:rPr>
          <w:rFonts w:ascii="Book Antiqua" w:hAnsi="Book Antiqua"/>
          <w:sz w:val="24"/>
          <w:szCs w:val="24"/>
        </w:rPr>
        <w:t xml:space="preserve"> M, Widmer I, </w:t>
      </w:r>
      <w:proofErr w:type="spellStart"/>
      <w:r w:rsidRPr="00372D52">
        <w:rPr>
          <w:rFonts w:ascii="Book Antiqua" w:hAnsi="Book Antiqua"/>
          <w:sz w:val="24"/>
          <w:szCs w:val="24"/>
        </w:rPr>
        <w:t>Neidert</w:t>
      </w:r>
      <w:proofErr w:type="spellEnd"/>
      <w:r w:rsidRPr="00372D52">
        <w:rPr>
          <w:rFonts w:ascii="Book Antiqua" w:hAnsi="Book Antiqua"/>
          <w:sz w:val="24"/>
          <w:szCs w:val="24"/>
        </w:rPr>
        <w:t xml:space="preserve"> S, Fricker T, Blum C, </w:t>
      </w:r>
      <w:proofErr w:type="spellStart"/>
      <w:r w:rsidRPr="00372D52">
        <w:rPr>
          <w:rFonts w:ascii="Book Antiqua" w:hAnsi="Book Antiqua"/>
          <w:sz w:val="24"/>
          <w:szCs w:val="24"/>
        </w:rPr>
        <w:t>Schild</w:t>
      </w:r>
      <w:proofErr w:type="spellEnd"/>
      <w:r w:rsidRPr="00372D52">
        <w:rPr>
          <w:rFonts w:ascii="Book Antiqua" w:hAnsi="Book Antiqua"/>
          <w:sz w:val="24"/>
          <w:szCs w:val="24"/>
        </w:rPr>
        <w:t xml:space="preserve"> U, </w:t>
      </w:r>
      <w:proofErr w:type="spellStart"/>
      <w:r w:rsidRPr="00372D52">
        <w:rPr>
          <w:rFonts w:ascii="Book Antiqua" w:hAnsi="Book Antiqua"/>
          <w:sz w:val="24"/>
          <w:szCs w:val="24"/>
        </w:rPr>
        <w:t>Regez</w:t>
      </w:r>
      <w:proofErr w:type="spellEnd"/>
      <w:r w:rsidRPr="00372D52">
        <w:rPr>
          <w:rFonts w:ascii="Book Antiqua" w:hAnsi="Book Antiqua"/>
          <w:sz w:val="24"/>
          <w:szCs w:val="24"/>
        </w:rPr>
        <w:t xml:space="preserve"> K, </w:t>
      </w:r>
      <w:proofErr w:type="spellStart"/>
      <w:r w:rsidRPr="00372D52">
        <w:rPr>
          <w:rFonts w:ascii="Book Antiqua" w:hAnsi="Book Antiqua"/>
          <w:sz w:val="24"/>
          <w:szCs w:val="24"/>
        </w:rPr>
        <w:t>Schoenenberger</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Henzen</w:t>
      </w:r>
      <w:proofErr w:type="spellEnd"/>
      <w:r w:rsidRPr="00372D52">
        <w:rPr>
          <w:rFonts w:ascii="Book Antiqua" w:hAnsi="Book Antiqua"/>
          <w:sz w:val="24"/>
          <w:szCs w:val="24"/>
        </w:rPr>
        <w:t xml:space="preserve"> C, </w:t>
      </w:r>
      <w:proofErr w:type="spellStart"/>
      <w:r w:rsidRPr="00372D52">
        <w:rPr>
          <w:rFonts w:ascii="Book Antiqua" w:hAnsi="Book Antiqua"/>
          <w:sz w:val="24"/>
          <w:szCs w:val="24"/>
        </w:rPr>
        <w:t>Bregenzer</w:t>
      </w:r>
      <w:proofErr w:type="spellEnd"/>
      <w:r w:rsidRPr="00372D52">
        <w:rPr>
          <w:rFonts w:ascii="Book Antiqua" w:hAnsi="Book Antiqua"/>
          <w:sz w:val="24"/>
          <w:szCs w:val="24"/>
        </w:rPr>
        <w:t xml:space="preserve"> T, </w:t>
      </w:r>
      <w:proofErr w:type="spellStart"/>
      <w:r w:rsidRPr="00372D52">
        <w:rPr>
          <w:rFonts w:ascii="Book Antiqua" w:hAnsi="Book Antiqua"/>
          <w:sz w:val="24"/>
          <w:szCs w:val="24"/>
        </w:rPr>
        <w:t>Hoess</w:t>
      </w:r>
      <w:proofErr w:type="spellEnd"/>
      <w:r w:rsidRPr="00372D52">
        <w:rPr>
          <w:rFonts w:ascii="Book Antiqua" w:hAnsi="Book Antiqua"/>
          <w:sz w:val="24"/>
          <w:szCs w:val="24"/>
        </w:rPr>
        <w:t xml:space="preserve"> C, Krause M, Bucher HC, </w:t>
      </w:r>
      <w:proofErr w:type="spellStart"/>
      <w:r w:rsidRPr="00372D52">
        <w:rPr>
          <w:rFonts w:ascii="Book Antiqua" w:hAnsi="Book Antiqua"/>
          <w:sz w:val="24"/>
          <w:szCs w:val="24"/>
        </w:rPr>
        <w:t>Zimmerli</w:t>
      </w:r>
      <w:proofErr w:type="spellEnd"/>
      <w:r w:rsidRPr="00372D52">
        <w:rPr>
          <w:rFonts w:ascii="Book Antiqua" w:hAnsi="Book Antiqua"/>
          <w:sz w:val="24"/>
          <w:szCs w:val="24"/>
        </w:rPr>
        <w:t xml:space="preserve"> W, Mueller B; </w:t>
      </w:r>
      <w:proofErr w:type="spellStart"/>
      <w:r w:rsidRPr="00372D52">
        <w:rPr>
          <w:rFonts w:ascii="Book Antiqua" w:hAnsi="Book Antiqua"/>
          <w:sz w:val="24"/>
          <w:szCs w:val="24"/>
        </w:rPr>
        <w:t>ProHOSP</w:t>
      </w:r>
      <w:proofErr w:type="spellEnd"/>
      <w:r w:rsidRPr="00372D52">
        <w:rPr>
          <w:rFonts w:ascii="Book Antiqua" w:hAnsi="Book Antiqua"/>
          <w:sz w:val="24"/>
          <w:szCs w:val="24"/>
        </w:rPr>
        <w:t xml:space="preserve"> Study Group. Effect of procalcitonin-based guidelines vs standard guidelines on antibiotic use in lower respiratory tract infections: the </w:t>
      </w:r>
      <w:proofErr w:type="spellStart"/>
      <w:r w:rsidRPr="00372D52">
        <w:rPr>
          <w:rFonts w:ascii="Book Antiqua" w:hAnsi="Book Antiqua"/>
          <w:sz w:val="24"/>
          <w:szCs w:val="24"/>
        </w:rPr>
        <w:t>ProHOSP</w:t>
      </w:r>
      <w:proofErr w:type="spellEnd"/>
      <w:r w:rsidRPr="00372D52">
        <w:rPr>
          <w:rFonts w:ascii="Book Antiqua" w:hAnsi="Book Antiqua"/>
          <w:sz w:val="24"/>
          <w:szCs w:val="24"/>
        </w:rPr>
        <w:t xml:space="preserve"> randomized controlled trial. </w:t>
      </w:r>
      <w:r w:rsidRPr="00372D52">
        <w:rPr>
          <w:rFonts w:ascii="Book Antiqua" w:hAnsi="Book Antiqua"/>
          <w:i/>
          <w:sz w:val="24"/>
          <w:szCs w:val="24"/>
        </w:rPr>
        <w:t>JAMA</w:t>
      </w:r>
      <w:r w:rsidRPr="00372D52">
        <w:rPr>
          <w:rFonts w:ascii="Book Antiqua" w:hAnsi="Book Antiqua"/>
          <w:sz w:val="24"/>
          <w:szCs w:val="24"/>
        </w:rPr>
        <w:t xml:space="preserve"> 2009; </w:t>
      </w:r>
      <w:r w:rsidRPr="00372D52">
        <w:rPr>
          <w:rFonts w:ascii="Book Antiqua" w:hAnsi="Book Antiqua"/>
          <w:b/>
          <w:sz w:val="24"/>
          <w:szCs w:val="24"/>
        </w:rPr>
        <w:t>302</w:t>
      </w:r>
      <w:r w:rsidRPr="00372D52">
        <w:rPr>
          <w:rFonts w:ascii="Book Antiqua" w:hAnsi="Book Antiqua"/>
          <w:sz w:val="24"/>
          <w:szCs w:val="24"/>
        </w:rPr>
        <w:t>: 1059-1066 [PMID: 19738090 DOI: 10.1001/jama.2009.1297]</w:t>
      </w:r>
    </w:p>
    <w:p w14:paraId="4810EA7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42 </w:t>
      </w:r>
      <w:r w:rsidRPr="00372D52">
        <w:rPr>
          <w:rFonts w:ascii="Book Antiqua" w:hAnsi="Book Antiqua"/>
          <w:b/>
          <w:sz w:val="24"/>
          <w:szCs w:val="24"/>
        </w:rPr>
        <w:t>Fernández-Serrano S</w:t>
      </w:r>
      <w:r w:rsidRPr="00372D52">
        <w:rPr>
          <w:rFonts w:ascii="Book Antiqua" w:hAnsi="Book Antiqua"/>
          <w:sz w:val="24"/>
          <w:szCs w:val="24"/>
        </w:rPr>
        <w:t xml:space="preserve">, </w:t>
      </w:r>
      <w:proofErr w:type="spellStart"/>
      <w:r w:rsidRPr="00372D52">
        <w:rPr>
          <w:rFonts w:ascii="Book Antiqua" w:hAnsi="Book Antiqua"/>
          <w:sz w:val="24"/>
          <w:szCs w:val="24"/>
        </w:rPr>
        <w:t>Dorca</w:t>
      </w:r>
      <w:proofErr w:type="spellEnd"/>
      <w:r w:rsidRPr="00372D52">
        <w:rPr>
          <w:rFonts w:ascii="Book Antiqua" w:hAnsi="Book Antiqua"/>
          <w:sz w:val="24"/>
          <w:szCs w:val="24"/>
        </w:rPr>
        <w:t xml:space="preserve"> J, </w:t>
      </w:r>
      <w:proofErr w:type="spellStart"/>
      <w:r w:rsidRPr="00372D52">
        <w:rPr>
          <w:rFonts w:ascii="Book Antiqua" w:hAnsi="Book Antiqua"/>
          <w:sz w:val="24"/>
          <w:szCs w:val="24"/>
        </w:rPr>
        <w:t>Coromines</w:t>
      </w:r>
      <w:proofErr w:type="spellEnd"/>
      <w:r w:rsidRPr="00372D52">
        <w:rPr>
          <w:rFonts w:ascii="Book Antiqua" w:hAnsi="Book Antiqua"/>
          <w:sz w:val="24"/>
          <w:szCs w:val="24"/>
        </w:rPr>
        <w:t xml:space="preserve"> M, </w:t>
      </w:r>
      <w:proofErr w:type="spellStart"/>
      <w:r w:rsidRPr="00372D52">
        <w:rPr>
          <w:rFonts w:ascii="Book Antiqua" w:hAnsi="Book Antiqua"/>
          <w:sz w:val="24"/>
          <w:szCs w:val="24"/>
        </w:rPr>
        <w:t>Carratalà</w:t>
      </w:r>
      <w:proofErr w:type="spellEnd"/>
      <w:r w:rsidRPr="00372D52">
        <w:rPr>
          <w:rFonts w:ascii="Book Antiqua" w:hAnsi="Book Antiqua"/>
          <w:sz w:val="24"/>
          <w:szCs w:val="24"/>
        </w:rPr>
        <w:t xml:space="preserve"> J, </w:t>
      </w:r>
      <w:proofErr w:type="spellStart"/>
      <w:r w:rsidRPr="00372D52">
        <w:rPr>
          <w:rFonts w:ascii="Book Antiqua" w:hAnsi="Book Antiqua"/>
          <w:sz w:val="24"/>
          <w:szCs w:val="24"/>
        </w:rPr>
        <w:t>Gudiol</w:t>
      </w:r>
      <w:proofErr w:type="spellEnd"/>
      <w:r w:rsidRPr="00372D52">
        <w:rPr>
          <w:rFonts w:ascii="Book Antiqua" w:hAnsi="Book Antiqua"/>
          <w:sz w:val="24"/>
          <w:szCs w:val="24"/>
        </w:rPr>
        <w:t xml:space="preserve"> F, Manresa F. Molecular inflammatory responses measured in blood of patients with severe community-acquired pneumonia. </w:t>
      </w:r>
      <w:r w:rsidRPr="00372D52">
        <w:rPr>
          <w:rFonts w:ascii="Book Antiqua" w:hAnsi="Book Antiqua"/>
          <w:i/>
          <w:sz w:val="24"/>
          <w:szCs w:val="24"/>
        </w:rPr>
        <w:t>Clin Diagn Lab Immunol</w:t>
      </w:r>
      <w:r w:rsidRPr="00372D52">
        <w:rPr>
          <w:rFonts w:ascii="Book Antiqua" w:hAnsi="Book Antiqua"/>
          <w:sz w:val="24"/>
          <w:szCs w:val="24"/>
        </w:rPr>
        <w:t xml:space="preserve"> 2003; </w:t>
      </w:r>
      <w:r w:rsidRPr="00372D52">
        <w:rPr>
          <w:rFonts w:ascii="Book Antiqua" w:hAnsi="Book Antiqua"/>
          <w:b/>
          <w:sz w:val="24"/>
          <w:szCs w:val="24"/>
        </w:rPr>
        <w:t>10</w:t>
      </w:r>
      <w:r w:rsidRPr="00372D52">
        <w:rPr>
          <w:rFonts w:ascii="Book Antiqua" w:hAnsi="Book Antiqua"/>
          <w:sz w:val="24"/>
          <w:szCs w:val="24"/>
        </w:rPr>
        <w:t>: 813-820 [PMID: 12965910 DOI: 10.1128/CDLI.10.5.813-820.2003]</w:t>
      </w:r>
    </w:p>
    <w:p w14:paraId="4BFF6DDC"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43 </w:t>
      </w:r>
      <w:r w:rsidRPr="00372D52">
        <w:rPr>
          <w:rFonts w:ascii="Book Antiqua" w:hAnsi="Book Antiqua"/>
          <w:b/>
          <w:sz w:val="24"/>
          <w:szCs w:val="24"/>
        </w:rPr>
        <w:t>Ramírez P</w:t>
      </w:r>
      <w:r w:rsidRPr="00372D52">
        <w:rPr>
          <w:rFonts w:ascii="Book Antiqua" w:hAnsi="Book Antiqua"/>
          <w:sz w:val="24"/>
          <w:szCs w:val="24"/>
        </w:rPr>
        <w:t xml:space="preserve">, Ferrer M, Martí V, Reyes S, Martínez R, Menéndez R, </w:t>
      </w:r>
      <w:proofErr w:type="spellStart"/>
      <w:r w:rsidRPr="00372D52">
        <w:rPr>
          <w:rFonts w:ascii="Book Antiqua" w:hAnsi="Book Antiqua"/>
          <w:sz w:val="24"/>
          <w:szCs w:val="24"/>
        </w:rPr>
        <w:t>Ewig</w:t>
      </w:r>
      <w:proofErr w:type="spellEnd"/>
      <w:r w:rsidRPr="00372D52">
        <w:rPr>
          <w:rFonts w:ascii="Book Antiqua" w:hAnsi="Book Antiqua"/>
          <w:sz w:val="24"/>
          <w:szCs w:val="24"/>
        </w:rPr>
        <w:t xml:space="preserve"> S, Torres A. Inflammatory biomarkers and prediction for intensive care unit admission in severe </w:t>
      </w:r>
      <w:r w:rsidRPr="00372D52">
        <w:rPr>
          <w:rFonts w:ascii="Book Antiqua" w:hAnsi="Book Antiqua"/>
          <w:sz w:val="24"/>
          <w:szCs w:val="24"/>
        </w:rPr>
        <w:lastRenderedPageBreak/>
        <w:t xml:space="preserve">community-acquired pneumonia.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2011; </w:t>
      </w:r>
      <w:r w:rsidRPr="00372D52">
        <w:rPr>
          <w:rFonts w:ascii="Book Antiqua" w:hAnsi="Book Antiqua"/>
          <w:b/>
          <w:sz w:val="24"/>
          <w:szCs w:val="24"/>
        </w:rPr>
        <w:t>39</w:t>
      </w:r>
      <w:r w:rsidRPr="00372D52">
        <w:rPr>
          <w:rFonts w:ascii="Book Antiqua" w:hAnsi="Book Antiqua"/>
          <w:sz w:val="24"/>
          <w:szCs w:val="24"/>
        </w:rPr>
        <w:t>: 2211-2217 [PMID: 21705887 DOI: 10.1097/CCM.0b013e3182257445]</w:t>
      </w:r>
    </w:p>
    <w:p w14:paraId="21266538"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44 </w:t>
      </w:r>
      <w:r w:rsidRPr="00372D52">
        <w:rPr>
          <w:rFonts w:ascii="Book Antiqua" w:hAnsi="Book Antiqua"/>
          <w:b/>
          <w:sz w:val="24"/>
          <w:szCs w:val="24"/>
        </w:rPr>
        <w:t>Spadaro S</w:t>
      </w:r>
      <w:r w:rsidRPr="00372D52">
        <w:rPr>
          <w:rFonts w:ascii="Book Antiqua" w:hAnsi="Book Antiqua"/>
          <w:sz w:val="24"/>
          <w:szCs w:val="24"/>
        </w:rPr>
        <w:t xml:space="preserve">, Park M, </w:t>
      </w:r>
      <w:proofErr w:type="spellStart"/>
      <w:r w:rsidRPr="00372D52">
        <w:rPr>
          <w:rFonts w:ascii="Book Antiqua" w:hAnsi="Book Antiqua"/>
          <w:sz w:val="24"/>
          <w:szCs w:val="24"/>
        </w:rPr>
        <w:t>Turrini</w:t>
      </w:r>
      <w:proofErr w:type="spellEnd"/>
      <w:r w:rsidRPr="00372D52">
        <w:rPr>
          <w:rFonts w:ascii="Book Antiqua" w:hAnsi="Book Antiqua"/>
          <w:sz w:val="24"/>
          <w:szCs w:val="24"/>
        </w:rPr>
        <w:t xml:space="preserve"> C, Tunstall T, Thwaites R, Mauri T, </w:t>
      </w:r>
      <w:proofErr w:type="spellStart"/>
      <w:r w:rsidRPr="00372D52">
        <w:rPr>
          <w:rFonts w:ascii="Book Antiqua" w:hAnsi="Book Antiqua"/>
          <w:sz w:val="24"/>
          <w:szCs w:val="24"/>
        </w:rPr>
        <w:t>Ragazzi</w:t>
      </w:r>
      <w:proofErr w:type="spellEnd"/>
      <w:r w:rsidRPr="00372D52">
        <w:rPr>
          <w:rFonts w:ascii="Book Antiqua" w:hAnsi="Book Antiqua"/>
          <w:sz w:val="24"/>
          <w:szCs w:val="24"/>
        </w:rPr>
        <w:t xml:space="preserve"> R, Ruggeri P, Hansel TT, </w:t>
      </w:r>
      <w:proofErr w:type="spellStart"/>
      <w:r w:rsidRPr="00372D52">
        <w:rPr>
          <w:rFonts w:ascii="Book Antiqua" w:hAnsi="Book Antiqua"/>
          <w:sz w:val="24"/>
          <w:szCs w:val="24"/>
        </w:rPr>
        <w:t>Caramori</w:t>
      </w:r>
      <w:proofErr w:type="spellEnd"/>
      <w:r w:rsidRPr="00372D52">
        <w:rPr>
          <w:rFonts w:ascii="Book Antiqua" w:hAnsi="Book Antiqua"/>
          <w:sz w:val="24"/>
          <w:szCs w:val="24"/>
        </w:rPr>
        <w:t xml:space="preserve"> G, Volta CA. Biomarkers for Acute Respiratory Distress syndrome and prospects for </w:t>
      </w:r>
      <w:proofErr w:type="spellStart"/>
      <w:r w:rsidRPr="00372D52">
        <w:rPr>
          <w:rFonts w:ascii="Book Antiqua" w:hAnsi="Book Antiqua"/>
          <w:sz w:val="24"/>
          <w:szCs w:val="24"/>
        </w:rPr>
        <w:t>personalised</w:t>
      </w:r>
      <w:proofErr w:type="spellEnd"/>
      <w:r w:rsidRPr="00372D52">
        <w:rPr>
          <w:rFonts w:ascii="Book Antiqua" w:hAnsi="Book Antiqua"/>
          <w:sz w:val="24"/>
          <w:szCs w:val="24"/>
        </w:rPr>
        <w:t xml:space="preserve"> medicine. </w:t>
      </w:r>
      <w:r w:rsidRPr="00372D52">
        <w:rPr>
          <w:rFonts w:ascii="Book Antiqua" w:hAnsi="Book Antiqua"/>
          <w:i/>
          <w:sz w:val="24"/>
          <w:szCs w:val="24"/>
        </w:rPr>
        <w:t xml:space="preserve">J </w:t>
      </w:r>
      <w:proofErr w:type="spellStart"/>
      <w:r w:rsidRPr="00372D52">
        <w:rPr>
          <w:rFonts w:ascii="Book Antiqua" w:hAnsi="Book Antiqua"/>
          <w:i/>
          <w:sz w:val="24"/>
          <w:szCs w:val="24"/>
        </w:rPr>
        <w:t>Inflamm</w:t>
      </w:r>
      <w:proofErr w:type="spellEnd"/>
      <w:r w:rsidRPr="00372D52">
        <w:rPr>
          <w:rFonts w:ascii="Book Antiqua" w:hAnsi="Book Antiqua"/>
          <w:i/>
          <w:sz w:val="24"/>
          <w:szCs w:val="24"/>
        </w:rPr>
        <w:t xml:space="preserve"> (</w:t>
      </w:r>
      <w:proofErr w:type="spellStart"/>
      <w:r w:rsidRPr="00372D52">
        <w:rPr>
          <w:rFonts w:ascii="Book Antiqua" w:hAnsi="Book Antiqua"/>
          <w:i/>
          <w:sz w:val="24"/>
          <w:szCs w:val="24"/>
        </w:rPr>
        <w:t>Lond</w:t>
      </w:r>
      <w:proofErr w:type="spellEnd"/>
      <w:r w:rsidRPr="00372D52">
        <w:rPr>
          <w:rFonts w:ascii="Book Antiqua" w:hAnsi="Book Antiqua"/>
          <w:i/>
          <w:sz w:val="24"/>
          <w:szCs w:val="24"/>
        </w:rPr>
        <w:t>)</w:t>
      </w:r>
      <w:r w:rsidRPr="00372D52">
        <w:rPr>
          <w:rFonts w:ascii="Book Antiqua" w:hAnsi="Book Antiqua"/>
          <w:sz w:val="24"/>
          <w:szCs w:val="24"/>
        </w:rPr>
        <w:t xml:space="preserve"> 2019; </w:t>
      </w:r>
      <w:r w:rsidRPr="00372D52">
        <w:rPr>
          <w:rFonts w:ascii="Book Antiqua" w:hAnsi="Book Antiqua"/>
          <w:b/>
          <w:sz w:val="24"/>
          <w:szCs w:val="24"/>
        </w:rPr>
        <w:t>16</w:t>
      </w:r>
      <w:r w:rsidRPr="00372D52">
        <w:rPr>
          <w:rFonts w:ascii="Book Antiqua" w:hAnsi="Book Antiqua"/>
          <w:sz w:val="24"/>
          <w:szCs w:val="24"/>
        </w:rPr>
        <w:t>: 1 [PMID: 30675131 DOI: 10.1186/s12950-018-0202-y]</w:t>
      </w:r>
    </w:p>
    <w:p w14:paraId="5905D61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45 </w:t>
      </w:r>
      <w:r w:rsidRPr="00372D52">
        <w:rPr>
          <w:rFonts w:ascii="Book Antiqua" w:hAnsi="Book Antiqua"/>
          <w:b/>
          <w:sz w:val="24"/>
          <w:szCs w:val="24"/>
        </w:rPr>
        <w:t>Ware LB</w:t>
      </w:r>
      <w:r w:rsidRPr="00372D52">
        <w:rPr>
          <w:rFonts w:ascii="Book Antiqua" w:hAnsi="Book Antiqua"/>
          <w:sz w:val="24"/>
          <w:szCs w:val="24"/>
        </w:rPr>
        <w:t xml:space="preserve">, Koyama T, </w:t>
      </w:r>
      <w:proofErr w:type="spellStart"/>
      <w:r w:rsidRPr="00372D52">
        <w:rPr>
          <w:rFonts w:ascii="Book Antiqua" w:hAnsi="Book Antiqua"/>
          <w:sz w:val="24"/>
          <w:szCs w:val="24"/>
        </w:rPr>
        <w:t>Billheimer</w:t>
      </w:r>
      <w:proofErr w:type="spellEnd"/>
      <w:r w:rsidRPr="00372D52">
        <w:rPr>
          <w:rFonts w:ascii="Book Antiqua" w:hAnsi="Book Antiqua"/>
          <w:sz w:val="24"/>
          <w:szCs w:val="24"/>
        </w:rPr>
        <w:t xml:space="preserve"> DD, Wu W, Bernard GR, Thompson BT, Brower RG, </w:t>
      </w:r>
      <w:proofErr w:type="spellStart"/>
      <w:r w:rsidRPr="00372D52">
        <w:rPr>
          <w:rFonts w:ascii="Book Antiqua" w:hAnsi="Book Antiqua"/>
          <w:sz w:val="24"/>
          <w:szCs w:val="24"/>
        </w:rPr>
        <w:t>Standiford</w:t>
      </w:r>
      <w:proofErr w:type="spellEnd"/>
      <w:r w:rsidRPr="00372D52">
        <w:rPr>
          <w:rFonts w:ascii="Book Antiqua" w:hAnsi="Book Antiqua"/>
          <w:sz w:val="24"/>
          <w:szCs w:val="24"/>
        </w:rPr>
        <w:t xml:space="preserve"> TJ, Martin TR, </w:t>
      </w:r>
      <w:proofErr w:type="spellStart"/>
      <w:r w:rsidRPr="00372D52">
        <w:rPr>
          <w:rFonts w:ascii="Book Antiqua" w:hAnsi="Book Antiqua"/>
          <w:sz w:val="24"/>
          <w:szCs w:val="24"/>
        </w:rPr>
        <w:t>Matthay</w:t>
      </w:r>
      <w:proofErr w:type="spellEnd"/>
      <w:r w:rsidRPr="00372D52">
        <w:rPr>
          <w:rFonts w:ascii="Book Antiqua" w:hAnsi="Book Antiqua"/>
          <w:sz w:val="24"/>
          <w:szCs w:val="24"/>
        </w:rPr>
        <w:t xml:space="preserve"> MA; NHLBI ARDS Clinical Trials Network. Prognostic and pathogenetic value of combining clinical and biochemical indices in patients with acute lung injury. </w:t>
      </w:r>
      <w:r w:rsidRPr="00372D52">
        <w:rPr>
          <w:rFonts w:ascii="Book Antiqua" w:hAnsi="Book Antiqua"/>
          <w:i/>
          <w:sz w:val="24"/>
          <w:szCs w:val="24"/>
        </w:rPr>
        <w:t>Chest</w:t>
      </w:r>
      <w:r w:rsidRPr="00372D52">
        <w:rPr>
          <w:rFonts w:ascii="Book Antiqua" w:hAnsi="Book Antiqua"/>
          <w:sz w:val="24"/>
          <w:szCs w:val="24"/>
        </w:rPr>
        <w:t xml:space="preserve"> 2010; </w:t>
      </w:r>
      <w:r w:rsidRPr="00372D52">
        <w:rPr>
          <w:rFonts w:ascii="Book Antiqua" w:hAnsi="Book Antiqua"/>
          <w:b/>
          <w:sz w:val="24"/>
          <w:szCs w:val="24"/>
        </w:rPr>
        <w:t>137</w:t>
      </w:r>
      <w:r w:rsidRPr="00372D52">
        <w:rPr>
          <w:rFonts w:ascii="Book Antiqua" w:hAnsi="Book Antiqua"/>
          <w:sz w:val="24"/>
          <w:szCs w:val="24"/>
        </w:rPr>
        <w:t>: 288-296 [PMID: 19858233 DOI: 10.1378/chest.09-1484]</w:t>
      </w:r>
    </w:p>
    <w:p w14:paraId="4FF2BB12"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46 </w:t>
      </w:r>
      <w:proofErr w:type="spellStart"/>
      <w:r w:rsidRPr="00372D52">
        <w:rPr>
          <w:rFonts w:ascii="Book Antiqua" w:hAnsi="Book Antiqua"/>
          <w:b/>
          <w:sz w:val="24"/>
          <w:szCs w:val="24"/>
        </w:rPr>
        <w:t>Delucchi</w:t>
      </w:r>
      <w:proofErr w:type="spellEnd"/>
      <w:r w:rsidRPr="00372D52">
        <w:rPr>
          <w:rFonts w:ascii="Book Antiqua" w:hAnsi="Book Antiqua"/>
          <w:b/>
          <w:sz w:val="24"/>
          <w:szCs w:val="24"/>
        </w:rPr>
        <w:t xml:space="preserve"> K</w:t>
      </w:r>
      <w:r w:rsidRPr="00372D52">
        <w:rPr>
          <w:rFonts w:ascii="Book Antiqua" w:hAnsi="Book Antiqua"/>
          <w:sz w:val="24"/>
          <w:szCs w:val="24"/>
        </w:rPr>
        <w:t xml:space="preserve">, Famous KR, Ware LB, Parsons PE, Thompson BT, Calfee CS; ARDS Network. Stability of ARDS </w:t>
      </w:r>
      <w:proofErr w:type="spellStart"/>
      <w:r w:rsidRPr="00372D52">
        <w:rPr>
          <w:rFonts w:ascii="Book Antiqua" w:hAnsi="Book Antiqua"/>
          <w:sz w:val="24"/>
          <w:szCs w:val="24"/>
        </w:rPr>
        <w:t>subphenotypes</w:t>
      </w:r>
      <w:proofErr w:type="spellEnd"/>
      <w:r w:rsidRPr="00372D52">
        <w:rPr>
          <w:rFonts w:ascii="Book Antiqua" w:hAnsi="Book Antiqua"/>
          <w:sz w:val="24"/>
          <w:szCs w:val="24"/>
        </w:rPr>
        <w:t xml:space="preserve"> over time in two </w:t>
      </w:r>
      <w:proofErr w:type="spellStart"/>
      <w:r w:rsidRPr="00372D52">
        <w:rPr>
          <w:rFonts w:ascii="Book Antiqua" w:hAnsi="Book Antiqua"/>
          <w:sz w:val="24"/>
          <w:szCs w:val="24"/>
        </w:rPr>
        <w:t>randomised</w:t>
      </w:r>
      <w:proofErr w:type="spellEnd"/>
      <w:r w:rsidRPr="00372D52">
        <w:rPr>
          <w:rFonts w:ascii="Book Antiqua" w:hAnsi="Book Antiqua"/>
          <w:sz w:val="24"/>
          <w:szCs w:val="24"/>
        </w:rPr>
        <w:t xml:space="preserve"> controlled trials. </w:t>
      </w:r>
      <w:r w:rsidRPr="00372D52">
        <w:rPr>
          <w:rFonts w:ascii="Book Antiqua" w:hAnsi="Book Antiqua"/>
          <w:i/>
          <w:sz w:val="24"/>
          <w:szCs w:val="24"/>
        </w:rPr>
        <w:t>Thorax</w:t>
      </w:r>
      <w:r w:rsidRPr="00372D52">
        <w:rPr>
          <w:rFonts w:ascii="Book Antiqua" w:hAnsi="Book Antiqua"/>
          <w:sz w:val="24"/>
          <w:szCs w:val="24"/>
        </w:rPr>
        <w:t xml:space="preserve"> 2018; </w:t>
      </w:r>
      <w:r w:rsidRPr="00372D52">
        <w:rPr>
          <w:rFonts w:ascii="Book Antiqua" w:hAnsi="Book Antiqua"/>
          <w:b/>
          <w:sz w:val="24"/>
          <w:szCs w:val="24"/>
        </w:rPr>
        <w:t>73</w:t>
      </w:r>
      <w:r w:rsidRPr="00372D52">
        <w:rPr>
          <w:rFonts w:ascii="Book Antiqua" w:hAnsi="Book Antiqua"/>
          <w:sz w:val="24"/>
          <w:szCs w:val="24"/>
        </w:rPr>
        <w:t>: 439-445 [PMID: 29477989 DOI: 10.1136/thoraxjnl-2017-211090]</w:t>
      </w:r>
    </w:p>
    <w:p w14:paraId="2DFF7A68"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47 </w:t>
      </w:r>
      <w:r w:rsidRPr="00372D52">
        <w:rPr>
          <w:rFonts w:ascii="Book Antiqua" w:hAnsi="Book Antiqua"/>
          <w:b/>
          <w:sz w:val="24"/>
          <w:szCs w:val="24"/>
        </w:rPr>
        <w:t>Calfee CS</w:t>
      </w:r>
      <w:r w:rsidRPr="00372D52">
        <w:rPr>
          <w:rFonts w:ascii="Book Antiqua" w:hAnsi="Book Antiqua"/>
          <w:sz w:val="24"/>
          <w:szCs w:val="24"/>
        </w:rPr>
        <w:t xml:space="preserve">, </w:t>
      </w:r>
      <w:proofErr w:type="spellStart"/>
      <w:r w:rsidRPr="00372D52">
        <w:rPr>
          <w:rFonts w:ascii="Book Antiqua" w:hAnsi="Book Antiqua"/>
          <w:sz w:val="24"/>
          <w:szCs w:val="24"/>
        </w:rPr>
        <w:t>Janz</w:t>
      </w:r>
      <w:proofErr w:type="spellEnd"/>
      <w:r w:rsidRPr="00372D52">
        <w:rPr>
          <w:rFonts w:ascii="Book Antiqua" w:hAnsi="Book Antiqua"/>
          <w:sz w:val="24"/>
          <w:szCs w:val="24"/>
        </w:rPr>
        <w:t xml:space="preserve"> DR, Bernard GR, May AK, </w:t>
      </w:r>
      <w:proofErr w:type="spellStart"/>
      <w:r w:rsidRPr="00372D52">
        <w:rPr>
          <w:rFonts w:ascii="Book Antiqua" w:hAnsi="Book Antiqua"/>
          <w:sz w:val="24"/>
          <w:szCs w:val="24"/>
        </w:rPr>
        <w:t>Kangelaris</w:t>
      </w:r>
      <w:proofErr w:type="spellEnd"/>
      <w:r w:rsidRPr="00372D52">
        <w:rPr>
          <w:rFonts w:ascii="Book Antiqua" w:hAnsi="Book Antiqua"/>
          <w:sz w:val="24"/>
          <w:szCs w:val="24"/>
        </w:rPr>
        <w:t xml:space="preserve"> KN, </w:t>
      </w:r>
      <w:proofErr w:type="spellStart"/>
      <w:r w:rsidRPr="00372D52">
        <w:rPr>
          <w:rFonts w:ascii="Book Antiqua" w:hAnsi="Book Antiqua"/>
          <w:sz w:val="24"/>
          <w:szCs w:val="24"/>
        </w:rPr>
        <w:t>Matthay</w:t>
      </w:r>
      <w:proofErr w:type="spellEnd"/>
      <w:r w:rsidRPr="00372D52">
        <w:rPr>
          <w:rFonts w:ascii="Book Antiqua" w:hAnsi="Book Antiqua"/>
          <w:sz w:val="24"/>
          <w:szCs w:val="24"/>
        </w:rPr>
        <w:t xml:space="preserve"> MA, Ware LB. Distinct molecular phenotypes of direct vs indirect ARDS in single-center and multicenter studies. </w:t>
      </w:r>
      <w:r w:rsidRPr="00372D52">
        <w:rPr>
          <w:rFonts w:ascii="Book Antiqua" w:hAnsi="Book Antiqua"/>
          <w:i/>
          <w:sz w:val="24"/>
          <w:szCs w:val="24"/>
        </w:rPr>
        <w:t>Chest</w:t>
      </w:r>
      <w:r w:rsidRPr="00372D52">
        <w:rPr>
          <w:rFonts w:ascii="Book Antiqua" w:hAnsi="Book Antiqua"/>
          <w:sz w:val="24"/>
          <w:szCs w:val="24"/>
        </w:rPr>
        <w:t xml:space="preserve"> 2015; </w:t>
      </w:r>
      <w:r w:rsidRPr="00372D52">
        <w:rPr>
          <w:rFonts w:ascii="Book Antiqua" w:hAnsi="Book Antiqua"/>
          <w:b/>
          <w:sz w:val="24"/>
          <w:szCs w:val="24"/>
        </w:rPr>
        <w:t>147</w:t>
      </w:r>
      <w:r w:rsidRPr="00372D52">
        <w:rPr>
          <w:rFonts w:ascii="Book Antiqua" w:hAnsi="Book Antiqua"/>
          <w:sz w:val="24"/>
          <w:szCs w:val="24"/>
        </w:rPr>
        <w:t>: 1539-1548 [PMID: 26033126 DOI: 10.1378/chest.14-2454]</w:t>
      </w:r>
    </w:p>
    <w:p w14:paraId="3D07AB98"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48 </w:t>
      </w:r>
      <w:r w:rsidRPr="00372D52">
        <w:rPr>
          <w:rFonts w:ascii="Book Antiqua" w:hAnsi="Book Antiqua"/>
          <w:b/>
          <w:sz w:val="24"/>
          <w:szCs w:val="24"/>
        </w:rPr>
        <w:t>Meade P</w:t>
      </w:r>
      <w:r w:rsidRPr="00372D52">
        <w:rPr>
          <w:rFonts w:ascii="Book Antiqua" w:hAnsi="Book Antiqua"/>
          <w:sz w:val="24"/>
          <w:szCs w:val="24"/>
        </w:rPr>
        <w:t xml:space="preserve">, Shoemaker WC, Donnelly TJ, Abraham E, </w:t>
      </w:r>
      <w:proofErr w:type="spellStart"/>
      <w:r w:rsidRPr="00372D52">
        <w:rPr>
          <w:rFonts w:ascii="Book Antiqua" w:hAnsi="Book Antiqua"/>
          <w:sz w:val="24"/>
          <w:szCs w:val="24"/>
        </w:rPr>
        <w:t>Jagels</w:t>
      </w:r>
      <w:proofErr w:type="spellEnd"/>
      <w:r w:rsidRPr="00372D52">
        <w:rPr>
          <w:rFonts w:ascii="Book Antiqua" w:hAnsi="Book Antiqua"/>
          <w:sz w:val="24"/>
          <w:szCs w:val="24"/>
        </w:rPr>
        <w:t xml:space="preserve"> MA, Cryer HG, Hugli TE, Bishop MH, Wo CC. Temporal patterns of hemodynamics, oxygen transport, cytokine activity, and complement activity in the development of adult respiratory distress syndrome after severe injury. </w:t>
      </w:r>
      <w:r w:rsidRPr="00372D52">
        <w:rPr>
          <w:rFonts w:ascii="Book Antiqua" w:hAnsi="Book Antiqua"/>
          <w:i/>
          <w:sz w:val="24"/>
          <w:szCs w:val="24"/>
        </w:rPr>
        <w:t>J Trauma</w:t>
      </w:r>
      <w:r w:rsidRPr="00372D52">
        <w:rPr>
          <w:rFonts w:ascii="Book Antiqua" w:hAnsi="Book Antiqua"/>
          <w:sz w:val="24"/>
          <w:szCs w:val="24"/>
        </w:rPr>
        <w:t xml:space="preserve"> 1994; </w:t>
      </w:r>
      <w:r w:rsidRPr="00372D52">
        <w:rPr>
          <w:rFonts w:ascii="Book Antiqua" w:hAnsi="Book Antiqua"/>
          <w:b/>
          <w:sz w:val="24"/>
          <w:szCs w:val="24"/>
        </w:rPr>
        <w:t>36</w:t>
      </w:r>
      <w:r w:rsidRPr="00372D52">
        <w:rPr>
          <w:rFonts w:ascii="Book Antiqua" w:hAnsi="Book Antiqua"/>
          <w:sz w:val="24"/>
          <w:szCs w:val="24"/>
        </w:rPr>
        <w:t>: 651-657 [PMID: 8189465 DOI: 10.1097/00005373-199405000-00009]</w:t>
      </w:r>
    </w:p>
    <w:p w14:paraId="6A4EA874"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49 </w:t>
      </w:r>
      <w:proofErr w:type="spellStart"/>
      <w:r w:rsidRPr="00372D52">
        <w:rPr>
          <w:rFonts w:ascii="Book Antiqua" w:hAnsi="Book Antiqua"/>
          <w:b/>
          <w:sz w:val="24"/>
          <w:szCs w:val="24"/>
        </w:rPr>
        <w:t>Cepkova</w:t>
      </w:r>
      <w:proofErr w:type="spellEnd"/>
      <w:r w:rsidRPr="00372D52">
        <w:rPr>
          <w:rFonts w:ascii="Book Antiqua" w:hAnsi="Book Antiqua"/>
          <w:b/>
          <w:sz w:val="24"/>
          <w:szCs w:val="24"/>
        </w:rPr>
        <w:t xml:space="preserve"> M</w:t>
      </w:r>
      <w:r w:rsidRPr="00372D52">
        <w:rPr>
          <w:rFonts w:ascii="Book Antiqua" w:hAnsi="Book Antiqua"/>
          <w:sz w:val="24"/>
          <w:szCs w:val="24"/>
        </w:rPr>
        <w:t xml:space="preserve">, Brady S, </w:t>
      </w:r>
      <w:proofErr w:type="spellStart"/>
      <w:r w:rsidRPr="00372D52">
        <w:rPr>
          <w:rFonts w:ascii="Book Antiqua" w:hAnsi="Book Antiqua"/>
          <w:sz w:val="24"/>
          <w:szCs w:val="24"/>
        </w:rPr>
        <w:t>Sapru</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Matthay</w:t>
      </w:r>
      <w:proofErr w:type="spellEnd"/>
      <w:r w:rsidRPr="00372D52">
        <w:rPr>
          <w:rFonts w:ascii="Book Antiqua" w:hAnsi="Book Antiqua"/>
          <w:sz w:val="24"/>
          <w:szCs w:val="24"/>
        </w:rPr>
        <w:t xml:space="preserve"> MA, Church G. Biological markers of lung injury before and after the institution of positive pressure ventilation in patients with acute lung injury.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w:t>
      </w:r>
      <w:r w:rsidRPr="00372D52">
        <w:rPr>
          <w:rFonts w:ascii="Book Antiqua" w:hAnsi="Book Antiqua"/>
          <w:sz w:val="24"/>
          <w:szCs w:val="24"/>
        </w:rPr>
        <w:t xml:space="preserve"> 2006; </w:t>
      </w:r>
      <w:r w:rsidRPr="00372D52">
        <w:rPr>
          <w:rFonts w:ascii="Book Antiqua" w:hAnsi="Book Antiqua"/>
          <w:b/>
          <w:sz w:val="24"/>
          <w:szCs w:val="24"/>
        </w:rPr>
        <w:t>10</w:t>
      </w:r>
      <w:r w:rsidRPr="00372D52">
        <w:rPr>
          <w:rFonts w:ascii="Book Antiqua" w:hAnsi="Book Antiqua"/>
          <w:sz w:val="24"/>
          <w:szCs w:val="24"/>
        </w:rPr>
        <w:t>: R126 [PMID: 16956410 DOI: 10.1186/cc5037]</w:t>
      </w:r>
    </w:p>
    <w:p w14:paraId="66A159D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50 </w:t>
      </w:r>
      <w:r w:rsidRPr="00372D52">
        <w:rPr>
          <w:rFonts w:ascii="Book Antiqua" w:hAnsi="Book Antiqua"/>
          <w:b/>
          <w:sz w:val="24"/>
          <w:szCs w:val="24"/>
        </w:rPr>
        <w:t>Nakamura T</w:t>
      </w:r>
      <w:r w:rsidRPr="00372D52">
        <w:rPr>
          <w:rFonts w:ascii="Book Antiqua" w:hAnsi="Book Antiqua"/>
          <w:sz w:val="24"/>
          <w:szCs w:val="24"/>
        </w:rPr>
        <w:t>, Sato E, Fujiwara N, Kawagoe Y, Maeda S, Yamagishi S. Increased levels of soluble receptor for advanced glycation end products (</w:t>
      </w:r>
      <w:proofErr w:type="spellStart"/>
      <w:r w:rsidRPr="00372D52">
        <w:rPr>
          <w:rFonts w:ascii="Book Antiqua" w:hAnsi="Book Antiqua"/>
          <w:sz w:val="24"/>
          <w:szCs w:val="24"/>
        </w:rPr>
        <w:t>sRAGE</w:t>
      </w:r>
      <w:proofErr w:type="spellEnd"/>
      <w:r w:rsidRPr="00372D52">
        <w:rPr>
          <w:rFonts w:ascii="Book Antiqua" w:hAnsi="Book Antiqua"/>
          <w:sz w:val="24"/>
          <w:szCs w:val="24"/>
        </w:rPr>
        <w:t xml:space="preserve">) and high mobility group box 1 (HMGB1) are associated with death in patients with acute respiratory </w:t>
      </w:r>
      <w:r w:rsidRPr="00372D52">
        <w:rPr>
          <w:rFonts w:ascii="Book Antiqua" w:hAnsi="Book Antiqua"/>
          <w:sz w:val="24"/>
          <w:szCs w:val="24"/>
        </w:rPr>
        <w:lastRenderedPageBreak/>
        <w:t xml:space="preserve">distress syndrome. </w:t>
      </w:r>
      <w:r w:rsidRPr="00372D52">
        <w:rPr>
          <w:rFonts w:ascii="Book Antiqua" w:hAnsi="Book Antiqua"/>
          <w:i/>
          <w:sz w:val="24"/>
          <w:szCs w:val="24"/>
        </w:rPr>
        <w:t xml:space="preserve">Clin </w:t>
      </w:r>
      <w:proofErr w:type="spellStart"/>
      <w:r w:rsidRPr="00372D52">
        <w:rPr>
          <w:rFonts w:ascii="Book Antiqua" w:hAnsi="Book Antiqua"/>
          <w:i/>
          <w:sz w:val="24"/>
          <w:szCs w:val="24"/>
        </w:rPr>
        <w:t>Biochem</w:t>
      </w:r>
      <w:proofErr w:type="spellEnd"/>
      <w:r w:rsidRPr="00372D52">
        <w:rPr>
          <w:rFonts w:ascii="Book Antiqua" w:hAnsi="Book Antiqua"/>
          <w:sz w:val="24"/>
          <w:szCs w:val="24"/>
        </w:rPr>
        <w:t xml:space="preserve"> 2011; </w:t>
      </w:r>
      <w:r w:rsidRPr="00372D52">
        <w:rPr>
          <w:rFonts w:ascii="Book Antiqua" w:hAnsi="Book Antiqua"/>
          <w:b/>
          <w:sz w:val="24"/>
          <w:szCs w:val="24"/>
        </w:rPr>
        <w:t>44</w:t>
      </w:r>
      <w:r w:rsidRPr="00372D52">
        <w:rPr>
          <w:rFonts w:ascii="Book Antiqua" w:hAnsi="Book Antiqua"/>
          <w:sz w:val="24"/>
          <w:szCs w:val="24"/>
        </w:rPr>
        <w:t>: 601-604 [PMID: 21211520 DOI: 10.1016/j.clinbiochem.2010.12.014]</w:t>
      </w:r>
    </w:p>
    <w:p w14:paraId="57012017"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51 </w:t>
      </w:r>
      <w:r w:rsidRPr="00372D52">
        <w:rPr>
          <w:rFonts w:ascii="Book Antiqua" w:hAnsi="Book Antiqua"/>
          <w:b/>
          <w:sz w:val="24"/>
          <w:szCs w:val="24"/>
        </w:rPr>
        <w:t>Bos LD</w:t>
      </w:r>
      <w:r w:rsidRPr="00372D52">
        <w:rPr>
          <w:rFonts w:ascii="Book Antiqua" w:hAnsi="Book Antiqua"/>
          <w:sz w:val="24"/>
          <w:szCs w:val="24"/>
        </w:rPr>
        <w:t xml:space="preserve">, Schouten LR, van </w:t>
      </w:r>
      <w:proofErr w:type="spellStart"/>
      <w:r w:rsidRPr="00372D52">
        <w:rPr>
          <w:rFonts w:ascii="Book Antiqua" w:hAnsi="Book Antiqua"/>
          <w:sz w:val="24"/>
          <w:szCs w:val="24"/>
        </w:rPr>
        <w:t>Vught</w:t>
      </w:r>
      <w:proofErr w:type="spellEnd"/>
      <w:r w:rsidRPr="00372D52">
        <w:rPr>
          <w:rFonts w:ascii="Book Antiqua" w:hAnsi="Book Antiqua"/>
          <w:sz w:val="24"/>
          <w:szCs w:val="24"/>
        </w:rPr>
        <w:t xml:space="preserve"> LA, </w:t>
      </w:r>
      <w:proofErr w:type="spellStart"/>
      <w:r w:rsidRPr="00372D52">
        <w:rPr>
          <w:rFonts w:ascii="Book Antiqua" w:hAnsi="Book Antiqua"/>
          <w:sz w:val="24"/>
          <w:szCs w:val="24"/>
        </w:rPr>
        <w:t>Wiewel</w:t>
      </w:r>
      <w:proofErr w:type="spellEnd"/>
      <w:r w:rsidRPr="00372D52">
        <w:rPr>
          <w:rFonts w:ascii="Book Antiqua" w:hAnsi="Book Antiqua"/>
          <w:sz w:val="24"/>
          <w:szCs w:val="24"/>
        </w:rPr>
        <w:t xml:space="preserve"> MA, Ong DSY, Cremer O, Artigas A, Martin-</w:t>
      </w:r>
      <w:proofErr w:type="spellStart"/>
      <w:r w:rsidRPr="00372D52">
        <w:rPr>
          <w:rFonts w:ascii="Book Antiqua" w:hAnsi="Book Antiqua"/>
          <w:sz w:val="24"/>
          <w:szCs w:val="24"/>
        </w:rPr>
        <w:t>Loeches</w:t>
      </w:r>
      <w:proofErr w:type="spellEnd"/>
      <w:r w:rsidRPr="00372D52">
        <w:rPr>
          <w:rFonts w:ascii="Book Antiqua" w:hAnsi="Book Antiqua"/>
          <w:sz w:val="24"/>
          <w:szCs w:val="24"/>
        </w:rPr>
        <w:t xml:space="preserve"> I, </w:t>
      </w:r>
      <w:proofErr w:type="spellStart"/>
      <w:r w:rsidRPr="00372D52">
        <w:rPr>
          <w:rFonts w:ascii="Book Antiqua" w:hAnsi="Book Antiqua"/>
          <w:sz w:val="24"/>
          <w:szCs w:val="24"/>
        </w:rPr>
        <w:t>Hoogendijk</w:t>
      </w:r>
      <w:proofErr w:type="spellEnd"/>
      <w:r w:rsidRPr="00372D52">
        <w:rPr>
          <w:rFonts w:ascii="Book Antiqua" w:hAnsi="Book Antiqua"/>
          <w:sz w:val="24"/>
          <w:szCs w:val="24"/>
        </w:rPr>
        <w:t xml:space="preserve"> AJ, van der Poll T, Horn J, </w:t>
      </w:r>
      <w:proofErr w:type="spellStart"/>
      <w:r w:rsidRPr="00372D52">
        <w:rPr>
          <w:rFonts w:ascii="Book Antiqua" w:hAnsi="Book Antiqua"/>
          <w:sz w:val="24"/>
          <w:szCs w:val="24"/>
        </w:rPr>
        <w:t>Juffermans</w:t>
      </w:r>
      <w:proofErr w:type="spellEnd"/>
      <w:r w:rsidRPr="00372D52">
        <w:rPr>
          <w:rFonts w:ascii="Book Antiqua" w:hAnsi="Book Antiqua"/>
          <w:sz w:val="24"/>
          <w:szCs w:val="24"/>
        </w:rPr>
        <w:t xml:space="preserve"> N, Calfee CS, Schultz MJ; MARS consortium. Identification and validation of distinct biological phenotypes in patients with acute respiratory distress syndrome by cluster analysis. </w:t>
      </w:r>
      <w:r w:rsidRPr="00372D52">
        <w:rPr>
          <w:rFonts w:ascii="Book Antiqua" w:hAnsi="Book Antiqua"/>
          <w:i/>
          <w:sz w:val="24"/>
          <w:szCs w:val="24"/>
        </w:rPr>
        <w:t>Thorax</w:t>
      </w:r>
      <w:r w:rsidRPr="00372D52">
        <w:rPr>
          <w:rFonts w:ascii="Book Antiqua" w:hAnsi="Book Antiqua"/>
          <w:sz w:val="24"/>
          <w:szCs w:val="24"/>
        </w:rPr>
        <w:t xml:space="preserve"> 2017; </w:t>
      </w:r>
      <w:r w:rsidRPr="00372D52">
        <w:rPr>
          <w:rFonts w:ascii="Book Antiqua" w:hAnsi="Book Antiqua"/>
          <w:b/>
          <w:sz w:val="24"/>
          <w:szCs w:val="24"/>
        </w:rPr>
        <w:t>72</w:t>
      </w:r>
      <w:r w:rsidRPr="00372D52">
        <w:rPr>
          <w:rFonts w:ascii="Book Antiqua" w:hAnsi="Book Antiqua"/>
          <w:sz w:val="24"/>
          <w:szCs w:val="24"/>
        </w:rPr>
        <w:t>: 876-883 [PMID: 28450529 DOI: 10.1136/thoraxjnl-2016-209719]</w:t>
      </w:r>
    </w:p>
    <w:p w14:paraId="6139040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52 </w:t>
      </w:r>
      <w:r w:rsidRPr="00372D52">
        <w:rPr>
          <w:rFonts w:ascii="Book Antiqua" w:hAnsi="Book Antiqua"/>
          <w:b/>
          <w:sz w:val="24"/>
          <w:szCs w:val="24"/>
        </w:rPr>
        <w:t>Yu Z</w:t>
      </w:r>
      <w:r w:rsidRPr="00372D52">
        <w:rPr>
          <w:rFonts w:ascii="Book Antiqua" w:hAnsi="Book Antiqua"/>
          <w:sz w:val="24"/>
          <w:szCs w:val="24"/>
        </w:rPr>
        <w:t xml:space="preserve">, Ji M, Hu X, Yan J, </w:t>
      </w:r>
      <w:proofErr w:type="spellStart"/>
      <w:r w:rsidRPr="00372D52">
        <w:rPr>
          <w:rFonts w:ascii="Book Antiqua" w:hAnsi="Book Antiqua"/>
          <w:sz w:val="24"/>
          <w:szCs w:val="24"/>
        </w:rPr>
        <w:t>Jin</w:t>
      </w:r>
      <w:proofErr w:type="spellEnd"/>
      <w:r w:rsidRPr="00372D52">
        <w:rPr>
          <w:rFonts w:ascii="Book Antiqua" w:hAnsi="Book Antiqua"/>
          <w:sz w:val="24"/>
          <w:szCs w:val="24"/>
        </w:rPr>
        <w:t xml:space="preserve"> Z. [Value of procalcitonin on predicting the severity and prognosis in patients with early ARDS: a prospective observation study]. </w:t>
      </w:r>
      <w:proofErr w:type="spellStart"/>
      <w:r w:rsidRPr="00372D52">
        <w:rPr>
          <w:rFonts w:ascii="Book Antiqua" w:hAnsi="Book Antiqua"/>
          <w:i/>
          <w:sz w:val="24"/>
          <w:szCs w:val="24"/>
        </w:rPr>
        <w:t>Zhonghua</w:t>
      </w:r>
      <w:proofErr w:type="spellEnd"/>
      <w:r w:rsidRPr="00372D52">
        <w:rPr>
          <w:rFonts w:ascii="Book Antiqua" w:hAnsi="Book Antiqua"/>
          <w:i/>
          <w:sz w:val="24"/>
          <w:szCs w:val="24"/>
        </w:rPr>
        <w:t xml:space="preserve"> Wei Zhong Bing Ji Jiu Yi </w:t>
      </w:r>
      <w:proofErr w:type="spellStart"/>
      <w:r w:rsidRPr="00372D52">
        <w:rPr>
          <w:rFonts w:ascii="Book Antiqua" w:hAnsi="Book Antiqua"/>
          <w:i/>
          <w:sz w:val="24"/>
          <w:szCs w:val="24"/>
        </w:rPr>
        <w:t>Xue</w:t>
      </w:r>
      <w:proofErr w:type="spellEnd"/>
      <w:r w:rsidRPr="00372D52">
        <w:rPr>
          <w:rFonts w:ascii="Book Antiqua" w:hAnsi="Book Antiqua"/>
          <w:sz w:val="24"/>
          <w:szCs w:val="24"/>
        </w:rPr>
        <w:t xml:space="preserve"> 2017; </w:t>
      </w:r>
      <w:r w:rsidRPr="00372D52">
        <w:rPr>
          <w:rFonts w:ascii="Book Antiqua" w:hAnsi="Book Antiqua"/>
          <w:b/>
          <w:sz w:val="24"/>
          <w:szCs w:val="24"/>
        </w:rPr>
        <w:t>29</w:t>
      </w:r>
      <w:r w:rsidRPr="00372D52">
        <w:rPr>
          <w:rFonts w:ascii="Book Antiqua" w:hAnsi="Book Antiqua"/>
          <w:sz w:val="24"/>
          <w:szCs w:val="24"/>
        </w:rPr>
        <w:t>: 34-38 [PMID: 28459401 DOI: 10.3760/cma.j.issn.2095-4352.2017.01.008]</w:t>
      </w:r>
    </w:p>
    <w:p w14:paraId="635C22B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53 </w:t>
      </w:r>
      <w:proofErr w:type="spellStart"/>
      <w:r w:rsidRPr="00372D52">
        <w:rPr>
          <w:rFonts w:ascii="Book Antiqua" w:hAnsi="Book Antiqua"/>
          <w:b/>
          <w:sz w:val="24"/>
          <w:szCs w:val="24"/>
        </w:rPr>
        <w:t>Meduri</w:t>
      </w:r>
      <w:proofErr w:type="spellEnd"/>
      <w:r w:rsidRPr="00372D52">
        <w:rPr>
          <w:rFonts w:ascii="Book Antiqua" w:hAnsi="Book Antiqua"/>
          <w:b/>
          <w:sz w:val="24"/>
          <w:szCs w:val="24"/>
        </w:rPr>
        <w:t xml:space="preserve"> GU</w:t>
      </w:r>
      <w:r w:rsidRPr="00372D52">
        <w:rPr>
          <w:rFonts w:ascii="Book Antiqua" w:hAnsi="Book Antiqua"/>
          <w:sz w:val="24"/>
          <w:szCs w:val="24"/>
        </w:rPr>
        <w:t xml:space="preserve">, Golden E, Freire AX, Taylor E, Zaman M, Carson SJ, Gibson M, </w:t>
      </w:r>
      <w:proofErr w:type="spellStart"/>
      <w:r w:rsidRPr="00372D52">
        <w:rPr>
          <w:rFonts w:ascii="Book Antiqua" w:hAnsi="Book Antiqua"/>
          <w:sz w:val="24"/>
          <w:szCs w:val="24"/>
        </w:rPr>
        <w:t>Umberger</w:t>
      </w:r>
      <w:proofErr w:type="spellEnd"/>
      <w:r w:rsidRPr="00372D52">
        <w:rPr>
          <w:rFonts w:ascii="Book Antiqua" w:hAnsi="Book Antiqua"/>
          <w:sz w:val="24"/>
          <w:szCs w:val="24"/>
        </w:rPr>
        <w:t xml:space="preserve"> R. Methylprednisolone infusion in early severe ARDS: results of a randomized controlled trial. </w:t>
      </w:r>
      <w:r w:rsidRPr="00372D52">
        <w:rPr>
          <w:rFonts w:ascii="Book Antiqua" w:hAnsi="Book Antiqua"/>
          <w:i/>
          <w:sz w:val="24"/>
          <w:szCs w:val="24"/>
        </w:rPr>
        <w:t>Chest</w:t>
      </w:r>
      <w:r w:rsidRPr="00372D52">
        <w:rPr>
          <w:rFonts w:ascii="Book Antiqua" w:hAnsi="Book Antiqua"/>
          <w:sz w:val="24"/>
          <w:szCs w:val="24"/>
        </w:rPr>
        <w:t xml:space="preserve"> 2007; </w:t>
      </w:r>
      <w:r w:rsidRPr="00372D52">
        <w:rPr>
          <w:rFonts w:ascii="Book Antiqua" w:hAnsi="Book Antiqua"/>
          <w:b/>
          <w:sz w:val="24"/>
          <w:szCs w:val="24"/>
        </w:rPr>
        <w:t>131</w:t>
      </w:r>
      <w:r w:rsidRPr="00372D52">
        <w:rPr>
          <w:rFonts w:ascii="Book Antiqua" w:hAnsi="Book Antiqua"/>
          <w:sz w:val="24"/>
          <w:szCs w:val="24"/>
        </w:rPr>
        <w:t>: 954-963 [PMID: 17426195 DOI: 10.1378/chest.06-2100]</w:t>
      </w:r>
    </w:p>
    <w:p w14:paraId="60AC735C"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54 </w:t>
      </w:r>
      <w:proofErr w:type="spellStart"/>
      <w:r w:rsidRPr="00372D52">
        <w:rPr>
          <w:rFonts w:ascii="Book Antiqua" w:hAnsi="Book Antiqua"/>
          <w:b/>
          <w:sz w:val="24"/>
          <w:szCs w:val="24"/>
        </w:rPr>
        <w:t>Brunkhorst</w:t>
      </w:r>
      <w:proofErr w:type="spellEnd"/>
      <w:r w:rsidRPr="00372D52">
        <w:rPr>
          <w:rFonts w:ascii="Book Antiqua" w:hAnsi="Book Antiqua"/>
          <w:b/>
          <w:sz w:val="24"/>
          <w:szCs w:val="24"/>
        </w:rPr>
        <w:t xml:space="preserve"> FM</w:t>
      </w:r>
      <w:r w:rsidRPr="00372D52">
        <w:rPr>
          <w:rFonts w:ascii="Book Antiqua" w:hAnsi="Book Antiqua"/>
          <w:sz w:val="24"/>
          <w:szCs w:val="24"/>
        </w:rPr>
        <w:t xml:space="preserve">, Eberhard OK, </w:t>
      </w:r>
      <w:proofErr w:type="spellStart"/>
      <w:r w:rsidRPr="00372D52">
        <w:rPr>
          <w:rFonts w:ascii="Book Antiqua" w:hAnsi="Book Antiqua"/>
          <w:sz w:val="24"/>
          <w:szCs w:val="24"/>
        </w:rPr>
        <w:t>Brunkhorst</w:t>
      </w:r>
      <w:proofErr w:type="spellEnd"/>
      <w:r w:rsidRPr="00372D52">
        <w:rPr>
          <w:rFonts w:ascii="Book Antiqua" w:hAnsi="Book Antiqua"/>
          <w:sz w:val="24"/>
          <w:szCs w:val="24"/>
        </w:rPr>
        <w:t xml:space="preserve"> R. Discrimination of infectious and noninfectious causes of early acute respiratory distress syndrome by procalcitonin.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1999; </w:t>
      </w:r>
      <w:r w:rsidRPr="00372D52">
        <w:rPr>
          <w:rFonts w:ascii="Book Antiqua" w:hAnsi="Book Antiqua"/>
          <w:b/>
          <w:sz w:val="24"/>
          <w:szCs w:val="24"/>
        </w:rPr>
        <w:t>27</w:t>
      </w:r>
      <w:r w:rsidRPr="00372D52">
        <w:rPr>
          <w:rFonts w:ascii="Book Antiqua" w:hAnsi="Book Antiqua"/>
          <w:sz w:val="24"/>
          <w:szCs w:val="24"/>
        </w:rPr>
        <w:t>: 2172-2176 [PMID: 10548201 DOI: 10.1097/00003246-199910000-00016]</w:t>
      </w:r>
    </w:p>
    <w:p w14:paraId="52D2890E"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55 </w:t>
      </w:r>
      <w:r w:rsidRPr="00372D52">
        <w:rPr>
          <w:rFonts w:ascii="Book Antiqua" w:hAnsi="Book Antiqua"/>
          <w:b/>
          <w:sz w:val="24"/>
          <w:szCs w:val="24"/>
        </w:rPr>
        <w:t>Papazian L</w:t>
      </w:r>
      <w:r w:rsidRPr="00372D52">
        <w:rPr>
          <w:rFonts w:ascii="Book Antiqua" w:hAnsi="Book Antiqua"/>
          <w:sz w:val="24"/>
          <w:szCs w:val="24"/>
        </w:rPr>
        <w:t xml:space="preserve">, </w:t>
      </w:r>
      <w:proofErr w:type="spellStart"/>
      <w:r w:rsidRPr="00372D52">
        <w:rPr>
          <w:rFonts w:ascii="Book Antiqua" w:hAnsi="Book Antiqua"/>
          <w:sz w:val="24"/>
          <w:szCs w:val="24"/>
        </w:rPr>
        <w:t>Forel</w:t>
      </w:r>
      <w:proofErr w:type="spellEnd"/>
      <w:r w:rsidRPr="00372D52">
        <w:rPr>
          <w:rFonts w:ascii="Book Antiqua" w:hAnsi="Book Antiqua"/>
          <w:sz w:val="24"/>
          <w:szCs w:val="24"/>
        </w:rPr>
        <w:t xml:space="preserve"> JM, </w:t>
      </w:r>
      <w:proofErr w:type="spellStart"/>
      <w:r w:rsidRPr="00372D52">
        <w:rPr>
          <w:rFonts w:ascii="Book Antiqua" w:hAnsi="Book Antiqua"/>
          <w:sz w:val="24"/>
          <w:szCs w:val="24"/>
        </w:rPr>
        <w:t>Gacouin</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Penot-Ragon</w:t>
      </w:r>
      <w:proofErr w:type="spellEnd"/>
      <w:r w:rsidRPr="00372D52">
        <w:rPr>
          <w:rFonts w:ascii="Book Antiqua" w:hAnsi="Book Antiqua"/>
          <w:sz w:val="24"/>
          <w:szCs w:val="24"/>
        </w:rPr>
        <w:t xml:space="preserve"> C, Perrin G, </w:t>
      </w:r>
      <w:proofErr w:type="spellStart"/>
      <w:r w:rsidRPr="00372D52">
        <w:rPr>
          <w:rFonts w:ascii="Book Antiqua" w:hAnsi="Book Antiqua"/>
          <w:sz w:val="24"/>
          <w:szCs w:val="24"/>
        </w:rPr>
        <w:t>Loundou</w:t>
      </w:r>
      <w:proofErr w:type="spellEnd"/>
      <w:r w:rsidRPr="00372D52">
        <w:rPr>
          <w:rFonts w:ascii="Book Antiqua" w:hAnsi="Book Antiqua"/>
          <w:sz w:val="24"/>
          <w:szCs w:val="24"/>
        </w:rPr>
        <w:t xml:space="preserve"> A, Jaber S, </w:t>
      </w:r>
      <w:proofErr w:type="spellStart"/>
      <w:r w:rsidRPr="00372D52">
        <w:rPr>
          <w:rFonts w:ascii="Book Antiqua" w:hAnsi="Book Antiqua"/>
          <w:sz w:val="24"/>
          <w:szCs w:val="24"/>
        </w:rPr>
        <w:t>Arnal</w:t>
      </w:r>
      <w:proofErr w:type="spellEnd"/>
      <w:r w:rsidRPr="00372D52">
        <w:rPr>
          <w:rFonts w:ascii="Book Antiqua" w:hAnsi="Book Antiqua"/>
          <w:sz w:val="24"/>
          <w:szCs w:val="24"/>
        </w:rPr>
        <w:t xml:space="preserve"> JM, Perez D, </w:t>
      </w:r>
      <w:proofErr w:type="spellStart"/>
      <w:r w:rsidRPr="00372D52">
        <w:rPr>
          <w:rFonts w:ascii="Book Antiqua" w:hAnsi="Book Antiqua"/>
          <w:sz w:val="24"/>
          <w:szCs w:val="24"/>
        </w:rPr>
        <w:t>Seghboyan</w:t>
      </w:r>
      <w:proofErr w:type="spellEnd"/>
      <w:r w:rsidRPr="00372D52">
        <w:rPr>
          <w:rFonts w:ascii="Book Antiqua" w:hAnsi="Book Antiqua"/>
          <w:sz w:val="24"/>
          <w:szCs w:val="24"/>
        </w:rPr>
        <w:t xml:space="preserve"> JM, Constantin JM, Courant P, </w:t>
      </w:r>
      <w:proofErr w:type="spellStart"/>
      <w:r w:rsidRPr="00372D52">
        <w:rPr>
          <w:rFonts w:ascii="Book Antiqua" w:hAnsi="Book Antiqua"/>
          <w:sz w:val="24"/>
          <w:szCs w:val="24"/>
        </w:rPr>
        <w:t>Lefrant</w:t>
      </w:r>
      <w:proofErr w:type="spellEnd"/>
      <w:r w:rsidRPr="00372D52">
        <w:rPr>
          <w:rFonts w:ascii="Book Antiqua" w:hAnsi="Book Antiqua"/>
          <w:sz w:val="24"/>
          <w:szCs w:val="24"/>
        </w:rPr>
        <w:t xml:space="preserve"> JY, </w:t>
      </w:r>
      <w:proofErr w:type="spellStart"/>
      <w:r w:rsidRPr="00372D52">
        <w:rPr>
          <w:rFonts w:ascii="Book Antiqua" w:hAnsi="Book Antiqua"/>
          <w:sz w:val="24"/>
          <w:szCs w:val="24"/>
        </w:rPr>
        <w:t>Guérin</w:t>
      </w:r>
      <w:proofErr w:type="spellEnd"/>
      <w:r w:rsidRPr="00372D52">
        <w:rPr>
          <w:rFonts w:ascii="Book Antiqua" w:hAnsi="Book Antiqua"/>
          <w:sz w:val="24"/>
          <w:szCs w:val="24"/>
        </w:rPr>
        <w:t xml:space="preserve"> C, Prat G, </w:t>
      </w:r>
      <w:proofErr w:type="spellStart"/>
      <w:r w:rsidRPr="00372D52">
        <w:rPr>
          <w:rFonts w:ascii="Book Antiqua" w:hAnsi="Book Antiqua"/>
          <w:sz w:val="24"/>
          <w:szCs w:val="24"/>
        </w:rPr>
        <w:t>Morange</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Roch</w:t>
      </w:r>
      <w:proofErr w:type="spellEnd"/>
      <w:r w:rsidRPr="00372D52">
        <w:rPr>
          <w:rFonts w:ascii="Book Antiqua" w:hAnsi="Book Antiqua"/>
          <w:sz w:val="24"/>
          <w:szCs w:val="24"/>
        </w:rPr>
        <w:t xml:space="preserve"> A; ACURASYS Study Investigators. Neuromuscular blockers in early acute respiratory distress syndrome. </w:t>
      </w:r>
      <w:r w:rsidRPr="00372D52">
        <w:rPr>
          <w:rFonts w:ascii="Book Antiqua" w:hAnsi="Book Antiqua"/>
          <w:i/>
          <w:sz w:val="24"/>
          <w:szCs w:val="24"/>
        </w:rPr>
        <w:t xml:space="preserve">N </w:t>
      </w:r>
      <w:proofErr w:type="spellStart"/>
      <w:r w:rsidRPr="00372D52">
        <w:rPr>
          <w:rFonts w:ascii="Book Antiqua" w:hAnsi="Book Antiqua"/>
          <w:i/>
          <w:sz w:val="24"/>
          <w:szCs w:val="24"/>
        </w:rPr>
        <w:t>Engl</w:t>
      </w:r>
      <w:proofErr w:type="spellEnd"/>
      <w:r w:rsidRPr="00372D52">
        <w:rPr>
          <w:rFonts w:ascii="Book Antiqua" w:hAnsi="Book Antiqua"/>
          <w:i/>
          <w:sz w:val="24"/>
          <w:szCs w:val="24"/>
        </w:rPr>
        <w:t xml:space="preserve"> J Med</w:t>
      </w:r>
      <w:r w:rsidRPr="00372D52">
        <w:rPr>
          <w:rFonts w:ascii="Book Antiqua" w:hAnsi="Book Antiqua"/>
          <w:sz w:val="24"/>
          <w:szCs w:val="24"/>
        </w:rPr>
        <w:t xml:space="preserve"> 2010; </w:t>
      </w:r>
      <w:r w:rsidRPr="00372D52">
        <w:rPr>
          <w:rFonts w:ascii="Book Antiqua" w:hAnsi="Book Antiqua"/>
          <w:b/>
          <w:sz w:val="24"/>
          <w:szCs w:val="24"/>
        </w:rPr>
        <w:t>363</w:t>
      </w:r>
      <w:r w:rsidRPr="00372D52">
        <w:rPr>
          <w:rFonts w:ascii="Book Antiqua" w:hAnsi="Book Antiqua"/>
          <w:sz w:val="24"/>
          <w:szCs w:val="24"/>
        </w:rPr>
        <w:t>: 1107-1116 [PMID: 20843245 DOI: 10.1056/NEJMoa1005372]</w:t>
      </w:r>
    </w:p>
    <w:p w14:paraId="71E0C8D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56 </w:t>
      </w:r>
      <w:proofErr w:type="spellStart"/>
      <w:r w:rsidRPr="00372D52">
        <w:rPr>
          <w:rFonts w:ascii="Book Antiqua" w:hAnsi="Book Antiqua"/>
          <w:b/>
          <w:sz w:val="24"/>
          <w:szCs w:val="24"/>
        </w:rPr>
        <w:t>Rhen</w:t>
      </w:r>
      <w:proofErr w:type="spellEnd"/>
      <w:r w:rsidRPr="00372D52">
        <w:rPr>
          <w:rFonts w:ascii="Book Antiqua" w:hAnsi="Book Antiqua"/>
          <w:b/>
          <w:sz w:val="24"/>
          <w:szCs w:val="24"/>
        </w:rPr>
        <w:t xml:space="preserve"> T</w:t>
      </w:r>
      <w:r w:rsidRPr="00372D52">
        <w:rPr>
          <w:rFonts w:ascii="Book Antiqua" w:hAnsi="Book Antiqua"/>
          <w:sz w:val="24"/>
          <w:szCs w:val="24"/>
        </w:rPr>
        <w:t xml:space="preserve">, </w:t>
      </w:r>
      <w:proofErr w:type="spellStart"/>
      <w:r w:rsidRPr="00372D52">
        <w:rPr>
          <w:rFonts w:ascii="Book Antiqua" w:hAnsi="Book Antiqua"/>
          <w:sz w:val="24"/>
          <w:szCs w:val="24"/>
        </w:rPr>
        <w:t>Cidlowski</w:t>
      </w:r>
      <w:proofErr w:type="spellEnd"/>
      <w:r w:rsidRPr="00372D52">
        <w:rPr>
          <w:rFonts w:ascii="Book Antiqua" w:hAnsi="Book Antiqua"/>
          <w:sz w:val="24"/>
          <w:szCs w:val="24"/>
        </w:rPr>
        <w:t xml:space="preserve"> JA. </w:t>
      </w:r>
      <w:proofErr w:type="spellStart"/>
      <w:r w:rsidRPr="00372D52">
        <w:rPr>
          <w:rFonts w:ascii="Book Antiqua" w:hAnsi="Book Antiqua"/>
          <w:sz w:val="24"/>
          <w:szCs w:val="24"/>
        </w:rPr>
        <w:t>Antiinflammatory</w:t>
      </w:r>
      <w:proofErr w:type="spellEnd"/>
      <w:r w:rsidRPr="00372D52">
        <w:rPr>
          <w:rFonts w:ascii="Book Antiqua" w:hAnsi="Book Antiqua"/>
          <w:sz w:val="24"/>
          <w:szCs w:val="24"/>
        </w:rPr>
        <w:t xml:space="preserve"> action of glucocorticoids--new mechanisms for old drugs. </w:t>
      </w:r>
      <w:r w:rsidRPr="00372D52">
        <w:rPr>
          <w:rFonts w:ascii="Book Antiqua" w:hAnsi="Book Antiqua"/>
          <w:i/>
          <w:sz w:val="24"/>
          <w:szCs w:val="24"/>
        </w:rPr>
        <w:t xml:space="preserve">N </w:t>
      </w:r>
      <w:proofErr w:type="spellStart"/>
      <w:r w:rsidRPr="00372D52">
        <w:rPr>
          <w:rFonts w:ascii="Book Antiqua" w:hAnsi="Book Antiqua"/>
          <w:i/>
          <w:sz w:val="24"/>
          <w:szCs w:val="24"/>
        </w:rPr>
        <w:t>Engl</w:t>
      </w:r>
      <w:proofErr w:type="spellEnd"/>
      <w:r w:rsidRPr="00372D52">
        <w:rPr>
          <w:rFonts w:ascii="Book Antiqua" w:hAnsi="Book Antiqua"/>
          <w:i/>
          <w:sz w:val="24"/>
          <w:szCs w:val="24"/>
        </w:rPr>
        <w:t xml:space="preserve"> J Med</w:t>
      </w:r>
      <w:r w:rsidRPr="00372D52">
        <w:rPr>
          <w:rFonts w:ascii="Book Antiqua" w:hAnsi="Book Antiqua"/>
          <w:sz w:val="24"/>
          <w:szCs w:val="24"/>
        </w:rPr>
        <w:t xml:space="preserve"> 2005; </w:t>
      </w:r>
      <w:r w:rsidRPr="00372D52">
        <w:rPr>
          <w:rFonts w:ascii="Book Antiqua" w:hAnsi="Book Antiqua"/>
          <w:b/>
          <w:sz w:val="24"/>
          <w:szCs w:val="24"/>
        </w:rPr>
        <w:t>353</w:t>
      </w:r>
      <w:r w:rsidRPr="00372D52">
        <w:rPr>
          <w:rFonts w:ascii="Book Antiqua" w:hAnsi="Book Antiqua"/>
          <w:sz w:val="24"/>
          <w:szCs w:val="24"/>
        </w:rPr>
        <w:t>: 1711-1723 [PMID: 16236742 DOI: 10.1056/NEJMra050541]</w:t>
      </w:r>
    </w:p>
    <w:p w14:paraId="5786738A"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57 </w:t>
      </w:r>
      <w:proofErr w:type="spellStart"/>
      <w:r w:rsidRPr="00372D52">
        <w:rPr>
          <w:rFonts w:ascii="Book Antiqua" w:hAnsi="Book Antiqua"/>
          <w:b/>
          <w:sz w:val="24"/>
          <w:szCs w:val="24"/>
        </w:rPr>
        <w:t>Franchimont</w:t>
      </w:r>
      <w:proofErr w:type="spellEnd"/>
      <w:r w:rsidRPr="00372D52">
        <w:rPr>
          <w:rFonts w:ascii="Book Antiqua" w:hAnsi="Book Antiqua"/>
          <w:b/>
          <w:sz w:val="24"/>
          <w:szCs w:val="24"/>
        </w:rPr>
        <w:t xml:space="preserve"> D</w:t>
      </w:r>
      <w:r w:rsidRPr="00372D52">
        <w:rPr>
          <w:rFonts w:ascii="Book Antiqua" w:hAnsi="Book Antiqua"/>
          <w:sz w:val="24"/>
          <w:szCs w:val="24"/>
        </w:rPr>
        <w:t xml:space="preserve">, Kino T, </w:t>
      </w:r>
      <w:proofErr w:type="spellStart"/>
      <w:r w:rsidRPr="00372D52">
        <w:rPr>
          <w:rFonts w:ascii="Book Antiqua" w:hAnsi="Book Antiqua"/>
          <w:sz w:val="24"/>
          <w:szCs w:val="24"/>
        </w:rPr>
        <w:t>Galon</w:t>
      </w:r>
      <w:proofErr w:type="spellEnd"/>
      <w:r w:rsidRPr="00372D52">
        <w:rPr>
          <w:rFonts w:ascii="Book Antiqua" w:hAnsi="Book Antiqua"/>
          <w:sz w:val="24"/>
          <w:szCs w:val="24"/>
        </w:rPr>
        <w:t xml:space="preserve"> J, </w:t>
      </w:r>
      <w:proofErr w:type="spellStart"/>
      <w:r w:rsidRPr="00372D52">
        <w:rPr>
          <w:rFonts w:ascii="Book Antiqua" w:hAnsi="Book Antiqua"/>
          <w:sz w:val="24"/>
          <w:szCs w:val="24"/>
        </w:rPr>
        <w:t>Meduri</w:t>
      </w:r>
      <w:proofErr w:type="spellEnd"/>
      <w:r w:rsidRPr="00372D52">
        <w:rPr>
          <w:rFonts w:ascii="Book Antiqua" w:hAnsi="Book Antiqua"/>
          <w:sz w:val="24"/>
          <w:szCs w:val="24"/>
        </w:rPr>
        <w:t xml:space="preserve"> GU, </w:t>
      </w:r>
      <w:proofErr w:type="spellStart"/>
      <w:r w:rsidRPr="00372D52">
        <w:rPr>
          <w:rFonts w:ascii="Book Antiqua" w:hAnsi="Book Antiqua"/>
          <w:sz w:val="24"/>
          <w:szCs w:val="24"/>
        </w:rPr>
        <w:t>Chrousos</w:t>
      </w:r>
      <w:proofErr w:type="spellEnd"/>
      <w:r w:rsidRPr="00372D52">
        <w:rPr>
          <w:rFonts w:ascii="Book Antiqua" w:hAnsi="Book Antiqua"/>
          <w:sz w:val="24"/>
          <w:szCs w:val="24"/>
        </w:rPr>
        <w:t xml:space="preserve"> G. Glucocorticoids and inflammation revisited: the state of the art. NIH clinical staff conference. </w:t>
      </w:r>
      <w:r w:rsidRPr="00372D52">
        <w:rPr>
          <w:rFonts w:ascii="Book Antiqua" w:hAnsi="Book Antiqua"/>
          <w:i/>
          <w:sz w:val="24"/>
          <w:szCs w:val="24"/>
        </w:rPr>
        <w:t>Neuroimmunomodulation</w:t>
      </w:r>
      <w:r w:rsidRPr="00372D52">
        <w:rPr>
          <w:rFonts w:ascii="Book Antiqua" w:hAnsi="Book Antiqua"/>
          <w:sz w:val="24"/>
          <w:szCs w:val="24"/>
        </w:rPr>
        <w:t xml:space="preserve"> 2002; </w:t>
      </w:r>
      <w:r w:rsidRPr="00372D52">
        <w:rPr>
          <w:rFonts w:ascii="Book Antiqua" w:hAnsi="Book Antiqua"/>
          <w:b/>
          <w:sz w:val="24"/>
          <w:szCs w:val="24"/>
        </w:rPr>
        <w:t>10</w:t>
      </w:r>
      <w:r w:rsidRPr="00372D52">
        <w:rPr>
          <w:rFonts w:ascii="Book Antiqua" w:hAnsi="Book Antiqua"/>
          <w:sz w:val="24"/>
          <w:szCs w:val="24"/>
        </w:rPr>
        <w:t>: 247-260 [PMID: 12759562 DOI: 10.1159/000069969]</w:t>
      </w:r>
    </w:p>
    <w:p w14:paraId="5C0B6A3F"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lastRenderedPageBreak/>
        <w:t xml:space="preserve">58 </w:t>
      </w:r>
      <w:proofErr w:type="spellStart"/>
      <w:r w:rsidRPr="00372D52">
        <w:rPr>
          <w:rFonts w:ascii="Book Antiqua" w:hAnsi="Book Antiqua"/>
          <w:b/>
          <w:sz w:val="24"/>
          <w:szCs w:val="24"/>
        </w:rPr>
        <w:t>Meduri</w:t>
      </w:r>
      <w:proofErr w:type="spellEnd"/>
      <w:r w:rsidRPr="00372D52">
        <w:rPr>
          <w:rFonts w:ascii="Book Antiqua" w:hAnsi="Book Antiqua"/>
          <w:b/>
          <w:sz w:val="24"/>
          <w:szCs w:val="24"/>
        </w:rPr>
        <w:t xml:space="preserve"> GU</w:t>
      </w:r>
      <w:r w:rsidRPr="00372D52">
        <w:rPr>
          <w:rFonts w:ascii="Book Antiqua" w:hAnsi="Book Antiqua"/>
          <w:sz w:val="24"/>
          <w:szCs w:val="24"/>
        </w:rPr>
        <w:t xml:space="preserve">, </w:t>
      </w:r>
      <w:proofErr w:type="spellStart"/>
      <w:r w:rsidRPr="00372D52">
        <w:rPr>
          <w:rFonts w:ascii="Book Antiqua" w:hAnsi="Book Antiqua"/>
          <w:sz w:val="24"/>
          <w:szCs w:val="24"/>
        </w:rPr>
        <w:t>Annane</w:t>
      </w:r>
      <w:proofErr w:type="spellEnd"/>
      <w:r w:rsidRPr="00372D52">
        <w:rPr>
          <w:rFonts w:ascii="Book Antiqua" w:hAnsi="Book Antiqua"/>
          <w:sz w:val="24"/>
          <w:szCs w:val="24"/>
        </w:rPr>
        <w:t xml:space="preserve"> D, </w:t>
      </w:r>
      <w:proofErr w:type="spellStart"/>
      <w:r w:rsidRPr="00372D52">
        <w:rPr>
          <w:rFonts w:ascii="Book Antiqua" w:hAnsi="Book Antiqua"/>
          <w:sz w:val="24"/>
          <w:szCs w:val="24"/>
        </w:rPr>
        <w:t>Chrousos</w:t>
      </w:r>
      <w:proofErr w:type="spellEnd"/>
      <w:r w:rsidRPr="00372D52">
        <w:rPr>
          <w:rFonts w:ascii="Book Antiqua" w:hAnsi="Book Antiqua"/>
          <w:sz w:val="24"/>
          <w:szCs w:val="24"/>
        </w:rPr>
        <w:t xml:space="preserve"> GP, </w:t>
      </w:r>
      <w:proofErr w:type="spellStart"/>
      <w:r w:rsidRPr="00372D52">
        <w:rPr>
          <w:rFonts w:ascii="Book Antiqua" w:hAnsi="Book Antiqua"/>
          <w:sz w:val="24"/>
          <w:szCs w:val="24"/>
        </w:rPr>
        <w:t>Marik</w:t>
      </w:r>
      <w:proofErr w:type="spellEnd"/>
      <w:r w:rsidRPr="00372D52">
        <w:rPr>
          <w:rFonts w:ascii="Book Antiqua" w:hAnsi="Book Antiqua"/>
          <w:sz w:val="24"/>
          <w:szCs w:val="24"/>
        </w:rPr>
        <w:t xml:space="preserve"> PE, Sinclair SE. Activation and regulation of systemic inflammation in ARDS: rationale for prolonged glucocorticoid therapy. </w:t>
      </w:r>
      <w:r w:rsidRPr="00372D52">
        <w:rPr>
          <w:rFonts w:ascii="Book Antiqua" w:hAnsi="Book Antiqua"/>
          <w:i/>
          <w:sz w:val="24"/>
          <w:szCs w:val="24"/>
        </w:rPr>
        <w:t>Chest</w:t>
      </w:r>
      <w:r w:rsidRPr="00372D52">
        <w:rPr>
          <w:rFonts w:ascii="Book Antiqua" w:hAnsi="Book Antiqua"/>
          <w:sz w:val="24"/>
          <w:szCs w:val="24"/>
        </w:rPr>
        <w:t xml:space="preserve"> 2009; </w:t>
      </w:r>
      <w:r w:rsidRPr="00372D52">
        <w:rPr>
          <w:rFonts w:ascii="Book Antiqua" w:hAnsi="Book Antiqua"/>
          <w:b/>
          <w:sz w:val="24"/>
          <w:szCs w:val="24"/>
        </w:rPr>
        <w:t>136</w:t>
      </w:r>
      <w:r w:rsidRPr="00372D52">
        <w:rPr>
          <w:rFonts w:ascii="Book Antiqua" w:hAnsi="Book Antiqua"/>
          <w:sz w:val="24"/>
          <w:szCs w:val="24"/>
        </w:rPr>
        <w:t>: 1631-1643 [PMID: 19801579 DOI: 10.1378/chest.08-2408]</w:t>
      </w:r>
    </w:p>
    <w:p w14:paraId="3CF7C90E"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59 </w:t>
      </w:r>
      <w:r w:rsidRPr="00372D52">
        <w:rPr>
          <w:rFonts w:ascii="Book Antiqua" w:hAnsi="Book Antiqua"/>
          <w:b/>
          <w:sz w:val="24"/>
          <w:szCs w:val="24"/>
        </w:rPr>
        <w:t>Thompson BT</w:t>
      </w:r>
      <w:r w:rsidRPr="00372D52">
        <w:rPr>
          <w:rFonts w:ascii="Book Antiqua" w:hAnsi="Book Antiqua"/>
          <w:sz w:val="24"/>
          <w:szCs w:val="24"/>
        </w:rPr>
        <w:t xml:space="preserve">, Chambers RC, Liu KD. Acute Respiratory Distress Syndrome. </w:t>
      </w:r>
      <w:r w:rsidRPr="00372D52">
        <w:rPr>
          <w:rFonts w:ascii="Book Antiqua" w:hAnsi="Book Antiqua"/>
          <w:i/>
          <w:sz w:val="24"/>
          <w:szCs w:val="24"/>
        </w:rPr>
        <w:t xml:space="preserve">N </w:t>
      </w:r>
      <w:proofErr w:type="spellStart"/>
      <w:r w:rsidRPr="00372D52">
        <w:rPr>
          <w:rFonts w:ascii="Book Antiqua" w:hAnsi="Book Antiqua"/>
          <w:i/>
          <w:sz w:val="24"/>
          <w:szCs w:val="24"/>
        </w:rPr>
        <w:t>Engl</w:t>
      </w:r>
      <w:proofErr w:type="spellEnd"/>
      <w:r w:rsidRPr="00372D52">
        <w:rPr>
          <w:rFonts w:ascii="Book Antiqua" w:hAnsi="Book Antiqua"/>
          <w:i/>
          <w:sz w:val="24"/>
          <w:szCs w:val="24"/>
        </w:rPr>
        <w:t xml:space="preserve"> J Med</w:t>
      </w:r>
      <w:r w:rsidRPr="00372D52">
        <w:rPr>
          <w:rFonts w:ascii="Book Antiqua" w:hAnsi="Book Antiqua"/>
          <w:sz w:val="24"/>
          <w:szCs w:val="24"/>
        </w:rPr>
        <w:t xml:space="preserve"> 2017; </w:t>
      </w:r>
      <w:r w:rsidRPr="00372D52">
        <w:rPr>
          <w:rFonts w:ascii="Book Antiqua" w:hAnsi="Book Antiqua"/>
          <w:b/>
          <w:sz w:val="24"/>
          <w:szCs w:val="24"/>
        </w:rPr>
        <w:t>377</w:t>
      </w:r>
      <w:r w:rsidRPr="00372D52">
        <w:rPr>
          <w:rFonts w:ascii="Book Antiqua" w:hAnsi="Book Antiqua"/>
          <w:sz w:val="24"/>
          <w:szCs w:val="24"/>
        </w:rPr>
        <w:t>: 562-572 [PMID: 28792873 DOI: 10.1056/NEJMra1608077]</w:t>
      </w:r>
    </w:p>
    <w:p w14:paraId="08E8F39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60 </w:t>
      </w:r>
      <w:proofErr w:type="spellStart"/>
      <w:r w:rsidRPr="00372D52">
        <w:rPr>
          <w:rFonts w:ascii="Book Antiqua" w:hAnsi="Book Antiqua"/>
          <w:b/>
          <w:sz w:val="24"/>
          <w:szCs w:val="24"/>
        </w:rPr>
        <w:t>Puren</w:t>
      </w:r>
      <w:proofErr w:type="spellEnd"/>
      <w:r w:rsidRPr="00372D52">
        <w:rPr>
          <w:rFonts w:ascii="Book Antiqua" w:hAnsi="Book Antiqua"/>
          <w:b/>
          <w:sz w:val="24"/>
          <w:szCs w:val="24"/>
        </w:rPr>
        <w:t xml:space="preserve"> AJ</w:t>
      </w:r>
      <w:r w:rsidRPr="00372D52">
        <w:rPr>
          <w:rFonts w:ascii="Book Antiqua" w:hAnsi="Book Antiqua"/>
          <w:sz w:val="24"/>
          <w:szCs w:val="24"/>
        </w:rPr>
        <w:t xml:space="preserve">, Feldman C, Savage N, Becker PJ, Smith C. Patterns of cytokine expression in community-acquired pneumonia. </w:t>
      </w:r>
      <w:r w:rsidRPr="00372D52">
        <w:rPr>
          <w:rFonts w:ascii="Book Antiqua" w:hAnsi="Book Antiqua"/>
          <w:i/>
          <w:sz w:val="24"/>
          <w:szCs w:val="24"/>
        </w:rPr>
        <w:t>Chest</w:t>
      </w:r>
      <w:r w:rsidRPr="00372D52">
        <w:rPr>
          <w:rFonts w:ascii="Book Antiqua" w:hAnsi="Book Antiqua"/>
          <w:sz w:val="24"/>
          <w:szCs w:val="24"/>
        </w:rPr>
        <w:t xml:space="preserve"> 1995; </w:t>
      </w:r>
      <w:r w:rsidRPr="00372D52">
        <w:rPr>
          <w:rFonts w:ascii="Book Antiqua" w:hAnsi="Book Antiqua"/>
          <w:b/>
          <w:sz w:val="24"/>
          <w:szCs w:val="24"/>
        </w:rPr>
        <w:t>107</w:t>
      </w:r>
      <w:r w:rsidRPr="00372D52">
        <w:rPr>
          <w:rFonts w:ascii="Book Antiqua" w:hAnsi="Book Antiqua"/>
          <w:sz w:val="24"/>
          <w:szCs w:val="24"/>
        </w:rPr>
        <w:t>: 1342-1349 [PMID: 7750329 DOI: 10.1378/chest.107.5.1342]</w:t>
      </w:r>
    </w:p>
    <w:p w14:paraId="6BD5584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61 </w:t>
      </w:r>
      <w:proofErr w:type="spellStart"/>
      <w:r w:rsidRPr="00372D52">
        <w:rPr>
          <w:rFonts w:ascii="Book Antiqua" w:hAnsi="Book Antiqua"/>
          <w:b/>
          <w:sz w:val="24"/>
          <w:szCs w:val="24"/>
        </w:rPr>
        <w:t>Meduri</w:t>
      </w:r>
      <w:proofErr w:type="spellEnd"/>
      <w:r w:rsidRPr="00372D52">
        <w:rPr>
          <w:rFonts w:ascii="Book Antiqua" w:hAnsi="Book Antiqua"/>
          <w:b/>
          <w:sz w:val="24"/>
          <w:szCs w:val="24"/>
        </w:rPr>
        <w:t xml:space="preserve"> GU</w:t>
      </w:r>
      <w:r w:rsidRPr="00372D52">
        <w:rPr>
          <w:rFonts w:ascii="Book Antiqua" w:hAnsi="Book Antiqua"/>
          <w:sz w:val="24"/>
          <w:szCs w:val="24"/>
        </w:rPr>
        <w:t xml:space="preserve">, Headley S, Kohler G, </w:t>
      </w:r>
      <w:proofErr w:type="spellStart"/>
      <w:r w:rsidRPr="00372D52">
        <w:rPr>
          <w:rFonts w:ascii="Book Antiqua" w:hAnsi="Book Antiqua"/>
          <w:sz w:val="24"/>
          <w:szCs w:val="24"/>
        </w:rPr>
        <w:t>Stentz</w:t>
      </w:r>
      <w:proofErr w:type="spellEnd"/>
      <w:r w:rsidRPr="00372D52">
        <w:rPr>
          <w:rFonts w:ascii="Book Antiqua" w:hAnsi="Book Antiqua"/>
          <w:sz w:val="24"/>
          <w:szCs w:val="24"/>
        </w:rPr>
        <w:t xml:space="preserve"> F, Tolley E, </w:t>
      </w:r>
      <w:proofErr w:type="spellStart"/>
      <w:r w:rsidRPr="00372D52">
        <w:rPr>
          <w:rFonts w:ascii="Book Antiqua" w:hAnsi="Book Antiqua"/>
          <w:sz w:val="24"/>
          <w:szCs w:val="24"/>
        </w:rPr>
        <w:t>Umberger</w:t>
      </w:r>
      <w:proofErr w:type="spellEnd"/>
      <w:r w:rsidRPr="00372D52">
        <w:rPr>
          <w:rFonts w:ascii="Book Antiqua" w:hAnsi="Book Antiqua"/>
          <w:sz w:val="24"/>
          <w:szCs w:val="24"/>
        </w:rPr>
        <w:t xml:space="preserve"> R, Leeper K. Persistent elevation of inflammatory cytokines predicts a poor outcome in ARDS. Plasma IL-1 beta and IL-6 levels are consistent and efficient predictors of outcome over time. </w:t>
      </w:r>
      <w:r w:rsidRPr="00372D52">
        <w:rPr>
          <w:rFonts w:ascii="Book Antiqua" w:hAnsi="Book Antiqua"/>
          <w:i/>
          <w:sz w:val="24"/>
          <w:szCs w:val="24"/>
        </w:rPr>
        <w:t>Chest</w:t>
      </w:r>
      <w:r w:rsidRPr="00372D52">
        <w:rPr>
          <w:rFonts w:ascii="Book Antiqua" w:hAnsi="Book Antiqua"/>
          <w:sz w:val="24"/>
          <w:szCs w:val="24"/>
        </w:rPr>
        <w:t xml:space="preserve"> 1995; </w:t>
      </w:r>
      <w:r w:rsidRPr="00372D52">
        <w:rPr>
          <w:rFonts w:ascii="Book Antiqua" w:hAnsi="Book Antiqua"/>
          <w:b/>
          <w:sz w:val="24"/>
          <w:szCs w:val="24"/>
        </w:rPr>
        <w:t>107</w:t>
      </w:r>
      <w:r w:rsidRPr="00372D52">
        <w:rPr>
          <w:rFonts w:ascii="Book Antiqua" w:hAnsi="Book Antiqua"/>
          <w:sz w:val="24"/>
          <w:szCs w:val="24"/>
        </w:rPr>
        <w:t>: 1062-1073 [PMID: 7705118 DOI: 10.1378/chest.107.4.1062]</w:t>
      </w:r>
    </w:p>
    <w:p w14:paraId="72A8314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62 </w:t>
      </w:r>
      <w:proofErr w:type="spellStart"/>
      <w:r w:rsidRPr="00372D52">
        <w:rPr>
          <w:rFonts w:ascii="Book Antiqua" w:hAnsi="Book Antiqua"/>
          <w:b/>
          <w:sz w:val="24"/>
          <w:szCs w:val="24"/>
        </w:rPr>
        <w:t>Meduri</w:t>
      </w:r>
      <w:proofErr w:type="spellEnd"/>
      <w:r w:rsidRPr="00372D52">
        <w:rPr>
          <w:rFonts w:ascii="Book Antiqua" w:hAnsi="Book Antiqua"/>
          <w:b/>
          <w:sz w:val="24"/>
          <w:szCs w:val="24"/>
        </w:rPr>
        <w:t xml:space="preserve"> GU</w:t>
      </w:r>
      <w:r w:rsidRPr="00372D52">
        <w:rPr>
          <w:rFonts w:ascii="Book Antiqua" w:hAnsi="Book Antiqua"/>
          <w:sz w:val="24"/>
          <w:szCs w:val="24"/>
        </w:rPr>
        <w:t xml:space="preserve">, </w:t>
      </w:r>
      <w:proofErr w:type="spellStart"/>
      <w:r w:rsidRPr="00372D52">
        <w:rPr>
          <w:rFonts w:ascii="Book Antiqua" w:hAnsi="Book Antiqua"/>
          <w:sz w:val="24"/>
          <w:szCs w:val="24"/>
        </w:rPr>
        <w:t>Marik</w:t>
      </w:r>
      <w:proofErr w:type="spellEnd"/>
      <w:r w:rsidRPr="00372D52">
        <w:rPr>
          <w:rFonts w:ascii="Book Antiqua" w:hAnsi="Book Antiqua"/>
          <w:sz w:val="24"/>
          <w:szCs w:val="24"/>
        </w:rPr>
        <w:t xml:space="preserve"> PE, </w:t>
      </w:r>
      <w:proofErr w:type="spellStart"/>
      <w:r w:rsidRPr="00372D52">
        <w:rPr>
          <w:rFonts w:ascii="Book Antiqua" w:hAnsi="Book Antiqua"/>
          <w:sz w:val="24"/>
          <w:szCs w:val="24"/>
        </w:rPr>
        <w:t>Chrousos</w:t>
      </w:r>
      <w:proofErr w:type="spellEnd"/>
      <w:r w:rsidRPr="00372D52">
        <w:rPr>
          <w:rFonts w:ascii="Book Antiqua" w:hAnsi="Book Antiqua"/>
          <w:sz w:val="24"/>
          <w:szCs w:val="24"/>
        </w:rPr>
        <w:t xml:space="preserve"> GP, </w:t>
      </w:r>
      <w:proofErr w:type="spellStart"/>
      <w:r w:rsidRPr="00372D52">
        <w:rPr>
          <w:rFonts w:ascii="Book Antiqua" w:hAnsi="Book Antiqua"/>
          <w:sz w:val="24"/>
          <w:szCs w:val="24"/>
        </w:rPr>
        <w:t>Pastores</w:t>
      </w:r>
      <w:proofErr w:type="spellEnd"/>
      <w:r w:rsidRPr="00372D52">
        <w:rPr>
          <w:rFonts w:ascii="Book Antiqua" w:hAnsi="Book Antiqua"/>
          <w:sz w:val="24"/>
          <w:szCs w:val="24"/>
        </w:rPr>
        <w:t xml:space="preserve"> SM, </w:t>
      </w:r>
      <w:proofErr w:type="spellStart"/>
      <w:r w:rsidRPr="00372D52">
        <w:rPr>
          <w:rFonts w:ascii="Book Antiqua" w:hAnsi="Book Antiqua"/>
          <w:sz w:val="24"/>
          <w:szCs w:val="24"/>
        </w:rPr>
        <w:t>Arlt</w:t>
      </w:r>
      <w:proofErr w:type="spellEnd"/>
      <w:r w:rsidRPr="00372D52">
        <w:rPr>
          <w:rFonts w:ascii="Book Antiqua" w:hAnsi="Book Antiqua"/>
          <w:sz w:val="24"/>
          <w:szCs w:val="24"/>
        </w:rPr>
        <w:t xml:space="preserve"> W, </w:t>
      </w:r>
      <w:proofErr w:type="spellStart"/>
      <w:r w:rsidRPr="00372D52">
        <w:rPr>
          <w:rFonts w:ascii="Book Antiqua" w:hAnsi="Book Antiqua"/>
          <w:sz w:val="24"/>
          <w:szCs w:val="24"/>
        </w:rPr>
        <w:t>Beishuizen</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Bokhari</w:t>
      </w:r>
      <w:proofErr w:type="spellEnd"/>
      <w:r w:rsidRPr="00372D52">
        <w:rPr>
          <w:rFonts w:ascii="Book Antiqua" w:hAnsi="Book Antiqua"/>
          <w:sz w:val="24"/>
          <w:szCs w:val="24"/>
        </w:rPr>
        <w:t xml:space="preserve"> F, </w:t>
      </w:r>
      <w:proofErr w:type="spellStart"/>
      <w:r w:rsidRPr="00372D52">
        <w:rPr>
          <w:rFonts w:ascii="Book Antiqua" w:hAnsi="Book Antiqua"/>
          <w:sz w:val="24"/>
          <w:szCs w:val="24"/>
        </w:rPr>
        <w:t>Zaloga</w:t>
      </w:r>
      <w:proofErr w:type="spellEnd"/>
      <w:r w:rsidRPr="00372D52">
        <w:rPr>
          <w:rFonts w:ascii="Book Antiqua" w:hAnsi="Book Antiqua"/>
          <w:sz w:val="24"/>
          <w:szCs w:val="24"/>
        </w:rPr>
        <w:t xml:space="preserve"> G, </w:t>
      </w:r>
      <w:proofErr w:type="spellStart"/>
      <w:r w:rsidRPr="00372D52">
        <w:rPr>
          <w:rFonts w:ascii="Book Antiqua" w:hAnsi="Book Antiqua"/>
          <w:sz w:val="24"/>
          <w:szCs w:val="24"/>
        </w:rPr>
        <w:t>Annane</w:t>
      </w:r>
      <w:proofErr w:type="spellEnd"/>
      <w:r w:rsidRPr="00372D52">
        <w:rPr>
          <w:rFonts w:ascii="Book Antiqua" w:hAnsi="Book Antiqua"/>
          <w:sz w:val="24"/>
          <w:szCs w:val="24"/>
        </w:rPr>
        <w:t xml:space="preserve"> D. Steroid treatment in ARDS: a critical appraisal of the ARDS network trial and the recent literature. </w:t>
      </w:r>
      <w:r w:rsidRPr="00372D52">
        <w:rPr>
          <w:rFonts w:ascii="Book Antiqua" w:hAnsi="Book Antiqua"/>
          <w:i/>
          <w:sz w:val="24"/>
          <w:szCs w:val="24"/>
        </w:rPr>
        <w:t>Intensive Care Med</w:t>
      </w:r>
      <w:r w:rsidRPr="00372D52">
        <w:rPr>
          <w:rFonts w:ascii="Book Antiqua" w:hAnsi="Book Antiqua"/>
          <w:sz w:val="24"/>
          <w:szCs w:val="24"/>
        </w:rPr>
        <w:t xml:space="preserve"> 2008; </w:t>
      </w:r>
      <w:r w:rsidRPr="00372D52">
        <w:rPr>
          <w:rFonts w:ascii="Book Antiqua" w:hAnsi="Book Antiqua"/>
          <w:b/>
          <w:sz w:val="24"/>
          <w:szCs w:val="24"/>
        </w:rPr>
        <w:t>34</w:t>
      </w:r>
      <w:r w:rsidRPr="00372D52">
        <w:rPr>
          <w:rFonts w:ascii="Book Antiqua" w:hAnsi="Book Antiqua"/>
          <w:sz w:val="24"/>
          <w:szCs w:val="24"/>
        </w:rPr>
        <w:t>: 61-69 [PMID: 18000649 DOI: 10.1007/s00134-007-0933-3]</w:t>
      </w:r>
    </w:p>
    <w:p w14:paraId="39780F8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63 </w:t>
      </w:r>
      <w:r w:rsidRPr="00372D52">
        <w:rPr>
          <w:rFonts w:ascii="Book Antiqua" w:hAnsi="Book Antiqua"/>
          <w:b/>
          <w:sz w:val="24"/>
          <w:szCs w:val="24"/>
        </w:rPr>
        <w:t>Confalonieri M</w:t>
      </w:r>
      <w:r w:rsidRPr="00372D52">
        <w:rPr>
          <w:rFonts w:ascii="Book Antiqua" w:hAnsi="Book Antiqua"/>
          <w:sz w:val="24"/>
          <w:szCs w:val="24"/>
        </w:rPr>
        <w:t xml:space="preserve">, Urbino R, </w:t>
      </w:r>
      <w:proofErr w:type="spellStart"/>
      <w:r w:rsidRPr="00372D52">
        <w:rPr>
          <w:rFonts w:ascii="Book Antiqua" w:hAnsi="Book Antiqua"/>
          <w:sz w:val="24"/>
          <w:szCs w:val="24"/>
        </w:rPr>
        <w:t>Potena</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Piattella</w:t>
      </w:r>
      <w:proofErr w:type="spellEnd"/>
      <w:r w:rsidRPr="00372D52">
        <w:rPr>
          <w:rFonts w:ascii="Book Antiqua" w:hAnsi="Book Antiqua"/>
          <w:sz w:val="24"/>
          <w:szCs w:val="24"/>
        </w:rPr>
        <w:t xml:space="preserve"> M, Parigi P, Puccio G, Della Porta R, Giorgio C, Blasi F, </w:t>
      </w:r>
      <w:proofErr w:type="spellStart"/>
      <w:r w:rsidRPr="00372D52">
        <w:rPr>
          <w:rFonts w:ascii="Book Antiqua" w:hAnsi="Book Antiqua"/>
          <w:sz w:val="24"/>
          <w:szCs w:val="24"/>
        </w:rPr>
        <w:t>Umberger</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Meduri</w:t>
      </w:r>
      <w:proofErr w:type="spellEnd"/>
      <w:r w:rsidRPr="00372D52">
        <w:rPr>
          <w:rFonts w:ascii="Book Antiqua" w:hAnsi="Book Antiqua"/>
          <w:sz w:val="24"/>
          <w:szCs w:val="24"/>
        </w:rPr>
        <w:t xml:space="preserve"> GU. Hydrocortisone infusion for severe community-acquired pneumonia: a preliminary randomized study. </w:t>
      </w:r>
      <w:r w:rsidRPr="00372D52">
        <w:rPr>
          <w:rFonts w:ascii="Book Antiqua" w:hAnsi="Book Antiqua"/>
          <w:i/>
          <w:sz w:val="24"/>
          <w:szCs w:val="24"/>
        </w:rPr>
        <w:t xml:space="preserve">Am J Respir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2005; </w:t>
      </w:r>
      <w:r w:rsidRPr="00372D52">
        <w:rPr>
          <w:rFonts w:ascii="Book Antiqua" w:hAnsi="Book Antiqua"/>
          <w:b/>
          <w:sz w:val="24"/>
          <w:szCs w:val="24"/>
        </w:rPr>
        <w:t>171</w:t>
      </w:r>
      <w:r w:rsidRPr="00372D52">
        <w:rPr>
          <w:rFonts w:ascii="Book Antiqua" w:hAnsi="Book Antiqua"/>
          <w:sz w:val="24"/>
          <w:szCs w:val="24"/>
        </w:rPr>
        <w:t>: 242-248 [PMID: 15557131 DOI: 10.1164/rccm.200406-808OC]</w:t>
      </w:r>
    </w:p>
    <w:p w14:paraId="4DF926BB"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64 </w:t>
      </w:r>
      <w:proofErr w:type="spellStart"/>
      <w:r w:rsidRPr="00372D52">
        <w:rPr>
          <w:rFonts w:ascii="Book Antiqua" w:hAnsi="Book Antiqua"/>
          <w:b/>
          <w:sz w:val="24"/>
          <w:szCs w:val="24"/>
        </w:rPr>
        <w:t>Siemieniuk</w:t>
      </w:r>
      <w:proofErr w:type="spellEnd"/>
      <w:r w:rsidRPr="00372D52">
        <w:rPr>
          <w:rFonts w:ascii="Book Antiqua" w:hAnsi="Book Antiqua"/>
          <w:b/>
          <w:sz w:val="24"/>
          <w:szCs w:val="24"/>
        </w:rPr>
        <w:t xml:space="preserve"> RA</w:t>
      </w:r>
      <w:r w:rsidRPr="00372D52">
        <w:rPr>
          <w:rFonts w:ascii="Book Antiqua" w:hAnsi="Book Antiqua"/>
          <w:sz w:val="24"/>
          <w:szCs w:val="24"/>
        </w:rPr>
        <w:t>, Meade MO, Alonso-</w:t>
      </w:r>
      <w:proofErr w:type="spellStart"/>
      <w:r w:rsidRPr="00372D52">
        <w:rPr>
          <w:rFonts w:ascii="Book Antiqua" w:hAnsi="Book Antiqua"/>
          <w:sz w:val="24"/>
          <w:szCs w:val="24"/>
        </w:rPr>
        <w:t>Coello</w:t>
      </w:r>
      <w:proofErr w:type="spellEnd"/>
      <w:r w:rsidRPr="00372D52">
        <w:rPr>
          <w:rFonts w:ascii="Book Antiqua" w:hAnsi="Book Antiqua"/>
          <w:sz w:val="24"/>
          <w:szCs w:val="24"/>
        </w:rPr>
        <w:t xml:space="preserve"> P, </w:t>
      </w:r>
      <w:proofErr w:type="spellStart"/>
      <w:r w:rsidRPr="00372D52">
        <w:rPr>
          <w:rFonts w:ascii="Book Antiqua" w:hAnsi="Book Antiqua"/>
          <w:sz w:val="24"/>
          <w:szCs w:val="24"/>
        </w:rPr>
        <w:t>Briel</w:t>
      </w:r>
      <w:proofErr w:type="spellEnd"/>
      <w:r w:rsidRPr="00372D52">
        <w:rPr>
          <w:rFonts w:ascii="Book Antiqua" w:hAnsi="Book Antiqua"/>
          <w:sz w:val="24"/>
          <w:szCs w:val="24"/>
        </w:rPr>
        <w:t xml:space="preserve"> M, </w:t>
      </w:r>
      <w:proofErr w:type="spellStart"/>
      <w:r w:rsidRPr="00372D52">
        <w:rPr>
          <w:rFonts w:ascii="Book Antiqua" w:hAnsi="Book Antiqua"/>
          <w:sz w:val="24"/>
          <w:szCs w:val="24"/>
        </w:rPr>
        <w:t>Evaniew</w:t>
      </w:r>
      <w:proofErr w:type="spellEnd"/>
      <w:r w:rsidRPr="00372D52">
        <w:rPr>
          <w:rFonts w:ascii="Book Antiqua" w:hAnsi="Book Antiqua"/>
          <w:sz w:val="24"/>
          <w:szCs w:val="24"/>
        </w:rPr>
        <w:t xml:space="preserve"> N, Prasad M, Alexander PE, Fei Y, </w:t>
      </w:r>
      <w:proofErr w:type="spellStart"/>
      <w:r w:rsidRPr="00372D52">
        <w:rPr>
          <w:rFonts w:ascii="Book Antiqua" w:hAnsi="Book Antiqua"/>
          <w:sz w:val="24"/>
          <w:szCs w:val="24"/>
        </w:rPr>
        <w:t>Vandvik</w:t>
      </w:r>
      <w:proofErr w:type="spellEnd"/>
      <w:r w:rsidRPr="00372D52">
        <w:rPr>
          <w:rFonts w:ascii="Book Antiqua" w:hAnsi="Book Antiqua"/>
          <w:sz w:val="24"/>
          <w:szCs w:val="24"/>
        </w:rPr>
        <w:t xml:space="preserve"> PO, Loeb M, </w:t>
      </w:r>
      <w:proofErr w:type="spellStart"/>
      <w:r w:rsidRPr="00372D52">
        <w:rPr>
          <w:rFonts w:ascii="Book Antiqua" w:hAnsi="Book Antiqua"/>
          <w:sz w:val="24"/>
          <w:szCs w:val="24"/>
        </w:rPr>
        <w:t>Guyatt</w:t>
      </w:r>
      <w:proofErr w:type="spellEnd"/>
      <w:r w:rsidRPr="00372D52">
        <w:rPr>
          <w:rFonts w:ascii="Book Antiqua" w:hAnsi="Book Antiqua"/>
          <w:sz w:val="24"/>
          <w:szCs w:val="24"/>
        </w:rPr>
        <w:t xml:space="preserve"> GH. Corticosteroid Therapy for Patients Hospitalized </w:t>
      </w:r>
      <w:proofErr w:type="gramStart"/>
      <w:r w:rsidRPr="00372D52">
        <w:rPr>
          <w:rFonts w:ascii="Book Antiqua" w:hAnsi="Book Antiqua"/>
          <w:sz w:val="24"/>
          <w:szCs w:val="24"/>
        </w:rPr>
        <w:t>With</w:t>
      </w:r>
      <w:proofErr w:type="gramEnd"/>
      <w:r w:rsidRPr="00372D52">
        <w:rPr>
          <w:rFonts w:ascii="Book Antiqua" w:hAnsi="Book Antiqua"/>
          <w:sz w:val="24"/>
          <w:szCs w:val="24"/>
        </w:rPr>
        <w:t xml:space="preserve"> Community-Acquired Pneumonia: A Systematic Review and Meta-analysis. </w:t>
      </w:r>
      <w:r w:rsidRPr="00372D52">
        <w:rPr>
          <w:rFonts w:ascii="Book Antiqua" w:hAnsi="Book Antiqua"/>
          <w:i/>
          <w:sz w:val="24"/>
          <w:szCs w:val="24"/>
        </w:rPr>
        <w:t>Ann Intern Med</w:t>
      </w:r>
      <w:r w:rsidRPr="00372D52">
        <w:rPr>
          <w:rFonts w:ascii="Book Antiqua" w:hAnsi="Book Antiqua"/>
          <w:sz w:val="24"/>
          <w:szCs w:val="24"/>
        </w:rPr>
        <w:t xml:space="preserve"> 2015; </w:t>
      </w:r>
      <w:r w:rsidRPr="00372D52">
        <w:rPr>
          <w:rFonts w:ascii="Book Antiqua" w:hAnsi="Book Antiqua"/>
          <w:b/>
          <w:sz w:val="24"/>
          <w:szCs w:val="24"/>
        </w:rPr>
        <w:t>163</w:t>
      </w:r>
      <w:r w:rsidRPr="00372D52">
        <w:rPr>
          <w:rFonts w:ascii="Book Antiqua" w:hAnsi="Book Antiqua"/>
          <w:sz w:val="24"/>
          <w:szCs w:val="24"/>
        </w:rPr>
        <w:t>: 519-528 [PMID: 26258555 DOI: 10.7326/M15-0715]</w:t>
      </w:r>
    </w:p>
    <w:p w14:paraId="6A4FA89A"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65 </w:t>
      </w:r>
      <w:proofErr w:type="spellStart"/>
      <w:r w:rsidRPr="00372D52">
        <w:rPr>
          <w:rFonts w:ascii="Book Antiqua" w:hAnsi="Book Antiqua"/>
          <w:b/>
          <w:sz w:val="24"/>
          <w:szCs w:val="24"/>
        </w:rPr>
        <w:t>Horita</w:t>
      </w:r>
      <w:proofErr w:type="spellEnd"/>
      <w:r w:rsidRPr="00372D52">
        <w:rPr>
          <w:rFonts w:ascii="Book Antiqua" w:hAnsi="Book Antiqua"/>
          <w:b/>
          <w:sz w:val="24"/>
          <w:szCs w:val="24"/>
        </w:rPr>
        <w:t xml:space="preserve"> N</w:t>
      </w:r>
      <w:r w:rsidRPr="00372D52">
        <w:rPr>
          <w:rFonts w:ascii="Book Antiqua" w:hAnsi="Book Antiqua"/>
          <w:sz w:val="24"/>
          <w:szCs w:val="24"/>
        </w:rPr>
        <w:t xml:space="preserve">, Otsuka T, </w:t>
      </w:r>
      <w:proofErr w:type="spellStart"/>
      <w:r w:rsidRPr="00372D52">
        <w:rPr>
          <w:rFonts w:ascii="Book Antiqua" w:hAnsi="Book Antiqua"/>
          <w:sz w:val="24"/>
          <w:szCs w:val="24"/>
        </w:rPr>
        <w:t>Haranaga</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Namkoong</w:t>
      </w:r>
      <w:proofErr w:type="spellEnd"/>
      <w:r w:rsidRPr="00372D52">
        <w:rPr>
          <w:rFonts w:ascii="Book Antiqua" w:hAnsi="Book Antiqua"/>
          <w:sz w:val="24"/>
          <w:szCs w:val="24"/>
        </w:rPr>
        <w:t xml:space="preserve"> H, Miki M, Miyashita N, </w:t>
      </w:r>
      <w:proofErr w:type="spellStart"/>
      <w:r w:rsidRPr="00372D52">
        <w:rPr>
          <w:rFonts w:ascii="Book Antiqua" w:hAnsi="Book Antiqua"/>
          <w:sz w:val="24"/>
          <w:szCs w:val="24"/>
        </w:rPr>
        <w:t>Higa</w:t>
      </w:r>
      <w:proofErr w:type="spellEnd"/>
      <w:r w:rsidRPr="00372D52">
        <w:rPr>
          <w:rFonts w:ascii="Book Antiqua" w:hAnsi="Book Antiqua"/>
          <w:sz w:val="24"/>
          <w:szCs w:val="24"/>
        </w:rPr>
        <w:t xml:space="preserve"> F, Takahashi H, Yoshida M, Kohno S, Kaneko T. Adjunctive Systemic Corticosteroids for Hospitalized Community-Acquired Pneumonia: Systematic Review and Meta-Analysis 2015 Update. </w:t>
      </w:r>
      <w:r w:rsidRPr="00372D52">
        <w:rPr>
          <w:rFonts w:ascii="Book Antiqua" w:hAnsi="Book Antiqua"/>
          <w:i/>
          <w:sz w:val="24"/>
          <w:szCs w:val="24"/>
        </w:rPr>
        <w:t>Sci Rep</w:t>
      </w:r>
      <w:r w:rsidRPr="00372D52">
        <w:rPr>
          <w:rFonts w:ascii="Book Antiqua" w:hAnsi="Book Antiqua"/>
          <w:sz w:val="24"/>
          <w:szCs w:val="24"/>
        </w:rPr>
        <w:t xml:space="preserve"> 2015; </w:t>
      </w:r>
      <w:r w:rsidRPr="00372D52">
        <w:rPr>
          <w:rFonts w:ascii="Book Antiqua" w:hAnsi="Book Antiqua"/>
          <w:b/>
          <w:sz w:val="24"/>
          <w:szCs w:val="24"/>
        </w:rPr>
        <w:t>5</w:t>
      </w:r>
      <w:r w:rsidRPr="00372D52">
        <w:rPr>
          <w:rFonts w:ascii="Book Antiqua" w:hAnsi="Book Antiqua"/>
          <w:sz w:val="24"/>
          <w:szCs w:val="24"/>
        </w:rPr>
        <w:t>: 14061 [PMID: 26374694 DOI: 10.1038/srep14061]</w:t>
      </w:r>
    </w:p>
    <w:p w14:paraId="0D03FF87"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lastRenderedPageBreak/>
        <w:t xml:space="preserve">66 </w:t>
      </w:r>
      <w:r w:rsidRPr="00372D52">
        <w:rPr>
          <w:rFonts w:ascii="Book Antiqua" w:hAnsi="Book Antiqua"/>
          <w:b/>
          <w:sz w:val="24"/>
          <w:szCs w:val="24"/>
        </w:rPr>
        <w:t>Marti C</w:t>
      </w:r>
      <w:r w:rsidRPr="00372D52">
        <w:rPr>
          <w:rFonts w:ascii="Book Antiqua" w:hAnsi="Book Antiqua"/>
          <w:sz w:val="24"/>
          <w:szCs w:val="24"/>
        </w:rPr>
        <w:t xml:space="preserve">, </w:t>
      </w:r>
      <w:proofErr w:type="spellStart"/>
      <w:r w:rsidRPr="00372D52">
        <w:rPr>
          <w:rFonts w:ascii="Book Antiqua" w:hAnsi="Book Antiqua"/>
          <w:sz w:val="24"/>
          <w:szCs w:val="24"/>
        </w:rPr>
        <w:t>Grosgurin</w:t>
      </w:r>
      <w:proofErr w:type="spellEnd"/>
      <w:r w:rsidRPr="00372D52">
        <w:rPr>
          <w:rFonts w:ascii="Book Antiqua" w:hAnsi="Book Antiqua"/>
          <w:sz w:val="24"/>
          <w:szCs w:val="24"/>
        </w:rPr>
        <w:t xml:space="preserve"> O, </w:t>
      </w:r>
      <w:proofErr w:type="spellStart"/>
      <w:r w:rsidRPr="00372D52">
        <w:rPr>
          <w:rFonts w:ascii="Book Antiqua" w:hAnsi="Book Antiqua"/>
          <w:sz w:val="24"/>
          <w:szCs w:val="24"/>
        </w:rPr>
        <w:t>Harbarth</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Combescure</w:t>
      </w:r>
      <w:proofErr w:type="spellEnd"/>
      <w:r w:rsidRPr="00372D52">
        <w:rPr>
          <w:rFonts w:ascii="Book Antiqua" w:hAnsi="Book Antiqua"/>
          <w:sz w:val="24"/>
          <w:szCs w:val="24"/>
        </w:rPr>
        <w:t xml:space="preserve"> C, Abbas M, </w:t>
      </w:r>
      <w:proofErr w:type="spellStart"/>
      <w:r w:rsidRPr="00372D52">
        <w:rPr>
          <w:rFonts w:ascii="Book Antiqua" w:hAnsi="Book Antiqua"/>
          <w:sz w:val="24"/>
          <w:szCs w:val="24"/>
        </w:rPr>
        <w:t>Rutschmann</w:t>
      </w:r>
      <w:proofErr w:type="spellEnd"/>
      <w:r w:rsidRPr="00372D52">
        <w:rPr>
          <w:rFonts w:ascii="Book Antiqua" w:hAnsi="Book Antiqua"/>
          <w:sz w:val="24"/>
          <w:szCs w:val="24"/>
        </w:rPr>
        <w:t xml:space="preserve"> O, Perrier A, </w:t>
      </w:r>
      <w:proofErr w:type="spellStart"/>
      <w:r w:rsidRPr="00372D52">
        <w:rPr>
          <w:rFonts w:ascii="Book Antiqua" w:hAnsi="Book Antiqua"/>
          <w:sz w:val="24"/>
          <w:szCs w:val="24"/>
        </w:rPr>
        <w:t>Garin</w:t>
      </w:r>
      <w:proofErr w:type="spellEnd"/>
      <w:r w:rsidRPr="00372D52">
        <w:rPr>
          <w:rFonts w:ascii="Book Antiqua" w:hAnsi="Book Antiqua"/>
          <w:sz w:val="24"/>
          <w:szCs w:val="24"/>
        </w:rPr>
        <w:t xml:space="preserve"> N. Adjunctive </w:t>
      </w:r>
      <w:proofErr w:type="spellStart"/>
      <w:r w:rsidRPr="00372D52">
        <w:rPr>
          <w:rFonts w:ascii="Book Antiqua" w:hAnsi="Book Antiqua"/>
          <w:sz w:val="24"/>
          <w:szCs w:val="24"/>
        </w:rPr>
        <w:t>Corticotherapy</w:t>
      </w:r>
      <w:proofErr w:type="spellEnd"/>
      <w:r w:rsidRPr="00372D52">
        <w:rPr>
          <w:rFonts w:ascii="Book Antiqua" w:hAnsi="Book Antiqua"/>
          <w:sz w:val="24"/>
          <w:szCs w:val="24"/>
        </w:rPr>
        <w:t xml:space="preserve"> for Community Acquired Pneumonia: A Systematic Review and Meta-Analysis. </w:t>
      </w:r>
      <w:proofErr w:type="spellStart"/>
      <w:r w:rsidRPr="00372D52">
        <w:rPr>
          <w:rFonts w:ascii="Book Antiqua" w:hAnsi="Book Antiqua"/>
          <w:i/>
          <w:sz w:val="24"/>
          <w:szCs w:val="24"/>
        </w:rPr>
        <w:t>PLoS</w:t>
      </w:r>
      <w:proofErr w:type="spellEnd"/>
      <w:r w:rsidRPr="00372D52">
        <w:rPr>
          <w:rFonts w:ascii="Book Antiqua" w:hAnsi="Book Antiqua"/>
          <w:i/>
          <w:sz w:val="24"/>
          <w:szCs w:val="24"/>
        </w:rPr>
        <w:t xml:space="preserve"> One</w:t>
      </w:r>
      <w:r w:rsidRPr="00372D52">
        <w:rPr>
          <w:rFonts w:ascii="Book Antiqua" w:hAnsi="Book Antiqua"/>
          <w:sz w:val="24"/>
          <w:szCs w:val="24"/>
        </w:rPr>
        <w:t xml:space="preserve"> 2015; </w:t>
      </w:r>
      <w:r w:rsidRPr="00372D52">
        <w:rPr>
          <w:rFonts w:ascii="Book Antiqua" w:hAnsi="Book Antiqua"/>
          <w:b/>
          <w:sz w:val="24"/>
          <w:szCs w:val="24"/>
        </w:rPr>
        <w:t>10</w:t>
      </w:r>
      <w:r w:rsidRPr="00372D52">
        <w:rPr>
          <w:rFonts w:ascii="Book Antiqua" w:hAnsi="Book Antiqua"/>
          <w:sz w:val="24"/>
          <w:szCs w:val="24"/>
        </w:rPr>
        <w:t>: e0144032 [PMID: 26641253 DOI: 10.1371/journal.pone.0144032]</w:t>
      </w:r>
    </w:p>
    <w:p w14:paraId="6D6EA0E0"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67 </w:t>
      </w:r>
      <w:proofErr w:type="spellStart"/>
      <w:r w:rsidRPr="00372D52">
        <w:rPr>
          <w:rFonts w:ascii="Book Antiqua" w:hAnsi="Book Antiqua"/>
          <w:b/>
          <w:sz w:val="24"/>
          <w:szCs w:val="24"/>
        </w:rPr>
        <w:t>Pastores</w:t>
      </w:r>
      <w:proofErr w:type="spellEnd"/>
      <w:r w:rsidRPr="00372D52">
        <w:rPr>
          <w:rFonts w:ascii="Book Antiqua" w:hAnsi="Book Antiqua"/>
          <w:b/>
          <w:sz w:val="24"/>
          <w:szCs w:val="24"/>
        </w:rPr>
        <w:t xml:space="preserve"> SM</w:t>
      </w:r>
      <w:r w:rsidRPr="00372D52">
        <w:rPr>
          <w:rFonts w:ascii="Book Antiqua" w:hAnsi="Book Antiqua"/>
          <w:sz w:val="24"/>
          <w:szCs w:val="24"/>
        </w:rPr>
        <w:t xml:space="preserve">, </w:t>
      </w:r>
      <w:proofErr w:type="spellStart"/>
      <w:r w:rsidRPr="00372D52">
        <w:rPr>
          <w:rFonts w:ascii="Book Antiqua" w:hAnsi="Book Antiqua"/>
          <w:sz w:val="24"/>
          <w:szCs w:val="24"/>
        </w:rPr>
        <w:t>Annane</w:t>
      </w:r>
      <w:proofErr w:type="spellEnd"/>
      <w:r w:rsidRPr="00372D52">
        <w:rPr>
          <w:rFonts w:ascii="Book Antiqua" w:hAnsi="Book Antiqua"/>
          <w:sz w:val="24"/>
          <w:szCs w:val="24"/>
        </w:rPr>
        <w:t xml:space="preserve"> D, </w:t>
      </w:r>
      <w:proofErr w:type="spellStart"/>
      <w:r w:rsidRPr="00372D52">
        <w:rPr>
          <w:rFonts w:ascii="Book Antiqua" w:hAnsi="Book Antiqua"/>
          <w:sz w:val="24"/>
          <w:szCs w:val="24"/>
        </w:rPr>
        <w:t>Rochwerg</w:t>
      </w:r>
      <w:proofErr w:type="spellEnd"/>
      <w:r w:rsidRPr="00372D52">
        <w:rPr>
          <w:rFonts w:ascii="Book Antiqua" w:hAnsi="Book Antiqua"/>
          <w:sz w:val="24"/>
          <w:szCs w:val="24"/>
        </w:rPr>
        <w:t xml:space="preserve"> B; Corticosteroid Guideline Task Force of SCCM and ESICM. Guidelines for the Diagnosis and Management of Critical Illness-Related Corticosteroid Insufficiency (CIRCI) in Critically Ill Patients (Part II): Society of Critical Care Medicine (SCCM) and European Society of Intensive Care Medicine (ESICM) 2017.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2018; </w:t>
      </w:r>
      <w:r w:rsidRPr="00372D52">
        <w:rPr>
          <w:rFonts w:ascii="Book Antiqua" w:hAnsi="Book Antiqua"/>
          <w:b/>
          <w:sz w:val="24"/>
          <w:szCs w:val="24"/>
        </w:rPr>
        <w:t>46</w:t>
      </w:r>
      <w:r w:rsidRPr="00372D52">
        <w:rPr>
          <w:rFonts w:ascii="Book Antiqua" w:hAnsi="Book Antiqua"/>
          <w:sz w:val="24"/>
          <w:szCs w:val="24"/>
        </w:rPr>
        <w:t>: 146-148 [PMID: 29095205 DOI: 10.1097/CCM.0000000000002840]</w:t>
      </w:r>
    </w:p>
    <w:p w14:paraId="481EB27A"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68 </w:t>
      </w:r>
      <w:r w:rsidRPr="00372D52">
        <w:rPr>
          <w:rFonts w:ascii="Book Antiqua" w:hAnsi="Book Antiqua"/>
          <w:b/>
          <w:sz w:val="24"/>
          <w:szCs w:val="24"/>
        </w:rPr>
        <w:t>Wan YD</w:t>
      </w:r>
      <w:r w:rsidRPr="00372D52">
        <w:rPr>
          <w:rFonts w:ascii="Book Antiqua" w:hAnsi="Book Antiqua"/>
          <w:sz w:val="24"/>
          <w:szCs w:val="24"/>
        </w:rPr>
        <w:t xml:space="preserve">, Sun TW, Liu ZQ, Zhang SG, Wang LX, Kan QC. Efficacy and Safety of Corticosteroids for Community-Acquired Pneumonia: A Systematic Review and Meta-Analysis. </w:t>
      </w:r>
      <w:r w:rsidRPr="00372D52">
        <w:rPr>
          <w:rFonts w:ascii="Book Antiqua" w:hAnsi="Book Antiqua"/>
          <w:i/>
          <w:sz w:val="24"/>
          <w:szCs w:val="24"/>
        </w:rPr>
        <w:t>Chest</w:t>
      </w:r>
      <w:r w:rsidRPr="00372D52">
        <w:rPr>
          <w:rFonts w:ascii="Book Antiqua" w:hAnsi="Book Antiqua"/>
          <w:sz w:val="24"/>
          <w:szCs w:val="24"/>
        </w:rPr>
        <w:t xml:space="preserve"> 2016; </w:t>
      </w:r>
      <w:r w:rsidRPr="00372D52">
        <w:rPr>
          <w:rFonts w:ascii="Book Antiqua" w:hAnsi="Book Antiqua"/>
          <w:b/>
          <w:sz w:val="24"/>
          <w:szCs w:val="24"/>
        </w:rPr>
        <w:t>149</w:t>
      </w:r>
      <w:r w:rsidRPr="00372D52">
        <w:rPr>
          <w:rFonts w:ascii="Book Antiqua" w:hAnsi="Book Antiqua"/>
          <w:sz w:val="24"/>
          <w:szCs w:val="24"/>
        </w:rPr>
        <w:t>: 209-219 [PMID: 26501852 DOI: 10.1378/chest.15-1733]</w:t>
      </w:r>
    </w:p>
    <w:p w14:paraId="5CB1CAF6"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69 </w:t>
      </w:r>
      <w:proofErr w:type="spellStart"/>
      <w:r w:rsidRPr="00372D52">
        <w:rPr>
          <w:rFonts w:ascii="Book Antiqua" w:hAnsi="Book Antiqua"/>
          <w:b/>
          <w:sz w:val="24"/>
          <w:szCs w:val="24"/>
        </w:rPr>
        <w:t>Briel</w:t>
      </w:r>
      <w:proofErr w:type="spellEnd"/>
      <w:r w:rsidRPr="00372D52">
        <w:rPr>
          <w:rFonts w:ascii="Book Antiqua" w:hAnsi="Book Antiqua"/>
          <w:b/>
          <w:sz w:val="24"/>
          <w:szCs w:val="24"/>
        </w:rPr>
        <w:t xml:space="preserve"> M</w:t>
      </w:r>
      <w:r w:rsidRPr="00372D52">
        <w:rPr>
          <w:rFonts w:ascii="Book Antiqua" w:hAnsi="Book Antiqua"/>
          <w:sz w:val="24"/>
          <w:szCs w:val="24"/>
        </w:rPr>
        <w:t xml:space="preserve">, </w:t>
      </w:r>
      <w:proofErr w:type="spellStart"/>
      <w:r w:rsidRPr="00372D52">
        <w:rPr>
          <w:rFonts w:ascii="Book Antiqua" w:hAnsi="Book Antiqua"/>
          <w:sz w:val="24"/>
          <w:szCs w:val="24"/>
        </w:rPr>
        <w:t>Spoorenberg</w:t>
      </w:r>
      <w:proofErr w:type="spellEnd"/>
      <w:r w:rsidRPr="00372D52">
        <w:rPr>
          <w:rFonts w:ascii="Book Antiqua" w:hAnsi="Book Antiqua"/>
          <w:sz w:val="24"/>
          <w:szCs w:val="24"/>
        </w:rPr>
        <w:t xml:space="preserve"> SMC, </w:t>
      </w:r>
      <w:proofErr w:type="spellStart"/>
      <w:r w:rsidRPr="00372D52">
        <w:rPr>
          <w:rFonts w:ascii="Book Antiqua" w:hAnsi="Book Antiqua"/>
          <w:sz w:val="24"/>
          <w:szCs w:val="24"/>
        </w:rPr>
        <w:t>Snijders</w:t>
      </w:r>
      <w:proofErr w:type="spellEnd"/>
      <w:r w:rsidRPr="00372D52">
        <w:rPr>
          <w:rFonts w:ascii="Book Antiqua" w:hAnsi="Book Antiqua"/>
          <w:sz w:val="24"/>
          <w:szCs w:val="24"/>
        </w:rPr>
        <w:t xml:space="preserve"> D, Torres A, Fernandez-Serrano S, </w:t>
      </w:r>
      <w:proofErr w:type="spellStart"/>
      <w:r w:rsidRPr="00372D52">
        <w:rPr>
          <w:rFonts w:ascii="Book Antiqua" w:hAnsi="Book Antiqua"/>
          <w:sz w:val="24"/>
          <w:szCs w:val="24"/>
        </w:rPr>
        <w:t>Meduri</w:t>
      </w:r>
      <w:proofErr w:type="spellEnd"/>
      <w:r w:rsidRPr="00372D52">
        <w:rPr>
          <w:rFonts w:ascii="Book Antiqua" w:hAnsi="Book Antiqua"/>
          <w:sz w:val="24"/>
          <w:szCs w:val="24"/>
        </w:rPr>
        <w:t xml:space="preserve"> GU, </w:t>
      </w:r>
      <w:proofErr w:type="spellStart"/>
      <w:r w:rsidRPr="00372D52">
        <w:rPr>
          <w:rFonts w:ascii="Book Antiqua" w:hAnsi="Book Antiqua"/>
          <w:sz w:val="24"/>
          <w:szCs w:val="24"/>
        </w:rPr>
        <w:t>Gabarrús</w:t>
      </w:r>
      <w:proofErr w:type="spellEnd"/>
      <w:r w:rsidRPr="00372D52">
        <w:rPr>
          <w:rFonts w:ascii="Book Antiqua" w:hAnsi="Book Antiqua"/>
          <w:sz w:val="24"/>
          <w:szCs w:val="24"/>
        </w:rPr>
        <w:t xml:space="preserve"> A, Blum CA, Confalonieri M, </w:t>
      </w:r>
      <w:proofErr w:type="spellStart"/>
      <w:r w:rsidRPr="00372D52">
        <w:rPr>
          <w:rFonts w:ascii="Book Antiqua" w:hAnsi="Book Antiqua"/>
          <w:sz w:val="24"/>
          <w:szCs w:val="24"/>
        </w:rPr>
        <w:t>Kasenda</w:t>
      </w:r>
      <w:proofErr w:type="spellEnd"/>
      <w:r w:rsidRPr="00372D52">
        <w:rPr>
          <w:rFonts w:ascii="Book Antiqua" w:hAnsi="Book Antiqua"/>
          <w:sz w:val="24"/>
          <w:szCs w:val="24"/>
        </w:rPr>
        <w:t xml:space="preserve"> B, </w:t>
      </w:r>
      <w:proofErr w:type="spellStart"/>
      <w:r w:rsidRPr="00372D52">
        <w:rPr>
          <w:rFonts w:ascii="Book Antiqua" w:hAnsi="Book Antiqua"/>
          <w:sz w:val="24"/>
          <w:szCs w:val="24"/>
        </w:rPr>
        <w:t>Siemieniuk</w:t>
      </w:r>
      <w:proofErr w:type="spellEnd"/>
      <w:r w:rsidRPr="00372D52">
        <w:rPr>
          <w:rFonts w:ascii="Book Antiqua" w:hAnsi="Book Antiqua"/>
          <w:sz w:val="24"/>
          <w:szCs w:val="24"/>
        </w:rPr>
        <w:t xml:space="preserve"> RAC, Boersma W, Bos WJW, Christ-Crain M; </w:t>
      </w:r>
      <w:proofErr w:type="spellStart"/>
      <w:r w:rsidRPr="00372D52">
        <w:rPr>
          <w:rFonts w:ascii="Book Antiqua" w:hAnsi="Book Antiqua"/>
          <w:sz w:val="24"/>
          <w:szCs w:val="24"/>
        </w:rPr>
        <w:t>Ovidius</w:t>
      </w:r>
      <w:proofErr w:type="spellEnd"/>
      <w:r w:rsidRPr="00372D52">
        <w:rPr>
          <w:rFonts w:ascii="Book Antiqua" w:hAnsi="Book Antiqua"/>
          <w:sz w:val="24"/>
          <w:szCs w:val="24"/>
        </w:rPr>
        <w:t xml:space="preserve"> Study Group; Capisce Study Group; STEP Study Group. Corticosteroids in Patients Hospitalized </w:t>
      </w:r>
      <w:proofErr w:type="gramStart"/>
      <w:r w:rsidRPr="00372D52">
        <w:rPr>
          <w:rFonts w:ascii="Book Antiqua" w:hAnsi="Book Antiqua"/>
          <w:sz w:val="24"/>
          <w:szCs w:val="24"/>
        </w:rPr>
        <w:t>With</w:t>
      </w:r>
      <w:proofErr w:type="gramEnd"/>
      <w:r w:rsidRPr="00372D52">
        <w:rPr>
          <w:rFonts w:ascii="Book Antiqua" w:hAnsi="Book Antiqua"/>
          <w:sz w:val="24"/>
          <w:szCs w:val="24"/>
        </w:rPr>
        <w:t xml:space="preserve"> Community-Acquired Pneumonia: Systematic Review and Individual Patient Data </w:t>
      </w:r>
      <w:proofErr w:type="spellStart"/>
      <w:r w:rsidRPr="00372D52">
        <w:rPr>
          <w:rFonts w:ascii="Book Antiqua" w:hAnsi="Book Antiqua"/>
          <w:sz w:val="24"/>
          <w:szCs w:val="24"/>
        </w:rPr>
        <w:t>Metaanalysis</w:t>
      </w:r>
      <w:proofErr w:type="spellEnd"/>
      <w:r w:rsidRPr="00372D52">
        <w:rPr>
          <w:rFonts w:ascii="Book Antiqua" w:hAnsi="Book Antiqua"/>
          <w:sz w:val="24"/>
          <w:szCs w:val="24"/>
        </w:rPr>
        <w:t xml:space="preserve">. </w:t>
      </w:r>
      <w:r w:rsidRPr="00372D52">
        <w:rPr>
          <w:rFonts w:ascii="Book Antiqua" w:hAnsi="Book Antiqua"/>
          <w:i/>
          <w:sz w:val="24"/>
          <w:szCs w:val="24"/>
        </w:rPr>
        <w:t>Clin Infect Dis</w:t>
      </w:r>
      <w:r w:rsidRPr="00372D52">
        <w:rPr>
          <w:rFonts w:ascii="Book Antiqua" w:hAnsi="Book Antiqua"/>
          <w:sz w:val="24"/>
          <w:szCs w:val="24"/>
        </w:rPr>
        <w:t xml:space="preserve"> 2018; </w:t>
      </w:r>
      <w:r w:rsidRPr="00372D52">
        <w:rPr>
          <w:rFonts w:ascii="Book Antiqua" w:hAnsi="Book Antiqua"/>
          <w:b/>
          <w:sz w:val="24"/>
          <w:szCs w:val="24"/>
        </w:rPr>
        <w:t>66</w:t>
      </w:r>
      <w:r w:rsidRPr="00372D52">
        <w:rPr>
          <w:rFonts w:ascii="Book Antiqua" w:hAnsi="Book Antiqua"/>
          <w:sz w:val="24"/>
          <w:szCs w:val="24"/>
        </w:rPr>
        <w:t>: 346-354 [PMID: 29020323 DOI: 10.1093/</w:t>
      </w:r>
      <w:proofErr w:type="spellStart"/>
      <w:r w:rsidRPr="00372D52">
        <w:rPr>
          <w:rFonts w:ascii="Book Antiqua" w:hAnsi="Book Antiqua"/>
          <w:sz w:val="24"/>
          <w:szCs w:val="24"/>
        </w:rPr>
        <w:t>cid</w:t>
      </w:r>
      <w:proofErr w:type="spellEnd"/>
      <w:r w:rsidRPr="00372D52">
        <w:rPr>
          <w:rFonts w:ascii="Book Antiqua" w:hAnsi="Book Antiqua"/>
          <w:sz w:val="24"/>
          <w:szCs w:val="24"/>
        </w:rPr>
        <w:t>/cix801]</w:t>
      </w:r>
    </w:p>
    <w:p w14:paraId="2BC414A3"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70 </w:t>
      </w:r>
      <w:r w:rsidRPr="00372D52">
        <w:rPr>
          <w:rFonts w:ascii="Book Antiqua" w:hAnsi="Book Antiqua"/>
          <w:b/>
          <w:sz w:val="24"/>
          <w:szCs w:val="24"/>
        </w:rPr>
        <w:t>Wu WF</w:t>
      </w:r>
      <w:r w:rsidRPr="00372D52">
        <w:rPr>
          <w:rFonts w:ascii="Book Antiqua" w:hAnsi="Book Antiqua"/>
          <w:sz w:val="24"/>
          <w:szCs w:val="24"/>
        </w:rPr>
        <w:t xml:space="preserve">, Fang Q, He GJ. Efficacy of corticosteroid treatment for severe community-acquired pneumonia: A meta-analysis. </w:t>
      </w:r>
      <w:r w:rsidRPr="00372D52">
        <w:rPr>
          <w:rFonts w:ascii="Book Antiqua" w:hAnsi="Book Antiqua"/>
          <w:i/>
          <w:sz w:val="24"/>
          <w:szCs w:val="24"/>
        </w:rPr>
        <w:t xml:space="preserve">Am J </w:t>
      </w:r>
      <w:proofErr w:type="spellStart"/>
      <w:r w:rsidRPr="00372D52">
        <w:rPr>
          <w:rFonts w:ascii="Book Antiqua" w:hAnsi="Book Antiqua"/>
          <w:i/>
          <w:sz w:val="24"/>
          <w:szCs w:val="24"/>
        </w:rPr>
        <w:t>Emerg</w:t>
      </w:r>
      <w:proofErr w:type="spellEnd"/>
      <w:r w:rsidRPr="00372D52">
        <w:rPr>
          <w:rFonts w:ascii="Book Antiqua" w:hAnsi="Book Antiqua"/>
          <w:i/>
          <w:sz w:val="24"/>
          <w:szCs w:val="24"/>
        </w:rPr>
        <w:t xml:space="preserve"> Med</w:t>
      </w:r>
      <w:r w:rsidRPr="00372D52">
        <w:rPr>
          <w:rFonts w:ascii="Book Antiqua" w:hAnsi="Book Antiqua"/>
          <w:sz w:val="24"/>
          <w:szCs w:val="24"/>
        </w:rPr>
        <w:t xml:space="preserve"> 2018; </w:t>
      </w:r>
      <w:r w:rsidRPr="00372D52">
        <w:rPr>
          <w:rFonts w:ascii="Book Antiqua" w:hAnsi="Book Antiqua"/>
          <w:b/>
          <w:sz w:val="24"/>
          <w:szCs w:val="24"/>
        </w:rPr>
        <w:t>36</w:t>
      </w:r>
      <w:r w:rsidRPr="00372D52">
        <w:rPr>
          <w:rFonts w:ascii="Book Antiqua" w:hAnsi="Book Antiqua"/>
          <w:sz w:val="24"/>
          <w:szCs w:val="24"/>
        </w:rPr>
        <w:t>: 179-184 [PMID: 28756034 DOI: 10.1016/j.ajem.2017.07.050]</w:t>
      </w:r>
    </w:p>
    <w:p w14:paraId="1C587FD1"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71 </w:t>
      </w:r>
      <w:proofErr w:type="spellStart"/>
      <w:r w:rsidRPr="00372D52">
        <w:rPr>
          <w:rFonts w:ascii="Book Antiqua" w:hAnsi="Book Antiqua"/>
          <w:b/>
          <w:sz w:val="24"/>
          <w:szCs w:val="24"/>
        </w:rPr>
        <w:t>Wieruszewski</w:t>
      </w:r>
      <w:proofErr w:type="spellEnd"/>
      <w:r w:rsidRPr="00372D52">
        <w:rPr>
          <w:rFonts w:ascii="Book Antiqua" w:hAnsi="Book Antiqua"/>
          <w:b/>
          <w:sz w:val="24"/>
          <w:szCs w:val="24"/>
        </w:rPr>
        <w:t xml:space="preserve"> PM</w:t>
      </w:r>
      <w:r w:rsidRPr="00372D52">
        <w:rPr>
          <w:rFonts w:ascii="Book Antiqua" w:hAnsi="Book Antiqua"/>
          <w:sz w:val="24"/>
          <w:szCs w:val="24"/>
        </w:rPr>
        <w:t xml:space="preserve">, Linn DD. Contemporary management of severe influenza disease in the intensive care unit. </w:t>
      </w:r>
      <w:r w:rsidRPr="00372D52">
        <w:rPr>
          <w:rFonts w:ascii="Book Antiqua" w:hAnsi="Book Antiqua"/>
          <w:i/>
          <w:sz w:val="24"/>
          <w:szCs w:val="24"/>
        </w:rPr>
        <w:t xml:space="preserve">J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w:t>
      </w:r>
      <w:r w:rsidRPr="00372D52">
        <w:rPr>
          <w:rFonts w:ascii="Book Antiqua" w:hAnsi="Book Antiqua"/>
          <w:sz w:val="24"/>
          <w:szCs w:val="24"/>
        </w:rPr>
        <w:t xml:space="preserve"> 2018; </w:t>
      </w:r>
      <w:r w:rsidRPr="00372D52">
        <w:rPr>
          <w:rFonts w:ascii="Book Antiqua" w:hAnsi="Book Antiqua"/>
          <w:b/>
          <w:sz w:val="24"/>
          <w:szCs w:val="24"/>
        </w:rPr>
        <w:t>48</w:t>
      </w:r>
      <w:r w:rsidRPr="00372D52">
        <w:rPr>
          <w:rFonts w:ascii="Book Antiqua" w:hAnsi="Book Antiqua"/>
          <w:sz w:val="24"/>
          <w:szCs w:val="24"/>
        </w:rPr>
        <w:t>: 48-55 [PMID: 30172033 DOI: 10.1016/j.jcrc.2018.08.015]</w:t>
      </w:r>
    </w:p>
    <w:p w14:paraId="0A2C3D29"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72 </w:t>
      </w:r>
      <w:r w:rsidRPr="00372D52">
        <w:rPr>
          <w:rFonts w:ascii="Book Antiqua" w:hAnsi="Book Antiqua"/>
          <w:b/>
          <w:sz w:val="24"/>
          <w:szCs w:val="24"/>
        </w:rPr>
        <w:t xml:space="preserve">National Institutes of Health-University of California Expert Panel for Corticosteroids as Adjunctive Therapy for Pneumocystis </w:t>
      </w:r>
      <w:proofErr w:type="gramStart"/>
      <w:r w:rsidRPr="00372D52">
        <w:rPr>
          <w:rFonts w:ascii="Book Antiqua" w:hAnsi="Book Antiqua"/>
          <w:b/>
          <w:sz w:val="24"/>
          <w:szCs w:val="24"/>
        </w:rPr>
        <w:t>Pneumonia.</w:t>
      </w:r>
      <w:r w:rsidRPr="00372D52">
        <w:rPr>
          <w:rFonts w:ascii="Book Antiqua" w:hAnsi="Book Antiqua"/>
          <w:sz w:val="24"/>
          <w:szCs w:val="24"/>
        </w:rPr>
        <w:t>.</w:t>
      </w:r>
      <w:proofErr w:type="gramEnd"/>
      <w:r w:rsidRPr="00372D52">
        <w:rPr>
          <w:rFonts w:ascii="Book Antiqua" w:hAnsi="Book Antiqua"/>
          <w:sz w:val="24"/>
          <w:szCs w:val="24"/>
        </w:rPr>
        <w:t xml:space="preserve"> Consensus statement on the use of corticosteroids as adjunctive therapy for pneumocystis pneumonia in the acquired immunodeficiency syndrome. </w:t>
      </w:r>
      <w:r w:rsidRPr="00372D52">
        <w:rPr>
          <w:rFonts w:ascii="Book Antiqua" w:hAnsi="Book Antiqua"/>
          <w:i/>
          <w:sz w:val="24"/>
          <w:szCs w:val="24"/>
        </w:rPr>
        <w:t xml:space="preserve">N </w:t>
      </w:r>
      <w:proofErr w:type="spellStart"/>
      <w:r w:rsidRPr="00372D52">
        <w:rPr>
          <w:rFonts w:ascii="Book Antiqua" w:hAnsi="Book Antiqua"/>
          <w:i/>
          <w:sz w:val="24"/>
          <w:szCs w:val="24"/>
        </w:rPr>
        <w:t>Engl</w:t>
      </w:r>
      <w:proofErr w:type="spellEnd"/>
      <w:r w:rsidRPr="00372D52">
        <w:rPr>
          <w:rFonts w:ascii="Book Antiqua" w:hAnsi="Book Antiqua"/>
          <w:i/>
          <w:sz w:val="24"/>
          <w:szCs w:val="24"/>
        </w:rPr>
        <w:t xml:space="preserve"> J Med</w:t>
      </w:r>
      <w:r w:rsidRPr="00372D52">
        <w:rPr>
          <w:rFonts w:ascii="Book Antiqua" w:hAnsi="Book Antiqua"/>
          <w:sz w:val="24"/>
          <w:szCs w:val="24"/>
        </w:rPr>
        <w:t xml:space="preserve"> 1990; </w:t>
      </w:r>
      <w:r w:rsidRPr="00372D52">
        <w:rPr>
          <w:rFonts w:ascii="Book Antiqua" w:hAnsi="Book Antiqua"/>
          <w:b/>
          <w:sz w:val="24"/>
          <w:szCs w:val="24"/>
        </w:rPr>
        <w:t>323</w:t>
      </w:r>
      <w:r w:rsidRPr="00372D52">
        <w:rPr>
          <w:rFonts w:ascii="Book Antiqua" w:hAnsi="Book Antiqua"/>
          <w:sz w:val="24"/>
          <w:szCs w:val="24"/>
        </w:rPr>
        <w:t>: 1500-1504 [PMID: 2136587 DOI: 10.1056/NEJM199011223232131]</w:t>
      </w:r>
    </w:p>
    <w:p w14:paraId="5E330544"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lastRenderedPageBreak/>
        <w:t xml:space="preserve">73 </w:t>
      </w:r>
      <w:proofErr w:type="spellStart"/>
      <w:r w:rsidRPr="00372D52">
        <w:rPr>
          <w:rFonts w:ascii="Book Antiqua" w:hAnsi="Book Antiqua"/>
          <w:b/>
          <w:sz w:val="24"/>
          <w:szCs w:val="24"/>
        </w:rPr>
        <w:t>Wieruszewski</w:t>
      </w:r>
      <w:proofErr w:type="spellEnd"/>
      <w:r w:rsidRPr="00372D52">
        <w:rPr>
          <w:rFonts w:ascii="Book Antiqua" w:hAnsi="Book Antiqua"/>
          <w:b/>
          <w:sz w:val="24"/>
          <w:szCs w:val="24"/>
        </w:rPr>
        <w:t xml:space="preserve"> PM</w:t>
      </w:r>
      <w:r w:rsidRPr="00372D52">
        <w:rPr>
          <w:rFonts w:ascii="Book Antiqua" w:hAnsi="Book Antiqua"/>
          <w:sz w:val="24"/>
          <w:szCs w:val="24"/>
        </w:rPr>
        <w:t xml:space="preserve">, Barreto JN, Frazee E, Daniels CE, Tosh PK, </w:t>
      </w:r>
      <w:proofErr w:type="spellStart"/>
      <w:r w:rsidRPr="00372D52">
        <w:rPr>
          <w:rFonts w:ascii="Book Antiqua" w:hAnsi="Book Antiqua"/>
          <w:sz w:val="24"/>
          <w:szCs w:val="24"/>
        </w:rPr>
        <w:t>Dierkhising</w:t>
      </w:r>
      <w:proofErr w:type="spellEnd"/>
      <w:r w:rsidRPr="00372D52">
        <w:rPr>
          <w:rFonts w:ascii="Book Antiqua" w:hAnsi="Book Antiqua"/>
          <w:sz w:val="24"/>
          <w:szCs w:val="24"/>
        </w:rPr>
        <w:t xml:space="preserve"> RA, Mara KC, Limper AH. Early Corticosteroids for Pneumocystis Pneumonia in Adults Without HIV Are Not Associated </w:t>
      </w:r>
      <w:proofErr w:type="gramStart"/>
      <w:r w:rsidRPr="00372D52">
        <w:rPr>
          <w:rFonts w:ascii="Book Antiqua" w:hAnsi="Book Antiqua"/>
          <w:sz w:val="24"/>
          <w:szCs w:val="24"/>
        </w:rPr>
        <w:t>With</w:t>
      </w:r>
      <w:proofErr w:type="gramEnd"/>
      <w:r w:rsidRPr="00372D52">
        <w:rPr>
          <w:rFonts w:ascii="Book Antiqua" w:hAnsi="Book Antiqua"/>
          <w:sz w:val="24"/>
          <w:szCs w:val="24"/>
        </w:rPr>
        <w:t xml:space="preserve"> Better Outcome. </w:t>
      </w:r>
      <w:r w:rsidRPr="00372D52">
        <w:rPr>
          <w:rFonts w:ascii="Book Antiqua" w:hAnsi="Book Antiqua"/>
          <w:i/>
          <w:sz w:val="24"/>
          <w:szCs w:val="24"/>
        </w:rPr>
        <w:t>Chest</w:t>
      </w:r>
      <w:r w:rsidRPr="00372D52">
        <w:rPr>
          <w:rFonts w:ascii="Book Antiqua" w:hAnsi="Book Antiqua"/>
          <w:sz w:val="24"/>
          <w:szCs w:val="24"/>
        </w:rPr>
        <w:t xml:space="preserve"> 2018; </w:t>
      </w:r>
      <w:r w:rsidRPr="00372D52">
        <w:rPr>
          <w:rFonts w:ascii="Book Antiqua" w:hAnsi="Book Antiqua"/>
          <w:b/>
          <w:sz w:val="24"/>
          <w:szCs w:val="24"/>
        </w:rPr>
        <w:t>154</w:t>
      </w:r>
      <w:r w:rsidRPr="00372D52">
        <w:rPr>
          <w:rFonts w:ascii="Book Antiqua" w:hAnsi="Book Antiqua"/>
          <w:sz w:val="24"/>
          <w:szCs w:val="24"/>
        </w:rPr>
        <w:t>: 636-644 [PMID: 29705221 DOI: 10.1016/j.chest.2018.04.026]</w:t>
      </w:r>
    </w:p>
    <w:p w14:paraId="665DE475"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74 </w:t>
      </w:r>
      <w:proofErr w:type="spellStart"/>
      <w:r w:rsidRPr="00372D52">
        <w:rPr>
          <w:rFonts w:ascii="Book Antiqua" w:hAnsi="Book Antiqua"/>
          <w:b/>
          <w:sz w:val="24"/>
          <w:szCs w:val="24"/>
        </w:rPr>
        <w:t>Nivoix</w:t>
      </w:r>
      <w:proofErr w:type="spellEnd"/>
      <w:r w:rsidRPr="00372D52">
        <w:rPr>
          <w:rFonts w:ascii="Book Antiqua" w:hAnsi="Book Antiqua"/>
          <w:b/>
          <w:sz w:val="24"/>
          <w:szCs w:val="24"/>
        </w:rPr>
        <w:t xml:space="preserve"> Y</w:t>
      </w:r>
      <w:r w:rsidRPr="00372D52">
        <w:rPr>
          <w:rFonts w:ascii="Book Antiqua" w:hAnsi="Book Antiqua"/>
          <w:sz w:val="24"/>
          <w:szCs w:val="24"/>
        </w:rPr>
        <w:t xml:space="preserve">, </w:t>
      </w:r>
      <w:proofErr w:type="spellStart"/>
      <w:r w:rsidRPr="00372D52">
        <w:rPr>
          <w:rFonts w:ascii="Book Antiqua" w:hAnsi="Book Antiqua"/>
          <w:sz w:val="24"/>
          <w:szCs w:val="24"/>
        </w:rPr>
        <w:t>Velten</w:t>
      </w:r>
      <w:proofErr w:type="spellEnd"/>
      <w:r w:rsidRPr="00372D52">
        <w:rPr>
          <w:rFonts w:ascii="Book Antiqua" w:hAnsi="Book Antiqua"/>
          <w:sz w:val="24"/>
          <w:szCs w:val="24"/>
        </w:rPr>
        <w:t xml:space="preserve"> M, </w:t>
      </w:r>
      <w:proofErr w:type="spellStart"/>
      <w:r w:rsidRPr="00372D52">
        <w:rPr>
          <w:rFonts w:ascii="Book Antiqua" w:hAnsi="Book Antiqua"/>
          <w:sz w:val="24"/>
          <w:szCs w:val="24"/>
        </w:rPr>
        <w:t>Letscher-Bru</w:t>
      </w:r>
      <w:proofErr w:type="spellEnd"/>
      <w:r w:rsidRPr="00372D52">
        <w:rPr>
          <w:rFonts w:ascii="Book Antiqua" w:hAnsi="Book Antiqua"/>
          <w:sz w:val="24"/>
          <w:szCs w:val="24"/>
        </w:rPr>
        <w:t xml:space="preserve"> V, Moghaddam A, Natarajan-</w:t>
      </w:r>
      <w:proofErr w:type="spellStart"/>
      <w:r w:rsidRPr="00372D52">
        <w:rPr>
          <w:rFonts w:ascii="Book Antiqua" w:hAnsi="Book Antiqua"/>
          <w:sz w:val="24"/>
          <w:szCs w:val="24"/>
        </w:rPr>
        <w:t>Amé</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Fohrer</w:t>
      </w:r>
      <w:proofErr w:type="spellEnd"/>
      <w:r w:rsidRPr="00372D52">
        <w:rPr>
          <w:rFonts w:ascii="Book Antiqua" w:hAnsi="Book Antiqua"/>
          <w:sz w:val="24"/>
          <w:szCs w:val="24"/>
        </w:rPr>
        <w:t xml:space="preserve"> C, </w:t>
      </w:r>
      <w:proofErr w:type="spellStart"/>
      <w:r w:rsidRPr="00372D52">
        <w:rPr>
          <w:rFonts w:ascii="Book Antiqua" w:hAnsi="Book Antiqua"/>
          <w:sz w:val="24"/>
          <w:szCs w:val="24"/>
        </w:rPr>
        <w:t>Lioure</w:t>
      </w:r>
      <w:proofErr w:type="spellEnd"/>
      <w:r w:rsidRPr="00372D52">
        <w:rPr>
          <w:rFonts w:ascii="Book Antiqua" w:hAnsi="Book Antiqua"/>
          <w:sz w:val="24"/>
          <w:szCs w:val="24"/>
        </w:rPr>
        <w:t xml:space="preserve"> B, </w:t>
      </w:r>
      <w:proofErr w:type="spellStart"/>
      <w:r w:rsidRPr="00372D52">
        <w:rPr>
          <w:rFonts w:ascii="Book Antiqua" w:hAnsi="Book Antiqua"/>
          <w:sz w:val="24"/>
          <w:szCs w:val="24"/>
        </w:rPr>
        <w:t>Bilger</w:t>
      </w:r>
      <w:proofErr w:type="spellEnd"/>
      <w:r w:rsidRPr="00372D52">
        <w:rPr>
          <w:rFonts w:ascii="Book Antiqua" w:hAnsi="Book Antiqua"/>
          <w:sz w:val="24"/>
          <w:szCs w:val="24"/>
        </w:rPr>
        <w:t xml:space="preserve"> K, </w:t>
      </w:r>
      <w:proofErr w:type="spellStart"/>
      <w:r w:rsidRPr="00372D52">
        <w:rPr>
          <w:rFonts w:ascii="Book Antiqua" w:hAnsi="Book Antiqua"/>
          <w:sz w:val="24"/>
          <w:szCs w:val="24"/>
        </w:rPr>
        <w:t>Lutun</w:t>
      </w:r>
      <w:proofErr w:type="spellEnd"/>
      <w:r w:rsidRPr="00372D52">
        <w:rPr>
          <w:rFonts w:ascii="Book Antiqua" w:hAnsi="Book Antiqua"/>
          <w:sz w:val="24"/>
          <w:szCs w:val="24"/>
        </w:rPr>
        <w:t xml:space="preserve"> P, Marcellin L, </w:t>
      </w:r>
      <w:proofErr w:type="spellStart"/>
      <w:r w:rsidRPr="00372D52">
        <w:rPr>
          <w:rFonts w:ascii="Book Antiqua" w:hAnsi="Book Antiqua"/>
          <w:sz w:val="24"/>
          <w:szCs w:val="24"/>
        </w:rPr>
        <w:t>Launoy</w:t>
      </w:r>
      <w:proofErr w:type="spellEnd"/>
      <w:r w:rsidRPr="00372D52">
        <w:rPr>
          <w:rFonts w:ascii="Book Antiqua" w:hAnsi="Book Antiqua"/>
          <w:sz w:val="24"/>
          <w:szCs w:val="24"/>
        </w:rPr>
        <w:t xml:space="preserve"> A, </w:t>
      </w:r>
      <w:proofErr w:type="spellStart"/>
      <w:r w:rsidRPr="00372D52">
        <w:rPr>
          <w:rFonts w:ascii="Book Antiqua" w:hAnsi="Book Antiqua"/>
          <w:sz w:val="24"/>
          <w:szCs w:val="24"/>
        </w:rPr>
        <w:t>Freys</w:t>
      </w:r>
      <w:proofErr w:type="spellEnd"/>
      <w:r w:rsidRPr="00372D52">
        <w:rPr>
          <w:rFonts w:ascii="Book Antiqua" w:hAnsi="Book Antiqua"/>
          <w:sz w:val="24"/>
          <w:szCs w:val="24"/>
        </w:rPr>
        <w:t xml:space="preserve"> G, </w:t>
      </w:r>
      <w:proofErr w:type="spellStart"/>
      <w:r w:rsidRPr="00372D52">
        <w:rPr>
          <w:rFonts w:ascii="Book Antiqua" w:hAnsi="Book Antiqua"/>
          <w:sz w:val="24"/>
          <w:szCs w:val="24"/>
        </w:rPr>
        <w:t>Bergerat</w:t>
      </w:r>
      <w:proofErr w:type="spellEnd"/>
      <w:r w:rsidRPr="00372D52">
        <w:rPr>
          <w:rFonts w:ascii="Book Antiqua" w:hAnsi="Book Antiqua"/>
          <w:sz w:val="24"/>
          <w:szCs w:val="24"/>
        </w:rPr>
        <w:t xml:space="preserve"> JP, </w:t>
      </w:r>
      <w:proofErr w:type="spellStart"/>
      <w:r w:rsidRPr="00372D52">
        <w:rPr>
          <w:rFonts w:ascii="Book Antiqua" w:hAnsi="Book Antiqua"/>
          <w:sz w:val="24"/>
          <w:szCs w:val="24"/>
        </w:rPr>
        <w:t>Herbrecht</w:t>
      </w:r>
      <w:proofErr w:type="spellEnd"/>
      <w:r w:rsidRPr="00372D52">
        <w:rPr>
          <w:rFonts w:ascii="Book Antiqua" w:hAnsi="Book Antiqua"/>
          <w:sz w:val="24"/>
          <w:szCs w:val="24"/>
        </w:rPr>
        <w:t xml:space="preserve"> R. Factors associated with overall and attributable mortality in invasive aspergillosis. </w:t>
      </w:r>
      <w:r w:rsidRPr="00372D52">
        <w:rPr>
          <w:rFonts w:ascii="Book Antiqua" w:hAnsi="Book Antiqua"/>
          <w:i/>
          <w:sz w:val="24"/>
          <w:szCs w:val="24"/>
        </w:rPr>
        <w:t>Clin Infect Dis</w:t>
      </w:r>
      <w:r w:rsidRPr="00372D52">
        <w:rPr>
          <w:rFonts w:ascii="Book Antiqua" w:hAnsi="Book Antiqua"/>
          <w:sz w:val="24"/>
          <w:szCs w:val="24"/>
        </w:rPr>
        <w:t xml:space="preserve"> 2008; </w:t>
      </w:r>
      <w:r w:rsidRPr="00372D52">
        <w:rPr>
          <w:rFonts w:ascii="Book Antiqua" w:hAnsi="Book Antiqua"/>
          <w:b/>
          <w:sz w:val="24"/>
          <w:szCs w:val="24"/>
        </w:rPr>
        <w:t>47</w:t>
      </w:r>
      <w:r w:rsidRPr="00372D52">
        <w:rPr>
          <w:rFonts w:ascii="Book Antiqua" w:hAnsi="Book Antiqua"/>
          <w:sz w:val="24"/>
          <w:szCs w:val="24"/>
        </w:rPr>
        <w:t>: 1176-1184 [PMID: 18808352 DOI: 10.1086/592255]</w:t>
      </w:r>
    </w:p>
    <w:p w14:paraId="3B1245C7"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75 </w:t>
      </w:r>
      <w:r w:rsidRPr="00372D52">
        <w:rPr>
          <w:rFonts w:ascii="Book Antiqua" w:hAnsi="Book Antiqua"/>
          <w:b/>
          <w:sz w:val="24"/>
          <w:szCs w:val="24"/>
        </w:rPr>
        <w:t>Upton A</w:t>
      </w:r>
      <w:r w:rsidRPr="00372D52">
        <w:rPr>
          <w:rFonts w:ascii="Book Antiqua" w:hAnsi="Book Antiqua"/>
          <w:sz w:val="24"/>
          <w:szCs w:val="24"/>
        </w:rPr>
        <w:t xml:space="preserve">, Kirby KA, Carpenter P, </w:t>
      </w:r>
      <w:proofErr w:type="spellStart"/>
      <w:r w:rsidRPr="00372D52">
        <w:rPr>
          <w:rFonts w:ascii="Book Antiqua" w:hAnsi="Book Antiqua"/>
          <w:sz w:val="24"/>
          <w:szCs w:val="24"/>
        </w:rPr>
        <w:t>Boeckh</w:t>
      </w:r>
      <w:proofErr w:type="spellEnd"/>
      <w:r w:rsidRPr="00372D52">
        <w:rPr>
          <w:rFonts w:ascii="Book Antiqua" w:hAnsi="Book Antiqua"/>
          <w:sz w:val="24"/>
          <w:szCs w:val="24"/>
        </w:rPr>
        <w:t xml:space="preserve"> M, Marr KA. Invasive aspergillosis following hematopoietic cell transplantation: outcomes and prognostic factors associated with mortality. </w:t>
      </w:r>
      <w:r w:rsidRPr="00372D52">
        <w:rPr>
          <w:rFonts w:ascii="Book Antiqua" w:hAnsi="Book Antiqua"/>
          <w:i/>
          <w:sz w:val="24"/>
          <w:szCs w:val="24"/>
        </w:rPr>
        <w:t>Clin Infect Dis</w:t>
      </w:r>
      <w:r w:rsidRPr="00372D52">
        <w:rPr>
          <w:rFonts w:ascii="Book Antiqua" w:hAnsi="Book Antiqua"/>
          <w:sz w:val="24"/>
          <w:szCs w:val="24"/>
        </w:rPr>
        <w:t xml:space="preserve"> 2007; </w:t>
      </w:r>
      <w:r w:rsidRPr="00372D52">
        <w:rPr>
          <w:rFonts w:ascii="Book Antiqua" w:hAnsi="Book Antiqua"/>
          <w:b/>
          <w:sz w:val="24"/>
          <w:szCs w:val="24"/>
        </w:rPr>
        <w:t>44</w:t>
      </w:r>
      <w:r w:rsidRPr="00372D52">
        <w:rPr>
          <w:rFonts w:ascii="Book Antiqua" w:hAnsi="Book Antiqua"/>
          <w:sz w:val="24"/>
          <w:szCs w:val="24"/>
        </w:rPr>
        <w:t>: 531-540 [PMID: 17243056 DOI: 10.1086/510592]</w:t>
      </w:r>
    </w:p>
    <w:p w14:paraId="470BC500"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76 </w:t>
      </w:r>
      <w:proofErr w:type="spellStart"/>
      <w:r w:rsidRPr="00372D52">
        <w:rPr>
          <w:rFonts w:ascii="Book Antiqua" w:hAnsi="Book Antiqua"/>
          <w:b/>
          <w:sz w:val="24"/>
          <w:szCs w:val="24"/>
        </w:rPr>
        <w:t>Baddley</w:t>
      </w:r>
      <w:proofErr w:type="spellEnd"/>
      <w:r w:rsidRPr="00372D52">
        <w:rPr>
          <w:rFonts w:ascii="Book Antiqua" w:hAnsi="Book Antiqua"/>
          <w:b/>
          <w:sz w:val="24"/>
          <w:szCs w:val="24"/>
        </w:rPr>
        <w:t xml:space="preserve"> JW</w:t>
      </w:r>
      <w:r w:rsidRPr="00372D52">
        <w:rPr>
          <w:rFonts w:ascii="Book Antiqua" w:hAnsi="Book Antiqua"/>
          <w:sz w:val="24"/>
          <w:szCs w:val="24"/>
        </w:rPr>
        <w:t xml:space="preserve">, Andes DR, Marr KA, </w:t>
      </w:r>
      <w:proofErr w:type="spellStart"/>
      <w:r w:rsidRPr="00372D52">
        <w:rPr>
          <w:rFonts w:ascii="Book Antiqua" w:hAnsi="Book Antiqua"/>
          <w:sz w:val="24"/>
          <w:szCs w:val="24"/>
        </w:rPr>
        <w:t>Kontoyiannis</w:t>
      </w:r>
      <w:proofErr w:type="spellEnd"/>
      <w:r w:rsidRPr="00372D52">
        <w:rPr>
          <w:rFonts w:ascii="Book Antiqua" w:hAnsi="Book Antiqua"/>
          <w:sz w:val="24"/>
          <w:szCs w:val="24"/>
        </w:rPr>
        <w:t xml:space="preserve"> DP, Alexander BD, Kauffman CA, Oster RA, </w:t>
      </w:r>
      <w:proofErr w:type="spellStart"/>
      <w:r w:rsidRPr="00372D52">
        <w:rPr>
          <w:rFonts w:ascii="Book Antiqua" w:hAnsi="Book Antiqua"/>
          <w:sz w:val="24"/>
          <w:szCs w:val="24"/>
        </w:rPr>
        <w:t>Anaissie</w:t>
      </w:r>
      <w:proofErr w:type="spellEnd"/>
      <w:r w:rsidRPr="00372D52">
        <w:rPr>
          <w:rFonts w:ascii="Book Antiqua" w:hAnsi="Book Antiqua"/>
          <w:sz w:val="24"/>
          <w:szCs w:val="24"/>
        </w:rPr>
        <w:t xml:space="preserve"> EJ, Walsh TJ, Schuster MG, Wingard JR, Patterson TF, Ito JI, Williams OD, Chiller T, Pappas PG. Factors associated with mortality in transplant patients with invasive aspergillosis. </w:t>
      </w:r>
      <w:r w:rsidRPr="00372D52">
        <w:rPr>
          <w:rFonts w:ascii="Book Antiqua" w:hAnsi="Book Antiqua"/>
          <w:i/>
          <w:sz w:val="24"/>
          <w:szCs w:val="24"/>
        </w:rPr>
        <w:t>Clin Infect Dis</w:t>
      </w:r>
      <w:r w:rsidRPr="00372D52">
        <w:rPr>
          <w:rFonts w:ascii="Book Antiqua" w:hAnsi="Book Antiqua"/>
          <w:sz w:val="24"/>
          <w:szCs w:val="24"/>
        </w:rPr>
        <w:t xml:space="preserve"> 2010; </w:t>
      </w:r>
      <w:r w:rsidRPr="00372D52">
        <w:rPr>
          <w:rFonts w:ascii="Book Antiqua" w:hAnsi="Book Antiqua"/>
          <w:b/>
          <w:sz w:val="24"/>
          <w:szCs w:val="24"/>
        </w:rPr>
        <w:t>50</w:t>
      </w:r>
      <w:r w:rsidRPr="00372D52">
        <w:rPr>
          <w:rFonts w:ascii="Book Antiqua" w:hAnsi="Book Antiqua"/>
          <w:sz w:val="24"/>
          <w:szCs w:val="24"/>
        </w:rPr>
        <w:t>: 1559-1567 [PMID: 20450350 DOI: 10.1086/652768]</w:t>
      </w:r>
    </w:p>
    <w:p w14:paraId="29916572" w14:textId="34A9ED82"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77 </w:t>
      </w:r>
      <w:proofErr w:type="spellStart"/>
      <w:r w:rsidRPr="00372D52">
        <w:rPr>
          <w:rFonts w:ascii="Book Antiqua" w:hAnsi="Book Antiqua"/>
          <w:b/>
          <w:sz w:val="24"/>
          <w:szCs w:val="24"/>
        </w:rPr>
        <w:t>Odeyemi</w:t>
      </w:r>
      <w:proofErr w:type="spellEnd"/>
      <w:r w:rsidRPr="00372D52">
        <w:rPr>
          <w:rFonts w:ascii="Book Antiqua" w:hAnsi="Book Antiqua"/>
          <w:b/>
          <w:sz w:val="24"/>
          <w:szCs w:val="24"/>
        </w:rPr>
        <w:t xml:space="preserve"> Y,</w:t>
      </w:r>
      <w:r w:rsidRPr="00372D52">
        <w:rPr>
          <w:rFonts w:ascii="Book Antiqua" w:hAnsi="Book Antiqua"/>
          <w:sz w:val="24"/>
          <w:szCs w:val="24"/>
        </w:rPr>
        <w:t xml:space="preserve"> </w:t>
      </w:r>
      <w:proofErr w:type="spellStart"/>
      <w:r w:rsidRPr="00372D52">
        <w:rPr>
          <w:rFonts w:ascii="Book Antiqua" w:hAnsi="Book Antiqua"/>
          <w:sz w:val="24"/>
          <w:szCs w:val="24"/>
        </w:rPr>
        <w:t>Herasevich</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Schwegman</w:t>
      </w:r>
      <w:proofErr w:type="spellEnd"/>
      <w:r w:rsidRPr="00372D52">
        <w:rPr>
          <w:rFonts w:ascii="Book Antiqua" w:hAnsi="Book Antiqua"/>
          <w:sz w:val="24"/>
          <w:szCs w:val="24"/>
        </w:rPr>
        <w:t xml:space="preserve"> A, Barreto E, Gajic O, Yadav H. Biomarker concordant steroid use in critically ill patients with pneumonia. </w:t>
      </w:r>
      <w:proofErr w:type="spellStart"/>
      <w:r w:rsidRPr="00372D52">
        <w:rPr>
          <w:rFonts w:ascii="Book Antiqua" w:hAnsi="Book Antiqua"/>
          <w:i/>
          <w:iCs/>
          <w:sz w:val="24"/>
          <w:szCs w:val="24"/>
        </w:rPr>
        <w:t>Crit</w:t>
      </w:r>
      <w:proofErr w:type="spellEnd"/>
      <w:r w:rsidRPr="00372D52">
        <w:rPr>
          <w:rFonts w:ascii="Book Antiqua" w:hAnsi="Book Antiqua"/>
          <w:i/>
          <w:iCs/>
          <w:sz w:val="24"/>
          <w:szCs w:val="24"/>
        </w:rPr>
        <w:t xml:space="preserve"> Care Med</w:t>
      </w:r>
      <w:r w:rsidRPr="00372D52">
        <w:rPr>
          <w:rFonts w:ascii="Book Antiqua" w:hAnsi="Book Antiqua"/>
          <w:sz w:val="24"/>
          <w:szCs w:val="24"/>
        </w:rPr>
        <w:t xml:space="preserve"> 2019;</w:t>
      </w:r>
      <w:r>
        <w:rPr>
          <w:rFonts w:ascii="Book Antiqua" w:hAnsi="Book Antiqua"/>
          <w:sz w:val="24"/>
          <w:szCs w:val="24"/>
        </w:rPr>
        <w:t xml:space="preserve"> </w:t>
      </w:r>
      <w:r w:rsidRPr="00372D52">
        <w:rPr>
          <w:rFonts w:ascii="Book Antiqua" w:hAnsi="Book Antiqua"/>
          <w:b/>
          <w:bCs/>
          <w:sz w:val="24"/>
          <w:szCs w:val="24"/>
        </w:rPr>
        <w:t>47</w:t>
      </w:r>
      <w:r w:rsidRPr="00372D52">
        <w:rPr>
          <w:rFonts w:ascii="Book Antiqua" w:hAnsi="Book Antiqua"/>
          <w:sz w:val="24"/>
          <w:szCs w:val="24"/>
        </w:rPr>
        <w:t>:</w:t>
      </w:r>
      <w:r>
        <w:rPr>
          <w:rFonts w:ascii="Book Antiqua" w:hAnsi="Book Antiqua"/>
          <w:sz w:val="24"/>
          <w:szCs w:val="24"/>
        </w:rPr>
        <w:t xml:space="preserve"> </w:t>
      </w:r>
      <w:r w:rsidRPr="00372D52">
        <w:rPr>
          <w:rFonts w:ascii="Book Antiqua" w:hAnsi="Book Antiqua"/>
          <w:sz w:val="24"/>
          <w:szCs w:val="24"/>
        </w:rPr>
        <w:t>521 [DOI: 10.1097/01.ccm.0000551834.00753.8a]</w:t>
      </w:r>
    </w:p>
    <w:p w14:paraId="49ED9517"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78 </w:t>
      </w:r>
      <w:r w:rsidRPr="00372D52">
        <w:rPr>
          <w:rFonts w:ascii="Book Antiqua" w:hAnsi="Book Antiqua"/>
          <w:b/>
          <w:sz w:val="24"/>
          <w:szCs w:val="24"/>
        </w:rPr>
        <w:t>Peter JV</w:t>
      </w:r>
      <w:r w:rsidRPr="00372D52">
        <w:rPr>
          <w:rFonts w:ascii="Book Antiqua" w:hAnsi="Book Antiqua"/>
          <w:sz w:val="24"/>
          <w:szCs w:val="24"/>
        </w:rPr>
        <w:t xml:space="preserve">, John P, Graham PL, Moran JL, George IA, </w:t>
      </w:r>
      <w:proofErr w:type="spellStart"/>
      <w:r w:rsidRPr="00372D52">
        <w:rPr>
          <w:rFonts w:ascii="Book Antiqua" w:hAnsi="Book Antiqua"/>
          <w:sz w:val="24"/>
          <w:szCs w:val="24"/>
        </w:rPr>
        <w:t>Bersten</w:t>
      </w:r>
      <w:proofErr w:type="spellEnd"/>
      <w:r w:rsidRPr="00372D52">
        <w:rPr>
          <w:rFonts w:ascii="Book Antiqua" w:hAnsi="Book Antiqua"/>
          <w:sz w:val="24"/>
          <w:szCs w:val="24"/>
        </w:rPr>
        <w:t xml:space="preserve"> A. Corticosteroids in the prevention and treatment of acute respiratory distress syndrome (ARDS) in adults: meta-analysis. </w:t>
      </w:r>
      <w:r w:rsidRPr="00372D52">
        <w:rPr>
          <w:rFonts w:ascii="Book Antiqua" w:hAnsi="Book Antiqua"/>
          <w:i/>
          <w:sz w:val="24"/>
          <w:szCs w:val="24"/>
        </w:rPr>
        <w:t>BMJ</w:t>
      </w:r>
      <w:r w:rsidRPr="00372D52">
        <w:rPr>
          <w:rFonts w:ascii="Book Antiqua" w:hAnsi="Book Antiqua"/>
          <w:sz w:val="24"/>
          <w:szCs w:val="24"/>
        </w:rPr>
        <w:t xml:space="preserve"> 2008; </w:t>
      </w:r>
      <w:r w:rsidRPr="00372D52">
        <w:rPr>
          <w:rFonts w:ascii="Book Antiqua" w:hAnsi="Book Antiqua"/>
          <w:b/>
          <w:sz w:val="24"/>
          <w:szCs w:val="24"/>
        </w:rPr>
        <w:t>336</w:t>
      </w:r>
      <w:r w:rsidRPr="00372D52">
        <w:rPr>
          <w:rFonts w:ascii="Book Antiqua" w:hAnsi="Book Antiqua"/>
          <w:sz w:val="24"/>
          <w:szCs w:val="24"/>
        </w:rPr>
        <w:t>: 1006-1009 [PMID: 18434379 DOI: 10.1136/bmj.39537.939039.BE]</w:t>
      </w:r>
    </w:p>
    <w:p w14:paraId="3A7D628E"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79 </w:t>
      </w:r>
      <w:proofErr w:type="spellStart"/>
      <w:r w:rsidRPr="00372D52">
        <w:rPr>
          <w:rFonts w:ascii="Book Antiqua" w:hAnsi="Book Antiqua"/>
          <w:b/>
          <w:sz w:val="24"/>
          <w:szCs w:val="24"/>
        </w:rPr>
        <w:t>Meduri</w:t>
      </w:r>
      <w:proofErr w:type="spellEnd"/>
      <w:r w:rsidRPr="00372D52">
        <w:rPr>
          <w:rFonts w:ascii="Book Antiqua" w:hAnsi="Book Antiqua"/>
          <w:b/>
          <w:sz w:val="24"/>
          <w:szCs w:val="24"/>
        </w:rPr>
        <w:t xml:space="preserve"> GU</w:t>
      </w:r>
      <w:r w:rsidRPr="00372D52">
        <w:rPr>
          <w:rFonts w:ascii="Book Antiqua" w:hAnsi="Book Antiqua"/>
          <w:sz w:val="24"/>
          <w:szCs w:val="24"/>
        </w:rPr>
        <w:t xml:space="preserve">, Bridges L, Shih MC, </w:t>
      </w:r>
      <w:proofErr w:type="spellStart"/>
      <w:r w:rsidRPr="00372D52">
        <w:rPr>
          <w:rFonts w:ascii="Book Antiqua" w:hAnsi="Book Antiqua"/>
          <w:sz w:val="24"/>
          <w:szCs w:val="24"/>
        </w:rPr>
        <w:t>Marik</w:t>
      </w:r>
      <w:proofErr w:type="spellEnd"/>
      <w:r w:rsidRPr="00372D52">
        <w:rPr>
          <w:rFonts w:ascii="Book Antiqua" w:hAnsi="Book Antiqua"/>
          <w:sz w:val="24"/>
          <w:szCs w:val="24"/>
        </w:rPr>
        <w:t xml:space="preserve"> PE, </w:t>
      </w:r>
      <w:proofErr w:type="spellStart"/>
      <w:r w:rsidRPr="00372D52">
        <w:rPr>
          <w:rFonts w:ascii="Book Antiqua" w:hAnsi="Book Antiqua"/>
          <w:sz w:val="24"/>
          <w:szCs w:val="24"/>
        </w:rPr>
        <w:t>Siemieniuk</w:t>
      </w:r>
      <w:proofErr w:type="spellEnd"/>
      <w:r w:rsidRPr="00372D52">
        <w:rPr>
          <w:rFonts w:ascii="Book Antiqua" w:hAnsi="Book Antiqua"/>
          <w:sz w:val="24"/>
          <w:szCs w:val="24"/>
        </w:rPr>
        <w:t xml:space="preserve"> RAC, </w:t>
      </w:r>
      <w:proofErr w:type="spellStart"/>
      <w:r w:rsidRPr="00372D52">
        <w:rPr>
          <w:rFonts w:ascii="Book Antiqua" w:hAnsi="Book Antiqua"/>
          <w:sz w:val="24"/>
          <w:szCs w:val="24"/>
        </w:rPr>
        <w:t>Kocak</w:t>
      </w:r>
      <w:proofErr w:type="spellEnd"/>
      <w:r w:rsidRPr="00372D52">
        <w:rPr>
          <w:rFonts w:ascii="Book Antiqua" w:hAnsi="Book Antiqua"/>
          <w:sz w:val="24"/>
          <w:szCs w:val="24"/>
        </w:rPr>
        <w:t xml:space="preserve"> M. Prolonged glucocorticoid treatment is associated with improved ARDS outcomes: analysis of individual patients' data from four randomized trials and trial-level meta-analysis of the updated literature. </w:t>
      </w:r>
      <w:r w:rsidRPr="00372D52">
        <w:rPr>
          <w:rFonts w:ascii="Book Antiqua" w:hAnsi="Book Antiqua"/>
          <w:i/>
          <w:sz w:val="24"/>
          <w:szCs w:val="24"/>
        </w:rPr>
        <w:t>Intensive Care Med</w:t>
      </w:r>
      <w:r w:rsidRPr="00372D52">
        <w:rPr>
          <w:rFonts w:ascii="Book Antiqua" w:hAnsi="Book Antiqua"/>
          <w:sz w:val="24"/>
          <w:szCs w:val="24"/>
        </w:rPr>
        <w:t xml:space="preserve"> 2016; </w:t>
      </w:r>
      <w:r w:rsidRPr="00372D52">
        <w:rPr>
          <w:rFonts w:ascii="Book Antiqua" w:hAnsi="Book Antiqua"/>
          <w:b/>
          <w:sz w:val="24"/>
          <w:szCs w:val="24"/>
        </w:rPr>
        <w:t>42</w:t>
      </w:r>
      <w:r w:rsidRPr="00372D52">
        <w:rPr>
          <w:rFonts w:ascii="Book Antiqua" w:hAnsi="Book Antiqua"/>
          <w:sz w:val="24"/>
          <w:szCs w:val="24"/>
        </w:rPr>
        <w:t>: 829-840 [PMID: 26508525 DOI: 10.1007/s00134-015-4095-4]</w:t>
      </w:r>
    </w:p>
    <w:p w14:paraId="773ABB32"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80 </w:t>
      </w:r>
      <w:proofErr w:type="spellStart"/>
      <w:r w:rsidRPr="00372D52">
        <w:rPr>
          <w:rFonts w:ascii="Book Antiqua" w:hAnsi="Book Antiqua"/>
          <w:b/>
          <w:sz w:val="24"/>
          <w:szCs w:val="24"/>
        </w:rPr>
        <w:t>Tongyoo</w:t>
      </w:r>
      <w:proofErr w:type="spellEnd"/>
      <w:r w:rsidRPr="00372D52">
        <w:rPr>
          <w:rFonts w:ascii="Book Antiqua" w:hAnsi="Book Antiqua"/>
          <w:b/>
          <w:sz w:val="24"/>
          <w:szCs w:val="24"/>
        </w:rPr>
        <w:t xml:space="preserve"> S</w:t>
      </w:r>
      <w:r w:rsidRPr="00372D52">
        <w:rPr>
          <w:rFonts w:ascii="Book Antiqua" w:hAnsi="Book Antiqua"/>
          <w:sz w:val="24"/>
          <w:szCs w:val="24"/>
        </w:rPr>
        <w:t xml:space="preserve">, </w:t>
      </w:r>
      <w:proofErr w:type="spellStart"/>
      <w:r w:rsidRPr="00372D52">
        <w:rPr>
          <w:rFonts w:ascii="Book Antiqua" w:hAnsi="Book Antiqua"/>
          <w:sz w:val="24"/>
          <w:szCs w:val="24"/>
        </w:rPr>
        <w:t>Permpikul</w:t>
      </w:r>
      <w:proofErr w:type="spellEnd"/>
      <w:r w:rsidRPr="00372D52">
        <w:rPr>
          <w:rFonts w:ascii="Book Antiqua" w:hAnsi="Book Antiqua"/>
          <w:sz w:val="24"/>
          <w:szCs w:val="24"/>
        </w:rPr>
        <w:t xml:space="preserve"> C, </w:t>
      </w:r>
      <w:proofErr w:type="spellStart"/>
      <w:r w:rsidRPr="00372D52">
        <w:rPr>
          <w:rFonts w:ascii="Book Antiqua" w:hAnsi="Book Antiqua"/>
          <w:sz w:val="24"/>
          <w:szCs w:val="24"/>
        </w:rPr>
        <w:t>Mongkolpun</w:t>
      </w:r>
      <w:proofErr w:type="spellEnd"/>
      <w:r w:rsidRPr="00372D52">
        <w:rPr>
          <w:rFonts w:ascii="Book Antiqua" w:hAnsi="Book Antiqua"/>
          <w:sz w:val="24"/>
          <w:szCs w:val="24"/>
        </w:rPr>
        <w:t xml:space="preserve"> W, </w:t>
      </w:r>
      <w:proofErr w:type="spellStart"/>
      <w:r w:rsidRPr="00372D52">
        <w:rPr>
          <w:rFonts w:ascii="Book Antiqua" w:hAnsi="Book Antiqua"/>
          <w:sz w:val="24"/>
          <w:szCs w:val="24"/>
        </w:rPr>
        <w:t>Vattanavanit</w:t>
      </w:r>
      <w:proofErr w:type="spellEnd"/>
      <w:r w:rsidRPr="00372D52">
        <w:rPr>
          <w:rFonts w:ascii="Book Antiqua" w:hAnsi="Book Antiqua"/>
          <w:sz w:val="24"/>
          <w:szCs w:val="24"/>
        </w:rPr>
        <w:t xml:space="preserve"> V, </w:t>
      </w:r>
      <w:proofErr w:type="spellStart"/>
      <w:r w:rsidRPr="00372D52">
        <w:rPr>
          <w:rFonts w:ascii="Book Antiqua" w:hAnsi="Book Antiqua"/>
          <w:sz w:val="24"/>
          <w:szCs w:val="24"/>
        </w:rPr>
        <w:t>Udompanturak</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Kocak</w:t>
      </w:r>
      <w:proofErr w:type="spellEnd"/>
      <w:r w:rsidRPr="00372D52">
        <w:rPr>
          <w:rFonts w:ascii="Book Antiqua" w:hAnsi="Book Antiqua"/>
          <w:sz w:val="24"/>
          <w:szCs w:val="24"/>
        </w:rPr>
        <w:t xml:space="preserve"> M, </w:t>
      </w:r>
      <w:proofErr w:type="spellStart"/>
      <w:r w:rsidRPr="00372D52">
        <w:rPr>
          <w:rFonts w:ascii="Book Antiqua" w:hAnsi="Book Antiqua"/>
          <w:sz w:val="24"/>
          <w:szCs w:val="24"/>
        </w:rPr>
        <w:t>Meduri</w:t>
      </w:r>
      <w:proofErr w:type="spellEnd"/>
      <w:r w:rsidRPr="00372D52">
        <w:rPr>
          <w:rFonts w:ascii="Book Antiqua" w:hAnsi="Book Antiqua"/>
          <w:sz w:val="24"/>
          <w:szCs w:val="24"/>
        </w:rPr>
        <w:t xml:space="preserve"> GU. Hydrocortisone treatment in early sepsis-associated acute respiratory </w:t>
      </w:r>
      <w:r w:rsidRPr="00372D52">
        <w:rPr>
          <w:rFonts w:ascii="Book Antiqua" w:hAnsi="Book Antiqua"/>
          <w:sz w:val="24"/>
          <w:szCs w:val="24"/>
        </w:rPr>
        <w:lastRenderedPageBreak/>
        <w:t xml:space="preserve">distress syndrome: results of a randomized controlled trial.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w:t>
      </w:r>
      <w:r w:rsidRPr="00372D52">
        <w:rPr>
          <w:rFonts w:ascii="Book Antiqua" w:hAnsi="Book Antiqua"/>
          <w:sz w:val="24"/>
          <w:szCs w:val="24"/>
        </w:rPr>
        <w:t xml:space="preserve"> 2016; </w:t>
      </w:r>
      <w:r w:rsidRPr="00372D52">
        <w:rPr>
          <w:rFonts w:ascii="Book Antiqua" w:hAnsi="Book Antiqua"/>
          <w:b/>
          <w:sz w:val="24"/>
          <w:szCs w:val="24"/>
        </w:rPr>
        <w:t>20</w:t>
      </w:r>
      <w:r w:rsidRPr="00372D52">
        <w:rPr>
          <w:rFonts w:ascii="Book Antiqua" w:hAnsi="Book Antiqua"/>
          <w:sz w:val="24"/>
          <w:szCs w:val="24"/>
        </w:rPr>
        <w:t>: 329 [PMID: 27741949 DOI: 10.1186/s13054-016-1511-2]</w:t>
      </w:r>
    </w:p>
    <w:p w14:paraId="232C76A9"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81 </w:t>
      </w:r>
      <w:r w:rsidRPr="00372D52">
        <w:rPr>
          <w:rFonts w:ascii="Book Antiqua" w:hAnsi="Book Antiqua"/>
          <w:b/>
          <w:sz w:val="24"/>
          <w:szCs w:val="24"/>
        </w:rPr>
        <w:t>Steinberg KP</w:t>
      </w:r>
      <w:r w:rsidRPr="00372D52">
        <w:rPr>
          <w:rFonts w:ascii="Book Antiqua" w:hAnsi="Book Antiqua"/>
          <w:sz w:val="24"/>
          <w:szCs w:val="24"/>
        </w:rPr>
        <w:t xml:space="preserve">, Hudson LD, Goodman RB, Hough CL, </w:t>
      </w:r>
      <w:proofErr w:type="spellStart"/>
      <w:r w:rsidRPr="00372D52">
        <w:rPr>
          <w:rFonts w:ascii="Book Antiqua" w:hAnsi="Book Antiqua"/>
          <w:sz w:val="24"/>
          <w:szCs w:val="24"/>
        </w:rPr>
        <w:t>Lanken</w:t>
      </w:r>
      <w:proofErr w:type="spellEnd"/>
      <w:r w:rsidRPr="00372D52">
        <w:rPr>
          <w:rFonts w:ascii="Book Antiqua" w:hAnsi="Book Antiqua"/>
          <w:sz w:val="24"/>
          <w:szCs w:val="24"/>
        </w:rPr>
        <w:t xml:space="preserve"> PN, </w:t>
      </w:r>
      <w:proofErr w:type="spellStart"/>
      <w:r w:rsidRPr="00372D52">
        <w:rPr>
          <w:rFonts w:ascii="Book Antiqua" w:hAnsi="Book Antiqua"/>
          <w:sz w:val="24"/>
          <w:szCs w:val="24"/>
        </w:rPr>
        <w:t>Hyzy</w:t>
      </w:r>
      <w:proofErr w:type="spellEnd"/>
      <w:r w:rsidRPr="00372D52">
        <w:rPr>
          <w:rFonts w:ascii="Book Antiqua" w:hAnsi="Book Antiqua"/>
          <w:sz w:val="24"/>
          <w:szCs w:val="24"/>
        </w:rPr>
        <w:t xml:space="preserve"> R, Thompson BT, </w:t>
      </w:r>
      <w:proofErr w:type="spellStart"/>
      <w:r w:rsidRPr="00372D52">
        <w:rPr>
          <w:rFonts w:ascii="Book Antiqua" w:hAnsi="Book Antiqua"/>
          <w:sz w:val="24"/>
          <w:szCs w:val="24"/>
        </w:rPr>
        <w:t>Ancukiewicz</w:t>
      </w:r>
      <w:proofErr w:type="spellEnd"/>
      <w:r w:rsidRPr="00372D52">
        <w:rPr>
          <w:rFonts w:ascii="Book Antiqua" w:hAnsi="Book Antiqua"/>
          <w:sz w:val="24"/>
          <w:szCs w:val="24"/>
        </w:rPr>
        <w:t xml:space="preserve"> M; National Heart, Lung, and Blood Institute Acute Respiratory Distress Syndrome (ARDS) Clinical Trials Network. Efficacy and safety of corticosteroids for persistent acute respiratory distress syndrome. </w:t>
      </w:r>
      <w:r w:rsidRPr="00372D52">
        <w:rPr>
          <w:rFonts w:ascii="Book Antiqua" w:hAnsi="Book Antiqua"/>
          <w:i/>
          <w:sz w:val="24"/>
          <w:szCs w:val="24"/>
        </w:rPr>
        <w:t xml:space="preserve">N </w:t>
      </w:r>
      <w:proofErr w:type="spellStart"/>
      <w:r w:rsidRPr="00372D52">
        <w:rPr>
          <w:rFonts w:ascii="Book Antiqua" w:hAnsi="Book Antiqua"/>
          <w:i/>
          <w:sz w:val="24"/>
          <w:szCs w:val="24"/>
        </w:rPr>
        <w:t>Engl</w:t>
      </w:r>
      <w:proofErr w:type="spellEnd"/>
      <w:r w:rsidRPr="00372D52">
        <w:rPr>
          <w:rFonts w:ascii="Book Antiqua" w:hAnsi="Book Antiqua"/>
          <w:i/>
          <w:sz w:val="24"/>
          <w:szCs w:val="24"/>
        </w:rPr>
        <w:t xml:space="preserve"> J Med</w:t>
      </w:r>
      <w:r w:rsidRPr="00372D52">
        <w:rPr>
          <w:rFonts w:ascii="Book Antiqua" w:hAnsi="Book Antiqua"/>
          <w:sz w:val="24"/>
          <w:szCs w:val="24"/>
        </w:rPr>
        <w:t xml:space="preserve"> 2006; </w:t>
      </w:r>
      <w:r w:rsidRPr="00372D52">
        <w:rPr>
          <w:rFonts w:ascii="Book Antiqua" w:hAnsi="Book Antiqua"/>
          <w:b/>
          <w:sz w:val="24"/>
          <w:szCs w:val="24"/>
        </w:rPr>
        <w:t>354</w:t>
      </w:r>
      <w:r w:rsidRPr="00372D52">
        <w:rPr>
          <w:rFonts w:ascii="Book Antiqua" w:hAnsi="Book Antiqua"/>
          <w:sz w:val="24"/>
          <w:szCs w:val="24"/>
        </w:rPr>
        <w:t>: 1671-1684 [PMID: 16625008 DOI: 10.1056/NEJMoa051693]</w:t>
      </w:r>
    </w:p>
    <w:p w14:paraId="7BD0F0DB" w14:textId="0BC9200B"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82 </w:t>
      </w:r>
      <w:proofErr w:type="spellStart"/>
      <w:r w:rsidRPr="00372D52">
        <w:rPr>
          <w:rFonts w:ascii="Book Antiqua" w:hAnsi="Book Antiqua"/>
          <w:b/>
          <w:sz w:val="24"/>
          <w:szCs w:val="24"/>
        </w:rPr>
        <w:t>Herasevich</w:t>
      </w:r>
      <w:proofErr w:type="spellEnd"/>
      <w:r w:rsidRPr="00372D52">
        <w:rPr>
          <w:rFonts w:ascii="Book Antiqua" w:hAnsi="Book Antiqua"/>
          <w:b/>
          <w:sz w:val="24"/>
          <w:szCs w:val="24"/>
        </w:rPr>
        <w:t xml:space="preserve"> S,</w:t>
      </w:r>
      <w:r w:rsidRPr="00372D52">
        <w:rPr>
          <w:rFonts w:ascii="Book Antiqua" w:hAnsi="Book Antiqua"/>
          <w:sz w:val="24"/>
          <w:szCs w:val="24"/>
        </w:rPr>
        <w:t xml:space="preserve"> </w:t>
      </w:r>
      <w:proofErr w:type="spellStart"/>
      <w:r w:rsidRPr="00372D52">
        <w:rPr>
          <w:rFonts w:ascii="Book Antiqua" w:hAnsi="Book Antiqua"/>
          <w:sz w:val="24"/>
          <w:szCs w:val="24"/>
        </w:rPr>
        <w:t>Odeyemi</w:t>
      </w:r>
      <w:proofErr w:type="spellEnd"/>
      <w:r w:rsidRPr="00372D52">
        <w:rPr>
          <w:rFonts w:ascii="Book Antiqua" w:hAnsi="Book Antiqua"/>
          <w:sz w:val="24"/>
          <w:szCs w:val="24"/>
        </w:rPr>
        <w:t xml:space="preserve"> Y, </w:t>
      </w:r>
      <w:proofErr w:type="spellStart"/>
      <w:r w:rsidRPr="00372D52">
        <w:rPr>
          <w:rFonts w:ascii="Book Antiqua" w:hAnsi="Book Antiqua"/>
          <w:sz w:val="24"/>
          <w:szCs w:val="24"/>
        </w:rPr>
        <w:t>Wieruszewski</w:t>
      </w:r>
      <w:proofErr w:type="spellEnd"/>
      <w:r w:rsidRPr="00372D52">
        <w:rPr>
          <w:rFonts w:ascii="Book Antiqua" w:hAnsi="Book Antiqua"/>
          <w:sz w:val="24"/>
          <w:szCs w:val="24"/>
        </w:rPr>
        <w:t xml:space="preserve"> P, Gajic O, Yadav H. Timeliness of corticosteroid use in ICU patients with pneumonia and ARDS. </w:t>
      </w:r>
      <w:proofErr w:type="spellStart"/>
      <w:r w:rsidRPr="00372D52">
        <w:rPr>
          <w:rFonts w:ascii="Book Antiqua" w:hAnsi="Book Antiqua"/>
          <w:i/>
          <w:iCs/>
          <w:sz w:val="24"/>
          <w:szCs w:val="24"/>
        </w:rPr>
        <w:t>Crit</w:t>
      </w:r>
      <w:proofErr w:type="spellEnd"/>
      <w:r w:rsidRPr="00372D52">
        <w:rPr>
          <w:rFonts w:ascii="Book Antiqua" w:hAnsi="Book Antiqua"/>
          <w:i/>
          <w:iCs/>
          <w:sz w:val="24"/>
          <w:szCs w:val="24"/>
        </w:rPr>
        <w:t xml:space="preserve"> Care Med</w:t>
      </w:r>
      <w:r w:rsidRPr="00372D52">
        <w:rPr>
          <w:rFonts w:ascii="Book Antiqua" w:hAnsi="Book Antiqua"/>
          <w:sz w:val="24"/>
          <w:szCs w:val="24"/>
        </w:rPr>
        <w:t xml:space="preserve"> 2019;</w:t>
      </w:r>
      <w:r>
        <w:rPr>
          <w:rFonts w:ascii="Book Antiqua" w:hAnsi="Book Antiqua"/>
          <w:sz w:val="24"/>
          <w:szCs w:val="24"/>
        </w:rPr>
        <w:t xml:space="preserve"> </w:t>
      </w:r>
      <w:r w:rsidRPr="00372D52">
        <w:rPr>
          <w:rFonts w:ascii="Book Antiqua" w:hAnsi="Book Antiqua"/>
          <w:b/>
          <w:bCs/>
          <w:sz w:val="24"/>
          <w:szCs w:val="24"/>
        </w:rPr>
        <w:t>47</w:t>
      </w:r>
      <w:r w:rsidRPr="00372D52">
        <w:rPr>
          <w:rFonts w:ascii="Book Antiqua" w:hAnsi="Book Antiqua"/>
          <w:sz w:val="24"/>
          <w:szCs w:val="24"/>
        </w:rPr>
        <w:t>:</w:t>
      </w:r>
      <w:r>
        <w:rPr>
          <w:rFonts w:ascii="Book Antiqua" w:hAnsi="Book Antiqua"/>
          <w:sz w:val="24"/>
          <w:szCs w:val="24"/>
        </w:rPr>
        <w:t xml:space="preserve"> </w:t>
      </w:r>
      <w:r w:rsidRPr="00372D52">
        <w:rPr>
          <w:rFonts w:ascii="Book Antiqua" w:hAnsi="Book Antiqua"/>
          <w:sz w:val="24"/>
          <w:szCs w:val="24"/>
        </w:rPr>
        <w:t>557 [DOI: 10.1097/01.ccm.0000551906.96335.48]</w:t>
      </w:r>
    </w:p>
    <w:p w14:paraId="19B4FBFE"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83 </w:t>
      </w:r>
      <w:proofErr w:type="spellStart"/>
      <w:r w:rsidRPr="00372D52">
        <w:rPr>
          <w:rFonts w:ascii="Book Antiqua" w:hAnsi="Book Antiqua"/>
          <w:b/>
          <w:sz w:val="24"/>
          <w:szCs w:val="24"/>
        </w:rPr>
        <w:t>Villar</w:t>
      </w:r>
      <w:proofErr w:type="spellEnd"/>
      <w:r w:rsidRPr="00372D52">
        <w:rPr>
          <w:rFonts w:ascii="Book Antiqua" w:hAnsi="Book Antiqua"/>
          <w:b/>
          <w:sz w:val="24"/>
          <w:szCs w:val="24"/>
        </w:rPr>
        <w:t xml:space="preserve"> J</w:t>
      </w:r>
      <w:r w:rsidRPr="00372D52">
        <w:rPr>
          <w:rFonts w:ascii="Book Antiqua" w:hAnsi="Book Antiqua"/>
          <w:sz w:val="24"/>
          <w:szCs w:val="24"/>
        </w:rPr>
        <w:t xml:space="preserve">, </w:t>
      </w:r>
      <w:proofErr w:type="spellStart"/>
      <w:r w:rsidRPr="00372D52">
        <w:rPr>
          <w:rFonts w:ascii="Book Antiqua" w:hAnsi="Book Antiqua"/>
          <w:sz w:val="24"/>
          <w:szCs w:val="24"/>
        </w:rPr>
        <w:t>Belda</w:t>
      </w:r>
      <w:proofErr w:type="spellEnd"/>
      <w:r w:rsidRPr="00372D52">
        <w:rPr>
          <w:rFonts w:ascii="Book Antiqua" w:hAnsi="Book Antiqua"/>
          <w:sz w:val="24"/>
          <w:szCs w:val="24"/>
        </w:rPr>
        <w:t xml:space="preserve"> J, </w:t>
      </w:r>
      <w:proofErr w:type="spellStart"/>
      <w:r w:rsidRPr="00372D52">
        <w:rPr>
          <w:rFonts w:ascii="Book Antiqua" w:hAnsi="Book Antiqua"/>
          <w:sz w:val="24"/>
          <w:szCs w:val="24"/>
        </w:rPr>
        <w:t>Añón</w:t>
      </w:r>
      <w:proofErr w:type="spellEnd"/>
      <w:r w:rsidRPr="00372D52">
        <w:rPr>
          <w:rFonts w:ascii="Book Antiqua" w:hAnsi="Book Antiqua"/>
          <w:sz w:val="24"/>
          <w:szCs w:val="24"/>
        </w:rPr>
        <w:t xml:space="preserve"> JM, Blanco J, Pérez-Méndez L, </w:t>
      </w:r>
      <w:proofErr w:type="spellStart"/>
      <w:r w:rsidRPr="00372D52">
        <w:rPr>
          <w:rFonts w:ascii="Book Antiqua" w:hAnsi="Book Antiqua"/>
          <w:sz w:val="24"/>
          <w:szCs w:val="24"/>
        </w:rPr>
        <w:t>Ferrando</w:t>
      </w:r>
      <w:proofErr w:type="spellEnd"/>
      <w:r w:rsidRPr="00372D52">
        <w:rPr>
          <w:rFonts w:ascii="Book Antiqua" w:hAnsi="Book Antiqua"/>
          <w:sz w:val="24"/>
          <w:szCs w:val="24"/>
        </w:rPr>
        <w:t xml:space="preserve"> C, Martínez D, Soler JA, </w:t>
      </w:r>
      <w:proofErr w:type="spellStart"/>
      <w:r w:rsidRPr="00372D52">
        <w:rPr>
          <w:rFonts w:ascii="Book Antiqua" w:hAnsi="Book Antiqua"/>
          <w:sz w:val="24"/>
          <w:szCs w:val="24"/>
        </w:rPr>
        <w:t>Ambrós</w:t>
      </w:r>
      <w:proofErr w:type="spellEnd"/>
      <w:r w:rsidRPr="00372D52">
        <w:rPr>
          <w:rFonts w:ascii="Book Antiqua" w:hAnsi="Book Antiqua"/>
          <w:sz w:val="24"/>
          <w:szCs w:val="24"/>
        </w:rPr>
        <w:t xml:space="preserve"> A, Muñoz T, Rivas R, </w:t>
      </w:r>
      <w:proofErr w:type="spellStart"/>
      <w:r w:rsidRPr="00372D52">
        <w:rPr>
          <w:rFonts w:ascii="Book Antiqua" w:hAnsi="Book Antiqua"/>
          <w:sz w:val="24"/>
          <w:szCs w:val="24"/>
        </w:rPr>
        <w:t>Corpas</w:t>
      </w:r>
      <w:proofErr w:type="spellEnd"/>
      <w:r w:rsidRPr="00372D52">
        <w:rPr>
          <w:rFonts w:ascii="Book Antiqua" w:hAnsi="Book Antiqua"/>
          <w:sz w:val="24"/>
          <w:szCs w:val="24"/>
        </w:rPr>
        <w:t xml:space="preserve"> R, Díaz-Dominguez FJ, </w:t>
      </w:r>
      <w:proofErr w:type="spellStart"/>
      <w:r w:rsidRPr="00372D52">
        <w:rPr>
          <w:rFonts w:ascii="Book Antiqua" w:hAnsi="Book Antiqua"/>
          <w:sz w:val="24"/>
          <w:szCs w:val="24"/>
        </w:rPr>
        <w:t>Soro</w:t>
      </w:r>
      <w:proofErr w:type="spellEnd"/>
      <w:r w:rsidRPr="00372D52">
        <w:rPr>
          <w:rFonts w:ascii="Book Antiqua" w:hAnsi="Book Antiqua"/>
          <w:sz w:val="24"/>
          <w:szCs w:val="24"/>
        </w:rPr>
        <w:t xml:space="preserve"> M, García-Bello MA, Fernández RL, </w:t>
      </w:r>
      <w:proofErr w:type="spellStart"/>
      <w:r w:rsidRPr="00372D52">
        <w:rPr>
          <w:rFonts w:ascii="Book Antiqua" w:hAnsi="Book Antiqua"/>
          <w:sz w:val="24"/>
          <w:szCs w:val="24"/>
        </w:rPr>
        <w:t>Kacmarek</w:t>
      </w:r>
      <w:proofErr w:type="spellEnd"/>
      <w:r w:rsidRPr="00372D52">
        <w:rPr>
          <w:rFonts w:ascii="Book Antiqua" w:hAnsi="Book Antiqua"/>
          <w:sz w:val="24"/>
          <w:szCs w:val="24"/>
        </w:rPr>
        <w:t xml:space="preserve"> RM; DEXA-ARDS Network. Evaluating the efficacy of dexamethasone in the treatment of patients with persistent acute respiratory distress syndrome: study protocol for a randomized controlled trial. </w:t>
      </w:r>
      <w:r w:rsidRPr="00372D52">
        <w:rPr>
          <w:rFonts w:ascii="Book Antiqua" w:hAnsi="Book Antiqua"/>
          <w:i/>
          <w:sz w:val="24"/>
          <w:szCs w:val="24"/>
        </w:rPr>
        <w:t>Trials</w:t>
      </w:r>
      <w:r w:rsidRPr="00372D52">
        <w:rPr>
          <w:rFonts w:ascii="Book Antiqua" w:hAnsi="Book Antiqua"/>
          <w:sz w:val="24"/>
          <w:szCs w:val="24"/>
        </w:rPr>
        <w:t xml:space="preserve"> 2016; </w:t>
      </w:r>
      <w:r w:rsidRPr="00372D52">
        <w:rPr>
          <w:rFonts w:ascii="Book Antiqua" w:hAnsi="Book Antiqua"/>
          <w:b/>
          <w:sz w:val="24"/>
          <w:szCs w:val="24"/>
        </w:rPr>
        <w:t>17</w:t>
      </w:r>
      <w:r w:rsidRPr="00372D52">
        <w:rPr>
          <w:rFonts w:ascii="Book Antiqua" w:hAnsi="Book Antiqua"/>
          <w:sz w:val="24"/>
          <w:szCs w:val="24"/>
        </w:rPr>
        <w:t>: 342 [PMID: 27449641 DOI: 10.1186/s13063-016-1456-4]</w:t>
      </w:r>
    </w:p>
    <w:p w14:paraId="4F34119E"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84 </w:t>
      </w:r>
      <w:r w:rsidRPr="00372D52">
        <w:rPr>
          <w:rFonts w:ascii="Book Antiqua" w:hAnsi="Book Antiqua"/>
          <w:b/>
          <w:sz w:val="24"/>
          <w:szCs w:val="24"/>
        </w:rPr>
        <w:t>National Heart, Lung, and Blood Institute ARDS Clinical Trials Network.</w:t>
      </w:r>
      <w:r w:rsidRPr="00372D52">
        <w:rPr>
          <w:rFonts w:ascii="Book Antiqua" w:hAnsi="Book Antiqua"/>
          <w:sz w:val="24"/>
          <w:szCs w:val="24"/>
        </w:rPr>
        <w:t xml:space="preserve">, </w:t>
      </w:r>
      <w:proofErr w:type="spellStart"/>
      <w:r w:rsidRPr="00372D52">
        <w:rPr>
          <w:rFonts w:ascii="Book Antiqua" w:hAnsi="Book Antiqua"/>
          <w:sz w:val="24"/>
          <w:szCs w:val="24"/>
        </w:rPr>
        <w:t>Truwit</w:t>
      </w:r>
      <w:proofErr w:type="spellEnd"/>
      <w:r w:rsidRPr="00372D52">
        <w:rPr>
          <w:rFonts w:ascii="Book Antiqua" w:hAnsi="Book Antiqua"/>
          <w:sz w:val="24"/>
          <w:szCs w:val="24"/>
        </w:rPr>
        <w:t xml:space="preserve"> JD, Bernard GR, </w:t>
      </w:r>
      <w:proofErr w:type="spellStart"/>
      <w:r w:rsidRPr="00372D52">
        <w:rPr>
          <w:rFonts w:ascii="Book Antiqua" w:hAnsi="Book Antiqua"/>
          <w:sz w:val="24"/>
          <w:szCs w:val="24"/>
        </w:rPr>
        <w:t>Steingrub</w:t>
      </w:r>
      <w:proofErr w:type="spellEnd"/>
      <w:r w:rsidRPr="00372D52">
        <w:rPr>
          <w:rFonts w:ascii="Book Antiqua" w:hAnsi="Book Antiqua"/>
          <w:sz w:val="24"/>
          <w:szCs w:val="24"/>
        </w:rPr>
        <w:t xml:space="preserve"> J, </w:t>
      </w:r>
      <w:proofErr w:type="spellStart"/>
      <w:r w:rsidRPr="00372D52">
        <w:rPr>
          <w:rFonts w:ascii="Book Antiqua" w:hAnsi="Book Antiqua"/>
          <w:sz w:val="24"/>
          <w:szCs w:val="24"/>
        </w:rPr>
        <w:t>Matthay</w:t>
      </w:r>
      <w:proofErr w:type="spellEnd"/>
      <w:r w:rsidRPr="00372D52">
        <w:rPr>
          <w:rFonts w:ascii="Book Antiqua" w:hAnsi="Book Antiqua"/>
          <w:sz w:val="24"/>
          <w:szCs w:val="24"/>
        </w:rPr>
        <w:t xml:space="preserve"> MA, Liu KD, Albertson TE, Brower RG, </w:t>
      </w:r>
      <w:proofErr w:type="spellStart"/>
      <w:r w:rsidRPr="00372D52">
        <w:rPr>
          <w:rFonts w:ascii="Book Antiqua" w:hAnsi="Book Antiqua"/>
          <w:sz w:val="24"/>
          <w:szCs w:val="24"/>
        </w:rPr>
        <w:t>Shanholtz</w:t>
      </w:r>
      <w:proofErr w:type="spellEnd"/>
      <w:r w:rsidRPr="00372D52">
        <w:rPr>
          <w:rFonts w:ascii="Book Antiqua" w:hAnsi="Book Antiqua"/>
          <w:sz w:val="24"/>
          <w:szCs w:val="24"/>
        </w:rPr>
        <w:t xml:space="preserve"> C, Rock P, Douglas IS, </w:t>
      </w:r>
      <w:proofErr w:type="spellStart"/>
      <w:r w:rsidRPr="00372D52">
        <w:rPr>
          <w:rFonts w:ascii="Book Antiqua" w:hAnsi="Book Antiqua"/>
          <w:sz w:val="24"/>
          <w:szCs w:val="24"/>
        </w:rPr>
        <w:t>deBoisblanc</w:t>
      </w:r>
      <w:proofErr w:type="spellEnd"/>
      <w:r w:rsidRPr="00372D52">
        <w:rPr>
          <w:rFonts w:ascii="Book Antiqua" w:hAnsi="Book Antiqua"/>
          <w:sz w:val="24"/>
          <w:szCs w:val="24"/>
        </w:rPr>
        <w:t xml:space="preserve"> BP, Hough CL, Hite RD, Thompson BT. Rosuvastatin for sepsis-associated acute respiratory distress syndrome. </w:t>
      </w:r>
      <w:r w:rsidRPr="00372D52">
        <w:rPr>
          <w:rFonts w:ascii="Book Antiqua" w:hAnsi="Book Antiqua"/>
          <w:i/>
          <w:sz w:val="24"/>
          <w:szCs w:val="24"/>
        </w:rPr>
        <w:t xml:space="preserve">N </w:t>
      </w:r>
      <w:proofErr w:type="spellStart"/>
      <w:r w:rsidRPr="00372D52">
        <w:rPr>
          <w:rFonts w:ascii="Book Antiqua" w:hAnsi="Book Antiqua"/>
          <w:i/>
          <w:sz w:val="24"/>
          <w:szCs w:val="24"/>
        </w:rPr>
        <w:t>Engl</w:t>
      </w:r>
      <w:proofErr w:type="spellEnd"/>
      <w:r w:rsidRPr="00372D52">
        <w:rPr>
          <w:rFonts w:ascii="Book Antiqua" w:hAnsi="Book Antiqua"/>
          <w:i/>
          <w:sz w:val="24"/>
          <w:szCs w:val="24"/>
        </w:rPr>
        <w:t xml:space="preserve"> J Med</w:t>
      </w:r>
      <w:r w:rsidRPr="00372D52">
        <w:rPr>
          <w:rFonts w:ascii="Book Antiqua" w:hAnsi="Book Antiqua"/>
          <w:sz w:val="24"/>
          <w:szCs w:val="24"/>
        </w:rPr>
        <w:t xml:space="preserve"> 2014; </w:t>
      </w:r>
      <w:r w:rsidRPr="00372D52">
        <w:rPr>
          <w:rFonts w:ascii="Book Antiqua" w:hAnsi="Book Antiqua"/>
          <w:b/>
          <w:sz w:val="24"/>
          <w:szCs w:val="24"/>
        </w:rPr>
        <w:t>370</w:t>
      </w:r>
      <w:r w:rsidRPr="00372D52">
        <w:rPr>
          <w:rFonts w:ascii="Book Antiqua" w:hAnsi="Book Antiqua"/>
          <w:sz w:val="24"/>
          <w:szCs w:val="24"/>
        </w:rPr>
        <w:t>: 2191-2200 [PMID: 24835849 DOI: 10.1056/NEJMoa1401520]</w:t>
      </w:r>
    </w:p>
    <w:p w14:paraId="1B94CC24"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85 </w:t>
      </w:r>
      <w:r w:rsidRPr="00372D52">
        <w:rPr>
          <w:rFonts w:ascii="Book Antiqua" w:hAnsi="Book Antiqua"/>
          <w:b/>
          <w:sz w:val="24"/>
          <w:szCs w:val="24"/>
        </w:rPr>
        <w:t>Iwata K</w:t>
      </w:r>
      <w:r w:rsidRPr="00372D52">
        <w:rPr>
          <w:rFonts w:ascii="Book Antiqua" w:hAnsi="Book Antiqua"/>
          <w:sz w:val="24"/>
          <w:szCs w:val="24"/>
        </w:rPr>
        <w:t xml:space="preserve">, Doi A, </w:t>
      </w:r>
      <w:proofErr w:type="spellStart"/>
      <w:r w:rsidRPr="00372D52">
        <w:rPr>
          <w:rFonts w:ascii="Book Antiqua" w:hAnsi="Book Antiqua"/>
          <w:sz w:val="24"/>
          <w:szCs w:val="24"/>
        </w:rPr>
        <w:t>Ohji</w:t>
      </w:r>
      <w:proofErr w:type="spellEnd"/>
      <w:r w:rsidRPr="00372D52">
        <w:rPr>
          <w:rFonts w:ascii="Book Antiqua" w:hAnsi="Book Antiqua"/>
          <w:sz w:val="24"/>
          <w:szCs w:val="24"/>
        </w:rPr>
        <w:t xml:space="preserve"> G, Oka H, Oba Y, </w:t>
      </w:r>
      <w:proofErr w:type="spellStart"/>
      <w:r w:rsidRPr="00372D52">
        <w:rPr>
          <w:rFonts w:ascii="Book Antiqua" w:hAnsi="Book Antiqua"/>
          <w:sz w:val="24"/>
          <w:szCs w:val="24"/>
        </w:rPr>
        <w:t>Takimoto</w:t>
      </w:r>
      <w:proofErr w:type="spellEnd"/>
      <w:r w:rsidRPr="00372D52">
        <w:rPr>
          <w:rFonts w:ascii="Book Antiqua" w:hAnsi="Book Antiqua"/>
          <w:sz w:val="24"/>
          <w:szCs w:val="24"/>
        </w:rPr>
        <w:t xml:space="preserve"> K, Igarashi W, </w:t>
      </w:r>
      <w:proofErr w:type="spellStart"/>
      <w:r w:rsidRPr="00372D52">
        <w:rPr>
          <w:rFonts w:ascii="Book Antiqua" w:hAnsi="Book Antiqua"/>
          <w:sz w:val="24"/>
          <w:szCs w:val="24"/>
        </w:rPr>
        <w:t>Gremillion</w:t>
      </w:r>
      <w:proofErr w:type="spellEnd"/>
      <w:r w:rsidRPr="00372D52">
        <w:rPr>
          <w:rFonts w:ascii="Book Antiqua" w:hAnsi="Book Antiqua"/>
          <w:sz w:val="24"/>
          <w:szCs w:val="24"/>
        </w:rPr>
        <w:t xml:space="preserve"> DH, Shimada T. Effect of neutrophil elastase inhibitor (</w:t>
      </w:r>
      <w:proofErr w:type="spellStart"/>
      <w:r w:rsidRPr="00372D52">
        <w:rPr>
          <w:rFonts w:ascii="Book Antiqua" w:hAnsi="Book Antiqua"/>
          <w:sz w:val="24"/>
          <w:szCs w:val="24"/>
        </w:rPr>
        <w:t>sivelestat</w:t>
      </w:r>
      <w:proofErr w:type="spellEnd"/>
      <w:r w:rsidRPr="00372D52">
        <w:rPr>
          <w:rFonts w:ascii="Book Antiqua" w:hAnsi="Book Antiqua"/>
          <w:sz w:val="24"/>
          <w:szCs w:val="24"/>
        </w:rPr>
        <w:t xml:space="preserve"> sodium) in the treatment of acute lung injury (ALI) and acute respiratory distress syndrome (ARDS): a systematic review and meta-analysis. </w:t>
      </w:r>
      <w:r w:rsidRPr="00372D52">
        <w:rPr>
          <w:rFonts w:ascii="Book Antiqua" w:hAnsi="Book Antiqua"/>
          <w:i/>
          <w:sz w:val="24"/>
          <w:szCs w:val="24"/>
        </w:rPr>
        <w:t>Intern Med</w:t>
      </w:r>
      <w:r w:rsidRPr="00372D52">
        <w:rPr>
          <w:rFonts w:ascii="Book Antiqua" w:hAnsi="Book Antiqua"/>
          <w:sz w:val="24"/>
          <w:szCs w:val="24"/>
        </w:rPr>
        <w:t xml:space="preserve"> 2010; </w:t>
      </w:r>
      <w:r w:rsidRPr="00372D52">
        <w:rPr>
          <w:rFonts w:ascii="Book Antiqua" w:hAnsi="Book Antiqua"/>
          <w:b/>
          <w:sz w:val="24"/>
          <w:szCs w:val="24"/>
        </w:rPr>
        <w:t>49</w:t>
      </w:r>
      <w:r w:rsidRPr="00372D52">
        <w:rPr>
          <w:rFonts w:ascii="Book Antiqua" w:hAnsi="Book Antiqua"/>
          <w:sz w:val="24"/>
          <w:szCs w:val="24"/>
        </w:rPr>
        <w:t>: 2423-2432 [PMID: 21088343 DOI: 10.2169/internalmedicine.49.4010]</w:t>
      </w:r>
    </w:p>
    <w:p w14:paraId="36685094"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86 </w:t>
      </w:r>
      <w:r w:rsidRPr="00372D52">
        <w:rPr>
          <w:rFonts w:ascii="Book Antiqua" w:hAnsi="Book Antiqua"/>
          <w:b/>
          <w:sz w:val="24"/>
          <w:szCs w:val="24"/>
        </w:rPr>
        <w:t>Bernard GR</w:t>
      </w:r>
      <w:r w:rsidRPr="00372D52">
        <w:rPr>
          <w:rFonts w:ascii="Book Antiqua" w:hAnsi="Book Antiqua"/>
          <w:sz w:val="24"/>
          <w:szCs w:val="24"/>
        </w:rPr>
        <w:t xml:space="preserve">, Wheeler AP, Russell JA, Schein R, Summer WR, Steinberg KP, Fulkerson WJ, Wright PE, </w:t>
      </w:r>
      <w:proofErr w:type="spellStart"/>
      <w:r w:rsidRPr="00372D52">
        <w:rPr>
          <w:rFonts w:ascii="Book Antiqua" w:hAnsi="Book Antiqua"/>
          <w:sz w:val="24"/>
          <w:szCs w:val="24"/>
        </w:rPr>
        <w:t>Christman</w:t>
      </w:r>
      <w:proofErr w:type="spellEnd"/>
      <w:r w:rsidRPr="00372D52">
        <w:rPr>
          <w:rFonts w:ascii="Book Antiqua" w:hAnsi="Book Antiqua"/>
          <w:sz w:val="24"/>
          <w:szCs w:val="24"/>
        </w:rPr>
        <w:t xml:space="preserve"> BW, Dupont WD, Higgins SB, Swindell BB. The effects of ibuprofen on the physiology and survival of patients with sepsis. The Ibuprofen in Sepsis </w:t>
      </w:r>
      <w:r w:rsidRPr="00372D52">
        <w:rPr>
          <w:rFonts w:ascii="Book Antiqua" w:hAnsi="Book Antiqua"/>
          <w:sz w:val="24"/>
          <w:szCs w:val="24"/>
        </w:rPr>
        <w:lastRenderedPageBreak/>
        <w:t xml:space="preserve">Study Group. </w:t>
      </w:r>
      <w:r w:rsidRPr="00372D52">
        <w:rPr>
          <w:rFonts w:ascii="Book Antiqua" w:hAnsi="Book Antiqua"/>
          <w:i/>
          <w:sz w:val="24"/>
          <w:szCs w:val="24"/>
        </w:rPr>
        <w:t xml:space="preserve">N </w:t>
      </w:r>
      <w:proofErr w:type="spellStart"/>
      <w:r w:rsidRPr="00372D52">
        <w:rPr>
          <w:rFonts w:ascii="Book Antiqua" w:hAnsi="Book Antiqua"/>
          <w:i/>
          <w:sz w:val="24"/>
          <w:szCs w:val="24"/>
        </w:rPr>
        <w:t>Engl</w:t>
      </w:r>
      <w:proofErr w:type="spellEnd"/>
      <w:r w:rsidRPr="00372D52">
        <w:rPr>
          <w:rFonts w:ascii="Book Antiqua" w:hAnsi="Book Antiqua"/>
          <w:i/>
          <w:sz w:val="24"/>
          <w:szCs w:val="24"/>
        </w:rPr>
        <w:t xml:space="preserve"> J Med</w:t>
      </w:r>
      <w:r w:rsidRPr="00372D52">
        <w:rPr>
          <w:rFonts w:ascii="Book Antiqua" w:hAnsi="Book Antiqua"/>
          <w:sz w:val="24"/>
          <w:szCs w:val="24"/>
        </w:rPr>
        <w:t xml:space="preserve"> 1997; </w:t>
      </w:r>
      <w:r w:rsidRPr="00372D52">
        <w:rPr>
          <w:rFonts w:ascii="Book Antiqua" w:hAnsi="Book Antiqua"/>
          <w:b/>
          <w:sz w:val="24"/>
          <w:szCs w:val="24"/>
        </w:rPr>
        <w:t>336</w:t>
      </w:r>
      <w:r w:rsidRPr="00372D52">
        <w:rPr>
          <w:rFonts w:ascii="Book Antiqua" w:hAnsi="Book Antiqua"/>
          <w:sz w:val="24"/>
          <w:szCs w:val="24"/>
        </w:rPr>
        <w:t>: 912-918 [PMID: 9070471 DOI: 10.1056/NEJM199703273361303]</w:t>
      </w:r>
    </w:p>
    <w:p w14:paraId="5AE80CE3"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87 </w:t>
      </w:r>
      <w:proofErr w:type="spellStart"/>
      <w:r w:rsidRPr="00372D52">
        <w:rPr>
          <w:rFonts w:ascii="Book Antiqua" w:hAnsi="Book Antiqua"/>
          <w:b/>
          <w:sz w:val="24"/>
          <w:szCs w:val="24"/>
        </w:rPr>
        <w:t>Jabaudon</w:t>
      </w:r>
      <w:proofErr w:type="spellEnd"/>
      <w:r w:rsidRPr="00372D52">
        <w:rPr>
          <w:rFonts w:ascii="Book Antiqua" w:hAnsi="Book Antiqua"/>
          <w:b/>
          <w:sz w:val="24"/>
          <w:szCs w:val="24"/>
        </w:rPr>
        <w:t xml:space="preserve"> M</w:t>
      </w:r>
      <w:r w:rsidRPr="00372D52">
        <w:rPr>
          <w:rFonts w:ascii="Book Antiqua" w:hAnsi="Book Antiqua"/>
          <w:sz w:val="24"/>
          <w:szCs w:val="24"/>
        </w:rPr>
        <w:t xml:space="preserve">, Boucher P, Imhoff E, </w:t>
      </w:r>
      <w:proofErr w:type="spellStart"/>
      <w:r w:rsidRPr="00372D52">
        <w:rPr>
          <w:rFonts w:ascii="Book Antiqua" w:hAnsi="Book Antiqua"/>
          <w:sz w:val="24"/>
          <w:szCs w:val="24"/>
        </w:rPr>
        <w:t>Chabanne</w:t>
      </w:r>
      <w:proofErr w:type="spellEnd"/>
      <w:r w:rsidRPr="00372D52">
        <w:rPr>
          <w:rFonts w:ascii="Book Antiqua" w:hAnsi="Book Antiqua"/>
          <w:sz w:val="24"/>
          <w:szCs w:val="24"/>
        </w:rPr>
        <w:t xml:space="preserve"> R, Faure JS, </w:t>
      </w:r>
      <w:proofErr w:type="spellStart"/>
      <w:r w:rsidRPr="00372D52">
        <w:rPr>
          <w:rFonts w:ascii="Book Antiqua" w:hAnsi="Book Antiqua"/>
          <w:sz w:val="24"/>
          <w:szCs w:val="24"/>
        </w:rPr>
        <w:t>Roszyk</w:t>
      </w:r>
      <w:proofErr w:type="spellEnd"/>
      <w:r w:rsidRPr="00372D52">
        <w:rPr>
          <w:rFonts w:ascii="Book Antiqua" w:hAnsi="Book Antiqua"/>
          <w:sz w:val="24"/>
          <w:szCs w:val="24"/>
        </w:rPr>
        <w:t xml:space="preserve"> L, Thibault S, </w:t>
      </w:r>
      <w:proofErr w:type="spellStart"/>
      <w:r w:rsidRPr="00372D52">
        <w:rPr>
          <w:rFonts w:ascii="Book Antiqua" w:hAnsi="Book Antiqua"/>
          <w:sz w:val="24"/>
          <w:szCs w:val="24"/>
        </w:rPr>
        <w:t>Blondonnet</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Clairefond</w:t>
      </w:r>
      <w:proofErr w:type="spellEnd"/>
      <w:r w:rsidRPr="00372D52">
        <w:rPr>
          <w:rFonts w:ascii="Book Antiqua" w:hAnsi="Book Antiqua"/>
          <w:sz w:val="24"/>
          <w:szCs w:val="24"/>
        </w:rPr>
        <w:t xml:space="preserve"> G, </w:t>
      </w:r>
      <w:proofErr w:type="spellStart"/>
      <w:r w:rsidRPr="00372D52">
        <w:rPr>
          <w:rFonts w:ascii="Book Antiqua" w:hAnsi="Book Antiqua"/>
          <w:sz w:val="24"/>
          <w:szCs w:val="24"/>
        </w:rPr>
        <w:t>Guérin</w:t>
      </w:r>
      <w:proofErr w:type="spellEnd"/>
      <w:r w:rsidRPr="00372D52">
        <w:rPr>
          <w:rFonts w:ascii="Book Antiqua" w:hAnsi="Book Antiqua"/>
          <w:sz w:val="24"/>
          <w:szCs w:val="24"/>
        </w:rPr>
        <w:t xml:space="preserve"> R, </w:t>
      </w:r>
      <w:proofErr w:type="spellStart"/>
      <w:r w:rsidRPr="00372D52">
        <w:rPr>
          <w:rFonts w:ascii="Book Antiqua" w:hAnsi="Book Antiqua"/>
          <w:sz w:val="24"/>
          <w:szCs w:val="24"/>
        </w:rPr>
        <w:t>Perbet</w:t>
      </w:r>
      <w:proofErr w:type="spellEnd"/>
      <w:r w:rsidRPr="00372D52">
        <w:rPr>
          <w:rFonts w:ascii="Book Antiqua" w:hAnsi="Book Antiqua"/>
          <w:sz w:val="24"/>
          <w:szCs w:val="24"/>
        </w:rPr>
        <w:t xml:space="preserve"> S, </w:t>
      </w:r>
      <w:proofErr w:type="spellStart"/>
      <w:r w:rsidRPr="00372D52">
        <w:rPr>
          <w:rFonts w:ascii="Book Antiqua" w:hAnsi="Book Antiqua"/>
          <w:sz w:val="24"/>
          <w:szCs w:val="24"/>
        </w:rPr>
        <w:t>Cayot</w:t>
      </w:r>
      <w:proofErr w:type="spellEnd"/>
      <w:r w:rsidRPr="00372D52">
        <w:rPr>
          <w:rFonts w:ascii="Book Antiqua" w:hAnsi="Book Antiqua"/>
          <w:sz w:val="24"/>
          <w:szCs w:val="24"/>
        </w:rPr>
        <w:t xml:space="preserve"> S, Godet T, Pereira B, </w:t>
      </w:r>
      <w:proofErr w:type="spellStart"/>
      <w:r w:rsidRPr="00372D52">
        <w:rPr>
          <w:rFonts w:ascii="Book Antiqua" w:hAnsi="Book Antiqua"/>
          <w:sz w:val="24"/>
          <w:szCs w:val="24"/>
        </w:rPr>
        <w:t>Sapin</w:t>
      </w:r>
      <w:proofErr w:type="spellEnd"/>
      <w:r w:rsidRPr="00372D52">
        <w:rPr>
          <w:rFonts w:ascii="Book Antiqua" w:hAnsi="Book Antiqua"/>
          <w:sz w:val="24"/>
          <w:szCs w:val="24"/>
        </w:rPr>
        <w:t xml:space="preserve"> V, </w:t>
      </w:r>
      <w:proofErr w:type="spellStart"/>
      <w:r w:rsidRPr="00372D52">
        <w:rPr>
          <w:rFonts w:ascii="Book Antiqua" w:hAnsi="Book Antiqua"/>
          <w:sz w:val="24"/>
          <w:szCs w:val="24"/>
        </w:rPr>
        <w:t>Bazin</w:t>
      </w:r>
      <w:proofErr w:type="spellEnd"/>
      <w:r w:rsidRPr="00372D52">
        <w:rPr>
          <w:rFonts w:ascii="Book Antiqua" w:hAnsi="Book Antiqua"/>
          <w:sz w:val="24"/>
          <w:szCs w:val="24"/>
        </w:rPr>
        <w:t xml:space="preserve"> JE, </w:t>
      </w:r>
      <w:proofErr w:type="spellStart"/>
      <w:r w:rsidRPr="00372D52">
        <w:rPr>
          <w:rFonts w:ascii="Book Antiqua" w:hAnsi="Book Antiqua"/>
          <w:sz w:val="24"/>
          <w:szCs w:val="24"/>
        </w:rPr>
        <w:t>Futier</w:t>
      </w:r>
      <w:proofErr w:type="spellEnd"/>
      <w:r w:rsidRPr="00372D52">
        <w:rPr>
          <w:rFonts w:ascii="Book Antiqua" w:hAnsi="Book Antiqua"/>
          <w:sz w:val="24"/>
          <w:szCs w:val="24"/>
        </w:rPr>
        <w:t xml:space="preserve"> E, Constantin JM. Sevoflurane for Sedation in Acute Respiratory Distress Syndrome. A Randomized Controlled Pilot Study. </w:t>
      </w:r>
      <w:r w:rsidRPr="00372D52">
        <w:rPr>
          <w:rFonts w:ascii="Book Antiqua" w:hAnsi="Book Antiqua"/>
          <w:i/>
          <w:sz w:val="24"/>
          <w:szCs w:val="24"/>
        </w:rPr>
        <w:t xml:space="preserve">Am J Respir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2017; </w:t>
      </w:r>
      <w:r w:rsidRPr="00372D52">
        <w:rPr>
          <w:rFonts w:ascii="Book Antiqua" w:hAnsi="Book Antiqua"/>
          <w:b/>
          <w:sz w:val="24"/>
          <w:szCs w:val="24"/>
        </w:rPr>
        <w:t>195</w:t>
      </w:r>
      <w:r w:rsidRPr="00372D52">
        <w:rPr>
          <w:rFonts w:ascii="Book Antiqua" w:hAnsi="Book Antiqua"/>
          <w:sz w:val="24"/>
          <w:szCs w:val="24"/>
        </w:rPr>
        <w:t>: 792-800 [PMID: 27611637 DOI: 10.1164/rccm.201604-0686OC]</w:t>
      </w:r>
    </w:p>
    <w:p w14:paraId="1343597A"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88 </w:t>
      </w:r>
      <w:r w:rsidRPr="00372D52">
        <w:rPr>
          <w:rFonts w:ascii="Book Antiqua" w:hAnsi="Book Antiqua"/>
          <w:b/>
          <w:sz w:val="24"/>
          <w:szCs w:val="24"/>
        </w:rPr>
        <w:t>Chen W</w:t>
      </w:r>
      <w:r w:rsidRPr="00372D52">
        <w:rPr>
          <w:rFonts w:ascii="Book Antiqua" w:hAnsi="Book Antiqua"/>
          <w:sz w:val="24"/>
          <w:szCs w:val="24"/>
        </w:rPr>
        <w:t xml:space="preserve">, </w:t>
      </w:r>
      <w:proofErr w:type="spellStart"/>
      <w:r w:rsidRPr="00372D52">
        <w:rPr>
          <w:rFonts w:ascii="Book Antiqua" w:hAnsi="Book Antiqua"/>
          <w:sz w:val="24"/>
          <w:szCs w:val="24"/>
        </w:rPr>
        <w:t>Janz</w:t>
      </w:r>
      <w:proofErr w:type="spellEnd"/>
      <w:r w:rsidRPr="00372D52">
        <w:rPr>
          <w:rFonts w:ascii="Book Antiqua" w:hAnsi="Book Antiqua"/>
          <w:sz w:val="24"/>
          <w:szCs w:val="24"/>
        </w:rPr>
        <w:t xml:space="preserve"> DR, </w:t>
      </w:r>
      <w:proofErr w:type="spellStart"/>
      <w:r w:rsidRPr="00372D52">
        <w:rPr>
          <w:rFonts w:ascii="Book Antiqua" w:hAnsi="Book Antiqua"/>
          <w:sz w:val="24"/>
          <w:szCs w:val="24"/>
        </w:rPr>
        <w:t>Bastarache</w:t>
      </w:r>
      <w:proofErr w:type="spellEnd"/>
      <w:r w:rsidRPr="00372D52">
        <w:rPr>
          <w:rFonts w:ascii="Book Antiqua" w:hAnsi="Book Antiqua"/>
          <w:sz w:val="24"/>
          <w:szCs w:val="24"/>
        </w:rPr>
        <w:t xml:space="preserve"> JA, May AK, O'Neal HR Jr, Bernard GR, Ware LB. Prehospital aspirin use is associated with reduced risk of acute respiratory distress syndrome in critically ill patients: a propensity-adjusted analysis. </w:t>
      </w:r>
      <w:proofErr w:type="spellStart"/>
      <w:r w:rsidRPr="00372D52">
        <w:rPr>
          <w:rFonts w:ascii="Book Antiqua" w:hAnsi="Book Antiqua"/>
          <w:i/>
          <w:sz w:val="24"/>
          <w:szCs w:val="24"/>
        </w:rPr>
        <w:t>Crit</w:t>
      </w:r>
      <w:proofErr w:type="spellEnd"/>
      <w:r w:rsidRPr="00372D52">
        <w:rPr>
          <w:rFonts w:ascii="Book Antiqua" w:hAnsi="Book Antiqua"/>
          <w:i/>
          <w:sz w:val="24"/>
          <w:szCs w:val="24"/>
        </w:rPr>
        <w:t xml:space="preserve"> Care Med</w:t>
      </w:r>
      <w:r w:rsidRPr="00372D52">
        <w:rPr>
          <w:rFonts w:ascii="Book Antiqua" w:hAnsi="Book Antiqua"/>
          <w:sz w:val="24"/>
          <w:szCs w:val="24"/>
        </w:rPr>
        <w:t xml:space="preserve"> 2015; </w:t>
      </w:r>
      <w:r w:rsidRPr="00372D52">
        <w:rPr>
          <w:rFonts w:ascii="Book Antiqua" w:hAnsi="Book Antiqua"/>
          <w:b/>
          <w:sz w:val="24"/>
          <w:szCs w:val="24"/>
        </w:rPr>
        <w:t>43</w:t>
      </w:r>
      <w:r w:rsidRPr="00372D52">
        <w:rPr>
          <w:rFonts w:ascii="Book Antiqua" w:hAnsi="Book Antiqua"/>
          <w:sz w:val="24"/>
          <w:szCs w:val="24"/>
        </w:rPr>
        <w:t>: 801-807 [PMID: 25559436 DOI: 10.1097/CCM.0000000000000789]</w:t>
      </w:r>
    </w:p>
    <w:p w14:paraId="19CC5E36"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89 </w:t>
      </w:r>
      <w:proofErr w:type="spellStart"/>
      <w:r w:rsidRPr="00372D52">
        <w:rPr>
          <w:rFonts w:ascii="Book Antiqua" w:hAnsi="Book Antiqua"/>
          <w:b/>
          <w:sz w:val="24"/>
          <w:szCs w:val="24"/>
        </w:rPr>
        <w:t>Erlich</w:t>
      </w:r>
      <w:proofErr w:type="spellEnd"/>
      <w:r w:rsidRPr="00372D52">
        <w:rPr>
          <w:rFonts w:ascii="Book Antiqua" w:hAnsi="Book Antiqua"/>
          <w:b/>
          <w:sz w:val="24"/>
          <w:szCs w:val="24"/>
        </w:rPr>
        <w:t xml:space="preserve"> JM</w:t>
      </w:r>
      <w:r w:rsidRPr="00372D52">
        <w:rPr>
          <w:rFonts w:ascii="Book Antiqua" w:hAnsi="Book Antiqua"/>
          <w:sz w:val="24"/>
          <w:szCs w:val="24"/>
        </w:rPr>
        <w:t xml:space="preserve">, Talmor DS, </w:t>
      </w:r>
      <w:proofErr w:type="spellStart"/>
      <w:r w:rsidRPr="00372D52">
        <w:rPr>
          <w:rFonts w:ascii="Book Antiqua" w:hAnsi="Book Antiqua"/>
          <w:sz w:val="24"/>
          <w:szCs w:val="24"/>
        </w:rPr>
        <w:t>Cartin-Ceba</w:t>
      </w:r>
      <w:proofErr w:type="spellEnd"/>
      <w:r w:rsidRPr="00372D52">
        <w:rPr>
          <w:rFonts w:ascii="Book Antiqua" w:hAnsi="Book Antiqua"/>
          <w:sz w:val="24"/>
          <w:szCs w:val="24"/>
        </w:rPr>
        <w:t xml:space="preserve"> R, Gajic O, </w:t>
      </w:r>
      <w:proofErr w:type="spellStart"/>
      <w:r w:rsidRPr="00372D52">
        <w:rPr>
          <w:rFonts w:ascii="Book Antiqua" w:hAnsi="Book Antiqua"/>
          <w:sz w:val="24"/>
          <w:szCs w:val="24"/>
        </w:rPr>
        <w:t>Kor</w:t>
      </w:r>
      <w:proofErr w:type="spellEnd"/>
      <w:r w:rsidRPr="00372D52">
        <w:rPr>
          <w:rFonts w:ascii="Book Antiqua" w:hAnsi="Book Antiqua"/>
          <w:sz w:val="24"/>
          <w:szCs w:val="24"/>
        </w:rPr>
        <w:t xml:space="preserve"> DJ. Prehospitalization antiplatelet therapy is associated with a reduced incidence of acute lung injury: a population-based cohort study. </w:t>
      </w:r>
      <w:r w:rsidRPr="00372D52">
        <w:rPr>
          <w:rFonts w:ascii="Book Antiqua" w:hAnsi="Book Antiqua"/>
          <w:i/>
          <w:sz w:val="24"/>
          <w:szCs w:val="24"/>
        </w:rPr>
        <w:t>Chest</w:t>
      </w:r>
      <w:r w:rsidRPr="00372D52">
        <w:rPr>
          <w:rFonts w:ascii="Book Antiqua" w:hAnsi="Book Antiqua"/>
          <w:sz w:val="24"/>
          <w:szCs w:val="24"/>
        </w:rPr>
        <w:t xml:space="preserve"> 2011; </w:t>
      </w:r>
      <w:r w:rsidRPr="00372D52">
        <w:rPr>
          <w:rFonts w:ascii="Book Antiqua" w:hAnsi="Book Antiqua"/>
          <w:b/>
          <w:sz w:val="24"/>
          <w:szCs w:val="24"/>
        </w:rPr>
        <w:t>139</w:t>
      </w:r>
      <w:r w:rsidRPr="00372D52">
        <w:rPr>
          <w:rFonts w:ascii="Book Antiqua" w:hAnsi="Book Antiqua"/>
          <w:sz w:val="24"/>
          <w:szCs w:val="24"/>
        </w:rPr>
        <w:t>: 289-295 [PMID: 20688925 DOI: 10.1378/chest.10-0891]</w:t>
      </w:r>
    </w:p>
    <w:p w14:paraId="5046FCA2"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90 </w:t>
      </w:r>
      <w:proofErr w:type="spellStart"/>
      <w:r w:rsidRPr="00372D52">
        <w:rPr>
          <w:rFonts w:ascii="Book Antiqua" w:hAnsi="Book Antiqua"/>
          <w:b/>
          <w:sz w:val="24"/>
          <w:szCs w:val="24"/>
        </w:rPr>
        <w:t>Kor</w:t>
      </w:r>
      <w:proofErr w:type="spellEnd"/>
      <w:r w:rsidRPr="00372D52">
        <w:rPr>
          <w:rFonts w:ascii="Book Antiqua" w:hAnsi="Book Antiqua"/>
          <w:b/>
          <w:sz w:val="24"/>
          <w:szCs w:val="24"/>
        </w:rPr>
        <w:t xml:space="preserve"> DJ</w:t>
      </w:r>
      <w:r w:rsidRPr="00372D52">
        <w:rPr>
          <w:rFonts w:ascii="Book Antiqua" w:hAnsi="Book Antiqua"/>
          <w:sz w:val="24"/>
          <w:szCs w:val="24"/>
        </w:rPr>
        <w:t xml:space="preserve">, Carter RE, Park PK, </w:t>
      </w:r>
      <w:proofErr w:type="spellStart"/>
      <w:r w:rsidRPr="00372D52">
        <w:rPr>
          <w:rFonts w:ascii="Book Antiqua" w:hAnsi="Book Antiqua"/>
          <w:sz w:val="24"/>
          <w:szCs w:val="24"/>
        </w:rPr>
        <w:t>Festic</w:t>
      </w:r>
      <w:proofErr w:type="spellEnd"/>
      <w:r w:rsidRPr="00372D52">
        <w:rPr>
          <w:rFonts w:ascii="Book Antiqua" w:hAnsi="Book Antiqua"/>
          <w:sz w:val="24"/>
          <w:szCs w:val="24"/>
        </w:rPr>
        <w:t xml:space="preserve"> E, Banner-Goodspeed VM, Hinds R, Talmor D, Gajic O, Ware LB, Gong MN; US Critical Illness and Injury Trials Group: Lung Injury Prevention with Aspirin Study Group (USCIITG: LIPS-A). Effect of Aspirin on Development of ARDS in At-Risk Patients Presenting to the Emergency Department: The LIPS-A Randomized Clinical Trial. </w:t>
      </w:r>
      <w:r w:rsidRPr="00372D52">
        <w:rPr>
          <w:rFonts w:ascii="Book Antiqua" w:hAnsi="Book Antiqua"/>
          <w:i/>
          <w:sz w:val="24"/>
          <w:szCs w:val="24"/>
        </w:rPr>
        <w:t>JAMA</w:t>
      </w:r>
      <w:r w:rsidRPr="00372D52">
        <w:rPr>
          <w:rFonts w:ascii="Book Antiqua" w:hAnsi="Book Antiqua"/>
          <w:sz w:val="24"/>
          <w:szCs w:val="24"/>
        </w:rPr>
        <w:t xml:space="preserve"> 2016; </w:t>
      </w:r>
      <w:r w:rsidRPr="00372D52">
        <w:rPr>
          <w:rFonts w:ascii="Book Antiqua" w:hAnsi="Book Antiqua"/>
          <w:b/>
          <w:sz w:val="24"/>
          <w:szCs w:val="24"/>
        </w:rPr>
        <w:t>315</w:t>
      </w:r>
      <w:r w:rsidRPr="00372D52">
        <w:rPr>
          <w:rFonts w:ascii="Book Antiqua" w:hAnsi="Book Antiqua"/>
          <w:sz w:val="24"/>
          <w:szCs w:val="24"/>
        </w:rPr>
        <w:t>: 2406-2414 [PMID: 27179988 DOI: 10.1001/jama.2016.6330]</w:t>
      </w:r>
    </w:p>
    <w:p w14:paraId="4E56A379"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91 </w:t>
      </w:r>
      <w:r w:rsidRPr="00372D52">
        <w:rPr>
          <w:rFonts w:ascii="Book Antiqua" w:hAnsi="Book Antiqua"/>
          <w:b/>
          <w:sz w:val="24"/>
          <w:szCs w:val="24"/>
        </w:rPr>
        <w:t>Emmet O'Brien M</w:t>
      </w:r>
      <w:r w:rsidRPr="00372D52">
        <w:rPr>
          <w:rFonts w:ascii="Book Antiqua" w:hAnsi="Book Antiqua"/>
          <w:sz w:val="24"/>
          <w:szCs w:val="24"/>
        </w:rPr>
        <w:t>, Restrepo MI, Martin-</w:t>
      </w:r>
      <w:proofErr w:type="spellStart"/>
      <w:r w:rsidRPr="00372D52">
        <w:rPr>
          <w:rFonts w:ascii="Book Antiqua" w:hAnsi="Book Antiqua"/>
          <w:sz w:val="24"/>
          <w:szCs w:val="24"/>
        </w:rPr>
        <w:t>Loeches</w:t>
      </w:r>
      <w:proofErr w:type="spellEnd"/>
      <w:r w:rsidRPr="00372D52">
        <w:rPr>
          <w:rFonts w:ascii="Book Antiqua" w:hAnsi="Book Antiqua"/>
          <w:sz w:val="24"/>
          <w:szCs w:val="24"/>
        </w:rPr>
        <w:t xml:space="preserve"> I. Update on the combination effect of macrolide antibiotics in community-acquired pneumonia. </w:t>
      </w:r>
      <w:r w:rsidRPr="00372D52">
        <w:rPr>
          <w:rFonts w:ascii="Book Antiqua" w:hAnsi="Book Antiqua"/>
          <w:i/>
          <w:sz w:val="24"/>
          <w:szCs w:val="24"/>
        </w:rPr>
        <w:t xml:space="preserve">Respir </w:t>
      </w:r>
      <w:proofErr w:type="spellStart"/>
      <w:r w:rsidRPr="00372D52">
        <w:rPr>
          <w:rFonts w:ascii="Book Antiqua" w:hAnsi="Book Antiqua"/>
          <w:i/>
          <w:sz w:val="24"/>
          <w:szCs w:val="24"/>
        </w:rPr>
        <w:t>Investig</w:t>
      </w:r>
      <w:proofErr w:type="spellEnd"/>
      <w:r w:rsidRPr="00372D52">
        <w:rPr>
          <w:rFonts w:ascii="Book Antiqua" w:hAnsi="Book Antiqua"/>
          <w:sz w:val="24"/>
          <w:szCs w:val="24"/>
        </w:rPr>
        <w:t xml:space="preserve"> 2015; </w:t>
      </w:r>
      <w:r w:rsidRPr="00372D52">
        <w:rPr>
          <w:rFonts w:ascii="Book Antiqua" w:hAnsi="Book Antiqua"/>
          <w:b/>
          <w:sz w:val="24"/>
          <w:szCs w:val="24"/>
        </w:rPr>
        <w:t>53</w:t>
      </w:r>
      <w:r w:rsidRPr="00372D52">
        <w:rPr>
          <w:rFonts w:ascii="Book Antiqua" w:hAnsi="Book Antiqua"/>
          <w:sz w:val="24"/>
          <w:szCs w:val="24"/>
        </w:rPr>
        <w:t>: 201-209 [PMID: 26344609 DOI: 10.1016/j.resinv.2015.05.003]</w:t>
      </w:r>
    </w:p>
    <w:p w14:paraId="6CCA43E1"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92 </w:t>
      </w:r>
      <w:proofErr w:type="spellStart"/>
      <w:r w:rsidRPr="00372D52">
        <w:rPr>
          <w:rFonts w:ascii="Book Antiqua" w:hAnsi="Book Antiqua"/>
          <w:b/>
          <w:sz w:val="24"/>
          <w:szCs w:val="24"/>
        </w:rPr>
        <w:t>Walkey</w:t>
      </w:r>
      <w:proofErr w:type="spellEnd"/>
      <w:r w:rsidRPr="00372D52">
        <w:rPr>
          <w:rFonts w:ascii="Book Antiqua" w:hAnsi="Book Antiqua"/>
          <w:b/>
          <w:sz w:val="24"/>
          <w:szCs w:val="24"/>
        </w:rPr>
        <w:t xml:space="preserve"> AJ</w:t>
      </w:r>
      <w:r w:rsidRPr="00372D52">
        <w:rPr>
          <w:rFonts w:ascii="Book Antiqua" w:hAnsi="Book Antiqua"/>
          <w:sz w:val="24"/>
          <w:szCs w:val="24"/>
        </w:rPr>
        <w:t xml:space="preserve">, Wiener RS. Macrolide antibiotics and survival in patients with acute lung injury. </w:t>
      </w:r>
      <w:r w:rsidRPr="00372D52">
        <w:rPr>
          <w:rFonts w:ascii="Book Antiqua" w:hAnsi="Book Antiqua"/>
          <w:i/>
          <w:sz w:val="24"/>
          <w:szCs w:val="24"/>
        </w:rPr>
        <w:t>Chest</w:t>
      </w:r>
      <w:r w:rsidRPr="00372D52">
        <w:rPr>
          <w:rFonts w:ascii="Book Antiqua" w:hAnsi="Book Antiqua"/>
          <w:sz w:val="24"/>
          <w:szCs w:val="24"/>
        </w:rPr>
        <w:t xml:space="preserve"> 2012; </w:t>
      </w:r>
      <w:r w:rsidRPr="00372D52">
        <w:rPr>
          <w:rFonts w:ascii="Book Antiqua" w:hAnsi="Book Antiqua"/>
          <w:b/>
          <w:sz w:val="24"/>
          <w:szCs w:val="24"/>
        </w:rPr>
        <w:t>141</w:t>
      </w:r>
      <w:r w:rsidRPr="00372D52">
        <w:rPr>
          <w:rFonts w:ascii="Book Antiqua" w:hAnsi="Book Antiqua"/>
          <w:sz w:val="24"/>
          <w:szCs w:val="24"/>
        </w:rPr>
        <w:t>: 1153-1159 [PMID: 22116799 DOI: 10.1378/chest.11-1908]</w:t>
      </w:r>
    </w:p>
    <w:p w14:paraId="269AF04C" w14:textId="77777777" w:rsidR="00372D52" w:rsidRPr="00372D52" w:rsidRDefault="00372D52" w:rsidP="00372D52">
      <w:pPr>
        <w:spacing w:after="0" w:line="360" w:lineRule="auto"/>
        <w:jc w:val="both"/>
        <w:rPr>
          <w:rFonts w:ascii="Book Antiqua" w:hAnsi="Book Antiqua"/>
          <w:sz w:val="24"/>
          <w:szCs w:val="24"/>
        </w:rPr>
      </w:pPr>
      <w:r w:rsidRPr="00372D52">
        <w:rPr>
          <w:rFonts w:ascii="Book Antiqua" w:hAnsi="Book Antiqua"/>
          <w:sz w:val="24"/>
          <w:szCs w:val="24"/>
        </w:rPr>
        <w:t xml:space="preserve">93 </w:t>
      </w:r>
      <w:proofErr w:type="spellStart"/>
      <w:r w:rsidRPr="00372D52">
        <w:rPr>
          <w:rFonts w:ascii="Book Antiqua" w:hAnsi="Book Antiqua"/>
          <w:b/>
          <w:sz w:val="24"/>
          <w:szCs w:val="24"/>
        </w:rPr>
        <w:t>Krüger</w:t>
      </w:r>
      <w:proofErr w:type="spellEnd"/>
      <w:r w:rsidRPr="00372D52">
        <w:rPr>
          <w:rFonts w:ascii="Book Antiqua" w:hAnsi="Book Antiqua"/>
          <w:b/>
          <w:sz w:val="24"/>
          <w:szCs w:val="24"/>
        </w:rPr>
        <w:t xml:space="preserve"> S</w:t>
      </w:r>
      <w:r w:rsidRPr="00372D52">
        <w:rPr>
          <w:rFonts w:ascii="Book Antiqua" w:hAnsi="Book Antiqua"/>
          <w:sz w:val="24"/>
          <w:szCs w:val="24"/>
        </w:rPr>
        <w:t xml:space="preserve">, </w:t>
      </w:r>
      <w:proofErr w:type="spellStart"/>
      <w:r w:rsidRPr="00372D52">
        <w:rPr>
          <w:rFonts w:ascii="Book Antiqua" w:hAnsi="Book Antiqua"/>
          <w:sz w:val="24"/>
          <w:szCs w:val="24"/>
        </w:rPr>
        <w:t>Welte</w:t>
      </w:r>
      <w:proofErr w:type="spellEnd"/>
      <w:r w:rsidRPr="00372D52">
        <w:rPr>
          <w:rFonts w:ascii="Book Antiqua" w:hAnsi="Book Antiqua"/>
          <w:sz w:val="24"/>
          <w:szCs w:val="24"/>
        </w:rPr>
        <w:t xml:space="preserve"> T. Biomarkers in community-acquired pneumonia. </w:t>
      </w:r>
      <w:r w:rsidRPr="00372D52">
        <w:rPr>
          <w:rFonts w:ascii="Book Antiqua" w:hAnsi="Book Antiqua"/>
          <w:i/>
          <w:sz w:val="24"/>
          <w:szCs w:val="24"/>
        </w:rPr>
        <w:t>Expert Rev Respir Med</w:t>
      </w:r>
      <w:r w:rsidRPr="00372D52">
        <w:rPr>
          <w:rFonts w:ascii="Book Antiqua" w:hAnsi="Book Antiqua"/>
          <w:sz w:val="24"/>
          <w:szCs w:val="24"/>
        </w:rPr>
        <w:t xml:space="preserve"> 2012; </w:t>
      </w:r>
      <w:r w:rsidRPr="00372D52">
        <w:rPr>
          <w:rFonts w:ascii="Book Antiqua" w:hAnsi="Book Antiqua"/>
          <w:b/>
          <w:sz w:val="24"/>
          <w:szCs w:val="24"/>
        </w:rPr>
        <w:t>6</w:t>
      </w:r>
      <w:r w:rsidRPr="00372D52">
        <w:rPr>
          <w:rFonts w:ascii="Book Antiqua" w:hAnsi="Book Antiqua"/>
          <w:sz w:val="24"/>
          <w:szCs w:val="24"/>
        </w:rPr>
        <w:t>: 203-214 [PMID: 22455492 DOI: 10.1586/ers.12.6]</w:t>
      </w:r>
    </w:p>
    <w:p w14:paraId="6552C56A" w14:textId="2020E459" w:rsidR="002A7F54" w:rsidRPr="00372D52" w:rsidRDefault="002A7F54" w:rsidP="00372D52">
      <w:pPr>
        <w:widowControl w:val="0"/>
        <w:autoSpaceDE w:val="0"/>
        <w:autoSpaceDN w:val="0"/>
        <w:adjustRightInd w:val="0"/>
        <w:spacing w:after="0" w:line="360" w:lineRule="auto"/>
        <w:ind w:left="640" w:hanging="640"/>
        <w:jc w:val="both"/>
        <w:rPr>
          <w:rFonts w:ascii="Book Antiqua" w:hAnsi="Book Antiqua"/>
          <w:sz w:val="24"/>
          <w:szCs w:val="24"/>
        </w:rPr>
      </w:pPr>
    </w:p>
    <w:p w14:paraId="232D5CB6" w14:textId="601CD208" w:rsidR="002F20AA" w:rsidRPr="00372D52" w:rsidRDefault="002F20AA" w:rsidP="00B40E69">
      <w:pPr>
        <w:suppressAutoHyphens/>
        <w:spacing w:after="0" w:line="360" w:lineRule="auto"/>
        <w:ind w:right="120"/>
        <w:jc w:val="right"/>
        <w:rPr>
          <w:rFonts w:ascii="Book Antiqua" w:hAnsi="Book Antiqua" w:cs="Mangal"/>
          <w:b/>
          <w:bCs/>
          <w:kern w:val="2"/>
          <w:sz w:val="24"/>
          <w:szCs w:val="24"/>
          <w:lang w:val="it-IT" w:bidi="hi-IN"/>
        </w:rPr>
      </w:pPr>
      <w:bookmarkStart w:id="208" w:name="OLE_LINK480"/>
      <w:bookmarkStart w:id="209" w:name="OLE_LINK502"/>
      <w:bookmarkStart w:id="210" w:name="OLE_LINK2181"/>
      <w:bookmarkStart w:id="211" w:name="OLE_LINK2182"/>
      <w:bookmarkStart w:id="212" w:name="OLE_LINK2183"/>
      <w:bookmarkStart w:id="213" w:name="OLE_LINK1021"/>
      <w:bookmarkStart w:id="214" w:name="OLE_LINK1022"/>
      <w:bookmarkStart w:id="215" w:name="OLE_LINK1023"/>
      <w:bookmarkStart w:id="216" w:name="OLE_LINK1064"/>
      <w:bookmarkStart w:id="217" w:name="OLE_LINK1065"/>
      <w:bookmarkStart w:id="218" w:name="OLE_LINK1156"/>
      <w:bookmarkStart w:id="219" w:name="OLE_LINK1157"/>
      <w:bookmarkStart w:id="220" w:name="OLE_LINK1158"/>
      <w:bookmarkStart w:id="221" w:name="OLE_LINK1159"/>
      <w:bookmarkStart w:id="222" w:name="OLE_LINK1185"/>
      <w:bookmarkStart w:id="223" w:name="OLE_LINK958"/>
      <w:bookmarkStart w:id="224" w:name="OLE_LINK959"/>
      <w:bookmarkStart w:id="225" w:name="OLE_LINK962"/>
      <w:bookmarkStart w:id="226" w:name="OLE_LINK1127"/>
      <w:bookmarkStart w:id="227" w:name="OLE_LINK945"/>
      <w:bookmarkStart w:id="228" w:name="OLE_LINK946"/>
      <w:bookmarkStart w:id="229" w:name="OLE_LINK947"/>
      <w:bookmarkStart w:id="230" w:name="OLE_LINK987"/>
      <w:bookmarkStart w:id="231" w:name="OLE_LINK1035"/>
      <w:bookmarkStart w:id="232" w:name="OLE_LINK1036"/>
      <w:bookmarkStart w:id="233" w:name="OLE_LINK1037"/>
      <w:bookmarkStart w:id="234" w:name="OLE_LINK1038"/>
      <w:bookmarkStart w:id="235" w:name="OLE_LINK1039"/>
      <w:bookmarkStart w:id="236" w:name="OLE_LINK1040"/>
      <w:bookmarkStart w:id="237" w:name="OLE_LINK1041"/>
      <w:bookmarkStart w:id="238" w:name="OLE_LINK1042"/>
      <w:bookmarkStart w:id="239" w:name="OLE_LINK1043"/>
      <w:bookmarkStart w:id="240" w:name="OLE_LINK1044"/>
      <w:bookmarkStart w:id="241" w:name="OLE_LINK1071"/>
      <w:bookmarkStart w:id="242" w:name="OLE_LINK1072"/>
      <w:bookmarkStart w:id="243" w:name="OLE_LINK968"/>
      <w:bookmarkStart w:id="244" w:name="OLE_LINK1260"/>
      <w:bookmarkStart w:id="245" w:name="OLE_LINK1261"/>
      <w:bookmarkStart w:id="246" w:name="OLE_LINK1264"/>
      <w:bookmarkStart w:id="247" w:name="OLE_LINK1265"/>
      <w:bookmarkStart w:id="248" w:name="OLE_LINK1266"/>
      <w:bookmarkStart w:id="249" w:name="OLE_LINK1282"/>
      <w:bookmarkStart w:id="250" w:name="OLE_LINK1800"/>
      <w:bookmarkStart w:id="251" w:name="OLE_LINK1801"/>
      <w:bookmarkStart w:id="252" w:name="OLE_LINK1802"/>
      <w:bookmarkStart w:id="253" w:name="OLE_LINK1803"/>
      <w:bookmarkStart w:id="254" w:name="OLE_LINK1843"/>
      <w:bookmarkStart w:id="255" w:name="OLE_LINK1844"/>
      <w:bookmarkStart w:id="256" w:name="OLE_LINK1845"/>
      <w:bookmarkStart w:id="257" w:name="OLE_LINK1636"/>
      <w:bookmarkStart w:id="258" w:name="OLE_LINK1755"/>
      <w:bookmarkStart w:id="259" w:name="OLE_LINK1806"/>
      <w:bookmarkStart w:id="260" w:name="OLE_LINK1807"/>
      <w:bookmarkStart w:id="261" w:name="OLE_LINK1811"/>
      <w:bookmarkStart w:id="262" w:name="OLE_LINK1812"/>
      <w:bookmarkStart w:id="263" w:name="OLE_LINK1813"/>
      <w:bookmarkStart w:id="264" w:name="OLE_LINK1962"/>
      <w:bookmarkStart w:id="265" w:name="OLE_LINK1963"/>
      <w:bookmarkStart w:id="266" w:name="OLE_LINK1964"/>
      <w:bookmarkStart w:id="267" w:name="OLE_LINK2162"/>
      <w:bookmarkStart w:id="268" w:name="OLE_LINK2198"/>
      <w:bookmarkStart w:id="269" w:name="OLE_LINK2199"/>
      <w:bookmarkStart w:id="270" w:name="OLE_LINK2200"/>
      <w:bookmarkStart w:id="271" w:name="OLE_LINK2090"/>
      <w:bookmarkStart w:id="272" w:name="_Hlk13650668"/>
      <w:bookmarkStart w:id="273" w:name="OLE_LINK58"/>
      <w:r w:rsidRPr="00372D52">
        <w:rPr>
          <w:rFonts w:ascii="Book Antiqua" w:eastAsia="Lucida Sans Unicode" w:hAnsi="Book Antiqua" w:cs="Arial"/>
          <w:b/>
          <w:noProof/>
          <w:kern w:val="2"/>
          <w:sz w:val="24"/>
          <w:szCs w:val="24"/>
          <w:lang w:val="it-IT" w:eastAsia="hi-IN" w:bidi="hi-IN"/>
        </w:rPr>
        <w:t>P-Reviewer</w:t>
      </w:r>
      <w:r w:rsidRPr="00372D52">
        <w:rPr>
          <w:rFonts w:ascii="Book Antiqua" w:hAnsi="Book Antiqua" w:cs="Arial"/>
          <w:b/>
          <w:noProof/>
          <w:kern w:val="2"/>
          <w:sz w:val="24"/>
          <w:szCs w:val="24"/>
          <w:lang w:val="it-IT" w:bidi="hi-IN"/>
        </w:rPr>
        <w:t>:</w:t>
      </w:r>
      <w:r w:rsidRPr="00372D52">
        <w:rPr>
          <w:rFonts w:ascii="Book Antiqua" w:eastAsia="Lucida Sans Unicode" w:hAnsi="Book Antiqua" w:cs="Mangal"/>
          <w:bCs/>
          <w:kern w:val="2"/>
          <w:sz w:val="24"/>
          <w:szCs w:val="24"/>
          <w:lang w:val="it-IT" w:eastAsia="hi-IN" w:bidi="hi-IN"/>
        </w:rPr>
        <w:t xml:space="preserve"> </w:t>
      </w:r>
      <w:proofErr w:type="spellStart"/>
      <w:r w:rsidRPr="00372D52">
        <w:rPr>
          <w:rFonts w:ascii="Book Antiqua" w:hAnsi="Book Antiqua"/>
          <w:sz w:val="24"/>
          <w:szCs w:val="24"/>
        </w:rPr>
        <w:t>Aurilio</w:t>
      </w:r>
      <w:proofErr w:type="spellEnd"/>
      <w:r w:rsidRPr="00372D52">
        <w:rPr>
          <w:rFonts w:ascii="Book Antiqua" w:hAnsi="Book Antiqua"/>
          <w:sz w:val="24"/>
          <w:szCs w:val="24"/>
        </w:rPr>
        <w:t xml:space="preserve"> C, Yeh YC, </w:t>
      </w:r>
      <w:proofErr w:type="spellStart"/>
      <w:r w:rsidRPr="00372D52">
        <w:rPr>
          <w:rFonts w:ascii="Book Antiqua" w:hAnsi="Book Antiqua"/>
          <w:sz w:val="24"/>
          <w:szCs w:val="24"/>
        </w:rPr>
        <w:t>Inchauspe</w:t>
      </w:r>
      <w:proofErr w:type="spellEnd"/>
      <w:r w:rsidRPr="00372D52">
        <w:rPr>
          <w:rFonts w:ascii="Book Antiqua" w:hAnsi="Book Antiqua"/>
          <w:sz w:val="24"/>
          <w:szCs w:val="24"/>
        </w:rPr>
        <w:t xml:space="preserve"> AA</w:t>
      </w:r>
      <w:r w:rsidRPr="00372D52">
        <w:rPr>
          <w:rFonts w:ascii="Book Antiqua" w:eastAsia="Lucida Sans Unicode" w:hAnsi="Book Antiqua" w:cs="Mangal"/>
          <w:bCs/>
          <w:kern w:val="2"/>
          <w:sz w:val="24"/>
          <w:szCs w:val="24"/>
          <w:lang w:val="it-IT" w:eastAsia="hi-IN" w:bidi="hi-IN"/>
        </w:rPr>
        <w:t xml:space="preserve"> </w:t>
      </w:r>
      <w:r w:rsidRPr="00372D52">
        <w:rPr>
          <w:rFonts w:ascii="Book Antiqua" w:eastAsia="Lucida Sans Unicode" w:hAnsi="Book Antiqua" w:cs="Mangal"/>
          <w:b/>
          <w:bCs/>
          <w:kern w:val="2"/>
          <w:sz w:val="24"/>
          <w:szCs w:val="24"/>
          <w:lang w:val="it-IT" w:eastAsia="hi-IN" w:bidi="hi-IN"/>
        </w:rPr>
        <w:t>S-Editor</w:t>
      </w:r>
      <w:r w:rsidRPr="00372D52">
        <w:rPr>
          <w:rFonts w:ascii="Book Antiqua" w:hAnsi="Book Antiqua" w:cs="Mangal"/>
          <w:b/>
          <w:bCs/>
          <w:kern w:val="2"/>
          <w:sz w:val="24"/>
          <w:szCs w:val="24"/>
          <w:lang w:val="it-IT" w:bidi="hi-IN"/>
        </w:rPr>
        <w:t>:</w:t>
      </w:r>
      <w:r w:rsidRPr="00372D52">
        <w:rPr>
          <w:rFonts w:ascii="Book Antiqua" w:eastAsia="Lucida Sans Unicode" w:hAnsi="Book Antiqua" w:cs="Mangal"/>
          <w:bCs/>
          <w:kern w:val="2"/>
          <w:sz w:val="24"/>
          <w:szCs w:val="24"/>
          <w:lang w:val="it-IT" w:eastAsia="hi-IN" w:bidi="hi-IN"/>
        </w:rPr>
        <w:t xml:space="preserve"> </w:t>
      </w:r>
      <w:r w:rsidRPr="00372D52">
        <w:rPr>
          <w:rFonts w:ascii="Book Antiqua" w:hAnsi="Book Antiqua" w:cs="Mangal"/>
          <w:bCs/>
          <w:kern w:val="2"/>
          <w:sz w:val="24"/>
          <w:szCs w:val="24"/>
          <w:lang w:val="it-IT" w:bidi="hi-IN"/>
        </w:rPr>
        <w:t>Dou Y</w:t>
      </w:r>
      <w:r w:rsidRPr="00372D52">
        <w:rPr>
          <w:rFonts w:ascii="Book Antiqua" w:eastAsia="Lucida Sans Unicode" w:hAnsi="Book Antiqua" w:cs="Mangal"/>
          <w:b/>
          <w:bCs/>
          <w:kern w:val="2"/>
          <w:sz w:val="24"/>
          <w:szCs w:val="24"/>
          <w:lang w:val="it-IT" w:eastAsia="hi-IN" w:bidi="hi-IN"/>
        </w:rPr>
        <w:t xml:space="preserve"> L-Editor</w:t>
      </w:r>
      <w:r w:rsidRPr="00372D52">
        <w:rPr>
          <w:rFonts w:ascii="Book Antiqua" w:hAnsi="Book Antiqua" w:cs="Mangal"/>
          <w:b/>
          <w:bCs/>
          <w:kern w:val="2"/>
          <w:sz w:val="24"/>
          <w:szCs w:val="24"/>
          <w:lang w:val="it-IT" w:bidi="hi-IN"/>
        </w:rPr>
        <w:t>:</w:t>
      </w:r>
      <w:r w:rsidRPr="00372D52">
        <w:rPr>
          <w:rFonts w:ascii="Book Antiqua" w:eastAsia="Lucida Sans Unicode" w:hAnsi="Book Antiqua" w:cs="Mangal"/>
          <w:b/>
          <w:bCs/>
          <w:kern w:val="2"/>
          <w:sz w:val="24"/>
          <w:szCs w:val="24"/>
          <w:lang w:val="it-IT" w:eastAsia="hi-IN" w:bidi="hi-IN"/>
        </w:rPr>
        <w:t xml:space="preserve"> E-Editor</w:t>
      </w:r>
      <w:r w:rsidRPr="00372D52">
        <w:rPr>
          <w:rFonts w:ascii="Book Antiqua" w:hAnsi="Book Antiqua" w:cs="Mangal"/>
          <w:b/>
          <w:bCs/>
          <w:kern w:val="2"/>
          <w:sz w:val="24"/>
          <w:szCs w:val="24"/>
          <w:lang w:val="it-IT" w:bidi="hi-IN"/>
        </w:rPr>
        <w:t>:</w:t>
      </w:r>
    </w:p>
    <w:p w14:paraId="1E4A8A76" w14:textId="0C495686" w:rsidR="002F20AA" w:rsidRPr="00372D52" w:rsidRDefault="002F20AA" w:rsidP="00372D52">
      <w:pPr>
        <w:widowControl w:val="0"/>
        <w:shd w:val="clear" w:color="auto" w:fill="FFFFFF"/>
        <w:spacing w:after="0" w:line="360" w:lineRule="auto"/>
        <w:jc w:val="both"/>
        <w:rPr>
          <w:rFonts w:ascii="Book Antiqua" w:hAnsi="Book Antiqua" w:cs="Helvetica"/>
          <w:b/>
          <w:kern w:val="2"/>
          <w:sz w:val="24"/>
          <w:szCs w:val="24"/>
        </w:rPr>
      </w:pPr>
      <w:r w:rsidRPr="00372D52">
        <w:rPr>
          <w:rFonts w:ascii="Book Antiqua" w:hAnsi="Book Antiqua" w:cs="Helvetica"/>
          <w:b/>
          <w:kern w:val="2"/>
          <w:sz w:val="24"/>
          <w:szCs w:val="24"/>
        </w:rPr>
        <w:t xml:space="preserve">Specialty type: </w:t>
      </w:r>
      <w:r w:rsidRPr="00372D52">
        <w:rPr>
          <w:rFonts w:ascii="Book Antiqua" w:eastAsia="Microsoft YaHei" w:hAnsi="Book Antiqua" w:cs="SimSun"/>
          <w:sz w:val="24"/>
          <w:szCs w:val="24"/>
        </w:rPr>
        <w:t>Critical care medicine</w:t>
      </w:r>
    </w:p>
    <w:p w14:paraId="2CAE8A44" w14:textId="43AB86FC" w:rsidR="002F20AA" w:rsidRPr="00372D52" w:rsidRDefault="002F20AA" w:rsidP="00372D52">
      <w:pPr>
        <w:widowControl w:val="0"/>
        <w:shd w:val="clear" w:color="auto" w:fill="FFFFFF"/>
        <w:spacing w:after="0" w:line="360" w:lineRule="auto"/>
        <w:jc w:val="both"/>
        <w:rPr>
          <w:rFonts w:ascii="Book Antiqua" w:hAnsi="Book Antiqua" w:cs="Helvetica"/>
          <w:b/>
          <w:kern w:val="2"/>
          <w:sz w:val="24"/>
          <w:szCs w:val="24"/>
        </w:rPr>
      </w:pPr>
      <w:r w:rsidRPr="00372D52">
        <w:rPr>
          <w:rFonts w:ascii="Book Antiqua" w:hAnsi="Book Antiqua" w:cs="Helvetica"/>
          <w:b/>
          <w:kern w:val="2"/>
          <w:sz w:val="24"/>
          <w:szCs w:val="24"/>
        </w:rPr>
        <w:lastRenderedPageBreak/>
        <w:t xml:space="preserve">Country of origin: </w:t>
      </w:r>
      <w:r w:rsidRPr="00372D52">
        <w:rPr>
          <w:rFonts w:ascii="Book Antiqua" w:hAnsi="Book Antiqua" w:cs="Helvetica"/>
          <w:kern w:val="2"/>
          <w:sz w:val="24"/>
          <w:szCs w:val="24"/>
        </w:rPr>
        <w:t>United States</w:t>
      </w:r>
    </w:p>
    <w:p w14:paraId="3EFB0B6D" w14:textId="77777777" w:rsidR="002F20AA" w:rsidRPr="00372D52" w:rsidRDefault="002F20AA" w:rsidP="00372D52">
      <w:pPr>
        <w:widowControl w:val="0"/>
        <w:shd w:val="clear" w:color="auto" w:fill="FFFFFF"/>
        <w:spacing w:after="0" w:line="360" w:lineRule="auto"/>
        <w:jc w:val="both"/>
        <w:rPr>
          <w:rFonts w:ascii="Book Antiqua" w:hAnsi="Book Antiqua" w:cs="Helvetica"/>
          <w:b/>
          <w:kern w:val="2"/>
          <w:sz w:val="24"/>
          <w:szCs w:val="24"/>
        </w:rPr>
      </w:pPr>
      <w:r w:rsidRPr="00372D52">
        <w:rPr>
          <w:rFonts w:ascii="Book Antiqua" w:hAnsi="Book Antiqua" w:cs="Helvetica"/>
          <w:b/>
          <w:kern w:val="2"/>
          <w:sz w:val="24"/>
          <w:szCs w:val="24"/>
        </w:rPr>
        <w:t>Peer-review report classification</w:t>
      </w:r>
    </w:p>
    <w:p w14:paraId="3FF21B55" w14:textId="7337C938" w:rsidR="002F20AA" w:rsidRPr="00372D52" w:rsidRDefault="002F20AA" w:rsidP="00372D52">
      <w:pPr>
        <w:widowControl w:val="0"/>
        <w:shd w:val="clear" w:color="auto" w:fill="FFFFFF"/>
        <w:spacing w:after="0" w:line="360" w:lineRule="auto"/>
        <w:jc w:val="both"/>
        <w:rPr>
          <w:rFonts w:ascii="Book Antiqua" w:hAnsi="Book Antiqua" w:cs="Helvetica"/>
          <w:kern w:val="2"/>
          <w:sz w:val="24"/>
          <w:szCs w:val="24"/>
        </w:rPr>
      </w:pPr>
      <w:r w:rsidRPr="00372D52">
        <w:rPr>
          <w:rFonts w:ascii="Book Antiqua" w:hAnsi="Book Antiqua" w:cs="Helvetica"/>
          <w:kern w:val="2"/>
          <w:sz w:val="24"/>
          <w:szCs w:val="24"/>
        </w:rPr>
        <w:t>Grade A (Excellent): A</w:t>
      </w:r>
    </w:p>
    <w:p w14:paraId="460F5156" w14:textId="3AC5FF0F" w:rsidR="002F20AA" w:rsidRPr="00372D52" w:rsidRDefault="002F20AA" w:rsidP="00372D52">
      <w:pPr>
        <w:widowControl w:val="0"/>
        <w:shd w:val="clear" w:color="auto" w:fill="FFFFFF"/>
        <w:spacing w:after="0" w:line="360" w:lineRule="auto"/>
        <w:jc w:val="both"/>
        <w:rPr>
          <w:rFonts w:ascii="Book Antiqua" w:hAnsi="Book Antiqua" w:cs="Helvetica"/>
          <w:kern w:val="2"/>
          <w:sz w:val="24"/>
          <w:szCs w:val="24"/>
        </w:rPr>
      </w:pPr>
      <w:r w:rsidRPr="00372D52">
        <w:rPr>
          <w:rFonts w:ascii="Book Antiqua" w:hAnsi="Book Antiqua" w:cs="Helvetica"/>
          <w:kern w:val="2"/>
          <w:sz w:val="24"/>
          <w:szCs w:val="24"/>
        </w:rPr>
        <w:t>Grade B (Very good): 0</w:t>
      </w:r>
    </w:p>
    <w:p w14:paraId="54B038B1" w14:textId="71EA49C2" w:rsidR="002F20AA" w:rsidRPr="00372D52" w:rsidRDefault="002F20AA" w:rsidP="00372D52">
      <w:pPr>
        <w:widowControl w:val="0"/>
        <w:shd w:val="clear" w:color="auto" w:fill="FFFFFF"/>
        <w:spacing w:after="0" w:line="360" w:lineRule="auto"/>
        <w:jc w:val="both"/>
        <w:rPr>
          <w:rFonts w:ascii="Book Antiqua" w:hAnsi="Book Antiqua" w:cs="Helvetica"/>
          <w:kern w:val="2"/>
          <w:sz w:val="24"/>
          <w:szCs w:val="24"/>
        </w:rPr>
      </w:pPr>
      <w:r w:rsidRPr="00372D52">
        <w:rPr>
          <w:rFonts w:ascii="Book Antiqua" w:hAnsi="Book Antiqua" w:cs="Helvetica"/>
          <w:kern w:val="2"/>
          <w:sz w:val="24"/>
          <w:szCs w:val="24"/>
        </w:rPr>
        <w:t>Grade C (Good): C, C</w:t>
      </w:r>
    </w:p>
    <w:p w14:paraId="077BC016" w14:textId="77777777" w:rsidR="002F20AA" w:rsidRPr="00372D52" w:rsidRDefault="002F20AA" w:rsidP="00372D52">
      <w:pPr>
        <w:widowControl w:val="0"/>
        <w:shd w:val="clear" w:color="auto" w:fill="FFFFFF"/>
        <w:spacing w:after="0" w:line="360" w:lineRule="auto"/>
        <w:jc w:val="both"/>
        <w:rPr>
          <w:rFonts w:ascii="Book Antiqua" w:hAnsi="Book Antiqua" w:cs="Helvetica"/>
          <w:kern w:val="2"/>
          <w:sz w:val="24"/>
          <w:szCs w:val="24"/>
        </w:rPr>
      </w:pPr>
      <w:r w:rsidRPr="00372D52">
        <w:rPr>
          <w:rFonts w:ascii="Book Antiqua" w:hAnsi="Book Antiqua" w:cs="Helvetica"/>
          <w:kern w:val="2"/>
          <w:sz w:val="24"/>
          <w:szCs w:val="24"/>
        </w:rPr>
        <w:t xml:space="preserve">Grade D (Fair): </w:t>
      </w:r>
      <w:bookmarkEnd w:id="208"/>
      <w:bookmarkEnd w:id="209"/>
      <w:r w:rsidRPr="00372D52">
        <w:rPr>
          <w:rFonts w:ascii="Book Antiqua" w:hAnsi="Book Antiqua" w:cs="Helvetica"/>
          <w:kern w:val="2"/>
          <w:sz w:val="24"/>
          <w:szCs w:val="24"/>
        </w:rPr>
        <w:t>0</w:t>
      </w:r>
    </w:p>
    <w:p w14:paraId="28E4F5C9" w14:textId="53F5DC1B" w:rsidR="002F20AA" w:rsidRPr="00372D52" w:rsidRDefault="002F20AA" w:rsidP="00372D52">
      <w:pPr>
        <w:widowControl w:val="0"/>
        <w:shd w:val="clear" w:color="auto" w:fill="FFFFFF"/>
        <w:spacing w:after="0" w:line="360" w:lineRule="auto"/>
        <w:jc w:val="both"/>
        <w:rPr>
          <w:rFonts w:ascii="Book Antiqua" w:hAnsi="Book Antiqua" w:cs="Helvetica"/>
          <w:kern w:val="2"/>
          <w:sz w:val="24"/>
          <w:szCs w:val="24"/>
        </w:rPr>
      </w:pPr>
      <w:r w:rsidRPr="00372D52">
        <w:rPr>
          <w:rFonts w:ascii="Book Antiqua" w:hAnsi="Book Antiqua" w:cs="Helvetica"/>
          <w:kern w:val="2"/>
          <w:sz w:val="24"/>
          <w:szCs w:val="24"/>
        </w:rPr>
        <w:t>Grade E (Poor): 0</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2926C2DE" w14:textId="77777777" w:rsidR="002A7F54" w:rsidRPr="00372D52" w:rsidRDefault="002A7F54" w:rsidP="00372D52">
      <w:pPr>
        <w:spacing w:after="0" w:line="360" w:lineRule="auto"/>
        <w:jc w:val="both"/>
        <w:rPr>
          <w:rFonts w:ascii="Book Antiqua" w:hAnsi="Book Antiqua"/>
          <w:sz w:val="24"/>
          <w:szCs w:val="24"/>
        </w:rPr>
      </w:pPr>
      <w:r w:rsidRPr="00372D52">
        <w:rPr>
          <w:rFonts w:ascii="Book Antiqua" w:hAnsi="Book Antiqua"/>
          <w:sz w:val="24"/>
          <w:szCs w:val="24"/>
        </w:rPr>
        <w:br w:type="page"/>
      </w:r>
    </w:p>
    <w:p w14:paraId="4F0E9437" w14:textId="32F8BBD2" w:rsidR="002A7F54" w:rsidRPr="00372D52" w:rsidRDefault="002A7F54" w:rsidP="00372D52">
      <w:pPr>
        <w:tabs>
          <w:tab w:val="left" w:pos="3120"/>
        </w:tabs>
        <w:spacing w:after="0" w:line="360" w:lineRule="auto"/>
        <w:jc w:val="both"/>
        <w:rPr>
          <w:rFonts w:ascii="Book Antiqua" w:hAnsi="Book Antiqua"/>
          <w:b/>
          <w:sz w:val="24"/>
          <w:szCs w:val="24"/>
        </w:rPr>
      </w:pPr>
      <w:r w:rsidRPr="00372D52">
        <w:rPr>
          <w:rFonts w:ascii="Book Antiqua" w:hAnsi="Book Antiqua"/>
          <w:b/>
          <w:sz w:val="24"/>
          <w:szCs w:val="24"/>
        </w:rPr>
        <w:lastRenderedPageBreak/>
        <w:t xml:space="preserve">Table 1 Summary of current evidence on biomarkers and their role in the evaluation and management of community acquired </w:t>
      </w:r>
      <w:proofErr w:type="gramStart"/>
      <w:r w:rsidRPr="00372D52">
        <w:rPr>
          <w:rFonts w:ascii="Book Antiqua" w:hAnsi="Book Antiqua"/>
          <w:b/>
          <w:sz w:val="24"/>
          <w:szCs w:val="24"/>
        </w:rPr>
        <w:t>pneumonia</w:t>
      </w:r>
      <w:r w:rsidR="0022243E" w:rsidRPr="00372D52">
        <w:rPr>
          <w:rFonts w:ascii="Book Antiqua" w:hAnsi="Book Antiqua"/>
          <w:b/>
          <w:sz w:val="24"/>
          <w:szCs w:val="24"/>
          <w:vertAlign w:val="superscript"/>
        </w:rPr>
        <w:t>[</w:t>
      </w:r>
      <w:proofErr w:type="gramEnd"/>
      <w:r w:rsidR="0022243E" w:rsidRPr="00372D52">
        <w:rPr>
          <w:rFonts w:ascii="Book Antiqua" w:hAnsi="Book Antiqua"/>
          <w:b/>
          <w:sz w:val="24"/>
          <w:szCs w:val="24"/>
          <w:vertAlign w:val="superscript"/>
        </w:rPr>
        <w:t>22]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6172"/>
      </w:tblGrid>
      <w:tr w:rsidR="002A7F54" w:rsidRPr="00372D52" w14:paraId="17A1027D" w14:textId="77777777" w:rsidTr="0022243E">
        <w:tc>
          <w:tcPr>
            <w:tcW w:w="3192" w:type="dxa"/>
            <w:tcBorders>
              <w:top w:val="single" w:sz="4" w:space="0" w:color="auto"/>
              <w:bottom w:val="single" w:sz="4" w:space="0" w:color="auto"/>
            </w:tcBorders>
          </w:tcPr>
          <w:p w14:paraId="7D58EC73" w14:textId="77777777" w:rsidR="002A7F54" w:rsidRPr="00372D52" w:rsidRDefault="002A7F54" w:rsidP="00372D52">
            <w:pPr>
              <w:tabs>
                <w:tab w:val="left" w:pos="3120"/>
              </w:tabs>
              <w:spacing w:line="360" w:lineRule="auto"/>
              <w:jc w:val="both"/>
              <w:rPr>
                <w:rFonts w:ascii="Book Antiqua" w:hAnsi="Book Antiqua"/>
                <w:b/>
                <w:bCs/>
                <w:sz w:val="24"/>
                <w:szCs w:val="24"/>
              </w:rPr>
            </w:pPr>
            <w:r w:rsidRPr="00372D52">
              <w:rPr>
                <w:rFonts w:ascii="Book Antiqua" w:hAnsi="Book Antiqua"/>
                <w:b/>
                <w:bCs/>
                <w:sz w:val="24"/>
                <w:szCs w:val="24"/>
              </w:rPr>
              <w:t>Role</w:t>
            </w:r>
          </w:p>
        </w:tc>
        <w:tc>
          <w:tcPr>
            <w:tcW w:w="6186" w:type="dxa"/>
            <w:tcBorders>
              <w:top w:val="single" w:sz="4" w:space="0" w:color="auto"/>
              <w:bottom w:val="single" w:sz="4" w:space="0" w:color="auto"/>
            </w:tcBorders>
          </w:tcPr>
          <w:p w14:paraId="5773FC40" w14:textId="77777777" w:rsidR="002A7F54" w:rsidRPr="00372D52" w:rsidRDefault="002A7F54" w:rsidP="00372D52">
            <w:pPr>
              <w:tabs>
                <w:tab w:val="left" w:pos="3120"/>
              </w:tabs>
              <w:spacing w:line="360" w:lineRule="auto"/>
              <w:jc w:val="both"/>
              <w:rPr>
                <w:rFonts w:ascii="Book Antiqua" w:hAnsi="Book Antiqua"/>
                <w:b/>
                <w:bCs/>
                <w:sz w:val="24"/>
                <w:szCs w:val="24"/>
              </w:rPr>
            </w:pPr>
            <w:r w:rsidRPr="00372D52">
              <w:rPr>
                <w:rFonts w:ascii="Book Antiqua" w:hAnsi="Book Antiqua"/>
                <w:b/>
                <w:bCs/>
                <w:sz w:val="24"/>
                <w:szCs w:val="24"/>
              </w:rPr>
              <w:t>Biomarker</w:t>
            </w:r>
          </w:p>
        </w:tc>
      </w:tr>
      <w:tr w:rsidR="002A7F54" w:rsidRPr="00372D52" w14:paraId="2D77B3A6" w14:textId="77777777" w:rsidTr="0022243E">
        <w:tc>
          <w:tcPr>
            <w:tcW w:w="3192" w:type="dxa"/>
            <w:tcBorders>
              <w:top w:val="single" w:sz="4" w:space="0" w:color="auto"/>
            </w:tcBorders>
          </w:tcPr>
          <w:p w14:paraId="16E923B8"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Diagnosis</w:t>
            </w:r>
          </w:p>
        </w:tc>
        <w:tc>
          <w:tcPr>
            <w:tcW w:w="6186" w:type="dxa"/>
            <w:tcBorders>
              <w:top w:val="single" w:sz="4" w:space="0" w:color="auto"/>
            </w:tcBorders>
          </w:tcPr>
          <w:p w14:paraId="090C0710"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CRP, PCT, Ang 1, Ang 2</w:t>
            </w:r>
          </w:p>
        </w:tc>
      </w:tr>
      <w:tr w:rsidR="002A7F54" w:rsidRPr="00372D52" w14:paraId="36F77A9D" w14:textId="77777777" w:rsidTr="0022243E">
        <w:tc>
          <w:tcPr>
            <w:tcW w:w="3192" w:type="dxa"/>
          </w:tcPr>
          <w:p w14:paraId="6433C20A"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Severity of illness</w:t>
            </w:r>
          </w:p>
        </w:tc>
        <w:tc>
          <w:tcPr>
            <w:tcW w:w="6186" w:type="dxa"/>
          </w:tcPr>
          <w:p w14:paraId="30A7F890"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 xml:space="preserve">CRP, PCT, Ang 1, Ang 2, Pro-ADM, Pro-ANP, Pro-VNP, SP-D, YKL-40, CCL 18, Endocan, NETs, FGF21, </w:t>
            </w:r>
          </w:p>
        </w:tc>
      </w:tr>
      <w:tr w:rsidR="002A7F54" w:rsidRPr="00372D52" w14:paraId="340E1323" w14:textId="77777777" w:rsidTr="0022243E">
        <w:tc>
          <w:tcPr>
            <w:tcW w:w="3192" w:type="dxa"/>
          </w:tcPr>
          <w:p w14:paraId="4F27ABC1"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Clinical instability</w:t>
            </w:r>
          </w:p>
        </w:tc>
        <w:tc>
          <w:tcPr>
            <w:tcW w:w="6186" w:type="dxa"/>
          </w:tcPr>
          <w:p w14:paraId="3FF4F955"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CRP, PCT, NETs, FGF21</w:t>
            </w:r>
          </w:p>
        </w:tc>
      </w:tr>
      <w:tr w:rsidR="002A7F54" w:rsidRPr="00372D52" w14:paraId="62C63A44" w14:textId="77777777" w:rsidTr="0022243E">
        <w:tc>
          <w:tcPr>
            <w:tcW w:w="3192" w:type="dxa"/>
          </w:tcPr>
          <w:p w14:paraId="1B00F6B7" w14:textId="77777777" w:rsidR="002A7F54" w:rsidRPr="00372D52" w:rsidRDefault="002A7F54" w:rsidP="00372D52">
            <w:pPr>
              <w:spacing w:line="360" w:lineRule="auto"/>
              <w:jc w:val="both"/>
              <w:rPr>
                <w:rFonts w:ascii="Book Antiqua" w:hAnsi="Book Antiqua"/>
                <w:sz w:val="24"/>
                <w:szCs w:val="24"/>
              </w:rPr>
            </w:pPr>
            <w:r w:rsidRPr="00372D52">
              <w:rPr>
                <w:rFonts w:ascii="Book Antiqua" w:hAnsi="Book Antiqua"/>
                <w:sz w:val="24"/>
                <w:szCs w:val="24"/>
              </w:rPr>
              <w:t>De-escalation antibiotic</w:t>
            </w:r>
          </w:p>
        </w:tc>
        <w:tc>
          <w:tcPr>
            <w:tcW w:w="6186" w:type="dxa"/>
          </w:tcPr>
          <w:p w14:paraId="0F058B86" w14:textId="77777777" w:rsidR="002A7F54" w:rsidRPr="00372D52" w:rsidRDefault="002A7F54" w:rsidP="00372D52">
            <w:pPr>
              <w:spacing w:line="360" w:lineRule="auto"/>
              <w:jc w:val="both"/>
              <w:rPr>
                <w:rFonts w:ascii="Book Antiqua" w:hAnsi="Book Antiqua"/>
                <w:sz w:val="24"/>
                <w:szCs w:val="24"/>
              </w:rPr>
            </w:pPr>
            <w:r w:rsidRPr="00372D52">
              <w:rPr>
                <w:rFonts w:ascii="Book Antiqua" w:hAnsi="Book Antiqua"/>
                <w:sz w:val="24"/>
                <w:szCs w:val="24"/>
              </w:rPr>
              <w:t>PCT</w:t>
            </w:r>
          </w:p>
        </w:tc>
      </w:tr>
      <w:tr w:rsidR="002A7F54" w:rsidRPr="00372D52" w14:paraId="7A55FC81" w14:textId="77777777" w:rsidTr="0022243E">
        <w:tc>
          <w:tcPr>
            <w:tcW w:w="3192" w:type="dxa"/>
          </w:tcPr>
          <w:p w14:paraId="69B63172" w14:textId="77777777" w:rsidR="002A7F54" w:rsidRPr="00372D52" w:rsidRDefault="002A7F54" w:rsidP="00372D52">
            <w:pPr>
              <w:spacing w:line="360" w:lineRule="auto"/>
              <w:jc w:val="both"/>
              <w:rPr>
                <w:rFonts w:ascii="Book Antiqua" w:hAnsi="Book Antiqua"/>
                <w:sz w:val="24"/>
                <w:szCs w:val="24"/>
              </w:rPr>
            </w:pPr>
            <w:r w:rsidRPr="00372D52">
              <w:rPr>
                <w:rFonts w:ascii="Book Antiqua" w:hAnsi="Book Antiqua"/>
                <w:sz w:val="24"/>
                <w:szCs w:val="24"/>
              </w:rPr>
              <w:t>Prognostication</w:t>
            </w:r>
          </w:p>
        </w:tc>
        <w:tc>
          <w:tcPr>
            <w:tcW w:w="6186" w:type="dxa"/>
          </w:tcPr>
          <w:p w14:paraId="0D93CE17" w14:textId="77777777" w:rsidR="002A7F54" w:rsidRPr="00372D52" w:rsidRDefault="002A7F54" w:rsidP="00372D52">
            <w:pPr>
              <w:spacing w:line="360" w:lineRule="auto"/>
              <w:jc w:val="both"/>
              <w:rPr>
                <w:rFonts w:ascii="Book Antiqua" w:hAnsi="Book Antiqua"/>
                <w:sz w:val="24"/>
                <w:szCs w:val="24"/>
              </w:rPr>
            </w:pPr>
            <w:r w:rsidRPr="00372D52">
              <w:rPr>
                <w:rFonts w:ascii="Book Antiqua" w:hAnsi="Book Antiqua"/>
                <w:sz w:val="24"/>
                <w:szCs w:val="24"/>
              </w:rPr>
              <w:t>CRP, PCT, Ang 1, Ang 2, Pro-ADM, Pro-ANP, Pro-VNP, SP-D, YKL-40, CCL 18, NETs, FGF21</w:t>
            </w:r>
          </w:p>
        </w:tc>
      </w:tr>
    </w:tbl>
    <w:p w14:paraId="1FE796CE" w14:textId="5CA18856" w:rsidR="002A7F54" w:rsidRPr="00372D52" w:rsidRDefault="0022243E" w:rsidP="00372D52">
      <w:pPr>
        <w:tabs>
          <w:tab w:val="left" w:pos="3120"/>
        </w:tabs>
        <w:spacing w:after="0" w:line="360" w:lineRule="auto"/>
        <w:jc w:val="both"/>
        <w:rPr>
          <w:rFonts w:ascii="Book Antiqua" w:hAnsi="Book Antiqua"/>
          <w:sz w:val="24"/>
          <w:szCs w:val="24"/>
        </w:rPr>
      </w:pPr>
      <w:r w:rsidRPr="00372D52">
        <w:rPr>
          <w:rFonts w:ascii="Book Antiqua" w:hAnsi="Book Antiqua"/>
          <w:sz w:val="24"/>
          <w:szCs w:val="24"/>
        </w:rPr>
        <w:t xml:space="preserve">CRP: </w:t>
      </w:r>
      <w:r w:rsidR="002A7F54" w:rsidRPr="00372D52">
        <w:rPr>
          <w:rFonts w:ascii="Book Antiqua" w:hAnsi="Book Antiqua"/>
          <w:sz w:val="24"/>
          <w:szCs w:val="24"/>
        </w:rPr>
        <w:t xml:space="preserve">C-reactive protein; </w:t>
      </w:r>
      <w:r w:rsidRPr="00372D52">
        <w:rPr>
          <w:rFonts w:ascii="Book Antiqua" w:hAnsi="Book Antiqua"/>
          <w:sz w:val="24"/>
          <w:szCs w:val="24"/>
        </w:rPr>
        <w:t xml:space="preserve">PCT: </w:t>
      </w:r>
      <w:r w:rsidR="002A7F54" w:rsidRPr="00372D52">
        <w:rPr>
          <w:rFonts w:ascii="Book Antiqua" w:hAnsi="Book Antiqua"/>
          <w:sz w:val="24"/>
          <w:szCs w:val="24"/>
        </w:rPr>
        <w:t xml:space="preserve">Procalcitonin; </w:t>
      </w:r>
      <w:r w:rsidRPr="00372D52">
        <w:rPr>
          <w:rFonts w:ascii="Book Antiqua" w:hAnsi="Book Antiqua"/>
          <w:sz w:val="24"/>
          <w:szCs w:val="24"/>
        </w:rPr>
        <w:t xml:space="preserve">Ang 1: </w:t>
      </w:r>
      <w:r w:rsidR="002A7F54" w:rsidRPr="00372D52">
        <w:rPr>
          <w:rFonts w:ascii="Book Antiqua" w:hAnsi="Book Antiqua"/>
          <w:sz w:val="24"/>
          <w:szCs w:val="24"/>
        </w:rPr>
        <w:t xml:space="preserve">Barrier stabilizing angiopoietin 1; </w:t>
      </w:r>
      <w:r w:rsidRPr="00372D52">
        <w:rPr>
          <w:rFonts w:ascii="Book Antiqua" w:hAnsi="Book Antiqua"/>
          <w:sz w:val="24"/>
          <w:szCs w:val="24"/>
        </w:rPr>
        <w:t xml:space="preserve">Ang 2: </w:t>
      </w:r>
      <w:r w:rsidR="002A7F54" w:rsidRPr="00372D52">
        <w:rPr>
          <w:rFonts w:ascii="Book Antiqua" w:hAnsi="Book Antiqua"/>
          <w:sz w:val="24"/>
          <w:szCs w:val="24"/>
        </w:rPr>
        <w:t xml:space="preserve">Barrier stabilizing angiopoietin 2; </w:t>
      </w:r>
      <w:r w:rsidRPr="00372D52">
        <w:rPr>
          <w:rFonts w:ascii="Book Antiqua" w:hAnsi="Book Antiqua"/>
          <w:sz w:val="24"/>
          <w:szCs w:val="24"/>
        </w:rPr>
        <w:t>pro-ADM: Pro</w:t>
      </w:r>
      <w:r w:rsidR="002A7F54" w:rsidRPr="00372D52">
        <w:rPr>
          <w:rFonts w:ascii="Book Antiqua" w:hAnsi="Book Antiqua"/>
          <w:sz w:val="24"/>
          <w:szCs w:val="24"/>
        </w:rPr>
        <w:t>-adrenomedullin;</w:t>
      </w:r>
      <w:r w:rsidRPr="00372D52">
        <w:rPr>
          <w:rFonts w:ascii="Book Antiqua" w:hAnsi="Book Antiqua"/>
          <w:sz w:val="24"/>
          <w:szCs w:val="24"/>
        </w:rPr>
        <w:t xml:space="preserve"> pro-ANP: Pro</w:t>
      </w:r>
      <w:r w:rsidR="002A7F54" w:rsidRPr="00372D52">
        <w:rPr>
          <w:rFonts w:ascii="Book Antiqua" w:hAnsi="Book Antiqua"/>
          <w:sz w:val="24"/>
          <w:szCs w:val="24"/>
        </w:rPr>
        <w:t>-atrial natriuretic peptide;</w:t>
      </w:r>
      <w:r w:rsidRPr="00372D52">
        <w:rPr>
          <w:rFonts w:ascii="Book Antiqua" w:hAnsi="Book Antiqua"/>
          <w:sz w:val="24"/>
          <w:szCs w:val="24"/>
        </w:rPr>
        <w:t xml:space="preserve"> pro-VNP: </w:t>
      </w:r>
      <w:r w:rsidR="002A7F54" w:rsidRPr="00372D52">
        <w:rPr>
          <w:rFonts w:ascii="Book Antiqua" w:hAnsi="Book Antiqua"/>
          <w:sz w:val="24"/>
          <w:szCs w:val="24"/>
        </w:rPr>
        <w:t>pro-vasopressin;</w:t>
      </w:r>
      <w:r w:rsidRPr="00372D52">
        <w:rPr>
          <w:rFonts w:ascii="Book Antiqua" w:hAnsi="Book Antiqua"/>
          <w:sz w:val="24"/>
          <w:szCs w:val="24"/>
        </w:rPr>
        <w:t xml:space="preserve"> SP-D: Surfactant </w:t>
      </w:r>
      <w:r w:rsidR="002A7F54" w:rsidRPr="00372D52">
        <w:rPr>
          <w:rFonts w:ascii="Book Antiqua" w:hAnsi="Book Antiqua"/>
          <w:sz w:val="24"/>
          <w:szCs w:val="24"/>
        </w:rPr>
        <w:t>protein-D;</w:t>
      </w:r>
      <w:r w:rsidRPr="00372D52">
        <w:rPr>
          <w:rFonts w:ascii="Book Antiqua" w:hAnsi="Book Antiqua"/>
          <w:sz w:val="24"/>
          <w:szCs w:val="24"/>
        </w:rPr>
        <w:t xml:space="preserve"> YKL-40: Human </w:t>
      </w:r>
      <w:r w:rsidR="002A7F54" w:rsidRPr="00372D52">
        <w:rPr>
          <w:rFonts w:ascii="Book Antiqua" w:hAnsi="Book Antiqua"/>
          <w:sz w:val="24"/>
          <w:szCs w:val="24"/>
        </w:rPr>
        <w:t>cartilage glycoprotein YKL-40;</w:t>
      </w:r>
      <w:r w:rsidRPr="00372D52">
        <w:rPr>
          <w:rFonts w:ascii="Book Antiqua" w:hAnsi="Book Antiqua"/>
          <w:sz w:val="24"/>
          <w:szCs w:val="24"/>
        </w:rPr>
        <w:t xml:space="preserve"> CCL18: Chemokine </w:t>
      </w:r>
      <w:r w:rsidR="002A7F54" w:rsidRPr="00372D52">
        <w:rPr>
          <w:rFonts w:ascii="Book Antiqua" w:hAnsi="Book Antiqua"/>
          <w:sz w:val="24"/>
          <w:szCs w:val="24"/>
        </w:rPr>
        <w:t>ligand 18;</w:t>
      </w:r>
      <w:r w:rsidRPr="00372D52">
        <w:rPr>
          <w:rFonts w:ascii="Book Antiqua" w:hAnsi="Book Antiqua"/>
          <w:sz w:val="24"/>
          <w:szCs w:val="24"/>
        </w:rPr>
        <w:t xml:space="preserve"> NET: Neutrophil </w:t>
      </w:r>
      <w:r w:rsidR="002A7F54" w:rsidRPr="00372D52">
        <w:rPr>
          <w:rFonts w:ascii="Book Antiqua" w:hAnsi="Book Antiqua"/>
          <w:sz w:val="24"/>
          <w:szCs w:val="24"/>
        </w:rPr>
        <w:t>extracellular trap;</w:t>
      </w:r>
      <w:r w:rsidRPr="00372D52">
        <w:rPr>
          <w:rFonts w:ascii="Book Antiqua" w:hAnsi="Book Antiqua"/>
          <w:sz w:val="24"/>
          <w:szCs w:val="24"/>
        </w:rPr>
        <w:t xml:space="preserve"> FGF21: Fibroblast </w:t>
      </w:r>
      <w:r w:rsidR="002A7F54" w:rsidRPr="00372D52">
        <w:rPr>
          <w:rFonts w:ascii="Book Antiqua" w:hAnsi="Book Antiqua"/>
          <w:sz w:val="24"/>
          <w:szCs w:val="24"/>
        </w:rPr>
        <w:t>growth factor 21.</w:t>
      </w:r>
    </w:p>
    <w:p w14:paraId="37869269" w14:textId="77777777" w:rsidR="0022243E" w:rsidRPr="00372D52" w:rsidRDefault="0022243E" w:rsidP="00372D52">
      <w:pPr>
        <w:spacing w:after="0" w:line="360" w:lineRule="auto"/>
        <w:jc w:val="both"/>
        <w:rPr>
          <w:rFonts w:ascii="Book Antiqua" w:hAnsi="Book Antiqua"/>
          <w:b/>
          <w:bCs/>
          <w:sz w:val="24"/>
          <w:szCs w:val="24"/>
        </w:rPr>
      </w:pPr>
      <w:r w:rsidRPr="00372D52">
        <w:rPr>
          <w:rFonts w:ascii="Book Antiqua" w:hAnsi="Book Antiqua"/>
          <w:b/>
          <w:bCs/>
          <w:sz w:val="24"/>
          <w:szCs w:val="24"/>
        </w:rPr>
        <w:br w:type="page"/>
      </w:r>
    </w:p>
    <w:p w14:paraId="12912F8F" w14:textId="49BDE46A" w:rsidR="002A7F54" w:rsidRPr="00372D52" w:rsidRDefault="002A7F54" w:rsidP="00372D52">
      <w:pPr>
        <w:tabs>
          <w:tab w:val="left" w:pos="3120"/>
        </w:tabs>
        <w:spacing w:after="0" w:line="360" w:lineRule="auto"/>
        <w:jc w:val="both"/>
        <w:rPr>
          <w:rFonts w:ascii="Book Antiqua" w:hAnsi="Book Antiqua"/>
          <w:b/>
          <w:bCs/>
          <w:sz w:val="24"/>
          <w:szCs w:val="24"/>
        </w:rPr>
      </w:pPr>
      <w:r w:rsidRPr="00372D52">
        <w:rPr>
          <w:rFonts w:ascii="Book Antiqua" w:hAnsi="Book Antiqua"/>
          <w:b/>
          <w:bCs/>
          <w:sz w:val="24"/>
          <w:szCs w:val="24"/>
        </w:rPr>
        <w:lastRenderedPageBreak/>
        <w:t xml:space="preserve">Table 2 Biomarkers in </w:t>
      </w:r>
      <w:r w:rsidR="0022243E" w:rsidRPr="00372D52">
        <w:rPr>
          <w:rFonts w:ascii="Book Antiqua" w:hAnsi="Book Antiqua"/>
          <w:b/>
          <w:bCs/>
          <w:sz w:val="24"/>
          <w:szCs w:val="24"/>
        </w:rPr>
        <w:t xml:space="preserve">acute respiratory distress </w:t>
      </w:r>
      <w:proofErr w:type="gramStart"/>
      <w:r w:rsidR="0022243E" w:rsidRPr="00372D52">
        <w:rPr>
          <w:rFonts w:ascii="Book Antiqua" w:hAnsi="Book Antiqua"/>
          <w:b/>
          <w:bCs/>
          <w:sz w:val="24"/>
          <w:szCs w:val="24"/>
        </w:rPr>
        <w:t>syndrome</w:t>
      </w:r>
      <w:r w:rsidR="0022243E" w:rsidRPr="00372D52">
        <w:rPr>
          <w:rFonts w:ascii="Book Antiqua" w:hAnsi="Book Antiqua"/>
          <w:b/>
          <w:bCs/>
          <w:sz w:val="24"/>
          <w:szCs w:val="24"/>
          <w:vertAlign w:val="superscript"/>
        </w:rPr>
        <w:t>[</w:t>
      </w:r>
      <w:proofErr w:type="gramEnd"/>
      <w:r w:rsidR="0022243E" w:rsidRPr="00372D52">
        <w:rPr>
          <w:rFonts w:ascii="Book Antiqua" w:hAnsi="Book Antiqua"/>
          <w:b/>
          <w:bCs/>
          <w:sz w:val="24"/>
          <w:szCs w:val="24"/>
          <w:vertAlign w:val="superscript"/>
        </w:rPr>
        <w:t>4</w:t>
      </w:r>
      <w:r w:rsidR="002F20AA" w:rsidRPr="00372D52">
        <w:rPr>
          <w:rFonts w:ascii="Book Antiqua" w:hAnsi="Book Antiqua"/>
          <w:b/>
          <w:bCs/>
          <w:sz w:val="24"/>
          <w:szCs w:val="24"/>
          <w:vertAlign w:val="superscript"/>
        </w:rPr>
        <w:t>4</w:t>
      </w:r>
      <w:r w:rsidR="0022243E" w:rsidRPr="00372D52">
        <w:rPr>
          <w:rFonts w:ascii="Book Antiqua" w:hAnsi="Book Antiqua"/>
          <w:b/>
          <w:bCs/>
          <w:sz w:val="24"/>
          <w:szCs w:val="24"/>
          <w:vertAlign w:val="superscript"/>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2861"/>
        <w:gridCol w:w="1841"/>
      </w:tblGrid>
      <w:tr w:rsidR="002A7F54" w:rsidRPr="00372D52" w14:paraId="18FFB1B8" w14:textId="77777777" w:rsidTr="0022243E">
        <w:tc>
          <w:tcPr>
            <w:tcW w:w="4788" w:type="dxa"/>
            <w:tcBorders>
              <w:top w:val="single" w:sz="4" w:space="0" w:color="auto"/>
              <w:bottom w:val="single" w:sz="4" w:space="0" w:color="auto"/>
            </w:tcBorders>
            <w:shd w:val="clear" w:color="auto" w:fill="D9D9D9" w:themeFill="background1" w:themeFillShade="D9"/>
          </w:tcPr>
          <w:p w14:paraId="66DA48CE" w14:textId="77777777" w:rsidR="002A7F54" w:rsidRPr="00372D52" w:rsidRDefault="002A7F54" w:rsidP="00372D52">
            <w:pPr>
              <w:tabs>
                <w:tab w:val="left" w:pos="3120"/>
              </w:tabs>
              <w:spacing w:line="360" w:lineRule="auto"/>
              <w:jc w:val="both"/>
              <w:rPr>
                <w:rFonts w:ascii="Book Antiqua" w:hAnsi="Book Antiqua"/>
                <w:b/>
                <w:bCs/>
                <w:sz w:val="24"/>
                <w:szCs w:val="24"/>
              </w:rPr>
            </w:pPr>
            <w:r w:rsidRPr="00372D52">
              <w:rPr>
                <w:rFonts w:ascii="Book Antiqua" w:hAnsi="Book Antiqua"/>
                <w:b/>
                <w:bCs/>
                <w:sz w:val="24"/>
                <w:szCs w:val="24"/>
              </w:rPr>
              <w:t>Pathways</w:t>
            </w:r>
          </w:p>
        </w:tc>
        <w:tc>
          <w:tcPr>
            <w:tcW w:w="4788" w:type="dxa"/>
            <w:gridSpan w:val="2"/>
            <w:tcBorders>
              <w:top w:val="single" w:sz="4" w:space="0" w:color="auto"/>
              <w:bottom w:val="single" w:sz="4" w:space="0" w:color="auto"/>
            </w:tcBorders>
            <w:shd w:val="clear" w:color="auto" w:fill="D9D9D9" w:themeFill="background1" w:themeFillShade="D9"/>
          </w:tcPr>
          <w:p w14:paraId="5F27E817" w14:textId="77777777" w:rsidR="002A7F54" w:rsidRPr="00372D52" w:rsidRDefault="002A7F54" w:rsidP="00372D52">
            <w:pPr>
              <w:tabs>
                <w:tab w:val="left" w:pos="3120"/>
              </w:tabs>
              <w:spacing w:line="360" w:lineRule="auto"/>
              <w:ind w:firstLine="720"/>
              <w:jc w:val="both"/>
              <w:rPr>
                <w:rFonts w:ascii="Book Antiqua" w:hAnsi="Book Antiqua"/>
                <w:b/>
                <w:bCs/>
                <w:sz w:val="24"/>
                <w:szCs w:val="24"/>
              </w:rPr>
            </w:pPr>
            <w:r w:rsidRPr="00372D52">
              <w:rPr>
                <w:rFonts w:ascii="Book Antiqua" w:hAnsi="Book Antiqua"/>
                <w:b/>
                <w:bCs/>
                <w:sz w:val="24"/>
                <w:szCs w:val="24"/>
              </w:rPr>
              <w:t>Biomarkers</w:t>
            </w:r>
          </w:p>
        </w:tc>
      </w:tr>
      <w:tr w:rsidR="002A7F54" w:rsidRPr="00372D52" w14:paraId="0F9BA078" w14:textId="77777777" w:rsidTr="0022243E">
        <w:tc>
          <w:tcPr>
            <w:tcW w:w="4788" w:type="dxa"/>
            <w:vMerge w:val="restart"/>
            <w:tcBorders>
              <w:top w:val="single" w:sz="4" w:space="0" w:color="auto"/>
            </w:tcBorders>
          </w:tcPr>
          <w:p w14:paraId="2451A0E2" w14:textId="77777777" w:rsidR="002A7F54" w:rsidRPr="00372D52" w:rsidRDefault="002A7F54" w:rsidP="00372D52">
            <w:pPr>
              <w:tabs>
                <w:tab w:val="left" w:pos="3120"/>
              </w:tabs>
              <w:spacing w:line="360" w:lineRule="auto"/>
              <w:jc w:val="both"/>
              <w:rPr>
                <w:rFonts w:ascii="Book Antiqua" w:hAnsi="Book Antiqua"/>
                <w:iCs/>
                <w:sz w:val="24"/>
                <w:szCs w:val="24"/>
              </w:rPr>
            </w:pPr>
            <w:r w:rsidRPr="00372D52">
              <w:rPr>
                <w:rFonts w:ascii="Book Antiqua" w:hAnsi="Book Antiqua"/>
                <w:iCs/>
                <w:sz w:val="24"/>
                <w:szCs w:val="24"/>
              </w:rPr>
              <w:t>Epithelial</w:t>
            </w:r>
          </w:p>
        </w:tc>
        <w:tc>
          <w:tcPr>
            <w:tcW w:w="4788" w:type="dxa"/>
            <w:gridSpan w:val="2"/>
            <w:tcBorders>
              <w:top w:val="single" w:sz="4" w:space="0" w:color="auto"/>
            </w:tcBorders>
          </w:tcPr>
          <w:p w14:paraId="6A95CB0D"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RAGE</w:t>
            </w:r>
          </w:p>
        </w:tc>
      </w:tr>
      <w:tr w:rsidR="002A7F54" w:rsidRPr="00372D52" w14:paraId="091ADDFD" w14:textId="77777777" w:rsidTr="0022243E">
        <w:tc>
          <w:tcPr>
            <w:tcW w:w="4788" w:type="dxa"/>
            <w:vMerge/>
          </w:tcPr>
          <w:p w14:paraId="6067E0E7"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4788" w:type="dxa"/>
            <w:gridSpan w:val="2"/>
          </w:tcPr>
          <w:p w14:paraId="0C2BD86F"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SP-D</w:t>
            </w:r>
          </w:p>
        </w:tc>
      </w:tr>
      <w:tr w:rsidR="002A7F54" w:rsidRPr="00372D52" w14:paraId="78D61466" w14:textId="77777777" w:rsidTr="0022243E">
        <w:tc>
          <w:tcPr>
            <w:tcW w:w="4788" w:type="dxa"/>
            <w:vMerge/>
          </w:tcPr>
          <w:p w14:paraId="66C2E735"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4788" w:type="dxa"/>
            <w:gridSpan w:val="2"/>
          </w:tcPr>
          <w:p w14:paraId="5E2CD436"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KL-6</w:t>
            </w:r>
          </w:p>
        </w:tc>
      </w:tr>
      <w:tr w:rsidR="002A7F54" w:rsidRPr="00372D52" w14:paraId="77ADB27F" w14:textId="77777777" w:rsidTr="0022243E">
        <w:tc>
          <w:tcPr>
            <w:tcW w:w="4788" w:type="dxa"/>
            <w:vMerge/>
          </w:tcPr>
          <w:p w14:paraId="47D985C4"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4788" w:type="dxa"/>
            <w:gridSpan w:val="2"/>
          </w:tcPr>
          <w:p w14:paraId="7EED7BA7"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CC16</w:t>
            </w:r>
          </w:p>
        </w:tc>
      </w:tr>
      <w:tr w:rsidR="002A7F54" w:rsidRPr="00372D52" w14:paraId="059A9B7D" w14:textId="77777777" w:rsidTr="0022243E">
        <w:tc>
          <w:tcPr>
            <w:tcW w:w="4788" w:type="dxa"/>
            <w:vMerge/>
          </w:tcPr>
          <w:p w14:paraId="5DA5A3A7"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4788" w:type="dxa"/>
            <w:gridSpan w:val="2"/>
          </w:tcPr>
          <w:p w14:paraId="36841EB3"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KGF</w:t>
            </w:r>
          </w:p>
        </w:tc>
      </w:tr>
      <w:tr w:rsidR="002A7F54" w:rsidRPr="00372D52" w14:paraId="25319142" w14:textId="77777777" w:rsidTr="0022243E">
        <w:tc>
          <w:tcPr>
            <w:tcW w:w="4788" w:type="dxa"/>
            <w:vMerge w:val="restart"/>
          </w:tcPr>
          <w:p w14:paraId="174BB173" w14:textId="77777777" w:rsidR="002A7F54" w:rsidRPr="00372D52" w:rsidRDefault="002A7F54" w:rsidP="00372D52">
            <w:pPr>
              <w:tabs>
                <w:tab w:val="left" w:pos="3120"/>
              </w:tabs>
              <w:spacing w:line="360" w:lineRule="auto"/>
              <w:jc w:val="both"/>
              <w:rPr>
                <w:rFonts w:ascii="Book Antiqua" w:hAnsi="Book Antiqua"/>
                <w:iCs/>
                <w:sz w:val="24"/>
                <w:szCs w:val="24"/>
              </w:rPr>
            </w:pPr>
            <w:r w:rsidRPr="00372D52">
              <w:rPr>
                <w:rFonts w:ascii="Book Antiqua" w:hAnsi="Book Antiqua"/>
                <w:iCs/>
                <w:sz w:val="24"/>
                <w:szCs w:val="24"/>
              </w:rPr>
              <w:t>Endothelial</w:t>
            </w:r>
          </w:p>
        </w:tc>
        <w:tc>
          <w:tcPr>
            <w:tcW w:w="4788" w:type="dxa"/>
            <w:gridSpan w:val="2"/>
          </w:tcPr>
          <w:p w14:paraId="4DE3549B"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Ang-1/2</w:t>
            </w:r>
          </w:p>
        </w:tc>
      </w:tr>
      <w:tr w:rsidR="002A7F54" w:rsidRPr="00372D52" w14:paraId="4EE811C3" w14:textId="77777777" w:rsidTr="0022243E">
        <w:tc>
          <w:tcPr>
            <w:tcW w:w="4788" w:type="dxa"/>
            <w:vMerge/>
          </w:tcPr>
          <w:p w14:paraId="799E475F"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4788" w:type="dxa"/>
            <w:gridSpan w:val="2"/>
          </w:tcPr>
          <w:p w14:paraId="482502C5" w14:textId="77777777" w:rsidR="002A7F54" w:rsidRPr="00372D52" w:rsidRDefault="002A7F54" w:rsidP="00372D52">
            <w:pPr>
              <w:tabs>
                <w:tab w:val="left" w:pos="3120"/>
              </w:tabs>
              <w:spacing w:line="360" w:lineRule="auto"/>
              <w:jc w:val="both"/>
              <w:rPr>
                <w:rFonts w:ascii="Book Antiqua" w:hAnsi="Book Antiqua"/>
                <w:sz w:val="24"/>
                <w:szCs w:val="24"/>
              </w:rPr>
            </w:pPr>
            <w:proofErr w:type="spellStart"/>
            <w:r w:rsidRPr="00372D52">
              <w:rPr>
                <w:rFonts w:ascii="Book Antiqua" w:hAnsi="Book Antiqua"/>
                <w:sz w:val="24"/>
                <w:szCs w:val="24"/>
              </w:rPr>
              <w:t>vWF</w:t>
            </w:r>
            <w:proofErr w:type="spellEnd"/>
          </w:p>
        </w:tc>
      </w:tr>
      <w:tr w:rsidR="002A7F54" w:rsidRPr="00372D52" w14:paraId="34DF05F3" w14:textId="77777777" w:rsidTr="0022243E">
        <w:tc>
          <w:tcPr>
            <w:tcW w:w="4788" w:type="dxa"/>
            <w:vMerge/>
          </w:tcPr>
          <w:p w14:paraId="37FE49A5"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4788" w:type="dxa"/>
            <w:gridSpan w:val="2"/>
          </w:tcPr>
          <w:p w14:paraId="315C16AF"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VEGF</w:t>
            </w:r>
          </w:p>
        </w:tc>
      </w:tr>
      <w:tr w:rsidR="002A7F54" w:rsidRPr="00372D52" w14:paraId="669274C7" w14:textId="77777777" w:rsidTr="0022243E">
        <w:tc>
          <w:tcPr>
            <w:tcW w:w="4788" w:type="dxa"/>
            <w:vMerge w:val="restart"/>
          </w:tcPr>
          <w:p w14:paraId="6AF414F7" w14:textId="77777777" w:rsidR="002A7F54" w:rsidRPr="00372D52" w:rsidRDefault="002A7F54" w:rsidP="00372D52">
            <w:pPr>
              <w:tabs>
                <w:tab w:val="left" w:pos="3120"/>
              </w:tabs>
              <w:spacing w:line="360" w:lineRule="auto"/>
              <w:jc w:val="both"/>
              <w:rPr>
                <w:rFonts w:ascii="Book Antiqua" w:hAnsi="Book Antiqua"/>
                <w:iCs/>
                <w:sz w:val="24"/>
                <w:szCs w:val="24"/>
              </w:rPr>
            </w:pPr>
            <w:r w:rsidRPr="00372D52">
              <w:rPr>
                <w:rFonts w:ascii="Book Antiqua" w:hAnsi="Book Antiqua"/>
                <w:iCs/>
                <w:sz w:val="24"/>
                <w:szCs w:val="24"/>
              </w:rPr>
              <w:t>Inflammatory</w:t>
            </w:r>
          </w:p>
        </w:tc>
        <w:tc>
          <w:tcPr>
            <w:tcW w:w="2913" w:type="dxa"/>
            <w:vMerge w:val="restart"/>
          </w:tcPr>
          <w:p w14:paraId="30D531D5" w14:textId="77777777" w:rsidR="002A7F54" w:rsidRPr="00372D52" w:rsidRDefault="002A7F54" w:rsidP="00372D52">
            <w:pPr>
              <w:tabs>
                <w:tab w:val="left" w:pos="3120"/>
              </w:tabs>
              <w:spacing w:line="360" w:lineRule="auto"/>
              <w:jc w:val="both"/>
              <w:rPr>
                <w:rFonts w:ascii="Book Antiqua" w:hAnsi="Book Antiqua"/>
                <w:iCs/>
                <w:sz w:val="24"/>
                <w:szCs w:val="24"/>
              </w:rPr>
            </w:pPr>
            <w:r w:rsidRPr="00372D52">
              <w:rPr>
                <w:rFonts w:ascii="Book Antiqua" w:hAnsi="Book Antiqua"/>
                <w:iCs/>
                <w:sz w:val="24"/>
                <w:szCs w:val="24"/>
              </w:rPr>
              <w:t>Pro-inflammatory</w:t>
            </w:r>
          </w:p>
        </w:tc>
        <w:tc>
          <w:tcPr>
            <w:tcW w:w="1875" w:type="dxa"/>
          </w:tcPr>
          <w:p w14:paraId="7DE573A5"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IL-1</w:t>
            </w:r>
            <w:r w:rsidRPr="00372D52">
              <w:rPr>
                <w:rFonts w:ascii="Book Antiqua" w:hAnsi="Book Antiqua" w:cs="Times New Roman"/>
                <w:sz w:val="24"/>
                <w:szCs w:val="24"/>
              </w:rPr>
              <w:t>β</w:t>
            </w:r>
          </w:p>
        </w:tc>
      </w:tr>
      <w:tr w:rsidR="002A7F54" w:rsidRPr="00372D52" w14:paraId="3FF3716D" w14:textId="77777777" w:rsidTr="0022243E">
        <w:tc>
          <w:tcPr>
            <w:tcW w:w="4788" w:type="dxa"/>
            <w:vMerge/>
          </w:tcPr>
          <w:p w14:paraId="1B96EF9B"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2913" w:type="dxa"/>
            <w:vMerge/>
          </w:tcPr>
          <w:p w14:paraId="0872C3B6"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1875" w:type="dxa"/>
          </w:tcPr>
          <w:p w14:paraId="35CACBA6"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IL-6</w:t>
            </w:r>
          </w:p>
        </w:tc>
      </w:tr>
      <w:tr w:rsidR="002A7F54" w:rsidRPr="00372D52" w14:paraId="504731A4" w14:textId="77777777" w:rsidTr="0022243E">
        <w:tc>
          <w:tcPr>
            <w:tcW w:w="4788" w:type="dxa"/>
            <w:vMerge/>
          </w:tcPr>
          <w:p w14:paraId="79533F6E"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2913" w:type="dxa"/>
            <w:vMerge/>
          </w:tcPr>
          <w:p w14:paraId="09B56131"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1875" w:type="dxa"/>
          </w:tcPr>
          <w:p w14:paraId="0E5E3C97"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TNF</w:t>
            </w:r>
            <w:r w:rsidRPr="00372D52">
              <w:rPr>
                <w:rFonts w:ascii="Book Antiqua" w:hAnsi="Book Antiqua" w:cs="Times New Roman"/>
                <w:sz w:val="24"/>
                <w:szCs w:val="24"/>
              </w:rPr>
              <w:t>α</w:t>
            </w:r>
          </w:p>
        </w:tc>
      </w:tr>
      <w:tr w:rsidR="002A7F54" w:rsidRPr="00372D52" w14:paraId="70AA3D54" w14:textId="77777777" w:rsidTr="0022243E">
        <w:tc>
          <w:tcPr>
            <w:tcW w:w="4788" w:type="dxa"/>
            <w:vMerge/>
          </w:tcPr>
          <w:p w14:paraId="564830AD"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2913" w:type="dxa"/>
            <w:vMerge/>
          </w:tcPr>
          <w:p w14:paraId="2A803D5B"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1875" w:type="dxa"/>
          </w:tcPr>
          <w:p w14:paraId="14BEA41A"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IL-8</w:t>
            </w:r>
          </w:p>
        </w:tc>
      </w:tr>
      <w:tr w:rsidR="002A7F54" w:rsidRPr="00372D52" w14:paraId="60B49712" w14:textId="77777777" w:rsidTr="0022243E">
        <w:tc>
          <w:tcPr>
            <w:tcW w:w="4788" w:type="dxa"/>
            <w:vMerge/>
          </w:tcPr>
          <w:p w14:paraId="4DFFAF15"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2913" w:type="dxa"/>
            <w:vMerge/>
          </w:tcPr>
          <w:p w14:paraId="64ECA44D"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1875" w:type="dxa"/>
          </w:tcPr>
          <w:p w14:paraId="6567F87C"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IL-18</w:t>
            </w:r>
          </w:p>
        </w:tc>
      </w:tr>
      <w:tr w:rsidR="002A7F54" w:rsidRPr="00372D52" w14:paraId="63917AB9" w14:textId="77777777" w:rsidTr="0022243E">
        <w:tc>
          <w:tcPr>
            <w:tcW w:w="4788" w:type="dxa"/>
            <w:vMerge/>
          </w:tcPr>
          <w:p w14:paraId="0B146835"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2913" w:type="dxa"/>
            <w:vMerge w:val="restart"/>
          </w:tcPr>
          <w:p w14:paraId="28EE647D" w14:textId="77777777" w:rsidR="002A7F54" w:rsidRPr="00372D52" w:rsidRDefault="002A7F54" w:rsidP="00372D52">
            <w:pPr>
              <w:tabs>
                <w:tab w:val="left" w:pos="3120"/>
              </w:tabs>
              <w:spacing w:line="360" w:lineRule="auto"/>
              <w:jc w:val="both"/>
              <w:rPr>
                <w:rFonts w:ascii="Book Antiqua" w:hAnsi="Book Antiqua"/>
                <w:iCs/>
                <w:sz w:val="24"/>
                <w:szCs w:val="24"/>
              </w:rPr>
            </w:pPr>
            <w:r w:rsidRPr="00372D52">
              <w:rPr>
                <w:rFonts w:ascii="Book Antiqua" w:hAnsi="Book Antiqua"/>
                <w:iCs/>
                <w:sz w:val="24"/>
                <w:szCs w:val="24"/>
              </w:rPr>
              <w:t>Anti-Inflammatory</w:t>
            </w:r>
          </w:p>
        </w:tc>
        <w:tc>
          <w:tcPr>
            <w:tcW w:w="1875" w:type="dxa"/>
          </w:tcPr>
          <w:p w14:paraId="5C91E1D4"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IL</w:t>
            </w:r>
            <m:oMath>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1</m:t>
                  </m:r>
                </m:sub>
              </m:sSub>
            </m:oMath>
            <w:r w:rsidRPr="00372D52">
              <w:rPr>
                <w:rFonts w:ascii="Book Antiqua" w:hAnsi="Book Antiqua"/>
                <w:sz w:val="24"/>
                <w:szCs w:val="24"/>
              </w:rPr>
              <w:t>RA</w:t>
            </w:r>
          </w:p>
        </w:tc>
      </w:tr>
      <w:tr w:rsidR="002A7F54" w:rsidRPr="00372D52" w14:paraId="01B00585" w14:textId="77777777" w:rsidTr="0022243E">
        <w:tc>
          <w:tcPr>
            <w:tcW w:w="4788" w:type="dxa"/>
            <w:vMerge/>
          </w:tcPr>
          <w:p w14:paraId="5F1DFCF2"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2913" w:type="dxa"/>
            <w:vMerge/>
          </w:tcPr>
          <w:p w14:paraId="1C7DC5C7" w14:textId="77777777" w:rsidR="002A7F54" w:rsidRPr="00372D52" w:rsidRDefault="002A7F54" w:rsidP="00372D52">
            <w:pPr>
              <w:tabs>
                <w:tab w:val="left" w:pos="3120"/>
              </w:tabs>
              <w:spacing w:line="360" w:lineRule="auto"/>
              <w:jc w:val="both"/>
              <w:rPr>
                <w:rFonts w:ascii="Book Antiqua" w:hAnsi="Book Antiqua"/>
                <w:sz w:val="24"/>
                <w:szCs w:val="24"/>
              </w:rPr>
            </w:pPr>
          </w:p>
        </w:tc>
        <w:tc>
          <w:tcPr>
            <w:tcW w:w="1875" w:type="dxa"/>
          </w:tcPr>
          <w:p w14:paraId="2019326B" w14:textId="77777777" w:rsidR="002A7F54" w:rsidRPr="00372D52" w:rsidRDefault="002A7F54" w:rsidP="00372D52">
            <w:pPr>
              <w:tabs>
                <w:tab w:val="left" w:pos="3120"/>
              </w:tabs>
              <w:spacing w:line="360" w:lineRule="auto"/>
              <w:jc w:val="both"/>
              <w:rPr>
                <w:rFonts w:ascii="Book Antiqua" w:hAnsi="Book Antiqua"/>
                <w:sz w:val="24"/>
                <w:szCs w:val="24"/>
              </w:rPr>
            </w:pPr>
            <w:proofErr w:type="spellStart"/>
            <w:r w:rsidRPr="00372D52">
              <w:rPr>
                <w:rFonts w:ascii="Book Antiqua" w:hAnsi="Book Antiqua"/>
                <w:sz w:val="24"/>
                <w:szCs w:val="24"/>
              </w:rPr>
              <w:t>sTNF</w:t>
            </w:r>
            <w:proofErr w:type="spellEnd"/>
            <w:r w:rsidRPr="00372D52">
              <w:rPr>
                <w:rFonts w:ascii="Book Antiqua" w:hAnsi="Book Antiqua"/>
                <w:sz w:val="24"/>
                <w:szCs w:val="24"/>
              </w:rPr>
              <w:t>-RI/II</w:t>
            </w:r>
          </w:p>
        </w:tc>
      </w:tr>
      <w:tr w:rsidR="002A7F54" w:rsidRPr="00372D52" w14:paraId="5F0D9E28" w14:textId="77777777" w:rsidTr="0022243E">
        <w:tc>
          <w:tcPr>
            <w:tcW w:w="4788" w:type="dxa"/>
            <w:vMerge/>
          </w:tcPr>
          <w:p w14:paraId="58D08034" w14:textId="77777777" w:rsidR="002A7F54" w:rsidRPr="00372D52" w:rsidRDefault="002A7F54" w:rsidP="00372D52">
            <w:pPr>
              <w:tabs>
                <w:tab w:val="left" w:pos="3120"/>
              </w:tabs>
              <w:spacing w:line="360" w:lineRule="auto"/>
              <w:jc w:val="both"/>
              <w:rPr>
                <w:rFonts w:ascii="Book Antiqua" w:hAnsi="Book Antiqua"/>
                <w:i/>
                <w:sz w:val="24"/>
                <w:szCs w:val="24"/>
              </w:rPr>
            </w:pPr>
          </w:p>
        </w:tc>
        <w:tc>
          <w:tcPr>
            <w:tcW w:w="2913" w:type="dxa"/>
            <w:vMerge/>
          </w:tcPr>
          <w:p w14:paraId="51D33045" w14:textId="77777777" w:rsidR="002A7F54" w:rsidRPr="00372D52" w:rsidRDefault="002A7F54" w:rsidP="00372D52">
            <w:pPr>
              <w:tabs>
                <w:tab w:val="left" w:pos="3120"/>
              </w:tabs>
              <w:spacing w:line="360" w:lineRule="auto"/>
              <w:jc w:val="both"/>
              <w:rPr>
                <w:rFonts w:ascii="Book Antiqua" w:hAnsi="Book Antiqua"/>
                <w:sz w:val="24"/>
                <w:szCs w:val="24"/>
              </w:rPr>
            </w:pPr>
          </w:p>
        </w:tc>
        <w:tc>
          <w:tcPr>
            <w:tcW w:w="1875" w:type="dxa"/>
          </w:tcPr>
          <w:p w14:paraId="2DEFAEB2" w14:textId="77777777"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IL-10</w:t>
            </w:r>
          </w:p>
        </w:tc>
      </w:tr>
      <w:tr w:rsidR="002A7F54" w:rsidRPr="00372D52" w14:paraId="2D8E6293" w14:textId="77777777" w:rsidTr="0022243E">
        <w:tc>
          <w:tcPr>
            <w:tcW w:w="4788" w:type="dxa"/>
          </w:tcPr>
          <w:p w14:paraId="4FA24571" w14:textId="6568DA02" w:rsidR="002A7F54" w:rsidRPr="00372D52" w:rsidRDefault="002A7F54" w:rsidP="00372D52">
            <w:pPr>
              <w:tabs>
                <w:tab w:val="left" w:pos="3120"/>
              </w:tabs>
              <w:spacing w:line="360" w:lineRule="auto"/>
              <w:jc w:val="both"/>
              <w:rPr>
                <w:rFonts w:ascii="Book Antiqua" w:hAnsi="Book Antiqua"/>
                <w:iCs/>
                <w:sz w:val="24"/>
                <w:szCs w:val="24"/>
              </w:rPr>
            </w:pPr>
            <w:r w:rsidRPr="00372D52">
              <w:rPr>
                <w:rFonts w:ascii="Book Antiqua" w:hAnsi="Book Antiqua"/>
                <w:iCs/>
                <w:sz w:val="24"/>
                <w:szCs w:val="24"/>
              </w:rPr>
              <w:t>Coagulation and Fibrinolysis</w:t>
            </w:r>
          </w:p>
        </w:tc>
        <w:tc>
          <w:tcPr>
            <w:tcW w:w="4788" w:type="dxa"/>
            <w:gridSpan w:val="2"/>
          </w:tcPr>
          <w:p w14:paraId="1F4ED000" w14:textId="3E0D4DE0" w:rsidR="002A7F54" w:rsidRPr="00372D52" w:rsidRDefault="002A7F54" w:rsidP="00372D52">
            <w:pPr>
              <w:tabs>
                <w:tab w:val="left" w:pos="3120"/>
              </w:tabs>
              <w:spacing w:line="360" w:lineRule="auto"/>
              <w:jc w:val="both"/>
              <w:rPr>
                <w:rFonts w:ascii="Book Antiqua" w:hAnsi="Book Antiqua"/>
                <w:sz w:val="24"/>
                <w:szCs w:val="24"/>
              </w:rPr>
            </w:pPr>
            <w:r w:rsidRPr="00372D52">
              <w:rPr>
                <w:rFonts w:ascii="Book Antiqua" w:hAnsi="Book Antiqua"/>
                <w:sz w:val="24"/>
                <w:szCs w:val="24"/>
              </w:rPr>
              <w:t>PAI</w:t>
            </w:r>
            <w:r w:rsidR="0022243E" w:rsidRPr="00372D52">
              <w:rPr>
                <w:rFonts w:ascii="Book Antiqua" w:hAnsi="Book Antiqua"/>
                <w:sz w:val="24"/>
                <w:szCs w:val="24"/>
              </w:rPr>
              <w:t>-1</w:t>
            </w:r>
          </w:p>
        </w:tc>
      </w:tr>
    </w:tbl>
    <w:p w14:paraId="699C9D6E" w14:textId="21E730AF" w:rsidR="002A7F54" w:rsidRPr="00372D52" w:rsidRDefault="0022243E" w:rsidP="00372D52">
      <w:pPr>
        <w:tabs>
          <w:tab w:val="left" w:pos="3120"/>
        </w:tabs>
        <w:spacing w:after="0" w:line="360" w:lineRule="auto"/>
        <w:jc w:val="both"/>
        <w:rPr>
          <w:rFonts w:ascii="Book Antiqua" w:hAnsi="Book Antiqua"/>
          <w:sz w:val="24"/>
          <w:szCs w:val="24"/>
        </w:rPr>
      </w:pPr>
      <w:r w:rsidRPr="00372D52">
        <w:rPr>
          <w:rFonts w:ascii="Book Antiqua" w:hAnsi="Book Antiqua"/>
          <w:sz w:val="24"/>
          <w:szCs w:val="24"/>
        </w:rPr>
        <w:t xml:space="preserve">RAGE: </w:t>
      </w:r>
      <w:r w:rsidR="002A7F54" w:rsidRPr="00372D52">
        <w:rPr>
          <w:rFonts w:ascii="Book Antiqua" w:hAnsi="Book Antiqua"/>
          <w:sz w:val="24"/>
          <w:szCs w:val="24"/>
        </w:rPr>
        <w:t xml:space="preserve">Receptor for advanced glycation end-product; </w:t>
      </w:r>
      <w:r w:rsidRPr="00372D52">
        <w:rPr>
          <w:rFonts w:ascii="Book Antiqua" w:hAnsi="Book Antiqua"/>
          <w:sz w:val="24"/>
          <w:szCs w:val="24"/>
        </w:rPr>
        <w:t xml:space="preserve">SP-D: Serum </w:t>
      </w:r>
      <w:r w:rsidR="002A7F54" w:rsidRPr="00372D52">
        <w:rPr>
          <w:rFonts w:ascii="Book Antiqua" w:hAnsi="Book Antiqua"/>
          <w:sz w:val="24"/>
          <w:szCs w:val="24"/>
        </w:rPr>
        <w:t>surfactant pro</w:t>
      </w:r>
      <w:bookmarkStart w:id="274" w:name="_GoBack"/>
      <w:bookmarkEnd w:id="274"/>
      <w:r w:rsidR="002A7F54" w:rsidRPr="00372D52">
        <w:rPr>
          <w:rFonts w:ascii="Book Antiqua" w:hAnsi="Book Antiqua"/>
          <w:sz w:val="24"/>
          <w:szCs w:val="24"/>
        </w:rPr>
        <w:t xml:space="preserve">tein D; </w:t>
      </w:r>
      <w:r w:rsidRPr="00372D52">
        <w:rPr>
          <w:rFonts w:ascii="Book Antiqua" w:hAnsi="Book Antiqua"/>
          <w:sz w:val="24"/>
          <w:szCs w:val="24"/>
        </w:rPr>
        <w:t xml:space="preserve">KL-6: </w:t>
      </w:r>
      <w:proofErr w:type="spellStart"/>
      <w:r w:rsidRPr="00372D52">
        <w:rPr>
          <w:rFonts w:ascii="Book Antiqua" w:hAnsi="Book Antiqua"/>
          <w:sz w:val="24"/>
          <w:szCs w:val="24"/>
        </w:rPr>
        <w:t>Kreb</w:t>
      </w:r>
      <w:proofErr w:type="spellEnd"/>
      <w:r w:rsidRPr="00372D52">
        <w:rPr>
          <w:rFonts w:ascii="Book Antiqua" w:hAnsi="Book Antiqua"/>
          <w:sz w:val="24"/>
          <w:szCs w:val="24"/>
        </w:rPr>
        <w:t xml:space="preserve"> </w:t>
      </w:r>
      <w:r w:rsidR="002A7F54" w:rsidRPr="00372D52">
        <w:rPr>
          <w:rFonts w:ascii="Book Antiqua" w:hAnsi="Book Antiqua"/>
          <w:sz w:val="24"/>
          <w:szCs w:val="24"/>
        </w:rPr>
        <w:t xml:space="preserve">von den Lungen-6; </w:t>
      </w:r>
      <w:r w:rsidRPr="00372D52">
        <w:rPr>
          <w:rFonts w:ascii="Book Antiqua" w:hAnsi="Book Antiqua"/>
          <w:sz w:val="24"/>
          <w:szCs w:val="24"/>
        </w:rPr>
        <w:t xml:space="preserve">CC16: Clara </w:t>
      </w:r>
      <w:r w:rsidR="002A7F54" w:rsidRPr="00372D52">
        <w:rPr>
          <w:rFonts w:ascii="Book Antiqua" w:hAnsi="Book Antiqua"/>
          <w:sz w:val="24"/>
          <w:szCs w:val="24"/>
        </w:rPr>
        <w:t xml:space="preserve">cell secretory protein; </w:t>
      </w:r>
      <w:r w:rsidRPr="00372D52">
        <w:rPr>
          <w:rFonts w:ascii="Book Antiqua" w:hAnsi="Book Antiqua"/>
          <w:sz w:val="24"/>
          <w:szCs w:val="24"/>
        </w:rPr>
        <w:t xml:space="preserve">KGF: Keratinocyte </w:t>
      </w:r>
      <w:r w:rsidR="002A7F54" w:rsidRPr="00372D52">
        <w:rPr>
          <w:rFonts w:ascii="Book Antiqua" w:hAnsi="Book Antiqua"/>
          <w:sz w:val="24"/>
          <w:szCs w:val="24"/>
        </w:rPr>
        <w:t xml:space="preserve">growth factor; </w:t>
      </w:r>
      <w:r w:rsidRPr="00372D52">
        <w:rPr>
          <w:rFonts w:ascii="Book Antiqua" w:hAnsi="Book Antiqua"/>
          <w:sz w:val="24"/>
          <w:szCs w:val="24"/>
        </w:rPr>
        <w:t xml:space="preserve">Ang 1/2: </w:t>
      </w:r>
      <w:r w:rsidR="002A7F54" w:rsidRPr="00372D52">
        <w:rPr>
          <w:rFonts w:ascii="Book Antiqua" w:hAnsi="Book Antiqua"/>
          <w:sz w:val="24"/>
          <w:szCs w:val="24"/>
        </w:rPr>
        <w:t xml:space="preserve">Barrier stabilizing angiopoietin 1/2; </w:t>
      </w:r>
      <w:proofErr w:type="spellStart"/>
      <w:r w:rsidRPr="00372D52">
        <w:rPr>
          <w:rFonts w:ascii="Book Antiqua" w:hAnsi="Book Antiqua"/>
          <w:sz w:val="24"/>
          <w:szCs w:val="24"/>
        </w:rPr>
        <w:t>vWF</w:t>
      </w:r>
      <w:proofErr w:type="spellEnd"/>
      <w:r w:rsidRPr="00372D52">
        <w:rPr>
          <w:rFonts w:ascii="Book Antiqua" w:hAnsi="Book Antiqua"/>
          <w:sz w:val="24"/>
          <w:szCs w:val="24"/>
        </w:rPr>
        <w:t xml:space="preserve">: Von </w:t>
      </w:r>
      <w:proofErr w:type="spellStart"/>
      <w:r w:rsidR="002A7F54" w:rsidRPr="00372D52">
        <w:rPr>
          <w:rFonts w:ascii="Book Antiqua" w:hAnsi="Book Antiqua"/>
          <w:sz w:val="24"/>
          <w:szCs w:val="24"/>
        </w:rPr>
        <w:t>willebrand</w:t>
      </w:r>
      <w:proofErr w:type="spellEnd"/>
      <w:r w:rsidR="002A7F54" w:rsidRPr="00372D52">
        <w:rPr>
          <w:rFonts w:ascii="Book Antiqua" w:hAnsi="Book Antiqua"/>
          <w:sz w:val="24"/>
          <w:szCs w:val="24"/>
        </w:rPr>
        <w:t xml:space="preserve"> factor; </w:t>
      </w:r>
      <w:r w:rsidRPr="00372D52">
        <w:rPr>
          <w:rFonts w:ascii="Book Antiqua" w:hAnsi="Book Antiqua"/>
          <w:sz w:val="24"/>
          <w:szCs w:val="24"/>
        </w:rPr>
        <w:t xml:space="preserve">VEGF: Vascular </w:t>
      </w:r>
      <w:r w:rsidR="002A7F54" w:rsidRPr="00372D52">
        <w:rPr>
          <w:rFonts w:ascii="Book Antiqua" w:hAnsi="Book Antiqua"/>
          <w:sz w:val="24"/>
          <w:szCs w:val="24"/>
        </w:rPr>
        <w:t xml:space="preserve">endothelial growth factor; </w:t>
      </w:r>
      <w:r w:rsidRPr="00372D52">
        <w:rPr>
          <w:rFonts w:ascii="Book Antiqua" w:hAnsi="Book Antiqua"/>
          <w:sz w:val="24"/>
          <w:szCs w:val="24"/>
        </w:rPr>
        <w:t>IL: Interleukin</w:t>
      </w:r>
      <w:r w:rsidR="002A7F54" w:rsidRPr="00372D52">
        <w:rPr>
          <w:rFonts w:ascii="Book Antiqua" w:hAnsi="Book Antiqua"/>
          <w:sz w:val="24"/>
          <w:szCs w:val="24"/>
        </w:rPr>
        <w:t xml:space="preserve">; </w:t>
      </w:r>
      <w:proofErr w:type="spellStart"/>
      <w:r w:rsidRPr="00372D52">
        <w:rPr>
          <w:rFonts w:ascii="Book Antiqua" w:hAnsi="Book Antiqua"/>
          <w:sz w:val="24"/>
          <w:szCs w:val="24"/>
        </w:rPr>
        <w:t>sTNF</w:t>
      </w:r>
      <w:proofErr w:type="spellEnd"/>
      <w:r w:rsidRPr="00372D52">
        <w:rPr>
          <w:rFonts w:ascii="Book Antiqua" w:hAnsi="Book Antiqua"/>
          <w:sz w:val="24"/>
          <w:szCs w:val="24"/>
        </w:rPr>
        <w:t xml:space="preserve">-RI/II: </w:t>
      </w:r>
      <w:r w:rsidR="00CC19D7" w:rsidRPr="00372D52">
        <w:rPr>
          <w:rFonts w:ascii="Book Antiqua" w:hAnsi="Book Antiqua"/>
          <w:sz w:val="24"/>
          <w:szCs w:val="24"/>
        </w:rPr>
        <w:t>Soluble</w:t>
      </w:r>
      <w:r w:rsidRPr="00372D52">
        <w:rPr>
          <w:rFonts w:ascii="Book Antiqua" w:hAnsi="Book Antiqua"/>
          <w:sz w:val="24"/>
          <w:szCs w:val="24"/>
        </w:rPr>
        <w:t xml:space="preserve"> </w:t>
      </w:r>
      <w:r w:rsidR="002A7F54" w:rsidRPr="00372D52">
        <w:rPr>
          <w:rFonts w:ascii="Book Antiqua" w:hAnsi="Book Antiqua"/>
          <w:sz w:val="24"/>
          <w:szCs w:val="24"/>
        </w:rPr>
        <w:t xml:space="preserve">tissue necrosis factor receptor I/II; </w:t>
      </w:r>
      <w:r w:rsidRPr="00372D52">
        <w:rPr>
          <w:rFonts w:ascii="Book Antiqua" w:hAnsi="Book Antiqua"/>
          <w:sz w:val="24"/>
          <w:szCs w:val="24"/>
        </w:rPr>
        <w:t xml:space="preserve">PAI-1: Plasminogen </w:t>
      </w:r>
      <w:r w:rsidR="002A7F54" w:rsidRPr="00372D52">
        <w:rPr>
          <w:rFonts w:ascii="Book Antiqua" w:hAnsi="Book Antiqua"/>
          <w:sz w:val="24"/>
          <w:szCs w:val="24"/>
        </w:rPr>
        <w:t>activator inhibitor-a.</w:t>
      </w:r>
    </w:p>
    <w:p w14:paraId="6F89D450" w14:textId="46F843B5" w:rsidR="000F1524" w:rsidRPr="00372D52" w:rsidRDefault="000F1524" w:rsidP="00372D52">
      <w:pPr>
        <w:tabs>
          <w:tab w:val="left" w:pos="3120"/>
        </w:tabs>
        <w:spacing w:after="0" w:line="360" w:lineRule="auto"/>
        <w:jc w:val="both"/>
        <w:rPr>
          <w:rFonts w:ascii="Book Antiqua" w:hAnsi="Book Antiqua"/>
          <w:sz w:val="24"/>
          <w:szCs w:val="24"/>
        </w:rPr>
      </w:pPr>
    </w:p>
    <w:sectPr w:rsidR="000F1524" w:rsidRPr="00372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2B042" w14:textId="77777777" w:rsidR="007B085F" w:rsidRDefault="007B085F" w:rsidP="00706071">
      <w:pPr>
        <w:spacing w:after="0" w:line="240" w:lineRule="auto"/>
      </w:pPr>
      <w:r>
        <w:separator/>
      </w:r>
    </w:p>
  </w:endnote>
  <w:endnote w:type="continuationSeparator" w:id="0">
    <w:p w14:paraId="20902D3B" w14:textId="77777777" w:rsidR="007B085F" w:rsidRDefault="007B085F" w:rsidP="0070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erif">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JansonText LT">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panose1 w:val="020B0604020202020204"/>
    <w:charset w:val="00"/>
    <w:family w:val="auto"/>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31057" w14:textId="77777777" w:rsidR="007B085F" w:rsidRDefault="007B085F" w:rsidP="00706071">
      <w:pPr>
        <w:spacing w:after="0" w:line="240" w:lineRule="auto"/>
      </w:pPr>
      <w:r>
        <w:separator/>
      </w:r>
    </w:p>
  </w:footnote>
  <w:footnote w:type="continuationSeparator" w:id="0">
    <w:p w14:paraId="0FE8D754" w14:textId="77777777" w:rsidR="007B085F" w:rsidRDefault="007B085F" w:rsidP="00706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539E"/>
    <w:multiLevelType w:val="hybridMultilevel"/>
    <w:tmpl w:val="3B98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44426"/>
    <w:multiLevelType w:val="hybridMultilevel"/>
    <w:tmpl w:val="3B98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61E41"/>
    <w:multiLevelType w:val="multilevel"/>
    <w:tmpl w:val="CA30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382C9F"/>
    <w:multiLevelType w:val="hybridMultilevel"/>
    <w:tmpl w:val="1460EB6C"/>
    <w:lvl w:ilvl="0" w:tplc="D17E7D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E666F20"/>
    <w:multiLevelType w:val="hybridMultilevel"/>
    <w:tmpl w:val="2ED4E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8D0685"/>
    <w:rsid w:val="00030D53"/>
    <w:rsid w:val="00056C26"/>
    <w:rsid w:val="000677ED"/>
    <w:rsid w:val="000738CD"/>
    <w:rsid w:val="000828F7"/>
    <w:rsid w:val="00090E65"/>
    <w:rsid w:val="00094985"/>
    <w:rsid w:val="000A6B80"/>
    <w:rsid w:val="000D1BC8"/>
    <w:rsid w:val="000E7FF1"/>
    <w:rsid w:val="000F1524"/>
    <w:rsid w:val="000F24C0"/>
    <w:rsid w:val="000F25EF"/>
    <w:rsid w:val="0010019D"/>
    <w:rsid w:val="00104404"/>
    <w:rsid w:val="00116381"/>
    <w:rsid w:val="00145DE6"/>
    <w:rsid w:val="00153C95"/>
    <w:rsid w:val="00162387"/>
    <w:rsid w:val="00163AF4"/>
    <w:rsid w:val="001659B9"/>
    <w:rsid w:val="00174EC0"/>
    <w:rsid w:val="00174FEA"/>
    <w:rsid w:val="001836F2"/>
    <w:rsid w:val="001873BD"/>
    <w:rsid w:val="0019153A"/>
    <w:rsid w:val="001A1FB4"/>
    <w:rsid w:val="001B0E75"/>
    <w:rsid w:val="001C1AF0"/>
    <w:rsid w:val="001D1C6D"/>
    <w:rsid w:val="001E6825"/>
    <w:rsid w:val="001F2421"/>
    <w:rsid w:val="001F7B24"/>
    <w:rsid w:val="002002B4"/>
    <w:rsid w:val="0021436A"/>
    <w:rsid w:val="002212FE"/>
    <w:rsid w:val="0022243E"/>
    <w:rsid w:val="002268BA"/>
    <w:rsid w:val="00233668"/>
    <w:rsid w:val="00245B97"/>
    <w:rsid w:val="00247691"/>
    <w:rsid w:val="002501C4"/>
    <w:rsid w:val="00257FDF"/>
    <w:rsid w:val="002A7F54"/>
    <w:rsid w:val="002B6AEE"/>
    <w:rsid w:val="002D43DD"/>
    <w:rsid w:val="002F20AA"/>
    <w:rsid w:val="002F7039"/>
    <w:rsid w:val="00320F32"/>
    <w:rsid w:val="00324CCC"/>
    <w:rsid w:val="00332A44"/>
    <w:rsid w:val="0033339F"/>
    <w:rsid w:val="003425A4"/>
    <w:rsid w:val="003467CF"/>
    <w:rsid w:val="00371C43"/>
    <w:rsid w:val="00372D52"/>
    <w:rsid w:val="00386F89"/>
    <w:rsid w:val="00391AE3"/>
    <w:rsid w:val="0039663E"/>
    <w:rsid w:val="003B13BA"/>
    <w:rsid w:val="003C3BFB"/>
    <w:rsid w:val="00404290"/>
    <w:rsid w:val="00410011"/>
    <w:rsid w:val="00430C89"/>
    <w:rsid w:val="00435230"/>
    <w:rsid w:val="00444DD9"/>
    <w:rsid w:val="00482235"/>
    <w:rsid w:val="00493C05"/>
    <w:rsid w:val="004A129B"/>
    <w:rsid w:val="004A14A8"/>
    <w:rsid w:val="004A1BC8"/>
    <w:rsid w:val="004A663C"/>
    <w:rsid w:val="004B67B6"/>
    <w:rsid w:val="004D776F"/>
    <w:rsid w:val="004E1447"/>
    <w:rsid w:val="004F0601"/>
    <w:rsid w:val="004F37F9"/>
    <w:rsid w:val="004F6BB1"/>
    <w:rsid w:val="004F6F00"/>
    <w:rsid w:val="00503462"/>
    <w:rsid w:val="00504EA6"/>
    <w:rsid w:val="0051379A"/>
    <w:rsid w:val="00515448"/>
    <w:rsid w:val="00522BB1"/>
    <w:rsid w:val="005436F9"/>
    <w:rsid w:val="0056079E"/>
    <w:rsid w:val="00585DF5"/>
    <w:rsid w:val="00594C41"/>
    <w:rsid w:val="005A4DC4"/>
    <w:rsid w:val="005C215C"/>
    <w:rsid w:val="005C5388"/>
    <w:rsid w:val="005E28AC"/>
    <w:rsid w:val="005E5266"/>
    <w:rsid w:val="005F114A"/>
    <w:rsid w:val="005F74F6"/>
    <w:rsid w:val="00616353"/>
    <w:rsid w:val="0062595C"/>
    <w:rsid w:val="006315F2"/>
    <w:rsid w:val="0065487E"/>
    <w:rsid w:val="0065505C"/>
    <w:rsid w:val="00660F14"/>
    <w:rsid w:val="00662897"/>
    <w:rsid w:val="00666449"/>
    <w:rsid w:val="00672F0B"/>
    <w:rsid w:val="006A6C2A"/>
    <w:rsid w:val="006B0EEA"/>
    <w:rsid w:val="006B6D1B"/>
    <w:rsid w:val="006C0051"/>
    <w:rsid w:val="006D6B11"/>
    <w:rsid w:val="006E5DC9"/>
    <w:rsid w:val="006F5F5E"/>
    <w:rsid w:val="00706071"/>
    <w:rsid w:val="0071216B"/>
    <w:rsid w:val="00713BF2"/>
    <w:rsid w:val="007159D8"/>
    <w:rsid w:val="007467BF"/>
    <w:rsid w:val="00753E7D"/>
    <w:rsid w:val="007576A7"/>
    <w:rsid w:val="007809E2"/>
    <w:rsid w:val="007819A9"/>
    <w:rsid w:val="00795AE4"/>
    <w:rsid w:val="007B085F"/>
    <w:rsid w:val="007B4A34"/>
    <w:rsid w:val="007C1852"/>
    <w:rsid w:val="007C4B4D"/>
    <w:rsid w:val="007D3D73"/>
    <w:rsid w:val="007E35EC"/>
    <w:rsid w:val="007F358B"/>
    <w:rsid w:val="00803108"/>
    <w:rsid w:val="00824CEB"/>
    <w:rsid w:val="0083125C"/>
    <w:rsid w:val="00832749"/>
    <w:rsid w:val="0084257A"/>
    <w:rsid w:val="00877CCC"/>
    <w:rsid w:val="008816EB"/>
    <w:rsid w:val="00896B9F"/>
    <w:rsid w:val="008B12AD"/>
    <w:rsid w:val="008B29BB"/>
    <w:rsid w:val="008B5D20"/>
    <w:rsid w:val="008D0685"/>
    <w:rsid w:val="008D14EE"/>
    <w:rsid w:val="008D59E3"/>
    <w:rsid w:val="008F4C61"/>
    <w:rsid w:val="0091139A"/>
    <w:rsid w:val="00912353"/>
    <w:rsid w:val="00942AD8"/>
    <w:rsid w:val="00960782"/>
    <w:rsid w:val="00962E3E"/>
    <w:rsid w:val="00983FAA"/>
    <w:rsid w:val="0099283C"/>
    <w:rsid w:val="009B06BA"/>
    <w:rsid w:val="009D31AC"/>
    <w:rsid w:val="009E2850"/>
    <w:rsid w:val="009E52CF"/>
    <w:rsid w:val="009F4C1C"/>
    <w:rsid w:val="00A02FC4"/>
    <w:rsid w:val="00A17F89"/>
    <w:rsid w:val="00A36DA3"/>
    <w:rsid w:val="00A4234F"/>
    <w:rsid w:val="00A7020F"/>
    <w:rsid w:val="00A94404"/>
    <w:rsid w:val="00A9667F"/>
    <w:rsid w:val="00AB488E"/>
    <w:rsid w:val="00AE5DCC"/>
    <w:rsid w:val="00B26132"/>
    <w:rsid w:val="00B36B8B"/>
    <w:rsid w:val="00B40E69"/>
    <w:rsid w:val="00B53EF6"/>
    <w:rsid w:val="00B65F88"/>
    <w:rsid w:val="00B7067B"/>
    <w:rsid w:val="00B72DC1"/>
    <w:rsid w:val="00B77ABA"/>
    <w:rsid w:val="00B97320"/>
    <w:rsid w:val="00BA7909"/>
    <w:rsid w:val="00BC2859"/>
    <w:rsid w:val="00BC4C70"/>
    <w:rsid w:val="00BC586F"/>
    <w:rsid w:val="00BC599D"/>
    <w:rsid w:val="00BE39DF"/>
    <w:rsid w:val="00BF40D9"/>
    <w:rsid w:val="00C064AB"/>
    <w:rsid w:val="00C17367"/>
    <w:rsid w:val="00C227B8"/>
    <w:rsid w:val="00C24A32"/>
    <w:rsid w:val="00C250DA"/>
    <w:rsid w:val="00C43441"/>
    <w:rsid w:val="00C70531"/>
    <w:rsid w:val="00C777FE"/>
    <w:rsid w:val="00C8120E"/>
    <w:rsid w:val="00CB496F"/>
    <w:rsid w:val="00CC054E"/>
    <w:rsid w:val="00CC19D7"/>
    <w:rsid w:val="00CC35BA"/>
    <w:rsid w:val="00CE7856"/>
    <w:rsid w:val="00CF61C9"/>
    <w:rsid w:val="00CF6F47"/>
    <w:rsid w:val="00D01075"/>
    <w:rsid w:val="00D23B3C"/>
    <w:rsid w:val="00D31E58"/>
    <w:rsid w:val="00D41CEB"/>
    <w:rsid w:val="00D42981"/>
    <w:rsid w:val="00D72AE5"/>
    <w:rsid w:val="00D804C5"/>
    <w:rsid w:val="00D9243F"/>
    <w:rsid w:val="00DB420B"/>
    <w:rsid w:val="00DC7B70"/>
    <w:rsid w:val="00DD0294"/>
    <w:rsid w:val="00DD5EC6"/>
    <w:rsid w:val="00DF2CA1"/>
    <w:rsid w:val="00DF5F31"/>
    <w:rsid w:val="00E149EE"/>
    <w:rsid w:val="00E23156"/>
    <w:rsid w:val="00E368B5"/>
    <w:rsid w:val="00E42D5C"/>
    <w:rsid w:val="00E44F9A"/>
    <w:rsid w:val="00E47745"/>
    <w:rsid w:val="00E5494F"/>
    <w:rsid w:val="00E6738F"/>
    <w:rsid w:val="00EA4645"/>
    <w:rsid w:val="00EC7111"/>
    <w:rsid w:val="00EE40BE"/>
    <w:rsid w:val="00F020E7"/>
    <w:rsid w:val="00F321C0"/>
    <w:rsid w:val="00F32CE0"/>
    <w:rsid w:val="00F43D02"/>
    <w:rsid w:val="00F462D1"/>
    <w:rsid w:val="00F85955"/>
    <w:rsid w:val="00FA44A0"/>
    <w:rsid w:val="00FC3D14"/>
    <w:rsid w:val="00FC6194"/>
    <w:rsid w:val="00FD58F2"/>
    <w:rsid w:val="00FE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3C5E6"/>
  <w15:docId w15:val="{E1BAAD8B-7E99-4D53-9601-A79A64AA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85"/>
  </w:style>
  <w:style w:type="paragraph" w:styleId="Heading4">
    <w:name w:val="heading 4"/>
    <w:basedOn w:val="Normal"/>
    <w:link w:val="Heading4Char"/>
    <w:uiPriority w:val="9"/>
    <w:qFormat/>
    <w:rsid w:val="00877CCC"/>
    <w:pPr>
      <w:spacing w:before="319" w:after="319" w:line="270" w:lineRule="atLeast"/>
      <w:outlineLvl w:val="3"/>
    </w:pPr>
    <w:rPr>
      <w:rFonts w:ascii="Droid Serif" w:eastAsia="Times New Roman" w:hAnsi="Droid Serif" w:cs="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F88"/>
    <w:pPr>
      <w:spacing w:after="0" w:line="240" w:lineRule="auto"/>
      <w:ind w:left="720"/>
    </w:pPr>
    <w:rPr>
      <w:rFonts w:ascii="Calibri" w:hAnsi="Calibri" w:cs="Times New Roman"/>
    </w:rPr>
  </w:style>
  <w:style w:type="paragraph" w:customStyle="1" w:styleId="Default">
    <w:name w:val="Default"/>
    <w:rsid w:val="00FA44A0"/>
    <w:pPr>
      <w:autoSpaceDE w:val="0"/>
      <w:autoSpaceDN w:val="0"/>
      <w:adjustRightInd w:val="0"/>
      <w:spacing w:after="0" w:line="240" w:lineRule="auto"/>
    </w:pPr>
    <w:rPr>
      <w:rFonts w:ascii="Book Antiqua" w:hAnsi="Book Antiqua" w:cs="Book Antiqua"/>
      <w:color w:val="000000"/>
      <w:sz w:val="24"/>
      <w:szCs w:val="24"/>
    </w:rPr>
  </w:style>
  <w:style w:type="character" w:customStyle="1" w:styleId="A1">
    <w:name w:val="A1"/>
    <w:uiPriority w:val="99"/>
    <w:rsid w:val="004E1447"/>
    <w:rPr>
      <w:rFonts w:cs="JansonText LT"/>
      <w:color w:val="000000"/>
    </w:rPr>
  </w:style>
  <w:style w:type="paragraph" w:styleId="BalloonText">
    <w:name w:val="Balloon Text"/>
    <w:basedOn w:val="Normal"/>
    <w:link w:val="BalloonTextChar"/>
    <w:uiPriority w:val="99"/>
    <w:semiHidden/>
    <w:unhideWhenUsed/>
    <w:rsid w:val="00706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071"/>
    <w:rPr>
      <w:rFonts w:ascii="Tahoma" w:hAnsi="Tahoma" w:cs="Tahoma"/>
      <w:sz w:val="16"/>
      <w:szCs w:val="16"/>
    </w:rPr>
  </w:style>
  <w:style w:type="paragraph" w:styleId="Header">
    <w:name w:val="header"/>
    <w:basedOn w:val="Normal"/>
    <w:link w:val="HeaderChar"/>
    <w:uiPriority w:val="99"/>
    <w:unhideWhenUsed/>
    <w:rsid w:val="00706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071"/>
  </w:style>
  <w:style w:type="paragraph" w:styleId="Footer">
    <w:name w:val="footer"/>
    <w:basedOn w:val="Normal"/>
    <w:link w:val="FooterChar"/>
    <w:uiPriority w:val="99"/>
    <w:unhideWhenUsed/>
    <w:rsid w:val="00706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71"/>
  </w:style>
  <w:style w:type="table" w:styleId="TableGrid">
    <w:name w:val="Table Grid"/>
    <w:basedOn w:val="TableNormal"/>
    <w:uiPriority w:val="59"/>
    <w:rsid w:val="003B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524"/>
    <w:rPr>
      <w:color w:val="0000FF" w:themeColor="hyperlink"/>
      <w:u w:val="single"/>
    </w:rPr>
  </w:style>
  <w:style w:type="character" w:styleId="Emphasis">
    <w:name w:val="Emphasis"/>
    <w:basedOn w:val="DefaultParagraphFont"/>
    <w:uiPriority w:val="20"/>
    <w:qFormat/>
    <w:rsid w:val="000F1524"/>
    <w:rPr>
      <w:i/>
      <w:iCs/>
    </w:rPr>
  </w:style>
  <w:style w:type="character" w:customStyle="1" w:styleId="highlight">
    <w:name w:val="highlight"/>
    <w:basedOn w:val="DefaultParagraphFont"/>
    <w:rsid w:val="000F1524"/>
  </w:style>
  <w:style w:type="character" w:customStyle="1" w:styleId="element-citation">
    <w:name w:val="element-citation"/>
    <w:basedOn w:val="DefaultParagraphFont"/>
    <w:rsid w:val="000F1524"/>
  </w:style>
  <w:style w:type="character" w:customStyle="1" w:styleId="ref-journal">
    <w:name w:val="ref-journal"/>
    <w:basedOn w:val="DefaultParagraphFont"/>
    <w:rsid w:val="000F1524"/>
  </w:style>
  <w:style w:type="character" w:customStyle="1" w:styleId="ref-vol">
    <w:name w:val="ref-vol"/>
    <w:basedOn w:val="DefaultParagraphFont"/>
    <w:rsid w:val="000F1524"/>
  </w:style>
  <w:style w:type="character" w:styleId="FollowedHyperlink">
    <w:name w:val="FollowedHyperlink"/>
    <w:basedOn w:val="DefaultParagraphFont"/>
    <w:uiPriority w:val="99"/>
    <w:semiHidden/>
    <w:unhideWhenUsed/>
    <w:rsid w:val="002B6AEE"/>
    <w:rPr>
      <w:color w:val="800080" w:themeColor="followedHyperlink"/>
      <w:u w:val="single"/>
    </w:rPr>
  </w:style>
  <w:style w:type="character" w:styleId="CommentReference">
    <w:name w:val="annotation reference"/>
    <w:basedOn w:val="DefaultParagraphFont"/>
    <w:uiPriority w:val="99"/>
    <w:unhideWhenUsed/>
    <w:qFormat/>
    <w:rsid w:val="002D43DD"/>
    <w:rPr>
      <w:sz w:val="16"/>
      <w:szCs w:val="16"/>
    </w:rPr>
  </w:style>
  <w:style w:type="paragraph" w:styleId="CommentText">
    <w:name w:val="annotation text"/>
    <w:basedOn w:val="Normal"/>
    <w:link w:val="CommentTextChar"/>
    <w:uiPriority w:val="99"/>
    <w:unhideWhenUsed/>
    <w:qFormat/>
    <w:rsid w:val="002D43DD"/>
    <w:pPr>
      <w:spacing w:line="240" w:lineRule="auto"/>
    </w:pPr>
    <w:rPr>
      <w:sz w:val="20"/>
      <w:szCs w:val="20"/>
    </w:rPr>
  </w:style>
  <w:style w:type="character" w:customStyle="1" w:styleId="CommentTextChar">
    <w:name w:val="Comment Text Char"/>
    <w:basedOn w:val="DefaultParagraphFont"/>
    <w:link w:val="CommentText"/>
    <w:uiPriority w:val="99"/>
    <w:semiHidden/>
    <w:rsid w:val="002D43DD"/>
    <w:rPr>
      <w:sz w:val="20"/>
      <w:szCs w:val="20"/>
    </w:rPr>
  </w:style>
  <w:style w:type="paragraph" w:styleId="CommentSubject">
    <w:name w:val="annotation subject"/>
    <w:basedOn w:val="CommentText"/>
    <w:next w:val="CommentText"/>
    <w:link w:val="CommentSubjectChar"/>
    <w:uiPriority w:val="99"/>
    <w:semiHidden/>
    <w:unhideWhenUsed/>
    <w:rsid w:val="002D43DD"/>
    <w:rPr>
      <w:b/>
      <w:bCs/>
    </w:rPr>
  </w:style>
  <w:style w:type="character" w:customStyle="1" w:styleId="CommentSubjectChar">
    <w:name w:val="Comment Subject Char"/>
    <w:basedOn w:val="CommentTextChar"/>
    <w:link w:val="CommentSubject"/>
    <w:uiPriority w:val="99"/>
    <w:semiHidden/>
    <w:rsid w:val="002D43DD"/>
    <w:rPr>
      <w:b/>
      <w:bCs/>
      <w:sz w:val="20"/>
      <w:szCs w:val="20"/>
    </w:rPr>
  </w:style>
  <w:style w:type="character" w:customStyle="1" w:styleId="Heading4Char">
    <w:name w:val="Heading 4 Char"/>
    <w:basedOn w:val="DefaultParagraphFont"/>
    <w:link w:val="Heading4"/>
    <w:uiPriority w:val="9"/>
    <w:rsid w:val="00877CCC"/>
    <w:rPr>
      <w:rFonts w:ascii="Droid Serif" w:eastAsia="Times New Roman" w:hAnsi="Droid Serif" w:cs="Times New Roman"/>
      <w:b/>
      <w:bCs/>
      <w:color w:val="333333"/>
      <w:sz w:val="24"/>
      <w:szCs w:val="24"/>
    </w:rPr>
  </w:style>
  <w:style w:type="character" w:customStyle="1" w:styleId="authors5">
    <w:name w:val="authors5"/>
    <w:basedOn w:val="DefaultParagraphFont"/>
    <w:rsid w:val="00877CCC"/>
  </w:style>
  <w:style w:type="character" w:customStyle="1" w:styleId="Date1">
    <w:name w:val="Date1"/>
    <w:basedOn w:val="DefaultParagraphFont"/>
    <w:rsid w:val="00877CCC"/>
  </w:style>
  <w:style w:type="character" w:customStyle="1" w:styleId="arttitle4">
    <w:name w:val="art_title4"/>
    <w:basedOn w:val="DefaultParagraphFont"/>
    <w:rsid w:val="00877CCC"/>
  </w:style>
  <w:style w:type="character" w:customStyle="1" w:styleId="serialtitle">
    <w:name w:val="serial_title"/>
    <w:basedOn w:val="DefaultParagraphFont"/>
    <w:rsid w:val="00877CCC"/>
  </w:style>
  <w:style w:type="character" w:customStyle="1" w:styleId="volumeissue">
    <w:name w:val="volume_issue"/>
    <w:basedOn w:val="DefaultParagraphFont"/>
    <w:rsid w:val="00877CCC"/>
  </w:style>
  <w:style w:type="character" w:customStyle="1" w:styleId="pagerange">
    <w:name w:val="page_range"/>
    <w:basedOn w:val="DefaultParagraphFont"/>
    <w:rsid w:val="00877CCC"/>
  </w:style>
  <w:style w:type="paragraph" w:styleId="Revision">
    <w:name w:val="Revision"/>
    <w:hidden/>
    <w:uiPriority w:val="99"/>
    <w:semiHidden/>
    <w:rsid w:val="00713BF2"/>
    <w:pPr>
      <w:spacing w:after="0" w:line="240" w:lineRule="auto"/>
    </w:pPr>
  </w:style>
  <w:style w:type="paragraph" w:customStyle="1" w:styleId="1">
    <w:name w:val="正文1"/>
    <w:uiPriority w:val="99"/>
    <w:rsid w:val="00713BF2"/>
    <w:pPr>
      <w:spacing w:after="0"/>
    </w:pPr>
    <w:rPr>
      <w:rFonts w:ascii="Arial" w:hAnsi="Arial" w:cs="Arial"/>
      <w:color w:val="000000"/>
      <w:szCs w:val="20"/>
      <w:lang w:val="pl-PL" w:eastAsia="pl-PL"/>
    </w:rPr>
  </w:style>
  <w:style w:type="character" w:customStyle="1" w:styleId="10">
    <w:name w:val="批注文字 字符1"/>
    <w:basedOn w:val="DefaultParagraphFont"/>
    <w:uiPriority w:val="99"/>
    <w:qFormat/>
    <w:rsid w:val="00713BF2"/>
    <w:rPr>
      <w:rFonts w:eastAsiaTheme="minorEastAsia"/>
      <w:kern w:val="2"/>
      <w:sz w:val="21"/>
    </w:rPr>
  </w:style>
  <w:style w:type="character" w:styleId="PlaceholderText">
    <w:name w:val="Placeholder Text"/>
    <w:basedOn w:val="DefaultParagraphFont"/>
    <w:uiPriority w:val="99"/>
    <w:semiHidden/>
    <w:rsid w:val="001F2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32899">
      <w:bodyDiv w:val="1"/>
      <w:marLeft w:val="0"/>
      <w:marRight w:val="0"/>
      <w:marTop w:val="0"/>
      <w:marBottom w:val="0"/>
      <w:divBdr>
        <w:top w:val="none" w:sz="0" w:space="0" w:color="auto"/>
        <w:left w:val="none" w:sz="0" w:space="0" w:color="auto"/>
        <w:bottom w:val="none" w:sz="0" w:space="0" w:color="auto"/>
        <w:right w:val="none" w:sz="0" w:space="0" w:color="auto"/>
      </w:divBdr>
    </w:div>
    <w:div w:id="1126046900">
      <w:bodyDiv w:val="1"/>
      <w:marLeft w:val="0"/>
      <w:marRight w:val="0"/>
      <w:marTop w:val="0"/>
      <w:marBottom w:val="0"/>
      <w:divBdr>
        <w:top w:val="none" w:sz="0" w:space="0" w:color="auto"/>
        <w:left w:val="none" w:sz="0" w:space="0" w:color="auto"/>
        <w:bottom w:val="none" w:sz="0" w:space="0" w:color="auto"/>
        <w:right w:val="none" w:sz="0" w:space="0" w:color="auto"/>
      </w:divBdr>
      <w:divsChild>
        <w:div w:id="749304062">
          <w:marLeft w:val="0"/>
          <w:marRight w:val="0"/>
          <w:marTop w:val="100"/>
          <w:marBottom w:val="100"/>
          <w:divBdr>
            <w:top w:val="none" w:sz="0" w:space="0" w:color="auto"/>
            <w:left w:val="none" w:sz="0" w:space="0" w:color="auto"/>
            <w:bottom w:val="none" w:sz="0" w:space="0" w:color="auto"/>
            <w:right w:val="none" w:sz="0" w:space="0" w:color="auto"/>
          </w:divBdr>
          <w:divsChild>
            <w:div w:id="705567166">
              <w:marLeft w:val="0"/>
              <w:marRight w:val="0"/>
              <w:marTop w:val="0"/>
              <w:marBottom w:val="0"/>
              <w:divBdr>
                <w:top w:val="none" w:sz="0" w:space="0" w:color="auto"/>
                <w:left w:val="none" w:sz="0" w:space="0" w:color="auto"/>
                <w:bottom w:val="none" w:sz="0" w:space="0" w:color="auto"/>
                <w:right w:val="none" w:sz="0" w:space="0" w:color="auto"/>
              </w:divBdr>
              <w:divsChild>
                <w:div w:id="519777488">
                  <w:marLeft w:val="105"/>
                  <w:marRight w:val="105"/>
                  <w:marTop w:val="105"/>
                  <w:marBottom w:val="105"/>
                  <w:divBdr>
                    <w:top w:val="none" w:sz="0" w:space="0" w:color="auto"/>
                    <w:left w:val="none" w:sz="0" w:space="0" w:color="auto"/>
                    <w:bottom w:val="none" w:sz="0" w:space="0" w:color="auto"/>
                    <w:right w:val="none" w:sz="0" w:space="0" w:color="auto"/>
                  </w:divBdr>
                  <w:divsChild>
                    <w:div w:id="612715239">
                      <w:marLeft w:val="0"/>
                      <w:marRight w:val="0"/>
                      <w:marTop w:val="0"/>
                      <w:marBottom w:val="0"/>
                      <w:divBdr>
                        <w:top w:val="none" w:sz="0" w:space="0" w:color="auto"/>
                        <w:left w:val="none" w:sz="0" w:space="0" w:color="auto"/>
                        <w:bottom w:val="none" w:sz="0" w:space="0" w:color="auto"/>
                        <w:right w:val="none" w:sz="0" w:space="0" w:color="auto"/>
                      </w:divBdr>
                      <w:divsChild>
                        <w:div w:id="1517620162">
                          <w:marLeft w:val="0"/>
                          <w:marRight w:val="0"/>
                          <w:marTop w:val="0"/>
                          <w:marBottom w:val="0"/>
                          <w:divBdr>
                            <w:top w:val="none" w:sz="0" w:space="0" w:color="auto"/>
                            <w:left w:val="none" w:sz="0" w:space="0" w:color="auto"/>
                            <w:bottom w:val="none" w:sz="0" w:space="0" w:color="auto"/>
                            <w:right w:val="none" w:sz="0" w:space="0" w:color="auto"/>
                          </w:divBdr>
                          <w:divsChild>
                            <w:div w:id="1628388235">
                              <w:marLeft w:val="0"/>
                              <w:marRight w:val="0"/>
                              <w:marTop w:val="0"/>
                              <w:marBottom w:val="0"/>
                              <w:divBdr>
                                <w:top w:val="none" w:sz="0" w:space="0" w:color="auto"/>
                                <w:left w:val="none" w:sz="0" w:space="0" w:color="auto"/>
                                <w:bottom w:val="none" w:sz="0" w:space="0" w:color="auto"/>
                                <w:right w:val="none" w:sz="0" w:space="0" w:color="auto"/>
                              </w:divBdr>
                              <w:divsChild>
                                <w:div w:id="138308067">
                                  <w:marLeft w:val="0"/>
                                  <w:marRight w:val="0"/>
                                  <w:marTop w:val="0"/>
                                  <w:marBottom w:val="0"/>
                                  <w:divBdr>
                                    <w:top w:val="none" w:sz="0" w:space="0" w:color="auto"/>
                                    <w:left w:val="none" w:sz="0" w:space="0" w:color="auto"/>
                                    <w:bottom w:val="none" w:sz="0" w:space="0" w:color="auto"/>
                                    <w:right w:val="none" w:sz="0" w:space="0" w:color="auto"/>
                                  </w:divBdr>
                                  <w:divsChild>
                                    <w:div w:id="2034450607">
                                      <w:marLeft w:val="105"/>
                                      <w:marRight w:val="105"/>
                                      <w:marTop w:val="105"/>
                                      <w:marBottom w:val="105"/>
                                      <w:divBdr>
                                        <w:top w:val="none" w:sz="0" w:space="0" w:color="auto"/>
                                        <w:left w:val="none" w:sz="0" w:space="0" w:color="auto"/>
                                        <w:bottom w:val="none" w:sz="0" w:space="0" w:color="auto"/>
                                        <w:right w:val="none" w:sz="0" w:space="0" w:color="auto"/>
                                      </w:divBdr>
                                      <w:divsChild>
                                        <w:div w:id="1630090220">
                                          <w:marLeft w:val="0"/>
                                          <w:marRight w:val="0"/>
                                          <w:marTop w:val="0"/>
                                          <w:marBottom w:val="0"/>
                                          <w:divBdr>
                                            <w:top w:val="none" w:sz="0" w:space="0" w:color="auto"/>
                                            <w:left w:val="none" w:sz="0" w:space="0" w:color="auto"/>
                                            <w:bottom w:val="none" w:sz="0" w:space="0" w:color="auto"/>
                                            <w:right w:val="none" w:sz="0" w:space="0" w:color="auto"/>
                                          </w:divBdr>
                                          <w:divsChild>
                                            <w:div w:id="1441140496">
                                              <w:marLeft w:val="0"/>
                                              <w:marRight w:val="0"/>
                                              <w:marTop w:val="0"/>
                                              <w:marBottom w:val="0"/>
                                              <w:divBdr>
                                                <w:top w:val="none" w:sz="0" w:space="0" w:color="auto"/>
                                                <w:left w:val="none" w:sz="0" w:space="0" w:color="auto"/>
                                                <w:bottom w:val="none" w:sz="0" w:space="0" w:color="auto"/>
                                                <w:right w:val="none" w:sz="0" w:space="0" w:color="auto"/>
                                              </w:divBdr>
                                              <w:divsChild>
                                                <w:div w:id="685211332">
                                                  <w:marLeft w:val="0"/>
                                                  <w:marRight w:val="0"/>
                                                  <w:marTop w:val="0"/>
                                                  <w:marBottom w:val="0"/>
                                                  <w:divBdr>
                                                    <w:top w:val="none" w:sz="0" w:space="0" w:color="auto"/>
                                                    <w:left w:val="none" w:sz="0" w:space="0" w:color="auto"/>
                                                    <w:bottom w:val="none" w:sz="0" w:space="0" w:color="auto"/>
                                                    <w:right w:val="none" w:sz="0" w:space="0" w:color="auto"/>
                                                  </w:divBdr>
                                                  <w:divsChild>
                                                    <w:div w:id="303514223">
                                                      <w:marLeft w:val="0"/>
                                                      <w:marRight w:val="0"/>
                                                      <w:marTop w:val="0"/>
                                                      <w:marBottom w:val="0"/>
                                                      <w:divBdr>
                                                        <w:top w:val="none" w:sz="0" w:space="0" w:color="auto"/>
                                                        <w:left w:val="none" w:sz="0" w:space="0" w:color="auto"/>
                                                        <w:bottom w:val="none" w:sz="0" w:space="0" w:color="auto"/>
                                                        <w:right w:val="none" w:sz="0" w:space="0" w:color="auto"/>
                                                      </w:divBdr>
                                                      <w:divsChild>
                                                        <w:div w:id="1215239440">
                                                          <w:marLeft w:val="0"/>
                                                          <w:marRight w:val="0"/>
                                                          <w:marTop w:val="0"/>
                                                          <w:marBottom w:val="0"/>
                                                          <w:divBdr>
                                                            <w:top w:val="none" w:sz="0" w:space="0" w:color="auto"/>
                                                            <w:left w:val="none" w:sz="0" w:space="0" w:color="auto"/>
                                                            <w:bottom w:val="none" w:sz="0" w:space="0" w:color="auto"/>
                                                            <w:right w:val="none" w:sz="0" w:space="0" w:color="auto"/>
                                                          </w:divBdr>
                                                          <w:divsChild>
                                                            <w:div w:id="648095131">
                                                              <w:marLeft w:val="0"/>
                                                              <w:marRight w:val="0"/>
                                                              <w:marTop w:val="0"/>
                                                              <w:marBottom w:val="0"/>
                                                              <w:divBdr>
                                                                <w:top w:val="none" w:sz="0" w:space="0" w:color="auto"/>
                                                                <w:left w:val="none" w:sz="0" w:space="0" w:color="auto"/>
                                                                <w:bottom w:val="none" w:sz="0" w:space="0" w:color="auto"/>
                                                                <w:right w:val="none" w:sz="0" w:space="0" w:color="auto"/>
                                                              </w:divBdr>
                                                              <w:divsChild>
                                                                <w:div w:id="1750737143">
                                                                  <w:marLeft w:val="105"/>
                                                                  <w:marRight w:val="105"/>
                                                                  <w:marTop w:val="105"/>
                                                                  <w:marBottom w:val="105"/>
                                                                  <w:divBdr>
                                                                    <w:top w:val="none" w:sz="0" w:space="0" w:color="auto"/>
                                                                    <w:left w:val="none" w:sz="0" w:space="0" w:color="auto"/>
                                                                    <w:bottom w:val="none" w:sz="0" w:space="0" w:color="auto"/>
                                                                    <w:right w:val="none" w:sz="0" w:space="0" w:color="auto"/>
                                                                  </w:divBdr>
                                                                  <w:divsChild>
                                                                    <w:div w:id="252201628">
                                                                      <w:marLeft w:val="0"/>
                                                                      <w:marRight w:val="0"/>
                                                                      <w:marTop w:val="0"/>
                                                                      <w:marBottom w:val="0"/>
                                                                      <w:divBdr>
                                                                        <w:top w:val="none" w:sz="0" w:space="0" w:color="auto"/>
                                                                        <w:left w:val="none" w:sz="0" w:space="0" w:color="auto"/>
                                                                        <w:bottom w:val="none" w:sz="0" w:space="0" w:color="auto"/>
                                                                        <w:right w:val="none" w:sz="0" w:space="0" w:color="auto"/>
                                                                      </w:divBdr>
                                                                      <w:divsChild>
                                                                        <w:div w:id="1143766072">
                                                                          <w:marLeft w:val="0"/>
                                                                          <w:marRight w:val="0"/>
                                                                          <w:marTop w:val="0"/>
                                                                          <w:marBottom w:val="0"/>
                                                                          <w:divBdr>
                                                                            <w:top w:val="none" w:sz="0" w:space="0" w:color="auto"/>
                                                                            <w:left w:val="none" w:sz="0" w:space="0" w:color="auto"/>
                                                                            <w:bottom w:val="none" w:sz="0" w:space="0" w:color="auto"/>
                                                                            <w:right w:val="none" w:sz="0" w:space="0" w:color="auto"/>
                                                                          </w:divBdr>
                                                                          <w:divsChild>
                                                                            <w:div w:id="1281761100">
                                                                              <w:marLeft w:val="0"/>
                                                                              <w:marRight w:val="0"/>
                                                                              <w:marTop w:val="0"/>
                                                                              <w:marBottom w:val="0"/>
                                                                              <w:divBdr>
                                                                                <w:top w:val="none" w:sz="0" w:space="0" w:color="auto"/>
                                                                                <w:left w:val="none" w:sz="0" w:space="0" w:color="auto"/>
                                                                                <w:bottom w:val="none" w:sz="0" w:space="0" w:color="auto"/>
                                                                                <w:right w:val="none" w:sz="0" w:space="0" w:color="auto"/>
                                                                              </w:divBdr>
                                                                              <w:divsChild>
                                                                                <w:div w:id="1895500612">
                                                                                  <w:marLeft w:val="0"/>
                                                                                  <w:marRight w:val="0"/>
                                                                                  <w:marTop w:val="0"/>
                                                                                  <w:marBottom w:val="0"/>
                                                                                  <w:divBdr>
                                                                                    <w:top w:val="none" w:sz="0" w:space="0" w:color="auto"/>
                                                                                    <w:left w:val="none" w:sz="0" w:space="0" w:color="auto"/>
                                                                                    <w:bottom w:val="none" w:sz="0" w:space="0" w:color="auto"/>
                                                                                    <w:right w:val="none" w:sz="0" w:space="0" w:color="auto"/>
                                                                                  </w:divBdr>
                                                                                  <w:divsChild>
                                                                                    <w:div w:id="939415551">
                                                                                      <w:marLeft w:val="0"/>
                                                                                      <w:marRight w:val="0"/>
                                                                                      <w:marTop w:val="0"/>
                                                                                      <w:marBottom w:val="0"/>
                                                                                      <w:divBdr>
                                                                                        <w:top w:val="none" w:sz="0" w:space="0" w:color="auto"/>
                                                                                        <w:left w:val="none" w:sz="0" w:space="0" w:color="auto"/>
                                                                                        <w:bottom w:val="none" w:sz="0" w:space="0" w:color="auto"/>
                                                                                        <w:right w:val="none" w:sz="0" w:space="0" w:color="auto"/>
                                                                                      </w:divBdr>
                                                                                      <w:divsChild>
                                                                                        <w:div w:id="2750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546623">
      <w:bodyDiv w:val="1"/>
      <w:marLeft w:val="0"/>
      <w:marRight w:val="0"/>
      <w:marTop w:val="0"/>
      <w:marBottom w:val="0"/>
      <w:divBdr>
        <w:top w:val="none" w:sz="0" w:space="0" w:color="auto"/>
        <w:left w:val="none" w:sz="0" w:space="0" w:color="auto"/>
        <w:bottom w:val="none" w:sz="0" w:space="0" w:color="auto"/>
        <w:right w:val="none" w:sz="0" w:space="0" w:color="auto"/>
      </w:divBdr>
    </w:div>
    <w:div w:id="1246527332">
      <w:bodyDiv w:val="1"/>
      <w:marLeft w:val="0"/>
      <w:marRight w:val="0"/>
      <w:marTop w:val="0"/>
      <w:marBottom w:val="0"/>
      <w:divBdr>
        <w:top w:val="none" w:sz="0" w:space="0" w:color="auto"/>
        <w:left w:val="none" w:sz="0" w:space="0" w:color="auto"/>
        <w:bottom w:val="none" w:sz="0" w:space="0" w:color="auto"/>
        <w:right w:val="none" w:sz="0" w:space="0" w:color="auto"/>
      </w:divBdr>
    </w:div>
    <w:div w:id="195736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6A54E-695B-D441-983B-F547FA94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61846</Words>
  <Characters>352528</Characters>
  <Application>Microsoft Office Word</Application>
  <DocSecurity>0</DocSecurity>
  <Lines>2937</Lines>
  <Paragraphs>827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 Chalmers</dc:creator>
  <cp:lastModifiedBy>Li Ma</cp:lastModifiedBy>
  <cp:revision>3</cp:revision>
  <dcterms:created xsi:type="dcterms:W3CDTF">2019-08-07T03:59:00Z</dcterms:created>
  <dcterms:modified xsi:type="dcterms:W3CDTF">2019-08-07T04:04:00Z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http://www.zotero.org/styles/journal-of-cardiothoracic-and-vascular-anesthesia</vt:lpwstr>
  </property>
  <property fmtid="{D5CDD505-2E9C-101B-9397-08002B2CF9AE}" pid="13" name="Mendeley Recent Style Name 5_1">
    <vt:lpwstr>Journal of Cardiothoracic and Vascular Anesthesia</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http://www.zotero.org/styles/the-new-england-journal-of-medicine</vt:lpwstr>
  </property>
  <property fmtid="{D5CDD505-2E9C-101B-9397-08002B2CF9AE}" pid="19" name="Mendeley Recent Style Name 8_1">
    <vt:lpwstr>The New England Journal of Medicine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Citation Style_1">
    <vt:lpwstr>http://www.zotero.org/styles/world-journal-of-gastroenterology</vt:lpwstr>
  </property>
  <property fmtid="{D5CDD505-2E9C-101B-9397-08002B2CF9AE}" pid="24" name="Mendeley Unique User Id_1">
    <vt:lpwstr>831087c6-098b-36a8-b3f0-0e2b6fc17787</vt:lpwstr>
  </property>
</Properties>
</file>