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928A0" w14:textId="408DAC56" w:rsidR="00122518" w:rsidRPr="00FA26FB" w:rsidRDefault="00122518" w:rsidP="002C1F15">
      <w:pPr>
        <w:snapToGrid w:val="0"/>
        <w:spacing w:after="0" w:line="360" w:lineRule="auto"/>
        <w:rPr>
          <w:rFonts w:ascii="Book Antiqua" w:hAnsi="Book Antiqua"/>
          <w:b/>
          <w:color w:val="000000"/>
          <w:sz w:val="24"/>
          <w:szCs w:val="24"/>
        </w:rPr>
      </w:pPr>
      <w:bookmarkStart w:id="0" w:name="_Hlk10708186"/>
      <w:bookmarkStart w:id="1" w:name="_Hlk18772440"/>
      <w:r w:rsidRPr="00FA26FB">
        <w:rPr>
          <w:rFonts w:ascii="Book Antiqua" w:hAnsi="Book Antiqua"/>
          <w:b/>
          <w:color w:val="000000"/>
          <w:sz w:val="24"/>
          <w:szCs w:val="24"/>
        </w:rPr>
        <w:t xml:space="preserve">Name of Journal: </w:t>
      </w:r>
      <w:r w:rsidRPr="00FA26FB">
        <w:rPr>
          <w:rFonts w:ascii="Book Antiqua" w:hAnsi="Book Antiqua"/>
          <w:b/>
          <w:i/>
          <w:color w:val="000000"/>
          <w:sz w:val="24"/>
          <w:szCs w:val="24"/>
        </w:rPr>
        <w:t>World Journal of Hepatology</w:t>
      </w:r>
    </w:p>
    <w:p w14:paraId="10185C31" w14:textId="45EAB428" w:rsidR="00122518" w:rsidRPr="00FA26FB" w:rsidRDefault="00122518" w:rsidP="002C1F15">
      <w:pPr>
        <w:adjustRightInd w:val="0"/>
        <w:snapToGrid w:val="0"/>
        <w:spacing w:after="0" w:line="360" w:lineRule="auto"/>
        <w:rPr>
          <w:rFonts w:ascii="Book Antiqua" w:hAnsi="Book Antiqua" w:cs="Arial"/>
          <w:b/>
          <w:color w:val="000000"/>
          <w:sz w:val="24"/>
          <w:szCs w:val="24"/>
          <w:lang w:val="en"/>
        </w:rPr>
      </w:pPr>
      <w:r w:rsidRPr="00FA26FB">
        <w:rPr>
          <w:rFonts w:ascii="Book Antiqua" w:eastAsia="Times New Roman" w:hAnsi="Book Antiqua"/>
          <w:b/>
          <w:color w:val="000000"/>
          <w:sz w:val="24"/>
          <w:szCs w:val="24"/>
        </w:rPr>
        <w:t>Manuscript NO</w:t>
      </w:r>
      <w:r w:rsidRPr="00FA26FB">
        <w:rPr>
          <w:rFonts w:ascii="Book Antiqua" w:hAnsi="Book Antiqua" w:cs="Arial"/>
          <w:b/>
          <w:color w:val="000000"/>
          <w:sz w:val="24"/>
          <w:szCs w:val="24"/>
          <w:lang w:val="en"/>
        </w:rPr>
        <w:t xml:space="preserve">: </w:t>
      </w:r>
      <w:r w:rsidRPr="00FA26FB">
        <w:rPr>
          <w:rFonts w:ascii="Book Antiqua" w:hAnsi="Book Antiqua" w:cs="Arial"/>
          <w:b/>
          <w:color w:val="000000"/>
          <w:sz w:val="24"/>
          <w:szCs w:val="24"/>
          <w:lang w:val="en" w:eastAsia="zh-CN"/>
        </w:rPr>
        <w:t>48729</w:t>
      </w:r>
    </w:p>
    <w:p w14:paraId="11958404" w14:textId="77777777" w:rsidR="00122518" w:rsidRPr="00FA26FB" w:rsidRDefault="00122518" w:rsidP="002C1F15">
      <w:pPr>
        <w:snapToGrid w:val="0"/>
        <w:spacing w:after="0" w:line="360" w:lineRule="auto"/>
        <w:rPr>
          <w:rFonts w:ascii="Book Antiqua" w:hAnsi="Book Antiqua"/>
          <w:b/>
          <w:color w:val="000000"/>
          <w:sz w:val="24"/>
          <w:szCs w:val="24"/>
        </w:rPr>
      </w:pPr>
      <w:r w:rsidRPr="00FA26FB">
        <w:rPr>
          <w:rFonts w:ascii="Book Antiqua" w:hAnsi="Book Antiqua"/>
          <w:b/>
          <w:color w:val="000000"/>
          <w:sz w:val="24"/>
          <w:szCs w:val="24"/>
        </w:rPr>
        <w:t>Manuscript Type: ORIGINAL ARTICLE</w:t>
      </w:r>
    </w:p>
    <w:bookmarkEnd w:id="0"/>
    <w:p w14:paraId="216C5147" w14:textId="3DB5DDEA" w:rsidR="00E86937" w:rsidRPr="00FA26FB" w:rsidRDefault="00E86937" w:rsidP="002C1F15">
      <w:pPr>
        <w:tabs>
          <w:tab w:val="left" w:pos="5400"/>
        </w:tabs>
        <w:spacing w:after="0" w:line="360" w:lineRule="auto"/>
        <w:jc w:val="both"/>
        <w:rPr>
          <w:rFonts w:ascii="Book Antiqua" w:hAnsi="Book Antiqua" w:cs="Times New Roman"/>
          <w:bCs/>
          <w:sz w:val="24"/>
          <w:szCs w:val="24"/>
        </w:rPr>
      </w:pPr>
    </w:p>
    <w:p w14:paraId="050F1E45" w14:textId="13B8EE8F" w:rsidR="003D63F8" w:rsidRPr="00FA26FB" w:rsidRDefault="003D63F8" w:rsidP="002C1F15">
      <w:pPr>
        <w:tabs>
          <w:tab w:val="left" w:pos="5400"/>
        </w:tabs>
        <w:spacing w:after="0" w:line="360" w:lineRule="auto"/>
        <w:jc w:val="both"/>
        <w:rPr>
          <w:rFonts w:ascii="Book Antiqua" w:hAnsi="Book Antiqua" w:cs="Times New Roman"/>
          <w:b/>
          <w:i/>
          <w:iCs/>
          <w:sz w:val="24"/>
          <w:szCs w:val="24"/>
        </w:rPr>
      </w:pPr>
      <w:r w:rsidRPr="00FA26FB">
        <w:rPr>
          <w:rFonts w:ascii="Book Antiqua" w:hAnsi="Book Antiqua" w:cs="Times New Roman"/>
          <w:b/>
          <w:i/>
          <w:iCs/>
          <w:sz w:val="24"/>
          <w:szCs w:val="24"/>
        </w:rPr>
        <w:t>Observational Study</w:t>
      </w:r>
    </w:p>
    <w:p w14:paraId="2B03D689" w14:textId="24C1C411" w:rsidR="00660D94" w:rsidRPr="00FA26FB" w:rsidRDefault="00D23D16" w:rsidP="002C1F15">
      <w:pPr>
        <w:tabs>
          <w:tab w:val="left" w:pos="5400"/>
        </w:tabs>
        <w:spacing w:after="0" w:line="360" w:lineRule="auto"/>
        <w:jc w:val="both"/>
        <w:rPr>
          <w:rFonts w:ascii="Book Antiqua" w:hAnsi="Book Antiqua" w:cs="Times New Roman"/>
          <w:b/>
          <w:sz w:val="24"/>
          <w:szCs w:val="24"/>
        </w:rPr>
      </w:pPr>
      <w:r w:rsidRPr="00FA26FB">
        <w:rPr>
          <w:rFonts w:ascii="Book Antiqua" w:hAnsi="Book Antiqua" w:cs="Times New Roman"/>
          <w:b/>
          <w:sz w:val="24"/>
          <w:szCs w:val="24"/>
        </w:rPr>
        <w:t xml:space="preserve">Characterization of </w:t>
      </w:r>
      <w:r w:rsidR="00122518" w:rsidRPr="00FA26FB">
        <w:rPr>
          <w:rFonts w:ascii="Book Antiqua" w:hAnsi="Book Antiqua" w:cs="Times New Roman"/>
          <w:b/>
          <w:sz w:val="24"/>
          <w:szCs w:val="24"/>
        </w:rPr>
        <w:t>patients with both alcoholic and nonalcoholic fatty liver disease in a larg</w:t>
      </w:r>
      <w:r w:rsidRPr="00FA26FB">
        <w:rPr>
          <w:rFonts w:ascii="Book Antiqua" w:hAnsi="Book Antiqua" w:cs="Times New Roman"/>
          <w:b/>
          <w:sz w:val="24"/>
          <w:szCs w:val="24"/>
        </w:rPr>
        <w:t xml:space="preserve">e United States </w:t>
      </w:r>
      <w:r w:rsidR="00122518" w:rsidRPr="00FA26FB">
        <w:rPr>
          <w:rFonts w:ascii="Book Antiqua" w:hAnsi="Book Antiqua" w:cs="Times New Roman"/>
          <w:b/>
          <w:sz w:val="24"/>
          <w:szCs w:val="24"/>
        </w:rPr>
        <w:t>co</w:t>
      </w:r>
      <w:r w:rsidRPr="00FA26FB">
        <w:rPr>
          <w:rFonts w:ascii="Book Antiqua" w:hAnsi="Book Antiqua" w:cs="Times New Roman"/>
          <w:b/>
          <w:sz w:val="24"/>
          <w:szCs w:val="24"/>
        </w:rPr>
        <w:t>hort</w:t>
      </w:r>
    </w:p>
    <w:p w14:paraId="4E557EBA" w14:textId="0DB594F9" w:rsidR="00122518" w:rsidRPr="00FA26FB" w:rsidRDefault="00122518" w:rsidP="002C1F15">
      <w:pPr>
        <w:tabs>
          <w:tab w:val="left" w:pos="5400"/>
        </w:tabs>
        <w:spacing w:after="0" w:line="360" w:lineRule="auto"/>
        <w:jc w:val="both"/>
        <w:rPr>
          <w:rFonts w:ascii="Book Antiqua" w:hAnsi="Book Antiqua" w:cs="Times New Roman"/>
          <w:bCs/>
          <w:sz w:val="24"/>
          <w:szCs w:val="24"/>
        </w:rPr>
      </w:pPr>
    </w:p>
    <w:p w14:paraId="24E281AC" w14:textId="3248B974" w:rsidR="00214E65" w:rsidRPr="00FA26FB" w:rsidRDefault="003D63F8" w:rsidP="002C1F15">
      <w:pPr>
        <w:spacing w:after="0" w:line="360" w:lineRule="auto"/>
        <w:jc w:val="both"/>
        <w:outlineLvl w:val="0"/>
        <w:rPr>
          <w:rFonts w:ascii="Book Antiqua" w:eastAsiaTheme="majorEastAsia" w:hAnsi="Book Antiqua" w:cs="Times New Roman"/>
          <w:bCs/>
          <w:sz w:val="24"/>
          <w:szCs w:val="24"/>
        </w:rPr>
      </w:pPr>
      <w:proofErr w:type="spellStart"/>
      <w:r w:rsidRPr="00FA26FB">
        <w:rPr>
          <w:rFonts w:ascii="Book Antiqua" w:hAnsi="Book Antiqua" w:cs="Times New Roman"/>
          <w:bCs/>
          <w:sz w:val="24"/>
          <w:szCs w:val="24"/>
        </w:rPr>
        <w:t>Khoudari</w:t>
      </w:r>
      <w:proofErr w:type="spellEnd"/>
      <w:r w:rsidRPr="00FA26FB">
        <w:rPr>
          <w:rFonts w:ascii="Book Antiqua" w:eastAsiaTheme="majorEastAsia" w:hAnsi="Book Antiqua" w:cs="Times New Roman"/>
          <w:bCs/>
          <w:sz w:val="24"/>
          <w:szCs w:val="24"/>
        </w:rPr>
        <w:t xml:space="preserve"> G </w:t>
      </w:r>
      <w:r w:rsidRPr="00FA26FB">
        <w:rPr>
          <w:rFonts w:ascii="Book Antiqua" w:eastAsiaTheme="majorEastAsia" w:hAnsi="Book Antiqua" w:cs="Times New Roman"/>
          <w:bCs/>
          <w:i/>
          <w:iCs/>
          <w:sz w:val="24"/>
          <w:szCs w:val="24"/>
        </w:rPr>
        <w:t>et al</w:t>
      </w:r>
      <w:r w:rsidRPr="00FA26FB">
        <w:rPr>
          <w:rFonts w:ascii="Book Antiqua" w:eastAsiaTheme="majorEastAsia" w:hAnsi="Book Antiqua" w:cs="Times New Roman"/>
          <w:bCs/>
          <w:sz w:val="24"/>
          <w:szCs w:val="24"/>
        </w:rPr>
        <w:t xml:space="preserve">. </w:t>
      </w:r>
      <w:r w:rsidR="00214E65" w:rsidRPr="00FA26FB">
        <w:rPr>
          <w:rFonts w:ascii="Book Antiqua" w:eastAsiaTheme="majorEastAsia" w:hAnsi="Book Antiqua" w:cs="Times New Roman"/>
          <w:bCs/>
          <w:sz w:val="24"/>
          <w:szCs w:val="24"/>
        </w:rPr>
        <w:t>Both alcoholic and nonalcoholic fatty liver disease</w:t>
      </w:r>
    </w:p>
    <w:p w14:paraId="207FFBA4" w14:textId="77777777" w:rsidR="00214E65" w:rsidRPr="00FA26FB" w:rsidRDefault="00214E65" w:rsidP="002C1F15">
      <w:pPr>
        <w:tabs>
          <w:tab w:val="left" w:pos="5400"/>
        </w:tabs>
        <w:spacing w:after="0" w:line="360" w:lineRule="auto"/>
        <w:jc w:val="both"/>
        <w:rPr>
          <w:rFonts w:ascii="Book Antiqua" w:hAnsi="Book Antiqua" w:cs="Times New Roman"/>
          <w:bCs/>
          <w:sz w:val="24"/>
          <w:szCs w:val="24"/>
        </w:rPr>
      </w:pPr>
    </w:p>
    <w:p w14:paraId="1F0CB647" w14:textId="7716639C" w:rsidR="000105BA" w:rsidRPr="00FA26FB" w:rsidRDefault="000105BA" w:rsidP="002C1F15">
      <w:pPr>
        <w:spacing w:after="0" w:line="360" w:lineRule="auto"/>
        <w:jc w:val="both"/>
        <w:rPr>
          <w:rFonts w:ascii="Book Antiqua" w:hAnsi="Book Antiqua" w:cs="Times New Roman"/>
          <w:bCs/>
          <w:sz w:val="24"/>
          <w:szCs w:val="24"/>
        </w:rPr>
      </w:pPr>
      <w:r w:rsidRPr="00FA26FB">
        <w:rPr>
          <w:rFonts w:ascii="Book Antiqua" w:hAnsi="Book Antiqua" w:cs="Times New Roman"/>
          <w:bCs/>
          <w:sz w:val="24"/>
          <w:szCs w:val="24"/>
        </w:rPr>
        <w:t xml:space="preserve">George </w:t>
      </w:r>
      <w:proofErr w:type="spellStart"/>
      <w:r w:rsidRPr="00FA26FB">
        <w:rPr>
          <w:rFonts w:ascii="Book Antiqua" w:hAnsi="Book Antiqua" w:cs="Times New Roman"/>
          <w:bCs/>
          <w:sz w:val="24"/>
          <w:szCs w:val="24"/>
        </w:rPr>
        <w:t>Khoudari</w:t>
      </w:r>
      <w:proofErr w:type="spellEnd"/>
      <w:r w:rsidRPr="00FA26FB">
        <w:rPr>
          <w:rFonts w:ascii="Book Antiqua" w:hAnsi="Book Antiqua" w:cs="Times New Roman"/>
          <w:bCs/>
          <w:sz w:val="24"/>
          <w:szCs w:val="24"/>
        </w:rPr>
        <w:t xml:space="preserve">, </w:t>
      </w:r>
      <w:proofErr w:type="spellStart"/>
      <w:r w:rsidRPr="00FA26FB">
        <w:rPr>
          <w:rFonts w:ascii="Book Antiqua" w:hAnsi="Book Antiqua" w:cs="Times New Roman"/>
          <w:bCs/>
          <w:sz w:val="24"/>
          <w:szCs w:val="24"/>
        </w:rPr>
        <w:t>Amandeep</w:t>
      </w:r>
      <w:proofErr w:type="spellEnd"/>
      <w:r w:rsidRPr="00FA26FB">
        <w:rPr>
          <w:rFonts w:ascii="Book Antiqua" w:hAnsi="Book Antiqua" w:cs="Times New Roman"/>
          <w:bCs/>
          <w:sz w:val="24"/>
          <w:szCs w:val="24"/>
        </w:rPr>
        <w:t xml:space="preserve"> Singh, </w:t>
      </w:r>
      <w:proofErr w:type="spellStart"/>
      <w:r w:rsidRPr="00FA26FB">
        <w:rPr>
          <w:rFonts w:ascii="Book Antiqua" w:hAnsi="Book Antiqua" w:cs="Times New Roman"/>
          <w:bCs/>
          <w:sz w:val="24"/>
          <w:szCs w:val="24"/>
        </w:rPr>
        <w:t>Mazen</w:t>
      </w:r>
      <w:proofErr w:type="spellEnd"/>
      <w:r w:rsidRPr="00FA26FB">
        <w:rPr>
          <w:rFonts w:ascii="Book Antiqua" w:hAnsi="Book Antiqua" w:cs="Times New Roman"/>
          <w:bCs/>
          <w:sz w:val="24"/>
          <w:szCs w:val="24"/>
        </w:rPr>
        <w:t xml:space="preserve"> </w:t>
      </w:r>
      <w:proofErr w:type="spellStart"/>
      <w:r w:rsidRPr="00FA26FB">
        <w:rPr>
          <w:rFonts w:ascii="Book Antiqua" w:hAnsi="Book Antiqua" w:cs="Times New Roman"/>
          <w:bCs/>
          <w:sz w:val="24"/>
          <w:szCs w:val="24"/>
        </w:rPr>
        <w:t>Noureddin</w:t>
      </w:r>
      <w:proofErr w:type="spellEnd"/>
      <w:r w:rsidRPr="00FA26FB">
        <w:rPr>
          <w:rFonts w:ascii="Book Antiqua" w:hAnsi="Book Antiqua" w:cs="Times New Roman"/>
          <w:bCs/>
          <w:sz w:val="24"/>
          <w:szCs w:val="24"/>
        </w:rPr>
        <w:t xml:space="preserve">, Danielle </w:t>
      </w:r>
      <w:proofErr w:type="spellStart"/>
      <w:r w:rsidRPr="00FA26FB">
        <w:rPr>
          <w:rFonts w:ascii="Book Antiqua" w:hAnsi="Book Antiqua" w:cs="Times New Roman"/>
          <w:bCs/>
          <w:sz w:val="24"/>
          <w:szCs w:val="24"/>
        </w:rPr>
        <w:t>Fritze</w:t>
      </w:r>
      <w:proofErr w:type="spellEnd"/>
      <w:r w:rsidRPr="00FA26FB">
        <w:rPr>
          <w:rFonts w:ascii="Book Antiqua" w:hAnsi="Book Antiqua" w:cs="Times New Roman"/>
          <w:bCs/>
          <w:sz w:val="24"/>
          <w:szCs w:val="24"/>
        </w:rPr>
        <w:t xml:space="preserve">, </w:t>
      </w:r>
      <w:proofErr w:type="spellStart"/>
      <w:r w:rsidRPr="00FA26FB">
        <w:rPr>
          <w:rFonts w:ascii="Book Antiqua" w:hAnsi="Book Antiqua" w:cs="Times New Roman"/>
          <w:bCs/>
          <w:sz w:val="24"/>
          <w:szCs w:val="24"/>
        </w:rPr>
        <w:t>Rocio</w:t>
      </w:r>
      <w:proofErr w:type="spellEnd"/>
      <w:r w:rsidRPr="00FA26FB">
        <w:rPr>
          <w:rFonts w:ascii="Book Antiqua" w:hAnsi="Book Antiqua" w:cs="Times New Roman"/>
          <w:bCs/>
          <w:sz w:val="24"/>
          <w:szCs w:val="24"/>
        </w:rPr>
        <w:t xml:space="preserve"> Lopez, </w:t>
      </w:r>
      <w:proofErr w:type="spellStart"/>
      <w:r w:rsidRPr="00FA26FB">
        <w:rPr>
          <w:rFonts w:ascii="Book Antiqua" w:hAnsi="Book Antiqua" w:cs="Times New Roman"/>
          <w:bCs/>
          <w:sz w:val="24"/>
          <w:szCs w:val="24"/>
        </w:rPr>
        <w:t>Imad</w:t>
      </w:r>
      <w:proofErr w:type="spellEnd"/>
      <w:r w:rsidRPr="00FA26FB">
        <w:rPr>
          <w:rFonts w:ascii="Book Antiqua" w:hAnsi="Book Antiqua" w:cs="Times New Roman"/>
          <w:bCs/>
          <w:sz w:val="24"/>
          <w:szCs w:val="24"/>
        </w:rPr>
        <w:t xml:space="preserve"> </w:t>
      </w:r>
      <w:proofErr w:type="spellStart"/>
      <w:r w:rsidRPr="00FA26FB">
        <w:rPr>
          <w:rFonts w:ascii="Book Antiqua" w:hAnsi="Book Antiqua" w:cs="Times New Roman"/>
          <w:bCs/>
          <w:sz w:val="24"/>
          <w:szCs w:val="24"/>
        </w:rPr>
        <w:t>Asaad</w:t>
      </w:r>
      <w:proofErr w:type="spellEnd"/>
      <w:r w:rsidRPr="00FA26FB">
        <w:rPr>
          <w:rFonts w:ascii="Book Antiqua" w:hAnsi="Book Antiqua" w:cs="Times New Roman"/>
          <w:bCs/>
          <w:sz w:val="24"/>
          <w:szCs w:val="24"/>
        </w:rPr>
        <w:t xml:space="preserve">, Eric </w:t>
      </w:r>
      <w:proofErr w:type="spellStart"/>
      <w:r w:rsidRPr="00FA26FB">
        <w:rPr>
          <w:rFonts w:ascii="Book Antiqua" w:hAnsi="Book Antiqua" w:cs="Times New Roman"/>
          <w:bCs/>
          <w:sz w:val="24"/>
          <w:szCs w:val="24"/>
        </w:rPr>
        <w:t>Lawitz</w:t>
      </w:r>
      <w:proofErr w:type="spellEnd"/>
      <w:r w:rsidRPr="00FA26FB">
        <w:rPr>
          <w:rFonts w:ascii="Book Antiqua" w:hAnsi="Book Antiqua" w:cs="Times New Roman"/>
          <w:bCs/>
          <w:sz w:val="24"/>
          <w:szCs w:val="24"/>
        </w:rPr>
        <w:t xml:space="preserve">, Fred </w:t>
      </w:r>
      <w:proofErr w:type="spellStart"/>
      <w:r w:rsidRPr="00FA26FB">
        <w:rPr>
          <w:rFonts w:ascii="Book Antiqua" w:hAnsi="Book Antiqua" w:cs="Times New Roman"/>
          <w:bCs/>
          <w:sz w:val="24"/>
          <w:szCs w:val="24"/>
        </w:rPr>
        <w:t>Poordad</w:t>
      </w:r>
      <w:proofErr w:type="spellEnd"/>
      <w:r w:rsidRPr="00FA26FB">
        <w:rPr>
          <w:rFonts w:ascii="Book Antiqua" w:hAnsi="Book Antiqua" w:cs="Times New Roman"/>
          <w:bCs/>
          <w:sz w:val="24"/>
          <w:szCs w:val="24"/>
        </w:rPr>
        <w:t xml:space="preserve">, Kris V </w:t>
      </w:r>
      <w:proofErr w:type="spellStart"/>
      <w:r w:rsidRPr="00FA26FB">
        <w:rPr>
          <w:rFonts w:ascii="Book Antiqua" w:hAnsi="Book Antiqua" w:cs="Times New Roman"/>
          <w:bCs/>
          <w:sz w:val="24"/>
          <w:szCs w:val="24"/>
        </w:rPr>
        <w:t>Kowdley</w:t>
      </w:r>
      <w:proofErr w:type="spellEnd"/>
      <w:r w:rsidRPr="00FA26FB">
        <w:rPr>
          <w:rFonts w:ascii="Book Antiqua" w:hAnsi="Book Antiqua" w:cs="Times New Roman"/>
          <w:bCs/>
          <w:sz w:val="24"/>
          <w:szCs w:val="24"/>
        </w:rPr>
        <w:t xml:space="preserve">, </w:t>
      </w:r>
      <w:proofErr w:type="spellStart"/>
      <w:r w:rsidRPr="00FA26FB">
        <w:rPr>
          <w:rFonts w:ascii="Book Antiqua" w:hAnsi="Book Antiqua" w:cs="Times New Roman"/>
          <w:bCs/>
          <w:sz w:val="24"/>
          <w:szCs w:val="24"/>
        </w:rPr>
        <w:t>Naim</w:t>
      </w:r>
      <w:proofErr w:type="spellEnd"/>
      <w:r w:rsidRPr="00FA26FB">
        <w:rPr>
          <w:rFonts w:ascii="Book Antiqua" w:hAnsi="Book Antiqua" w:cs="Times New Roman"/>
          <w:bCs/>
          <w:sz w:val="24"/>
          <w:szCs w:val="24"/>
        </w:rPr>
        <w:t xml:space="preserve"> </w:t>
      </w:r>
      <w:proofErr w:type="spellStart"/>
      <w:r w:rsidRPr="00FA26FB">
        <w:rPr>
          <w:rFonts w:ascii="Book Antiqua" w:hAnsi="Book Antiqua" w:cs="Times New Roman"/>
          <w:bCs/>
          <w:sz w:val="24"/>
          <w:szCs w:val="24"/>
        </w:rPr>
        <w:t>Alkhouri</w:t>
      </w:r>
      <w:proofErr w:type="spellEnd"/>
    </w:p>
    <w:p w14:paraId="45B98EE5" w14:textId="77777777" w:rsidR="000105BA" w:rsidRPr="00FA26FB" w:rsidRDefault="000105BA" w:rsidP="002C1F15">
      <w:pPr>
        <w:spacing w:after="0" w:line="360" w:lineRule="auto"/>
        <w:jc w:val="both"/>
        <w:rPr>
          <w:rFonts w:ascii="Book Antiqua" w:hAnsi="Book Antiqua"/>
          <w:bCs/>
          <w:color w:val="FF0000"/>
          <w:sz w:val="24"/>
          <w:szCs w:val="24"/>
        </w:rPr>
      </w:pPr>
    </w:p>
    <w:p w14:paraId="299207A8" w14:textId="13BD87DF" w:rsidR="000105BA" w:rsidRPr="00FA26FB" w:rsidRDefault="000105BA" w:rsidP="002C1F15">
      <w:pPr>
        <w:spacing w:after="0" w:line="360" w:lineRule="auto"/>
        <w:jc w:val="both"/>
        <w:rPr>
          <w:rFonts w:ascii="Book Antiqua" w:eastAsia="Times New Roman" w:hAnsi="Book Antiqua" w:cstheme="majorBidi"/>
          <w:bCs/>
          <w:color w:val="000000" w:themeColor="text1"/>
          <w:sz w:val="24"/>
          <w:szCs w:val="24"/>
        </w:rPr>
      </w:pPr>
      <w:bookmarkStart w:id="2" w:name="OLE_LINK633"/>
      <w:bookmarkStart w:id="3" w:name="OLE_LINK634"/>
      <w:bookmarkStart w:id="4" w:name="OLE_LINK763"/>
      <w:bookmarkStart w:id="5" w:name="OLE_LINK764"/>
      <w:bookmarkStart w:id="6" w:name="OLE_LINK846"/>
      <w:bookmarkStart w:id="7" w:name="OLE_LINK1660"/>
      <w:bookmarkStart w:id="8" w:name="OLE_LINK1693"/>
      <w:bookmarkStart w:id="9" w:name="OLE_LINK1334"/>
      <w:bookmarkStart w:id="10" w:name="OLE_LINK1335"/>
      <w:bookmarkStart w:id="11" w:name="OLE_LINK421"/>
      <w:bookmarkStart w:id="12" w:name="OLE_LINK422"/>
      <w:bookmarkStart w:id="13" w:name="OLE_LINK1367"/>
      <w:bookmarkStart w:id="14" w:name="OLE_LINK1395"/>
      <w:bookmarkStart w:id="15" w:name="OLE_LINK2026"/>
      <w:bookmarkStart w:id="16" w:name="OLE_LINK2062"/>
      <w:bookmarkStart w:id="17" w:name="OLE_LINK2063"/>
      <w:bookmarkStart w:id="18" w:name="OLE_LINK2064"/>
      <w:r w:rsidRPr="00FA26FB">
        <w:rPr>
          <w:rFonts w:ascii="Book Antiqua" w:hAnsi="Book Antiqua" w:cstheme="majorBidi"/>
          <w:b/>
          <w:color w:val="000000" w:themeColor="text1"/>
          <w:sz w:val="24"/>
          <w:szCs w:val="24"/>
        </w:rPr>
        <w:t>George Khoudari,</w:t>
      </w:r>
      <w:r w:rsidRPr="00FA26FB">
        <w:rPr>
          <w:rFonts w:ascii="Book Antiqua" w:hAnsi="Book Antiqua" w:cstheme="majorBidi"/>
          <w:bCs/>
          <w:color w:val="000000" w:themeColor="text1"/>
          <w:sz w:val="24"/>
          <w:szCs w:val="24"/>
        </w:rPr>
        <w:t xml:space="preserve"> </w:t>
      </w:r>
      <w:r w:rsidRPr="00FA26FB">
        <w:rPr>
          <w:rFonts w:ascii="Book Antiqua" w:eastAsia="Times New Roman" w:hAnsi="Book Antiqua" w:cstheme="majorBidi"/>
          <w:bCs/>
          <w:color w:val="000000" w:themeColor="text1"/>
          <w:sz w:val="24"/>
          <w:szCs w:val="24"/>
        </w:rPr>
        <w:t>Department of Hospital Medicine, Cleveland Clinic Foundation, Cleveland, OH 44195</w:t>
      </w:r>
      <w:r w:rsidR="003D63F8" w:rsidRPr="00FA26FB">
        <w:rPr>
          <w:rFonts w:ascii="Book Antiqua" w:eastAsia="Times New Roman" w:hAnsi="Book Antiqua" w:cstheme="majorBidi"/>
          <w:bCs/>
          <w:color w:val="000000" w:themeColor="text1"/>
          <w:sz w:val="24"/>
          <w:szCs w:val="24"/>
        </w:rPr>
        <w:t>, United States</w:t>
      </w:r>
    </w:p>
    <w:p w14:paraId="691242A9" w14:textId="77777777" w:rsidR="003D63F8" w:rsidRPr="00FA26FB" w:rsidRDefault="003D63F8" w:rsidP="002C1F15">
      <w:pPr>
        <w:spacing w:after="0" w:line="360" w:lineRule="auto"/>
        <w:jc w:val="both"/>
        <w:rPr>
          <w:rFonts w:ascii="Book Antiqua" w:eastAsia="Times New Roman" w:hAnsi="Book Antiqua" w:cstheme="majorBidi"/>
          <w:bCs/>
          <w:color w:val="000000" w:themeColor="text1"/>
          <w:sz w:val="24"/>
          <w:szCs w:val="24"/>
        </w:rPr>
      </w:pPr>
    </w:p>
    <w:p w14:paraId="623C935E" w14:textId="18EA9491" w:rsidR="000105BA" w:rsidRPr="00FA26FB" w:rsidRDefault="000105BA" w:rsidP="002C1F15">
      <w:pPr>
        <w:spacing w:after="0" w:line="360" w:lineRule="auto"/>
        <w:jc w:val="both"/>
        <w:rPr>
          <w:rFonts w:ascii="Book Antiqua" w:eastAsia="Times New Roman" w:hAnsi="Book Antiqua" w:cstheme="majorBidi"/>
          <w:bCs/>
          <w:color w:val="000000" w:themeColor="text1"/>
          <w:sz w:val="24"/>
          <w:szCs w:val="24"/>
        </w:rPr>
      </w:pPr>
      <w:r w:rsidRPr="00FA26FB">
        <w:rPr>
          <w:rFonts w:ascii="Book Antiqua" w:hAnsi="Book Antiqua" w:cstheme="majorBidi"/>
          <w:b/>
          <w:color w:val="000000" w:themeColor="text1"/>
          <w:sz w:val="24"/>
          <w:szCs w:val="24"/>
        </w:rPr>
        <w:t>Amandeep Singh,</w:t>
      </w:r>
      <w:r w:rsidRPr="00FA26FB">
        <w:rPr>
          <w:rFonts w:ascii="Book Antiqua" w:hAnsi="Book Antiqua" w:cstheme="majorBidi"/>
          <w:bCs/>
          <w:color w:val="000000" w:themeColor="text1"/>
          <w:sz w:val="24"/>
          <w:szCs w:val="24"/>
        </w:rPr>
        <w:t xml:space="preserve"> </w:t>
      </w:r>
      <w:r w:rsidRPr="00FA26FB">
        <w:rPr>
          <w:rFonts w:ascii="Book Antiqua" w:eastAsia="Times New Roman" w:hAnsi="Book Antiqua" w:cstheme="majorBidi"/>
          <w:bCs/>
          <w:color w:val="000000" w:themeColor="text1"/>
          <w:sz w:val="24"/>
          <w:szCs w:val="24"/>
        </w:rPr>
        <w:t>Department of Gastroenterology and Hepatology, Cleveland Clinic, Cleveland, OH 44195</w:t>
      </w:r>
      <w:r w:rsidR="00374184" w:rsidRPr="00FA26FB">
        <w:rPr>
          <w:rFonts w:ascii="Book Antiqua" w:eastAsia="Times New Roman" w:hAnsi="Book Antiqua" w:cstheme="majorBidi"/>
          <w:bCs/>
          <w:color w:val="000000" w:themeColor="text1"/>
          <w:sz w:val="24"/>
          <w:szCs w:val="24"/>
        </w:rPr>
        <w:t>, United States</w:t>
      </w:r>
    </w:p>
    <w:p w14:paraId="3F74872B" w14:textId="77777777" w:rsidR="00374184" w:rsidRPr="00FA26FB" w:rsidRDefault="00374184" w:rsidP="002C1F15">
      <w:pPr>
        <w:spacing w:after="0" w:line="360" w:lineRule="auto"/>
        <w:jc w:val="both"/>
        <w:rPr>
          <w:rFonts w:ascii="Book Antiqua" w:hAnsi="Book Antiqua" w:cstheme="majorBidi"/>
          <w:bCs/>
          <w:color w:val="000000" w:themeColor="text1"/>
          <w:sz w:val="24"/>
          <w:szCs w:val="24"/>
        </w:rPr>
      </w:pPr>
      <w:bookmarkStart w:id="19" w:name="_GoBack"/>
      <w:bookmarkEnd w:id="19"/>
    </w:p>
    <w:p w14:paraId="48EE6719" w14:textId="55412679" w:rsidR="000105BA" w:rsidRPr="00FA26FB" w:rsidRDefault="000105BA" w:rsidP="002C1F15">
      <w:pPr>
        <w:spacing w:after="0" w:line="360" w:lineRule="auto"/>
        <w:jc w:val="both"/>
        <w:rPr>
          <w:rFonts w:ascii="Book Antiqua" w:eastAsia="Times New Roman" w:hAnsi="Book Antiqua" w:cstheme="majorBidi"/>
          <w:bCs/>
          <w:color w:val="000000" w:themeColor="text1"/>
          <w:sz w:val="24"/>
          <w:szCs w:val="24"/>
        </w:rPr>
      </w:pPr>
      <w:proofErr w:type="spellStart"/>
      <w:r w:rsidRPr="00FA26FB">
        <w:rPr>
          <w:rFonts w:ascii="Book Antiqua" w:hAnsi="Book Antiqua" w:cstheme="majorBidi"/>
          <w:b/>
          <w:color w:val="000000" w:themeColor="text1"/>
          <w:sz w:val="24"/>
          <w:szCs w:val="24"/>
        </w:rPr>
        <w:t>Mazen</w:t>
      </w:r>
      <w:proofErr w:type="spellEnd"/>
      <w:r w:rsidRPr="00FA26FB">
        <w:rPr>
          <w:rFonts w:ascii="Book Antiqua" w:hAnsi="Book Antiqua" w:cstheme="majorBidi"/>
          <w:b/>
          <w:color w:val="000000" w:themeColor="text1"/>
          <w:sz w:val="24"/>
          <w:szCs w:val="24"/>
        </w:rPr>
        <w:t xml:space="preserve"> </w:t>
      </w:r>
      <w:proofErr w:type="spellStart"/>
      <w:r w:rsidRPr="00FA26FB">
        <w:rPr>
          <w:rFonts w:ascii="Book Antiqua" w:hAnsi="Book Antiqua" w:cstheme="majorBidi"/>
          <w:b/>
          <w:color w:val="000000" w:themeColor="text1"/>
          <w:sz w:val="24"/>
          <w:szCs w:val="24"/>
        </w:rPr>
        <w:t>Noureddin</w:t>
      </w:r>
      <w:proofErr w:type="spellEnd"/>
      <w:r w:rsidRPr="00FA26FB">
        <w:rPr>
          <w:rFonts w:ascii="Book Antiqua" w:hAnsi="Book Antiqua" w:cstheme="majorBidi"/>
          <w:b/>
          <w:color w:val="000000" w:themeColor="text1"/>
          <w:sz w:val="24"/>
          <w:szCs w:val="24"/>
        </w:rPr>
        <w:t>,</w:t>
      </w:r>
      <w:r w:rsidRPr="00FA26FB">
        <w:rPr>
          <w:rFonts w:ascii="Book Antiqua" w:hAnsi="Book Antiqua" w:cstheme="majorBidi"/>
          <w:bCs/>
          <w:color w:val="000000" w:themeColor="text1"/>
          <w:sz w:val="24"/>
          <w:szCs w:val="24"/>
        </w:rPr>
        <w:t xml:space="preserve"> Department of Gastroenterology and </w:t>
      </w:r>
      <w:r w:rsidRPr="00FA26FB">
        <w:rPr>
          <w:rFonts w:ascii="Book Antiqua" w:hAnsi="Book Antiqua" w:cstheme="majorBidi"/>
          <w:bCs/>
          <w:caps/>
          <w:color w:val="000000" w:themeColor="text1"/>
          <w:sz w:val="24"/>
          <w:szCs w:val="24"/>
        </w:rPr>
        <w:t>h</w:t>
      </w:r>
      <w:r w:rsidRPr="00FA26FB">
        <w:rPr>
          <w:rFonts w:ascii="Book Antiqua" w:hAnsi="Book Antiqua" w:cstheme="majorBidi"/>
          <w:bCs/>
          <w:color w:val="000000" w:themeColor="text1"/>
          <w:sz w:val="24"/>
          <w:szCs w:val="24"/>
        </w:rPr>
        <w:t xml:space="preserve">epatology, </w:t>
      </w:r>
      <w:r w:rsidRPr="00FA26FB">
        <w:rPr>
          <w:rFonts w:ascii="Book Antiqua" w:eastAsia="Times New Roman" w:hAnsi="Book Antiqua" w:cstheme="majorBidi"/>
          <w:bCs/>
          <w:color w:val="000000" w:themeColor="text1"/>
          <w:sz w:val="24"/>
          <w:szCs w:val="24"/>
        </w:rPr>
        <w:t>Cedars Sinai Medical Center, Los Angeles, CA 90048</w:t>
      </w:r>
      <w:r w:rsidR="00374184" w:rsidRPr="00FA26FB">
        <w:rPr>
          <w:rFonts w:ascii="Book Antiqua" w:eastAsia="Times New Roman" w:hAnsi="Book Antiqua" w:cstheme="majorBidi"/>
          <w:bCs/>
          <w:color w:val="000000" w:themeColor="text1"/>
          <w:sz w:val="24"/>
          <w:szCs w:val="24"/>
        </w:rPr>
        <w:t>, United States</w:t>
      </w:r>
    </w:p>
    <w:p w14:paraId="74E5C61E" w14:textId="77777777" w:rsidR="00374184" w:rsidRPr="00FA26FB" w:rsidRDefault="00374184" w:rsidP="002C1F15">
      <w:pPr>
        <w:spacing w:after="0" w:line="360" w:lineRule="auto"/>
        <w:jc w:val="both"/>
        <w:rPr>
          <w:rFonts w:ascii="Book Antiqua" w:hAnsi="Book Antiqua" w:cstheme="majorBidi"/>
          <w:bCs/>
          <w:color w:val="000000" w:themeColor="text1"/>
          <w:sz w:val="24"/>
          <w:szCs w:val="24"/>
        </w:rPr>
      </w:pPr>
    </w:p>
    <w:p w14:paraId="7CF5FDC6" w14:textId="1427B443" w:rsidR="000105BA" w:rsidRPr="00FA26FB" w:rsidRDefault="000105BA" w:rsidP="002C1F15">
      <w:pPr>
        <w:spacing w:after="0" w:line="360" w:lineRule="auto"/>
        <w:jc w:val="both"/>
        <w:rPr>
          <w:rFonts w:ascii="Book Antiqua" w:eastAsia="Times New Roman" w:hAnsi="Book Antiqua" w:cstheme="majorBidi"/>
          <w:bCs/>
          <w:color w:val="000000" w:themeColor="text1"/>
          <w:sz w:val="24"/>
          <w:szCs w:val="24"/>
        </w:rPr>
      </w:pPr>
      <w:r w:rsidRPr="00FA26FB">
        <w:rPr>
          <w:rFonts w:ascii="Book Antiqua" w:hAnsi="Book Antiqua" w:cstheme="majorBidi"/>
          <w:b/>
          <w:color w:val="000000" w:themeColor="text1"/>
          <w:sz w:val="24"/>
          <w:szCs w:val="24"/>
        </w:rPr>
        <w:t xml:space="preserve">Danielle </w:t>
      </w:r>
      <w:proofErr w:type="spellStart"/>
      <w:r w:rsidRPr="00FA26FB">
        <w:rPr>
          <w:rFonts w:ascii="Book Antiqua" w:hAnsi="Book Antiqua" w:cstheme="majorBidi"/>
          <w:b/>
          <w:color w:val="000000" w:themeColor="text1"/>
          <w:sz w:val="24"/>
          <w:szCs w:val="24"/>
        </w:rPr>
        <w:t>Fritze</w:t>
      </w:r>
      <w:proofErr w:type="spellEnd"/>
      <w:r w:rsidRPr="00FA26FB">
        <w:rPr>
          <w:rFonts w:ascii="Book Antiqua" w:hAnsi="Book Antiqua" w:cstheme="majorBidi"/>
          <w:b/>
          <w:color w:val="000000" w:themeColor="text1"/>
          <w:sz w:val="24"/>
          <w:szCs w:val="24"/>
        </w:rPr>
        <w:t>,</w:t>
      </w:r>
      <w:r w:rsidRPr="00FA26FB">
        <w:rPr>
          <w:rFonts w:ascii="Book Antiqua" w:hAnsi="Book Antiqua" w:cstheme="majorBidi"/>
          <w:bCs/>
          <w:color w:val="000000" w:themeColor="text1"/>
          <w:sz w:val="24"/>
          <w:szCs w:val="24"/>
        </w:rPr>
        <w:t xml:space="preserve"> Department of General Surgery, </w:t>
      </w:r>
      <w:r w:rsidRPr="00FA26FB">
        <w:rPr>
          <w:rFonts w:ascii="Book Antiqua" w:eastAsia="Times New Roman" w:hAnsi="Book Antiqua" w:cstheme="majorBidi"/>
          <w:bCs/>
          <w:color w:val="000000" w:themeColor="text1"/>
          <w:sz w:val="24"/>
          <w:szCs w:val="24"/>
        </w:rPr>
        <w:t>Texas Liver Institute and University of Texas Health, San Antonio, TX 78215</w:t>
      </w:r>
      <w:r w:rsidR="00374184" w:rsidRPr="00FA26FB">
        <w:rPr>
          <w:rFonts w:ascii="Book Antiqua" w:eastAsia="Times New Roman" w:hAnsi="Book Antiqua" w:cstheme="majorBidi"/>
          <w:bCs/>
          <w:color w:val="000000" w:themeColor="text1"/>
          <w:sz w:val="24"/>
          <w:szCs w:val="24"/>
        </w:rPr>
        <w:t>, United States</w:t>
      </w:r>
    </w:p>
    <w:p w14:paraId="4C7DCCD9" w14:textId="77777777" w:rsidR="00374184" w:rsidRPr="00FA26FB" w:rsidRDefault="00374184" w:rsidP="002C1F15">
      <w:pPr>
        <w:spacing w:after="0" w:line="360" w:lineRule="auto"/>
        <w:jc w:val="both"/>
        <w:rPr>
          <w:rFonts w:ascii="Book Antiqua" w:eastAsia="Times New Roman" w:hAnsi="Book Antiqua" w:cstheme="majorBidi"/>
          <w:bCs/>
          <w:color w:val="000000" w:themeColor="text1"/>
          <w:sz w:val="24"/>
          <w:szCs w:val="24"/>
        </w:rPr>
      </w:pPr>
    </w:p>
    <w:p w14:paraId="04159104" w14:textId="0DCD2B20" w:rsidR="000105BA" w:rsidRPr="00FA26FB" w:rsidRDefault="000105BA" w:rsidP="002C1F15">
      <w:pPr>
        <w:spacing w:after="0" w:line="360" w:lineRule="auto"/>
        <w:jc w:val="both"/>
        <w:rPr>
          <w:rFonts w:ascii="Book Antiqua" w:eastAsia="Times New Roman" w:hAnsi="Book Antiqua" w:cstheme="majorBidi"/>
          <w:bCs/>
          <w:color w:val="000000" w:themeColor="text1"/>
          <w:sz w:val="24"/>
          <w:szCs w:val="24"/>
        </w:rPr>
      </w:pPr>
      <w:r w:rsidRPr="00FA26FB">
        <w:rPr>
          <w:rFonts w:ascii="Book Antiqua" w:hAnsi="Book Antiqua" w:cstheme="majorBidi"/>
          <w:b/>
          <w:color w:val="000000" w:themeColor="text1"/>
          <w:sz w:val="24"/>
          <w:szCs w:val="24"/>
        </w:rPr>
        <w:t>Rocio Lopez,</w:t>
      </w:r>
      <w:r w:rsidRPr="00FA26FB">
        <w:rPr>
          <w:rFonts w:ascii="Book Antiqua" w:hAnsi="Book Antiqua" w:cstheme="majorBidi"/>
          <w:bCs/>
          <w:color w:val="000000" w:themeColor="text1"/>
          <w:sz w:val="24"/>
          <w:szCs w:val="24"/>
        </w:rPr>
        <w:t xml:space="preserve"> </w:t>
      </w:r>
      <w:r w:rsidRPr="00FA26FB">
        <w:rPr>
          <w:rFonts w:ascii="Book Antiqua" w:hAnsi="Book Antiqua" w:cstheme="majorBidi"/>
          <w:bCs/>
          <w:caps/>
          <w:color w:val="000000" w:themeColor="text1"/>
          <w:sz w:val="24"/>
          <w:szCs w:val="24"/>
        </w:rPr>
        <w:t>d</w:t>
      </w:r>
      <w:r w:rsidRPr="00FA26FB">
        <w:rPr>
          <w:rFonts w:ascii="Book Antiqua" w:hAnsi="Book Antiqua" w:cstheme="majorBidi"/>
          <w:bCs/>
          <w:color w:val="000000" w:themeColor="text1"/>
          <w:sz w:val="24"/>
          <w:szCs w:val="24"/>
        </w:rPr>
        <w:t xml:space="preserve">epartment of Quantitative Health Sciences, </w:t>
      </w:r>
      <w:r w:rsidRPr="00FA26FB">
        <w:rPr>
          <w:rFonts w:ascii="Book Antiqua" w:eastAsia="Times New Roman" w:hAnsi="Book Antiqua" w:cstheme="majorBidi"/>
          <w:bCs/>
          <w:color w:val="000000" w:themeColor="text1"/>
          <w:sz w:val="24"/>
          <w:szCs w:val="24"/>
        </w:rPr>
        <w:t>Cleveland Clinic, Cleveland, OH 44195</w:t>
      </w:r>
      <w:r w:rsidR="00374184" w:rsidRPr="00FA26FB">
        <w:rPr>
          <w:rFonts w:ascii="Book Antiqua" w:eastAsia="Times New Roman" w:hAnsi="Book Antiqua" w:cstheme="majorBidi"/>
          <w:bCs/>
          <w:color w:val="000000" w:themeColor="text1"/>
          <w:sz w:val="24"/>
          <w:szCs w:val="24"/>
        </w:rPr>
        <w:t>, United States</w:t>
      </w:r>
    </w:p>
    <w:p w14:paraId="12FC2479" w14:textId="77777777" w:rsidR="00374184" w:rsidRPr="00FA26FB" w:rsidRDefault="00374184" w:rsidP="002C1F15">
      <w:pPr>
        <w:spacing w:after="0" w:line="360" w:lineRule="auto"/>
        <w:jc w:val="both"/>
        <w:rPr>
          <w:rFonts w:ascii="Book Antiqua" w:eastAsia="Times New Roman" w:hAnsi="Book Antiqua" w:cstheme="majorBidi"/>
          <w:bCs/>
          <w:color w:val="000000" w:themeColor="text1"/>
          <w:sz w:val="24"/>
          <w:szCs w:val="24"/>
        </w:rPr>
      </w:pPr>
    </w:p>
    <w:p w14:paraId="4A68F223" w14:textId="634F4CC5" w:rsidR="000105BA" w:rsidRPr="00FA26FB" w:rsidRDefault="000105BA" w:rsidP="002C1F15">
      <w:pPr>
        <w:spacing w:after="0" w:line="360" w:lineRule="auto"/>
        <w:jc w:val="both"/>
        <w:rPr>
          <w:rFonts w:ascii="Book Antiqua" w:eastAsia="Times New Roman" w:hAnsi="Book Antiqua" w:cstheme="majorBidi"/>
          <w:bCs/>
          <w:color w:val="000000" w:themeColor="text1"/>
          <w:sz w:val="24"/>
          <w:szCs w:val="24"/>
        </w:rPr>
      </w:pPr>
      <w:r w:rsidRPr="00FA26FB">
        <w:rPr>
          <w:rFonts w:ascii="Book Antiqua" w:hAnsi="Book Antiqua" w:cstheme="majorBidi"/>
          <w:b/>
          <w:color w:val="000000" w:themeColor="text1"/>
          <w:sz w:val="24"/>
          <w:szCs w:val="24"/>
        </w:rPr>
        <w:lastRenderedPageBreak/>
        <w:t>Imad Asaad,</w:t>
      </w:r>
      <w:r w:rsidRPr="00FA26FB">
        <w:rPr>
          <w:rFonts w:ascii="Book Antiqua" w:hAnsi="Book Antiqua" w:cstheme="majorBidi"/>
          <w:bCs/>
          <w:color w:val="000000" w:themeColor="text1"/>
          <w:sz w:val="24"/>
          <w:szCs w:val="24"/>
        </w:rPr>
        <w:t xml:space="preserve"> </w:t>
      </w:r>
      <w:r w:rsidRPr="00FA26FB">
        <w:rPr>
          <w:rFonts w:ascii="Book Antiqua" w:eastAsia="Times New Roman" w:hAnsi="Book Antiqua" w:cstheme="majorBidi"/>
          <w:bCs/>
          <w:color w:val="000000" w:themeColor="text1"/>
          <w:sz w:val="24"/>
          <w:szCs w:val="24"/>
        </w:rPr>
        <w:t>Department of Gastroenterology, Metro Health System, Cleveland, OH 44109</w:t>
      </w:r>
      <w:r w:rsidR="00374184" w:rsidRPr="00FA26FB">
        <w:rPr>
          <w:rFonts w:ascii="Book Antiqua" w:eastAsia="Times New Roman" w:hAnsi="Book Antiqua" w:cstheme="majorBidi"/>
          <w:bCs/>
          <w:color w:val="000000" w:themeColor="text1"/>
          <w:sz w:val="24"/>
          <w:szCs w:val="24"/>
        </w:rPr>
        <w:t>, United States</w:t>
      </w:r>
    </w:p>
    <w:p w14:paraId="74411EFE" w14:textId="77777777" w:rsidR="00374184" w:rsidRPr="00FA26FB" w:rsidRDefault="00374184" w:rsidP="002C1F15">
      <w:pPr>
        <w:spacing w:after="0" w:line="360" w:lineRule="auto"/>
        <w:jc w:val="both"/>
        <w:rPr>
          <w:rFonts w:ascii="Book Antiqua" w:eastAsia="Times New Roman" w:hAnsi="Book Antiqua" w:cstheme="majorBidi"/>
          <w:bCs/>
          <w:color w:val="000000" w:themeColor="text1"/>
          <w:sz w:val="24"/>
          <w:szCs w:val="24"/>
        </w:rPr>
      </w:pPr>
    </w:p>
    <w:p w14:paraId="14BC7A1D" w14:textId="11B40552" w:rsidR="000105BA" w:rsidRPr="00FA26FB" w:rsidRDefault="000105BA" w:rsidP="002C1F15">
      <w:pPr>
        <w:spacing w:after="0" w:line="360" w:lineRule="auto"/>
      </w:pPr>
      <w:r w:rsidRPr="00FA26FB">
        <w:rPr>
          <w:rFonts w:ascii="Book Antiqua" w:hAnsi="Book Antiqua" w:cstheme="majorBidi"/>
          <w:b/>
          <w:color w:val="000000" w:themeColor="text1"/>
          <w:sz w:val="24"/>
          <w:szCs w:val="24"/>
        </w:rPr>
        <w:t xml:space="preserve">Eric </w:t>
      </w:r>
      <w:proofErr w:type="spellStart"/>
      <w:r w:rsidRPr="00FA26FB">
        <w:rPr>
          <w:rFonts w:ascii="Book Antiqua" w:hAnsi="Book Antiqua" w:cstheme="majorBidi"/>
          <w:b/>
          <w:color w:val="000000" w:themeColor="text1"/>
          <w:sz w:val="24"/>
          <w:szCs w:val="24"/>
        </w:rPr>
        <w:t>Lawitz</w:t>
      </w:r>
      <w:proofErr w:type="spellEnd"/>
      <w:r w:rsidRPr="00FA26FB">
        <w:rPr>
          <w:rFonts w:ascii="Book Antiqua" w:hAnsi="Book Antiqua" w:cstheme="majorBidi"/>
          <w:bCs/>
          <w:color w:val="000000" w:themeColor="text1"/>
          <w:sz w:val="24"/>
          <w:szCs w:val="24"/>
        </w:rPr>
        <w:t xml:space="preserve">, </w:t>
      </w:r>
      <w:r w:rsidR="00D86659" w:rsidRPr="00FA26FB">
        <w:rPr>
          <w:rFonts w:ascii="Book Antiqua" w:hAnsi="Book Antiqua" w:cstheme="majorBidi"/>
          <w:b/>
          <w:color w:val="000000" w:themeColor="text1"/>
          <w:sz w:val="24"/>
          <w:szCs w:val="24"/>
        </w:rPr>
        <w:t xml:space="preserve">Fred </w:t>
      </w:r>
      <w:proofErr w:type="spellStart"/>
      <w:r w:rsidR="00D86659" w:rsidRPr="00FA26FB">
        <w:rPr>
          <w:rFonts w:ascii="Book Antiqua" w:hAnsi="Book Antiqua" w:cstheme="majorBidi"/>
          <w:b/>
          <w:color w:val="000000" w:themeColor="text1"/>
          <w:sz w:val="24"/>
          <w:szCs w:val="24"/>
        </w:rPr>
        <w:t>Poordad</w:t>
      </w:r>
      <w:proofErr w:type="spellEnd"/>
      <w:r w:rsidR="00D86659" w:rsidRPr="00FA26FB">
        <w:rPr>
          <w:rFonts w:ascii="Book Antiqua" w:hAnsi="Book Antiqua" w:cstheme="majorBidi"/>
          <w:bCs/>
          <w:color w:val="000000" w:themeColor="text1"/>
          <w:sz w:val="24"/>
          <w:szCs w:val="24"/>
        </w:rPr>
        <w:t>,</w:t>
      </w:r>
      <w:r w:rsidR="00D86659" w:rsidRPr="00FA26FB">
        <w:rPr>
          <w:rFonts w:hint="eastAsia"/>
          <w:lang w:eastAsia="zh-CN"/>
        </w:rPr>
        <w:t xml:space="preserve"> </w:t>
      </w:r>
      <w:proofErr w:type="spellStart"/>
      <w:r w:rsidR="00D86659" w:rsidRPr="00FA26FB">
        <w:rPr>
          <w:rFonts w:ascii="Book Antiqua" w:hAnsi="Book Antiqua" w:cstheme="majorBidi"/>
          <w:b/>
          <w:color w:val="000000" w:themeColor="text1"/>
          <w:sz w:val="24"/>
          <w:szCs w:val="24"/>
        </w:rPr>
        <w:t>Naim</w:t>
      </w:r>
      <w:proofErr w:type="spellEnd"/>
      <w:r w:rsidR="00D86659" w:rsidRPr="00FA26FB">
        <w:rPr>
          <w:rFonts w:ascii="Book Antiqua" w:hAnsi="Book Antiqua" w:cstheme="majorBidi"/>
          <w:b/>
          <w:color w:val="000000" w:themeColor="text1"/>
          <w:sz w:val="24"/>
          <w:szCs w:val="24"/>
        </w:rPr>
        <w:t xml:space="preserve"> </w:t>
      </w:r>
      <w:proofErr w:type="spellStart"/>
      <w:r w:rsidR="00D86659" w:rsidRPr="00FA26FB">
        <w:rPr>
          <w:rFonts w:ascii="Book Antiqua" w:hAnsi="Book Antiqua" w:cstheme="majorBidi"/>
          <w:b/>
          <w:color w:val="000000" w:themeColor="text1"/>
          <w:sz w:val="24"/>
          <w:szCs w:val="24"/>
        </w:rPr>
        <w:t>Alkhouri</w:t>
      </w:r>
      <w:proofErr w:type="spellEnd"/>
      <w:r w:rsidR="00D86659" w:rsidRPr="00FA26FB">
        <w:rPr>
          <w:rFonts w:ascii="Book Antiqua" w:hAnsi="Book Antiqua" w:cstheme="majorBidi"/>
          <w:b/>
          <w:color w:val="000000" w:themeColor="text1"/>
          <w:sz w:val="24"/>
          <w:szCs w:val="24"/>
        </w:rPr>
        <w:t>,</w:t>
      </w:r>
      <w:r w:rsidR="00D86659" w:rsidRPr="00FA26FB">
        <w:rPr>
          <w:rFonts w:hint="eastAsia"/>
          <w:lang w:eastAsia="zh-CN"/>
        </w:rPr>
        <w:t xml:space="preserve"> </w:t>
      </w:r>
      <w:r w:rsidRPr="00FA26FB">
        <w:rPr>
          <w:rFonts w:ascii="Book Antiqua" w:eastAsia="Times New Roman" w:hAnsi="Book Antiqua" w:cstheme="majorBidi"/>
          <w:bCs/>
          <w:color w:val="000000" w:themeColor="text1"/>
          <w:sz w:val="24"/>
          <w:szCs w:val="24"/>
        </w:rPr>
        <w:t>Texas Liver Institute and University of Texas Health, San Antonio, TX 78215</w:t>
      </w:r>
      <w:r w:rsidR="00374184" w:rsidRPr="00FA26FB">
        <w:rPr>
          <w:rFonts w:ascii="Book Antiqua" w:eastAsia="Times New Roman" w:hAnsi="Book Antiqua" w:cstheme="majorBidi"/>
          <w:bCs/>
          <w:color w:val="000000" w:themeColor="text1"/>
          <w:sz w:val="24"/>
          <w:szCs w:val="24"/>
        </w:rPr>
        <w:t>, United States</w:t>
      </w:r>
    </w:p>
    <w:p w14:paraId="1305415F" w14:textId="77777777" w:rsidR="00D35817" w:rsidRPr="00FA26FB" w:rsidRDefault="00D35817" w:rsidP="002C1F15">
      <w:pPr>
        <w:spacing w:after="0" w:line="360" w:lineRule="auto"/>
        <w:jc w:val="both"/>
        <w:rPr>
          <w:rFonts w:ascii="Book Antiqua" w:eastAsia="Times New Roman" w:hAnsi="Book Antiqua" w:cstheme="majorBidi"/>
          <w:bCs/>
          <w:color w:val="000000" w:themeColor="text1"/>
          <w:sz w:val="24"/>
          <w:szCs w:val="24"/>
        </w:rPr>
      </w:pPr>
    </w:p>
    <w:p w14:paraId="67F7FD35" w14:textId="77777777" w:rsidR="00D86659" w:rsidRPr="00FA26FB" w:rsidRDefault="000105BA" w:rsidP="002C1F15">
      <w:pPr>
        <w:spacing w:after="0" w:line="360" w:lineRule="auto"/>
        <w:jc w:val="both"/>
        <w:rPr>
          <w:rFonts w:ascii="Book Antiqua" w:hAnsi="Book Antiqua" w:cstheme="majorBidi"/>
          <w:bCs/>
          <w:color w:val="000000" w:themeColor="text1"/>
          <w:sz w:val="24"/>
          <w:szCs w:val="24"/>
        </w:rPr>
      </w:pPr>
      <w:r w:rsidRPr="00FA26FB">
        <w:rPr>
          <w:rFonts w:ascii="Book Antiqua" w:hAnsi="Book Antiqua" w:cstheme="majorBidi"/>
          <w:b/>
          <w:color w:val="000000" w:themeColor="text1"/>
          <w:sz w:val="24"/>
          <w:szCs w:val="24"/>
        </w:rPr>
        <w:t xml:space="preserve">Kris V </w:t>
      </w:r>
      <w:proofErr w:type="spellStart"/>
      <w:r w:rsidRPr="00FA26FB">
        <w:rPr>
          <w:rFonts w:ascii="Book Antiqua" w:hAnsi="Book Antiqua" w:cstheme="majorBidi"/>
          <w:b/>
          <w:color w:val="000000" w:themeColor="text1"/>
          <w:sz w:val="24"/>
          <w:szCs w:val="24"/>
        </w:rPr>
        <w:t>Kowdley</w:t>
      </w:r>
      <w:proofErr w:type="spellEnd"/>
      <w:r w:rsidRPr="00FA26FB">
        <w:rPr>
          <w:rFonts w:ascii="Book Antiqua" w:hAnsi="Book Antiqua" w:cstheme="majorBidi"/>
          <w:bCs/>
          <w:color w:val="000000" w:themeColor="text1"/>
          <w:sz w:val="24"/>
          <w:szCs w:val="24"/>
        </w:rPr>
        <w:t xml:space="preserve">, Swedish Liver Care Network, </w:t>
      </w:r>
      <w:r w:rsidRPr="00FA26FB">
        <w:rPr>
          <w:rFonts w:ascii="Book Antiqua" w:eastAsia="Times New Roman" w:hAnsi="Book Antiqua" w:cstheme="majorBidi"/>
          <w:bCs/>
          <w:color w:val="000000" w:themeColor="text1"/>
          <w:sz w:val="24"/>
          <w:szCs w:val="24"/>
        </w:rPr>
        <w:t>Swedish Medical Center, Seattle, WA 98122</w:t>
      </w:r>
      <w:r w:rsidR="00D86659" w:rsidRPr="00FA26FB">
        <w:rPr>
          <w:rFonts w:ascii="Book Antiqua" w:eastAsia="Times New Roman" w:hAnsi="Book Antiqua" w:cstheme="majorBidi"/>
          <w:bCs/>
          <w:color w:val="000000" w:themeColor="text1"/>
          <w:sz w:val="24"/>
          <w:szCs w:val="24"/>
        </w:rPr>
        <w:t>, United States</w:t>
      </w:r>
      <w:r w:rsidR="00D86659" w:rsidRPr="00FA26FB">
        <w:rPr>
          <w:rFonts w:ascii="Book Antiqua" w:hAnsi="Book Antiqua" w:cstheme="majorBidi"/>
          <w:bCs/>
          <w:color w:val="000000" w:themeColor="text1"/>
          <w:sz w:val="24"/>
          <w:szCs w:val="24"/>
        </w:rPr>
        <w:t xml:space="preserve"> </w:t>
      </w:r>
    </w:p>
    <w:p w14:paraId="7A69EF3F" w14:textId="77777777" w:rsidR="000105BA" w:rsidRPr="00FA26FB" w:rsidRDefault="000105BA" w:rsidP="002C1F15">
      <w:pPr>
        <w:autoSpaceDE w:val="0"/>
        <w:autoSpaceDN w:val="0"/>
        <w:adjustRightInd w:val="0"/>
        <w:spacing w:after="0" w:line="360" w:lineRule="auto"/>
        <w:jc w:val="both"/>
        <w:rPr>
          <w:rFonts w:ascii="Book Antiqua" w:hAnsi="Book Antiqua"/>
          <w:bCs/>
          <w:color w:val="FF0000"/>
          <w:sz w:val="24"/>
          <w:szCs w:val="24"/>
        </w:rPr>
      </w:pPr>
      <w:bookmarkStart w:id="20" w:name="OLE_LINK1289"/>
      <w:bookmarkStart w:id="21" w:name="OLE_LINK1290"/>
      <w:bookmarkStart w:id="22" w:name="OLE_LINK563"/>
      <w:bookmarkStart w:id="23" w:name="OLE_LINK1232"/>
      <w:bookmarkStart w:id="24" w:name="OLE_LINK1272"/>
      <w:bookmarkStart w:id="25" w:name="OLE_LINK1274"/>
      <w:bookmarkStart w:id="26" w:name="OLE_LINK1336"/>
      <w:bookmarkStart w:id="27" w:name="OLE_LINK1368"/>
      <w:bookmarkStart w:id="28" w:name="OLE_LINK1491"/>
      <w:bookmarkStart w:id="29" w:name="OLE_LINK1379"/>
      <w:bookmarkStart w:id="30" w:name="OLE_LINK1386"/>
      <w:bookmarkStart w:id="31" w:name="OLE_LINK1548"/>
      <w:bookmarkStart w:id="32" w:name="OLE_LINK202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71CD4AEB" w14:textId="58585626" w:rsidR="00E86937" w:rsidRPr="00FA26FB" w:rsidRDefault="000105BA" w:rsidP="002C1F15">
      <w:pPr>
        <w:autoSpaceDE w:val="0"/>
        <w:autoSpaceDN w:val="0"/>
        <w:adjustRightInd w:val="0"/>
        <w:spacing w:after="0" w:line="360" w:lineRule="auto"/>
        <w:jc w:val="both"/>
        <w:rPr>
          <w:rFonts w:ascii="Book Antiqua" w:hAnsi="Book Antiqua" w:cstheme="majorBidi"/>
          <w:b/>
          <w:color w:val="000000" w:themeColor="text1"/>
          <w:sz w:val="24"/>
          <w:szCs w:val="24"/>
        </w:rPr>
      </w:pPr>
      <w:r w:rsidRPr="00FA26FB">
        <w:rPr>
          <w:rFonts w:ascii="Book Antiqua" w:hAnsi="Book Antiqua" w:cstheme="majorBidi"/>
          <w:b/>
          <w:color w:val="000000" w:themeColor="text1"/>
          <w:sz w:val="24"/>
          <w:szCs w:val="24"/>
        </w:rPr>
        <w:t>ORCID number:</w:t>
      </w:r>
      <w:bookmarkEnd w:id="20"/>
      <w:bookmarkEnd w:id="21"/>
      <w:bookmarkEnd w:id="22"/>
      <w:bookmarkEnd w:id="23"/>
      <w:bookmarkEnd w:id="24"/>
      <w:bookmarkEnd w:id="25"/>
      <w:bookmarkEnd w:id="26"/>
      <w:bookmarkEnd w:id="27"/>
      <w:bookmarkEnd w:id="28"/>
      <w:bookmarkEnd w:id="29"/>
      <w:bookmarkEnd w:id="30"/>
      <w:bookmarkEnd w:id="31"/>
      <w:bookmarkEnd w:id="32"/>
      <w:r w:rsidR="001A35E8" w:rsidRPr="00FA26FB">
        <w:rPr>
          <w:rFonts w:ascii="Book Antiqua" w:hAnsi="Book Antiqua" w:cstheme="majorBidi"/>
          <w:b/>
          <w:color w:val="000000" w:themeColor="text1"/>
          <w:sz w:val="24"/>
          <w:szCs w:val="24"/>
        </w:rPr>
        <w:t xml:space="preserve"> </w:t>
      </w:r>
      <w:r w:rsidRPr="00FA26FB">
        <w:rPr>
          <w:rFonts w:ascii="Book Antiqua" w:hAnsi="Book Antiqua" w:cstheme="majorBidi"/>
          <w:bCs/>
          <w:color w:val="000000" w:themeColor="text1"/>
          <w:sz w:val="24"/>
          <w:szCs w:val="24"/>
        </w:rPr>
        <w:t>George Khoudari (0000-0002-9570-4937)</w:t>
      </w:r>
      <w:r w:rsidR="001A35E8" w:rsidRPr="00FA26FB">
        <w:rPr>
          <w:rFonts w:ascii="Book Antiqua" w:hAnsi="Book Antiqua" w:cstheme="majorBidi"/>
          <w:bCs/>
          <w:color w:val="000000" w:themeColor="text1"/>
          <w:sz w:val="24"/>
          <w:szCs w:val="24"/>
        </w:rPr>
        <w:t xml:space="preserve">; </w:t>
      </w:r>
      <w:proofErr w:type="spellStart"/>
      <w:r w:rsidRPr="00FA26FB">
        <w:rPr>
          <w:rFonts w:ascii="Book Antiqua" w:hAnsi="Book Antiqua" w:cstheme="majorBidi"/>
          <w:bCs/>
          <w:color w:val="000000" w:themeColor="text1"/>
          <w:sz w:val="24"/>
          <w:szCs w:val="24"/>
        </w:rPr>
        <w:t>Amandeep</w:t>
      </w:r>
      <w:proofErr w:type="spellEnd"/>
      <w:r w:rsidRPr="00FA26FB">
        <w:rPr>
          <w:rFonts w:ascii="Book Antiqua" w:hAnsi="Book Antiqua" w:cstheme="majorBidi"/>
          <w:bCs/>
          <w:color w:val="000000" w:themeColor="text1"/>
          <w:sz w:val="24"/>
          <w:szCs w:val="24"/>
        </w:rPr>
        <w:t xml:space="preserve"> Singh (0000-0001-8581-1408)</w:t>
      </w:r>
      <w:r w:rsidR="001A35E8" w:rsidRPr="00FA26FB">
        <w:rPr>
          <w:rFonts w:ascii="Book Antiqua" w:hAnsi="Book Antiqua" w:cstheme="majorBidi"/>
          <w:bCs/>
          <w:color w:val="000000" w:themeColor="text1"/>
          <w:sz w:val="24"/>
          <w:szCs w:val="24"/>
        </w:rPr>
        <w:t xml:space="preserve">; </w:t>
      </w:r>
      <w:proofErr w:type="spellStart"/>
      <w:r w:rsidRPr="00FA26FB">
        <w:rPr>
          <w:rFonts w:ascii="Book Antiqua" w:hAnsi="Book Antiqua" w:cstheme="majorBidi"/>
          <w:bCs/>
          <w:color w:val="000000" w:themeColor="text1"/>
          <w:sz w:val="24"/>
          <w:szCs w:val="24"/>
        </w:rPr>
        <w:t>Mazen</w:t>
      </w:r>
      <w:proofErr w:type="spellEnd"/>
      <w:r w:rsidRPr="00FA26FB">
        <w:rPr>
          <w:rFonts w:ascii="Book Antiqua" w:hAnsi="Book Antiqua" w:cstheme="majorBidi"/>
          <w:bCs/>
          <w:color w:val="000000" w:themeColor="text1"/>
          <w:sz w:val="24"/>
          <w:szCs w:val="24"/>
        </w:rPr>
        <w:t xml:space="preserve"> </w:t>
      </w:r>
      <w:proofErr w:type="spellStart"/>
      <w:r w:rsidRPr="00FA26FB">
        <w:rPr>
          <w:rFonts w:ascii="Book Antiqua" w:hAnsi="Book Antiqua" w:cstheme="majorBidi"/>
          <w:bCs/>
          <w:color w:val="000000" w:themeColor="text1"/>
          <w:sz w:val="24"/>
          <w:szCs w:val="24"/>
        </w:rPr>
        <w:t>Noureddin</w:t>
      </w:r>
      <w:proofErr w:type="spellEnd"/>
      <w:r w:rsidRPr="00FA26FB">
        <w:rPr>
          <w:rFonts w:ascii="Book Antiqua" w:hAnsi="Book Antiqua" w:cstheme="majorBidi"/>
          <w:bCs/>
          <w:color w:val="000000" w:themeColor="text1"/>
          <w:sz w:val="24"/>
          <w:szCs w:val="24"/>
        </w:rPr>
        <w:t xml:space="preserve"> (0000-0003-2127-2040)</w:t>
      </w:r>
      <w:r w:rsidR="001A35E8" w:rsidRPr="00FA26FB">
        <w:rPr>
          <w:rFonts w:ascii="Book Antiqua" w:hAnsi="Book Antiqua" w:cstheme="majorBidi"/>
          <w:bCs/>
          <w:color w:val="000000" w:themeColor="text1"/>
          <w:sz w:val="24"/>
          <w:szCs w:val="24"/>
        </w:rPr>
        <w:t xml:space="preserve">; </w:t>
      </w:r>
      <w:r w:rsidRPr="00FA26FB">
        <w:rPr>
          <w:rFonts w:ascii="Book Antiqua" w:hAnsi="Book Antiqua" w:cstheme="majorBidi"/>
          <w:bCs/>
          <w:color w:val="000000" w:themeColor="text1"/>
          <w:sz w:val="24"/>
          <w:szCs w:val="24"/>
        </w:rPr>
        <w:t xml:space="preserve">Danielle </w:t>
      </w:r>
      <w:proofErr w:type="spellStart"/>
      <w:r w:rsidRPr="00FA26FB">
        <w:rPr>
          <w:rFonts w:ascii="Book Antiqua" w:hAnsi="Book Antiqua" w:cstheme="majorBidi"/>
          <w:bCs/>
          <w:color w:val="000000" w:themeColor="text1"/>
          <w:sz w:val="24"/>
          <w:szCs w:val="24"/>
        </w:rPr>
        <w:t>Fritze</w:t>
      </w:r>
      <w:proofErr w:type="spellEnd"/>
      <w:r w:rsidRPr="00FA26FB">
        <w:rPr>
          <w:rFonts w:ascii="Book Antiqua" w:hAnsi="Book Antiqua" w:cstheme="majorBidi"/>
          <w:bCs/>
          <w:color w:val="000000" w:themeColor="text1"/>
          <w:sz w:val="24"/>
          <w:szCs w:val="24"/>
        </w:rPr>
        <w:t xml:space="preserve"> (0000-0002-1950-2196)</w:t>
      </w:r>
      <w:r w:rsidR="001A35E8" w:rsidRPr="00FA26FB">
        <w:rPr>
          <w:rFonts w:ascii="Book Antiqua" w:hAnsi="Book Antiqua" w:cstheme="majorBidi"/>
          <w:bCs/>
          <w:color w:val="000000" w:themeColor="text1"/>
          <w:sz w:val="24"/>
          <w:szCs w:val="24"/>
        </w:rPr>
        <w:t xml:space="preserve">; </w:t>
      </w:r>
      <w:proofErr w:type="spellStart"/>
      <w:r w:rsidRPr="00FA26FB">
        <w:rPr>
          <w:rFonts w:ascii="Book Antiqua" w:hAnsi="Book Antiqua" w:cstheme="majorBidi"/>
          <w:bCs/>
          <w:color w:val="000000" w:themeColor="text1"/>
          <w:sz w:val="24"/>
          <w:szCs w:val="24"/>
        </w:rPr>
        <w:t>Rocio</w:t>
      </w:r>
      <w:proofErr w:type="spellEnd"/>
      <w:r w:rsidRPr="00FA26FB">
        <w:rPr>
          <w:rFonts w:ascii="Book Antiqua" w:hAnsi="Book Antiqua" w:cstheme="majorBidi"/>
          <w:bCs/>
          <w:color w:val="000000" w:themeColor="text1"/>
          <w:sz w:val="24"/>
          <w:szCs w:val="24"/>
        </w:rPr>
        <w:t xml:space="preserve"> Lopez (0000-0002-4319-420X)</w:t>
      </w:r>
      <w:r w:rsidR="001A35E8" w:rsidRPr="00FA26FB">
        <w:rPr>
          <w:rFonts w:ascii="Book Antiqua" w:hAnsi="Book Antiqua" w:cstheme="majorBidi"/>
          <w:bCs/>
          <w:color w:val="000000" w:themeColor="text1"/>
          <w:sz w:val="24"/>
          <w:szCs w:val="24"/>
        </w:rPr>
        <w:t xml:space="preserve">; </w:t>
      </w:r>
      <w:r w:rsidRPr="00FA26FB">
        <w:rPr>
          <w:rFonts w:ascii="Book Antiqua" w:hAnsi="Book Antiqua" w:cstheme="majorBidi"/>
          <w:bCs/>
          <w:color w:val="000000" w:themeColor="text1"/>
          <w:sz w:val="24"/>
          <w:szCs w:val="24"/>
        </w:rPr>
        <w:t xml:space="preserve">Imad </w:t>
      </w:r>
      <w:proofErr w:type="spellStart"/>
      <w:r w:rsidRPr="00FA26FB">
        <w:rPr>
          <w:rFonts w:ascii="Book Antiqua" w:hAnsi="Book Antiqua" w:cstheme="majorBidi"/>
          <w:bCs/>
          <w:color w:val="000000" w:themeColor="text1"/>
          <w:sz w:val="24"/>
          <w:szCs w:val="24"/>
        </w:rPr>
        <w:t>Asaad</w:t>
      </w:r>
      <w:proofErr w:type="spellEnd"/>
      <w:r w:rsidRPr="00FA26FB">
        <w:rPr>
          <w:rFonts w:ascii="Book Antiqua" w:hAnsi="Book Antiqua" w:cstheme="majorBidi"/>
          <w:bCs/>
          <w:color w:val="000000" w:themeColor="text1"/>
          <w:sz w:val="24"/>
          <w:szCs w:val="24"/>
        </w:rPr>
        <w:t xml:space="preserve"> (0000-0002-0648-6625)</w:t>
      </w:r>
      <w:r w:rsidR="001A35E8" w:rsidRPr="00FA26FB">
        <w:rPr>
          <w:rFonts w:ascii="Book Antiqua" w:hAnsi="Book Antiqua" w:cstheme="majorBidi"/>
          <w:bCs/>
          <w:color w:val="000000" w:themeColor="text1"/>
          <w:sz w:val="24"/>
          <w:szCs w:val="24"/>
        </w:rPr>
        <w:t xml:space="preserve">; </w:t>
      </w:r>
      <w:r w:rsidRPr="00FA26FB">
        <w:rPr>
          <w:rFonts w:ascii="Book Antiqua" w:hAnsi="Book Antiqua" w:cstheme="majorBidi"/>
          <w:bCs/>
          <w:color w:val="000000" w:themeColor="text1"/>
          <w:sz w:val="24"/>
          <w:szCs w:val="24"/>
        </w:rPr>
        <w:t xml:space="preserve">Eric </w:t>
      </w:r>
      <w:proofErr w:type="spellStart"/>
      <w:r w:rsidRPr="00FA26FB">
        <w:rPr>
          <w:rFonts w:ascii="Book Antiqua" w:hAnsi="Book Antiqua" w:cstheme="majorBidi"/>
          <w:bCs/>
          <w:color w:val="000000" w:themeColor="text1"/>
          <w:sz w:val="24"/>
          <w:szCs w:val="24"/>
        </w:rPr>
        <w:t>Lawitz</w:t>
      </w:r>
      <w:proofErr w:type="spellEnd"/>
      <w:r w:rsidR="001C7637" w:rsidRPr="00FA26FB">
        <w:rPr>
          <w:rFonts w:ascii="Book Antiqua" w:hAnsi="Book Antiqua" w:cstheme="majorBidi"/>
          <w:bCs/>
          <w:color w:val="000000" w:themeColor="text1"/>
          <w:sz w:val="24"/>
          <w:szCs w:val="24"/>
        </w:rPr>
        <w:t xml:space="preserve"> </w:t>
      </w:r>
      <w:r w:rsidRPr="00FA26FB">
        <w:rPr>
          <w:rFonts w:ascii="Book Antiqua" w:hAnsi="Book Antiqua" w:cstheme="majorBidi"/>
          <w:bCs/>
          <w:color w:val="000000" w:themeColor="text1"/>
          <w:sz w:val="24"/>
          <w:szCs w:val="24"/>
        </w:rPr>
        <w:t>(0000-0002-4234-224X)</w:t>
      </w:r>
      <w:r w:rsidR="001A35E8" w:rsidRPr="00FA26FB">
        <w:rPr>
          <w:rFonts w:ascii="Book Antiqua" w:hAnsi="Book Antiqua" w:cstheme="majorBidi"/>
          <w:bCs/>
          <w:color w:val="000000" w:themeColor="text1"/>
          <w:sz w:val="24"/>
          <w:szCs w:val="24"/>
        </w:rPr>
        <w:t xml:space="preserve">; </w:t>
      </w:r>
      <w:r w:rsidRPr="00FA26FB">
        <w:rPr>
          <w:rFonts w:ascii="Book Antiqua" w:hAnsi="Book Antiqua" w:cstheme="majorBidi"/>
          <w:bCs/>
          <w:color w:val="000000" w:themeColor="text1"/>
          <w:sz w:val="24"/>
          <w:szCs w:val="24"/>
        </w:rPr>
        <w:t xml:space="preserve">Fred </w:t>
      </w:r>
      <w:proofErr w:type="spellStart"/>
      <w:r w:rsidRPr="00FA26FB">
        <w:rPr>
          <w:rFonts w:ascii="Book Antiqua" w:hAnsi="Book Antiqua" w:cstheme="majorBidi"/>
          <w:bCs/>
          <w:color w:val="000000" w:themeColor="text1"/>
          <w:sz w:val="24"/>
          <w:szCs w:val="24"/>
        </w:rPr>
        <w:t>Poordad</w:t>
      </w:r>
      <w:proofErr w:type="spellEnd"/>
      <w:r w:rsidRPr="00FA26FB">
        <w:rPr>
          <w:rFonts w:ascii="Book Antiqua" w:hAnsi="Book Antiqua" w:cstheme="majorBidi"/>
          <w:bCs/>
          <w:color w:val="000000" w:themeColor="text1"/>
          <w:sz w:val="24"/>
          <w:szCs w:val="24"/>
        </w:rPr>
        <w:t xml:space="preserve"> (0000-0002-1503-1569)</w:t>
      </w:r>
      <w:r w:rsidR="001A35E8" w:rsidRPr="00FA26FB">
        <w:rPr>
          <w:rFonts w:ascii="Book Antiqua" w:hAnsi="Book Antiqua" w:cstheme="majorBidi"/>
          <w:bCs/>
          <w:color w:val="000000" w:themeColor="text1"/>
          <w:sz w:val="24"/>
          <w:szCs w:val="24"/>
        </w:rPr>
        <w:t xml:space="preserve">; </w:t>
      </w:r>
      <w:proofErr w:type="spellStart"/>
      <w:r w:rsidRPr="00FA26FB">
        <w:rPr>
          <w:rFonts w:ascii="Book Antiqua" w:hAnsi="Book Antiqua" w:cstheme="majorBidi"/>
          <w:bCs/>
          <w:color w:val="000000" w:themeColor="text1"/>
          <w:sz w:val="24"/>
          <w:szCs w:val="24"/>
        </w:rPr>
        <w:t>Naim</w:t>
      </w:r>
      <w:proofErr w:type="spellEnd"/>
      <w:r w:rsidRPr="00FA26FB">
        <w:rPr>
          <w:rFonts w:ascii="Book Antiqua" w:hAnsi="Book Antiqua" w:cstheme="majorBidi"/>
          <w:bCs/>
          <w:color w:val="000000" w:themeColor="text1"/>
          <w:sz w:val="24"/>
          <w:szCs w:val="24"/>
        </w:rPr>
        <w:t xml:space="preserve"> </w:t>
      </w:r>
      <w:proofErr w:type="spellStart"/>
      <w:r w:rsidRPr="00FA26FB">
        <w:rPr>
          <w:rFonts w:ascii="Book Antiqua" w:hAnsi="Book Antiqua" w:cstheme="majorBidi"/>
          <w:bCs/>
          <w:color w:val="000000" w:themeColor="text1"/>
          <w:sz w:val="24"/>
          <w:szCs w:val="24"/>
        </w:rPr>
        <w:t>Alkhouri</w:t>
      </w:r>
      <w:proofErr w:type="spellEnd"/>
      <w:r w:rsidRPr="00FA26FB">
        <w:rPr>
          <w:rFonts w:ascii="Book Antiqua" w:hAnsi="Book Antiqua" w:cstheme="majorBidi"/>
          <w:bCs/>
          <w:color w:val="000000" w:themeColor="text1"/>
          <w:sz w:val="24"/>
          <w:szCs w:val="24"/>
        </w:rPr>
        <w:t xml:space="preserve"> (0000-0001-9872-2391)</w:t>
      </w:r>
      <w:r w:rsidR="001A35E8" w:rsidRPr="00FA26FB">
        <w:rPr>
          <w:rFonts w:ascii="Book Antiqua" w:hAnsi="Book Antiqua" w:cstheme="majorBidi"/>
          <w:bCs/>
          <w:color w:val="000000" w:themeColor="text1"/>
          <w:sz w:val="24"/>
          <w:szCs w:val="24"/>
        </w:rPr>
        <w:t>.</w:t>
      </w:r>
    </w:p>
    <w:p w14:paraId="7FF7D5B9" w14:textId="77777777" w:rsidR="00B42C1A" w:rsidRPr="00FA26FB" w:rsidRDefault="00B42C1A" w:rsidP="002C1F15">
      <w:pPr>
        <w:spacing w:after="0" w:line="360" w:lineRule="auto"/>
        <w:jc w:val="both"/>
        <w:outlineLvl w:val="0"/>
        <w:rPr>
          <w:rFonts w:ascii="Book Antiqua" w:eastAsiaTheme="majorEastAsia" w:hAnsi="Book Antiqua" w:cs="Times New Roman"/>
          <w:bCs/>
          <w:sz w:val="24"/>
          <w:szCs w:val="24"/>
        </w:rPr>
      </w:pPr>
    </w:p>
    <w:p w14:paraId="7F176E2A" w14:textId="6359BFBD" w:rsidR="00E86937" w:rsidRPr="00FA26FB" w:rsidRDefault="0094689E" w:rsidP="002C1F15">
      <w:pPr>
        <w:spacing w:after="0" w:line="360" w:lineRule="auto"/>
        <w:jc w:val="both"/>
        <w:outlineLvl w:val="0"/>
        <w:rPr>
          <w:rFonts w:ascii="Book Antiqua" w:eastAsiaTheme="majorEastAsia" w:hAnsi="Book Antiqua" w:cs="Times New Roman"/>
          <w:bCs/>
          <w:sz w:val="24"/>
          <w:szCs w:val="24"/>
          <w:lang w:val="en-GB"/>
        </w:rPr>
      </w:pPr>
      <w:r w:rsidRPr="00FA26FB">
        <w:rPr>
          <w:rFonts w:ascii="Book Antiqua" w:eastAsiaTheme="majorEastAsia" w:hAnsi="Book Antiqua" w:cs="Times New Roman"/>
          <w:b/>
          <w:sz w:val="24"/>
          <w:szCs w:val="24"/>
          <w:lang w:val="en-GB"/>
        </w:rPr>
        <w:t xml:space="preserve">Author contributions: </w:t>
      </w:r>
      <w:r w:rsidRPr="00FA26FB">
        <w:rPr>
          <w:rFonts w:ascii="Book Antiqua" w:eastAsiaTheme="majorEastAsia" w:hAnsi="Book Antiqua" w:cs="Times New Roman"/>
          <w:bCs/>
          <w:sz w:val="24"/>
          <w:szCs w:val="24"/>
          <w:lang w:val="en-GB"/>
        </w:rPr>
        <w:t xml:space="preserve">All authors have contributed to this manuscript and have agreed on the content; </w:t>
      </w:r>
      <w:proofErr w:type="spellStart"/>
      <w:r w:rsidR="001C1A7A" w:rsidRPr="00FA26FB">
        <w:rPr>
          <w:rFonts w:ascii="Book Antiqua" w:eastAsiaTheme="majorEastAsia" w:hAnsi="Book Antiqua" w:cs="Times New Roman"/>
          <w:bCs/>
          <w:sz w:val="24"/>
          <w:szCs w:val="24"/>
          <w:lang w:val="en-GB"/>
        </w:rPr>
        <w:t>Alkhoury</w:t>
      </w:r>
      <w:proofErr w:type="spellEnd"/>
      <w:r w:rsidR="001C1A7A" w:rsidRPr="00FA26FB">
        <w:rPr>
          <w:rFonts w:ascii="Book Antiqua" w:eastAsiaTheme="majorEastAsia" w:hAnsi="Book Antiqua" w:cs="Times New Roman"/>
          <w:bCs/>
          <w:sz w:val="24"/>
          <w:szCs w:val="24"/>
          <w:lang w:val="en-GB"/>
        </w:rPr>
        <w:t xml:space="preserve"> N, </w:t>
      </w:r>
      <w:proofErr w:type="spellStart"/>
      <w:r w:rsidR="001C1A7A" w:rsidRPr="00FA26FB">
        <w:rPr>
          <w:rFonts w:ascii="Book Antiqua" w:eastAsiaTheme="majorEastAsia" w:hAnsi="Book Antiqua" w:cs="Times New Roman"/>
          <w:bCs/>
          <w:sz w:val="24"/>
          <w:szCs w:val="24"/>
          <w:lang w:val="en-GB"/>
        </w:rPr>
        <w:t>Fritze</w:t>
      </w:r>
      <w:proofErr w:type="spellEnd"/>
      <w:r w:rsidR="001C1A7A" w:rsidRPr="00FA26FB">
        <w:rPr>
          <w:rFonts w:ascii="Book Antiqua" w:eastAsiaTheme="majorEastAsia" w:hAnsi="Book Antiqua" w:cs="Times New Roman"/>
          <w:bCs/>
          <w:sz w:val="24"/>
          <w:szCs w:val="24"/>
          <w:lang w:val="en-GB"/>
        </w:rPr>
        <w:t xml:space="preserve"> D,</w:t>
      </w:r>
      <w:r w:rsidRPr="00FA26FB">
        <w:rPr>
          <w:rFonts w:ascii="Book Antiqua" w:eastAsiaTheme="majorEastAsia" w:hAnsi="Book Antiqua" w:cs="Times New Roman"/>
          <w:bCs/>
          <w:sz w:val="24"/>
          <w:szCs w:val="24"/>
          <w:lang w:val="en-GB"/>
        </w:rPr>
        <w:t xml:space="preserve"> and </w:t>
      </w:r>
      <w:proofErr w:type="spellStart"/>
      <w:r w:rsidR="001C1A7A" w:rsidRPr="00FA26FB">
        <w:rPr>
          <w:rFonts w:ascii="Book Antiqua" w:hAnsi="Book Antiqua" w:cs="Times New Roman"/>
          <w:bCs/>
          <w:sz w:val="24"/>
          <w:szCs w:val="24"/>
        </w:rPr>
        <w:t>Noureddin</w:t>
      </w:r>
      <w:proofErr w:type="spellEnd"/>
      <w:r w:rsidR="001C1A7A" w:rsidRPr="00FA26FB">
        <w:rPr>
          <w:rFonts w:ascii="Book Antiqua" w:hAnsi="Book Antiqua" w:cs="Times New Roman"/>
          <w:bCs/>
          <w:sz w:val="24"/>
          <w:szCs w:val="24"/>
        </w:rPr>
        <w:t xml:space="preserve"> M</w:t>
      </w:r>
      <w:r w:rsidRPr="00FA26FB">
        <w:rPr>
          <w:rFonts w:ascii="Book Antiqua" w:eastAsiaTheme="majorEastAsia" w:hAnsi="Book Antiqua" w:cs="Times New Roman"/>
          <w:bCs/>
          <w:sz w:val="24"/>
          <w:szCs w:val="24"/>
          <w:lang w:val="en-GB"/>
        </w:rPr>
        <w:t xml:space="preserve"> were involved in the study design; </w:t>
      </w:r>
      <w:proofErr w:type="spellStart"/>
      <w:r w:rsidR="001C1A7A" w:rsidRPr="00FA26FB">
        <w:rPr>
          <w:rFonts w:ascii="Book Antiqua" w:eastAsiaTheme="majorEastAsia" w:hAnsi="Book Antiqua" w:cs="Times New Roman"/>
          <w:bCs/>
          <w:sz w:val="24"/>
          <w:szCs w:val="24"/>
          <w:lang w:val="en-GB"/>
        </w:rPr>
        <w:t>Khoudari</w:t>
      </w:r>
      <w:proofErr w:type="spellEnd"/>
      <w:r w:rsidR="001C1A7A" w:rsidRPr="00FA26FB">
        <w:rPr>
          <w:rFonts w:ascii="Book Antiqua" w:eastAsiaTheme="majorEastAsia" w:hAnsi="Book Antiqua" w:cs="Times New Roman"/>
          <w:bCs/>
          <w:sz w:val="24"/>
          <w:szCs w:val="24"/>
          <w:lang w:val="en-GB"/>
        </w:rPr>
        <w:t xml:space="preserve"> G, </w:t>
      </w:r>
      <w:proofErr w:type="spellStart"/>
      <w:r w:rsidR="001C1A7A" w:rsidRPr="00FA26FB">
        <w:rPr>
          <w:rFonts w:ascii="Book Antiqua" w:eastAsiaTheme="majorEastAsia" w:hAnsi="Book Antiqua" w:cs="Times New Roman"/>
          <w:bCs/>
          <w:sz w:val="24"/>
          <w:szCs w:val="24"/>
          <w:lang w:val="en-GB"/>
        </w:rPr>
        <w:t>Alkhoury</w:t>
      </w:r>
      <w:proofErr w:type="spellEnd"/>
      <w:r w:rsidR="001C1A7A" w:rsidRPr="00FA26FB">
        <w:rPr>
          <w:rFonts w:ascii="Book Antiqua" w:eastAsiaTheme="majorEastAsia" w:hAnsi="Book Antiqua" w:cs="Times New Roman"/>
          <w:bCs/>
          <w:sz w:val="24"/>
          <w:szCs w:val="24"/>
          <w:lang w:val="en-GB"/>
        </w:rPr>
        <w:t xml:space="preserve"> N, </w:t>
      </w:r>
      <w:r w:rsidRPr="00FA26FB">
        <w:rPr>
          <w:rFonts w:ascii="Book Antiqua" w:eastAsiaTheme="majorEastAsia" w:hAnsi="Book Antiqua" w:cs="Times New Roman"/>
          <w:bCs/>
          <w:sz w:val="24"/>
          <w:szCs w:val="24"/>
          <w:lang w:val="en-GB"/>
        </w:rPr>
        <w:t xml:space="preserve">and </w:t>
      </w:r>
      <w:r w:rsidR="001C1A7A" w:rsidRPr="00FA26FB">
        <w:rPr>
          <w:rFonts w:ascii="Book Antiqua" w:eastAsiaTheme="majorEastAsia" w:hAnsi="Book Antiqua" w:cs="Times New Roman"/>
          <w:bCs/>
          <w:sz w:val="24"/>
          <w:szCs w:val="24"/>
          <w:lang w:val="en-GB"/>
        </w:rPr>
        <w:t>Singh A</w:t>
      </w:r>
      <w:r w:rsidRPr="00FA26FB">
        <w:rPr>
          <w:rFonts w:ascii="Book Antiqua" w:eastAsiaTheme="majorEastAsia" w:hAnsi="Book Antiqua" w:cs="Times New Roman"/>
          <w:bCs/>
          <w:sz w:val="24"/>
          <w:szCs w:val="24"/>
          <w:lang w:val="en-GB"/>
        </w:rPr>
        <w:t xml:space="preserve"> were involved with data analysis; </w:t>
      </w:r>
      <w:r w:rsidR="001C1A7A" w:rsidRPr="00FA26FB">
        <w:rPr>
          <w:rFonts w:ascii="Book Antiqua" w:eastAsiaTheme="majorEastAsia" w:hAnsi="Book Antiqua" w:cs="Times New Roman"/>
          <w:bCs/>
          <w:sz w:val="24"/>
          <w:szCs w:val="24"/>
          <w:lang w:val="en-GB"/>
        </w:rPr>
        <w:t>Lopez R</w:t>
      </w:r>
      <w:r w:rsidRPr="00FA26FB">
        <w:rPr>
          <w:rFonts w:ascii="Book Antiqua" w:eastAsiaTheme="majorEastAsia" w:hAnsi="Book Antiqua" w:cs="Times New Roman"/>
          <w:bCs/>
          <w:sz w:val="24"/>
          <w:szCs w:val="24"/>
          <w:lang w:val="en-GB"/>
        </w:rPr>
        <w:t xml:space="preserve"> provided statistical support; </w:t>
      </w:r>
      <w:proofErr w:type="spellStart"/>
      <w:r w:rsidR="001C1A7A" w:rsidRPr="00FA26FB">
        <w:rPr>
          <w:rFonts w:ascii="Book Antiqua" w:eastAsiaTheme="majorEastAsia" w:hAnsi="Book Antiqua" w:cs="Times New Roman"/>
          <w:bCs/>
          <w:sz w:val="24"/>
          <w:szCs w:val="24"/>
          <w:lang w:val="en-GB"/>
        </w:rPr>
        <w:t>Khoudari</w:t>
      </w:r>
      <w:proofErr w:type="spellEnd"/>
      <w:r w:rsidR="001C1A7A" w:rsidRPr="00FA26FB">
        <w:rPr>
          <w:rFonts w:ascii="Book Antiqua" w:eastAsiaTheme="majorEastAsia" w:hAnsi="Book Antiqua" w:cs="Times New Roman"/>
          <w:bCs/>
          <w:sz w:val="24"/>
          <w:szCs w:val="24"/>
          <w:lang w:val="en-GB"/>
        </w:rPr>
        <w:t xml:space="preserve"> G, </w:t>
      </w:r>
      <w:proofErr w:type="spellStart"/>
      <w:r w:rsidR="001C1A7A" w:rsidRPr="00FA26FB">
        <w:rPr>
          <w:rFonts w:ascii="Book Antiqua" w:eastAsiaTheme="majorEastAsia" w:hAnsi="Book Antiqua" w:cs="Times New Roman"/>
          <w:bCs/>
          <w:sz w:val="24"/>
          <w:szCs w:val="24"/>
          <w:lang w:val="en-GB"/>
        </w:rPr>
        <w:t>Kowdley</w:t>
      </w:r>
      <w:proofErr w:type="spellEnd"/>
      <w:r w:rsidR="001C1A7A" w:rsidRPr="00FA26FB">
        <w:rPr>
          <w:rFonts w:ascii="Book Antiqua" w:eastAsiaTheme="majorEastAsia" w:hAnsi="Book Antiqua" w:cs="Times New Roman"/>
          <w:bCs/>
          <w:sz w:val="24"/>
          <w:szCs w:val="24"/>
          <w:lang w:val="en-GB"/>
        </w:rPr>
        <w:t xml:space="preserve"> K V</w:t>
      </w:r>
      <w:r w:rsidRPr="00FA26FB">
        <w:rPr>
          <w:rFonts w:ascii="Book Antiqua" w:eastAsiaTheme="majorEastAsia" w:hAnsi="Book Antiqua" w:cs="Times New Roman"/>
          <w:bCs/>
          <w:sz w:val="24"/>
          <w:szCs w:val="24"/>
          <w:lang w:val="en-GB"/>
        </w:rPr>
        <w:t xml:space="preserve">, </w:t>
      </w:r>
      <w:r w:rsidR="001C1A7A" w:rsidRPr="00FA26FB">
        <w:rPr>
          <w:rFonts w:ascii="Book Antiqua" w:eastAsiaTheme="majorEastAsia" w:hAnsi="Book Antiqua" w:cs="Times New Roman"/>
          <w:bCs/>
          <w:sz w:val="24"/>
          <w:szCs w:val="24"/>
          <w:lang w:val="en-GB"/>
        </w:rPr>
        <w:t xml:space="preserve">Singh A, </w:t>
      </w:r>
      <w:proofErr w:type="spellStart"/>
      <w:r w:rsidR="001C1A7A" w:rsidRPr="00FA26FB">
        <w:rPr>
          <w:rFonts w:ascii="Book Antiqua" w:eastAsiaTheme="majorEastAsia" w:hAnsi="Book Antiqua" w:cs="Times New Roman"/>
          <w:bCs/>
          <w:sz w:val="24"/>
          <w:szCs w:val="24"/>
          <w:lang w:val="en-GB"/>
        </w:rPr>
        <w:t>Poordad</w:t>
      </w:r>
      <w:proofErr w:type="spellEnd"/>
      <w:r w:rsidR="001C1A7A" w:rsidRPr="00FA26FB">
        <w:rPr>
          <w:rFonts w:ascii="Book Antiqua" w:eastAsiaTheme="majorEastAsia" w:hAnsi="Book Antiqua" w:cs="Times New Roman"/>
          <w:bCs/>
          <w:sz w:val="24"/>
          <w:szCs w:val="24"/>
          <w:lang w:val="en-GB"/>
        </w:rPr>
        <w:t xml:space="preserve"> F</w:t>
      </w:r>
      <w:r w:rsidRPr="00FA26FB">
        <w:rPr>
          <w:rFonts w:ascii="Book Antiqua" w:eastAsiaTheme="majorEastAsia" w:hAnsi="Book Antiqua" w:cs="Times New Roman"/>
          <w:bCs/>
          <w:sz w:val="24"/>
          <w:szCs w:val="24"/>
          <w:lang w:val="en-GB"/>
        </w:rPr>
        <w:t xml:space="preserve">, </w:t>
      </w:r>
      <w:proofErr w:type="spellStart"/>
      <w:r w:rsidR="001C1A7A" w:rsidRPr="00FA26FB">
        <w:rPr>
          <w:rFonts w:ascii="Book Antiqua" w:eastAsiaTheme="majorEastAsia" w:hAnsi="Book Antiqua" w:cs="Times New Roman"/>
          <w:bCs/>
          <w:sz w:val="24"/>
          <w:szCs w:val="24"/>
          <w:lang w:val="en-GB"/>
        </w:rPr>
        <w:t>Lawitz</w:t>
      </w:r>
      <w:proofErr w:type="spellEnd"/>
      <w:r w:rsidR="001C7637" w:rsidRPr="00FA26FB">
        <w:rPr>
          <w:rFonts w:ascii="Book Antiqua" w:eastAsiaTheme="majorEastAsia" w:hAnsi="Book Antiqua" w:cs="Times New Roman"/>
          <w:bCs/>
          <w:sz w:val="24"/>
          <w:szCs w:val="24"/>
          <w:lang w:val="en-GB"/>
        </w:rPr>
        <w:t xml:space="preserve"> </w:t>
      </w:r>
      <w:r w:rsidR="001C1A7A" w:rsidRPr="00FA26FB">
        <w:rPr>
          <w:rFonts w:ascii="Book Antiqua" w:eastAsiaTheme="majorEastAsia" w:hAnsi="Book Antiqua" w:cs="Times New Roman"/>
          <w:bCs/>
          <w:sz w:val="24"/>
          <w:szCs w:val="24"/>
          <w:lang w:val="en-GB"/>
        </w:rPr>
        <w:t>E</w:t>
      </w:r>
      <w:r w:rsidRPr="00FA26FB">
        <w:rPr>
          <w:rFonts w:ascii="Book Antiqua" w:eastAsiaTheme="majorEastAsia" w:hAnsi="Book Antiqua" w:cs="Times New Roman"/>
          <w:bCs/>
          <w:sz w:val="24"/>
          <w:szCs w:val="24"/>
          <w:lang w:val="en-GB"/>
        </w:rPr>
        <w:t xml:space="preserve">, </w:t>
      </w:r>
      <w:r w:rsidR="001C1A7A" w:rsidRPr="00FA26FB">
        <w:rPr>
          <w:rFonts w:ascii="Book Antiqua" w:eastAsiaTheme="majorEastAsia" w:hAnsi="Book Antiqua" w:cs="Times New Roman"/>
          <w:bCs/>
          <w:sz w:val="24"/>
          <w:szCs w:val="24"/>
          <w:lang w:val="en-GB"/>
        </w:rPr>
        <w:t>and Asaad I</w:t>
      </w:r>
      <w:r w:rsidRPr="00FA26FB">
        <w:rPr>
          <w:rFonts w:ascii="Book Antiqua" w:eastAsiaTheme="majorEastAsia" w:hAnsi="Book Antiqua" w:cs="Times New Roman"/>
          <w:bCs/>
          <w:sz w:val="24"/>
          <w:szCs w:val="24"/>
          <w:lang w:val="en-GB"/>
        </w:rPr>
        <w:t xml:space="preserve"> were involved with data interpretation, drafting and revising the work; All authors provided approval for the final version to be published. </w:t>
      </w:r>
    </w:p>
    <w:p w14:paraId="051D9C9E" w14:textId="77777777" w:rsidR="001C7637" w:rsidRPr="00FA26FB" w:rsidRDefault="001C7637" w:rsidP="002C1F15">
      <w:pPr>
        <w:spacing w:after="0" w:line="360" w:lineRule="auto"/>
        <w:jc w:val="both"/>
        <w:outlineLvl w:val="0"/>
        <w:rPr>
          <w:rFonts w:ascii="Book Antiqua" w:eastAsiaTheme="majorEastAsia" w:hAnsi="Book Antiqua" w:cs="Times New Roman"/>
          <w:bCs/>
          <w:sz w:val="24"/>
          <w:szCs w:val="24"/>
          <w:lang w:val="en-GB"/>
        </w:rPr>
      </w:pPr>
    </w:p>
    <w:p w14:paraId="2D51C9AA" w14:textId="44CF97D9" w:rsidR="00C64707" w:rsidRPr="00FA26FB" w:rsidRDefault="00E86937" w:rsidP="002C1F15">
      <w:pPr>
        <w:autoSpaceDE w:val="0"/>
        <w:autoSpaceDN w:val="0"/>
        <w:adjustRightInd w:val="0"/>
        <w:spacing w:after="0" w:line="360" w:lineRule="auto"/>
        <w:jc w:val="both"/>
        <w:rPr>
          <w:rFonts w:ascii="Book Antiqua" w:hAnsi="Book Antiqua" w:cstheme="majorBidi"/>
          <w:bCs/>
          <w:color w:val="000000" w:themeColor="text1"/>
          <w:sz w:val="24"/>
          <w:szCs w:val="24"/>
        </w:rPr>
      </w:pPr>
      <w:bookmarkStart w:id="33" w:name="OLE_LINK999"/>
      <w:bookmarkStart w:id="34" w:name="OLE_LINK1000"/>
      <w:bookmarkStart w:id="35" w:name="OLE_LINK1001"/>
      <w:bookmarkStart w:id="36" w:name="OLE_LINK1002"/>
      <w:bookmarkStart w:id="37" w:name="OLE_LINK1003"/>
      <w:bookmarkStart w:id="38" w:name="OLE_LINK1076"/>
      <w:bookmarkStart w:id="39" w:name="OLE_LINK1399"/>
      <w:bookmarkStart w:id="40" w:name="OLE_LINK4"/>
      <w:bookmarkStart w:id="41" w:name="OLE_LINK5"/>
      <w:bookmarkStart w:id="42" w:name="OLE_LINK640"/>
      <w:bookmarkStart w:id="43" w:name="OLE_LINK641"/>
      <w:bookmarkStart w:id="44" w:name="OLE_LINK646"/>
      <w:bookmarkStart w:id="45" w:name="OLE_LINK686"/>
      <w:bookmarkStart w:id="46" w:name="OLE_LINK802"/>
      <w:bookmarkStart w:id="47" w:name="OLE_LINK803"/>
      <w:bookmarkStart w:id="48" w:name="OLE_LINK1623"/>
      <w:bookmarkStart w:id="49" w:name="OLE_LINK1883"/>
      <w:bookmarkStart w:id="50" w:name="OLE_LINK1884"/>
      <w:r w:rsidRPr="00FA26FB">
        <w:rPr>
          <w:rFonts w:ascii="Book Antiqua" w:hAnsi="Book Antiqua" w:cstheme="majorBidi"/>
          <w:b/>
          <w:iCs/>
          <w:color w:val="000000" w:themeColor="text1"/>
          <w:sz w:val="24"/>
          <w:szCs w:val="24"/>
        </w:rPr>
        <w:t>I</w:t>
      </w:r>
      <w:bookmarkStart w:id="51" w:name="OLE_LINK1858"/>
      <w:bookmarkStart w:id="52" w:name="OLE_LINK1859"/>
      <w:r w:rsidRPr="00FA26FB">
        <w:rPr>
          <w:rFonts w:ascii="Book Antiqua" w:hAnsi="Book Antiqua" w:cstheme="majorBidi"/>
          <w:b/>
          <w:iCs/>
          <w:color w:val="000000" w:themeColor="text1"/>
          <w:sz w:val="24"/>
          <w:szCs w:val="24"/>
        </w:rPr>
        <w:t>nstitutional review board statement</w:t>
      </w:r>
      <w:bookmarkStart w:id="53" w:name="OLE_LINK1630"/>
      <w:bookmarkStart w:id="54" w:name="OLE_LINK1631"/>
      <w:bookmarkStart w:id="55" w:name="OLE_LINK1675"/>
      <w:bookmarkStart w:id="56" w:name="OLE_LINK1676"/>
      <w:bookmarkStart w:id="57" w:name="OLE_LINK226"/>
      <w:bookmarkStart w:id="58" w:name="OLE_LINK227"/>
      <w:bookmarkStart w:id="59" w:name="OLE_LINK1915"/>
      <w:bookmarkStart w:id="60" w:name="OLE_LINK1916"/>
      <w:bookmarkStart w:id="61" w:name="OLE_LINK1073"/>
      <w:bookmarkStart w:id="62" w:name="OLE_LINK1074"/>
      <w:bookmarkStart w:id="63" w:name="OLE_LINK1075"/>
      <w:bookmarkStart w:id="64" w:name="OLE_LINK1191"/>
      <w:bookmarkStart w:id="65" w:name="OLE_LINK1193"/>
      <w:bookmarkStart w:id="66" w:name="OLE_LINK952"/>
      <w:bookmarkStart w:id="67" w:name="OLE_LINK953"/>
      <w:bookmarkStart w:id="68" w:name="OLE_LINK954"/>
      <w:bookmarkStart w:id="69" w:name="OLE_LINK1592"/>
      <w:bookmarkStart w:id="70" w:name="OLE_LINK647"/>
      <w:bookmarkStart w:id="71" w:name="OLE_LINK648"/>
      <w:bookmarkStart w:id="72" w:name="OLE_LINK1400"/>
      <w:bookmarkStart w:id="73" w:name="OLE_LINK1624"/>
      <w:bookmarkStart w:id="74" w:name="OLE_LINK1625"/>
      <w:bookmarkStart w:id="75" w:name="OLE_LINK1626"/>
      <w:bookmarkStart w:id="76" w:name="OLE_LINK1627"/>
      <w:bookmarkStart w:id="77" w:name="OLE_LINK1628"/>
      <w:bookmarkStart w:id="78" w:name="OLE_LINK1629"/>
      <w:bookmarkStart w:id="79" w:name="OLE_LINK1703"/>
      <w:bookmarkStart w:id="80" w:name="OLE_LINK1781"/>
      <w:bookmarkStart w:id="81" w:name="OLE_LINK1782"/>
      <w:bookmarkStart w:id="82" w:name="OLE_LINK1873"/>
      <w:bookmarkStart w:id="83" w:name="OLE_LINK1913"/>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00C64707" w:rsidRPr="00FA26FB">
        <w:rPr>
          <w:rFonts w:ascii="Book Antiqua" w:hAnsi="Book Antiqua" w:cstheme="majorBidi"/>
          <w:b/>
          <w:iCs/>
          <w:color w:val="000000" w:themeColor="text1"/>
          <w:sz w:val="24"/>
          <w:szCs w:val="24"/>
        </w:rPr>
        <w:t>:</w:t>
      </w:r>
      <w:r w:rsidR="00C64707" w:rsidRPr="00FA26FB">
        <w:rPr>
          <w:rFonts w:ascii="Book Antiqua" w:hAnsi="Book Antiqua" w:cstheme="majorBidi"/>
          <w:bCs/>
          <w:iCs/>
          <w:color w:val="000000" w:themeColor="text1"/>
          <w:sz w:val="24"/>
          <w:szCs w:val="24"/>
        </w:rPr>
        <w:t xml:space="preserve"> </w:t>
      </w:r>
      <w:r w:rsidR="00C64707" w:rsidRPr="00FA26FB">
        <w:rPr>
          <w:rFonts w:ascii="Book Antiqua" w:hAnsi="Book Antiqua" w:cstheme="majorBidi"/>
          <w:bCs/>
          <w:color w:val="000000" w:themeColor="text1"/>
          <w:sz w:val="24"/>
          <w:szCs w:val="24"/>
        </w:rPr>
        <w:t>NHANES was approved by the Institutional Review Board at the Center for Disease Control and Prevention</w:t>
      </w:r>
      <w:r w:rsidR="00D63427" w:rsidRPr="00FA26FB">
        <w:rPr>
          <w:rFonts w:ascii="Book Antiqua" w:hAnsi="Book Antiqua" w:cstheme="majorBidi"/>
          <w:bCs/>
          <w:color w:val="000000" w:themeColor="text1"/>
          <w:sz w:val="24"/>
          <w:szCs w:val="24"/>
        </w:rPr>
        <w:t>. This study does not require IRB approval.</w:t>
      </w:r>
    </w:p>
    <w:p w14:paraId="6B01291C" w14:textId="77777777" w:rsidR="001C7637" w:rsidRPr="00FA26FB" w:rsidRDefault="001C7637" w:rsidP="002C1F15">
      <w:pPr>
        <w:autoSpaceDE w:val="0"/>
        <w:autoSpaceDN w:val="0"/>
        <w:adjustRightInd w:val="0"/>
        <w:spacing w:after="0" w:line="360" w:lineRule="auto"/>
        <w:jc w:val="both"/>
        <w:rPr>
          <w:rFonts w:ascii="Book Antiqua" w:hAnsi="Book Antiqua" w:cstheme="majorBidi"/>
          <w:bCs/>
          <w:color w:val="000000" w:themeColor="text1"/>
          <w:sz w:val="24"/>
          <w:szCs w:val="24"/>
        </w:rPr>
      </w:pPr>
    </w:p>
    <w:p w14:paraId="6F4892DE" w14:textId="60FD66C6" w:rsidR="00651E6B" w:rsidRPr="00FA26FB" w:rsidRDefault="00E86937" w:rsidP="002C1F15">
      <w:pPr>
        <w:autoSpaceDE w:val="0"/>
        <w:autoSpaceDN w:val="0"/>
        <w:adjustRightInd w:val="0"/>
        <w:spacing w:after="0" w:line="360" w:lineRule="auto"/>
        <w:jc w:val="both"/>
        <w:rPr>
          <w:rFonts w:ascii="Book Antiqua" w:hAnsi="Book Antiqua" w:cstheme="majorBidi"/>
          <w:bCs/>
          <w:iCs/>
          <w:color w:val="000000" w:themeColor="text1"/>
          <w:sz w:val="24"/>
          <w:szCs w:val="24"/>
        </w:rPr>
      </w:pPr>
      <w:r w:rsidRPr="00FA26FB">
        <w:rPr>
          <w:rFonts w:ascii="Book Antiqua" w:hAnsi="Book Antiqua" w:cstheme="majorBidi"/>
          <w:b/>
          <w:iCs/>
          <w:color w:val="000000" w:themeColor="text1"/>
          <w:sz w:val="24"/>
          <w:szCs w:val="24"/>
        </w:rPr>
        <w:t xml:space="preserve">Informed </w:t>
      </w:r>
      <w:bookmarkEnd w:id="53"/>
      <w:bookmarkEnd w:id="54"/>
      <w:r w:rsidRPr="00FA26FB">
        <w:rPr>
          <w:rFonts w:ascii="Book Antiqua" w:hAnsi="Book Antiqua" w:cstheme="majorBidi"/>
          <w:b/>
          <w:iCs/>
          <w:color w:val="000000" w:themeColor="text1"/>
          <w:sz w:val="24"/>
          <w:szCs w:val="24"/>
        </w:rPr>
        <w:t>consent statement</w:t>
      </w:r>
      <w:bookmarkEnd w:id="55"/>
      <w:bookmarkEnd w:id="56"/>
      <w:r w:rsidRPr="00FA26FB">
        <w:rPr>
          <w:rFonts w:ascii="Book Antiqua" w:hAnsi="Book Antiqua" w:cstheme="majorBidi"/>
          <w:b/>
          <w:iCs/>
          <w:color w:val="000000" w:themeColor="text1"/>
          <w:sz w:val="24"/>
          <w:szCs w:val="24"/>
        </w:rPr>
        <w:t>:</w:t>
      </w:r>
      <w:bookmarkEnd w:id="57"/>
      <w:bookmarkEnd w:id="58"/>
      <w:bookmarkEnd w:id="59"/>
      <w:bookmarkEnd w:id="60"/>
      <w:r w:rsidRPr="00FA26FB">
        <w:rPr>
          <w:rFonts w:ascii="Book Antiqua" w:hAnsi="Book Antiqua" w:cstheme="majorBidi"/>
          <w:bCs/>
          <w:iCs/>
          <w:color w:val="000000" w:themeColor="text1"/>
          <w:sz w:val="24"/>
          <w:szCs w:val="24"/>
        </w:rPr>
        <w:t xml:space="preserve"> </w:t>
      </w:r>
      <w:bookmarkEnd w:id="61"/>
      <w:bookmarkEnd w:id="62"/>
      <w:bookmarkEnd w:id="63"/>
      <w:bookmarkEnd w:id="64"/>
      <w:bookmarkEnd w:id="65"/>
      <w:bookmarkEnd w:id="66"/>
      <w:bookmarkEnd w:id="67"/>
      <w:bookmarkEnd w:id="68"/>
      <w:bookmarkEnd w:id="69"/>
      <w:r w:rsidR="00C64707" w:rsidRPr="00FA26FB">
        <w:rPr>
          <w:rFonts w:ascii="Book Antiqua" w:hAnsi="Book Antiqua" w:cstheme="majorBidi"/>
          <w:bCs/>
          <w:color w:val="000000" w:themeColor="text1"/>
          <w:sz w:val="24"/>
          <w:szCs w:val="24"/>
        </w:rPr>
        <w:t>Informed consent was obtained from all participants.</w:t>
      </w:r>
    </w:p>
    <w:bookmarkEnd w:id="70"/>
    <w:bookmarkEnd w:id="71"/>
    <w:bookmarkEnd w:id="72"/>
    <w:bookmarkEnd w:id="73"/>
    <w:bookmarkEnd w:id="74"/>
    <w:bookmarkEnd w:id="75"/>
    <w:bookmarkEnd w:id="76"/>
    <w:bookmarkEnd w:id="77"/>
    <w:bookmarkEnd w:id="78"/>
    <w:bookmarkEnd w:id="79"/>
    <w:bookmarkEnd w:id="80"/>
    <w:bookmarkEnd w:id="81"/>
    <w:bookmarkEnd w:id="82"/>
    <w:bookmarkEnd w:id="83"/>
    <w:p w14:paraId="1627886F" w14:textId="77777777" w:rsidR="001C7637" w:rsidRPr="00FA26FB" w:rsidRDefault="001C7637" w:rsidP="002C1F15">
      <w:pPr>
        <w:spacing w:after="0" w:line="360" w:lineRule="auto"/>
        <w:jc w:val="both"/>
        <w:outlineLvl w:val="0"/>
        <w:rPr>
          <w:rFonts w:ascii="Book Antiqua" w:eastAsiaTheme="majorEastAsia" w:hAnsi="Book Antiqua" w:cs="Times New Roman"/>
          <w:bCs/>
          <w:sz w:val="24"/>
          <w:szCs w:val="24"/>
          <w:lang w:val="en-GB"/>
        </w:rPr>
      </w:pPr>
    </w:p>
    <w:p w14:paraId="26F9D3A6" w14:textId="27F5BE09" w:rsidR="00660D94" w:rsidRPr="00FA26FB" w:rsidRDefault="001C7637" w:rsidP="002C1F15">
      <w:pPr>
        <w:spacing w:after="0" w:line="360" w:lineRule="auto"/>
        <w:jc w:val="both"/>
        <w:outlineLvl w:val="0"/>
        <w:rPr>
          <w:rFonts w:ascii="Book Antiqua" w:eastAsiaTheme="majorEastAsia" w:hAnsi="Book Antiqua" w:cs="Times New Roman"/>
          <w:bCs/>
          <w:sz w:val="24"/>
          <w:szCs w:val="24"/>
          <w:lang w:val="en-GB"/>
        </w:rPr>
      </w:pPr>
      <w:r w:rsidRPr="00FA26FB">
        <w:rPr>
          <w:rFonts w:ascii="Book Antiqua" w:eastAsiaTheme="majorEastAsia" w:hAnsi="Book Antiqua" w:cs="Times New Roman"/>
          <w:b/>
          <w:sz w:val="24"/>
          <w:szCs w:val="24"/>
          <w:lang w:val="en-GB"/>
        </w:rPr>
        <w:lastRenderedPageBreak/>
        <w:t>Conflict-of-interest statement</w:t>
      </w:r>
      <w:r w:rsidR="00C93955" w:rsidRPr="00FA26FB">
        <w:rPr>
          <w:rFonts w:ascii="Book Antiqua" w:eastAsiaTheme="majorEastAsia" w:hAnsi="Book Antiqua" w:cs="Times New Roman"/>
          <w:bCs/>
          <w:sz w:val="24"/>
          <w:szCs w:val="24"/>
          <w:lang w:val="en-GB"/>
        </w:rPr>
        <w:t>: All authors have no conflict of interest and nothing to disclose</w:t>
      </w:r>
      <w:r w:rsidRPr="00FA26FB">
        <w:rPr>
          <w:rFonts w:ascii="Book Antiqua" w:eastAsiaTheme="majorEastAsia" w:hAnsi="Book Antiqua" w:cs="Times New Roman"/>
          <w:bCs/>
          <w:sz w:val="24"/>
          <w:szCs w:val="24"/>
          <w:lang w:val="en-GB"/>
        </w:rPr>
        <w:t>.</w:t>
      </w:r>
    </w:p>
    <w:p w14:paraId="19882EFF" w14:textId="0A929537" w:rsidR="001C7637" w:rsidRDefault="001C7637" w:rsidP="002C1F15">
      <w:pPr>
        <w:spacing w:after="0" w:line="360" w:lineRule="auto"/>
        <w:jc w:val="both"/>
        <w:outlineLvl w:val="0"/>
        <w:rPr>
          <w:rFonts w:ascii="Book Antiqua" w:eastAsiaTheme="majorEastAsia" w:hAnsi="Book Antiqua" w:cs="Times New Roman"/>
          <w:bCs/>
          <w:sz w:val="24"/>
          <w:szCs w:val="24"/>
          <w:lang w:val="en-GB"/>
        </w:rPr>
      </w:pPr>
    </w:p>
    <w:p w14:paraId="3F04F3C0" w14:textId="77777777" w:rsidR="00FD41FE" w:rsidRDefault="00FD41FE" w:rsidP="002C1F15">
      <w:pPr>
        <w:spacing w:after="0" w:line="360" w:lineRule="auto"/>
        <w:jc w:val="both"/>
        <w:rPr>
          <w:rFonts w:ascii="Book Antiqua" w:hAnsi="Book Antiqua"/>
          <w:color w:val="000000"/>
          <w:sz w:val="24"/>
        </w:rPr>
      </w:pPr>
      <w:bookmarkStart w:id="84" w:name="OLE_LINK507"/>
      <w:bookmarkStart w:id="85" w:name="OLE_LINK506"/>
      <w:bookmarkStart w:id="86" w:name="OLE_LINK496"/>
      <w:bookmarkStart w:id="87"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085E6E">
        <w:rPr>
          <w:rFonts w:ascii="Book Antiqua" w:hAnsi="Book Antiqua"/>
          <w:color w:val="000000"/>
          <w:sz w:val="24"/>
        </w:rPr>
        <w:t>http://creativecommons.org/licenses/by-nc/4.0/</w:t>
      </w:r>
      <w:bookmarkEnd w:id="84"/>
      <w:bookmarkEnd w:id="85"/>
      <w:bookmarkEnd w:id="86"/>
      <w:bookmarkEnd w:id="87"/>
    </w:p>
    <w:p w14:paraId="2C23394A" w14:textId="77777777" w:rsidR="00FD41FE" w:rsidRDefault="00FD41FE" w:rsidP="002C1F15">
      <w:pPr>
        <w:spacing w:after="0" w:line="360" w:lineRule="auto"/>
        <w:rPr>
          <w:rFonts w:ascii="Book Antiqua" w:hAnsi="Book Antiqua"/>
          <w:b/>
          <w:sz w:val="24"/>
        </w:rPr>
      </w:pPr>
      <w:bookmarkStart w:id="88" w:name="_Hlk17899658"/>
    </w:p>
    <w:p w14:paraId="3C07F3DA" w14:textId="18B32871" w:rsidR="00FD41FE" w:rsidRDefault="00FD41FE" w:rsidP="002C1F15">
      <w:pPr>
        <w:spacing w:after="0" w:line="360" w:lineRule="auto"/>
        <w:rPr>
          <w:rFonts w:ascii="Book Antiqua" w:hAnsi="Book Antiqua"/>
          <w:b/>
          <w:sz w:val="24"/>
        </w:rPr>
      </w:pPr>
      <w:r w:rsidRPr="00B757B8">
        <w:rPr>
          <w:rFonts w:ascii="Book Antiqua" w:hAnsi="Book Antiqua"/>
          <w:b/>
          <w:sz w:val="24"/>
        </w:rPr>
        <w:t xml:space="preserve">Manuscript source: </w:t>
      </w:r>
      <w:r w:rsidRPr="00B757B8">
        <w:rPr>
          <w:rFonts w:ascii="Book Antiqua" w:hAnsi="Book Antiqua"/>
          <w:sz w:val="24"/>
        </w:rPr>
        <w:t>Unsolicited manuscript</w:t>
      </w:r>
      <w:bookmarkEnd w:id="88"/>
    </w:p>
    <w:p w14:paraId="34731BF9" w14:textId="77777777" w:rsidR="00FD41FE" w:rsidRPr="00FA26FB" w:rsidRDefault="00FD41FE" w:rsidP="002C1F15">
      <w:pPr>
        <w:spacing w:after="0" w:line="360" w:lineRule="auto"/>
        <w:jc w:val="both"/>
        <w:outlineLvl w:val="0"/>
        <w:rPr>
          <w:rFonts w:ascii="Book Antiqua" w:eastAsiaTheme="majorEastAsia" w:hAnsi="Book Antiqua" w:cs="Times New Roman"/>
          <w:bCs/>
          <w:sz w:val="24"/>
          <w:szCs w:val="24"/>
          <w:lang w:val="en-GB"/>
        </w:rPr>
      </w:pPr>
    </w:p>
    <w:p w14:paraId="40100821" w14:textId="3BDAA57F" w:rsidR="008D27F5" w:rsidRPr="00FA26FB" w:rsidRDefault="00651E6B" w:rsidP="002C1F15">
      <w:pPr>
        <w:spacing w:after="0" w:line="360" w:lineRule="auto"/>
        <w:jc w:val="both"/>
        <w:rPr>
          <w:rFonts w:ascii="Book Antiqua" w:eastAsia="Times New Roman" w:hAnsi="Book Antiqua" w:cstheme="majorBidi"/>
          <w:bCs/>
          <w:color w:val="000000" w:themeColor="text1"/>
          <w:sz w:val="24"/>
          <w:szCs w:val="24"/>
        </w:rPr>
      </w:pPr>
      <w:bookmarkStart w:id="89" w:name="OLE_LINK770"/>
      <w:bookmarkStart w:id="90" w:name="OLE_LINK771"/>
      <w:bookmarkStart w:id="91" w:name="OLE_LINK857"/>
      <w:bookmarkStart w:id="92" w:name="OLE_LINK1343"/>
      <w:bookmarkStart w:id="93" w:name="OLE_LINK1373"/>
      <w:bookmarkStart w:id="94" w:name="OLE_LINK1498"/>
      <w:bookmarkStart w:id="95" w:name="OLE_LINK1982"/>
      <w:bookmarkStart w:id="96" w:name="OLE_LINK2030"/>
      <w:bookmarkStart w:id="97" w:name="OLE_LINK2005"/>
      <w:r w:rsidRPr="00FA26FB">
        <w:rPr>
          <w:rFonts w:ascii="Book Antiqua" w:hAnsi="Book Antiqua" w:cstheme="majorBidi"/>
          <w:b/>
          <w:color w:val="000000" w:themeColor="text1"/>
          <w:sz w:val="24"/>
          <w:szCs w:val="24"/>
        </w:rPr>
        <w:t>Corresponding author:</w:t>
      </w:r>
      <w:r w:rsidR="00972A9C" w:rsidRPr="00FA26FB">
        <w:rPr>
          <w:rFonts w:ascii="Book Antiqua" w:hAnsi="Book Antiqua"/>
          <w:bCs/>
          <w:color w:val="000000" w:themeColor="text1"/>
          <w:sz w:val="24"/>
          <w:szCs w:val="24"/>
        </w:rPr>
        <w:t xml:space="preserve"> </w:t>
      </w:r>
      <w:r w:rsidRPr="00053A1A">
        <w:rPr>
          <w:rFonts w:ascii="Book Antiqua" w:eastAsiaTheme="majorEastAsia" w:hAnsi="Book Antiqua" w:cs="Times New Roman"/>
          <w:b/>
          <w:color w:val="000000" w:themeColor="text1"/>
          <w:sz w:val="24"/>
          <w:szCs w:val="24"/>
        </w:rPr>
        <w:t xml:space="preserve">George </w:t>
      </w:r>
      <w:proofErr w:type="spellStart"/>
      <w:r w:rsidRPr="00053A1A">
        <w:rPr>
          <w:rFonts w:ascii="Book Antiqua" w:eastAsiaTheme="majorEastAsia" w:hAnsi="Book Antiqua" w:cs="Times New Roman"/>
          <w:b/>
          <w:color w:val="000000" w:themeColor="text1"/>
          <w:sz w:val="24"/>
          <w:szCs w:val="24"/>
        </w:rPr>
        <w:t>Khoudari</w:t>
      </w:r>
      <w:proofErr w:type="spellEnd"/>
      <w:r w:rsidR="001C7637" w:rsidRPr="00053A1A">
        <w:rPr>
          <w:rFonts w:ascii="Book Antiqua" w:eastAsiaTheme="majorEastAsia" w:hAnsi="Book Antiqua" w:cs="Times New Roman"/>
          <w:b/>
          <w:color w:val="000000" w:themeColor="text1"/>
          <w:sz w:val="24"/>
          <w:szCs w:val="24"/>
        </w:rPr>
        <w:t xml:space="preserve">, </w:t>
      </w:r>
      <w:r w:rsidR="00053A1A" w:rsidRPr="00053A1A">
        <w:rPr>
          <w:rFonts w:ascii="Book Antiqua" w:eastAsiaTheme="majorEastAsia" w:hAnsi="Book Antiqua" w:cs="Times New Roman"/>
          <w:b/>
          <w:color w:val="000000" w:themeColor="text1"/>
          <w:sz w:val="24"/>
          <w:szCs w:val="24"/>
        </w:rPr>
        <w:t>MD, Associate Professor,</w:t>
      </w:r>
      <w:r w:rsidR="00053A1A">
        <w:rPr>
          <w:rFonts w:ascii="Book Antiqua" w:eastAsiaTheme="majorEastAsia" w:hAnsi="Book Antiqua" w:cs="Times New Roman"/>
          <w:bCs/>
          <w:color w:val="000000" w:themeColor="text1"/>
          <w:sz w:val="24"/>
          <w:szCs w:val="24"/>
        </w:rPr>
        <w:t xml:space="preserve"> </w:t>
      </w:r>
      <w:r w:rsidR="008D27F5" w:rsidRPr="00FA26FB">
        <w:rPr>
          <w:rFonts w:ascii="Book Antiqua" w:eastAsia="Times New Roman" w:hAnsi="Book Antiqua" w:cstheme="majorBidi"/>
          <w:bCs/>
          <w:color w:val="000000" w:themeColor="text1"/>
          <w:sz w:val="24"/>
          <w:szCs w:val="24"/>
        </w:rPr>
        <w:t xml:space="preserve">Department of Hospital Medicine, Cleveland Clinic Foundation, </w:t>
      </w:r>
      <w:r w:rsidR="008D27F5" w:rsidRPr="00FA26FB">
        <w:rPr>
          <w:rFonts w:ascii="Book Antiqua" w:eastAsia="Times New Roman" w:hAnsi="Book Antiqua" w:cs="Times New Roman"/>
          <w:bCs/>
          <w:color w:val="000000" w:themeColor="text1"/>
          <w:sz w:val="24"/>
          <w:szCs w:val="24"/>
        </w:rPr>
        <w:t xml:space="preserve">29401 </w:t>
      </w:r>
      <w:r w:rsidR="008D27F5" w:rsidRPr="00FA26FB">
        <w:rPr>
          <w:rFonts w:ascii="Book Antiqua" w:eastAsia="Times New Roman" w:hAnsi="Book Antiqua" w:cs="Times New Roman"/>
          <w:bCs/>
          <w:caps/>
          <w:color w:val="000000" w:themeColor="text1"/>
          <w:sz w:val="24"/>
          <w:szCs w:val="24"/>
        </w:rPr>
        <w:t>h</w:t>
      </w:r>
      <w:r w:rsidR="008D27F5" w:rsidRPr="00FA26FB">
        <w:rPr>
          <w:rFonts w:ascii="Book Antiqua" w:eastAsia="Times New Roman" w:hAnsi="Book Antiqua" w:cs="Times New Roman"/>
          <w:bCs/>
          <w:color w:val="000000" w:themeColor="text1"/>
          <w:sz w:val="24"/>
          <w:szCs w:val="24"/>
        </w:rPr>
        <w:t xml:space="preserve">ummingbird </w:t>
      </w:r>
      <w:r w:rsidR="008D27F5" w:rsidRPr="00FA26FB">
        <w:rPr>
          <w:rFonts w:ascii="Book Antiqua" w:eastAsia="Times New Roman" w:hAnsi="Book Antiqua" w:cs="Times New Roman"/>
          <w:bCs/>
          <w:caps/>
          <w:color w:val="000000" w:themeColor="text1"/>
          <w:sz w:val="24"/>
          <w:szCs w:val="24"/>
        </w:rPr>
        <w:t>c</w:t>
      </w:r>
      <w:r w:rsidR="008D27F5" w:rsidRPr="00FA26FB">
        <w:rPr>
          <w:rFonts w:ascii="Book Antiqua" w:eastAsia="Times New Roman" w:hAnsi="Book Antiqua" w:cs="Times New Roman"/>
          <w:bCs/>
          <w:color w:val="000000" w:themeColor="text1"/>
          <w:sz w:val="24"/>
          <w:szCs w:val="24"/>
        </w:rPr>
        <w:t xml:space="preserve">ir, Westlake, </w:t>
      </w:r>
      <w:r w:rsidR="008D27F5" w:rsidRPr="00FA26FB">
        <w:rPr>
          <w:rFonts w:ascii="Book Antiqua" w:eastAsia="Times New Roman" w:hAnsi="Book Antiqua" w:cstheme="majorBidi"/>
          <w:bCs/>
          <w:color w:val="000000" w:themeColor="text1"/>
          <w:sz w:val="24"/>
          <w:szCs w:val="24"/>
        </w:rPr>
        <w:t xml:space="preserve">Cleveland, OH 44195, United States. </w:t>
      </w:r>
      <w:r w:rsidR="008D27F5" w:rsidRPr="00FA26FB">
        <w:rPr>
          <w:rFonts w:ascii="Book Antiqua" w:eastAsia="Times New Roman" w:hAnsi="Book Antiqua" w:cs="Times New Roman"/>
          <w:bCs/>
          <w:color w:val="000000" w:themeColor="text1"/>
          <w:sz w:val="24"/>
          <w:szCs w:val="24"/>
        </w:rPr>
        <w:t>gkhoudary@gmail.com</w:t>
      </w:r>
    </w:p>
    <w:p w14:paraId="7FF68098" w14:textId="7ED17B5F" w:rsidR="00660D94" w:rsidRPr="00FA26FB" w:rsidRDefault="008D27F5" w:rsidP="002C1F15">
      <w:pPr>
        <w:spacing w:after="0" w:line="360" w:lineRule="auto"/>
        <w:jc w:val="both"/>
        <w:rPr>
          <w:rFonts w:ascii="Book Antiqua" w:eastAsia="Times New Roman" w:hAnsi="Book Antiqua" w:cs="Times New Roman"/>
          <w:bCs/>
          <w:color w:val="000000" w:themeColor="text1"/>
          <w:sz w:val="24"/>
          <w:szCs w:val="24"/>
        </w:rPr>
      </w:pPr>
      <w:r w:rsidRPr="00FA26FB">
        <w:rPr>
          <w:rFonts w:ascii="Book Antiqua" w:eastAsia="DengXian" w:hAnsi="Book Antiqua" w:cs="Times New Roman" w:hint="eastAsia"/>
          <w:b/>
          <w:sz w:val="24"/>
          <w:szCs w:val="24"/>
          <w:lang w:eastAsia="zh-CN"/>
        </w:rPr>
        <w:t>T</w:t>
      </w:r>
      <w:r w:rsidRPr="00FA26FB">
        <w:rPr>
          <w:rFonts w:ascii="Book Antiqua" w:eastAsia="DengXian" w:hAnsi="Book Antiqua" w:cs="Times New Roman"/>
          <w:b/>
          <w:sz w:val="24"/>
          <w:szCs w:val="24"/>
          <w:lang w:eastAsia="zh-CN"/>
        </w:rPr>
        <w:t>ele</w:t>
      </w:r>
      <w:r w:rsidRPr="00FA26FB">
        <w:rPr>
          <w:rFonts w:ascii="Book Antiqua" w:eastAsia="Times New Roman" w:hAnsi="Book Antiqua" w:cs="Times New Roman"/>
          <w:b/>
          <w:color w:val="000000" w:themeColor="text1"/>
          <w:sz w:val="24"/>
          <w:szCs w:val="24"/>
        </w:rPr>
        <w:t>p</w:t>
      </w:r>
      <w:r w:rsidR="00651E6B" w:rsidRPr="00FA26FB">
        <w:rPr>
          <w:rFonts w:ascii="Book Antiqua" w:eastAsia="Times New Roman" w:hAnsi="Book Antiqua" w:cs="Times New Roman"/>
          <w:b/>
          <w:color w:val="000000" w:themeColor="text1"/>
          <w:sz w:val="24"/>
          <w:szCs w:val="24"/>
        </w:rPr>
        <w:t>hone:</w:t>
      </w:r>
      <w:r w:rsidR="00651E6B" w:rsidRPr="00FA26FB">
        <w:rPr>
          <w:rFonts w:ascii="Book Antiqua" w:eastAsia="Times New Roman" w:hAnsi="Book Antiqua" w:cs="Times New Roman"/>
          <w:bCs/>
          <w:color w:val="000000" w:themeColor="text1"/>
          <w:sz w:val="24"/>
          <w:szCs w:val="24"/>
        </w:rPr>
        <w:t xml:space="preserve"> +1</w:t>
      </w:r>
      <w:r w:rsidRPr="00FA26FB">
        <w:rPr>
          <w:rFonts w:ascii="Book Antiqua" w:eastAsia="Times New Roman" w:hAnsi="Book Antiqua" w:cs="Times New Roman"/>
          <w:bCs/>
          <w:color w:val="000000" w:themeColor="text1"/>
          <w:sz w:val="24"/>
          <w:szCs w:val="24"/>
        </w:rPr>
        <w:t>-</w:t>
      </w:r>
      <w:r w:rsidR="00651E6B" w:rsidRPr="00FA26FB">
        <w:rPr>
          <w:rFonts w:ascii="Book Antiqua" w:eastAsia="Times New Roman" w:hAnsi="Book Antiqua" w:cs="Times New Roman"/>
          <w:bCs/>
          <w:color w:val="000000" w:themeColor="text1"/>
          <w:sz w:val="24"/>
          <w:szCs w:val="24"/>
        </w:rPr>
        <w:t>909-5382118</w:t>
      </w:r>
      <w:bookmarkEnd w:id="89"/>
      <w:bookmarkEnd w:id="90"/>
      <w:bookmarkEnd w:id="91"/>
      <w:bookmarkEnd w:id="92"/>
      <w:bookmarkEnd w:id="93"/>
      <w:bookmarkEnd w:id="94"/>
      <w:bookmarkEnd w:id="95"/>
      <w:bookmarkEnd w:id="96"/>
      <w:bookmarkEnd w:id="97"/>
    </w:p>
    <w:p w14:paraId="4576D982" w14:textId="7B831C93" w:rsidR="008D27F5" w:rsidRPr="00FA26FB" w:rsidRDefault="008D27F5" w:rsidP="002C1F15">
      <w:pPr>
        <w:spacing w:after="0" w:line="360" w:lineRule="auto"/>
        <w:jc w:val="both"/>
        <w:rPr>
          <w:rFonts w:ascii="Book Antiqua" w:hAnsi="Book Antiqua" w:cs="Times New Roman"/>
          <w:bCs/>
          <w:sz w:val="24"/>
          <w:szCs w:val="24"/>
        </w:rPr>
      </w:pPr>
    </w:p>
    <w:p w14:paraId="48C72A3D" w14:textId="6F419E1D" w:rsidR="00C713C4" w:rsidRPr="00FA26FB" w:rsidRDefault="00C713C4" w:rsidP="002C1F15">
      <w:pPr>
        <w:spacing w:after="0" w:line="360" w:lineRule="auto"/>
        <w:rPr>
          <w:rFonts w:ascii="Book Antiqua" w:hAnsi="Book Antiqua"/>
          <w:b/>
          <w:sz w:val="24"/>
        </w:rPr>
      </w:pPr>
      <w:r w:rsidRPr="00FA26FB">
        <w:rPr>
          <w:rFonts w:ascii="Book Antiqua" w:hAnsi="Book Antiqua"/>
          <w:b/>
          <w:sz w:val="24"/>
        </w:rPr>
        <w:t xml:space="preserve">Received: </w:t>
      </w:r>
      <w:r w:rsidR="00C83E66" w:rsidRPr="00FA26FB">
        <w:rPr>
          <w:rFonts w:ascii="Book Antiqua" w:hAnsi="Book Antiqua"/>
          <w:bCs/>
          <w:sz w:val="24"/>
        </w:rPr>
        <w:t>May 13, 2019</w:t>
      </w:r>
      <w:r w:rsidRPr="00FA26FB">
        <w:rPr>
          <w:rFonts w:ascii="Book Antiqua" w:hAnsi="Book Antiqua"/>
          <w:b/>
          <w:sz w:val="24"/>
        </w:rPr>
        <w:t xml:space="preserve"> </w:t>
      </w:r>
    </w:p>
    <w:p w14:paraId="1BAC34C3" w14:textId="7C3307F9" w:rsidR="00C713C4" w:rsidRPr="00FA26FB" w:rsidRDefault="00C713C4" w:rsidP="002C1F15">
      <w:pPr>
        <w:spacing w:after="0" w:line="360" w:lineRule="auto"/>
        <w:rPr>
          <w:rFonts w:ascii="Book Antiqua" w:hAnsi="Book Antiqua"/>
          <w:bCs/>
          <w:sz w:val="24"/>
        </w:rPr>
      </w:pPr>
      <w:r w:rsidRPr="00FA26FB">
        <w:rPr>
          <w:rFonts w:ascii="Book Antiqua" w:hAnsi="Book Antiqua"/>
          <w:b/>
          <w:sz w:val="24"/>
        </w:rPr>
        <w:t>Peer-review started:</w:t>
      </w:r>
      <w:r w:rsidR="00C83E66" w:rsidRPr="00FA26FB">
        <w:rPr>
          <w:rFonts w:ascii="Book Antiqua" w:hAnsi="Book Antiqua"/>
          <w:b/>
          <w:sz w:val="24"/>
        </w:rPr>
        <w:t xml:space="preserve"> </w:t>
      </w:r>
      <w:r w:rsidR="00C83E66" w:rsidRPr="00FA26FB">
        <w:rPr>
          <w:rFonts w:ascii="Book Antiqua" w:hAnsi="Book Antiqua"/>
          <w:bCs/>
          <w:sz w:val="24"/>
        </w:rPr>
        <w:t>May 14, 2019</w:t>
      </w:r>
    </w:p>
    <w:p w14:paraId="3870E512" w14:textId="1910D8D8" w:rsidR="00C713C4" w:rsidRPr="00FA26FB" w:rsidRDefault="00C713C4" w:rsidP="002C1F15">
      <w:pPr>
        <w:spacing w:after="0" w:line="360" w:lineRule="auto"/>
        <w:rPr>
          <w:rFonts w:ascii="Book Antiqua" w:hAnsi="Book Antiqua"/>
          <w:bCs/>
          <w:sz w:val="24"/>
        </w:rPr>
      </w:pPr>
      <w:r w:rsidRPr="00FA26FB">
        <w:rPr>
          <w:rFonts w:ascii="Book Antiqua" w:hAnsi="Book Antiqua"/>
          <w:b/>
          <w:sz w:val="24"/>
        </w:rPr>
        <w:t>First decision:</w:t>
      </w:r>
      <w:r w:rsidR="0031662C" w:rsidRPr="00FA26FB">
        <w:rPr>
          <w:rFonts w:ascii="Book Antiqua" w:hAnsi="Book Antiqua"/>
          <w:b/>
          <w:sz w:val="24"/>
        </w:rPr>
        <w:t xml:space="preserve"> </w:t>
      </w:r>
      <w:r w:rsidR="0031662C" w:rsidRPr="00FA26FB">
        <w:rPr>
          <w:rFonts w:ascii="Book Antiqua" w:hAnsi="Book Antiqua"/>
          <w:bCs/>
          <w:sz w:val="24"/>
        </w:rPr>
        <w:t>June 13, 2019</w:t>
      </w:r>
    </w:p>
    <w:p w14:paraId="5E10C146" w14:textId="2D703C26" w:rsidR="00C713C4" w:rsidRPr="00FA26FB" w:rsidRDefault="00C713C4" w:rsidP="002C1F15">
      <w:pPr>
        <w:spacing w:after="0" w:line="360" w:lineRule="auto"/>
        <w:rPr>
          <w:rFonts w:ascii="Book Antiqua" w:hAnsi="Book Antiqua"/>
          <w:b/>
          <w:sz w:val="24"/>
        </w:rPr>
      </w:pPr>
      <w:r w:rsidRPr="00FA26FB">
        <w:rPr>
          <w:rFonts w:ascii="Book Antiqua" w:hAnsi="Book Antiqua"/>
          <w:b/>
          <w:sz w:val="24"/>
        </w:rPr>
        <w:t xml:space="preserve">Revised: </w:t>
      </w:r>
      <w:r w:rsidR="005A7371" w:rsidRPr="00FA26FB">
        <w:rPr>
          <w:rFonts w:ascii="Book Antiqua" w:hAnsi="Book Antiqua"/>
          <w:bCs/>
          <w:sz w:val="24"/>
        </w:rPr>
        <w:t>August 3, 2019</w:t>
      </w:r>
    </w:p>
    <w:p w14:paraId="43D37D2F" w14:textId="11034407" w:rsidR="00C713C4" w:rsidRPr="00FA26FB" w:rsidRDefault="00C713C4" w:rsidP="002C1F15">
      <w:pPr>
        <w:spacing w:after="0" w:line="360" w:lineRule="auto"/>
        <w:rPr>
          <w:rFonts w:ascii="Book Antiqua" w:hAnsi="Book Antiqua"/>
          <w:b/>
          <w:sz w:val="24"/>
        </w:rPr>
      </w:pPr>
      <w:r w:rsidRPr="00FA26FB">
        <w:rPr>
          <w:rFonts w:ascii="Book Antiqua" w:hAnsi="Book Antiqua"/>
          <w:b/>
          <w:sz w:val="24"/>
        </w:rPr>
        <w:t>Accepted:</w:t>
      </w:r>
      <w:r w:rsidR="00972A9C" w:rsidRPr="00FA26FB">
        <w:rPr>
          <w:rFonts w:ascii="Book Antiqua" w:hAnsi="Book Antiqua"/>
          <w:b/>
          <w:sz w:val="24"/>
        </w:rPr>
        <w:t xml:space="preserve"> </w:t>
      </w:r>
      <w:r w:rsidR="00E77E69" w:rsidRPr="00881D27">
        <w:rPr>
          <w:rFonts w:ascii="Book Antiqua" w:hAnsi="Book Antiqua"/>
          <w:bCs/>
          <w:sz w:val="24"/>
        </w:rPr>
        <w:t>October 15, 2019</w:t>
      </w:r>
    </w:p>
    <w:p w14:paraId="23765D5A" w14:textId="5AB40D10" w:rsidR="00C713C4" w:rsidRPr="00FA26FB" w:rsidRDefault="00C713C4" w:rsidP="002C1F15">
      <w:pPr>
        <w:spacing w:after="0" w:line="360" w:lineRule="auto"/>
        <w:rPr>
          <w:rFonts w:ascii="Book Antiqua" w:hAnsi="Book Antiqua" w:hint="eastAsia"/>
          <w:b/>
          <w:sz w:val="24"/>
          <w:lang w:eastAsia="zh-CN"/>
        </w:rPr>
      </w:pPr>
      <w:r w:rsidRPr="00FA26FB">
        <w:rPr>
          <w:rFonts w:ascii="Book Antiqua" w:hAnsi="Book Antiqua"/>
          <w:b/>
          <w:sz w:val="24"/>
        </w:rPr>
        <w:t>Article in press:</w:t>
      </w:r>
      <w:r w:rsidR="00251801">
        <w:rPr>
          <w:rFonts w:ascii="Book Antiqua" w:hAnsi="Book Antiqua" w:hint="eastAsia"/>
          <w:b/>
          <w:sz w:val="24"/>
          <w:lang w:eastAsia="zh-CN"/>
        </w:rPr>
        <w:t xml:space="preserve"> </w:t>
      </w:r>
      <w:r w:rsidR="00251801" w:rsidRPr="00881D27">
        <w:rPr>
          <w:rFonts w:ascii="Book Antiqua" w:hAnsi="Book Antiqua"/>
          <w:bCs/>
          <w:sz w:val="24"/>
        </w:rPr>
        <w:t>October 15, 2019</w:t>
      </w:r>
    </w:p>
    <w:p w14:paraId="51F4DAEF" w14:textId="5D296200" w:rsidR="00CC647C" w:rsidRPr="00FA26FB" w:rsidRDefault="00C713C4" w:rsidP="002C1F15">
      <w:pPr>
        <w:spacing w:after="0" w:line="360" w:lineRule="auto"/>
        <w:rPr>
          <w:rFonts w:ascii="Book Antiqua" w:hAnsi="Book Antiqua" w:hint="eastAsia"/>
          <w:sz w:val="24"/>
          <w:lang w:eastAsia="zh-CN"/>
        </w:rPr>
      </w:pPr>
      <w:r w:rsidRPr="00FA26FB">
        <w:rPr>
          <w:rFonts w:ascii="Book Antiqua" w:hAnsi="Book Antiqua"/>
          <w:b/>
          <w:sz w:val="24"/>
        </w:rPr>
        <w:t>Published online:</w:t>
      </w:r>
      <w:r w:rsidR="00251801">
        <w:rPr>
          <w:rFonts w:ascii="Book Antiqua" w:hAnsi="Book Antiqua" w:hint="eastAsia"/>
          <w:b/>
          <w:sz w:val="24"/>
          <w:lang w:eastAsia="zh-CN"/>
        </w:rPr>
        <w:t xml:space="preserve"> </w:t>
      </w:r>
      <w:r w:rsidR="00251801" w:rsidRPr="00881D27">
        <w:rPr>
          <w:rFonts w:ascii="Book Antiqua" w:hAnsi="Book Antiqua"/>
          <w:bCs/>
          <w:sz w:val="24"/>
        </w:rPr>
        <w:t xml:space="preserve">October </w:t>
      </w:r>
      <w:r w:rsidR="00251801">
        <w:rPr>
          <w:rFonts w:ascii="Book Antiqua" w:hAnsi="Book Antiqua" w:hint="eastAsia"/>
          <w:bCs/>
          <w:sz w:val="24"/>
          <w:lang w:eastAsia="zh-CN"/>
        </w:rPr>
        <w:t>27</w:t>
      </w:r>
      <w:r w:rsidR="00251801" w:rsidRPr="00881D27">
        <w:rPr>
          <w:rFonts w:ascii="Book Antiqua" w:hAnsi="Book Antiqua"/>
          <w:bCs/>
          <w:sz w:val="24"/>
        </w:rPr>
        <w:t>, 2019</w:t>
      </w:r>
    </w:p>
    <w:p w14:paraId="6F6F143A" w14:textId="77777777" w:rsidR="00CC647C" w:rsidRPr="00FA26FB" w:rsidRDefault="00CC647C" w:rsidP="002C1F15">
      <w:pPr>
        <w:spacing w:after="0" w:line="360" w:lineRule="auto"/>
        <w:jc w:val="both"/>
        <w:rPr>
          <w:rFonts w:ascii="Book Antiqua" w:hAnsi="Book Antiqua" w:cs="Times New Roman"/>
          <w:bCs/>
          <w:sz w:val="24"/>
          <w:szCs w:val="24"/>
        </w:rPr>
      </w:pPr>
      <w:r w:rsidRPr="00FA26FB">
        <w:rPr>
          <w:rFonts w:ascii="Book Antiqua" w:hAnsi="Book Antiqua" w:cs="Times New Roman"/>
          <w:bCs/>
          <w:sz w:val="24"/>
          <w:szCs w:val="24"/>
        </w:rPr>
        <w:br w:type="page"/>
      </w:r>
    </w:p>
    <w:p w14:paraId="7B980A6B" w14:textId="02D76335" w:rsidR="00D2422B" w:rsidRPr="00FA26FB" w:rsidRDefault="00D20461" w:rsidP="002C1F15">
      <w:pPr>
        <w:spacing w:after="0" w:line="360" w:lineRule="auto"/>
        <w:jc w:val="both"/>
        <w:outlineLvl w:val="0"/>
        <w:rPr>
          <w:rFonts w:ascii="Book Antiqua" w:hAnsi="Book Antiqua" w:cs="Times New Roman"/>
          <w:b/>
          <w:sz w:val="24"/>
          <w:szCs w:val="24"/>
        </w:rPr>
      </w:pPr>
      <w:bookmarkStart w:id="98" w:name="OLE_LINK1"/>
      <w:r w:rsidRPr="00FA26FB">
        <w:rPr>
          <w:rFonts w:ascii="Book Antiqua" w:hAnsi="Book Antiqua" w:cs="Times New Roman"/>
          <w:b/>
          <w:sz w:val="24"/>
          <w:szCs w:val="24"/>
        </w:rPr>
        <w:lastRenderedPageBreak/>
        <w:t>Abstract</w:t>
      </w:r>
    </w:p>
    <w:p w14:paraId="37112946" w14:textId="67A75B55" w:rsidR="00D20461" w:rsidRPr="00FA26FB" w:rsidRDefault="00D20461" w:rsidP="002C1F15">
      <w:pPr>
        <w:spacing w:after="0" w:line="360" w:lineRule="auto"/>
        <w:jc w:val="both"/>
        <w:rPr>
          <w:rFonts w:ascii="Book Antiqua" w:hAnsi="Book Antiqua" w:cs="Times New Roman"/>
          <w:b/>
          <w:i/>
          <w:iCs/>
          <w:sz w:val="24"/>
          <w:szCs w:val="24"/>
        </w:rPr>
      </w:pPr>
      <w:r w:rsidRPr="00FA26FB">
        <w:rPr>
          <w:rFonts w:ascii="Book Antiqua" w:hAnsi="Book Antiqua" w:cs="Times New Roman"/>
          <w:b/>
          <w:i/>
          <w:iCs/>
          <w:sz w:val="24"/>
          <w:szCs w:val="24"/>
        </w:rPr>
        <w:t>BACKGROUND</w:t>
      </w:r>
    </w:p>
    <w:p w14:paraId="17BEAEF9" w14:textId="1A67B7A1" w:rsidR="00D20461" w:rsidRPr="00FA26FB" w:rsidRDefault="00D20461" w:rsidP="002C1F15">
      <w:pPr>
        <w:spacing w:after="0" w:line="360" w:lineRule="auto"/>
        <w:jc w:val="both"/>
        <w:rPr>
          <w:rFonts w:ascii="Book Antiqua" w:hAnsi="Book Antiqua"/>
          <w:bCs/>
          <w:sz w:val="24"/>
          <w:szCs w:val="24"/>
        </w:rPr>
      </w:pPr>
      <w:r w:rsidRPr="00FA26FB">
        <w:rPr>
          <w:rFonts w:ascii="Book Antiqua" w:hAnsi="Book Antiqua"/>
          <w:bCs/>
          <w:sz w:val="24"/>
          <w:szCs w:val="24"/>
        </w:rPr>
        <w:t>Nonalcoholic fatty liver disease (NAFLD) is the hepatic manifestation of the metabolic syndrome (</w:t>
      </w:r>
      <w:proofErr w:type="spellStart"/>
      <w:r w:rsidRPr="00FA26FB">
        <w:rPr>
          <w:rFonts w:ascii="Book Antiqua" w:hAnsi="Book Antiqua"/>
          <w:bCs/>
          <w:sz w:val="24"/>
          <w:szCs w:val="24"/>
        </w:rPr>
        <w:t>MetS</w:t>
      </w:r>
      <w:proofErr w:type="spellEnd"/>
      <w:r w:rsidRPr="00FA26FB">
        <w:rPr>
          <w:rFonts w:ascii="Book Antiqua" w:hAnsi="Book Antiqua"/>
          <w:bCs/>
          <w:sz w:val="24"/>
          <w:szCs w:val="24"/>
        </w:rPr>
        <w:t xml:space="preserve">) and is characterized by steatosis in the absence of significant alcohol consumption. However, </w:t>
      </w:r>
      <w:proofErr w:type="spellStart"/>
      <w:r w:rsidRPr="00FA26FB">
        <w:rPr>
          <w:rFonts w:ascii="Book Antiqua" w:hAnsi="Book Antiqua"/>
          <w:bCs/>
          <w:sz w:val="24"/>
          <w:szCs w:val="24"/>
        </w:rPr>
        <w:t>MetS</w:t>
      </w:r>
      <w:proofErr w:type="spellEnd"/>
      <w:r w:rsidRPr="00FA26FB">
        <w:rPr>
          <w:rFonts w:ascii="Book Antiqua" w:hAnsi="Book Antiqua"/>
          <w:bCs/>
          <w:sz w:val="24"/>
          <w:szCs w:val="24"/>
        </w:rPr>
        <w:t xml:space="preserve"> and significant alcohol intake coexist in certain individuals which may lead to the development of BAFLD.</w:t>
      </w:r>
    </w:p>
    <w:p w14:paraId="17FC569C" w14:textId="5F8BF6FC" w:rsidR="00D20461" w:rsidRPr="00FA26FB" w:rsidRDefault="00D20461" w:rsidP="002C1F15">
      <w:pPr>
        <w:spacing w:after="0" w:line="360" w:lineRule="auto"/>
        <w:jc w:val="both"/>
        <w:rPr>
          <w:rFonts w:ascii="Book Antiqua" w:hAnsi="Book Antiqua"/>
          <w:b/>
          <w:sz w:val="24"/>
          <w:szCs w:val="24"/>
        </w:rPr>
      </w:pPr>
    </w:p>
    <w:p w14:paraId="178F1C22" w14:textId="168088ED" w:rsidR="00D20461" w:rsidRPr="00FA26FB" w:rsidRDefault="00D20461" w:rsidP="002C1F15">
      <w:pPr>
        <w:spacing w:after="0" w:line="360" w:lineRule="auto"/>
        <w:jc w:val="both"/>
        <w:rPr>
          <w:rFonts w:ascii="Book Antiqua" w:hAnsi="Book Antiqua"/>
          <w:b/>
          <w:i/>
          <w:iCs/>
          <w:caps/>
          <w:sz w:val="24"/>
          <w:szCs w:val="24"/>
        </w:rPr>
      </w:pPr>
      <w:r w:rsidRPr="00FA26FB">
        <w:rPr>
          <w:rFonts w:ascii="Book Antiqua" w:hAnsi="Book Antiqua"/>
          <w:b/>
          <w:i/>
          <w:iCs/>
          <w:caps/>
          <w:sz w:val="24"/>
          <w:szCs w:val="24"/>
        </w:rPr>
        <w:t>A</w:t>
      </w:r>
      <w:r w:rsidRPr="00FA26FB">
        <w:rPr>
          <w:rFonts w:ascii="Book Antiqua" w:hAnsi="Book Antiqua"/>
          <w:b/>
          <w:i/>
          <w:iCs/>
          <w:caps/>
          <w:sz w:val="24"/>
          <w:szCs w:val="24"/>
          <w:lang w:eastAsia="zh-CN"/>
        </w:rPr>
        <w:t>im</w:t>
      </w:r>
    </w:p>
    <w:p w14:paraId="225D8D26" w14:textId="3BDBE027" w:rsidR="00D2422B" w:rsidRPr="00FA26FB" w:rsidRDefault="00D20461" w:rsidP="002C1F15">
      <w:pPr>
        <w:spacing w:after="0" w:line="360" w:lineRule="auto"/>
        <w:jc w:val="both"/>
        <w:rPr>
          <w:rFonts w:ascii="Book Antiqua" w:hAnsi="Book Antiqua"/>
          <w:bCs/>
          <w:color w:val="000000" w:themeColor="text1"/>
          <w:sz w:val="24"/>
          <w:szCs w:val="24"/>
        </w:rPr>
      </w:pPr>
      <w:r w:rsidRPr="00FA26FB">
        <w:rPr>
          <w:rFonts w:ascii="Book Antiqua" w:hAnsi="Book Antiqua"/>
          <w:bCs/>
          <w:color w:val="000000" w:themeColor="text1"/>
          <w:sz w:val="24"/>
          <w:szCs w:val="24"/>
        </w:rPr>
        <w:t>T</w:t>
      </w:r>
      <w:r w:rsidRPr="00FA26FB">
        <w:rPr>
          <w:rFonts w:ascii="Book Antiqua" w:hAnsi="Book Antiqua"/>
          <w:bCs/>
          <w:color w:val="000000" w:themeColor="text1"/>
          <w:sz w:val="24"/>
          <w:szCs w:val="24"/>
          <w:lang w:eastAsia="zh-CN"/>
        </w:rPr>
        <w:t xml:space="preserve">o </w:t>
      </w:r>
      <w:r w:rsidRPr="00FA26FB">
        <w:rPr>
          <w:rFonts w:ascii="Book Antiqua" w:hAnsi="Book Antiqua"/>
          <w:bCs/>
          <w:color w:val="000000" w:themeColor="text1"/>
          <w:sz w:val="24"/>
          <w:szCs w:val="24"/>
        </w:rPr>
        <w:t xml:space="preserve">assess the </w:t>
      </w:r>
      <w:r w:rsidR="00223F89" w:rsidRPr="00FA26FB">
        <w:rPr>
          <w:rFonts w:ascii="Book Antiqua" w:hAnsi="Book Antiqua"/>
          <w:bCs/>
          <w:color w:val="000000" w:themeColor="text1"/>
          <w:sz w:val="24"/>
          <w:szCs w:val="24"/>
        </w:rPr>
        <w:t xml:space="preserve">clinical characteristics of patients with both alcoholic and </w:t>
      </w:r>
      <w:r w:rsidR="0058692F" w:rsidRPr="00FA26FB">
        <w:rPr>
          <w:rFonts w:ascii="Book Antiqua" w:hAnsi="Book Antiqua"/>
          <w:bCs/>
          <w:sz w:val="24"/>
          <w:szCs w:val="24"/>
        </w:rPr>
        <w:t>NAFLD</w:t>
      </w:r>
      <w:r w:rsidR="00223F89" w:rsidRPr="00FA26FB">
        <w:rPr>
          <w:rFonts w:ascii="Book Antiqua" w:hAnsi="Book Antiqua"/>
          <w:bCs/>
          <w:color w:val="000000" w:themeColor="text1"/>
          <w:sz w:val="24"/>
          <w:szCs w:val="24"/>
        </w:rPr>
        <w:t xml:space="preserve"> </w:t>
      </w:r>
      <w:r w:rsidR="009A5541" w:rsidRPr="00FA26FB">
        <w:rPr>
          <w:rFonts w:ascii="Book Antiqua" w:hAnsi="Book Antiqua"/>
          <w:bCs/>
          <w:color w:val="000000" w:themeColor="text1"/>
          <w:sz w:val="24"/>
          <w:szCs w:val="24"/>
        </w:rPr>
        <w:t>(</w:t>
      </w:r>
      <w:r w:rsidR="00223F89" w:rsidRPr="00FA26FB">
        <w:rPr>
          <w:rFonts w:ascii="Book Antiqua" w:hAnsi="Book Antiqua"/>
          <w:bCs/>
          <w:color w:val="000000" w:themeColor="text1"/>
          <w:sz w:val="24"/>
          <w:szCs w:val="24"/>
        </w:rPr>
        <w:t>BAFLD</w:t>
      </w:r>
      <w:r w:rsidR="009A5541" w:rsidRPr="00FA26FB">
        <w:rPr>
          <w:rFonts w:ascii="Book Antiqua" w:hAnsi="Book Antiqua"/>
          <w:bCs/>
          <w:color w:val="000000" w:themeColor="text1"/>
          <w:sz w:val="24"/>
          <w:szCs w:val="24"/>
        </w:rPr>
        <w:t>)</w:t>
      </w:r>
      <w:r w:rsidR="00223F89" w:rsidRPr="00FA26FB">
        <w:rPr>
          <w:rFonts w:ascii="Book Antiqua" w:hAnsi="Book Antiqua"/>
          <w:bCs/>
          <w:color w:val="000000" w:themeColor="text1"/>
          <w:sz w:val="24"/>
          <w:szCs w:val="24"/>
        </w:rPr>
        <w:t xml:space="preserve"> in a large cohort in the United States.</w:t>
      </w:r>
    </w:p>
    <w:p w14:paraId="09A6D4B8" w14:textId="77777777" w:rsidR="00D20461" w:rsidRPr="00FA26FB" w:rsidRDefault="00D20461" w:rsidP="002C1F15">
      <w:pPr>
        <w:spacing w:after="0" w:line="360" w:lineRule="auto"/>
        <w:rPr>
          <w:rFonts w:ascii="Book Antiqua" w:hAnsi="Book Antiqua" w:cs="宋体"/>
          <w:sz w:val="24"/>
          <w:szCs w:val="24"/>
          <w:lang w:eastAsia="zh-CN"/>
        </w:rPr>
      </w:pPr>
    </w:p>
    <w:p w14:paraId="1CA45D49" w14:textId="603B4154" w:rsidR="00D20461" w:rsidRPr="00FA26FB" w:rsidRDefault="00D20461" w:rsidP="002C1F15">
      <w:pPr>
        <w:spacing w:after="0" w:line="360" w:lineRule="auto"/>
        <w:rPr>
          <w:rFonts w:ascii="Book Antiqua" w:hAnsi="Book Antiqua" w:cs="宋体"/>
          <w:b/>
          <w:bCs/>
          <w:i/>
          <w:iCs/>
          <w:sz w:val="24"/>
          <w:szCs w:val="24"/>
          <w:lang w:eastAsia="zh-CN"/>
        </w:rPr>
      </w:pPr>
      <w:r w:rsidRPr="00FA26FB">
        <w:rPr>
          <w:rFonts w:ascii="Book Antiqua" w:hAnsi="Book Antiqua" w:cs="宋体"/>
          <w:b/>
          <w:bCs/>
          <w:i/>
          <w:iCs/>
          <w:sz w:val="24"/>
          <w:szCs w:val="24"/>
          <w:lang w:eastAsia="zh-CN"/>
        </w:rPr>
        <w:t>METHODS</w:t>
      </w:r>
    </w:p>
    <w:p w14:paraId="224890B3" w14:textId="64A09E25" w:rsidR="009A5541" w:rsidRPr="00FA26FB" w:rsidRDefault="009A5541" w:rsidP="002C1F15">
      <w:pPr>
        <w:spacing w:after="0" w:line="360" w:lineRule="auto"/>
        <w:jc w:val="both"/>
        <w:rPr>
          <w:rFonts w:ascii="Book Antiqua" w:hAnsi="Book Antiqua"/>
          <w:bCs/>
          <w:sz w:val="24"/>
          <w:szCs w:val="24"/>
        </w:rPr>
      </w:pPr>
      <w:r w:rsidRPr="00FA26FB">
        <w:rPr>
          <w:rFonts w:ascii="Book Antiqua" w:hAnsi="Book Antiqua"/>
          <w:bCs/>
          <w:sz w:val="24"/>
          <w:szCs w:val="24"/>
        </w:rPr>
        <w:t xml:space="preserve">Adults from the National Health and Nutrition Examination Survey between 2003-2014 were included. NAFLD was diagnosed based on elevated alanine aminotransferase (ALT) and being overweight or obese in the absence of other liver diseases. BAFLD patients met the criteria for NAFLD but also had either </w:t>
      </w:r>
      <w:proofErr w:type="spellStart"/>
      <w:r w:rsidRPr="00FA26FB">
        <w:rPr>
          <w:rFonts w:ascii="Book Antiqua" w:hAnsi="Book Antiqua"/>
          <w:bCs/>
          <w:sz w:val="24"/>
          <w:szCs w:val="24"/>
        </w:rPr>
        <w:t>MetS</w:t>
      </w:r>
      <w:proofErr w:type="spellEnd"/>
      <w:r w:rsidRPr="00FA26FB">
        <w:rPr>
          <w:rFonts w:ascii="Book Antiqua" w:hAnsi="Book Antiqua"/>
          <w:bCs/>
          <w:sz w:val="24"/>
          <w:szCs w:val="24"/>
        </w:rPr>
        <w:t xml:space="preserve"> or type 2 diabetes and consume</w:t>
      </w:r>
      <w:r w:rsidR="00901158" w:rsidRPr="00FA26FB">
        <w:rPr>
          <w:rFonts w:ascii="Book Antiqua" w:hAnsi="Book Antiqua"/>
          <w:bCs/>
          <w:sz w:val="24"/>
          <w:szCs w:val="24"/>
        </w:rPr>
        <w:t>d excessive amounts of alcohol.</w:t>
      </w:r>
      <w:r w:rsidRPr="00FA26FB">
        <w:rPr>
          <w:rFonts w:ascii="Book Antiqua" w:hAnsi="Book Antiqua"/>
          <w:bCs/>
          <w:sz w:val="24"/>
          <w:szCs w:val="24"/>
        </w:rPr>
        <w:t xml:space="preserve"> Univariable</w:t>
      </w:r>
      <w:r w:rsidR="000B00E1" w:rsidRPr="00FA26FB">
        <w:rPr>
          <w:rFonts w:ascii="Book Antiqua" w:hAnsi="Book Antiqua"/>
          <w:bCs/>
          <w:sz w:val="24"/>
          <w:szCs w:val="24"/>
        </w:rPr>
        <w:t xml:space="preserve"> and multivariable analysis were</w:t>
      </w:r>
      <w:r w:rsidRPr="00FA26FB">
        <w:rPr>
          <w:rFonts w:ascii="Book Antiqua" w:hAnsi="Book Antiqua"/>
          <w:bCs/>
          <w:sz w:val="24"/>
          <w:szCs w:val="24"/>
        </w:rPr>
        <w:t xml:space="preserve"> performed to assess differences betw</w:t>
      </w:r>
      <w:r w:rsidR="000B00E1" w:rsidRPr="00FA26FB">
        <w:rPr>
          <w:rFonts w:ascii="Book Antiqua" w:hAnsi="Book Antiqua"/>
          <w:bCs/>
          <w:sz w:val="24"/>
          <w:szCs w:val="24"/>
        </w:rPr>
        <w:t>een NAFLD and BAFLD and to compare</w:t>
      </w:r>
      <w:r w:rsidRPr="00FA26FB">
        <w:rPr>
          <w:rFonts w:ascii="Book Antiqua" w:hAnsi="Book Antiqua"/>
          <w:bCs/>
          <w:sz w:val="24"/>
          <w:szCs w:val="24"/>
        </w:rPr>
        <w:t xml:space="preserve"> severity based on a validated fibrosis score (FIB4 index).</w:t>
      </w:r>
    </w:p>
    <w:p w14:paraId="00DFD7B9" w14:textId="77777777" w:rsidR="00D20461" w:rsidRPr="00FA26FB" w:rsidRDefault="00D20461" w:rsidP="002C1F15">
      <w:pPr>
        <w:spacing w:after="0" w:line="360" w:lineRule="auto"/>
        <w:jc w:val="both"/>
        <w:rPr>
          <w:rFonts w:ascii="Book Antiqua" w:hAnsi="Book Antiqua" w:cs="Times New Roman"/>
          <w:bCs/>
          <w:sz w:val="24"/>
          <w:szCs w:val="24"/>
        </w:rPr>
      </w:pPr>
    </w:p>
    <w:p w14:paraId="137E055E" w14:textId="77777777" w:rsidR="00D20461" w:rsidRPr="00FA26FB" w:rsidRDefault="00D2422B" w:rsidP="002C1F15">
      <w:pPr>
        <w:spacing w:after="0" w:line="360" w:lineRule="auto"/>
        <w:jc w:val="both"/>
        <w:rPr>
          <w:rFonts w:ascii="Book Antiqua" w:hAnsi="Book Antiqua" w:cs="Times New Roman"/>
          <w:b/>
          <w:i/>
          <w:iCs/>
          <w:caps/>
          <w:sz w:val="24"/>
          <w:szCs w:val="24"/>
        </w:rPr>
      </w:pPr>
      <w:r w:rsidRPr="00FA26FB">
        <w:rPr>
          <w:rFonts w:ascii="Book Antiqua" w:hAnsi="Book Antiqua" w:cs="Times New Roman"/>
          <w:b/>
          <w:i/>
          <w:iCs/>
          <w:caps/>
          <w:sz w:val="24"/>
          <w:szCs w:val="24"/>
        </w:rPr>
        <w:t>Results</w:t>
      </w:r>
    </w:p>
    <w:p w14:paraId="06BA682B" w14:textId="67546B45" w:rsidR="000B00E1" w:rsidRPr="00FA26FB" w:rsidRDefault="009A5541" w:rsidP="002C1F15">
      <w:pPr>
        <w:spacing w:after="0" w:line="360" w:lineRule="auto"/>
        <w:jc w:val="both"/>
        <w:rPr>
          <w:rFonts w:ascii="Book Antiqua" w:hAnsi="Book Antiqua"/>
          <w:bCs/>
          <w:sz w:val="24"/>
          <w:szCs w:val="24"/>
        </w:rPr>
      </w:pPr>
      <w:r w:rsidRPr="00FA26FB">
        <w:rPr>
          <w:rFonts w:ascii="Book Antiqua" w:hAnsi="Book Antiqua"/>
          <w:bCs/>
          <w:sz w:val="24"/>
          <w:szCs w:val="24"/>
        </w:rPr>
        <w:t>The prevalence of NAFLD was at 25.9% (95%CI; 25.1</w:t>
      </w:r>
      <w:r w:rsidR="00C462A8" w:rsidRPr="00FA26FB">
        <w:rPr>
          <w:rFonts w:ascii="Book Antiqua" w:hAnsi="Book Antiqua"/>
          <w:bCs/>
          <w:sz w:val="24"/>
          <w:szCs w:val="24"/>
        </w:rPr>
        <w:t>-</w:t>
      </w:r>
      <w:r w:rsidRPr="00FA26FB">
        <w:rPr>
          <w:rFonts w:ascii="Book Antiqua" w:hAnsi="Book Antiqua"/>
          <w:bCs/>
          <w:sz w:val="24"/>
          <w:szCs w:val="24"/>
        </w:rPr>
        <w:t>26.8) and that of BAFLD was 0.84% (0.67, 1.02) which corresponds to an estimated 1.24 million Americans affected by BAFLD.</w:t>
      </w:r>
      <w:r w:rsidR="00972A9C" w:rsidRPr="00FA26FB">
        <w:rPr>
          <w:rFonts w:ascii="Book Antiqua" w:hAnsi="Book Antiqua"/>
          <w:bCs/>
          <w:sz w:val="24"/>
          <w:szCs w:val="24"/>
        </w:rPr>
        <w:t xml:space="preserve"> </w:t>
      </w:r>
      <w:r w:rsidRPr="00FA26FB">
        <w:rPr>
          <w:rFonts w:ascii="Book Antiqua" w:hAnsi="Book Antiqua"/>
          <w:bCs/>
          <w:sz w:val="24"/>
          <w:szCs w:val="24"/>
        </w:rPr>
        <w:t xml:space="preserve">Compared to NAFLD, patients with BAFLD were more likely to be male, smokers, have higher ALT, </w:t>
      </w:r>
      <w:r w:rsidR="000B00E1" w:rsidRPr="00FA26FB">
        <w:rPr>
          <w:rFonts w:ascii="Book Antiqua" w:hAnsi="Book Antiqua" w:cs="Times New Roman"/>
          <w:bCs/>
          <w:sz w:val="24"/>
          <w:szCs w:val="24"/>
        </w:rPr>
        <w:t>aspartate aminotransferase</w:t>
      </w:r>
      <w:r w:rsidRPr="00FA26FB">
        <w:rPr>
          <w:rFonts w:ascii="Book Antiqua" w:hAnsi="Book Antiqua" w:cs="Times New Roman"/>
          <w:bCs/>
          <w:sz w:val="24"/>
          <w:szCs w:val="24"/>
        </w:rPr>
        <w:t>, triglycerides</w:t>
      </w:r>
      <w:r w:rsidRPr="00FA26FB">
        <w:rPr>
          <w:rFonts w:ascii="Book Antiqua" w:hAnsi="Book Antiqua"/>
          <w:bCs/>
          <w:sz w:val="24"/>
          <w:szCs w:val="24"/>
        </w:rPr>
        <w:t>, and low</w:t>
      </w:r>
      <w:r w:rsidR="00901158" w:rsidRPr="00FA26FB">
        <w:rPr>
          <w:rFonts w:ascii="Book Antiqua" w:hAnsi="Book Antiqua"/>
          <w:bCs/>
          <w:sz w:val="24"/>
          <w:szCs w:val="24"/>
        </w:rPr>
        <w:t xml:space="preserve">er platelets; </w:t>
      </w:r>
      <w:r w:rsidR="00901158" w:rsidRPr="00FA26FB">
        <w:rPr>
          <w:rFonts w:ascii="Book Antiqua" w:hAnsi="Book Antiqua"/>
          <w:bCs/>
          <w:i/>
          <w:iCs/>
          <w:caps/>
          <w:sz w:val="24"/>
          <w:szCs w:val="24"/>
        </w:rPr>
        <w:t>p</w:t>
      </w:r>
      <w:r w:rsidR="00D20461" w:rsidRPr="00FA26FB">
        <w:rPr>
          <w:rFonts w:ascii="Book Antiqua" w:hAnsi="Book Antiqua"/>
          <w:bCs/>
          <w:i/>
          <w:iCs/>
          <w:sz w:val="24"/>
          <w:szCs w:val="24"/>
        </w:rPr>
        <w:t xml:space="preserve"> </w:t>
      </w:r>
      <w:r w:rsidR="00901158" w:rsidRPr="00FA26FB">
        <w:rPr>
          <w:rFonts w:ascii="Book Antiqua" w:hAnsi="Book Antiqua"/>
          <w:bCs/>
          <w:sz w:val="24"/>
          <w:szCs w:val="24"/>
        </w:rPr>
        <w:t>&lt; 0.01 for all.</w:t>
      </w:r>
      <w:r w:rsidRPr="00FA26FB">
        <w:rPr>
          <w:rFonts w:ascii="Book Antiqua" w:hAnsi="Book Antiqua"/>
          <w:bCs/>
          <w:sz w:val="24"/>
          <w:szCs w:val="24"/>
        </w:rPr>
        <w:t xml:space="preserve"> More importantly, after adjusting for </w:t>
      </w:r>
      <w:proofErr w:type="spellStart"/>
      <w:r w:rsidRPr="00FA26FB">
        <w:rPr>
          <w:rFonts w:ascii="Book Antiqua" w:hAnsi="Book Antiqua"/>
          <w:bCs/>
          <w:sz w:val="24"/>
          <w:szCs w:val="24"/>
        </w:rPr>
        <w:t>MetS</w:t>
      </w:r>
      <w:proofErr w:type="spellEnd"/>
      <w:r w:rsidRPr="00FA26FB">
        <w:rPr>
          <w:rFonts w:ascii="Book Antiqua" w:hAnsi="Book Antiqua"/>
          <w:bCs/>
          <w:sz w:val="24"/>
          <w:szCs w:val="24"/>
        </w:rPr>
        <w:t xml:space="preserve"> components, BAFLD patients were significantly more likely to have advanced fibrosis [adjusted OR (95</w:t>
      </w:r>
      <w:r w:rsidR="00E5680A">
        <w:rPr>
          <w:rFonts w:ascii="Book Antiqua" w:hAnsi="Book Antiqua"/>
          <w:bCs/>
          <w:sz w:val="24"/>
          <w:szCs w:val="24"/>
        </w:rPr>
        <w:t>%</w:t>
      </w:r>
      <w:r w:rsidRPr="00FA26FB">
        <w:rPr>
          <w:rFonts w:ascii="Book Antiqua" w:hAnsi="Book Antiqua"/>
          <w:bCs/>
          <w:sz w:val="24"/>
          <w:szCs w:val="24"/>
        </w:rPr>
        <w:t xml:space="preserve">CI) based on FIB4 index &gt; 2.67 was 3.2 (1.4, 7.0), </w:t>
      </w:r>
      <w:r w:rsidRPr="00FA26FB">
        <w:rPr>
          <w:rFonts w:ascii="Book Antiqua" w:hAnsi="Book Antiqua"/>
          <w:bCs/>
          <w:i/>
          <w:iCs/>
          <w:caps/>
          <w:sz w:val="24"/>
          <w:szCs w:val="24"/>
        </w:rPr>
        <w:t>p</w:t>
      </w:r>
      <w:r w:rsidR="00D20461" w:rsidRPr="00FA26FB">
        <w:rPr>
          <w:rFonts w:ascii="Book Antiqua" w:hAnsi="Book Antiqua"/>
          <w:bCs/>
          <w:i/>
          <w:iCs/>
          <w:sz w:val="24"/>
          <w:szCs w:val="24"/>
        </w:rPr>
        <w:t xml:space="preserve"> </w:t>
      </w:r>
      <w:r w:rsidRPr="00FA26FB">
        <w:rPr>
          <w:rFonts w:ascii="Book Antiqua" w:hAnsi="Book Antiqua"/>
          <w:bCs/>
          <w:sz w:val="24"/>
          <w:szCs w:val="24"/>
        </w:rPr>
        <w:t>= 0.004].</w:t>
      </w:r>
    </w:p>
    <w:p w14:paraId="0A4A776A" w14:textId="77777777" w:rsidR="00D20461" w:rsidRPr="00FA26FB" w:rsidRDefault="00D20461" w:rsidP="002C1F15">
      <w:pPr>
        <w:spacing w:after="0" w:line="360" w:lineRule="auto"/>
        <w:jc w:val="both"/>
        <w:rPr>
          <w:rFonts w:ascii="Book Antiqua" w:hAnsi="Book Antiqua" w:cs="Times New Roman"/>
          <w:bCs/>
          <w:sz w:val="24"/>
          <w:szCs w:val="24"/>
        </w:rPr>
      </w:pPr>
    </w:p>
    <w:p w14:paraId="4130812B" w14:textId="77777777" w:rsidR="00D20461" w:rsidRPr="00FA26FB" w:rsidRDefault="00D2422B" w:rsidP="002C1F15">
      <w:pPr>
        <w:spacing w:after="0" w:line="360" w:lineRule="auto"/>
        <w:jc w:val="both"/>
        <w:rPr>
          <w:rFonts w:ascii="Book Antiqua" w:hAnsi="Book Antiqua" w:cs="Times New Roman"/>
          <w:b/>
          <w:i/>
          <w:iCs/>
          <w:caps/>
          <w:sz w:val="24"/>
          <w:szCs w:val="24"/>
        </w:rPr>
      </w:pPr>
      <w:r w:rsidRPr="00FA26FB">
        <w:rPr>
          <w:rFonts w:ascii="Book Antiqua" w:hAnsi="Book Antiqua" w:cs="Times New Roman"/>
          <w:b/>
          <w:i/>
          <w:iCs/>
          <w:caps/>
          <w:sz w:val="24"/>
          <w:szCs w:val="24"/>
        </w:rPr>
        <w:lastRenderedPageBreak/>
        <w:t>Conclusion</w:t>
      </w:r>
      <w:bookmarkEnd w:id="98"/>
    </w:p>
    <w:p w14:paraId="3305AA4D" w14:textId="52FFFA41" w:rsidR="00237AEB" w:rsidRPr="00FA26FB" w:rsidRDefault="009A5541" w:rsidP="002C1F15">
      <w:pPr>
        <w:spacing w:after="0" w:line="360" w:lineRule="auto"/>
        <w:jc w:val="both"/>
        <w:rPr>
          <w:rFonts w:ascii="Book Antiqua" w:hAnsi="Book Antiqua"/>
          <w:bCs/>
          <w:sz w:val="24"/>
          <w:szCs w:val="24"/>
        </w:rPr>
      </w:pPr>
      <w:r w:rsidRPr="00FA26FB">
        <w:rPr>
          <w:rFonts w:ascii="Book Antiqua" w:hAnsi="Book Antiqua"/>
          <w:bCs/>
          <w:sz w:val="24"/>
          <w:szCs w:val="24"/>
        </w:rPr>
        <w:t>A significant percentage of the American general population is afflicted by BAFLD and these patients tend to have more advanced liver fibrosis.</w:t>
      </w:r>
    </w:p>
    <w:p w14:paraId="154F83B1" w14:textId="77777777" w:rsidR="00214E65" w:rsidRPr="00FA26FB" w:rsidRDefault="00214E65" w:rsidP="002C1F15">
      <w:pPr>
        <w:spacing w:after="0" w:line="360" w:lineRule="auto"/>
        <w:jc w:val="both"/>
        <w:rPr>
          <w:rFonts w:ascii="Book Antiqua" w:hAnsi="Book Antiqua" w:cs="Times New Roman"/>
          <w:bCs/>
          <w:sz w:val="24"/>
          <w:szCs w:val="24"/>
        </w:rPr>
      </w:pPr>
    </w:p>
    <w:p w14:paraId="3523CB88" w14:textId="5DDEEF5E" w:rsidR="008E380A" w:rsidRPr="00FA26FB" w:rsidRDefault="008E380A" w:rsidP="002C1F15">
      <w:pPr>
        <w:spacing w:after="0" w:line="360" w:lineRule="auto"/>
        <w:jc w:val="both"/>
        <w:rPr>
          <w:rFonts w:ascii="Book Antiqua" w:hAnsi="Book Antiqua" w:cs="Times New Roman"/>
          <w:bCs/>
          <w:sz w:val="24"/>
          <w:szCs w:val="24"/>
        </w:rPr>
      </w:pPr>
      <w:r w:rsidRPr="00FA26FB">
        <w:rPr>
          <w:rFonts w:ascii="Book Antiqua" w:hAnsi="Book Antiqua" w:cs="Times New Roman"/>
          <w:b/>
          <w:sz w:val="24"/>
          <w:szCs w:val="24"/>
        </w:rPr>
        <w:t>Key words:</w:t>
      </w:r>
      <w:r w:rsidRPr="00FA26FB">
        <w:rPr>
          <w:rFonts w:ascii="Book Antiqua" w:hAnsi="Book Antiqua" w:cs="Times New Roman"/>
          <w:bCs/>
          <w:sz w:val="24"/>
          <w:szCs w:val="24"/>
        </w:rPr>
        <w:t xml:space="preserve"> Non-alcoholic fatty liver disease</w:t>
      </w:r>
      <w:r w:rsidR="00C462A8" w:rsidRPr="00FA26FB">
        <w:rPr>
          <w:rFonts w:ascii="Book Antiqua" w:hAnsi="Book Antiqua" w:cs="Times New Roman"/>
          <w:bCs/>
          <w:sz w:val="24"/>
          <w:szCs w:val="24"/>
        </w:rPr>
        <w:t>;</w:t>
      </w:r>
      <w:r w:rsidRPr="00FA26FB">
        <w:rPr>
          <w:rFonts w:ascii="Book Antiqua" w:hAnsi="Book Antiqua" w:cs="Times New Roman"/>
          <w:bCs/>
          <w:sz w:val="24"/>
          <w:szCs w:val="24"/>
        </w:rPr>
        <w:t xml:space="preserve"> </w:t>
      </w:r>
      <w:r w:rsidRPr="00FA26FB">
        <w:rPr>
          <w:rFonts w:ascii="Book Antiqua" w:hAnsi="Book Antiqua" w:cs="Times New Roman"/>
          <w:bCs/>
          <w:caps/>
          <w:sz w:val="24"/>
          <w:szCs w:val="24"/>
        </w:rPr>
        <w:t>a</w:t>
      </w:r>
      <w:r w:rsidRPr="00FA26FB">
        <w:rPr>
          <w:rFonts w:ascii="Book Antiqua" w:hAnsi="Book Antiqua" w:cs="Times New Roman"/>
          <w:bCs/>
          <w:sz w:val="24"/>
          <w:szCs w:val="24"/>
        </w:rPr>
        <w:t>lcoholic liver disease</w:t>
      </w:r>
      <w:r w:rsidR="00C462A8" w:rsidRPr="00FA26FB">
        <w:rPr>
          <w:rFonts w:ascii="Book Antiqua" w:hAnsi="Book Antiqua" w:cs="Times New Roman"/>
          <w:bCs/>
          <w:sz w:val="24"/>
          <w:szCs w:val="24"/>
        </w:rPr>
        <w:t>;</w:t>
      </w:r>
      <w:r w:rsidRPr="00FA26FB">
        <w:rPr>
          <w:rFonts w:ascii="Book Antiqua" w:hAnsi="Book Antiqua" w:cs="Times New Roman"/>
          <w:bCs/>
          <w:sz w:val="24"/>
          <w:szCs w:val="24"/>
        </w:rPr>
        <w:t xml:space="preserve"> </w:t>
      </w:r>
      <w:r w:rsidRPr="00FA26FB">
        <w:rPr>
          <w:rFonts w:ascii="Book Antiqua" w:hAnsi="Book Antiqua" w:cs="Times New Roman"/>
          <w:bCs/>
          <w:caps/>
          <w:sz w:val="24"/>
          <w:szCs w:val="24"/>
        </w:rPr>
        <w:t>f</w:t>
      </w:r>
      <w:r w:rsidRPr="00FA26FB">
        <w:rPr>
          <w:rFonts w:ascii="Book Antiqua" w:hAnsi="Book Antiqua" w:cs="Times New Roman"/>
          <w:bCs/>
          <w:sz w:val="24"/>
          <w:szCs w:val="24"/>
        </w:rPr>
        <w:t>atty liver disease</w:t>
      </w:r>
    </w:p>
    <w:p w14:paraId="7D886FB7" w14:textId="4C91E2D5" w:rsidR="008E380A" w:rsidRPr="00FA26FB" w:rsidRDefault="008E380A" w:rsidP="002C1F15">
      <w:pPr>
        <w:spacing w:after="0" w:line="360" w:lineRule="auto"/>
        <w:jc w:val="both"/>
        <w:rPr>
          <w:rFonts w:ascii="Book Antiqua" w:hAnsi="Book Antiqua" w:cs="Times New Roman"/>
          <w:bCs/>
          <w:sz w:val="24"/>
          <w:szCs w:val="24"/>
        </w:rPr>
      </w:pPr>
    </w:p>
    <w:p w14:paraId="5FEDD612" w14:textId="77777777" w:rsidR="00C462A8" w:rsidRPr="00FA26FB" w:rsidRDefault="00C462A8" w:rsidP="002C1F15">
      <w:pPr>
        <w:autoSpaceDE w:val="0"/>
        <w:autoSpaceDN w:val="0"/>
        <w:adjustRightInd w:val="0"/>
        <w:snapToGrid w:val="0"/>
        <w:spacing w:after="0" w:line="360" w:lineRule="auto"/>
        <w:jc w:val="both"/>
        <w:rPr>
          <w:rFonts w:ascii="Book Antiqua" w:hAnsi="Book Antiqua" w:cs="Arial Unicode MS"/>
          <w:sz w:val="24"/>
        </w:rPr>
      </w:pPr>
      <w:bookmarkStart w:id="99" w:name="OLE_LINK98"/>
      <w:bookmarkStart w:id="100" w:name="OLE_LINK156"/>
      <w:bookmarkStart w:id="101" w:name="OLE_LINK196"/>
      <w:bookmarkStart w:id="102" w:name="OLE_LINK217"/>
      <w:bookmarkStart w:id="103" w:name="OLE_LINK242"/>
      <w:bookmarkStart w:id="104" w:name="OLE_LINK247"/>
      <w:bookmarkStart w:id="105" w:name="OLE_LINK311"/>
      <w:bookmarkStart w:id="106" w:name="OLE_LINK312"/>
      <w:bookmarkStart w:id="107" w:name="OLE_LINK325"/>
      <w:bookmarkStart w:id="108" w:name="OLE_LINK330"/>
      <w:bookmarkStart w:id="109" w:name="OLE_LINK513"/>
      <w:bookmarkStart w:id="110" w:name="OLE_LINK514"/>
      <w:bookmarkStart w:id="111" w:name="OLE_LINK464"/>
      <w:bookmarkStart w:id="112" w:name="OLE_LINK465"/>
      <w:bookmarkStart w:id="113" w:name="OLE_LINK466"/>
      <w:bookmarkStart w:id="114" w:name="OLE_LINK470"/>
      <w:bookmarkStart w:id="115" w:name="OLE_LINK471"/>
      <w:bookmarkStart w:id="116" w:name="OLE_LINK472"/>
      <w:bookmarkStart w:id="117" w:name="OLE_LINK474"/>
      <w:bookmarkStart w:id="118" w:name="OLE_LINK512"/>
      <w:bookmarkStart w:id="119" w:name="OLE_LINK800"/>
      <w:bookmarkStart w:id="120" w:name="OLE_LINK982"/>
      <w:bookmarkStart w:id="121" w:name="OLE_LINK1027"/>
      <w:bookmarkStart w:id="122" w:name="OLE_LINK504"/>
      <w:bookmarkStart w:id="123" w:name="OLE_LINK546"/>
      <w:bookmarkStart w:id="124" w:name="OLE_LINK547"/>
      <w:bookmarkStart w:id="125" w:name="OLE_LINK575"/>
      <w:bookmarkStart w:id="126" w:name="OLE_LINK672"/>
      <w:bookmarkStart w:id="127" w:name="OLE_LINK714"/>
      <w:bookmarkStart w:id="128" w:name="OLE_LINK651"/>
      <w:bookmarkStart w:id="129" w:name="OLE_LINK652"/>
      <w:bookmarkStart w:id="130" w:name="OLE_LINK744"/>
      <w:bookmarkStart w:id="131" w:name="OLE_LINK758"/>
      <w:bookmarkStart w:id="132" w:name="OLE_LINK787"/>
      <w:bookmarkStart w:id="133" w:name="OLE_LINK807"/>
      <w:bookmarkStart w:id="134" w:name="OLE_LINK820"/>
      <w:bookmarkStart w:id="135" w:name="OLE_LINK862"/>
      <w:bookmarkStart w:id="136" w:name="OLE_LINK879"/>
      <w:bookmarkStart w:id="137" w:name="OLE_LINK906"/>
      <w:bookmarkStart w:id="138" w:name="OLE_LINK928"/>
      <w:bookmarkStart w:id="139" w:name="OLE_LINK960"/>
      <w:bookmarkStart w:id="140" w:name="OLE_LINK861"/>
      <w:bookmarkStart w:id="141" w:name="OLE_LINK983"/>
      <w:bookmarkStart w:id="142" w:name="OLE_LINK1029"/>
      <w:bookmarkStart w:id="143" w:name="OLE_LINK1060"/>
      <w:bookmarkStart w:id="144" w:name="OLE_LINK1061"/>
      <w:bookmarkStart w:id="145" w:name="OLE_LINK1086"/>
      <w:bookmarkStart w:id="146" w:name="OLE_LINK1100"/>
      <w:bookmarkStart w:id="147" w:name="OLE_LINK1125"/>
      <w:bookmarkStart w:id="148" w:name="OLE_LINK1163"/>
      <w:bookmarkStart w:id="149" w:name="OLE_LINK1219"/>
      <w:bookmarkStart w:id="150" w:name="OLE_LINK1247"/>
      <w:bookmarkStart w:id="151" w:name="OLE_LINK1284"/>
      <w:bookmarkStart w:id="152" w:name="OLE_LINK1313"/>
      <w:bookmarkStart w:id="153" w:name="OLE_LINK1361"/>
      <w:bookmarkStart w:id="154" w:name="OLE_LINK1384"/>
      <w:bookmarkStart w:id="155" w:name="OLE_LINK1403"/>
      <w:bookmarkStart w:id="156" w:name="OLE_LINK1437"/>
      <w:bookmarkStart w:id="157" w:name="OLE_LINK1454"/>
      <w:bookmarkStart w:id="158" w:name="OLE_LINK1480"/>
      <w:bookmarkStart w:id="159" w:name="OLE_LINK1504"/>
      <w:bookmarkStart w:id="160" w:name="OLE_LINK1516"/>
      <w:bookmarkStart w:id="161" w:name="OLE_LINK135"/>
      <w:bookmarkStart w:id="162" w:name="OLE_LINK216"/>
      <w:bookmarkStart w:id="163" w:name="OLE_LINK259"/>
      <w:bookmarkStart w:id="164" w:name="OLE_LINK1186"/>
      <w:bookmarkStart w:id="165" w:name="OLE_LINK1265"/>
      <w:bookmarkStart w:id="166" w:name="OLE_LINK1478"/>
      <w:bookmarkStart w:id="167" w:name="OLE_LINK1644"/>
      <w:bookmarkStart w:id="168" w:name="OLE_LINK1885"/>
      <w:bookmarkStart w:id="169" w:name="OLE_LINK1538"/>
      <w:bookmarkStart w:id="170" w:name="OLE_LINK1539"/>
      <w:bookmarkStart w:id="171" w:name="OLE_LINK1543"/>
      <w:bookmarkStart w:id="172" w:name="OLE_LINK1549"/>
      <w:bookmarkStart w:id="173" w:name="OLE_LINK1778"/>
      <w:bookmarkStart w:id="174" w:name="OLE_LINK1756"/>
      <w:bookmarkStart w:id="175" w:name="OLE_LINK1776"/>
      <w:bookmarkStart w:id="176" w:name="OLE_LINK1777"/>
      <w:bookmarkStart w:id="177" w:name="OLE_LINK1868"/>
      <w:bookmarkStart w:id="178" w:name="OLE_LINK1744"/>
      <w:bookmarkStart w:id="179" w:name="OLE_LINK1817"/>
      <w:bookmarkStart w:id="180" w:name="OLE_LINK1835"/>
      <w:bookmarkStart w:id="181" w:name="OLE_LINK1866"/>
      <w:bookmarkStart w:id="182" w:name="OLE_LINK1882"/>
      <w:bookmarkStart w:id="183" w:name="OLE_LINK1901"/>
      <w:bookmarkStart w:id="184" w:name="OLE_LINK1902"/>
      <w:bookmarkStart w:id="185" w:name="OLE_LINK2013"/>
      <w:bookmarkStart w:id="186" w:name="OLE_LINK1894"/>
      <w:bookmarkStart w:id="187" w:name="OLE_LINK1929"/>
      <w:bookmarkStart w:id="188" w:name="OLE_LINK1941"/>
      <w:bookmarkStart w:id="189" w:name="OLE_LINK1995"/>
      <w:bookmarkStart w:id="190" w:name="OLE_LINK1938"/>
      <w:bookmarkStart w:id="191" w:name="OLE_LINK2081"/>
      <w:bookmarkStart w:id="192" w:name="OLE_LINK2082"/>
      <w:bookmarkStart w:id="193" w:name="OLE_LINK2292"/>
      <w:bookmarkStart w:id="194" w:name="OLE_LINK1931"/>
      <w:bookmarkStart w:id="195" w:name="OLE_LINK1964"/>
      <w:bookmarkStart w:id="196" w:name="OLE_LINK2020"/>
      <w:bookmarkStart w:id="197" w:name="OLE_LINK2071"/>
      <w:bookmarkStart w:id="198" w:name="OLE_LINK2134"/>
      <w:bookmarkStart w:id="199" w:name="OLE_LINK2265"/>
      <w:bookmarkStart w:id="200" w:name="OLE_LINK2562"/>
      <w:bookmarkStart w:id="201" w:name="OLE_LINK1923"/>
      <w:bookmarkStart w:id="202" w:name="OLE_LINK2192"/>
      <w:bookmarkStart w:id="203" w:name="OLE_LINK2110"/>
      <w:bookmarkStart w:id="204" w:name="OLE_LINK2445"/>
      <w:bookmarkStart w:id="205" w:name="OLE_LINK2446"/>
      <w:bookmarkStart w:id="206" w:name="OLE_LINK2169"/>
      <w:bookmarkStart w:id="207" w:name="OLE_LINK2190"/>
      <w:bookmarkStart w:id="208" w:name="OLE_LINK2331"/>
      <w:bookmarkStart w:id="209" w:name="OLE_LINK2345"/>
      <w:bookmarkStart w:id="210" w:name="OLE_LINK2467"/>
      <w:bookmarkStart w:id="211" w:name="OLE_LINK2484"/>
      <w:bookmarkStart w:id="212" w:name="OLE_LINK2157"/>
      <w:bookmarkStart w:id="213" w:name="OLE_LINK2221"/>
      <w:bookmarkStart w:id="214" w:name="OLE_LINK2252"/>
      <w:bookmarkStart w:id="215" w:name="OLE_LINK2348"/>
      <w:bookmarkStart w:id="216" w:name="OLE_LINK2451"/>
      <w:bookmarkStart w:id="217" w:name="OLE_LINK2627"/>
      <w:bookmarkStart w:id="218" w:name="OLE_LINK2482"/>
      <w:bookmarkStart w:id="219" w:name="OLE_LINK2663"/>
      <w:bookmarkStart w:id="220" w:name="OLE_LINK2761"/>
      <w:bookmarkStart w:id="221" w:name="OLE_LINK2856"/>
      <w:bookmarkStart w:id="222" w:name="OLE_LINK2993"/>
      <w:bookmarkStart w:id="223" w:name="OLE_LINK2643"/>
      <w:bookmarkStart w:id="224" w:name="OLE_LINK2583"/>
      <w:bookmarkStart w:id="225" w:name="OLE_LINK2762"/>
      <w:bookmarkStart w:id="226" w:name="OLE_LINK2962"/>
      <w:bookmarkStart w:id="227" w:name="OLE_LINK2582"/>
      <w:bookmarkStart w:id="228" w:name="_Hlk17899813"/>
      <w:r w:rsidRPr="00FA26FB">
        <w:rPr>
          <w:rFonts w:ascii="Book Antiqua" w:hAnsi="Book Antiqua"/>
          <w:b/>
          <w:color w:val="000000"/>
          <w:sz w:val="24"/>
          <w:lang w:val="en-GB"/>
        </w:rPr>
        <w:t xml:space="preserve">© </w:t>
      </w:r>
      <w:r w:rsidRPr="00FA26FB">
        <w:rPr>
          <w:rFonts w:ascii="Book Antiqua" w:eastAsia="AdvTimes" w:hAnsi="Book Antiqua" w:cs="AdvTimes"/>
          <w:b/>
          <w:color w:val="000000"/>
          <w:sz w:val="24"/>
        </w:rPr>
        <w:t>The Author(s) 201</w:t>
      </w:r>
      <w:r w:rsidRPr="00FA26FB">
        <w:rPr>
          <w:rFonts w:ascii="Book Antiqua" w:hAnsi="Book Antiqua" w:cs="AdvTimes"/>
          <w:b/>
          <w:color w:val="000000"/>
          <w:sz w:val="24"/>
        </w:rPr>
        <w:t>9</w:t>
      </w:r>
      <w:r w:rsidRPr="00FA26FB">
        <w:rPr>
          <w:rFonts w:ascii="Book Antiqua" w:eastAsia="AdvTimes" w:hAnsi="Book Antiqua" w:cs="AdvTimes"/>
          <w:color w:val="000000"/>
          <w:sz w:val="24"/>
        </w:rPr>
        <w:t xml:space="preserve"> Published by </w:t>
      </w:r>
      <w:proofErr w:type="spellStart"/>
      <w:r w:rsidRPr="00FA26FB">
        <w:rPr>
          <w:rFonts w:ascii="Book Antiqua" w:hAnsi="Book Antiqua" w:cs="Arial Unicode MS"/>
          <w:color w:val="000000"/>
          <w:sz w:val="24"/>
          <w:lang w:val="en-GB"/>
        </w:rPr>
        <w:t>Baishideng</w:t>
      </w:r>
      <w:proofErr w:type="spellEnd"/>
      <w:r w:rsidRPr="00FA26FB">
        <w:rPr>
          <w:rFonts w:ascii="Book Antiqua" w:hAnsi="Book Antiqua" w:cs="Arial Unicode MS"/>
          <w:color w:val="000000"/>
          <w:sz w:val="24"/>
          <w:lang w:val="en-GB"/>
        </w:rPr>
        <w:t xml:space="preserve"> Publishing Group Inc.</w:t>
      </w:r>
      <w:r w:rsidRPr="00FA26FB">
        <w:rPr>
          <w:rFonts w:ascii="Book Antiqua" w:hAnsi="Book Antiqua" w:cs="Arial Unicode MS"/>
          <w:sz w:val="24"/>
        </w:rPr>
        <w:t xml:space="preserve"> All rights reserved.</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bookmarkEnd w:id="228"/>
    <w:p w14:paraId="13B7DE9F" w14:textId="77777777" w:rsidR="00C462A8" w:rsidRPr="00FA26FB" w:rsidRDefault="00C462A8" w:rsidP="002C1F15">
      <w:pPr>
        <w:spacing w:after="0" w:line="360" w:lineRule="auto"/>
        <w:jc w:val="both"/>
        <w:rPr>
          <w:rFonts w:ascii="Book Antiqua" w:hAnsi="Book Antiqua" w:cs="Times New Roman"/>
          <w:bCs/>
          <w:sz w:val="24"/>
          <w:szCs w:val="24"/>
        </w:rPr>
      </w:pPr>
    </w:p>
    <w:p w14:paraId="1A1FAF87" w14:textId="4D02DEE0" w:rsidR="00D63427" w:rsidRPr="00FA26FB" w:rsidRDefault="00D63427" w:rsidP="002C1F15">
      <w:pPr>
        <w:spacing w:after="0" w:line="360" w:lineRule="auto"/>
        <w:jc w:val="both"/>
        <w:rPr>
          <w:rFonts w:ascii="Book Antiqua" w:hAnsi="Book Antiqua" w:cs="Times New Roman"/>
          <w:bCs/>
          <w:sz w:val="24"/>
          <w:szCs w:val="24"/>
        </w:rPr>
      </w:pPr>
      <w:bookmarkStart w:id="229" w:name="OLE_LINK1348"/>
      <w:bookmarkStart w:id="230" w:name="OLE_LINK1349"/>
      <w:bookmarkStart w:id="231" w:name="OLE_LINK1502"/>
      <w:r w:rsidRPr="00FA26FB">
        <w:rPr>
          <w:rFonts w:ascii="Book Antiqua" w:eastAsia="Times New Roman" w:hAnsi="Book Antiqua" w:cstheme="majorBidi"/>
          <w:b/>
          <w:color w:val="000000" w:themeColor="text1"/>
          <w:sz w:val="24"/>
          <w:szCs w:val="24"/>
        </w:rPr>
        <w:t>Core tip:</w:t>
      </w:r>
      <w:bookmarkEnd w:id="229"/>
      <w:bookmarkEnd w:id="230"/>
      <w:bookmarkEnd w:id="231"/>
      <w:r w:rsidR="00421490" w:rsidRPr="00FA26FB">
        <w:rPr>
          <w:rFonts w:ascii="Book Antiqua" w:hAnsi="Book Antiqua" w:cs="Times New Roman" w:hint="eastAsia"/>
          <w:b/>
          <w:sz w:val="24"/>
          <w:szCs w:val="24"/>
          <w:lang w:eastAsia="zh-CN"/>
        </w:rPr>
        <w:t xml:space="preserve"> </w:t>
      </w:r>
      <w:r w:rsidRPr="00FA26FB">
        <w:rPr>
          <w:rFonts w:ascii="Book Antiqua" w:eastAsia="Times New Roman" w:hAnsi="Book Antiqua" w:cstheme="majorBidi"/>
          <w:bCs/>
          <w:color w:val="000000" w:themeColor="text1"/>
          <w:sz w:val="24"/>
          <w:szCs w:val="24"/>
        </w:rPr>
        <w:t xml:space="preserve">Using the </w:t>
      </w:r>
      <w:r w:rsidR="00C462A8" w:rsidRPr="00FA26FB">
        <w:rPr>
          <w:rFonts w:ascii="Book Antiqua" w:hAnsi="Book Antiqua" w:cs="Times New Roman"/>
          <w:bCs/>
          <w:sz w:val="24"/>
          <w:szCs w:val="24"/>
        </w:rPr>
        <w:t>National Health and Nutrition Examination Survey</w:t>
      </w:r>
      <w:r w:rsidR="00C462A8" w:rsidRPr="00FA26FB">
        <w:rPr>
          <w:rFonts w:ascii="Book Antiqua" w:eastAsia="Times New Roman" w:hAnsi="Book Antiqua" w:cstheme="majorBidi"/>
          <w:bCs/>
          <w:color w:val="000000" w:themeColor="text1"/>
          <w:sz w:val="24"/>
          <w:szCs w:val="24"/>
        </w:rPr>
        <w:t xml:space="preserve"> </w:t>
      </w:r>
      <w:r w:rsidRPr="00FA26FB">
        <w:rPr>
          <w:rFonts w:ascii="Book Antiqua" w:eastAsia="Times New Roman" w:hAnsi="Book Antiqua" w:cstheme="majorBidi"/>
          <w:bCs/>
          <w:color w:val="000000" w:themeColor="text1"/>
          <w:sz w:val="24"/>
          <w:szCs w:val="24"/>
        </w:rPr>
        <w:t xml:space="preserve">dataset, we studied a new classification of fatty liver disease that we believe is due to risk factors for both </w:t>
      </w:r>
      <w:r w:rsidR="00C462A8" w:rsidRPr="00FA26FB">
        <w:rPr>
          <w:rFonts w:ascii="Book Antiqua" w:hAnsi="Book Antiqua" w:cs="Times New Roman"/>
          <w:bCs/>
          <w:color w:val="000000"/>
          <w:sz w:val="24"/>
          <w:szCs w:val="24"/>
        </w:rPr>
        <w:t xml:space="preserve">non-alcoholic fatty liver disease (NAFLD) </w:t>
      </w:r>
      <w:r w:rsidRPr="00FA26FB">
        <w:rPr>
          <w:rFonts w:ascii="Book Antiqua" w:eastAsia="Times New Roman" w:hAnsi="Book Antiqua" w:cstheme="majorBidi"/>
          <w:bCs/>
          <w:color w:val="000000" w:themeColor="text1"/>
          <w:sz w:val="24"/>
          <w:szCs w:val="24"/>
        </w:rPr>
        <w:t xml:space="preserve">and </w:t>
      </w:r>
      <w:r w:rsidR="00C462A8" w:rsidRPr="00FA26FB">
        <w:rPr>
          <w:rFonts w:ascii="Book Antiqua" w:hAnsi="Book Antiqua" w:cs="Times New Roman"/>
          <w:bCs/>
          <w:color w:val="000000"/>
          <w:sz w:val="24"/>
          <w:szCs w:val="24"/>
        </w:rPr>
        <w:t>alcoholic liver disease</w:t>
      </w:r>
      <w:r w:rsidR="00C462A8" w:rsidRPr="00FA26FB">
        <w:rPr>
          <w:rFonts w:ascii="Book Antiqua" w:eastAsia="Times New Roman" w:hAnsi="Book Antiqua" w:cstheme="majorBidi"/>
          <w:bCs/>
          <w:color w:val="000000" w:themeColor="text1"/>
          <w:sz w:val="24"/>
          <w:szCs w:val="24"/>
        </w:rPr>
        <w:t xml:space="preserve"> </w:t>
      </w:r>
      <w:r w:rsidRPr="00FA26FB">
        <w:rPr>
          <w:rFonts w:ascii="Book Antiqua" w:eastAsia="Times New Roman" w:hAnsi="Book Antiqua" w:cstheme="majorBidi"/>
          <w:bCs/>
          <w:color w:val="000000" w:themeColor="text1"/>
          <w:sz w:val="24"/>
          <w:szCs w:val="24"/>
        </w:rPr>
        <w:t xml:space="preserve">occurring in the same individual. </w:t>
      </w:r>
      <w:r w:rsidR="006D6DA0" w:rsidRPr="00FA26FB">
        <w:rPr>
          <w:rFonts w:ascii="Book Antiqua" w:hAnsi="Book Antiqua" w:cs="Times New Roman"/>
          <w:bCs/>
          <w:sz w:val="24"/>
          <w:szCs w:val="24"/>
        </w:rPr>
        <w:t xml:space="preserve">We propose to call this entity Both Alcoholic and </w:t>
      </w:r>
      <w:r w:rsidR="00C462A8" w:rsidRPr="00FA26FB">
        <w:rPr>
          <w:rFonts w:ascii="Book Antiqua" w:hAnsi="Book Antiqua" w:cs="Times New Roman"/>
          <w:bCs/>
          <w:color w:val="000000"/>
          <w:sz w:val="24"/>
          <w:szCs w:val="24"/>
        </w:rPr>
        <w:t>NAFLD</w:t>
      </w:r>
      <w:r w:rsidR="006D6DA0" w:rsidRPr="00FA26FB">
        <w:rPr>
          <w:rFonts w:ascii="Book Antiqua" w:hAnsi="Book Antiqua" w:cs="Times New Roman"/>
          <w:bCs/>
          <w:sz w:val="24"/>
          <w:szCs w:val="24"/>
        </w:rPr>
        <w:t xml:space="preserve"> (BAFLD). </w:t>
      </w:r>
      <w:r w:rsidRPr="00FA26FB">
        <w:rPr>
          <w:rFonts w:ascii="Book Antiqua" w:hAnsi="Book Antiqua" w:cstheme="majorBidi"/>
          <w:bCs/>
          <w:color w:val="000000" w:themeColor="text1"/>
          <w:sz w:val="24"/>
          <w:szCs w:val="24"/>
        </w:rPr>
        <w:t>As most of the risk factors that lead to BAFLD are potentially modifiable, understanding their reciprocal association and combined effect on the liver may aid in understanding, treating, and preventing BAFLD.</w:t>
      </w:r>
    </w:p>
    <w:p w14:paraId="7D88A94B" w14:textId="022D254D" w:rsidR="008E380A" w:rsidRPr="00FA26FB" w:rsidRDefault="008E380A" w:rsidP="002C1F15">
      <w:pPr>
        <w:spacing w:after="0" w:line="360" w:lineRule="auto"/>
        <w:jc w:val="both"/>
        <w:rPr>
          <w:rFonts w:ascii="Book Antiqua" w:hAnsi="Book Antiqua" w:cs="Times New Roman"/>
          <w:bCs/>
          <w:sz w:val="24"/>
          <w:szCs w:val="24"/>
        </w:rPr>
      </w:pPr>
    </w:p>
    <w:p w14:paraId="5F264177" w14:textId="77777777" w:rsidR="00251801" w:rsidRDefault="00251801" w:rsidP="00251801">
      <w:pPr>
        <w:spacing w:line="360" w:lineRule="auto"/>
        <w:rPr>
          <w:rFonts w:ascii="Book Antiqua" w:hAnsi="Book Antiqua" w:hint="eastAsia"/>
          <w:bCs/>
          <w:sz w:val="24"/>
          <w:szCs w:val="24"/>
          <w:lang w:eastAsia="zh-CN"/>
        </w:rPr>
      </w:pPr>
      <w:r w:rsidRPr="00251801">
        <w:rPr>
          <w:rFonts w:ascii="Book Antiqua" w:hAnsi="Book Antiqua" w:hint="eastAsia"/>
          <w:b/>
          <w:bCs/>
          <w:sz w:val="24"/>
          <w:szCs w:val="24"/>
          <w:lang w:eastAsia="zh-CN"/>
        </w:rPr>
        <w:t xml:space="preserve">Citation: </w:t>
      </w:r>
      <w:proofErr w:type="spellStart"/>
      <w:r w:rsidRPr="00FA26FB">
        <w:rPr>
          <w:rFonts w:ascii="Book Antiqua" w:hAnsi="Book Antiqua"/>
          <w:bCs/>
          <w:sz w:val="24"/>
          <w:szCs w:val="24"/>
        </w:rPr>
        <w:t>Khoudari</w:t>
      </w:r>
      <w:proofErr w:type="spellEnd"/>
      <w:r w:rsidRPr="00FA26FB">
        <w:rPr>
          <w:rFonts w:ascii="Book Antiqua" w:hAnsi="Book Antiqua"/>
          <w:bCs/>
          <w:sz w:val="24"/>
          <w:szCs w:val="24"/>
        </w:rPr>
        <w:t xml:space="preserve"> G, Singh A, </w:t>
      </w:r>
      <w:proofErr w:type="spellStart"/>
      <w:r w:rsidRPr="00FA26FB">
        <w:rPr>
          <w:rFonts w:ascii="Book Antiqua" w:hAnsi="Book Antiqua"/>
          <w:bCs/>
          <w:sz w:val="24"/>
          <w:szCs w:val="24"/>
        </w:rPr>
        <w:t>Noureddin</w:t>
      </w:r>
      <w:proofErr w:type="spellEnd"/>
      <w:r w:rsidRPr="00FA26FB">
        <w:rPr>
          <w:rFonts w:ascii="Book Antiqua" w:hAnsi="Book Antiqua"/>
          <w:bCs/>
          <w:sz w:val="24"/>
          <w:szCs w:val="24"/>
        </w:rPr>
        <w:t xml:space="preserve"> M, </w:t>
      </w:r>
      <w:proofErr w:type="spellStart"/>
      <w:r w:rsidRPr="00FA26FB">
        <w:rPr>
          <w:rFonts w:ascii="Book Antiqua" w:hAnsi="Book Antiqua"/>
          <w:bCs/>
          <w:sz w:val="24"/>
          <w:szCs w:val="24"/>
        </w:rPr>
        <w:t>Fritze</w:t>
      </w:r>
      <w:proofErr w:type="spellEnd"/>
      <w:r w:rsidRPr="00FA26FB">
        <w:rPr>
          <w:rFonts w:ascii="Book Antiqua" w:hAnsi="Book Antiqua"/>
          <w:bCs/>
          <w:sz w:val="24"/>
          <w:szCs w:val="24"/>
        </w:rPr>
        <w:t xml:space="preserve"> D, Lopez R, </w:t>
      </w:r>
      <w:proofErr w:type="spellStart"/>
      <w:r w:rsidRPr="00FA26FB">
        <w:rPr>
          <w:rFonts w:ascii="Book Antiqua" w:hAnsi="Book Antiqua"/>
          <w:bCs/>
          <w:sz w:val="24"/>
          <w:szCs w:val="24"/>
        </w:rPr>
        <w:t>Asaad</w:t>
      </w:r>
      <w:proofErr w:type="spellEnd"/>
      <w:r w:rsidRPr="00FA26FB">
        <w:rPr>
          <w:rFonts w:ascii="Book Antiqua" w:hAnsi="Book Antiqua"/>
          <w:bCs/>
          <w:sz w:val="24"/>
          <w:szCs w:val="24"/>
        </w:rPr>
        <w:t xml:space="preserve"> I, </w:t>
      </w:r>
      <w:proofErr w:type="spellStart"/>
      <w:r w:rsidRPr="00FA26FB">
        <w:rPr>
          <w:rFonts w:ascii="Book Antiqua" w:hAnsi="Book Antiqua"/>
          <w:bCs/>
          <w:sz w:val="24"/>
          <w:szCs w:val="24"/>
        </w:rPr>
        <w:t>Lawitz</w:t>
      </w:r>
      <w:proofErr w:type="spellEnd"/>
      <w:r w:rsidRPr="00FA26FB">
        <w:rPr>
          <w:rFonts w:ascii="Book Antiqua" w:hAnsi="Book Antiqua"/>
          <w:bCs/>
          <w:sz w:val="24"/>
          <w:szCs w:val="24"/>
        </w:rPr>
        <w:t xml:space="preserve"> E, </w:t>
      </w:r>
      <w:proofErr w:type="spellStart"/>
      <w:r w:rsidRPr="00FA26FB">
        <w:rPr>
          <w:rFonts w:ascii="Book Antiqua" w:hAnsi="Book Antiqua"/>
          <w:bCs/>
          <w:sz w:val="24"/>
          <w:szCs w:val="24"/>
        </w:rPr>
        <w:t>Poordad</w:t>
      </w:r>
      <w:proofErr w:type="spellEnd"/>
      <w:r w:rsidRPr="00FA26FB">
        <w:rPr>
          <w:rFonts w:ascii="Book Antiqua" w:hAnsi="Book Antiqua"/>
          <w:bCs/>
          <w:sz w:val="24"/>
          <w:szCs w:val="24"/>
        </w:rPr>
        <w:t xml:space="preserve"> F, </w:t>
      </w:r>
      <w:proofErr w:type="spellStart"/>
      <w:r w:rsidRPr="00FA26FB">
        <w:rPr>
          <w:rFonts w:ascii="Book Antiqua" w:hAnsi="Book Antiqua"/>
          <w:bCs/>
          <w:sz w:val="24"/>
          <w:szCs w:val="24"/>
        </w:rPr>
        <w:t>Kowdley</w:t>
      </w:r>
      <w:proofErr w:type="spellEnd"/>
      <w:r w:rsidRPr="00FA26FB">
        <w:rPr>
          <w:rFonts w:ascii="Book Antiqua" w:hAnsi="Book Antiqua"/>
          <w:bCs/>
          <w:sz w:val="24"/>
          <w:szCs w:val="24"/>
        </w:rPr>
        <w:t xml:space="preserve"> KV, </w:t>
      </w:r>
      <w:proofErr w:type="spellStart"/>
      <w:r w:rsidRPr="00FA26FB">
        <w:rPr>
          <w:rFonts w:ascii="Book Antiqua" w:hAnsi="Book Antiqua"/>
          <w:bCs/>
          <w:sz w:val="24"/>
          <w:szCs w:val="24"/>
        </w:rPr>
        <w:t>Alkhouri</w:t>
      </w:r>
      <w:proofErr w:type="spellEnd"/>
      <w:r w:rsidRPr="00FA26FB">
        <w:rPr>
          <w:rFonts w:ascii="Book Antiqua" w:hAnsi="Book Antiqua"/>
          <w:bCs/>
          <w:sz w:val="24"/>
          <w:szCs w:val="24"/>
        </w:rPr>
        <w:t xml:space="preserve"> N. Characterization of patients with both alcoholic and nonalcoholic fatty liver disease in a large United States cohort. </w:t>
      </w:r>
      <w:r w:rsidRPr="00FA26FB">
        <w:rPr>
          <w:rFonts w:ascii="Book Antiqua" w:hAnsi="Book Antiqua"/>
          <w:bCs/>
          <w:i/>
          <w:iCs/>
          <w:sz w:val="24"/>
          <w:szCs w:val="24"/>
        </w:rPr>
        <w:t xml:space="preserve">World J </w:t>
      </w:r>
      <w:proofErr w:type="spellStart"/>
      <w:r w:rsidRPr="00FA26FB">
        <w:rPr>
          <w:rFonts w:ascii="Book Antiqua" w:hAnsi="Book Antiqua"/>
          <w:bCs/>
          <w:i/>
          <w:iCs/>
          <w:sz w:val="24"/>
          <w:szCs w:val="24"/>
        </w:rPr>
        <w:t>Hepatol</w:t>
      </w:r>
      <w:proofErr w:type="spellEnd"/>
      <w:r w:rsidRPr="00FA26FB">
        <w:rPr>
          <w:rFonts w:ascii="Book Antiqua" w:hAnsi="Book Antiqua"/>
          <w:bCs/>
          <w:sz w:val="24"/>
          <w:szCs w:val="24"/>
        </w:rPr>
        <w:t xml:space="preserve"> 2019; </w:t>
      </w:r>
      <w:r w:rsidRPr="007100BD">
        <w:rPr>
          <w:rFonts w:ascii="Book Antiqua" w:hAnsi="Book Antiqua"/>
          <w:bCs/>
          <w:sz w:val="24"/>
          <w:szCs w:val="24"/>
        </w:rPr>
        <w:t xml:space="preserve">11(10): </w:t>
      </w:r>
      <w:r>
        <w:rPr>
          <w:rFonts w:ascii="Book Antiqua" w:hAnsi="Book Antiqua"/>
          <w:bCs/>
          <w:sz w:val="24"/>
          <w:szCs w:val="24"/>
        </w:rPr>
        <w:t>7</w:t>
      </w:r>
      <w:r>
        <w:rPr>
          <w:rFonts w:ascii="Book Antiqua" w:hAnsi="Book Antiqua" w:hint="eastAsia"/>
          <w:bCs/>
          <w:sz w:val="24"/>
          <w:szCs w:val="24"/>
        </w:rPr>
        <w:t>10</w:t>
      </w:r>
      <w:r w:rsidRPr="007100BD">
        <w:rPr>
          <w:rFonts w:ascii="Book Antiqua" w:hAnsi="Book Antiqua"/>
          <w:bCs/>
          <w:sz w:val="24"/>
          <w:szCs w:val="24"/>
        </w:rPr>
        <w:t>-</w:t>
      </w:r>
      <w:r>
        <w:rPr>
          <w:rFonts w:ascii="Book Antiqua" w:hAnsi="Book Antiqua"/>
          <w:bCs/>
          <w:sz w:val="24"/>
          <w:szCs w:val="24"/>
        </w:rPr>
        <w:t>7</w:t>
      </w:r>
      <w:r>
        <w:rPr>
          <w:rFonts w:ascii="Book Antiqua" w:hAnsi="Book Antiqua" w:hint="eastAsia"/>
          <w:bCs/>
          <w:sz w:val="24"/>
          <w:szCs w:val="24"/>
        </w:rPr>
        <w:t>18</w:t>
      </w:r>
      <w:r w:rsidRPr="007100BD">
        <w:rPr>
          <w:rFonts w:ascii="Book Antiqua" w:hAnsi="Book Antiqua"/>
          <w:bCs/>
          <w:sz w:val="24"/>
          <w:szCs w:val="24"/>
        </w:rPr>
        <w:t xml:space="preserve"> </w:t>
      </w:r>
    </w:p>
    <w:p w14:paraId="765D32E3" w14:textId="03C26996" w:rsidR="00251801" w:rsidRDefault="00251801" w:rsidP="00251801">
      <w:pPr>
        <w:spacing w:line="360" w:lineRule="auto"/>
        <w:rPr>
          <w:rFonts w:ascii="Book Antiqua" w:hAnsi="Book Antiqua" w:hint="eastAsia"/>
          <w:bCs/>
          <w:sz w:val="24"/>
          <w:szCs w:val="24"/>
          <w:lang w:eastAsia="zh-CN"/>
        </w:rPr>
      </w:pPr>
      <w:r w:rsidRPr="00251801">
        <w:rPr>
          <w:rFonts w:ascii="Book Antiqua" w:hAnsi="Book Antiqua"/>
          <w:b/>
          <w:bCs/>
          <w:sz w:val="24"/>
          <w:szCs w:val="24"/>
        </w:rPr>
        <w:t>URL:</w:t>
      </w:r>
      <w:r w:rsidRPr="007100BD">
        <w:rPr>
          <w:rFonts w:ascii="Book Antiqua" w:hAnsi="Book Antiqua"/>
          <w:bCs/>
          <w:sz w:val="24"/>
          <w:szCs w:val="24"/>
        </w:rPr>
        <w:t xml:space="preserve"> </w:t>
      </w:r>
      <w:hyperlink r:id="rId9" w:history="1">
        <w:r w:rsidRPr="0049472C">
          <w:rPr>
            <w:rStyle w:val="a9"/>
            <w:rFonts w:ascii="Book Antiqua" w:hAnsi="Book Antiqua"/>
            <w:bCs/>
            <w:sz w:val="24"/>
            <w:szCs w:val="24"/>
          </w:rPr>
          <w:t>https://www.wjgnet.com/1948-5182/full/v11/i10/7</w:t>
        </w:r>
        <w:r w:rsidRPr="0049472C">
          <w:rPr>
            <w:rStyle w:val="a9"/>
            <w:rFonts w:ascii="Book Antiqua" w:hAnsi="Book Antiqua" w:hint="eastAsia"/>
            <w:bCs/>
            <w:sz w:val="24"/>
            <w:szCs w:val="24"/>
          </w:rPr>
          <w:t>10</w:t>
        </w:r>
        <w:r w:rsidRPr="0049472C">
          <w:rPr>
            <w:rStyle w:val="a9"/>
            <w:rFonts w:ascii="Book Antiqua" w:hAnsi="Book Antiqua"/>
            <w:bCs/>
            <w:sz w:val="24"/>
            <w:szCs w:val="24"/>
          </w:rPr>
          <w:t>.htm</w:t>
        </w:r>
      </w:hyperlink>
      <w:r w:rsidRPr="007100BD">
        <w:rPr>
          <w:rFonts w:ascii="Book Antiqua" w:hAnsi="Book Antiqua"/>
          <w:bCs/>
          <w:sz w:val="24"/>
          <w:szCs w:val="24"/>
        </w:rPr>
        <w:t xml:space="preserve"> </w:t>
      </w:r>
    </w:p>
    <w:p w14:paraId="66B2B6C3" w14:textId="70762BBE" w:rsidR="00251801" w:rsidRPr="00FA26FB" w:rsidRDefault="00251801" w:rsidP="00251801">
      <w:pPr>
        <w:spacing w:line="360" w:lineRule="auto"/>
        <w:rPr>
          <w:rFonts w:ascii="Book Antiqua" w:hAnsi="Book Antiqua" w:hint="eastAsia"/>
          <w:bCs/>
          <w:sz w:val="24"/>
          <w:szCs w:val="24"/>
        </w:rPr>
      </w:pPr>
      <w:r w:rsidRPr="00251801">
        <w:rPr>
          <w:rFonts w:ascii="Book Antiqua" w:hAnsi="Book Antiqua"/>
          <w:b/>
          <w:bCs/>
          <w:sz w:val="24"/>
          <w:szCs w:val="24"/>
        </w:rPr>
        <w:t>DOI:</w:t>
      </w:r>
      <w:r w:rsidRPr="007100BD">
        <w:rPr>
          <w:rFonts w:ascii="Book Antiqua" w:hAnsi="Book Antiqua"/>
          <w:bCs/>
          <w:sz w:val="24"/>
          <w:szCs w:val="24"/>
        </w:rPr>
        <w:t xml:space="preserve"> https://dx.doi.org/10.4254/wjh.v11.i10.</w:t>
      </w:r>
      <w:r>
        <w:rPr>
          <w:rFonts w:ascii="Book Antiqua" w:hAnsi="Book Antiqua"/>
          <w:bCs/>
          <w:sz w:val="24"/>
          <w:szCs w:val="24"/>
        </w:rPr>
        <w:t>7</w:t>
      </w:r>
      <w:r>
        <w:rPr>
          <w:rFonts w:ascii="Book Antiqua" w:hAnsi="Book Antiqua" w:hint="eastAsia"/>
          <w:bCs/>
          <w:sz w:val="24"/>
          <w:szCs w:val="24"/>
        </w:rPr>
        <w:t>10</w:t>
      </w:r>
    </w:p>
    <w:p w14:paraId="18FC99FF" w14:textId="77777777" w:rsidR="00C462A8" w:rsidRPr="00FA26FB" w:rsidRDefault="00C462A8" w:rsidP="002C1F15">
      <w:pPr>
        <w:spacing w:after="0" w:line="360" w:lineRule="auto"/>
        <w:jc w:val="both"/>
        <w:rPr>
          <w:rFonts w:ascii="Book Antiqua" w:hAnsi="Book Antiqua" w:cs="Times New Roman"/>
          <w:bCs/>
          <w:sz w:val="24"/>
          <w:szCs w:val="24"/>
        </w:rPr>
      </w:pPr>
    </w:p>
    <w:p w14:paraId="0057F6C6" w14:textId="5B00A2E9" w:rsidR="008E380A" w:rsidRPr="00FA26FB" w:rsidRDefault="008E380A" w:rsidP="002C1F15">
      <w:pPr>
        <w:spacing w:after="0" w:line="360" w:lineRule="auto"/>
        <w:jc w:val="both"/>
        <w:rPr>
          <w:rFonts w:ascii="Book Antiqua" w:hAnsi="Book Antiqua" w:cs="Times New Roman"/>
          <w:bCs/>
          <w:sz w:val="24"/>
          <w:szCs w:val="24"/>
        </w:rPr>
      </w:pPr>
      <w:r w:rsidRPr="00FA26FB">
        <w:rPr>
          <w:rFonts w:ascii="Book Antiqua" w:hAnsi="Book Antiqua" w:cs="Times New Roman"/>
          <w:b/>
          <w:caps/>
          <w:sz w:val="24"/>
          <w:szCs w:val="24"/>
        </w:rPr>
        <w:t>Introduction</w:t>
      </w:r>
    </w:p>
    <w:p w14:paraId="3AD06895" w14:textId="58A93E90" w:rsidR="00AD7983" w:rsidRPr="00FA26FB" w:rsidRDefault="004C339D" w:rsidP="002C1F15">
      <w:pPr>
        <w:spacing w:after="0" w:line="360" w:lineRule="auto"/>
        <w:jc w:val="both"/>
        <w:rPr>
          <w:rFonts w:ascii="Book Antiqua" w:hAnsi="Book Antiqua" w:cs="Times New Roman"/>
          <w:bCs/>
          <w:sz w:val="24"/>
          <w:szCs w:val="24"/>
        </w:rPr>
      </w:pPr>
      <w:r w:rsidRPr="00FA26FB">
        <w:rPr>
          <w:rFonts w:ascii="Book Antiqua" w:hAnsi="Book Antiqua" w:cs="Times New Roman"/>
          <w:bCs/>
          <w:sz w:val="24"/>
          <w:szCs w:val="24"/>
        </w:rPr>
        <w:t>Fat accumulation in the liver, known as fatty liver disease, is a major cause of chronic liver disease worldwide</w:t>
      </w:r>
      <w:r w:rsidR="005435BD" w:rsidRPr="00FA26FB">
        <w:rPr>
          <w:rStyle w:val="ad"/>
          <w:rFonts w:ascii="Book Antiqua" w:hAnsi="Book Antiqua" w:cs="Times New Roman"/>
          <w:bCs/>
          <w:sz w:val="24"/>
          <w:szCs w:val="24"/>
        </w:rPr>
        <w:fldChar w:fldCharType="begin" w:fldLock="1"/>
      </w:r>
      <w:r w:rsidR="005435BD" w:rsidRPr="00FA26FB">
        <w:rPr>
          <w:rFonts w:ascii="Book Antiqua" w:hAnsi="Book Antiqua" w:cs="Times New Roman"/>
          <w:bCs/>
          <w:sz w:val="24"/>
          <w:szCs w:val="24"/>
          <w:vertAlign w:val="superscript"/>
        </w:rPr>
        <w:instrText>ADDIN CSL_CITATION {"citationItems":[{"id":"ITEM-1","itemData":{"DOI":"10.1590/S0004-28032012000100015","ISBN":"0004-2803\\n1678-4219","ISSN":"0004-2803","PMID":"22481692","abstract":"– Context -Non-alcoholic fatty liver disease (NAFLD), hepatic manifestation of metabolic syndrome, has been considered the most common liver disease nowadays, which is also the most frequent cause of elevated transaminases and cryptogenic cirrhosis. The greatest input of fatty acids into the liver and consequent increased beta-oxidation contribute to the formation of free radicals, release of inflammatory cytokines and varying degrees of hepatocytic aggression, whose histological expression may vary from steatosis (HS) to non-alcoholic steatohepatitis (NASH). The differentiation of these forms is required by the potential risk of progression to cirrhosis and development of hepatocellular carcinoma. Objective -To review the literature about the major risk factors for NAFLD in the context of metabolic syndrome, focusing on underlying mechanisms and prevention. Method -PubMed, MEDLINE and SciELO data basis analysis was performed to identify studies describing the link between risk factors for metabolic syndrome and NAFLD. A combination of descriptors was used, non-alcoholic fatty liver disease, non-alcoholic steatohepatitis, metabolic syndrome and risk factors. At the end, 96 clinical and experimental studies, cohorts, meta-analysis and systematic reviews of great impact and scientific relevance to the topic, were selected. Results -The final analysis of all these data, pointed out the central obesity, type 2 diabetes, dyslipidemia and hypertension as the best risk factors related to NAFLD. However, other factors were highlighted, such as gender differences, ethnicity, genetic factors and the role of innate immunity system. How these additional factors may be involved in the installation, progression and disease prognosis is discussed. Conclusion -Risk factors for NAFLD in the context of metabolic syndrome expands the prospects to 1) recognize patients with metabolic syndrome at high risk for NAFLD, 2) elucidate pathways common to other co-morbidities, 3) determine risk factors associated with a worse prognosis, 4) develop therapeutic strategies with goal of reducing risk factors, 5) apply acquired knowledge in public health policies focusing on preventive strategies. HEADINGS – Metabolic syndrome X. Fatty liver, non-alcoholic. Risk factors.","author":[{"dropping-particle":"","family":"Rodrigues de Araújo SOUZA","given":"Mônica","non-dropping-particle":"","parse-names":false,"suffix":""}],"container-title":"Arq Gastroenterol Universidade Federal da Paraíba","id":"ITEM-1","issue":"1","issued":{"date-parts":[["2012"]]},"page":"354-58036","title":"Metabolic Syndrome and Risk Factors for Non-Alcoholic Fatty Liver Disease","type":"article-journal","volume":"49"},"uris":["http://www.mendeley.com/documents/?uuid=89ef6d33-7b1f-482d-93cf-023aaad262e6"]}],"mendeley":{"formattedCitation":"(1)","plainTextFormattedCitation":"(1)","previouslyFormattedCitation":"&lt;sup&gt;1&lt;/sup&gt;"},"properties":{"noteIndex":0},"schema":"https://github.com/citation-style-language/schema/raw/master/csl-citation.json"}</w:instrText>
      </w:r>
      <w:r w:rsidR="005435BD" w:rsidRPr="00FA26FB">
        <w:rPr>
          <w:rStyle w:val="ad"/>
          <w:rFonts w:ascii="Book Antiqua" w:hAnsi="Book Antiqua" w:cs="Times New Roman"/>
          <w:bCs/>
          <w:sz w:val="24"/>
          <w:szCs w:val="24"/>
        </w:rPr>
        <w:fldChar w:fldCharType="separate"/>
      </w:r>
      <w:r w:rsidR="005435BD" w:rsidRPr="00FA26FB">
        <w:rPr>
          <w:rFonts w:ascii="Book Antiqua" w:hAnsi="Book Antiqua" w:cs="Times New Roman"/>
          <w:bCs/>
          <w:noProof/>
          <w:sz w:val="24"/>
          <w:szCs w:val="24"/>
          <w:vertAlign w:val="superscript"/>
        </w:rPr>
        <w:t>[1]</w:t>
      </w:r>
      <w:r w:rsidR="005435BD" w:rsidRPr="00FA26FB">
        <w:rPr>
          <w:rStyle w:val="ad"/>
          <w:rFonts w:ascii="Book Antiqua" w:hAnsi="Book Antiqua" w:cs="Times New Roman"/>
          <w:bCs/>
          <w:sz w:val="24"/>
          <w:szCs w:val="24"/>
        </w:rPr>
        <w:fldChar w:fldCharType="end"/>
      </w:r>
      <w:r w:rsidR="004B3C8E" w:rsidRPr="00FA26FB">
        <w:rPr>
          <w:rFonts w:ascii="Book Antiqua" w:hAnsi="Book Antiqua" w:cs="Times New Roman"/>
          <w:bCs/>
          <w:sz w:val="24"/>
          <w:szCs w:val="24"/>
        </w:rPr>
        <w:t>.</w:t>
      </w:r>
      <w:r w:rsidR="008E380A" w:rsidRPr="00FA26FB">
        <w:rPr>
          <w:rFonts w:ascii="Book Antiqua" w:hAnsi="Book Antiqua" w:cs="Times New Roman"/>
          <w:bCs/>
          <w:sz w:val="24"/>
          <w:szCs w:val="24"/>
        </w:rPr>
        <w:t xml:space="preserve"> </w:t>
      </w:r>
      <w:r w:rsidRPr="00FA26FB">
        <w:rPr>
          <w:rFonts w:ascii="Book Antiqua" w:hAnsi="Book Antiqua" w:cs="Times New Roman"/>
          <w:bCs/>
          <w:sz w:val="24"/>
          <w:szCs w:val="24"/>
        </w:rPr>
        <w:t xml:space="preserve">There are two main classifications of fatty liver disease: </w:t>
      </w:r>
      <w:r w:rsidRPr="00FA26FB">
        <w:rPr>
          <w:rFonts w:ascii="Book Antiqua" w:hAnsi="Book Antiqua" w:cs="Times New Roman"/>
          <w:bCs/>
          <w:color w:val="000000"/>
          <w:sz w:val="24"/>
          <w:szCs w:val="24"/>
        </w:rPr>
        <w:t>alcoholic liver disease (ALD) and non-alcoholic fatty liver disease (NAFLD). The well-</w:t>
      </w:r>
      <w:r w:rsidRPr="00FA26FB">
        <w:rPr>
          <w:rFonts w:ascii="Book Antiqua" w:hAnsi="Book Antiqua" w:cs="Times New Roman"/>
          <w:bCs/>
          <w:color w:val="000000"/>
          <w:sz w:val="24"/>
          <w:szCs w:val="24"/>
        </w:rPr>
        <w:lastRenderedPageBreak/>
        <w:t>accepted threshold values of alcohol consumption thought to contribute to ALD are 30 g/d for men and 20 g/d for women</w:t>
      </w:r>
      <w:r w:rsidR="005435BD" w:rsidRPr="00FA26FB">
        <w:rPr>
          <w:rStyle w:val="ad"/>
          <w:rFonts w:ascii="Book Antiqua" w:hAnsi="Book Antiqua" w:cs="Times New Roman"/>
          <w:bCs/>
          <w:sz w:val="24"/>
          <w:szCs w:val="24"/>
        </w:rPr>
        <w:fldChar w:fldCharType="begin" w:fldLock="1"/>
      </w:r>
      <w:r w:rsidR="005435BD" w:rsidRPr="00FA26FB">
        <w:rPr>
          <w:rFonts w:ascii="Book Antiqua" w:hAnsi="Book Antiqua" w:cs="Times New Roman"/>
          <w:bCs/>
          <w:sz w:val="24"/>
          <w:szCs w:val="24"/>
          <w:vertAlign w:val="superscript"/>
        </w:rPr>
        <w:instrText>ADDIN CSL_CITATION {"citationItems":[{"id":"ITEM-1","itemData":{"DOI":"10.1016/j.jhep.2015.11.004","ISSN":"16000641","author":[{"dropping-particle":"","family":"Marchesini","given":"Giulio","non-dropping-particle":"","parse-names":false,"suffix":""},{"dropping-particle":"","family":"Day","given":"Christopher P.","non-dropping-particle":"","parse-names":false,"suffix":""},{"dropping-particle":"","family":"Dufour","given":"Jean Francois","non-dropping-particle":"","parse-names":false,"suffix":""},{"dropping-particle":"","family":"Canbay","given":"Ali","non-dropping-particle":"","parse-names":false,"suffix":""},{"dropping-particle":"","family":"Nobili","given":"Valerio","non-dropping-particle":"","parse-names":false,"suffix":""},{"dropping-particle":"","family":"Ratziu","given":"Vlad","non-dropping-particle":"","parse-names":false,"suffix":""},{"dropping-particle":"","family":"Tilg","given":"Herbert","non-dropping-particle":"","parse-names":false,"suffix":""},{"dropping-particle":"","family":"Roden","given":"Michael","non-dropping-particle":"","parse-names":false,"suffix":""},{"dropping-particle":"","family":"Gastaldelli","given":"Amalia","non-dropping-particle":"","parse-names":false,"suffix":""},{"dropping-particle":"","family":"Yki-Jarvinen","given":"Hannele","non-dropping-particle":"","parse-names":false,"suffix":""},{"dropping-particle":"","family":"Schick","given":"Fritz","non-dropping-particle":"","parse-names":false,"suffix":""},{"dropping-particle":"","family":"Vettor","given":"Roberto","non-dropping-particle":"","parse-names":false,"suffix":""},{"dropping-particle":"","family":"Fruhbeck","given":"Gema","non-dropping-particle":"","parse-names":false,"suffix":""},{"dropping-particle":"","family":"Mathus-Vliegen","given":"Lisbeth","non-dropping-particle":"","parse-names":false,"suffix":""}],"container-title":"Journal of Hepatology","id":"ITEM-1","issue":"6","issued":{"date-parts":[["2016"]]},"page":"1388-1402","publisher":"European Association for the Study of the Liver","title":"EASL-EASD-EASO Clinical Practice Guidelines for the management of non-alcoholic fatty liver disease","type":"article-journal","volume":"64"},"uris":["http://www.mendeley.com/documents/?uuid=c6cb8144-9014-4728-a664-c5dadac44bff"]},{"id":"ITEM-2","itemData":{"DOI":"10.1002/hep.25762","ISBN":"1527-3350","ISSN":"02709139","PMID":"22656328","abstract":"As in adults, clinical trials for pediatric NAFLD generally targeted insulin resistance or oxidative stress. Open-label proof-of-concept studies have utilized changes in serum ALT or liver brightness on ultrasound as endpoints.189 Agents evaluated thus far include metformin, vitamin E, ursodeoxycholic acid and delayed-release cysteamine.189 Recently, a large multicenter RCT using change in histology as a secondary endpoint was published.130 This study, called TONIC, compared the efficacy of vitamin E or metformin to placebo in 8 –17 year olds with NAFLD.130 Although the primary outcome of sustained reduction of ALT was not different among the 3 groups, there were statistically significant improvements in NAS and resolution of NASH (p\u00040.006) with vitamin E treatment compared to placebo over 96 weeks.130 In this study, metformin administered at 500 mg twice daily dose had no effect on liver biochemistries or liver histology. Recommendations 43. Intensive lifestyle modification improves aminotransferases and liver histology in children with NAFLD and thus should be the first line of treatment. (Strength – 2, Quality – B) 44. Metformin at 500 mg twice daily offers no benefit to children with NAFLD and thus should not be prescribed. The effect of metformin administered at a higher dose is not known. (Strength – 1, Quality – B) 45. Vitamin E 800 IU/day (RRR –tocopherol) offers histological benefits to children with biopsy-proven NASH or borderline NASH but confirmatory studies are needed before it’s use can be recommended in clinical practice. (Strength – 1, Quality – B)","author":[{"dropping-particle":"","family":"Chalasani","given":"Naga","non-dropping-particle":"","parse-names":false,"suffix":""},{"dropping-particle":"","family":"Younossi","given":"Zobair","non-dropping-particle":"","parse-names":false,"suffix":""},{"dropping-particle":"","family":"Lavine","given":"Joel E.","non-dropping-particle":"","parse-names":false,"suffix":""},{"dropping-particle":"","family":"Diehl","given":"Anna Mae","non-dropping-particle":"","parse-names":false,"suffix":""},{"dropping-particle":"","family":"Brunt","given":"Elizabeth M.","non-dropping-particle":"","parse-names":false,"suffix":""},{"dropping-particle":"","family":"Cusi","given":"Kenneth","non-dropping-particle":"","parse-names":false,"suffix":""},{"dropping-particle":"","family":"Charlton","given":"Michael","non-dropping-particle":"","parse-names":false,"suffix":""},{"dropping-particle":"","family":"Sanyal","given":"Arun J.","non-dropping-particle":"","parse-names":false,"suffix":""}],"container-title":"Hepatology","id":"ITEM-2","issue":"6","issued":{"date-parts":[["2012"]]},"page":"2005-2023","title":"The diagnosis and management of non-alcoholic fatty liver disease: Practice Guideline by the American Association for the Study of Liver Diseases, American College of Gastroenterology, and the American Gastroenterological Association","type":"article-journal","volume":"55"},"uris":["http://www.mendeley.com/documents/?uuid=7e68bf65-8313-4d37-b319-dacfe4479139"]}],"mendeley":{"formattedCitation":"(2,3)","plainTextFormattedCitation":"(2,3)","previouslyFormattedCitation":"&lt;sup&gt;2,3&lt;/sup&gt;"},"properties":{"noteIndex":0},"schema":"https://github.com/citation-style-language/schema/raw/master/csl-citation.json"}</w:instrText>
      </w:r>
      <w:r w:rsidR="005435BD" w:rsidRPr="00FA26FB">
        <w:rPr>
          <w:rStyle w:val="ad"/>
          <w:rFonts w:ascii="Book Antiqua" w:hAnsi="Book Antiqua" w:cs="Times New Roman"/>
          <w:bCs/>
          <w:sz w:val="24"/>
          <w:szCs w:val="24"/>
        </w:rPr>
        <w:fldChar w:fldCharType="separate"/>
      </w:r>
      <w:r w:rsidR="005435BD" w:rsidRPr="00FA26FB">
        <w:rPr>
          <w:rFonts w:ascii="Book Antiqua" w:hAnsi="Book Antiqua" w:cs="Times New Roman"/>
          <w:bCs/>
          <w:noProof/>
          <w:sz w:val="24"/>
          <w:szCs w:val="24"/>
          <w:vertAlign w:val="superscript"/>
        </w:rPr>
        <w:t>[2,3]</w:t>
      </w:r>
      <w:r w:rsidR="005435BD" w:rsidRPr="00FA26FB">
        <w:rPr>
          <w:rStyle w:val="ad"/>
          <w:rFonts w:ascii="Book Antiqua" w:hAnsi="Book Antiqua" w:cs="Times New Roman"/>
          <w:bCs/>
          <w:sz w:val="24"/>
          <w:szCs w:val="24"/>
        </w:rPr>
        <w:fldChar w:fldCharType="end"/>
      </w:r>
      <w:r w:rsidRPr="00FA26FB">
        <w:rPr>
          <w:rFonts w:ascii="Book Antiqua" w:hAnsi="Book Antiqua" w:cs="Times New Roman"/>
          <w:bCs/>
          <w:sz w:val="24"/>
          <w:szCs w:val="24"/>
        </w:rPr>
        <w:t>.</w:t>
      </w:r>
      <w:r w:rsidR="008E380A" w:rsidRPr="00FA26FB">
        <w:rPr>
          <w:rFonts w:ascii="Book Antiqua" w:hAnsi="Book Antiqua" w:cs="Times New Roman"/>
          <w:bCs/>
          <w:sz w:val="24"/>
          <w:szCs w:val="24"/>
        </w:rPr>
        <w:t xml:space="preserve"> NAFLD</w:t>
      </w:r>
      <w:r w:rsidRPr="00FA26FB">
        <w:rPr>
          <w:rFonts w:ascii="Book Antiqua" w:hAnsi="Book Antiqua" w:cs="Times New Roman"/>
          <w:bCs/>
          <w:sz w:val="24"/>
          <w:szCs w:val="24"/>
        </w:rPr>
        <w:t>,</w:t>
      </w:r>
      <w:r w:rsidR="008E380A" w:rsidRPr="00FA26FB">
        <w:rPr>
          <w:rFonts w:ascii="Book Antiqua" w:hAnsi="Book Antiqua" w:cs="Times New Roman"/>
          <w:bCs/>
          <w:sz w:val="24"/>
          <w:szCs w:val="24"/>
        </w:rPr>
        <w:t xml:space="preserve"> </w:t>
      </w:r>
      <w:r w:rsidRPr="00FA26FB">
        <w:rPr>
          <w:rFonts w:ascii="Book Antiqua" w:hAnsi="Book Antiqua" w:cs="Times New Roman"/>
          <w:bCs/>
          <w:sz w:val="24"/>
          <w:szCs w:val="24"/>
        </w:rPr>
        <w:t xml:space="preserve">on the other hand, </w:t>
      </w:r>
      <w:r w:rsidR="008E380A" w:rsidRPr="00FA26FB">
        <w:rPr>
          <w:rFonts w:ascii="Book Antiqua" w:hAnsi="Book Antiqua" w:cs="Times New Roman"/>
          <w:bCs/>
          <w:sz w:val="24"/>
          <w:szCs w:val="24"/>
        </w:rPr>
        <w:t>is considered as the hepatic manifestation of the metabolic syndrome (</w:t>
      </w:r>
      <w:proofErr w:type="spellStart"/>
      <w:r w:rsidR="008E380A" w:rsidRPr="00FA26FB">
        <w:rPr>
          <w:rFonts w:ascii="Book Antiqua" w:hAnsi="Book Antiqua" w:cs="Times New Roman"/>
          <w:bCs/>
          <w:sz w:val="24"/>
          <w:szCs w:val="24"/>
        </w:rPr>
        <w:t>MetS</w:t>
      </w:r>
      <w:proofErr w:type="spellEnd"/>
      <w:r w:rsidR="008E380A" w:rsidRPr="00FA26FB">
        <w:rPr>
          <w:rFonts w:ascii="Book Antiqua" w:hAnsi="Book Antiqua" w:cs="Times New Roman"/>
          <w:bCs/>
          <w:sz w:val="24"/>
          <w:szCs w:val="24"/>
        </w:rPr>
        <w:t>)</w:t>
      </w:r>
      <w:r w:rsidR="004B3C8E" w:rsidRPr="00FA26FB">
        <w:rPr>
          <w:rStyle w:val="ad"/>
          <w:rFonts w:ascii="Book Antiqua" w:hAnsi="Book Antiqua" w:cs="Times New Roman"/>
          <w:bCs/>
          <w:sz w:val="24"/>
          <w:szCs w:val="24"/>
        </w:rPr>
        <w:fldChar w:fldCharType="begin" w:fldLock="1"/>
      </w:r>
      <w:r w:rsidR="00EF2A65" w:rsidRPr="00FA26FB">
        <w:rPr>
          <w:rFonts w:ascii="Book Antiqua" w:hAnsi="Book Antiqua" w:cs="Times New Roman"/>
          <w:bCs/>
          <w:sz w:val="24"/>
          <w:szCs w:val="24"/>
          <w:vertAlign w:val="superscript"/>
        </w:rPr>
        <w:instrText>ADDIN CSL_CITATION {"citationItems":[{"id":"ITEM-1","itemData":{"DOI":"10.1002/hep.28431","ISBN":"0270-9139","ISSN":"15273350","PMID":"26707365","abstract":"BACKGROUND AND AIM: NAFLD is a major cause of liver disease worldwide. We estimated the global prevalence, incidence, progression and outcomes of NAFLD and NASH.\\n\\nMETHODS: Pubmed/MEDLINE were searched from 1989-2015 for terms involving epidemiology and progression of NAFLD.\\n\\nEXCLUSIONS: selected groups (only morbidly obese or diabetics or pediatric), no data on alcohol consumption or other liver diseases. Incidence of HCC, cirrhosis, overall mortality and liver-related mortality were determined. NASH required histologic criteria. All studies were reviewed by 3 independent investigators. Analysis was stratified by region, diagnostic technique, biopsy indication and study population. We used random-effects models to provide point estimates (95% CI) of prevalence, incidence, mortality and incidence rate ratios, and meta-regression with sub-group analysis to account for heterogeneity.\\n\\nRESULTS: Out of 729 studies, 86 were included with a sample size of 8,515,431 from 22 countries. Global prevalence of NAFLD is 25.24% (22.10-28.65) with highest prevalence in Middle East and South America and lowest in Africa. Metabolic comorbidities associated with NAFLD included obesity [51.34% (41.38-61.20)], type 2 diabetes [22.51% (17.92-27.89)], hyperlipidemia [69.16% (49.91-83.46%)], hypertension [(39.34% (33.15-45.88)]] and metabolic syndrome [42.54% (30.06-56.05)] . Fibrosis progression proportion, measured in Brunt's score, and mean annual rate of progression in NASH were 40.76% (34.69-47.13) and 0.09 (0.06-0.12). HCC incidence among NAFLD patients was 0.44/1000 person-years (0.29-0.66). Liver-specific mortality and overall mortality among NAFLD and NASH were 0.77/1000 person-years (0.33-1.77) and 11.77/1000 person-years (7.10-19.53), 15.44/1000 person-years (11.72-20.34) and 25.56/1000 person-years (6.29-103.80). Incidence Risk Ratios for liver-specific and overall mortality for NAFLD were 1.94 (1.28-2.92) and 1.05 (0.70-1.56).\\n\\nCONCLUSIONS: As the global epidemic of obesity fuels metabolic conditions, the clinical and economic burden of NAFLD will become enormous.f This article is protected by copyright. All rights reserved.","author":[{"dropping-particle":"","family":"Younossi","given":"Zobair M.","non-dropping-particle":"","parse-names":false,"suffix":""},{"dropping-particle":"","family":"Koenig","given":"Aaron B.","non-dropping-particle":"","parse-names":false,"suffix":""},{"dropping-particle":"","family":"Abdelatif","given":"Dinan","non-dropping-particle":"","parse-names":false,"suffix":""},{"dropping-particle":"","family":"Fazel","given":"Yousef","non-dropping-particle":"","parse-names":false,"suffix":""},{"dropping-particle":"","family":"Henry","given":"Linda","non-dropping-particle":"","parse-names":false,"suffix":""},{"dropping-particle":"","family":"Wymer","given":"Mark","non-dropping-particle":"","parse-names":false,"suffix":""}],"container-title":"Hepatology","id":"ITEM-1","issue":"1","issued":{"date-parts":[["2016"]]},"page":"73-84","title":"Global epidemiology of nonalcoholic fatty liver disease—Meta-analytic assessment of prevalence, incidence, and outcomes","type":"article-journal","volume":"64"},"uris":["http://www.mendeley.com/documents/?uuid=85af8974-1b9e-4dd5-a357-1681e19017c0"]}],"mendeley":{"formattedCitation":"(4)","plainTextFormattedCitation":"(4)","previouslyFormattedCitation":"&lt;sup&gt;4&lt;/sup&gt;"},"properties":{"noteIndex":0},"schema":"https://github.com/citation-style-language/schema/raw/master/csl-citation.json"}</w:instrText>
      </w:r>
      <w:r w:rsidR="004B3C8E" w:rsidRPr="00FA26FB">
        <w:rPr>
          <w:rStyle w:val="ad"/>
          <w:rFonts w:ascii="Book Antiqua" w:hAnsi="Book Antiqua" w:cs="Times New Roman"/>
          <w:bCs/>
          <w:sz w:val="24"/>
          <w:szCs w:val="24"/>
        </w:rPr>
        <w:fldChar w:fldCharType="separate"/>
      </w:r>
      <w:r w:rsidR="000C4B68" w:rsidRPr="00FA26FB">
        <w:rPr>
          <w:rFonts w:ascii="Book Antiqua" w:hAnsi="Book Antiqua" w:cs="Times New Roman"/>
          <w:bCs/>
          <w:noProof/>
          <w:sz w:val="24"/>
          <w:szCs w:val="24"/>
          <w:vertAlign w:val="superscript"/>
        </w:rPr>
        <w:t>[</w:t>
      </w:r>
      <w:r w:rsidR="00EF2A65" w:rsidRPr="00FA26FB">
        <w:rPr>
          <w:rFonts w:ascii="Book Antiqua" w:hAnsi="Book Antiqua" w:cs="Times New Roman"/>
          <w:bCs/>
          <w:noProof/>
          <w:sz w:val="24"/>
          <w:szCs w:val="24"/>
          <w:vertAlign w:val="superscript"/>
        </w:rPr>
        <w:t>4</w:t>
      </w:r>
      <w:r w:rsidR="000C4B68" w:rsidRPr="00FA26FB">
        <w:rPr>
          <w:rFonts w:ascii="Book Antiqua" w:hAnsi="Book Antiqua" w:cs="Times New Roman"/>
          <w:bCs/>
          <w:noProof/>
          <w:sz w:val="24"/>
          <w:szCs w:val="24"/>
          <w:vertAlign w:val="superscript"/>
        </w:rPr>
        <w:t>]</w:t>
      </w:r>
      <w:r w:rsidR="004B3C8E" w:rsidRPr="00FA26FB">
        <w:rPr>
          <w:rStyle w:val="ad"/>
          <w:rFonts w:ascii="Book Antiqua" w:hAnsi="Book Antiqua" w:cs="Times New Roman"/>
          <w:bCs/>
          <w:sz w:val="24"/>
          <w:szCs w:val="24"/>
        </w:rPr>
        <w:fldChar w:fldCharType="end"/>
      </w:r>
      <w:r w:rsidR="008E380A" w:rsidRPr="00FA26FB">
        <w:rPr>
          <w:rFonts w:ascii="Book Antiqua" w:hAnsi="Book Antiqua" w:cs="Times New Roman"/>
          <w:bCs/>
          <w:sz w:val="24"/>
          <w:szCs w:val="24"/>
        </w:rPr>
        <w:t xml:space="preserve"> and is characterized by the presence of liver steatosis in the absence of other causes of fatty liver disease, particularly significant alcohol consumption. </w:t>
      </w:r>
      <w:r w:rsidR="00CD6B9C" w:rsidRPr="00FA26FB">
        <w:rPr>
          <w:rFonts w:ascii="Book Antiqua" w:hAnsi="Book Antiqua" w:cs="Times New Roman"/>
          <w:bCs/>
          <w:sz w:val="24"/>
          <w:szCs w:val="24"/>
        </w:rPr>
        <w:t>Recently</w:t>
      </w:r>
      <w:r w:rsidR="008E380A" w:rsidRPr="00FA26FB">
        <w:rPr>
          <w:rFonts w:ascii="Book Antiqua" w:hAnsi="Book Antiqua" w:cs="Times New Roman"/>
          <w:bCs/>
          <w:sz w:val="24"/>
          <w:szCs w:val="24"/>
        </w:rPr>
        <w:t>,</w:t>
      </w:r>
      <w:r w:rsidR="00CD6B9C" w:rsidRPr="00FA26FB">
        <w:rPr>
          <w:rFonts w:ascii="Book Antiqua" w:hAnsi="Book Antiqua" w:cs="Times New Roman"/>
          <w:bCs/>
          <w:sz w:val="24"/>
          <w:szCs w:val="24"/>
        </w:rPr>
        <w:t xml:space="preserve"> in the general population,</w:t>
      </w:r>
      <w:r w:rsidR="008E380A" w:rsidRPr="00FA26FB">
        <w:rPr>
          <w:rFonts w:ascii="Book Antiqua" w:hAnsi="Book Antiqua" w:cs="Times New Roman"/>
          <w:bCs/>
          <w:sz w:val="24"/>
          <w:szCs w:val="24"/>
        </w:rPr>
        <w:t xml:space="preserve"> </w:t>
      </w:r>
      <w:r w:rsidR="00CD6B9C" w:rsidRPr="00FA26FB">
        <w:rPr>
          <w:rFonts w:ascii="Book Antiqua" w:hAnsi="Book Antiqua" w:cs="Times New Roman"/>
          <w:bCs/>
          <w:sz w:val="24"/>
          <w:szCs w:val="24"/>
        </w:rPr>
        <w:t xml:space="preserve">the prevalence of obesity and </w:t>
      </w:r>
      <w:proofErr w:type="spellStart"/>
      <w:r w:rsidR="00CD6B9C" w:rsidRPr="00FA26FB">
        <w:rPr>
          <w:rFonts w:ascii="Book Antiqua" w:hAnsi="Book Antiqua" w:cs="Times New Roman"/>
          <w:bCs/>
          <w:sz w:val="24"/>
          <w:szCs w:val="24"/>
        </w:rPr>
        <w:t>MetS</w:t>
      </w:r>
      <w:proofErr w:type="spellEnd"/>
      <w:r w:rsidR="00CD6B9C" w:rsidRPr="00FA26FB">
        <w:rPr>
          <w:rFonts w:ascii="Book Antiqua" w:hAnsi="Book Antiqua" w:cs="Times New Roman"/>
          <w:bCs/>
          <w:sz w:val="24"/>
          <w:szCs w:val="24"/>
        </w:rPr>
        <w:t xml:space="preserve"> has been rising</w:t>
      </w:r>
      <w:r w:rsidR="000C4B68" w:rsidRPr="00FA26FB">
        <w:rPr>
          <w:rStyle w:val="ad"/>
          <w:rFonts w:ascii="Book Antiqua" w:hAnsi="Book Antiqua" w:cs="Times New Roman"/>
          <w:bCs/>
          <w:sz w:val="24"/>
          <w:szCs w:val="24"/>
        </w:rPr>
        <w:fldChar w:fldCharType="begin" w:fldLock="1"/>
      </w:r>
      <w:r w:rsidR="000C4B68" w:rsidRPr="00FA26FB">
        <w:rPr>
          <w:rFonts w:ascii="Book Antiqua" w:hAnsi="Book Antiqua" w:cs="Times New Roman"/>
          <w:bCs/>
          <w:sz w:val="24"/>
          <w:szCs w:val="24"/>
          <w:vertAlign w:val="superscript"/>
        </w:rPr>
        <w:instrText>ADDIN CSL_CITATION {"citationItems":[{"id":"ITEM-1","itemData":{"DOI":"ISBN 9789241564854","ISBN":"978 92 4 156485 4","ISSN":"1475-5785","PMID":"16904354","abstract":"Description of the global burden of NCDs, their risk factors and determinants","author":[{"dropping-particle":"","family":"WHO","given":"","non-dropping-particle":"","parse-names":false,"suffix":""}],"container-title":"World Health","id":"ITEM-1","issued":{"date-parts":[["2014"]]},"page":"176","title":"Global status report on noncommunicable diseases 2014","type":"article-journal"},"uris":["http://www.mendeley.com/documents/?uuid=656a05ae-b5ac-406e-b584-d330e750815e"]}],"mendeley":{"formattedCitation":"(5)","plainTextFormattedCitation":"(5)","previouslyFormattedCitation":"&lt;sup&gt;5&lt;/sup&gt;"},"properties":{"noteIndex":0},"schema":"https://github.com/citation-style-language/schema/raw/master/csl-citation.json"}</w:instrText>
      </w:r>
      <w:r w:rsidR="000C4B68" w:rsidRPr="00FA26FB">
        <w:rPr>
          <w:rStyle w:val="ad"/>
          <w:rFonts w:ascii="Book Antiqua" w:hAnsi="Book Antiqua" w:cs="Times New Roman"/>
          <w:bCs/>
          <w:sz w:val="24"/>
          <w:szCs w:val="24"/>
        </w:rPr>
        <w:fldChar w:fldCharType="separate"/>
      </w:r>
      <w:r w:rsidR="000C4B68" w:rsidRPr="00FA26FB">
        <w:rPr>
          <w:rFonts w:ascii="Book Antiqua" w:hAnsi="Book Antiqua" w:cs="Times New Roman"/>
          <w:bCs/>
          <w:noProof/>
          <w:sz w:val="24"/>
          <w:szCs w:val="24"/>
          <w:vertAlign w:val="superscript"/>
        </w:rPr>
        <w:t>[5]</w:t>
      </w:r>
      <w:r w:rsidR="000C4B68" w:rsidRPr="00FA26FB">
        <w:rPr>
          <w:rStyle w:val="ad"/>
          <w:rFonts w:ascii="Book Antiqua" w:hAnsi="Book Antiqua" w:cs="Times New Roman"/>
          <w:bCs/>
          <w:sz w:val="24"/>
          <w:szCs w:val="24"/>
        </w:rPr>
        <w:fldChar w:fldCharType="end"/>
      </w:r>
      <w:r w:rsidR="00CD6B9C" w:rsidRPr="00FA26FB">
        <w:rPr>
          <w:rFonts w:ascii="Book Antiqua" w:hAnsi="Book Antiqua" w:cs="Times New Roman"/>
          <w:bCs/>
          <w:sz w:val="24"/>
          <w:szCs w:val="24"/>
        </w:rPr>
        <w:t>;</w:t>
      </w:r>
      <w:r w:rsidR="008E380A" w:rsidRPr="00FA26FB">
        <w:rPr>
          <w:rFonts w:ascii="Book Antiqua" w:hAnsi="Book Antiqua" w:cs="Times New Roman"/>
          <w:bCs/>
          <w:sz w:val="24"/>
          <w:szCs w:val="24"/>
        </w:rPr>
        <w:t xml:space="preserve"> </w:t>
      </w:r>
      <w:r w:rsidR="00CD6B9C" w:rsidRPr="00FA26FB">
        <w:rPr>
          <w:rFonts w:ascii="Book Antiqua" w:hAnsi="Book Antiqua" w:cs="Times New Roman"/>
          <w:bCs/>
          <w:sz w:val="24"/>
          <w:szCs w:val="24"/>
        </w:rPr>
        <w:t>this increase presumably positively correlates with cases of NAFLD</w:t>
      </w:r>
      <w:r w:rsidR="008E380A" w:rsidRPr="00FA26FB">
        <w:rPr>
          <w:rFonts w:ascii="Book Antiqua" w:hAnsi="Book Antiqua" w:cs="Times New Roman"/>
          <w:bCs/>
          <w:sz w:val="24"/>
          <w:szCs w:val="24"/>
        </w:rPr>
        <w:t xml:space="preserve">. </w:t>
      </w:r>
      <w:r w:rsidR="00CD6B9C" w:rsidRPr="00FA26FB">
        <w:rPr>
          <w:rFonts w:ascii="Book Antiqua" w:hAnsi="Book Antiqua" w:cs="Times New Roman"/>
          <w:bCs/>
          <w:color w:val="000000"/>
          <w:sz w:val="24"/>
          <w:szCs w:val="24"/>
        </w:rPr>
        <w:t>Globally, NAFLD is estimated to afflict approximately 25.24% (95%CI: 22.10-28.65) of the population</w:t>
      </w:r>
      <w:r w:rsidR="000C4B68" w:rsidRPr="00FA26FB">
        <w:rPr>
          <w:rStyle w:val="ad"/>
          <w:rFonts w:ascii="Book Antiqua" w:hAnsi="Book Antiqua" w:cs="Times New Roman"/>
          <w:bCs/>
          <w:color w:val="000000"/>
          <w:sz w:val="24"/>
          <w:szCs w:val="24"/>
        </w:rPr>
        <w:fldChar w:fldCharType="begin" w:fldLock="1"/>
      </w:r>
      <w:r w:rsidR="000C4B68" w:rsidRPr="00FA26FB">
        <w:rPr>
          <w:rFonts w:ascii="Book Antiqua" w:hAnsi="Book Antiqua" w:cs="Times New Roman"/>
          <w:bCs/>
          <w:color w:val="000000"/>
          <w:sz w:val="24"/>
          <w:szCs w:val="24"/>
          <w:vertAlign w:val="superscript"/>
        </w:rPr>
        <w:instrText>ADDIN CSL_CITATION {"citationItems":[{"id":"ITEM-1","itemData":{"DOI":"10.1002/hep.29367","ISBN":"1317278194","ISSN":"15273350","PMID":"28714183","abstract":"Preamble This guidance provides a data-supported approach to the diagnostic, therapeutic, and preventive aspects of nonalcoholic fatty liver disease (NAFLD) care. A \" Guidance \" document is different from a \" Guideline. \" Guidelines are developed by a multidisciplinary panel of experts and rate the quality (level) of the evidence and the strength of each recommendation using the Grading Abbreviations: AASLD, American Association for the Study of Liver Diseases; ACG, American College of Gastroenterology; AIH, autoimmune hepa-titis; ALT, alanine aminotransferase; APRI, AST to platelet ratio index; AST, aspartate aminotransferase; AUROC, area under the receiver operating","author":[{"dropping-particle":"","family":"Chalasani","given":"Naga","non-dropping-particle":"","parse-names":false,"suffix":""},{"dropping-particle":"","family":"Younossi","given":"Zobair","non-dropping-particle":"","parse-names":false,"suffix":""},{"dropping-particle":"","family":"Lavine","given":"Joel E.","non-dropping-particle":"","parse-names":false,"suffix":""},{"dropping-particle":"","family":"Charlton","given":"Michael","non-dropping-particle":"","parse-names":false,"suffix":""},{"dropping-particle":"","family":"Cusi","given":"Kenneth","non-dropping-particle":"","parse-names":false,"suffix":""},{"dropping-particle":"","family":"Rinella","given":"Mary","non-dropping-particle":"","parse-names":false,"suffix":""},{"dropping-particle":"","family":"Harrison","given":"Stephen A.","non-dropping-particle":"","parse-names":false,"suffix":""},{"dropping-particle":"","family":"Brunt","given":"Elizabeth M.","non-dropping-particle":"","parse-names":false,"suffix":""},{"dropping-particle":"","family":"Sanyal","given":"Arun J.","non-dropping-particle":"","parse-names":false,"suffix":""}],"container-title":"Hepatology","id":"ITEM-1","issue":"1","issued":{"date-parts":[["2018"]]},"page":"328-357","title":"The diagnosis and management of nonalcoholic fatty liver disease: Practice guidance from the American Association for the Study of Liver Diseases","type":"article-journal","volume":"67"},"uris":["http://www.mendeley.com/documents/?uuid=de78a093-2a97-4056-bc71-c2aca6cd9ce1"]}],"mendeley":{"formattedCitation":"(6)","plainTextFormattedCitation":"(6)","previouslyFormattedCitation":"&lt;sup&gt;6&lt;/sup&gt;"},"properties":{"noteIndex":0},"schema":"https://github.com/citation-style-language/schema/raw/master/csl-citation.json"}</w:instrText>
      </w:r>
      <w:r w:rsidR="000C4B68" w:rsidRPr="00FA26FB">
        <w:rPr>
          <w:rStyle w:val="ad"/>
          <w:rFonts w:ascii="Book Antiqua" w:hAnsi="Book Antiqua" w:cs="Times New Roman"/>
          <w:bCs/>
          <w:color w:val="000000"/>
          <w:sz w:val="24"/>
          <w:szCs w:val="24"/>
        </w:rPr>
        <w:fldChar w:fldCharType="separate"/>
      </w:r>
      <w:r w:rsidR="000C4B68" w:rsidRPr="00FA26FB">
        <w:rPr>
          <w:rFonts w:ascii="Book Antiqua" w:hAnsi="Book Antiqua" w:cs="Times New Roman"/>
          <w:bCs/>
          <w:noProof/>
          <w:color w:val="000000"/>
          <w:sz w:val="24"/>
          <w:szCs w:val="24"/>
          <w:vertAlign w:val="superscript"/>
        </w:rPr>
        <w:t>[6]</w:t>
      </w:r>
      <w:r w:rsidR="000C4B68" w:rsidRPr="00FA26FB">
        <w:rPr>
          <w:rStyle w:val="ad"/>
          <w:rFonts w:ascii="Book Antiqua" w:hAnsi="Book Antiqua" w:cs="Times New Roman"/>
          <w:bCs/>
          <w:color w:val="000000"/>
          <w:sz w:val="24"/>
          <w:szCs w:val="24"/>
        </w:rPr>
        <w:fldChar w:fldCharType="end"/>
      </w:r>
      <w:r w:rsidR="00CD6B9C" w:rsidRPr="00FA26FB">
        <w:rPr>
          <w:rFonts w:ascii="Book Antiqua" w:hAnsi="Book Antiqua" w:cs="Times New Roman"/>
          <w:bCs/>
          <w:color w:val="000000"/>
          <w:sz w:val="24"/>
          <w:szCs w:val="24"/>
        </w:rPr>
        <w:t>,</w:t>
      </w:r>
      <w:r w:rsidR="008E380A" w:rsidRPr="00FA26FB">
        <w:rPr>
          <w:rFonts w:ascii="Book Antiqua" w:hAnsi="Book Antiqua" w:cs="Times New Roman"/>
          <w:bCs/>
          <w:sz w:val="24"/>
          <w:szCs w:val="24"/>
        </w:rPr>
        <w:t xml:space="preserve"> and is </w:t>
      </w:r>
      <w:r w:rsidR="00CD6B9C" w:rsidRPr="00FA26FB">
        <w:rPr>
          <w:rFonts w:ascii="Book Antiqua" w:hAnsi="Book Antiqua" w:cs="Times New Roman"/>
          <w:bCs/>
          <w:sz w:val="24"/>
          <w:szCs w:val="24"/>
        </w:rPr>
        <w:t>on track</w:t>
      </w:r>
      <w:r w:rsidR="008E380A" w:rsidRPr="00FA26FB">
        <w:rPr>
          <w:rFonts w:ascii="Book Antiqua" w:hAnsi="Book Antiqua" w:cs="Times New Roman"/>
          <w:bCs/>
          <w:sz w:val="24"/>
          <w:szCs w:val="24"/>
        </w:rPr>
        <w:t xml:space="preserve"> to becom</w:t>
      </w:r>
      <w:r w:rsidR="00CD6B9C" w:rsidRPr="00FA26FB">
        <w:rPr>
          <w:rFonts w:ascii="Book Antiqua" w:hAnsi="Book Antiqua" w:cs="Times New Roman"/>
          <w:bCs/>
          <w:sz w:val="24"/>
          <w:szCs w:val="24"/>
        </w:rPr>
        <w:t>ing</w:t>
      </w:r>
      <w:r w:rsidR="008E380A" w:rsidRPr="00FA26FB">
        <w:rPr>
          <w:rFonts w:ascii="Book Antiqua" w:hAnsi="Book Antiqua" w:cs="Times New Roman"/>
          <w:bCs/>
          <w:sz w:val="24"/>
          <w:szCs w:val="24"/>
        </w:rPr>
        <w:t xml:space="preserve"> the leading cause of liver transplantation in the </w:t>
      </w:r>
      <w:r w:rsidR="00CD6B9C" w:rsidRPr="00FA26FB">
        <w:rPr>
          <w:rFonts w:ascii="Book Antiqua" w:hAnsi="Book Antiqua" w:cs="Times New Roman"/>
          <w:bCs/>
          <w:sz w:val="24"/>
          <w:szCs w:val="24"/>
        </w:rPr>
        <w:t>near future</w:t>
      </w:r>
      <w:r w:rsidR="008E380A" w:rsidRPr="00FA26FB">
        <w:rPr>
          <w:rFonts w:ascii="Book Antiqua" w:hAnsi="Book Antiqua" w:cs="Times New Roman"/>
          <w:bCs/>
          <w:sz w:val="24"/>
          <w:szCs w:val="24"/>
        </w:rPr>
        <w:t xml:space="preserve">. Similarly, the prevalence of ALD is on the rise. Currently, it affects nearly 8% of the general population in the United States. </w:t>
      </w:r>
      <w:r w:rsidR="00CD6B9C" w:rsidRPr="00FA26FB">
        <w:rPr>
          <w:rFonts w:ascii="Book Antiqua" w:hAnsi="Book Antiqua" w:cs="Times New Roman"/>
          <w:bCs/>
          <w:sz w:val="24"/>
          <w:szCs w:val="24"/>
        </w:rPr>
        <w:t>Alcohol appears to differentially induce toxic effects on the liver based on sex: it takes approximately twice the volume of alcohol and a longer duration of alcohol consumption for men to develop ALD compared to women</w:t>
      </w:r>
      <w:r w:rsidR="000C4B68" w:rsidRPr="00FA26FB">
        <w:rPr>
          <w:rStyle w:val="ad"/>
          <w:rFonts w:ascii="Book Antiqua" w:hAnsi="Book Antiqua" w:cs="Times New Roman"/>
          <w:bCs/>
          <w:sz w:val="24"/>
          <w:szCs w:val="24"/>
        </w:rPr>
        <w:fldChar w:fldCharType="begin" w:fldLock="1"/>
      </w:r>
      <w:r w:rsidR="000C4B68" w:rsidRPr="00FA26FB">
        <w:rPr>
          <w:rFonts w:ascii="Book Antiqua" w:hAnsi="Book Antiqua" w:cs="Times New Roman"/>
          <w:bCs/>
          <w:sz w:val="24"/>
          <w:szCs w:val="24"/>
          <w:vertAlign w:val="superscript"/>
        </w:rPr>
        <w:instrText>ADDIN CSL_CITATION {"citationItems":[{"id":"ITEM-1","itemData":{"ISSN":"0145-6008","PMID":"11391047","abstract":"This article represents the proceedings of a symposium at the 2000 ISBRA Meeting in Yokohama, Japan. The chairs were Nobuhiro Sato and Kai O. Lindros. The presentations were (1) Sex differences in ethanol pharmacokinetics, by E. Baraona; (2) Estrogen regulates the sensitivity to endotoxin in hepatic Kupffer cells, by K. Ikejima; (3) Sex difference in alcohol-related organ injury, by E. Mezey; (4) Aggravated ethanol-induced liver injury in female rats: Protection by the antiestrogen toremifene, by Harri A. Järveläinen; and (5) Alcohol metabolism in Asian subjects: Sex differences and flushing response, by V. A. Ramchandani.","author":[{"dropping-particle":"","family":"Sato","given":"N","non-dropping-particle":"","parse-names":false,"suffix":""},{"dropping-particle":"","family":"Lindros","given":"K O","non-dropping-particle":"","parse-names":false,"suffix":""},{"dropping-particle":"","family":"Baraona","given":"E","non-dropping-particle":"","parse-names":false,"suffix":""},{"dropping-particle":"","family":"Ikejima","given":"K","non-dropping-particle":"","parse-names":false,"suffix":""},{"dropping-particle":"","family":"Mezey","given":"E","non-dropping-particle":"","parse-names":false,"suffix":""},{"dropping-particle":"","family":"Järveläinen","given":"H A","non-dropping-particle":"","parse-names":false,"suffix":""},{"dropping-particle":"","family":"Ramchandani","given":"V A","non-dropping-particle":"","parse-names":false,"suffix":""}],"container-title":"Alcoholism, clinical and experimental research","id":"ITEM-1","issue":"5 Suppl ISBRA","issued":{"date-parts":[["2001","5"]]},"page":"40S-45S","title":"Sex difference in alcohol-related organ injury.","type":"article-journal","volume":"25"},"uris":["http://www.mendeley.com/documents/?uuid=9047362c-0d28-31ae-ac96-3ae9358b3ae2"]}],"mendeley":{"formattedCitation":"(7)","plainTextFormattedCitation":"(7)","previouslyFormattedCitation":"&lt;sup&gt;7&lt;/sup&gt;"},"properties":{"noteIndex":0},"schema":"https://github.com/citation-style-language/schema/raw/master/csl-citation.json"}</w:instrText>
      </w:r>
      <w:r w:rsidR="000C4B68" w:rsidRPr="00FA26FB">
        <w:rPr>
          <w:rStyle w:val="ad"/>
          <w:rFonts w:ascii="Book Antiqua" w:hAnsi="Book Antiqua" w:cs="Times New Roman"/>
          <w:bCs/>
          <w:sz w:val="24"/>
          <w:szCs w:val="24"/>
        </w:rPr>
        <w:fldChar w:fldCharType="separate"/>
      </w:r>
      <w:r w:rsidR="000C4B68" w:rsidRPr="00FA26FB">
        <w:rPr>
          <w:rFonts w:ascii="Book Antiqua" w:hAnsi="Book Antiqua" w:cs="Times New Roman"/>
          <w:bCs/>
          <w:noProof/>
          <w:sz w:val="24"/>
          <w:szCs w:val="24"/>
          <w:vertAlign w:val="superscript"/>
        </w:rPr>
        <w:t>[7]</w:t>
      </w:r>
      <w:r w:rsidR="000C4B68" w:rsidRPr="00FA26FB">
        <w:rPr>
          <w:rStyle w:val="ad"/>
          <w:rFonts w:ascii="Book Antiqua" w:hAnsi="Book Antiqua" w:cs="Times New Roman"/>
          <w:bCs/>
          <w:sz w:val="24"/>
          <w:szCs w:val="24"/>
        </w:rPr>
        <w:fldChar w:fldCharType="end"/>
      </w:r>
      <w:r w:rsidR="008E380A" w:rsidRPr="00FA26FB">
        <w:rPr>
          <w:rFonts w:ascii="Book Antiqua" w:hAnsi="Book Antiqua" w:cs="Times New Roman"/>
          <w:bCs/>
          <w:sz w:val="24"/>
          <w:szCs w:val="24"/>
        </w:rPr>
        <w:t xml:space="preserve">. </w:t>
      </w:r>
      <w:r w:rsidR="00AD7983" w:rsidRPr="00FA26FB">
        <w:rPr>
          <w:rFonts w:ascii="Book Antiqua" w:hAnsi="Book Antiqua" w:cs="Times New Roman"/>
          <w:bCs/>
          <w:sz w:val="24"/>
          <w:szCs w:val="24"/>
        </w:rPr>
        <w:t>In men, ethnicity appears to affect rates and outcomes of alcoholic cirrhosis: incidence is highest in African-Americans followed by Hispanics then Caucasians; however, Hispanic males have the highest mortality rates from alcoholic cirrhosis</w:t>
      </w:r>
      <w:r w:rsidR="000C4B68" w:rsidRPr="00FA26FB">
        <w:rPr>
          <w:rStyle w:val="ad"/>
          <w:rFonts w:ascii="Book Antiqua" w:hAnsi="Book Antiqua" w:cs="Times New Roman"/>
          <w:bCs/>
          <w:sz w:val="24"/>
          <w:szCs w:val="24"/>
        </w:rPr>
        <w:fldChar w:fldCharType="begin" w:fldLock="1"/>
      </w:r>
      <w:r w:rsidR="000C4B68" w:rsidRPr="00FA26FB">
        <w:rPr>
          <w:rFonts w:ascii="Book Antiqua" w:hAnsi="Book Antiqua" w:cs="Times New Roman"/>
          <w:bCs/>
          <w:sz w:val="24"/>
          <w:szCs w:val="24"/>
          <w:vertAlign w:val="superscript"/>
        </w:rPr>
        <w:instrText>ADDIN CSL_CITATION {"citationItems":[{"id":"ITEM-1","itemData":{"DOI":"10.4254/wjh.v3.i5.108","ISSN":"19485182","PMID":"21731902","abstract":"Alcoholic liver disease (ALD) is a major cause of alcohol-related morbidity and mortality. Its presentation ranges from fatty liver to alcoholic hepatitis (AH), cirrhosis, and hepatocellular carcinoma. Although the amount and pattern of alcohol consumption is a well recognized predisposing factor for the development of serious liver pathology, environmental factors and the host's genetic make-up may also play significant roles that have not yet been entirely explored. Continuing alcohol consumption is a major factor that influences the survival of patients with AH. The presence of cirrhosis at presentation or its development on follow up is a major factor determining the outcome in the long run. This chapter deals with the epidemiology and magnitude of ALD in general and AH in particular.","author":[{"dropping-particle":"","family":"Basra","given":"Sarpreet","non-dropping-particle":"","parse-names":false,"suffix":""},{"dropping-particle":"","family":"Anand","given":"Bhupinderjit S.","non-dropping-particle":"","parse-names":false,"suffix":""}],"container-title":"World Journal of Hepatology","id":"ITEM-1","issue":"5","issued":{"date-parts":[["2011"]]},"page":"108-113","title":"Definition, epidemiology and magnitude of alcoholic hepatitis","type":"article-journal","volume":"3"},"uris":["http://www.mendeley.com/documents/?uuid=0e0f2250-2192-4ad3-9991-a6658a2f9936"]},{"id":"ITEM-2","itemData":{"ISSN":"0145-6008","PMID":"11505049","abstract":"BACKGROUND In 1997, liver cirrhosis was the 10th leading cause of death in the United States. Beginning in the 1950s, liver cirrhosis mortality rates have been consistently higher for black than for white men and women. There has been a gradual adoption of the recommendation that all death certificates include information on the Hispanic origin of decedents, with universal adoption in the 1997 data year. It is the purpose of this study to examine the extent to which relative risks for cirrhosis mortality might shift for different demographic groups when Hispanic origin is considered along with the race and sex of the decedent. METHODS Age-adjusted death rates were calculated for liver cirrhosis by using public-use data files produced by the National Center for Health Statistics. Trends in cirrhosis mortality rates from 1991 through 1997 are shown for white Hispanic, white non-Hispanic, black Hispanic, and black non-Hispanic men and women. RESULTS In 1997, white Hispanic men show the highest cirrhosis mortality rates over the period examined, followed by black non-Hispanic and white non-Hispanic men, white Hispanic women, and black non-Hispanic and white non-Hispanic women. Among Hispanic decedents, the largest group was of Mexican ancestry, with large numbers being born outside the United States and having low education levels. CONCLUSIONS The findings of higher risk for cirrhosis mortality among white men and women of Hispanic origin serve to focus new attention on these demographic groups. Collateral analyses of other causes of death do not support alternate explanations of these findings as artifacts of demographic misclassification. Future studies of amounts and patterns of alcohol consumption should include Hispanic origin among demographic factors examined.","author":[{"dropping-particle":"","family":"Stinson","given":"F S","non-dropping-particle":"","parse-names":false,"suffix":""},{"dropping-particle":"","family":"Grant","given":"B F","non-dropping-particle":"","parse-names":false,"suffix":""},{"dropping-particle":"","family":"Dufour","given":"M C","non-dropping-particle":"","parse-names":false,"suffix":""}],"container-title":"Alcoholism, clinical and experimental research","id":"ITEM-2","issue":"8","issued":{"date-parts":[["2001","8"]]},"page":"1181-7","title":"The critical dimension of ethnicity in liver cirrhosis mortality statistics.","type":"article-journal","volume":"25"},"uris":["http://www.mendeley.com/documents/?uuid=f1dcc7b2-7db0-3f26-bd2c-9163b86dc9a4"]}],"mendeley":{"formattedCitation":"(8,9)","plainTextFormattedCitation":"(8,9)","previouslyFormattedCitation":"&lt;sup&gt;8,9&lt;/sup&gt;"},"properties":{"noteIndex":0},"schema":"https://github.com/citation-style-language/schema/raw/master/csl-citation.json"}</w:instrText>
      </w:r>
      <w:r w:rsidR="000C4B68" w:rsidRPr="00FA26FB">
        <w:rPr>
          <w:rStyle w:val="ad"/>
          <w:rFonts w:ascii="Book Antiqua" w:hAnsi="Book Antiqua" w:cs="Times New Roman"/>
          <w:bCs/>
          <w:sz w:val="24"/>
          <w:szCs w:val="24"/>
        </w:rPr>
        <w:fldChar w:fldCharType="separate"/>
      </w:r>
      <w:r w:rsidR="000C4B68" w:rsidRPr="00FA26FB">
        <w:rPr>
          <w:rFonts w:ascii="Book Antiqua" w:hAnsi="Book Antiqua" w:cs="Times New Roman"/>
          <w:bCs/>
          <w:noProof/>
          <w:sz w:val="24"/>
          <w:szCs w:val="24"/>
          <w:vertAlign w:val="superscript"/>
        </w:rPr>
        <w:t>[8,9]</w:t>
      </w:r>
      <w:r w:rsidR="000C4B68" w:rsidRPr="00FA26FB">
        <w:rPr>
          <w:rStyle w:val="ad"/>
          <w:rFonts w:ascii="Book Antiqua" w:hAnsi="Book Antiqua" w:cs="Times New Roman"/>
          <w:bCs/>
          <w:sz w:val="24"/>
          <w:szCs w:val="24"/>
        </w:rPr>
        <w:fldChar w:fldCharType="end"/>
      </w:r>
      <w:r w:rsidR="008E380A" w:rsidRPr="00FA26FB">
        <w:rPr>
          <w:rFonts w:ascii="Book Antiqua" w:hAnsi="Book Antiqua" w:cs="Times New Roman"/>
          <w:bCs/>
          <w:sz w:val="24"/>
          <w:szCs w:val="24"/>
        </w:rPr>
        <w:t xml:space="preserve">. </w:t>
      </w:r>
    </w:p>
    <w:p w14:paraId="03C4AAE6" w14:textId="4823C04B" w:rsidR="008E380A" w:rsidRPr="00FA26FB" w:rsidRDefault="00AD7983" w:rsidP="002C1F15">
      <w:pPr>
        <w:spacing w:after="0" w:line="360" w:lineRule="auto"/>
        <w:ind w:firstLine="720"/>
        <w:jc w:val="both"/>
        <w:rPr>
          <w:rFonts w:ascii="Book Antiqua" w:hAnsi="Book Antiqua" w:cs="Times New Roman"/>
          <w:bCs/>
          <w:sz w:val="24"/>
          <w:szCs w:val="24"/>
        </w:rPr>
      </w:pPr>
      <w:r w:rsidRPr="00FA26FB">
        <w:rPr>
          <w:rFonts w:ascii="Book Antiqua" w:hAnsi="Book Antiqua" w:cs="Times New Roman"/>
          <w:bCs/>
          <w:sz w:val="24"/>
          <w:szCs w:val="24"/>
        </w:rPr>
        <w:t xml:space="preserve">In a substantial proportion of the population, the risk factors that contribute to each of the two main types of fatty liver disease coexist within a given individual. Alcohol consumption sensitizes the liver to damage induced by </w:t>
      </w:r>
      <w:proofErr w:type="spellStart"/>
      <w:r w:rsidRPr="00FA26FB">
        <w:rPr>
          <w:rFonts w:ascii="Book Antiqua" w:hAnsi="Book Antiqua" w:cs="Times New Roman"/>
          <w:bCs/>
          <w:sz w:val="24"/>
          <w:szCs w:val="24"/>
        </w:rPr>
        <w:t>MetS</w:t>
      </w:r>
      <w:proofErr w:type="spellEnd"/>
      <w:r w:rsidRPr="00FA26FB">
        <w:rPr>
          <w:rFonts w:ascii="Book Antiqua" w:hAnsi="Book Antiqua" w:cs="Times New Roman"/>
          <w:bCs/>
          <w:sz w:val="24"/>
          <w:szCs w:val="24"/>
        </w:rPr>
        <w:t xml:space="preserve"> and vice versa; this could result in concurrent ALD and NAFLD in the same liver. We propose to call this scenario </w:t>
      </w:r>
      <w:r w:rsidR="000C4B68" w:rsidRPr="00FA26FB">
        <w:rPr>
          <w:rFonts w:ascii="Book Antiqua" w:hAnsi="Book Antiqua" w:cs="Times New Roman"/>
          <w:bCs/>
          <w:sz w:val="24"/>
          <w:szCs w:val="24"/>
        </w:rPr>
        <w:t>both alco</w:t>
      </w:r>
      <w:r w:rsidRPr="00FA26FB">
        <w:rPr>
          <w:rFonts w:ascii="Book Antiqua" w:hAnsi="Book Antiqua" w:cs="Times New Roman"/>
          <w:bCs/>
          <w:sz w:val="24"/>
          <w:szCs w:val="24"/>
        </w:rPr>
        <w:t xml:space="preserve">holic and </w:t>
      </w:r>
      <w:r w:rsidR="000C4B68" w:rsidRPr="00FA26FB">
        <w:rPr>
          <w:rFonts w:ascii="Book Antiqua" w:hAnsi="Book Antiqua" w:cs="Times New Roman"/>
          <w:bCs/>
          <w:sz w:val="24"/>
          <w:szCs w:val="24"/>
        </w:rPr>
        <w:t>NAFLD</w:t>
      </w:r>
      <w:r w:rsidRPr="00FA26FB">
        <w:rPr>
          <w:rFonts w:ascii="Book Antiqua" w:hAnsi="Book Antiqua" w:cs="Times New Roman"/>
          <w:bCs/>
          <w:sz w:val="24"/>
          <w:szCs w:val="24"/>
        </w:rPr>
        <w:t xml:space="preserve"> (BAFLD)</w:t>
      </w:r>
      <w:r w:rsidR="008E380A" w:rsidRPr="00FA26FB">
        <w:rPr>
          <w:rFonts w:ascii="Book Antiqua" w:hAnsi="Book Antiqua" w:cs="Times New Roman"/>
          <w:bCs/>
          <w:sz w:val="24"/>
          <w:szCs w:val="24"/>
        </w:rPr>
        <w:t xml:space="preserve">. We also believe that due to the presence of risk factors </w:t>
      </w:r>
      <w:r w:rsidRPr="00FA26FB">
        <w:rPr>
          <w:rFonts w:ascii="Book Antiqua" w:hAnsi="Book Antiqua" w:cs="Times New Roman"/>
          <w:bCs/>
          <w:sz w:val="24"/>
          <w:szCs w:val="24"/>
        </w:rPr>
        <w:t>for</w:t>
      </w:r>
      <w:r w:rsidR="008E380A" w:rsidRPr="00FA26FB">
        <w:rPr>
          <w:rFonts w:ascii="Book Antiqua" w:hAnsi="Book Antiqua" w:cs="Times New Roman"/>
          <w:bCs/>
          <w:sz w:val="24"/>
          <w:szCs w:val="24"/>
        </w:rPr>
        <w:t xml:space="preserve"> both ALD and NAFLD, patients with BAFLD are at higher risk of advanced fibrosis (AF) and complications related to end-stage liver disease. Studies describing the combined effect of alcohol consumption and </w:t>
      </w:r>
      <w:proofErr w:type="spellStart"/>
      <w:r w:rsidR="008E380A" w:rsidRPr="00FA26FB">
        <w:rPr>
          <w:rFonts w:ascii="Book Antiqua" w:hAnsi="Book Antiqua" w:cs="Times New Roman"/>
          <w:bCs/>
          <w:sz w:val="24"/>
          <w:szCs w:val="24"/>
        </w:rPr>
        <w:t>MetS</w:t>
      </w:r>
      <w:proofErr w:type="spellEnd"/>
      <w:r w:rsidR="008E380A" w:rsidRPr="00FA26FB">
        <w:rPr>
          <w:rFonts w:ascii="Book Antiqua" w:hAnsi="Book Antiqua" w:cs="Times New Roman"/>
          <w:bCs/>
          <w:sz w:val="24"/>
          <w:szCs w:val="24"/>
        </w:rPr>
        <w:t xml:space="preserve"> on hepatic </w:t>
      </w:r>
      <w:proofErr w:type="spellStart"/>
      <w:r w:rsidR="008E380A" w:rsidRPr="00FA26FB">
        <w:rPr>
          <w:rFonts w:ascii="Book Antiqua" w:hAnsi="Book Antiqua" w:cs="Times New Roman"/>
          <w:bCs/>
          <w:sz w:val="24"/>
          <w:szCs w:val="24"/>
        </w:rPr>
        <w:t>steatosis</w:t>
      </w:r>
      <w:proofErr w:type="spellEnd"/>
      <w:r w:rsidR="008E380A" w:rsidRPr="00FA26FB">
        <w:rPr>
          <w:rFonts w:ascii="Book Antiqua" w:hAnsi="Book Antiqua" w:cs="Times New Roman"/>
          <w:bCs/>
          <w:sz w:val="24"/>
          <w:szCs w:val="24"/>
        </w:rPr>
        <w:t xml:space="preserve"> are scarce. </w:t>
      </w:r>
      <w:proofErr w:type="spellStart"/>
      <w:r w:rsidR="009962E7" w:rsidRPr="00FA26FB">
        <w:rPr>
          <w:rFonts w:ascii="Book Antiqua" w:hAnsi="Book Antiqua" w:cs="Times New Roman"/>
          <w:bCs/>
          <w:sz w:val="24"/>
          <w:szCs w:val="24"/>
        </w:rPr>
        <w:t>MetS</w:t>
      </w:r>
      <w:proofErr w:type="spellEnd"/>
      <w:r w:rsidR="009962E7" w:rsidRPr="00FA26FB">
        <w:rPr>
          <w:rFonts w:ascii="Book Antiqua" w:hAnsi="Book Antiqua" w:cs="Times New Roman"/>
          <w:bCs/>
          <w:sz w:val="24"/>
          <w:szCs w:val="24"/>
        </w:rPr>
        <w:t xml:space="preserve"> and excess alcohol consumption are likely responsive to modifiable dietary and lifestyle factors; therefore, understanding their reciprocal interaction and combined effect on the liver might lead to a better understanding of BAFLD pathogenesis as well as strategies for treatment and prevention</w:t>
      </w:r>
      <w:r w:rsidR="000C4B68" w:rsidRPr="00FA26FB">
        <w:rPr>
          <w:rStyle w:val="ad"/>
          <w:rFonts w:ascii="Book Antiqua" w:hAnsi="Book Antiqua" w:cs="Times New Roman"/>
          <w:bCs/>
          <w:sz w:val="24"/>
          <w:szCs w:val="24"/>
        </w:rPr>
        <w:fldChar w:fldCharType="begin" w:fldLock="1"/>
      </w:r>
      <w:r w:rsidR="000C4B68" w:rsidRPr="00FA26FB">
        <w:rPr>
          <w:rFonts w:ascii="Book Antiqua" w:hAnsi="Book Antiqua" w:cs="Times New Roman"/>
          <w:bCs/>
          <w:sz w:val="24"/>
          <w:szCs w:val="24"/>
          <w:vertAlign w:val="superscript"/>
        </w:rPr>
        <w:instrText>ADDIN CSL_CITATION {"citationItems":[{"id":"ITEM-1","itemData":{"DOI":"10.1053/gast.2002.36572","ISBN":"0016-5085","ISSN":"00165085","PMID":"12404245","abstract":"NAFLD is a major cause of liver-related morbidity in North America. It is frequently associated with the presence of insulin resistance. There is increasing evidence that NAFLD can progress to cirrhosis and liver failure. Physicians should actively check for the presence of NAFLD in those who are overweight and/or diabetic. There is no established treatment for NAFLD. Treatment usually is directed toward optimizing body weight. The role of pharmacologic agents remains to be established, and much more work is necessary to define the pathogenesis of this condition and to develop effective treatment.","author":[{"dropping-particle":"","family":"Sanyal","given":"Arun J.","non-dropping-particle":"","parse-names":false,"suffix":""}],"container-title":"Gastroenterology","id":"ITEM-1","issue":"5","issued":{"date-parts":[["2002"]]},"page":"1705-1725","title":"AGA technical review on nonalcoholic fatty liver disease","type":"article-journal","volume":"123"},"uris":["http://www.mendeley.com/documents/?uuid=d4fced51-8e9a-4f5a-b106-132373f9981f"]}],"mendeley":{"formattedCitation":"(10)","plainTextFormattedCitation":"(10)","previouslyFormattedCitation":"&lt;sup&gt;10&lt;/sup&gt;"},"properties":{"noteIndex":0},"schema":"https://github.com/citation-style-language/schema/raw/master/csl-citation.json"}</w:instrText>
      </w:r>
      <w:r w:rsidR="000C4B68" w:rsidRPr="00FA26FB">
        <w:rPr>
          <w:rStyle w:val="ad"/>
          <w:rFonts w:ascii="Book Antiqua" w:hAnsi="Book Antiqua" w:cs="Times New Roman"/>
          <w:bCs/>
          <w:sz w:val="24"/>
          <w:szCs w:val="24"/>
        </w:rPr>
        <w:fldChar w:fldCharType="separate"/>
      </w:r>
      <w:r w:rsidR="000C4B68" w:rsidRPr="00FA26FB">
        <w:rPr>
          <w:rFonts w:ascii="Book Antiqua" w:hAnsi="Book Antiqua" w:cs="Times New Roman"/>
          <w:bCs/>
          <w:noProof/>
          <w:sz w:val="24"/>
          <w:szCs w:val="24"/>
          <w:vertAlign w:val="superscript"/>
        </w:rPr>
        <w:t>[10]</w:t>
      </w:r>
      <w:r w:rsidR="000C4B68" w:rsidRPr="00FA26FB">
        <w:rPr>
          <w:rStyle w:val="ad"/>
          <w:rFonts w:ascii="Book Antiqua" w:hAnsi="Book Antiqua" w:cs="Times New Roman"/>
          <w:bCs/>
          <w:sz w:val="24"/>
          <w:szCs w:val="24"/>
        </w:rPr>
        <w:fldChar w:fldCharType="end"/>
      </w:r>
      <w:r w:rsidR="008E380A" w:rsidRPr="00FA26FB">
        <w:rPr>
          <w:rFonts w:ascii="Book Antiqua" w:hAnsi="Book Antiqua" w:cs="Times New Roman"/>
          <w:bCs/>
          <w:sz w:val="24"/>
          <w:szCs w:val="24"/>
        </w:rPr>
        <w:t xml:space="preserve">. </w:t>
      </w:r>
      <w:r w:rsidR="009962E7" w:rsidRPr="00FA26FB">
        <w:rPr>
          <w:rFonts w:ascii="Book Antiqua" w:hAnsi="Book Antiqua" w:cs="Times New Roman"/>
          <w:bCs/>
          <w:sz w:val="24"/>
          <w:szCs w:val="24"/>
        </w:rPr>
        <w:t xml:space="preserve">The aim of </w:t>
      </w:r>
      <w:r w:rsidR="009962E7" w:rsidRPr="00FA26FB">
        <w:rPr>
          <w:rFonts w:ascii="Book Antiqua" w:hAnsi="Book Antiqua" w:cs="Times New Roman"/>
          <w:bCs/>
          <w:sz w:val="24"/>
          <w:szCs w:val="24"/>
        </w:rPr>
        <w:lastRenderedPageBreak/>
        <w:t>this study was to determine and compare the prevalence and clinical characteristics of BAFLD to NAFLD in a large cohort of subjects in the United States</w:t>
      </w:r>
      <w:r w:rsidR="008E380A" w:rsidRPr="00FA26FB">
        <w:rPr>
          <w:rFonts w:ascii="Book Antiqua" w:hAnsi="Book Antiqua" w:cs="Times New Roman"/>
          <w:bCs/>
          <w:sz w:val="24"/>
          <w:szCs w:val="24"/>
        </w:rPr>
        <w:t>.</w:t>
      </w:r>
    </w:p>
    <w:p w14:paraId="2ADCE337" w14:textId="77777777" w:rsidR="008E380A" w:rsidRPr="00FA26FB" w:rsidRDefault="008E380A" w:rsidP="002C1F15">
      <w:pPr>
        <w:spacing w:after="0" w:line="360" w:lineRule="auto"/>
        <w:jc w:val="both"/>
        <w:rPr>
          <w:rFonts w:ascii="Book Antiqua" w:hAnsi="Book Antiqua" w:cs="Times New Roman"/>
          <w:bCs/>
          <w:sz w:val="24"/>
          <w:szCs w:val="24"/>
        </w:rPr>
      </w:pPr>
    </w:p>
    <w:p w14:paraId="13E618A2" w14:textId="77777777" w:rsidR="00421490" w:rsidRPr="00FA26FB" w:rsidRDefault="00421490" w:rsidP="002C1F15">
      <w:pPr>
        <w:spacing w:after="0" w:line="360" w:lineRule="auto"/>
        <w:jc w:val="both"/>
        <w:rPr>
          <w:rFonts w:ascii="Book Antiqua" w:hAnsi="Book Antiqua" w:cs="Times New Roman"/>
          <w:b/>
          <w:sz w:val="24"/>
          <w:szCs w:val="24"/>
        </w:rPr>
      </w:pPr>
      <w:r w:rsidRPr="00FA26FB">
        <w:rPr>
          <w:rFonts w:ascii="Book Antiqua" w:hAnsi="Book Antiqua" w:cs="Times New Roman"/>
          <w:b/>
          <w:sz w:val="24"/>
          <w:szCs w:val="24"/>
        </w:rPr>
        <w:t>MATERIALS AND METHODS</w:t>
      </w:r>
    </w:p>
    <w:p w14:paraId="2B39607B" w14:textId="3A98D311" w:rsidR="008E380A" w:rsidRPr="00FA26FB" w:rsidRDefault="008E380A" w:rsidP="002C1F15">
      <w:pPr>
        <w:spacing w:after="0" w:line="360" w:lineRule="auto"/>
        <w:jc w:val="both"/>
        <w:rPr>
          <w:rFonts w:ascii="Book Antiqua" w:hAnsi="Book Antiqua" w:cs="Times New Roman"/>
          <w:b/>
          <w:i/>
          <w:iCs/>
          <w:sz w:val="24"/>
          <w:szCs w:val="24"/>
        </w:rPr>
      </w:pPr>
      <w:r w:rsidRPr="00FA26FB">
        <w:rPr>
          <w:rFonts w:ascii="Book Antiqua" w:hAnsi="Book Antiqua" w:cs="Times New Roman"/>
          <w:b/>
          <w:i/>
          <w:iCs/>
          <w:sz w:val="24"/>
          <w:szCs w:val="24"/>
        </w:rPr>
        <w:t>Subjects</w:t>
      </w:r>
    </w:p>
    <w:p w14:paraId="062CCF8A" w14:textId="214212F9" w:rsidR="00836B9F" w:rsidRPr="00FA26FB" w:rsidRDefault="008E380A" w:rsidP="002C1F15">
      <w:pPr>
        <w:spacing w:after="0" w:line="360" w:lineRule="auto"/>
        <w:jc w:val="both"/>
        <w:rPr>
          <w:rFonts w:ascii="Book Antiqua" w:hAnsi="Book Antiqua" w:cs="Times New Roman"/>
          <w:bCs/>
          <w:sz w:val="24"/>
          <w:szCs w:val="24"/>
        </w:rPr>
      </w:pPr>
      <w:r w:rsidRPr="00FA26FB">
        <w:rPr>
          <w:rFonts w:ascii="Book Antiqua" w:hAnsi="Book Antiqua" w:cs="Times New Roman"/>
          <w:bCs/>
          <w:sz w:val="24"/>
          <w:szCs w:val="24"/>
        </w:rPr>
        <w:t xml:space="preserve">All adult (18+ years) subjects who participated in the National Health and Nutrition Examination Survey (NHANES) during 2003-2014 cycles were identified and assessed. </w:t>
      </w:r>
      <w:r w:rsidR="00836B9F" w:rsidRPr="00FA26FB">
        <w:rPr>
          <w:rFonts w:ascii="Book Antiqua" w:hAnsi="Book Antiqua" w:cs="Times New Roman"/>
          <w:bCs/>
          <w:sz w:val="24"/>
          <w:szCs w:val="24"/>
        </w:rPr>
        <w:t>The NHANES is a survey program conducted by the National Center for Health Statistics (NCHS), which is part of the Centers for Disease Control and Prevention (CDC). The program is designed to assess the health and nutritional status of adults and children in the U</w:t>
      </w:r>
      <w:r w:rsidR="000C4B68" w:rsidRPr="00FA26FB">
        <w:rPr>
          <w:rFonts w:ascii="Book Antiqua" w:hAnsi="Book Antiqua" w:cs="Times New Roman"/>
          <w:bCs/>
          <w:sz w:val="24"/>
          <w:szCs w:val="24"/>
        </w:rPr>
        <w:t>nited States</w:t>
      </w:r>
      <w:r w:rsidR="00836B9F" w:rsidRPr="00FA26FB">
        <w:rPr>
          <w:rFonts w:ascii="Book Antiqua" w:hAnsi="Book Antiqua" w:cs="Times New Roman"/>
          <w:bCs/>
          <w:sz w:val="24"/>
          <w:szCs w:val="24"/>
        </w:rPr>
        <w:t xml:space="preserve">. It began in the early 1960s and became a continuous program in 1999. It examines a sample of 5000 persons a year from different counties across the United States representing the </w:t>
      </w:r>
      <w:r w:rsidR="000C4B68" w:rsidRPr="00FA26FB">
        <w:rPr>
          <w:rFonts w:ascii="Book Antiqua" w:hAnsi="Book Antiqua" w:cs="Times New Roman"/>
          <w:bCs/>
          <w:sz w:val="24"/>
          <w:szCs w:val="24"/>
        </w:rPr>
        <w:t>United States</w:t>
      </w:r>
      <w:r w:rsidR="00836B9F" w:rsidRPr="00FA26FB">
        <w:rPr>
          <w:rFonts w:ascii="Book Antiqua" w:hAnsi="Book Antiqua" w:cs="Times New Roman"/>
          <w:bCs/>
          <w:sz w:val="24"/>
          <w:szCs w:val="24"/>
        </w:rPr>
        <w:t xml:space="preserve"> population of all ages. The survey includes interview questionnaires, standardized physical examination, and laboratory tests from blood samples collected at examination centers and analyzed at a central laboratory. The survey was approved by the Institutional Review Board at the Center for Disease Control and Prevention, and informed consent was obtained from all participants.</w:t>
      </w:r>
    </w:p>
    <w:p w14:paraId="53371258" w14:textId="514D3C30" w:rsidR="008E380A" w:rsidRPr="00FA26FB" w:rsidRDefault="008E380A" w:rsidP="002C1F15">
      <w:pPr>
        <w:spacing w:after="0" w:line="360" w:lineRule="auto"/>
        <w:ind w:firstLineChars="300" w:firstLine="720"/>
        <w:jc w:val="both"/>
        <w:rPr>
          <w:rFonts w:ascii="Book Antiqua" w:eastAsia="Times New Roman" w:hAnsi="Book Antiqua" w:cs="Times New Roman"/>
          <w:bCs/>
          <w:color w:val="000000"/>
          <w:sz w:val="24"/>
          <w:szCs w:val="24"/>
        </w:rPr>
      </w:pPr>
      <w:r w:rsidRPr="00FA26FB">
        <w:rPr>
          <w:rFonts w:ascii="Book Antiqua" w:hAnsi="Book Antiqua" w:cs="Times New Roman"/>
          <w:bCs/>
          <w:sz w:val="24"/>
          <w:szCs w:val="24"/>
        </w:rPr>
        <w:t>Diagnosis of NAFLD was made based on elevated alanine aminotransferase (ALT) (&gt;</w:t>
      </w:r>
      <w:r w:rsidR="00972A9C" w:rsidRPr="00FA26FB">
        <w:rPr>
          <w:rFonts w:ascii="Book Antiqua" w:hAnsi="Book Antiqua" w:cs="Times New Roman"/>
          <w:bCs/>
          <w:sz w:val="24"/>
          <w:szCs w:val="24"/>
        </w:rPr>
        <w:t xml:space="preserve"> </w:t>
      </w:r>
      <w:r w:rsidRPr="00FA26FB">
        <w:rPr>
          <w:rFonts w:ascii="Book Antiqua" w:hAnsi="Book Antiqua" w:cs="Times New Roman"/>
          <w:bCs/>
          <w:sz w:val="24"/>
          <w:szCs w:val="24"/>
        </w:rPr>
        <w:t>30 U/L in males and &gt;</w:t>
      </w:r>
      <w:r w:rsidR="00972A9C" w:rsidRPr="00FA26FB">
        <w:rPr>
          <w:rFonts w:ascii="Book Antiqua" w:hAnsi="Book Antiqua" w:cs="Times New Roman"/>
          <w:bCs/>
          <w:sz w:val="24"/>
          <w:szCs w:val="24"/>
        </w:rPr>
        <w:t xml:space="preserve"> </w:t>
      </w:r>
      <w:r w:rsidRPr="00FA26FB">
        <w:rPr>
          <w:rFonts w:ascii="Book Antiqua" w:hAnsi="Book Antiqua" w:cs="Times New Roman"/>
          <w:bCs/>
          <w:sz w:val="24"/>
          <w:szCs w:val="24"/>
        </w:rPr>
        <w:t xml:space="preserve">19 in females) and being overweight or obese </w:t>
      </w:r>
      <w:r w:rsidR="00972A9C" w:rsidRPr="00FA26FB">
        <w:rPr>
          <w:rFonts w:ascii="Book Antiqua" w:hAnsi="Book Antiqua" w:cs="Times New Roman"/>
          <w:bCs/>
          <w:sz w:val="24"/>
          <w:szCs w:val="24"/>
        </w:rPr>
        <w:t>[</w:t>
      </w:r>
      <w:r w:rsidRPr="00FA26FB">
        <w:rPr>
          <w:rFonts w:ascii="Book Antiqua" w:hAnsi="Book Antiqua" w:cs="Times New Roman"/>
          <w:bCs/>
          <w:sz w:val="24"/>
          <w:szCs w:val="24"/>
        </w:rPr>
        <w:t xml:space="preserve">body mass index </w:t>
      </w:r>
      <w:r w:rsidR="00972A9C" w:rsidRPr="00FA26FB">
        <w:rPr>
          <w:rFonts w:ascii="Book Antiqua" w:hAnsi="Book Antiqua" w:cs="Times New Roman"/>
          <w:bCs/>
          <w:sz w:val="24"/>
          <w:szCs w:val="24"/>
        </w:rPr>
        <w:t>(</w:t>
      </w:r>
      <w:r w:rsidRPr="00FA26FB">
        <w:rPr>
          <w:rFonts w:ascii="Book Antiqua" w:hAnsi="Book Antiqua" w:cs="Times New Roman"/>
          <w:bCs/>
          <w:sz w:val="24"/>
          <w:szCs w:val="24"/>
        </w:rPr>
        <w:t>BMI</w:t>
      </w:r>
      <w:r w:rsidR="00972A9C" w:rsidRPr="00FA26FB">
        <w:rPr>
          <w:rFonts w:ascii="Book Antiqua" w:hAnsi="Book Antiqua" w:cs="Times New Roman"/>
          <w:bCs/>
          <w:sz w:val="24"/>
          <w:szCs w:val="24"/>
        </w:rPr>
        <w:t>)</w:t>
      </w:r>
      <w:r w:rsidRPr="00FA26FB">
        <w:rPr>
          <w:rFonts w:ascii="Book Antiqua" w:hAnsi="Book Antiqua" w:cs="Times New Roman"/>
          <w:bCs/>
          <w:sz w:val="24"/>
          <w:szCs w:val="24"/>
        </w:rPr>
        <w:t xml:space="preserve"> ≥</w:t>
      </w:r>
      <w:r w:rsidR="00972A9C" w:rsidRPr="00FA26FB">
        <w:rPr>
          <w:rFonts w:ascii="Book Antiqua" w:hAnsi="Book Antiqua" w:cs="Times New Roman"/>
          <w:bCs/>
          <w:sz w:val="24"/>
          <w:szCs w:val="24"/>
        </w:rPr>
        <w:t xml:space="preserve"> </w:t>
      </w:r>
      <w:r w:rsidRPr="00FA26FB">
        <w:rPr>
          <w:rFonts w:ascii="Book Antiqua" w:hAnsi="Book Antiqua" w:cs="Times New Roman"/>
          <w:bCs/>
          <w:sz w:val="24"/>
          <w:szCs w:val="24"/>
        </w:rPr>
        <w:t>25 kg/m</w:t>
      </w:r>
      <w:r w:rsidRPr="00FA26FB">
        <w:rPr>
          <w:rFonts w:ascii="Book Antiqua" w:hAnsi="Book Antiqua" w:cs="Times New Roman"/>
          <w:bCs/>
          <w:sz w:val="24"/>
          <w:szCs w:val="24"/>
          <w:vertAlign w:val="superscript"/>
        </w:rPr>
        <w:t>2</w:t>
      </w:r>
      <w:r w:rsidRPr="00FA26FB">
        <w:rPr>
          <w:rFonts w:ascii="Book Antiqua" w:hAnsi="Book Antiqua" w:cs="Times New Roman"/>
          <w:bCs/>
          <w:sz w:val="24"/>
          <w:szCs w:val="24"/>
        </w:rPr>
        <w:t xml:space="preserve">) in the absence of other causes of chronic liver disease (viral hepatitis, autoimmune liver disease, metabolic liver disease, total parenteral nutrition and medications </w:t>
      </w:r>
      <w:r w:rsidRPr="00FA26FB">
        <w:rPr>
          <w:rFonts w:ascii="Book Antiqua" w:hAnsi="Book Antiqua" w:cs="Times New Roman"/>
          <w:bCs/>
          <w:i/>
          <w:iCs/>
          <w:sz w:val="24"/>
          <w:szCs w:val="24"/>
        </w:rPr>
        <w:t>etc</w:t>
      </w:r>
      <w:r w:rsidRPr="00FA26FB">
        <w:rPr>
          <w:rFonts w:ascii="Book Antiqua" w:hAnsi="Book Antiqua" w:cs="Times New Roman"/>
          <w:bCs/>
          <w:sz w:val="24"/>
          <w:szCs w:val="24"/>
        </w:rPr>
        <w:t xml:space="preserve">.) Patients with BAFLD met the criteria for NAFLD but also had either </w:t>
      </w:r>
      <w:proofErr w:type="spellStart"/>
      <w:r w:rsidRPr="00FA26FB">
        <w:rPr>
          <w:rFonts w:ascii="Book Antiqua" w:hAnsi="Book Antiqua" w:cs="Times New Roman"/>
          <w:bCs/>
          <w:sz w:val="24"/>
          <w:szCs w:val="24"/>
        </w:rPr>
        <w:t>MetS</w:t>
      </w:r>
      <w:proofErr w:type="spellEnd"/>
      <w:r w:rsidRPr="00FA26FB">
        <w:rPr>
          <w:rFonts w:ascii="Book Antiqua" w:hAnsi="Book Antiqua" w:cs="Times New Roman"/>
          <w:bCs/>
          <w:sz w:val="24"/>
          <w:szCs w:val="24"/>
        </w:rPr>
        <w:t xml:space="preserve"> or type 2 diabetes and consumed excessive amounts of alcohol defined as </w:t>
      </w:r>
      <w:r w:rsidRPr="00FA26FB">
        <w:rPr>
          <w:rFonts w:ascii="Book Antiqua" w:hAnsi="Book Antiqua" w:cs="Times New Roman"/>
          <w:bCs/>
          <w:sz w:val="24"/>
          <w:szCs w:val="24"/>
        </w:rPr>
        <w:sym w:font="Symbol" w:char="F0B3"/>
      </w:r>
      <w:r w:rsidRPr="00FA26FB">
        <w:rPr>
          <w:rFonts w:ascii="Book Antiqua" w:hAnsi="Book Antiqua" w:cs="Times New Roman"/>
          <w:bCs/>
          <w:sz w:val="24"/>
          <w:szCs w:val="24"/>
        </w:rPr>
        <w:t xml:space="preserve"> 3 drinks/d for men and </w:t>
      </w:r>
      <w:r w:rsidRPr="00FA26FB">
        <w:rPr>
          <w:rFonts w:ascii="Book Antiqua" w:hAnsi="Book Antiqua" w:cs="Times New Roman"/>
          <w:bCs/>
          <w:sz w:val="24"/>
          <w:szCs w:val="24"/>
        </w:rPr>
        <w:sym w:font="Symbol" w:char="F0B3"/>
      </w:r>
      <w:r w:rsidRPr="00FA26FB">
        <w:rPr>
          <w:rFonts w:ascii="Book Antiqua" w:hAnsi="Book Antiqua" w:cs="Times New Roman"/>
          <w:bCs/>
          <w:sz w:val="24"/>
          <w:szCs w:val="24"/>
        </w:rPr>
        <w:t xml:space="preserve"> 2 drinks/d for women.</w:t>
      </w:r>
      <w:r w:rsidR="00972A9C" w:rsidRPr="00FA26FB">
        <w:rPr>
          <w:rStyle w:val="ad"/>
          <w:rFonts w:ascii="Book Antiqua" w:hAnsi="Book Antiqua" w:cs="Times New Roman"/>
          <w:bCs/>
          <w:sz w:val="24"/>
          <w:szCs w:val="24"/>
        </w:rPr>
        <w:t xml:space="preserve"> </w:t>
      </w:r>
      <w:r w:rsidRPr="00FA26FB">
        <w:rPr>
          <w:rFonts w:ascii="Book Antiqua" w:hAnsi="Book Antiqua" w:cs="Times New Roman"/>
          <w:bCs/>
          <w:sz w:val="24"/>
          <w:szCs w:val="24"/>
        </w:rPr>
        <w:t xml:space="preserve">The following patients were excluded; </w:t>
      </w:r>
      <w:r w:rsidRPr="00FA26FB">
        <w:rPr>
          <w:rFonts w:ascii="Book Antiqua" w:eastAsia="Times New Roman" w:hAnsi="Book Antiqua" w:cs="Times New Roman"/>
          <w:bCs/>
          <w:color w:val="000000"/>
          <w:sz w:val="24"/>
          <w:szCs w:val="24"/>
        </w:rPr>
        <w:t>reported use of hepatotoxic medications, hepatitis viral infection, missing</w:t>
      </w:r>
      <w:r w:rsidR="00C50C27" w:rsidRPr="00FA26FB">
        <w:rPr>
          <w:rFonts w:ascii="Book Antiqua" w:hAnsi="Book Antiqua" w:cs="Times New Roman"/>
          <w:bCs/>
          <w:sz w:val="24"/>
          <w:szCs w:val="24"/>
        </w:rPr>
        <w:t xml:space="preserve"> </w:t>
      </w:r>
      <w:r w:rsidRPr="00FA26FB">
        <w:rPr>
          <w:rFonts w:ascii="Book Antiqua" w:eastAsia="Times New Roman" w:hAnsi="Book Antiqua" w:cs="Times New Roman"/>
          <w:bCs/>
          <w:color w:val="000000" w:themeColor="text1"/>
          <w:sz w:val="24"/>
          <w:szCs w:val="24"/>
        </w:rPr>
        <w:t>ALT, missing BMI,</w:t>
      </w:r>
      <w:r w:rsidRPr="00FA26FB">
        <w:rPr>
          <w:rFonts w:ascii="Book Antiqua" w:eastAsia="Times New Roman" w:hAnsi="Book Antiqua" w:cs="Times New Roman"/>
          <w:bCs/>
          <w:color w:val="FF0000"/>
          <w:sz w:val="24"/>
          <w:szCs w:val="24"/>
        </w:rPr>
        <w:t xml:space="preserve"> </w:t>
      </w:r>
      <w:r w:rsidRPr="00FA26FB">
        <w:rPr>
          <w:rFonts w:ascii="Book Antiqua" w:eastAsia="Times New Roman" w:hAnsi="Book Antiqua" w:cs="Times New Roman"/>
          <w:bCs/>
          <w:color w:val="000000"/>
          <w:sz w:val="24"/>
          <w:szCs w:val="24"/>
        </w:rPr>
        <w:t xml:space="preserve">no alcohol intake information, missing diabetes status, and missing information on </w:t>
      </w:r>
      <w:proofErr w:type="spellStart"/>
      <w:r w:rsidRPr="00FA26FB">
        <w:rPr>
          <w:rFonts w:ascii="Book Antiqua" w:eastAsia="Times New Roman" w:hAnsi="Book Antiqua" w:cs="Times New Roman"/>
          <w:bCs/>
          <w:color w:val="000000"/>
          <w:sz w:val="24"/>
          <w:szCs w:val="24"/>
        </w:rPr>
        <w:t>MetS</w:t>
      </w:r>
      <w:proofErr w:type="spellEnd"/>
      <w:r w:rsidRPr="00FA26FB">
        <w:rPr>
          <w:rFonts w:ascii="Book Antiqua" w:eastAsia="Times New Roman" w:hAnsi="Book Antiqua" w:cs="Times New Roman"/>
          <w:bCs/>
          <w:color w:val="000000"/>
          <w:sz w:val="24"/>
          <w:szCs w:val="24"/>
        </w:rPr>
        <w:t xml:space="preserve"> components. </w:t>
      </w:r>
      <w:proofErr w:type="spellStart"/>
      <w:r w:rsidR="00164602" w:rsidRPr="00FA26FB">
        <w:rPr>
          <w:rFonts w:ascii="Book Antiqua" w:eastAsia="Times New Roman" w:hAnsi="Book Antiqua" w:cs="Times New Roman"/>
          <w:bCs/>
          <w:color w:val="000000"/>
          <w:sz w:val="24"/>
          <w:szCs w:val="24"/>
        </w:rPr>
        <w:t>MetS</w:t>
      </w:r>
      <w:proofErr w:type="spellEnd"/>
      <w:r w:rsidR="00164602" w:rsidRPr="00FA26FB">
        <w:rPr>
          <w:rFonts w:ascii="Book Antiqua" w:eastAsia="Times New Roman" w:hAnsi="Book Antiqua" w:cs="Times New Roman"/>
          <w:bCs/>
          <w:color w:val="000000"/>
          <w:sz w:val="24"/>
          <w:szCs w:val="24"/>
        </w:rPr>
        <w:t xml:space="preserve"> was defined as central Obesity plus at </w:t>
      </w:r>
      <w:r w:rsidR="00164602" w:rsidRPr="00FA26FB">
        <w:rPr>
          <w:rFonts w:ascii="Book Antiqua" w:eastAsia="Times New Roman" w:hAnsi="Book Antiqua" w:cs="Times New Roman"/>
          <w:bCs/>
          <w:color w:val="000000"/>
          <w:sz w:val="24"/>
          <w:szCs w:val="24"/>
        </w:rPr>
        <w:lastRenderedPageBreak/>
        <w:t xml:space="preserve">least 2 of the following: </w:t>
      </w:r>
      <w:r w:rsidR="00A45869" w:rsidRPr="00FA26FB">
        <w:rPr>
          <w:rFonts w:ascii="Book Antiqua" w:eastAsia="Times New Roman" w:hAnsi="Book Antiqua" w:cs="Times New Roman"/>
          <w:bCs/>
          <w:color w:val="000000"/>
          <w:sz w:val="24"/>
          <w:szCs w:val="24"/>
        </w:rPr>
        <w:t xml:space="preserve">diabetes, hypertension, hypertriglyceridemia or low </w:t>
      </w:r>
      <w:r w:rsidR="00A45869" w:rsidRPr="00FA26FB">
        <w:rPr>
          <w:rFonts w:ascii="Book Antiqua" w:eastAsia="Times New Roman" w:hAnsi="Book Antiqua" w:cs="Times New Roman"/>
          <w:bCs/>
          <w:color w:val="000000" w:themeColor="text1"/>
          <w:sz w:val="24"/>
          <w:szCs w:val="24"/>
        </w:rPr>
        <w:t>high-density lipoprotein cholesterol (HDL)</w:t>
      </w:r>
      <w:r w:rsidR="00164602" w:rsidRPr="00FA26FB">
        <w:rPr>
          <w:rFonts w:ascii="Book Antiqua" w:eastAsia="Times New Roman" w:hAnsi="Book Antiqua" w:cs="Times New Roman"/>
          <w:bCs/>
          <w:color w:val="000000"/>
          <w:sz w:val="24"/>
          <w:szCs w:val="24"/>
        </w:rPr>
        <w:t>.</w:t>
      </w:r>
    </w:p>
    <w:p w14:paraId="02C794A3" w14:textId="40DA7782" w:rsidR="008E380A" w:rsidRPr="00FA26FB" w:rsidRDefault="008E380A" w:rsidP="002C1F15">
      <w:pPr>
        <w:spacing w:after="0" w:line="360" w:lineRule="auto"/>
        <w:jc w:val="both"/>
        <w:rPr>
          <w:rFonts w:ascii="Book Antiqua" w:eastAsia="Times New Roman" w:hAnsi="Book Antiqua" w:cs="Times New Roman"/>
          <w:bCs/>
          <w:color w:val="FF0000"/>
          <w:sz w:val="24"/>
          <w:szCs w:val="24"/>
        </w:rPr>
      </w:pPr>
      <w:r w:rsidRPr="00FA26FB">
        <w:rPr>
          <w:rFonts w:ascii="Book Antiqua" w:eastAsia="Times New Roman" w:hAnsi="Book Antiqua" w:cs="Times New Roman"/>
          <w:bCs/>
          <w:color w:val="000000"/>
          <w:sz w:val="24"/>
          <w:szCs w:val="24"/>
        </w:rPr>
        <w:tab/>
      </w:r>
      <w:r w:rsidRPr="00FA26FB">
        <w:rPr>
          <w:rFonts w:ascii="Book Antiqua" w:eastAsia="Times New Roman" w:hAnsi="Book Antiqua" w:cs="Times New Roman"/>
          <w:bCs/>
          <w:color w:val="000000" w:themeColor="text1"/>
          <w:sz w:val="24"/>
          <w:szCs w:val="24"/>
        </w:rPr>
        <w:t>Demographic variables including age, gender, ethnicity, waist circumference, average drinks a day, smoking status,</w:t>
      </w:r>
      <w:r w:rsidR="00C50C27" w:rsidRPr="00FA26FB">
        <w:rPr>
          <w:rFonts w:ascii="Book Antiqua" w:eastAsia="Times New Roman" w:hAnsi="Book Antiqua" w:cs="Times New Roman"/>
          <w:bCs/>
          <w:color w:val="000000" w:themeColor="text1"/>
          <w:sz w:val="24"/>
          <w:szCs w:val="24"/>
        </w:rPr>
        <w:t xml:space="preserve"> </w:t>
      </w:r>
      <w:r w:rsidRPr="00FA26FB">
        <w:rPr>
          <w:rFonts w:ascii="Book Antiqua" w:eastAsia="Times New Roman" w:hAnsi="Book Antiqua" w:cs="Times New Roman"/>
          <w:bCs/>
          <w:color w:val="000000" w:themeColor="text1"/>
          <w:sz w:val="24"/>
          <w:szCs w:val="24"/>
        </w:rPr>
        <w:t>BMI, central obesity, hypertension, diabetes, triglyceride</w:t>
      </w:r>
      <w:r w:rsidR="008A3734" w:rsidRPr="00FA26FB">
        <w:rPr>
          <w:rFonts w:ascii="Book Antiqua" w:eastAsia="Times New Roman" w:hAnsi="Book Antiqua" w:cs="Times New Roman"/>
          <w:bCs/>
          <w:color w:val="000000" w:themeColor="text1"/>
          <w:sz w:val="24"/>
          <w:szCs w:val="24"/>
        </w:rPr>
        <w:t xml:space="preserve"> (TG)</w:t>
      </w:r>
      <w:r w:rsidRPr="00FA26FB">
        <w:rPr>
          <w:rFonts w:ascii="Book Antiqua" w:eastAsia="Times New Roman" w:hAnsi="Book Antiqua" w:cs="Times New Roman"/>
          <w:bCs/>
          <w:color w:val="000000" w:themeColor="text1"/>
          <w:sz w:val="24"/>
          <w:szCs w:val="24"/>
        </w:rPr>
        <w:t xml:space="preserve">, HDL, </w:t>
      </w:r>
      <w:proofErr w:type="spellStart"/>
      <w:r w:rsidRPr="00FA26FB">
        <w:rPr>
          <w:rFonts w:ascii="Book Antiqua" w:eastAsia="Times New Roman" w:hAnsi="Book Antiqua" w:cs="Times New Roman"/>
          <w:bCs/>
          <w:color w:val="000000" w:themeColor="text1"/>
          <w:sz w:val="24"/>
          <w:szCs w:val="24"/>
        </w:rPr>
        <w:t>MetS</w:t>
      </w:r>
      <w:proofErr w:type="spellEnd"/>
      <w:r w:rsidRPr="00FA26FB">
        <w:rPr>
          <w:rFonts w:ascii="Book Antiqua" w:eastAsia="Times New Roman" w:hAnsi="Book Antiqua" w:cs="Times New Roman"/>
          <w:bCs/>
          <w:color w:val="000000" w:themeColor="text1"/>
          <w:sz w:val="24"/>
          <w:szCs w:val="24"/>
        </w:rPr>
        <w:t xml:space="preserve">, and other variables were also collected. Laboratory parameters including </w:t>
      </w:r>
      <w:r w:rsidR="00390FCA" w:rsidRPr="00FA26FB">
        <w:rPr>
          <w:rFonts w:ascii="Book Antiqua" w:hAnsi="Book Antiqua" w:cs="Times New Roman"/>
          <w:bCs/>
          <w:sz w:val="24"/>
          <w:szCs w:val="24"/>
        </w:rPr>
        <w:t>aspartate aminotransferase</w:t>
      </w:r>
      <w:r w:rsidR="00390FCA" w:rsidRPr="00FA26FB">
        <w:rPr>
          <w:rFonts w:ascii="Book Antiqua" w:eastAsia="Times New Roman" w:hAnsi="Book Antiqua" w:cs="Times New Roman"/>
          <w:bCs/>
          <w:color w:val="000000" w:themeColor="text1"/>
          <w:sz w:val="24"/>
          <w:szCs w:val="24"/>
        </w:rPr>
        <w:t xml:space="preserve"> (</w:t>
      </w:r>
      <w:r w:rsidRPr="00FA26FB">
        <w:rPr>
          <w:rFonts w:ascii="Book Antiqua" w:eastAsia="Times New Roman" w:hAnsi="Book Antiqua" w:cs="Times New Roman"/>
          <w:bCs/>
          <w:color w:val="000000" w:themeColor="text1"/>
          <w:sz w:val="24"/>
          <w:szCs w:val="24"/>
        </w:rPr>
        <w:t>AST</w:t>
      </w:r>
      <w:r w:rsidR="00390FCA" w:rsidRPr="00FA26FB">
        <w:rPr>
          <w:rFonts w:ascii="Book Antiqua" w:eastAsia="Times New Roman" w:hAnsi="Book Antiqua" w:cs="Times New Roman"/>
          <w:bCs/>
          <w:color w:val="000000" w:themeColor="text1"/>
          <w:sz w:val="24"/>
          <w:szCs w:val="24"/>
        </w:rPr>
        <w:t>)</w:t>
      </w:r>
      <w:r w:rsidRPr="00FA26FB">
        <w:rPr>
          <w:rFonts w:ascii="Book Antiqua" w:eastAsia="Times New Roman" w:hAnsi="Book Antiqua" w:cs="Times New Roman"/>
          <w:bCs/>
          <w:color w:val="000000" w:themeColor="text1"/>
          <w:sz w:val="24"/>
          <w:szCs w:val="24"/>
        </w:rPr>
        <w:t>, ALT, alkaline phosphatase, platelets, albumin, bilirubin, lipid</w:t>
      </w:r>
      <w:r w:rsidR="008A3734" w:rsidRPr="00FA26FB">
        <w:rPr>
          <w:rFonts w:ascii="Book Antiqua" w:eastAsia="Times New Roman" w:hAnsi="Book Antiqua" w:cs="Times New Roman"/>
          <w:bCs/>
          <w:color w:val="000000" w:themeColor="text1"/>
          <w:sz w:val="24"/>
          <w:szCs w:val="24"/>
        </w:rPr>
        <w:t xml:space="preserve"> profile including TG</w:t>
      </w:r>
      <w:r w:rsidRPr="00FA26FB">
        <w:rPr>
          <w:rFonts w:ascii="Book Antiqua" w:eastAsia="Times New Roman" w:hAnsi="Book Antiqua" w:cs="Times New Roman"/>
          <w:bCs/>
          <w:color w:val="000000" w:themeColor="text1"/>
          <w:sz w:val="24"/>
          <w:szCs w:val="24"/>
        </w:rPr>
        <w:t xml:space="preserve"> and hemoglobin A1c (HbA1C) were also measured. </w:t>
      </w:r>
    </w:p>
    <w:p w14:paraId="61396BDC" w14:textId="789A1E8E" w:rsidR="008E380A" w:rsidRPr="00FA26FB" w:rsidRDefault="008E380A" w:rsidP="002C1F15">
      <w:pPr>
        <w:spacing w:after="0" w:line="360" w:lineRule="auto"/>
        <w:jc w:val="both"/>
        <w:rPr>
          <w:rFonts w:ascii="Book Antiqua" w:eastAsia="Times New Roman" w:hAnsi="Book Antiqua" w:cs="Times New Roman"/>
          <w:bCs/>
          <w:strike/>
          <w:color w:val="000000" w:themeColor="text1"/>
          <w:sz w:val="24"/>
          <w:szCs w:val="24"/>
        </w:rPr>
      </w:pPr>
      <w:r w:rsidRPr="00FA26FB">
        <w:rPr>
          <w:rFonts w:ascii="Book Antiqua" w:eastAsia="Times New Roman" w:hAnsi="Book Antiqua" w:cs="Times New Roman"/>
          <w:bCs/>
          <w:color w:val="FF0000"/>
          <w:sz w:val="24"/>
          <w:szCs w:val="24"/>
        </w:rPr>
        <w:tab/>
      </w:r>
      <w:r w:rsidRPr="00FA26FB">
        <w:rPr>
          <w:rFonts w:ascii="Book Antiqua" w:eastAsia="Times New Roman" w:hAnsi="Book Antiqua" w:cs="Times New Roman"/>
          <w:bCs/>
          <w:color w:val="000000" w:themeColor="text1"/>
          <w:sz w:val="24"/>
          <w:szCs w:val="24"/>
        </w:rPr>
        <w:t xml:space="preserve">To assess for the presence of AF in NAFLD and BAFLD, a non-invasive liver fibrosis score, Fibrosis-4 (FIB-4) index, was calculated using age, AST, ALT and platelet count. </w:t>
      </w:r>
    </w:p>
    <w:p w14:paraId="54A8FA07" w14:textId="77777777" w:rsidR="00421490" w:rsidRPr="00FA26FB" w:rsidRDefault="00421490" w:rsidP="002C1F15">
      <w:pPr>
        <w:spacing w:after="0" w:line="360" w:lineRule="auto"/>
        <w:jc w:val="both"/>
        <w:rPr>
          <w:rFonts w:ascii="Book Antiqua" w:hAnsi="Book Antiqua" w:cs="Times New Roman"/>
          <w:bCs/>
          <w:sz w:val="24"/>
          <w:szCs w:val="24"/>
        </w:rPr>
      </w:pPr>
    </w:p>
    <w:p w14:paraId="72EBCB0F" w14:textId="6A1577FC" w:rsidR="008E380A" w:rsidRPr="00FA26FB" w:rsidRDefault="008E380A" w:rsidP="002C1F15">
      <w:pPr>
        <w:spacing w:after="0" w:line="360" w:lineRule="auto"/>
        <w:jc w:val="both"/>
        <w:rPr>
          <w:rFonts w:ascii="Book Antiqua" w:hAnsi="Book Antiqua" w:cs="Times New Roman"/>
          <w:b/>
          <w:i/>
          <w:iCs/>
          <w:sz w:val="24"/>
          <w:szCs w:val="24"/>
        </w:rPr>
      </w:pPr>
      <w:r w:rsidRPr="00FA26FB">
        <w:rPr>
          <w:rFonts w:ascii="Book Antiqua" w:hAnsi="Book Antiqua" w:cs="Times New Roman"/>
          <w:b/>
          <w:i/>
          <w:iCs/>
          <w:sz w:val="24"/>
          <w:szCs w:val="24"/>
        </w:rPr>
        <w:t>Outcom</w:t>
      </w:r>
      <w:r w:rsidR="00C20907" w:rsidRPr="00FA26FB">
        <w:rPr>
          <w:rFonts w:ascii="Book Antiqua" w:hAnsi="Book Antiqua" w:cs="Times New Roman"/>
          <w:b/>
          <w:i/>
          <w:iCs/>
          <w:sz w:val="24"/>
          <w:szCs w:val="24"/>
        </w:rPr>
        <w:t>e</w:t>
      </w:r>
      <w:r w:rsidR="006A40BB" w:rsidRPr="00FA26FB">
        <w:rPr>
          <w:rFonts w:ascii="Book Antiqua" w:hAnsi="Book Antiqua" w:cs="Times New Roman"/>
          <w:b/>
          <w:i/>
          <w:iCs/>
          <w:sz w:val="24"/>
          <w:szCs w:val="24"/>
        </w:rPr>
        <w:t>s</w:t>
      </w:r>
    </w:p>
    <w:p w14:paraId="5AD9ED1E" w14:textId="462B7E08" w:rsidR="008E380A" w:rsidRPr="00FA26FB" w:rsidRDefault="008E380A" w:rsidP="002C1F15">
      <w:pPr>
        <w:spacing w:after="0" w:line="360" w:lineRule="auto"/>
        <w:jc w:val="both"/>
        <w:rPr>
          <w:rFonts w:ascii="Book Antiqua" w:hAnsi="Book Antiqua" w:cs="Times New Roman"/>
          <w:bCs/>
          <w:sz w:val="24"/>
          <w:szCs w:val="24"/>
        </w:rPr>
      </w:pPr>
      <w:r w:rsidRPr="00FA26FB">
        <w:rPr>
          <w:rFonts w:ascii="Book Antiqua" w:hAnsi="Book Antiqua" w:cs="Times New Roman"/>
          <w:bCs/>
          <w:sz w:val="24"/>
          <w:szCs w:val="24"/>
        </w:rPr>
        <w:t>The primary outcome was to assess the prevalence and clinical characteristics of NAFLD and BAFLD. The secondary outcome was to evaluate the prevalence of AF in patients with NAFLD and BAFLD.</w:t>
      </w:r>
    </w:p>
    <w:p w14:paraId="0D8ECF9A" w14:textId="77777777" w:rsidR="00056A7D" w:rsidRPr="00FA26FB" w:rsidRDefault="00056A7D" w:rsidP="002C1F15">
      <w:pPr>
        <w:spacing w:after="0" w:line="360" w:lineRule="auto"/>
        <w:jc w:val="both"/>
        <w:rPr>
          <w:rFonts w:ascii="Book Antiqua" w:hAnsi="Book Antiqua" w:cs="Times New Roman"/>
          <w:bCs/>
          <w:sz w:val="24"/>
          <w:szCs w:val="24"/>
        </w:rPr>
      </w:pPr>
    </w:p>
    <w:p w14:paraId="4B8468D0" w14:textId="5CD2C473" w:rsidR="00056A7D" w:rsidRPr="00FA26FB" w:rsidRDefault="008E380A" w:rsidP="002C1F15">
      <w:pPr>
        <w:spacing w:after="0" w:line="360" w:lineRule="auto"/>
        <w:jc w:val="both"/>
        <w:rPr>
          <w:rFonts w:ascii="Book Antiqua" w:hAnsi="Book Antiqua" w:cs="Times New Roman"/>
          <w:b/>
          <w:i/>
          <w:iCs/>
          <w:sz w:val="24"/>
          <w:szCs w:val="24"/>
        </w:rPr>
      </w:pPr>
      <w:r w:rsidRPr="00FA26FB">
        <w:rPr>
          <w:rFonts w:ascii="Book Antiqua" w:hAnsi="Book Antiqua" w:cs="Times New Roman"/>
          <w:b/>
          <w:i/>
          <w:iCs/>
          <w:sz w:val="24"/>
          <w:szCs w:val="24"/>
        </w:rPr>
        <w:t xml:space="preserve">Statistical </w:t>
      </w:r>
      <w:r w:rsidR="00FA26FB" w:rsidRPr="00FA26FB">
        <w:rPr>
          <w:rFonts w:ascii="Book Antiqua" w:hAnsi="Book Antiqua" w:cs="Times New Roman"/>
          <w:b/>
          <w:i/>
          <w:iCs/>
          <w:sz w:val="24"/>
          <w:szCs w:val="24"/>
        </w:rPr>
        <w:t>a</w:t>
      </w:r>
      <w:r w:rsidRPr="00FA26FB">
        <w:rPr>
          <w:rFonts w:ascii="Book Antiqua" w:hAnsi="Book Antiqua" w:cs="Times New Roman"/>
          <w:b/>
          <w:i/>
          <w:iCs/>
          <w:sz w:val="24"/>
          <w:szCs w:val="24"/>
        </w:rPr>
        <w:t>nalysis</w:t>
      </w:r>
    </w:p>
    <w:p w14:paraId="113DDE74" w14:textId="5ADFF943" w:rsidR="008E380A" w:rsidRPr="00FA26FB" w:rsidRDefault="008E380A" w:rsidP="002C1F15">
      <w:pPr>
        <w:spacing w:after="0" w:line="360" w:lineRule="auto"/>
        <w:jc w:val="both"/>
        <w:rPr>
          <w:rFonts w:ascii="Book Antiqua" w:hAnsi="Book Antiqua" w:cs="Times New Roman"/>
          <w:b/>
          <w:i/>
          <w:iCs/>
          <w:sz w:val="24"/>
          <w:szCs w:val="24"/>
        </w:rPr>
      </w:pPr>
      <w:r w:rsidRPr="00FA26FB">
        <w:rPr>
          <w:rFonts w:ascii="Book Antiqua" w:hAnsi="Book Antiqua" w:cs="Times New Roman"/>
          <w:bCs/>
          <w:sz w:val="24"/>
          <w:szCs w:val="24"/>
        </w:rPr>
        <w:t xml:space="preserve">Data is presented as the mean </w:t>
      </w:r>
      <w:r w:rsidR="00710080">
        <w:rPr>
          <w:rFonts w:ascii="Book Antiqua" w:hAnsi="Book Antiqua" w:cs="Times New Roman"/>
          <w:bCs/>
          <w:sz w:val="24"/>
          <w:szCs w:val="24"/>
        </w:rPr>
        <w:t xml:space="preserve">± </w:t>
      </w:r>
      <w:r w:rsidRPr="00FA26FB">
        <w:rPr>
          <w:rFonts w:ascii="Book Antiqua" w:hAnsi="Book Antiqua" w:cs="Times New Roman"/>
          <w:bCs/>
          <w:sz w:val="24"/>
          <w:szCs w:val="24"/>
        </w:rPr>
        <w:t>SE or un-weighted frequency (</w:t>
      </w:r>
      <w:r w:rsidR="00DB41C2">
        <w:rPr>
          <w:rFonts w:ascii="Book Antiqua" w:hAnsi="Book Antiqua" w:cs="Times New Roman"/>
          <w:bCs/>
          <w:sz w:val="24"/>
          <w:szCs w:val="24"/>
        </w:rPr>
        <w:t>%</w:t>
      </w:r>
      <w:r w:rsidRPr="00FA26FB">
        <w:rPr>
          <w:rFonts w:ascii="Book Antiqua" w:hAnsi="Book Antiqua" w:cs="Times New Roman"/>
          <w:bCs/>
          <w:sz w:val="24"/>
          <w:szCs w:val="24"/>
        </w:rPr>
        <w:t xml:space="preserve">). The prevalence of NAFLD and BAFLD was </w:t>
      </w:r>
      <w:r w:rsidR="00182A08" w:rsidRPr="00FA26FB">
        <w:rPr>
          <w:rFonts w:ascii="Book Antiqua" w:hAnsi="Book Antiqua" w:cs="Times New Roman"/>
          <w:bCs/>
          <w:sz w:val="24"/>
          <w:szCs w:val="24"/>
        </w:rPr>
        <w:t>assessed</w:t>
      </w:r>
      <w:r w:rsidRPr="00FA26FB">
        <w:rPr>
          <w:rFonts w:ascii="Book Antiqua" w:hAnsi="Book Antiqua" w:cs="Times New Roman"/>
          <w:bCs/>
          <w:sz w:val="24"/>
          <w:szCs w:val="24"/>
        </w:rPr>
        <w:t xml:space="preserve"> by calculating the percent of participants meeting the definitions of each; the corresponding 95%</w:t>
      </w:r>
      <w:r w:rsidR="00DB41C2">
        <w:rPr>
          <w:rFonts w:ascii="Book Antiqua" w:hAnsi="Book Antiqua" w:cs="Times New Roman"/>
          <w:bCs/>
          <w:sz w:val="24"/>
          <w:szCs w:val="24"/>
        </w:rPr>
        <w:t>CIs</w:t>
      </w:r>
      <w:r w:rsidRPr="00FA26FB">
        <w:rPr>
          <w:rFonts w:ascii="Book Antiqua" w:hAnsi="Book Antiqua" w:cs="Times New Roman"/>
          <w:bCs/>
          <w:sz w:val="24"/>
          <w:szCs w:val="24"/>
        </w:rPr>
        <w:t xml:space="preserve"> are reported. A subgroup analysis was performed in subjects with either of the two liver diseases. The unadjusted analysis was </w:t>
      </w:r>
      <w:r w:rsidR="00182A08" w:rsidRPr="00FA26FB">
        <w:rPr>
          <w:rFonts w:ascii="Book Antiqua" w:hAnsi="Book Antiqua" w:cs="Times New Roman"/>
          <w:bCs/>
          <w:sz w:val="24"/>
          <w:szCs w:val="24"/>
        </w:rPr>
        <w:t>implemented</w:t>
      </w:r>
      <w:r w:rsidRPr="00FA26FB">
        <w:rPr>
          <w:rFonts w:ascii="Book Antiqua" w:hAnsi="Book Antiqua" w:cs="Times New Roman"/>
          <w:bCs/>
          <w:sz w:val="24"/>
          <w:szCs w:val="24"/>
        </w:rPr>
        <w:t xml:space="preserve"> to </w:t>
      </w:r>
      <w:r w:rsidR="00182A08" w:rsidRPr="00FA26FB">
        <w:rPr>
          <w:rFonts w:ascii="Book Antiqua" w:hAnsi="Book Antiqua" w:cs="Times New Roman"/>
          <w:bCs/>
          <w:sz w:val="24"/>
          <w:szCs w:val="24"/>
        </w:rPr>
        <w:t>evaluate</w:t>
      </w:r>
      <w:r w:rsidRPr="00FA26FB">
        <w:rPr>
          <w:rFonts w:ascii="Book Antiqua" w:hAnsi="Book Antiqua" w:cs="Times New Roman"/>
          <w:bCs/>
          <w:sz w:val="24"/>
          <w:szCs w:val="24"/>
        </w:rPr>
        <w:t xml:space="preserve"> differences between NAFLD and BAFLD; continuous variables were compared using </w:t>
      </w:r>
      <w:r w:rsidRPr="00156643">
        <w:rPr>
          <w:rFonts w:ascii="Book Antiqua" w:hAnsi="Book Antiqua" w:cs="Times New Roman"/>
          <w:bCs/>
          <w:i/>
          <w:iCs/>
          <w:sz w:val="24"/>
          <w:szCs w:val="24"/>
        </w:rPr>
        <w:t>t</w:t>
      </w:r>
      <w:r w:rsidRPr="00FA26FB">
        <w:rPr>
          <w:rFonts w:ascii="Book Antiqua" w:hAnsi="Book Antiqua" w:cs="Times New Roman"/>
          <w:bCs/>
          <w:sz w:val="24"/>
          <w:szCs w:val="24"/>
        </w:rPr>
        <w:t xml:space="preserve">-tests, and categorical variables were compared using Rao-Scott chi-square tests. A multivariable regression analysis was performed to compare disease severity between the BAFLD and NAFLD groups, after adjusting for diabetes and other components of the metabolic syndrome. Linear regression was used to model </w:t>
      </w:r>
      <w:r w:rsidR="00901158" w:rsidRPr="00FA26FB">
        <w:rPr>
          <w:rFonts w:ascii="Book Antiqua" w:hAnsi="Book Antiqua" w:cs="Times New Roman"/>
          <w:bCs/>
          <w:sz w:val="24"/>
          <w:szCs w:val="24"/>
        </w:rPr>
        <w:t>F</w:t>
      </w:r>
      <w:r w:rsidRPr="00FA26FB">
        <w:rPr>
          <w:rFonts w:ascii="Book Antiqua" w:hAnsi="Book Antiqua" w:cs="Times New Roman"/>
          <w:bCs/>
          <w:sz w:val="24"/>
          <w:szCs w:val="24"/>
        </w:rPr>
        <w:t>IB-4 s</w:t>
      </w:r>
      <w:r w:rsidR="00901158" w:rsidRPr="00FA26FB">
        <w:rPr>
          <w:rFonts w:ascii="Book Antiqua" w:hAnsi="Book Antiqua" w:cs="Times New Roman"/>
          <w:bCs/>
          <w:sz w:val="24"/>
          <w:szCs w:val="24"/>
        </w:rPr>
        <w:t>core</w:t>
      </w:r>
      <w:r w:rsidRPr="00FA26FB">
        <w:rPr>
          <w:rFonts w:ascii="Book Antiqua" w:hAnsi="Book Antiqua" w:cs="Times New Roman"/>
          <w:bCs/>
          <w:sz w:val="24"/>
          <w:szCs w:val="24"/>
        </w:rPr>
        <w:t xml:space="preserve"> while logistic regression was used to model the presence of suspected AF based on these scores.</w:t>
      </w:r>
    </w:p>
    <w:p w14:paraId="0D8BC74F" w14:textId="423DBD0B" w:rsidR="008E380A" w:rsidRPr="00FA26FB" w:rsidRDefault="008E380A" w:rsidP="002C1F15">
      <w:pPr>
        <w:spacing w:after="0" w:line="360" w:lineRule="auto"/>
        <w:ind w:firstLine="720"/>
        <w:jc w:val="both"/>
        <w:rPr>
          <w:rFonts w:ascii="Book Antiqua" w:hAnsi="Book Antiqua" w:cs="Times New Roman"/>
          <w:bCs/>
          <w:sz w:val="24"/>
          <w:szCs w:val="24"/>
        </w:rPr>
      </w:pPr>
      <w:r w:rsidRPr="00FA26FB">
        <w:rPr>
          <w:rFonts w:ascii="Book Antiqua" w:hAnsi="Book Antiqua" w:cs="Times New Roman"/>
          <w:bCs/>
          <w:sz w:val="24"/>
          <w:szCs w:val="24"/>
        </w:rPr>
        <w:lastRenderedPageBreak/>
        <w:t>All analyses were performed using SAS survey procedures (version 9.4, The SAS Institute, Cary, NC</w:t>
      </w:r>
      <w:r w:rsidR="00D6254C">
        <w:rPr>
          <w:rFonts w:ascii="Book Antiqua" w:hAnsi="Book Antiqua" w:cs="Times New Roman"/>
          <w:bCs/>
          <w:sz w:val="24"/>
          <w:szCs w:val="24"/>
        </w:rPr>
        <w:t>, United States</w:t>
      </w:r>
      <w:r w:rsidRPr="00FA26FB">
        <w:rPr>
          <w:rFonts w:ascii="Book Antiqua" w:hAnsi="Book Antiqua" w:cs="Times New Roman"/>
          <w:bCs/>
          <w:sz w:val="24"/>
          <w:szCs w:val="24"/>
        </w:rPr>
        <w:t>), which account for the complex sampling design of NHANES and appropriately weight participants in statistical models. The full sample MEC exam weights were used in all analyses; weights for combined cycles were constructed following the guidelines provided in the NHANES analytic guidelines.</w:t>
      </w:r>
    </w:p>
    <w:p w14:paraId="4669D9E5" w14:textId="77777777" w:rsidR="008E380A" w:rsidRPr="00FA26FB" w:rsidRDefault="008E380A" w:rsidP="002C1F15">
      <w:pPr>
        <w:spacing w:after="0" w:line="360" w:lineRule="auto"/>
        <w:ind w:firstLine="720"/>
        <w:jc w:val="both"/>
        <w:rPr>
          <w:rFonts w:ascii="Book Antiqua" w:hAnsi="Book Antiqua" w:cs="Times New Roman"/>
          <w:bCs/>
          <w:sz w:val="24"/>
          <w:szCs w:val="24"/>
        </w:rPr>
      </w:pPr>
    </w:p>
    <w:p w14:paraId="65D908DF" w14:textId="77777777" w:rsidR="008E380A" w:rsidRPr="00FA26FB" w:rsidRDefault="008E380A" w:rsidP="002C1F15">
      <w:pPr>
        <w:spacing w:after="0" w:line="360" w:lineRule="auto"/>
        <w:jc w:val="both"/>
        <w:outlineLvl w:val="0"/>
        <w:rPr>
          <w:rFonts w:ascii="Book Antiqua" w:hAnsi="Book Antiqua" w:cs="Times New Roman"/>
          <w:b/>
          <w:caps/>
          <w:sz w:val="24"/>
          <w:szCs w:val="24"/>
        </w:rPr>
      </w:pPr>
      <w:r w:rsidRPr="00FA26FB">
        <w:rPr>
          <w:rFonts w:ascii="Book Antiqua" w:hAnsi="Book Antiqua" w:cs="Times New Roman"/>
          <w:b/>
          <w:caps/>
          <w:sz w:val="24"/>
          <w:szCs w:val="24"/>
        </w:rPr>
        <w:t>Results</w:t>
      </w:r>
    </w:p>
    <w:p w14:paraId="52363551" w14:textId="66A63BEB" w:rsidR="008E380A" w:rsidRPr="008B0AFA" w:rsidRDefault="008E380A" w:rsidP="002C1F15">
      <w:pPr>
        <w:spacing w:after="0" w:line="360" w:lineRule="auto"/>
        <w:jc w:val="both"/>
        <w:outlineLvl w:val="0"/>
        <w:rPr>
          <w:rFonts w:ascii="Book Antiqua" w:hAnsi="Book Antiqua" w:cs="Times New Roman"/>
          <w:b/>
          <w:i/>
          <w:iCs/>
          <w:sz w:val="24"/>
          <w:szCs w:val="24"/>
        </w:rPr>
      </w:pPr>
      <w:r w:rsidRPr="008B0AFA">
        <w:rPr>
          <w:rFonts w:ascii="Book Antiqua" w:hAnsi="Book Antiqua" w:cs="Times New Roman"/>
          <w:b/>
          <w:i/>
          <w:iCs/>
          <w:sz w:val="24"/>
          <w:szCs w:val="24"/>
        </w:rPr>
        <w:t>Prevalence of BAFLD in U</w:t>
      </w:r>
      <w:r w:rsidR="00156643" w:rsidRPr="008B0AFA">
        <w:rPr>
          <w:rFonts w:ascii="Book Antiqua" w:hAnsi="Book Antiqua" w:cs="Times New Roman"/>
          <w:b/>
          <w:i/>
          <w:iCs/>
          <w:sz w:val="24"/>
          <w:szCs w:val="24"/>
        </w:rPr>
        <w:t>nited States</w:t>
      </w:r>
      <w:r w:rsidRPr="008B0AFA">
        <w:rPr>
          <w:rFonts w:ascii="Book Antiqua" w:hAnsi="Book Antiqua" w:cs="Times New Roman"/>
          <w:b/>
          <w:i/>
          <w:iCs/>
          <w:sz w:val="24"/>
          <w:szCs w:val="24"/>
        </w:rPr>
        <w:t xml:space="preserve"> </w:t>
      </w:r>
      <w:r w:rsidR="008B0AFA" w:rsidRPr="008B0AFA">
        <w:rPr>
          <w:rFonts w:ascii="Book Antiqua" w:hAnsi="Book Antiqua" w:cs="Times New Roman"/>
          <w:b/>
          <w:i/>
          <w:iCs/>
          <w:sz w:val="24"/>
          <w:szCs w:val="24"/>
        </w:rPr>
        <w:t>adult po</w:t>
      </w:r>
      <w:r w:rsidRPr="008B0AFA">
        <w:rPr>
          <w:rFonts w:ascii="Book Antiqua" w:hAnsi="Book Antiqua" w:cs="Times New Roman"/>
          <w:b/>
          <w:i/>
          <w:iCs/>
          <w:sz w:val="24"/>
          <w:szCs w:val="24"/>
        </w:rPr>
        <w:t>pulation</w:t>
      </w:r>
    </w:p>
    <w:p w14:paraId="04A84A42" w14:textId="40788CE9" w:rsidR="008E380A" w:rsidRPr="00FA26FB" w:rsidRDefault="008E380A" w:rsidP="002C1F15">
      <w:pPr>
        <w:spacing w:after="0" w:line="360" w:lineRule="auto"/>
        <w:jc w:val="both"/>
        <w:outlineLvl w:val="0"/>
        <w:rPr>
          <w:rFonts w:ascii="Book Antiqua" w:hAnsi="Book Antiqua" w:cs="Times New Roman"/>
          <w:bCs/>
          <w:sz w:val="24"/>
          <w:szCs w:val="24"/>
        </w:rPr>
      </w:pPr>
      <w:r w:rsidRPr="00FA26FB">
        <w:rPr>
          <w:rFonts w:ascii="Book Antiqua" w:hAnsi="Book Antiqua" w:cs="Times New Roman"/>
          <w:bCs/>
          <w:sz w:val="24"/>
          <w:szCs w:val="24"/>
        </w:rPr>
        <w:t>A total of 20939 subjects met the inclusion criteria during the 2003-2014 cycles. Overall, the prevalence of NAFLD was 25.9% (95%CI</w:t>
      </w:r>
      <w:r w:rsidR="008B0AFA">
        <w:rPr>
          <w:rFonts w:ascii="Book Antiqua" w:hAnsi="Book Antiqua" w:cs="Times New Roman" w:hint="eastAsia"/>
          <w:bCs/>
          <w:sz w:val="24"/>
          <w:szCs w:val="24"/>
          <w:lang w:eastAsia="zh-CN"/>
        </w:rPr>
        <w:t>:</w:t>
      </w:r>
      <w:r w:rsidRPr="00FA26FB">
        <w:rPr>
          <w:rFonts w:ascii="Book Antiqua" w:hAnsi="Book Antiqua" w:cs="Times New Roman"/>
          <w:bCs/>
          <w:sz w:val="24"/>
          <w:szCs w:val="24"/>
        </w:rPr>
        <w:t xml:space="preserve"> 25.1</w:t>
      </w:r>
      <w:r w:rsidR="008B0AFA">
        <w:rPr>
          <w:rFonts w:ascii="Book Antiqua" w:hAnsi="Book Antiqua" w:cs="Times New Roman"/>
          <w:bCs/>
          <w:sz w:val="24"/>
          <w:szCs w:val="24"/>
        </w:rPr>
        <w:t>-</w:t>
      </w:r>
      <w:r w:rsidRPr="00FA26FB">
        <w:rPr>
          <w:rFonts w:ascii="Book Antiqua" w:hAnsi="Book Antiqua" w:cs="Times New Roman"/>
          <w:bCs/>
          <w:sz w:val="24"/>
          <w:szCs w:val="24"/>
        </w:rPr>
        <w:t>26.8), and that of BAFLD was 0.84% (95%CI</w:t>
      </w:r>
      <w:r w:rsidR="008B0AFA">
        <w:rPr>
          <w:rFonts w:ascii="Book Antiqua" w:hAnsi="Book Antiqua" w:cs="Times New Roman"/>
          <w:bCs/>
          <w:sz w:val="24"/>
          <w:szCs w:val="24"/>
        </w:rPr>
        <w:t>:</w:t>
      </w:r>
      <w:r w:rsidRPr="00FA26FB">
        <w:rPr>
          <w:rFonts w:ascii="Book Antiqua" w:hAnsi="Book Antiqua" w:cs="Times New Roman"/>
          <w:bCs/>
          <w:sz w:val="24"/>
          <w:szCs w:val="24"/>
        </w:rPr>
        <w:t xml:space="preserve"> 0.67</w:t>
      </w:r>
      <w:r w:rsidR="008B0AFA">
        <w:rPr>
          <w:rFonts w:ascii="Book Antiqua" w:hAnsi="Book Antiqua" w:cs="Times New Roman"/>
          <w:bCs/>
          <w:sz w:val="24"/>
          <w:szCs w:val="24"/>
        </w:rPr>
        <w:t>-</w:t>
      </w:r>
      <w:r w:rsidRPr="00FA26FB">
        <w:rPr>
          <w:rFonts w:ascii="Book Antiqua" w:hAnsi="Book Antiqua" w:cs="Times New Roman"/>
          <w:bCs/>
          <w:sz w:val="24"/>
          <w:szCs w:val="24"/>
        </w:rPr>
        <w:t>1.02), which corresponds to an estimated 1.24 million Americans affected by BAFLD as shown in Table 1.</w:t>
      </w:r>
      <w:r w:rsidR="00972A9C" w:rsidRPr="00FA26FB">
        <w:rPr>
          <w:rFonts w:ascii="Book Antiqua" w:hAnsi="Book Antiqua" w:cs="Times New Roman"/>
          <w:bCs/>
          <w:sz w:val="24"/>
          <w:szCs w:val="24"/>
        </w:rPr>
        <w:t xml:space="preserve"> </w:t>
      </w:r>
    </w:p>
    <w:p w14:paraId="21C5406C" w14:textId="6C100539" w:rsidR="00164602" w:rsidRPr="00FA26FB" w:rsidRDefault="008E380A" w:rsidP="002C1F15">
      <w:pPr>
        <w:spacing w:after="0" w:line="360" w:lineRule="auto"/>
        <w:ind w:firstLineChars="100" w:firstLine="240"/>
        <w:jc w:val="both"/>
        <w:outlineLvl w:val="0"/>
        <w:rPr>
          <w:rFonts w:ascii="Book Antiqua" w:hAnsi="Book Antiqua" w:cs="Times New Roman"/>
          <w:bCs/>
          <w:sz w:val="24"/>
          <w:szCs w:val="24"/>
        </w:rPr>
      </w:pPr>
      <w:r w:rsidRPr="00FA26FB">
        <w:rPr>
          <w:rFonts w:ascii="Book Antiqua" w:hAnsi="Book Antiqua" w:cs="Times New Roman"/>
          <w:bCs/>
          <w:sz w:val="24"/>
          <w:szCs w:val="24"/>
        </w:rPr>
        <w:t>Patient characteristics:</w:t>
      </w:r>
      <w:r w:rsidR="00972A9C" w:rsidRPr="00FA26FB">
        <w:rPr>
          <w:rFonts w:ascii="Book Antiqua" w:hAnsi="Book Antiqua" w:cs="Times New Roman"/>
          <w:bCs/>
          <w:sz w:val="24"/>
          <w:szCs w:val="24"/>
        </w:rPr>
        <w:t xml:space="preserve"> </w:t>
      </w:r>
      <w:r w:rsidR="00164602" w:rsidRPr="00FA26FB">
        <w:rPr>
          <w:rFonts w:ascii="Book Antiqua" w:hAnsi="Book Antiqua" w:cs="Times New Roman"/>
          <w:bCs/>
          <w:sz w:val="24"/>
          <w:szCs w:val="24"/>
        </w:rPr>
        <w:t>The descriptive characteristics of the study participants are shown in Table 2. Compared to patients with NAFLD,</w:t>
      </w:r>
      <w:r w:rsidR="00164602" w:rsidRPr="00FA26FB" w:rsidDel="008D16B9">
        <w:rPr>
          <w:rFonts w:ascii="Book Antiqua" w:hAnsi="Book Antiqua" w:cs="Times New Roman"/>
          <w:bCs/>
          <w:sz w:val="24"/>
          <w:szCs w:val="24"/>
        </w:rPr>
        <w:t xml:space="preserve"> </w:t>
      </w:r>
      <w:r w:rsidR="00164602" w:rsidRPr="00FA26FB">
        <w:rPr>
          <w:rFonts w:ascii="Book Antiqua" w:hAnsi="Book Antiqua" w:cs="Times New Roman"/>
          <w:bCs/>
          <w:sz w:val="24"/>
          <w:szCs w:val="24"/>
        </w:rPr>
        <w:t xml:space="preserve">patients with BAFLD were more likely to be males, but there were no significant differences in the mean age between the two groups (43.8 </w:t>
      </w:r>
      <w:r w:rsidR="008B0AFA" w:rsidRPr="008B0AFA">
        <w:rPr>
          <w:rFonts w:ascii="Book Antiqua" w:hAnsi="Book Antiqua" w:cs="Times New Roman"/>
          <w:bCs/>
          <w:i/>
          <w:iCs/>
          <w:sz w:val="24"/>
          <w:szCs w:val="24"/>
        </w:rPr>
        <w:t>vs</w:t>
      </w:r>
      <w:r w:rsidR="00164602" w:rsidRPr="00FA26FB">
        <w:rPr>
          <w:rFonts w:ascii="Book Antiqua" w:hAnsi="Book Antiqua" w:cs="Times New Roman"/>
          <w:bCs/>
          <w:sz w:val="24"/>
          <w:szCs w:val="24"/>
        </w:rPr>
        <w:t xml:space="preserve"> 44.5 years; </w:t>
      </w:r>
      <w:r w:rsidR="00164602" w:rsidRPr="008B0AFA">
        <w:rPr>
          <w:rFonts w:ascii="Book Antiqua" w:hAnsi="Book Antiqua" w:cs="Times New Roman"/>
          <w:bCs/>
          <w:i/>
          <w:iCs/>
          <w:caps/>
          <w:sz w:val="24"/>
          <w:szCs w:val="24"/>
        </w:rPr>
        <w:t>p</w:t>
      </w:r>
      <w:r w:rsidR="008B0AFA">
        <w:rPr>
          <w:rFonts w:ascii="Book Antiqua" w:hAnsi="Book Antiqua" w:cs="Times New Roman"/>
          <w:bCs/>
          <w:sz w:val="24"/>
          <w:szCs w:val="24"/>
        </w:rPr>
        <w:t xml:space="preserve"> </w:t>
      </w:r>
      <w:r w:rsidR="00164602" w:rsidRPr="00FA26FB">
        <w:rPr>
          <w:rFonts w:ascii="Book Antiqua" w:hAnsi="Book Antiqua" w:cs="Times New Roman"/>
          <w:bCs/>
          <w:sz w:val="24"/>
          <w:szCs w:val="24"/>
        </w:rPr>
        <w:t>=</w:t>
      </w:r>
      <w:r w:rsidR="008B0AFA">
        <w:rPr>
          <w:rFonts w:ascii="Book Antiqua" w:hAnsi="Book Antiqua" w:cs="Times New Roman"/>
          <w:bCs/>
          <w:sz w:val="24"/>
          <w:szCs w:val="24"/>
        </w:rPr>
        <w:t xml:space="preserve"> </w:t>
      </w:r>
      <w:r w:rsidR="00164602" w:rsidRPr="00FA26FB">
        <w:rPr>
          <w:rFonts w:ascii="Book Antiqua" w:hAnsi="Book Antiqua" w:cs="Times New Roman"/>
          <w:bCs/>
          <w:sz w:val="24"/>
          <w:szCs w:val="24"/>
        </w:rPr>
        <w:t xml:space="preserve">0.34). The BAFLD population had </w:t>
      </w:r>
      <w:r w:rsidR="00AA1C00">
        <w:rPr>
          <w:rFonts w:ascii="Book Antiqua" w:hAnsi="Book Antiqua" w:cs="Times New Roman"/>
          <w:bCs/>
          <w:sz w:val="24"/>
          <w:szCs w:val="24"/>
        </w:rPr>
        <w:t xml:space="preserve">approximately </w:t>
      </w:r>
      <w:r w:rsidR="00164602" w:rsidRPr="00FA26FB">
        <w:rPr>
          <w:rFonts w:ascii="Book Antiqua" w:hAnsi="Book Antiqua" w:cs="Times New Roman"/>
          <w:bCs/>
          <w:sz w:val="24"/>
          <w:szCs w:val="24"/>
        </w:rPr>
        <w:t xml:space="preserve">2.5 times more current smokers than NAFLD group and they also had </w:t>
      </w:r>
      <w:r w:rsidR="00AA1C00">
        <w:rPr>
          <w:rFonts w:ascii="Book Antiqua" w:hAnsi="Book Antiqua" w:cs="Times New Roman"/>
          <w:bCs/>
          <w:sz w:val="24"/>
          <w:szCs w:val="24"/>
        </w:rPr>
        <w:t xml:space="preserve">approximately </w:t>
      </w:r>
      <w:r w:rsidR="00164602" w:rsidRPr="00FA26FB">
        <w:rPr>
          <w:rFonts w:ascii="Book Antiqua" w:hAnsi="Book Antiqua" w:cs="Times New Roman"/>
          <w:bCs/>
          <w:sz w:val="24"/>
          <w:szCs w:val="24"/>
        </w:rPr>
        <w:t xml:space="preserve">16 times a greater number of drinks/d. </w:t>
      </w:r>
      <w:r w:rsidR="00164602" w:rsidRPr="00FA26FB">
        <w:rPr>
          <w:rFonts w:ascii="Book Antiqua" w:hAnsi="Book Antiqua" w:cs="Times New Roman"/>
          <w:bCs/>
          <w:color w:val="000000" w:themeColor="text1"/>
          <w:sz w:val="24"/>
          <w:szCs w:val="24"/>
        </w:rPr>
        <w:t xml:space="preserve">Given the fact that we used </w:t>
      </w:r>
      <w:proofErr w:type="spellStart"/>
      <w:r w:rsidR="00164602" w:rsidRPr="00FA26FB">
        <w:rPr>
          <w:rFonts w:ascii="Book Antiqua" w:hAnsi="Book Antiqua" w:cs="Times New Roman"/>
          <w:bCs/>
          <w:color w:val="000000" w:themeColor="text1"/>
          <w:sz w:val="24"/>
          <w:szCs w:val="24"/>
        </w:rPr>
        <w:t>MetS</w:t>
      </w:r>
      <w:proofErr w:type="spellEnd"/>
      <w:r w:rsidR="00164602" w:rsidRPr="00FA26FB">
        <w:rPr>
          <w:rFonts w:ascii="Book Antiqua" w:hAnsi="Book Antiqua" w:cs="Times New Roman"/>
          <w:bCs/>
          <w:color w:val="000000" w:themeColor="text1"/>
          <w:sz w:val="24"/>
          <w:szCs w:val="24"/>
        </w:rPr>
        <w:t xml:space="preserve"> and diabetes mellitus type 2 (DM2) as part of the definition of BAFLD, components of the </w:t>
      </w:r>
      <w:proofErr w:type="spellStart"/>
      <w:r w:rsidR="00164602" w:rsidRPr="00FA26FB">
        <w:rPr>
          <w:rFonts w:ascii="Book Antiqua" w:hAnsi="Book Antiqua" w:cs="Times New Roman"/>
          <w:bCs/>
          <w:color w:val="000000" w:themeColor="text1"/>
          <w:sz w:val="24"/>
          <w:szCs w:val="24"/>
        </w:rPr>
        <w:t>MetS</w:t>
      </w:r>
      <w:proofErr w:type="spellEnd"/>
      <w:r w:rsidR="00164602" w:rsidRPr="00FA26FB">
        <w:rPr>
          <w:rFonts w:ascii="Book Antiqua" w:hAnsi="Book Antiqua" w:cs="Times New Roman"/>
          <w:bCs/>
          <w:color w:val="000000" w:themeColor="text1"/>
          <w:sz w:val="24"/>
          <w:szCs w:val="24"/>
        </w:rPr>
        <w:t xml:space="preserve"> were more common in the BAFLD cohort.</w:t>
      </w:r>
      <w:r w:rsidR="00972A9C" w:rsidRPr="00FA26FB">
        <w:rPr>
          <w:rFonts w:ascii="Book Antiqua" w:hAnsi="Book Antiqua" w:cs="Times New Roman"/>
          <w:bCs/>
          <w:color w:val="000000" w:themeColor="text1"/>
          <w:sz w:val="24"/>
          <w:szCs w:val="24"/>
        </w:rPr>
        <w:t xml:space="preserve"> </w:t>
      </w:r>
      <w:r w:rsidR="00164602" w:rsidRPr="00FA26FB">
        <w:rPr>
          <w:rFonts w:ascii="Book Antiqua" w:hAnsi="Book Antiqua" w:cs="Times New Roman"/>
          <w:bCs/>
          <w:color w:val="000000" w:themeColor="text1"/>
          <w:sz w:val="24"/>
          <w:szCs w:val="24"/>
        </w:rPr>
        <w:t>For example,</w:t>
      </w:r>
      <w:r w:rsidR="00164602" w:rsidRPr="00FA26FB">
        <w:rPr>
          <w:rFonts w:ascii="Book Antiqua" w:hAnsi="Book Antiqua" w:cs="Times New Roman"/>
          <w:bCs/>
          <w:color w:val="FF0000"/>
          <w:sz w:val="24"/>
          <w:szCs w:val="24"/>
        </w:rPr>
        <w:t xml:space="preserve"> </w:t>
      </w:r>
      <w:r w:rsidR="00164602" w:rsidRPr="00FA26FB">
        <w:rPr>
          <w:rFonts w:ascii="Book Antiqua" w:hAnsi="Book Antiqua" w:cs="Times New Roman"/>
          <w:bCs/>
          <w:sz w:val="24"/>
          <w:szCs w:val="24"/>
        </w:rPr>
        <w:t>central obesity was also more prevalent in BAFLD patients</w:t>
      </w:r>
      <w:r w:rsidR="00164602" w:rsidRPr="00FA26FB">
        <w:rPr>
          <w:rFonts w:ascii="Book Antiqua" w:hAnsi="Book Antiqua" w:cs="Times New Roman"/>
          <w:bCs/>
          <w:color w:val="000000"/>
          <w:sz w:val="24"/>
          <w:szCs w:val="24"/>
        </w:rPr>
        <w:t xml:space="preserve">. </w:t>
      </w:r>
      <w:r w:rsidR="00164602" w:rsidRPr="00FA26FB">
        <w:rPr>
          <w:rFonts w:ascii="Book Antiqua" w:hAnsi="Book Antiqua" w:cs="Times New Roman"/>
          <w:bCs/>
          <w:sz w:val="24"/>
          <w:szCs w:val="24"/>
        </w:rPr>
        <w:t xml:space="preserve">In addition, we found significantly </w:t>
      </w:r>
      <w:r w:rsidR="00164602" w:rsidRPr="00FA26FB">
        <w:rPr>
          <w:rFonts w:ascii="Book Antiqua" w:hAnsi="Book Antiqua" w:cs="Times New Roman"/>
          <w:bCs/>
          <w:color w:val="000000"/>
          <w:sz w:val="24"/>
          <w:szCs w:val="24"/>
        </w:rPr>
        <w:t xml:space="preserve">higher percentage of </w:t>
      </w:r>
      <w:proofErr w:type="spellStart"/>
      <w:r w:rsidR="00164602" w:rsidRPr="00FA26FB">
        <w:rPr>
          <w:rFonts w:ascii="Book Antiqua" w:hAnsi="Book Antiqua" w:cs="Times New Roman"/>
          <w:bCs/>
          <w:color w:val="000000"/>
          <w:sz w:val="24"/>
          <w:szCs w:val="24"/>
        </w:rPr>
        <w:t>MetS</w:t>
      </w:r>
      <w:proofErr w:type="spellEnd"/>
      <w:r w:rsidR="00164602" w:rsidRPr="00FA26FB">
        <w:rPr>
          <w:rFonts w:ascii="Book Antiqua" w:hAnsi="Book Antiqua" w:cs="Times New Roman"/>
          <w:bCs/>
          <w:color w:val="000000"/>
          <w:sz w:val="24"/>
          <w:szCs w:val="24"/>
        </w:rPr>
        <w:t xml:space="preserve"> in BAFLD group compared to NAFLD population, with high prevalence of HTN, DM, hypertriglyceridemia and low HDL, </w:t>
      </w:r>
      <w:r w:rsidR="00164602" w:rsidRPr="00AA1C00">
        <w:rPr>
          <w:rFonts w:ascii="Book Antiqua" w:hAnsi="Book Antiqua" w:cs="Times New Roman"/>
          <w:bCs/>
          <w:i/>
          <w:iCs/>
          <w:caps/>
          <w:color w:val="000000"/>
          <w:sz w:val="24"/>
          <w:szCs w:val="24"/>
        </w:rPr>
        <w:t>p</w:t>
      </w:r>
      <w:r w:rsidR="00AA1C00">
        <w:rPr>
          <w:rFonts w:ascii="Book Antiqua" w:hAnsi="Book Antiqua" w:cs="Times New Roman"/>
          <w:bCs/>
          <w:color w:val="000000"/>
          <w:sz w:val="24"/>
          <w:szCs w:val="24"/>
        </w:rPr>
        <w:t xml:space="preserve"> </w:t>
      </w:r>
      <w:r w:rsidR="00164602" w:rsidRPr="00FA26FB">
        <w:rPr>
          <w:rFonts w:ascii="Book Antiqua" w:hAnsi="Book Antiqua" w:cs="Times New Roman"/>
          <w:bCs/>
          <w:color w:val="000000"/>
          <w:sz w:val="24"/>
          <w:szCs w:val="24"/>
        </w:rPr>
        <w:t>&lt;</w:t>
      </w:r>
      <w:r w:rsidR="00AA1C00">
        <w:rPr>
          <w:rFonts w:ascii="Book Antiqua" w:hAnsi="Book Antiqua" w:cs="Times New Roman"/>
          <w:bCs/>
          <w:color w:val="000000"/>
          <w:sz w:val="24"/>
          <w:szCs w:val="24"/>
        </w:rPr>
        <w:t xml:space="preserve"> </w:t>
      </w:r>
      <w:r w:rsidR="00164602" w:rsidRPr="00FA26FB">
        <w:rPr>
          <w:rFonts w:ascii="Book Antiqua" w:hAnsi="Book Antiqua" w:cs="Times New Roman"/>
          <w:bCs/>
          <w:color w:val="000000"/>
          <w:sz w:val="24"/>
          <w:szCs w:val="24"/>
        </w:rPr>
        <w:t>0.001 for all.</w:t>
      </w:r>
      <w:r w:rsidR="00164602" w:rsidRPr="00FA26FB">
        <w:rPr>
          <w:rFonts w:ascii="Book Antiqua" w:hAnsi="Book Antiqua" w:cs="Times"/>
          <w:bCs/>
          <w:color w:val="000000"/>
          <w:sz w:val="24"/>
          <w:szCs w:val="24"/>
        </w:rPr>
        <w:t xml:space="preserve"> </w:t>
      </w:r>
      <w:r w:rsidR="00164602" w:rsidRPr="00FA26FB">
        <w:rPr>
          <w:rFonts w:ascii="Book Antiqua" w:hAnsi="Book Antiqua" w:cs="Times New Roman"/>
          <w:bCs/>
          <w:sz w:val="24"/>
          <w:szCs w:val="24"/>
        </w:rPr>
        <w:t xml:space="preserve">Patients with BAFLD were more likely to have significantly higher ALT, AST, gamma glutamyl transferase (GGT). Patients with BAFLD also had significantly higher cholesterol and HbA1C than NAFLD patients. Interestingly, compared to NAFLD patients, those with BAFLD had lower platelet counts. </w:t>
      </w:r>
    </w:p>
    <w:p w14:paraId="08DB4CD1" w14:textId="77777777" w:rsidR="00AA1C00" w:rsidRDefault="00AA1C00" w:rsidP="002C1F15">
      <w:pPr>
        <w:spacing w:after="0" w:line="360" w:lineRule="auto"/>
        <w:jc w:val="both"/>
        <w:outlineLvl w:val="0"/>
        <w:rPr>
          <w:rFonts w:ascii="Book Antiqua" w:hAnsi="Book Antiqua" w:cs="Times New Roman"/>
          <w:bCs/>
          <w:sz w:val="24"/>
          <w:szCs w:val="24"/>
        </w:rPr>
      </w:pPr>
    </w:p>
    <w:p w14:paraId="27454268" w14:textId="3F0E4206" w:rsidR="00164602" w:rsidRPr="00AA1C00" w:rsidRDefault="00164602" w:rsidP="002C1F15">
      <w:pPr>
        <w:spacing w:after="0" w:line="360" w:lineRule="auto"/>
        <w:jc w:val="both"/>
        <w:outlineLvl w:val="0"/>
        <w:rPr>
          <w:rFonts w:ascii="Book Antiqua" w:hAnsi="Book Antiqua" w:cs="Times New Roman"/>
          <w:b/>
          <w:i/>
          <w:iCs/>
          <w:sz w:val="24"/>
          <w:szCs w:val="24"/>
        </w:rPr>
      </w:pPr>
      <w:r w:rsidRPr="00AA1C00">
        <w:rPr>
          <w:rFonts w:ascii="Book Antiqua" w:hAnsi="Book Antiqua" w:cs="Times New Roman"/>
          <w:b/>
          <w:i/>
          <w:iCs/>
          <w:sz w:val="24"/>
          <w:szCs w:val="24"/>
        </w:rPr>
        <w:t>Prevalence of AF in</w:t>
      </w:r>
      <w:r w:rsidR="00627827" w:rsidRPr="00AA1C00">
        <w:rPr>
          <w:rFonts w:ascii="Book Antiqua" w:hAnsi="Book Antiqua" w:cs="Times New Roman"/>
          <w:b/>
          <w:i/>
          <w:iCs/>
          <w:sz w:val="24"/>
          <w:szCs w:val="24"/>
        </w:rPr>
        <w:t xml:space="preserve"> pati</w:t>
      </w:r>
      <w:r w:rsidRPr="00AA1C00">
        <w:rPr>
          <w:rFonts w:ascii="Book Antiqua" w:hAnsi="Book Antiqua" w:cs="Times New Roman"/>
          <w:b/>
          <w:i/>
          <w:iCs/>
          <w:sz w:val="24"/>
          <w:szCs w:val="24"/>
        </w:rPr>
        <w:t>ents with NAFLD and BAFLD</w:t>
      </w:r>
    </w:p>
    <w:p w14:paraId="6FD9B35E" w14:textId="558A1654" w:rsidR="008E380A" w:rsidRPr="00FA26FB" w:rsidRDefault="00164602" w:rsidP="002C1F15">
      <w:pPr>
        <w:spacing w:after="0" w:line="360" w:lineRule="auto"/>
        <w:jc w:val="both"/>
        <w:outlineLvl w:val="0"/>
        <w:rPr>
          <w:rFonts w:ascii="Book Antiqua" w:hAnsi="Book Antiqua" w:cs="Times New Roman"/>
          <w:bCs/>
          <w:sz w:val="24"/>
          <w:szCs w:val="24"/>
        </w:rPr>
      </w:pPr>
      <w:r w:rsidRPr="00FA26FB">
        <w:rPr>
          <w:rFonts w:ascii="Book Antiqua" w:hAnsi="Book Antiqua" w:cs="Times New Roman"/>
          <w:bCs/>
          <w:sz w:val="24"/>
          <w:szCs w:val="24"/>
        </w:rPr>
        <w:lastRenderedPageBreak/>
        <w:t xml:space="preserve">Based on FIB-4 index of 2.67 or higher, patients with BAFLD were found to have significantly higher prevalence of AF compared to the NAFLD group, (7.1% </w:t>
      </w:r>
      <w:r w:rsidR="00710080">
        <w:rPr>
          <w:rFonts w:ascii="Book Antiqua" w:hAnsi="Book Antiqua" w:cs="Times New Roman"/>
          <w:bCs/>
          <w:sz w:val="24"/>
          <w:szCs w:val="24"/>
        </w:rPr>
        <w:t xml:space="preserve">± </w:t>
      </w:r>
      <w:r w:rsidRPr="00FA26FB">
        <w:rPr>
          <w:rFonts w:ascii="Book Antiqua" w:hAnsi="Book Antiqua" w:cs="Times New Roman"/>
          <w:bCs/>
          <w:sz w:val="24"/>
          <w:szCs w:val="24"/>
        </w:rPr>
        <w:t xml:space="preserve">2.5 in the BAFLD group </w:t>
      </w:r>
      <w:r w:rsidR="008B0AFA" w:rsidRPr="008B0AFA">
        <w:rPr>
          <w:rFonts w:ascii="Book Antiqua" w:hAnsi="Book Antiqua" w:cs="Times New Roman"/>
          <w:bCs/>
          <w:i/>
          <w:iCs/>
          <w:sz w:val="24"/>
          <w:szCs w:val="24"/>
        </w:rPr>
        <w:t>vs</w:t>
      </w:r>
      <w:r w:rsidRPr="00FA26FB">
        <w:rPr>
          <w:rFonts w:ascii="Book Antiqua" w:hAnsi="Book Antiqua" w:cs="Times New Roman"/>
          <w:bCs/>
          <w:sz w:val="24"/>
          <w:szCs w:val="24"/>
        </w:rPr>
        <w:t xml:space="preserve"> 1.7% </w:t>
      </w:r>
      <w:r w:rsidR="00710080">
        <w:rPr>
          <w:rFonts w:ascii="Book Antiqua" w:hAnsi="Book Antiqua" w:cs="Times New Roman"/>
          <w:bCs/>
          <w:sz w:val="24"/>
          <w:szCs w:val="24"/>
        </w:rPr>
        <w:t xml:space="preserve">± </w:t>
      </w:r>
      <w:r w:rsidRPr="00FA26FB">
        <w:rPr>
          <w:rFonts w:ascii="Book Antiqua" w:hAnsi="Book Antiqua" w:cs="Times New Roman"/>
          <w:bCs/>
          <w:sz w:val="24"/>
          <w:szCs w:val="24"/>
        </w:rPr>
        <w:t xml:space="preserve">0.22 in the NAFLD group, </w:t>
      </w:r>
      <w:r w:rsidRPr="00335474">
        <w:rPr>
          <w:rFonts w:ascii="Book Antiqua" w:hAnsi="Book Antiqua" w:cs="Times New Roman"/>
          <w:bCs/>
          <w:i/>
          <w:iCs/>
          <w:caps/>
          <w:sz w:val="24"/>
          <w:szCs w:val="24"/>
        </w:rPr>
        <w:t>p</w:t>
      </w:r>
      <w:r w:rsidR="00335474">
        <w:rPr>
          <w:rFonts w:ascii="Book Antiqua" w:hAnsi="Book Antiqua" w:cs="Times New Roman"/>
          <w:bCs/>
          <w:i/>
          <w:iCs/>
          <w:sz w:val="24"/>
          <w:szCs w:val="24"/>
        </w:rPr>
        <w:t xml:space="preserve"> </w:t>
      </w:r>
      <w:r w:rsidRPr="00FA26FB">
        <w:rPr>
          <w:rFonts w:ascii="Book Antiqua" w:hAnsi="Book Antiqua" w:cs="Times New Roman"/>
          <w:bCs/>
          <w:i/>
          <w:iCs/>
          <w:sz w:val="24"/>
          <w:szCs w:val="24"/>
        </w:rPr>
        <w:t>=</w:t>
      </w:r>
      <w:r w:rsidR="00335474">
        <w:rPr>
          <w:rFonts w:ascii="Book Antiqua" w:hAnsi="Book Antiqua" w:cs="Times New Roman"/>
          <w:bCs/>
          <w:i/>
          <w:iCs/>
          <w:sz w:val="24"/>
          <w:szCs w:val="24"/>
        </w:rPr>
        <w:t xml:space="preserve"> </w:t>
      </w:r>
      <w:r w:rsidRPr="00FA26FB">
        <w:rPr>
          <w:rFonts w:ascii="Book Antiqua" w:hAnsi="Book Antiqua" w:cs="Times New Roman"/>
          <w:bCs/>
          <w:sz w:val="24"/>
          <w:szCs w:val="24"/>
        </w:rPr>
        <w:t xml:space="preserve">0.045) as seen in Figure 1. Even after adjusting for all the components of </w:t>
      </w:r>
      <w:proofErr w:type="spellStart"/>
      <w:r w:rsidRPr="00FA26FB">
        <w:rPr>
          <w:rFonts w:ascii="Book Antiqua" w:hAnsi="Book Antiqua" w:cs="Times New Roman"/>
          <w:bCs/>
          <w:sz w:val="24"/>
          <w:szCs w:val="24"/>
        </w:rPr>
        <w:t>MetS</w:t>
      </w:r>
      <w:proofErr w:type="spellEnd"/>
      <w:r w:rsidRPr="00FA26FB">
        <w:rPr>
          <w:rFonts w:ascii="Book Antiqua" w:hAnsi="Book Antiqua" w:cs="Times New Roman"/>
          <w:bCs/>
          <w:sz w:val="24"/>
          <w:szCs w:val="24"/>
        </w:rPr>
        <w:t xml:space="preserve">, subjects with BAFLD had 3.2 times higher odds of having AF than those with NAFLD </w:t>
      </w:r>
      <w:r w:rsidR="00335474">
        <w:rPr>
          <w:rFonts w:ascii="Book Antiqua" w:hAnsi="Book Antiqua" w:cs="Times New Roman"/>
          <w:bCs/>
          <w:sz w:val="24"/>
          <w:szCs w:val="24"/>
        </w:rPr>
        <w:t>[</w:t>
      </w:r>
      <w:r w:rsidRPr="00FA26FB">
        <w:rPr>
          <w:rFonts w:ascii="Book Antiqua" w:hAnsi="Book Antiqua" w:cs="Times New Roman"/>
          <w:bCs/>
          <w:sz w:val="24"/>
          <w:szCs w:val="24"/>
        </w:rPr>
        <w:t>OR (95%CI) for FIB-4</w:t>
      </w:r>
      <w:r w:rsidR="00D6254C">
        <w:rPr>
          <w:rFonts w:ascii="Book Antiqua" w:hAnsi="Book Antiqua" w:cs="Times New Roman"/>
          <w:bCs/>
          <w:sz w:val="24"/>
          <w:szCs w:val="24"/>
        </w:rPr>
        <w:t xml:space="preserve"> </w:t>
      </w:r>
      <w:r w:rsidRPr="00FA26FB">
        <w:rPr>
          <w:rFonts w:ascii="Book Antiqua" w:hAnsi="Book Antiqua" w:cs="Times New Roman"/>
          <w:bCs/>
          <w:sz w:val="24"/>
          <w:szCs w:val="24"/>
        </w:rPr>
        <w:t>&gt; 2.67</w:t>
      </w:r>
      <w:r w:rsidR="00335474">
        <w:rPr>
          <w:rFonts w:ascii="Book Antiqua" w:hAnsi="Book Antiqua" w:cs="Times New Roman"/>
          <w:bCs/>
          <w:sz w:val="24"/>
          <w:szCs w:val="24"/>
        </w:rPr>
        <w:t xml:space="preserve"> </w:t>
      </w:r>
      <w:r w:rsidRPr="00FA26FB">
        <w:rPr>
          <w:rFonts w:ascii="Book Antiqua" w:hAnsi="Book Antiqua" w:cs="Times New Roman"/>
          <w:bCs/>
          <w:sz w:val="24"/>
          <w:szCs w:val="24"/>
        </w:rPr>
        <w:t xml:space="preserve">= 3.2 (1.4, 7.0, </w:t>
      </w:r>
      <w:r w:rsidRPr="00335474">
        <w:rPr>
          <w:rFonts w:ascii="Book Antiqua" w:hAnsi="Book Antiqua" w:cs="Times New Roman"/>
          <w:bCs/>
          <w:i/>
          <w:iCs/>
          <w:caps/>
          <w:sz w:val="24"/>
          <w:szCs w:val="24"/>
        </w:rPr>
        <w:t>p</w:t>
      </w:r>
      <w:r w:rsidR="00335474">
        <w:rPr>
          <w:rFonts w:ascii="Book Antiqua" w:hAnsi="Book Antiqua" w:cs="Times New Roman"/>
          <w:bCs/>
          <w:sz w:val="24"/>
          <w:szCs w:val="24"/>
        </w:rPr>
        <w:t xml:space="preserve"> </w:t>
      </w:r>
      <w:r w:rsidRPr="00FA26FB">
        <w:rPr>
          <w:rFonts w:ascii="Book Antiqua" w:hAnsi="Book Antiqua" w:cs="Times New Roman"/>
          <w:bCs/>
          <w:sz w:val="24"/>
          <w:szCs w:val="24"/>
        </w:rPr>
        <w:t>=</w:t>
      </w:r>
      <w:r w:rsidR="00335474">
        <w:rPr>
          <w:rFonts w:ascii="Book Antiqua" w:hAnsi="Book Antiqua" w:cs="Times New Roman"/>
          <w:bCs/>
          <w:sz w:val="24"/>
          <w:szCs w:val="24"/>
        </w:rPr>
        <w:t xml:space="preserve"> </w:t>
      </w:r>
      <w:r w:rsidRPr="00FA26FB">
        <w:rPr>
          <w:rFonts w:ascii="Book Antiqua" w:hAnsi="Book Antiqua" w:cs="Times New Roman"/>
          <w:bCs/>
          <w:sz w:val="24"/>
          <w:szCs w:val="24"/>
        </w:rPr>
        <w:t>0.004)</w:t>
      </w:r>
      <w:r w:rsidR="00335474">
        <w:rPr>
          <w:rFonts w:ascii="Book Antiqua" w:hAnsi="Book Antiqua" w:cs="Times New Roman"/>
          <w:bCs/>
          <w:sz w:val="24"/>
          <w:szCs w:val="24"/>
        </w:rPr>
        <w:t>]</w:t>
      </w:r>
      <w:r w:rsidRPr="00FA26FB">
        <w:rPr>
          <w:rFonts w:ascii="Book Antiqua" w:hAnsi="Book Antiqua" w:cs="Times New Roman"/>
          <w:bCs/>
          <w:sz w:val="24"/>
          <w:szCs w:val="24"/>
        </w:rPr>
        <w:t>.</w:t>
      </w:r>
    </w:p>
    <w:p w14:paraId="0DC31B42" w14:textId="77777777" w:rsidR="008E380A" w:rsidRPr="00FA26FB" w:rsidRDefault="008E380A" w:rsidP="002C1F15">
      <w:pPr>
        <w:spacing w:after="0" w:line="360" w:lineRule="auto"/>
        <w:jc w:val="both"/>
        <w:rPr>
          <w:rFonts w:ascii="Book Antiqua" w:hAnsi="Book Antiqua" w:cs="Times New Roman"/>
          <w:bCs/>
          <w:sz w:val="24"/>
          <w:szCs w:val="24"/>
        </w:rPr>
      </w:pPr>
    </w:p>
    <w:p w14:paraId="10F95B11" w14:textId="77777777" w:rsidR="008E380A" w:rsidRPr="00FA26FB" w:rsidRDefault="008E380A" w:rsidP="002C1F15">
      <w:pPr>
        <w:spacing w:after="0" w:line="360" w:lineRule="auto"/>
        <w:jc w:val="both"/>
        <w:outlineLvl w:val="0"/>
        <w:rPr>
          <w:rFonts w:ascii="Book Antiqua" w:hAnsi="Book Antiqua" w:cs="Times New Roman"/>
          <w:b/>
          <w:caps/>
          <w:sz w:val="24"/>
          <w:szCs w:val="24"/>
        </w:rPr>
      </w:pPr>
      <w:r w:rsidRPr="00FA26FB">
        <w:rPr>
          <w:rFonts w:ascii="Book Antiqua" w:hAnsi="Book Antiqua" w:cs="Times New Roman"/>
          <w:b/>
          <w:caps/>
          <w:sz w:val="24"/>
          <w:szCs w:val="24"/>
        </w:rPr>
        <w:t>Discussion</w:t>
      </w:r>
    </w:p>
    <w:p w14:paraId="49275578" w14:textId="25135034" w:rsidR="008E380A" w:rsidRPr="00FA26FB" w:rsidRDefault="008E380A" w:rsidP="002C1F15">
      <w:pPr>
        <w:spacing w:after="0" w:line="360" w:lineRule="auto"/>
        <w:jc w:val="both"/>
        <w:rPr>
          <w:rFonts w:ascii="Book Antiqua" w:hAnsi="Book Antiqua" w:cs="Times New Roman"/>
          <w:bCs/>
          <w:sz w:val="24"/>
          <w:szCs w:val="24"/>
        </w:rPr>
      </w:pPr>
      <w:r w:rsidRPr="00FA26FB">
        <w:rPr>
          <w:rFonts w:ascii="Book Antiqua" w:hAnsi="Book Antiqua" w:cs="Times New Roman"/>
          <w:bCs/>
          <w:sz w:val="24"/>
          <w:szCs w:val="24"/>
        </w:rPr>
        <w:t>To the best of our knowledge, the current study provides novel data on the prevalence and clinical characteristics of BAFLD in the U</w:t>
      </w:r>
      <w:r w:rsidR="00070EB9">
        <w:rPr>
          <w:rFonts w:ascii="Book Antiqua" w:hAnsi="Book Antiqua" w:cs="Times New Roman"/>
          <w:bCs/>
          <w:sz w:val="24"/>
          <w:szCs w:val="24"/>
        </w:rPr>
        <w:t>nited States</w:t>
      </w:r>
      <w:r w:rsidRPr="00FA26FB">
        <w:rPr>
          <w:rFonts w:ascii="Book Antiqua" w:hAnsi="Book Antiqua" w:cs="Times New Roman"/>
          <w:bCs/>
          <w:sz w:val="24"/>
          <w:szCs w:val="24"/>
        </w:rPr>
        <w:t xml:space="preserve"> adult population.</w:t>
      </w:r>
      <w:r w:rsidR="00972A9C" w:rsidRPr="00FA26FB">
        <w:rPr>
          <w:rFonts w:ascii="Book Antiqua" w:hAnsi="Book Antiqua" w:cs="Times New Roman"/>
          <w:bCs/>
          <w:sz w:val="24"/>
          <w:szCs w:val="24"/>
        </w:rPr>
        <w:t xml:space="preserve"> </w:t>
      </w:r>
      <w:r w:rsidRPr="00FA26FB">
        <w:rPr>
          <w:rFonts w:ascii="Book Antiqua" w:hAnsi="Book Antiqua" w:cs="Times New Roman"/>
          <w:bCs/>
          <w:sz w:val="24"/>
          <w:szCs w:val="24"/>
        </w:rPr>
        <w:t xml:space="preserve">The main findings of our study are the following: </w:t>
      </w:r>
      <w:r w:rsidR="00070EB9">
        <w:rPr>
          <w:rFonts w:ascii="Book Antiqua" w:hAnsi="Book Antiqua" w:cs="Times New Roman"/>
          <w:bCs/>
          <w:sz w:val="24"/>
          <w:szCs w:val="24"/>
        </w:rPr>
        <w:t>(</w:t>
      </w:r>
      <w:r w:rsidRPr="00FA26FB">
        <w:rPr>
          <w:rFonts w:ascii="Book Antiqua" w:hAnsi="Book Antiqua" w:cs="Times New Roman"/>
          <w:bCs/>
          <w:sz w:val="24"/>
          <w:szCs w:val="24"/>
        </w:rPr>
        <w:t xml:space="preserve">1) BAFLD is common in the </w:t>
      </w:r>
      <w:r w:rsidR="00070EB9" w:rsidRPr="00FA26FB">
        <w:rPr>
          <w:rFonts w:ascii="Book Antiqua" w:hAnsi="Book Antiqua" w:cs="Times New Roman"/>
          <w:bCs/>
          <w:sz w:val="24"/>
          <w:szCs w:val="24"/>
        </w:rPr>
        <w:t>U</w:t>
      </w:r>
      <w:r w:rsidR="00070EB9">
        <w:rPr>
          <w:rFonts w:ascii="Book Antiqua" w:hAnsi="Book Antiqua" w:cs="Times New Roman"/>
          <w:bCs/>
          <w:sz w:val="24"/>
          <w:szCs w:val="24"/>
        </w:rPr>
        <w:t>nited States</w:t>
      </w:r>
      <w:r w:rsidRPr="00FA26FB">
        <w:rPr>
          <w:rFonts w:ascii="Book Antiqua" w:hAnsi="Book Antiqua" w:cs="Times New Roman"/>
          <w:bCs/>
          <w:sz w:val="24"/>
          <w:szCs w:val="24"/>
        </w:rPr>
        <w:t xml:space="preserve"> with an estimated 1.24 million Americans being affected</w:t>
      </w:r>
      <w:r w:rsidR="00070EB9">
        <w:rPr>
          <w:rFonts w:ascii="Book Antiqua" w:hAnsi="Book Antiqua" w:cs="Times New Roman"/>
          <w:bCs/>
          <w:sz w:val="24"/>
          <w:szCs w:val="24"/>
        </w:rPr>
        <w:t>;</w:t>
      </w:r>
      <w:r w:rsidRPr="00FA26FB">
        <w:rPr>
          <w:rFonts w:ascii="Book Antiqua" w:hAnsi="Book Antiqua" w:cs="Times New Roman"/>
          <w:bCs/>
          <w:sz w:val="24"/>
          <w:szCs w:val="24"/>
        </w:rPr>
        <w:t xml:space="preserve"> </w:t>
      </w:r>
      <w:r w:rsidR="00070EB9">
        <w:rPr>
          <w:rFonts w:ascii="Book Antiqua" w:hAnsi="Book Antiqua" w:cs="Times New Roman"/>
          <w:bCs/>
          <w:sz w:val="24"/>
          <w:szCs w:val="24"/>
        </w:rPr>
        <w:t>(</w:t>
      </w:r>
      <w:r w:rsidRPr="00FA26FB">
        <w:rPr>
          <w:rFonts w:ascii="Book Antiqua" w:hAnsi="Book Antiqua" w:cs="Times New Roman"/>
          <w:bCs/>
          <w:sz w:val="24"/>
          <w:szCs w:val="24"/>
        </w:rPr>
        <w:t>2) Compared to NAFLD, patients with BAFLD were more likely to be male and active smokers</w:t>
      </w:r>
      <w:r w:rsidR="00070EB9">
        <w:rPr>
          <w:rFonts w:ascii="Book Antiqua" w:hAnsi="Book Antiqua" w:cs="Times New Roman"/>
          <w:bCs/>
          <w:color w:val="000000"/>
          <w:sz w:val="24"/>
          <w:szCs w:val="24"/>
        </w:rPr>
        <w:t>;</w:t>
      </w:r>
      <w:r w:rsidRPr="00FA26FB">
        <w:rPr>
          <w:rFonts w:ascii="Book Antiqua" w:hAnsi="Book Antiqua" w:cs="Times New Roman"/>
          <w:bCs/>
          <w:color w:val="000000"/>
          <w:sz w:val="24"/>
          <w:szCs w:val="24"/>
        </w:rPr>
        <w:t xml:space="preserve"> </w:t>
      </w:r>
      <w:r w:rsidR="00070EB9">
        <w:rPr>
          <w:rFonts w:ascii="Book Antiqua" w:hAnsi="Book Antiqua" w:cs="Times New Roman"/>
          <w:bCs/>
          <w:color w:val="000000"/>
          <w:sz w:val="24"/>
          <w:szCs w:val="24"/>
        </w:rPr>
        <w:t>(</w:t>
      </w:r>
      <w:r w:rsidRPr="00FA26FB">
        <w:rPr>
          <w:rFonts w:ascii="Book Antiqua" w:hAnsi="Book Antiqua" w:cs="Times New Roman"/>
          <w:bCs/>
          <w:color w:val="000000"/>
          <w:sz w:val="24"/>
          <w:szCs w:val="24"/>
        </w:rPr>
        <w:t>3) They also</w:t>
      </w:r>
      <w:r w:rsidRPr="00FA26FB">
        <w:rPr>
          <w:rFonts w:ascii="Book Antiqua" w:hAnsi="Book Antiqua" w:cs="Times New Roman"/>
          <w:bCs/>
          <w:color w:val="000000"/>
          <w:sz w:val="24"/>
          <w:szCs w:val="24"/>
          <w:vertAlign w:val="superscript"/>
        </w:rPr>
        <w:t xml:space="preserve"> </w:t>
      </w:r>
      <w:r w:rsidRPr="00FA26FB">
        <w:rPr>
          <w:rFonts w:ascii="Book Antiqua" w:hAnsi="Book Antiqua" w:cs="Times New Roman"/>
          <w:bCs/>
          <w:sz w:val="24"/>
          <w:szCs w:val="24"/>
        </w:rPr>
        <w:t xml:space="preserve">have higher ALT (53.1 </w:t>
      </w:r>
      <w:r w:rsidRPr="00070EB9">
        <w:rPr>
          <w:rFonts w:ascii="Book Antiqua" w:hAnsi="Book Antiqua" w:cs="Times New Roman"/>
          <w:bCs/>
          <w:i/>
          <w:iCs/>
          <w:sz w:val="24"/>
          <w:szCs w:val="24"/>
        </w:rPr>
        <w:t>vs</w:t>
      </w:r>
      <w:r w:rsidRPr="00FA26FB">
        <w:rPr>
          <w:rFonts w:ascii="Book Antiqua" w:hAnsi="Book Antiqua" w:cs="Times New Roman"/>
          <w:bCs/>
          <w:sz w:val="24"/>
          <w:szCs w:val="24"/>
        </w:rPr>
        <w:t xml:space="preserve"> 38.2 U/L), AST (43.3 </w:t>
      </w:r>
      <w:r w:rsidRPr="00070EB9">
        <w:rPr>
          <w:rFonts w:ascii="Book Antiqua" w:hAnsi="Book Antiqua" w:cs="Times New Roman"/>
          <w:bCs/>
          <w:i/>
          <w:iCs/>
          <w:sz w:val="24"/>
          <w:szCs w:val="24"/>
        </w:rPr>
        <w:t>vs</w:t>
      </w:r>
      <w:r w:rsidRPr="00FA26FB">
        <w:rPr>
          <w:rFonts w:ascii="Book Antiqua" w:hAnsi="Book Antiqua" w:cs="Times New Roman"/>
          <w:bCs/>
          <w:sz w:val="24"/>
          <w:szCs w:val="24"/>
        </w:rPr>
        <w:t xml:space="preserve"> 31.2</w:t>
      </w:r>
      <w:r w:rsidR="00070EB9">
        <w:rPr>
          <w:rFonts w:ascii="Book Antiqua" w:hAnsi="Book Antiqua" w:cs="Times New Roman"/>
          <w:bCs/>
          <w:sz w:val="24"/>
          <w:szCs w:val="24"/>
        </w:rPr>
        <w:t xml:space="preserve"> </w:t>
      </w:r>
      <w:r w:rsidR="00070EB9" w:rsidRPr="00FA26FB">
        <w:rPr>
          <w:rFonts w:ascii="Book Antiqua" w:hAnsi="Book Antiqua" w:cs="Times New Roman"/>
          <w:bCs/>
          <w:sz w:val="24"/>
          <w:szCs w:val="24"/>
        </w:rPr>
        <w:t>U/L</w:t>
      </w:r>
      <w:r w:rsidRPr="00FA26FB">
        <w:rPr>
          <w:rFonts w:ascii="Book Antiqua" w:hAnsi="Book Antiqua" w:cs="Times New Roman"/>
          <w:bCs/>
          <w:sz w:val="24"/>
          <w:szCs w:val="24"/>
        </w:rPr>
        <w:t xml:space="preserve">), and lower platelet counts (243 </w:t>
      </w:r>
      <w:proofErr w:type="spellStart"/>
      <w:r w:rsidRPr="00070EB9">
        <w:rPr>
          <w:rFonts w:ascii="Book Antiqua" w:hAnsi="Book Antiqua" w:cs="Times New Roman"/>
          <w:bCs/>
          <w:i/>
          <w:iCs/>
          <w:sz w:val="24"/>
          <w:szCs w:val="24"/>
        </w:rPr>
        <w:t>vs</w:t>
      </w:r>
      <w:proofErr w:type="spellEnd"/>
      <w:r w:rsidRPr="00FA26FB">
        <w:rPr>
          <w:rFonts w:ascii="Book Antiqua" w:hAnsi="Book Antiqua" w:cs="Times New Roman"/>
          <w:bCs/>
          <w:sz w:val="24"/>
          <w:szCs w:val="24"/>
        </w:rPr>
        <w:t xml:space="preserve"> 261 </w:t>
      </w:r>
      <w:r w:rsidRPr="00C06BF6">
        <w:rPr>
          <w:rFonts w:ascii="Book Antiqua" w:hAnsi="Book Antiqua" w:cs="Times New Roman"/>
          <w:bCs/>
          <w:caps/>
          <w:sz w:val="24"/>
          <w:szCs w:val="24"/>
        </w:rPr>
        <w:t>k</w:t>
      </w:r>
      <w:r w:rsidRPr="00FA26FB">
        <w:rPr>
          <w:rFonts w:ascii="Book Antiqua" w:hAnsi="Book Antiqua" w:cs="Times New Roman"/>
          <w:bCs/>
          <w:sz w:val="24"/>
          <w:szCs w:val="24"/>
        </w:rPr>
        <w:t>/</w:t>
      </w:r>
      <w:proofErr w:type="spellStart"/>
      <w:r w:rsidRPr="00FA26FB">
        <w:rPr>
          <w:rFonts w:ascii="Book Antiqua" w:hAnsi="Book Antiqua" w:cs="Times New Roman"/>
          <w:bCs/>
          <w:sz w:val="24"/>
          <w:szCs w:val="24"/>
        </w:rPr>
        <w:t>uL</w:t>
      </w:r>
      <w:proofErr w:type="spellEnd"/>
      <w:r w:rsidRPr="00FA26FB">
        <w:rPr>
          <w:rFonts w:ascii="Book Antiqua" w:hAnsi="Book Antiqua" w:cs="Times New Roman"/>
          <w:bCs/>
          <w:sz w:val="24"/>
          <w:szCs w:val="24"/>
        </w:rPr>
        <w:t>) (</w:t>
      </w:r>
      <w:r w:rsidRPr="00070EB9">
        <w:rPr>
          <w:rFonts w:ascii="Book Antiqua" w:hAnsi="Book Antiqua" w:cs="Times New Roman"/>
          <w:bCs/>
          <w:i/>
          <w:caps/>
          <w:sz w:val="24"/>
          <w:szCs w:val="24"/>
        </w:rPr>
        <w:t>p</w:t>
      </w:r>
      <w:r w:rsidR="00070EB9">
        <w:rPr>
          <w:rFonts w:ascii="Book Antiqua" w:hAnsi="Book Antiqua" w:cs="Times New Roman"/>
          <w:bCs/>
          <w:i/>
          <w:sz w:val="24"/>
          <w:szCs w:val="24"/>
        </w:rPr>
        <w:t xml:space="preserve"> </w:t>
      </w:r>
      <w:r w:rsidRPr="00FA26FB">
        <w:rPr>
          <w:rFonts w:ascii="Book Antiqua" w:hAnsi="Book Antiqua" w:cs="Times New Roman"/>
          <w:bCs/>
          <w:sz w:val="24"/>
          <w:szCs w:val="24"/>
        </w:rPr>
        <w:t>&lt; 0.05 for all)</w:t>
      </w:r>
      <w:r w:rsidR="00070EB9">
        <w:rPr>
          <w:rFonts w:ascii="Book Antiqua" w:hAnsi="Book Antiqua" w:cs="Times New Roman"/>
          <w:bCs/>
          <w:sz w:val="24"/>
          <w:szCs w:val="24"/>
        </w:rPr>
        <w:t>; and</w:t>
      </w:r>
      <w:r w:rsidRPr="00FA26FB">
        <w:rPr>
          <w:rFonts w:ascii="Book Antiqua" w:hAnsi="Book Antiqua" w:cs="Times New Roman"/>
          <w:bCs/>
          <w:sz w:val="24"/>
          <w:szCs w:val="24"/>
        </w:rPr>
        <w:t xml:space="preserve"> </w:t>
      </w:r>
      <w:r w:rsidR="00070EB9">
        <w:rPr>
          <w:rFonts w:ascii="Book Antiqua" w:hAnsi="Book Antiqua" w:cs="Times New Roman"/>
          <w:bCs/>
          <w:sz w:val="24"/>
          <w:szCs w:val="24"/>
        </w:rPr>
        <w:t>(</w:t>
      </w:r>
      <w:r w:rsidRPr="00FA26FB">
        <w:rPr>
          <w:rFonts w:ascii="Book Antiqua" w:hAnsi="Book Antiqua" w:cs="Times New Roman"/>
          <w:bCs/>
          <w:sz w:val="24"/>
          <w:szCs w:val="24"/>
        </w:rPr>
        <w:t xml:space="preserve">4) The prevalence of AF was also significantly higher in patients with BAFLD than subjects with NAFLD with an adjusted OR of having AF being 3.2 (1.4, 7.0) based on the FIB-4 index. </w:t>
      </w:r>
    </w:p>
    <w:p w14:paraId="0506C293" w14:textId="64F70028" w:rsidR="008E380A" w:rsidRPr="00FA26FB" w:rsidRDefault="008E380A" w:rsidP="002C1F15">
      <w:pPr>
        <w:spacing w:after="0" w:line="360" w:lineRule="auto"/>
        <w:ind w:firstLine="720"/>
        <w:jc w:val="both"/>
        <w:rPr>
          <w:rFonts w:ascii="Book Antiqua" w:hAnsi="Book Antiqua" w:cs="Times New Roman"/>
          <w:bCs/>
          <w:color w:val="FF0000"/>
          <w:sz w:val="24"/>
          <w:szCs w:val="24"/>
        </w:rPr>
      </w:pPr>
      <w:r w:rsidRPr="00FA26FB">
        <w:rPr>
          <w:rFonts w:ascii="Book Antiqua" w:hAnsi="Book Antiqua" w:cs="Times New Roman"/>
          <w:bCs/>
          <w:sz w:val="24"/>
          <w:szCs w:val="24"/>
        </w:rPr>
        <w:t xml:space="preserve">Several studies have highlighted the strong bidirectional association between </w:t>
      </w:r>
      <w:proofErr w:type="spellStart"/>
      <w:r w:rsidRPr="00FA26FB">
        <w:rPr>
          <w:rFonts w:ascii="Book Antiqua" w:hAnsi="Book Antiqua" w:cs="Times New Roman"/>
          <w:bCs/>
          <w:sz w:val="24"/>
          <w:szCs w:val="24"/>
        </w:rPr>
        <w:t>MetS</w:t>
      </w:r>
      <w:proofErr w:type="spellEnd"/>
      <w:r w:rsidRPr="00FA26FB">
        <w:rPr>
          <w:rFonts w:ascii="Book Antiqua" w:hAnsi="Book Antiqua" w:cs="Times New Roman"/>
          <w:bCs/>
          <w:sz w:val="24"/>
          <w:szCs w:val="24"/>
        </w:rPr>
        <w:t xml:space="preserve"> components and NAFLD</w:t>
      </w:r>
      <w:r w:rsidR="00840F50" w:rsidRPr="00FA26FB">
        <w:rPr>
          <w:rStyle w:val="ad"/>
          <w:rFonts w:ascii="Book Antiqua" w:hAnsi="Book Antiqua" w:cs="Times New Roman"/>
          <w:bCs/>
          <w:sz w:val="24"/>
          <w:szCs w:val="24"/>
        </w:rPr>
        <w:fldChar w:fldCharType="begin" w:fldLock="1"/>
      </w:r>
      <w:r w:rsidR="00840F50" w:rsidRPr="00FA26FB">
        <w:rPr>
          <w:rFonts w:ascii="Book Antiqua" w:hAnsi="Book Antiqua" w:cs="Times New Roman"/>
          <w:bCs/>
          <w:sz w:val="24"/>
          <w:szCs w:val="24"/>
          <w:vertAlign w:val="superscript"/>
        </w:rPr>
        <w:instrText>ADDIN CSL_CITATION {"citationItems":[{"id":"ITEM-1","itemData":{"DOI":"10.1002/hep.28431","ISBN":"0270-9139","ISSN":"15273350","PMID":"26707365","abstract":"BACKGROUND AND AIM: NAFLD is a major cause of liver disease worldwide. We estimated the global prevalence, incidence, progression and outcomes of NAFLD and NASH.\\n\\nMETHODS: Pubmed/MEDLINE were searched from 1989-2015 for terms involving epidemiology and progression of NAFLD.\\n\\nEXCLUSIONS: selected groups (only morbidly obese or diabetics or pediatric), no data on alcohol consumption or other liver diseases. Incidence of HCC, cirrhosis, overall mortality and liver-related mortality were determined. NASH required histologic criteria. All studies were reviewed by 3 independent investigators. Analysis was stratified by region, diagnostic technique, biopsy indication and study population. We used random-effects models to provide point estimates (95% CI) of prevalence, incidence, mortality and incidence rate ratios, and meta-regression with sub-group analysis to account for heterogeneity.\\n\\nRESULTS: Out of 729 studies, 86 were included with a sample size of 8,515,431 from 22 countries. Global prevalence of NAFLD is 25.24% (22.10-28.65) with highest prevalence in Middle East and South America and lowest in Africa. Metabolic comorbidities associated with NAFLD included obesity [51.34% (41.38-61.20)], type 2 diabetes [22.51% (17.92-27.89)], hyperlipidemia [69.16% (49.91-83.46%)], hypertension [(39.34% (33.15-45.88)]] and metabolic syndrome [42.54% (30.06-56.05)] . Fibrosis progression proportion, measured in Brunt's score, and mean annual rate of progression in NASH were 40.76% (34.69-47.13) and 0.09 (0.06-0.12). HCC incidence among NAFLD patients was 0.44/1000 person-years (0.29-0.66). Liver-specific mortality and overall mortality among NAFLD and NASH were 0.77/1000 person-years (0.33-1.77) and 11.77/1000 person-years (7.10-19.53), 15.44/1000 person-years (11.72-20.34) and 25.56/1000 person-years (6.29-103.80). Incidence Risk Ratios for liver-specific and overall mortality for NAFLD were 1.94 (1.28-2.92) and 1.05 (0.70-1.56).\\n\\nCONCLUSIONS: As the global epidemic of obesity fuels metabolic conditions, the clinical and economic burden of NAFLD will become enormous.f This article is protected by copyright. All rights reserved.","author":[{"dropping-particle":"","family":"Younossi","given":"Zobair M.","non-dropping-particle":"","parse-names":false,"suffix":""},{"dropping-particle":"","family":"Koenig","given":"Aaron B.","non-dropping-particle":"","parse-names":false,"suffix":""},{"dropping-particle":"","family":"Abdelatif","given":"Dinan","non-dropping-particle":"","parse-names":false,"suffix":""},{"dropping-particle":"","family":"Fazel","given":"Yousef","non-dropping-particle":"","parse-names":false,"suffix":""},{"dropping-particle":"","family":"Henry","given":"Linda","non-dropping-particle":"","parse-names":false,"suffix":""},{"dropping-particle":"","family":"Wymer","given":"Mark","non-dropping-particle":"","parse-names":false,"suffix":""}],"container-title":"Hepatology","id":"ITEM-1","issue":"1","issued":{"date-parts":[["2016"]]},"page":"73-84","title":"Global epidemiology of nonalcoholic fatty liver disease—Meta-analytic assessment of prevalence, incidence, and outcomes","type":"article-journal","volume":"64"},"uris":["http://www.mendeley.com/documents/?uuid=85af8974-1b9e-4dd5-a357-1681e19017c0"]},{"id":"ITEM-2","itemData":{"DOI":"10.1016/j.jhep.2014.12.012","ISBN":"1600-0641 (Electronic)\\r0168-8278 (Linking)","ISSN":"16000641","PMID":"25920090","abstract":"Non-alcoholic fatty liver disease (NAFLD) is the most common cause of chronic liver disease in Western countries that is predicted to become also the most frequent indication for liver transplantation by 2030. Over the last decade, it has been shown that the clinical burden of NAFLD is not only confined to liver-related morbidity and mortality, but there is now growing evidence that NAFLD is a multisystem disease, affecting extra-hepatic organs and regulatory pathways. For example, NAFLD increases risk of type 2 diabetes mellitus (T2DM), cardiovascular (CVD) and cardiac diseases, and chronic kidney disease (CKD). Although the primary liver pathology in NAFLD affects hepatic structure and function to cause morbidity and mortality from cirrhosis, liver failure and hepatocellular carcinoma, the majority of deaths among NAFLD patients are attributable to CVD. This narrative review focuses on the rapidly expanding body of clinical evidence that supports the concept of NAFLD as a multisystem disease. The review discusses the factors involved in the progression of liver disease in NAFLD and the factors linking NAFLD with other extra-hepatic chronic diseases, such as T2DM, CVD, cardiac diseases and CKD. The review will not discuss NAFLD treatments as these are discussed elsewhere in this issue of the Journal. For this review, PubMed was searched for articles using the keywords \"non-alcoholic fatty liver disease\" or \"fatty liver\" combined with \"diabetes\", \"cardiovascular (or cardiac) disease\", \"cardiovascular mortality\" or \"chronic kidney disease\" between 1990 and 2014. Articles published in languages other than English were excluded.","author":[{"dropping-particle":"","family":"Byrne","given":"Christopher D.","non-dropping-particle":"","parse-names":false,"suffix":""},{"dropping-particle":"","family":"Targher","given":"Giovanni","non-dropping-particle":"","parse-names":false,"suffix":""}],"container-title":"Journal of Hepatology","id":"ITEM-2","issue":"S1","issued":{"date-parts":[["2015"]]},"page":"S47-S64","publisher":"European Association for the Study of the Liver","title":"NAFLD: A multisystem disease","type":"article-journal","volume":"62"},"uris":["http://www.mendeley.com/documents/?uuid=6415ab4c-3f9d-440a-90ca-7726360ef4e7"]},{"id":"ITEM-3","itemData":{"DOI":"10.1016/j.cgh.2011.03.020","ISSN":"15423565","PMID":"21440669","abstract":"BACKGROUND &amp; AIMS Chronic liver diseases (CLDs) are major causes of morbidity and mortality worldwide. We assessed changes in the prevalence of different types of CLD in the United States. METHODS National Health and Nutrition Examination Surveys conducted between 1988 and 2008 were used to estimate changes in the prevalence and predictors of CLDs. Serologic and clinical data were used to establish the diagnoses of CLDs in 39,500 adults. Statistical analyses were conducted with SUDAAN 10.0 (SAS Institute, Inc, Cary, NC). RESULTS The prevalence rates for CLD were 11.78% (1988-1994), 15.66% (1999-2004), and 14.78% (2005-2008). During the same period, the prevalence of hepatitis B virus infection (0.36%, 0.33%, and 0.34%), hepatitis C virus (1.95%, 1.97%, and 1.68%), and alcoholic liver disease (1.38%, 2.21%, and 2.05%) remained generally stable. In contrast, the prevalence of nonalcoholic fatty liver disease (NAFLD) increased from 5.51% to 9.84% to 11.01%. From 1988 to 1994, NAFLD accounted for 46.8% of CLD cases; from 1994 to 2004 its prevalence increased to 62.84%, and then to 75.1% from 2005 to 2008. During these time periods, steady increases were observed in obesity (21.74%, 30.02%, and 33.22%), visceral obesity (35.18%, 48.16%, and 51.43%), type II diabetes (5.55%, 7.88%, and 9.11%), insulin resistance (23.29%, 32.50%, and 35.00%), and hypertension (22.68%, 33.11%, and 34.08%). A multivariate analysis showed that during all time periods, obesity was an independent predictor of NAFLD. CONCLUSIONS National Health and Nutrition Examination Surveys data collected from 1988 to 2008 show that the prevalence of major causes of CLD remained stable, except for NAFLD, which increased steadily, along with the prevalence of metabolic conditions. Given the increasing rates of obesity, NAFLD prevalence is expected to contribute substantially to the burden of CLD in the United States.","author":[{"dropping-particle":"","family":"Younossi","given":"Zobair M.","non-dropping-particle":"","parse-names":false,"suffix":""},{"dropping-particle":"","family":"Stepanova","given":"Maria","non-dropping-particle":"","parse-names":false,"suffix":""},{"dropping-particle":"","family":"Afendy","given":"Mariam","non-dropping-particle":"","parse-names":false,"suffix":""},{"dropping-particle":"","family":"Fang","given":"Yun","non-dropping-particle":"","parse-names":false,"suffix":""},{"dropping-particle":"","family":"Younossi","given":"Youssef","non-dropping-particle":"","parse-names":false,"suffix":""},{"dropping-particle":"","family":"Mir","given":"Hesham","non-dropping-particle":"","parse-names":false,"suffix":""},{"dropping-particle":"","family":"Srishord","given":"Manirath","non-dropping-particle":"","parse-names":false,"suffix":""}],"container-title":"Clinical Gastroenterology and Hepatology","id":"ITEM-3","issue":"6","issued":{"date-parts":[["2011","6"]]},"page":"524-530.e1","title":"Changes in the Prevalence of the Most Common Causes of Chronic Liver Diseases in the United States From 1988 to 2008","type":"article-journal","volume":"9"},"uris":["http://www.mendeley.com/documents/?uuid=de7b1930-fcbe-3fff-8963-670d389d4a2c"]}],"mendeley":{"formattedCitation":"(4,11,12)","plainTextFormattedCitation":"(4,11,12)","previouslyFormattedCitation":"&lt;sup&gt;4,11,12&lt;/sup&gt;"},"properties":{"noteIndex":0},"schema":"https://github.com/citation-style-language/schema/raw/master/csl-citation.json"}</w:instrText>
      </w:r>
      <w:r w:rsidR="00840F50" w:rsidRPr="00FA26FB">
        <w:rPr>
          <w:rStyle w:val="ad"/>
          <w:rFonts w:ascii="Book Antiqua" w:hAnsi="Book Antiqua" w:cs="Times New Roman"/>
          <w:bCs/>
          <w:sz w:val="24"/>
          <w:szCs w:val="24"/>
        </w:rPr>
        <w:fldChar w:fldCharType="separate"/>
      </w:r>
      <w:r w:rsidR="00840F50">
        <w:rPr>
          <w:rFonts w:ascii="Book Antiqua" w:hAnsi="Book Antiqua" w:cs="Times New Roman"/>
          <w:bCs/>
          <w:noProof/>
          <w:sz w:val="24"/>
          <w:szCs w:val="24"/>
          <w:vertAlign w:val="superscript"/>
        </w:rPr>
        <w:t>[</w:t>
      </w:r>
      <w:r w:rsidR="00840F50" w:rsidRPr="00FA26FB">
        <w:rPr>
          <w:rFonts w:ascii="Book Antiqua" w:hAnsi="Book Antiqua" w:cs="Times New Roman"/>
          <w:bCs/>
          <w:noProof/>
          <w:sz w:val="24"/>
          <w:szCs w:val="24"/>
          <w:vertAlign w:val="superscript"/>
        </w:rPr>
        <w:t>4,11,12</w:t>
      </w:r>
      <w:r w:rsidR="00840F50">
        <w:rPr>
          <w:rFonts w:ascii="Book Antiqua" w:hAnsi="Book Antiqua" w:cs="Times New Roman"/>
          <w:bCs/>
          <w:noProof/>
          <w:sz w:val="24"/>
          <w:szCs w:val="24"/>
          <w:vertAlign w:val="superscript"/>
        </w:rPr>
        <w:t>]</w:t>
      </w:r>
      <w:r w:rsidR="00840F50" w:rsidRPr="00FA26FB">
        <w:rPr>
          <w:rStyle w:val="ad"/>
          <w:rFonts w:ascii="Book Antiqua" w:hAnsi="Book Antiqua" w:cs="Times New Roman"/>
          <w:bCs/>
          <w:sz w:val="24"/>
          <w:szCs w:val="24"/>
        </w:rPr>
        <w:fldChar w:fldCharType="end"/>
      </w:r>
      <w:r w:rsidRPr="00FA26FB">
        <w:rPr>
          <w:rFonts w:ascii="Book Antiqua" w:hAnsi="Book Antiqua" w:cs="Times New Roman"/>
          <w:bCs/>
          <w:sz w:val="24"/>
          <w:szCs w:val="24"/>
        </w:rPr>
        <w:t xml:space="preserve">. </w:t>
      </w:r>
      <w:r w:rsidR="001E1F72" w:rsidRPr="00FA26FB">
        <w:rPr>
          <w:rFonts w:ascii="Book Antiqua" w:hAnsi="Book Antiqua" w:cs="Times New Roman"/>
          <w:bCs/>
          <w:sz w:val="24"/>
          <w:szCs w:val="24"/>
        </w:rPr>
        <w:t xml:space="preserve">Obesity is a principle risk factor for both NAFLD and </w:t>
      </w:r>
      <w:proofErr w:type="spellStart"/>
      <w:r w:rsidR="001E1F72" w:rsidRPr="00FA26FB">
        <w:rPr>
          <w:rFonts w:ascii="Book Antiqua" w:hAnsi="Book Antiqua" w:cs="Times New Roman"/>
          <w:bCs/>
          <w:sz w:val="24"/>
          <w:szCs w:val="24"/>
        </w:rPr>
        <w:t>MetS</w:t>
      </w:r>
      <w:proofErr w:type="spellEnd"/>
      <w:r w:rsidRPr="00FA26FB">
        <w:rPr>
          <w:rFonts w:ascii="Book Antiqua" w:hAnsi="Book Antiqua" w:cs="Times New Roman"/>
          <w:bCs/>
          <w:sz w:val="24"/>
          <w:szCs w:val="24"/>
        </w:rPr>
        <w:t xml:space="preserve">. </w:t>
      </w:r>
      <w:r w:rsidR="001E1F72" w:rsidRPr="00FA26FB">
        <w:rPr>
          <w:rFonts w:ascii="Book Antiqua" w:hAnsi="Book Antiqua" w:cs="Times New Roman"/>
          <w:bCs/>
          <w:sz w:val="24"/>
          <w:szCs w:val="24"/>
        </w:rPr>
        <w:t>NAFLD was reported to occur in &gt;</w:t>
      </w:r>
      <w:r w:rsidR="00C06BF6">
        <w:rPr>
          <w:rFonts w:ascii="Book Antiqua" w:hAnsi="Book Antiqua" w:cs="Times New Roman"/>
          <w:bCs/>
          <w:sz w:val="24"/>
          <w:szCs w:val="24"/>
        </w:rPr>
        <w:t xml:space="preserve"> </w:t>
      </w:r>
      <w:r w:rsidR="001E1F72" w:rsidRPr="00FA26FB">
        <w:rPr>
          <w:rFonts w:ascii="Book Antiqua" w:hAnsi="Book Antiqua" w:cs="Times New Roman"/>
          <w:bCs/>
          <w:sz w:val="24"/>
          <w:szCs w:val="24"/>
        </w:rPr>
        <w:t>95% of patients with severe obesity undergoing bariatric surgery</w:t>
      </w:r>
      <w:r w:rsidR="00840F50" w:rsidRPr="00FA26FB">
        <w:rPr>
          <w:rStyle w:val="ad"/>
          <w:rFonts w:ascii="Book Antiqua" w:hAnsi="Book Antiqua" w:cs="Times New Roman"/>
          <w:bCs/>
          <w:sz w:val="24"/>
          <w:szCs w:val="24"/>
        </w:rPr>
        <w:fldChar w:fldCharType="begin" w:fldLock="1"/>
      </w:r>
      <w:r w:rsidR="00840F50" w:rsidRPr="00FA26FB">
        <w:rPr>
          <w:rFonts w:ascii="Book Antiqua" w:hAnsi="Book Antiqua" w:cs="Times New Roman"/>
          <w:bCs/>
          <w:sz w:val="24"/>
          <w:szCs w:val="24"/>
          <w:vertAlign w:val="superscript"/>
        </w:rPr>
        <w:instrText>ADDIN CSL_CITATION {"citationItems":[{"id":"ITEM-1","itemData":{"DOI":"10.3389/fendo.2014.00164","ISSN":"16642392","PMID":"25386164","abstract":"Non-alcoholic fatty liver disease (NAFLD) and non-alcoholic steatohepatitis (NASH) are increasingly common cause of chronic liver disease worldwide. The diagnosis of NASH is challenging as most affected patients are symptom-free and the role of routine screening is not clearly established. Most patients with severe obesity who undergo bariatric surgery have NAFLD, which is associated insulin resistance, type 2 diabetes mellitus (T2DM), hypertension, and obesity-related dyslipidemia. The effective treatment for NAFLD is weight reduction through lifestyle modifications, antiobesity medication, or bariatric surgery. Among these treatments, bariatric surgery is the most reliable method for achieving substantial, sustained weight loss. This procedure is safe when performed by a skilled surgeon, and the benefits include reduced weight, improved quality of life, decreased obesity-related comorbidities, and increased life expectancy. Further research is urgently needed to determine the best use of bariatric surgery with NAFLD patients at high risk of developing liver cirrhosis and its role in modulating complications of NAFLD, such as T2DM and cardiovascular disease. The current evidence suggests that bariatric surgery for patients with severe obesity decreases the grade of steatosis, hepatic inflammation, and fibrosis. However, further long-term studies are required to confirm the true effects before recommending bariatric surgery as a potential treatment for NASH.","author":[{"dropping-particle":"","family":"Sasaki","given":"Akira","non-dropping-particle":"","parse-names":false,"suffix":""},{"dropping-particle":"","family":"Nitta","given":"Hiroyuki","non-dropping-particle":"","parse-names":false,"suffix":""},{"dropping-particle":"","family":"Otsuka","given":"Koki","non-dropping-particle":"","parse-names":false,"suffix":""},{"dropping-particle":"","family":"Umemura","given":"Akira","non-dropping-particle":"","parse-names":false,"suffix":""},{"dropping-particle":"","family":"Baba","given":"Shigeaki","non-dropping-particle":"","parse-names":false,"suffix":""},{"dropping-particle":"","family":"Obuchi","given":"Toru","non-dropping-particle":"","parse-names":false,"suffix":""},{"dropping-particle":"","family":"Wakabayash","given":"Go","non-dropping-particle":"","parse-names":false,"suffix":""}],"container-title":"Frontiers in Endocrinology","id":"ITEM-1","issue":"OCT","issued":{"date-parts":[["2014"]]},"page":"1-6","title":"Bariatric surgery and non-alcoholic fatty liver disease: Current and potential future treatments","type":"article-journal","volume":"5"},"uris":["http://www.mendeley.com/documents/?uuid=7745fc46-ea69-42ea-825c-9ae639f30270"]},{"id":"ITEM-2","itemData":{"DOI":"10.1016/j.soard.2014.06.015","ISSN":"18787533","PMID":"25701959","abstract":"Background Liver disease among the morbidly obese is increasingly prevalent, contributing to significant morbidity. Obesity-related liver pathologies including nonalcoholic steatohepatitis (NASH) have become a leading cause for liver transplant. However, risk factors for developing severe liver disease in the morbidly obese remain unknown. The objective of this study was to determine the frequency of abnormal liver pathology and any relationship to patient-related factors. Methods One thousand consecutive patients undergoing weight loss surgery were reviewed. All patients had a liver biopsy at the time of surgery. Frequency of benign pathology, steatosis, NASH, and fibrosis on pathologic examination of liver biopsy specimens were recorded. Pathologic findings were compared and analyzed to age and body mass index (BMI) of all patients. Results All patients in the study population had a BMI&gt;35 kg/m2. Of these patients, 80.2% had liver disease related to obesity on pathology, including 65.9% with steatosis (grade 1-3), and 14.3% with NASH and/or fibrosis. Mean BMI of patients with liver disease was 48.1 compared to a BMI of 47.7 with benign pathology (P =.523). Mean age of patients with and without abnormal pathology was 48.3 and 47.3, respectively (P =.294). Conclusion Liver disease is highly prevalent in the obese, but is not associated with increased age or BMI. Although all morbidly obese patients appear at significant risk for developing severe liver pathology, further risk factors are unknown.","author":[{"dropping-particle":"","family":"Subichin","given":"Michael","non-dropping-particle":"","parse-names":false,"suffix":""},{"dropping-particle":"","family":"Clanton","given":"Jesse","non-dropping-particle":"","parse-names":false,"suffix":""},{"dropping-particle":"","family":"Makuszewski","given":"Marta","non-dropping-particle":"","parse-names":false,"suffix":""},{"dropping-particle":"","family":"Bohon","given":"Ashley","non-dropping-particle":"","parse-names":false,"suffix":""},{"dropping-particle":"","family":"Zografakis","given":"John G.","non-dropping-particle":"","parse-names":false,"suffix":""},{"dropping-particle":"","family":"Dan","given":"Adrian","non-dropping-particle":"","parse-names":false,"suffix":""}],"container-title":"Surgery for Obesity and Related Diseases","id":"ITEM-2","issue":"1","issued":{"date-parts":[["2015"]]},"page":"137-141","publisher":"Elsevier","title":"Liver disease in the morbidly obese: A review of 1000 consecutive patients undergoing weight loss surgery","type":"article-journal","volume":"11"},"uris":["http://www.mendeley.com/documents/?uuid=fdf272c5-c0b4-4f13-a07a-e132a139b4ea"]}],"mendeley":{"formattedCitation":"(13,14)","plainTextFormattedCitation":"(13,14)","previouslyFormattedCitation":"&lt;sup&gt;13,14&lt;/sup&gt;"},"properties":{"noteIndex":0},"schema":"https://github.com/citation-style-language/schema/raw/master/csl-citation.json"}</w:instrText>
      </w:r>
      <w:r w:rsidR="00840F50" w:rsidRPr="00FA26FB">
        <w:rPr>
          <w:rStyle w:val="ad"/>
          <w:rFonts w:ascii="Book Antiqua" w:hAnsi="Book Antiqua" w:cs="Times New Roman"/>
          <w:bCs/>
          <w:sz w:val="24"/>
          <w:szCs w:val="24"/>
        </w:rPr>
        <w:fldChar w:fldCharType="separate"/>
      </w:r>
      <w:r w:rsidR="00840F50">
        <w:rPr>
          <w:rFonts w:ascii="Book Antiqua" w:hAnsi="Book Antiqua" w:cs="Times New Roman"/>
          <w:bCs/>
          <w:noProof/>
          <w:sz w:val="24"/>
          <w:szCs w:val="24"/>
          <w:vertAlign w:val="superscript"/>
        </w:rPr>
        <w:t>[</w:t>
      </w:r>
      <w:r w:rsidR="00840F50" w:rsidRPr="00FA26FB">
        <w:rPr>
          <w:rFonts w:ascii="Book Antiqua" w:hAnsi="Book Antiqua" w:cs="Times New Roman"/>
          <w:bCs/>
          <w:noProof/>
          <w:sz w:val="24"/>
          <w:szCs w:val="24"/>
          <w:vertAlign w:val="superscript"/>
        </w:rPr>
        <w:t>13,14</w:t>
      </w:r>
      <w:r w:rsidR="00840F50">
        <w:rPr>
          <w:rFonts w:ascii="Book Antiqua" w:hAnsi="Book Antiqua" w:cs="Times New Roman"/>
          <w:bCs/>
          <w:noProof/>
          <w:sz w:val="24"/>
          <w:szCs w:val="24"/>
          <w:vertAlign w:val="superscript"/>
        </w:rPr>
        <w:t>]</w:t>
      </w:r>
      <w:r w:rsidR="00840F50" w:rsidRPr="00FA26FB">
        <w:rPr>
          <w:rStyle w:val="ad"/>
          <w:rFonts w:ascii="Book Antiqua" w:hAnsi="Book Antiqua" w:cs="Times New Roman"/>
          <w:bCs/>
          <w:sz w:val="24"/>
          <w:szCs w:val="24"/>
        </w:rPr>
        <w:fldChar w:fldCharType="end"/>
      </w:r>
      <w:r w:rsidRPr="00FA26FB">
        <w:rPr>
          <w:rFonts w:ascii="Book Antiqua" w:hAnsi="Book Antiqua" w:cs="Times New Roman"/>
          <w:bCs/>
          <w:sz w:val="24"/>
          <w:szCs w:val="24"/>
        </w:rPr>
        <w:t xml:space="preserve">. </w:t>
      </w:r>
      <w:r w:rsidR="001E1F72" w:rsidRPr="00FA26FB">
        <w:rPr>
          <w:rFonts w:ascii="Book Antiqua" w:hAnsi="Book Antiqua" w:cs="Times New Roman"/>
          <w:bCs/>
          <w:sz w:val="24"/>
          <w:szCs w:val="24"/>
        </w:rPr>
        <w:t xml:space="preserve">Between 1980 and 2014, the World Health Organization (WHO) reported a doubling of obesity, with 39% of adults being considered overweight in 2014. </w:t>
      </w:r>
      <w:r w:rsidR="001E1F72" w:rsidRPr="00FA26FB">
        <w:rPr>
          <w:rFonts w:ascii="Book Antiqua" w:hAnsi="Book Antiqua" w:cs="Times New Roman"/>
          <w:bCs/>
          <w:color w:val="231F20"/>
          <w:sz w:val="24"/>
          <w:szCs w:val="24"/>
        </w:rPr>
        <w:t>In</w:t>
      </w:r>
      <w:r w:rsidR="001E1F72" w:rsidRPr="00FA26FB">
        <w:rPr>
          <w:rFonts w:ascii="Book Antiqua" w:hAnsi="Book Antiqua" w:cs="Times New Roman"/>
          <w:bCs/>
          <w:color w:val="FF0000"/>
          <w:sz w:val="24"/>
          <w:szCs w:val="24"/>
        </w:rPr>
        <w:t xml:space="preserve"> </w:t>
      </w:r>
      <w:r w:rsidR="001E1F72" w:rsidRPr="00FA26FB">
        <w:rPr>
          <w:rFonts w:ascii="Book Antiqua" w:hAnsi="Book Antiqua" w:cs="Times New Roman"/>
          <w:bCs/>
          <w:color w:val="000000" w:themeColor="text1"/>
          <w:sz w:val="24"/>
          <w:szCs w:val="24"/>
        </w:rPr>
        <w:t>light of this, it is unsurprising that the prevalence of NAFLD is estimated to be close to 25% of the adult population</w:t>
      </w:r>
      <w:r w:rsidR="00840F50" w:rsidRPr="00FA26FB">
        <w:rPr>
          <w:rStyle w:val="ad"/>
          <w:rFonts w:ascii="Book Antiqua" w:hAnsi="Book Antiqua" w:cs="Times New Roman"/>
          <w:bCs/>
          <w:color w:val="000000" w:themeColor="text1"/>
          <w:sz w:val="24"/>
          <w:szCs w:val="24"/>
        </w:rPr>
        <w:fldChar w:fldCharType="begin" w:fldLock="1"/>
      </w:r>
      <w:r w:rsidR="00840F50" w:rsidRPr="00FA26FB">
        <w:rPr>
          <w:rFonts w:ascii="Book Antiqua" w:hAnsi="Book Antiqua" w:cs="Times New Roman"/>
          <w:bCs/>
          <w:color w:val="000000" w:themeColor="text1"/>
          <w:sz w:val="24"/>
          <w:szCs w:val="24"/>
          <w:vertAlign w:val="superscript"/>
        </w:rPr>
        <w:instrText>ADDIN CSL_CITATION {"citationItems":[{"id":"ITEM-1","itemData":{"DOI":"10.1002/hep.28431","ISBN":"0270-9139","ISSN":"15273350","PMID":"26707365","abstract":"BACKGROUND AND AIM: NAFLD is a major cause of liver disease worldwide. We estimated the global prevalence, incidence, progression and outcomes of NAFLD and NASH.\\n\\nMETHODS: Pubmed/MEDLINE were searched from 1989-2015 for terms involving epidemiology and progression of NAFLD.\\n\\nEXCLUSIONS: selected groups (only morbidly obese or diabetics or pediatric), no data on alcohol consumption or other liver diseases. Incidence of HCC, cirrhosis, overall mortality and liver-related mortality were determined. NASH required histologic criteria. All studies were reviewed by 3 independent investigators. Analysis was stratified by region, diagnostic technique, biopsy indication and study population. We used random-effects models to provide point estimates (95% CI) of prevalence, incidence, mortality and incidence rate ratios, and meta-regression with sub-group analysis to account for heterogeneity.\\n\\nRESULTS: Out of 729 studies, 86 were included with a sample size of 8,515,431 from 22 countries. Global prevalence of NAFLD is 25.24% (22.10-28.65) with highest prevalence in Middle East and South America and lowest in Africa. Metabolic comorbidities associated with NAFLD included obesity [51.34% (41.38-61.20)], type 2 diabetes [22.51% (17.92-27.89)], hyperlipidemia [69.16% (49.91-83.46%)], hypertension [(39.34% (33.15-45.88)]] and metabolic syndrome [42.54% (30.06-56.05)] . Fibrosis progression proportion, measured in Brunt's score, and mean annual rate of progression in NASH were 40.76% (34.69-47.13) and 0.09 (0.06-0.12). HCC incidence among NAFLD patients was 0.44/1000 person-years (0.29-0.66). Liver-specific mortality and overall mortality among NAFLD and NASH were 0.77/1000 person-years (0.33-1.77) and 11.77/1000 person-years (7.10-19.53), 15.44/1000 person-years (11.72-20.34) and 25.56/1000 person-years (6.29-103.80). Incidence Risk Ratios for liver-specific and overall mortality for NAFLD were 1.94 (1.28-2.92) and 1.05 (0.70-1.56).\\n\\nCONCLUSIONS: As the global epidemic of obesity fuels metabolic conditions, the clinical and economic burden of NAFLD will become enormous.f This article is protected by copyright. All rights reserved.","author":[{"dropping-particle":"","family":"Younossi","given":"Zobair M.","non-dropping-particle":"","parse-names":false,"suffix":""},{"dropping-particle":"","family":"Koenig","given":"Aaron B.","non-dropping-particle":"","parse-names":false,"suffix":""},{"dropping-particle":"","family":"Abdelatif","given":"Dinan","non-dropping-particle":"","parse-names":false,"suffix":""},{"dropping-particle":"","family":"Fazel","given":"Yousef","non-dropping-particle":"","parse-names":false,"suffix":""},{"dropping-particle":"","family":"Henry","given":"Linda","non-dropping-particle":"","parse-names":false,"suffix":""},{"dropping-particle":"","family":"Wymer","given":"Mark","non-dropping-particle":"","parse-names":false,"suffix":""}],"container-title":"Hepatology","id":"ITEM-1","issue":"1","issued":{"date-parts":[["2016"]]},"page":"73-84","title":"Global epidemiology of nonalcoholic fatty liver disease—Meta-analytic assessment of prevalence, incidence, and outcomes","type":"article-journal","volume":"64"},"uris":["http://www.mendeley.com/documents/?uuid=85af8974-1b9e-4dd5-a357-1681e19017c0"]},{"id":"ITEM-2","itemData":{"DOI":"10.1038/nrgastro.2017.109","ISBN":"1359-7345","ISSN":"17595053","PMID":"28930295","abstract":"&lt;p&gt;NAFLD is growing in prevalence worldwide, and has emerged as a leading cause of end-stage liver disease in many countries. In this Review, the authors describe the global epidemiology of NAFLD, discuss associated risk factors and outline challenges for screening and manag&amp;hellip;&lt;/p&gt;","author":[{"dropping-particle":"","family":"Younossi","given":"Zobair","non-dropping-particle":"","parse-names":false,"suffix":""},{"dropping-particle":"","family":"Anstee","given":"Quentin M.","non-dropping-particle":"","parse-names":false,"suffix":""},{"dropping-particle":"","family":"Marietti","given":"Milena","non-dropping-particle":"","parse-names":false,"suffix":""},{"dropping-particle":"","family":"Hardy","given":"Timothy","non-dropping-particle":"","parse-names":false,"suffix":""},{"dropping-particle":"","family":"Henry","given":"Linda","non-dropping-particle":"","parse-names":false,"suffix":""},{"dropping-particle":"","family":"Eslam","given":"Mohammed","non-dropping-particle":"","parse-names":false,"suffix":""},{"dropping-particle":"","family":"George","given":"Jacob","non-dropping-particle":"","parse-names":false,"suffix":""},{"dropping-particle":"","family":"Bugianesi","given":"Elisabetta","non-dropping-particle":"","parse-names":false,"suffix":""}],"container-title":"Nature Reviews Gastroenterology and Hepatology","id":"ITEM-2","issue":"1","issued":{"date-parts":[["2018"]]},"page":"11-20","publisher":"Nature Publishing Group","title":"Global burden of NAFLD and NASH: Trends, predictions, risk factors and prevention","type":"article-journal","volume":"15"},"uris":["http://www.mendeley.com/documents/?uuid=69c13269-3d5c-4d7d-83bd-f0811ff4ccd6"]}],"mendeley":{"formattedCitation":"(4,15)","plainTextFormattedCitation":"(4,15)","previouslyFormattedCitation":"&lt;sup&gt;4,15&lt;/sup&gt;"},"properties":{"noteIndex":0},"schema":"https://github.com/citation-style-language/schema/raw/master/csl-citation.json"}</w:instrText>
      </w:r>
      <w:r w:rsidR="00840F50" w:rsidRPr="00FA26FB">
        <w:rPr>
          <w:rStyle w:val="ad"/>
          <w:rFonts w:ascii="Book Antiqua" w:hAnsi="Book Antiqua" w:cs="Times New Roman"/>
          <w:bCs/>
          <w:color w:val="000000" w:themeColor="text1"/>
          <w:sz w:val="24"/>
          <w:szCs w:val="24"/>
        </w:rPr>
        <w:fldChar w:fldCharType="separate"/>
      </w:r>
      <w:r w:rsidR="00840F50">
        <w:rPr>
          <w:rFonts w:ascii="Book Antiqua" w:hAnsi="Book Antiqua" w:cs="Times New Roman"/>
          <w:bCs/>
          <w:noProof/>
          <w:color w:val="000000" w:themeColor="text1"/>
          <w:sz w:val="24"/>
          <w:szCs w:val="24"/>
          <w:vertAlign w:val="superscript"/>
        </w:rPr>
        <w:t>[</w:t>
      </w:r>
      <w:r w:rsidR="00840F50" w:rsidRPr="00FA26FB">
        <w:rPr>
          <w:rFonts w:ascii="Book Antiqua" w:hAnsi="Book Antiqua" w:cs="Times New Roman"/>
          <w:bCs/>
          <w:noProof/>
          <w:color w:val="000000" w:themeColor="text1"/>
          <w:sz w:val="24"/>
          <w:szCs w:val="24"/>
          <w:vertAlign w:val="superscript"/>
        </w:rPr>
        <w:t>4,15</w:t>
      </w:r>
      <w:r w:rsidR="00840F50">
        <w:rPr>
          <w:rFonts w:ascii="Book Antiqua" w:hAnsi="Book Antiqua" w:cs="Times New Roman"/>
          <w:bCs/>
          <w:noProof/>
          <w:color w:val="000000" w:themeColor="text1"/>
          <w:sz w:val="24"/>
          <w:szCs w:val="24"/>
          <w:vertAlign w:val="superscript"/>
        </w:rPr>
        <w:t>]</w:t>
      </w:r>
      <w:r w:rsidR="00840F50" w:rsidRPr="00FA26FB">
        <w:rPr>
          <w:rStyle w:val="ad"/>
          <w:rFonts w:ascii="Book Antiqua" w:hAnsi="Book Antiqua" w:cs="Times New Roman"/>
          <w:bCs/>
          <w:color w:val="000000" w:themeColor="text1"/>
          <w:sz w:val="24"/>
          <w:szCs w:val="24"/>
        </w:rPr>
        <w:fldChar w:fldCharType="end"/>
      </w:r>
      <w:r w:rsidR="001E1F72" w:rsidRPr="00FA26FB">
        <w:rPr>
          <w:rFonts w:ascii="Book Antiqua" w:hAnsi="Book Antiqua" w:cs="Times New Roman"/>
          <w:bCs/>
          <w:color w:val="000000" w:themeColor="text1"/>
          <w:sz w:val="24"/>
          <w:szCs w:val="24"/>
        </w:rPr>
        <w:t>,</w:t>
      </w:r>
      <w:r w:rsidRPr="00FA26FB">
        <w:rPr>
          <w:rFonts w:ascii="Book Antiqua" w:hAnsi="Book Antiqua" w:cs="Times New Roman"/>
          <w:bCs/>
          <w:color w:val="000000" w:themeColor="text1"/>
          <w:sz w:val="24"/>
          <w:szCs w:val="24"/>
        </w:rPr>
        <w:t xml:space="preserve"> which is consistent with our results.</w:t>
      </w:r>
    </w:p>
    <w:p w14:paraId="4D29BF50" w14:textId="75F298C1" w:rsidR="008E380A" w:rsidRPr="00FA26FB" w:rsidRDefault="008E380A" w:rsidP="002C1F15">
      <w:pPr>
        <w:autoSpaceDE w:val="0"/>
        <w:autoSpaceDN w:val="0"/>
        <w:adjustRightInd w:val="0"/>
        <w:spacing w:after="0" w:line="360" w:lineRule="auto"/>
        <w:ind w:firstLine="720"/>
        <w:jc w:val="both"/>
        <w:rPr>
          <w:rFonts w:ascii="Book Antiqua" w:hAnsi="Book Antiqua" w:cs="Times New Roman"/>
          <w:bCs/>
          <w:sz w:val="24"/>
          <w:szCs w:val="24"/>
        </w:rPr>
      </w:pPr>
      <w:r w:rsidRPr="00FA26FB">
        <w:rPr>
          <w:rFonts w:ascii="Book Antiqua" w:hAnsi="Book Antiqua" w:cs="Times New Roman"/>
          <w:bCs/>
          <w:sz w:val="24"/>
          <w:szCs w:val="24"/>
        </w:rPr>
        <w:t xml:space="preserve">Nearly 70% of the </w:t>
      </w:r>
      <w:r w:rsidR="001062CC" w:rsidRPr="00FA26FB">
        <w:rPr>
          <w:rFonts w:ascii="Book Antiqua" w:hAnsi="Book Antiqua" w:cs="Times New Roman"/>
          <w:bCs/>
          <w:sz w:val="24"/>
          <w:szCs w:val="24"/>
        </w:rPr>
        <w:t xml:space="preserve">adult </w:t>
      </w:r>
      <w:r w:rsidRPr="00FA26FB">
        <w:rPr>
          <w:rFonts w:ascii="Book Antiqua" w:hAnsi="Book Antiqua" w:cs="Times New Roman"/>
          <w:bCs/>
          <w:sz w:val="24"/>
          <w:szCs w:val="24"/>
        </w:rPr>
        <w:t xml:space="preserve">population worldwide is estimated to </w:t>
      </w:r>
      <w:r w:rsidR="003A4F96" w:rsidRPr="00FA26FB">
        <w:rPr>
          <w:rFonts w:ascii="Book Antiqua" w:hAnsi="Book Antiqua" w:cs="Times New Roman"/>
          <w:bCs/>
          <w:sz w:val="24"/>
          <w:szCs w:val="24"/>
        </w:rPr>
        <w:t>consume</w:t>
      </w:r>
      <w:r w:rsidRPr="00FA26FB">
        <w:rPr>
          <w:rFonts w:ascii="Book Antiqua" w:hAnsi="Book Antiqua" w:cs="Times New Roman"/>
          <w:bCs/>
          <w:sz w:val="24"/>
          <w:szCs w:val="24"/>
        </w:rPr>
        <w:t xml:space="preserve"> alcohol</w:t>
      </w:r>
      <w:r w:rsidR="003A4F96" w:rsidRPr="00FA26FB">
        <w:rPr>
          <w:rFonts w:ascii="Book Antiqua" w:hAnsi="Book Antiqua" w:cs="Times New Roman"/>
          <w:bCs/>
          <w:sz w:val="24"/>
          <w:szCs w:val="24"/>
        </w:rPr>
        <w:t>;</w:t>
      </w:r>
      <w:r w:rsidRPr="00FA26FB">
        <w:rPr>
          <w:rFonts w:ascii="Book Antiqua" w:hAnsi="Book Antiqua" w:cs="Times New Roman"/>
          <w:bCs/>
          <w:sz w:val="24"/>
          <w:szCs w:val="24"/>
        </w:rPr>
        <w:t xml:space="preserve"> the highest consumption levels </w:t>
      </w:r>
      <w:r w:rsidR="003A4F96" w:rsidRPr="00FA26FB">
        <w:rPr>
          <w:rFonts w:ascii="Book Antiqua" w:hAnsi="Book Antiqua" w:cs="Times New Roman"/>
          <w:bCs/>
          <w:sz w:val="24"/>
          <w:szCs w:val="24"/>
        </w:rPr>
        <w:t xml:space="preserve">are </w:t>
      </w:r>
      <w:r w:rsidRPr="00FA26FB">
        <w:rPr>
          <w:rFonts w:ascii="Book Antiqua" w:hAnsi="Book Antiqua" w:cs="Times New Roman"/>
          <w:bCs/>
          <w:sz w:val="24"/>
          <w:szCs w:val="24"/>
        </w:rPr>
        <w:t>found in the developed world, particularly Europe and North America</w:t>
      </w:r>
      <w:r w:rsidR="00840F50" w:rsidRPr="00FA26FB">
        <w:rPr>
          <w:rStyle w:val="ad"/>
          <w:rFonts w:ascii="Book Antiqua" w:hAnsi="Book Antiqua" w:cs="Times New Roman"/>
          <w:bCs/>
          <w:sz w:val="24"/>
          <w:szCs w:val="24"/>
        </w:rPr>
        <w:fldChar w:fldCharType="begin" w:fldLock="1"/>
      </w:r>
      <w:r w:rsidR="00840F50" w:rsidRPr="00FA26FB">
        <w:rPr>
          <w:rFonts w:ascii="Book Antiqua" w:hAnsi="Book Antiqua" w:cs="Times New Roman"/>
          <w:bCs/>
          <w:sz w:val="24"/>
          <w:szCs w:val="24"/>
          <w:vertAlign w:val="superscript"/>
        </w:rPr>
        <w:instrText>ADDIN CSL_CITATION {"citationItems":[{"id":"ITEM-1","itemData":{"DOI":"/entity/substance_abuse/publications/global_alcohol_report/en/index.html","ISBN":"http://www.who.int/iris/handle/10665/112736","ISSN":"9241564156","PMID":"5155205","abstract":"The Global status report on alcohol and health (2014) presents a comprehensive perspective on the global, regional and country consumption of alcohol, patterns of drinking, health consequences and policy responses in Member States. It represents a continuing effort by the World Health Organization (WHO) to support Member States in collecting information in order to assist them in their efforts to reduce the harmful use of alcohol, and its health and social consequences.","author":[{"dropping-particle":"","family":"World Health Organisation","given":"","non-dropping-particle":"","parse-names":false,"suffix":""}],"container-title":"Global status report on alcohol","id":"ITEM-1","issued":{"date-parts":[["2014"]]},"page":"1-392","title":"Global status report on alcohol and health 2014","type":"article-journal"},"uris":["http://www.mendeley.com/documents/?uuid=7724614b-c7f9-4a32-bc78-08979b7beb83"]}],"mendeley":{"formattedCitation":"(16)","plainTextFormattedCitation":"(16)","previouslyFormattedCitation":"&lt;sup&gt;16&lt;/sup&gt;"},"properties":{"noteIndex":0},"schema":"https://github.com/citation-style-language/schema/raw/master/csl-citation.json"}</w:instrText>
      </w:r>
      <w:r w:rsidR="00840F50" w:rsidRPr="00FA26FB">
        <w:rPr>
          <w:rStyle w:val="ad"/>
          <w:rFonts w:ascii="Book Antiqua" w:hAnsi="Book Antiqua" w:cs="Times New Roman"/>
          <w:bCs/>
          <w:sz w:val="24"/>
          <w:szCs w:val="24"/>
        </w:rPr>
        <w:fldChar w:fldCharType="separate"/>
      </w:r>
      <w:r w:rsidR="00840F50">
        <w:rPr>
          <w:rFonts w:ascii="Book Antiqua" w:hAnsi="Book Antiqua" w:cs="Times New Roman"/>
          <w:bCs/>
          <w:noProof/>
          <w:sz w:val="24"/>
          <w:szCs w:val="24"/>
          <w:vertAlign w:val="superscript"/>
        </w:rPr>
        <w:t>[</w:t>
      </w:r>
      <w:r w:rsidR="00840F50" w:rsidRPr="00FA26FB">
        <w:rPr>
          <w:rFonts w:ascii="Book Antiqua" w:hAnsi="Book Antiqua" w:cs="Times New Roman"/>
          <w:bCs/>
          <w:noProof/>
          <w:sz w:val="24"/>
          <w:szCs w:val="24"/>
          <w:vertAlign w:val="superscript"/>
        </w:rPr>
        <w:t>16</w:t>
      </w:r>
      <w:r w:rsidR="00840F50">
        <w:rPr>
          <w:rFonts w:ascii="Book Antiqua" w:hAnsi="Book Antiqua" w:cs="Times New Roman"/>
          <w:bCs/>
          <w:noProof/>
          <w:sz w:val="24"/>
          <w:szCs w:val="24"/>
          <w:vertAlign w:val="superscript"/>
        </w:rPr>
        <w:t>]</w:t>
      </w:r>
      <w:r w:rsidR="00840F50" w:rsidRPr="00FA26FB">
        <w:rPr>
          <w:rStyle w:val="ad"/>
          <w:rFonts w:ascii="Book Antiqua" w:hAnsi="Book Antiqua" w:cs="Times New Roman"/>
          <w:bCs/>
          <w:sz w:val="24"/>
          <w:szCs w:val="24"/>
        </w:rPr>
        <w:fldChar w:fldCharType="end"/>
      </w:r>
      <w:r w:rsidRPr="00FA26FB">
        <w:rPr>
          <w:rFonts w:ascii="Book Antiqua" w:hAnsi="Book Antiqua" w:cs="Times New Roman"/>
          <w:bCs/>
          <w:sz w:val="24"/>
          <w:szCs w:val="24"/>
        </w:rPr>
        <w:t xml:space="preserve">. </w:t>
      </w:r>
      <w:r w:rsidR="003A4F96" w:rsidRPr="00FA26FB">
        <w:rPr>
          <w:rFonts w:ascii="Book Antiqua" w:hAnsi="Book Antiqua" w:cs="Times New Roman"/>
          <w:bCs/>
          <w:sz w:val="24"/>
          <w:szCs w:val="24"/>
        </w:rPr>
        <w:t>This suggests that the prevalence of ALD in the United States would likely be high as well</w:t>
      </w:r>
      <w:r w:rsidRPr="00FA26FB">
        <w:rPr>
          <w:rFonts w:ascii="Book Antiqua" w:hAnsi="Book Antiqua" w:cs="Times New Roman"/>
          <w:bCs/>
          <w:sz w:val="24"/>
          <w:szCs w:val="24"/>
        </w:rPr>
        <w:t xml:space="preserve">. </w:t>
      </w:r>
      <w:r w:rsidR="003A4F96" w:rsidRPr="00FA26FB">
        <w:rPr>
          <w:rFonts w:ascii="Book Antiqua" w:hAnsi="Book Antiqua" w:cs="Times New Roman"/>
          <w:bCs/>
          <w:sz w:val="24"/>
          <w:szCs w:val="24"/>
        </w:rPr>
        <w:t xml:space="preserve">Diseases of excess alcohol largely affect men, which could </w:t>
      </w:r>
      <w:r w:rsidR="003A4F96" w:rsidRPr="00FA26FB">
        <w:rPr>
          <w:rFonts w:ascii="Book Antiqua" w:hAnsi="Book Antiqua" w:cs="Times New Roman"/>
          <w:bCs/>
          <w:sz w:val="24"/>
          <w:szCs w:val="24"/>
        </w:rPr>
        <w:lastRenderedPageBreak/>
        <w:t>be explained by the fact that men drink more frequently, in larger quantities, and have fewer abstainers than women</w:t>
      </w:r>
      <w:r w:rsidR="00840F50" w:rsidRPr="00FA26FB">
        <w:rPr>
          <w:rStyle w:val="ad"/>
          <w:rFonts w:ascii="Book Antiqua" w:hAnsi="Book Antiqua" w:cs="Times New Roman"/>
          <w:bCs/>
          <w:sz w:val="24"/>
          <w:szCs w:val="24"/>
        </w:rPr>
        <w:fldChar w:fldCharType="begin" w:fldLock="1"/>
      </w:r>
      <w:r w:rsidR="00840F50" w:rsidRPr="00FA26FB">
        <w:rPr>
          <w:rFonts w:ascii="Book Antiqua" w:hAnsi="Book Antiqua" w:cs="Times New Roman"/>
          <w:bCs/>
          <w:sz w:val="24"/>
          <w:szCs w:val="24"/>
          <w:vertAlign w:val="superscript"/>
        </w:rPr>
        <w:instrText>ADDIN CSL_CITATION {"citationItems":[{"id":"ITEM-1","itemData":{"DOI":"/entity/substance_abuse/publications/global_alcohol_report/en/index.html","ISBN":"http://www.who.int/iris/handle/10665/112736","ISSN":"9241564156","PMID":"5155205","abstract":"The Global status report on alcohol and health (2014) presents a comprehensive perspective on the global, regional and country consumption of alcohol, patterns of drinking, health consequences and policy responses in Member States. It represents a continuing effort by the World Health Organization (WHO) to support Member States in collecting information in order to assist them in their efforts to reduce the harmful use of alcohol, and its health and social consequences.","author":[{"dropping-particle":"","family":"World Health Organisation","given":"","non-dropping-particle":"","parse-names":false,"suffix":""}],"container-title":"Global status report on alcohol","id":"ITEM-1","issued":{"date-parts":[["2014"]]},"page":"1-392","title":"Global status report on alcohol and health 2014","type":"article-journal"},"uris":["http://www.mendeley.com/documents/?uuid=7724614b-c7f9-4a32-bc78-08979b7beb83"]}],"mendeley":{"formattedCitation":"(16)","plainTextFormattedCitation":"(16)","previouslyFormattedCitation":"&lt;sup&gt;16&lt;/sup&gt;"},"properties":{"noteIndex":0},"schema":"https://github.com/citation-style-language/schema/raw/master/csl-citation.json"}</w:instrText>
      </w:r>
      <w:r w:rsidR="00840F50" w:rsidRPr="00FA26FB">
        <w:rPr>
          <w:rStyle w:val="ad"/>
          <w:rFonts w:ascii="Book Antiqua" w:hAnsi="Book Antiqua" w:cs="Times New Roman"/>
          <w:bCs/>
          <w:sz w:val="24"/>
          <w:szCs w:val="24"/>
        </w:rPr>
        <w:fldChar w:fldCharType="separate"/>
      </w:r>
      <w:r w:rsidR="00840F50">
        <w:rPr>
          <w:rFonts w:ascii="Book Antiqua" w:hAnsi="Book Antiqua" w:cs="Times New Roman"/>
          <w:bCs/>
          <w:noProof/>
          <w:sz w:val="24"/>
          <w:szCs w:val="24"/>
          <w:vertAlign w:val="superscript"/>
        </w:rPr>
        <w:t>[</w:t>
      </w:r>
      <w:r w:rsidR="00840F50" w:rsidRPr="00FA26FB">
        <w:rPr>
          <w:rFonts w:ascii="Book Antiqua" w:hAnsi="Book Antiqua" w:cs="Times New Roman"/>
          <w:bCs/>
          <w:noProof/>
          <w:sz w:val="24"/>
          <w:szCs w:val="24"/>
          <w:vertAlign w:val="superscript"/>
        </w:rPr>
        <w:t>16</w:t>
      </w:r>
      <w:r w:rsidR="00840F50">
        <w:rPr>
          <w:rFonts w:ascii="Book Antiqua" w:hAnsi="Book Antiqua" w:cs="Times New Roman"/>
          <w:bCs/>
          <w:noProof/>
          <w:sz w:val="24"/>
          <w:szCs w:val="24"/>
          <w:vertAlign w:val="superscript"/>
        </w:rPr>
        <w:t>]</w:t>
      </w:r>
      <w:r w:rsidR="00840F50" w:rsidRPr="00FA26FB">
        <w:rPr>
          <w:rStyle w:val="ad"/>
          <w:rFonts w:ascii="Book Antiqua" w:hAnsi="Book Antiqua" w:cs="Times New Roman"/>
          <w:bCs/>
          <w:sz w:val="24"/>
          <w:szCs w:val="24"/>
        </w:rPr>
        <w:fldChar w:fldCharType="end"/>
      </w:r>
      <w:r w:rsidRPr="00FA26FB">
        <w:rPr>
          <w:rFonts w:ascii="Book Antiqua" w:hAnsi="Book Antiqua" w:cs="Times New Roman"/>
          <w:bCs/>
          <w:sz w:val="24"/>
          <w:szCs w:val="24"/>
        </w:rPr>
        <w:t xml:space="preserve">. </w:t>
      </w:r>
      <w:r w:rsidR="003A4F96" w:rsidRPr="00FA26FB">
        <w:rPr>
          <w:rFonts w:ascii="Book Antiqua" w:hAnsi="Book Antiqua" w:cs="Times New Roman"/>
          <w:bCs/>
          <w:sz w:val="24"/>
          <w:szCs w:val="24"/>
        </w:rPr>
        <w:t>However</w:t>
      </w:r>
      <w:r w:rsidRPr="00FA26FB">
        <w:rPr>
          <w:rFonts w:ascii="Book Antiqua" w:hAnsi="Book Antiqua" w:cs="Times New Roman"/>
          <w:bCs/>
          <w:sz w:val="24"/>
          <w:szCs w:val="24"/>
        </w:rPr>
        <w:t xml:space="preserve">, females are more prone to alcohol-related liver injury </w:t>
      </w:r>
      <w:r w:rsidR="003A4F96" w:rsidRPr="00FA26FB">
        <w:rPr>
          <w:rFonts w:ascii="Book Antiqua" w:hAnsi="Book Antiqua" w:cs="Times New Roman"/>
          <w:bCs/>
          <w:sz w:val="24"/>
          <w:szCs w:val="24"/>
        </w:rPr>
        <w:t>upon consuming</w:t>
      </w:r>
      <w:r w:rsidRPr="00FA26FB">
        <w:rPr>
          <w:rFonts w:ascii="Book Antiqua" w:hAnsi="Book Antiqua" w:cs="Times New Roman"/>
          <w:bCs/>
          <w:sz w:val="24"/>
          <w:szCs w:val="24"/>
        </w:rPr>
        <w:t xml:space="preserve"> lesser quantities</w:t>
      </w:r>
      <w:r w:rsidR="003A4F96" w:rsidRPr="00FA26FB">
        <w:rPr>
          <w:rFonts w:ascii="Book Antiqua" w:hAnsi="Book Antiqua" w:cs="Times New Roman"/>
          <w:bCs/>
          <w:sz w:val="24"/>
          <w:szCs w:val="24"/>
        </w:rPr>
        <w:t xml:space="preserve"> of alcohol for </w:t>
      </w:r>
      <w:r w:rsidRPr="00FA26FB">
        <w:rPr>
          <w:rFonts w:ascii="Book Antiqua" w:hAnsi="Book Antiqua" w:cs="Times New Roman"/>
          <w:bCs/>
          <w:sz w:val="24"/>
          <w:szCs w:val="24"/>
        </w:rPr>
        <w:t>shorter duration</w:t>
      </w:r>
      <w:r w:rsidR="003A4F96" w:rsidRPr="00FA26FB">
        <w:rPr>
          <w:rFonts w:ascii="Book Antiqua" w:hAnsi="Book Antiqua" w:cs="Times New Roman"/>
          <w:bCs/>
          <w:sz w:val="24"/>
          <w:szCs w:val="24"/>
        </w:rPr>
        <w:t>s</w:t>
      </w:r>
      <w:r w:rsidRPr="00FA26FB">
        <w:rPr>
          <w:rFonts w:ascii="Book Antiqua" w:hAnsi="Book Antiqua" w:cs="Times New Roman"/>
          <w:bCs/>
          <w:sz w:val="24"/>
          <w:szCs w:val="24"/>
        </w:rPr>
        <w:t xml:space="preserve">. </w:t>
      </w:r>
      <w:r w:rsidR="003A4F96" w:rsidRPr="00FA26FB">
        <w:rPr>
          <w:rFonts w:ascii="Book Antiqua" w:hAnsi="Book Antiqua" w:cs="Times New Roman"/>
          <w:bCs/>
          <w:sz w:val="24"/>
          <w:szCs w:val="24"/>
        </w:rPr>
        <w:t xml:space="preserve">Determining the relative clinical contributions of alcohol consumption and </w:t>
      </w:r>
      <w:proofErr w:type="spellStart"/>
      <w:r w:rsidR="003A4F96" w:rsidRPr="00FA26FB">
        <w:rPr>
          <w:rFonts w:ascii="Book Antiqua" w:hAnsi="Book Antiqua" w:cs="Times New Roman"/>
          <w:bCs/>
          <w:sz w:val="24"/>
          <w:szCs w:val="24"/>
        </w:rPr>
        <w:t>MetS</w:t>
      </w:r>
      <w:proofErr w:type="spellEnd"/>
      <w:r w:rsidR="003A4F96" w:rsidRPr="00FA26FB">
        <w:rPr>
          <w:rFonts w:ascii="Book Antiqua" w:hAnsi="Book Antiqua" w:cs="Times New Roman"/>
          <w:bCs/>
          <w:sz w:val="24"/>
          <w:szCs w:val="24"/>
        </w:rPr>
        <w:t xml:space="preserve"> to fatty liver disease is difficult, especially when both risk factors are present in the same patient</w:t>
      </w:r>
      <w:r w:rsidRPr="00FA26FB">
        <w:rPr>
          <w:rFonts w:ascii="Book Antiqua" w:hAnsi="Book Antiqua" w:cs="Times New Roman"/>
          <w:bCs/>
          <w:sz w:val="24"/>
          <w:szCs w:val="24"/>
        </w:rPr>
        <w:t>.</w:t>
      </w:r>
      <w:r w:rsidR="00972A9C" w:rsidRPr="00FA26FB">
        <w:rPr>
          <w:rFonts w:ascii="Book Antiqua" w:hAnsi="Book Antiqua" w:cs="Times New Roman"/>
          <w:bCs/>
          <w:sz w:val="24"/>
          <w:szCs w:val="24"/>
        </w:rPr>
        <w:t xml:space="preserve"> </w:t>
      </w:r>
      <w:r w:rsidRPr="00FA26FB">
        <w:rPr>
          <w:rFonts w:ascii="Book Antiqua" w:hAnsi="Book Antiqua" w:cs="Times New Roman"/>
          <w:bCs/>
          <w:sz w:val="24"/>
          <w:szCs w:val="24"/>
        </w:rPr>
        <w:t xml:space="preserve">Indeed, it is well </w:t>
      </w:r>
      <w:r w:rsidR="003A4F96" w:rsidRPr="00FA26FB">
        <w:rPr>
          <w:rFonts w:ascii="Book Antiqua" w:hAnsi="Book Antiqua" w:cs="Times New Roman"/>
          <w:bCs/>
          <w:sz w:val="24"/>
          <w:szCs w:val="24"/>
        </w:rPr>
        <w:t>known</w:t>
      </w:r>
      <w:r w:rsidRPr="00FA26FB">
        <w:rPr>
          <w:rFonts w:ascii="Book Antiqua" w:hAnsi="Book Antiqua" w:cs="Times New Roman"/>
          <w:bCs/>
          <w:sz w:val="24"/>
          <w:szCs w:val="24"/>
        </w:rPr>
        <w:t xml:space="preserve"> that patients with NAFLD can consume higher amounts of alcohol than </w:t>
      </w:r>
      <w:r w:rsidR="003A4F96" w:rsidRPr="00FA26FB">
        <w:rPr>
          <w:rFonts w:ascii="Book Antiqua" w:hAnsi="Book Antiqua" w:cs="Times New Roman"/>
          <w:bCs/>
          <w:sz w:val="24"/>
          <w:szCs w:val="24"/>
        </w:rPr>
        <w:t>previously thought</w:t>
      </w:r>
      <w:r w:rsidR="00840F50" w:rsidRPr="00FA26FB">
        <w:rPr>
          <w:rStyle w:val="ad"/>
          <w:rFonts w:ascii="Book Antiqua" w:hAnsi="Book Antiqua" w:cs="Times New Roman"/>
          <w:bCs/>
          <w:sz w:val="24"/>
          <w:szCs w:val="24"/>
        </w:rPr>
        <w:fldChar w:fldCharType="begin" w:fldLock="1"/>
      </w:r>
      <w:r w:rsidR="00840F50" w:rsidRPr="00FA26FB">
        <w:rPr>
          <w:rFonts w:ascii="Book Antiqua" w:hAnsi="Book Antiqua" w:cs="Times New Roman"/>
          <w:bCs/>
          <w:sz w:val="24"/>
          <w:szCs w:val="24"/>
          <w:vertAlign w:val="superscript"/>
        </w:rPr>
        <w:instrText>ADDIN CSL_CITATION {"citationItems":[{"id":"ITEM-1","itemData":{"DOI":"10.1097/MEG.0b013e3283514edb","ISSN":"0954-691X","PMID":"22343784","abstract":"OBJECTIVES AND METHODS Most definitions of nonalcoholic fatty liver disease (NAFLD) allow some intake of alcohol but little attention has been paid to the possible contribution of alcohol-derived calories in the overall daily intake. The aim of the present study was to determine whether, in a group of 144 patients referred to liver outpatients with NAFLD, a more structured questioning of dietary habits and alcohol consumption would provide better information on alcohol-derived and dietary-derived calorie intake and the relationship with the BMI. RESULTS Both food intake and calories resulting from alcohol ingestion were frequently underestimated as was the percentage of patients who were drinking excessively (&gt;30 U a week), which was surprisingly high at 40%. The substantial calorie intake resulting from alcohol consumption in this group was associated with a reduction in dietary calorie intake, so that the total daily calorie intake remained similar to those with low-to-moderate or no alcohol consumption. The findings also showed that the BMI, although still elevated, was significantly reduced in those drinking heavily compared with low and nondrinkers. CONCLUSION Patients with NAFLD can have substantially higher levels of alcohol consumption than usually recognized. The additional calorie intake resulting from this is to some extent balanced by a reduction in dietary calorie intake with less elevation in BMI, and a clear distinction from an alcohol-induced steatosis may be difficult.","author":[{"dropping-particle":"","family":"Marks","given":"Peter","non-dropping-particle":"","parse-names":false,"suffix":""},{"dropping-particle":"","family":"Williams","given":"Roger","non-dropping-particle":"","parse-names":false,"suffix":""}],"container-title":"European Journal of Gastroenterology &amp; Hepatology","id":"ITEM-1","issue":"5","issued":{"date-parts":[["2012"]]},"page":"527-530","title":"Calorie and alcohol consumption in nonalcoholic fatty liver disease","type":"article-journal","volume":"24"},"uris":["http://www.mendeley.com/documents/?uuid=127988e2-1703-4c67-9b28-987949bc782a"]}],"mendeley":{"formattedCitation":"(17)","plainTextFormattedCitation":"(17)","previouslyFormattedCitation":"&lt;sup&gt;17&lt;/sup&gt;"},"properties":{"noteIndex":0},"schema":"https://github.com/citation-style-language/schema/raw/master/csl-citation.json"}</w:instrText>
      </w:r>
      <w:r w:rsidR="00840F50" w:rsidRPr="00FA26FB">
        <w:rPr>
          <w:rStyle w:val="ad"/>
          <w:rFonts w:ascii="Book Antiqua" w:hAnsi="Book Antiqua" w:cs="Times New Roman"/>
          <w:bCs/>
          <w:sz w:val="24"/>
          <w:szCs w:val="24"/>
        </w:rPr>
        <w:fldChar w:fldCharType="separate"/>
      </w:r>
      <w:r w:rsidR="00840F50">
        <w:rPr>
          <w:rFonts w:ascii="Book Antiqua" w:hAnsi="Book Antiqua" w:cs="Times New Roman"/>
          <w:bCs/>
          <w:noProof/>
          <w:sz w:val="24"/>
          <w:szCs w:val="24"/>
          <w:vertAlign w:val="superscript"/>
        </w:rPr>
        <w:t>[</w:t>
      </w:r>
      <w:r w:rsidR="00840F50" w:rsidRPr="00FA26FB">
        <w:rPr>
          <w:rFonts w:ascii="Book Antiqua" w:hAnsi="Book Antiqua" w:cs="Times New Roman"/>
          <w:bCs/>
          <w:noProof/>
          <w:sz w:val="24"/>
          <w:szCs w:val="24"/>
          <w:vertAlign w:val="superscript"/>
        </w:rPr>
        <w:t>17</w:t>
      </w:r>
      <w:r w:rsidR="00840F50">
        <w:rPr>
          <w:rFonts w:ascii="Book Antiqua" w:hAnsi="Book Antiqua" w:cs="Times New Roman"/>
          <w:bCs/>
          <w:noProof/>
          <w:sz w:val="24"/>
          <w:szCs w:val="24"/>
          <w:vertAlign w:val="superscript"/>
        </w:rPr>
        <w:t>]</w:t>
      </w:r>
      <w:r w:rsidR="00840F50" w:rsidRPr="00FA26FB">
        <w:rPr>
          <w:rStyle w:val="ad"/>
          <w:rFonts w:ascii="Book Antiqua" w:hAnsi="Book Antiqua" w:cs="Times New Roman"/>
          <w:bCs/>
          <w:sz w:val="24"/>
          <w:szCs w:val="24"/>
        </w:rPr>
        <w:fldChar w:fldCharType="end"/>
      </w:r>
      <w:r w:rsidRPr="00FA26FB">
        <w:rPr>
          <w:rFonts w:ascii="Book Antiqua" w:hAnsi="Book Antiqua" w:cs="Times New Roman"/>
          <w:bCs/>
          <w:sz w:val="24"/>
          <w:szCs w:val="24"/>
        </w:rPr>
        <w:t>.</w:t>
      </w:r>
      <w:r w:rsidR="00840F50">
        <w:rPr>
          <w:rFonts w:ascii="Book Antiqua" w:hAnsi="Book Antiqua" w:cs="Times New Roman"/>
          <w:bCs/>
          <w:sz w:val="24"/>
          <w:szCs w:val="24"/>
        </w:rPr>
        <w:t xml:space="preserve"> </w:t>
      </w:r>
      <w:r w:rsidRPr="00FA26FB">
        <w:rPr>
          <w:rFonts w:ascii="Book Antiqua" w:hAnsi="Book Antiqua" w:cs="Times New Roman"/>
          <w:bCs/>
          <w:sz w:val="24"/>
          <w:szCs w:val="24"/>
        </w:rPr>
        <w:t>Obesity/</w:t>
      </w:r>
      <w:proofErr w:type="spellStart"/>
      <w:r w:rsidRPr="00FA26FB">
        <w:rPr>
          <w:rFonts w:ascii="Book Antiqua" w:hAnsi="Book Antiqua" w:cs="Times New Roman"/>
          <w:bCs/>
          <w:sz w:val="24"/>
          <w:szCs w:val="24"/>
        </w:rPr>
        <w:t>MetS</w:t>
      </w:r>
      <w:proofErr w:type="spellEnd"/>
      <w:r w:rsidRPr="00FA26FB">
        <w:rPr>
          <w:rFonts w:ascii="Book Antiqua" w:hAnsi="Book Antiqua" w:cs="Times New Roman"/>
          <w:bCs/>
          <w:sz w:val="24"/>
          <w:szCs w:val="24"/>
        </w:rPr>
        <w:t xml:space="preserve"> and excessive alcohol consumption may coexist in a significant proportion</w:t>
      </w:r>
      <w:r w:rsidR="00CD7687" w:rsidRPr="00FA26FB">
        <w:rPr>
          <w:rFonts w:ascii="Book Antiqua" w:hAnsi="Book Antiqua" w:cs="Times New Roman"/>
          <w:bCs/>
          <w:sz w:val="24"/>
          <w:szCs w:val="24"/>
        </w:rPr>
        <w:t>,</w:t>
      </w:r>
      <w:r w:rsidRPr="00FA26FB">
        <w:rPr>
          <w:rFonts w:ascii="Book Antiqua" w:hAnsi="Book Antiqua" w:cs="Times New Roman"/>
          <w:bCs/>
          <w:sz w:val="24"/>
          <w:szCs w:val="24"/>
        </w:rPr>
        <w:t xml:space="preserve"> affecting the liver in ways that may lead to the development of BAFLD.</w:t>
      </w:r>
    </w:p>
    <w:p w14:paraId="559D44B1" w14:textId="25272948" w:rsidR="008E380A" w:rsidRPr="00FA26FB" w:rsidRDefault="008E380A" w:rsidP="002C1F15">
      <w:pPr>
        <w:spacing w:after="0" w:line="360" w:lineRule="auto"/>
        <w:ind w:firstLine="720"/>
        <w:jc w:val="both"/>
        <w:rPr>
          <w:rFonts w:ascii="Book Antiqua" w:hAnsi="Book Antiqua" w:cs="Times New Roman"/>
          <w:bCs/>
          <w:sz w:val="24"/>
          <w:szCs w:val="24"/>
        </w:rPr>
      </w:pPr>
      <w:r w:rsidRPr="00FA26FB">
        <w:rPr>
          <w:rFonts w:ascii="Book Antiqua" w:hAnsi="Book Antiqua" w:cs="Times New Roman"/>
          <w:bCs/>
          <w:sz w:val="24"/>
          <w:szCs w:val="24"/>
        </w:rPr>
        <w:t xml:space="preserve">Although, there </w:t>
      </w:r>
      <w:r w:rsidR="00CD7687" w:rsidRPr="00FA26FB">
        <w:rPr>
          <w:rFonts w:ascii="Book Antiqua" w:hAnsi="Book Antiqua" w:cs="Times New Roman"/>
          <w:bCs/>
          <w:sz w:val="24"/>
          <w:szCs w:val="24"/>
        </w:rPr>
        <w:t>are</w:t>
      </w:r>
      <w:r w:rsidRPr="00FA26FB">
        <w:rPr>
          <w:rFonts w:ascii="Book Antiqua" w:hAnsi="Book Antiqua" w:cs="Times New Roman"/>
          <w:bCs/>
          <w:sz w:val="24"/>
          <w:szCs w:val="24"/>
        </w:rPr>
        <w:t xml:space="preserve"> data addressing the effect of alcohol or obesity on liver</w:t>
      </w:r>
      <w:r w:rsidR="00840F50" w:rsidRPr="00FA26FB">
        <w:rPr>
          <w:rStyle w:val="ad"/>
          <w:rFonts w:ascii="Book Antiqua" w:hAnsi="Book Antiqua" w:cs="Times New Roman"/>
          <w:bCs/>
          <w:sz w:val="24"/>
          <w:szCs w:val="24"/>
        </w:rPr>
        <w:fldChar w:fldCharType="begin" w:fldLock="1"/>
      </w:r>
      <w:r w:rsidR="00840F50" w:rsidRPr="00FA26FB">
        <w:rPr>
          <w:rFonts w:ascii="Book Antiqua" w:hAnsi="Book Antiqua" w:cs="Times New Roman"/>
          <w:bCs/>
          <w:sz w:val="24"/>
          <w:szCs w:val="24"/>
          <w:vertAlign w:val="superscript"/>
        </w:rPr>
        <w:instrText>ADDIN CSL_CITATION {"citationItems":[{"id":"ITEM-1","itemData":{"ISSN":"0145-6008","PMID":"9660326","abstract":"Most clinicians and researchers view serum gamma-glutamyltransferase (GGT) activity as a measure that can be interpreted equally in patients regardless of their demography. The present study evaluates the concurrent influence of age and body mass index (BMI) on GGT in a sample of 133 high functioning young men, with detailed assessment of the pattern of alcohol use at ages 20 [time 1 (T1)], 30 [time 2 (T2)], and 35 [time 3 (T3)]. GGT increased between T1 and T2 (15.4 +/- 9.65 units/liter vs. 20.1 +/- 12.07 units/liter, t = 4.17, p &lt; 0.001), and between T2 and T3 (20.1 +/- 12.07 units/liter vs. 27.3 +/- 24.69 units/liter, t = 4.11, p &lt; 0.001). Controlling for drinking quantity and frequency did not change the finding. The relationship between GGT and BMI was estimated after splitting the sample into normal (BMI &lt; or = 25 kg/m2) and overweight (BMI &gt; 25 kg/m2) subjects. The correlation between GGT and BMI in normal weight men at T1 was r = 0.15, p = 0.09, at T2 r = 0.00, p = 0.96, and at T3 r = 0.09, p = 0.09. In overweight subjects, correlation at T1 was r = 0.40, p = 0.20, at T2 r = 0.36, p &lt; 0.05, and at T3 r = 0.44, p &lt; 0.001. Controlling for the effect of alcohol consumption and/or age did not alter these conclusions. Testing for the interaction of age, BMI, and alcohol consumption did not yield relevant results. We concluded that GGT is positively related to age in the 20s to late 30s and to BMI in overweight subjects; both relationships of age and BMI were independent of alcohol consumption. The interpretation of GGT should take age and BMI into account when suspecting subclinical alcohol problems in young men.","author":[{"dropping-particle":"","family":"Daeppen","given":"J B","non-dropping-particle":"","parse-names":false,"suffix":""},{"dropping-particle":"","family":"Smith","given":"T L","non-dropping-particle":"","parse-names":false,"suffix":""},{"dropping-particle":"","family":"Schuckit","given":"M a","non-dropping-particle":"","parse-names":false,"suffix":""}],"container-title":"Alcoholism, clinical and experimental research","id":"ITEM-1","issue":"4","issued":{"date-parts":[["1998"]]},"page":"941-4","title":"Influence of age and body mass index on gamma-glutamyltransferase activity: a 15-year follow-up evaluation in a community sample.","type":"article-journal","volume":"22"},"uris":["http://www.mendeley.com/documents/?uuid=e4d6c6db-fc50-4d99-86ae-2583fa08f4e6"]},{"id":"ITEM-2","itemData":{"DOI":"10.1093/aje/kwi125","ISBN":"0002-9262","ISSN":"00029262","PMID":"15901629","abstract":"The mechanisms linking obesity and inactivity to diabetes mellitus are unclear. Recent studies have shown associations of alanine aminotransferase (ALT) and gamma-glutamyltransferase (GGT) with diabetes. In a random sample of 3,789 British women aged 60-79 years, the authors examined the associations of obesity and physical activity with ALT and GGT (1999-2001). Both body mass index and waist:hip ratio were independently (of each other, physical activity, alcohol consumption, smoking, and childhood and adulthood social class) positively and linearly associated with ALT and GGT. In adjusted models, a one-standard-deviation increase in body mass index was associated with a 0.46-units/liter (95% confidence interval (CI): 0.16, 0.75) increase in ALT and a 2.14-units/liter (95% CI: 0.99, 3.30) increase in GGT. Similar results for a one-standard-deviation increase in waist:hip ratio were 13.96 (95% CI: 10.44, 17.48) for ALT and 39.44 (95% CI: 25.89, 52.98) for GGT. Frequency of physical activity was inversely and linearly associated with GGT in fully adjusted models, but the inverse association with ALT was attenuated towards the null after adjustment for body mass index and waist:hip ratio. Adjustment for ALT and GGT resulted in some attenuation of the strong linear associations of body mass index and waist:hip ratio with diabetes. These findings provide some support for the suggestion that the relation between obesity and diabetes is, at least in part, mediated by liver pathology.","author":[{"dropping-particle":"","family":"Lawlor","given":"Debbie A.","non-dropping-particle":"","parse-names":false,"suffix":""},{"dropping-particle":"","family":"Sattar","given":"Naveed","non-dropping-particle":"","parse-names":false,"suffix":""},{"dropping-particle":"","family":"Smith","given":"George Davey","non-dropping-particle":"","parse-names":false,"suffix":""},{"dropping-particle":"","family":"Ebrahim","given":"Shah","non-dropping-particle":"","parse-names":false,"suffix":""}],"container-title":"American Journal of Epidemiology","id":"ITEM-2","issue":"11","issued":{"date-parts":[["2005"]]},"page":"1081-1088","title":"The associations of physical activity and adiposity with alanine aminotransferase and gamma-glutamyltransferase","type":"article-journal","volume":"161"},"uris":["http://www.mendeley.com/documents/?uuid=aa5e028b-d5ac-4f28-a3aa-c67303d4e96a"]},{"id":"ITEM-3","itemData":{"DOI":"10.1186/1471-2296-6-17","ISBN":"1471229661","ISSN":"14712296","PMID":"15845150","abstract":"BACKGROUND: Obesity is an important public health problem. However, the effects of alcohol use on the risk for obesity have not been thoroughly explored. This study focuses on how frequency of alcohol use is related to the risk of obesity in a community medicine clinic population. METHODS: This study used a cross-sectional survey to test the hypothesis that obesity (BMI &gt; 30) is associated with alcohol use. The convenience sample was drawn from three clinics that primarily serve low-income populations. Independent variables included frequency of alcohol use, frequency of binge drinking, demographic characteristics, health behaviors and health status. RESULTS: In comparison to non-drinkers, people who consumed alcohol 3 or more days per month had lower odds of being obese (Adjusted Odds Ratio = .49, p &lt; .04). As expected, there was a significant association between watching eight or more hours of television per day and obesity (AOR = 2.34, p &lt; .01). CONCLUSION: More frequent drinking and less television time are independently associated with reduced odds of obesity in this sample of community medicine patients. Additional research is needed to isolate casual mechanisms.","author":[{"dropping-particle":"","family":"Rohrer","given":"James E.","non-dropping-particle":"","parse-names":false,"suffix":""},{"dropping-particle":"","family":"Rohland","given":"Barbara M.","non-dropping-particle":"","parse-names":false,"suffix":""},{"dropping-particle":"","family":"Denison","given":"Anne","non-dropping-particle":"","parse-names":false,"suffix":""},{"dropping-particle":"","family":"Way","given":"Anthony","non-dropping-particle":"","parse-names":false,"suffix":""}],"container-title":"BMC Family Practice","id":"ITEM-3","issued":{"date-parts":[["2005"]]},"page":"1-8","title":"Frequency of alcohol use and obesity in community medicine patients","type":"article-journal","volume":"6"},"uris":["http://www.mendeley.com/documents/?uuid=94902dd4-e467-43ed-a25a-223d492d00b5"]},{"id":"ITEM-4","itemData":{"DOI":"10.1002/hep.20149","ISSN":"02709139","PMID":"14999694","abstract":"Regional body fat distribution may represent an independent risk factor for several conditions, especially metabolic and cardiovascular diseases; recent findings have shown that abdominal fat accumulation can be an independent predictor of hepatic steatosis. Very few studies, mostly using selected clinical samples, have focused on the relationship between indices of abdominal visceral fat accumulation and the most commonly used biochemical liver tests, such as alanine aminotransferase (ALT), aspartate aminotransferase (AST), and gamma-glutamyltransferase (GGT). The aim of the present study was to evaluate the relation between central fat accumulation, as assessed by abdominal height, relative weight, as determined by body mass index (BMI), and liver function tests (ALT, AST, and GGT) in a random sample of 2,704 residents of Erie and Niagara Counties in New York State, 35-80 years of age and free from known hepatic disease. Multiple linear regression models were used, with liver enzymes as dependent variables with abdominal height and BMI as independent variables, and the inclusion of several covariates (age, race, education, smoking status, pack-years of smoking, drinking status, and total ounces of ethanol in the past 30 days). Abdominal height was consistently a better correlate of ALT and GGT levels than BMI in both sexes. In addition, abdominal height was the most powerful independent predictor of ALT in both sexes as well as of GGT among women. In conclusion, these findings support a role for central adiposity independent from BMI in predicting increased levels of hepatic enzymes, likely as a result of unrecognized fatty liver.","author":[{"dropping-particle":"","family":"Stranges","given":"Saverio","non-dropping-particle":"","parse-names":false,"suffix":""},{"dropping-particle":"","family":"Dorn","given":"Joan M.","non-dropping-particle":"","parse-names":false,"suffix":""},{"dropping-particle":"","family":"Muti","given":"Paola","non-dropping-particle":"","parse-names":false,"suffix":""},{"dropping-particle":"","family":"Freudenheim","given":"Jo L.","non-dropping-particle":"","parse-names":false,"suffix":""},{"dropping-particle":"","family":"Farinaro","given":"Eduardo","non-dropping-particle":"","parse-names":false,"suffix":""},{"dropping-particle":"","family":"Russell","given":"Marcia","non-dropping-particle":"","parse-names":false,"suffix":""},{"dropping-particle":"","family":"Nochajski","given":"Thomas H.","non-dropping-particle":"","parse-names":false,"suffix":""},{"dropping-particle":"","family":"Trevisan","given":"Maurizio","non-dropping-particle":"","parse-names":false,"suffix":""}],"container-title":"Hepatology","id":"ITEM-4","issue":"3","issued":{"date-parts":[["2004"]]},"page":"754-763","title":"Body Fat Distribution, Relative Weight, and Liver Enzyme Levels: A Population-Based Study","type":"article-journal","volume":"39"},"uris":["http://www.mendeley.com/documents/?uuid=9a405fa7-d143-4ae5-8010-6c85cbce18d4"]}],"mendeley":{"formattedCitation":"(18–21)","plainTextFormattedCitation":"(18–21)","previouslyFormattedCitation":"&lt;sup&gt;18–21&lt;/sup&gt;"},"properties":{"noteIndex":0},"schema":"https://github.com/citation-style-language/schema/raw/master/csl-citation.json"}</w:instrText>
      </w:r>
      <w:r w:rsidR="00840F50" w:rsidRPr="00FA26FB">
        <w:rPr>
          <w:rStyle w:val="ad"/>
          <w:rFonts w:ascii="Book Antiqua" w:hAnsi="Book Antiqua" w:cs="Times New Roman"/>
          <w:bCs/>
          <w:sz w:val="24"/>
          <w:szCs w:val="24"/>
        </w:rPr>
        <w:fldChar w:fldCharType="separate"/>
      </w:r>
      <w:r w:rsidR="00840F50">
        <w:rPr>
          <w:rFonts w:ascii="Book Antiqua" w:hAnsi="Book Antiqua" w:cs="Times New Roman"/>
          <w:bCs/>
          <w:noProof/>
          <w:sz w:val="24"/>
          <w:szCs w:val="24"/>
          <w:vertAlign w:val="superscript"/>
        </w:rPr>
        <w:t>[</w:t>
      </w:r>
      <w:r w:rsidR="00840F50" w:rsidRPr="00FA26FB">
        <w:rPr>
          <w:rFonts w:ascii="Book Antiqua" w:hAnsi="Book Antiqua" w:cs="Times New Roman"/>
          <w:bCs/>
          <w:noProof/>
          <w:sz w:val="24"/>
          <w:szCs w:val="24"/>
          <w:vertAlign w:val="superscript"/>
        </w:rPr>
        <w:t>18–21</w:t>
      </w:r>
      <w:r w:rsidR="00840F50">
        <w:rPr>
          <w:rFonts w:ascii="Book Antiqua" w:hAnsi="Book Antiqua" w:cs="Times New Roman"/>
          <w:bCs/>
          <w:noProof/>
          <w:sz w:val="24"/>
          <w:szCs w:val="24"/>
          <w:vertAlign w:val="superscript"/>
        </w:rPr>
        <w:t>]</w:t>
      </w:r>
      <w:r w:rsidR="00840F50" w:rsidRPr="00FA26FB">
        <w:rPr>
          <w:rStyle w:val="ad"/>
          <w:rFonts w:ascii="Book Antiqua" w:hAnsi="Book Antiqua" w:cs="Times New Roman"/>
          <w:bCs/>
          <w:sz w:val="24"/>
          <w:szCs w:val="24"/>
        </w:rPr>
        <w:fldChar w:fldCharType="end"/>
      </w:r>
      <w:r w:rsidRPr="00FA26FB">
        <w:rPr>
          <w:rFonts w:ascii="Book Antiqua" w:hAnsi="Book Antiqua" w:cs="Times New Roman"/>
          <w:bCs/>
          <w:sz w:val="24"/>
          <w:szCs w:val="24"/>
        </w:rPr>
        <w:t>, the interaction between alcohol consumption and obesity/</w:t>
      </w:r>
      <w:proofErr w:type="spellStart"/>
      <w:r w:rsidRPr="00FA26FB">
        <w:rPr>
          <w:rFonts w:ascii="Book Antiqua" w:hAnsi="Book Antiqua" w:cs="Times New Roman"/>
          <w:bCs/>
          <w:sz w:val="24"/>
          <w:szCs w:val="24"/>
        </w:rPr>
        <w:t>MetS</w:t>
      </w:r>
      <w:proofErr w:type="spellEnd"/>
      <w:r w:rsidRPr="00FA26FB">
        <w:rPr>
          <w:rFonts w:ascii="Book Antiqua" w:hAnsi="Book Antiqua" w:cs="Times New Roman"/>
          <w:bCs/>
          <w:sz w:val="24"/>
          <w:szCs w:val="24"/>
        </w:rPr>
        <w:t xml:space="preserve"> and their effect on liver biochemical variables are not well characterized. </w:t>
      </w:r>
      <w:r w:rsidR="00867B2F" w:rsidRPr="00FA26FB">
        <w:rPr>
          <w:rFonts w:ascii="Book Antiqua" w:hAnsi="Book Antiqua" w:cs="Times New Roman"/>
          <w:bCs/>
          <w:sz w:val="24"/>
          <w:szCs w:val="24"/>
        </w:rPr>
        <w:t>Age, sex, and ethnicity affect NAFLD prevalence; the likelihood of men having NAFLD is two times higher than women</w:t>
      </w:r>
      <w:r w:rsidR="00840F50" w:rsidRPr="00FA26FB">
        <w:rPr>
          <w:rStyle w:val="ad"/>
          <w:rFonts w:ascii="Book Antiqua" w:hAnsi="Book Antiqua" w:cs="Times New Roman"/>
          <w:bCs/>
          <w:sz w:val="24"/>
          <w:szCs w:val="24"/>
        </w:rPr>
        <w:fldChar w:fldCharType="begin" w:fldLock="1"/>
      </w:r>
      <w:r w:rsidR="00840F50" w:rsidRPr="00FA26FB">
        <w:rPr>
          <w:rFonts w:ascii="Book Antiqua" w:hAnsi="Book Antiqua" w:cs="Times New Roman"/>
          <w:bCs/>
          <w:sz w:val="24"/>
          <w:szCs w:val="24"/>
          <w:vertAlign w:val="superscript"/>
        </w:rPr>
        <w:instrText>ADDIN CSL_CITATION {"citationItems":[{"id":"ITEM-1","itemData":{"DOI":"10.1002/hep.29367","ISBN":"1317278194","ISSN":"15273350","PMID":"28714183","abstract":"Preamble This guidance provides a data-supported approach to the diagnostic, therapeutic, and preventive aspects of nonalcoholic fatty liver disease (NAFLD) care. A \" Guidance \" document is different from a \" Guideline. \" Guidelines are developed by a multidisciplinary panel of experts and rate the quality (level) of the evidence and the strength of each recommendation using the Grading Abbreviations: AASLD, American Association for the Study of Liver Diseases; ACG, American College of Gastroenterology; AIH, autoimmune hepa-titis; ALT, alanine aminotransferase; APRI, AST to platelet ratio index; AST, aspartate aminotransferase; AUROC, area under the receiver operating","author":[{"dropping-particle":"","family":"Chalasani","given":"Naga","non-dropping-particle":"","parse-names":false,"suffix":""},{"dropping-particle":"","family":"Younossi","given":"Zobair","non-dropping-particle":"","parse-names":false,"suffix":""},{"dropping-particle":"","family":"Lavine","given":"Joel E.","non-dropping-particle":"","parse-names":false,"suffix":""},{"dropping-particle":"","family":"Charlton","given":"Michael","non-dropping-particle":"","parse-names":false,"suffix":""},{"dropping-particle":"","family":"Cusi","given":"Kenneth","non-dropping-particle":"","parse-names":false,"suffix":""},{"dropping-particle":"","family":"Rinella","given":"Mary","non-dropping-particle":"","parse-names":false,"suffix":""},{"dropping-particle":"","family":"Harrison","given":"Stephen A.","non-dropping-particle":"","parse-names":false,"suffix":""},{"dropping-particle":"","family":"Brunt","given":"Elizabeth M.","non-dropping-particle":"","parse-names":false,"suffix":""},{"dropping-particle":"","family":"Sanyal","given":"Arun J.","non-dropping-particle":"","parse-names":false,"suffix":""}],"container-title":"Hepatology","id":"ITEM-1","issue":"1","issued":{"date-parts":[["2018"]]},"page":"328-357","title":"The diagnosis and management of nonalcoholic fatty liver disease: Practice guidance from the American Association for the Study of Liver Diseases","type":"article-journal","volume":"67"},"uris":["http://www.mendeley.com/documents/?uuid=de78a093-2a97-4056-bc71-c2aca6cd9ce1"]}],"mendeley":{"formattedCitation":"(6)","plainTextFormattedCitation":"(6)","previouslyFormattedCitation":"&lt;sup&gt;6&lt;/sup&gt;"},"properties":{"noteIndex":0},"schema":"https://github.com/citation-style-language/schema/raw/master/csl-citation.json"}</w:instrText>
      </w:r>
      <w:r w:rsidR="00840F50" w:rsidRPr="00FA26FB">
        <w:rPr>
          <w:rStyle w:val="ad"/>
          <w:rFonts w:ascii="Book Antiqua" w:hAnsi="Book Antiqua" w:cs="Times New Roman"/>
          <w:bCs/>
          <w:sz w:val="24"/>
          <w:szCs w:val="24"/>
        </w:rPr>
        <w:fldChar w:fldCharType="separate"/>
      </w:r>
      <w:r w:rsidR="00840F50">
        <w:rPr>
          <w:rFonts w:ascii="Book Antiqua" w:hAnsi="Book Antiqua" w:cs="Times New Roman"/>
          <w:bCs/>
          <w:noProof/>
          <w:sz w:val="24"/>
          <w:szCs w:val="24"/>
          <w:vertAlign w:val="superscript"/>
        </w:rPr>
        <w:t>[</w:t>
      </w:r>
      <w:r w:rsidR="00840F50" w:rsidRPr="00FA26FB">
        <w:rPr>
          <w:rFonts w:ascii="Book Antiqua" w:hAnsi="Book Antiqua" w:cs="Times New Roman"/>
          <w:bCs/>
          <w:noProof/>
          <w:sz w:val="24"/>
          <w:szCs w:val="24"/>
          <w:vertAlign w:val="superscript"/>
        </w:rPr>
        <w:t>6</w:t>
      </w:r>
      <w:r w:rsidR="00840F50">
        <w:rPr>
          <w:rFonts w:ascii="Book Antiqua" w:hAnsi="Book Antiqua" w:cs="Times New Roman"/>
          <w:bCs/>
          <w:noProof/>
          <w:sz w:val="24"/>
          <w:szCs w:val="24"/>
          <w:vertAlign w:val="superscript"/>
        </w:rPr>
        <w:t>]</w:t>
      </w:r>
      <w:r w:rsidR="00840F50" w:rsidRPr="00FA26FB">
        <w:rPr>
          <w:rStyle w:val="ad"/>
          <w:rFonts w:ascii="Book Antiqua" w:hAnsi="Book Antiqua" w:cs="Times New Roman"/>
          <w:bCs/>
          <w:sz w:val="24"/>
          <w:szCs w:val="24"/>
        </w:rPr>
        <w:fldChar w:fldCharType="end"/>
      </w:r>
      <w:r w:rsidRPr="00FA26FB">
        <w:rPr>
          <w:rFonts w:ascii="Book Antiqua" w:hAnsi="Book Antiqua" w:cs="Times New Roman"/>
          <w:bCs/>
          <w:sz w:val="24"/>
          <w:szCs w:val="24"/>
        </w:rPr>
        <w:t xml:space="preserve">. In the present study, patients </w:t>
      </w:r>
      <w:r w:rsidR="00867B2F" w:rsidRPr="00FA26FB">
        <w:rPr>
          <w:rFonts w:ascii="Book Antiqua" w:hAnsi="Book Antiqua" w:cs="Times New Roman"/>
          <w:bCs/>
          <w:sz w:val="24"/>
          <w:szCs w:val="24"/>
        </w:rPr>
        <w:t>with</w:t>
      </w:r>
      <w:r w:rsidRPr="00FA26FB">
        <w:rPr>
          <w:rFonts w:ascii="Book Antiqua" w:hAnsi="Book Antiqua" w:cs="Times New Roman"/>
          <w:bCs/>
          <w:sz w:val="24"/>
          <w:szCs w:val="24"/>
        </w:rPr>
        <w:t xml:space="preserve"> BAFLD were more likely to be males (75.8% </w:t>
      </w:r>
      <w:r w:rsidRPr="00FA26FB">
        <w:rPr>
          <w:rFonts w:ascii="Book Antiqua" w:hAnsi="Book Antiqua" w:cs="Times New Roman"/>
          <w:bCs/>
          <w:sz w:val="24"/>
          <w:szCs w:val="24"/>
        </w:rPr>
        <w:sym w:font="Symbol" w:char="F0B1"/>
      </w:r>
      <w:r w:rsidRPr="00FA26FB">
        <w:rPr>
          <w:rFonts w:ascii="Book Antiqua" w:hAnsi="Book Antiqua" w:cs="Times New Roman"/>
          <w:bCs/>
          <w:sz w:val="24"/>
          <w:szCs w:val="24"/>
        </w:rPr>
        <w:t xml:space="preserve"> 3.9</w:t>
      </w:r>
      <w:r w:rsidR="00C06BF6">
        <w:rPr>
          <w:rFonts w:ascii="Book Antiqua" w:hAnsi="Book Antiqua" w:cs="Times New Roman"/>
          <w:bCs/>
          <w:sz w:val="24"/>
          <w:szCs w:val="24"/>
        </w:rPr>
        <w:t>%</w:t>
      </w:r>
      <w:r w:rsidRPr="00FA26FB">
        <w:rPr>
          <w:rFonts w:ascii="Book Antiqua" w:hAnsi="Book Antiqua" w:cs="Times New Roman"/>
          <w:bCs/>
          <w:sz w:val="24"/>
          <w:szCs w:val="24"/>
        </w:rPr>
        <w:t xml:space="preserve"> </w:t>
      </w:r>
      <w:r w:rsidR="008B0AFA" w:rsidRPr="008B0AFA">
        <w:rPr>
          <w:rFonts w:ascii="Book Antiqua" w:hAnsi="Book Antiqua" w:cs="Times New Roman"/>
          <w:bCs/>
          <w:i/>
          <w:iCs/>
          <w:sz w:val="24"/>
          <w:szCs w:val="24"/>
        </w:rPr>
        <w:t>vs</w:t>
      </w:r>
      <w:r w:rsidRPr="00FA26FB">
        <w:rPr>
          <w:rFonts w:ascii="Book Antiqua" w:hAnsi="Book Antiqua" w:cs="Times New Roman"/>
          <w:bCs/>
          <w:sz w:val="24"/>
          <w:szCs w:val="24"/>
        </w:rPr>
        <w:t xml:space="preserve"> 46.9%</w:t>
      </w:r>
      <w:r w:rsidR="00972A9C" w:rsidRPr="00FA26FB">
        <w:rPr>
          <w:rFonts w:ascii="Book Antiqua" w:hAnsi="Book Antiqua" w:cs="Times New Roman"/>
          <w:bCs/>
          <w:sz w:val="24"/>
          <w:szCs w:val="24"/>
        </w:rPr>
        <w:t xml:space="preserve"> </w:t>
      </w:r>
      <w:r w:rsidRPr="00FA26FB">
        <w:rPr>
          <w:rFonts w:ascii="Book Antiqua" w:hAnsi="Book Antiqua" w:cs="Times New Roman"/>
          <w:bCs/>
          <w:sz w:val="24"/>
          <w:szCs w:val="24"/>
        </w:rPr>
        <w:sym w:font="Symbol" w:char="F0B1"/>
      </w:r>
      <w:r w:rsidRPr="00FA26FB">
        <w:rPr>
          <w:rFonts w:ascii="Book Antiqua" w:hAnsi="Book Antiqua" w:cs="Times New Roman"/>
          <w:bCs/>
          <w:sz w:val="24"/>
          <w:szCs w:val="24"/>
        </w:rPr>
        <w:t xml:space="preserve"> 0.87</w:t>
      </w:r>
      <w:r w:rsidR="00C06BF6">
        <w:rPr>
          <w:rFonts w:ascii="Book Antiqua" w:hAnsi="Book Antiqua" w:cs="Times New Roman"/>
          <w:bCs/>
          <w:sz w:val="24"/>
          <w:szCs w:val="24"/>
        </w:rPr>
        <w:t>%</w:t>
      </w:r>
      <w:r w:rsidRPr="00FA26FB">
        <w:rPr>
          <w:rFonts w:ascii="Book Antiqua" w:hAnsi="Book Antiqua" w:cs="Times New Roman"/>
          <w:bCs/>
          <w:sz w:val="24"/>
          <w:szCs w:val="24"/>
        </w:rPr>
        <w:t xml:space="preserve">) and smokers (45.3% </w:t>
      </w:r>
      <w:r w:rsidR="008B0AFA" w:rsidRPr="008B0AFA">
        <w:rPr>
          <w:rFonts w:ascii="Book Antiqua" w:hAnsi="Book Antiqua" w:cs="Times New Roman"/>
          <w:bCs/>
          <w:i/>
          <w:iCs/>
          <w:sz w:val="24"/>
          <w:szCs w:val="24"/>
        </w:rPr>
        <w:t>vs</w:t>
      </w:r>
      <w:r w:rsidRPr="00FA26FB">
        <w:rPr>
          <w:rFonts w:ascii="Book Antiqua" w:hAnsi="Book Antiqua" w:cs="Times New Roman"/>
          <w:bCs/>
          <w:sz w:val="24"/>
          <w:szCs w:val="24"/>
        </w:rPr>
        <w:t xml:space="preserve"> 17.6%) than patients with NAFLD alone.</w:t>
      </w:r>
      <w:r w:rsidR="00972A9C" w:rsidRPr="00FA26FB">
        <w:rPr>
          <w:rFonts w:ascii="Book Antiqua" w:hAnsi="Book Antiqua" w:cs="Times New Roman"/>
          <w:bCs/>
          <w:sz w:val="24"/>
          <w:szCs w:val="24"/>
        </w:rPr>
        <w:t xml:space="preserve"> </w:t>
      </w:r>
      <w:r w:rsidRPr="00FA26FB">
        <w:rPr>
          <w:rFonts w:ascii="Book Antiqua" w:hAnsi="Book Antiqua" w:cs="Times New Roman"/>
          <w:bCs/>
          <w:sz w:val="24"/>
          <w:szCs w:val="24"/>
        </w:rPr>
        <w:t>This is likely due to the larger number of males with alcoholic liver disease and high percentage of male smokers.</w:t>
      </w:r>
    </w:p>
    <w:p w14:paraId="69C5E3F4" w14:textId="5F8D8643" w:rsidR="00333DE7" w:rsidRPr="00FA26FB" w:rsidRDefault="008E380A" w:rsidP="002C1F15">
      <w:pPr>
        <w:spacing w:after="0" w:line="360" w:lineRule="auto"/>
        <w:ind w:firstLine="720"/>
        <w:jc w:val="both"/>
        <w:rPr>
          <w:rFonts w:ascii="Book Antiqua" w:hAnsi="Book Antiqua" w:cs="Times New Roman"/>
          <w:bCs/>
          <w:sz w:val="24"/>
          <w:szCs w:val="24"/>
        </w:rPr>
      </w:pPr>
      <w:r w:rsidRPr="00FA26FB">
        <w:rPr>
          <w:rFonts w:ascii="Book Antiqua" w:hAnsi="Book Antiqua" w:cs="Times New Roman"/>
          <w:bCs/>
          <w:sz w:val="24"/>
          <w:szCs w:val="24"/>
        </w:rPr>
        <w:t xml:space="preserve">Furthermore, our data demonstrate that patients with BAFLD, when compared to </w:t>
      </w:r>
      <w:r w:rsidR="00867B2F" w:rsidRPr="00FA26FB">
        <w:rPr>
          <w:rFonts w:ascii="Book Antiqua" w:hAnsi="Book Antiqua" w:cs="Times New Roman"/>
          <w:bCs/>
          <w:sz w:val="24"/>
          <w:szCs w:val="24"/>
        </w:rPr>
        <w:t xml:space="preserve">the </w:t>
      </w:r>
      <w:r w:rsidRPr="00FA26FB">
        <w:rPr>
          <w:rFonts w:ascii="Book Antiqua" w:hAnsi="Book Antiqua" w:cs="Times New Roman"/>
          <w:bCs/>
          <w:sz w:val="24"/>
          <w:szCs w:val="24"/>
        </w:rPr>
        <w:t>NAFLD group</w:t>
      </w:r>
      <w:r w:rsidR="00867B2F" w:rsidRPr="00FA26FB">
        <w:rPr>
          <w:rFonts w:ascii="Book Antiqua" w:hAnsi="Book Antiqua" w:cs="Times New Roman"/>
          <w:bCs/>
          <w:sz w:val="24"/>
          <w:szCs w:val="24"/>
        </w:rPr>
        <w:t>,</w:t>
      </w:r>
      <w:r w:rsidRPr="00FA26FB">
        <w:rPr>
          <w:rFonts w:ascii="Book Antiqua" w:hAnsi="Book Antiqua" w:cs="Times New Roman"/>
          <w:bCs/>
          <w:sz w:val="24"/>
          <w:szCs w:val="24"/>
        </w:rPr>
        <w:t xml:space="preserve"> had higher liver enzymes and lower platelets </w:t>
      </w:r>
      <w:r w:rsidR="00867B2F" w:rsidRPr="00FA26FB">
        <w:rPr>
          <w:rFonts w:ascii="Book Antiqua" w:hAnsi="Book Antiqua" w:cs="Times New Roman"/>
          <w:bCs/>
          <w:sz w:val="24"/>
          <w:szCs w:val="24"/>
        </w:rPr>
        <w:t xml:space="preserve">counts, </w:t>
      </w:r>
      <w:r w:rsidRPr="00FA26FB">
        <w:rPr>
          <w:rFonts w:ascii="Book Antiqua" w:hAnsi="Book Antiqua" w:cs="Times New Roman"/>
          <w:bCs/>
          <w:sz w:val="24"/>
          <w:szCs w:val="24"/>
        </w:rPr>
        <w:t xml:space="preserve">suggesting more advanced liver disease in these patients. Our results are in concordance with previous studies that implied </w:t>
      </w:r>
      <w:r w:rsidR="00867B2F" w:rsidRPr="00FA26FB">
        <w:rPr>
          <w:rFonts w:ascii="Book Antiqua" w:hAnsi="Book Antiqua" w:cs="Times New Roman"/>
          <w:bCs/>
          <w:sz w:val="24"/>
          <w:szCs w:val="24"/>
        </w:rPr>
        <w:t xml:space="preserve">that </w:t>
      </w:r>
      <w:r w:rsidRPr="00FA26FB">
        <w:rPr>
          <w:rFonts w:ascii="Book Antiqua" w:hAnsi="Book Antiqua" w:cs="Times New Roman"/>
          <w:bCs/>
          <w:sz w:val="24"/>
          <w:szCs w:val="24"/>
        </w:rPr>
        <w:t>the effect of alcohol consumption on hepatic steatosis, as measured by the examination of serum liver enzymes, increased w</w:t>
      </w:r>
      <w:r w:rsidR="005849F2" w:rsidRPr="00FA26FB">
        <w:rPr>
          <w:rFonts w:ascii="Book Antiqua" w:hAnsi="Book Antiqua" w:cs="Times New Roman"/>
          <w:bCs/>
          <w:sz w:val="24"/>
          <w:szCs w:val="24"/>
        </w:rPr>
        <w:t xml:space="preserve">ith increasing </w:t>
      </w:r>
      <w:r w:rsidR="008A3734" w:rsidRPr="00FA26FB">
        <w:rPr>
          <w:rFonts w:ascii="Book Antiqua" w:hAnsi="Book Antiqua" w:cs="Times New Roman"/>
          <w:bCs/>
          <w:sz w:val="24"/>
          <w:szCs w:val="24"/>
        </w:rPr>
        <w:t>BMI</w:t>
      </w:r>
      <w:r w:rsidR="00840F50" w:rsidRPr="00FA26FB">
        <w:rPr>
          <w:rStyle w:val="ad"/>
          <w:rFonts w:ascii="Book Antiqua" w:hAnsi="Book Antiqua" w:cs="Times New Roman"/>
          <w:bCs/>
          <w:sz w:val="24"/>
          <w:szCs w:val="24"/>
        </w:rPr>
        <w:fldChar w:fldCharType="begin" w:fldLock="1"/>
      </w:r>
      <w:r w:rsidR="00840F50" w:rsidRPr="00FA26FB">
        <w:rPr>
          <w:rFonts w:ascii="Book Antiqua" w:hAnsi="Book Antiqua" w:cs="Times New Roman"/>
          <w:bCs/>
          <w:sz w:val="24"/>
          <w:szCs w:val="24"/>
          <w:vertAlign w:val="superscript"/>
        </w:rPr>
        <w:instrText>ADDIN CSL_CITATION {"citationItems":[{"id":"ITEM-1","itemData":{"DOI":"88/4/1097 [pii]","ISBN":"1938-3207 (Electronic)\\r0002-9165 (Linking)","ISSN":"0002-9165","PMID":"18842799","abstract":"BACKGROUND: Although both ethanol consumption and overweight alter the activities of hepatic enzymes in circulation, the differentiation of an alcohol or nonalcohol basis for such changes remains problematic. The magnitude of alterations occurring among moderate drinkers has remained obscure. OBJECTIVE: We examined the links between moderate ethanol consumption, body mass index (BMI; in kg/m(2)), and liver enzymes. DESIGN: Serum alanine aminotransferase (ALT), aspartate aminotransferase (AST), and gamma-glutamyltransferase (GGT) were recorded from 2,164 apparently healthy participants (1,028 men, 1,136 women) reporting either no alcohol (abstainers) or &lt;40 g ethanol consumption per day (moderate drinkers). The study population was further classified according to BMI as follows: &lt;19 (underweight), &gt; or =19 and &lt;25 (normal weight), &gt; or =25 and &lt;30 (overweight), and &gt; or =30 (obese). RESULTS: Serum ALT (P &lt; 0.05) and GGT (P &lt; 0.001) but not AST (P = 0.805) activities in moderate drinkers were higher than those in abstainers. For all enzymes, a significant main effect was observed of increasing BMI, which was more striking in moderate drinkers than in abstainers. Tests of between-subjects effects indicated significant interactions with sex and drinking status, although not with sex and BMI. CONCLUSIONS: The effect of moderate alcohol consumption on liver enzymes increases with increasing BMI. These findings should be considered in the clinical assessment of overweight alcohol consumers and in the definition of normal ranges for liver enzymes. These results may also help to develop new approaches for examining patients with fatty liver induced by either ethanol or adiposity.","author":[{"dropping-particle":"","family":"Alatalo","given":"P I","non-dropping-particle":"","parse-names":false,"suffix":""},{"dropping-particle":"","family":"Koivisto","given":"H M","non-dropping-particle":"","parse-names":false,"suffix":""},{"dropping-particle":"","family":"Hietala","given":"J P","non-dropping-particle":"","parse-names":false,"suffix":""},{"dropping-particle":"","family":"Puukka","given":"K S","non-dropping-particle":"","parse-names":false,"suffix":""},{"dropping-particle":"","family":"Bloigu","given":"R","non-dropping-particle":"","parse-names":false,"suffix":""},{"dropping-particle":"","family":"Niemela","given":"O J","non-dropping-particle":"","parse-names":false,"suffix":""}],"container-title":"Am. J. Clin. Nutr.","id":"ITEM-1","issue":"4","issued":{"date-parts":[["2008"]]},"page":"1097-1103","title":"Effect of moderate alcohol consumption on liver enzymes increases with increasing body mass index","type":"article-journal","volume":"88"},"uris":["http://www.mendeley.com/documents/?uuid=262747b3-25a1-49d3-8d6e-90cf9a5e098f"]},{"id":"ITEM-2","itemData":{"DOI":"10.1016/S1542-3565(05)00743-3","ISSN":"1542-3565","PMID":"16361053","abstract":"BACKGROUND &amp; AIMS: Both alcohol and obesity are associated with hepatic steatosis. However, little is known about whether the toxicity of alcohol to the liver is influenced by adiposity. We examined the relationship of alcohol drinking and binge drinking with abnormal serum aminotransferase activity in normal weight, overweight, and obese persons in a national, population-based study. METHODS: Data were analyzed from 13,580 adult participants in the third US National Health and Nutrition Examination Survey, 1988-1994, after excluding participants with hepatitis B or C or iron overload. Abnormal aminotransferase levels were defined by using sex-specific cutoffs for ALT and AST. Analyses were adjusted for other liver injury risk factors. RESULTS: The prevalence of abnormal aminotransferase activity was elevated with consumption of &gt;2 drinks per day or with overweight and obesity. In multivariate analysis, there was no association of alcohol intake with a higher prevalence of elevated aminotransferase levels among normal weight persons. In contrast, among overweight persons, consumption of &gt;2 drinks per day increased the risk of elevated aminotransferase levels, and among the obese, &gt; or = 1 drink per day was associated with a higher risk. Results were similar with elevated ALT alone as the outcome. With elevated AST alone as the outcome, intake of &gt;2 drinks per day increased the risk, even among normal weight persons. Binge drinking was associated with aminotransferase elevation among obese consumers of 1-2 drinks per day. CONCLUSIONS: In this large, national, population-based study, overweight and obesity increased the risk of alcohol-related abnormal aminotransferase activity.","author":[{"dropping-particle":"","family":"Ruhl","given":"Constance E","non-dropping-particle":"","parse-names":false,"suffix":""},{"dropping-particle":"","family":"Everhart","given":"James E","non-dropping-particle":"","parse-names":false,"suffix":""}],"container-title":"Clinical gastroenterology and hepatology : the official clinical practice journal of the American Gastroenterological Association","id":"ITEM-2","issue":"05","issued":{"date-parts":[["2005"]]},"page":"1260-1268","title":"Joint effects of body weight and alcohol on elevated serum alanine aminotransferase in the United States population.","type":"article-journal","volume":"3"},"uris":["http://www.mendeley.com/documents/?uuid=f2ee6e93-ae5d-439d-b791-124795b75bb8"]},{"id":"ITEM-3","itemData":{"DOI":"10.1097/MEG.0b013e3283328b86","ISSN":"1473-5687","PMID":"19829121","abstract":"OBJECTIVE: To conduct a cohort study of the effect of alcohol and obesity on liver enzymes in China.\\n\\nMETHODS: To study 500 individuals of liver enzymes normality randomly in the 1999-year epidemiological survey, and liver enzyme levels (461 complete data) in 2006.\\n\\nRESULTS: Logistic-regression analysis showed a daily alcohol intake of at least 40 g, duration of drinking at least 10 years, and obesity, which were closely related to abnormality in liver enzyme levels; the relative risk (95% confidence interval) was 2.014 (1.108-3.662), 2.085 (1.106-3.928), and 1.772 (1.140-2.754), respectively (all P&lt;0.05). According to the value of daily alcohol intake/duration of drinking and body mass index (BMI) to categorize, seven-year cumulative incidence of liver enzymes levels abnormality for the daily alcohol intake at least 40 g and obesity group or the duration of drinking at least 10 years and obesity group was the highest, 51.47 and 47.12%, respectively. No significant dose-response relationship was found between daily alcohol intake/duration of drinking and liver enzyme level abnormalities.\\n\\nCONCLUSION: The risk of alcohol consumption and obesity-inducing liver injury together is far greater than the risk of a single factor inducing liver injury. An alcoholic threshold effect may be more important than a dose-response effect on liver enzyme levels.","author":[{"dropping-particle":"","family":"Shen","given":"Zhe","non-dropping-particle":"","parse-names":false,"suffix":""},{"dropping-particle":"","family":"Li","given":"Youming","non-dropping-particle":"","parse-names":false,"suffix":""},{"dropping-particle":"","family":"Yu","given":"Chaohui","non-dropping-particle":"","parse-names":false,"suffix":""},{"dropping-particle":"","family":"Shen","given":"Yi","non-dropping-particle":"","parse-names":false,"suffix":""},{"dropping-particle":"","family":"Xu","given":"Lei","non-dropping-particle":"","parse-names":false,"suffix":""},{"dropping-particle":"","family":"Xu","given":"Chengfu","non-dropping-particle":"","parse-names":false,"suffix":""},{"dropping-particle":"","family":"Xu","given":"Genyun","non-dropping-particle":"","parse-names":false,"suffix":""}],"container-title":"European journal of gastroenterology &amp; hepatology","id":"ITEM-3","issue":"7","issued":{"date-parts":[["2010"]]},"page":"820-5","title":"A cohort study of the effect of alcohol consumption and obesity on serum liver enzyme levels.","type":"article-journal","volume":"22"},"uris":["http://www.mendeley.com/documents/?uuid=d2e6aa51-6b35-44f9-b33a-7f5daa01d597"]},{"id":"ITEM-4","itemData":{"DOI":"10.1111/j.1365-2036.2009.04141.x","ISSN":"02692813","PMID":"19737152","abstract":"BACKGROUND: The association between body-mass-index (BMI), alcohol consumption and their joint effect in increasing the risk of elevated serum alanine (ALT) and aspartate (AST) is unclear in older community-dwelling adults. AIM: To determine the association between alcohol, BMI, and their combined effect with serum ALT and AST in older community-dwelling adults in the United States. METHODS: A cross-sectional, population-based study in participants (n = 2364) from the Rancho Bernardo Study (54% women; mean age: 70 years, BMI: 25 kg/m(2), alcohol users: 63%) who attended a research visit in 1984-87. BMI was recorded by a trained nurse and alcohol use ascertained by a validated questionnaire. Odds-ratio (OR) and 95% confidence intervals (CI) of elevated serum ALT and AST (defined as &gt; or =30 U/L in men and &gt; or =19 U/L in women) were calculated for alcohol and BMI separately and their joint exposure using logistic regression models. RESULTS: In multivariate logistic regression models adjusted for age, alcohol use, total cholesterol, serum triglycerides, fasting plasma glucose, systolic blood pressure, and diabetes mellitus, obesity independently increased the odds of elevated ALT in this cohort of older men and women by 3.0 (95% CI, 1.7-5.3) and 1.8 (95% CI, 1.1-2.7) respectively. Joint effects of consuming &gt;3 alcoholic drinks/day and obesity raised the odds of elevated ALT by 8.9 (95% CI, 2.4-33.1) and AST by 21-fold (95% CI, 2.6-170.1), demonstrating synergism. Obese participants had higher odds of elevated ALT even at 0 &lt; or = 1 drink/day. CONCLUSIONS: In older men and women, the combination of obesity with alcohol is synergistic in increasing the risk of liver injury.","author":[{"dropping-particle":"","family":"Loomba","given":"R.","non-dropping-particle":"","parse-names":false,"suffix":""},{"dropping-particle":"","family":"Bettencourt","given":"R.","non-dropping-particle":"","parse-names":false,"suffix":""},{"dropping-particle":"","family":"Barrett-Connor","given":"E.","non-dropping-particle":"","parse-names":false,"suffix":""}],"container-title":"Alimentary Pharmacology and Therapeutics","id":"ITEM-4","issue":"11-12","issued":{"date-parts":[["2009"]]},"page":"1137-1149","title":"Synergistic association between alcohol intake and body mass index with serum alanine and aspartate aminotransferase levels in older adults: The Rancho Bernardo Study","type":"article-journal","volume":"30"},"uris":["http://www.mendeley.com/documents/?uuid=031b9b70-3cb2-42d6-8958-081336f11458"]}],"mendeley":{"formattedCitation":"(22–25)","plainTextFormattedCitation":"(22–25)","previouslyFormattedCitation":"&lt;sup&gt;22–25&lt;/sup&gt;"},"properties":{"noteIndex":0},"schema":"https://github.com/citation-style-language/schema/raw/master/csl-citation.json"}</w:instrText>
      </w:r>
      <w:r w:rsidR="00840F50" w:rsidRPr="00FA26FB">
        <w:rPr>
          <w:rStyle w:val="ad"/>
          <w:rFonts w:ascii="Book Antiqua" w:hAnsi="Book Antiqua" w:cs="Times New Roman"/>
          <w:bCs/>
          <w:sz w:val="24"/>
          <w:szCs w:val="24"/>
        </w:rPr>
        <w:fldChar w:fldCharType="separate"/>
      </w:r>
      <w:r w:rsidR="00840F50">
        <w:rPr>
          <w:rFonts w:ascii="Book Antiqua" w:hAnsi="Book Antiqua" w:cs="Times New Roman"/>
          <w:bCs/>
          <w:noProof/>
          <w:sz w:val="24"/>
          <w:szCs w:val="24"/>
          <w:vertAlign w:val="superscript"/>
        </w:rPr>
        <w:t>[</w:t>
      </w:r>
      <w:r w:rsidR="00840F50" w:rsidRPr="00FA26FB">
        <w:rPr>
          <w:rFonts w:ascii="Book Antiqua" w:hAnsi="Book Antiqua" w:cs="Times New Roman"/>
          <w:bCs/>
          <w:noProof/>
          <w:sz w:val="24"/>
          <w:szCs w:val="24"/>
          <w:vertAlign w:val="superscript"/>
        </w:rPr>
        <w:t>22–25</w:t>
      </w:r>
      <w:r w:rsidR="00840F50">
        <w:rPr>
          <w:rFonts w:ascii="Book Antiqua" w:hAnsi="Book Antiqua" w:cs="Times New Roman"/>
          <w:bCs/>
          <w:noProof/>
          <w:sz w:val="24"/>
          <w:szCs w:val="24"/>
          <w:vertAlign w:val="superscript"/>
        </w:rPr>
        <w:t>]</w:t>
      </w:r>
      <w:r w:rsidR="00840F50" w:rsidRPr="00FA26FB">
        <w:rPr>
          <w:rStyle w:val="ad"/>
          <w:rFonts w:ascii="Book Antiqua" w:hAnsi="Book Antiqua" w:cs="Times New Roman"/>
          <w:bCs/>
          <w:sz w:val="24"/>
          <w:szCs w:val="24"/>
        </w:rPr>
        <w:fldChar w:fldCharType="end"/>
      </w:r>
      <w:r w:rsidRPr="00FA26FB">
        <w:rPr>
          <w:rFonts w:ascii="Book Antiqua" w:hAnsi="Book Antiqua" w:cs="Times New Roman"/>
          <w:bCs/>
          <w:sz w:val="24"/>
          <w:szCs w:val="24"/>
        </w:rPr>
        <w:t xml:space="preserve">. </w:t>
      </w:r>
      <w:r w:rsidR="00333DE7" w:rsidRPr="00FA26FB">
        <w:rPr>
          <w:rFonts w:ascii="Book Antiqua" w:hAnsi="Book Antiqua" w:cs="Times New Roman"/>
          <w:bCs/>
          <w:sz w:val="24"/>
          <w:szCs w:val="24"/>
        </w:rPr>
        <w:t>Hepatic s</w:t>
      </w:r>
      <w:r w:rsidR="00333DE7" w:rsidRPr="00FA26FB">
        <w:rPr>
          <w:rFonts w:ascii="Book Antiqua" w:hAnsi="Book Antiqua" w:cs="Times New Roman"/>
          <w:bCs/>
          <w:color w:val="000000"/>
          <w:sz w:val="24"/>
          <w:szCs w:val="24"/>
        </w:rPr>
        <w:t xml:space="preserve">teatosis was only found in 16% of lean controls in the </w:t>
      </w:r>
      <w:proofErr w:type="spellStart"/>
      <w:r w:rsidR="00840F50" w:rsidRPr="00840F50">
        <w:rPr>
          <w:rFonts w:ascii="Book Antiqua" w:hAnsi="Book Antiqua" w:cs="Times New Roman"/>
          <w:bCs/>
          <w:caps/>
          <w:color w:val="000000"/>
          <w:sz w:val="24"/>
          <w:szCs w:val="24"/>
        </w:rPr>
        <w:t>d</w:t>
      </w:r>
      <w:r w:rsidR="00333DE7" w:rsidRPr="00FA26FB">
        <w:rPr>
          <w:rFonts w:ascii="Book Antiqua" w:hAnsi="Book Antiqua" w:cs="Times New Roman"/>
          <w:bCs/>
          <w:color w:val="000000"/>
          <w:sz w:val="24"/>
          <w:szCs w:val="24"/>
        </w:rPr>
        <w:t>ionysos</w:t>
      </w:r>
      <w:proofErr w:type="spellEnd"/>
      <w:r w:rsidR="00333DE7" w:rsidRPr="00FA26FB">
        <w:rPr>
          <w:rFonts w:ascii="Book Antiqua" w:hAnsi="Book Antiqua" w:cs="Times New Roman"/>
          <w:bCs/>
          <w:color w:val="000000"/>
          <w:sz w:val="24"/>
          <w:szCs w:val="24"/>
        </w:rPr>
        <w:t xml:space="preserve"> study in Northern Italy; however, th</w:t>
      </w:r>
      <w:r w:rsidR="00334486" w:rsidRPr="00FA26FB">
        <w:rPr>
          <w:rFonts w:ascii="Book Antiqua" w:hAnsi="Book Antiqua" w:cs="Times New Roman"/>
          <w:bCs/>
          <w:color w:val="000000"/>
          <w:sz w:val="24"/>
          <w:szCs w:val="24"/>
        </w:rPr>
        <w:t xml:space="preserve">is </w:t>
      </w:r>
      <w:r w:rsidR="00333DE7" w:rsidRPr="00FA26FB">
        <w:rPr>
          <w:rFonts w:ascii="Book Antiqua" w:hAnsi="Book Antiqua" w:cs="Times New Roman"/>
          <w:bCs/>
          <w:color w:val="000000"/>
          <w:sz w:val="24"/>
          <w:szCs w:val="24"/>
        </w:rPr>
        <w:t>prevalence was increased to 46% in subjects with an alcohol intake &gt;</w:t>
      </w:r>
      <w:r w:rsidR="00840F50">
        <w:rPr>
          <w:rFonts w:ascii="Book Antiqua" w:hAnsi="Book Antiqua" w:cs="Times New Roman"/>
          <w:bCs/>
          <w:color w:val="000000"/>
          <w:sz w:val="24"/>
          <w:szCs w:val="24"/>
        </w:rPr>
        <w:t xml:space="preserve"> </w:t>
      </w:r>
      <w:r w:rsidR="00333DE7" w:rsidRPr="00FA26FB">
        <w:rPr>
          <w:rFonts w:ascii="Book Antiqua" w:hAnsi="Book Antiqua" w:cs="Times New Roman"/>
          <w:bCs/>
          <w:color w:val="000000"/>
          <w:sz w:val="24"/>
          <w:szCs w:val="24"/>
        </w:rPr>
        <w:t>60 g/d and to 76% in the obese participants</w:t>
      </w:r>
      <w:r w:rsidR="00840F50" w:rsidRPr="00FA26FB">
        <w:rPr>
          <w:rStyle w:val="ad"/>
          <w:rFonts w:ascii="Book Antiqua" w:hAnsi="Book Antiqua" w:cs="Times New Roman"/>
          <w:bCs/>
          <w:color w:val="000000"/>
          <w:sz w:val="24"/>
          <w:szCs w:val="24"/>
        </w:rPr>
        <w:fldChar w:fldCharType="begin" w:fldLock="1"/>
      </w:r>
      <w:r w:rsidR="00840F50" w:rsidRPr="00FA26FB">
        <w:rPr>
          <w:rFonts w:ascii="Book Antiqua" w:hAnsi="Book Antiqua" w:cs="Times New Roman"/>
          <w:bCs/>
          <w:color w:val="000000"/>
          <w:sz w:val="24"/>
          <w:szCs w:val="24"/>
          <w:vertAlign w:val="superscript"/>
        </w:rPr>
        <w:instrText>ADDIN CSL_CITATION {"citationItems":[{"id":"ITEM-1","itemData":{"author":[{"dropping-particle":"","family":"Bellentani","given":"S","non-dropping-particle":"","parse-names":false,"suffix":""},{"dropping-particle":"","family":"Saccoccio","given":"G","non-dropping-particle":"","parse-names":false,"suffix":""}],"container-title":"Ann Intern Med.","id":"ITEM-1","issued":{"date-parts":[["2000"]]},"page":"112-117","title":"Prevalence of and risk factors for hepatic steatosis in Northern Italy.","type":"article-journal"},"uris":["http://www.mendeley.com/documents/?uuid=8a6378a6-f4ba-4cb2-ad73-d66980afe9c4"]}],"mendeley":{"formattedCitation":"(26)","plainTextFormattedCitation":"(26)","previouslyFormattedCitation":"&lt;sup&gt;26&lt;/sup&gt;"},"properties":{"noteIndex":0},"schema":"https://github.com/citation-style-language/schema/raw/master/csl-citation.json"}</w:instrText>
      </w:r>
      <w:r w:rsidR="00840F50" w:rsidRPr="00FA26FB">
        <w:rPr>
          <w:rStyle w:val="ad"/>
          <w:rFonts w:ascii="Book Antiqua" w:hAnsi="Book Antiqua" w:cs="Times New Roman"/>
          <w:bCs/>
          <w:color w:val="000000"/>
          <w:sz w:val="24"/>
          <w:szCs w:val="24"/>
        </w:rPr>
        <w:fldChar w:fldCharType="separate"/>
      </w:r>
      <w:r w:rsidR="00840F50">
        <w:rPr>
          <w:rFonts w:ascii="Book Antiqua" w:hAnsi="Book Antiqua" w:cs="Times New Roman"/>
          <w:bCs/>
          <w:noProof/>
          <w:color w:val="000000"/>
          <w:sz w:val="24"/>
          <w:szCs w:val="24"/>
          <w:vertAlign w:val="superscript"/>
        </w:rPr>
        <w:t>[</w:t>
      </w:r>
      <w:r w:rsidR="00840F50" w:rsidRPr="00FA26FB">
        <w:rPr>
          <w:rFonts w:ascii="Book Antiqua" w:hAnsi="Book Antiqua" w:cs="Times New Roman"/>
          <w:bCs/>
          <w:noProof/>
          <w:color w:val="000000"/>
          <w:sz w:val="24"/>
          <w:szCs w:val="24"/>
          <w:vertAlign w:val="superscript"/>
        </w:rPr>
        <w:t>26</w:t>
      </w:r>
      <w:r w:rsidR="00840F50">
        <w:rPr>
          <w:rFonts w:ascii="Book Antiqua" w:hAnsi="Book Antiqua" w:cs="Times New Roman"/>
          <w:bCs/>
          <w:noProof/>
          <w:color w:val="000000"/>
          <w:sz w:val="24"/>
          <w:szCs w:val="24"/>
          <w:vertAlign w:val="superscript"/>
        </w:rPr>
        <w:t>]</w:t>
      </w:r>
      <w:r w:rsidR="00840F50" w:rsidRPr="00FA26FB">
        <w:rPr>
          <w:rStyle w:val="ad"/>
          <w:rFonts w:ascii="Book Antiqua" w:hAnsi="Book Antiqua" w:cs="Times New Roman"/>
          <w:bCs/>
          <w:color w:val="000000"/>
          <w:sz w:val="24"/>
          <w:szCs w:val="24"/>
        </w:rPr>
        <w:fldChar w:fldCharType="end"/>
      </w:r>
      <w:r w:rsidRPr="00FA26FB">
        <w:rPr>
          <w:rFonts w:ascii="Book Antiqua" w:hAnsi="Book Antiqua" w:cs="Times New Roman"/>
          <w:bCs/>
          <w:color w:val="000000"/>
          <w:sz w:val="24"/>
          <w:szCs w:val="24"/>
        </w:rPr>
        <w:t>.</w:t>
      </w:r>
      <w:r w:rsidRPr="00FA26FB">
        <w:rPr>
          <w:rFonts w:ascii="Book Antiqua" w:hAnsi="Book Antiqua" w:cs="Times New Roman"/>
          <w:bCs/>
          <w:sz w:val="24"/>
          <w:szCs w:val="24"/>
        </w:rPr>
        <w:t xml:space="preserve"> </w:t>
      </w:r>
    </w:p>
    <w:p w14:paraId="5FFB1E80" w14:textId="2EA77D3A" w:rsidR="008E380A" w:rsidRPr="00FA26FB" w:rsidRDefault="008E380A" w:rsidP="002C1F15">
      <w:pPr>
        <w:spacing w:after="0" w:line="360" w:lineRule="auto"/>
        <w:ind w:firstLine="720"/>
        <w:jc w:val="both"/>
        <w:rPr>
          <w:rFonts w:ascii="Book Antiqua" w:hAnsi="Book Antiqua" w:cs="Times New Roman"/>
          <w:bCs/>
          <w:sz w:val="24"/>
          <w:szCs w:val="24"/>
        </w:rPr>
      </w:pPr>
      <w:r w:rsidRPr="00FA26FB">
        <w:rPr>
          <w:rFonts w:ascii="Book Antiqua" w:hAnsi="Book Antiqua" w:cs="Times New Roman"/>
          <w:bCs/>
          <w:sz w:val="24"/>
          <w:szCs w:val="24"/>
        </w:rPr>
        <w:t xml:space="preserve">Notably, in our study, BAFLD patients </w:t>
      </w:r>
      <w:r w:rsidR="00333DE7" w:rsidRPr="00FA26FB">
        <w:rPr>
          <w:rFonts w:ascii="Book Antiqua" w:hAnsi="Book Antiqua" w:cs="Times New Roman"/>
          <w:bCs/>
          <w:sz w:val="24"/>
          <w:szCs w:val="24"/>
        </w:rPr>
        <w:t>had three-times the risk of AF than the</w:t>
      </w:r>
      <w:r w:rsidRPr="00FA26FB">
        <w:rPr>
          <w:rFonts w:ascii="Book Antiqua" w:hAnsi="Book Antiqua" w:cs="Times New Roman"/>
          <w:bCs/>
          <w:sz w:val="24"/>
          <w:szCs w:val="24"/>
        </w:rPr>
        <w:t xml:space="preserve"> NAFLD group. This likely suggests that the combined effect of ALD and NAFLD have a </w:t>
      </w:r>
      <w:r w:rsidR="00333DE7" w:rsidRPr="00FA26FB">
        <w:rPr>
          <w:rFonts w:ascii="Book Antiqua" w:hAnsi="Book Antiqua" w:cs="Times New Roman"/>
          <w:bCs/>
          <w:sz w:val="24"/>
          <w:szCs w:val="24"/>
        </w:rPr>
        <w:t>synergistic unfavorable impact on hepatic fibrosis</w:t>
      </w:r>
      <w:r w:rsidRPr="00FA26FB">
        <w:rPr>
          <w:rFonts w:ascii="Book Antiqua" w:hAnsi="Book Antiqua" w:cs="Times New Roman"/>
          <w:bCs/>
          <w:sz w:val="24"/>
          <w:szCs w:val="24"/>
        </w:rPr>
        <w:t xml:space="preserve">. The mechanism </w:t>
      </w:r>
      <w:r w:rsidR="00333DE7" w:rsidRPr="00FA26FB">
        <w:rPr>
          <w:rFonts w:ascii="Book Antiqua" w:hAnsi="Book Antiqua" w:cs="Times New Roman"/>
          <w:bCs/>
          <w:sz w:val="24"/>
          <w:szCs w:val="24"/>
        </w:rPr>
        <w:t>underlying this</w:t>
      </w:r>
      <w:r w:rsidRPr="00FA26FB">
        <w:rPr>
          <w:rFonts w:ascii="Book Antiqua" w:hAnsi="Book Antiqua" w:cs="Times New Roman"/>
          <w:bCs/>
          <w:sz w:val="24"/>
          <w:szCs w:val="24"/>
        </w:rPr>
        <w:t xml:space="preserve"> interaction is not known. Few small studies have </w:t>
      </w:r>
      <w:r w:rsidR="00334486" w:rsidRPr="00FA26FB">
        <w:rPr>
          <w:rFonts w:ascii="Book Antiqua" w:hAnsi="Book Antiqua" w:cs="Times New Roman"/>
          <w:bCs/>
          <w:sz w:val="24"/>
          <w:szCs w:val="24"/>
        </w:rPr>
        <w:t>assessed</w:t>
      </w:r>
      <w:r w:rsidRPr="00FA26FB">
        <w:rPr>
          <w:rFonts w:ascii="Book Antiqua" w:hAnsi="Book Antiqua" w:cs="Times New Roman"/>
          <w:bCs/>
          <w:sz w:val="24"/>
          <w:szCs w:val="24"/>
        </w:rPr>
        <w:t xml:space="preserve"> the effect of alcohol </w:t>
      </w:r>
      <w:r w:rsidR="0040362C" w:rsidRPr="00FA26FB">
        <w:rPr>
          <w:rFonts w:ascii="Book Antiqua" w:hAnsi="Book Antiqua" w:cs="Times New Roman"/>
          <w:bCs/>
          <w:sz w:val="24"/>
          <w:szCs w:val="24"/>
        </w:rPr>
        <w:lastRenderedPageBreak/>
        <w:t>consumption</w:t>
      </w:r>
      <w:r w:rsidRPr="00FA26FB">
        <w:rPr>
          <w:rFonts w:ascii="Book Antiqua" w:hAnsi="Book Antiqua" w:cs="Times New Roman"/>
          <w:bCs/>
          <w:sz w:val="24"/>
          <w:szCs w:val="24"/>
        </w:rPr>
        <w:t xml:space="preserve"> on the underlying hepatic histopathology in subjects</w:t>
      </w:r>
      <w:r w:rsidR="0040362C" w:rsidRPr="00FA26FB">
        <w:rPr>
          <w:rFonts w:ascii="Book Antiqua" w:hAnsi="Book Antiqua" w:cs="Times New Roman"/>
          <w:bCs/>
          <w:sz w:val="24"/>
          <w:szCs w:val="24"/>
        </w:rPr>
        <w:t xml:space="preserve"> diagnosed with</w:t>
      </w:r>
      <w:r w:rsidRPr="00FA26FB">
        <w:rPr>
          <w:rFonts w:ascii="Book Antiqua" w:hAnsi="Book Antiqua" w:cs="Times New Roman"/>
          <w:bCs/>
          <w:sz w:val="24"/>
          <w:szCs w:val="24"/>
        </w:rPr>
        <w:t xml:space="preserve"> NAFLD. </w:t>
      </w:r>
      <w:r w:rsidRPr="00FA26FB">
        <w:rPr>
          <w:rFonts w:ascii="Book Antiqua" w:hAnsi="Book Antiqua" w:cs="Times New Roman"/>
          <w:bCs/>
          <w:color w:val="000000"/>
          <w:sz w:val="24"/>
          <w:szCs w:val="24"/>
        </w:rPr>
        <w:t xml:space="preserve">In a cohort of 112 patients with liver biopsies, </w:t>
      </w:r>
      <w:r w:rsidR="0028325B" w:rsidRPr="0028325B">
        <w:rPr>
          <w:rFonts w:ascii="Book Antiqua" w:hAnsi="Book Antiqua" w:cs="Times New Roman"/>
          <w:bCs/>
          <w:color w:val="000000"/>
          <w:sz w:val="24"/>
          <w:szCs w:val="24"/>
        </w:rPr>
        <w:t>Petersen</w:t>
      </w:r>
      <w:r w:rsidR="00A440AF" w:rsidRPr="00FA26FB">
        <w:rPr>
          <w:rFonts w:ascii="Book Antiqua" w:hAnsi="Book Antiqua" w:cs="Times New Roman"/>
          <w:bCs/>
          <w:color w:val="000000"/>
          <w:sz w:val="24"/>
          <w:szCs w:val="24"/>
        </w:rPr>
        <w:t xml:space="preserve"> </w:t>
      </w:r>
      <w:r w:rsidR="00A440AF" w:rsidRPr="0028325B">
        <w:rPr>
          <w:rFonts w:ascii="Book Antiqua" w:hAnsi="Book Antiqua" w:cs="Times New Roman"/>
          <w:bCs/>
          <w:i/>
          <w:iCs/>
          <w:color w:val="000000"/>
          <w:sz w:val="24"/>
          <w:szCs w:val="24"/>
        </w:rPr>
        <w:t>et al</w:t>
      </w:r>
      <w:r w:rsidR="0028325B" w:rsidRPr="00FA26FB">
        <w:rPr>
          <w:rStyle w:val="ad"/>
          <w:rFonts w:ascii="Book Antiqua" w:hAnsi="Book Antiqua" w:cs="Times New Roman"/>
          <w:bCs/>
          <w:color w:val="000000"/>
          <w:sz w:val="24"/>
          <w:szCs w:val="24"/>
        </w:rPr>
        <w:fldChar w:fldCharType="begin" w:fldLock="1"/>
      </w:r>
      <w:r w:rsidR="0028325B" w:rsidRPr="00FA26FB">
        <w:rPr>
          <w:rFonts w:ascii="Book Antiqua" w:hAnsi="Book Antiqua" w:cs="Times New Roman"/>
          <w:bCs/>
          <w:color w:val="000000"/>
          <w:sz w:val="24"/>
          <w:szCs w:val="24"/>
          <w:vertAlign w:val="superscript"/>
        </w:rPr>
        <w:instrText>ADDIN CSL_CITATION {"citationItems":[{"id":"ITEM-1","itemData":{"ISSN":"0036-5521","PMID":"594649","abstract":"A relationship between the occurrence of fatty liver and moderate alcohol intake, maturity onset diabetes, overweight--and combinations of these three factors--was searched for in 112 patients. Fifty-three of 59 patients with moderate alcohol consumption, 49 of 57 overweight patients, and 42 of 51 diabetic patients had fatty liver. Patients who had a moderate alcohol consumption or suffered from a combination of diabetes and overweight were found to have a significantly higher frequency and degree of fatty liver than patients in the control group. Diabetes alone, and overweight alone were not significantly related to fatty liver. Whether the diabetic state was overt of latent, there was no influence on the frequency or degree of fatty liver. A correlation between the degree of overweight and the degree of fatty liver was found only in the group of overweight patients with moderate alcohol consumption. The degree of fatty liver produced by the combination of overweight and diabetes was not significantly increased by moderate alcohol consumption.","author":[{"dropping-particle":"","family":"Petersen","given":"P","non-dropping-particle":"","parse-names":false,"suffix":""}],"container-title":"Scandinavian journal of gastroenterology","id":"ITEM-1","issue":"7","issued":{"date-parts":[["1977"]]},"page":"781-4","title":"Fatty liver in patients with moderate alcohol consumption, diabetes mellitus and overweight.","type":"article-journal","volume":"12"},"uris":["http://www.mendeley.com/documents/?uuid=e8e70d36-85e5-3e5c-b0b6-59b0a49800aa"]}],"mendeley":{"formattedCitation":"(27)","plainTextFormattedCitation":"(27)","previouslyFormattedCitation":"&lt;sup&gt;27&lt;/sup&gt;"},"properties":{"noteIndex":0},"schema":"https://github.com/citation-style-language/schema/raw/master/csl-citation.json"}</w:instrText>
      </w:r>
      <w:r w:rsidR="0028325B" w:rsidRPr="00FA26FB">
        <w:rPr>
          <w:rStyle w:val="ad"/>
          <w:rFonts w:ascii="Book Antiqua" w:hAnsi="Book Antiqua" w:cs="Times New Roman"/>
          <w:bCs/>
          <w:color w:val="000000"/>
          <w:sz w:val="24"/>
          <w:szCs w:val="24"/>
        </w:rPr>
        <w:fldChar w:fldCharType="separate"/>
      </w:r>
      <w:r w:rsidR="0028325B">
        <w:rPr>
          <w:rFonts w:ascii="Book Antiqua" w:hAnsi="Book Antiqua" w:cs="Times New Roman"/>
          <w:bCs/>
          <w:noProof/>
          <w:color w:val="000000"/>
          <w:sz w:val="24"/>
          <w:szCs w:val="24"/>
          <w:vertAlign w:val="superscript"/>
        </w:rPr>
        <w:t>[</w:t>
      </w:r>
      <w:r w:rsidR="0028325B" w:rsidRPr="00FA26FB">
        <w:rPr>
          <w:rFonts w:ascii="Book Antiqua" w:hAnsi="Book Antiqua" w:cs="Times New Roman"/>
          <w:bCs/>
          <w:noProof/>
          <w:color w:val="000000"/>
          <w:sz w:val="24"/>
          <w:szCs w:val="24"/>
          <w:vertAlign w:val="superscript"/>
        </w:rPr>
        <w:t>27</w:t>
      </w:r>
      <w:r w:rsidR="0028325B">
        <w:rPr>
          <w:rFonts w:ascii="Book Antiqua" w:hAnsi="Book Antiqua" w:cs="Times New Roman"/>
          <w:bCs/>
          <w:noProof/>
          <w:color w:val="000000"/>
          <w:sz w:val="24"/>
          <w:szCs w:val="24"/>
          <w:vertAlign w:val="superscript"/>
        </w:rPr>
        <w:t>]</w:t>
      </w:r>
      <w:r w:rsidR="0028325B" w:rsidRPr="00FA26FB">
        <w:rPr>
          <w:rStyle w:val="ad"/>
          <w:rFonts w:ascii="Book Antiqua" w:hAnsi="Book Antiqua" w:cs="Times New Roman"/>
          <w:bCs/>
          <w:color w:val="000000"/>
          <w:sz w:val="24"/>
          <w:szCs w:val="24"/>
        </w:rPr>
        <w:fldChar w:fldCharType="end"/>
      </w:r>
      <w:r w:rsidR="00A440AF" w:rsidRPr="00FA26FB">
        <w:rPr>
          <w:rFonts w:ascii="Book Antiqua" w:hAnsi="Book Antiqua" w:cs="Times New Roman"/>
          <w:bCs/>
          <w:color w:val="000000"/>
          <w:sz w:val="24"/>
          <w:szCs w:val="24"/>
        </w:rPr>
        <w:t xml:space="preserve"> found </w:t>
      </w:r>
      <w:r w:rsidR="00056A7D" w:rsidRPr="00FA26FB">
        <w:rPr>
          <w:rFonts w:ascii="Book Antiqua" w:hAnsi="Book Antiqua" w:cs="Times New Roman"/>
          <w:bCs/>
          <w:color w:val="000000"/>
          <w:sz w:val="24"/>
          <w:szCs w:val="24"/>
        </w:rPr>
        <w:t xml:space="preserve">that </w:t>
      </w:r>
      <w:r w:rsidR="0040362C" w:rsidRPr="00FA26FB">
        <w:rPr>
          <w:rFonts w:ascii="Book Antiqua" w:hAnsi="Book Antiqua" w:cs="Times New Roman"/>
          <w:bCs/>
          <w:color w:val="000000"/>
          <w:sz w:val="24"/>
          <w:szCs w:val="24"/>
        </w:rPr>
        <w:t>the only</w:t>
      </w:r>
      <w:r w:rsidR="00A440AF" w:rsidRPr="00FA26FB">
        <w:rPr>
          <w:rFonts w:ascii="Book Antiqua" w:hAnsi="Book Antiqua" w:cs="Times New Roman"/>
          <w:bCs/>
          <w:color w:val="000000"/>
          <w:sz w:val="24"/>
          <w:szCs w:val="24"/>
        </w:rPr>
        <w:t xml:space="preserve"> positive </w:t>
      </w:r>
      <w:r w:rsidR="0040362C" w:rsidRPr="00FA26FB">
        <w:rPr>
          <w:rFonts w:ascii="Book Antiqua" w:hAnsi="Book Antiqua" w:cs="Times New Roman"/>
          <w:bCs/>
          <w:color w:val="000000"/>
          <w:sz w:val="24"/>
          <w:szCs w:val="24"/>
        </w:rPr>
        <w:t>association</w:t>
      </w:r>
      <w:r w:rsidR="00A440AF" w:rsidRPr="00FA26FB">
        <w:rPr>
          <w:rFonts w:ascii="Book Antiqua" w:hAnsi="Book Antiqua" w:cs="Times New Roman"/>
          <w:bCs/>
          <w:color w:val="000000"/>
          <w:sz w:val="24"/>
          <w:szCs w:val="24"/>
        </w:rPr>
        <w:t xml:space="preserve"> between weight and fatty liver</w:t>
      </w:r>
      <w:r w:rsidR="00056A7D" w:rsidRPr="00FA26FB">
        <w:rPr>
          <w:rFonts w:ascii="Book Antiqua" w:hAnsi="Book Antiqua" w:cs="Times New Roman"/>
          <w:bCs/>
          <w:color w:val="000000"/>
          <w:sz w:val="24"/>
          <w:szCs w:val="24"/>
        </w:rPr>
        <w:t xml:space="preserve"> </w:t>
      </w:r>
      <w:proofErr w:type="spellStart"/>
      <w:r w:rsidR="00056A7D" w:rsidRPr="00FA26FB">
        <w:rPr>
          <w:rFonts w:ascii="Book Antiqua" w:hAnsi="Book Antiqua" w:cs="Times New Roman"/>
          <w:bCs/>
          <w:color w:val="000000"/>
          <w:sz w:val="24"/>
          <w:szCs w:val="24"/>
        </w:rPr>
        <w:t>was</w:t>
      </w:r>
      <w:r w:rsidR="003C2FC3">
        <w:rPr>
          <w:rFonts w:ascii="Book Antiqua" w:hAnsi="Book Antiqua" w:cs="Times New Roman"/>
          <w:bCs/>
          <w:color w:val="000000"/>
          <w:sz w:val="24"/>
          <w:szCs w:val="24"/>
        </w:rPr>
        <w:t>s</w:t>
      </w:r>
      <w:proofErr w:type="spellEnd"/>
      <w:r w:rsidR="00A440AF" w:rsidRPr="00FA26FB">
        <w:rPr>
          <w:rFonts w:ascii="Book Antiqua" w:hAnsi="Book Antiqua" w:cs="Times New Roman"/>
          <w:bCs/>
          <w:color w:val="000000"/>
          <w:sz w:val="24"/>
          <w:szCs w:val="24"/>
        </w:rPr>
        <w:t xml:space="preserve"> in patients who were overweight and had moderate alcohol consumption</w:t>
      </w:r>
      <w:r w:rsidRPr="00FA26FB">
        <w:rPr>
          <w:rFonts w:ascii="Book Antiqua" w:hAnsi="Book Antiqua" w:cs="Times New Roman"/>
          <w:bCs/>
          <w:color w:val="000000"/>
          <w:sz w:val="24"/>
          <w:szCs w:val="24"/>
        </w:rPr>
        <w:t>.</w:t>
      </w:r>
      <w:r w:rsidR="00972A9C" w:rsidRPr="00FA26FB">
        <w:rPr>
          <w:rFonts w:ascii="Book Antiqua" w:hAnsi="Book Antiqua" w:cs="Times New Roman"/>
          <w:bCs/>
          <w:sz w:val="24"/>
          <w:szCs w:val="24"/>
        </w:rPr>
        <w:t xml:space="preserve"> </w:t>
      </w:r>
      <w:proofErr w:type="spellStart"/>
      <w:r w:rsidR="00A440AF" w:rsidRPr="00FA26FB">
        <w:rPr>
          <w:rFonts w:ascii="Book Antiqua" w:hAnsi="Book Antiqua" w:cs="Times New Roman"/>
          <w:bCs/>
          <w:color w:val="000000"/>
          <w:sz w:val="24"/>
          <w:szCs w:val="24"/>
        </w:rPr>
        <w:t>Ekstedt</w:t>
      </w:r>
      <w:proofErr w:type="spellEnd"/>
      <w:r w:rsidR="00A440AF" w:rsidRPr="00FA26FB">
        <w:rPr>
          <w:rFonts w:ascii="Book Antiqua" w:hAnsi="Book Antiqua" w:cs="Times New Roman"/>
          <w:bCs/>
          <w:color w:val="000000"/>
          <w:sz w:val="24"/>
          <w:szCs w:val="24"/>
        </w:rPr>
        <w:t xml:space="preserve"> </w:t>
      </w:r>
      <w:r w:rsidR="00A440AF" w:rsidRPr="00C06BF6">
        <w:rPr>
          <w:rFonts w:ascii="Book Antiqua" w:hAnsi="Book Antiqua" w:cs="Times New Roman"/>
          <w:bCs/>
          <w:i/>
          <w:iCs/>
          <w:color w:val="000000"/>
          <w:sz w:val="24"/>
          <w:szCs w:val="24"/>
        </w:rPr>
        <w:t xml:space="preserve">et </w:t>
      </w:r>
      <w:proofErr w:type="gramStart"/>
      <w:r w:rsidR="00A440AF" w:rsidRPr="00C06BF6">
        <w:rPr>
          <w:rFonts w:ascii="Book Antiqua" w:hAnsi="Book Antiqua" w:cs="Times New Roman"/>
          <w:bCs/>
          <w:i/>
          <w:iCs/>
          <w:color w:val="000000"/>
          <w:sz w:val="24"/>
          <w:szCs w:val="24"/>
        </w:rPr>
        <w:t>al</w:t>
      </w:r>
      <w:r w:rsidR="00C06BF6" w:rsidRPr="00C06BF6">
        <w:rPr>
          <w:rFonts w:ascii="Book Antiqua" w:hAnsi="Book Antiqua" w:cs="Times New Roman"/>
          <w:bCs/>
          <w:color w:val="000000"/>
          <w:sz w:val="24"/>
          <w:szCs w:val="24"/>
          <w:vertAlign w:val="superscript"/>
        </w:rPr>
        <w:t>[</w:t>
      </w:r>
      <w:proofErr w:type="gramEnd"/>
      <w:r w:rsidR="00C06BF6" w:rsidRPr="00C06BF6">
        <w:rPr>
          <w:rFonts w:ascii="Book Antiqua" w:hAnsi="Book Antiqua" w:cs="Times New Roman"/>
          <w:bCs/>
          <w:color w:val="000000"/>
          <w:sz w:val="24"/>
          <w:szCs w:val="24"/>
          <w:vertAlign w:val="superscript"/>
        </w:rPr>
        <w:t>28]</w:t>
      </w:r>
      <w:r w:rsidR="00A440AF" w:rsidRPr="00FA26FB">
        <w:rPr>
          <w:rFonts w:ascii="Book Antiqua" w:hAnsi="Book Antiqua" w:cs="Times New Roman"/>
          <w:bCs/>
          <w:color w:val="000000"/>
          <w:sz w:val="24"/>
          <w:szCs w:val="24"/>
        </w:rPr>
        <w:t xml:space="preserve"> found faster fibrosis progression in NAFLD patients who consumed alcohol in moderate amounts</w:t>
      </w:r>
      <w:r w:rsidRPr="00FA26FB">
        <w:rPr>
          <w:rFonts w:ascii="Book Antiqua" w:hAnsi="Book Antiqua" w:cs="Times New Roman"/>
          <w:bCs/>
          <w:color w:val="000000"/>
          <w:sz w:val="24"/>
          <w:szCs w:val="24"/>
        </w:rPr>
        <w:t xml:space="preserve">. </w:t>
      </w:r>
      <w:r w:rsidR="00A440AF" w:rsidRPr="00FA26FB">
        <w:rPr>
          <w:rFonts w:ascii="Book Antiqua" w:hAnsi="Book Antiqua" w:cs="Times New Roman"/>
          <w:bCs/>
          <w:color w:val="000000"/>
          <w:sz w:val="24"/>
          <w:szCs w:val="24"/>
        </w:rPr>
        <w:t xml:space="preserve">Binge drinking and insulin resistance have been reported to be independent risk factors associated with the progression of fibrosis </w:t>
      </w:r>
      <w:r w:rsidRPr="00FA26FB">
        <w:rPr>
          <w:rFonts w:ascii="Book Antiqua" w:hAnsi="Book Antiqua" w:cs="Times New Roman"/>
          <w:bCs/>
          <w:color w:val="000000"/>
          <w:sz w:val="24"/>
          <w:szCs w:val="24"/>
        </w:rPr>
        <w:t xml:space="preserve">over a mean </w:t>
      </w:r>
      <w:r w:rsidR="00A440AF" w:rsidRPr="00FA26FB">
        <w:rPr>
          <w:rFonts w:ascii="Book Antiqua" w:hAnsi="Book Antiqua" w:cs="Times New Roman"/>
          <w:bCs/>
          <w:color w:val="000000"/>
          <w:sz w:val="24"/>
          <w:szCs w:val="24"/>
        </w:rPr>
        <w:t xml:space="preserve">of </w:t>
      </w:r>
      <w:r w:rsidRPr="00FA26FB">
        <w:rPr>
          <w:rFonts w:ascii="Book Antiqua" w:hAnsi="Book Antiqua" w:cs="Times New Roman"/>
          <w:bCs/>
          <w:color w:val="000000"/>
          <w:sz w:val="24"/>
          <w:szCs w:val="24"/>
        </w:rPr>
        <w:t>13.8-year interval.</w:t>
      </w:r>
      <w:r w:rsidRPr="00FA26FB">
        <w:rPr>
          <w:rFonts w:ascii="Book Antiqua" w:hAnsi="Book Antiqua" w:cs="Times New Roman"/>
          <w:bCs/>
          <w:sz w:val="24"/>
          <w:szCs w:val="24"/>
        </w:rPr>
        <w:t xml:space="preserve"> </w:t>
      </w:r>
      <w:r w:rsidRPr="00FA26FB">
        <w:rPr>
          <w:rFonts w:ascii="Book Antiqua" w:hAnsi="Book Antiqua" w:cs="Times New Roman"/>
          <w:bCs/>
          <w:color w:val="000000"/>
          <w:sz w:val="24"/>
          <w:szCs w:val="24"/>
        </w:rPr>
        <w:t xml:space="preserve">In 1997, </w:t>
      </w:r>
      <w:proofErr w:type="spellStart"/>
      <w:r w:rsidRPr="00FA26FB">
        <w:rPr>
          <w:rFonts w:ascii="Book Antiqua" w:hAnsi="Book Antiqua" w:cs="Times New Roman"/>
          <w:bCs/>
          <w:color w:val="000000"/>
          <w:sz w:val="24"/>
          <w:szCs w:val="24"/>
        </w:rPr>
        <w:t>Naveau</w:t>
      </w:r>
      <w:proofErr w:type="spellEnd"/>
      <w:r w:rsidRPr="00FA26FB">
        <w:rPr>
          <w:rFonts w:ascii="Book Antiqua" w:hAnsi="Book Antiqua" w:cs="Times New Roman"/>
          <w:bCs/>
          <w:color w:val="000000"/>
          <w:sz w:val="24"/>
          <w:szCs w:val="24"/>
        </w:rPr>
        <w:t xml:space="preserve"> </w:t>
      </w:r>
      <w:r w:rsidRPr="003C2FC3">
        <w:rPr>
          <w:rFonts w:ascii="Book Antiqua" w:hAnsi="Book Antiqua" w:cs="Times New Roman"/>
          <w:bCs/>
          <w:i/>
          <w:iCs/>
          <w:color w:val="000000"/>
          <w:sz w:val="24"/>
          <w:szCs w:val="24"/>
        </w:rPr>
        <w:t>et al</w:t>
      </w:r>
      <w:r w:rsidR="003C2FC3" w:rsidRPr="003C2FC3">
        <w:rPr>
          <w:rFonts w:ascii="Book Antiqua" w:hAnsi="Book Antiqua" w:cs="Times New Roman"/>
          <w:bCs/>
          <w:color w:val="000000"/>
          <w:sz w:val="24"/>
          <w:szCs w:val="24"/>
          <w:vertAlign w:val="superscript"/>
        </w:rPr>
        <w:t>[29]</w:t>
      </w:r>
      <w:r w:rsidR="003C2FC3">
        <w:rPr>
          <w:rFonts w:ascii="Book Antiqua" w:hAnsi="Book Antiqua" w:cs="Times New Roman"/>
          <w:bCs/>
          <w:color w:val="000000"/>
          <w:sz w:val="24"/>
          <w:szCs w:val="24"/>
        </w:rPr>
        <w:t xml:space="preserve"> and </w:t>
      </w:r>
      <w:proofErr w:type="spellStart"/>
      <w:r w:rsidR="003C2FC3" w:rsidRPr="003C2FC3">
        <w:rPr>
          <w:rFonts w:ascii="Book Antiqua" w:hAnsi="Book Antiqua" w:cs="Times New Roman"/>
          <w:bCs/>
          <w:color w:val="000000"/>
          <w:sz w:val="24"/>
          <w:szCs w:val="24"/>
        </w:rPr>
        <w:t>Raynard</w:t>
      </w:r>
      <w:proofErr w:type="spellEnd"/>
      <w:r w:rsidR="003C2FC3" w:rsidRPr="003C2FC3">
        <w:rPr>
          <w:rFonts w:ascii="Book Antiqua" w:hAnsi="Book Antiqua" w:cs="Times New Roman"/>
          <w:bCs/>
          <w:color w:val="000000"/>
          <w:sz w:val="24"/>
          <w:szCs w:val="24"/>
        </w:rPr>
        <w:t xml:space="preserve"> </w:t>
      </w:r>
      <w:r w:rsidR="003C2FC3" w:rsidRPr="003C2FC3">
        <w:rPr>
          <w:rFonts w:ascii="Book Antiqua" w:hAnsi="Book Antiqua" w:cs="Times New Roman"/>
          <w:bCs/>
          <w:i/>
          <w:iCs/>
          <w:color w:val="000000"/>
          <w:sz w:val="24"/>
          <w:szCs w:val="24"/>
        </w:rPr>
        <w:t>et al</w:t>
      </w:r>
      <w:r w:rsidR="003C2FC3" w:rsidRPr="00FA26FB">
        <w:rPr>
          <w:rStyle w:val="ad"/>
          <w:rFonts w:ascii="Book Antiqua" w:hAnsi="Book Antiqua" w:cs="Times New Roman"/>
          <w:bCs/>
          <w:color w:val="000000"/>
          <w:sz w:val="24"/>
          <w:szCs w:val="24"/>
        </w:rPr>
        <w:fldChar w:fldCharType="begin" w:fldLock="1"/>
      </w:r>
      <w:r w:rsidR="003C2FC3" w:rsidRPr="00FA26FB">
        <w:rPr>
          <w:rFonts w:ascii="Book Antiqua" w:hAnsi="Book Antiqua" w:cs="Times New Roman"/>
          <w:bCs/>
          <w:color w:val="000000"/>
          <w:sz w:val="24"/>
          <w:szCs w:val="24"/>
          <w:vertAlign w:val="superscript"/>
        </w:rPr>
        <w:instrText>ADDIN CSL_CITATION {"citationItems":[{"id":"ITEM-1","itemData":{"DOI":"10.1002/hep.510250120","ISBN":"0270-9139","ISSN":"0270-9139","PMID":"8985274","abstract":"Though the hepatotoxicity of ethanol has been established, only 8% to 20% of chronic alcoholics develop cirrhosis. The aim of this study was to assess whether being overweight is a risk factor for alcoholic liver disease. One thousand six hundred four alcoholic patients were studied. According to the liver biopsies, 194 patients had a normal liver; 402 had steatosis without fibrosis; 281 presented with fibrosis, with or without steatosis; 119 presented with acute alcoholic hepatitis (AAH) without cirrhosis; 232 indicated cirrhosis without AAH; and 179 presented with cirrhosis with AAH. One hundred ninety-seven patients had clinically obvious cirrhosis. In the study, five variables were studied as risk factors: age, sex, daily consumption of alcohol during the previous 5 years, the total duration of alcohol abuse, and tendency to be overweight (body mass index [BMI] &gt; or = 25 in women and &gt; or = 27 in men). The BMI was calculated according to the minimum weight over the 10 previous years. In the first stepwise logistic regression analysis, age, being overweight for at least 10 years, being of the female sex, and the total duration of alcohol abuse were independently correlated with the presence of cirrhosis. In the second analysis, female sex being overweight were the two independent risk factors of AAH. In the third analysis, being overweight for at least 10 years was the only independent risk factor of steatosis. These results show that the presence of excess weight for at least 10 years is a risk factor for cirrhosis, AAH, and steatosis. Our results suggest that there is a possible potential for the metabolic effects of ethanol ingestion caused by excess weight in patients with alcoholic liver disease.","author":[{"dropping-particle":"","family":"Naveau","given":"S.","non-dropping-particle":"","parse-names":false,"suffix":""},{"dropping-particle":"","family":"Giraud","given":"V.","non-dropping-particle":"","parse-names":false,"suffix":""},{"dropping-particle":"","family":"Borotto","given":"E.","non-dropping-particle":"","parse-names":false,"suffix":""},{"dropping-particle":"","family":"Aubert","given":"A.","non-dropping-particle":"","parse-names":false,"suffix":""},{"dropping-particle":"","family":"Capron","given":"F.","non-dropping-particle":"","parse-names":false,"suffix":""},{"dropping-particle":"","family":"Chaput","given":"J.","non-dropping-particle":"","parse-names":false,"suffix":""}],"container-title":"Hepatology","id":"ITEM-1","issue":"1","issued":{"date-parts":[["1997"]]},"page":"108-111","title":"Excess weight risk factor for alcoholic liver disease","type":"article-journal","volume":"25"},"uris":["http://www.mendeley.com/documents/?uuid=d7cb168d-1f19-4f05-b60c-be3bd118ef20"]},{"id":"ITEM-2","itemData":{"DOI":"10.1053/jhep.2002.31782","ISSN":"02709139","abstract":"In patients with nonalcoholic steatohepatitis (NASH), age, obesity, and diabetes mellitus are independent predictors of the degree of fibrosis. The relative risk for fibrosis adjusted for sex was also associated with increasing grade of Perls stain. The aim of this study was to determine whether the risk factors for fibrosis described in NASH are also risk factors in alcohol-induced liver disease. A total of 268 alcoholic patients with negative hepatitis B virus and hepatitis C virus serology underwent liver biopsy. Fibrosis was assessed semiquantitatively by a score fluctuating between 0 to 8. Liver iron overload was assessed by Perls staining and graded in 4 classes. We have used multivariate regression with partial correlation analysis to assess the variability of fibrosis score according to the value of 7 variables: sex, age, body mass index (BMI) in the past year before the hospitalization when the patient was asymptomatic, daily alcohol intake over the past 5 years, total duration of alcohol abuse, Perls grade, and blood glucose level. In the multivariate regression, fibrosis score was positively correlated with age (P =.001), BMI (P =.002), female sex (P &lt;.05), Perls grade (P &lt;.05), and blood glucose level (P &lt;.05). Twenty percent of the variability of fibrosis score was explained by the 7 variables. In conclusion, after adjustment for daily alcohol intake and total duration of alcohol abuse, BMI, Perls grade, and blood glucose are also independent risk factors for fibrosis in alcohol-induced liver disease, raising therapeutic implications for the management of these patients.","author":[{"dropping-particle":"","family":"Naveau","given":"Sylvie","non-dropping-particle":"","parse-names":false,"suffix":""},{"dropping-particle":"","family":"Chaput","given":"Jean Claude","non-dropping-particle":"","parse-names":false,"suffix":""},{"dropping-particle":"","family":"Fallik","given":"David","non-dropping-particle":"","parse-names":false,"suffix":""},{"dropping-particle":"","family":"Balian","given":"Axel","non-dropping-particle":"","parse-names":false,"suffix":""},{"dropping-particle":"","family":"Raynard","given":"Bruno","non-dropping-particle":"","parse-names":false,"suffix":""},{"dropping-particle":"","family":"Capron","given":"Frédérique","non-dropping-particle":"","parse-names":false,"suffix":""},{"dropping-particle":"","family":"Bedossa","given":"Pierre","non-dropping-particle":"","parse-names":false,"suffix":""}],"container-title":"Hepatology","id":"ITEM-2","issue":"3","issued":{"date-parts":[["2002"]]},"page":"635-638","title":"Risk factors of fibrosis in alcohol-induced liver disease","type":"article-journal","volume":"35"},"uris":["http://www.mendeley.com/documents/?uuid=fae8345f-133b-4fa2-861e-7fdfb15b889d"]}],"mendeley":{"formattedCitation":"(29,30)","plainTextFormattedCitation":"(29,30)","previouslyFormattedCitation":"&lt;sup&gt;29,30&lt;/sup&gt;"},"properties":{"noteIndex":0},"schema":"https://github.com/citation-style-language/schema/raw/master/csl-citation.json"}</w:instrText>
      </w:r>
      <w:r w:rsidR="003C2FC3" w:rsidRPr="00FA26FB">
        <w:rPr>
          <w:rStyle w:val="ad"/>
          <w:rFonts w:ascii="Book Antiqua" w:hAnsi="Book Antiqua" w:cs="Times New Roman"/>
          <w:bCs/>
          <w:color w:val="000000"/>
          <w:sz w:val="24"/>
          <w:szCs w:val="24"/>
        </w:rPr>
        <w:fldChar w:fldCharType="separate"/>
      </w:r>
      <w:r w:rsidR="003C2FC3">
        <w:rPr>
          <w:rFonts w:ascii="Book Antiqua" w:hAnsi="Book Antiqua" w:cs="Times New Roman"/>
          <w:bCs/>
          <w:noProof/>
          <w:color w:val="000000"/>
          <w:sz w:val="24"/>
          <w:szCs w:val="24"/>
          <w:vertAlign w:val="superscript"/>
        </w:rPr>
        <w:t>[</w:t>
      </w:r>
      <w:r w:rsidR="003C2FC3" w:rsidRPr="00FA26FB">
        <w:rPr>
          <w:rFonts w:ascii="Book Antiqua" w:hAnsi="Book Antiqua" w:cs="Times New Roman"/>
          <w:bCs/>
          <w:noProof/>
          <w:color w:val="000000"/>
          <w:sz w:val="24"/>
          <w:szCs w:val="24"/>
          <w:vertAlign w:val="superscript"/>
        </w:rPr>
        <w:t>30</w:t>
      </w:r>
      <w:r w:rsidR="003C2FC3">
        <w:rPr>
          <w:rFonts w:ascii="Book Antiqua" w:hAnsi="Book Antiqua" w:cs="Times New Roman"/>
          <w:bCs/>
          <w:noProof/>
          <w:color w:val="000000"/>
          <w:sz w:val="24"/>
          <w:szCs w:val="24"/>
          <w:vertAlign w:val="superscript"/>
        </w:rPr>
        <w:t>]</w:t>
      </w:r>
      <w:r w:rsidR="003C2FC3" w:rsidRPr="00FA26FB">
        <w:rPr>
          <w:rStyle w:val="ad"/>
          <w:rFonts w:ascii="Book Antiqua" w:hAnsi="Book Antiqua" w:cs="Times New Roman"/>
          <w:bCs/>
          <w:color w:val="000000"/>
          <w:sz w:val="24"/>
          <w:szCs w:val="24"/>
        </w:rPr>
        <w:fldChar w:fldCharType="end"/>
      </w:r>
      <w:r w:rsidR="003C2FC3">
        <w:rPr>
          <w:rFonts w:ascii="Book Antiqua" w:hAnsi="Book Antiqua" w:cs="Times New Roman"/>
          <w:bCs/>
          <w:color w:val="000000"/>
          <w:sz w:val="24"/>
          <w:szCs w:val="24"/>
        </w:rPr>
        <w:t xml:space="preserve"> </w:t>
      </w:r>
      <w:r w:rsidR="00B4033E" w:rsidRPr="00FA26FB">
        <w:rPr>
          <w:rFonts w:ascii="Book Antiqua" w:hAnsi="Book Antiqua" w:cs="Times New Roman"/>
          <w:bCs/>
          <w:color w:val="000000"/>
          <w:sz w:val="24"/>
          <w:szCs w:val="24"/>
        </w:rPr>
        <w:t>showed that BMI is positively associated with AF in ALD</w:t>
      </w:r>
      <w:r w:rsidRPr="00FA26FB">
        <w:rPr>
          <w:rFonts w:ascii="Book Antiqua" w:hAnsi="Book Antiqua" w:cs="Times New Roman"/>
          <w:bCs/>
          <w:color w:val="000000"/>
          <w:sz w:val="24"/>
          <w:szCs w:val="24"/>
        </w:rPr>
        <w:t>.</w:t>
      </w:r>
      <w:r w:rsidRPr="00FA26FB">
        <w:rPr>
          <w:rFonts w:ascii="Book Antiqua" w:hAnsi="Book Antiqua" w:cs="Times New Roman"/>
          <w:bCs/>
          <w:sz w:val="24"/>
          <w:szCs w:val="24"/>
        </w:rPr>
        <w:t xml:space="preserve"> </w:t>
      </w:r>
      <w:r w:rsidR="00B4033E" w:rsidRPr="00FA26FB">
        <w:rPr>
          <w:rFonts w:ascii="Book Antiqua" w:hAnsi="Book Antiqua" w:cs="Times New Roman"/>
          <w:bCs/>
          <w:sz w:val="24"/>
          <w:szCs w:val="24"/>
        </w:rPr>
        <w:t>Obesity may sensitize an individual to alcohol-induced liver injury</w:t>
      </w:r>
      <w:r w:rsidRPr="00FA26FB">
        <w:rPr>
          <w:rFonts w:ascii="Book Antiqua" w:hAnsi="Book Antiqua" w:cs="Times New Roman"/>
          <w:bCs/>
          <w:sz w:val="24"/>
          <w:szCs w:val="24"/>
        </w:rPr>
        <w:t xml:space="preserve"> at a much lower dose. </w:t>
      </w:r>
      <w:r w:rsidR="00B4033E" w:rsidRPr="00FA26FB">
        <w:rPr>
          <w:rFonts w:ascii="Book Antiqua" w:hAnsi="Book Antiqua" w:cs="Times New Roman"/>
          <w:bCs/>
          <w:sz w:val="24"/>
          <w:szCs w:val="24"/>
        </w:rPr>
        <w:t>We estimated 1.24 million Americans might be affected by BAFLD with the concomitant three-fold increase in AF; therefore, this is a significant public health issue with important policy implications</w:t>
      </w:r>
      <w:r w:rsidRPr="00FA26FB">
        <w:rPr>
          <w:rFonts w:ascii="Book Antiqua" w:hAnsi="Book Antiqua" w:cs="Times New Roman"/>
          <w:bCs/>
          <w:sz w:val="24"/>
          <w:szCs w:val="24"/>
        </w:rPr>
        <w:t>.</w:t>
      </w:r>
    </w:p>
    <w:p w14:paraId="355B65BA" w14:textId="3D1DF344" w:rsidR="00D57258" w:rsidRPr="00FA26FB" w:rsidRDefault="008E380A" w:rsidP="002C1F15">
      <w:pPr>
        <w:autoSpaceDE w:val="0"/>
        <w:autoSpaceDN w:val="0"/>
        <w:adjustRightInd w:val="0"/>
        <w:spacing w:after="0" w:line="360" w:lineRule="auto"/>
        <w:ind w:firstLine="720"/>
        <w:jc w:val="both"/>
        <w:rPr>
          <w:rFonts w:ascii="Book Antiqua" w:hAnsi="Book Antiqua" w:cs="Times New Roman"/>
          <w:bCs/>
          <w:color w:val="231F20"/>
          <w:sz w:val="24"/>
          <w:szCs w:val="24"/>
        </w:rPr>
      </w:pPr>
      <w:r w:rsidRPr="00FA26FB">
        <w:rPr>
          <w:rFonts w:ascii="Book Antiqua" w:hAnsi="Book Antiqua" w:cs="Times New Roman"/>
          <w:bCs/>
          <w:sz w:val="24"/>
          <w:szCs w:val="24"/>
        </w:rPr>
        <w:t>Our results showed signifi</w:t>
      </w:r>
      <w:r w:rsidR="008A3734" w:rsidRPr="00FA26FB">
        <w:rPr>
          <w:rFonts w:ascii="Book Antiqua" w:hAnsi="Book Antiqua" w:cs="Times New Roman"/>
          <w:bCs/>
          <w:sz w:val="24"/>
          <w:szCs w:val="24"/>
        </w:rPr>
        <w:t>cantly higher blood TG</w:t>
      </w:r>
      <w:r w:rsidRPr="00FA26FB">
        <w:rPr>
          <w:rFonts w:ascii="Book Antiqua" w:hAnsi="Book Antiqua" w:cs="Times New Roman"/>
          <w:bCs/>
          <w:sz w:val="24"/>
          <w:szCs w:val="24"/>
        </w:rPr>
        <w:t xml:space="preserve"> (268 </w:t>
      </w:r>
      <w:r w:rsidR="00D6254C" w:rsidRPr="00FA26FB">
        <w:rPr>
          <w:rFonts w:ascii="Book Antiqua" w:hAnsi="Book Antiqua" w:cs="Times New Roman"/>
          <w:bCs/>
          <w:sz w:val="24"/>
          <w:szCs w:val="24"/>
        </w:rPr>
        <w:t>mg/dL</w:t>
      </w:r>
      <w:r w:rsidR="00D6254C" w:rsidRPr="008B0AFA">
        <w:rPr>
          <w:rFonts w:ascii="Book Antiqua" w:hAnsi="Book Antiqua" w:cs="Times New Roman"/>
          <w:bCs/>
          <w:i/>
          <w:iCs/>
          <w:sz w:val="24"/>
          <w:szCs w:val="24"/>
        </w:rPr>
        <w:t xml:space="preserve"> </w:t>
      </w:r>
      <w:r w:rsidR="008B0AFA" w:rsidRPr="008B0AFA">
        <w:rPr>
          <w:rFonts w:ascii="Book Antiqua" w:hAnsi="Book Antiqua" w:cs="Times New Roman"/>
          <w:bCs/>
          <w:i/>
          <w:iCs/>
          <w:sz w:val="24"/>
          <w:szCs w:val="24"/>
        </w:rPr>
        <w:t>vs</w:t>
      </w:r>
      <w:r w:rsidRPr="00FA26FB">
        <w:rPr>
          <w:rFonts w:ascii="Book Antiqua" w:hAnsi="Book Antiqua" w:cs="Times New Roman"/>
          <w:bCs/>
          <w:sz w:val="24"/>
          <w:szCs w:val="24"/>
        </w:rPr>
        <w:t xml:space="preserve"> 186 </w:t>
      </w:r>
      <w:bookmarkStart w:id="232" w:name="OLE_LINK82"/>
      <w:bookmarkStart w:id="233" w:name="OLE_LINK83"/>
      <w:r w:rsidRPr="00FA26FB">
        <w:rPr>
          <w:rFonts w:ascii="Book Antiqua" w:hAnsi="Book Antiqua" w:cs="Times New Roman"/>
          <w:bCs/>
          <w:sz w:val="24"/>
          <w:szCs w:val="24"/>
        </w:rPr>
        <w:t>mg/dL</w:t>
      </w:r>
      <w:bookmarkEnd w:id="232"/>
      <w:bookmarkEnd w:id="233"/>
      <w:r w:rsidRPr="00FA26FB">
        <w:rPr>
          <w:rFonts w:ascii="Book Antiqua" w:hAnsi="Book Antiqua" w:cs="Times New Roman"/>
          <w:bCs/>
          <w:sz w:val="24"/>
          <w:szCs w:val="24"/>
        </w:rPr>
        <w:t xml:space="preserve">) in patients with BAFLD compare to patients with NAFLD. </w:t>
      </w:r>
      <w:r w:rsidR="00D859C7" w:rsidRPr="00FA26FB">
        <w:rPr>
          <w:rFonts w:ascii="Book Antiqua" w:hAnsi="Book Antiqua" w:cs="Times New Roman"/>
          <w:bCs/>
          <w:sz w:val="24"/>
          <w:szCs w:val="24"/>
        </w:rPr>
        <w:t>We propose that there may be a combined additive or synergistic effect of alcohol and NAFLD on triglycerides</w:t>
      </w:r>
      <w:r w:rsidRPr="00FA26FB">
        <w:rPr>
          <w:rFonts w:ascii="Book Antiqua" w:hAnsi="Book Antiqua" w:cs="Times New Roman"/>
          <w:bCs/>
          <w:sz w:val="24"/>
          <w:szCs w:val="24"/>
        </w:rPr>
        <w:t>.</w:t>
      </w:r>
      <w:r w:rsidRPr="00FA26FB">
        <w:rPr>
          <w:rFonts w:ascii="Book Antiqua" w:hAnsi="Book Antiqua" w:cs="Times New Roman"/>
          <w:bCs/>
          <w:color w:val="231F20"/>
          <w:sz w:val="24"/>
          <w:szCs w:val="24"/>
        </w:rPr>
        <w:t xml:space="preserve"> </w:t>
      </w:r>
      <w:r w:rsidR="00D859C7" w:rsidRPr="00FA26FB">
        <w:rPr>
          <w:rFonts w:ascii="Book Antiqua" w:hAnsi="Book Antiqua" w:cs="Times New Roman"/>
          <w:bCs/>
          <w:color w:val="231F20"/>
          <w:sz w:val="24"/>
          <w:szCs w:val="24"/>
        </w:rPr>
        <w:t>NAFLD is characterized by increases in TG, very-low-density lipoprotein (LDL), apolipoprotein B to apolipoprotein A1 ratio, and small dense LDL in conjunction with low HDL</w:t>
      </w:r>
      <w:r w:rsidR="00840F50" w:rsidRPr="00FA26FB">
        <w:rPr>
          <w:rStyle w:val="ad"/>
          <w:rFonts w:ascii="Book Antiqua" w:hAnsi="Book Antiqua" w:cs="Times New Roman"/>
          <w:bCs/>
          <w:color w:val="231F20"/>
          <w:sz w:val="24"/>
          <w:szCs w:val="24"/>
        </w:rPr>
        <w:fldChar w:fldCharType="begin" w:fldLock="1"/>
      </w:r>
      <w:r w:rsidR="00840F50" w:rsidRPr="00FA26FB">
        <w:rPr>
          <w:rFonts w:ascii="Book Antiqua" w:hAnsi="Book Antiqua" w:cs="Times New Roman"/>
          <w:bCs/>
          <w:color w:val="231F20"/>
          <w:sz w:val="24"/>
          <w:szCs w:val="24"/>
          <w:vertAlign w:val="superscript"/>
        </w:rPr>
        <w:instrText>ADDIN CSL_CITATION {"citationItems":[{"id":"ITEM-1","itemData":{"DOI":"10.1186/1476-511X-13-100","ISBN":"1476-511X (Electronic)\\r1476-511X (Linking)","ISSN":"1476511X","PMID":"24952382","abstract":"BACKGROUND: Nonalcoholic steatohepatitis (NASH) carries an increased risk of cardiovascular disease (CVD) relative to the general population. We sought to evaluate whether differences in lipoprotein subfractions in obese patients with and without NASH contributes to this difference in CVD risk. FINDINGS: Ion mobility analysis was performed on 78 individuals with obesity undergoing weight loss surgery. All individuals had standard of care liver biopsies performed during surgery. Patients with NASH had significantly smaller peak LDL diameter (P = 0.02, 219.0 A vs. 222.6 A), and levels of IDL2 (P = 0.01, 104. nmol/L vs. 133.4 nmol/L) and HDL2b (P = 0.05, 676.7 nmol/L vs. 880.1 nmol/L) compared to those without NASH. NASH patients had significantly higher LDL-IVb levels than those without NASH (P = 0.02, 49.0 nmol/L vs. 37.1 nmol/L).The inverse association of LDL peak diameter with NASH remained significant after adjustment for diabetes (P = 0.02). HDL2b levels were inversely correlated with hepatocyte ballooning and NASH and these remained significant after adjustment for diabetes (P = 0.0017 and P = 0.007, respectively). IDL2 levels were inversely correlated with NASH, hepatocyte ballooning and fibrosis stage but these were not significant after adjustment for diabetes. CONCLUSIONS: The lipoprotein subfraction profile in subjects with NASH is characterized by small peak LDL diameter, reduced HDL2b levels and elevated LDL-IVb levels. These changes may contribute to the increased CVD seen in patients with NASH.","author":[{"dropping-particle":"","family":"Corey","given":"Kathleen E.","non-dropping-particle":"","parse-names":false,"suffix":""},{"dropping-particle":"","family":"Misdraji","given":"Joseph","non-dropping-particle":"","parse-names":false,"suffix":""},{"dropping-particle":"","family":"Gelrud","given":"Lou","non-dropping-particle":"","parse-names":false,"suffix":""},{"dropping-particle":"","family":"Zheng","given":"Hui","non-dropping-particle":"","parse-names":false,"suffix":""},{"dropping-particle":"","family":"Chung","given":"Raymond T.","non-dropping-particle":"","parse-names":false,"suffix":""},{"dropping-particle":"","family":"Krauss","given":"Ronald M.","non-dropping-particle":"","parse-names":false,"suffix":""}],"container-title":"Lipids in Health and Disease","id":"ITEM-1","issue":"1","issued":{"date-parts":[["2014"]]},"page":"1-4","title":"Nonalcoholic steatohepatitis is associated with an atherogenic lipoprotein subfraction profile","type":"article-journal","volume":"13"},"uris":["http://www.mendeley.com/documents/?uuid=52c00f25-2ddb-492b-9231-bc15781922fc"]}],"mendeley":{"formattedCitation":"(31)","plainTextFormattedCitation":"(31)","previouslyFormattedCitation":"&lt;sup&gt;31&lt;/sup&gt;"},"properties":{"noteIndex":0},"schema":"https://github.com/citation-style-language/schema/raw/master/csl-citation.json"}</w:instrText>
      </w:r>
      <w:r w:rsidR="00840F50" w:rsidRPr="00FA26FB">
        <w:rPr>
          <w:rStyle w:val="ad"/>
          <w:rFonts w:ascii="Book Antiqua" w:hAnsi="Book Antiqua" w:cs="Times New Roman"/>
          <w:bCs/>
          <w:color w:val="231F20"/>
          <w:sz w:val="24"/>
          <w:szCs w:val="24"/>
        </w:rPr>
        <w:fldChar w:fldCharType="separate"/>
      </w:r>
      <w:r w:rsidR="00840F50">
        <w:rPr>
          <w:rFonts w:ascii="Book Antiqua" w:hAnsi="Book Antiqua" w:cs="Times New Roman"/>
          <w:bCs/>
          <w:noProof/>
          <w:color w:val="231F20"/>
          <w:sz w:val="24"/>
          <w:szCs w:val="24"/>
          <w:vertAlign w:val="superscript"/>
        </w:rPr>
        <w:t>[</w:t>
      </w:r>
      <w:r w:rsidR="00840F50" w:rsidRPr="00FA26FB">
        <w:rPr>
          <w:rFonts w:ascii="Book Antiqua" w:hAnsi="Book Antiqua" w:cs="Times New Roman"/>
          <w:bCs/>
          <w:noProof/>
          <w:color w:val="231F20"/>
          <w:sz w:val="24"/>
          <w:szCs w:val="24"/>
          <w:vertAlign w:val="superscript"/>
        </w:rPr>
        <w:t>31</w:t>
      </w:r>
      <w:r w:rsidR="00840F50">
        <w:rPr>
          <w:rFonts w:ascii="Book Antiqua" w:hAnsi="Book Antiqua" w:cs="Times New Roman"/>
          <w:bCs/>
          <w:noProof/>
          <w:color w:val="231F20"/>
          <w:sz w:val="24"/>
          <w:szCs w:val="24"/>
          <w:vertAlign w:val="superscript"/>
        </w:rPr>
        <w:t>]</w:t>
      </w:r>
      <w:r w:rsidR="00840F50" w:rsidRPr="00FA26FB">
        <w:rPr>
          <w:rStyle w:val="ad"/>
          <w:rFonts w:ascii="Book Antiqua" w:hAnsi="Book Antiqua" w:cs="Times New Roman"/>
          <w:bCs/>
          <w:color w:val="231F20"/>
          <w:sz w:val="24"/>
          <w:szCs w:val="24"/>
        </w:rPr>
        <w:fldChar w:fldCharType="end"/>
      </w:r>
      <w:r w:rsidRPr="00FA26FB">
        <w:rPr>
          <w:rFonts w:ascii="Book Antiqua" w:hAnsi="Book Antiqua" w:cs="Times New Roman"/>
          <w:bCs/>
          <w:color w:val="231F20"/>
          <w:sz w:val="24"/>
          <w:szCs w:val="24"/>
        </w:rPr>
        <w:t xml:space="preserve">. </w:t>
      </w:r>
      <w:r w:rsidRPr="00FA26FB">
        <w:rPr>
          <w:rFonts w:ascii="Book Antiqua" w:hAnsi="Book Antiqua" w:cs="Times New Roman"/>
          <w:bCs/>
          <w:sz w:val="24"/>
          <w:szCs w:val="24"/>
        </w:rPr>
        <w:t>Similarly, alcohol consumption is a well-known cause of secondary hypertriglyceridemia and it may exaggerate hypertriglyceridemia in primary lipid disorders</w:t>
      </w:r>
      <w:r w:rsidR="00840F50" w:rsidRPr="00FA26FB">
        <w:rPr>
          <w:rStyle w:val="ad"/>
          <w:rFonts w:ascii="Book Antiqua" w:hAnsi="Book Antiqua" w:cs="Times New Roman"/>
          <w:bCs/>
          <w:sz w:val="24"/>
          <w:szCs w:val="24"/>
        </w:rPr>
        <w:fldChar w:fldCharType="begin" w:fldLock="1"/>
      </w:r>
      <w:r w:rsidR="00840F50" w:rsidRPr="00FA26FB">
        <w:rPr>
          <w:rFonts w:ascii="Book Antiqua" w:hAnsi="Book Antiqua" w:cs="Times New Roman"/>
          <w:bCs/>
          <w:sz w:val="24"/>
          <w:szCs w:val="24"/>
          <w:vertAlign w:val="superscript"/>
        </w:rPr>
        <w:instrText>ADDIN CSL_CITATION {"citationItems":[{"id":"ITEM-1","itemData":{"DOI":"10.1210/jc.2011-3213","ISSN":"1945-7197","PMID":"22962670","abstract":"OBJECTIVE The aim was to develop clinical practice guidelines on hypertriglyceridemia. PARTICIPANTS The Task Force included a chair selected by The Endocrine Society Clinical Guidelines Subcommittee (CGS), five additional experts in the field, and a methodologist. The authors received no corporate funding or remuneration. CONSENSUS PROCESS Consensus was guided by systematic reviews of evidence, e-mail discussion, conference calls, and one in-person meeting. The guidelines were reviewed and approved sequentially by The Endocrine Society's CGS and Clinical Affairs Core Committee, members responding to a web posting, and The Endocrine Society Council. At each stage, the Task Force incorporated changes in response to written comments. CONCLUSIONS The Task Force recommends that the diagnosis of hypertriglyceridemia be based on fasting levels, that mild and moderate hypertriglyceridemia (triglycerides of 150-999 mg/dl) be diagnosed to aid in the evaluation of cardiovascular risk, and that severe and very severe hypertriglyceridemia (triglycerides of &gt; 1000 mg/dl) be considered a risk for pancreatitis. The Task Force also recommends that patients with hypertriglyceridemia be evaluated for secondary causes of hyperlipidemia and that subjects with primary hypertriglyceridemia be evaluated for family history of dyslipidemia and cardiovascular disease. The Task Force recommends that the treatment goal in patients with moderate hypertriglyceridemia be a non-high-density lipoprotein cholesterol level in agreement with National Cholesterol Education Program Adult Treatment Panel guidelines. The initial treatment should be lifestyle therapy; a combination of diet modification and drug therapy may also be considered. In patients with severe or very severe hypertriglyceridemia, a fibrate should be used as a first-line agent.","author":[{"dropping-particle":"","family":"Berglund","given":"Lars","non-dropping-particle":"","parse-names":false,"suffix":""},{"dropping-particle":"","family":"Brunzell","given":"John D","non-dropping-particle":"","parse-names":false,"suffix":""},{"dropping-particle":"","family":"Goldberg","given":"Anne C","non-dropping-particle":"","parse-names":false,"suffix":""},{"dropping-particle":"","family":"Goldberg","given":"Ira J","non-dropping-particle":"","parse-names":false,"suffix":""},{"dropping-particle":"","family":"Sacks","given":"Frank","non-dropping-particle":"","parse-names":false,"suffix":""},{"dropping-particle":"","family":"Murad","given":"Mohammad Hassan","non-dropping-particle":"","parse-names":false,"suffix":""},{"dropping-particle":"","family":"Stalenhoef","given":"Anton F H","non-dropping-particle":"","parse-names":false,"suffix":""},{"dropping-particle":"","family":"Endocrine society","given":"","non-dropping-particle":"","parse-names":false,"suffix":""}],"container-title":"The Journal of clinical endocrinology and metabolism","id":"ITEM-1","issue":"9","issued":{"date-parts":[["2012","9"]]},"page":"2969-89","title":"Evaluation and treatment of hypertriglyceridemia: an Endocrine Society clinical practice guideline.","type":"article-journal","volume":"97"},"uris":["http://www.mendeley.com/documents/?uuid=e64af15b-ac02-3579-8e7c-0bfb3995fa55"]},{"id":"ITEM-2","itemData":{"ISSN":"1827-1898","PMID":"22525564","abstract":"Hypertriglyceridemia is a common lipid disorder associated to different, highly prevalent metabolic derangements like diabetes mellitus, the metabolic syndrome and obesity. The choice of treatment depends on the underlying pathogenesis and the consequences for atherosclerosis or pancreatitis. A family history, physical examination and analysis of the lipid profile including measurement of apolipoprotein B or non-HDL-C are necessary to establish the underlying primary or secondary cause. Due to physiological diurnal variations of triglycerides (TG), the time of measurement (fasting or postprandial) should be taken into account when evaluating TG values. Increased awareness arises concerning the impact of postprandial hypertriglyceridemia on the development of atherosclerosis. Hypertriglyceridemia is strongly associated to postprandial hyperlipidemia, remnant accumulation, increased small dense LDL concentrations, low HDL-C, increased oxidative stress, endothelial dysfunction, leukocyte activation and insulin resistance. All these factors are strongly linked to the development of atherosclerosis. Treatment should be aimed at reducing the secretion of triglyceride-rich lipoproteins, increasing intravascular lipolysis and reducing the number of circulating remnants. The main intervention is a change of lifestyle with decreased alcohol consumption, increased physical activity, dietary changes and, if applicable, adaptation of used medication. Fibrates, fish oil and nicotinic acid are the first choice of treatment in sporadic and familial hypertriglyceridemia to reduce the risk of pancreatitis, whereas high dose statins, sometimes in combination with fibrates, nicotinic acid, or fish oil capsules, are indicated for familial combined hyperlipidemia. Statins are necessary to reach low LDL-C concentrations in patients with type 2 diabetes mellitus and statin dosage should be increased when hypertriglyceridemia is present to reach secondary treatment targets for apolipoprotein B or non-HDL-C. Finally, family screening is mandatory to detect familial lipid disorders for early intervention in other family members.","author":[{"dropping-particle":"","family":"Klop","given":"B","non-dropping-particle":"","parse-names":false,"suffix":""},{"dropping-particle":"","family":"Wouter Jukema","given":"J","non-dropping-particle":"","parse-names":false,"suffix":""},{"dropping-particle":"","family":"Rabelink","given":"T J","non-dropping-particle":"","parse-names":false,"suffix":""},{"dropping-particle":"","family":"Castro Cabezas","given":"M","non-dropping-particle":"","parse-names":false,"suffix":""}],"container-title":"Panminerva medica","id":"ITEM-2","issue":"2","issued":{"date-parts":[["2012","6"]]},"page":"91-103","title":"A physician's guide for the management of hypertriglyceridemia: the etiology of hypertriglyceridemia determines treatment strategy.","type":"article-journal","volume":"54"},"uris":["http://www.mendeley.com/documents/?uuid=4b1a7b97-fde3-3fc0-bc60-ae8305e57320"]}],"mendeley":{"formattedCitation":"(32,33)","plainTextFormattedCitation":"(32,33)","previouslyFormattedCitation":"&lt;sup&gt;32,33&lt;/sup&gt;"},"properties":{"noteIndex":0},"schema":"https://github.com/citation-style-language/schema/raw/master/csl-citation.json"}</w:instrText>
      </w:r>
      <w:r w:rsidR="00840F50" w:rsidRPr="00FA26FB">
        <w:rPr>
          <w:rStyle w:val="ad"/>
          <w:rFonts w:ascii="Book Antiqua" w:hAnsi="Book Antiqua" w:cs="Times New Roman"/>
          <w:bCs/>
          <w:sz w:val="24"/>
          <w:szCs w:val="24"/>
        </w:rPr>
        <w:fldChar w:fldCharType="separate"/>
      </w:r>
      <w:r w:rsidR="00840F50">
        <w:rPr>
          <w:rFonts w:ascii="Book Antiqua" w:hAnsi="Book Antiqua" w:cs="Times New Roman"/>
          <w:bCs/>
          <w:noProof/>
          <w:sz w:val="24"/>
          <w:szCs w:val="24"/>
          <w:vertAlign w:val="superscript"/>
        </w:rPr>
        <w:t>[</w:t>
      </w:r>
      <w:r w:rsidR="00840F50" w:rsidRPr="00FA26FB">
        <w:rPr>
          <w:rFonts w:ascii="Book Antiqua" w:hAnsi="Book Antiqua" w:cs="Times New Roman"/>
          <w:bCs/>
          <w:noProof/>
          <w:sz w:val="24"/>
          <w:szCs w:val="24"/>
          <w:vertAlign w:val="superscript"/>
        </w:rPr>
        <w:t>32,33</w:t>
      </w:r>
      <w:r w:rsidR="00840F50">
        <w:rPr>
          <w:rFonts w:ascii="Book Antiqua" w:hAnsi="Book Antiqua" w:cs="Times New Roman"/>
          <w:bCs/>
          <w:noProof/>
          <w:sz w:val="24"/>
          <w:szCs w:val="24"/>
          <w:vertAlign w:val="superscript"/>
        </w:rPr>
        <w:t>]</w:t>
      </w:r>
      <w:r w:rsidR="00840F50" w:rsidRPr="00FA26FB">
        <w:rPr>
          <w:rStyle w:val="ad"/>
          <w:rFonts w:ascii="Book Antiqua" w:hAnsi="Book Antiqua" w:cs="Times New Roman"/>
          <w:bCs/>
          <w:sz w:val="24"/>
          <w:szCs w:val="24"/>
        </w:rPr>
        <w:fldChar w:fldCharType="end"/>
      </w:r>
      <w:r w:rsidRPr="00FA26FB">
        <w:rPr>
          <w:rFonts w:ascii="Book Antiqua" w:hAnsi="Book Antiqua" w:cs="Times New Roman"/>
          <w:bCs/>
          <w:sz w:val="24"/>
          <w:szCs w:val="24"/>
        </w:rPr>
        <w:t xml:space="preserve">. Therefore, BAFLD patients may have increased </w:t>
      </w:r>
      <w:r w:rsidR="00B817C3" w:rsidRPr="00FA26FB">
        <w:rPr>
          <w:rFonts w:ascii="Book Antiqua" w:hAnsi="Book Antiqua" w:cs="Times New Roman"/>
          <w:bCs/>
          <w:sz w:val="24"/>
          <w:szCs w:val="24"/>
        </w:rPr>
        <w:t>cardio vascular disease (</w:t>
      </w:r>
      <w:r w:rsidRPr="00FA26FB">
        <w:rPr>
          <w:rFonts w:ascii="Book Antiqua" w:hAnsi="Book Antiqua" w:cs="Times New Roman"/>
          <w:bCs/>
          <w:sz w:val="24"/>
          <w:szCs w:val="24"/>
        </w:rPr>
        <w:t>CVD</w:t>
      </w:r>
      <w:r w:rsidR="00B817C3" w:rsidRPr="00FA26FB">
        <w:rPr>
          <w:rFonts w:ascii="Book Antiqua" w:hAnsi="Book Antiqua" w:cs="Times New Roman"/>
          <w:bCs/>
          <w:sz w:val="24"/>
          <w:szCs w:val="24"/>
        </w:rPr>
        <w:t>)</w:t>
      </w:r>
      <w:r w:rsidRPr="00FA26FB">
        <w:rPr>
          <w:rFonts w:ascii="Book Antiqua" w:hAnsi="Book Antiqua" w:cs="Times New Roman"/>
          <w:bCs/>
          <w:sz w:val="24"/>
          <w:szCs w:val="24"/>
        </w:rPr>
        <w:t xml:space="preserve"> risk and mortality compare</w:t>
      </w:r>
      <w:r w:rsidR="00BB32EE" w:rsidRPr="00FA26FB">
        <w:rPr>
          <w:rFonts w:ascii="Book Antiqua" w:hAnsi="Book Antiqua" w:cs="Times New Roman"/>
          <w:bCs/>
          <w:sz w:val="24"/>
          <w:szCs w:val="24"/>
        </w:rPr>
        <w:t>d</w:t>
      </w:r>
      <w:r w:rsidRPr="00FA26FB">
        <w:rPr>
          <w:rFonts w:ascii="Book Antiqua" w:hAnsi="Book Antiqua" w:cs="Times New Roman"/>
          <w:bCs/>
          <w:sz w:val="24"/>
          <w:szCs w:val="24"/>
        </w:rPr>
        <w:t xml:space="preserve"> to patients with NAFLD. However, these findings should be interpreted with caution given the fact that </w:t>
      </w:r>
      <w:proofErr w:type="spellStart"/>
      <w:r w:rsidRPr="00FA26FB">
        <w:rPr>
          <w:rFonts w:ascii="Book Antiqua" w:hAnsi="Book Antiqua" w:cs="Times New Roman"/>
          <w:bCs/>
          <w:sz w:val="24"/>
          <w:szCs w:val="24"/>
        </w:rPr>
        <w:t>MetS</w:t>
      </w:r>
      <w:proofErr w:type="spellEnd"/>
      <w:r w:rsidRPr="00FA26FB">
        <w:rPr>
          <w:rFonts w:ascii="Book Antiqua" w:hAnsi="Book Antiqua" w:cs="Times New Roman"/>
          <w:bCs/>
          <w:sz w:val="24"/>
          <w:szCs w:val="24"/>
        </w:rPr>
        <w:t xml:space="preserve"> and</w:t>
      </w:r>
      <w:r w:rsidR="00BB32EE" w:rsidRPr="00FA26FB">
        <w:rPr>
          <w:rFonts w:ascii="Book Antiqua" w:hAnsi="Book Antiqua" w:cs="Times New Roman"/>
          <w:bCs/>
          <w:sz w:val="24"/>
          <w:szCs w:val="24"/>
        </w:rPr>
        <w:t xml:space="preserve"> </w:t>
      </w:r>
      <w:r w:rsidRPr="00FA26FB">
        <w:rPr>
          <w:rFonts w:ascii="Book Antiqua" w:hAnsi="Book Antiqua" w:cs="Times New Roman"/>
          <w:bCs/>
          <w:sz w:val="24"/>
          <w:szCs w:val="24"/>
        </w:rPr>
        <w:t xml:space="preserve">DM2 were included in the definition of BAFLD. </w:t>
      </w:r>
    </w:p>
    <w:p w14:paraId="51F7D663" w14:textId="3FA92625" w:rsidR="008E380A" w:rsidRPr="00FA26FB" w:rsidRDefault="008E380A" w:rsidP="002C1F15">
      <w:pPr>
        <w:autoSpaceDE w:val="0"/>
        <w:autoSpaceDN w:val="0"/>
        <w:adjustRightInd w:val="0"/>
        <w:spacing w:after="0" w:line="360" w:lineRule="auto"/>
        <w:ind w:firstLine="720"/>
        <w:jc w:val="both"/>
        <w:rPr>
          <w:rFonts w:ascii="Book Antiqua" w:hAnsi="Book Antiqua" w:cs="Times New Roman"/>
          <w:bCs/>
          <w:color w:val="231F20"/>
          <w:sz w:val="24"/>
          <w:szCs w:val="24"/>
        </w:rPr>
      </w:pPr>
      <w:r w:rsidRPr="00FA26FB">
        <w:rPr>
          <w:rFonts w:ascii="Book Antiqua" w:hAnsi="Book Antiqua" w:cs="Times New Roman"/>
          <w:bCs/>
          <w:sz w:val="24"/>
          <w:szCs w:val="24"/>
        </w:rPr>
        <w:t xml:space="preserve">Our study has several limitations. </w:t>
      </w:r>
      <w:r w:rsidR="00BB32EE" w:rsidRPr="00FA26FB">
        <w:rPr>
          <w:rFonts w:ascii="Book Antiqua" w:hAnsi="Book Antiqua" w:cs="Times New Roman"/>
          <w:bCs/>
          <w:sz w:val="24"/>
          <w:szCs w:val="24"/>
        </w:rPr>
        <w:t>It was a cross-sectional study using a large national database; thus, chronological relationships could not be established.</w:t>
      </w:r>
      <w:r w:rsidRPr="00FA26FB">
        <w:rPr>
          <w:rFonts w:ascii="Book Antiqua" w:hAnsi="Book Antiqua" w:cs="Times New Roman"/>
          <w:bCs/>
          <w:sz w:val="24"/>
          <w:szCs w:val="24"/>
        </w:rPr>
        <w:t xml:space="preserve"> The use of elevated ALT and BMI to define patients with NAFLD is imperfect and may have included patients who do not actually have NAFLD and excluded lean subjects that have non-obese NAFLD. However, given the large population-based study</w:t>
      </w:r>
      <w:r w:rsidR="00BB32EE" w:rsidRPr="00FA26FB">
        <w:rPr>
          <w:rFonts w:ascii="Book Antiqua" w:hAnsi="Book Antiqua" w:cs="Times New Roman"/>
          <w:bCs/>
          <w:sz w:val="24"/>
          <w:szCs w:val="24"/>
        </w:rPr>
        <w:t xml:space="preserve"> sample</w:t>
      </w:r>
      <w:r w:rsidRPr="00FA26FB">
        <w:rPr>
          <w:rFonts w:ascii="Book Antiqua" w:hAnsi="Book Antiqua" w:cs="Times New Roman"/>
          <w:bCs/>
          <w:sz w:val="24"/>
          <w:szCs w:val="24"/>
        </w:rPr>
        <w:t>, we consider</w:t>
      </w:r>
      <w:r w:rsidR="00BB32EE" w:rsidRPr="00FA26FB">
        <w:rPr>
          <w:rFonts w:ascii="Book Antiqua" w:hAnsi="Book Antiqua" w:cs="Times New Roman"/>
          <w:bCs/>
          <w:sz w:val="24"/>
          <w:szCs w:val="24"/>
        </w:rPr>
        <w:t>ed</w:t>
      </w:r>
      <w:r w:rsidRPr="00FA26FB">
        <w:rPr>
          <w:rFonts w:ascii="Book Antiqua" w:hAnsi="Book Antiqua" w:cs="Times New Roman"/>
          <w:bCs/>
          <w:sz w:val="24"/>
          <w:szCs w:val="24"/>
        </w:rPr>
        <w:t xml:space="preserve"> this definition </w:t>
      </w:r>
      <w:r w:rsidR="00BB32EE" w:rsidRPr="00FA26FB">
        <w:rPr>
          <w:rFonts w:ascii="Book Antiqua" w:hAnsi="Book Antiqua" w:cs="Times New Roman"/>
          <w:bCs/>
          <w:sz w:val="24"/>
          <w:szCs w:val="24"/>
        </w:rPr>
        <w:t xml:space="preserve">to be </w:t>
      </w:r>
      <w:r w:rsidRPr="00FA26FB">
        <w:rPr>
          <w:rFonts w:ascii="Book Antiqua" w:hAnsi="Book Antiqua" w:cs="Times New Roman"/>
          <w:bCs/>
          <w:sz w:val="24"/>
          <w:szCs w:val="24"/>
        </w:rPr>
        <w:t xml:space="preserve">the most suitable for this study. </w:t>
      </w:r>
      <w:r w:rsidR="00BA7CA4" w:rsidRPr="00FA26FB">
        <w:rPr>
          <w:rFonts w:ascii="Book Antiqua" w:hAnsi="Book Antiqua" w:cs="Times New Roman"/>
          <w:bCs/>
          <w:sz w:val="24"/>
          <w:szCs w:val="24"/>
        </w:rPr>
        <w:t xml:space="preserve">We used </w:t>
      </w:r>
      <w:r w:rsidR="00BB32EE" w:rsidRPr="00FA26FB">
        <w:rPr>
          <w:rFonts w:ascii="Book Antiqua" w:hAnsi="Book Antiqua" w:cs="Times New Roman"/>
          <w:bCs/>
          <w:sz w:val="24"/>
          <w:szCs w:val="24"/>
        </w:rPr>
        <w:t xml:space="preserve">the </w:t>
      </w:r>
      <w:r w:rsidR="00BA7CA4" w:rsidRPr="00FA26FB">
        <w:rPr>
          <w:rFonts w:ascii="Book Antiqua" w:hAnsi="Book Antiqua" w:cs="Times New Roman"/>
          <w:bCs/>
          <w:sz w:val="24"/>
          <w:szCs w:val="24"/>
        </w:rPr>
        <w:t>non-</w:t>
      </w:r>
      <w:r w:rsidR="00BA7CA4" w:rsidRPr="00FA26FB">
        <w:rPr>
          <w:rFonts w:ascii="Book Antiqua" w:hAnsi="Book Antiqua" w:cs="Times New Roman"/>
          <w:bCs/>
          <w:sz w:val="24"/>
          <w:szCs w:val="24"/>
        </w:rPr>
        <w:lastRenderedPageBreak/>
        <w:t xml:space="preserve">invasive fibrosis score to predict AF </w:t>
      </w:r>
      <w:r w:rsidR="00BB32EE" w:rsidRPr="00FA26FB">
        <w:rPr>
          <w:rFonts w:ascii="Book Antiqua" w:hAnsi="Book Antiqua" w:cs="Times New Roman"/>
          <w:bCs/>
          <w:sz w:val="24"/>
          <w:szCs w:val="24"/>
        </w:rPr>
        <w:t>which has been previously used in NHANES studies, as it was impossible to perform liver biopsies or even fibro-scans in such a large cohort</w:t>
      </w:r>
      <w:r w:rsidR="00840F50" w:rsidRPr="00FA26FB">
        <w:rPr>
          <w:rStyle w:val="ad"/>
          <w:rFonts w:ascii="Book Antiqua" w:hAnsi="Book Antiqua" w:cs="Times New Roman"/>
          <w:bCs/>
          <w:sz w:val="24"/>
          <w:szCs w:val="24"/>
        </w:rPr>
        <w:fldChar w:fldCharType="begin" w:fldLock="1"/>
      </w:r>
      <w:r w:rsidR="00840F50" w:rsidRPr="00FA26FB">
        <w:rPr>
          <w:rFonts w:ascii="Book Antiqua" w:hAnsi="Book Antiqua" w:cs="Times New Roman"/>
          <w:bCs/>
          <w:sz w:val="24"/>
          <w:szCs w:val="24"/>
          <w:vertAlign w:val="superscript"/>
        </w:rPr>
        <w:instrText>ADDIN CSL_CITATION {"citationItems":[{"id":"ITEM-1","itemData":{"DOI":"10.1158/1055-9965.EPI-19-0145","ISSN":"1055-9965","PMID":"31160348","abstract":"Background To evaluate the association of liver fibrosis scores with PSA level among US adult men overall and by race/ethnicity. Methods Data from the National Health and Nutrition Examination Survey (NHANES), 2001-2010, were used. Males aged 40 years without a prostate cancer diagnosis and who had serum PSA, liver enzymes, albumin, and platelet counts measured as part of NHANES protocol were included. Liver fibrosis was measured using three scores: AST to platelet ratio index (APRI), fibrosis 4 index (FIB-4) and NAFLD fibrosis score (NFS). We assessed overall and race/ethnicity-stratified geometric mean PSA by fibrosis score using predictive margins by linear regression, and the association of abnormal fibrosis scores (APRI&gt;1, FIB-4&gt;2.67, NFS&gt;0.676) and elevated PSA (&gt;4 ng/mL) by logistic regression. Results 6,705 men were included. Abnormal liver fibrosis scores were present in 2.1% (APRI), 3.6% (FIB-4), and 5.6% (NFS). Men with higher fibrosis scores had lower geometric mean PSA (all p-trend&lt;0.02). Men with abnormal APRI had a lower odds of PSA&gt;4ng/mL (adjusted odds ratio [aOR]=0.33, 95% confidence interval [CI] 0.11-0.96). Compared with men with 0 abnormal scores, those with 2 or 3 abnormal fibrosis scores had a lower odds of PSA&gt;4ng/mL (aOR=0.55, 95% CI 0.33-0.91). The patterns were similar by race/ethnicity. Conclusions Men of all race/ethnicities with higher liver fibrosis scores had lower serum PSA and men with advanced fibrosis scores had a lower odds of an elevated PSA. Impact These findings support further research to inform the likelihood of delay in prostate cancer detection in men with abnormal liver function.","author":[{"dropping-particle":"","family":"Wang","given":"Anqi","non-dropping-particle":"","parse-names":false,"suffix":""},{"dropping-particle":"","family":"Lazo","given":"Mariana","non-dropping-particle":"","parse-names":false,"suffix":""},{"dropping-particle":"","family":"Carter","given":"H. Ballentine","non-dropping-particle":"","parse-names":false,"suffix":""},{"dropping-particle":"","family":"Groopman","given":"John D","non-dropping-particle":"","parse-names":false,"suffix":""},{"dropping-particle":"","family":"Nelson","given":"William G.","non-dropping-particle":"","parse-names":false,"suffix":""},{"dropping-particle":"","family":"Platz","given":"Elizabeth A.","non-dropping-particle":"","parse-names":false,"suffix":""}],"container-title":"Cancer Epidemiology Biomarkers &amp; Prevention","id":"ITEM-1","issued":{"date-parts":[["2019","6","3"]]},"page":"cebp.0145.2019","title":"Association Between Liver Fibrosis and Serum Prostate Specific Antigen (PSA) Among US Men: National Health and Nutrition Examination Survey (NHANES) 2001-2010","type":"article-journal"},"uris":["http://www.mendeley.com/documents/?uuid=8d076cc9-84cd-3911-a66b-abf1cdc0e144"]}],"mendeley":{"formattedCitation":"(34)","plainTextFormattedCitation":"(34)","previouslyFormattedCitation":"&lt;sup&gt;34&lt;/sup&gt;"},"properties":{"noteIndex":0},"schema":"https://github.com/citation-style-language/schema/raw/master/csl-citation.json"}</w:instrText>
      </w:r>
      <w:r w:rsidR="00840F50" w:rsidRPr="00FA26FB">
        <w:rPr>
          <w:rStyle w:val="ad"/>
          <w:rFonts w:ascii="Book Antiqua" w:hAnsi="Book Antiqua" w:cs="Times New Roman"/>
          <w:bCs/>
          <w:sz w:val="24"/>
          <w:szCs w:val="24"/>
        </w:rPr>
        <w:fldChar w:fldCharType="separate"/>
      </w:r>
      <w:r w:rsidR="00840F50">
        <w:rPr>
          <w:rFonts w:ascii="Book Antiqua" w:hAnsi="Book Antiqua" w:cs="Times New Roman"/>
          <w:bCs/>
          <w:noProof/>
          <w:sz w:val="24"/>
          <w:szCs w:val="24"/>
          <w:vertAlign w:val="superscript"/>
        </w:rPr>
        <w:t>[</w:t>
      </w:r>
      <w:r w:rsidR="00840F50" w:rsidRPr="00FA26FB">
        <w:rPr>
          <w:rFonts w:ascii="Book Antiqua" w:hAnsi="Book Antiqua" w:cs="Times New Roman"/>
          <w:bCs/>
          <w:noProof/>
          <w:sz w:val="24"/>
          <w:szCs w:val="24"/>
          <w:vertAlign w:val="superscript"/>
        </w:rPr>
        <w:t>34</w:t>
      </w:r>
      <w:r w:rsidR="00840F50">
        <w:rPr>
          <w:rFonts w:ascii="Book Antiqua" w:hAnsi="Book Antiqua" w:cs="Times New Roman"/>
          <w:bCs/>
          <w:noProof/>
          <w:sz w:val="24"/>
          <w:szCs w:val="24"/>
          <w:vertAlign w:val="superscript"/>
        </w:rPr>
        <w:t>]</w:t>
      </w:r>
      <w:r w:rsidR="00840F50" w:rsidRPr="00FA26FB">
        <w:rPr>
          <w:rStyle w:val="ad"/>
          <w:rFonts w:ascii="Book Antiqua" w:hAnsi="Book Antiqua" w:cs="Times New Roman"/>
          <w:bCs/>
          <w:sz w:val="24"/>
          <w:szCs w:val="24"/>
        </w:rPr>
        <w:fldChar w:fldCharType="end"/>
      </w:r>
      <w:r w:rsidR="00BB32EE" w:rsidRPr="00FA26FB">
        <w:rPr>
          <w:rFonts w:ascii="Book Antiqua" w:hAnsi="Book Antiqua" w:cs="Times New Roman"/>
          <w:bCs/>
          <w:sz w:val="24"/>
          <w:szCs w:val="24"/>
        </w:rPr>
        <w:t>;</w:t>
      </w:r>
      <w:r w:rsidR="00BA7CA4" w:rsidRPr="00FA26FB">
        <w:rPr>
          <w:rFonts w:ascii="Book Antiqua" w:hAnsi="Book Antiqua" w:cs="Times New Roman"/>
          <w:bCs/>
          <w:sz w:val="24"/>
          <w:szCs w:val="24"/>
        </w:rPr>
        <w:t xml:space="preserve"> however</w:t>
      </w:r>
      <w:r w:rsidR="00BB32EE" w:rsidRPr="00FA26FB">
        <w:rPr>
          <w:rFonts w:ascii="Book Antiqua" w:hAnsi="Book Antiqua" w:cs="Times New Roman"/>
          <w:bCs/>
          <w:sz w:val="24"/>
          <w:szCs w:val="24"/>
        </w:rPr>
        <w:t>,</w:t>
      </w:r>
      <w:r w:rsidR="00BA7CA4" w:rsidRPr="00FA26FB">
        <w:rPr>
          <w:rFonts w:ascii="Book Antiqua" w:hAnsi="Book Antiqua" w:cs="Times New Roman"/>
          <w:bCs/>
          <w:sz w:val="24"/>
          <w:szCs w:val="24"/>
        </w:rPr>
        <w:t xml:space="preserve"> </w:t>
      </w:r>
      <w:r w:rsidR="00BB32EE" w:rsidRPr="00FA26FB">
        <w:rPr>
          <w:rFonts w:ascii="Book Antiqua" w:hAnsi="Book Antiqua" w:cs="Times New Roman"/>
          <w:bCs/>
          <w:sz w:val="24"/>
          <w:szCs w:val="24"/>
        </w:rPr>
        <w:t xml:space="preserve">it </w:t>
      </w:r>
      <w:r w:rsidR="00BA7CA4" w:rsidRPr="00FA26FB">
        <w:rPr>
          <w:rFonts w:ascii="Book Antiqua" w:hAnsi="Book Antiqua" w:cs="Times New Roman"/>
          <w:bCs/>
          <w:sz w:val="24"/>
          <w:szCs w:val="24"/>
        </w:rPr>
        <w:t>is not the gold-standard.</w:t>
      </w:r>
      <w:r w:rsidRPr="00FA26FB">
        <w:rPr>
          <w:rFonts w:ascii="Book Antiqua" w:hAnsi="Book Antiqua" w:cs="Times New Roman"/>
          <w:bCs/>
          <w:sz w:val="24"/>
          <w:szCs w:val="24"/>
        </w:rPr>
        <w:t xml:space="preserve"> We did not use </w:t>
      </w:r>
      <w:r w:rsidR="00BB32EE" w:rsidRPr="00FA26FB">
        <w:rPr>
          <w:rFonts w:ascii="Book Antiqua" w:hAnsi="Book Antiqua" w:cs="Times New Roman"/>
          <w:bCs/>
          <w:sz w:val="24"/>
          <w:szCs w:val="24"/>
        </w:rPr>
        <w:t xml:space="preserve">the </w:t>
      </w:r>
      <w:r w:rsidRPr="00FA26FB">
        <w:rPr>
          <w:rFonts w:ascii="Book Antiqua" w:hAnsi="Book Antiqua" w:cs="Times New Roman"/>
          <w:bCs/>
          <w:sz w:val="24"/>
          <w:szCs w:val="24"/>
        </w:rPr>
        <w:t xml:space="preserve">AST/ ALT ratio or </w:t>
      </w:r>
      <w:r w:rsidR="008907EC" w:rsidRPr="00FA26FB">
        <w:rPr>
          <w:rFonts w:ascii="Book Antiqua" w:hAnsi="Book Antiqua" w:cs="Times New Roman"/>
          <w:bCs/>
          <w:sz w:val="24"/>
          <w:szCs w:val="24"/>
        </w:rPr>
        <w:t xml:space="preserve">aspartate aminotransferase </w:t>
      </w:r>
      <w:r w:rsidR="00B817C3" w:rsidRPr="00FA26FB">
        <w:rPr>
          <w:rFonts w:ascii="Book Antiqua" w:hAnsi="Book Antiqua" w:cs="Times New Roman"/>
          <w:bCs/>
          <w:sz w:val="24"/>
          <w:szCs w:val="24"/>
        </w:rPr>
        <w:t>to platelet ratio index (</w:t>
      </w:r>
      <w:r w:rsidRPr="00FA26FB">
        <w:rPr>
          <w:rFonts w:ascii="Book Antiqua" w:hAnsi="Book Antiqua" w:cs="Times New Roman"/>
          <w:bCs/>
          <w:sz w:val="24"/>
          <w:szCs w:val="24"/>
        </w:rPr>
        <w:t>APRI</w:t>
      </w:r>
      <w:r w:rsidR="00B817C3" w:rsidRPr="00FA26FB">
        <w:rPr>
          <w:rFonts w:ascii="Book Antiqua" w:hAnsi="Book Antiqua" w:cs="Times New Roman"/>
          <w:bCs/>
          <w:sz w:val="24"/>
          <w:szCs w:val="24"/>
        </w:rPr>
        <w:t>)</w:t>
      </w:r>
      <w:r w:rsidRPr="00FA26FB">
        <w:rPr>
          <w:rFonts w:ascii="Book Antiqua" w:hAnsi="Book Antiqua" w:cs="Times New Roman"/>
          <w:bCs/>
          <w:sz w:val="24"/>
          <w:szCs w:val="24"/>
        </w:rPr>
        <w:t xml:space="preserve"> to diagnose AF given their heavy reliance on AST values</w:t>
      </w:r>
      <w:r w:rsidR="00BB32EE" w:rsidRPr="00FA26FB">
        <w:rPr>
          <w:rFonts w:ascii="Book Antiqua" w:hAnsi="Book Antiqua" w:cs="Times New Roman"/>
          <w:bCs/>
          <w:sz w:val="24"/>
          <w:szCs w:val="24"/>
        </w:rPr>
        <w:t>,</w:t>
      </w:r>
      <w:r w:rsidRPr="00FA26FB">
        <w:rPr>
          <w:rFonts w:ascii="Book Antiqua" w:hAnsi="Book Antiqua" w:cs="Times New Roman"/>
          <w:bCs/>
          <w:sz w:val="24"/>
          <w:szCs w:val="24"/>
        </w:rPr>
        <w:t xml:space="preserve"> </w:t>
      </w:r>
      <w:r w:rsidR="00BB32EE" w:rsidRPr="00FA26FB">
        <w:rPr>
          <w:rFonts w:ascii="Book Antiqua" w:hAnsi="Book Antiqua" w:cs="Times New Roman"/>
          <w:bCs/>
          <w:sz w:val="24"/>
          <w:szCs w:val="24"/>
        </w:rPr>
        <w:t>which</w:t>
      </w:r>
      <w:r w:rsidRPr="00FA26FB">
        <w:rPr>
          <w:rFonts w:ascii="Book Antiqua" w:hAnsi="Book Antiqua" w:cs="Times New Roman"/>
          <w:bCs/>
          <w:sz w:val="24"/>
          <w:szCs w:val="24"/>
        </w:rPr>
        <w:t xml:space="preserve"> are known to be affected by alcohol consumption.</w:t>
      </w:r>
      <w:r w:rsidR="00972A9C" w:rsidRPr="00FA26FB">
        <w:rPr>
          <w:rFonts w:ascii="Book Antiqua" w:hAnsi="Book Antiqua" w:cs="Times New Roman"/>
          <w:bCs/>
          <w:sz w:val="24"/>
          <w:szCs w:val="24"/>
        </w:rPr>
        <w:t xml:space="preserve"> </w:t>
      </w:r>
      <w:r w:rsidRPr="00FA26FB">
        <w:rPr>
          <w:rFonts w:ascii="Book Antiqua" w:hAnsi="Book Antiqua" w:cs="Times New Roman"/>
          <w:bCs/>
          <w:sz w:val="24"/>
          <w:szCs w:val="24"/>
        </w:rPr>
        <w:t>Similarly, we did not use the NAFLD fibrosis score because diabetes is one of its components</w:t>
      </w:r>
      <w:r w:rsidR="004D500F" w:rsidRPr="00FA26FB">
        <w:rPr>
          <w:rFonts w:ascii="Book Antiqua" w:hAnsi="Book Antiqua" w:cs="Times New Roman"/>
          <w:bCs/>
          <w:sz w:val="24"/>
          <w:szCs w:val="24"/>
        </w:rPr>
        <w:t xml:space="preserve"> and this</w:t>
      </w:r>
      <w:r w:rsidRPr="00FA26FB">
        <w:rPr>
          <w:rFonts w:ascii="Book Antiqua" w:hAnsi="Book Antiqua" w:cs="Times New Roman"/>
          <w:bCs/>
          <w:sz w:val="24"/>
          <w:szCs w:val="24"/>
        </w:rPr>
        <w:t xml:space="preserve"> may have biased our estimates of AF.</w:t>
      </w:r>
      <w:r w:rsidR="00972A9C" w:rsidRPr="00FA26FB">
        <w:rPr>
          <w:rFonts w:ascii="Book Antiqua" w:hAnsi="Book Antiqua" w:cs="Times New Roman"/>
          <w:bCs/>
          <w:sz w:val="24"/>
          <w:szCs w:val="24"/>
        </w:rPr>
        <w:t xml:space="preserve"> </w:t>
      </w:r>
      <w:r w:rsidR="004D500F" w:rsidRPr="00FA26FB">
        <w:rPr>
          <w:rFonts w:ascii="Book Antiqua" w:hAnsi="Book Antiqua" w:cs="Times New Roman"/>
          <w:bCs/>
          <w:sz w:val="24"/>
          <w:szCs w:val="24"/>
        </w:rPr>
        <w:t>Using a large, national, population-based sample allows for the ability to generalize our results to the U</w:t>
      </w:r>
      <w:r w:rsidR="00C06BF6">
        <w:rPr>
          <w:rFonts w:ascii="Book Antiqua" w:hAnsi="Book Antiqua" w:cs="Times New Roman"/>
          <w:bCs/>
          <w:sz w:val="24"/>
          <w:szCs w:val="24"/>
        </w:rPr>
        <w:t>nited States</w:t>
      </w:r>
      <w:r w:rsidR="004D500F" w:rsidRPr="00FA26FB">
        <w:rPr>
          <w:rFonts w:ascii="Book Antiqua" w:hAnsi="Book Antiqua" w:cs="Times New Roman"/>
          <w:bCs/>
          <w:sz w:val="24"/>
          <w:szCs w:val="24"/>
        </w:rPr>
        <w:t xml:space="preserve"> population and offsets these limitations</w:t>
      </w:r>
      <w:r w:rsidRPr="00FA26FB">
        <w:rPr>
          <w:rFonts w:ascii="Book Antiqua" w:hAnsi="Book Antiqua" w:cs="Times New Roman"/>
          <w:bCs/>
          <w:sz w:val="24"/>
          <w:szCs w:val="24"/>
        </w:rPr>
        <w:t>.</w:t>
      </w:r>
    </w:p>
    <w:p w14:paraId="6F60CD72" w14:textId="1E1C7E71" w:rsidR="00DD5F56" w:rsidRPr="00FA26FB" w:rsidRDefault="00DD5F56" w:rsidP="002C1F15">
      <w:pPr>
        <w:spacing w:after="0" w:line="360" w:lineRule="auto"/>
        <w:ind w:firstLineChars="200" w:firstLine="480"/>
        <w:jc w:val="both"/>
        <w:rPr>
          <w:rFonts w:ascii="Book Antiqua" w:hAnsi="Book Antiqua" w:cs="Times New Roman"/>
          <w:bCs/>
          <w:sz w:val="24"/>
          <w:szCs w:val="24"/>
        </w:rPr>
      </w:pPr>
      <w:bookmarkStart w:id="234" w:name="OLE_LINK1682"/>
      <w:bookmarkStart w:id="235" w:name="OLE_LINK1087"/>
      <w:bookmarkStart w:id="236" w:name="OLE_LINK1088"/>
      <w:bookmarkStart w:id="237" w:name="OLE_LINK1089"/>
      <w:bookmarkStart w:id="238" w:name="OLE_LINK1090"/>
      <w:bookmarkStart w:id="239" w:name="OLE_LINK1234"/>
      <w:bookmarkStart w:id="240" w:name="OLE_LINK1235"/>
      <w:bookmarkStart w:id="241" w:name="OLE_LINK1236"/>
      <w:bookmarkStart w:id="242" w:name="OLE_LINK1237"/>
      <w:bookmarkStart w:id="243" w:name="OLE_LINK1238"/>
      <w:bookmarkStart w:id="244" w:name="OLE_LINK1239"/>
      <w:bookmarkStart w:id="245" w:name="OLE_LINK1240"/>
      <w:bookmarkStart w:id="246" w:name="OLE_LINK1241"/>
      <w:bookmarkStart w:id="247" w:name="OLE_LINK1420"/>
      <w:bookmarkStart w:id="248" w:name="OLE_LINK1565"/>
      <w:bookmarkStart w:id="249" w:name="OLE_LINK1890"/>
      <w:r w:rsidRPr="00FA26FB">
        <w:rPr>
          <w:rFonts w:ascii="Book Antiqua" w:hAnsi="Book Antiqua" w:cs="Times New Roman"/>
          <w:bCs/>
          <w:sz w:val="24"/>
          <w:szCs w:val="24"/>
        </w:rPr>
        <w:t xml:space="preserve">In conclusion, a substantial percentage of the general American population may have BAFLD. Patients with BAFLD tend to have more advanced disease and may have a higher risk of progression to cirrhosis or end-stage liver disease. Therefore, future research should aim to identify the burden of liver disease in this population and intervene in a timely fashion. The </w:t>
      </w:r>
      <w:r w:rsidR="00056A7D" w:rsidRPr="00FA26FB">
        <w:rPr>
          <w:rFonts w:ascii="Book Antiqua" w:hAnsi="Book Antiqua" w:cs="Times New Roman"/>
          <w:bCs/>
          <w:sz w:val="24"/>
          <w:szCs w:val="24"/>
        </w:rPr>
        <w:t>risk</w:t>
      </w:r>
      <w:r w:rsidRPr="00FA26FB">
        <w:rPr>
          <w:rFonts w:ascii="Book Antiqua" w:hAnsi="Book Antiqua" w:cs="Times New Roman"/>
          <w:bCs/>
          <w:sz w:val="24"/>
          <w:szCs w:val="24"/>
        </w:rPr>
        <w:t xml:space="preserve"> of the </w:t>
      </w:r>
      <w:r w:rsidR="00056A7D" w:rsidRPr="00FA26FB">
        <w:rPr>
          <w:rFonts w:ascii="Book Antiqua" w:hAnsi="Book Antiqua" w:cs="Times New Roman"/>
          <w:bCs/>
          <w:sz w:val="24"/>
          <w:szCs w:val="24"/>
        </w:rPr>
        <w:t>combined</w:t>
      </w:r>
      <w:r w:rsidRPr="00FA26FB">
        <w:rPr>
          <w:rFonts w:ascii="Book Antiqua" w:hAnsi="Book Antiqua" w:cs="Times New Roman"/>
          <w:bCs/>
          <w:sz w:val="24"/>
          <w:szCs w:val="24"/>
        </w:rPr>
        <w:t xml:space="preserve"> effects of </w:t>
      </w:r>
      <w:proofErr w:type="spellStart"/>
      <w:r w:rsidRPr="00FA26FB">
        <w:rPr>
          <w:rFonts w:ascii="Book Antiqua" w:hAnsi="Book Antiqua" w:cs="Times New Roman"/>
          <w:bCs/>
          <w:sz w:val="24"/>
          <w:szCs w:val="24"/>
        </w:rPr>
        <w:t>MetS</w:t>
      </w:r>
      <w:proofErr w:type="spellEnd"/>
      <w:r w:rsidRPr="00FA26FB">
        <w:rPr>
          <w:rFonts w:ascii="Book Antiqua" w:hAnsi="Book Antiqua" w:cs="Times New Roman"/>
          <w:bCs/>
          <w:sz w:val="24"/>
          <w:szCs w:val="24"/>
        </w:rPr>
        <w:t xml:space="preserve"> and alcohol consumption should be </w:t>
      </w:r>
      <w:r w:rsidR="00056A7D" w:rsidRPr="00FA26FB">
        <w:rPr>
          <w:rFonts w:ascii="Book Antiqua" w:hAnsi="Book Antiqua" w:cs="Times New Roman"/>
          <w:bCs/>
          <w:sz w:val="24"/>
          <w:szCs w:val="24"/>
        </w:rPr>
        <w:t>taken seriously</w:t>
      </w:r>
      <w:r w:rsidRPr="00FA26FB">
        <w:rPr>
          <w:rFonts w:ascii="Book Antiqua" w:hAnsi="Book Antiqua" w:cs="Times New Roman"/>
          <w:bCs/>
          <w:sz w:val="24"/>
          <w:szCs w:val="24"/>
        </w:rPr>
        <w:t xml:space="preserve"> in all patients with suspected NAFLD. Importantly, screening</w:t>
      </w:r>
      <w:r w:rsidRPr="00FA26FB">
        <w:rPr>
          <w:rFonts w:ascii="Book Antiqua" w:hAnsi="Book Antiqua" w:cs="Times New Roman"/>
          <w:bCs/>
          <w:color w:val="000000"/>
          <w:sz w:val="24"/>
          <w:szCs w:val="24"/>
        </w:rPr>
        <w:t xml:space="preserve"> </w:t>
      </w:r>
      <w:r w:rsidRPr="00FA26FB">
        <w:rPr>
          <w:rFonts w:ascii="Book Antiqua" w:hAnsi="Book Antiqua" w:cs="Times New Roman"/>
          <w:bCs/>
          <w:sz w:val="24"/>
          <w:szCs w:val="24"/>
        </w:rPr>
        <w:t>for risky, often under-reported,</w:t>
      </w:r>
      <w:r w:rsidRPr="00FA26FB">
        <w:rPr>
          <w:rFonts w:ascii="Book Antiqua" w:hAnsi="Book Antiqua" w:cs="Times New Roman"/>
          <w:bCs/>
          <w:color w:val="000000"/>
          <w:sz w:val="24"/>
          <w:szCs w:val="24"/>
        </w:rPr>
        <w:t xml:space="preserve"> </w:t>
      </w:r>
      <w:r w:rsidRPr="00FA26FB">
        <w:rPr>
          <w:rFonts w:ascii="Book Antiqua" w:hAnsi="Book Antiqua" w:cs="Times New Roman"/>
          <w:bCs/>
          <w:sz w:val="24"/>
          <w:szCs w:val="24"/>
        </w:rPr>
        <w:t>alcohol consumption should be considered. Data on safe alcohol consumption in NAFLD is conflicting and needs further assessment in future prospective studies.</w:t>
      </w:r>
    </w:p>
    <w:p w14:paraId="2EC482F5" w14:textId="1172A161" w:rsidR="00DD5F56" w:rsidRPr="00FA26FB" w:rsidRDefault="00DD5F56" w:rsidP="002C1F15">
      <w:pPr>
        <w:spacing w:after="0" w:line="360" w:lineRule="auto"/>
        <w:jc w:val="both"/>
        <w:rPr>
          <w:rFonts w:ascii="Book Antiqua" w:hAnsi="Book Antiqua" w:cs="Times New Roman"/>
          <w:bCs/>
          <w:sz w:val="24"/>
          <w:szCs w:val="24"/>
        </w:rPr>
      </w:pPr>
    </w:p>
    <w:p w14:paraId="43E0B1AB" w14:textId="75A5B24B" w:rsidR="00DD5F56" w:rsidRPr="00840F50" w:rsidRDefault="00DD5F56" w:rsidP="002C1F15">
      <w:pPr>
        <w:spacing w:after="0" w:line="360" w:lineRule="auto"/>
        <w:jc w:val="both"/>
        <w:rPr>
          <w:rFonts w:ascii="Book Antiqua" w:hAnsi="Book Antiqua" w:cstheme="majorBidi"/>
          <w:b/>
          <w:color w:val="000000" w:themeColor="text1"/>
          <w:sz w:val="24"/>
          <w:szCs w:val="24"/>
        </w:rPr>
      </w:pPr>
      <w:r w:rsidRPr="00840F50">
        <w:rPr>
          <w:rFonts w:ascii="Book Antiqua" w:hAnsi="Book Antiqua" w:cstheme="majorBidi"/>
          <w:b/>
          <w:color w:val="000000" w:themeColor="text1"/>
          <w:sz w:val="24"/>
          <w:szCs w:val="24"/>
          <w:shd w:val="clear" w:color="auto" w:fill="FFFFFF"/>
        </w:rPr>
        <w:t>ARTICLE HIGHLIGHTS</w:t>
      </w:r>
    </w:p>
    <w:p w14:paraId="1E0CBD99" w14:textId="77777777" w:rsidR="00DD5F56" w:rsidRPr="00840F50" w:rsidRDefault="00DD5F56" w:rsidP="002C1F15">
      <w:pPr>
        <w:spacing w:after="0" w:line="360" w:lineRule="auto"/>
        <w:jc w:val="both"/>
        <w:rPr>
          <w:rFonts w:ascii="Book Antiqua" w:hAnsi="Book Antiqua" w:cstheme="majorBidi"/>
          <w:b/>
          <w:i/>
          <w:color w:val="000000" w:themeColor="text1"/>
          <w:sz w:val="24"/>
          <w:szCs w:val="24"/>
        </w:rPr>
      </w:pPr>
      <w:bookmarkStart w:id="250" w:name="OLE_LINK8"/>
      <w:bookmarkStart w:id="251" w:name="OLE_LINK22"/>
      <w:r w:rsidRPr="00840F50">
        <w:rPr>
          <w:rFonts w:ascii="Book Antiqua" w:hAnsi="Book Antiqua" w:cstheme="majorBidi"/>
          <w:b/>
          <w:i/>
          <w:color w:val="000000" w:themeColor="text1"/>
          <w:sz w:val="24"/>
          <w:szCs w:val="24"/>
        </w:rPr>
        <w:t>Research background</w:t>
      </w:r>
    </w:p>
    <w:bookmarkEnd w:id="250"/>
    <w:bookmarkEnd w:id="251"/>
    <w:p w14:paraId="69D24D34" w14:textId="7CF5C67A" w:rsidR="00DD5F56" w:rsidRDefault="00DD5F56" w:rsidP="002C1F15">
      <w:pPr>
        <w:spacing w:after="0" w:line="360" w:lineRule="auto"/>
        <w:jc w:val="both"/>
        <w:rPr>
          <w:rFonts w:ascii="Book Antiqua" w:hAnsi="Book Antiqua" w:cstheme="majorBidi"/>
          <w:bCs/>
          <w:sz w:val="24"/>
          <w:szCs w:val="24"/>
        </w:rPr>
      </w:pPr>
      <w:r w:rsidRPr="00FA26FB">
        <w:rPr>
          <w:rFonts w:ascii="Book Antiqua" w:hAnsi="Book Antiqua" w:cstheme="majorBidi"/>
          <w:bCs/>
          <w:color w:val="000000" w:themeColor="text1"/>
          <w:sz w:val="24"/>
          <w:szCs w:val="24"/>
        </w:rPr>
        <w:t>Fatty liver disease caused by excess alcohol consumption is called al</w:t>
      </w:r>
      <w:r w:rsidRPr="00FA26FB">
        <w:rPr>
          <w:rFonts w:ascii="Book Antiqua" w:hAnsi="Book Antiqua" w:cstheme="majorBidi"/>
          <w:bCs/>
          <w:color w:val="000000"/>
          <w:sz w:val="24"/>
          <w:szCs w:val="24"/>
        </w:rPr>
        <w:t xml:space="preserve">coholic liver disease (ALD) whereas fatty liver disease caused by metabolic disease is called non-alcoholic fatty liver disease (NAFLD). Often, risk factors for both types of fatty liver diseases occur in the same individual, especially as the prevalence of both of these diseases is on the rise. The presence of both types of fatty liver disease in one individual may lead to the development of a new condition we call </w:t>
      </w:r>
      <w:r w:rsidR="00840F50" w:rsidRPr="00FA26FB">
        <w:rPr>
          <w:rFonts w:ascii="Book Antiqua" w:hAnsi="Book Antiqua" w:cstheme="majorBidi"/>
          <w:bCs/>
          <w:color w:val="000000"/>
          <w:sz w:val="24"/>
          <w:szCs w:val="24"/>
        </w:rPr>
        <w:t xml:space="preserve">both alcoholic and </w:t>
      </w:r>
      <w:r w:rsidR="00840F50" w:rsidRPr="00840F50">
        <w:rPr>
          <w:rFonts w:ascii="Book Antiqua" w:hAnsi="Book Antiqua" w:cstheme="majorBidi"/>
          <w:bCs/>
          <w:color w:val="000000"/>
          <w:sz w:val="24"/>
          <w:szCs w:val="24"/>
        </w:rPr>
        <w:t>NAFLD</w:t>
      </w:r>
      <w:r w:rsidRPr="00FA26FB">
        <w:rPr>
          <w:rFonts w:ascii="Book Antiqua" w:hAnsi="Book Antiqua" w:cstheme="majorBidi"/>
          <w:bCs/>
          <w:color w:val="000000"/>
          <w:sz w:val="24"/>
          <w:szCs w:val="24"/>
        </w:rPr>
        <w:t xml:space="preserve"> (BAFLD). </w:t>
      </w:r>
      <w:r w:rsidRPr="00FA26FB">
        <w:rPr>
          <w:rFonts w:ascii="Book Antiqua" w:hAnsi="Book Antiqua" w:cstheme="majorBidi"/>
          <w:bCs/>
          <w:sz w:val="24"/>
          <w:szCs w:val="24"/>
        </w:rPr>
        <w:t xml:space="preserve">We believe that patients with BAFLD are at a higher risk of advanced fibrosis and </w:t>
      </w:r>
      <w:r w:rsidRPr="00FA26FB">
        <w:rPr>
          <w:rFonts w:ascii="Book Antiqua" w:hAnsi="Book Antiqua" w:cstheme="majorBidi"/>
          <w:bCs/>
          <w:sz w:val="24"/>
          <w:szCs w:val="24"/>
        </w:rPr>
        <w:lastRenderedPageBreak/>
        <w:t>complications related to end-stage liver disease. Studying and understanding BAFLD has important public health and policy implications.</w:t>
      </w:r>
    </w:p>
    <w:p w14:paraId="7BCC3AB7" w14:textId="77777777" w:rsidR="009A1A60" w:rsidRPr="00FA26FB" w:rsidRDefault="009A1A60" w:rsidP="002C1F15">
      <w:pPr>
        <w:spacing w:after="0" w:line="360" w:lineRule="auto"/>
        <w:jc w:val="both"/>
        <w:rPr>
          <w:rFonts w:ascii="Book Antiqua" w:hAnsi="Book Antiqua" w:cstheme="majorBidi"/>
          <w:bCs/>
          <w:color w:val="FF0000"/>
          <w:sz w:val="24"/>
          <w:szCs w:val="24"/>
        </w:rPr>
      </w:pPr>
    </w:p>
    <w:p w14:paraId="43E8ADB1" w14:textId="77777777" w:rsidR="00DD5F56" w:rsidRPr="009A1A60" w:rsidRDefault="00DD5F56" w:rsidP="002C1F15">
      <w:pPr>
        <w:spacing w:after="0" w:line="360" w:lineRule="auto"/>
        <w:jc w:val="both"/>
        <w:rPr>
          <w:rFonts w:ascii="Book Antiqua" w:hAnsi="Book Antiqua" w:cstheme="majorBidi"/>
          <w:b/>
          <w:i/>
          <w:color w:val="000000" w:themeColor="text1"/>
          <w:sz w:val="24"/>
          <w:szCs w:val="24"/>
        </w:rPr>
      </w:pPr>
      <w:r w:rsidRPr="009A1A60">
        <w:rPr>
          <w:rFonts w:ascii="Book Antiqua" w:hAnsi="Book Antiqua" w:cstheme="majorBidi"/>
          <w:b/>
          <w:i/>
          <w:color w:val="000000" w:themeColor="text1"/>
          <w:sz w:val="24"/>
          <w:szCs w:val="24"/>
        </w:rPr>
        <w:t>Research motivation</w:t>
      </w:r>
    </w:p>
    <w:p w14:paraId="68922371" w14:textId="64F57D2F" w:rsidR="00DD5F56" w:rsidRDefault="00DD5F56" w:rsidP="002C1F15">
      <w:pPr>
        <w:spacing w:after="0" w:line="360" w:lineRule="auto"/>
        <w:jc w:val="both"/>
        <w:rPr>
          <w:rFonts w:ascii="Book Antiqua" w:hAnsi="Book Antiqua" w:cstheme="majorBidi"/>
          <w:bCs/>
          <w:color w:val="000000" w:themeColor="text1"/>
          <w:sz w:val="24"/>
          <w:szCs w:val="24"/>
        </w:rPr>
      </w:pPr>
      <w:r w:rsidRPr="00FA26FB">
        <w:rPr>
          <w:rFonts w:ascii="Book Antiqua" w:hAnsi="Book Antiqua" w:cstheme="majorBidi"/>
          <w:bCs/>
          <w:color w:val="000000" w:themeColor="text1"/>
          <w:sz w:val="24"/>
          <w:szCs w:val="24"/>
        </w:rPr>
        <w:t>A new fatty liver entity, we call BAFLD, occurs when both ALD and NAFLD risk factors are present in the same individual. We reported on the clinical characteristics and degree of liver fibrosis in BAFLD patients compared to NAFLD patients. As most of the risk factors that lead to BAFLD are modifiable dietary and lifestyle choices, understanding their reciprocal interaction and combined effect on the liver might lead to a better understanding of BAFLD pathogenesis, treatment, and prevention. This has important public health and policy implications.</w:t>
      </w:r>
    </w:p>
    <w:p w14:paraId="38D053E9" w14:textId="77777777" w:rsidR="009A1A60" w:rsidRPr="00FA26FB" w:rsidRDefault="009A1A60" w:rsidP="002C1F15">
      <w:pPr>
        <w:spacing w:after="0" w:line="360" w:lineRule="auto"/>
        <w:jc w:val="both"/>
        <w:rPr>
          <w:rFonts w:ascii="Book Antiqua" w:hAnsi="Book Antiqua" w:cstheme="majorBidi"/>
          <w:bCs/>
          <w:color w:val="000000" w:themeColor="text1"/>
          <w:sz w:val="24"/>
          <w:szCs w:val="24"/>
        </w:rPr>
      </w:pPr>
    </w:p>
    <w:p w14:paraId="49668309" w14:textId="77777777" w:rsidR="00DD5F56" w:rsidRPr="009A1A60" w:rsidRDefault="00DD5F56" w:rsidP="002C1F15">
      <w:pPr>
        <w:spacing w:after="0" w:line="360" w:lineRule="auto"/>
        <w:jc w:val="both"/>
        <w:rPr>
          <w:rFonts w:ascii="Book Antiqua" w:hAnsi="Book Antiqua" w:cstheme="majorBidi"/>
          <w:b/>
          <w:i/>
          <w:color w:val="000000" w:themeColor="text1"/>
          <w:sz w:val="24"/>
          <w:szCs w:val="24"/>
        </w:rPr>
      </w:pPr>
      <w:r w:rsidRPr="009A1A60">
        <w:rPr>
          <w:rFonts w:ascii="Book Antiqua" w:hAnsi="Book Antiqua" w:cstheme="majorBidi"/>
          <w:b/>
          <w:i/>
          <w:color w:val="000000" w:themeColor="text1"/>
          <w:sz w:val="24"/>
          <w:szCs w:val="24"/>
        </w:rPr>
        <w:t xml:space="preserve">Research objectives </w:t>
      </w:r>
    </w:p>
    <w:p w14:paraId="1A63AA4D" w14:textId="2B2FD156" w:rsidR="00DD5F56" w:rsidRDefault="00DD5F56" w:rsidP="002C1F15">
      <w:pPr>
        <w:spacing w:after="0" w:line="360" w:lineRule="auto"/>
        <w:jc w:val="both"/>
        <w:rPr>
          <w:rFonts w:ascii="Book Antiqua" w:hAnsi="Book Antiqua" w:cstheme="majorBidi"/>
          <w:bCs/>
          <w:color w:val="000000" w:themeColor="text1"/>
          <w:sz w:val="24"/>
          <w:szCs w:val="24"/>
        </w:rPr>
      </w:pPr>
      <w:r w:rsidRPr="00FA26FB">
        <w:rPr>
          <w:rFonts w:ascii="Book Antiqua" w:hAnsi="Book Antiqua" w:cstheme="majorBidi"/>
          <w:bCs/>
          <w:color w:val="000000" w:themeColor="text1"/>
          <w:sz w:val="24"/>
          <w:szCs w:val="24"/>
        </w:rPr>
        <w:t>This study aimed to identify the prevalence of NAFLD and BAFLD and to assess the clinical characteristics of patients with BAFLD in comparison to those with NAFLD in a large cohort of subjects in the United States.</w:t>
      </w:r>
    </w:p>
    <w:p w14:paraId="647E92DA" w14:textId="77777777" w:rsidR="009A1A60" w:rsidRPr="00FA26FB" w:rsidRDefault="009A1A60" w:rsidP="002C1F15">
      <w:pPr>
        <w:spacing w:after="0" w:line="360" w:lineRule="auto"/>
        <w:jc w:val="both"/>
        <w:rPr>
          <w:rFonts w:ascii="Book Antiqua" w:hAnsi="Book Antiqua" w:cstheme="majorBidi"/>
          <w:bCs/>
          <w:color w:val="000000" w:themeColor="text1"/>
          <w:sz w:val="24"/>
          <w:szCs w:val="24"/>
        </w:rPr>
      </w:pPr>
    </w:p>
    <w:p w14:paraId="7C8903A4" w14:textId="77777777" w:rsidR="00DD5F56" w:rsidRPr="009A1A60" w:rsidRDefault="00DD5F56" w:rsidP="002C1F15">
      <w:pPr>
        <w:spacing w:after="0" w:line="360" w:lineRule="auto"/>
        <w:jc w:val="both"/>
        <w:rPr>
          <w:rFonts w:ascii="Book Antiqua" w:hAnsi="Book Antiqua" w:cstheme="majorBidi"/>
          <w:b/>
          <w:i/>
          <w:color w:val="000000" w:themeColor="text1"/>
          <w:sz w:val="24"/>
          <w:szCs w:val="24"/>
        </w:rPr>
      </w:pPr>
      <w:r w:rsidRPr="009A1A60">
        <w:rPr>
          <w:rFonts w:ascii="Book Antiqua" w:hAnsi="Book Antiqua" w:cstheme="majorBidi"/>
          <w:b/>
          <w:i/>
          <w:color w:val="000000" w:themeColor="text1"/>
          <w:sz w:val="24"/>
          <w:szCs w:val="24"/>
        </w:rPr>
        <w:t>Research methods</w:t>
      </w:r>
    </w:p>
    <w:p w14:paraId="74EC5BF1" w14:textId="66D4A164" w:rsidR="00DD5F56" w:rsidRDefault="00DD5F56" w:rsidP="002C1F15">
      <w:pPr>
        <w:spacing w:after="0" w:line="360" w:lineRule="auto"/>
        <w:jc w:val="both"/>
        <w:rPr>
          <w:rFonts w:ascii="Book Antiqua" w:hAnsi="Book Antiqua" w:cstheme="majorBidi"/>
          <w:bCs/>
          <w:color w:val="000000" w:themeColor="text1"/>
          <w:sz w:val="24"/>
          <w:szCs w:val="24"/>
        </w:rPr>
      </w:pPr>
      <w:r w:rsidRPr="00FA26FB">
        <w:rPr>
          <w:rFonts w:ascii="Book Antiqua" w:hAnsi="Book Antiqua" w:cstheme="majorBidi"/>
          <w:bCs/>
          <w:color w:val="000000" w:themeColor="text1"/>
          <w:sz w:val="24"/>
          <w:szCs w:val="24"/>
        </w:rPr>
        <w:t>This is a cross-sectional study</w:t>
      </w:r>
      <w:r w:rsidR="0076357E" w:rsidRPr="00FA26FB">
        <w:rPr>
          <w:rFonts w:ascii="Book Antiqua" w:hAnsi="Book Antiqua" w:cstheme="majorBidi"/>
          <w:bCs/>
          <w:color w:val="000000" w:themeColor="text1"/>
          <w:sz w:val="24"/>
          <w:szCs w:val="24"/>
        </w:rPr>
        <w:t xml:space="preserve"> that was done using </w:t>
      </w:r>
      <w:r w:rsidRPr="00FA26FB">
        <w:rPr>
          <w:rFonts w:ascii="Book Antiqua" w:hAnsi="Book Antiqua" w:cstheme="majorBidi"/>
          <w:bCs/>
          <w:color w:val="000000" w:themeColor="text1"/>
          <w:sz w:val="24"/>
          <w:szCs w:val="24"/>
        </w:rPr>
        <w:t xml:space="preserve">National Health and Nutrition Examination Survey between 2003-2014. NAFLD </w:t>
      </w:r>
      <w:r w:rsidR="0076357E" w:rsidRPr="00FA26FB">
        <w:rPr>
          <w:rFonts w:ascii="Book Antiqua" w:hAnsi="Book Antiqua" w:cstheme="majorBidi"/>
          <w:bCs/>
          <w:color w:val="000000" w:themeColor="text1"/>
          <w:sz w:val="24"/>
          <w:szCs w:val="24"/>
        </w:rPr>
        <w:t xml:space="preserve">and </w:t>
      </w:r>
      <w:r w:rsidRPr="00FA26FB">
        <w:rPr>
          <w:rFonts w:ascii="Book Antiqua" w:hAnsi="Book Antiqua" w:cstheme="majorBidi"/>
          <w:bCs/>
          <w:color w:val="000000" w:themeColor="text1"/>
          <w:sz w:val="24"/>
          <w:szCs w:val="24"/>
        </w:rPr>
        <w:t xml:space="preserve">BAFLD patients </w:t>
      </w:r>
      <w:r w:rsidR="0076357E" w:rsidRPr="00FA26FB">
        <w:rPr>
          <w:rFonts w:ascii="Book Antiqua" w:hAnsi="Book Antiqua" w:cstheme="majorBidi"/>
          <w:bCs/>
          <w:color w:val="000000" w:themeColor="text1"/>
          <w:sz w:val="24"/>
          <w:szCs w:val="24"/>
        </w:rPr>
        <w:t>were identified</w:t>
      </w:r>
      <w:r w:rsidRPr="00FA26FB">
        <w:rPr>
          <w:rFonts w:ascii="Book Antiqua" w:hAnsi="Book Antiqua" w:cstheme="majorBidi"/>
          <w:bCs/>
          <w:color w:val="000000" w:themeColor="text1"/>
          <w:sz w:val="24"/>
          <w:szCs w:val="24"/>
        </w:rPr>
        <w:t>. Univariable and multivariable analysis were performed to assess differences between NAFLD and BAFLD and to compare severity based on a validated fibrosis score (FIB4 index).</w:t>
      </w:r>
    </w:p>
    <w:p w14:paraId="06405E43" w14:textId="77777777" w:rsidR="009A1A60" w:rsidRPr="00FA26FB" w:rsidRDefault="009A1A60" w:rsidP="002C1F15">
      <w:pPr>
        <w:spacing w:after="0" w:line="360" w:lineRule="auto"/>
        <w:jc w:val="both"/>
        <w:rPr>
          <w:rFonts w:ascii="Book Antiqua" w:hAnsi="Book Antiqua" w:cstheme="majorBidi"/>
          <w:bCs/>
          <w:color w:val="000000" w:themeColor="text1"/>
          <w:sz w:val="24"/>
          <w:szCs w:val="24"/>
        </w:rPr>
      </w:pPr>
    </w:p>
    <w:p w14:paraId="2A901108" w14:textId="77777777" w:rsidR="00DD5F56" w:rsidRPr="009A1A60" w:rsidRDefault="00DD5F56" w:rsidP="002C1F15">
      <w:pPr>
        <w:spacing w:after="0" w:line="360" w:lineRule="auto"/>
        <w:jc w:val="both"/>
        <w:rPr>
          <w:rFonts w:ascii="Book Antiqua" w:hAnsi="Book Antiqua" w:cstheme="majorBidi"/>
          <w:b/>
          <w:i/>
          <w:color w:val="000000" w:themeColor="text1"/>
          <w:sz w:val="24"/>
          <w:szCs w:val="24"/>
        </w:rPr>
      </w:pPr>
      <w:r w:rsidRPr="009A1A60">
        <w:rPr>
          <w:rFonts w:ascii="Book Antiqua" w:hAnsi="Book Antiqua" w:cstheme="majorBidi"/>
          <w:b/>
          <w:i/>
          <w:color w:val="000000" w:themeColor="text1"/>
          <w:sz w:val="24"/>
          <w:szCs w:val="24"/>
        </w:rPr>
        <w:t>Research results</w:t>
      </w:r>
    </w:p>
    <w:p w14:paraId="6702623C" w14:textId="0DFFE159" w:rsidR="00DD5F56" w:rsidRDefault="00DD5F56" w:rsidP="002C1F15">
      <w:pPr>
        <w:spacing w:after="0" w:line="360" w:lineRule="auto"/>
        <w:jc w:val="both"/>
        <w:rPr>
          <w:rFonts w:ascii="Book Antiqua" w:hAnsi="Book Antiqua" w:cstheme="majorBidi"/>
          <w:bCs/>
          <w:color w:val="000000" w:themeColor="text1"/>
          <w:sz w:val="24"/>
          <w:szCs w:val="24"/>
        </w:rPr>
      </w:pPr>
      <w:r w:rsidRPr="00FA26FB">
        <w:rPr>
          <w:rFonts w:ascii="Book Antiqua" w:hAnsi="Book Antiqua" w:cstheme="majorBidi"/>
          <w:bCs/>
          <w:color w:val="000000" w:themeColor="text1"/>
          <w:sz w:val="24"/>
          <w:szCs w:val="24"/>
        </w:rPr>
        <w:t>The prevalence of NAFLD was at 25.9% and that of BAFLD was 0.84% which corresponds to an estimated 1.24 million Americans affected by BAFLD.</w:t>
      </w:r>
      <w:r w:rsidR="00972A9C" w:rsidRPr="00FA26FB">
        <w:rPr>
          <w:rFonts w:ascii="Book Antiqua" w:hAnsi="Book Antiqua" w:cstheme="majorBidi"/>
          <w:bCs/>
          <w:color w:val="000000" w:themeColor="text1"/>
          <w:sz w:val="24"/>
          <w:szCs w:val="24"/>
        </w:rPr>
        <w:t xml:space="preserve"> </w:t>
      </w:r>
      <w:r w:rsidRPr="00FA26FB">
        <w:rPr>
          <w:rFonts w:ascii="Book Antiqua" w:hAnsi="Book Antiqua" w:cstheme="majorBidi"/>
          <w:bCs/>
          <w:color w:val="000000" w:themeColor="text1"/>
          <w:sz w:val="24"/>
          <w:szCs w:val="24"/>
        </w:rPr>
        <w:t xml:space="preserve">Compared to NAFLD, patients with BAFLD were more likely to be male, smokers, have higher ALT, AST, triglycerides, and lower platelets; </w:t>
      </w:r>
      <w:r w:rsidRPr="009A1A60">
        <w:rPr>
          <w:rFonts w:ascii="Book Antiqua" w:hAnsi="Book Antiqua" w:cstheme="majorBidi"/>
          <w:bCs/>
          <w:i/>
          <w:iCs/>
          <w:caps/>
          <w:color w:val="000000" w:themeColor="text1"/>
          <w:sz w:val="24"/>
          <w:szCs w:val="24"/>
        </w:rPr>
        <w:t>p</w:t>
      </w:r>
      <w:r w:rsidRPr="00FA26FB">
        <w:rPr>
          <w:rFonts w:ascii="Book Antiqua" w:hAnsi="Book Antiqua" w:cstheme="majorBidi"/>
          <w:bCs/>
          <w:color w:val="000000" w:themeColor="text1"/>
          <w:sz w:val="24"/>
          <w:szCs w:val="24"/>
        </w:rPr>
        <w:t xml:space="preserve"> &lt; 0.01 for all. More importantly, after </w:t>
      </w:r>
      <w:r w:rsidRPr="00FA26FB">
        <w:rPr>
          <w:rFonts w:ascii="Book Antiqua" w:hAnsi="Book Antiqua" w:cstheme="majorBidi"/>
          <w:bCs/>
          <w:color w:val="000000" w:themeColor="text1"/>
          <w:sz w:val="24"/>
          <w:szCs w:val="24"/>
        </w:rPr>
        <w:lastRenderedPageBreak/>
        <w:t xml:space="preserve">adjusting for </w:t>
      </w:r>
      <w:proofErr w:type="spellStart"/>
      <w:r w:rsidRPr="00FA26FB">
        <w:rPr>
          <w:rFonts w:ascii="Book Antiqua" w:hAnsi="Book Antiqua" w:cstheme="majorBidi"/>
          <w:bCs/>
          <w:color w:val="000000" w:themeColor="text1"/>
          <w:sz w:val="24"/>
          <w:szCs w:val="24"/>
        </w:rPr>
        <w:t>MetS</w:t>
      </w:r>
      <w:proofErr w:type="spellEnd"/>
      <w:r w:rsidRPr="00FA26FB">
        <w:rPr>
          <w:rFonts w:ascii="Book Antiqua" w:hAnsi="Book Antiqua" w:cstheme="majorBidi"/>
          <w:bCs/>
          <w:color w:val="000000" w:themeColor="text1"/>
          <w:sz w:val="24"/>
          <w:szCs w:val="24"/>
        </w:rPr>
        <w:t xml:space="preserve"> components, BAFLD patients were significantly</w:t>
      </w:r>
      <w:r w:rsidR="0076357E" w:rsidRPr="00FA26FB">
        <w:rPr>
          <w:rFonts w:ascii="Book Antiqua" w:hAnsi="Book Antiqua" w:cstheme="majorBidi"/>
          <w:bCs/>
          <w:color w:val="000000" w:themeColor="text1"/>
          <w:sz w:val="24"/>
          <w:szCs w:val="24"/>
        </w:rPr>
        <w:t xml:space="preserve"> </w:t>
      </w:r>
      <w:r w:rsidR="009A1A60">
        <w:rPr>
          <w:rFonts w:ascii="Book Antiqua" w:hAnsi="Book Antiqua" w:cstheme="majorBidi"/>
          <w:bCs/>
          <w:color w:val="000000" w:themeColor="text1"/>
          <w:sz w:val="24"/>
          <w:szCs w:val="24"/>
        </w:rPr>
        <w:t>about</w:t>
      </w:r>
      <w:r w:rsidR="0076357E" w:rsidRPr="00FA26FB">
        <w:rPr>
          <w:rFonts w:ascii="Book Antiqua" w:hAnsi="Book Antiqua" w:cstheme="majorBidi"/>
          <w:bCs/>
          <w:color w:val="000000" w:themeColor="text1"/>
          <w:sz w:val="24"/>
          <w:szCs w:val="24"/>
        </w:rPr>
        <w:t xml:space="preserve"> three times</w:t>
      </w:r>
      <w:r w:rsidRPr="00FA26FB">
        <w:rPr>
          <w:rFonts w:ascii="Book Antiqua" w:hAnsi="Book Antiqua" w:cstheme="majorBidi"/>
          <w:bCs/>
          <w:color w:val="000000" w:themeColor="text1"/>
          <w:sz w:val="24"/>
          <w:szCs w:val="24"/>
        </w:rPr>
        <w:t xml:space="preserve"> more likely to have advanced fibrosis based on FIB4 index &gt; 2.67 </w:t>
      </w:r>
      <w:r w:rsidR="0076357E" w:rsidRPr="009A1A60">
        <w:rPr>
          <w:rFonts w:ascii="Book Antiqua" w:hAnsi="Book Antiqua" w:cstheme="majorBidi"/>
          <w:bCs/>
          <w:i/>
          <w:iCs/>
          <w:caps/>
          <w:color w:val="000000" w:themeColor="text1"/>
          <w:sz w:val="24"/>
          <w:szCs w:val="24"/>
        </w:rPr>
        <w:t>p</w:t>
      </w:r>
      <w:r w:rsidRPr="00FA26FB">
        <w:rPr>
          <w:rFonts w:ascii="Book Antiqua" w:hAnsi="Book Antiqua" w:cstheme="majorBidi"/>
          <w:bCs/>
          <w:color w:val="000000" w:themeColor="text1"/>
          <w:sz w:val="24"/>
          <w:szCs w:val="24"/>
        </w:rPr>
        <w:t>= 0.004].</w:t>
      </w:r>
    </w:p>
    <w:p w14:paraId="6086D074" w14:textId="77777777" w:rsidR="009A1A60" w:rsidRPr="00FA26FB" w:rsidRDefault="009A1A60" w:rsidP="002C1F15">
      <w:pPr>
        <w:spacing w:after="0" w:line="360" w:lineRule="auto"/>
        <w:jc w:val="both"/>
        <w:rPr>
          <w:rFonts w:ascii="Book Antiqua" w:hAnsi="Book Antiqua" w:cstheme="majorBidi"/>
          <w:bCs/>
          <w:color w:val="000000" w:themeColor="text1"/>
          <w:sz w:val="24"/>
          <w:szCs w:val="24"/>
        </w:rPr>
      </w:pPr>
    </w:p>
    <w:p w14:paraId="617F8903" w14:textId="77777777" w:rsidR="00DD5F56" w:rsidRPr="009A1A60" w:rsidRDefault="00DD5F56" w:rsidP="002C1F15">
      <w:pPr>
        <w:spacing w:after="0" w:line="360" w:lineRule="auto"/>
        <w:jc w:val="both"/>
        <w:rPr>
          <w:rFonts w:ascii="Book Antiqua" w:hAnsi="Book Antiqua" w:cstheme="majorBidi"/>
          <w:b/>
          <w:i/>
          <w:color w:val="000000" w:themeColor="text1"/>
          <w:sz w:val="24"/>
          <w:szCs w:val="24"/>
          <w:shd w:val="clear" w:color="auto" w:fill="FFFFFF"/>
        </w:rPr>
      </w:pPr>
      <w:r w:rsidRPr="009A1A60">
        <w:rPr>
          <w:rFonts w:ascii="Book Antiqua" w:hAnsi="Book Antiqua" w:cstheme="majorBidi"/>
          <w:b/>
          <w:i/>
          <w:color w:val="000000" w:themeColor="text1"/>
          <w:sz w:val="24"/>
          <w:szCs w:val="24"/>
        </w:rPr>
        <w:t>Research conclusions</w:t>
      </w:r>
    </w:p>
    <w:p w14:paraId="15DF31AD" w14:textId="77777777" w:rsidR="009A1A60" w:rsidRDefault="00DD5F56" w:rsidP="002C1F15">
      <w:pPr>
        <w:spacing w:after="0" w:line="360" w:lineRule="auto"/>
        <w:jc w:val="both"/>
        <w:rPr>
          <w:rFonts w:ascii="Book Antiqua" w:hAnsi="Book Antiqua" w:cstheme="majorBidi"/>
          <w:bCs/>
          <w:color w:val="000000" w:themeColor="text1"/>
          <w:sz w:val="24"/>
          <w:szCs w:val="24"/>
        </w:rPr>
      </w:pPr>
      <w:r w:rsidRPr="00FA26FB">
        <w:rPr>
          <w:rFonts w:ascii="Book Antiqua" w:hAnsi="Book Antiqua" w:cstheme="majorBidi"/>
          <w:bCs/>
          <w:color w:val="000000" w:themeColor="text1"/>
          <w:sz w:val="24"/>
          <w:szCs w:val="24"/>
        </w:rPr>
        <w:t>In conclusion, a substantial percentage of the general American population may have BAFLD.</w:t>
      </w:r>
      <w:r w:rsidR="00972A9C" w:rsidRPr="00FA26FB">
        <w:rPr>
          <w:rFonts w:ascii="Book Antiqua" w:hAnsi="Book Antiqua" w:cstheme="majorBidi"/>
          <w:bCs/>
          <w:color w:val="000000" w:themeColor="text1"/>
          <w:sz w:val="24"/>
          <w:szCs w:val="24"/>
        </w:rPr>
        <w:t xml:space="preserve"> </w:t>
      </w:r>
      <w:r w:rsidRPr="00FA26FB">
        <w:rPr>
          <w:rFonts w:ascii="Book Antiqua" w:hAnsi="Book Antiqua" w:cstheme="majorBidi"/>
          <w:bCs/>
          <w:color w:val="000000" w:themeColor="text1"/>
          <w:sz w:val="24"/>
          <w:szCs w:val="24"/>
        </w:rPr>
        <w:t xml:space="preserve">Patients with BAFLD tend to have more advanced disease and may have a higher risk of progression to cirrhosis and end-stage liver disease. Therefore, special attention should be paid to this population to identify the burden of liver disease and intervene in a timely fashion. </w:t>
      </w:r>
    </w:p>
    <w:p w14:paraId="39E0D192" w14:textId="77777777" w:rsidR="009A1A60" w:rsidRDefault="009A1A60" w:rsidP="002C1F15">
      <w:pPr>
        <w:spacing w:after="0" w:line="360" w:lineRule="auto"/>
        <w:jc w:val="both"/>
        <w:rPr>
          <w:rFonts w:ascii="Book Antiqua" w:hAnsi="Book Antiqua" w:cstheme="majorBidi"/>
          <w:bCs/>
          <w:color w:val="000000" w:themeColor="text1"/>
          <w:sz w:val="24"/>
          <w:szCs w:val="24"/>
        </w:rPr>
      </w:pPr>
    </w:p>
    <w:p w14:paraId="779E26E7" w14:textId="44C1AA3D" w:rsidR="009A1A60" w:rsidRPr="009A1A60" w:rsidRDefault="009A1A60" w:rsidP="002C1F15">
      <w:pPr>
        <w:spacing w:after="0" w:line="360" w:lineRule="auto"/>
        <w:jc w:val="both"/>
        <w:rPr>
          <w:rFonts w:ascii="Book Antiqua" w:hAnsi="Book Antiqua" w:cstheme="majorBidi"/>
          <w:b/>
          <w:i/>
          <w:iCs/>
          <w:color w:val="000000" w:themeColor="text1"/>
          <w:sz w:val="24"/>
          <w:szCs w:val="24"/>
        </w:rPr>
      </w:pPr>
      <w:r w:rsidRPr="009A1A60">
        <w:rPr>
          <w:rFonts w:ascii="Book Antiqua" w:hAnsi="Book Antiqua" w:cstheme="majorBidi"/>
          <w:b/>
          <w:i/>
          <w:iCs/>
          <w:color w:val="000000" w:themeColor="text1"/>
          <w:sz w:val="24"/>
          <w:szCs w:val="24"/>
        </w:rPr>
        <w:t>Research perspectives</w:t>
      </w:r>
    </w:p>
    <w:p w14:paraId="7D392AFB" w14:textId="00D49D2B" w:rsidR="00C20907" w:rsidRPr="00FA26FB" w:rsidRDefault="00DD5F56" w:rsidP="002C1F15">
      <w:pPr>
        <w:spacing w:after="0" w:line="360" w:lineRule="auto"/>
        <w:jc w:val="both"/>
        <w:rPr>
          <w:rFonts w:ascii="Book Antiqua" w:hAnsi="Book Antiqua" w:cstheme="majorBidi"/>
          <w:bCs/>
          <w:color w:val="000000" w:themeColor="text1"/>
          <w:sz w:val="24"/>
          <w:szCs w:val="24"/>
        </w:rPr>
      </w:pPr>
      <w:r w:rsidRPr="00FA26FB">
        <w:rPr>
          <w:rFonts w:ascii="Book Antiqua" w:hAnsi="Book Antiqua" w:cstheme="majorBidi"/>
          <w:bCs/>
          <w:color w:val="000000" w:themeColor="text1"/>
          <w:sz w:val="24"/>
          <w:szCs w:val="24"/>
        </w:rPr>
        <w:t xml:space="preserve">The possibility of the combined effects of </w:t>
      </w:r>
      <w:proofErr w:type="spellStart"/>
      <w:r w:rsidRPr="00FA26FB">
        <w:rPr>
          <w:rFonts w:ascii="Book Antiqua" w:hAnsi="Book Antiqua" w:cstheme="majorBidi"/>
          <w:bCs/>
          <w:color w:val="000000" w:themeColor="text1"/>
          <w:sz w:val="24"/>
          <w:szCs w:val="24"/>
        </w:rPr>
        <w:t>MetS</w:t>
      </w:r>
      <w:proofErr w:type="spellEnd"/>
      <w:r w:rsidRPr="00FA26FB">
        <w:rPr>
          <w:rFonts w:ascii="Book Antiqua" w:hAnsi="Book Antiqua" w:cstheme="majorBidi"/>
          <w:bCs/>
          <w:color w:val="000000" w:themeColor="text1"/>
          <w:sz w:val="24"/>
          <w:szCs w:val="24"/>
        </w:rPr>
        <w:t xml:space="preserve"> and alcohol consumption should be considered in all patients with suspected NAFLD. Vitally, consideration should be given to the role of screening for identification of risky, often under-reported, alcohol consumption. Data on safe alcohol consumption in NAFLD is conflicting and needs further assessment in future prospective studies.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2A4C9684" w14:textId="238B31D5" w:rsidR="00C20907" w:rsidRPr="00FA26FB" w:rsidRDefault="00D63427" w:rsidP="002C1F15">
      <w:pPr>
        <w:spacing w:after="0" w:line="360" w:lineRule="auto"/>
        <w:jc w:val="both"/>
        <w:rPr>
          <w:rFonts w:ascii="Book Antiqua" w:hAnsi="Book Antiqua" w:cs="Times New Roman"/>
          <w:bCs/>
          <w:sz w:val="24"/>
          <w:szCs w:val="24"/>
        </w:rPr>
      </w:pPr>
      <w:r w:rsidRPr="00FA26FB">
        <w:rPr>
          <w:rFonts w:ascii="Book Antiqua" w:hAnsi="Book Antiqua" w:cs="Times New Roman"/>
          <w:bCs/>
          <w:sz w:val="24"/>
          <w:szCs w:val="24"/>
        </w:rPr>
        <w:br w:type="page"/>
      </w:r>
    </w:p>
    <w:p w14:paraId="7F4D2567" w14:textId="12B85153" w:rsidR="00E86937" w:rsidRPr="00DD4961" w:rsidRDefault="00C20907" w:rsidP="002C1F15">
      <w:pPr>
        <w:spacing w:after="0" w:line="360" w:lineRule="auto"/>
        <w:jc w:val="both"/>
        <w:rPr>
          <w:rFonts w:ascii="Book Antiqua" w:hAnsi="Book Antiqua" w:cs="Times New Roman"/>
          <w:b/>
          <w:caps/>
          <w:sz w:val="24"/>
          <w:szCs w:val="24"/>
        </w:rPr>
      </w:pPr>
      <w:r w:rsidRPr="00DD4961">
        <w:rPr>
          <w:rFonts w:ascii="Book Antiqua" w:hAnsi="Book Antiqua" w:cs="Times New Roman"/>
          <w:b/>
          <w:caps/>
          <w:sz w:val="24"/>
          <w:szCs w:val="24"/>
        </w:rPr>
        <w:lastRenderedPageBreak/>
        <w:t>References</w:t>
      </w:r>
    </w:p>
    <w:p w14:paraId="101AAA45"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1 </w:t>
      </w:r>
      <w:r w:rsidRPr="007932DD">
        <w:rPr>
          <w:rFonts w:ascii="Book Antiqua" w:eastAsia="DengXian" w:hAnsi="Book Antiqua" w:cs="Times New Roman"/>
          <w:b/>
          <w:kern w:val="2"/>
          <w:sz w:val="24"/>
          <w:szCs w:val="24"/>
          <w:lang w:eastAsia="zh-CN"/>
        </w:rPr>
        <w:t>Souza MR</w:t>
      </w:r>
      <w:r w:rsidRPr="007932DD">
        <w:rPr>
          <w:rFonts w:ascii="Book Antiqua" w:eastAsia="DengXian" w:hAnsi="Book Antiqua" w:cs="Times New Roman"/>
          <w:kern w:val="2"/>
          <w:sz w:val="24"/>
          <w:szCs w:val="24"/>
          <w:lang w:eastAsia="zh-CN"/>
        </w:rPr>
        <w:t xml:space="preserve">, </w:t>
      </w:r>
      <w:proofErr w:type="spellStart"/>
      <w:r w:rsidRPr="007932DD">
        <w:rPr>
          <w:rFonts w:ascii="Book Antiqua" w:eastAsia="DengXian" w:hAnsi="Book Antiqua" w:cs="Times New Roman"/>
          <w:kern w:val="2"/>
          <w:sz w:val="24"/>
          <w:szCs w:val="24"/>
          <w:lang w:eastAsia="zh-CN"/>
        </w:rPr>
        <w:t>Diniz</w:t>
      </w:r>
      <w:proofErr w:type="spellEnd"/>
      <w:r w:rsidRPr="007932DD">
        <w:rPr>
          <w:rFonts w:ascii="Book Antiqua" w:eastAsia="DengXian" w:hAnsi="Book Antiqua" w:cs="Times New Roman"/>
          <w:kern w:val="2"/>
          <w:sz w:val="24"/>
          <w:szCs w:val="24"/>
          <w:lang w:eastAsia="zh-CN"/>
        </w:rPr>
        <w:t xml:space="preserve"> </w:t>
      </w:r>
      <w:proofErr w:type="spellStart"/>
      <w:r w:rsidRPr="007932DD">
        <w:rPr>
          <w:rFonts w:ascii="Book Antiqua" w:eastAsia="DengXian" w:hAnsi="Book Antiqua" w:cs="Times New Roman"/>
          <w:kern w:val="2"/>
          <w:sz w:val="24"/>
          <w:szCs w:val="24"/>
          <w:lang w:eastAsia="zh-CN"/>
        </w:rPr>
        <w:t>Mde</w:t>
      </w:r>
      <w:proofErr w:type="spellEnd"/>
      <w:r w:rsidRPr="007932DD">
        <w:rPr>
          <w:rFonts w:ascii="Book Antiqua" w:eastAsia="DengXian" w:hAnsi="Book Antiqua" w:cs="Times New Roman"/>
          <w:kern w:val="2"/>
          <w:sz w:val="24"/>
          <w:szCs w:val="24"/>
          <w:lang w:eastAsia="zh-CN"/>
        </w:rPr>
        <w:t xml:space="preserve"> F, Medeiros-</w:t>
      </w:r>
      <w:proofErr w:type="spellStart"/>
      <w:r w:rsidRPr="007932DD">
        <w:rPr>
          <w:rFonts w:ascii="Book Antiqua" w:eastAsia="DengXian" w:hAnsi="Book Antiqua" w:cs="Times New Roman"/>
          <w:kern w:val="2"/>
          <w:sz w:val="24"/>
          <w:szCs w:val="24"/>
          <w:lang w:eastAsia="zh-CN"/>
        </w:rPr>
        <w:t>Filho</w:t>
      </w:r>
      <w:proofErr w:type="spellEnd"/>
      <w:r w:rsidRPr="007932DD">
        <w:rPr>
          <w:rFonts w:ascii="Book Antiqua" w:eastAsia="DengXian" w:hAnsi="Book Antiqua" w:cs="Times New Roman"/>
          <w:kern w:val="2"/>
          <w:sz w:val="24"/>
          <w:szCs w:val="24"/>
          <w:lang w:eastAsia="zh-CN"/>
        </w:rPr>
        <w:t xml:space="preserve"> JE, Araújo MS. Metabolic syndrome and risk factors for non-alcoholic fatty liver disease. </w:t>
      </w:r>
      <w:proofErr w:type="spellStart"/>
      <w:r w:rsidRPr="007932DD">
        <w:rPr>
          <w:rFonts w:ascii="Book Antiqua" w:eastAsia="DengXian" w:hAnsi="Book Antiqua" w:cs="Times New Roman"/>
          <w:i/>
          <w:kern w:val="2"/>
          <w:sz w:val="24"/>
          <w:szCs w:val="24"/>
          <w:lang w:eastAsia="zh-CN"/>
        </w:rPr>
        <w:t>Arq</w:t>
      </w:r>
      <w:proofErr w:type="spellEnd"/>
      <w:r w:rsidRPr="007932DD">
        <w:rPr>
          <w:rFonts w:ascii="Book Antiqua" w:eastAsia="DengXian" w:hAnsi="Book Antiqua" w:cs="Times New Roman"/>
          <w:i/>
          <w:kern w:val="2"/>
          <w:sz w:val="24"/>
          <w:szCs w:val="24"/>
          <w:lang w:eastAsia="zh-CN"/>
        </w:rPr>
        <w:t xml:space="preserve"> </w:t>
      </w:r>
      <w:proofErr w:type="spellStart"/>
      <w:r w:rsidRPr="007932DD">
        <w:rPr>
          <w:rFonts w:ascii="Book Antiqua" w:eastAsia="DengXian" w:hAnsi="Book Antiqua" w:cs="Times New Roman"/>
          <w:i/>
          <w:kern w:val="2"/>
          <w:sz w:val="24"/>
          <w:szCs w:val="24"/>
          <w:lang w:eastAsia="zh-CN"/>
        </w:rPr>
        <w:t>Gastroenterol</w:t>
      </w:r>
      <w:proofErr w:type="spellEnd"/>
      <w:r w:rsidRPr="007932DD">
        <w:rPr>
          <w:rFonts w:ascii="Book Antiqua" w:eastAsia="DengXian" w:hAnsi="Book Antiqua" w:cs="Times New Roman"/>
          <w:kern w:val="2"/>
          <w:sz w:val="24"/>
          <w:szCs w:val="24"/>
          <w:lang w:eastAsia="zh-CN"/>
        </w:rPr>
        <w:t xml:space="preserve"> 2012; </w:t>
      </w:r>
      <w:r w:rsidRPr="007932DD">
        <w:rPr>
          <w:rFonts w:ascii="Book Antiqua" w:eastAsia="DengXian" w:hAnsi="Book Antiqua" w:cs="Times New Roman"/>
          <w:b/>
          <w:kern w:val="2"/>
          <w:sz w:val="24"/>
          <w:szCs w:val="24"/>
          <w:lang w:eastAsia="zh-CN"/>
        </w:rPr>
        <w:t>49</w:t>
      </w:r>
      <w:r w:rsidRPr="007932DD">
        <w:rPr>
          <w:rFonts w:ascii="Book Antiqua" w:eastAsia="DengXian" w:hAnsi="Book Antiqua" w:cs="Times New Roman"/>
          <w:kern w:val="2"/>
          <w:sz w:val="24"/>
          <w:szCs w:val="24"/>
          <w:lang w:eastAsia="zh-CN"/>
        </w:rPr>
        <w:t>: 89-96 [PMID: 22481692 DOI: 10.1590/S0004-28032012000100015]</w:t>
      </w:r>
    </w:p>
    <w:p w14:paraId="6A02C499" w14:textId="7225EBF2"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2 </w:t>
      </w:r>
      <w:r w:rsidRPr="007932DD">
        <w:rPr>
          <w:rFonts w:ascii="Book Antiqua" w:eastAsia="DengXian" w:hAnsi="Book Antiqua" w:cs="Times New Roman"/>
          <w:b/>
          <w:kern w:val="2"/>
          <w:sz w:val="24"/>
          <w:szCs w:val="24"/>
          <w:lang w:eastAsia="zh-CN"/>
        </w:rPr>
        <w:t>European Association for the Study of the Liver (EASL)</w:t>
      </w:r>
      <w:r w:rsidRPr="007932DD">
        <w:rPr>
          <w:rFonts w:ascii="Book Antiqua" w:eastAsia="DengXian" w:hAnsi="Book Antiqua" w:cs="Times New Roman"/>
          <w:kern w:val="2"/>
          <w:sz w:val="24"/>
          <w:szCs w:val="24"/>
          <w:lang w:eastAsia="zh-CN"/>
        </w:rPr>
        <w:t xml:space="preserve">; European Association for the Study of Diabetes (EASD); European Association for the Study of Obesity (EASO). EASL-EASD-EASO Clinical Practice Guidelines for the management of non-alcoholic fatty liver disease. </w:t>
      </w:r>
      <w:r w:rsidRPr="007932DD">
        <w:rPr>
          <w:rFonts w:ascii="Book Antiqua" w:eastAsia="DengXian" w:hAnsi="Book Antiqua" w:cs="Times New Roman"/>
          <w:i/>
          <w:kern w:val="2"/>
          <w:sz w:val="24"/>
          <w:szCs w:val="24"/>
          <w:lang w:eastAsia="zh-CN"/>
        </w:rPr>
        <w:t xml:space="preserve">J </w:t>
      </w:r>
      <w:proofErr w:type="spellStart"/>
      <w:r w:rsidRPr="007932DD">
        <w:rPr>
          <w:rFonts w:ascii="Book Antiqua" w:eastAsia="DengXian" w:hAnsi="Book Antiqua" w:cs="Times New Roman"/>
          <w:i/>
          <w:kern w:val="2"/>
          <w:sz w:val="24"/>
          <w:szCs w:val="24"/>
          <w:lang w:eastAsia="zh-CN"/>
        </w:rPr>
        <w:t>Hepatol</w:t>
      </w:r>
      <w:proofErr w:type="spellEnd"/>
      <w:r w:rsidRPr="007932DD">
        <w:rPr>
          <w:rFonts w:ascii="Book Antiqua" w:eastAsia="DengXian" w:hAnsi="Book Antiqua" w:cs="Times New Roman"/>
          <w:kern w:val="2"/>
          <w:sz w:val="24"/>
          <w:szCs w:val="24"/>
          <w:lang w:eastAsia="zh-CN"/>
        </w:rPr>
        <w:t xml:space="preserve"> 2016; </w:t>
      </w:r>
      <w:r w:rsidRPr="007932DD">
        <w:rPr>
          <w:rFonts w:ascii="Book Antiqua" w:eastAsia="DengXian" w:hAnsi="Book Antiqua" w:cs="Times New Roman"/>
          <w:b/>
          <w:kern w:val="2"/>
          <w:sz w:val="24"/>
          <w:szCs w:val="24"/>
          <w:lang w:eastAsia="zh-CN"/>
        </w:rPr>
        <w:t>64</w:t>
      </w:r>
      <w:r w:rsidRPr="007932DD">
        <w:rPr>
          <w:rFonts w:ascii="Book Antiqua" w:eastAsia="DengXian" w:hAnsi="Book Antiqua" w:cs="Times New Roman"/>
          <w:kern w:val="2"/>
          <w:sz w:val="24"/>
          <w:szCs w:val="24"/>
          <w:lang w:eastAsia="zh-CN"/>
        </w:rPr>
        <w:t>: 1388-1402 [PMID: 27062661 DOI: 10.1016/j.jhep.2015.11.004]</w:t>
      </w:r>
    </w:p>
    <w:p w14:paraId="073D0FE1"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3 </w:t>
      </w:r>
      <w:proofErr w:type="spellStart"/>
      <w:r w:rsidRPr="007932DD">
        <w:rPr>
          <w:rFonts w:ascii="Book Antiqua" w:eastAsia="DengXian" w:hAnsi="Book Antiqua" w:cs="Times New Roman"/>
          <w:b/>
          <w:kern w:val="2"/>
          <w:sz w:val="24"/>
          <w:szCs w:val="24"/>
          <w:lang w:eastAsia="zh-CN"/>
        </w:rPr>
        <w:t>Chalasani</w:t>
      </w:r>
      <w:proofErr w:type="spellEnd"/>
      <w:r w:rsidRPr="007932DD">
        <w:rPr>
          <w:rFonts w:ascii="Book Antiqua" w:eastAsia="DengXian" w:hAnsi="Book Antiqua" w:cs="Times New Roman"/>
          <w:b/>
          <w:kern w:val="2"/>
          <w:sz w:val="24"/>
          <w:szCs w:val="24"/>
          <w:lang w:eastAsia="zh-CN"/>
        </w:rPr>
        <w:t xml:space="preserve"> N</w:t>
      </w:r>
      <w:r w:rsidRPr="007932DD">
        <w:rPr>
          <w:rFonts w:ascii="Book Antiqua" w:eastAsia="DengXian" w:hAnsi="Book Antiqua" w:cs="Times New Roman"/>
          <w:kern w:val="2"/>
          <w:sz w:val="24"/>
          <w:szCs w:val="24"/>
          <w:lang w:eastAsia="zh-CN"/>
        </w:rPr>
        <w:t xml:space="preserve">, </w:t>
      </w:r>
      <w:proofErr w:type="spellStart"/>
      <w:r w:rsidRPr="007932DD">
        <w:rPr>
          <w:rFonts w:ascii="Book Antiqua" w:eastAsia="DengXian" w:hAnsi="Book Antiqua" w:cs="Times New Roman"/>
          <w:kern w:val="2"/>
          <w:sz w:val="24"/>
          <w:szCs w:val="24"/>
          <w:lang w:eastAsia="zh-CN"/>
        </w:rPr>
        <w:t>Younossi</w:t>
      </w:r>
      <w:proofErr w:type="spellEnd"/>
      <w:r w:rsidRPr="007932DD">
        <w:rPr>
          <w:rFonts w:ascii="Book Antiqua" w:eastAsia="DengXian" w:hAnsi="Book Antiqua" w:cs="Times New Roman"/>
          <w:kern w:val="2"/>
          <w:sz w:val="24"/>
          <w:szCs w:val="24"/>
          <w:lang w:eastAsia="zh-CN"/>
        </w:rPr>
        <w:t xml:space="preserve"> Z, Lavine JE, Diehl AM, Brunt EM, </w:t>
      </w:r>
      <w:proofErr w:type="spellStart"/>
      <w:r w:rsidRPr="007932DD">
        <w:rPr>
          <w:rFonts w:ascii="Book Antiqua" w:eastAsia="DengXian" w:hAnsi="Book Antiqua" w:cs="Times New Roman"/>
          <w:kern w:val="2"/>
          <w:sz w:val="24"/>
          <w:szCs w:val="24"/>
          <w:lang w:eastAsia="zh-CN"/>
        </w:rPr>
        <w:t>Cusi</w:t>
      </w:r>
      <w:proofErr w:type="spellEnd"/>
      <w:r w:rsidRPr="007932DD">
        <w:rPr>
          <w:rFonts w:ascii="Book Antiqua" w:eastAsia="DengXian" w:hAnsi="Book Antiqua" w:cs="Times New Roman"/>
          <w:kern w:val="2"/>
          <w:sz w:val="24"/>
          <w:szCs w:val="24"/>
          <w:lang w:eastAsia="zh-CN"/>
        </w:rPr>
        <w:t xml:space="preserve"> K, Charlton M, </w:t>
      </w:r>
      <w:proofErr w:type="spellStart"/>
      <w:r w:rsidRPr="007932DD">
        <w:rPr>
          <w:rFonts w:ascii="Book Antiqua" w:eastAsia="DengXian" w:hAnsi="Book Antiqua" w:cs="Times New Roman"/>
          <w:kern w:val="2"/>
          <w:sz w:val="24"/>
          <w:szCs w:val="24"/>
          <w:lang w:eastAsia="zh-CN"/>
        </w:rPr>
        <w:t>Sanyal</w:t>
      </w:r>
      <w:proofErr w:type="spellEnd"/>
      <w:r w:rsidRPr="007932DD">
        <w:rPr>
          <w:rFonts w:ascii="Book Antiqua" w:eastAsia="DengXian" w:hAnsi="Book Antiqua" w:cs="Times New Roman"/>
          <w:kern w:val="2"/>
          <w:sz w:val="24"/>
          <w:szCs w:val="24"/>
          <w:lang w:eastAsia="zh-CN"/>
        </w:rPr>
        <w:t xml:space="preserve"> AJ; American Gastroenterological Association; American Association for the Study of Liver Diseases; American College of </w:t>
      </w:r>
      <w:proofErr w:type="spellStart"/>
      <w:r w:rsidRPr="007932DD">
        <w:rPr>
          <w:rFonts w:ascii="Book Antiqua" w:eastAsia="DengXian" w:hAnsi="Book Antiqua" w:cs="Times New Roman"/>
          <w:kern w:val="2"/>
          <w:sz w:val="24"/>
          <w:szCs w:val="24"/>
          <w:lang w:eastAsia="zh-CN"/>
        </w:rPr>
        <w:t>Gastroenterologyh</w:t>
      </w:r>
      <w:proofErr w:type="spellEnd"/>
      <w:r w:rsidRPr="007932DD">
        <w:rPr>
          <w:rFonts w:ascii="Book Antiqua" w:eastAsia="DengXian" w:hAnsi="Book Antiqua" w:cs="Times New Roman"/>
          <w:kern w:val="2"/>
          <w:sz w:val="24"/>
          <w:szCs w:val="24"/>
          <w:lang w:eastAsia="zh-CN"/>
        </w:rPr>
        <w:t xml:space="preserve">. The diagnosis and management of non-alcoholic fatty liver disease: practice guideline by the American Gastroenterological Association, American Association for the Study of Liver Diseases, and American College of Gastroenterology. </w:t>
      </w:r>
      <w:r w:rsidRPr="007932DD">
        <w:rPr>
          <w:rFonts w:ascii="Book Antiqua" w:eastAsia="DengXian" w:hAnsi="Book Antiqua" w:cs="Times New Roman"/>
          <w:i/>
          <w:kern w:val="2"/>
          <w:sz w:val="24"/>
          <w:szCs w:val="24"/>
          <w:lang w:eastAsia="zh-CN"/>
        </w:rPr>
        <w:t>Gastroenterology</w:t>
      </w:r>
      <w:r w:rsidRPr="007932DD">
        <w:rPr>
          <w:rFonts w:ascii="Book Antiqua" w:eastAsia="DengXian" w:hAnsi="Book Antiqua" w:cs="Times New Roman"/>
          <w:kern w:val="2"/>
          <w:sz w:val="24"/>
          <w:szCs w:val="24"/>
          <w:lang w:eastAsia="zh-CN"/>
        </w:rPr>
        <w:t xml:space="preserve"> 2012; </w:t>
      </w:r>
      <w:r w:rsidRPr="007932DD">
        <w:rPr>
          <w:rFonts w:ascii="Book Antiqua" w:eastAsia="DengXian" w:hAnsi="Book Antiqua" w:cs="Times New Roman"/>
          <w:b/>
          <w:kern w:val="2"/>
          <w:sz w:val="24"/>
          <w:szCs w:val="24"/>
          <w:lang w:eastAsia="zh-CN"/>
        </w:rPr>
        <w:t>142</w:t>
      </w:r>
      <w:r w:rsidRPr="007932DD">
        <w:rPr>
          <w:rFonts w:ascii="Book Antiqua" w:eastAsia="DengXian" w:hAnsi="Book Antiqua" w:cs="Times New Roman"/>
          <w:kern w:val="2"/>
          <w:sz w:val="24"/>
          <w:szCs w:val="24"/>
          <w:lang w:eastAsia="zh-CN"/>
        </w:rPr>
        <w:t>: 1592-1609 [PMID: 22656328 DOI: 10.1002/hep.25762]</w:t>
      </w:r>
    </w:p>
    <w:p w14:paraId="4C96EC9A"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4 </w:t>
      </w:r>
      <w:proofErr w:type="spellStart"/>
      <w:r w:rsidRPr="007932DD">
        <w:rPr>
          <w:rFonts w:ascii="Book Antiqua" w:eastAsia="DengXian" w:hAnsi="Book Antiqua" w:cs="Times New Roman"/>
          <w:b/>
          <w:kern w:val="2"/>
          <w:sz w:val="24"/>
          <w:szCs w:val="24"/>
          <w:lang w:eastAsia="zh-CN"/>
        </w:rPr>
        <w:t>Younossi</w:t>
      </w:r>
      <w:proofErr w:type="spellEnd"/>
      <w:r w:rsidRPr="007932DD">
        <w:rPr>
          <w:rFonts w:ascii="Book Antiqua" w:eastAsia="DengXian" w:hAnsi="Book Antiqua" w:cs="Times New Roman"/>
          <w:b/>
          <w:kern w:val="2"/>
          <w:sz w:val="24"/>
          <w:szCs w:val="24"/>
          <w:lang w:eastAsia="zh-CN"/>
        </w:rPr>
        <w:t xml:space="preserve"> ZM</w:t>
      </w:r>
      <w:r w:rsidRPr="007932DD">
        <w:rPr>
          <w:rFonts w:ascii="Book Antiqua" w:eastAsia="DengXian" w:hAnsi="Book Antiqua" w:cs="Times New Roman"/>
          <w:kern w:val="2"/>
          <w:sz w:val="24"/>
          <w:szCs w:val="24"/>
          <w:lang w:eastAsia="zh-CN"/>
        </w:rPr>
        <w:t xml:space="preserve">, Koenig AB, </w:t>
      </w:r>
      <w:proofErr w:type="spellStart"/>
      <w:r w:rsidRPr="007932DD">
        <w:rPr>
          <w:rFonts w:ascii="Book Antiqua" w:eastAsia="DengXian" w:hAnsi="Book Antiqua" w:cs="Times New Roman"/>
          <w:kern w:val="2"/>
          <w:sz w:val="24"/>
          <w:szCs w:val="24"/>
          <w:lang w:eastAsia="zh-CN"/>
        </w:rPr>
        <w:t>Abdelatif</w:t>
      </w:r>
      <w:proofErr w:type="spellEnd"/>
      <w:r w:rsidRPr="007932DD">
        <w:rPr>
          <w:rFonts w:ascii="Book Antiqua" w:eastAsia="DengXian" w:hAnsi="Book Antiqua" w:cs="Times New Roman"/>
          <w:kern w:val="2"/>
          <w:sz w:val="24"/>
          <w:szCs w:val="24"/>
          <w:lang w:eastAsia="zh-CN"/>
        </w:rPr>
        <w:t xml:space="preserve"> D, </w:t>
      </w:r>
      <w:proofErr w:type="spellStart"/>
      <w:r w:rsidRPr="007932DD">
        <w:rPr>
          <w:rFonts w:ascii="Book Antiqua" w:eastAsia="DengXian" w:hAnsi="Book Antiqua" w:cs="Times New Roman"/>
          <w:kern w:val="2"/>
          <w:sz w:val="24"/>
          <w:szCs w:val="24"/>
          <w:lang w:eastAsia="zh-CN"/>
        </w:rPr>
        <w:t>Fazel</w:t>
      </w:r>
      <w:proofErr w:type="spellEnd"/>
      <w:r w:rsidRPr="007932DD">
        <w:rPr>
          <w:rFonts w:ascii="Book Antiqua" w:eastAsia="DengXian" w:hAnsi="Book Antiqua" w:cs="Times New Roman"/>
          <w:kern w:val="2"/>
          <w:sz w:val="24"/>
          <w:szCs w:val="24"/>
          <w:lang w:eastAsia="zh-CN"/>
        </w:rPr>
        <w:t xml:space="preserve"> Y, Henry L, </w:t>
      </w:r>
      <w:proofErr w:type="spellStart"/>
      <w:r w:rsidRPr="007932DD">
        <w:rPr>
          <w:rFonts w:ascii="Book Antiqua" w:eastAsia="DengXian" w:hAnsi="Book Antiqua" w:cs="Times New Roman"/>
          <w:kern w:val="2"/>
          <w:sz w:val="24"/>
          <w:szCs w:val="24"/>
          <w:lang w:eastAsia="zh-CN"/>
        </w:rPr>
        <w:t>Wymer</w:t>
      </w:r>
      <w:proofErr w:type="spellEnd"/>
      <w:r w:rsidRPr="007932DD">
        <w:rPr>
          <w:rFonts w:ascii="Book Antiqua" w:eastAsia="DengXian" w:hAnsi="Book Antiqua" w:cs="Times New Roman"/>
          <w:kern w:val="2"/>
          <w:sz w:val="24"/>
          <w:szCs w:val="24"/>
          <w:lang w:eastAsia="zh-CN"/>
        </w:rPr>
        <w:t xml:space="preserve"> M. Global epidemiology of nonalcoholic fatty liver disease-Meta-analytic assessment of prevalence, incidence, and outcomes. </w:t>
      </w:r>
      <w:r w:rsidRPr="007932DD">
        <w:rPr>
          <w:rFonts w:ascii="Book Antiqua" w:eastAsia="DengXian" w:hAnsi="Book Antiqua" w:cs="Times New Roman"/>
          <w:i/>
          <w:kern w:val="2"/>
          <w:sz w:val="24"/>
          <w:szCs w:val="24"/>
          <w:lang w:eastAsia="zh-CN"/>
        </w:rPr>
        <w:t>Hepatology</w:t>
      </w:r>
      <w:r w:rsidRPr="007932DD">
        <w:rPr>
          <w:rFonts w:ascii="Book Antiqua" w:eastAsia="DengXian" w:hAnsi="Book Antiqua" w:cs="Times New Roman"/>
          <w:kern w:val="2"/>
          <w:sz w:val="24"/>
          <w:szCs w:val="24"/>
          <w:lang w:eastAsia="zh-CN"/>
        </w:rPr>
        <w:t xml:space="preserve"> 2016; </w:t>
      </w:r>
      <w:r w:rsidRPr="007932DD">
        <w:rPr>
          <w:rFonts w:ascii="Book Antiqua" w:eastAsia="DengXian" w:hAnsi="Book Antiqua" w:cs="Times New Roman"/>
          <w:b/>
          <w:kern w:val="2"/>
          <w:sz w:val="24"/>
          <w:szCs w:val="24"/>
          <w:lang w:eastAsia="zh-CN"/>
        </w:rPr>
        <w:t>64</w:t>
      </w:r>
      <w:r w:rsidRPr="007932DD">
        <w:rPr>
          <w:rFonts w:ascii="Book Antiqua" w:eastAsia="DengXian" w:hAnsi="Book Antiqua" w:cs="Times New Roman"/>
          <w:kern w:val="2"/>
          <w:sz w:val="24"/>
          <w:szCs w:val="24"/>
          <w:lang w:eastAsia="zh-CN"/>
        </w:rPr>
        <w:t>: 73-84 [PMID: 26707365 DOI: 10.1002/hep.28431]</w:t>
      </w:r>
    </w:p>
    <w:p w14:paraId="54FF9CD2"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5 </w:t>
      </w:r>
      <w:r w:rsidRPr="007932DD">
        <w:rPr>
          <w:rFonts w:ascii="Book Antiqua" w:eastAsia="DengXian" w:hAnsi="Book Antiqua" w:cs="Times New Roman"/>
          <w:b/>
          <w:bCs/>
          <w:kern w:val="2"/>
          <w:sz w:val="24"/>
          <w:szCs w:val="24"/>
          <w:lang w:eastAsia="zh-CN"/>
        </w:rPr>
        <w:t>World Health Organization</w:t>
      </w:r>
      <w:r w:rsidRPr="007932DD">
        <w:rPr>
          <w:rFonts w:ascii="Book Antiqua" w:eastAsia="DengXian" w:hAnsi="Book Antiqua" w:cs="Times New Roman"/>
          <w:kern w:val="2"/>
          <w:sz w:val="24"/>
          <w:szCs w:val="24"/>
          <w:lang w:eastAsia="zh-CN"/>
        </w:rPr>
        <w:t>. Global status report on noncommunicable diseases 2014. 2014: 176. Available from: URL: https://www.who.int/nmh/publications/ncd-status-report-2014/en/</w:t>
      </w:r>
    </w:p>
    <w:p w14:paraId="6D300C10"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6 </w:t>
      </w:r>
      <w:proofErr w:type="spellStart"/>
      <w:r w:rsidRPr="007932DD">
        <w:rPr>
          <w:rFonts w:ascii="Book Antiqua" w:eastAsia="DengXian" w:hAnsi="Book Antiqua" w:cs="Times New Roman"/>
          <w:b/>
          <w:kern w:val="2"/>
          <w:sz w:val="24"/>
          <w:szCs w:val="24"/>
          <w:lang w:eastAsia="zh-CN"/>
        </w:rPr>
        <w:t>Chalasani</w:t>
      </w:r>
      <w:proofErr w:type="spellEnd"/>
      <w:r w:rsidRPr="007932DD">
        <w:rPr>
          <w:rFonts w:ascii="Book Antiqua" w:eastAsia="DengXian" w:hAnsi="Book Antiqua" w:cs="Times New Roman"/>
          <w:b/>
          <w:kern w:val="2"/>
          <w:sz w:val="24"/>
          <w:szCs w:val="24"/>
          <w:lang w:eastAsia="zh-CN"/>
        </w:rPr>
        <w:t xml:space="preserve"> N</w:t>
      </w:r>
      <w:r w:rsidRPr="007932DD">
        <w:rPr>
          <w:rFonts w:ascii="Book Antiqua" w:eastAsia="DengXian" w:hAnsi="Book Antiqua" w:cs="Times New Roman"/>
          <w:kern w:val="2"/>
          <w:sz w:val="24"/>
          <w:szCs w:val="24"/>
          <w:lang w:eastAsia="zh-CN"/>
        </w:rPr>
        <w:t xml:space="preserve">, </w:t>
      </w:r>
      <w:proofErr w:type="spellStart"/>
      <w:r w:rsidRPr="007932DD">
        <w:rPr>
          <w:rFonts w:ascii="Book Antiqua" w:eastAsia="DengXian" w:hAnsi="Book Antiqua" w:cs="Times New Roman"/>
          <w:kern w:val="2"/>
          <w:sz w:val="24"/>
          <w:szCs w:val="24"/>
          <w:lang w:eastAsia="zh-CN"/>
        </w:rPr>
        <w:t>Younossi</w:t>
      </w:r>
      <w:proofErr w:type="spellEnd"/>
      <w:r w:rsidRPr="007932DD">
        <w:rPr>
          <w:rFonts w:ascii="Book Antiqua" w:eastAsia="DengXian" w:hAnsi="Book Antiqua" w:cs="Times New Roman"/>
          <w:kern w:val="2"/>
          <w:sz w:val="24"/>
          <w:szCs w:val="24"/>
          <w:lang w:eastAsia="zh-CN"/>
        </w:rPr>
        <w:t xml:space="preserve"> Z, Lavine JE, Charlton M, </w:t>
      </w:r>
      <w:proofErr w:type="spellStart"/>
      <w:r w:rsidRPr="007932DD">
        <w:rPr>
          <w:rFonts w:ascii="Book Antiqua" w:eastAsia="DengXian" w:hAnsi="Book Antiqua" w:cs="Times New Roman"/>
          <w:kern w:val="2"/>
          <w:sz w:val="24"/>
          <w:szCs w:val="24"/>
          <w:lang w:eastAsia="zh-CN"/>
        </w:rPr>
        <w:t>Cusi</w:t>
      </w:r>
      <w:proofErr w:type="spellEnd"/>
      <w:r w:rsidRPr="007932DD">
        <w:rPr>
          <w:rFonts w:ascii="Book Antiqua" w:eastAsia="DengXian" w:hAnsi="Book Antiqua" w:cs="Times New Roman"/>
          <w:kern w:val="2"/>
          <w:sz w:val="24"/>
          <w:szCs w:val="24"/>
          <w:lang w:eastAsia="zh-CN"/>
        </w:rPr>
        <w:t xml:space="preserve"> K, </w:t>
      </w:r>
      <w:proofErr w:type="spellStart"/>
      <w:r w:rsidRPr="007932DD">
        <w:rPr>
          <w:rFonts w:ascii="Book Antiqua" w:eastAsia="DengXian" w:hAnsi="Book Antiqua" w:cs="Times New Roman"/>
          <w:kern w:val="2"/>
          <w:sz w:val="24"/>
          <w:szCs w:val="24"/>
          <w:lang w:eastAsia="zh-CN"/>
        </w:rPr>
        <w:t>Rinella</w:t>
      </w:r>
      <w:proofErr w:type="spellEnd"/>
      <w:r w:rsidRPr="007932DD">
        <w:rPr>
          <w:rFonts w:ascii="Book Antiqua" w:eastAsia="DengXian" w:hAnsi="Book Antiqua" w:cs="Times New Roman"/>
          <w:kern w:val="2"/>
          <w:sz w:val="24"/>
          <w:szCs w:val="24"/>
          <w:lang w:eastAsia="zh-CN"/>
        </w:rPr>
        <w:t xml:space="preserve"> M, Harrison SA, Brunt EM, </w:t>
      </w:r>
      <w:proofErr w:type="spellStart"/>
      <w:r w:rsidRPr="007932DD">
        <w:rPr>
          <w:rFonts w:ascii="Book Antiqua" w:eastAsia="DengXian" w:hAnsi="Book Antiqua" w:cs="Times New Roman"/>
          <w:kern w:val="2"/>
          <w:sz w:val="24"/>
          <w:szCs w:val="24"/>
          <w:lang w:eastAsia="zh-CN"/>
        </w:rPr>
        <w:t>Sanyal</w:t>
      </w:r>
      <w:proofErr w:type="spellEnd"/>
      <w:r w:rsidRPr="007932DD">
        <w:rPr>
          <w:rFonts w:ascii="Book Antiqua" w:eastAsia="DengXian" w:hAnsi="Book Antiqua" w:cs="Times New Roman"/>
          <w:kern w:val="2"/>
          <w:sz w:val="24"/>
          <w:szCs w:val="24"/>
          <w:lang w:eastAsia="zh-CN"/>
        </w:rPr>
        <w:t xml:space="preserve"> AJ. The diagnosis and management of nonalcoholic fatty liver disease: Practice guidance from the American Association for the Study of Liver Diseases. </w:t>
      </w:r>
      <w:r w:rsidRPr="007932DD">
        <w:rPr>
          <w:rFonts w:ascii="Book Antiqua" w:eastAsia="DengXian" w:hAnsi="Book Antiqua" w:cs="Times New Roman"/>
          <w:i/>
          <w:kern w:val="2"/>
          <w:sz w:val="24"/>
          <w:szCs w:val="24"/>
          <w:lang w:eastAsia="zh-CN"/>
        </w:rPr>
        <w:t>Hepatology</w:t>
      </w:r>
      <w:r w:rsidRPr="007932DD">
        <w:rPr>
          <w:rFonts w:ascii="Book Antiqua" w:eastAsia="DengXian" w:hAnsi="Book Antiqua" w:cs="Times New Roman"/>
          <w:kern w:val="2"/>
          <w:sz w:val="24"/>
          <w:szCs w:val="24"/>
          <w:lang w:eastAsia="zh-CN"/>
        </w:rPr>
        <w:t xml:space="preserve"> 2018; </w:t>
      </w:r>
      <w:r w:rsidRPr="007932DD">
        <w:rPr>
          <w:rFonts w:ascii="Book Antiqua" w:eastAsia="DengXian" w:hAnsi="Book Antiqua" w:cs="Times New Roman"/>
          <w:b/>
          <w:kern w:val="2"/>
          <w:sz w:val="24"/>
          <w:szCs w:val="24"/>
          <w:lang w:eastAsia="zh-CN"/>
        </w:rPr>
        <w:t>67</w:t>
      </w:r>
      <w:r w:rsidRPr="007932DD">
        <w:rPr>
          <w:rFonts w:ascii="Book Antiqua" w:eastAsia="DengXian" w:hAnsi="Book Antiqua" w:cs="Times New Roman"/>
          <w:kern w:val="2"/>
          <w:sz w:val="24"/>
          <w:szCs w:val="24"/>
          <w:lang w:eastAsia="zh-CN"/>
        </w:rPr>
        <w:t>: 328-357 [PMID: 28714183 DOI: 10.1002/hep.29367]</w:t>
      </w:r>
    </w:p>
    <w:p w14:paraId="674BB19A"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7 </w:t>
      </w:r>
      <w:r w:rsidRPr="007932DD">
        <w:rPr>
          <w:rFonts w:ascii="Book Antiqua" w:eastAsia="DengXian" w:hAnsi="Book Antiqua" w:cs="Times New Roman"/>
          <w:b/>
          <w:kern w:val="2"/>
          <w:sz w:val="24"/>
          <w:szCs w:val="24"/>
          <w:lang w:eastAsia="zh-CN"/>
        </w:rPr>
        <w:t>Sato N</w:t>
      </w:r>
      <w:r w:rsidRPr="007932DD">
        <w:rPr>
          <w:rFonts w:ascii="Book Antiqua" w:eastAsia="DengXian" w:hAnsi="Book Antiqua" w:cs="Times New Roman"/>
          <w:kern w:val="2"/>
          <w:sz w:val="24"/>
          <w:szCs w:val="24"/>
          <w:lang w:eastAsia="zh-CN"/>
        </w:rPr>
        <w:t xml:space="preserve">, Lindros KO, </w:t>
      </w:r>
      <w:proofErr w:type="spellStart"/>
      <w:r w:rsidRPr="007932DD">
        <w:rPr>
          <w:rFonts w:ascii="Book Antiqua" w:eastAsia="DengXian" w:hAnsi="Book Antiqua" w:cs="Times New Roman"/>
          <w:kern w:val="2"/>
          <w:sz w:val="24"/>
          <w:szCs w:val="24"/>
          <w:lang w:eastAsia="zh-CN"/>
        </w:rPr>
        <w:t>Baraona</w:t>
      </w:r>
      <w:proofErr w:type="spellEnd"/>
      <w:r w:rsidRPr="007932DD">
        <w:rPr>
          <w:rFonts w:ascii="Book Antiqua" w:eastAsia="DengXian" w:hAnsi="Book Antiqua" w:cs="Times New Roman"/>
          <w:kern w:val="2"/>
          <w:sz w:val="24"/>
          <w:szCs w:val="24"/>
          <w:lang w:eastAsia="zh-CN"/>
        </w:rPr>
        <w:t xml:space="preserve"> E, </w:t>
      </w:r>
      <w:proofErr w:type="spellStart"/>
      <w:r w:rsidRPr="007932DD">
        <w:rPr>
          <w:rFonts w:ascii="Book Antiqua" w:eastAsia="DengXian" w:hAnsi="Book Antiqua" w:cs="Times New Roman"/>
          <w:kern w:val="2"/>
          <w:sz w:val="24"/>
          <w:szCs w:val="24"/>
          <w:lang w:eastAsia="zh-CN"/>
        </w:rPr>
        <w:t>Ikejima</w:t>
      </w:r>
      <w:proofErr w:type="spellEnd"/>
      <w:r w:rsidRPr="007932DD">
        <w:rPr>
          <w:rFonts w:ascii="Book Antiqua" w:eastAsia="DengXian" w:hAnsi="Book Antiqua" w:cs="Times New Roman"/>
          <w:kern w:val="2"/>
          <w:sz w:val="24"/>
          <w:szCs w:val="24"/>
          <w:lang w:eastAsia="zh-CN"/>
        </w:rPr>
        <w:t xml:space="preserve"> K, </w:t>
      </w:r>
      <w:proofErr w:type="spellStart"/>
      <w:r w:rsidRPr="007932DD">
        <w:rPr>
          <w:rFonts w:ascii="Book Antiqua" w:eastAsia="DengXian" w:hAnsi="Book Antiqua" w:cs="Times New Roman"/>
          <w:kern w:val="2"/>
          <w:sz w:val="24"/>
          <w:szCs w:val="24"/>
          <w:lang w:eastAsia="zh-CN"/>
        </w:rPr>
        <w:t>Mezey</w:t>
      </w:r>
      <w:proofErr w:type="spellEnd"/>
      <w:r w:rsidRPr="007932DD">
        <w:rPr>
          <w:rFonts w:ascii="Book Antiqua" w:eastAsia="DengXian" w:hAnsi="Book Antiqua" w:cs="Times New Roman"/>
          <w:kern w:val="2"/>
          <w:sz w:val="24"/>
          <w:szCs w:val="24"/>
          <w:lang w:eastAsia="zh-CN"/>
        </w:rPr>
        <w:t xml:space="preserve"> E, </w:t>
      </w:r>
      <w:proofErr w:type="spellStart"/>
      <w:r w:rsidRPr="007932DD">
        <w:rPr>
          <w:rFonts w:ascii="Book Antiqua" w:eastAsia="DengXian" w:hAnsi="Book Antiqua" w:cs="Times New Roman"/>
          <w:kern w:val="2"/>
          <w:sz w:val="24"/>
          <w:szCs w:val="24"/>
          <w:lang w:eastAsia="zh-CN"/>
        </w:rPr>
        <w:t>Järveläinen</w:t>
      </w:r>
      <w:proofErr w:type="spellEnd"/>
      <w:r w:rsidRPr="007932DD">
        <w:rPr>
          <w:rFonts w:ascii="Book Antiqua" w:eastAsia="DengXian" w:hAnsi="Book Antiqua" w:cs="Times New Roman"/>
          <w:kern w:val="2"/>
          <w:sz w:val="24"/>
          <w:szCs w:val="24"/>
          <w:lang w:eastAsia="zh-CN"/>
        </w:rPr>
        <w:t xml:space="preserve"> HA, Ramchandani VA. Sex difference in alcohol-related organ injury. </w:t>
      </w:r>
      <w:r w:rsidRPr="007932DD">
        <w:rPr>
          <w:rFonts w:ascii="Book Antiqua" w:eastAsia="DengXian" w:hAnsi="Book Antiqua" w:cs="Times New Roman"/>
          <w:i/>
          <w:kern w:val="2"/>
          <w:sz w:val="24"/>
          <w:szCs w:val="24"/>
          <w:lang w:eastAsia="zh-CN"/>
        </w:rPr>
        <w:t>Alcohol Clin Exp Res</w:t>
      </w:r>
      <w:r w:rsidRPr="007932DD">
        <w:rPr>
          <w:rFonts w:ascii="Book Antiqua" w:eastAsia="DengXian" w:hAnsi="Book Antiqua" w:cs="Times New Roman"/>
          <w:kern w:val="2"/>
          <w:sz w:val="24"/>
          <w:szCs w:val="24"/>
          <w:lang w:eastAsia="zh-CN"/>
        </w:rPr>
        <w:t xml:space="preserve"> 2001; </w:t>
      </w:r>
      <w:r w:rsidRPr="007932DD">
        <w:rPr>
          <w:rFonts w:ascii="Book Antiqua" w:eastAsia="DengXian" w:hAnsi="Book Antiqua" w:cs="Times New Roman"/>
          <w:b/>
          <w:kern w:val="2"/>
          <w:sz w:val="24"/>
          <w:szCs w:val="24"/>
          <w:lang w:eastAsia="zh-CN"/>
        </w:rPr>
        <w:t>25</w:t>
      </w:r>
      <w:r w:rsidRPr="007932DD">
        <w:rPr>
          <w:rFonts w:ascii="Book Antiqua" w:eastAsia="DengXian" w:hAnsi="Book Antiqua" w:cs="Times New Roman"/>
          <w:kern w:val="2"/>
          <w:sz w:val="24"/>
          <w:szCs w:val="24"/>
          <w:lang w:eastAsia="zh-CN"/>
        </w:rPr>
        <w:t xml:space="preserve">: 40S-45S </w:t>
      </w:r>
      <w:r w:rsidRPr="007932DD">
        <w:rPr>
          <w:rFonts w:ascii="Book Antiqua" w:eastAsia="DengXian" w:hAnsi="Book Antiqua" w:cs="Times New Roman"/>
          <w:kern w:val="2"/>
          <w:sz w:val="24"/>
          <w:szCs w:val="24"/>
          <w:lang w:eastAsia="zh-CN"/>
        </w:rPr>
        <w:lastRenderedPageBreak/>
        <w:t>[PMID: 11391047 DOI:</w:t>
      </w:r>
      <w:r w:rsidRPr="007932DD">
        <w:rPr>
          <w:rFonts w:ascii="Book Antiqua" w:eastAsia="DengXian" w:hAnsi="Book Antiqua" w:cs="Times New Roman" w:hint="eastAsia"/>
          <w:kern w:val="2"/>
          <w:sz w:val="24"/>
          <w:szCs w:val="24"/>
          <w:lang w:eastAsia="zh-CN"/>
        </w:rPr>
        <w:t xml:space="preserve"> </w:t>
      </w:r>
      <w:r w:rsidRPr="007932DD">
        <w:rPr>
          <w:rFonts w:ascii="Book Antiqua" w:eastAsia="DengXian" w:hAnsi="Book Antiqua" w:cs="Times New Roman"/>
          <w:kern w:val="2"/>
          <w:sz w:val="24"/>
          <w:szCs w:val="24"/>
          <w:lang w:eastAsia="zh-CN"/>
        </w:rPr>
        <w:t>10.1097/00000374-200105051-00007]</w:t>
      </w:r>
    </w:p>
    <w:p w14:paraId="5DE96172"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8 </w:t>
      </w:r>
      <w:r w:rsidRPr="007932DD">
        <w:rPr>
          <w:rFonts w:ascii="Book Antiqua" w:eastAsia="DengXian" w:hAnsi="Book Antiqua" w:cs="Times New Roman"/>
          <w:b/>
          <w:kern w:val="2"/>
          <w:sz w:val="24"/>
          <w:szCs w:val="24"/>
          <w:lang w:eastAsia="zh-CN"/>
        </w:rPr>
        <w:t>Basra S</w:t>
      </w:r>
      <w:r w:rsidRPr="007932DD">
        <w:rPr>
          <w:rFonts w:ascii="Book Antiqua" w:eastAsia="DengXian" w:hAnsi="Book Antiqua" w:cs="Times New Roman"/>
          <w:kern w:val="2"/>
          <w:sz w:val="24"/>
          <w:szCs w:val="24"/>
          <w:lang w:eastAsia="zh-CN"/>
        </w:rPr>
        <w:t xml:space="preserve">, Anand BS. Definition, epidemiology and magnitude of alcoholic hepatitis. </w:t>
      </w:r>
      <w:r w:rsidRPr="007932DD">
        <w:rPr>
          <w:rFonts w:ascii="Book Antiqua" w:eastAsia="DengXian" w:hAnsi="Book Antiqua" w:cs="Times New Roman"/>
          <w:i/>
          <w:kern w:val="2"/>
          <w:sz w:val="24"/>
          <w:szCs w:val="24"/>
          <w:lang w:eastAsia="zh-CN"/>
        </w:rPr>
        <w:t xml:space="preserve">World J </w:t>
      </w:r>
      <w:proofErr w:type="spellStart"/>
      <w:r w:rsidRPr="007932DD">
        <w:rPr>
          <w:rFonts w:ascii="Book Antiqua" w:eastAsia="DengXian" w:hAnsi="Book Antiqua" w:cs="Times New Roman"/>
          <w:i/>
          <w:kern w:val="2"/>
          <w:sz w:val="24"/>
          <w:szCs w:val="24"/>
          <w:lang w:eastAsia="zh-CN"/>
        </w:rPr>
        <w:t>Hepatol</w:t>
      </w:r>
      <w:proofErr w:type="spellEnd"/>
      <w:r w:rsidRPr="007932DD">
        <w:rPr>
          <w:rFonts w:ascii="Book Antiqua" w:eastAsia="DengXian" w:hAnsi="Book Antiqua" w:cs="Times New Roman"/>
          <w:kern w:val="2"/>
          <w:sz w:val="24"/>
          <w:szCs w:val="24"/>
          <w:lang w:eastAsia="zh-CN"/>
        </w:rPr>
        <w:t xml:space="preserve"> 2011; </w:t>
      </w:r>
      <w:r w:rsidRPr="007932DD">
        <w:rPr>
          <w:rFonts w:ascii="Book Antiqua" w:eastAsia="DengXian" w:hAnsi="Book Antiqua" w:cs="Times New Roman"/>
          <w:b/>
          <w:kern w:val="2"/>
          <w:sz w:val="24"/>
          <w:szCs w:val="24"/>
          <w:lang w:eastAsia="zh-CN"/>
        </w:rPr>
        <w:t>3</w:t>
      </w:r>
      <w:r w:rsidRPr="007932DD">
        <w:rPr>
          <w:rFonts w:ascii="Book Antiqua" w:eastAsia="DengXian" w:hAnsi="Book Antiqua" w:cs="Times New Roman"/>
          <w:kern w:val="2"/>
          <w:sz w:val="24"/>
          <w:szCs w:val="24"/>
          <w:lang w:eastAsia="zh-CN"/>
        </w:rPr>
        <w:t>: 108-113 [PMID: 21731902 DOI: 10.4254/wjh.v3.i5.108]</w:t>
      </w:r>
    </w:p>
    <w:p w14:paraId="5D4C3FF5"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9 </w:t>
      </w:r>
      <w:r w:rsidRPr="007932DD">
        <w:rPr>
          <w:rFonts w:ascii="Book Antiqua" w:eastAsia="DengXian" w:hAnsi="Book Antiqua" w:cs="Times New Roman"/>
          <w:b/>
          <w:kern w:val="2"/>
          <w:sz w:val="24"/>
          <w:szCs w:val="24"/>
          <w:lang w:eastAsia="zh-CN"/>
        </w:rPr>
        <w:t>Stinson FS</w:t>
      </w:r>
      <w:r w:rsidRPr="007932DD">
        <w:rPr>
          <w:rFonts w:ascii="Book Antiqua" w:eastAsia="DengXian" w:hAnsi="Book Antiqua" w:cs="Times New Roman"/>
          <w:kern w:val="2"/>
          <w:sz w:val="24"/>
          <w:szCs w:val="24"/>
          <w:lang w:eastAsia="zh-CN"/>
        </w:rPr>
        <w:t xml:space="preserve">, Grant BF, Dufour MC. The critical dimension of ethnicity in liver cirrhosis mortality statistics. </w:t>
      </w:r>
      <w:r w:rsidRPr="007932DD">
        <w:rPr>
          <w:rFonts w:ascii="Book Antiqua" w:eastAsia="DengXian" w:hAnsi="Book Antiqua" w:cs="Times New Roman"/>
          <w:i/>
          <w:kern w:val="2"/>
          <w:sz w:val="24"/>
          <w:szCs w:val="24"/>
          <w:lang w:eastAsia="zh-CN"/>
        </w:rPr>
        <w:t>Alcohol Clin Exp Res</w:t>
      </w:r>
      <w:r w:rsidRPr="007932DD">
        <w:rPr>
          <w:rFonts w:ascii="Book Antiqua" w:eastAsia="DengXian" w:hAnsi="Book Antiqua" w:cs="Times New Roman"/>
          <w:kern w:val="2"/>
          <w:sz w:val="24"/>
          <w:szCs w:val="24"/>
          <w:lang w:eastAsia="zh-CN"/>
        </w:rPr>
        <w:t xml:space="preserve"> 2001; </w:t>
      </w:r>
      <w:r w:rsidRPr="007932DD">
        <w:rPr>
          <w:rFonts w:ascii="Book Antiqua" w:eastAsia="DengXian" w:hAnsi="Book Antiqua" w:cs="Times New Roman"/>
          <w:b/>
          <w:kern w:val="2"/>
          <w:sz w:val="24"/>
          <w:szCs w:val="24"/>
          <w:lang w:eastAsia="zh-CN"/>
        </w:rPr>
        <w:t>25</w:t>
      </w:r>
      <w:r w:rsidRPr="007932DD">
        <w:rPr>
          <w:rFonts w:ascii="Book Antiqua" w:eastAsia="DengXian" w:hAnsi="Book Antiqua" w:cs="Times New Roman"/>
          <w:kern w:val="2"/>
          <w:sz w:val="24"/>
          <w:szCs w:val="24"/>
          <w:lang w:eastAsia="zh-CN"/>
        </w:rPr>
        <w:t>: 1181-1187 [PMID: 11505049 DOI: 10.1111/j.1530-0277.2001.tb02333.x]</w:t>
      </w:r>
    </w:p>
    <w:p w14:paraId="513E8946"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10 </w:t>
      </w:r>
      <w:proofErr w:type="spellStart"/>
      <w:r w:rsidRPr="007932DD">
        <w:rPr>
          <w:rFonts w:ascii="Book Antiqua" w:eastAsia="DengXian" w:hAnsi="Book Antiqua" w:cs="Times New Roman"/>
          <w:b/>
          <w:kern w:val="2"/>
          <w:sz w:val="24"/>
          <w:szCs w:val="24"/>
          <w:lang w:eastAsia="zh-CN"/>
        </w:rPr>
        <w:t>Sanyal</w:t>
      </w:r>
      <w:proofErr w:type="spellEnd"/>
      <w:r w:rsidRPr="007932DD">
        <w:rPr>
          <w:rFonts w:ascii="Book Antiqua" w:eastAsia="DengXian" w:hAnsi="Book Antiqua" w:cs="Times New Roman"/>
          <w:b/>
          <w:kern w:val="2"/>
          <w:sz w:val="24"/>
          <w:szCs w:val="24"/>
          <w:lang w:eastAsia="zh-CN"/>
        </w:rPr>
        <w:t xml:space="preserve"> AJ</w:t>
      </w:r>
      <w:r w:rsidRPr="007932DD">
        <w:rPr>
          <w:rFonts w:ascii="Book Antiqua" w:eastAsia="DengXian" w:hAnsi="Book Antiqua" w:cs="Times New Roman"/>
          <w:kern w:val="2"/>
          <w:sz w:val="24"/>
          <w:szCs w:val="24"/>
          <w:lang w:eastAsia="zh-CN"/>
        </w:rPr>
        <w:t xml:space="preserve">; American Gastroenterological Association. AGA technical review on nonalcoholic fatty liver disease. </w:t>
      </w:r>
      <w:r w:rsidRPr="007932DD">
        <w:rPr>
          <w:rFonts w:ascii="Book Antiqua" w:eastAsia="DengXian" w:hAnsi="Book Antiqua" w:cs="Times New Roman"/>
          <w:i/>
          <w:kern w:val="2"/>
          <w:sz w:val="24"/>
          <w:szCs w:val="24"/>
          <w:lang w:eastAsia="zh-CN"/>
        </w:rPr>
        <w:t>Gastroenterology</w:t>
      </w:r>
      <w:r w:rsidRPr="007932DD">
        <w:rPr>
          <w:rFonts w:ascii="Book Antiqua" w:eastAsia="DengXian" w:hAnsi="Book Antiqua" w:cs="Times New Roman"/>
          <w:kern w:val="2"/>
          <w:sz w:val="24"/>
          <w:szCs w:val="24"/>
          <w:lang w:eastAsia="zh-CN"/>
        </w:rPr>
        <w:t xml:space="preserve"> 2002; </w:t>
      </w:r>
      <w:r w:rsidRPr="007932DD">
        <w:rPr>
          <w:rFonts w:ascii="Book Antiqua" w:eastAsia="DengXian" w:hAnsi="Book Antiqua" w:cs="Times New Roman"/>
          <w:b/>
          <w:kern w:val="2"/>
          <w:sz w:val="24"/>
          <w:szCs w:val="24"/>
          <w:lang w:eastAsia="zh-CN"/>
        </w:rPr>
        <w:t>123</w:t>
      </w:r>
      <w:r w:rsidRPr="007932DD">
        <w:rPr>
          <w:rFonts w:ascii="Book Antiqua" w:eastAsia="DengXian" w:hAnsi="Book Antiqua" w:cs="Times New Roman"/>
          <w:kern w:val="2"/>
          <w:sz w:val="24"/>
          <w:szCs w:val="24"/>
          <w:lang w:eastAsia="zh-CN"/>
        </w:rPr>
        <w:t>: 1705-1725 [PMID: 12404245 DOI: 10.1053/gast.2002.36572]</w:t>
      </w:r>
    </w:p>
    <w:p w14:paraId="67251227"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11 </w:t>
      </w:r>
      <w:r w:rsidRPr="007932DD">
        <w:rPr>
          <w:rFonts w:ascii="Book Antiqua" w:eastAsia="DengXian" w:hAnsi="Book Antiqua" w:cs="Times New Roman"/>
          <w:b/>
          <w:kern w:val="2"/>
          <w:sz w:val="24"/>
          <w:szCs w:val="24"/>
          <w:lang w:eastAsia="zh-CN"/>
        </w:rPr>
        <w:t>Byrne CD</w:t>
      </w:r>
      <w:r w:rsidRPr="007932DD">
        <w:rPr>
          <w:rFonts w:ascii="Book Antiqua" w:eastAsia="DengXian" w:hAnsi="Book Antiqua" w:cs="Times New Roman"/>
          <w:kern w:val="2"/>
          <w:sz w:val="24"/>
          <w:szCs w:val="24"/>
          <w:lang w:eastAsia="zh-CN"/>
        </w:rPr>
        <w:t xml:space="preserve">, </w:t>
      </w:r>
      <w:proofErr w:type="spellStart"/>
      <w:r w:rsidRPr="007932DD">
        <w:rPr>
          <w:rFonts w:ascii="Book Antiqua" w:eastAsia="DengXian" w:hAnsi="Book Antiqua" w:cs="Times New Roman"/>
          <w:kern w:val="2"/>
          <w:sz w:val="24"/>
          <w:szCs w:val="24"/>
          <w:lang w:eastAsia="zh-CN"/>
        </w:rPr>
        <w:t>Targher</w:t>
      </w:r>
      <w:proofErr w:type="spellEnd"/>
      <w:r w:rsidRPr="007932DD">
        <w:rPr>
          <w:rFonts w:ascii="Book Antiqua" w:eastAsia="DengXian" w:hAnsi="Book Antiqua" w:cs="Times New Roman"/>
          <w:kern w:val="2"/>
          <w:sz w:val="24"/>
          <w:szCs w:val="24"/>
          <w:lang w:eastAsia="zh-CN"/>
        </w:rPr>
        <w:t xml:space="preserve"> G. NAFLD: a multisystem disease. </w:t>
      </w:r>
      <w:r w:rsidRPr="007932DD">
        <w:rPr>
          <w:rFonts w:ascii="Book Antiqua" w:eastAsia="DengXian" w:hAnsi="Book Antiqua" w:cs="Times New Roman"/>
          <w:i/>
          <w:kern w:val="2"/>
          <w:sz w:val="24"/>
          <w:szCs w:val="24"/>
          <w:lang w:eastAsia="zh-CN"/>
        </w:rPr>
        <w:t xml:space="preserve">J </w:t>
      </w:r>
      <w:proofErr w:type="spellStart"/>
      <w:r w:rsidRPr="007932DD">
        <w:rPr>
          <w:rFonts w:ascii="Book Antiqua" w:eastAsia="DengXian" w:hAnsi="Book Antiqua" w:cs="Times New Roman"/>
          <w:i/>
          <w:kern w:val="2"/>
          <w:sz w:val="24"/>
          <w:szCs w:val="24"/>
          <w:lang w:eastAsia="zh-CN"/>
        </w:rPr>
        <w:t>Hepatol</w:t>
      </w:r>
      <w:proofErr w:type="spellEnd"/>
      <w:r w:rsidRPr="007932DD">
        <w:rPr>
          <w:rFonts w:ascii="Book Antiqua" w:eastAsia="DengXian" w:hAnsi="Book Antiqua" w:cs="Times New Roman"/>
          <w:kern w:val="2"/>
          <w:sz w:val="24"/>
          <w:szCs w:val="24"/>
          <w:lang w:eastAsia="zh-CN"/>
        </w:rPr>
        <w:t xml:space="preserve"> 2015; </w:t>
      </w:r>
      <w:r w:rsidRPr="007932DD">
        <w:rPr>
          <w:rFonts w:ascii="Book Antiqua" w:eastAsia="DengXian" w:hAnsi="Book Antiqua" w:cs="Times New Roman"/>
          <w:b/>
          <w:kern w:val="2"/>
          <w:sz w:val="24"/>
          <w:szCs w:val="24"/>
          <w:lang w:eastAsia="zh-CN"/>
        </w:rPr>
        <w:t>62</w:t>
      </w:r>
      <w:r w:rsidRPr="007932DD">
        <w:rPr>
          <w:rFonts w:ascii="Book Antiqua" w:eastAsia="DengXian" w:hAnsi="Book Antiqua" w:cs="Times New Roman"/>
          <w:kern w:val="2"/>
          <w:sz w:val="24"/>
          <w:szCs w:val="24"/>
          <w:lang w:eastAsia="zh-CN"/>
        </w:rPr>
        <w:t>: S47-S64 [PMID: 25920090 DOI: 10.1016/j.jhep.2014.12.012]</w:t>
      </w:r>
    </w:p>
    <w:p w14:paraId="14364633"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12 </w:t>
      </w:r>
      <w:proofErr w:type="spellStart"/>
      <w:r w:rsidRPr="007932DD">
        <w:rPr>
          <w:rFonts w:ascii="Book Antiqua" w:eastAsia="DengXian" w:hAnsi="Book Antiqua" w:cs="Times New Roman"/>
          <w:b/>
          <w:kern w:val="2"/>
          <w:sz w:val="24"/>
          <w:szCs w:val="24"/>
          <w:lang w:eastAsia="zh-CN"/>
        </w:rPr>
        <w:t>Younossi</w:t>
      </w:r>
      <w:proofErr w:type="spellEnd"/>
      <w:r w:rsidRPr="007932DD">
        <w:rPr>
          <w:rFonts w:ascii="Book Antiqua" w:eastAsia="DengXian" w:hAnsi="Book Antiqua" w:cs="Times New Roman"/>
          <w:b/>
          <w:kern w:val="2"/>
          <w:sz w:val="24"/>
          <w:szCs w:val="24"/>
          <w:lang w:eastAsia="zh-CN"/>
        </w:rPr>
        <w:t xml:space="preserve"> ZM</w:t>
      </w:r>
      <w:r w:rsidRPr="007932DD">
        <w:rPr>
          <w:rFonts w:ascii="Book Antiqua" w:eastAsia="DengXian" w:hAnsi="Book Antiqua" w:cs="Times New Roman"/>
          <w:kern w:val="2"/>
          <w:sz w:val="24"/>
          <w:szCs w:val="24"/>
          <w:lang w:eastAsia="zh-CN"/>
        </w:rPr>
        <w:t xml:space="preserve">, </w:t>
      </w:r>
      <w:proofErr w:type="spellStart"/>
      <w:r w:rsidRPr="007932DD">
        <w:rPr>
          <w:rFonts w:ascii="Book Antiqua" w:eastAsia="DengXian" w:hAnsi="Book Antiqua" w:cs="Times New Roman"/>
          <w:kern w:val="2"/>
          <w:sz w:val="24"/>
          <w:szCs w:val="24"/>
          <w:lang w:eastAsia="zh-CN"/>
        </w:rPr>
        <w:t>Stepanova</w:t>
      </w:r>
      <w:proofErr w:type="spellEnd"/>
      <w:r w:rsidRPr="007932DD">
        <w:rPr>
          <w:rFonts w:ascii="Book Antiqua" w:eastAsia="DengXian" w:hAnsi="Book Antiqua" w:cs="Times New Roman"/>
          <w:kern w:val="2"/>
          <w:sz w:val="24"/>
          <w:szCs w:val="24"/>
          <w:lang w:eastAsia="zh-CN"/>
        </w:rPr>
        <w:t xml:space="preserve"> M, </w:t>
      </w:r>
      <w:proofErr w:type="spellStart"/>
      <w:r w:rsidRPr="007932DD">
        <w:rPr>
          <w:rFonts w:ascii="Book Antiqua" w:eastAsia="DengXian" w:hAnsi="Book Antiqua" w:cs="Times New Roman"/>
          <w:kern w:val="2"/>
          <w:sz w:val="24"/>
          <w:szCs w:val="24"/>
          <w:lang w:eastAsia="zh-CN"/>
        </w:rPr>
        <w:t>Afendy</w:t>
      </w:r>
      <w:proofErr w:type="spellEnd"/>
      <w:r w:rsidRPr="007932DD">
        <w:rPr>
          <w:rFonts w:ascii="Book Antiqua" w:eastAsia="DengXian" w:hAnsi="Book Antiqua" w:cs="Times New Roman"/>
          <w:kern w:val="2"/>
          <w:sz w:val="24"/>
          <w:szCs w:val="24"/>
          <w:lang w:eastAsia="zh-CN"/>
        </w:rPr>
        <w:t xml:space="preserve"> M, Fang Y, </w:t>
      </w:r>
      <w:proofErr w:type="spellStart"/>
      <w:r w:rsidRPr="007932DD">
        <w:rPr>
          <w:rFonts w:ascii="Book Antiqua" w:eastAsia="DengXian" w:hAnsi="Book Antiqua" w:cs="Times New Roman"/>
          <w:kern w:val="2"/>
          <w:sz w:val="24"/>
          <w:szCs w:val="24"/>
          <w:lang w:eastAsia="zh-CN"/>
        </w:rPr>
        <w:t>Younossi</w:t>
      </w:r>
      <w:proofErr w:type="spellEnd"/>
      <w:r w:rsidRPr="007932DD">
        <w:rPr>
          <w:rFonts w:ascii="Book Antiqua" w:eastAsia="DengXian" w:hAnsi="Book Antiqua" w:cs="Times New Roman"/>
          <w:kern w:val="2"/>
          <w:sz w:val="24"/>
          <w:szCs w:val="24"/>
          <w:lang w:eastAsia="zh-CN"/>
        </w:rPr>
        <w:t xml:space="preserve"> Y, Mir H, </w:t>
      </w:r>
      <w:proofErr w:type="spellStart"/>
      <w:r w:rsidRPr="007932DD">
        <w:rPr>
          <w:rFonts w:ascii="Book Antiqua" w:eastAsia="DengXian" w:hAnsi="Book Antiqua" w:cs="Times New Roman"/>
          <w:kern w:val="2"/>
          <w:sz w:val="24"/>
          <w:szCs w:val="24"/>
          <w:lang w:eastAsia="zh-CN"/>
        </w:rPr>
        <w:t>Srishord</w:t>
      </w:r>
      <w:proofErr w:type="spellEnd"/>
      <w:r w:rsidRPr="007932DD">
        <w:rPr>
          <w:rFonts w:ascii="Book Antiqua" w:eastAsia="DengXian" w:hAnsi="Book Antiqua" w:cs="Times New Roman"/>
          <w:kern w:val="2"/>
          <w:sz w:val="24"/>
          <w:szCs w:val="24"/>
          <w:lang w:eastAsia="zh-CN"/>
        </w:rPr>
        <w:t xml:space="preserve"> M. Changes in the prevalence of the most common causes of chronic liver diseases in the United States from 1988 to 2008. </w:t>
      </w:r>
      <w:proofErr w:type="spellStart"/>
      <w:r w:rsidRPr="007932DD">
        <w:rPr>
          <w:rFonts w:ascii="Book Antiqua" w:eastAsia="DengXian" w:hAnsi="Book Antiqua" w:cs="Times New Roman"/>
          <w:i/>
          <w:kern w:val="2"/>
          <w:sz w:val="24"/>
          <w:szCs w:val="24"/>
          <w:lang w:eastAsia="zh-CN"/>
        </w:rPr>
        <w:t>Clin</w:t>
      </w:r>
      <w:proofErr w:type="spellEnd"/>
      <w:r w:rsidRPr="007932DD">
        <w:rPr>
          <w:rFonts w:ascii="Book Antiqua" w:eastAsia="DengXian" w:hAnsi="Book Antiqua" w:cs="Times New Roman"/>
          <w:i/>
          <w:kern w:val="2"/>
          <w:sz w:val="24"/>
          <w:szCs w:val="24"/>
          <w:lang w:eastAsia="zh-CN"/>
        </w:rPr>
        <w:t xml:space="preserve"> </w:t>
      </w:r>
      <w:proofErr w:type="spellStart"/>
      <w:r w:rsidRPr="007932DD">
        <w:rPr>
          <w:rFonts w:ascii="Book Antiqua" w:eastAsia="DengXian" w:hAnsi="Book Antiqua" w:cs="Times New Roman"/>
          <w:i/>
          <w:kern w:val="2"/>
          <w:sz w:val="24"/>
          <w:szCs w:val="24"/>
          <w:lang w:eastAsia="zh-CN"/>
        </w:rPr>
        <w:t>Gastroenterol</w:t>
      </w:r>
      <w:proofErr w:type="spellEnd"/>
      <w:r w:rsidRPr="007932DD">
        <w:rPr>
          <w:rFonts w:ascii="Book Antiqua" w:eastAsia="DengXian" w:hAnsi="Book Antiqua" w:cs="Times New Roman"/>
          <w:i/>
          <w:kern w:val="2"/>
          <w:sz w:val="24"/>
          <w:szCs w:val="24"/>
          <w:lang w:eastAsia="zh-CN"/>
        </w:rPr>
        <w:t xml:space="preserve"> </w:t>
      </w:r>
      <w:proofErr w:type="spellStart"/>
      <w:r w:rsidRPr="007932DD">
        <w:rPr>
          <w:rFonts w:ascii="Book Antiqua" w:eastAsia="DengXian" w:hAnsi="Book Antiqua" w:cs="Times New Roman"/>
          <w:i/>
          <w:kern w:val="2"/>
          <w:sz w:val="24"/>
          <w:szCs w:val="24"/>
          <w:lang w:eastAsia="zh-CN"/>
        </w:rPr>
        <w:t>Hepatol</w:t>
      </w:r>
      <w:proofErr w:type="spellEnd"/>
      <w:r w:rsidRPr="007932DD">
        <w:rPr>
          <w:rFonts w:ascii="Book Antiqua" w:eastAsia="DengXian" w:hAnsi="Book Antiqua" w:cs="Times New Roman"/>
          <w:kern w:val="2"/>
          <w:sz w:val="24"/>
          <w:szCs w:val="24"/>
          <w:lang w:eastAsia="zh-CN"/>
        </w:rPr>
        <w:t xml:space="preserve"> 2011; </w:t>
      </w:r>
      <w:r w:rsidRPr="007932DD">
        <w:rPr>
          <w:rFonts w:ascii="Book Antiqua" w:eastAsia="DengXian" w:hAnsi="Book Antiqua" w:cs="Times New Roman"/>
          <w:b/>
          <w:kern w:val="2"/>
          <w:sz w:val="24"/>
          <w:szCs w:val="24"/>
          <w:lang w:eastAsia="zh-CN"/>
        </w:rPr>
        <w:t>9</w:t>
      </w:r>
      <w:r w:rsidRPr="007932DD">
        <w:rPr>
          <w:rFonts w:ascii="Book Antiqua" w:eastAsia="DengXian" w:hAnsi="Book Antiqua" w:cs="Times New Roman"/>
          <w:kern w:val="2"/>
          <w:sz w:val="24"/>
          <w:szCs w:val="24"/>
          <w:lang w:eastAsia="zh-CN"/>
        </w:rPr>
        <w:t>: 524-530.e1; quiz e60 [PMID: 21440669 DOI: 10.1016/j.cgh.2011.03.020]</w:t>
      </w:r>
    </w:p>
    <w:p w14:paraId="012FD8D0"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13 </w:t>
      </w:r>
      <w:r w:rsidRPr="007932DD">
        <w:rPr>
          <w:rFonts w:ascii="Book Antiqua" w:eastAsia="DengXian" w:hAnsi="Book Antiqua" w:cs="Times New Roman"/>
          <w:b/>
          <w:kern w:val="2"/>
          <w:sz w:val="24"/>
          <w:szCs w:val="24"/>
          <w:lang w:eastAsia="zh-CN"/>
        </w:rPr>
        <w:t>Sasaki A</w:t>
      </w:r>
      <w:r w:rsidRPr="007932DD">
        <w:rPr>
          <w:rFonts w:ascii="Book Antiqua" w:eastAsia="DengXian" w:hAnsi="Book Antiqua" w:cs="Times New Roman"/>
          <w:kern w:val="2"/>
          <w:sz w:val="24"/>
          <w:szCs w:val="24"/>
          <w:lang w:eastAsia="zh-CN"/>
        </w:rPr>
        <w:t xml:space="preserve">, Nitta H, Otsuka K, Umemura A, Baba S, Obuchi T, Wakabayashi G. Bariatric surgery and non-alcoholic Fatty liver disease: current and potential future treatments. </w:t>
      </w:r>
      <w:r w:rsidRPr="007932DD">
        <w:rPr>
          <w:rFonts w:ascii="Book Antiqua" w:eastAsia="DengXian" w:hAnsi="Book Antiqua" w:cs="Times New Roman"/>
          <w:i/>
          <w:kern w:val="2"/>
          <w:sz w:val="24"/>
          <w:szCs w:val="24"/>
          <w:lang w:eastAsia="zh-CN"/>
        </w:rPr>
        <w:t>Front Endocrinol (Lausanne)</w:t>
      </w:r>
      <w:r w:rsidRPr="007932DD">
        <w:rPr>
          <w:rFonts w:ascii="Book Antiqua" w:eastAsia="DengXian" w:hAnsi="Book Antiqua" w:cs="Times New Roman"/>
          <w:kern w:val="2"/>
          <w:sz w:val="24"/>
          <w:szCs w:val="24"/>
          <w:lang w:eastAsia="zh-CN"/>
        </w:rPr>
        <w:t xml:space="preserve"> 2014; </w:t>
      </w:r>
      <w:r w:rsidRPr="007932DD">
        <w:rPr>
          <w:rFonts w:ascii="Book Antiqua" w:eastAsia="DengXian" w:hAnsi="Book Antiqua" w:cs="Times New Roman"/>
          <w:b/>
          <w:kern w:val="2"/>
          <w:sz w:val="24"/>
          <w:szCs w:val="24"/>
          <w:lang w:eastAsia="zh-CN"/>
        </w:rPr>
        <w:t>5</w:t>
      </w:r>
      <w:r w:rsidRPr="007932DD">
        <w:rPr>
          <w:rFonts w:ascii="Book Antiqua" w:eastAsia="DengXian" w:hAnsi="Book Antiqua" w:cs="Times New Roman"/>
          <w:kern w:val="2"/>
          <w:sz w:val="24"/>
          <w:szCs w:val="24"/>
          <w:lang w:eastAsia="zh-CN"/>
        </w:rPr>
        <w:t>: 164 [PMID: 25386164 DOI: 10.3389/fendo.2014.00164]</w:t>
      </w:r>
    </w:p>
    <w:p w14:paraId="239D6594"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14 </w:t>
      </w:r>
      <w:proofErr w:type="spellStart"/>
      <w:r w:rsidRPr="007932DD">
        <w:rPr>
          <w:rFonts w:ascii="Book Antiqua" w:eastAsia="DengXian" w:hAnsi="Book Antiqua" w:cs="Times New Roman"/>
          <w:b/>
          <w:kern w:val="2"/>
          <w:sz w:val="24"/>
          <w:szCs w:val="24"/>
          <w:lang w:eastAsia="zh-CN"/>
        </w:rPr>
        <w:t>Subichin</w:t>
      </w:r>
      <w:proofErr w:type="spellEnd"/>
      <w:r w:rsidRPr="007932DD">
        <w:rPr>
          <w:rFonts w:ascii="Book Antiqua" w:eastAsia="DengXian" w:hAnsi="Book Antiqua" w:cs="Times New Roman"/>
          <w:b/>
          <w:kern w:val="2"/>
          <w:sz w:val="24"/>
          <w:szCs w:val="24"/>
          <w:lang w:eastAsia="zh-CN"/>
        </w:rPr>
        <w:t xml:space="preserve"> M</w:t>
      </w:r>
      <w:r w:rsidRPr="007932DD">
        <w:rPr>
          <w:rFonts w:ascii="Book Antiqua" w:eastAsia="DengXian" w:hAnsi="Book Antiqua" w:cs="Times New Roman"/>
          <w:kern w:val="2"/>
          <w:sz w:val="24"/>
          <w:szCs w:val="24"/>
          <w:lang w:eastAsia="zh-CN"/>
        </w:rPr>
        <w:t xml:space="preserve">, Clanton J, </w:t>
      </w:r>
      <w:proofErr w:type="spellStart"/>
      <w:r w:rsidRPr="007932DD">
        <w:rPr>
          <w:rFonts w:ascii="Book Antiqua" w:eastAsia="DengXian" w:hAnsi="Book Antiqua" w:cs="Times New Roman"/>
          <w:kern w:val="2"/>
          <w:sz w:val="24"/>
          <w:szCs w:val="24"/>
          <w:lang w:eastAsia="zh-CN"/>
        </w:rPr>
        <w:t>Makuszewski</w:t>
      </w:r>
      <w:proofErr w:type="spellEnd"/>
      <w:r w:rsidRPr="007932DD">
        <w:rPr>
          <w:rFonts w:ascii="Book Antiqua" w:eastAsia="DengXian" w:hAnsi="Book Antiqua" w:cs="Times New Roman"/>
          <w:kern w:val="2"/>
          <w:sz w:val="24"/>
          <w:szCs w:val="24"/>
          <w:lang w:eastAsia="zh-CN"/>
        </w:rPr>
        <w:t xml:space="preserve"> M, </w:t>
      </w:r>
      <w:proofErr w:type="spellStart"/>
      <w:r w:rsidRPr="007932DD">
        <w:rPr>
          <w:rFonts w:ascii="Book Antiqua" w:eastAsia="DengXian" w:hAnsi="Book Antiqua" w:cs="Times New Roman"/>
          <w:kern w:val="2"/>
          <w:sz w:val="24"/>
          <w:szCs w:val="24"/>
          <w:lang w:eastAsia="zh-CN"/>
        </w:rPr>
        <w:t>Bohon</w:t>
      </w:r>
      <w:proofErr w:type="spellEnd"/>
      <w:r w:rsidRPr="007932DD">
        <w:rPr>
          <w:rFonts w:ascii="Book Antiqua" w:eastAsia="DengXian" w:hAnsi="Book Antiqua" w:cs="Times New Roman"/>
          <w:kern w:val="2"/>
          <w:sz w:val="24"/>
          <w:szCs w:val="24"/>
          <w:lang w:eastAsia="zh-CN"/>
        </w:rPr>
        <w:t xml:space="preserve"> A, </w:t>
      </w:r>
      <w:proofErr w:type="spellStart"/>
      <w:r w:rsidRPr="007932DD">
        <w:rPr>
          <w:rFonts w:ascii="Book Antiqua" w:eastAsia="DengXian" w:hAnsi="Book Antiqua" w:cs="Times New Roman"/>
          <w:kern w:val="2"/>
          <w:sz w:val="24"/>
          <w:szCs w:val="24"/>
          <w:lang w:eastAsia="zh-CN"/>
        </w:rPr>
        <w:t>Zografakis</w:t>
      </w:r>
      <w:proofErr w:type="spellEnd"/>
      <w:r w:rsidRPr="007932DD">
        <w:rPr>
          <w:rFonts w:ascii="Book Antiqua" w:eastAsia="DengXian" w:hAnsi="Book Antiqua" w:cs="Times New Roman"/>
          <w:kern w:val="2"/>
          <w:sz w:val="24"/>
          <w:szCs w:val="24"/>
          <w:lang w:eastAsia="zh-CN"/>
        </w:rPr>
        <w:t xml:space="preserve"> JG, Dan A. Liver disease in the morbidly obese: a review of 1000 consecutive patients undergoing weight loss surgery. </w:t>
      </w:r>
      <w:proofErr w:type="spellStart"/>
      <w:r w:rsidRPr="007932DD">
        <w:rPr>
          <w:rFonts w:ascii="Book Antiqua" w:eastAsia="DengXian" w:hAnsi="Book Antiqua" w:cs="Times New Roman"/>
          <w:i/>
          <w:kern w:val="2"/>
          <w:sz w:val="24"/>
          <w:szCs w:val="24"/>
          <w:lang w:eastAsia="zh-CN"/>
        </w:rPr>
        <w:t>Surg</w:t>
      </w:r>
      <w:proofErr w:type="spellEnd"/>
      <w:r w:rsidRPr="007932DD">
        <w:rPr>
          <w:rFonts w:ascii="Book Antiqua" w:eastAsia="DengXian" w:hAnsi="Book Antiqua" w:cs="Times New Roman"/>
          <w:i/>
          <w:kern w:val="2"/>
          <w:sz w:val="24"/>
          <w:szCs w:val="24"/>
          <w:lang w:eastAsia="zh-CN"/>
        </w:rPr>
        <w:t xml:space="preserve"> </w:t>
      </w:r>
      <w:proofErr w:type="spellStart"/>
      <w:r w:rsidRPr="007932DD">
        <w:rPr>
          <w:rFonts w:ascii="Book Antiqua" w:eastAsia="DengXian" w:hAnsi="Book Antiqua" w:cs="Times New Roman"/>
          <w:i/>
          <w:kern w:val="2"/>
          <w:sz w:val="24"/>
          <w:szCs w:val="24"/>
          <w:lang w:eastAsia="zh-CN"/>
        </w:rPr>
        <w:t>Obes</w:t>
      </w:r>
      <w:proofErr w:type="spellEnd"/>
      <w:r w:rsidRPr="007932DD">
        <w:rPr>
          <w:rFonts w:ascii="Book Antiqua" w:eastAsia="DengXian" w:hAnsi="Book Antiqua" w:cs="Times New Roman"/>
          <w:i/>
          <w:kern w:val="2"/>
          <w:sz w:val="24"/>
          <w:szCs w:val="24"/>
          <w:lang w:eastAsia="zh-CN"/>
        </w:rPr>
        <w:t xml:space="preserve"> </w:t>
      </w:r>
      <w:proofErr w:type="spellStart"/>
      <w:r w:rsidRPr="007932DD">
        <w:rPr>
          <w:rFonts w:ascii="Book Antiqua" w:eastAsia="DengXian" w:hAnsi="Book Antiqua" w:cs="Times New Roman"/>
          <w:i/>
          <w:kern w:val="2"/>
          <w:sz w:val="24"/>
          <w:szCs w:val="24"/>
          <w:lang w:eastAsia="zh-CN"/>
        </w:rPr>
        <w:t>Relat</w:t>
      </w:r>
      <w:proofErr w:type="spellEnd"/>
      <w:r w:rsidRPr="007932DD">
        <w:rPr>
          <w:rFonts w:ascii="Book Antiqua" w:eastAsia="DengXian" w:hAnsi="Book Antiqua" w:cs="Times New Roman"/>
          <w:i/>
          <w:kern w:val="2"/>
          <w:sz w:val="24"/>
          <w:szCs w:val="24"/>
          <w:lang w:eastAsia="zh-CN"/>
        </w:rPr>
        <w:t xml:space="preserve"> Dis</w:t>
      </w:r>
      <w:r w:rsidRPr="007932DD">
        <w:rPr>
          <w:rFonts w:ascii="Book Antiqua" w:eastAsia="DengXian" w:hAnsi="Book Antiqua" w:cs="Times New Roman"/>
          <w:kern w:val="2"/>
          <w:sz w:val="24"/>
          <w:szCs w:val="24"/>
          <w:lang w:eastAsia="zh-CN"/>
        </w:rPr>
        <w:t xml:space="preserve"> 2015; </w:t>
      </w:r>
      <w:r w:rsidRPr="007932DD">
        <w:rPr>
          <w:rFonts w:ascii="Book Antiqua" w:eastAsia="DengXian" w:hAnsi="Book Antiqua" w:cs="Times New Roman"/>
          <w:b/>
          <w:kern w:val="2"/>
          <w:sz w:val="24"/>
          <w:szCs w:val="24"/>
          <w:lang w:eastAsia="zh-CN"/>
        </w:rPr>
        <w:t>11</w:t>
      </w:r>
      <w:r w:rsidRPr="007932DD">
        <w:rPr>
          <w:rFonts w:ascii="Book Antiqua" w:eastAsia="DengXian" w:hAnsi="Book Antiqua" w:cs="Times New Roman"/>
          <w:kern w:val="2"/>
          <w:sz w:val="24"/>
          <w:szCs w:val="24"/>
          <w:lang w:eastAsia="zh-CN"/>
        </w:rPr>
        <w:t>: 137-141 [PMID: 25701959 DOI: 10.1016/j.soard.2014.06.015]</w:t>
      </w:r>
    </w:p>
    <w:p w14:paraId="684E9337"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15 </w:t>
      </w:r>
      <w:proofErr w:type="spellStart"/>
      <w:r w:rsidRPr="007932DD">
        <w:rPr>
          <w:rFonts w:ascii="Book Antiqua" w:eastAsia="DengXian" w:hAnsi="Book Antiqua" w:cs="Times New Roman"/>
          <w:b/>
          <w:kern w:val="2"/>
          <w:sz w:val="24"/>
          <w:szCs w:val="24"/>
          <w:lang w:eastAsia="zh-CN"/>
        </w:rPr>
        <w:t>Younossi</w:t>
      </w:r>
      <w:proofErr w:type="spellEnd"/>
      <w:r w:rsidRPr="007932DD">
        <w:rPr>
          <w:rFonts w:ascii="Book Antiqua" w:eastAsia="DengXian" w:hAnsi="Book Antiqua" w:cs="Times New Roman"/>
          <w:b/>
          <w:kern w:val="2"/>
          <w:sz w:val="24"/>
          <w:szCs w:val="24"/>
          <w:lang w:eastAsia="zh-CN"/>
        </w:rPr>
        <w:t xml:space="preserve"> Z</w:t>
      </w:r>
      <w:r w:rsidRPr="007932DD">
        <w:rPr>
          <w:rFonts w:ascii="Book Antiqua" w:eastAsia="DengXian" w:hAnsi="Book Antiqua" w:cs="Times New Roman"/>
          <w:kern w:val="2"/>
          <w:sz w:val="24"/>
          <w:szCs w:val="24"/>
          <w:lang w:eastAsia="zh-CN"/>
        </w:rPr>
        <w:t xml:space="preserve">, </w:t>
      </w:r>
      <w:proofErr w:type="spellStart"/>
      <w:r w:rsidRPr="007932DD">
        <w:rPr>
          <w:rFonts w:ascii="Book Antiqua" w:eastAsia="DengXian" w:hAnsi="Book Antiqua" w:cs="Times New Roman"/>
          <w:kern w:val="2"/>
          <w:sz w:val="24"/>
          <w:szCs w:val="24"/>
          <w:lang w:eastAsia="zh-CN"/>
        </w:rPr>
        <w:t>Anstee</w:t>
      </w:r>
      <w:proofErr w:type="spellEnd"/>
      <w:r w:rsidRPr="007932DD">
        <w:rPr>
          <w:rFonts w:ascii="Book Antiqua" w:eastAsia="DengXian" w:hAnsi="Book Antiqua" w:cs="Times New Roman"/>
          <w:kern w:val="2"/>
          <w:sz w:val="24"/>
          <w:szCs w:val="24"/>
          <w:lang w:eastAsia="zh-CN"/>
        </w:rPr>
        <w:t xml:space="preserve"> QM, </w:t>
      </w:r>
      <w:proofErr w:type="spellStart"/>
      <w:r w:rsidRPr="007932DD">
        <w:rPr>
          <w:rFonts w:ascii="Book Antiqua" w:eastAsia="DengXian" w:hAnsi="Book Antiqua" w:cs="Times New Roman"/>
          <w:kern w:val="2"/>
          <w:sz w:val="24"/>
          <w:szCs w:val="24"/>
          <w:lang w:eastAsia="zh-CN"/>
        </w:rPr>
        <w:t>Marietti</w:t>
      </w:r>
      <w:proofErr w:type="spellEnd"/>
      <w:r w:rsidRPr="007932DD">
        <w:rPr>
          <w:rFonts w:ascii="Book Antiqua" w:eastAsia="DengXian" w:hAnsi="Book Antiqua" w:cs="Times New Roman"/>
          <w:kern w:val="2"/>
          <w:sz w:val="24"/>
          <w:szCs w:val="24"/>
          <w:lang w:eastAsia="zh-CN"/>
        </w:rPr>
        <w:t xml:space="preserve"> M, Hardy T, Henry L, </w:t>
      </w:r>
      <w:proofErr w:type="spellStart"/>
      <w:r w:rsidRPr="007932DD">
        <w:rPr>
          <w:rFonts w:ascii="Book Antiqua" w:eastAsia="DengXian" w:hAnsi="Book Antiqua" w:cs="Times New Roman"/>
          <w:kern w:val="2"/>
          <w:sz w:val="24"/>
          <w:szCs w:val="24"/>
          <w:lang w:eastAsia="zh-CN"/>
        </w:rPr>
        <w:t>Eslam</w:t>
      </w:r>
      <w:proofErr w:type="spellEnd"/>
      <w:r w:rsidRPr="007932DD">
        <w:rPr>
          <w:rFonts w:ascii="Book Antiqua" w:eastAsia="DengXian" w:hAnsi="Book Antiqua" w:cs="Times New Roman"/>
          <w:kern w:val="2"/>
          <w:sz w:val="24"/>
          <w:szCs w:val="24"/>
          <w:lang w:eastAsia="zh-CN"/>
        </w:rPr>
        <w:t xml:space="preserve"> M, George J, </w:t>
      </w:r>
      <w:proofErr w:type="spellStart"/>
      <w:r w:rsidRPr="007932DD">
        <w:rPr>
          <w:rFonts w:ascii="Book Antiqua" w:eastAsia="DengXian" w:hAnsi="Book Antiqua" w:cs="Times New Roman"/>
          <w:kern w:val="2"/>
          <w:sz w:val="24"/>
          <w:szCs w:val="24"/>
          <w:lang w:eastAsia="zh-CN"/>
        </w:rPr>
        <w:t>Bugianesi</w:t>
      </w:r>
      <w:proofErr w:type="spellEnd"/>
      <w:r w:rsidRPr="007932DD">
        <w:rPr>
          <w:rFonts w:ascii="Book Antiqua" w:eastAsia="DengXian" w:hAnsi="Book Antiqua" w:cs="Times New Roman"/>
          <w:kern w:val="2"/>
          <w:sz w:val="24"/>
          <w:szCs w:val="24"/>
          <w:lang w:eastAsia="zh-CN"/>
        </w:rPr>
        <w:t xml:space="preserve"> E. Global burden of NAFLD and NASH: trends, predictions, risk factors and prevention. </w:t>
      </w:r>
      <w:r w:rsidRPr="007932DD">
        <w:rPr>
          <w:rFonts w:ascii="Book Antiqua" w:eastAsia="DengXian" w:hAnsi="Book Antiqua" w:cs="Times New Roman"/>
          <w:i/>
          <w:kern w:val="2"/>
          <w:sz w:val="24"/>
          <w:szCs w:val="24"/>
          <w:lang w:eastAsia="zh-CN"/>
        </w:rPr>
        <w:t xml:space="preserve">Nat Rev </w:t>
      </w:r>
      <w:proofErr w:type="spellStart"/>
      <w:r w:rsidRPr="007932DD">
        <w:rPr>
          <w:rFonts w:ascii="Book Antiqua" w:eastAsia="DengXian" w:hAnsi="Book Antiqua" w:cs="Times New Roman"/>
          <w:i/>
          <w:kern w:val="2"/>
          <w:sz w:val="24"/>
          <w:szCs w:val="24"/>
          <w:lang w:eastAsia="zh-CN"/>
        </w:rPr>
        <w:t>Gastroenterol</w:t>
      </w:r>
      <w:proofErr w:type="spellEnd"/>
      <w:r w:rsidRPr="007932DD">
        <w:rPr>
          <w:rFonts w:ascii="Book Antiqua" w:eastAsia="DengXian" w:hAnsi="Book Antiqua" w:cs="Times New Roman"/>
          <w:i/>
          <w:kern w:val="2"/>
          <w:sz w:val="24"/>
          <w:szCs w:val="24"/>
          <w:lang w:eastAsia="zh-CN"/>
        </w:rPr>
        <w:t xml:space="preserve"> </w:t>
      </w:r>
      <w:proofErr w:type="spellStart"/>
      <w:r w:rsidRPr="007932DD">
        <w:rPr>
          <w:rFonts w:ascii="Book Antiqua" w:eastAsia="DengXian" w:hAnsi="Book Antiqua" w:cs="Times New Roman"/>
          <w:i/>
          <w:kern w:val="2"/>
          <w:sz w:val="24"/>
          <w:szCs w:val="24"/>
          <w:lang w:eastAsia="zh-CN"/>
        </w:rPr>
        <w:t>Hepatol</w:t>
      </w:r>
      <w:proofErr w:type="spellEnd"/>
      <w:r w:rsidRPr="007932DD">
        <w:rPr>
          <w:rFonts w:ascii="Book Antiqua" w:eastAsia="DengXian" w:hAnsi="Book Antiqua" w:cs="Times New Roman"/>
          <w:kern w:val="2"/>
          <w:sz w:val="24"/>
          <w:szCs w:val="24"/>
          <w:lang w:eastAsia="zh-CN"/>
        </w:rPr>
        <w:t xml:space="preserve"> 2018; </w:t>
      </w:r>
      <w:r w:rsidRPr="007932DD">
        <w:rPr>
          <w:rFonts w:ascii="Book Antiqua" w:eastAsia="DengXian" w:hAnsi="Book Antiqua" w:cs="Times New Roman"/>
          <w:b/>
          <w:kern w:val="2"/>
          <w:sz w:val="24"/>
          <w:szCs w:val="24"/>
          <w:lang w:eastAsia="zh-CN"/>
        </w:rPr>
        <w:t>15</w:t>
      </w:r>
      <w:r w:rsidRPr="007932DD">
        <w:rPr>
          <w:rFonts w:ascii="Book Antiqua" w:eastAsia="DengXian" w:hAnsi="Book Antiqua" w:cs="Times New Roman"/>
          <w:kern w:val="2"/>
          <w:sz w:val="24"/>
          <w:szCs w:val="24"/>
          <w:lang w:eastAsia="zh-CN"/>
        </w:rPr>
        <w:t>: 11-20 [PMID: 28930295 DOI: 10.1038/nrgastro.2017.109]</w:t>
      </w:r>
    </w:p>
    <w:p w14:paraId="29729004"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16 </w:t>
      </w:r>
      <w:r w:rsidRPr="007932DD">
        <w:rPr>
          <w:rFonts w:ascii="Book Antiqua" w:eastAsia="DengXian" w:hAnsi="Book Antiqua" w:cs="Times New Roman"/>
          <w:b/>
          <w:bCs/>
          <w:kern w:val="2"/>
          <w:sz w:val="24"/>
          <w:szCs w:val="24"/>
          <w:lang w:eastAsia="zh-CN"/>
        </w:rPr>
        <w:t xml:space="preserve">World Health </w:t>
      </w:r>
      <w:proofErr w:type="spellStart"/>
      <w:r w:rsidRPr="007932DD">
        <w:rPr>
          <w:rFonts w:ascii="Book Antiqua" w:eastAsia="DengXian" w:hAnsi="Book Antiqua" w:cs="Times New Roman"/>
          <w:b/>
          <w:bCs/>
          <w:kern w:val="2"/>
          <w:sz w:val="24"/>
          <w:szCs w:val="24"/>
          <w:lang w:eastAsia="zh-CN"/>
        </w:rPr>
        <w:t>Organisation</w:t>
      </w:r>
      <w:proofErr w:type="spellEnd"/>
      <w:r w:rsidRPr="007932DD">
        <w:rPr>
          <w:rFonts w:ascii="Book Antiqua" w:eastAsia="DengXian" w:hAnsi="Book Antiqua" w:cs="Times New Roman"/>
          <w:kern w:val="2"/>
          <w:sz w:val="24"/>
          <w:szCs w:val="24"/>
          <w:lang w:eastAsia="zh-CN"/>
        </w:rPr>
        <w:t xml:space="preserve">. Global status report on alcohol and health 2014: Glob status Rep alcohol. 2014: 1–392. Available from: URL: </w:t>
      </w:r>
      <w:r w:rsidRPr="007932DD">
        <w:rPr>
          <w:rFonts w:ascii="Book Antiqua" w:eastAsia="DengXian" w:hAnsi="Book Antiqua" w:cs="Times New Roman"/>
          <w:kern w:val="2"/>
          <w:sz w:val="24"/>
          <w:szCs w:val="24"/>
          <w:lang w:eastAsia="zh-CN"/>
        </w:rPr>
        <w:lastRenderedPageBreak/>
        <w:t>http://apps.who.int/iris/bitstream/10665/112736/1/9789240692763_eng.pdf?ua=1</w:t>
      </w:r>
    </w:p>
    <w:p w14:paraId="2B0BC252"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17 </w:t>
      </w:r>
      <w:r w:rsidRPr="007932DD">
        <w:rPr>
          <w:rFonts w:ascii="Book Antiqua" w:eastAsia="DengXian" w:hAnsi="Book Antiqua" w:cs="Times New Roman"/>
          <w:b/>
          <w:kern w:val="2"/>
          <w:sz w:val="24"/>
          <w:szCs w:val="24"/>
          <w:lang w:eastAsia="zh-CN"/>
        </w:rPr>
        <w:t>Marks P</w:t>
      </w:r>
      <w:r w:rsidRPr="007932DD">
        <w:rPr>
          <w:rFonts w:ascii="Book Antiqua" w:eastAsia="DengXian" w:hAnsi="Book Antiqua" w:cs="Times New Roman"/>
          <w:kern w:val="2"/>
          <w:sz w:val="24"/>
          <w:szCs w:val="24"/>
          <w:lang w:eastAsia="zh-CN"/>
        </w:rPr>
        <w:t xml:space="preserve">, Williams R. Calorie and alcohol consumption in nonalcoholic fatty liver disease. </w:t>
      </w:r>
      <w:proofErr w:type="spellStart"/>
      <w:r w:rsidRPr="007932DD">
        <w:rPr>
          <w:rFonts w:ascii="Book Antiqua" w:eastAsia="DengXian" w:hAnsi="Book Antiqua" w:cs="Times New Roman"/>
          <w:i/>
          <w:kern w:val="2"/>
          <w:sz w:val="24"/>
          <w:szCs w:val="24"/>
          <w:lang w:eastAsia="zh-CN"/>
        </w:rPr>
        <w:t>Eur</w:t>
      </w:r>
      <w:proofErr w:type="spellEnd"/>
      <w:r w:rsidRPr="007932DD">
        <w:rPr>
          <w:rFonts w:ascii="Book Antiqua" w:eastAsia="DengXian" w:hAnsi="Book Antiqua" w:cs="Times New Roman"/>
          <w:i/>
          <w:kern w:val="2"/>
          <w:sz w:val="24"/>
          <w:szCs w:val="24"/>
          <w:lang w:eastAsia="zh-CN"/>
        </w:rPr>
        <w:t xml:space="preserve"> J </w:t>
      </w:r>
      <w:proofErr w:type="spellStart"/>
      <w:r w:rsidRPr="007932DD">
        <w:rPr>
          <w:rFonts w:ascii="Book Antiqua" w:eastAsia="DengXian" w:hAnsi="Book Antiqua" w:cs="Times New Roman"/>
          <w:i/>
          <w:kern w:val="2"/>
          <w:sz w:val="24"/>
          <w:szCs w:val="24"/>
          <w:lang w:eastAsia="zh-CN"/>
        </w:rPr>
        <w:t>Gastroenterol</w:t>
      </w:r>
      <w:proofErr w:type="spellEnd"/>
      <w:r w:rsidRPr="007932DD">
        <w:rPr>
          <w:rFonts w:ascii="Book Antiqua" w:eastAsia="DengXian" w:hAnsi="Book Antiqua" w:cs="Times New Roman"/>
          <w:i/>
          <w:kern w:val="2"/>
          <w:sz w:val="24"/>
          <w:szCs w:val="24"/>
          <w:lang w:eastAsia="zh-CN"/>
        </w:rPr>
        <w:t xml:space="preserve"> </w:t>
      </w:r>
      <w:proofErr w:type="spellStart"/>
      <w:r w:rsidRPr="007932DD">
        <w:rPr>
          <w:rFonts w:ascii="Book Antiqua" w:eastAsia="DengXian" w:hAnsi="Book Antiqua" w:cs="Times New Roman"/>
          <w:i/>
          <w:kern w:val="2"/>
          <w:sz w:val="24"/>
          <w:szCs w:val="24"/>
          <w:lang w:eastAsia="zh-CN"/>
        </w:rPr>
        <w:t>Hepatol</w:t>
      </w:r>
      <w:proofErr w:type="spellEnd"/>
      <w:r w:rsidRPr="007932DD">
        <w:rPr>
          <w:rFonts w:ascii="Book Antiqua" w:eastAsia="DengXian" w:hAnsi="Book Antiqua" w:cs="Times New Roman"/>
          <w:kern w:val="2"/>
          <w:sz w:val="24"/>
          <w:szCs w:val="24"/>
          <w:lang w:eastAsia="zh-CN"/>
        </w:rPr>
        <w:t xml:space="preserve"> 2012; </w:t>
      </w:r>
      <w:r w:rsidRPr="007932DD">
        <w:rPr>
          <w:rFonts w:ascii="Book Antiqua" w:eastAsia="DengXian" w:hAnsi="Book Antiqua" w:cs="Times New Roman"/>
          <w:b/>
          <w:kern w:val="2"/>
          <w:sz w:val="24"/>
          <w:szCs w:val="24"/>
          <w:lang w:eastAsia="zh-CN"/>
        </w:rPr>
        <w:t>24</w:t>
      </w:r>
      <w:r w:rsidRPr="007932DD">
        <w:rPr>
          <w:rFonts w:ascii="Book Antiqua" w:eastAsia="DengXian" w:hAnsi="Book Antiqua" w:cs="Times New Roman"/>
          <w:kern w:val="2"/>
          <w:sz w:val="24"/>
          <w:szCs w:val="24"/>
          <w:lang w:eastAsia="zh-CN"/>
        </w:rPr>
        <w:t>: 527-530 [PMID: 22343784 DOI: 10.1097/MEG.0b013e3283514edb]</w:t>
      </w:r>
    </w:p>
    <w:p w14:paraId="7D2A8799"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18 </w:t>
      </w:r>
      <w:proofErr w:type="spellStart"/>
      <w:r w:rsidRPr="007932DD">
        <w:rPr>
          <w:rFonts w:ascii="Book Antiqua" w:eastAsia="DengXian" w:hAnsi="Book Antiqua" w:cs="Times New Roman"/>
          <w:b/>
          <w:kern w:val="2"/>
          <w:sz w:val="24"/>
          <w:szCs w:val="24"/>
          <w:lang w:eastAsia="zh-CN"/>
        </w:rPr>
        <w:t>Daeppen</w:t>
      </w:r>
      <w:proofErr w:type="spellEnd"/>
      <w:r w:rsidRPr="007932DD">
        <w:rPr>
          <w:rFonts w:ascii="Book Antiqua" w:eastAsia="DengXian" w:hAnsi="Book Antiqua" w:cs="Times New Roman"/>
          <w:b/>
          <w:kern w:val="2"/>
          <w:sz w:val="24"/>
          <w:szCs w:val="24"/>
          <w:lang w:eastAsia="zh-CN"/>
        </w:rPr>
        <w:t xml:space="preserve"> JB</w:t>
      </w:r>
      <w:r w:rsidRPr="007932DD">
        <w:rPr>
          <w:rFonts w:ascii="Book Antiqua" w:eastAsia="DengXian" w:hAnsi="Book Antiqua" w:cs="Times New Roman"/>
          <w:kern w:val="2"/>
          <w:sz w:val="24"/>
          <w:szCs w:val="24"/>
          <w:lang w:eastAsia="zh-CN"/>
        </w:rPr>
        <w:t xml:space="preserve">, Smith TL, </w:t>
      </w:r>
      <w:proofErr w:type="spellStart"/>
      <w:r w:rsidRPr="007932DD">
        <w:rPr>
          <w:rFonts w:ascii="Book Antiqua" w:eastAsia="DengXian" w:hAnsi="Book Antiqua" w:cs="Times New Roman"/>
          <w:kern w:val="2"/>
          <w:sz w:val="24"/>
          <w:szCs w:val="24"/>
          <w:lang w:eastAsia="zh-CN"/>
        </w:rPr>
        <w:t>Schuckit</w:t>
      </w:r>
      <w:proofErr w:type="spellEnd"/>
      <w:r w:rsidRPr="007932DD">
        <w:rPr>
          <w:rFonts w:ascii="Book Antiqua" w:eastAsia="DengXian" w:hAnsi="Book Antiqua" w:cs="Times New Roman"/>
          <w:kern w:val="2"/>
          <w:sz w:val="24"/>
          <w:szCs w:val="24"/>
          <w:lang w:eastAsia="zh-CN"/>
        </w:rPr>
        <w:t xml:space="preserve"> MA. Influence of age and body mass index on gamma-</w:t>
      </w:r>
      <w:proofErr w:type="spellStart"/>
      <w:r w:rsidRPr="007932DD">
        <w:rPr>
          <w:rFonts w:ascii="Book Antiqua" w:eastAsia="DengXian" w:hAnsi="Book Antiqua" w:cs="Times New Roman"/>
          <w:kern w:val="2"/>
          <w:sz w:val="24"/>
          <w:szCs w:val="24"/>
          <w:lang w:eastAsia="zh-CN"/>
        </w:rPr>
        <w:t>glutamyltransferase</w:t>
      </w:r>
      <w:proofErr w:type="spellEnd"/>
      <w:r w:rsidRPr="007932DD">
        <w:rPr>
          <w:rFonts w:ascii="Book Antiqua" w:eastAsia="DengXian" w:hAnsi="Book Antiqua" w:cs="Times New Roman"/>
          <w:kern w:val="2"/>
          <w:sz w:val="24"/>
          <w:szCs w:val="24"/>
          <w:lang w:eastAsia="zh-CN"/>
        </w:rPr>
        <w:t xml:space="preserve"> activity: a 15-year follow-up evaluation in a community sample. </w:t>
      </w:r>
      <w:r w:rsidRPr="007932DD">
        <w:rPr>
          <w:rFonts w:ascii="Book Antiqua" w:eastAsia="DengXian" w:hAnsi="Book Antiqua" w:cs="Times New Roman"/>
          <w:i/>
          <w:kern w:val="2"/>
          <w:sz w:val="24"/>
          <w:szCs w:val="24"/>
          <w:lang w:eastAsia="zh-CN"/>
        </w:rPr>
        <w:t>Alcohol Clin Exp Res</w:t>
      </w:r>
      <w:r w:rsidRPr="007932DD">
        <w:rPr>
          <w:rFonts w:ascii="Book Antiqua" w:eastAsia="DengXian" w:hAnsi="Book Antiqua" w:cs="Times New Roman"/>
          <w:kern w:val="2"/>
          <w:sz w:val="24"/>
          <w:szCs w:val="24"/>
          <w:lang w:eastAsia="zh-CN"/>
        </w:rPr>
        <w:t xml:space="preserve"> 1998; </w:t>
      </w:r>
      <w:r w:rsidRPr="007932DD">
        <w:rPr>
          <w:rFonts w:ascii="Book Antiqua" w:eastAsia="DengXian" w:hAnsi="Book Antiqua" w:cs="Times New Roman"/>
          <w:b/>
          <w:kern w:val="2"/>
          <w:sz w:val="24"/>
          <w:szCs w:val="24"/>
          <w:lang w:eastAsia="zh-CN"/>
        </w:rPr>
        <w:t>22</w:t>
      </w:r>
      <w:r w:rsidRPr="007932DD">
        <w:rPr>
          <w:rFonts w:ascii="Book Antiqua" w:eastAsia="DengXian" w:hAnsi="Book Antiqua" w:cs="Times New Roman"/>
          <w:kern w:val="2"/>
          <w:sz w:val="24"/>
          <w:szCs w:val="24"/>
          <w:lang w:eastAsia="zh-CN"/>
        </w:rPr>
        <w:t>: 941-944 [PMID: 9660326 DOI: 10.1111/j.1530-0277.1998.tb03893.x]</w:t>
      </w:r>
    </w:p>
    <w:p w14:paraId="63A0E12E"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19 </w:t>
      </w:r>
      <w:r w:rsidRPr="007932DD">
        <w:rPr>
          <w:rFonts w:ascii="Book Antiqua" w:eastAsia="DengXian" w:hAnsi="Book Antiqua" w:cs="Times New Roman"/>
          <w:b/>
          <w:kern w:val="2"/>
          <w:sz w:val="24"/>
          <w:szCs w:val="24"/>
          <w:lang w:eastAsia="zh-CN"/>
        </w:rPr>
        <w:t>Lawlor DA</w:t>
      </w:r>
      <w:r w:rsidRPr="007932DD">
        <w:rPr>
          <w:rFonts w:ascii="Book Antiqua" w:eastAsia="DengXian" w:hAnsi="Book Antiqua" w:cs="Times New Roman"/>
          <w:kern w:val="2"/>
          <w:sz w:val="24"/>
          <w:szCs w:val="24"/>
          <w:lang w:eastAsia="zh-CN"/>
        </w:rPr>
        <w:t>, Sattar N, Smith GD, Ebrahim S. The associations of physical activity and adiposity with alanine aminotransferase and gamma-</w:t>
      </w:r>
      <w:proofErr w:type="spellStart"/>
      <w:r w:rsidRPr="007932DD">
        <w:rPr>
          <w:rFonts w:ascii="Book Antiqua" w:eastAsia="DengXian" w:hAnsi="Book Antiqua" w:cs="Times New Roman"/>
          <w:kern w:val="2"/>
          <w:sz w:val="24"/>
          <w:szCs w:val="24"/>
          <w:lang w:eastAsia="zh-CN"/>
        </w:rPr>
        <w:t>glutamyltransferase</w:t>
      </w:r>
      <w:proofErr w:type="spellEnd"/>
      <w:r w:rsidRPr="007932DD">
        <w:rPr>
          <w:rFonts w:ascii="Book Antiqua" w:eastAsia="DengXian" w:hAnsi="Book Antiqua" w:cs="Times New Roman"/>
          <w:kern w:val="2"/>
          <w:sz w:val="24"/>
          <w:szCs w:val="24"/>
          <w:lang w:eastAsia="zh-CN"/>
        </w:rPr>
        <w:t xml:space="preserve">. </w:t>
      </w:r>
      <w:r w:rsidRPr="007932DD">
        <w:rPr>
          <w:rFonts w:ascii="Book Antiqua" w:eastAsia="DengXian" w:hAnsi="Book Antiqua" w:cs="Times New Roman"/>
          <w:i/>
          <w:kern w:val="2"/>
          <w:sz w:val="24"/>
          <w:szCs w:val="24"/>
          <w:lang w:eastAsia="zh-CN"/>
        </w:rPr>
        <w:t>Am J Epidemiol</w:t>
      </w:r>
      <w:r w:rsidRPr="007932DD">
        <w:rPr>
          <w:rFonts w:ascii="Book Antiqua" w:eastAsia="DengXian" w:hAnsi="Book Antiqua" w:cs="Times New Roman"/>
          <w:kern w:val="2"/>
          <w:sz w:val="24"/>
          <w:szCs w:val="24"/>
          <w:lang w:eastAsia="zh-CN"/>
        </w:rPr>
        <w:t xml:space="preserve"> 2005; </w:t>
      </w:r>
      <w:r w:rsidRPr="007932DD">
        <w:rPr>
          <w:rFonts w:ascii="Book Antiqua" w:eastAsia="DengXian" w:hAnsi="Book Antiqua" w:cs="Times New Roman"/>
          <w:b/>
          <w:kern w:val="2"/>
          <w:sz w:val="24"/>
          <w:szCs w:val="24"/>
          <w:lang w:eastAsia="zh-CN"/>
        </w:rPr>
        <w:t>161</w:t>
      </w:r>
      <w:r w:rsidRPr="007932DD">
        <w:rPr>
          <w:rFonts w:ascii="Book Antiqua" w:eastAsia="DengXian" w:hAnsi="Book Antiqua" w:cs="Times New Roman"/>
          <w:kern w:val="2"/>
          <w:sz w:val="24"/>
          <w:szCs w:val="24"/>
          <w:lang w:eastAsia="zh-CN"/>
        </w:rPr>
        <w:t>: 1081-1088 [PMID: 15901629 DOI: 10.1093/</w:t>
      </w:r>
      <w:proofErr w:type="spellStart"/>
      <w:r w:rsidRPr="007932DD">
        <w:rPr>
          <w:rFonts w:ascii="Book Antiqua" w:eastAsia="DengXian" w:hAnsi="Book Antiqua" w:cs="Times New Roman"/>
          <w:kern w:val="2"/>
          <w:sz w:val="24"/>
          <w:szCs w:val="24"/>
          <w:lang w:eastAsia="zh-CN"/>
        </w:rPr>
        <w:t>aje</w:t>
      </w:r>
      <w:proofErr w:type="spellEnd"/>
      <w:r w:rsidRPr="007932DD">
        <w:rPr>
          <w:rFonts w:ascii="Book Antiqua" w:eastAsia="DengXian" w:hAnsi="Book Antiqua" w:cs="Times New Roman"/>
          <w:kern w:val="2"/>
          <w:sz w:val="24"/>
          <w:szCs w:val="24"/>
          <w:lang w:eastAsia="zh-CN"/>
        </w:rPr>
        <w:t>/kwi125]</w:t>
      </w:r>
    </w:p>
    <w:p w14:paraId="2DEB916E"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20 </w:t>
      </w:r>
      <w:r w:rsidRPr="007932DD">
        <w:rPr>
          <w:rFonts w:ascii="Book Antiqua" w:eastAsia="DengXian" w:hAnsi="Book Antiqua" w:cs="Times New Roman"/>
          <w:b/>
          <w:kern w:val="2"/>
          <w:sz w:val="24"/>
          <w:szCs w:val="24"/>
          <w:lang w:eastAsia="zh-CN"/>
        </w:rPr>
        <w:t>Rohrer JE</w:t>
      </w:r>
      <w:r w:rsidRPr="007932DD">
        <w:rPr>
          <w:rFonts w:ascii="Book Antiqua" w:eastAsia="DengXian" w:hAnsi="Book Antiqua" w:cs="Times New Roman"/>
          <w:kern w:val="2"/>
          <w:sz w:val="24"/>
          <w:szCs w:val="24"/>
          <w:lang w:eastAsia="zh-CN"/>
        </w:rPr>
        <w:t xml:space="preserve">, </w:t>
      </w:r>
      <w:proofErr w:type="spellStart"/>
      <w:r w:rsidRPr="007932DD">
        <w:rPr>
          <w:rFonts w:ascii="Book Antiqua" w:eastAsia="DengXian" w:hAnsi="Book Antiqua" w:cs="Times New Roman"/>
          <w:kern w:val="2"/>
          <w:sz w:val="24"/>
          <w:szCs w:val="24"/>
          <w:lang w:eastAsia="zh-CN"/>
        </w:rPr>
        <w:t>Rohland</w:t>
      </w:r>
      <w:proofErr w:type="spellEnd"/>
      <w:r w:rsidRPr="007932DD">
        <w:rPr>
          <w:rFonts w:ascii="Book Antiqua" w:eastAsia="DengXian" w:hAnsi="Book Antiqua" w:cs="Times New Roman"/>
          <w:kern w:val="2"/>
          <w:sz w:val="24"/>
          <w:szCs w:val="24"/>
          <w:lang w:eastAsia="zh-CN"/>
        </w:rPr>
        <w:t xml:space="preserve"> BM, Denison A, Way A. Frequency of alcohol use and obesity in community medicine patients. </w:t>
      </w:r>
      <w:r w:rsidRPr="007932DD">
        <w:rPr>
          <w:rFonts w:ascii="Book Antiqua" w:eastAsia="DengXian" w:hAnsi="Book Antiqua" w:cs="Times New Roman"/>
          <w:i/>
          <w:kern w:val="2"/>
          <w:sz w:val="24"/>
          <w:szCs w:val="24"/>
          <w:lang w:eastAsia="zh-CN"/>
        </w:rPr>
        <w:t xml:space="preserve">BMC </w:t>
      </w:r>
      <w:proofErr w:type="spellStart"/>
      <w:r w:rsidRPr="007932DD">
        <w:rPr>
          <w:rFonts w:ascii="Book Antiqua" w:eastAsia="DengXian" w:hAnsi="Book Antiqua" w:cs="Times New Roman"/>
          <w:i/>
          <w:kern w:val="2"/>
          <w:sz w:val="24"/>
          <w:szCs w:val="24"/>
          <w:lang w:eastAsia="zh-CN"/>
        </w:rPr>
        <w:t>Fam</w:t>
      </w:r>
      <w:proofErr w:type="spellEnd"/>
      <w:r w:rsidRPr="007932DD">
        <w:rPr>
          <w:rFonts w:ascii="Book Antiqua" w:eastAsia="DengXian" w:hAnsi="Book Antiqua" w:cs="Times New Roman"/>
          <w:i/>
          <w:kern w:val="2"/>
          <w:sz w:val="24"/>
          <w:szCs w:val="24"/>
          <w:lang w:eastAsia="zh-CN"/>
        </w:rPr>
        <w:t xml:space="preserve"> </w:t>
      </w:r>
      <w:proofErr w:type="spellStart"/>
      <w:r w:rsidRPr="007932DD">
        <w:rPr>
          <w:rFonts w:ascii="Book Antiqua" w:eastAsia="DengXian" w:hAnsi="Book Antiqua" w:cs="Times New Roman"/>
          <w:i/>
          <w:kern w:val="2"/>
          <w:sz w:val="24"/>
          <w:szCs w:val="24"/>
          <w:lang w:eastAsia="zh-CN"/>
        </w:rPr>
        <w:t>Pract</w:t>
      </w:r>
      <w:proofErr w:type="spellEnd"/>
      <w:r w:rsidRPr="007932DD">
        <w:rPr>
          <w:rFonts w:ascii="Book Antiqua" w:eastAsia="DengXian" w:hAnsi="Book Antiqua" w:cs="Times New Roman"/>
          <w:kern w:val="2"/>
          <w:sz w:val="24"/>
          <w:szCs w:val="24"/>
          <w:lang w:eastAsia="zh-CN"/>
        </w:rPr>
        <w:t xml:space="preserve"> 2005; </w:t>
      </w:r>
      <w:r w:rsidRPr="007932DD">
        <w:rPr>
          <w:rFonts w:ascii="Book Antiqua" w:eastAsia="DengXian" w:hAnsi="Book Antiqua" w:cs="Times New Roman"/>
          <w:b/>
          <w:kern w:val="2"/>
          <w:sz w:val="24"/>
          <w:szCs w:val="24"/>
          <w:lang w:eastAsia="zh-CN"/>
        </w:rPr>
        <w:t>6</w:t>
      </w:r>
      <w:r w:rsidRPr="007932DD">
        <w:rPr>
          <w:rFonts w:ascii="Book Antiqua" w:eastAsia="DengXian" w:hAnsi="Book Antiqua" w:cs="Times New Roman"/>
          <w:kern w:val="2"/>
          <w:sz w:val="24"/>
          <w:szCs w:val="24"/>
          <w:lang w:eastAsia="zh-CN"/>
        </w:rPr>
        <w:t>: 17 [PMID: 15845150 DOI: 10.1186/1471-2296-6-17]</w:t>
      </w:r>
    </w:p>
    <w:p w14:paraId="4136FC22"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21 </w:t>
      </w:r>
      <w:proofErr w:type="spellStart"/>
      <w:r w:rsidRPr="007932DD">
        <w:rPr>
          <w:rFonts w:ascii="Book Antiqua" w:eastAsia="DengXian" w:hAnsi="Book Antiqua" w:cs="Times New Roman"/>
          <w:b/>
          <w:kern w:val="2"/>
          <w:sz w:val="24"/>
          <w:szCs w:val="24"/>
          <w:lang w:eastAsia="zh-CN"/>
        </w:rPr>
        <w:t>Stranges</w:t>
      </w:r>
      <w:proofErr w:type="spellEnd"/>
      <w:r w:rsidRPr="007932DD">
        <w:rPr>
          <w:rFonts w:ascii="Book Antiqua" w:eastAsia="DengXian" w:hAnsi="Book Antiqua" w:cs="Times New Roman"/>
          <w:b/>
          <w:kern w:val="2"/>
          <w:sz w:val="24"/>
          <w:szCs w:val="24"/>
          <w:lang w:eastAsia="zh-CN"/>
        </w:rPr>
        <w:t xml:space="preserve"> S</w:t>
      </w:r>
      <w:r w:rsidRPr="007932DD">
        <w:rPr>
          <w:rFonts w:ascii="Book Antiqua" w:eastAsia="DengXian" w:hAnsi="Book Antiqua" w:cs="Times New Roman"/>
          <w:kern w:val="2"/>
          <w:sz w:val="24"/>
          <w:szCs w:val="24"/>
          <w:lang w:eastAsia="zh-CN"/>
        </w:rPr>
        <w:t xml:space="preserve">, Dorn JM, </w:t>
      </w:r>
      <w:proofErr w:type="spellStart"/>
      <w:r w:rsidRPr="007932DD">
        <w:rPr>
          <w:rFonts w:ascii="Book Antiqua" w:eastAsia="DengXian" w:hAnsi="Book Antiqua" w:cs="Times New Roman"/>
          <w:kern w:val="2"/>
          <w:sz w:val="24"/>
          <w:szCs w:val="24"/>
          <w:lang w:eastAsia="zh-CN"/>
        </w:rPr>
        <w:t>Muti</w:t>
      </w:r>
      <w:proofErr w:type="spellEnd"/>
      <w:r w:rsidRPr="007932DD">
        <w:rPr>
          <w:rFonts w:ascii="Book Antiqua" w:eastAsia="DengXian" w:hAnsi="Book Antiqua" w:cs="Times New Roman"/>
          <w:kern w:val="2"/>
          <w:sz w:val="24"/>
          <w:szCs w:val="24"/>
          <w:lang w:eastAsia="zh-CN"/>
        </w:rPr>
        <w:t xml:space="preserve"> P, </w:t>
      </w:r>
      <w:proofErr w:type="spellStart"/>
      <w:r w:rsidRPr="007932DD">
        <w:rPr>
          <w:rFonts w:ascii="Book Antiqua" w:eastAsia="DengXian" w:hAnsi="Book Antiqua" w:cs="Times New Roman"/>
          <w:kern w:val="2"/>
          <w:sz w:val="24"/>
          <w:szCs w:val="24"/>
          <w:lang w:eastAsia="zh-CN"/>
        </w:rPr>
        <w:t>Freudenheim</w:t>
      </w:r>
      <w:proofErr w:type="spellEnd"/>
      <w:r w:rsidRPr="007932DD">
        <w:rPr>
          <w:rFonts w:ascii="Book Antiqua" w:eastAsia="DengXian" w:hAnsi="Book Antiqua" w:cs="Times New Roman"/>
          <w:kern w:val="2"/>
          <w:sz w:val="24"/>
          <w:szCs w:val="24"/>
          <w:lang w:eastAsia="zh-CN"/>
        </w:rPr>
        <w:t xml:space="preserve"> JL, </w:t>
      </w:r>
      <w:proofErr w:type="spellStart"/>
      <w:r w:rsidRPr="007932DD">
        <w:rPr>
          <w:rFonts w:ascii="Book Antiqua" w:eastAsia="DengXian" w:hAnsi="Book Antiqua" w:cs="Times New Roman"/>
          <w:kern w:val="2"/>
          <w:sz w:val="24"/>
          <w:szCs w:val="24"/>
          <w:lang w:eastAsia="zh-CN"/>
        </w:rPr>
        <w:t>Farinaro</w:t>
      </w:r>
      <w:proofErr w:type="spellEnd"/>
      <w:r w:rsidRPr="007932DD">
        <w:rPr>
          <w:rFonts w:ascii="Book Antiqua" w:eastAsia="DengXian" w:hAnsi="Book Antiqua" w:cs="Times New Roman"/>
          <w:kern w:val="2"/>
          <w:sz w:val="24"/>
          <w:szCs w:val="24"/>
          <w:lang w:eastAsia="zh-CN"/>
        </w:rPr>
        <w:t xml:space="preserve"> E, Russell M, </w:t>
      </w:r>
      <w:proofErr w:type="spellStart"/>
      <w:r w:rsidRPr="007932DD">
        <w:rPr>
          <w:rFonts w:ascii="Book Antiqua" w:eastAsia="DengXian" w:hAnsi="Book Antiqua" w:cs="Times New Roman"/>
          <w:kern w:val="2"/>
          <w:sz w:val="24"/>
          <w:szCs w:val="24"/>
          <w:lang w:eastAsia="zh-CN"/>
        </w:rPr>
        <w:t>Nochajski</w:t>
      </w:r>
      <w:proofErr w:type="spellEnd"/>
      <w:r w:rsidRPr="007932DD">
        <w:rPr>
          <w:rFonts w:ascii="Book Antiqua" w:eastAsia="DengXian" w:hAnsi="Book Antiqua" w:cs="Times New Roman"/>
          <w:kern w:val="2"/>
          <w:sz w:val="24"/>
          <w:szCs w:val="24"/>
          <w:lang w:eastAsia="zh-CN"/>
        </w:rPr>
        <w:t xml:space="preserve"> TH, </w:t>
      </w:r>
      <w:proofErr w:type="spellStart"/>
      <w:r w:rsidRPr="007932DD">
        <w:rPr>
          <w:rFonts w:ascii="Book Antiqua" w:eastAsia="DengXian" w:hAnsi="Book Antiqua" w:cs="Times New Roman"/>
          <w:kern w:val="2"/>
          <w:sz w:val="24"/>
          <w:szCs w:val="24"/>
          <w:lang w:eastAsia="zh-CN"/>
        </w:rPr>
        <w:t>Trevisan</w:t>
      </w:r>
      <w:proofErr w:type="spellEnd"/>
      <w:r w:rsidRPr="007932DD">
        <w:rPr>
          <w:rFonts w:ascii="Book Antiqua" w:eastAsia="DengXian" w:hAnsi="Book Antiqua" w:cs="Times New Roman"/>
          <w:kern w:val="2"/>
          <w:sz w:val="24"/>
          <w:szCs w:val="24"/>
          <w:lang w:eastAsia="zh-CN"/>
        </w:rPr>
        <w:t xml:space="preserve"> M. Body fat distribution, relative weight, and liver enzyme levels: a population-based study. </w:t>
      </w:r>
      <w:r w:rsidRPr="007932DD">
        <w:rPr>
          <w:rFonts w:ascii="Book Antiqua" w:eastAsia="DengXian" w:hAnsi="Book Antiqua" w:cs="Times New Roman"/>
          <w:i/>
          <w:kern w:val="2"/>
          <w:sz w:val="24"/>
          <w:szCs w:val="24"/>
          <w:lang w:eastAsia="zh-CN"/>
        </w:rPr>
        <w:t>Hepatology</w:t>
      </w:r>
      <w:r w:rsidRPr="007932DD">
        <w:rPr>
          <w:rFonts w:ascii="Book Antiqua" w:eastAsia="DengXian" w:hAnsi="Book Antiqua" w:cs="Times New Roman"/>
          <w:kern w:val="2"/>
          <w:sz w:val="24"/>
          <w:szCs w:val="24"/>
          <w:lang w:eastAsia="zh-CN"/>
        </w:rPr>
        <w:t xml:space="preserve"> 2004; </w:t>
      </w:r>
      <w:r w:rsidRPr="007932DD">
        <w:rPr>
          <w:rFonts w:ascii="Book Antiqua" w:eastAsia="DengXian" w:hAnsi="Book Antiqua" w:cs="Times New Roman"/>
          <w:b/>
          <w:kern w:val="2"/>
          <w:sz w:val="24"/>
          <w:szCs w:val="24"/>
          <w:lang w:eastAsia="zh-CN"/>
        </w:rPr>
        <w:t>39</w:t>
      </w:r>
      <w:r w:rsidRPr="007932DD">
        <w:rPr>
          <w:rFonts w:ascii="Book Antiqua" w:eastAsia="DengXian" w:hAnsi="Book Antiqua" w:cs="Times New Roman"/>
          <w:kern w:val="2"/>
          <w:sz w:val="24"/>
          <w:szCs w:val="24"/>
          <w:lang w:eastAsia="zh-CN"/>
        </w:rPr>
        <w:t>: 754-763 [PMID: 14999694 DOI: 10.1002/hep.20149]</w:t>
      </w:r>
    </w:p>
    <w:p w14:paraId="75736FA7"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22 </w:t>
      </w:r>
      <w:proofErr w:type="spellStart"/>
      <w:r w:rsidRPr="007932DD">
        <w:rPr>
          <w:rFonts w:ascii="Book Antiqua" w:eastAsia="DengXian" w:hAnsi="Book Antiqua" w:cs="Times New Roman"/>
          <w:b/>
          <w:kern w:val="2"/>
          <w:sz w:val="24"/>
          <w:szCs w:val="24"/>
          <w:lang w:eastAsia="zh-CN"/>
        </w:rPr>
        <w:t>Alatalo</w:t>
      </w:r>
      <w:proofErr w:type="spellEnd"/>
      <w:r w:rsidRPr="007932DD">
        <w:rPr>
          <w:rFonts w:ascii="Book Antiqua" w:eastAsia="DengXian" w:hAnsi="Book Antiqua" w:cs="Times New Roman"/>
          <w:b/>
          <w:kern w:val="2"/>
          <w:sz w:val="24"/>
          <w:szCs w:val="24"/>
          <w:lang w:eastAsia="zh-CN"/>
        </w:rPr>
        <w:t xml:space="preserve"> PI</w:t>
      </w:r>
      <w:r w:rsidRPr="007932DD">
        <w:rPr>
          <w:rFonts w:ascii="Book Antiqua" w:eastAsia="DengXian" w:hAnsi="Book Antiqua" w:cs="Times New Roman"/>
          <w:kern w:val="2"/>
          <w:sz w:val="24"/>
          <w:szCs w:val="24"/>
          <w:lang w:eastAsia="zh-CN"/>
        </w:rPr>
        <w:t xml:space="preserve">, </w:t>
      </w:r>
      <w:proofErr w:type="spellStart"/>
      <w:r w:rsidRPr="007932DD">
        <w:rPr>
          <w:rFonts w:ascii="Book Antiqua" w:eastAsia="DengXian" w:hAnsi="Book Antiqua" w:cs="Times New Roman"/>
          <w:kern w:val="2"/>
          <w:sz w:val="24"/>
          <w:szCs w:val="24"/>
          <w:lang w:eastAsia="zh-CN"/>
        </w:rPr>
        <w:t>Koivisto</w:t>
      </w:r>
      <w:proofErr w:type="spellEnd"/>
      <w:r w:rsidRPr="007932DD">
        <w:rPr>
          <w:rFonts w:ascii="Book Antiqua" w:eastAsia="DengXian" w:hAnsi="Book Antiqua" w:cs="Times New Roman"/>
          <w:kern w:val="2"/>
          <w:sz w:val="24"/>
          <w:szCs w:val="24"/>
          <w:lang w:eastAsia="zh-CN"/>
        </w:rPr>
        <w:t xml:space="preserve"> HM, </w:t>
      </w:r>
      <w:proofErr w:type="spellStart"/>
      <w:r w:rsidRPr="007932DD">
        <w:rPr>
          <w:rFonts w:ascii="Book Antiqua" w:eastAsia="DengXian" w:hAnsi="Book Antiqua" w:cs="Times New Roman"/>
          <w:kern w:val="2"/>
          <w:sz w:val="24"/>
          <w:szCs w:val="24"/>
          <w:lang w:eastAsia="zh-CN"/>
        </w:rPr>
        <w:t>Hietala</w:t>
      </w:r>
      <w:proofErr w:type="spellEnd"/>
      <w:r w:rsidRPr="007932DD">
        <w:rPr>
          <w:rFonts w:ascii="Book Antiqua" w:eastAsia="DengXian" w:hAnsi="Book Antiqua" w:cs="Times New Roman"/>
          <w:kern w:val="2"/>
          <w:sz w:val="24"/>
          <w:szCs w:val="24"/>
          <w:lang w:eastAsia="zh-CN"/>
        </w:rPr>
        <w:t xml:space="preserve"> JP, </w:t>
      </w:r>
      <w:proofErr w:type="spellStart"/>
      <w:r w:rsidRPr="007932DD">
        <w:rPr>
          <w:rFonts w:ascii="Book Antiqua" w:eastAsia="DengXian" w:hAnsi="Book Antiqua" w:cs="Times New Roman"/>
          <w:kern w:val="2"/>
          <w:sz w:val="24"/>
          <w:szCs w:val="24"/>
          <w:lang w:eastAsia="zh-CN"/>
        </w:rPr>
        <w:t>Puukka</w:t>
      </w:r>
      <w:proofErr w:type="spellEnd"/>
      <w:r w:rsidRPr="007932DD">
        <w:rPr>
          <w:rFonts w:ascii="Book Antiqua" w:eastAsia="DengXian" w:hAnsi="Book Antiqua" w:cs="Times New Roman"/>
          <w:kern w:val="2"/>
          <w:sz w:val="24"/>
          <w:szCs w:val="24"/>
          <w:lang w:eastAsia="zh-CN"/>
        </w:rPr>
        <w:t xml:space="preserve"> KS, </w:t>
      </w:r>
      <w:proofErr w:type="spellStart"/>
      <w:r w:rsidRPr="007932DD">
        <w:rPr>
          <w:rFonts w:ascii="Book Antiqua" w:eastAsia="DengXian" w:hAnsi="Book Antiqua" w:cs="Times New Roman"/>
          <w:kern w:val="2"/>
          <w:sz w:val="24"/>
          <w:szCs w:val="24"/>
          <w:lang w:eastAsia="zh-CN"/>
        </w:rPr>
        <w:t>Bloigu</w:t>
      </w:r>
      <w:proofErr w:type="spellEnd"/>
      <w:r w:rsidRPr="007932DD">
        <w:rPr>
          <w:rFonts w:ascii="Book Antiqua" w:eastAsia="DengXian" w:hAnsi="Book Antiqua" w:cs="Times New Roman"/>
          <w:kern w:val="2"/>
          <w:sz w:val="24"/>
          <w:szCs w:val="24"/>
          <w:lang w:eastAsia="zh-CN"/>
        </w:rPr>
        <w:t xml:space="preserve"> R, </w:t>
      </w:r>
      <w:proofErr w:type="spellStart"/>
      <w:r w:rsidRPr="007932DD">
        <w:rPr>
          <w:rFonts w:ascii="Book Antiqua" w:eastAsia="DengXian" w:hAnsi="Book Antiqua" w:cs="Times New Roman"/>
          <w:kern w:val="2"/>
          <w:sz w:val="24"/>
          <w:szCs w:val="24"/>
          <w:lang w:eastAsia="zh-CN"/>
        </w:rPr>
        <w:t>Niemelä</w:t>
      </w:r>
      <w:proofErr w:type="spellEnd"/>
      <w:r w:rsidRPr="007932DD">
        <w:rPr>
          <w:rFonts w:ascii="Book Antiqua" w:eastAsia="DengXian" w:hAnsi="Book Antiqua" w:cs="Times New Roman"/>
          <w:kern w:val="2"/>
          <w:sz w:val="24"/>
          <w:szCs w:val="24"/>
          <w:lang w:eastAsia="zh-CN"/>
        </w:rPr>
        <w:t xml:space="preserve"> OJ. Effect of moderate alcohol consumption on liver enzymes increases with increasing body mass index. </w:t>
      </w:r>
      <w:r w:rsidRPr="007932DD">
        <w:rPr>
          <w:rFonts w:ascii="Book Antiqua" w:eastAsia="DengXian" w:hAnsi="Book Antiqua" w:cs="Times New Roman"/>
          <w:i/>
          <w:kern w:val="2"/>
          <w:sz w:val="24"/>
          <w:szCs w:val="24"/>
          <w:lang w:eastAsia="zh-CN"/>
        </w:rPr>
        <w:t xml:space="preserve">Am J </w:t>
      </w:r>
      <w:proofErr w:type="spellStart"/>
      <w:r w:rsidRPr="007932DD">
        <w:rPr>
          <w:rFonts w:ascii="Book Antiqua" w:eastAsia="DengXian" w:hAnsi="Book Antiqua" w:cs="Times New Roman"/>
          <w:i/>
          <w:kern w:val="2"/>
          <w:sz w:val="24"/>
          <w:szCs w:val="24"/>
          <w:lang w:eastAsia="zh-CN"/>
        </w:rPr>
        <w:t>Clin</w:t>
      </w:r>
      <w:proofErr w:type="spellEnd"/>
      <w:r w:rsidRPr="007932DD">
        <w:rPr>
          <w:rFonts w:ascii="Book Antiqua" w:eastAsia="DengXian" w:hAnsi="Book Antiqua" w:cs="Times New Roman"/>
          <w:i/>
          <w:kern w:val="2"/>
          <w:sz w:val="24"/>
          <w:szCs w:val="24"/>
          <w:lang w:eastAsia="zh-CN"/>
        </w:rPr>
        <w:t xml:space="preserve"> </w:t>
      </w:r>
      <w:proofErr w:type="spellStart"/>
      <w:r w:rsidRPr="007932DD">
        <w:rPr>
          <w:rFonts w:ascii="Book Antiqua" w:eastAsia="DengXian" w:hAnsi="Book Antiqua" w:cs="Times New Roman"/>
          <w:i/>
          <w:kern w:val="2"/>
          <w:sz w:val="24"/>
          <w:szCs w:val="24"/>
          <w:lang w:eastAsia="zh-CN"/>
        </w:rPr>
        <w:t>Nutr</w:t>
      </w:r>
      <w:proofErr w:type="spellEnd"/>
      <w:r w:rsidRPr="007932DD">
        <w:rPr>
          <w:rFonts w:ascii="Book Antiqua" w:eastAsia="DengXian" w:hAnsi="Book Antiqua" w:cs="Times New Roman"/>
          <w:kern w:val="2"/>
          <w:sz w:val="24"/>
          <w:szCs w:val="24"/>
          <w:lang w:eastAsia="zh-CN"/>
        </w:rPr>
        <w:t xml:space="preserve"> 2008; </w:t>
      </w:r>
      <w:r w:rsidRPr="007932DD">
        <w:rPr>
          <w:rFonts w:ascii="Book Antiqua" w:eastAsia="DengXian" w:hAnsi="Book Antiqua" w:cs="Times New Roman"/>
          <w:b/>
          <w:kern w:val="2"/>
          <w:sz w:val="24"/>
          <w:szCs w:val="24"/>
          <w:lang w:eastAsia="zh-CN"/>
        </w:rPr>
        <w:t>88</w:t>
      </w:r>
      <w:r w:rsidRPr="007932DD">
        <w:rPr>
          <w:rFonts w:ascii="Book Antiqua" w:eastAsia="DengXian" w:hAnsi="Book Antiqua" w:cs="Times New Roman"/>
          <w:kern w:val="2"/>
          <w:sz w:val="24"/>
          <w:szCs w:val="24"/>
          <w:lang w:eastAsia="zh-CN"/>
        </w:rPr>
        <w:t>: 1097-1103 [PMID: 18842799 DOI: 10.1093/</w:t>
      </w:r>
      <w:proofErr w:type="spellStart"/>
      <w:r w:rsidRPr="007932DD">
        <w:rPr>
          <w:rFonts w:ascii="Book Antiqua" w:eastAsia="DengXian" w:hAnsi="Book Antiqua" w:cs="Times New Roman"/>
          <w:kern w:val="2"/>
          <w:sz w:val="24"/>
          <w:szCs w:val="24"/>
          <w:lang w:eastAsia="zh-CN"/>
        </w:rPr>
        <w:t>ajcn</w:t>
      </w:r>
      <w:proofErr w:type="spellEnd"/>
      <w:r w:rsidRPr="007932DD">
        <w:rPr>
          <w:rFonts w:ascii="Book Antiqua" w:eastAsia="DengXian" w:hAnsi="Book Antiqua" w:cs="Times New Roman"/>
          <w:kern w:val="2"/>
          <w:sz w:val="24"/>
          <w:szCs w:val="24"/>
          <w:lang w:eastAsia="zh-CN"/>
        </w:rPr>
        <w:t>/88.4.1097]</w:t>
      </w:r>
    </w:p>
    <w:p w14:paraId="688F488F"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23 </w:t>
      </w:r>
      <w:r w:rsidRPr="007932DD">
        <w:rPr>
          <w:rFonts w:ascii="Book Antiqua" w:eastAsia="DengXian" w:hAnsi="Book Antiqua" w:cs="Times New Roman"/>
          <w:b/>
          <w:kern w:val="2"/>
          <w:sz w:val="24"/>
          <w:szCs w:val="24"/>
          <w:lang w:eastAsia="zh-CN"/>
        </w:rPr>
        <w:t>Ruhl CE</w:t>
      </w:r>
      <w:r w:rsidRPr="007932DD">
        <w:rPr>
          <w:rFonts w:ascii="Book Antiqua" w:eastAsia="DengXian" w:hAnsi="Book Antiqua" w:cs="Times New Roman"/>
          <w:kern w:val="2"/>
          <w:sz w:val="24"/>
          <w:szCs w:val="24"/>
          <w:lang w:eastAsia="zh-CN"/>
        </w:rPr>
        <w:t xml:space="preserve">, Everhart JE. Joint effects of body weight and alcohol on elevated serum alanine aminotransferase in the United States population. </w:t>
      </w:r>
      <w:proofErr w:type="spellStart"/>
      <w:r w:rsidRPr="007932DD">
        <w:rPr>
          <w:rFonts w:ascii="Book Antiqua" w:eastAsia="DengXian" w:hAnsi="Book Antiqua" w:cs="Times New Roman"/>
          <w:i/>
          <w:kern w:val="2"/>
          <w:sz w:val="24"/>
          <w:szCs w:val="24"/>
          <w:lang w:eastAsia="zh-CN"/>
        </w:rPr>
        <w:t>Clin</w:t>
      </w:r>
      <w:proofErr w:type="spellEnd"/>
      <w:r w:rsidRPr="007932DD">
        <w:rPr>
          <w:rFonts w:ascii="Book Antiqua" w:eastAsia="DengXian" w:hAnsi="Book Antiqua" w:cs="Times New Roman"/>
          <w:i/>
          <w:kern w:val="2"/>
          <w:sz w:val="24"/>
          <w:szCs w:val="24"/>
          <w:lang w:eastAsia="zh-CN"/>
        </w:rPr>
        <w:t xml:space="preserve"> </w:t>
      </w:r>
      <w:proofErr w:type="spellStart"/>
      <w:r w:rsidRPr="007932DD">
        <w:rPr>
          <w:rFonts w:ascii="Book Antiqua" w:eastAsia="DengXian" w:hAnsi="Book Antiqua" w:cs="Times New Roman"/>
          <w:i/>
          <w:kern w:val="2"/>
          <w:sz w:val="24"/>
          <w:szCs w:val="24"/>
          <w:lang w:eastAsia="zh-CN"/>
        </w:rPr>
        <w:t>Gastroenterol</w:t>
      </w:r>
      <w:proofErr w:type="spellEnd"/>
      <w:r w:rsidRPr="007932DD">
        <w:rPr>
          <w:rFonts w:ascii="Book Antiqua" w:eastAsia="DengXian" w:hAnsi="Book Antiqua" w:cs="Times New Roman"/>
          <w:i/>
          <w:kern w:val="2"/>
          <w:sz w:val="24"/>
          <w:szCs w:val="24"/>
          <w:lang w:eastAsia="zh-CN"/>
        </w:rPr>
        <w:t xml:space="preserve"> </w:t>
      </w:r>
      <w:proofErr w:type="spellStart"/>
      <w:r w:rsidRPr="007932DD">
        <w:rPr>
          <w:rFonts w:ascii="Book Antiqua" w:eastAsia="DengXian" w:hAnsi="Book Antiqua" w:cs="Times New Roman"/>
          <w:i/>
          <w:kern w:val="2"/>
          <w:sz w:val="24"/>
          <w:szCs w:val="24"/>
          <w:lang w:eastAsia="zh-CN"/>
        </w:rPr>
        <w:t>Hepatol</w:t>
      </w:r>
      <w:proofErr w:type="spellEnd"/>
      <w:r w:rsidRPr="007932DD">
        <w:rPr>
          <w:rFonts w:ascii="Book Antiqua" w:eastAsia="DengXian" w:hAnsi="Book Antiqua" w:cs="Times New Roman"/>
          <w:kern w:val="2"/>
          <w:sz w:val="24"/>
          <w:szCs w:val="24"/>
          <w:lang w:eastAsia="zh-CN"/>
        </w:rPr>
        <w:t xml:space="preserve"> 2005; </w:t>
      </w:r>
      <w:r w:rsidRPr="007932DD">
        <w:rPr>
          <w:rFonts w:ascii="Book Antiqua" w:eastAsia="DengXian" w:hAnsi="Book Antiqua" w:cs="Times New Roman"/>
          <w:b/>
          <w:kern w:val="2"/>
          <w:sz w:val="24"/>
          <w:szCs w:val="24"/>
          <w:lang w:eastAsia="zh-CN"/>
        </w:rPr>
        <w:t>3</w:t>
      </w:r>
      <w:r w:rsidRPr="007932DD">
        <w:rPr>
          <w:rFonts w:ascii="Book Antiqua" w:eastAsia="DengXian" w:hAnsi="Book Antiqua" w:cs="Times New Roman"/>
          <w:kern w:val="2"/>
          <w:sz w:val="24"/>
          <w:szCs w:val="24"/>
          <w:lang w:eastAsia="zh-CN"/>
        </w:rPr>
        <w:t>: 1260-1268 [PMID: 16361053 DOI: 10.1016/S1542-3565(05)00743-3]</w:t>
      </w:r>
    </w:p>
    <w:p w14:paraId="5BDF8F8E"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24 </w:t>
      </w:r>
      <w:r w:rsidRPr="007932DD">
        <w:rPr>
          <w:rFonts w:ascii="Book Antiqua" w:eastAsia="DengXian" w:hAnsi="Book Antiqua" w:cs="Times New Roman"/>
          <w:b/>
          <w:kern w:val="2"/>
          <w:sz w:val="24"/>
          <w:szCs w:val="24"/>
          <w:lang w:eastAsia="zh-CN"/>
        </w:rPr>
        <w:t>Shen Z</w:t>
      </w:r>
      <w:r w:rsidRPr="007932DD">
        <w:rPr>
          <w:rFonts w:ascii="Book Antiqua" w:eastAsia="DengXian" w:hAnsi="Book Antiqua" w:cs="Times New Roman"/>
          <w:kern w:val="2"/>
          <w:sz w:val="24"/>
          <w:szCs w:val="24"/>
          <w:lang w:eastAsia="zh-CN"/>
        </w:rPr>
        <w:t xml:space="preserve">, Li Y, Yu C, Shen Y, Xu L, Xu C, Xu G. A cohort study of the effect of alcohol consumption and obesity on serum liver enzyme levels. </w:t>
      </w:r>
      <w:proofErr w:type="spellStart"/>
      <w:r w:rsidRPr="007932DD">
        <w:rPr>
          <w:rFonts w:ascii="Book Antiqua" w:eastAsia="DengXian" w:hAnsi="Book Antiqua" w:cs="Times New Roman"/>
          <w:i/>
          <w:kern w:val="2"/>
          <w:sz w:val="24"/>
          <w:szCs w:val="24"/>
          <w:lang w:eastAsia="zh-CN"/>
        </w:rPr>
        <w:t>Eur</w:t>
      </w:r>
      <w:proofErr w:type="spellEnd"/>
      <w:r w:rsidRPr="007932DD">
        <w:rPr>
          <w:rFonts w:ascii="Book Antiqua" w:eastAsia="DengXian" w:hAnsi="Book Antiqua" w:cs="Times New Roman"/>
          <w:i/>
          <w:kern w:val="2"/>
          <w:sz w:val="24"/>
          <w:szCs w:val="24"/>
          <w:lang w:eastAsia="zh-CN"/>
        </w:rPr>
        <w:t xml:space="preserve"> J </w:t>
      </w:r>
      <w:proofErr w:type="spellStart"/>
      <w:r w:rsidRPr="007932DD">
        <w:rPr>
          <w:rFonts w:ascii="Book Antiqua" w:eastAsia="DengXian" w:hAnsi="Book Antiqua" w:cs="Times New Roman"/>
          <w:i/>
          <w:kern w:val="2"/>
          <w:sz w:val="24"/>
          <w:szCs w:val="24"/>
          <w:lang w:eastAsia="zh-CN"/>
        </w:rPr>
        <w:t>Gastroenterol</w:t>
      </w:r>
      <w:proofErr w:type="spellEnd"/>
      <w:r w:rsidRPr="007932DD">
        <w:rPr>
          <w:rFonts w:ascii="Book Antiqua" w:eastAsia="DengXian" w:hAnsi="Book Antiqua" w:cs="Times New Roman"/>
          <w:i/>
          <w:kern w:val="2"/>
          <w:sz w:val="24"/>
          <w:szCs w:val="24"/>
          <w:lang w:eastAsia="zh-CN"/>
        </w:rPr>
        <w:t xml:space="preserve"> </w:t>
      </w:r>
      <w:proofErr w:type="spellStart"/>
      <w:r w:rsidRPr="007932DD">
        <w:rPr>
          <w:rFonts w:ascii="Book Antiqua" w:eastAsia="DengXian" w:hAnsi="Book Antiqua" w:cs="Times New Roman"/>
          <w:i/>
          <w:kern w:val="2"/>
          <w:sz w:val="24"/>
          <w:szCs w:val="24"/>
          <w:lang w:eastAsia="zh-CN"/>
        </w:rPr>
        <w:t>Hepatol</w:t>
      </w:r>
      <w:proofErr w:type="spellEnd"/>
      <w:r w:rsidRPr="007932DD">
        <w:rPr>
          <w:rFonts w:ascii="Book Antiqua" w:eastAsia="DengXian" w:hAnsi="Book Antiqua" w:cs="Times New Roman"/>
          <w:kern w:val="2"/>
          <w:sz w:val="24"/>
          <w:szCs w:val="24"/>
          <w:lang w:eastAsia="zh-CN"/>
        </w:rPr>
        <w:t xml:space="preserve"> 2010; </w:t>
      </w:r>
      <w:r w:rsidRPr="007932DD">
        <w:rPr>
          <w:rFonts w:ascii="Book Antiqua" w:eastAsia="DengXian" w:hAnsi="Book Antiqua" w:cs="Times New Roman"/>
          <w:b/>
          <w:kern w:val="2"/>
          <w:sz w:val="24"/>
          <w:szCs w:val="24"/>
          <w:lang w:eastAsia="zh-CN"/>
        </w:rPr>
        <w:t>22</w:t>
      </w:r>
      <w:r w:rsidRPr="007932DD">
        <w:rPr>
          <w:rFonts w:ascii="Book Antiqua" w:eastAsia="DengXian" w:hAnsi="Book Antiqua" w:cs="Times New Roman"/>
          <w:kern w:val="2"/>
          <w:sz w:val="24"/>
          <w:szCs w:val="24"/>
          <w:lang w:eastAsia="zh-CN"/>
        </w:rPr>
        <w:t>: 820-825 [PMID: 19829121 DOI: 10.1097/MEG.0b013e3283328b86]</w:t>
      </w:r>
    </w:p>
    <w:p w14:paraId="2A933339"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25 </w:t>
      </w:r>
      <w:r w:rsidRPr="007932DD">
        <w:rPr>
          <w:rFonts w:ascii="Book Antiqua" w:eastAsia="DengXian" w:hAnsi="Book Antiqua" w:cs="Times New Roman"/>
          <w:b/>
          <w:kern w:val="2"/>
          <w:sz w:val="24"/>
          <w:szCs w:val="24"/>
          <w:lang w:eastAsia="zh-CN"/>
        </w:rPr>
        <w:t>Loomba R</w:t>
      </w:r>
      <w:r w:rsidRPr="007932DD">
        <w:rPr>
          <w:rFonts w:ascii="Book Antiqua" w:eastAsia="DengXian" w:hAnsi="Book Antiqua" w:cs="Times New Roman"/>
          <w:kern w:val="2"/>
          <w:sz w:val="24"/>
          <w:szCs w:val="24"/>
          <w:lang w:eastAsia="zh-CN"/>
        </w:rPr>
        <w:t xml:space="preserve">, Bettencourt R, Barrett-Connor E. Synergistic association between alcohol intake and body mass index with serum alanine and aspartate aminotransferase levels </w:t>
      </w:r>
      <w:r w:rsidRPr="007932DD">
        <w:rPr>
          <w:rFonts w:ascii="Book Antiqua" w:eastAsia="DengXian" w:hAnsi="Book Antiqua" w:cs="Times New Roman"/>
          <w:kern w:val="2"/>
          <w:sz w:val="24"/>
          <w:szCs w:val="24"/>
          <w:lang w:eastAsia="zh-CN"/>
        </w:rPr>
        <w:lastRenderedPageBreak/>
        <w:t xml:space="preserve">in older adults: the Rancho Bernardo Study. </w:t>
      </w:r>
      <w:r w:rsidRPr="007932DD">
        <w:rPr>
          <w:rFonts w:ascii="Book Antiqua" w:eastAsia="DengXian" w:hAnsi="Book Antiqua" w:cs="Times New Roman"/>
          <w:i/>
          <w:kern w:val="2"/>
          <w:sz w:val="24"/>
          <w:szCs w:val="24"/>
          <w:lang w:eastAsia="zh-CN"/>
        </w:rPr>
        <w:t xml:space="preserve">Aliment </w:t>
      </w:r>
      <w:proofErr w:type="spellStart"/>
      <w:r w:rsidRPr="007932DD">
        <w:rPr>
          <w:rFonts w:ascii="Book Antiqua" w:eastAsia="DengXian" w:hAnsi="Book Antiqua" w:cs="Times New Roman"/>
          <w:i/>
          <w:kern w:val="2"/>
          <w:sz w:val="24"/>
          <w:szCs w:val="24"/>
          <w:lang w:eastAsia="zh-CN"/>
        </w:rPr>
        <w:t>Pharmacol</w:t>
      </w:r>
      <w:proofErr w:type="spellEnd"/>
      <w:r w:rsidRPr="007932DD">
        <w:rPr>
          <w:rFonts w:ascii="Book Antiqua" w:eastAsia="DengXian" w:hAnsi="Book Antiqua" w:cs="Times New Roman"/>
          <w:i/>
          <w:kern w:val="2"/>
          <w:sz w:val="24"/>
          <w:szCs w:val="24"/>
          <w:lang w:eastAsia="zh-CN"/>
        </w:rPr>
        <w:t xml:space="preserve"> </w:t>
      </w:r>
      <w:proofErr w:type="spellStart"/>
      <w:r w:rsidRPr="007932DD">
        <w:rPr>
          <w:rFonts w:ascii="Book Antiqua" w:eastAsia="DengXian" w:hAnsi="Book Antiqua" w:cs="Times New Roman"/>
          <w:i/>
          <w:kern w:val="2"/>
          <w:sz w:val="24"/>
          <w:szCs w:val="24"/>
          <w:lang w:eastAsia="zh-CN"/>
        </w:rPr>
        <w:t>Ther</w:t>
      </w:r>
      <w:proofErr w:type="spellEnd"/>
      <w:r w:rsidRPr="007932DD">
        <w:rPr>
          <w:rFonts w:ascii="Book Antiqua" w:eastAsia="DengXian" w:hAnsi="Book Antiqua" w:cs="Times New Roman"/>
          <w:kern w:val="2"/>
          <w:sz w:val="24"/>
          <w:szCs w:val="24"/>
          <w:lang w:eastAsia="zh-CN"/>
        </w:rPr>
        <w:t xml:space="preserve"> 2009; </w:t>
      </w:r>
      <w:r w:rsidRPr="007932DD">
        <w:rPr>
          <w:rFonts w:ascii="Book Antiqua" w:eastAsia="DengXian" w:hAnsi="Book Antiqua" w:cs="Times New Roman"/>
          <w:b/>
          <w:kern w:val="2"/>
          <w:sz w:val="24"/>
          <w:szCs w:val="24"/>
          <w:lang w:eastAsia="zh-CN"/>
        </w:rPr>
        <w:t>30</w:t>
      </w:r>
      <w:r w:rsidRPr="007932DD">
        <w:rPr>
          <w:rFonts w:ascii="Book Antiqua" w:eastAsia="DengXian" w:hAnsi="Book Antiqua" w:cs="Times New Roman"/>
          <w:kern w:val="2"/>
          <w:sz w:val="24"/>
          <w:szCs w:val="24"/>
          <w:lang w:eastAsia="zh-CN"/>
        </w:rPr>
        <w:t>: 1137-1149 [PMID: 19737152 DOI: 10.1111/j.1365-2036.2009.04141.x]</w:t>
      </w:r>
    </w:p>
    <w:p w14:paraId="6C20D61D"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26 </w:t>
      </w:r>
      <w:proofErr w:type="spellStart"/>
      <w:r w:rsidRPr="007932DD">
        <w:rPr>
          <w:rFonts w:ascii="Book Antiqua" w:eastAsia="DengXian" w:hAnsi="Book Antiqua" w:cs="Times New Roman"/>
          <w:b/>
          <w:kern w:val="2"/>
          <w:sz w:val="24"/>
          <w:szCs w:val="24"/>
          <w:lang w:eastAsia="zh-CN"/>
        </w:rPr>
        <w:t>Bellentani</w:t>
      </w:r>
      <w:proofErr w:type="spellEnd"/>
      <w:r w:rsidRPr="007932DD">
        <w:rPr>
          <w:rFonts w:ascii="Book Antiqua" w:eastAsia="DengXian" w:hAnsi="Book Antiqua" w:cs="Times New Roman"/>
          <w:b/>
          <w:kern w:val="2"/>
          <w:sz w:val="24"/>
          <w:szCs w:val="24"/>
          <w:lang w:eastAsia="zh-CN"/>
        </w:rPr>
        <w:t xml:space="preserve"> S</w:t>
      </w:r>
      <w:r w:rsidRPr="007932DD">
        <w:rPr>
          <w:rFonts w:ascii="Book Antiqua" w:eastAsia="DengXian" w:hAnsi="Book Antiqua" w:cs="Times New Roman"/>
          <w:kern w:val="2"/>
          <w:sz w:val="24"/>
          <w:szCs w:val="24"/>
          <w:lang w:eastAsia="zh-CN"/>
        </w:rPr>
        <w:t xml:space="preserve">, </w:t>
      </w:r>
      <w:proofErr w:type="spellStart"/>
      <w:r w:rsidRPr="007932DD">
        <w:rPr>
          <w:rFonts w:ascii="Book Antiqua" w:eastAsia="DengXian" w:hAnsi="Book Antiqua" w:cs="Times New Roman"/>
          <w:kern w:val="2"/>
          <w:sz w:val="24"/>
          <w:szCs w:val="24"/>
          <w:lang w:eastAsia="zh-CN"/>
        </w:rPr>
        <w:t>Saccoccio</w:t>
      </w:r>
      <w:proofErr w:type="spellEnd"/>
      <w:r w:rsidRPr="007932DD">
        <w:rPr>
          <w:rFonts w:ascii="Book Antiqua" w:eastAsia="DengXian" w:hAnsi="Book Antiqua" w:cs="Times New Roman"/>
          <w:kern w:val="2"/>
          <w:sz w:val="24"/>
          <w:szCs w:val="24"/>
          <w:lang w:eastAsia="zh-CN"/>
        </w:rPr>
        <w:t xml:space="preserve"> G, </w:t>
      </w:r>
      <w:proofErr w:type="spellStart"/>
      <w:r w:rsidRPr="007932DD">
        <w:rPr>
          <w:rFonts w:ascii="Book Antiqua" w:eastAsia="DengXian" w:hAnsi="Book Antiqua" w:cs="Times New Roman"/>
          <w:kern w:val="2"/>
          <w:sz w:val="24"/>
          <w:szCs w:val="24"/>
          <w:lang w:eastAsia="zh-CN"/>
        </w:rPr>
        <w:t>Masutti</w:t>
      </w:r>
      <w:proofErr w:type="spellEnd"/>
      <w:r w:rsidRPr="007932DD">
        <w:rPr>
          <w:rFonts w:ascii="Book Antiqua" w:eastAsia="DengXian" w:hAnsi="Book Antiqua" w:cs="Times New Roman"/>
          <w:kern w:val="2"/>
          <w:sz w:val="24"/>
          <w:szCs w:val="24"/>
          <w:lang w:eastAsia="zh-CN"/>
        </w:rPr>
        <w:t xml:space="preserve"> F, </w:t>
      </w:r>
      <w:proofErr w:type="spellStart"/>
      <w:r w:rsidRPr="007932DD">
        <w:rPr>
          <w:rFonts w:ascii="Book Antiqua" w:eastAsia="DengXian" w:hAnsi="Book Antiqua" w:cs="Times New Roman"/>
          <w:kern w:val="2"/>
          <w:sz w:val="24"/>
          <w:szCs w:val="24"/>
          <w:lang w:eastAsia="zh-CN"/>
        </w:rPr>
        <w:t>Crocè</w:t>
      </w:r>
      <w:proofErr w:type="spellEnd"/>
      <w:r w:rsidRPr="007932DD">
        <w:rPr>
          <w:rFonts w:ascii="Book Antiqua" w:eastAsia="DengXian" w:hAnsi="Book Antiqua" w:cs="Times New Roman"/>
          <w:kern w:val="2"/>
          <w:sz w:val="24"/>
          <w:szCs w:val="24"/>
          <w:lang w:eastAsia="zh-CN"/>
        </w:rPr>
        <w:t xml:space="preserve"> LS, Brandi G, </w:t>
      </w:r>
      <w:proofErr w:type="spellStart"/>
      <w:r w:rsidRPr="007932DD">
        <w:rPr>
          <w:rFonts w:ascii="Book Antiqua" w:eastAsia="DengXian" w:hAnsi="Book Antiqua" w:cs="Times New Roman"/>
          <w:kern w:val="2"/>
          <w:sz w:val="24"/>
          <w:szCs w:val="24"/>
          <w:lang w:eastAsia="zh-CN"/>
        </w:rPr>
        <w:t>Sasso</w:t>
      </w:r>
      <w:proofErr w:type="spellEnd"/>
      <w:r w:rsidRPr="007932DD">
        <w:rPr>
          <w:rFonts w:ascii="Book Antiqua" w:eastAsia="DengXian" w:hAnsi="Book Antiqua" w:cs="Times New Roman"/>
          <w:kern w:val="2"/>
          <w:sz w:val="24"/>
          <w:szCs w:val="24"/>
          <w:lang w:eastAsia="zh-CN"/>
        </w:rPr>
        <w:t xml:space="preserve"> F, </w:t>
      </w:r>
      <w:proofErr w:type="spellStart"/>
      <w:r w:rsidRPr="007932DD">
        <w:rPr>
          <w:rFonts w:ascii="Book Antiqua" w:eastAsia="DengXian" w:hAnsi="Book Antiqua" w:cs="Times New Roman"/>
          <w:kern w:val="2"/>
          <w:sz w:val="24"/>
          <w:szCs w:val="24"/>
          <w:lang w:eastAsia="zh-CN"/>
        </w:rPr>
        <w:t>Cristanini</w:t>
      </w:r>
      <w:proofErr w:type="spellEnd"/>
      <w:r w:rsidRPr="007932DD">
        <w:rPr>
          <w:rFonts w:ascii="Book Antiqua" w:eastAsia="DengXian" w:hAnsi="Book Antiqua" w:cs="Times New Roman"/>
          <w:kern w:val="2"/>
          <w:sz w:val="24"/>
          <w:szCs w:val="24"/>
          <w:lang w:eastAsia="zh-CN"/>
        </w:rPr>
        <w:t xml:space="preserve"> G, </w:t>
      </w:r>
      <w:proofErr w:type="spellStart"/>
      <w:r w:rsidRPr="007932DD">
        <w:rPr>
          <w:rFonts w:ascii="Book Antiqua" w:eastAsia="DengXian" w:hAnsi="Book Antiqua" w:cs="Times New Roman"/>
          <w:kern w:val="2"/>
          <w:sz w:val="24"/>
          <w:szCs w:val="24"/>
          <w:lang w:eastAsia="zh-CN"/>
        </w:rPr>
        <w:t>Tiribelli</w:t>
      </w:r>
      <w:proofErr w:type="spellEnd"/>
      <w:r w:rsidRPr="007932DD">
        <w:rPr>
          <w:rFonts w:ascii="Book Antiqua" w:eastAsia="DengXian" w:hAnsi="Book Antiqua" w:cs="Times New Roman"/>
          <w:kern w:val="2"/>
          <w:sz w:val="24"/>
          <w:szCs w:val="24"/>
          <w:lang w:eastAsia="zh-CN"/>
        </w:rPr>
        <w:t xml:space="preserve"> C. Prevalence of and risk factors for hepatic steatosis in Northern Italy. </w:t>
      </w:r>
      <w:r w:rsidRPr="007932DD">
        <w:rPr>
          <w:rFonts w:ascii="Book Antiqua" w:eastAsia="DengXian" w:hAnsi="Book Antiqua" w:cs="Times New Roman"/>
          <w:i/>
          <w:kern w:val="2"/>
          <w:sz w:val="24"/>
          <w:szCs w:val="24"/>
          <w:lang w:eastAsia="zh-CN"/>
        </w:rPr>
        <w:t>Ann Intern Med</w:t>
      </w:r>
      <w:r w:rsidRPr="007932DD">
        <w:rPr>
          <w:rFonts w:ascii="Book Antiqua" w:eastAsia="DengXian" w:hAnsi="Book Antiqua" w:cs="Times New Roman"/>
          <w:kern w:val="2"/>
          <w:sz w:val="24"/>
          <w:szCs w:val="24"/>
          <w:lang w:eastAsia="zh-CN"/>
        </w:rPr>
        <w:t xml:space="preserve"> 2000; </w:t>
      </w:r>
      <w:r w:rsidRPr="007932DD">
        <w:rPr>
          <w:rFonts w:ascii="Book Antiqua" w:eastAsia="DengXian" w:hAnsi="Book Antiqua" w:cs="Times New Roman"/>
          <w:b/>
          <w:kern w:val="2"/>
          <w:sz w:val="24"/>
          <w:szCs w:val="24"/>
          <w:lang w:eastAsia="zh-CN"/>
        </w:rPr>
        <w:t>132</w:t>
      </w:r>
      <w:r w:rsidRPr="007932DD">
        <w:rPr>
          <w:rFonts w:ascii="Book Antiqua" w:eastAsia="DengXian" w:hAnsi="Book Antiqua" w:cs="Times New Roman"/>
          <w:kern w:val="2"/>
          <w:sz w:val="24"/>
          <w:szCs w:val="24"/>
          <w:lang w:eastAsia="zh-CN"/>
        </w:rPr>
        <w:t>: 112-117 [PMID: 10644271 DOI: 10.7326/0003-4819-132-2-200001180-00004]</w:t>
      </w:r>
    </w:p>
    <w:p w14:paraId="42C31085"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27 </w:t>
      </w:r>
      <w:r w:rsidRPr="007932DD">
        <w:rPr>
          <w:rFonts w:ascii="Book Antiqua" w:eastAsia="DengXian" w:hAnsi="Book Antiqua" w:cs="Times New Roman"/>
          <w:b/>
          <w:kern w:val="2"/>
          <w:sz w:val="24"/>
          <w:szCs w:val="24"/>
          <w:lang w:eastAsia="zh-CN"/>
        </w:rPr>
        <w:t>Petersen P</w:t>
      </w:r>
      <w:r w:rsidRPr="007932DD">
        <w:rPr>
          <w:rFonts w:ascii="Book Antiqua" w:eastAsia="DengXian" w:hAnsi="Book Antiqua" w:cs="Times New Roman"/>
          <w:kern w:val="2"/>
          <w:sz w:val="24"/>
          <w:szCs w:val="24"/>
          <w:lang w:eastAsia="zh-CN"/>
        </w:rPr>
        <w:t xml:space="preserve">. Fatty liver in patients with moderate alcohol consumption, diabetes mellitus and overweight. </w:t>
      </w:r>
      <w:proofErr w:type="spellStart"/>
      <w:r w:rsidRPr="007932DD">
        <w:rPr>
          <w:rFonts w:ascii="Book Antiqua" w:eastAsia="DengXian" w:hAnsi="Book Antiqua" w:cs="Times New Roman"/>
          <w:i/>
          <w:kern w:val="2"/>
          <w:sz w:val="24"/>
          <w:szCs w:val="24"/>
          <w:lang w:eastAsia="zh-CN"/>
        </w:rPr>
        <w:t>Scand</w:t>
      </w:r>
      <w:proofErr w:type="spellEnd"/>
      <w:r w:rsidRPr="007932DD">
        <w:rPr>
          <w:rFonts w:ascii="Book Antiqua" w:eastAsia="DengXian" w:hAnsi="Book Antiqua" w:cs="Times New Roman"/>
          <w:i/>
          <w:kern w:val="2"/>
          <w:sz w:val="24"/>
          <w:szCs w:val="24"/>
          <w:lang w:eastAsia="zh-CN"/>
        </w:rPr>
        <w:t xml:space="preserve"> J </w:t>
      </w:r>
      <w:proofErr w:type="spellStart"/>
      <w:r w:rsidRPr="007932DD">
        <w:rPr>
          <w:rFonts w:ascii="Book Antiqua" w:eastAsia="DengXian" w:hAnsi="Book Antiqua" w:cs="Times New Roman"/>
          <w:i/>
          <w:kern w:val="2"/>
          <w:sz w:val="24"/>
          <w:szCs w:val="24"/>
          <w:lang w:eastAsia="zh-CN"/>
        </w:rPr>
        <w:t>Gastroenterol</w:t>
      </w:r>
      <w:proofErr w:type="spellEnd"/>
      <w:r w:rsidRPr="007932DD">
        <w:rPr>
          <w:rFonts w:ascii="Book Antiqua" w:eastAsia="DengXian" w:hAnsi="Book Antiqua" w:cs="Times New Roman"/>
          <w:kern w:val="2"/>
          <w:sz w:val="24"/>
          <w:szCs w:val="24"/>
          <w:lang w:eastAsia="zh-CN"/>
        </w:rPr>
        <w:t xml:space="preserve"> 1977; </w:t>
      </w:r>
      <w:r w:rsidRPr="007932DD">
        <w:rPr>
          <w:rFonts w:ascii="Book Antiqua" w:eastAsia="DengXian" w:hAnsi="Book Antiqua" w:cs="Times New Roman"/>
          <w:b/>
          <w:kern w:val="2"/>
          <w:sz w:val="24"/>
          <w:szCs w:val="24"/>
          <w:lang w:eastAsia="zh-CN"/>
        </w:rPr>
        <w:t>12</w:t>
      </w:r>
      <w:r w:rsidRPr="007932DD">
        <w:rPr>
          <w:rFonts w:ascii="Book Antiqua" w:eastAsia="DengXian" w:hAnsi="Book Antiqua" w:cs="Times New Roman"/>
          <w:kern w:val="2"/>
          <w:sz w:val="24"/>
          <w:szCs w:val="24"/>
          <w:lang w:eastAsia="zh-CN"/>
        </w:rPr>
        <w:t>: 781-784 [PMID: 594649 DOI: 10.3109/00365527709181720]</w:t>
      </w:r>
    </w:p>
    <w:p w14:paraId="505D8D11"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28 </w:t>
      </w:r>
      <w:proofErr w:type="spellStart"/>
      <w:r w:rsidRPr="007932DD">
        <w:rPr>
          <w:rFonts w:ascii="Book Antiqua" w:eastAsia="DengXian" w:hAnsi="Book Antiqua" w:cs="Times New Roman"/>
          <w:b/>
          <w:kern w:val="2"/>
          <w:sz w:val="24"/>
          <w:szCs w:val="24"/>
          <w:lang w:eastAsia="zh-CN"/>
        </w:rPr>
        <w:t>Ekstedt</w:t>
      </w:r>
      <w:proofErr w:type="spellEnd"/>
      <w:r w:rsidRPr="007932DD">
        <w:rPr>
          <w:rFonts w:ascii="Book Antiqua" w:eastAsia="DengXian" w:hAnsi="Book Antiqua" w:cs="Times New Roman"/>
          <w:b/>
          <w:kern w:val="2"/>
          <w:sz w:val="24"/>
          <w:szCs w:val="24"/>
          <w:lang w:eastAsia="zh-CN"/>
        </w:rPr>
        <w:t xml:space="preserve"> M</w:t>
      </w:r>
      <w:r w:rsidRPr="007932DD">
        <w:rPr>
          <w:rFonts w:ascii="Book Antiqua" w:eastAsia="DengXian" w:hAnsi="Book Antiqua" w:cs="Times New Roman"/>
          <w:kern w:val="2"/>
          <w:sz w:val="24"/>
          <w:szCs w:val="24"/>
          <w:lang w:eastAsia="zh-CN"/>
        </w:rPr>
        <w:t xml:space="preserve">, </w:t>
      </w:r>
      <w:proofErr w:type="spellStart"/>
      <w:r w:rsidRPr="007932DD">
        <w:rPr>
          <w:rFonts w:ascii="Book Antiqua" w:eastAsia="DengXian" w:hAnsi="Book Antiqua" w:cs="Times New Roman"/>
          <w:kern w:val="2"/>
          <w:sz w:val="24"/>
          <w:szCs w:val="24"/>
          <w:lang w:eastAsia="zh-CN"/>
        </w:rPr>
        <w:t>Franzén</w:t>
      </w:r>
      <w:proofErr w:type="spellEnd"/>
      <w:r w:rsidRPr="007932DD">
        <w:rPr>
          <w:rFonts w:ascii="Book Antiqua" w:eastAsia="DengXian" w:hAnsi="Book Antiqua" w:cs="Times New Roman"/>
          <w:kern w:val="2"/>
          <w:sz w:val="24"/>
          <w:szCs w:val="24"/>
          <w:lang w:eastAsia="zh-CN"/>
        </w:rPr>
        <w:t xml:space="preserve"> LE, </w:t>
      </w:r>
      <w:proofErr w:type="spellStart"/>
      <w:r w:rsidRPr="007932DD">
        <w:rPr>
          <w:rFonts w:ascii="Book Antiqua" w:eastAsia="DengXian" w:hAnsi="Book Antiqua" w:cs="Times New Roman"/>
          <w:kern w:val="2"/>
          <w:sz w:val="24"/>
          <w:szCs w:val="24"/>
          <w:lang w:eastAsia="zh-CN"/>
        </w:rPr>
        <w:t>Holmqvist</w:t>
      </w:r>
      <w:proofErr w:type="spellEnd"/>
      <w:r w:rsidRPr="007932DD">
        <w:rPr>
          <w:rFonts w:ascii="Book Antiqua" w:eastAsia="DengXian" w:hAnsi="Book Antiqua" w:cs="Times New Roman"/>
          <w:kern w:val="2"/>
          <w:sz w:val="24"/>
          <w:szCs w:val="24"/>
          <w:lang w:eastAsia="zh-CN"/>
        </w:rPr>
        <w:t xml:space="preserve"> M, </w:t>
      </w:r>
      <w:proofErr w:type="spellStart"/>
      <w:r w:rsidRPr="007932DD">
        <w:rPr>
          <w:rFonts w:ascii="Book Antiqua" w:eastAsia="DengXian" w:hAnsi="Book Antiqua" w:cs="Times New Roman"/>
          <w:kern w:val="2"/>
          <w:sz w:val="24"/>
          <w:szCs w:val="24"/>
          <w:lang w:eastAsia="zh-CN"/>
        </w:rPr>
        <w:t>Bendtsen</w:t>
      </w:r>
      <w:proofErr w:type="spellEnd"/>
      <w:r w:rsidRPr="007932DD">
        <w:rPr>
          <w:rFonts w:ascii="Book Antiqua" w:eastAsia="DengXian" w:hAnsi="Book Antiqua" w:cs="Times New Roman"/>
          <w:kern w:val="2"/>
          <w:sz w:val="24"/>
          <w:szCs w:val="24"/>
          <w:lang w:eastAsia="zh-CN"/>
        </w:rPr>
        <w:t xml:space="preserve"> P, </w:t>
      </w:r>
      <w:proofErr w:type="spellStart"/>
      <w:r w:rsidRPr="007932DD">
        <w:rPr>
          <w:rFonts w:ascii="Book Antiqua" w:eastAsia="DengXian" w:hAnsi="Book Antiqua" w:cs="Times New Roman"/>
          <w:kern w:val="2"/>
          <w:sz w:val="24"/>
          <w:szCs w:val="24"/>
          <w:lang w:eastAsia="zh-CN"/>
        </w:rPr>
        <w:t>Mathiesen</w:t>
      </w:r>
      <w:proofErr w:type="spellEnd"/>
      <w:r w:rsidRPr="007932DD">
        <w:rPr>
          <w:rFonts w:ascii="Book Antiqua" w:eastAsia="DengXian" w:hAnsi="Book Antiqua" w:cs="Times New Roman"/>
          <w:kern w:val="2"/>
          <w:sz w:val="24"/>
          <w:szCs w:val="24"/>
          <w:lang w:eastAsia="zh-CN"/>
        </w:rPr>
        <w:t xml:space="preserve"> UL, </w:t>
      </w:r>
      <w:proofErr w:type="spellStart"/>
      <w:r w:rsidRPr="007932DD">
        <w:rPr>
          <w:rFonts w:ascii="Book Antiqua" w:eastAsia="DengXian" w:hAnsi="Book Antiqua" w:cs="Times New Roman"/>
          <w:kern w:val="2"/>
          <w:sz w:val="24"/>
          <w:szCs w:val="24"/>
          <w:lang w:eastAsia="zh-CN"/>
        </w:rPr>
        <w:t>Bodemar</w:t>
      </w:r>
      <w:proofErr w:type="spellEnd"/>
      <w:r w:rsidRPr="007932DD">
        <w:rPr>
          <w:rFonts w:ascii="Book Antiqua" w:eastAsia="DengXian" w:hAnsi="Book Antiqua" w:cs="Times New Roman"/>
          <w:kern w:val="2"/>
          <w:sz w:val="24"/>
          <w:szCs w:val="24"/>
          <w:lang w:eastAsia="zh-CN"/>
        </w:rPr>
        <w:t xml:space="preserve"> G, </w:t>
      </w:r>
      <w:proofErr w:type="spellStart"/>
      <w:r w:rsidRPr="007932DD">
        <w:rPr>
          <w:rFonts w:ascii="Book Antiqua" w:eastAsia="DengXian" w:hAnsi="Book Antiqua" w:cs="Times New Roman"/>
          <w:kern w:val="2"/>
          <w:sz w:val="24"/>
          <w:szCs w:val="24"/>
          <w:lang w:eastAsia="zh-CN"/>
        </w:rPr>
        <w:t>Kechagias</w:t>
      </w:r>
      <w:proofErr w:type="spellEnd"/>
      <w:r w:rsidRPr="007932DD">
        <w:rPr>
          <w:rFonts w:ascii="Book Antiqua" w:eastAsia="DengXian" w:hAnsi="Book Antiqua" w:cs="Times New Roman"/>
          <w:kern w:val="2"/>
          <w:sz w:val="24"/>
          <w:szCs w:val="24"/>
          <w:lang w:eastAsia="zh-CN"/>
        </w:rPr>
        <w:t xml:space="preserve"> S. Alcohol consumption is associated with progression of hepatic fibrosis in non-alcoholic fatty liver disease. </w:t>
      </w:r>
      <w:proofErr w:type="spellStart"/>
      <w:r w:rsidRPr="007932DD">
        <w:rPr>
          <w:rFonts w:ascii="Book Antiqua" w:eastAsia="DengXian" w:hAnsi="Book Antiqua" w:cs="Times New Roman"/>
          <w:i/>
          <w:kern w:val="2"/>
          <w:sz w:val="24"/>
          <w:szCs w:val="24"/>
          <w:lang w:eastAsia="zh-CN"/>
        </w:rPr>
        <w:t>Scand</w:t>
      </w:r>
      <w:proofErr w:type="spellEnd"/>
      <w:r w:rsidRPr="007932DD">
        <w:rPr>
          <w:rFonts w:ascii="Book Antiqua" w:eastAsia="DengXian" w:hAnsi="Book Antiqua" w:cs="Times New Roman"/>
          <w:i/>
          <w:kern w:val="2"/>
          <w:sz w:val="24"/>
          <w:szCs w:val="24"/>
          <w:lang w:eastAsia="zh-CN"/>
        </w:rPr>
        <w:t xml:space="preserve"> J </w:t>
      </w:r>
      <w:proofErr w:type="spellStart"/>
      <w:r w:rsidRPr="007932DD">
        <w:rPr>
          <w:rFonts w:ascii="Book Antiqua" w:eastAsia="DengXian" w:hAnsi="Book Antiqua" w:cs="Times New Roman"/>
          <w:i/>
          <w:kern w:val="2"/>
          <w:sz w:val="24"/>
          <w:szCs w:val="24"/>
          <w:lang w:eastAsia="zh-CN"/>
        </w:rPr>
        <w:t>Gastroenterol</w:t>
      </w:r>
      <w:proofErr w:type="spellEnd"/>
      <w:r w:rsidRPr="007932DD">
        <w:rPr>
          <w:rFonts w:ascii="Book Antiqua" w:eastAsia="DengXian" w:hAnsi="Book Antiqua" w:cs="Times New Roman"/>
          <w:kern w:val="2"/>
          <w:sz w:val="24"/>
          <w:szCs w:val="24"/>
          <w:lang w:eastAsia="zh-CN"/>
        </w:rPr>
        <w:t xml:space="preserve"> 2009; </w:t>
      </w:r>
      <w:r w:rsidRPr="007932DD">
        <w:rPr>
          <w:rFonts w:ascii="Book Antiqua" w:eastAsia="DengXian" w:hAnsi="Book Antiqua" w:cs="Times New Roman"/>
          <w:b/>
          <w:kern w:val="2"/>
          <w:sz w:val="24"/>
          <w:szCs w:val="24"/>
          <w:lang w:eastAsia="zh-CN"/>
        </w:rPr>
        <w:t>44</w:t>
      </w:r>
      <w:r w:rsidRPr="007932DD">
        <w:rPr>
          <w:rFonts w:ascii="Book Antiqua" w:eastAsia="DengXian" w:hAnsi="Book Antiqua" w:cs="Times New Roman"/>
          <w:kern w:val="2"/>
          <w:sz w:val="24"/>
          <w:szCs w:val="24"/>
          <w:lang w:eastAsia="zh-CN"/>
        </w:rPr>
        <w:t>: 366-374 [PMID: 19016382 DOI: 10.1080/00365520802555991]</w:t>
      </w:r>
    </w:p>
    <w:p w14:paraId="2FF99B58"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29 </w:t>
      </w:r>
      <w:proofErr w:type="spellStart"/>
      <w:r w:rsidRPr="007932DD">
        <w:rPr>
          <w:rFonts w:ascii="Book Antiqua" w:eastAsia="DengXian" w:hAnsi="Book Antiqua" w:cs="Times New Roman"/>
          <w:b/>
          <w:kern w:val="2"/>
          <w:sz w:val="24"/>
          <w:szCs w:val="24"/>
          <w:lang w:eastAsia="zh-CN"/>
        </w:rPr>
        <w:t>Naveau</w:t>
      </w:r>
      <w:proofErr w:type="spellEnd"/>
      <w:r w:rsidRPr="007932DD">
        <w:rPr>
          <w:rFonts w:ascii="Book Antiqua" w:eastAsia="DengXian" w:hAnsi="Book Antiqua" w:cs="Times New Roman"/>
          <w:b/>
          <w:kern w:val="2"/>
          <w:sz w:val="24"/>
          <w:szCs w:val="24"/>
          <w:lang w:eastAsia="zh-CN"/>
        </w:rPr>
        <w:t xml:space="preserve"> S</w:t>
      </w:r>
      <w:r w:rsidRPr="007932DD">
        <w:rPr>
          <w:rFonts w:ascii="Book Antiqua" w:eastAsia="DengXian" w:hAnsi="Book Antiqua" w:cs="Times New Roman"/>
          <w:kern w:val="2"/>
          <w:sz w:val="24"/>
          <w:szCs w:val="24"/>
          <w:lang w:eastAsia="zh-CN"/>
        </w:rPr>
        <w:t xml:space="preserve">, Giraud V, </w:t>
      </w:r>
      <w:proofErr w:type="spellStart"/>
      <w:r w:rsidRPr="007932DD">
        <w:rPr>
          <w:rFonts w:ascii="Book Antiqua" w:eastAsia="DengXian" w:hAnsi="Book Antiqua" w:cs="Times New Roman"/>
          <w:kern w:val="2"/>
          <w:sz w:val="24"/>
          <w:szCs w:val="24"/>
          <w:lang w:eastAsia="zh-CN"/>
        </w:rPr>
        <w:t>Borotto</w:t>
      </w:r>
      <w:proofErr w:type="spellEnd"/>
      <w:r w:rsidRPr="007932DD">
        <w:rPr>
          <w:rFonts w:ascii="Book Antiqua" w:eastAsia="DengXian" w:hAnsi="Book Antiqua" w:cs="Times New Roman"/>
          <w:kern w:val="2"/>
          <w:sz w:val="24"/>
          <w:szCs w:val="24"/>
          <w:lang w:eastAsia="zh-CN"/>
        </w:rPr>
        <w:t xml:space="preserve"> E, </w:t>
      </w:r>
      <w:proofErr w:type="spellStart"/>
      <w:r w:rsidRPr="007932DD">
        <w:rPr>
          <w:rFonts w:ascii="Book Antiqua" w:eastAsia="DengXian" w:hAnsi="Book Antiqua" w:cs="Times New Roman"/>
          <w:kern w:val="2"/>
          <w:sz w:val="24"/>
          <w:szCs w:val="24"/>
          <w:lang w:eastAsia="zh-CN"/>
        </w:rPr>
        <w:t>Aubert</w:t>
      </w:r>
      <w:proofErr w:type="spellEnd"/>
      <w:r w:rsidRPr="007932DD">
        <w:rPr>
          <w:rFonts w:ascii="Book Antiqua" w:eastAsia="DengXian" w:hAnsi="Book Antiqua" w:cs="Times New Roman"/>
          <w:kern w:val="2"/>
          <w:sz w:val="24"/>
          <w:szCs w:val="24"/>
          <w:lang w:eastAsia="zh-CN"/>
        </w:rPr>
        <w:t xml:space="preserve"> A, Capron F, </w:t>
      </w:r>
      <w:proofErr w:type="spellStart"/>
      <w:r w:rsidRPr="007932DD">
        <w:rPr>
          <w:rFonts w:ascii="Book Antiqua" w:eastAsia="DengXian" w:hAnsi="Book Antiqua" w:cs="Times New Roman"/>
          <w:kern w:val="2"/>
          <w:sz w:val="24"/>
          <w:szCs w:val="24"/>
          <w:lang w:eastAsia="zh-CN"/>
        </w:rPr>
        <w:t>Chaput</w:t>
      </w:r>
      <w:proofErr w:type="spellEnd"/>
      <w:r w:rsidRPr="007932DD">
        <w:rPr>
          <w:rFonts w:ascii="Book Antiqua" w:eastAsia="DengXian" w:hAnsi="Book Antiqua" w:cs="Times New Roman"/>
          <w:kern w:val="2"/>
          <w:sz w:val="24"/>
          <w:szCs w:val="24"/>
          <w:lang w:eastAsia="zh-CN"/>
        </w:rPr>
        <w:t xml:space="preserve"> JC. Excess weight risk factor for alcoholic liver disease. </w:t>
      </w:r>
      <w:r w:rsidRPr="007932DD">
        <w:rPr>
          <w:rFonts w:ascii="Book Antiqua" w:eastAsia="DengXian" w:hAnsi="Book Antiqua" w:cs="Times New Roman"/>
          <w:i/>
          <w:kern w:val="2"/>
          <w:sz w:val="24"/>
          <w:szCs w:val="24"/>
          <w:lang w:eastAsia="zh-CN"/>
        </w:rPr>
        <w:t>Hepatology</w:t>
      </w:r>
      <w:r w:rsidRPr="007932DD">
        <w:rPr>
          <w:rFonts w:ascii="Book Antiqua" w:eastAsia="DengXian" w:hAnsi="Book Antiqua" w:cs="Times New Roman"/>
          <w:kern w:val="2"/>
          <w:sz w:val="24"/>
          <w:szCs w:val="24"/>
          <w:lang w:eastAsia="zh-CN"/>
        </w:rPr>
        <w:t xml:space="preserve"> 1997; </w:t>
      </w:r>
      <w:r w:rsidRPr="007932DD">
        <w:rPr>
          <w:rFonts w:ascii="Book Antiqua" w:eastAsia="DengXian" w:hAnsi="Book Antiqua" w:cs="Times New Roman"/>
          <w:b/>
          <w:kern w:val="2"/>
          <w:sz w:val="24"/>
          <w:szCs w:val="24"/>
          <w:lang w:eastAsia="zh-CN"/>
        </w:rPr>
        <w:t>25</w:t>
      </w:r>
      <w:r w:rsidRPr="007932DD">
        <w:rPr>
          <w:rFonts w:ascii="Book Antiqua" w:eastAsia="DengXian" w:hAnsi="Book Antiqua" w:cs="Times New Roman"/>
          <w:kern w:val="2"/>
          <w:sz w:val="24"/>
          <w:szCs w:val="24"/>
          <w:lang w:eastAsia="zh-CN"/>
        </w:rPr>
        <w:t>: 108-111 [PMID: 8985274 DOI: 10.1002/hep.510250120]</w:t>
      </w:r>
    </w:p>
    <w:p w14:paraId="15C95477"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30 </w:t>
      </w:r>
      <w:proofErr w:type="spellStart"/>
      <w:r w:rsidRPr="007932DD">
        <w:rPr>
          <w:rFonts w:ascii="Book Antiqua" w:eastAsia="DengXian" w:hAnsi="Book Antiqua" w:cs="Times New Roman"/>
          <w:b/>
          <w:kern w:val="2"/>
          <w:sz w:val="24"/>
          <w:szCs w:val="24"/>
          <w:lang w:eastAsia="zh-CN"/>
        </w:rPr>
        <w:t>Raynard</w:t>
      </w:r>
      <w:proofErr w:type="spellEnd"/>
      <w:r w:rsidRPr="007932DD">
        <w:rPr>
          <w:rFonts w:ascii="Book Antiqua" w:eastAsia="DengXian" w:hAnsi="Book Antiqua" w:cs="Times New Roman"/>
          <w:b/>
          <w:kern w:val="2"/>
          <w:sz w:val="24"/>
          <w:szCs w:val="24"/>
          <w:lang w:eastAsia="zh-CN"/>
        </w:rPr>
        <w:t xml:space="preserve"> B</w:t>
      </w:r>
      <w:r w:rsidRPr="007932DD">
        <w:rPr>
          <w:rFonts w:ascii="Book Antiqua" w:eastAsia="DengXian" w:hAnsi="Book Antiqua" w:cs="Times New Roman"/>
          <w:kern w:val="2"/>
          <w:sz w:val="24"/>
          <w:szCs w:val="24"/>
          <w:lang w:eastAsia="zh-CN"/>
        </w:rPr>
        <w:t xml:space="preserve">, </w:t>
      </w:r>
      <w:proofErr w:type="spellStart"/>
      <w:r w:rsidRPr="007932DD">
        <w:rPr>
          <w:rFonts w:ascii="Book Antiqua" w:eastAsia="DengXian" w:hAnsi="Book Antiqua" w:cs="Times New Roman"/>
          <w:kern w:val="2"/>
          <w:sz w:val="24"/>
          <w:szCs w:val="24"/>
          <w:lang w:eastAsia="zh-CN"/>
        </w:rPr>
        <w:t>Balian</w:t>
      </w:r>
      <w:proofErr w:type="spellEnd"/>
      <w:r w:rsidRPr="007932DD">
        <w:rPr>
          <w:rFonts w:ascii="Book Antiqua" w:eastAsia="DengXian" w:hAnsi="Book Antiqua" w:cs="Times New Roman"/>
          <w:kern w:val="2"/>
          <w:sz w:val="24"/>
          <w:szCs w:val="24"/>
          <w:lang w:eastAsia="zh-CN"/>
        </w:rPr>
        <w:t xml:space="preserve"> A, </w:t>
      </w:r>
      <w:proofErr w:type="spellStart"/>
      <w:r w:rsidRPr="007932DD">
        <w:rPr>
          <w:rFonts w:ascii="Book Antiqua" w:eastAsia="DengXian" w:hAnsi="Book Antiqua" w:cs="Times New Roman"/>
          <w:kern w:val="2"/>
          <w:sz w:val="24"/>
          <w:szCs w:val="24"/>
          <w:lang w:eastAsia="zh-CN"/>
        </w:rPr>
        <w:t>Fallik</w:t>
      </w:r>
      <w:proofErr w:type="spellEnd"/>
      <w:r w:rsidRPr="007932DD">
        <w:rPr>
          <w:rFonts w:ascii="Book Antiqua" w:eastAsia="DengXian" w:hAnsi="Book Antiqua" w:cs="Times New Roman"/>
          <w:kern w:val="2"/>
          <w:sz w:val="24"/>
          <w:szCs w:val="24"/>
          <w:lang w:eastAsia="zh-CN"/>
        </w:rPr>
        <w:t xml:space="preserve"> D, Capron F, </w:t>
      </w:r>
      <w:proofErr w:type="spellStart"/>
      <w:r w:rsidRPr="007932DD">
        <w:rPr>
          <w:rFonts w:ascii="Book Antiqua" w:eastAsia="DengXian" w:hAnsi="Book Antiqua" w:cs="Times New Roman"/>
          <w:kern w:val="2"/>
          <w:sz w:val="24"/>
          <w:szCs w:val="24"/>
          <w:lang w:eastAsia="zh-CN"/>
        </w:rPr>
        <w:t>Bedossa</w:t>
      </w:r>
      <w:proofErr w:type="spellEnd"/>
      <w:r w:rsidRPr="007932DD">
        <w:rPr>
          <w:rFonts w:ascii="Book Antiqua" w:eastAsia="DengXian" w:hAnsi="Book Antiqua" w:cs="Times New Roman"/>
          <w:kern w:val="2"/>
          <w:sz w:val="24"/>
          <w:szCs w:val="24"/>
          <w:lang w:eastAsia="zh-CN"/>
        </w:rPr>
        <w:t xml:space="preserve"> P, </w:t>
      </w:r>
      <w:proofErr w:type="spellStart"/>
      <w:r w:rsidRPr="007932DD">
        <w:rPr>
          <w:rFonts w:ascii="Book Antiqua" w:eastAsia="DengXian" w:hAnsi="Book Antiqua" w:cs="Times New Roman"/>
          <w:kern w:val="2"/>
          <w:sz w:val="24"/>
          <w:szCs w:val="24"/>
          <w:lang w:eastAsia="zh-CN"/>
        </w:rPr>
        <w:t>Chaput</w:t>
      </w:r>
      <w:proofErr w:type="spellEnd"/>
      <w:r w:rsidRPr="007932DD">
        <w:rPr>
          <w:rFonts w:ascii="Book Antiqua" w:eastAsia="DengXian" w:hAnsi="Book Antiqua" w:cs="Times New Roman"/>
          <w:kern w:val="2"/>
          <w:sz w:val="24"/>
          <w:szCs w:val="24"/>
          <w:lang w:eastAsia="zh-CN"/>
        </w:rPr>
        <w:t xml:space="preserve"> JC, </w:t>
      </w:r>
      <w:proofErr w:type="spellStart"/>
      <w:r w:rsidRPr="007932DD">
        <w:rPr>
          <w:rFonts w:ascii="Book Antiqua" w:eastAsia="DengXian" w:hAnsi="Book Antiqua" w:cs="Times New Roman"/>
          <w:kern w:val="2"/>
          <w:sz w:val="24"/>
          <w:szCs w:val="24"/>
          <w:lang w:eastAsia="zh-CN"/>
        </w:rPr>
        <w:t>Naveau</w:t>
      </w:r>
      <w:proofErr w:type="spellEnd"/>
      <w:r w:rsidRPr="007932DD">
        <w:rPr>
          <w:rFonts w:ascii="Book Antiqua" w:eastAsia="DengXian" w:hAnsi="Book Antiqua" w:cs="Times New Roman"/>
          <w:kern w:val="2"/>
          <w:sz w:val="24"/>
          <w:szCs w:val="24"/>
          <w:lang w:eastAsia="zh-CN"/>
        </w:rPr>
        <w:t xml:space="preserve"> S. Risk factors of fibrosis in alcohol-induced liver disease. </w:t>
      </w:r>
      <w:r w:rsidRPr="007932DD">
        <w:rPr>
          <w:rFonts w:ascii="Book Antiqua" w:eastAsia="DengXian" w:hAnsi="Book Antiqua" w:cs="Times New Roman"/>
          <w:i/>
          <w:kern w:val="2"/>
          <w:sz w:val="24"/>
          <w:szCs w:val="24"/>
          <w:lang w:eastAsia="zh-CN"/>
        </w:rPr>
        <w:t>Hepatology</w:t>
      </w:r>
      <w:r w:rsidRPr="007932DD">
        <w:rPr>
          <w:rFonts w:ascii="Book Antiqua" w:eastAsia="DengXian" w:hAnsi="Book Antiqua" w:cs="Times New Roman"/>
          <w:kern w:val="2"/>
          <w:sz w:val="24"/>
          <w:szCs w:val="24"/>
          <w:lang w:eastAsia="zh-CN"/>
        </w:rPr>
        <w:t xml:space="preserve"> 2002; </w:t>
      </w:r>
      <w:r w:rsidRPr="007932DD">
        <w:rPr>
          <w:rFonts w:ascii="Book Antiqua" w:eastAsia="DengXian" w:hAnsi="Book Antiqua" w:cs="Times New Roman"/>
          <w:b/>
          <w:kern w:val="2"/>
          <w:sz w:val="24"/>
          <w:szCs w:val="24"/>
          <w:lang w:eastAsia="zh-CN"/>
        </w:rPr>
        <w:t>35</w:t>
      </w:r>
      <w:r w:rsidRPr="007932DD">
        <w:rPr>
          <w:rFonts w:ascii="Book Antiqua" w:eastAsia="DengXian" w:hAnsi="Book Antiqua" w:cs="Times New Roman"/>
          <w:kern w:val="2"/>
          <w:sz w:val="24"/>
          <w:szCs w:val="24"/>
          <w:lang w:eastAsia="zh-CN"/>
        </w:rPr>
        <w:t>: 635-638 [PMID: 11870378 DOI: 10.1053/jhep.2002.31782]</w:t>
      </w:r>
    </w:p>
    <w:p w14:paraId="67BA165F"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31 </w:t>
      </w:r>
      <w:r w:rsidRPr="007932DD">
        <w:rPr>
          <w:rFonts w:ascii="Book Antiqua" w:eastAsia="DengXian" w:hAnsi="Book Antiqua" w:cs="Times New Roman"/>
          <w:b/>
          <w:kern w:val="2"/>
          <w:sz w:val="24"/>
          <w:szCs w:val="24"/>
          <w:lang w:eastAsia="zh-CN"/>
        </w:rPr>
        <w:t>Corey KE</w:t>
      </w:r>
      <w:r w:rsidRPr="007932DD">
        <w:rPr>
          <w:rFonts w:ascii="Book Antiqua" w:eastAsia="DengXian" w:hAnsi="Book Antiqua" w:cs="Times New Roman"/>
          <w:kern w:val="2"/>
          <w:sz w:val="24"/>
          <w:szCs w:val="24"/>
          <w:lang w:eastAsia="zh-CN"/>
        </w:rPr>
        <w:t xml:space="preserve">, </w:t>
      </w:r>
      <w:proofErr w:type="spellStart"/>
      <w:r w:rsidRPr="007932DD">
        <w:rPr>
          <w:rFonts w:ascii="Book Antiqua" w:eastAsia="DengXian" w:hAnsi="Book Antiqua" w:cs="Times New Roman"/>
          <w:kern w:val="2"/>
          <w:sz w:val="24"/>
          <w:szCs w:val="24"/>
          <w:lang w:eastAsia="zh-CN"/>
        </w:rPr>
        <w:t>Misdraji</w:t>
      </w:r>
      <w:proofErr w:type="spellEnd"/>
      <w:r w:rsidRPr="007932DD">
        <w:rPr>
          <w:rFonts w:ascii="Book Antiqua" w:eastAsia="DengXian" w:hAnsi="Book Antiqua" w:cs="Times New Roman"/>
          <w:kern w:val="2"/>
          <w:sz w:val="24"/>
          <w:szCs w:val="24"/>
          <w:lang w:eastAsia="zh-CN"/>
        </w:rPr>
        <w:t xml:space="preserve"> J, </w:t>
      </w:r>
      <w:proofErr w:type="spellStart"/>
      <w:r w:rsidRPr="007932DD">
        <w:rPr>
          <w:rFonts w:ascii="Book Antiqua" w:eastAsia="DengXian" w:hAnsi="Book Antiqua" w:cs="Times New Roman"/>
          <w:kern w:val="2"/>
          <w:sz w:val="24"/>
          <w:szCs w:val="24"/>
          <w:lang w:eastAsia="zh-CN"/>
        </w:rPr>
        <w:t>Gelrud</w:t>
      </w:r>
      <w:proofErr w:type="spellEnd"/>
      <w:r w:rsidRPr="007932DD">
        <w:rPr>
          <w:rFonts w:ascii="Book Antiqua" w:eastAsia="DengXian" w:hAnsi="Book Antiqua" w:cs="Times New Roman"/>
          <w:kern w:val="2"/>
          <w:sz w:val="24"/>
          <w:szCs w:val="24"/>
          <w:lang w:eastAsia="zh-CN"/>
        </w:rPr>
        <w:t xml:space="preserve"> L, Zheng H, Chung RT, Krauss RM. Nonalcoholic steatohepatitis is associated with an atherogenic lipoprotein subfraction profile. </w:t>
      </w:r>
      <w:r w:rsidRPr="007932DD">
        <w:rPr>
          <w:rFonts w:ascii="Book Antiqua" w:eastAsia="DengXian" w:hAnsi="Book Antiqua" w:cs="Times New Roman"/>
          <w:i/>
          <w:kern w:val="2"/>
          <w:sz w:val="24"/>
          <w:szCs w:val="24"/>
          <w:lang w:eastAsia="zh-CN"/>
        </w:rPr>
        <w:t>Lipids Health Dis</w:t>
      </w:r>
      <w:r w:rsidRPr="007932DD">
        <w:rPr>
          <w:rFonts w:ascii="Book Antiqua" w:eastAsia="DengXian" w:hAnsi="Book Antiqua" w:cs="Times New Roman"/>
          <w:kern w:val="2"/>
          <w:sz w:val="24"/>
          <w:szCs w:val="24"/>
          <w:lang w:eastAsia="zh-CN"/>
        </w:rPr>
        <w:t xml:space="preserve"> 2014; </w:t>
      </w:r>
      <w:r w:rsidRPr="007932DD">
        <w:rPr>
          <w:rFonts w:ascii="Book Antiqua" w:eastAsia="DengXian" w:hAnsi="Book Antiqua" w:cs="Times New Roman"/>
          <w:b/>
          <w:kern w:val="2"/>
          <w:sz w:val="24"/>
          <w:szCs w:val="24"/>
          <w:lang w:eastAsia="zh-CN"/>
        </w:rPr>
        <w:t>13</w:t>
      </w:r>
      <w:r w:rsidRPr="007932DD">
        <w:rPr>
          <w:rFonts w:ascii="Book Antiqua" w:eastAsia="DengXian" w:hAnsi="Book Antiqua" w:cs="Times New Roman"/>
          <w:kern w:val="2"/>
          <w:sz w:val="24"/>
          <w:szCs w:val="24"/>
          <w:lang w:eastAsia="zh-CN"/>
        </w:rPr>
        <w:t>: 100 [PMID: 24952382 DOI: 10.1186/1476-511X-13-100]</w:t>
      </w:r>
    </w:p>
    <w:p w14:paraId="68F91CBE"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32 </w:t>
      </w:r>
      <w:r w:rsidRPr="007932DD">
        <w:rPr>
          <w:rFonts w:ascii="Book Antiqua" w:eastAsia="DengXian" w:hAnsi="Book Antiqua" w:cs="Times New Roman"/>
          <w:b/>
          <w:kern w:val="2"/>
          <w:sz w:val="24"/>
          <w:szCs w:val="24"/>
          <w:lang w:eastAsia="zh-CN"/>
        </w:rPr>
        <w:t>Berglund L</w:t>
      </w:r>
      <w:r w:rsidRPr="007932DD">
        <w:rPr>
          <w:rFonts w:ascii="Book Antiqua" w:eastAsia="DengXian" w:hAnsi="Book Antiqua" w:cs="Times New Roman"/>
          <w:kern w:val="2"/>
          <w:sz w:val="24"/>
          <w:szCs w:val="24"/>
          <w:lang w:eastAsia="zh-CN"/>
        </w:rPr>
        <w:t xml:space="preserve">, </w:t>
      </w:r>
      <w:proofErr w:type="spellStart"/>
      <w:r w:rsidRPr="007932DD">
        <w:rPr>
          <w:rFonts w:ascii="Book Antiqua" w:eastAsia="DengXian" w:hAnsi="Book Antiqua" w:cs="Times New Roman"/>
          <w:kern w:val="2"/>
          <w:sz w:val="24"/>
          <w:szCs w:val="24"/>
          <w:lang w:eastAsia="zh-CN"/>
        </w:rPr>
        <w:t>Brunzell</w:t>
      </w:r>
      <w:proofErr w:type="spellEnd"/>
      <w:r w:rsidRPr="007932DD">
        <w:rPr>
          <w:rFonts w:ascii="Book Antiqua" w:eastAsia="DengXian" w:hAnsi="Book Antiqua" w:cs="Times New Roman"/>
          <w:kern w:val="2"/>
          <w:sz w:val="24"/>
          <w:szCs w:val="24"/>
          <w:lang w:eastAsia="zh-CN"/>
        </w:rPr>
        <w:t xml:space="preserve"> JD, Goldberg AC, Goldberg IJ, Sacks F, </w:t>
      </w:r>
      <w:proofErr w:type="spellStart"/>
      <w:r w:rsidRPr="007932DD">
        <w:rPr>
          <w:rFonts w:ascii="Book Antiqua" w:eastAsia="DengXian" w:hAnsi="Book Antiqua" w:cs="Times New Roman"/>
          <w:kern w:val="2"/>
          <w:sz w:val="24"/>
          <w:szCs w:val="24"/>
          <w:lang w:eastAsia="zh-CN"/>
        </w:rPr>
        <w:t>Murad</w:t>
      </w:r>
      <w:proofErr w:type="spellEnd"/>
      <w:r w:rsidRPr="007932DD">
        <w:rPr>
          <w:rFonts w:ascii="Book Antiqua" w:eastAsia="DengXian" w:hAnsi="Book Antiqua" w:cs="Times New Roman"/>
          <w:kern w:val="2"/>
          <w:sz w:val="24"/>
          <w:szCs w:val="24"/>
          <w:lang w:eastAsia="zh-CN"/>
        </w:rPr>
        <w:t xml:space="preserve"> MH, </w:t>
      </w:r>
      <w:proofErr w:type="spellStart"/>
      <w:r w:rsidRPr="007932DD">
        <w:rPr>
          <w:rFonts w:ascii="Book Antiqua" w:eastAsia="DengXian" w:hAnsi="Book Antiqua" w:cs="Times New Roman"/>
          <w:kern w:val="2"/>
          <w:sz w:val="24"/>
          <w:szCs w:val="24"/>
          <w:lang w:eastAsia="zh-CN"/>
        </w:rPr>
        <w:t>Stalenhoef</w:t>
      </w:r>
      <w:proofErr w:type="spellEnd"/>
      <w:r w:rsidRPr="007932DD">
        <w:rPr>
          <w:rFonts w:ascii="Book Antiqua" w:eastAsia="DengXian" w:hAnsi="Book Antiqua" w:cs="Times New Roman"/>
          <w:kern w:val="2"/>
          <w:sz w:val="24"/>
          <w:szCs w:val="24"/>
          <w:lang w:eastAsia="zh-CN"/>
        </w:rPr>
        <w:t xml:space="preserve"> AF; Endocrine society. Evaluation and treatment of hypertriglyceridemia: an Endocrine Society clinical practice guideline. </w:t>
      </w:r>
      <w:r w:rsidRPr="007932DD">
        <w:rPr>
          <w:rFonts w:ascii="Book Antiqua" w:eastAsia="DengXian" w:hAnsi="Book Antiqua" w:cs="Times New Roman"/>
          <w:i/>
          <w:kern w:val="2"/>
          <w:sz w:val="24"/>
          <w:szCs w:val="24"/>
          <w:lang w:eastAsia="zh-CN"/>
        </w:rPr>
        <w:t xml:space="preserve">J </w:t>
      </w:r>
      <w:proofErr w:type="spellStart"/>
      <w:r w:rsidRPr="007932DD">
        <w:rPr>
          <w:rFonts w:ascii="Book Antiqua" w:eastAsia="DengXian" w:hAnsi="Book Antiqua" w:cs="Times New Roman"/>
          <w:i/>
          <w:kern w:val="2"/>
          <w:sz w:val="24"/>
          <w:szCs w:val="24"/>
          <w:lang w:eastAsia="zh-CN"/>
        </w:rPr>
        <w:t>Clin</w:t>
      </w:r>
      <w:proofErr w:type="spellEnd"/>
      <w:r w:rsidRPr="007932DD">
        <w:rPr>
          <w:rFonts w:ascii="Book Antiqua" w:eastAsia="DengXian" w:hAnsi="Book Antiqua" w:cs="Times New Roman"/>
          <w:i/>
          <w:kern w:val="2"/>
          <w:sz w:val="24"/>
          <w:szCs w:val="24"/>
          <w:lang w:eastAsia="zh-CN"/>
        </w:rPr>
        <w:t xml:space="preserve"> </w:t>
      </w:r>
      <w:proofErr w:type="spellStart"/>
      <w:r w:rsidRPr="007932DD">
        <w:rPr>
          <w:rFonts w:ascii="Book Antiqua" w:eastAsia="DengXian" w:hAnsi="Book Antiqua" w:cs="Times New Roman"/>
          <w:i/>
          <w:kern w:val="2"/>
          <w:sz w:val="24"/>
          <w:szCs w:val="24"/>
          <w:lang w:eastAsia="zh-CN"/>
        </w:rPr>
        <w:t>Endocrinol</w:t>
      </w:r>
      <w:proofErr w:type="spellEnd"/>
      <w:r w:rsidRPr="007932DD">
        <w:rPr>
          <w:rFonts w:ascii="Book Antiqua" w:eastAsia="DengXian" w:hAnsi="Book Antiqua" w:cs="Times New Roman"/>
          <w:i/>
          <w:kern w:val="2"/>
          <w:sz w:val="24"/>
          <w:szCs w:val="24"/>
          <w:lang w:eastAsia="zh-CN"/>
        </w:rPr>
        <w:t xml:space="preserve"> </w:t>
      </w:r>
      <w:proofErr w:type="spellStart"/>
      <w:r w:rsidRPr="007932DD">
        <w:rPr>
          <w:rFonts w:ascii="Book Antiqua" w:eastAsia="DengXian" w:hAnsi="Book Antiqua" w:cs="Times New Roman"/>
          <w:i/>
          <w:kern w:val="2"/>
          <w:sz w:val="24"/>
          <w:szCs w:val="24"/>
          <w:lang w:eastAsia="zh-CN"/>
        </w:rPr>
        <w:t>Metab</w:t>
      </w:r>
      <w:proofErr w:type="spellEnd"/>
      <w:r w:rsidRPr="007932DD">
        <w:rPr>
          <w:rFonts w:ascii="Book Antiqua" w:eastAsia="DengXian" w:hAnsi="Book Antiqua" w:cs="Times New Roman"/>
          <w:kern w:val="2"/>
          <w:sz w:val="24"/>
          <w:szCs w:val="24"/>
          <w:lang w:eastAsia="zh-CN"/>
        </w:rPr>
        <w:t xml:space="preserve"> 2012; </w:t>
      </w:r>
      <w:r w:rsidRPr="007932DD">
        <w:rPr>
          <w:rFonts w:ascii="Book Antiqua" w:eastAsia="DengXian" w:hAnsi="Book Antiqua" w:cs="Times New Roman"/>
          <w:b/>
          <w:kern w:val="2"/>
          <w:sz w:val="24"/>
          <w:szCs w:val="24"/>
          <w:lang w:eastAsia="zh-CN"/>
        </w:rPr>
        <w:t>97</w:t>
      </w:r>
      <w:r w:rsidRPr="007932DD">
        <w:rPr>
          <w:rFonts w:ascii="Book Antiqua" w:eastAsia="DengXian" w:hAnsi="Book Antiqua" w:cs="Times New Roman"/>
          <w:kern w:val="2"/>
          <w:sz w:val="24"/>
          <w:szCs w:val="24"/>
          <w:lang w:eastAsia="zh-CN"/>
        </w:rPr>
        <w:t>: 2969-2989 [PMID: 22962670 DOI: 10.1210/jc.2011-3213]</w:t>
      </w:r>
    </w:p>
    <w:p w14:paraId="37D083E2"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33 </w:t>
      </w:r>
      <w:proofErr w:type="spellStart"/>
      <w:r w:rsidRPr="007932DD">
        <w:rPr>
          <w:rFonts w:ascii="Book Antiqua" w:eastAsia="DengXian" w:hAnsi="Book Antiqua" w:cs="Times New Roman"/>
          <w:b/>
          <w:kern w:val="2"/>
          <w:sz w:val="24"/>
          <w:szCs w:val="24"/>
          <w:lang w:eastAsia="zh-CN"/>
        </w:rPr>
        <w:t>Klop</w:t>
      </w:r>
      <w:proofErr w:type="spellEnd"/>
      <w:r w:rsidRPr="007932DD">
        <w:rPr>
          <w:rFonts w:ascii="Book Antiqua" w:eastAsia="DengXian" w:hAnsi="Book Antiqua" w:cs="Times New Roman"/>
          <w:b/>
          <w:kern w:val="2"/>
          <w:sz w:val="24"/>
          <w:szCs w:val="24"/>
          <w:lang w:eastAsia="zh-CN"/>
        </w:rPr>
        <w:t xml:space="preserve"> B</w:t>
      </w:r>
      <w:r w:rsidRPr="007932DD">
        <w:rPr>
          <w:rFonts w:ascii="Book Antiqua" w:eastAsia="DengXian" w:hAnsi="Book Antiqua" w:cs="Times New Roman"/>
          <w:kern w:val="2"/>
          <w:sz w:val="24"/>
          <w:szCs w:val="24"/>
          <w:lang w:eastAsia="zh-CN"/>
        </w:rPr>
        <w:t xml:space="preserve">, </w:t>
      </w:r>
      <w:proofErr w:type="spellStart"/>
      <w:r w:rsidRPr="007932DD">
        <w:rPr>
          <w:rFonts w:ascii="Book Antiqua" w:eastAsia="DengXian" w:hAnsi="Book Antiqua" w:cs="Times New Roman"/>
          <w:kern w:val="2"/>
          <w:sz w:val="24"/>
          <w:szCs w:val="24"/>
          <w:lang w:eastAsia="zh-CN"/>
        </w:rPr>
        <w:t>Wouter</w:t>
      </w:r>
      <w:proofErr w:type="spellEnd"/>
      <w:r w:rsidRPr="007932DD">
        <w:rPr>
          <w:rFonts w:ascii="Book Antiqua" w:eastAsia="DengXian" w:hAnsi="Book Antiqua" w:cs="Times New Roman"/>
          <w:kern w:val="2"/>
          <w:sz w:val="24"/>
          <w:szCs w:val="24"/>
          <w:lang w:eastAsia="zh-CN"/>
        </w:rPr>
        <w:t xml:space="preserve"> </w:t>
      </w:r>
      <w:proofErr w:type="spellStart"/>
      <w:r w:rsidRPr="007932DD">
        <w:rPr>
          <w:rFonts w:ascii="Book Antiqua" w:eastAsia="DengXian" w:hAnsi="Book Antiqua" w:cs="Times New Roman"/>
          <w:kern w:val="2"/>
          <w:sz w:val="24"/>
          <w:szCs w:val="24"/>
          <w:lang w:eastAsia="zh-CN"/>
        </w:rPr>
        <w:t>Jukema</w:t>
      </w:r>
      <w:proofErr w:type="spellEnd"/>
      <w:r w:rsidRPr="007932DD">
        <w:rPr>
          <w:rFonts w:ascii="Book Antiqua" w:eastAsia="DengXian" w:hAnsi="Book Antiqua" w:cs="Times New Roman"/>
          <w:kern w:val="2"/>
          <w:sz w:val="24"/>
          <w:szCs w:val="24"/>
          <w:lang w:eastAsia="zh-CN"/>
        </w:rPr>
        <w:t xml:space="preserve"> J, </w:t>
      </w:r>
      <w:proofErr w:type="spellStart"/>
      <w:r w:rsidRPr="007932DD">
        <w:rPr>
          <w:rFonts w:ascii="Book Antiqua" w:eastAsia="DengXian" w:hAnsi="Book Antiqua" w:cs="Times New Roman"/>
          <w:kern w:val="2"/>
          <w:sz w:val="24"/>
          <w:szCs w:val="24"/>
          <w:lang w:eastAsia="zh-CN"/>
        </w:rPr>
        <w:t>Rabelink</w:t>
      </w:r>
      <w:proofErr w:type="spellEnd"/>
      <w:r w:rsidRPr="007932DD">
        <w:rPr>
          <w:rFonts w:ascii="Book Antiqua" w:eastAsia="DengXian" w:hAnsi="Book Antiqua" w:cs="Times New Roman"/>
          <w:kern w:val="2"/>
          <w:sz w:val="24"/>
          <w:szCs w:val="24"/>
          <w:lang w:eastAsia="zh-CN"/>
        </w:rPr>
        <w:t xml:space="preserve"> TJ, Castro </w:t>
      </w:r>
      <w:proofErr w:type="spellStart"/>
      <w:r w:rsidRPr="007932DD">
        <w:rPr>
          <w:rFonts w:ascii="Book Antiqua" w:eastAsia="DengXian" w:hAnsi="Book Antiqua" w:cs="Times New Roman"/>
          <w:kern w:val="2"/>
          <w:sz w:val="24"/>
          <w:szCs w:val="24"/>
          <w:lang w:eastAsia="zh-CN"/>
        </w:rPr>
        <w:t>Cabezas</w:t>
      </w:r>
      <w:proofErr w:type="spellEnd"/>
      <w:r w:rsidRPr="007932DD">
        <w:rPr>
          <w:rFonts w:ascii="Book Antiqua" w:eastAsia="DengXian" w:hAnsi="Book Antiqua" w:cs="Times New Roman"/>
          <w:kern w:val="2"/>
          <w:sz w:val="24"/>
          <w:szCs w:val="24"/>
          <w:lang w:eastAsia="zh-CN"/>
        </w:rPr>
        <w:t xml:space="preserve"> M. A physician's guide for the management of hypertriglyceridemia: the etiology of hypertriglyceridemia determines treatment strategy. </w:t>
      </w:r>
      <w:proofErr w:type="spellStart"/>
      <w:r w:rsidRPr="007932DD">
        <w:rPr>
          <w:rFonts w:ascii="Book Antiqua" w:eastAsia="DengXian" w:hAnsi="Book Antiqua" w:cs="Times New Roman"/>
          <w:i/>
          <w:kern w:val="2"/>
          <w:sz w:val="24"/>
          <w:szCs w:val="24"/>
          <w:lang w:eastAsia="zh-CN"/>
        </w:rPr>
        <w:t>Panminerva</w:t>
      </w:r>
      <w:proofErr w:type="spellEnd"/>
      <w:r w:rsidRPr="007932DD">
        <w:rPr>
          <w:rFonts w:ascii="Book Antiqua" w:eastAsia="DengXian" w:hAnsi="Book Antiqua" w:cs="Times New Roman"/>
          <w:i/>
          <w:kern w:val="2"/>
          <w:sz w:val="24"/>
          <w:szCs w:val="24"/>
          <w:lang w:eastAsia="zh-CN"/>
        </w:rPr>
        <w:t xml:space="preserve"> Med</w:t>
      </w:r>
      <w:r w:rsidRPr="007932DD">
        <w:rPr>
          <w:rFonts w:ascii="Book Antiqua" w:eastAsia="DengXian" w:hAnsi="Book Antiqua" w:cs="Times New Roman"/>
          <w:kern w:val="2"/>
          <w:sz w:val="24"/>
          <w:szCs w:val="24"/>
          <w:lang w:eastAsia="zh-CN"/>
        </w:rPr>
        <w:t xml:space="preserve"> 2012; </w:t>
      </w:r>
      <w:r w:rsidRPr="007932DD">
        <w:rPr>
          <w:rFonts w:ascii="Book Antiqua" w:eastAsia="DengXian" w:hAnsi="Book Antiqua" w:cs="Times New Roman"/>
          <w:b/>
          <w:kern w:val="2"/>
          <w:sz w:val="24"/>
          <w:szCs w:val="24"/>
          <w:lang w:eastAsia="zh-CN"/>
        </w:rPr>
        <w:t>54</w:t>
      </w:r>
      <w:r w:rsidRPr="007932DD">
        <w:rPr>
          <w:rFonts w:ascii="Book Antiqua" w:eastAsia="DengXian" w:hAnsi="Book Antiqua" w:cs="Times New Roman"/>
          <w:kern w:val="2"/>
          <w:sz w:val="24"/>
          <w:szCs w:val="24"/>
          <w:lang w:eastAsia="zh-CN"/>
        </w:rPr>
        <w:t>: 91-103 [PMID: 22525564]</w:t>
      </w:r>
    </w:p>
    <w:p w14:paraId="55604D4B"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lastRenderedPageBreak/>
        <w:t xml:space="preserve">34 </w:t>
      </w:r>
      <w:r w:rsidRPr="007932DD">
        <w:rPr>
          <w:rFonts w:ascii="Book Antiqua" w:eastAsia="DengXian" w:hAnsi="Book Antiqua" w:cs="Times New Roman"/>
          <w:b/>
          <w:kern w:val="2"/>
          <w:sz w:val="24"/>
          <w:szCs w:val="24"/>
          <w:lang w:eastAsia="zh-CN"/>
        </w:rPr>
        <w:t>Wang A</w:t>
      </w:r>
      <w:r w:rsidRPr="007932DD">
        <w:rPr>
          <w:rFonts w:ascii="Book Antiqua" w:eastAsia="DengXian" w:hAnsi="Book Antiqua" w:cs="Times New Roman"/>
          <w:kern w:val="2"/>
          <w:sz w:val="24"/>
          <w:szCs w:val="24"/>
          <w:lang w:eastAsia="zh-CN"/>
        </w:rPr>
        <w:t xml:space="preserve">, </w:t>
      </w:r>
      <w:proofErr w:type="spellStart"/>
      <w:r w:rsidRPr="007932DD">
        <w:rPr>
          <w:rFonts w:ascii="Book Antiqua" w:eastAsia="DengXian" w:hAnsi="Book Antiqua" w:cs="Times New Roman"/>
          <w:kern w:val="2"/>
          <w:sz w:val="24"/>
          <w:szCs w:val="24"/>
          <w:lang w:eastAsia="zh-CN"/>
        </w:rPr>
        <w:t>Lazo</w:t>
      </w:r>
      <w:proofErr w:type="spellEnd"/>
      <w:r w:rsidRPr="007932DD">
        <w:rPr>
          <w:rFonts w:ascii="Book Antiqua" w:eastAsia="DengXian" w:hAnsi="Book Antiqua" w:cs="Times New Roman"/>
          <w:kern w:val="2"/>
          <w:sz w:val="24"/>
          <w:szCs w:val="24"/>
          <w:lang w:eastAsia="zh-CN"/>
        </w:rPr>
        <w:t xml:space="preserve"> M, Carter HB, </w:t>
      </w:r>
      <w:proofErr w:type="spellStart"/>
      <w:r w:rsidRPr="007932DD">
        <w:rPr>
          <w:rFonts w:ascii="Book Antiqua" w:eastAsia="DengXian" w:hAnsi="Book Antiqua" w:cs="Times New Roman"/>
          <w:kern w:val="2"/>
          <w:sz w:val="24"/>
          <w:szCs w:val="24"/>
          <w:lang w:eastAsia="zh-CN"/>
        </w:rPr>
        <w:t>Groopman</w:t>
      </w:r>
      <w:proofErr w:type="spellEnd"/>
      <w:r w:rsidRPr="007932DD">
        <w:rPr>
          <w:rFonts w:ascii="Book Antiqua" w:eastAsia="DengXian" w:hAnsi="Book Antiqua" w:cs="Times New Roman"/>
          <w:kern w:val="2"/>
          <w:sz w:val="24"/>
          <w:szCs w:val="24"/>
          <w:lang w:eastAsia="zh-CN"/>
        </w:rPr>
        <w:t xml:space="preserve"> JD, Nelson WG, Platz EA. Association between Liver Fibrosis and Serum PSA among U.S. Men: National Health and Nutrition Examination Survey (NHANES), 2001-2010. </w:t>
      </w:r>
      <w:r w:rsidRPr="007932DD">
        <w:rPr>
          <w:rFonts w:ascii="Book Antiqua" w:eastAsia="DengXian" w:hAnsi="Book Antiqua" w:cs="Times New Roman"/>
          <w:i/>
          <w:kern w:val="2"/>
          <w:sz w:val="24"/>
          <w:szCs w:val="24"/>
          <w:lang w:eastAsia="zh-CN"/>
        </w:rPr>
        <w:t xml:space="preserve">Cancer </w:t>
      </w:r>
      <w:proofErr w:type="spellStart"/>
      <w:r w:rsidRPr="007932DD">
        <w:rPr>
          <w:rFonts w:ascii="Book Antiqua" w:eastAsia="DengXian" w:hAnsi="Book Antiqua" w:cs="Times New Roman"/>
          <w:i/>
          <w:kern w:val="2"/>
          <w:sz w:val="24"/>
          <w:szCs w:val="24"/>
          <w:lang w:eastAsia="zh-CN"/>
        </w:rPr>
        <w:t>Epidemiol</w:t>
      </w:r>
      <w:proofErr w:type="spellEnd"/>
      <w:r w:rsidRPr="007932DD">
        <w:rPr>
          <w:rFonts w:ascii="Book Antiqua" w:eastAsia="DengXian" w:hAnsi="Book Antiqua" w:cs="Times New Roman"/>
          <w:i/>
          <w:kern w:val="2"/>
          <w:sz w:val="24"/>
          <w:szCs w:val="24"/>
          <w:lang w:eastAsia="zh-CN"/>
        </w:rPr>
        <w:t xml:space="preserve"> Biomarkers </w:t>
      </w:r>
      <w:proofErr w:type="spellStart"/>
      <w:r w:rsidRPr="007932DD">
        <w:rPr>
          <w:rFonts w:ascii="Book Antiqua" w:eastAsia="DengXian" w:hAnsi="Book Antiqua" w:cs="Times New Roman"/>
          <w:i/>
          <w:kern w:val="2"/>
          <w:sz w:val="24"/>
          <w:szCs w:val="24"/>
          <w:lang w:eastAsia="zh-CN"/>
        </w:rPr>
        <w:t>Prev</w:t>
      </w:r>
      <w:proofErr w:type="spellEnd"/>
      <w:r w:rsidRPr="007932DD">
        <w:rPr>
          <w:rFonts w:ascii="Book Antiqua" w:eastAsia="DengXian" w:hAnsi="Book Antiqua" w:cs="Times New Roman"/>
          <w:kern w:val="2"/>
          <w:sz w:val="24"/>
          <w:szCs w:val="24"/>
          <w:lang w:eastAsia="zh-CN"/>
        </w:rPr>
        <w:t xml:space="preserve"> 2019; </w:t>
      </w:r>
      <w:r w:rsidRPr="007932DD">
        <w:rPr>
          <w:rFonts w:ascii="Book Antiqua" w:eastAsia="DengXian" w:hAnsi="Book Antiqua" w:cs="Times New Roman"/>
          <w:b/>
          <w:kern w:val="2"/>
          <w:sz w:val="24"/>
          <w:szCs w:val="24"/>
          <w:lang w:eastAsia="zh-CN"/>
        </w:rPr>
        <w:t>28</w:t>
      </w:r>
      <w:r w:rsidRPr="007932DD">
        <w:rPr>
          <w:rFonts w:ascii="Book Antiqua" w:eastAsia="DengXian" w:hAnsi="Book Antiqua" w:cs="Times New Roman"/>
          <w:kern w:val="2"/>
          <w:sz w:val="24"/>
          <w:szCs w:val="24"/>
          <w:lang w:eastAsia="zh-CN"/>
        </w:rPr>
        <w:t>: 1331-1338 [PMID: 31160348 DOI: 10.1158/1055-9965.EPI-19-0145]</w:t>
      </w:r>
    </w:p>
    <w:p w14:paraId="3B11E234" w14:textId="75F14DC4" w:rsidR="00BC4C69" w:rsidRPr="00881D27" w:rsidRDefault="00BC4C69" w:rsidP="002C1F15">
      <w:pPr>
        <w:suppressAutoHyphens/>
        <w:spacing w:after="0" w:line="360" w:lineRule="auto"/>
        <w:jc w:val="right"/>
        <w:rPr>
          <w:rFonts w:ascii="Book Antiqua" w:hAnsi="Book Antiqua" w:cs="Mangal"/>
          <w:b/>
          <w:bCs/>
          <w:sz w:val="28"/>
          <w:szCs w:val="24"/>
          <w:lang w:val="it-IT" w:bidi="hi-IN"/>
        </w:rPr>
      </w:pPr>
      <w:bookmarkStart w:id="252" w:name="OLE_LINK502"/>
      <w:bookmarkStart w:id="253" w:name="OLE_LINK480"/>
      <w:bookmarkStart w:id="254" w:name="OLE_LINK2090"/>
      <w:bookmarkStart w:id="255" w:name="OLE_LINK2200"/>
      <w:bookmarkStart w:id="256" w:name="OLE_LINK2199"/>
      <w:bookmarkStart w:id="257" w:name="OLE_LINK2198"/>
      <w:bookmarkStart w:id="258" w:name="OLE_LINK2162"/>
      <w:bookmarkStart w:id="259" w:name="OLE_LINK1963"/>
      <w:bookmarkStart w:id="260" w:name="OLE_LINK1962"/>
      <w:bookmarkStart w:id="261" w:name="OLE_LINK1812"/>
      <w:bookmarkStart w:id="262" w:name="OLE_LINK1811"/>
      <w:bookmarkStart w:id="263" w:name="OLE_LINK1807"/>
      <w:bookmarkStart w:id="264" w:name="OLE_LINK1806"/>
      <w:bookmarkStart w:id="265" w:name="OLE_LINK1636"/>
      <w:bookmarkStart w:id="266" w:name="OLE_LINK1845"/>
      <w:bookmarkStart w:id="267" w:name="OLE_LINK1844"/>
      <w:bookmarkStart w:id="268" w:name="OLE_LINK1843"/>
      <w:bookmarkStart w:id="269" w:name="OLE_LINK1803"/>
      <w:bookmarkStart w:id="270" w:name="OLE_LINK1802"/>
      <w:bookmarkStart w:id="271" w:name="OLE_LINK1801"/>
      <w:bookmarkStart w:id="272" w:name="OLE_LINK1800"/>
      <w:bookmarkStart w:id="273" w:name="OLE_LINK1282"/>
      <w:bookmarkStart w:id="274" w:name="OLE_LINK1266"/>
      <w:bookmarkStart w:id="275" w:name="OLE_LINK1264"/>
      <w:bookmarkStart w:id="276" w:name="OLE_LINK1261"/>
      <w:bookmarkStart w:id="277" w:name="OLE_LINK1260"/>
      <w:bookmarkStart w:id="278" w:name="OLE_LINK1044"/>
      <w:bookmarkStart w:id="279" w:name="OLE_LINK1043"/>
      <w:bookmarkStart w:id="280" w:name="OLE_LINK1039"/>
      <w:bookmarkStart w:id="281" w:name="OLE_LINK1038"/>
      <w:bookmarkStart w:id="282" w:name="OLE_LINK1036"/>
      <w:bookmarkStart w:id="283" w:name="OLE_LINK1035"/>
      <w:bookmarkStart w:id="284" w:name="OLE_LINK987"/>
      <w:bookmarkStart w:id="285" w:name="OLE_LINK947"/>
      <w:bookmarkStart w:id="286" w:name="OLE_LINK946"/>
      <w:bookmarkStart w:id="287" w:name="OLE_LINK945"/>
      <w:bookmarkStart w:id="288" w:name="OLE_LINK1127"/>
      <w:bookmarkStart w:id="289" w:name="OLE_LINK962"/>
      <w:bookmarkStart w:id="290" w:name="OLE_LINK959"/>
      <w:bookmarkStart w:id="291" w:name="OLE_LINK1185"/>
      <w:bookmarkStart w:id="292" w:name="OLE_LINK1159"/>
      <w:bookmarkStart w:id="293" w:name="OLE_LINK1158"/>
      <w:bookmarkStart w:id="294" w:name="OLE_LINK1157"/>
      <w:bookmarkStart w:id="295" w:name="OLE_LINK1156"/>
      <w:bookmarkStart w:id="296" w:name="OLE_LINK1065"/>
      <w:bookmarkStart w:id="297" w:name="OLE_LINK1064"/>
      <w:bookmarkStart w:id="298" w:name="OLE_LINK1023"/>
      <w:bookmarkStart w:id="299" w:name="OLE_LINK1022"/>
      <w:bookmarkStart w:id="300" w:name="OLE_LINK1021"/>
      <w:bookmarkStart w:id="301" w:name="_Hlk17901632"/>
      <w:r w:rsidRPr="00881D27">
        <w:rPr>
          <w:rFonts w:ascii="Book Antiqua" w:eastAsia="Lucida Sans Unicode" w:hAnsi="Book Antiqua" w:cs="Arial"/>
          <w:b/>
          <w:noProof/>
          <w:sz w:val="24"/>
          <w:szCs w:val="24"/>
          <w:lang w:val="it-IT" w:eastAsia="hi-IN" w:bidi="hi-IN"/>
        </w:rPr>
        <w:t>P-Reviewer</w:t>
      </w:r>
      <w:r w:rsidRPr="00881D27">
        <w:rPr>
          <w:rFonts w:ascii="Book Antiqua" w:hAnsi="Book Antiqua" w:cs="Arial"/>
          <w:b/>
          <w:noProof/>
          <w:sz w:val="24"/>
          <w:szCs w:val="24"/>
          <w:lang w:val="it-IT" w:bidi="hi-IN"/>
        </w:rPr>
        <w:t>:</w:t>
      </w:r>
      <w:r w:rsidRPr="00881D27">
        <w:rPr>
          <w:rFonts w:ascii="Book Antiqua" w:hAnsi="Book Antiqua"/>
          <w:sz w:val="24"/>
          <w:szCs w:val="24"/>
        </w:rPr>
        <w:t xml:space="preserve"> </w:t>
      </w:r>
      <w:proofErr w:type="spellStart"/>
      <w:r w:rsidR="00C4360D" w:rsidRPr="00881D27">
        <w:rPr>
          <w:rFonts w:ascii="Book Antiqua" w:hAnsi="Book Antiqua"/>
          <w:sz w:val="24"/>
          <w:szCs w:val="24"/>
        </w:rPr>
        <w:t>Grgurevic</w:t>
      </w:r>
      <w:proofErr w:type="spellEnd"/>
      <w:r w:rsidR="00C4360D" w:rsidRPr="00881D27">
        <w:rPr>
          <w:rFonts w:ascii="Book Antiqua" w:hAnsi="Book Antiqua"/>
          <w:sz w:val="24"/>
          <w:szCs w:val="24"/>
        </w:rPr>
        <w:t xml:space="preserve"> I, </w:t>
      </w:r>
      <w:proofErr w:type="spellStart"/>
      <w:r w:rsidR="00C4360D" w:rsidRPr="00881D27">
        <w:rPr>
          <w:rFonts w:ascii="Book Antiqua" w:hAnsi="Book Antiqua"/>
          <w:sz w:val="24"/>
          <w:szCs w:val="24"/>
        </w:rPr>
        <w:t>Jamali</w:t>
      </w:r>
      <w:proofErr w:type="spellEnd"/>
      <w:r w:rsidR="00C4360D" w:rsidRPr="00881D27">
        <w:rPr>
          <w:rFonts w:ascii="Book Antiqua" w:hAnsi="Book Antiqua"/>
          <w:sz w:val="24"/>
          <w:szCs w:val="24"/>
        </w:rPr>
        <w:t xml:space="preserve"> R, Xin YN</w:t>
      </w:r>
      <w:r w:rsidRPr="00881D27">
        <w:rPr>
          <w:rFonts w:ascii="Book Antiqua" w:hAnsi="Book Antiqua"/>
          <w:sz w:val="24"/>
          <w:szCs w:val="24"/>
        </w:rPr>
        <w:t xml:space="preserve"> </w:t>
      </w:r>
      <w:r w:rsidRPr="00881D27">
        <w:rPr>
          <w:rFonts w:ascii="Book Antiqua" w:eastAsia="Lucida Sans Unicode" w:hAnsi="Book Antiqua" w:cs="Mangal"/>
          <w:b/>
          <w:bCs/>
          <w:sz w:val="24"/>
          <w:szCs w:val="24"/>
          <w:lang w:val="it-IT" w:eastAsia="hi-IN" w:bidi="hi-IN"/>
        </w:rPr>
        <w:t>S-Editor</w:t>
      </w:r>
      <w:r w:rsidRPr="00881D27">
        <w:rPr>
          <w:rFonts w:ascii="Book Antiqua" w:hAnsi="Book Antiqua" w:cs="Mangal"/>
          <w:b/>
          <w:bCs/>
          <w:sz w:val="24"/>
          <w:szCs w:val="24"/>
          <w:lang w:val="it-IT" w:bidi="hi-IN"/>
        </w:rPr>
        <w:t>:</w:t>
      </w:r>
      <w:r w:rsidRPr="00881D27">
        <w:rPr>
          <w:rFonts w:ascii="Book Antiqua" w:eastAsia="Lucida Sans Unicode" w:hAnsi="Book Antiqua" w:cs="Mangal"/>
          <w:bCs/>
          <w:sz w:val="24"/>
          <w:szCs w:val="24"/>
          <w:lang w:val="it-IT" w:eastAsia="hi-IN" w:bidi="hi-IN"/>
        </w:rPr>
        <w:t xml:space="preserve"> </w:t>
      </w:r>
      <w:r w:rsidRPr="00881D27">
        <w:rPr>
          <w:rFonts w:ascii="Book Antiqua" w:hAnsi="Book Antiqua" w:cs="Mangal"/>
          <w:bCs/>
          <w:sz w:val="24"/>
          <w:szCs w:val="24"/>
          <w:lang w:val="it-IT" w:bidi="hi-IN"/>
        </w:rPr>
        <w:t>Ma YJ</w:t>
      </w:r>
      <w:r w:rsidRPr="00881D27">
        <w:rPr>
          <w:rFonts w:ascii="Book Antiqua" w:eastAsia="Lucida Sans Unicode" w:hAnsi="Book Antiqua" w:cs="Mangal"/>
          <w:b/>
          <w:bCs/>
          <w:sz w:val="24"/>
          <w:szCs w:val="24"/>
          <w:lang w:val="it-IT" w:eastAsia="hi-IN" w:bidi="hi-IN"/>
        </w:rPr>
        <w:t xml:space="preserve"> L-Editor</w:t>
      </w:r>
      <w:r w:rsidRPr="00881D27">
        <w:rPr>
          <w:rFonts w:ascii="Book Antiqua" w:hAnsi="Book Antiqua" w:cs="Mangal"/>
          <w:b/>
          <w:bCs/>
          <w:sz w:val="24"/>
          <w:szCs w:val="24"/>
          <w:lang w:val="it-IT" w:bidi="hi-IN"/>
        </w:rPr>
        <w:t>:</w:t>
      </w:r>
      <w:r w:rsidR="00251801">
        <w:rPr>
          <w:rFonts w:ascii="Book Antiqua" w:hAnsi="Book Antiqua" w:cs="Mangal" w:hint="eastAsia"/>
          <w:b/>
          <w:bCs/>
          <w:sz w:val="24"/>
          <w:szCs w:val="24"/>
          <w:lang w:val="it-IT" w:eastAsia="zh-CN" w:bidi="hi-IN"/>
        </w:rPr>
        <w:t xml:space="preserve"> </w:t>
      </w:r>
      <w:r w:rsidR="00251801" w:rsidRPr="00251801">
        <w:rPr>
          <w:rFonts w:ascii="Book Antiqua" w:hAnsi="Book Antiqua" w:cs="Mangal" w:hint="eastAsia"/>
          <w:bCs/>
          <w:sz w:val="24"/>
          <w:szCs w:val="24"/>
          <w:lang w:val="it-IT" w:eastAsia="zh-CN" w:bidi="hi-IN"/>
        </w:rPr>
        <w:t>A</w:t>
      </w:r>
      <w:r w:rsidR="00251801">
        <w:rPr>
          <w:rFonts w:ascii="Book Antiqua" w:hAnsi="Book Antiqua" w:cs="Mangal" w:hint="eastAsia"/>
          <w:b/>
          <w:bCs/>
          <w:sz w:val="24"/>
          <w:szCs w:val="24"/>
          <w:lang w:val="it-IT" w:eastAsia="zh-CN" w:bidi="hi-IN"/>
        </w:rPr>
        <w:t xml:space="preserve"> </w:t>
      </w:r>
      <w:r w:rsidRPr="00881D27">
        <w:rPr>
          <w:rFonts w:ascii="Book Antiqua" w:eastAsia="Lucida Sans Unicode" w:hAnsi="Book Antiqua" w:cs="Mangal"/>
          <w:b/>
          <w:bCs/>
          <w:sz w:val="24"/>
          <w:szCs w:val="24"/>
          <w:lang w:val="it-IT" w:eastAsia="hi-IN" w:bidi="hi-IN"/>
        </w:rPr>
        <w:t>E-Editor</w:t>
      </w:r>
      <w:r w:rsidRPr="00881D27">
        <w:rPr>
          <w:rFonts w:ascii="Book Antiqua" w:hAnsi="Book Antiqua" w:cs="Mangal"/>
          <w:b/>
          <w:bCs/>
          <w:sz w:val="24"/>
          <w:szCs w:val="24"/>
          <w:lang w:val="it-IT" w:bidi="hi-IN"/>
        </w:rPr>
        <w:t>:</w:t>
      </w:r>
      <w:r w:rsidR="00251801">
        <w:rPr>
          <w:rFonts w:ascii="Book Antiqua" w:hAnsi="Book Antiqua" w:cs="Mangal" w:hint="eastAsia"/>
          <w:b/>
          <w:bCs/>
          <w:sz w:val="24"/>
          <w:szCs w:val="24"/>
          <w:lang w:val="it-IT" w:eastAsia="zh-CN" w:bidi="hi-IN"/>
        </w:rPr>
        <w:t xml:space="preserve"> </w:t>
      </w:r>
      <w:r w:rsidR="00251801" w:rsidRPr="00251801">
        <w:rPr>
          <w:rFonts w:ascii="Book Antiqua" w:hAnsi="Book Antiqua" w:cs="Mangal" w:hint="eastAsia"/>
          <w:bCs/>
          <w:sz w:val="24"/>
          <w:szCs w:val="24"/>
          <w:lang w:val="it-IT" w:eastAsia="zh-CN" w:bidi="hi-IN"/>
        </w:rPr>
        <w:t>Ma YJ</w:t>
      </w:r>
      <w:r w:rsidRPr="00881D27">
        <w:rPr>
          <w:sz w:val="24"/>
          <w:szCs w:val="24"/>
          <w:lang w:val="it-IT"/>
        </w:rPr>
        <w:t xml:space="preserve"> </w:t>
      </w:r>
    </w:p>
    <w:p w14:paraId="381FC6F9" w14:textId="77777777" w:rsidR="00BC4C69" w:rsidRPr="00881D27" w:rsidRDefault="00BC4C69" w:rsidP="002C1F15">
      <w:pPr>
        <w:suppressAutoHyphens/>
        <w:spacing w:after="0" w:line="360" w:lineRule="auto"/>
        <w:rPr>
          <w:rFonts w:ascii="Book Antiqua" w:hAnsi="Book Antiqua" w:cs="Mangal"/>
          <w:b/>
          <w:bCs/>
          <w:sz w:val="24"/>
          <w:szCs w:val="24"/>
          <w:lang w:val="it-IT" w:eastAsia="pt-BR" w:bidi="hi-IN"/>
        </w:rPr>
      </w:pPr>
    </w:p>
    <w:p w14:paraId="36210F61" w14:textId="77777777" w:rsidR="00BC4C69" w:rsidRPr="00881D27" w:rsidRDefault="00BC4C69" w:rsidP="002C1F15">
      <w:pPr>
        <w:shd w:val="clear" w:color="auto" w:fill="FFFFFF"/>
        <w:snapToGrid w:val="0"/>
        <w:spacing w:after="0" w:line="360" w:lineRule="auto"/>
        <w:rPr>
          <w:rFonts w:ascii="Book Antiqua" w:hAnsi="Book Antiqua" w:cs="Helvetica"/>
          <w:b/>
          <w:sz w:val="24"/>
          <w:szCs w:val="24"/>
        </w:rPr>
      </w:pPr>
      <w:r w:rsidRPr="00881D27">
        <w:rPr>
          <w:rFonts w:ascii="Book Antiqua" w:hAnsi="Book Antiqua" w:cs="Helvetica"/>
          <w:b/>
          <w:sz w:val="24"/>
          <w:szCs w:val="24"/>
        </w:rPr>
        <w:t xml:space="preserve">Specialty type: </w:t>
      </w:r>
      <w:r w:rsidRPr="00881D27">
        <w:rPr>
          <w:rFonts w:ascii="Book Antiqua" w:eastAsia="微软雅黑" w:hAnsi="Book Antiqua" w:cs="宋体"/>
          <w:sz w:val="24"/>
          <w:szCs w:val="24"/>
        </w:rPr>
        <w:t>Gastroenterology and hepatology</w:t>
      </w:r>
    </w:p>
    <w:p w14:paraId="2D57DCAC" w14:textId="77777777" w:rsidR="00BC4C69" w:rsidRPr="00881D27" w:rsidRDefault="00BC4C69" w:rsidP="002C1F15">
      <w:pPr>
        <w:shd w:val="clear" w:color="auto" w:fill="FFFFFF"/>
        <w:snapToGrid w:val="0"/>
        <w:spacing w:after="0" w:line="360" w:lineRule="auto"/>
        <w:rPr>
          <w:rFonts w:ascii="Book Antiqua" w:hAnsi="Book Antiqua" w:cs="Helvetica"/>
          <w:b/>
          <w:sz w:val="24"/>
          <w:szCs w:val="24"/>
          <w:lang w:val="pt-BR"/>
        </w:rPr>
      </w:pPr>
      <w:r w:rsidRPr="00881D27">
        <w:rPr>
          <w:rFonts w:ascii="Book Antiqua" w:hAnsi="Book Antiqua" w:cs="Helvetica"/>
          <w:b/>
          <w:sz w:val="24"/>
          <w:szCs w:val="24"/>
        </w:rPr>
        <w:t xml:space="preserve">Country of origin: </w:t>
      </w:r>
      <w:r w:rsidRPr="00881D27">
        <w:rPr>
          <w:rFonts w:ascii="Book Antiqua" w:hAnsi="Book Antiqua" w:cs="Helvetica"/>
          <w:sz w:val="24"/>
          <w:szCs w:val="24"/>
        </w:rPr>
        <w:t>United States</w:t>
      </w:r>
    </w:p>
    <w:p w14:paraId="1EB9838F" w14:textId="77777777" w:rsidR="00BC4C69" w:rsidRPr="00881D27" w:rsidRDefault="00BC4C69" w:rsidP="002C1F15">
      <w:pPr>
        <w:shd w:val="clear" w:color="auto" w:fill="FFFFFF"/>
        <w:snapToGrid w:val="0"/>
        <w:spacing w:after="0" w:line="360" w:lineRule="auto"/>
        <w:rPr>
          <w:rFonts w:ascii="Book Antiqua" w:hAnsi="Book Antiqua" w:cs="Helvetica"/>
          <w:b/>
          <w:sz w:val="24"/>
          <w:szCs w:val="24"/>
        </w:rPr>
      </w:pPr>
      <w:r w:rsidRPr="00881D27">
        <w:rPr>
          <w:rFonts w:ascii="Book Antiqua" w:hAnsi="Book Antiqua" w:cs="Helvetica"/>
          <w:b/>
          <w:sz w:val="24"/>
          <w:szCs w:val="24"/>
        </w:rPr>
        <w:t>Peer-review report classification</w:t>
      </w:r>
    </w:p>
    <w:p w14:paraId="4DF8CCF4" w14:textId="7F29CBF8" w:rsidR="00BC4C69" w:rsidRPr="00881D27" w:rsidRDefault="00BC4C69" w:rsidP="002C1F15">
      <w:pPr>
        <w:shd w:val="clear" w:color="auto" w:fill="FFFFFF"/>
        <w:snapToGrid w:val="0"/>
        <w:spacing w:after="0" w:line="360" w:lineRule="auto"/>
        <w:rPr>
          <w:rFonts w:ascii="Book Antiqua" w:hAnsi="Book Antiqua" w:cs="Helvetica"/>
          <w:sz w:val="24"/>
          <w:szCs w:val="24"/>
        </w:rPr>
      </w:pPr>
      <w:r w:rsidRPr="00881D27">
        <w:rPr>
          <w:rFonts w:ascii="Book Antiqua" w:hAnsi="Book Antiqua" w:cs="Helvetica"/>
          <w:sz w:val="24"/>
          <w:szCs w:val="24"/>
        </w:rPr>
        <w:t xml:space="preserve">Grade A (Excellent): </w:t>
      </w:r>
      <w:r w:rsidR="008A0749" w:rsidRPr="00881D27">
        <w:rPr>
          <w:rFonts w:ascii="Book Antiqua" w:hAnsi="Book Antiqua" w:cs="Helvetica"/>
          <w:sz w:val="24"/>
          <w:szCs w:val="24"/>
        </w:rPr>
        <w:t>0</w:t>
      </w:r>
    </w:p>
    <w:p w14:paraId="5CDB9BD5" w14:textId="14A4ACB9" w:rsidR="00BC4C69" w:rsidRPr="00881D27" w:rsidRDefault="00BC4C69" w:rsidP="002C1F15">
      <w:pPr>
        <w:shd w:val="clear" w:color="auto" w:fill="FFFFFF"/>
        <w:snapToGrid w:val="0"/>
        <w:spacing w:after="0" w:line="360" w:lineRule="auto"/>
        <w:rPr>
          <w:rFonts w:ascii="Book Antiqua" w:hAnsi="Book Antiqua" w:cs="Helvetica"/>
          <w:sz w:val="24"/>
          <w:szCs w:val="24"/>
        </w:rPr>
      </w:pPr>
      <w:r w:rsidRPr="00881D27">
        <w:rPr>
          <w:rFonts w:ascii="Book Antiqua" w:hAnsi="Book Antiqua" w:cs="Helvetica"/>
          <w:sz w:val="24"/>
          <w:szCs w:val="24"/>
        </w:rPr>
        <w:t xml:space="preserve">Grade B (Very good): </w:t>
      </w:r>
      <w:r w:rsidR="008A0749" w:rsidRPr="00881D27">
        <w:rPr>
          <w:rFonts w:ascii="Book Antiqua" w:hAnsi="Book Antiqua" w:cs="Helvetica"/>
          <w:sz w:val="24"/>
          <w:szCs w:val="24"/>
        </w:rPr>
        <w:t>0</w:t>
      </w:r>
    </w:p>
    <w:p w14:paraId="6FF6297F" w14:textId="12845A42" w:rsidR="00BC4C69" w:rsidRPr="00881D27" w:rsidRDefault="00BC4C69" w:rsidP="002C1F15">
      <w:pPr>
        <w:shd w:val="clear" w:color="auto" w:fill="FFFFFF"/>
        <w:snapToGrid w:val="0"/>
        <w:spacing w:after="0" w:line="360" w:lineRule="auto"/>
        <w:rPr>
          <w:rFonts w:ascii="Book Antiqua" w:hAnsi="Book Antiqua" w:cs="Helvetica"/>
          <w:sz w:val="24"/>
          <w:szCs w:val="24"/>
        </w:rPr>
      </w:pPr>
      <w:r w:rsidRPr="00881D27">
        <w:rPr>
          <w:rFonts w:ascii="Book Antiqua" w:hAnsi="Book Antiqua" w:cs="Helvetica"/>
          <w:sz w:val="24"/>
          <w:szCs w:val="24"/>
        </w:rPr>
        <w:t xml:space="preserve">Grade C (Good): </w:t>
      </w:r>
      <w:r w:rsidR="008A0749" w:rsidRPr="00881D27">
        <w:rPr>
          <w:rFonts w:ascii="Book Antiqua" w:hAnsi="Book Antiqua" w:cs="Helvetica"/>
          <w:sz w:val="24"/>
          <w:szCs w:val="24"/>
        </w:rPr>
        <w:t>C, C, C</w:t>
      </w:r>
    </w:p>
    <w:p w14:paraId="51A2D549" w14:textId="77777777" w:rsidR="00BC4C69" w:rsidRPr="00881D27" w:rsidRDefault="00BC4C69" w:rsidP="002C1F15">
      <w:pPr>
        <w:shd w:val="clear" w:color="auto" w:fill="FFFFFF"/>
        <w:snapToGrid w:val="0"/>
        <w:spacing w:after="0" w:line="360" w:lineRule="auto"/>
        <w:rPr>
          <w:rFonts w:ascii="Book Antiqua" w:hAnsi="Book Antiqua" w:cs="Helvetica"/>
          <w:sz w:val="24"/>
          <w:szCs w:val="24"/>
        </w:rPr>
      </w:pPr>
      <w:r w:rsidRPr="00881D27">
        <w:rPr>
          <w:rFonts w:ascii="Book Antiqua" w:hAnsi="Book Antiqua" w:cs="Helvetica"/>
          <w:sz w:val="24"/>
          <w:szCs w:val="24"/>
        </w:rPr>
        <w:t xml:space="preserve">Grade D (Fair): </w:t>
      </w:r>
      <w:bookmarkEnd w:id="252"/>
      <w:bookmarkEnd w:id="253"/>
      <w:r w:rsidRPr="00881D27">
        <w:rPr>
          <w:rFonts w:ascii="Book Antiqua" w:hAnsi="Book Antiqua" w:cs="Helvetica"/>
          <w:sz w:val="24"/>
          <w:szCs w:val="24"/>
        </w:rPr>
        <w:t>0</w:t>
      </w:r>
    </w:p>
    <w:p w14:paraId="6EDD3DF0" w14:textId="77777777" w:rsidR="00BC4C69" w:rsidRPr="00881D27" w:rsidRDefault="00BC4C69" w:rsidP="002C1F15">
      <w:pPr>
        <w:shd w:val="clear" w:color="auto" w:fill="FFFFFF"/>
        <w:snapToGrid w:val="0"/>
        <w:spacing w:after="0" w:line="360" w:lineRule="auto"/>
        <w:rPr>
          <w:rFonts w:ascii="Book Antiqua" w:hAnsi="Book Antiqua" w:cs="Helvetica"/>
          <w:sz w:val="24"/>
          <w:szCs w:val="24"/>
        </w:rPr>
      </w:pPr>
      <w:r w:rsidRPr="00881D27">
        <w:rPr>
          <w:rFonts w:ascii="Book Antiqua" w:hAnsi="Book Antiqua" w:cs="Helvetica"/>
          <w:sz w:val="24"/>
          <w:szCs w:val="24"/>
        </w:rPr>
        <w:t xml:space="preserve">Grade E (Poor): </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Pr="00881D27">
        <w:rPr>
          <w:rFonts w:ascii="Book Antiqua" w:hAnsi="Book Antiqua" w:cs="Helvetica"/>
          <w:sz w:val="24"/>
          <w:szCs w:val="24"/>
        </w:rPr>
        <w:t>0</w:t>
      </w:r>
    </w:p>
    <w:bookmarkEnd w:id="301"/>
    <w:p w14:paraId="04E7A048" w14:textId="52CF29D8" w:rsidR="00591A53" w:rsidRPr="00FA26FB" w:rsidRDefault="00591A53" w:rsidP="002C1F15">
      <w:pPr>
        <w:widowControl w:val="0"/>
        <w:autoSpaceDE w:val="0"/>
        <w:autoSpaceDN w:val="0"/>
        <w:adjustRightInd w:val="0"/>
        <w:spacing w:after="0" w:line="360" w:lineRule="auto"/>
        <w:jc w:val="both"/>
        <w:rPr>
          <w:rFonts w:ascii="Book Antiqua" w:hAnsi="Book Antiqua" w:cs="Times New Roman"/>
          <w:bCs/>
          <w:sz w:val="24"/>
          <w:szCs w:val="24"/>
        </w:rPr>
      </w:pPr>
    </w:p>
    <w:p w14:paraId="293E0CC7" w14:textId="77777777" w:rsidR="00591A53" w:rsidRPr="00FA26FB" w:rsidRDefault="00591A53" w:rsidP="002C1F15">
      <w:pPr>
        <w:spacing w:after="0" w:line="360" w:lineRule="auto"/>
        <w:jc w:val="both"/>
        <w:rPr>
          <w:rFonts w:ascii="Book Antiqua" w:hAnsi="Book Antiqua" w:cs="Times New Roman"/>
          <w:bCs/>
          <w:sz w:val="24"/>
          <w:szCs w:val="24"/>
        </w:rPr>
      </w:pPr>
      <w:r w:rsidRPr="00FA26FB">
        <w:rPr>
          <w:rFonts w:ascii="Book Antiqua" w:hAnsi="Book Antiqua" w:cs="Times New Roman"/>
          <w:bCs/>
          <w:sz w:val="24"/>
          <w:szCs w:val="24"/>
        </w:rPr>
        <w:br w:type="page"/>
      </w:r>
    </w:p>
    <w:p w14:paraId="7AEDB8D6" w14:textId="31154BD1" w:rsidR="008A0749" w:rsidRPr="008A0749" w:rsidRDefault="008A0749" w:rsidP="002C1F15">
      <w:pPr>
        <w:widowControl w:val="0"/>
        <w:autoSpaceDE w:val="0"/>
        <w:autoSpaceDN w:val="0"/>
        <w:adjustRightInd w:val="0"/>
        <w:spacing w:after="0" w:line="360" w:lineRule="auto"/>
        <w:jc w:val="both"/>
        <w:rPr>
          <w:rFonts w:ascii="Book Antiqua" w:hAnsi="Book Antiqua" w:cs="Times New Roman"/>
          <w:b/>
          <w:sz w:val="24"/>
          <w:szCs w:val="24"/>
        </w:rPr>
      </w:pPr>
      <w:r w:rsidRPr="008A0749">
        <w:rPr>
          <w:rFonts w:ascii="Book Antiqua" w:hAnsi="Book Antiqua" w:cs="Times New Roman"/>
          <w:b/>
          <w:sz w:val="24"/>
          <w:szCs w:val="24"/>
        </w:rPr>
        <w:lastRenderedPageBreak/>
        <w:t xml:space="preserve">Table 1 Prevalence of </w:t>
      </w:r>
      <w:r w:rsidRPr="008A0749">
        <w:rPr>
          <w:rFonts w:ascii="Book Antiqua" w:hAnsi="Book Antiqua" w:cs="Times"/>
          <w:b/>
          <w:color w:val="000000"/>
          <w:sz w:val="24"/>
          <w:szCs w:val="24"/>
        </w:rPr>
        <w:t>non-alcoholic fatty liver disease</w:t>
      </w:r>
      <w:r w:rsidRPr="008A0749">
        <w:rPr>
          <w:rFonts w:ascii="Book Antiqua" w:hAnsi="Book Antiqua" w:cs="Times New Roman"/>
          <w:b/>
          <w:sz w:val="24"/>
          <w:szCs w:val="24"/>
        </w:rPr>
        <w:t xml:space="preserve">, </w:t>
      </w:r>
      <w:r w:rsidRPr="008A0749">
        <w:rPr>
          <w:rFonts w:ascii="Book Antiqua" w:hAnsi="Book Antiqua" w:cs="Times"/>
          <w:b/>
          <w:color w:val="000000"/>
          <w:sz w:val="24"/>
          <w:szCs w:val="24"/>
        </w:rPr>
        <w:t>alcoholic liver disease</w:t>
      </w:r>
      <w:r w:rsidRPr="008A0749">
        <w:rPr>
          <w:rFonts w:ascii="Book Antiqua" w:hAnsi="Book Antiqua" w:cs="Times New Roman"/>
          <w:b/>
          <w:sz w:val="24"/>
          <w:szCs w:val="24"/>
        </w:rPr>
        <w:t xml:space="preserve"> and </w:t>
      </w:r>
      <w:r w:rsidRPr="008A0749">
        <w:rPr>
          <w:rFonts w:ascii="Book Antiqua" w:hAnsi="Book Antiqua" w:cs="Times"/>
          <w:b/>
          <w:color w:val="000000"/>
          <w:sz w:val="24"/>
          <w:szCs w:val="24"/>
        </w:rPr>
        <w:t>both alcoholic and non-alcoholic fatty liver disease</w:t>
      </w:r>
    </w:p>
    <w:tbl>
      <w:tblPr>
        <w:tblW w:w="0" w:type="auto"/>
        <w:tblInd w:w="29" w:type="dxa"/>
        <w:tblLayout w:type="fixed"/>
        <w:tblCellMar>
          <w:left w:w="0" w:type="dxa"/>
          <w:right w:w="0" w:type="dxa"/>
        </w:tblCellMar>
        <w:tblLook w:val="0000" w:firstRow="0" w:lastRow="0" w:firstColumn="0" w:lastColumn="0" w:noHBand="0" w:noVBand="0"/>
      </w:tblPr>
      <w:tblGrid>
        <w:gridCol w:w="2336"/>
        <w:gridCol w:w="1688"/>
        <w:gridCol w:w="1688"/>
        <w:gridCol w:w="1691"/>
      </w:tblGrid>
      <w:tr w:rsidR="008A0749" w:rsidRPr="00261CA4" w14:paraId="0C88AC20" w14:textId="77777777" w:rsidTr="00261CA4">
        <w:trPr>
          <w:cantSplit/>
          <w:trHeight w:val="282"/>
          <w:tblHeader/>
        </w:trPr>
        <w:tc>
          <w:tcPr>
            <w:tcW w:w="2336" w:type="dxa"/>
            <w:tcBorders>
              <w:top w:val="single" w:sz="4" w:space="0" w:color="auto"/>
              <w:left w:val="nil"/>
              <w:bottom w:val="single" w:sz="4" w:space="0" w:color="auto"/>
              <w:right w:val="nil"/>
            </w:tcBorders>
            <w:shd w:val="clear" w:color="auto" w:fill="FFFFFF"/>
            <w:tcMar>
              <w:left w:w="29" w:type="dxa"/>
              <w:right w:w="29" w:type="dxa"/>
            </w:tcMar>
            <w:vAlign w:val="bottom"/>
          </w:tcPr>
          <w:p w14:paraId="41A78D49" w14:textId="77777777" w:rsidR="008A0749" w:rsidRPr="00261CA4" w:rsidRDefault="008A0749" w:rsidP="002C1F15">
            <w:pPr>
              <w:keepNext/>
              <w:spacing w:after="0" w:line="360" w:lineRule="auto"/>
              <w:jc w:val="both"/>
              <w:rPr>
                <w:rFonts w:ascii="Book Antiqua" w:hAnsi="Book Antiqua" w:cs="Times"/>
                <w:b/>
                <w:color w:val="000000"/>
                <w:sz w:val="24"/>
                <w:szCs w:val="24"/>
              </w:rPr>
            </w:pPr>
            <w:r w:rsidRPr="00261CA4">
              <w:rPr>
                <w:rFonts w:ascii="Book Antiqua" w:hAnsi="Book Antiqua" w:cs="Times"/>
                <w:b/>
                <w:color w:val="000000"/>
                <w:sz w:val="24"/>
                <w:szCs w:val="24"/>
              </w:rPr>
              <w:t>Liver disease</w:t>
            </w:r>
          </w:p>
        </w:tc>
        <w:tc>
          <w:tcPr>
            <w:tcW w:w="1688" w:type="dxa"/>
            <w:tcBorders>
              <w:top w:val="single" w:sz="4" w:space="0" w:color="auto"/>
              <w:left w:val="nil"/>
              <w:bottom w:val="single" w:sz="4" w:space="0" w:color="auto"/>
              <w:right w:val="nil"/>
            </w:tcBorders>
            <w:shd w:val="clear" w:color="auto" w:fill="FFFFFF"/>
            <w:tcMar>
              <w:left w:w="29" w:type="dxa"/>
              <w:right w:w="29" w:type="dxa"/>
            </w:tcMar>
            <w:vAlign w:val="bottom"/>
          </w:tcPr>
          <w:p w14:paraId="53E40D66" w14:textId="3841F28F" w:rsidR="008A0749" w:rsidRPr="00261CA4" w:rsidRDefault="008A0749" w:rsidP="002C1F15">
            <w:pPr>
              <w:keepNext/>
              <w:spacing w:after="0" w:line="360" w:lineRule="auto"/>
              <w:jc w:val="both"/>
              <w:rPr>
                <w:rFonts w:ascii="Book Antiqua" w:hAnsi="Book Antiqua" w:cs="Times"/>
                <w:b/>
                <w:color w:val="000000"/>
                <w:sz w:val="24"/>
                <w:szCs w:val="24"/>
              </w:rPr>
            </w:pPr>
            <w:r w:rsidRPr="00261CA4">
              <w:rPr>
                <w:rFonts w:ascii="Book Antiqua" w:hAnsi="Book Antiqua" w:cs="Times"/>
                <w:b/>
                <w:color w:val="000000"/>
                <w:sz w:val="24"/>
                <w:szCs w:val="24"/>
              </w:rPr>
              <w:t xml:space="preserve">Unweighted </w:t>
            </w:r>
            <w:r w:rsidR="00261CA4" w:rsidRPr="00261CA4">
              <w:rPr>
                <w:rFonts w:ascii="Book Antiqua" w:hAnsi="Book Antiqua" w:cs="Times"/>
                <w:b/>
                <w:color w:val="000000"/>
                <w:sz w:val="24"/>
                <w:szCs w:val="24"/>
              </w:rPr>
              <w:t>f</w:t>
            </w:r>
            <w:r w:rsidRPr="00261CA4">
              <w:rPr>
                <w:rFonts w:ascii="Book Antiqua" w:hAnsi="Book Antiqua" w:cs="Times"/>
                <w:b/>
                <w:color w:val="000000"/>
                <w:sz w:val="24"/>
                <w:szCs w:val="24"/>
              </w:rPr>
              <w:t>requency</w:t>
            </w:r>
          </w:p>
        </w:tc>
        <w:tc>
          <w:tcPr>
            <w:tcW w:w="1688" w:type="dxa"/>
            <w:tcBorders>
              <w:top w:val="single" w:sz="4" w:space="0" w:color="auto"/>
              <w:left w:val="nil"/>
              <w:bottom w:val="single" w:sz="4" w:space="0" w:color="auto"/>
              <w:right w:val="nil"/>
            </w:tcBorders>
            <w:shd w:val="clear" w:color="auto" w:fill="FFFFFF"/>
            <w:tcMar>
              <w:left w:w="29" w:type="dxa"/>
              <w:right w:w="29" w:type="dxa"/>
            </w:tcMar>
            <w:vAlign w:val="bottom"/>
          </w:tcPr>
          <w:p w14:paraId="6EE2E0C3" w14:textId="2C3788BB" w:rsidR="008A0749" w:rsidRPr="00261CA4" w:rsidRDefault="008A0749" w:rsidP="002C1F15">
            <w:pPr>
              <w:keepNext/>
              <w:spacing w:after="0" w:line="360" w:lineRule="auto"/>
              <w:jc w:val="both"/>
              <w:rPr>
                <w:rFonts w:ascii="Book Antiqua" w:hAnsi="Book Antiqua" w:cs="Times"/>
                <w:b/>
                <w:color w:val="000000"/>
                <w:sz w:val="24"/>
                <w:szCs w:val="24"/>
              </w:rPr>
            </w:pPr>
            <w:r w:rsidRPr="00261CA4">
              <w:rPr>
                <w:rFonts w:ascii="Book Antiqua" w:hAnsi="Book Antiqua" w:cs="Times"/>
                <w:b/>
                <w:color w:val="000000"/>
                <w:sz w:val="24"/>
                <w:szCs w:val="24"/>
              </w:rPr>
              <w:t xml:space="preserve">Weighted </w:t>
            </w:r>
            <w:r w:rsidR="00261CA4" w:rsidRPr="00261CA4">
              <w:rPr>
                <w:rFonts w:ascii="Book Antiqua" w:hAnsi="Book Antiqua" w:cs="Times"/>
                <w:b/>
                <w:color w:val="000000"/>
                <w:sz w:val="24"/>
                <w:szCs w:val="24"/>
              </w:rPr>
              <w:t>f</w:t>
            </w:r>
            <w:r w:rsidRPr="00261CA4">
              <w:rPr>
                <w:rFonts w:ascii="Book Antiqua" w:hAnsi="Book Antiqua" w:cs="Times"/>
                <w:b/>
                <w:color w:val="000000"/>
                <w:sz w:val="24"/>
                <w:szCs w:val="24"/>
              </w:rPr>
              <w:t>requency</w:t>
            </w:r>
          </w:p>
        </w:tc>
        <w:tc>
          <w:tcPr>
            <w:tcW w:w="1691" w:type="dxa"/>
            <w:tcBorders>
              <w:top w:val="single" w:sz="4" w:space="0" w:color="auto"/>
              <w:left w:val="nil"/>
              <w:bottom w:val="single" w:sz="4" w:space="0" w:color="auto"/>
              <w:right w:val="nil"/>
            </w:tcBorders>
            <w:shd w:val="clear" w:color="auto" w:fill="FFFFFF"/>
            <w:tcMar>
              <w:left w:w="29" w:type="dxa"/>
              <w:right w:w="29" w:type="dxa"/>
            </w:tcMar>
            <w:vAlign w:val="bottom"/>
          </w:tcPr>
          <w:p w14:paraId="10D58976" w14:textId="77777777" w:rsidR="008A0749" w:rsidRPr="00261CA4" w:rsidRDefault="008A0749" w:rsidP="002C1F15">
            <w:pPr>
              <w:keepNext/>
              <w:spacing w:after="0" w:line="360" w:lineRule="auto"/>
              <w:jc w:val="both"/>
              <w:rPr>
                <w:rFonts w:ascii="Book Antiqua" w:hAnsi="Book Antiqua" w:cs="Times"/>
                <w:b/>
                <w:color w:val="000000"/>
                <w:sz w:val="24"/>
                <w:szCs w:val="24"/>
              </w:rPr>
            </w:pPr>
            <w:r w:rsidRPr="00261CA4">
              <w:rPr>
                <w:rFonts w:ascii="Book Antiqua" w:hAnsi="Book Antiqua" w:cs="Times"/>
                <w:b/>
                <w:color w:val="000000"/>
                <w:sz w:val="24"/>
                <w:szCs w:val="24"/>
              </w:rPr>
              <w:t xml:space="preserve">Prevalence </w:t>
            </w:r>
          </w:p>
          <w:p w14:paraId="6B0727A4" w14:textId="6D7DB549" w:rsidR="008A0749" w:rsidRPr="00261CA4" w:rsidRDefault="008A0749" w:rsidP="002C1F15">
            <w:pPr>
              <w:keepNext/>
              <w:spacing w:after="0" w:line="360" w:lineRule="auto"/>
              <w:jc w:val="both"/>
              <w:rPr>
                <w:rFonts w:ascii="Book Antiqua" w:hAnsi="Book Antiqua" w:cs="Times"/>
                <w:b/>
                <w:color w:val="000000"/>
                <w:sz w:val="24"/>
                <w:szCs w:val="24"/>
              </w:rPr>
            </w:pPr>
            <w:r w:rsidRPr="00261CA4">
              <w:rPr>
                <w:rFonts w:ascii="Book Antiqua" w:hAnsi="Book Antiqua" w:cs="Times"/>
                <w:b/>
                <w:color w:val="000000"/>
                <w:sz w:val="24"/>
                <w:szCs w:val="24"/>
              </w:rPr>
              <w:t>(95%CI)</w:t>
            </w:r>
          </w:p>
        </w:tc>
      </w:tr>
      <w:tr w:rsidR="008A0749" w:rsidRPr="00FA26FB" w14:paraId="5656E2FA" w14:textId="77777777" w:rsidTr="00261CA4">
        <w:trPr>
          <w:cantSplit/>
          <w:trHeight w:val="271"/>
        </w:trPr>
        <w:tc>
          <w:tcPr>
            <w:tcW w:w="2336" w:type="dxa"/>
            <w:tcBorders>
              <w:top w:val="single" w:sz="4" w:space="0" w:color="auto"/>
              <w:left w:val="nil"/>
              <w:bottom w:val="nil"/>
              <w:right w:val="nil"/>
            </w:tcBorders>
            <w:shd w:val="clear" w:color="auto" w:fill="FFFFFF"/>
            <w:tcMar>
              <w:left w:w="29" w:type="dxa"/>
              <w:right w:w="29" w:type="dxa"/>
            </w:tcMar>
          </w:tcPr>
          <w:p w14:paraId="724010AD" w14:textId="77777777" w:rsidR="008A0749" w:rsidRPr="00FA26FB" w:rsidRDefault="008A0749" w:rsidP="002C1F15">
            <w:pPr>
              <w:spacing w:after="0" w:line="360" w:lineRule="auto"/>
              <w:jc w:val="both"/>
              <w:rPr>
                <w:rFonts w:ascii="Book Antiqua" w:hAnsi="Book Antiqua" w:cs="Times"/>
                <w:bCs/>
                <w:color w:val="000000"/>
                <w:sz w:val="24"/>
                <w:szCs w:val="24"/>
              </w:rPr>
            </w:pPr>
            <w:r w:rsidRPr="00FA26FB">
              <w:rPr>
                <w:rFonts w:ascii="Book Antiqua" w:hAnsi="Book Antiqua" w:cs="Times"/>
                <w:bCs/>
                <w:color w:val="000000"/>
                <w:sz w:val="24"/>
                <w:szCs w:val="24"/>
              </w:rPr>
              <w:t>NAFLD</w:t>
            </w:r>
          </w:p>
        </w:tc>
        <w:tc>
          <w:tcPr>
            <w:tcW w:w="1688" w:type="dxa"/>
            <w:tcBorders>
              <w:top w:val="single" w:sz="4" w:space="0" w:color="auto"/>
              <w:left w:val="nil"/>
              <w:bottom w:val="nil"/>
              <w:right w:val="nil"/>
            </w:tcBorders>
            <w:shd w:val="clear" w:color="auto" w:fill="FFFFFF"/>
            <w:tcMar>
              <w:left w:w="29" w:type="dxa"/>
              <w:right w:w="29" w:type="dxa"/>
            </w:tcMar>
            <w:vAlign w:val="center"/>
          </w:tcPr>
          <w:p w14:paraId="1ECCC0E0" w14:textId="77777777" w:rsidR="008A0749" w:rsidRPr="00FA26FB" w:rsidRDefault="008A0749" w:rsidP="002C1F15">
            <w:pPr>
              <w:spacing w:after="0" w:line="360" w:lineRule="auto"/>
              <w:jc w:val="both"/>
              <w:rPr>
                <w:rFonts w:ascii="Book Antiqua" w:hAnsi="Book Antiqua" w:cs="Times"/>
                <w:bCs/>
                <w:color w:val="000000"/>
                <w:sz w:val="24"/>
                <w:szCs w:val="24"/>
              </w:rPr>
            </w:pPr>
            <w:r w:rsidRPr="00FA26FB">
              <w:rPr>
                <w:rFonts w:ascii="Book Antiqua" w:hAnsi="Book Antiqua" w:cs="Times"/>
                <w:bCs/>
                <w:color w:val="000000"/>
                <w:sz w:val="24"/>
                <w:szCs w:val="24"/>
              </w:rPr>
              <w:t>5,351</w:t>
            </w:r>
          </w:p>
        </w:tc>
        <w:tc>
          <w:tcPr>
            <w:tcW w:w="1688" w:type="dxa"/>
            <w:tcBorders>
              <w:top w:val="single" w:sz="4" w:space="0" w:color="auto"/>
              <w:left w:val="nil"/>
              <w:bottom w:val="nil"/>
              <w:right w:val="nil"/>
            </w:tcBorders>
            <w:shd w:val="clear" w:color="auto" w:fill="FFFFFF"/>
            <w:tcMar>
              <w:left w:w="29" w:type="dxa"/>
              <w:right w:w="29" w:type="dxa"/>
            </w:tcMar>
            <w:vAlign w:val="center"/>
          </w:tcPr>
          <w:p w14:paraId="301006F3" w14:textId="1A412A9E" w:rsidR="008A0749" w:rsidRPr="00FA26FB" w:rsidRDefault="008A0749" w:rsidP="002C1F15">
            <w:pPr>
              <w:spacing w:after="0" w:line="360" w:lineRule="auto"/>
              <w:jc w:val="both"/>
              <w:rPr>
                <w:rFonts w:ascii="Book Antiqua" w:hAnsi="Book Antiqua" w:cs="Times"/>
                <w:bCs/>
                <w:color w:val="000000"/>
                <w:sz w:val="24"/>
                <w:szCs w:val="24"/>
              </w:rPr>
            </w:pPr>
            <w:r w:rsidRPr="00FA26FB">
              <w:rPr>
                <w:rFonts w:ascii="Book Antiqua" w:hAnsi="Book Antiqua" w:cs="Times"/>
                <w:bCs/>
                <w:color w:val="000000"/>
                <w:sz w:val="24"/>
                <w:szCs w:val="24"/>
              </w:rPr>
              <w:t>38151562</w:t>
            </w:r>
          </w:p>
        </w:tc>
        <w:tc>
          <w:tcPr>
            <w:tcW w:w="1691" w:type="dxa"/>
            <w:tcBorders>
              <w:top w:val="single" w:sz="4" w:space="0" w:color="auto"/>
              <w:left w:val="nil"/>
              <w:bottom w:val="nil"/>
              <w:right w:val="nil"/>
            </w:tcBorders>
            <w:shd w:val="clear" w:color="auto" w:fill="FFFFFF"/>
            <w:tcMar>
              <w:left w:w="29" w:type="dxa"/>
              <w:right w:w="29" w:type="dxa"/>
            </w:tcMar>
            <w:vAlign w:val="center"/>
          </w:tcPr>
          <w:p w14:paraId="71E76D3E" w14:textId="77777777" w:rsidR="008A0749" w:rsidRPr="00FA26FB" w:rsidRDefault="008A0749" w:rsidP="002C1F15">
            <w:pPr>
              <w:spacing w:after="0" w:line="360" w:lineRule="auto"/>
              <w:jc w:val="both"/>
              <w:rPr>
                <w:rFonts w:ascii="Book Antiqua" w:hAnsi="Book Antiqua" w:cs="Times"/>
                <w:bCs/>
                <w:color w:val="000000"/>
                <w:sz w:val="24"/>
                <w:szCs w:val="24"/>
              </w:rPr>
            </w:pPr>
            <w:r w:rsidRPr="00FA26FB">
              <w:rPr>
                <w:rFonts w:ascii="Book Antiqua" w:hAnsi="Book Antiqua" w:cs="Times"/>
                <w:bCs/>
                <w:color w:val="000000"/>
                <w:sz w:val="24"/>
                <w:szCs w:val="24"/>
              </w:rPr>
              <w:t>25.9 (25.1, 26.8)</w:t>
            </w:r>
          </w:p>
        </w:tc>
      </w:tr>
      <w:tr w:rsidR="008A0749" w:rsidRPr="00FA26FB" w14:paraId="5017A601" w14:textId="77777777" w:rsidTr="00261CA4">
        <w:trPr>
          <w:cantSplit/>
          <w:trHeight w:val="282"/>
        </w:trPr>
        <w:tc>
          <w:tcPr>
            <w:tcW w:w="2336" w:type="dxa"/>
            <w:tcBorders>
              <w:top w:val="nil"/>
              <w:left w:val="nil"/>
              <w:right w:val="nil"/>
            </w:tcBorders>
            <w:shd w:val="clear" w:color="auto" w:fill="FFFFFF"/>
            <w:tcMar>
              <w:left w:w="29" w:type="dxa"/>
              <w:right w:w="29" w:type="dxa"/>
            </w:tcMar>
          </w:tcPr>
          <w:p w14:paraId="5E4E699C" w14:textId="77777777" w:rsidR="008A0749" w:rsidRPr="00FA26FB" w:rsidRDefault="008A0749" w:rsidP="002C1F15">
            <w:pPr>
              <w:spacing w:after="0" w:line="360" w:lineRule="auto"/>
              <w:jc w:val="both"/>
              <w:rPr>
                <w:rFonts w:ascii="Book Antiqua" w:hAnsi="Book Antiqua" w:cs="Times"/>
                <w:bCs/>
                <w:color w:val="000000"/>
                <w:sz w:val="24"/>
                <w:szCs w:val="24"/>
              </w:rPr>
            </w:pPr>
            <w:r w:rsidRPr="00FA26FB">
              <w:rPr>
                <w:rFonts w:ascii="Book Antiqua" w:hAnsi="Book Antiqua" w:cs="Times"/>
                <w:bCs/>
                <w:color w:val="000000"/>
                <w:sz w:val="24"/>
                <w:szCs w:val="24"/>
              </w:rPr>
              <w:t>BAFLD</w:t>
            </w:r>
          </w:p>
        </w:tc>
        <w:tc>
          <w:tcPr>
            <w:tcW w:w="1688" w:type="dxa"/>
            <w:tcBorders>
              <w:top w:val="nil"/>
              <w:left w:val="nil"/>
              <w:right w:val="nil"/>
            </w:tcBorders>
            <w:shd w:val="clear" w:color="auto" w:fill="FFFFFF"/>
            <w:tcMar>
              <w:left w:w="29" w:type="dxa"/>
              <w:right w:w="29" w:type="dxa"/>
            </w:tcMar>
            <w:vAlign w:val="center"/>
          </w:tcPr>
          <w:p w14:paraId="013668E2" w14:textId="77777777" w:rsidR="008A0749" w:rsidRPr="00FA26FB" w:rsidRDefault="008A0749" w:rsidP="002C1F15">
            <w:pPr>
              <w:spacing w:after="0" w:line="360" w:lineRule="auto"/>
              <w:jc w:val="both"/>
              <w:rPr>
                <w:rFonts w:ascii="Book Antiqua" w:hAnsi="Book Antiqua" w:cs="Times"/>
                <w:bCs/>
                <w:color w:val="000000"/>
                <w:sz w:val="24"/>
                <w:szCs w:val="24"/>
              </w:rPr>
            </w:pPr>
            <w:r w:rsidRPr="00FA26FB">
              <w:rPr>
                <w:rFonts w:ascii="Book Antiqua" w:hAnsi="Book Antiqua" w:cs="Times"/>
                <w:bCs/>
                <w:color w:val="000000"/>
                <w:sz w:val="24"/>
                <w:szCs w:val="24"/>
              </w:rPr>
              <w:t>170</w:t>
            </w:r>
          </w:p>
        </w:tc>
        <w:tc>
          <w:tcPr>
            <w:tcW w:w="1688" w:type="dxa"/>
            <w:tcBorders>
              <w:top w:val="nil"/>
              <w:left w:val="nil"/>
              <w:right w:val="nil"/>
            </w:tcBorders>
            <w:shd w:val="clear" w:color="auto" w:fill="FFFFFF"/>
            <w:tcMar>
              <w:left w:w="29" w:type="dxa"/>
              <w:right w:w="29" w:type="dxa"/>
            </w:tcMar>
            <w:vAlign w:val="center"/>
          </w:tcPr>
          <w:p w14:paraId="1F624619" w14:textId="648E98A1" w:rsidR="008A0749" w:rsidRPr="00FA26FB" w:rsidRDefault="008A0749" w:rsidP="002C1F15">
            <w:pPr>
              <w:spacing w:after="0" w:line="360" w:lineRule="auto"/>
              <w:jc w:val="both"/>
              <w:rPr>
                <w:rFonts w:ascii="Book Antiqua" w:hAnsi="Book Antiqua" w:cs="Times"/>
                <w:bCs/>
                <w:color w:val="000000"/>
                <w:sz w:val="24"/>
                <w:szCs w:val="24"/>
              </w:rPr>
            </w:pPr>
            <w:r w:rsidRPr="00FA26FB">
              <w:rPr>
                <w:rFonts w:ascii="Book Antiqua" w:hAnsi="Book Antiqua" w:cs="Times"/>
                <w:bCs/>
                <w:color w:val="000000"/>
                <w:sz w:val="24"/>
                <w:szCs w:val="24"/>
              </w:rPr>
              <w:t>1243289</w:t>
            </w:r>
          </w:p>
        </w:tc>
        <w:tc>
          <w:tcPr>
            <w:tcW w:w="1691" w:type="dxa"/>
            <w:tcBorders>
              <w:top w:val="nil"/>
              <w:left w:val="nil"/>
              <w:right w:val="nil"/>
            </w:tcBorders>
            <w:shd w:val="clear" w:color="auto" w:fill="FFFFFF"/>
            <w:tcMar>
              <w:left w:w="29" w:type="dxa"/>
              <w:right w:w="29" w:type="dxa"/>
            </w:tcMar>
            <w:vAlign w:val="center"/>
          </w:tcPr>
          <w:p w14:paraId="1827F611" w14:textId="77777777" w:rsidR="008A0749" w:rsidRPr="00FA26FB" w:rsidRDefault="008A0749" w:rsidP="002C1F15">
            <w:pPr>
              <w:spacing w:after="0" w:line="360" w:lineRule="auto"/>
              <w:jc w:val="both"/>
              <w:rPr>
                <w:rFonts w:ascii="Book Antiqua" w:hAnsi="Book Antiqua" w:cs="Times"/>
                <w:bCs/>
                <w:color w:val="000000"/>
                <w:sz w:val="24"/>
                <w:szCs w:val="24"/>
              </w:rPr>
            </w:pPr>
            <w:r w:rsidRPr="00FA26FB">
              <w:rPr>
                <w:rFonts w:ascii="Book Antiqua" w:hAnsi="Book Antiqua" w:cs="Times"/>
                <w:bCs/>
                <w:color w:val="000000"/>
                <w:sz w:val="24"/>
                <w:szCs w:val="24"/>
              </w:rPr>
              <w:t>0.84 (0.67, 1.02)</w:t>
            </w:r>
          </w:p>
        </w:tc>
      </w:tr>
      <w:tr w:rsidR="008A0749" w:rsidRPr="00FA26FB" w14:paraId="30658894" w14:textId="77777777" w:rsidTr="00261CA4">
        <w:trPr>
          <w:cantSplit/>
          <w:trHeight w:val="271"/>
        </w:trPr>
        <w:tc>
          <w:tcPr>
            <w:tcW w:w="2336" w:type="dxa"/>
            <w:tcBorders>
              <w:top w:val="nil"/>
              <w:left w:val="nil"/>
              <w:bottom w:val="single" w:sz="4" w:space="0" w:color="auto"/>
              <w:right w:val="nil"/>
            </w:tcBorders>
            <w:shd w:val="clear" w:color="auto" w:fill="FFFFFF"/>
            <w:tcMar>
              <w:left w:w="29" w:type="dxa"/>
              <w:right w:w="29" w:type="dxa"/>
            </w:tcMar>
          </w:tcPr>
          <w:p w14:paraId="364862EC" w14:textId="77777777" w:rsidR="008A0749" w:rsidRPr="00FA26FB" w:rsidRDefault="008A0749" w:rsidP="002C1F15">
            <w:pPr>
              <w:keepNext/>
              <w:spacing w:after="0" w:line="360" w:lineRule="auto"/>
              <w:jc w:val="both"/>
              <w:rPr>
                <w:rFonts w:ascii="Book Antiqua" w:hAnsi="Book Antiqua" w:cs="Times"/>
                <w:bCs/>
                <w:color w:val="000000"/>
                <w:sz w:val="24"/>
                <w:szCs w:val="24"/>
              </w:rPr>
            </w:pPr>
            <w:r w:rsidRPr="00FA26FB">
              <w:rPr>
                <w:rFonts w:ascii="Book Antiqua" w:hAnsi="Book Antiqua" w:cs="Times"/>
                <w:bCs/>
                <w:color w:val="000000"/>
                <w:sz w:val="24"/>
                <w:szCs w:val="24"/>
              </w:rPr>
              <w:t>ALD</w:t>
            </w:r>
          </w:p>
        </w:tc>
        <w:tc>
          <w:tcPr>
            <w:tcW w:w="1688" w:type="dxa"/>
            <w:tcBorders>
              <w:top w:val="nil"/>
              <w:left w:val="nil"/>
              <w:bottom w:val="single" w:sz="4" w:space="0" w:color="auto"/>
              <w:right w:val="nil"/>
            </w:tcBorders>
            <w:shd w:val="clear" w:color="auto" w:fill="FFFFFF"/>
            <w:tcMar>
              <w:left w:w="29" w:type="dxa"/>
              <w:right w:w="29" w:type="dxa"/>
            </w:tcMar>
            <w:vAlign w:val="center"/>
          </w:tcPr>
          <w:p w14:paraId="1207BEC5" w14:textId="77777777" w:rsidR="008A0749" w:rsidRPr="00FA26FB" w:rsidRDefault="008A0749" w:rsidP="002C1F15">
            <w:pPr>
              <w:keepNext/>
              <w:spacing w:after="0" w:line="360" w:lineRule="auto"/>
              <w:jc w:val="both"/>
              <w:rPr>
                <w:rFonts w:ascii="Book Antiqua" w:hAnsi="Book Antiqua" w:cs="Times"/>
                <w:bCs/>
                <w:color w:val="000000"/>
                <w:sz w:val="24"/>
                <w:szCs w:val="24"/>
              </w:rPr>
            </w:pPr>
            <w:r w:rsidRPr="00FA26FB">
              <w:rPr>
                <w:rFonts w:ascii="Book Antiqua" w:hAnsi="Book Antiqua" w:cs="Times"/>
                <w:bCs/>
                <w:color w:val="000000"/>
                <w:sz w:val="24"/>
                <w:szCs w:val="24"/>
              </w:rPr>
              <w:t>81</w:t>
            </w:r>
          </w:p>
        </w:tc>
        <w:tc>
          <w:tcPr>
            <w:tcW w:w="1688" w:type="dxa"/>
            <w:tcBorders>
              <w:top w:val="nil"/>
              <w:left w:val="nil"/>
              <w:bottom w:val="single" w:sz="4" w:space="0" w:color="auto"/>
              <w:right w:val="nil"/>
            </w:tcBorders>
            <w:shd w:val="clear" w:color="auto" w:fill="FFFFFF"/>
            <w:tcMar>
              <w:left w:w="29" w:type="dxa"/>
              <w:right w:w="29" w:type="dxa"/>
            </w:tcMar>
            <w:vAlign w:val="center"/>
          </w:tcPr>
          <w:p w14:paraId="4E2E4689" w14:textId="510CA75F" w:rsidR="008A0749" w:rsidRPr="00FA26FB" w:rsidRDefault="008A0749" w:rsidP="002C1F15">
            <w:pPr>
              <w:keepNext/>
              <w:spacing w:after="0" w:line="360" w:lineRule="auto"/>
              <w:jc w:val="both"/>
              <w:rPr>
                <w:rFonts w:ascii="Book Antiqua" w:hAnsi="Book Antiqua" w:cs="Times"/>
                <w:bCs/>
                <w:color w:val="000000"/>
                <w:sz w:val="24"/>
                <w:szCs w:val="24"/>
              </w:rPr>
            </w:pPr>
            <w:r w:rsidRPr="00FA26FB">
              <w:rPr>
                <w:rFonts w:ascii="Book Antiqua" w:hAnsi="Book Antiqua" w:cs="Times"/>
                <w:bCs/>
                <w:color w:val="000000"/>
                <w:sz w:val="24"/>
                <w:szCs w:val="24"/>
              </w:rPr>
              <w:t>590979</w:t>
            </w:r>
          </w:p>
        </w:tc>
        <w:tc>
          <w:tcPr>
            <w:tcW w:w="1691" w:type="dxa"/>
            <w:tcBorders>
              <w:top w:val="nil"/>
              <w:left w:val="nil"/>
              <w:bottom w:val="single" w:sz="4" w:space="0" w:color="auto"/>
              <w:right w:val="nil"/>
            </w:tcBorders>
            <w:shd w:val="clear" w:color="auto" w:fill="FFFFFF"/>
            <w:tcMar>
              <w:left w:w="29" w:type="dxa"/>
              <w:right w:w="29" w:type="dxa"/>
            </w:tcMar>
            <w:vAlign w:val="center"/>
          </w:tcPr>
          <w:p w14:paraId="6054CDBC" w14:textId="77777777" w:rsidR="008A0749" w:rsidRPr="00FA26FB" w:rsidRDefault="008A0749" w:rsidP="002C1F15">
            <w:pPr>
              <w:keepNext/>
              <w:spacing w:after="0" w:line="360" w:lineRule="auto"/>
              <w:jc w:val="both"/>
              <w:rPr>
                <w:rFonts w:ascii="Book Antiqua" w:hAnsi="Book Antiqua" w:cs="Times"/>
                <w:bCs/>
                <w:color w:val="000000"/>
                <w:sz w:val="24"/>
                <w:szCs w:val="24"/>
              </w:rPr>
            </w:pPr>
            <w:r w:rsidRPr="00FA26FB">
              <w:rPr>
                <w:rFonts w:ascii="Book Antiqua" w:hAnsi="Book Antiqua" w:cs="Times"/>
                <w:bCs/>
                <w:color w:val="000000"/>
                <w:sz w:val="24"/>
                <w:szCs w:val="24"/>
              </w:rPr>
              <w:t>0.40 (0.28, 0.52)</w:t>
            </w:r>
          </w:p>
        </w:tc>
      </w:tr>
    </w:tbl>
    <w:p w14:paraId="6EF842F8" w14:textId="44867262" w:rsidR="008A0749" w:rsidRDefault="00261CA4" w:rsidP="002C1F15">
      <w:pPr>
        <w:widowControl w:val="0"/>
        <w:autoSpaceDE w:val="0"/>
        <w:autoSpaceDN w:val="0"/>
        <w:adjustRightInd w:val="0"/>
        <w:spacing w:after="0" w:line="360" w:lineRule="auto"/>
        <w:jc w:val="both"/>
        <w:rPr>
          <w:rFonts w:ascii="Book Antiqua" w:hAnsi="Book Antiqua" w:cs="Times New Roman"/>
          <w:bCs/>
          <w:sz w:val="24"/>
          <w:szCs w:val="24"/>
        </w:rPr>
      </w:pPr>
      <w:r w:rsidRPr="008A0749">
        <w:rPr>
          <w:rFonts w:ascii="Book Antiqua" w:hAnsi="Book Antiqua" w:cs="Times New Roman"/>
          <w:bCs/>
          <w:sz w:val="24"/>
          <w:szCs w:val="24"/>
        </w:rPr>
        <w:t>Unweighted population total: 20939; Weighted population total: 147169551</w:t>
      </w:r>
      <w:r>
        <w:rPr>
          <w:rFonts w:ascii="Book Antiqua" w:hAnsi="Book Antiqua" w:cs="Times New Roman"/>
          <w:bCs/>
          <w:sz w:val="24"/>
          <w:szCs w:val="24"/>
        </w:rPr>
        <w:t xml:space="preserve">. </w:t>
      </w:r>
      <w:r w:rsidR="008A0749" w:rsidRPr="008A0749">
        <w:rPr>
          <w:rFonts w:ascii="Book Antiqua" w:hAnsi="Book Antiqua" w:cs="Times New Roman"/>
          <w:bCs/>
          <w:sz w:val="24"/>
          <w:szCs w:val="24"/>
        </w:rPr>
        <w:t xml:space="preserve">NAFLD: </w:t>
      </w:r>
      <w:r w:rsidR="008A0749" w:rsidRPr="00261CA4">
        <w:rPr>
          <w:rFonts w:ascii="Book Antiqua" w:hAnsi="Book Antiqua" w:cs="Times New Roman"/>
          <w:bCs/>
          <w:caps/>
          <w:sz w:val="24"/>
          <w:szCs w:val="24"/>
        </w:rPr>
        <w:t>n</w:t>
      </w:r>
      <w:r w:rsidR="008A0749" w:rsidRPr="008A0749">
        <w:rPr>
          <w:rFonts w:ascii="Book Antiqua" w:hAnsi="Book Antiqua" w:cs="Times New Roman"/>
          <w:bCs/>
          <w:sz w:val="24"/>
          <w:szCs w:val="24"/>
        </w:rPr>
        <w:t xml:space="preserve">on-alcoholic fatty liver disease; BAFLD: </w:t>
      </w:r>
      <w:r w:rsidR="008A0749" w:rsidRPr="00261CA4">
        <w:rPr>
          <w:rFonts w:ascii="Book Antiqua" w:hAnsi="Book Antiqua" w:cs="Times New Roman"/>
          <w:bCs/>
          <w:caps/>
          <w:sz w:val="24"/>
          <w:szCs w:val="24"/>
        </w:rPr>
        <w:t>b</w:t>
      </w:r>
      <w:r w:rsidR="008A0749" w:rsidRPr="008A0749">
        <w:rPr>
          <w:rFonts w:ascii="Book Antiqua" w:hAnsi="Book Antiqua" w:cs="Times New Roman"/>
          <w:bCs/>
          <w:sz w:val="24"/>
          <w:szCs w:val="24"/>
        </w:rPr>
        <w:t>oth alcoholic and non-alcoholic fatty liver disease</w:t>
      </w:r>
      <w:r>
        <w:rPr>
          <w:rFonts w:ascii="Book Antiqua" w:hAnsi="Book Antiqua" w:cs="Times New Roman"/>
          <w:bCs/>
          <w:sz w:val="24"/>
          <w:szCs w:val="24"/>
        </w:rPr>
        <w:t xml:space="preserve">; </w:t>
      </w:r>
      <w:r w:rsidRPr="008A0749">
        <w:rPr>
          <w:rFonts w:ascii="Book Antiqua" w:hAnsi="Book Antiqua" w:cs="Times New Roman"/>
          <w:bCs/>
          <w:sz w:val="24"/>
          <w:szCs w:val="24"/>
        </w:rPr>
        <w:t xml:space="preserve">ALD: </w:t>
      </w:r>
      <w:r w:rsidRPr="00261CA4">
        <w:rPr>
          <w:rFonts w:ascii="Book Antiqua" w:hAnsi="Book Antiqua" w:cs="Times New Roman"/>
          <w:bCs/>
          <w:caps/>
          <w:sz w:val="24"/>
          <w:szCs w:val="24"/>
        </w:rPr>
        <w:t>a</w:t>
      </w:r>
      <w:r w:rsidRPr="008A0749">
        <w:rPr>
          <w:rFonts w:ascii="Book Antiqua" w:hAnsi="Book Antiqua" w:cs="Times New Roman"/>
          <w:bCs/>
          <w:sz w:val="24"/>
          <w:szCs w:val="24"/>
        </w:rPr>
        <w:t>lcoholic liver disease</w:t>
      </w:r>
      <w:r>
        <w:rPr>
          <w:rFonts w:ascii="Book Antiqua" w:hAnsi="Book Antiqua" w:cs="Times New Roman"/>
          <w:bCs/>
          <w:sz w:val="24"/>
          <w:szCs w:val="24"/>
        </w:rPr>
        <w:t>.</w:t>
      </w:r>
    </w:p>
    <w:p w14:paraId="0D32574E" w14:textId="0CD8E6E0" w:rsidR="000677E9" w:rsidRPr="00FA26FB" w:rsidRDefault="000677E9" w:rsidP="002C1F15">
      <w:pPr>
        <w:widowControl w:val="0"/>
        <w:autoSpaceDE w:val="0"/>
        <w:autoSpaceDN w:val="0"/>
        <w:adjustRightInd w:val="0"/>
        <w:spacing w:after="0" w:line="360" w:lineRule="auto"/>
        <w:ind w:hanging="640"/>
        <w:jc w:val="both"/>
        <w:rPr>
          <w:rFonts w:ascii="Book Antiqua" w:hAnsi="Book Antiqua" w:cs="Times New Roman"/>
          <w:bCs/>
          <w:sz w:val="24"/>
          <w:szCs w:val="24"/>
        </w:rPr>
      </w:pPr>
      <w:r w:rsidRPr="00FA26FB">
        <w:rPr>
          <w:rFonts w:ascii="Book Antiqua" w:hAnsi="Book Antiqua" w:cs="Times New Roman"/>
          <w:bCs/>
          <w:sz w:val="24"/>
          <w:szCs w:val="24"/>
        </w:rPr>
        <w:br w:type="page"/>
      </w:r>
    </w:p>
    <w:p w14:paraId="5F4BFBAA" w14:textId="77777777" w:rsidR="009D6976" w:rsidRPr="00FA26FB" w:rsidRDefault="009D6976" w:rsidP="002C1F15">
      <w:pPr>
        <w:keepNext/>
        <w:spacing w:after="0" w:line="360" w:lineRule="auto"/>
        <w:jc w:val="both"/>
        <w:rPr>
          <w:rFonts w:ascii="Book Antiqua" w:hAnsi="Book Antiqua" w:cs="Times New Roman"/>
          <w:bCs/>
          <w:color w:val="000000"/>
          <w:sz w:val="24"/>
          <w:szCs w:val="24"/>
        </w:rPr>
        <w:sectPr w:rsidR="009D6976" w:rsidRPr="00FA26FB" w:rsidSect="00122518">
          <w:footerReference w:type="even" r:id="rId10"/>
          <w:footerReference w:type="default" r:id="rId11"/>
          <w:pgSz w:w="12240" w:h="15840"/>
          <w:pgMar w:top="1440" w:right="1440" w:bottom="1440" w:left="1440" w:header="720" w:footer="720" w:gutter="0"/>
          <w:cols w:space="720"/>
          <w:docGrid w:linePitch="360"/>
        </w:sectPr>
      </w:pPr>
    </w:p>
    <w:p w14:paraId="1968FAF8" w14:textId="401DEEC3" w:rsidR="00390FCA" w:rsidRPr="00710080" w:rsidRDefault="00710080" w:rsidP="002C1F15">
      <w:pPr>
        <w:spacing w:after="0" w:line="360" w:lineRule="auto"/>
        <w:jc w:val="both"/>
        <w:rPr>
          <w:rFonts w:ascii="Book Antiqua" w:hAnsi="Book Antiqua" w:cs="Times New Roman"/>
          <w:b/>
          <w:sz w:val="24"/>
          <w:szCs w:val="24"/>
        </w:rPr>
      </w:pPr>
      <w:r w:rsidRPr="00710080">
        <w:rPr>
          <w:rFonts w:ascii="Book Antiqua" w:hAnsi="Book Antiqua" w:cs="Times New Roman"/>
          <w:b/>
          <w:sz w:val="24"/>
          <w:szCs w:val="24"/>
        </w:rPr>
        <w:lastRenderedPageBreak/>
        <w:t>Table 2 Demographics and clinical variables</w:t>
      </w:r>
    </w:p>
    <w:tbl>
      <w:tblPr>
        <w:tblW w:w="12342" w:type="dxa"/>
        <w:tblInd w:w="108" w:type="dxa"/>
        <w:tblLook w:val="04A0" w:firstRow="1" w:lastRow="0" w:firstColumn="1" w:lastColumn="0" w:noHBand="0" w:noVBand="1"/>
      </w:tblPr>
      <w:tblGrid>
        <w:gridCol w:w="5310"/>
        <w:gridCol w:w="2880"/>
        <w:gridCol w:w="3250"/>
        <w:gridCol w:w="902"/>
      </w:tblGrid>
      <w:tr w:rsidR="00710080" w:rsidRPr="00710080" w14:paraId="23681371" w14:textId="77777777" w:rsidTr="00710080">
        <w:trPr>
          <w:trHeight w:val="330"/>
        </w:trPr>
        <w:tc>
          <w:tcPr>
            <w:tcW w:w="5310" w:type="dxa"/>
            <w:tcBorders>
              <w:top w:val="single" w:sz="12" w:space="0" w:color="auto"/>
              <w:left w:val="nil"/>
              <w:bottom w:val="double" w:sz="6" w:space="0" w:color="000000"/>
              <w:right w:val="nil"/>
            </w:tcBorders>
            <w:shd w:val="clear" w:color="000000" w:fill="FFFFFF"/>
            <w:vAlign w:val="center"/>
            <w:hideMark/>
          </w:tcPr>
          <w:p w14:paraId="43112E06" w14:textId="77777777" w:rsidR="00710080" w:rsidRPr="00710080" w:rsidRDefault="00710080" w:rsidP="002C1F15">
            <w:pPr>
              <w:spacing w:after="0" w:line="360" w:lineRule="auto"/>
              <w:jc w:val="both"/>
              <w:rPr>
                <w:rFonts w:ascii="Book Antiqua" w:eastAsia="Times New Roman" w:hAnsi="Book Antiqua" w:cs="Times New Roman"/>
                <w:b/>
                <w:color w:val="000000"/>
                <w:sz w:val="24"/>
                <w:szCs w:val="24"/>
              </w:rPr>
            </w:pPr>
            <w:r w:rsidRPr="00710080">
              <w:rPr>
                <w:rFonts w:ascii="Book Antiqua" w:eastAsia="Times New Roman" w:hAnsi="Book Antiqua" w:cs="Times New Roman"/>
                <w:b/>
                <w:color w:val="000000"/>
                <w:sz w:val="24"/>
                <w:szCs w:val="24"/>
              </w:rPr>
              <w:t>Factor (unit)</w:t>
            </w:r>
          </w:p>
        </w:tc>
        <w:tc>
          <w:tcPr>
            <w:tcW w:w="2880" w:type="dxa"/>
            <w:tcBorders>
              <w:top w:val="single" w:sz="12" w:space="0" w:color="auto"/>
              <w:left w:val="nil"/>
              <w:bottom w:val="double" w:sz="6" w:space="0" w:color="000000"/>
              <w:right w:val="nil"/>
            </w:tcBorders>
            <w:shd w:val="clear" w:color="000000" w:fill="FFFFFF"/>
            <w:vAlign w:val="center"/>
            <w:hideMark/>
          </w:tcPr>
          <w:p w14:paraId="051F83D0" w14:textId="77777777" w:rsidR="00710080" w:rsidRPr="00710080" w:rsidRDefault="00710080" w:rsidP="002C1F15">
            <w:pPr>
              <w:spacing w:after="0" w:line="360" w:lineRule="auto"/>
              <w:jc w:val="both"/>
              <w:rPr>
                <w:rFonts w:ascii="Book Antiqua" w:eastAsia="Times New Roman" w:hAnsi="Book Antiqua" w:cs="Times New Roman"/>
                <w:b/>
                <w:color w:val="000000"/>
                <w:sz w:val="24"/>
                <w:szCs w:val="24"/>
              </w:rPr>
            </w:pPr>
            <w:r w:rsidRPr="00710080">
              <w:rPr>
                <w:rFonts w:ascii="Book Antiqua" w:eastAsia="Times New Roman" w:hAnsi="Book Antiqua" w:cs="Times New Roman"/>
                <w:b/>
                <w:color w:val="000000"/>
                <w:sz w:val="24"/>
                <w:szCs w:val="24"/>
              </w:rPr>
              <w:t>NAFLD</w:t>
            </w:r>
          </w:p>
        </w:tc>
        <w:tc>
          <w:tcPr>
            <w:tcW w:w="3250" w:type="dxa"/>
            <w:tcBorders>
              <w:top w:val="single" w:sz="12" w:space="0" w:color="auto"/>
              <w:left w:val="nil"/>
              <w:bottom w:val="double" w:sz="6" w:space="0" w:color="000000"/>
              <w:right w:val="nil"/>
            </w:tcBorders>
            <w:shd w:val="clear" w:color="000000" w:fill="FFFFFF"/>
            <w:vAlign w:val="center"/>
            <w:hideMark/>
          </w:tcPr>
          <w:p w14:paraId="25106EB2" w14:textId="77777777" w:rsidR="00710080" w:rsidRPr="00710080" w:rsidRDefault="00710080" w:rsidP="002C1F15">
            <w:pPr>
              <w:spacing w:after="0" w:line="360" w:lineRule="auto"/>
              <w:jc w:val="both"/>
              <w:rPr>
                <w:rFonts w:ascii="Book Antiqua" w:eastAsia="Times New Roman" w:hAnsi="Book Antiqua" w:cs="Times New Roman"/>
                <w:b/>
                <w:color w:val="000000"/>
                <w:sz w:val="24"/>
                <w:szCs w:val="24"/>
              </w:rPr>
            </w:pPr>
            <w:r w:rsidRPr="00710080">
              <w:rPr>
                <w:rFonts w:ascii="Book Antiqua" w:eastAsia="Times New Roman" w:hAnsi="Book Antiqua" w:cs="Times New Roman"/>
                <w:b/>
                <w:color w:val="000000"/>
                <w:sz w:val="24"/>
                <w:szCs w:val="24"/>
              </w:rPr>
              <w:t>BAFLD</w:t>
            </w:r>
          </w:p>
        </w:tc>
        <w:tc>
          <w:tcPr>
            <w:tcW w:w="902" w:type="dxa"/>
            <w:tcBorders>
              <w:top w:val="single" w:sz="12" w:space="0" w:color="auto"/>
              <w:left w:val="nil"/>
              <w:bottom w:val="double" w:sz="6" w:space="0" w:color="000000"/>
              <w:right w:val="nil"/>
            </w:tcBorders>
            <w:shd w:val="clear" w:color="000000" w:fill="FFFFFF"/>
            <w:vAlign w:val="center"/>
            <w:hideMark/>
          </w:tcPr>
          <w:p w14:paraId="02737BFC" w14:textId="77777777" w:rsidR="00710080" w:rsidRPr="00710080" w:rsidRDefault="00710080" w:rsidP="002C1F15">
            <w:pPr>
              <w:spacing w:after="0" w:line="360" w:lineRule="auto"/>
              <w:jc w:val="both"/>
              <w:rPr>
                <w:rFonts w:ascii="Book Antiqua" w:eastAsia="Times New Roman" w:hAnsi="Book Antiqua" w:cs="Times New Roman"/>
                <w:b/>
                <w:color w:val="000000"/>
                <w:sz w:val="24"/>
                <w:szCs w:val="24"/>
              </w:rPr>
            </w:pPr>
            <w:r w:rsidRPr="00710080">
              <w:rPr>
                <w:rFonts w:ascii="Book Antiqua" w:eastAsia="Times New Roman" w:hAnsi="Book Antiqua" w:cs="Times New Roman"/>
                <w:b/>
                <w:color w:val="000000"/>
                <w:sz w:val="24"/>
                <w:szCs w:val="24"/>
              </w:rPr>
              <w:t>p-value</w:t>
            </w:r>
          </w:p>
        </w:tc>
      </w:tr>
      <w:tr w:rsidR="00710080" w:rsidRPr="00FA26FB" w14:paraId="503AEE03" w14:textId="77777777" w:rsidTr="00710080">
        <w:trPr>
          <w:cantSplit/>
          <w:trHeight w:val="315"/>
        </w:trPr>
        <w:tc>
          <w:tcPr>
            <w:tcW w:w="5310" w:type="dxa"/>
            <w:tcBorders>
              <w:top w:val="nil"/>
              <w:left w:val="nil"/>
              <w:bottom w:val="nil"/>
              <w:right w:val="nil"/>
            </w:tcBorders>
            <w:shd w:val="clear" w:color="000000" w:fill="FFFFFF"/>
            <w:vAlign w:val="center"/>
            <w:hideMark/>
          </w:tcPr>
          <w:p w14:paraId="6ABEA5ED" w14:textId="3639F5BB"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Gender, % </w:t>
            </w:r>
            <w:r>
              <w:rPr>
                <w:rFonts w:ascii="Book Antiqua" w:eastAsia="Times New Roman" w:hAnsi="Book Antiqua" w:cs="Times New Roman"/>
                <w:bCs/>
                <w:color w:val="000000"/>
                <w:sz w:val="24"/>
                <w:szCs w:val="24"/>
              </w:rPr>
              <w:t>± SE</w:t>
            </w:r>
            <w:r w:rsidRPr="00FA26FB">
              <w:rPr>
                <w:rFonts w:ascii="Book Antiqua" w:eastAsia="Times New Roman" w:hAnsi="Book Antiqua" w:cs="Times New Roman"/>
                <w:bCs/>
                <w:color w:val="000000"/>
                <w:sz w:val="24"/>
                <w:szCs w:val="24"/>
              </w:rPr>
              <w:t xml:space="preserve"> </w:t>
            </w:r>
          </w:p>
        </w:tc>
        <w:tc>
          <w:tcPr>
            <w:tcW w:w="2880" w:type="dxa"/>
            <w:tcBorders>
              <w:top w:val="nil"/>
              <w:left w:val="nil"/>
              <w:bottom w:val="nil"/>
              <w:right w:val="nil"/>
            </w:tcBorders>
            <w:shd w:val="clear" w:color="000000" w:fill="FFFFFF"/>
            <w:vAlign w:val="center"/>
            <w:hideMark/>
          </w:tcPr>
          <w:p w14:paraId="2EF057B4" w14:textId="77777777"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w:t>
            </w:r>
          </w:p>
        </w:tc>
        <w:tc>
          <w:tcPr>
            <w:tcW w:w="3250" w:type="dxa"/>
            <w:tcBorders>
              <w:top w:val="nil"/>
              <w:left w:val="nil"/>
              <w:bottom w:val="nil"/>
              <w:right w:val="nil"/>
            </w:tcBorders>
            <w:shd w:val="clear" w:color="000000" w:fill="FFFFFF"/>
            <w:vAlign w:val="center"/>
            <w:hideMark/>
          </w:tcPr>
          <w:p w14:paraId="55616FBA" w14:textId="77777777"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w:t>
            </w:r>
          </w:p>
        </w:tc>
        <w:tc>
          <w:tcPr>
            <w:tcW w:w="902" w:type="dxa"/>
            <w:tcBorders>
              <w:top w:val="nil"/>
              <w:left w:val="nil"/>
              <w:bottom w:val="nil"/>
              <w:right w:val="nil"/>
            </w:tcBorders>
            <w:shd w:val="clear" w:color="000000" w:fill="FFFFFF"/>
            <w:vAlign w:val="center"/>
            <w:hideMark/>
          </w:tcPr>
          <w:p w14:paraId="16081C86"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&lt;0.001</w:t>
            </w:r>
          </w:p>
        </w:tc>
      </w:tr>
      <w:tr w:rsidR="00710080" w:rsidRPr="00FA26FB" w14:paraId="47F53978" w14:textId="77777777" w:rsidTr="00710080">
        <w:trPr>
          <w:cantSplit/>
          <w:trHeight w:val="360"/>
        </w:trPr>
        <w:tc>
          <w:tcPr>
            <w:tcW w:w="5310" w:type="dxa"/>
            <w:tcBorders>
              <w:top w:val="nil"/>
              <w:left w:val="nil"/>
              <w:bottom w:val="nil"/>
              <w:right w:val="nil"/>
            </w:tcBorders>
            <w:shd w:val="clear" w:color="000000" w:fill="FFFFFF"/>
            <w:vAlign w:val="center"/>
            <w:hideMark/>
          </w:tcPr>
          <w:p w14:paraId="7FC9BECE" w14:textId="6E6DE431" w:rsidR="00710080" w:rsidRPr="00FA26FB" w:rsidRDefault="00710080" w:rsidP="002C1F15">
            <w:pPr>
              <w:spacing w:after="0" w:line="360" w:lineRule="auto"/>
              <w:ind w:firstLineChars="50" w:firstLine="120"/>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Male</w:t>
            </w:r>
          </w:p>
        </w:tc>
        <w:tc>
          <w:tcPr>
            <w:tcW w:w="2880" w:type="dxa"/>
            <w:tcBorders>
              <w:top w:val="nil"/>
              <w:left w:val="nil"/>
              <w:bottom w:val="nil"/>
              <w:right w:val="nil"/>
            </w:tcBorders>
            <w:shd w:val="clear" w:color="000000" w:fill="FFFFFF"/>
            <w:vAlign w:val="center"/>
            <w:hideMark/>
          </w:tcPr>
          <w:p w14:paraId="79A9DD3E" w14:textId="23D40A22"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46.9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0.87</w:t>
            </w:r>
            <w:r w:rsidRPr="00FA26FB">
              <w:rPr>
                <w:rFonts w:ascii="Book Antiqua" w:eastAsia="Times New Roman" w:hAnsi="Book Antiqua" w:cs="Times New Roman"/>
                <w:bCs/>
                <w:color w:val="000000"/>
                <w:sz w:val="24"/>
                <w:szCs w:val="24"/>
                <w:vertAlign w:val="superscript"/>
              </w:rPr>
              <w:t>2</w:t>
            </w:r>
          </w:p>
        </w:tc>
        <w:tc>
          <w:tcPr>
            <w:tcW w:w="3250" w:type="dxa"/>
            <w:tcBorders>
              <w:top w:val="nil"/>
              <w:left w:val="nil"/>
              <w:bottom w:val="nil"/>
              <w:right w:val="nil"/>
            </w:tcBorders>
            <w:shd w:val="clear" w:color="000000" w:fill="FFFFFF"/>
            <w:vAlign w:val="center"/>
            <w:hideMark/>
          </w:tcPr>
          <w:p w14:paraId="04998FD5" w14:textId="37B74EC8"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75.8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3.9</w:t>
            </w:r>
            <w:r w:rsidRPr="00FA26FB">
              <w:rPr>
                <w:rFonts w:ascii="Book Antiqua" w:eastAsia="Times New Roman" w:hAnsi="Book Antiqua" w:cs="Times New Roman"/>
                <w:bCs/>
                <w:color w:val="000000"/>
                <w:sz w:val="24"/>
                <w:szCs w:val="24"/>
                <w:vertAlign w:val="superscript"/>
              </w:rPr>
              <w:t>1</w:t>
            </w:r>
          </w:p>
        </w:tc>
        <w:tc>
          <w:tcPr>
            <w:tcW w:w="902" w:type="dxa"/>
            <w:tcBorders>
              <w:top w:val="nil"/>
              <w:left w:val="nil"/>
              <w:bottom w:val="nil"/>
              <w:right w:val="nil"/>
            </w:tcBorders>
            <w:shd w:val="clear" w:color="000000" w:fill="FFFFFF"/>
            <w:vAlign w:val="center"/>
            <w:hideMark/>
          </w:tcPr>
          <w:p w14:paraId="122F9F0C" w14:textId="77777777"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w:t>
            </w:r>
          </w:p>
        </w:tc>
      </w:tr>
      <w:tr w:rsidR="00710080" w:rsidRPr="00FA26FB" w14:paraId="020551D2" w14:textId="77777777" w:rsidTr="00710080">
        <w:trPr>
          <w:cantSplit/>
          <w:trHeight w:val="360"/>
        </w:trPr>
        <w:tc>
          <w:tcPr>
            <w:tcW w:w="5310" w:type="dxa"/>
            <w:tcBorders>
              <w:top w:val="nil"/>
              <w:left w:val="nil"/>
              <w:bottom w:val="nil"/>
              <w:right w:val="nil"/>
            </w:tcBorders>
            <w:shd w:val="clear" w:color="000000" w:fill="FFFFFF"/>
            <w:vAlign w:val="center"/>
            <w:hideMark/>
          </w:tcPr>
          <w:p w14:paraId="25AA8D95" w14:textId="2FA2DE95"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Current smoker, % </w:t>
            </w:r>
            <w:r>
              <w:rPr>
                <w:rFonts w:ascii="Book Antiqua" w:eastAsia="Times New Roman" w:hAnsi="Book Antiqua" w:cs="Times New Roman"/>
                <w:bCs/>
                <w:color w:val="000000"/>
                <w:sz w:val="24"/>
                <w:szCs w:val="24"/>
              </w:rPr>
              <w:t>± SE</w:t>
            </w:r>
          </w:p>
        </w:tc>
        <w:tc>
          <w:tcPr>
            <w:tcW w:w="2880" w:type="dxa"/>
            <w:tcBorders>
              <w:top w:val="nil"/>
              <w:left w:val="nil"/>
              <w:bottom w:val="nil"/>
              <w:right w:val="nil"/>
            </w:tcBorders>
            <w:shd w:val="clear" w:color="000000" w:fill="FFFFFF"/>
            <w:vAlign w:val="center"/>
            <w:hideMark/>
          </w:tcPr>
          <w:p w14:paraId="1B065091" w14:textId="513E269D"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17.6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0.66</w:t>
            </w:r>
            <w:r w:rsidRPr="00FA26FB">
              <w:rPr>
                <w:rFonts w:ascii="Book Antiqua" w:eastAsia="Times New Roman" w:hAnsi="Book Antiqua" w:cs="Times New Roman"/>
                <w:bCs/>
                <w:color w:val="000000"/>
                <w:sz w:val="24"/>
                <w:szCs w:val="24"/>
                <w:vertAlign w:val="superscript"/>
              </w:rPr>
              <w:t>2</w:t>
            </w:r>
          </w:p>
        </w:tc>
        <w:tc>
          <w:tcPr>
            <w:tcW w:w="3250" w:type="dxa"/>
            <w:tcBorders>
              <w:top w:val="nil"/>
              <w:left w:val="nil"/>
              <w:bottom w:val="nil"/>
              <w:right w:val="nil"/>
            </w:tcBorders>
            <w:shd w:val="clear" w:color="000000" w:fill="FFFFFF"/>
            <w:vAlign w:val="center"/>
            <w:hideMark/>
          </w:tcPr>
          <w:p w14:paraId="5C4D906F" w14:textId="66845642"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45.3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5.2</w:t>
            </w:r>
            <w:r w:rsidRPr="00FA26FB">
              <w:rPr>
                <w:rFonts w:ascii="Book Antiqua" w:eastAsia="Times New Roman" w:hAnsi="Book Antiqua" w:cs="Times New Roman"/>
                <w:bCs/>
                <w:color w:val="000000"/>
                <w:sz w:val="24"/>
                <w:szCs w:val="24"/>
                <w:vertAlign w:val="superscript"/>
              </w:rPr>
              <w:t>1</w:t>
            </w:r>
          </w:p>
        </w:tc>
        <w:tc>
          <w:tcPr>
            <w:tcW w:w="902" w:type="dxa"/>
            <w:tcBorders>
              <w:top w:val="nil"/>
              <w:left w:val="nil"/>
              <w:bottom w:val="nil"/>
              <w:right w:val="nil"/>
            </w:tcBorders>
            <w:shd w:val="clear" w:color="000000" w:fill="FFFFFF"/>
            <w:vAlign w:val="center"/>
            <w:hideMark/>
          </w:tcPr>
          <w:p w14:paraId="26AAD049"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&lt;0.001</w:t>
            </w:r>
          </w:p>
        </w:tc>
      </w:tr>
      <w:tr w:rsidR="00710080" w:rsidRPr="00FA26FB" w14:paraId="721E3D25" w14:textId="77777777" w:rsidTr="00710080">
        <w:trPr>
          <w:cantSplit/>
          <w:trHeight w:val="360"/>
        </w:trPr>
        <w:tc>
          <w:tcPr>
            <w:tcW w:w="5310" w:type="dxa"/>
            <w:tcBorders>
              <w:top w:val="nil"/>
              <w:left w:val="nil"/>
              <w:bottom w:val="nil"/>
              <w:right w:val="nil"/>
            </w:tcBorders>
            <w:shd w:val="clear" w:color="000000" w:fill="FFFFFF"/>
            <w:vAlign w:val="center"/>
            <w:hideMark/>
          </w:tcPr>
          <w:p w14:paraId="21209BD7" w14:textId="72DE6BC2"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BMI, mean </w:t>
            </w:r>
            <w:r>
              <w:rPr>
                <w:rFonts w:ascii="Book Antiqua" w:eastAsia="Times New Roman" w:hAnsi="Book Antiqua" w:cs="Times New Roman"/>
                <w:bCs/>
                <w:color w:val="000000"/>
                <w:sz w:val="24"/>
                <w:szCs w:val="24"/>
              </w:rPr>
              <w:t>± SE</w:t>
            </w:r>
          </w:p>
        </w:tc>
        <w:tc>
          <w:tcPr>
            <w:tcW w:w="2880" w:type="dxa"/>
            <w:tcBorders>
              <w:top w:val="nil"/>
              <w:left w:val="nil"/>
              <w:bottom w:val="nil"/>
              <w:right w:val="nil"/>
            </w:tcBorders>
            <w:shd w:val="clear" w:color="000000" w:fill="FFFFFF"/>
            <w:vAlign w:val="center"/>
            <w:hideMark/>
          </w:tcPr>
          <w:p w14:paraId="7B074392" w14:textId="2CD70816"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32.4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0.13</w:t>
            </w:r>
          </w:p>
        </w:tc>
        <w:tc>
          <w:tcPr>
            <w:tcW w:w="3250" w:type="dxa"/>
            <w:tcBorders>
              <w:top w:val="nil"/>
              <w:left w:val="nil"/>
              <w:bottom w:val="nil"/>
              <w:right w:val="nil"/>
            </w:tcBorders>
            <w:shd w:val="clear" w:color="000000" w:fill="FFFFFF"/>
            <w:vAlign w:val="center"/>
            <w:hideMark/>
          </w:tcPr>
          <w:p w14:paraId="60B83F48" w14:textId="3EBC2A4C"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33.1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0.56</w:t>
            </w:r>
          </w:p>
        </w:tc>
        <w:tc>
          <w:tcPr>
            <w:tcW w:w="902" w:type="dxa"/>
            <w:tcBorders>
              <w:top w:val="nil"/>
              <w:left w:val="nil"/>
              <w:bottom w:val="nil"/>
              <w:right w:val="nil"/>
            </w:tcBorders>
            <w:shd w:val="clear" w:color="000000" w:fill="FFFFFF"/>
            <w:vAlign w:val="center"/>
            <w:hideMark/>
          </w:tcPr>
          <w:p w14:paraId="1760A81E"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&lt;0.001</w:t>
            </w:r>
          </w:p>
        </w:tc>
      </w:tr>
      <w:tr w:rsidR="00710080" w:rsidRPr="00FA26FB" w14:paraId="3D8A7B9F" w14:textId="77777777" w:rsidTr="00710080">
        <w:trPr>
          <w:cantSplit/>
          <w:trHeight w:val="300"/>
        </w:trPr>
        <w:tc>
          <w:tcPr>
            <w:tcW w:w="5310" w:type="dxa"/>
            <w:tcBorders>
              <w:top w:val="nil"/>
              <w:left w:val="nil"/>
              <w:bottom w:val="nil"/>
              <w:right w:val="nil"/>
            </w:tcBorders>
            <w:shd w:val="clear" w:color="000000" w:fill="FFFFFF"/>
            <w:vAlign w:val="center"/>
            <w:hideMark/>
          </w:tcPr>
          <w:p w14:paraId="0D1CA1C4" w14:textId="72F8CF2A"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Overweight (BMI 25+), % </w:t>
            </w:r>
            <w:r>
              <w:rPr>
                <w:rFonts w:ascii="Book Antiqua" w:eastAsia="Times New Roman" w:hAnsi="Book Antiqua" w:cs="Times New Roman"/>
                <w:bCs/>
                <w:color w:val="000000"/>
                <w:sz w:val="24"/>
                <w:szCs w:val="24"/>
              </w:rPr>
              <w:t>± SE</w:t>
            </w:r>
          </w:p>
        </w:tc>
        <w:tc>
          <w:tcPr>
            <w:tcW w:w="2880" w:type="dxa"/>
            <w:tcBorders>
              <w:top w:val="nil"/>
              <w:left w:val="nil"/>
              <w:bottom w:val="nil"/>
              <w:right w:val="nil"/>
            </w:tcBorders>
            <w:shd w:val="clear" w:color="000000" w:fill="FFFFFF"/>
            <w:vAlign w:val="center"/>
            <w:hideMark/>
          </w:tcPr>
          <w:p w14:paraId="1E769048" w14:textId="10FB98FF"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100.0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0.00</w:t>
            </w:r>
            <w:r w:rsidRPr="00FA26FB">
              <w:rPr>
                <w:rFonts w:ascii="Book Antiqua" w:eastAsia="Times New Roman" w:hAnsi="Book Antiqua" w:cs="Times New Roman"/>
                <w:bCs/>
                <w:color w:val="000000"/>
                <w:sz w:val="24"/>
                <w:szCs w:val="24"/>
                <w:vertAlign w:val="superscript"/>
              </w:rPr>
              <w:t xml:space="preserve"> </w:t>
            </w:r>
          </w:p>
        </w:tc>
        <w:tc>
          <w:tcPr>
            <w:tcW w:w="3250" w:type="dxa"/>
            <w:tcBorders>
              <w:top w:val="nil"/>
              <w:left w:val="nil"/>
              <w:bottom w:val="nil"/>
              <w:right w:val="nil"/>
            </w:tcBorders>
            <w:shd w:val="clear" w:color="000000" w:fill="FFFFFF"/>
            <w:vAlign w:val="center"/>
            <w:hideMark/>
          </w:tcPr>
          <w:p w14:paraId="4589D6D9" w14:textId="0AAF25F3"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100.0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0.00</w:t>
            </w:r>
            <w:r w:rsidRPr="00FA26FB">
              <w:rPr>
                <w:rFonts w:ascii="Book Antiqua" w:eastAsia="Times New Roman" w:hAnsi="Book Antiqua" w:cs="Times New Roman"/>
                <w:bCs/>
                <w:color w:val="000000"/>
                <w:sz w:val="24"/>
                <w:szCs w:val="24"/>
                <w:vertAlign w:val="superscript"/>
              </w:rPr>
              <w:t xml:space="preserve"> </w:t>
            </w:r>
          </w:p>
        </w:tc>
        <w:tc>
          <w:tcPr>
            <w:tcW w:w="902" w:type="dxa"/>
            <w:tcBorders>
              <w:top w:val="nil"/>
              <w:left w:val="nil"/>
              <w:bottom w:val="nil"/>
              <w:right w:val="nil"/>
            </w:tcBorders>
            <w:shd w:val="clear" w:color="000000" w:fill="FFFFFF"/>
            <w:vAlign w:val="center"/>
            <w:hideMark/>
          </w:tcPr>
          <w:p w14:paraId="5404219E" w14:textId="77777777"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w:t>
            </w:r>
          </w:p>
        </w:tc>
      </w:tr>
      <w:tr w:rsidR="00710080" w:rsidRPr="00FA26FB" w14:paraId="683B1F3C" w14:textId="77777777" w:rsidTr="00710080">
        <w:trPr>
          <w:cantSplit/>
          <w:trHeight w:val="300"/>
        </w:trPr>
        <w:tc>
          <w:tcPr>
            <w:tcW w:w="5310" w:type="dxa"/>
            <w:tcBorders>
              <w:top w:val="nil"/>
              <w:left w:val="nil"/>
              <w:bottom w:val="nil"/>
              <w:right w:val="nil"/>
            </w:tcBorders>
            <w:shd w:val="clear" w:color="000000" w:fill="FFFFFF"/>
            <w:vAlign w:val="center"/>
            <w:hideMark/>
          </w:tcPr>
          <w:p w14:paraId="04B558B5" w14:textId="33E67868"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Obese (BMI 30+), % </w:t>
            </w:r>
            <w:r>
              <w:rPr>
                <w:rFonts w:ascii="Book Antiqua" w:eastAsia="Times New Roman" w:hAnsi="Book Antiqua" w:cs="Times New Roman"/>
                <w:bCs/>
                <w:color w:val="000000"/>
                <w:sz w:val="24"/>
                <w:szCs w:val="24"/>
              </w:rPr>
              <w:t>± SE</w:t>
            </w:r>
          </w:p>
        </w:tc>
        <w:tc>
          <w:tcPr>
            <w:tcW w:w="2880" w:type="dxa"/>
            <w:tcBorders>
              <w:top w:val="nil"/>
              <w:left w:val="nil"/>
              <w:bottom w:val="nil"/>
              <w:right w:val="nil"/>
            </w:tcBorders>
            <w:shd w:val="clear" w:color="000000" w:fill="FFFFFF"/>
            <w:vAlign w:val="center"/>
            <w:hideMark/>
          </w:tcPr>
          <w:p w14:paraId="3C18D858" w14:textId="25B2BDB4"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57.6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1.04</w:t>
            </w:r>
            <w:r w:rsidRPr="00FA26FB">
              <w:rPr>
                <w:rFonts w:ascii="Book Antiqua" w:eastAsia="Times New Roman" w:hAnsi="Book Antiqua" w:cs="Times New Roman"/>
                <w:bCs/>
                <w:color w:val="000000"/>
                <w:sz w:val="24"/>
                <w:szCs w:val="24"/>
                <w:vertAlign w:val="superscript"/>
              </w:rPr>
              <w:t xml:space="preserve"> </w:t>
            </w:r>
          </w:p>
        </w:tc>
        <w:tc>
          <w:tcPr>
            <w:tcW w:w="3250" w:type="dxa"/>
            <w:tcBorders>
              <w:top w:val="nil"/>
              <w:left w:val="nil"/>
              <w:bottom w:val="nil"/>
              <w:right w:val="nil"/>
            </w:tcBorders>
            <w:shd w:val="clear" w:color="000000" w:fill="FFFFFF"/>
            <w:vAlign w:val="center"/>
            <w:hideMark/>
          </w:tcPr>
          <w:p w14:paraId="2030717A" w14:textId="70439D32"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64.4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4.7</w:t>
            </w:r>
            <w:r w:rsidRPr="00FA26FB">
              <w:rPr>
                <w:rFonts w:ascii="Book Antiqua" w:eastAsia="Times New Roman" w:hAnsi="Book Antiqua" w:cs="Times New Roman"/>
                <w:bCs/>
                <w:color w:val="000000"/>
                <w:sz w:val="24"/>
                <w:szCs w:val="24"/>
                <w:vertAlign w:val="superscript"/>
              </w:rPr>
              <w:t xml:space="preserve"> </w:t>
            </w:r>
          </w:p>
        </w:tc>
        <w:tc>
          <w:tcPr>
            <w:tcW w:w="902" w:type="dxa"/>
            <w:tcBorders>
              <w:top w:val="nil"/>
              <w:left w:val="nil"/>
              <w:bottom w:val="nil"/>
              <w:right w:val="nil"/>
            </w:tcBorders>
            <w:shd w:val="clear" w:color="000000" w:fill="FFFFFF"/>
            <w:vAlign w:val="center"/>
            <w:hideMark/>
          </w:tcPr>
          <w:p w14:paraId="7D7E1010" w14:textId="77777777"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0.18</w:t>
            </w:r>
          </w:p>
        </w:tc>
      </w:tr>
      <w:tr w:rsidR="00710080" w:rsidRPr="00FA26FB" w14:paraId="1FC14A85" w14:textId="77777777" w:rsidTr="00710080">
        <w:trPr>
          <w:cantSplit/>
          <w:trHeight w:val="300"/>
        </w:trPr>
        <w:tc>
          <w:tcPr>
            <w:tcW w:w="5310" w:type="dxa"/>
            <w:tcBorders>
              <w:top w:val="nil"/>
              <w:left w:val="nil"/>
              <w:bottom w:val="nil"/>
              <w:right w:val="nil"/>
            </w:tcBorders>
            <w:shd w:val="clear" w:color="000000" w:fill="FFFFFF"/>
            <w:vAlign w:val="center"/>
            <w:hideMark/>
          </w:tcPr>
          <w:p w14:paraId="3F2A3084" w14:textId="1BE3CBE9"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Severely obese (BMI 40+), % </w:t>
            </w:r>
            <w:r>
              <w:rPr>
                <w:rFonts w:ascii="Book Antiqua" w:eastAsia="Times New Roman" w:hAnsi="Book Antiqua" w:cs="Times New Roman"/>
                <w:bCs/>
                <w:color w:val="000000"/>
                <w:sz w:val="24"/>
                <w:szCs w:val="24"/>
              </w:rPr>
              <w:t>± SE</w:t>
            </w:r>
          </w:p>
        </w:tc>
        <w:tc>
          <w:tcPr>
            <w:tcW w:w="2880" w:type="dxa"/>
            <w:tcBorders>
              <w:top w:val="nil"/>
              <w:left w:val="nil"/>
              <w:bottom w:val="nil"/>
              <w:right w:val="nil"/>
            </w:tcBorders>
            <w:shd w:val="clear" w:color="000000" w:fill="FFFFFF"/>
            <w:vAlign w:val="center"/>
            <w:hideMark/>
          </w:tcPr>
          <w:p w14:paraId="50940B1F" w14:textId="28EC9064"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11.1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0.63</w:t>
            </w:r>
            <w:r w:rsidRPr="00FA26FB">
              <w:rPr>
                <w:rFonts w:ascii="Book Antiqua" w:eastAsia="Times New Roman" w:hAnsi="Book Antiqua" w:cs="Times New Roman"/>
                <w:bCs/>
                <w:color w:val="000000"/>
                <w:sz w:val="24"/>
                <w:szCs w:val="24"/>
                <w:vertAlign w:val="superscript"/>
              </w:rPr>
              <w:t xml:space="preserve"> </w:t>
            </w:r>
          </w:p>
        </w:tc>
        <w:tc>
          <w:tcPr>
            <w:tcW w:w="3250" w:type="dxa"/>
            <w:tcBorders>
              <w:top w:val="nil"/>
              <w:left w:val="nil"/>
              <w:bottom w:val="nil"/>
              <w:right w:val="nil"/>
            </w:tcBorders>
            <w:shd w:val="clear" w:color="000000" w:fill="FFFFFF"/>
            <w:vAlign w:val="center"/>
            <w:hideMark/>
          </w:tcPr>
          <w:p w14:paraId="5A7B95ED" w14:textId="4DBC1465"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12.3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3.2</w:t>
            </w:r>
            <w:r w:rsidRPr="00FA26FB">
              <w:rPr>
                <w:rFonts w:ascii="Book Antiqua" w:eastAsia="Times New Roman" w:hAnsi="Book Antiqua" w:cs="Times New Roman"/>
                <w:bCs/>
                <w:color w:val="000000"/>
                <w:sz w:val="24"/>
                <w:szCs w:val="24"/>
                <w:vertAlign w:val="superscript"/>
              </w:rPr>
              <w:t xml:space="preserve"> </w:t>
            </w:r>
          </w:p>
        </w:tc>
        <w:tc>
          <w:tcPr>
            <w:tcW w:w="902" w:type="dxa"/>
            <w:tcBorders>
              <w:top w:val="nil"/>
              <w:left w:val="nil"/>
              <w:bottom w:val="nil"/>
              <w:right w:val="nil"/>
            </w:tcBorders>
            <w:shd w:val="clear" w:color="000000" w:fill="FFFFFF"/>
            <w:vAlign w:val="center"/>
            <w:hideMark/>
          </w:tcPr>
          <w:p w14:paraId="523393FE" w14:textId="77777777"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0.7</w:t>
            </w:r>
          </w:p>
        </w:tc>
      </w:tr>
      <w:tr w:rsidR="00710080" w:rsidRPr="00FA26FB" w14:paraId="56745916" w14:textId="77777777" w:rsidTr="00710080">
        <w:trPr>
          <w:cantSplit/>
          <w:trHeight w:val="360"/>
        </w:trPr>
        <w:tc>
          <w:tcPr>
            <w:tcW w:w="5310" w:type="dxa"/>
            <w:tcBorders>
              <w:top w:val="nil"/>
              <w:left w:val="nil"/>
              <w:bottom w:val="nil"/>
              <w:right w:val="nil"/>
            </w:tcBorders>
            <w:shd w:val="clear" w:color="000000" w:fill="FFFFFF"/>
            <w:vAlign w:val="center"/>
            <w:hideMark/>
          </w:tcPr>
          <w:p w14:paraId="5554A296" w14:textId="2E3CD2C0"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Waist circumference (cm), mean </w:t>
            </w:r>
            <w:r>
              <w:rPr>
                <w:rFonts w:ascii="Book Antiqua" w:eastAsia="Times New Roman" w:hAnsi="Book Antiqua" w:cs="Times New Roman"/>
                <w:bCs/>
                <w:color w:val="000000"/>
                <w:sz w:val="24"/>
                <w:szCs w:val="24"/>
              </w:rPr>
              <w:t>± SE</w:t>
            </w:r>
          </w:p>
        </w:tc>
        <w:tc>
          <w:tcPr>
            <w:tcW w:w="2880" w:type="dxa"/>
            <w:tcBorders>
              <w:top w:val="nil"/>
              <w:left w:val="nil"/>
              <w:bottom w:val="nil"/>
              <w:right w:val="nil"/>
            </w:tcBorders>
            <w:shd w:val="clear" w:color="000000" w:fill="FFFFFF"/>
            <w:vAlign w:val="center"/>
            <w:hideMark/>
          </w:tcPr>
          <w:p w14:paraId="2AEE3F44" w14:textId="1E269923"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106.5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0.32</w:t>
            </w:r>
            <w:r w:rsidRPr="00FA26FB">
              <w:rPr>
                <w:rFonts w:ascii="Book Antiqua" w:eastAsia="Times New Roman" w:hAnsi="Book Antiqua" w:cs="Times New Roman"/>
                <w:bCs/>
                <w:color w:val="000000"/>
                <w:sz w:val="24"/>
                <w:szCs w:val="24"/>
                <w:vertAlign w:val="superscript"/>
              </w:rPr>
              <w:t>2</w:t>
            </w:r>
          </w:p>
        </w:tc>
        <w:tc>
          <w:tcPr>
            <w:tcW w:w="3250" w:type="dxa"/>
            <w:tcBorders>
              <w:top w:val="nil"/>
              <w:left w:val="nil"/>
              <w:bottom w:val="nil"/>
              <w:right w:val="nil"/>
            </w:tcBorders>
            <w:shd w:val="clear" w:color="000000" w:fill="FFFFFF"/>
            <w:vAlign w:val="center"/>
            <w:hideMark/>
          </w:tcPr>
          <w:p w14:paraId="10FDE754" w14:textId="6DE4C7AB"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111.9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1.3</w:t>
            </w:r>
            <w:r w:rsidRPr="00FA26FB">
              <w:rPr>
                <w:rFonts w:ascii="Book Antiqua" w:eastAsia="Times New Roman" w:hAnsi="Book Antiqua" w:cs="Times New Roman"/>
                <w:bCs/>
                <w:color w:val="000000"/>
                <w:sz w:val="24"/>
                <w:szCs w:val="24"/>
                <w:vertAlign w:val="superscript"/>
              </w:rPr>
              <w:t>1</w:t>
            </w:r>
          </w:p>
        </w:tc>
        <w:tc>
          <w:tcPr>
            <w:tcW w:w="902" w:type="dxa"/>
            <w:tcBorders>
              <w:top w:val="nil"/>
              <w:left w:val="nil"/>
              <w:bottom w:val="nil"/>
              <w:right w:val="nil"/>
            </w:tcBorders>
            <w:shd w:val="clear" w:color="000000" w:fill="FFFFFF"/>
            <w:vAlign w:val="center"/>
            <w:hideMark/>
          </w:tcPr>
          <w:p w14:paraId="77A029E6"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&lt;0.001</w:t>
            </w:r>
          </w:p>
        </w:tc>
      </w:tr>
      <w:tr w:rsidR="00710080" w:rsidRPr="00FA26FB" w14:paraId="5ABF43EE" w14:textId="77777777" w:rsidTr="00710080">
        <w:trPr>
          <w:cantSplit/>
          <w:trHeight w:val="600"/>
        </w:trPr>
        <w:tc>
          <w:tcPr>
            <w:tcW w:w="5310" w:type="dxa"/>
            <w:tcBorders>
              <w:top w:val="nil"/>
              <w:left w:val="nil"/>
              <w:bottom w:val="nil"/>
              <w:right w:val="nil"/>
            </w:tcBorders>
            <w:shd w:val="clear" w:color="000000" w:fill="FFFFFF"/>
            <w:vAlign w:val="center"/>
            <w:hideMark/>
          </w:tcPr>
          <w:p w14:paraId="488A76A3" w14:textId="26B6ECEE"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Average number of drinks/d, mean </w:t>
            </w:r>
            <w:r>
              <w:rPr>
                <w:rFonts w:ascii="Book Antiqua" w:eastAsia="Times New Roman" w:hAnsi="Book Antiqua" w:cs="Times New Roman"/>
                <w:bCs/>
                <w:color w:val="000000"/>
                <w:sz w:val="24"/>
                <w:szCs w:val="24"/>
              </w:rPr>
              <w:t>± SE</w:t>
            </w:r>
          </w:p>
        </w:tc>
        <w:tc>
          <w:tcPr>
            <w:tcW w:w="2880" w:type="dxa"/>
            <w:tcBorders>
              <w:top w:val="nil"/>
              <w:left w:val="nil"/>
              <w:bottom w:val="nil"/>
              <w:right w:val="nil"/>
            </w:tcBorders>
            <w:shd w:val="clear" w:color="000000" w:fill="FFFFFF"/>
            <w:vAlign w:val="center"/>
            <w:hideMark/>
          </w:tcPr>
          <w:p w14:paraId="02F6164C" w14:textId="73C6D8F9"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0.26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0.01</w:t>
            </w:r>
            <w:r w:rsidRPr="00FA26FB">
              <w:rPr>
                <w:rFonts w:ascii="Book Antiqua" w:eastAsia="Times New Roman" w:hAnsi="Book Antiqua" w:cs="Times New Roman"/>
                <w:bCs/>
                <w:color w:val="000000"/>
                <w:sz w:val="24"/>
                <w:szCs w:val="24"/>
                <w:vertAlign w:val="superscript"/>
              </w:rPr>
              <w:t>2</w:t>
            </w:r>
          </w:p>
        </w:tc>
        <w:tc>
          <w:tcPr>
            <w:tcW w:w="3250" w:type="dxa"/>
            <w:tcBorders>
              <w:top w:val="nil"/>
              <w:left w:val="nil"/>
              <w:bottom w:val="nil"/>
              <w:right w:val="nil"/>
            </w:tcBorders>
            <w:shd w:val="clear" w:color="000000" w:fill="FFFFFF"/>
            <w:vAlign w:val="center"/>
            <w:hideMark/>
          </w:tcPr>
          <w:p w14:paraId="35C2153C" w14:textId="50609317"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4.3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0.22</w:t>
            </w:r>
            <w:r w:rsidRPr="00FA26FB">
              <w:rPr>
                <w:rFonts w:ascii="Book Antiqua" w:eastAsia="Times New Roman" w:hAnsi="Book Antiqua" w:cs="Times New Roman"/>
                <w:bCs/>
                <w:color w:val="000000"/>
                <w:sz w:val="24"/>
                <w:szCs w:val="24"/>
                <w:vertAlign w:val="superscript"/>
              </w:rPr>
              <w:t>1</w:t>
            </w:r>
          </w:p>
        </w:tc>
        <w:tc>
          <w:tcPr>
            <w:tcW w:w="902" w:type="dxa"/>
            <w:tcBorders>
              <w:top w:val="nil"/>
              <w:left w:val="nil"/>
              <w:bottom w:val="nil"/>
              <w:right w:val="nil"/>
            </w:tcBorders>
            <w:shd w:val="clear" w:color="000000" w:fill="FFFFFF"/>
            <w:vAlign w:val="center"/>
            <w:hideMark/>
          </w:tcPr>
          <w:p w14:paraId="71B57E68"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&lt;0.001</w:t>
            </w:r>
          </w:p>
        </w:tc>
      </w:tr>
      <w:tr w:rsidR="00710080" w:rsidRPr="00FA26FB" w14:paraId="0AEDCB02" w14:textId="77777777" w:rsidTr="00710080">
        <w:trPr>
          <w:cantSplit/>
          <w:trHeight w:val="360"/>
        </w:trPr>
        <w:tc>
          <w:tcPr>
            <w:tcW w:w="5310" w:type="dxa"/>
            <w:tcBorders>
              <w:top w:val="nil"/>
              <w:left w:val="nil"/>
              <w:bottom w:val="nil"/>
              <w:right w:val="nil"/>
            </w:tcBorders>
            <w:shd w:val="clear" w:color="000000" w:fill="FFFFFF"/>
            <w:vAlign w:val="center"/>
            <w:hideMark/>
          </w:tcPr>
          <w:p w14:paraId="769DEDE1" w14:textId="348D82C2"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Central obesity, % </w:t>
            </w:r>
            <w:r>
              <w:rPr>
                <w:rFonts w:ascii="Book Antiqua" w:eastAsia="Times New Roman" w:hAnsi="Book Antiqua" w:cs="Times New Roman"/>
                <w:bCs/>
                <w:color w:val="000000"/>
                <w:sz w:val="24"/>
                <w:szCs w:val="24"/>
              </w:rPr>
              <w:t>± SE</w:t>
            </w:r>
          </w:p>
        </w:tc>
        <w:tc>
          <w:tcPr>
            <w:tcW w:w="2880" w:type="dxa"/>
            <w:tcBorders>
              <w:top w:val="nil"/>
              <w:left w:val="nil"/>
              <w:bottom w:val="nil"/>
              <w:right w:val="nil"/>
            </w:tcBorders>
            <w:shd w:val="clear" w:color="000000" w:fill="FFFFFF"/>
            <w:vAlign w:val="center"/>
            <w:hideMark/>
          </w:tcPr>
          <w:p w14:paraId="23BBCA93" w14:textId="5436A749"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79.2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0.86</w:t>
            </w:r>
            <w:r w:rsidRPr="00FA26FB">
              <w:rPr>
                <w:rFonts w:ascii="Book Antiqua" w:eastAsia="Times New Roman" w:hAnsi="Book Antiqua" w:cs="Times New Roman"/>
                <w:bCs/>
                <w:color w:val="000000"/>
                <w:sz w:val="24"/>
                <w:szCs w:val="24"/>
                <w:vertAlign w:val="superscript"/>
              </w:rPr>
              <w:t>2</w:t>
            </w:r>
          </w:p>
        </w:tc>
        <w:tc>
          <w:tcPr>
            <w:tcW w:w="3250" w:type="dxa"/>
            <w:tcBorders>
              <w:top w:val="nil"/>
              <w:left w:val="nil"/>
              <w:bottom w:val="nil"/>
              <w:right w:val="nil"/>
            </w:tcBorders>
            <w:shd w:val="clear" w:color="000000" w:fill="FFFFFF"/>
            <w:vAlign w:val="center"/>
            <w:hideMark/>
          </w:tcPr>
          <w:p w14:paraId="76572A5D" w14:textId="0A934BBF"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92.3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2.5</w:t>
            </w:r>
            <w:r w:rsidRPr="00FA26FB">
              <w:rPr>
                <w:rFonts w:ascii="Book Antiqua" w:eastAsia="Times New Roman" w:hAnsi="Book Antiqua" w:cs="Times New Roman"/>
                <w:bCs/>
                <w:color w:val="000000"/>
                <w:sz w:val="24"/>
                <w:szCs w:val="24"/>
                <w:vertAlign w:val="superscript"/>
              </w:rPr>
              <w:t>1</w:t>
            </w:r>
          </w:p>
        </w:tc>
        <w:tc>
          <w:tcPr>
            <w:tcW w:w="902" w:type="dxa"/>
            <w:tcBorders>
              <w:top w:val="nil"/>
              <w:left w:val="nil"/>
              <w:bottom w:val="nil"/>
              <w:right w:val="nil"/>
            </w:tcBorders>
            <w:shd w:val="clear" w:color="000000" w:fill="FFFFFF"/>
            <w:vAlign w:val="center"/>
            <w:hideMark/>
          </w:tcPr>
          <w:p w14:paraId="09011E23"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&lt;0.001</w:t>
            </w:r>
          </w:p>
        </w:tc>
      </w:tr>
      <w:tr w:rsidR="00710080" w:rsidRPr="00FA26FB" w14:paraId="425116D6" w14:textId="77777777" w:rsidTr="00710080">
        <w:trPr>
          <w:cantSplit/>
          <w:trHeight w:val="360"/>
        </w:trPr>
        <w:tc>
          <w:tcPr>
            <w:tcW w:w="5310" w:type="dxa"/>
            <w:tcBorders>
              <w:top w:val="nil"/>
              <w:left w:val="nil"/>
              <w:bottom w:val="nil"/>
              <w:right w:val="nil"/>
            </w:tcBorders>
            <w:shd w:val="clear" w:color="000000" w:fill="FFFFFF"/>
            <w:vAlign w:val="center"/>
            <w:hideMark/>
          </w:tcPr>
          <w:p w14:paraId="5F91B83B" w14:textId="6BD869F3"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HTN (MS), % </w:t>
            </w:r>
            <w:r>
              <w:rPr>
                <w:rFonts w:ascii="Book Antiqua" w:eastAsia="Times New Roman" w:hAnsi="Book Antiqua" w:cs="Times New Roman"/>
                <w:bCs/>
                <w:color w:val="000000"/>
                <w:sz w:val="24"/>
                <w:szCs w:val="24"/>
              </w:rPr>
              <w:t>± SE</w:t>
            </w:r>
          </w:p>
        </w:tc>
        <w:tc>
          <w:tcPr>
            <w:tcW w:w="2880" w:type="dxa"/>
            <w:tcBorders>
              <w:top w:val="nil"/>
              <w:left w:val="nil"/>
              <w:bottom w:val="nil"/>
              <w:right w:val="nil"/>
            </w:tcBorders>
            <w:shd w:val="clear" w:color="000000" w:fill="FFFFFF"/>
            <w:vAlign w:val="center"/>
            <w:hideMark/>
          </w:tcPr>
          <w:p w14:paraId="7455AB96" w14:textId="7D368B7E"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43.5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1.03</w:t>
            </w:r>
            <w:r w:rsidRPr="00FA26FB">
              <w:rPr>
                <w:rFonts w:ascii="Book Antiqua" w:eastAsia="Times New Roman" w:hAnsi="Book Antiqua" w:cs="Times New Roman"/>
                <w:bCs/>
                <w:color w:val="000000"/>
                <w:sz w:val="24"/>
                <w:szCs w:val="24"/>
                <w:vertAlign w:val="superscript"/>
              </w:rPr>
              <w:t>2</w:t>
            </w:r>
          </w:p>
        </w:tc>
        <w:tc>
          <w:tcPr>
            <w:tcW w:w="3250" w:type="dxa"/>
            <w:tcBorders>
              <w:top w:val="nil"/>
              <w:left w:val="nil"/>
              <w:bottom w:val="nil"/>
              <w:right w:val="nil"/>
            </w:tcBorders>
            <w:shd w:val="clear" w:color="000000" w:fill="FFFFFF"/>
            <w:vAlign w:val="center"/>
            <w:hideMark/>
          </w:tcPr>
          <w:p w14:paraId="15A498E0" w14:textId="7C347641"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74.7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3.8</w:t>
            </w:r>
            <w:r w:rsidRPr="00FA26FB">
              <w:rPr>
                <w:rFonts w:ascii="Book Antiqua" w:eastAsia="Times New Roman" w:hAnsi="Book Antiqua" w:cs="Times New Roman"/>
                <w:bCs/>
                <w:color w:val="000000"/>
                <w:sz w:val="24"/>
                <w:szCs w:val="24"/>
                <w:vertAlign w:val="superscript"/>
              </w:rPr>
              <w:t>1</w:t>
            </w:r>
          </w:p>
        </w:tc>
        <w:tc>
          <w:tcPr>
            <w:tcW w:w="902" w:type="dxa"/>
            <w:tcBorders>
              <w:top w:val="nil"/>
              <w:left w:val="nil"/>
              <w:bottom w:val="nil"/>
              <w:right w:val="nil"/>
            </w:tcBorders>
            <w:shd w:val="clear" w:color="000000" w:fill="FFFFFF"/>
            <w:vAlign w:val="center"/>
            <w:hideMark/>
          </w:tcPr>
          <w:p w14:paraId="668974C2"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&lt;0.001</w:t>
            </w:r>
          </w:p>
        </w:tc>
      </w:tr>
      <w:tr w:rsidR="00710080" w:rsidRPr="00FA26FB" w14:paraId="0D3528BA" w14:textId="77777777" w:rsidTr="00710080">
        <w:trPr>
          <w:cantSplit/>
          <w:trHeight w:val="360"/>
        </w:trPr>
        <w:tc>
          <w:tcPr>
            <w:tcW w:w="5310" w:type="dxa"/>
            <w:tcBorders>
              <w:top w:val="nil"/>
              <w:left w:val="nil"/>
              <w:bottom w:val="nil"/>
              <w:right w:val="nil"/>
            </w:tcBorders>
            <w:shd w:val="clear" w:color="000000" w:fill="FFFFFF"/>
            <w:vAlign w:val="center"/>
            <w:hideMark/>
          </w:tcPr>
          <w:p w14:paraId="3BE5D9D9" w14:textId="1969A870"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Diabetes (MS), % </w:t>
            </w:r>
            <w:r>
              <w:rPr>
                <w:rFonts w:ascii="Book Antiqua" w:eastAsia="Times New Roman" w:hAnsi="Book Antiqua" w:cs="Times New Roman"/>
                <w:bCs/>
                <w:color w:val="000000"/>
                <w:sz w:val="24"/>
                <w:szCs w:val="24"/>
              </w:rPr>
              <w:t>± SE</w:t>
            </w:r>
          </w:p>
        </w:tc>
        <w:tc>
          <w:tcPr>
            <w:tcW w:w="2880" w:type="dxa"/>
            <w:tcBorders>
              <w:top w:val="nil"/>
              <w:left w:val="nil"/>
              <w:bottom w:val="nil"/>
              <w:right w:val="nil"/>
            </w:tcBorders>
            <w:shd w:val="clear" w:color="000000" w:fill="FFFFFF"/>
            <w:vAlign w:val="center"/>
            <w:hideMark/>
          </w:tcPr>
          <w:p w14:paraId="7BE325F5" w14:textId="74E30209"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20.5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0.68</w:t>
            </w:r>
            <w:r w:rsidRPr="00FA26FB">
              <w:rPr>
                <w:rFonts w:ascii="Book Antiqua" w:eastAsia="Times New Roman" w:hAnsi="Book Antiqua" w:cs="Times New Roman"/>
                <w:bCs/>
                <w:color w:val="000000"/>
                <w:sz w:val="24"/>
                <w:szCs w:val="24"/>
                <w:vertAlign w:val="superscript"/>
              </w:rPr>
              <w:t>2</w:t>
            </w:r>
          </w:p>
        </w:tc>
        <w:tc>
          <w:tcPr>
            <w:tcW w:w="3250" w:type="dxa"/>
            <w:tcBorders>
              <w:top w:val="nil"/>
              <w:left w:val="nil"/>
              <w:bottom w:val="nil"/>
              <w:right w:val="nil"/>
            </w:tcBorders>
            <w:shd w:val="clear" w:color="000000" w:fill="FFFFFF"/>
            <w:vAlign w:val="center"/>
            <w:hideMark/>
          </w:tcPr>
          <w:p w14:paraId="543416D2" w14:textId="6DC334CF"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38.1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5.0</w:t>
            </w:r>
            <w:r w:rsidRPr="00FA26FB">
              <w:rPr>
                <w:rFonts w:ascii="Book Antiqua" w:eastAsia="Times New Roman" w:hAnsi="Book Antiqua" w:cs="Times New Roman"/>
                <w:bCs/>
                <w:color w:val="000000"/>
                <w:sz w:val="24"/>
                <w:szCs w:val="24"/>
                <w:vertAlign w:val="superscript"/>
              </w:rPr>
              <w:t>1</w:t>
            </w:r>
          </w:p>
        </w:tc>
        <w:tc>
          <w:tcPr>
            <w:tcW w:w="902" w:type="dxa"/>
            <w:tcBorders>
              <w:top w:val="nil"/>
              <w:left w:val="nil"/>
              <w:bottom w:val="nil"/>
              <w:right w:val="nil"/>
            </w:tcBorders>
            <w:shd w:val="clear" w:color="000000" w:fill="FFFFFF"/>
            <w:vAlign w:val="center"/>
            <w:hideMark/>
          </w:tcPr>
          <w:p w14:paraId="6D5C6900"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&lt;0.001</w:t>
            </w:r>
          </w:p>
        </w:tc>
      </w:tr>
      <w:tr w:rsidR="00710080" w:rsidRPr="00FA26FB" w14:paraId="74446D5B" w14:textId="77777777" w:rsidTr="00710080">
        <w:trPr>
          <w:cantSplit/>
          <w:trHeight w:val="360"/>
        </w:trPr>
        <w:tc>
          <w:tcPr>
            <w:tcW w:w="5310" w:type="dxa"/>
            <w:tcBorders>
              <w:top w:val="nil"/>
              <w:left w:val="nil"/>
              <w:bottom w:val="nil"/>
              <w:right w:val="nil"/>
            </w:tcBorders>
            <w:shd w:val="clear" w:color="000000" w:fill="FFFFFF"/>
            <w:vAlign w:val="center"/>
            <w:hideMark/>
          </w:tcPr>
          <w:p w14:paraId="4B6827A2" w14:textId="250B0FF4"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Low HDL, % </w:t>
            </w:r>
            <w:r>
              <w:rPr>
                <w:rFonts w:ascii="Book Antiqua" w:eastAsia="Times New Roman" w:hAnsi="Book Antiqua" w:cs="Times New Roman"/>
                <w:bCs/>
                <w:color w:val="000000"/>
                <w:sz w:val="24"/>
                <w:szCs w:val="24"/>
              </w:rPr>
              <w:t>± SE</w:t>
            </w:r>
          </w:p>
        </w:tc>
        <w:tc>
          <w:tcPr>
            <w:tcW w:w="2880" w:type="dxa"/>
            <w:tcBorders>
              <w:top w:val="nil"/>
              <w:left w:val="nil"/>
              <w:bottom w:val="nil"/>
              <w:right w:val="nil"/>
            </w:tcBorders>
            <w:shd w:val="clear" w:color="000000" w:fill="FFFFFF"/>
            <w:vAlign w:val="center"/>
            <w:hideMark/>
          </w:tcPr>
          <w:p w14:paraId="75C5574D" w14:textId="78EC4E76"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47.2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1.05</w:t>
            </w:r>
          </w:p>
        </w:tc>
        <w:tc>
          <w:tcPr>
            <w:tcW w:w="3250" w:type="dxa"/>
            <w:tcBorders>
              <w:top w:val="nil"/>
              <w:left w:val="nil"/>
              <w:bottom w:val="nil"/>
              <w:right w:val="nil"/>
            </w:tcBorders>
            <w:shd w:val="clear" w:color="000000" w:fill="FFFFFF"/>
            <w:vAlign w:val="center"/>
            <w:hideMark/>
          </w:tcPr>
          <w:p w14:paraId="2EB322EE" w14:textId="1DFD81E4"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49.5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4.7</w:t>
            </w:r>
          </w:p>
        </w:tc>
        <w:tc>
          <w:tcPr>
            <w:tcW w:w="902" w:type="dxa"/>
            <w:tcBorders>
              <w:top w:val="nil"/>
              <w:left w:val="nil"/>
              <w:bottom w:val="nil"/>
              <w:right w:val="nil"/>
            </w:tcBorders>
            <w:shd w:val="clear" w:color="000000" w:fill="FFFFFF"/>
            <w:vAlign w:val="center"/>
            <w:hideMark/>
          </w:tcPr>
          <w:p w14:paraId="294FC4FA"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&lt;0.001</w:t>
            </w:r>
          </w:p>
        </w:tc>
      </w:tr>
      <w:tr w:rsidR="00710080" w:rsidRPr="00FA26FB" w14:paraId="774D46FC" w14:textId="77777777" w:rsidTr="00710080">
        <w:trPr>
          <w:cantSplit/>
          <w:trHeight w:val="360"/>
        </w:trPr>
        <w:tc>
          <w:tcPr>
            <w:tcW w:w="5310" w:type="dxa"/>
            <w:tcBorders>
              <w:top w:val="nil"/>
              <w:left w:val="nil"/>
              <w:bottom w:val="nil"/>
              <w:right w:val="nil"/>
            </w:tcBorders>
            <w:shd w:val="clear" w:color="000000" w:fill="FFFFFF"/>
            <w:vAlign w:val="center"/>
            <w:hideMark/>
          </w:tcPr>
          <w:p w14:paraId="0024214A" w14:textId="403D8420"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Hypertriglyceridemia, % </w:t>
            </w:r>
            <w:r>
              <w:rPr>
                <w:rFonts w:ascii="Book Antiqua" w:eastAsia="Times New Roman" w:hAnsi="Book Antiqua" w:cs="Times New Roman"/>
                <w:bCs/>
                <w:color w:val="000000"/>
                <w:sz w:val="24"/>
                <w:szCs w:val="24"/>
              </w:rPr>
              <w:t>± SE</w:t>
            </w:r>
          </w:p>
        </w:tc>
        <w:tc>
          <w:tcPr>
            <w:tcW w:w="2880" w:type="dxa"/>
            <w:tcBorders>
              <w:top w:val="nil"/>
              <w:left w:val="nil"/>
              <w:bottom w:val="nil"/>
              <w:right w:val="nil"/>
            </w:tcBorders>
            <w:shd w:val="clear" w:color="000000" w:fill="FFFFFF"/>
            <w:vAlign w:val="center"/>
            <w:hideMark/>
          </w:tcPr>
          <w:p w14:paraId="051DD6A6" w14:textId="5890EA01"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48.5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1.02</w:t>
            </w:r>
            <w:r w:rsidRPr="00FA26FB">
              <w:rPr>
                <w:rFonts w:ascii="Book Antiqua" w:eastAsia="Times New Roman" w:hAnsi="Book Antiqua" w:cs="Times New Roman"/>
                <w:bCs/>
                <w:color w:val="000000"/>
                <w:sz w:val="24"/>
                <w:szCs w:val="24"/>
                <w:vertAlign w:val="superscript"/>
              </w:rPr>
              <w:t>2</w:t>
            </w:r>
          </w:p>
        </w:tc>
        <w:tc>
          <w:tcPr>
            <w:tcW w:w="3250" w:type="dxa"/>
            <w:tcBorders>
              <w:top w:val="nil"/>
              <w:left w:val="nil"/>
              <w:bottom w:val="nil"/>
              <w:right w:val="nil"/>
            </w:tcBorders>
            <w:shd w:val="clear" w:color="000000" w:fill="FFFFFF"/>
            <w:vAlign w:val="center"/>
            <w:hideMark/>
          </w:tcPr>
          <w:p w14:paraId="64C04BB6" w14:textId="792C3880"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82.3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2.9</w:t>
            </w:r>
            <w:r w:rsidRPr="00FA26FB">
              <w:rPr>
                <w:rFonts w:ascii="Book Antiqua" w:eastAsia="Times New Roman" w:hAnsi="Book Antiqua" w:cs="Times New Roman"/>
                <w:bCs/>
                <w:color w:val="000000"/>
                <w:sz w:val="24"/>
                <w:szCs w:val="24"/>
                <w:vertAlign w:val="superscript"/>
              </w:rPr>
              <w:t>1</w:t>
            </w:r>
          </w:p>
        </w:tc>
        <w:tc>
          <w:tcPr>
            <w:tcW w:w="902" w:type="dxa"/>
            <w:tcBorders>
              <w:top w:val="nil"/>
              <w:left w:val="nil"/>
              <w:bottom w:val="nil"/>
              <w:right w:val="nil"/>
            </w:tcBorders>
            <w:shd w:val="clear" w:color="000000" w:fill="FFFFFF"/>
            <w:vAlign w:val="center"/>
            <w:hideMark/>
          </w:tcPr>
          <w:p w14:paraId="4025702D"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&lt;0.001</w:t>
            </w:r>
          </w:p>
        </w:tc>
      </w:tr>
      <w:tr w:rsidR="00710080" w:rsidRPr="00FA26FB" w14:paraId="51C53B16" w14:textId="77777777" w:rsidTr="00710080">
        <w:trPr>
          <w:cantSplit/>
          <w:trHeight w:val="360"/>
        </w:trPr>
        <w:tc>
          <w:tcPr>
            <w:tcW w:w="5310" w:type="dxa"/>
            <w:tcBorders>
              <w:top w:val="nil"/>
              <w:left w:val="nil"/>
              <w:bottom w:val="nil"/>
              <w:right w:val="nil"/>
            </w:tcBorders>
            <w:shd w:val="clear" w:color="000000" w:fill="FFFFFF"/>
            <w:vAlign w:val="center"/>
            <w:hideMark/>
          </w:tcPr>
          <w:p w14:paraId="6AA92D2D" w14:textId="6710CD07"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Metabolic Syndrome, % </w:t>
            </w:r>
            <w:r>
              <w:rPr>
                <w:rFonts w:ascii="Book Antiqua" w:eastAsia="Times New Roman" w:hAnsi="Book Antiqua" w:cs="Times New Roman"/>
                <w:bCs/>
                <w:color w:val="000000"/>
                <w:sz w:val="24"/>
                <w:szCs w:val="24"/>
              </w:rPr>
              <w:t>± SE</w:t>
            </w:r>
          </w:p>
        </w:tc>
        <w:tc>
          <w:tcPr>
            <w:tcW w:w="2880" w:type="dxa"/>
            <w:tcBorders>
              <w:top w:val="nil"/>
              <w:left w:val="nil"/>
              <w:bottom w:val="nil"/>
              <w:right w:val="nil"/>
            </w:tcBorders>
            <w:shd w:val="clear" w:color="000000" w:fill="FFFFFF"/>
            <w:vAlign w:val="center"/>
            <w:hideMark/>
          </w:tcPr>
          <w:p w14:paraId="77370C75" w14:textId="60B91754"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42.6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1.04</w:t>
            </w:r>
            <w:r w:rsidRPr="00FA26FB">
              <w:rPr>
                <w:rFonts w:ascii="Book Antiqua" w:eastAsia="Times New Roman" w:hAnsi="Book Antiqua" w:cs="Times New Roman"/>
                <w:bCs/>
                <w:color w:val="000000"/>
                <w:sz w:val="24"/>
                <w:szCs w:val="24"/>
                <w:vertAlign w:val="superscript"/>
              </w:rPr>
              <w:t>2</w:t>
            </w:r>
          </w:p>
        </w:tc>
        <w:tc>
          <w:tcPr>
            <w:tcW w:w="3250" w:type="dxa"/>
            <w:tcBorders>
              <w:top w:val="nil"/>
              <w:left w:val="nil"/>
              <w:bottom w:val="nil"/>
              <w:right w:val="nil"/>
            </w:tcBorders>
            <w:shd w:val="clear" w:color="000000" w:fill="FFFFFF"/>
            <w:vAlign w:val="center"/>
            <w:hideMark/>
          </w:tcPr>
          <w:p w14:paraId="15E5E10A" w14:textId="7CFAF48F"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91.4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2.6</w:t>
            </w:r>
            <w:r w:rsidRPr="00FA26FB">
              <w:rPr>
                <w:rFonts w:ascii="Book Antiqua" w:eastAsia="Times New Roman" w:hAnsi="Book Antiqua" w:cs="Times New Roman"/>
                <w:bCs/>
                <w:color w:val="000000"/>
                <w:sz w:val="24"/>
                <w:szCs w:val="24"/>
                <w:vertAlign w:val="superscript"/>
              </w:rPr>
              <w:t>1</w:t>
            </w:r>
          </w:p>
        </w:tc>
        <w:tc>
          <w:tcPr>
            <w:tcW w:w="902" w:type="dxa"/>
            <w:tcBorders>
              <w:top w:val="nil"/>
              <w:left w:val="nil"/>
              <w:bottom w:val="nil"/>
              <w:right w:val="nil"/>
            </w:tcBorders>
            <w:shd w:val="clear" w:color="000000" w:fill="FFFFFF"/>
            <w:vAlign w:val="center"/>
            <w:hideMark/>
          </w:tcPr>
          <w:p w14:paraId="2EF6EBEA"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&lt;0.001</w:t>
            </w:r>
          </w:p>
        </w:tc>
      </w:tr>
      <w:tr w:rsidR="00710080" w:rsidRPr="00FA26FB" w14:paraId="07093256" w14:textId="77777777" w:rsidTr="00710080">
        <w:trPr>
          <w:cantSplit/>
          <w:trHeight w:val="360"/>
        </w:trPr>
        <w:tc>
          <w:tcPr>
            <w:tcW w:w="5310" w:type="dxa"/>
            <w:tcBorders>
              <w:top w:val="nil"/>
              <w:left w:val="nil"/>
              <w:bottom w:val="nil"/>
              <w:right w:val="nil"/>
            </w:tcBorders>
            <w:shd w:val="clear" w:color="000000" w:fill="FFFFFF"/>
            <w:vAlign w:val="center"/>
            <w:hideMark/>
          </w:tcPr>
          <w:p w14:paraId="167894FC" w14:textId="497C3A3E"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Platelet count (1000 cells/</w:t>
            </w:r>
            <w:proofErr w:type="spellStart"/>
            <w:r w:rsidRPr="00FA26FB">
              <w:rPr>
                <w:rFonts w:ascii="Book Antiqua" w:eastAsia="Times New Roman" w:hAnsi="Book Antiqua" w:cs="Times New Roman"/>
                <w:bCs/>
                <w:color w:val="000000"/>
                <w:sz w:val="24"/>
                <w:szCs w:val="24"/>
              </w:rPr>
              <w:t>uL</w:t>
            </w:r>
            <w:proofErr w:type="spellEnd"/>
            <w:r w:rsidRPr="00FA26FB">
              <w:rPr>
                <w:rFonts w:ascii="Book Antiqua" w:eastAsia="Times New Roman" w:hAnsi="Book Antiqua" w:cs="Times New Roman"/>
                <w:bCs/>
                <w:color w:val="000000"/>
                <w:sz w:val="24"/>
                <w:szCs w:val="24"/>
              </w:rPr>
              <w:t xml:space="preserve">), mean </w:t>
            </w:r>
            <w:r>
              <w:rPr>
                <w:rFonts w:ascii="Book Antiqua" w:eastAsia="Times New Roman" w:hAnsi="Book Antiqua" w:cs="Times New Roman"/>
                <w:bCs/>
                <w:color w:val="000000"/>
                <w:sz w:val="24"/>
                <w:szCs w:val="24"/>
              </w:rPr>
              <w:t>± SE</w:t>
            </w:r>
          </w:p>
        </w:tc>
        <w:tc>
          <w:tcPr>
            <w:tcW w:w="2880" w:type="dxa"/>
            <w:tcBorders>
              <w:top w:val="nil"/>
              <w:left w:val="nil"/>
              <w:bottom w:val="nil"/>
              <w:right w:val="nil"/>
            </w:tcBorders>
            <w:shd w:val="clear" w:color="000000" w:fill="FFFFFF"/>
            <w:vAlign w:val="center"/>
            <w:hideMark/>
          </w:tcPr>
          <w:p w14:paraId="2AF840CB" w14:textId="67DADC7B"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261.4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1.2</w:t>
            </w:r>
            <w:r w:rsidRPr="00FA26FB">
              <w:rPr>
                <w:rFonts w:ascii="Book Antiqua" w:eastAsia="Times New Roman" w:hAnsi="Book Antiqua" w:cs="Times New Roman"/>
                <w:bCs/>
                <w:color w:val="000000"/>
                <w:sz w:val="24"/>
                <w:szCs w:val="24"/>
                <w:vertAlign w:val="superscript"/>
              </w:rPr>
              <w:t>2</w:t>
            </w:r>
          </w:p>
        </w:tc>
        <w:tc>
          <w:tcPr>
            <w:tcW w:w="3250" w:type="dxa"/>
            <w:tcBorders>
              <w:top w:val="nil"/>
              <w:left w:val="nil"/>
              <w:bottom w:val="nil"/>
              <w:right w:val="nil"/>
            </w:tcBorders>
            <w:shd w:val="clear" w:color="000000" w:fill="FFFFFF"/>
            <w:vAlign w:val="center"/>
            <w:hideMark/>
          </w:tcPr>
          <w:p w14:paraId="10DA7CE6" w14:textId="63056A13"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243.1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5.7</w:t>
            </w:r>
            <w:r w:rsidRPr="00FA26FB">
              <w:rPr>
                <w:rFonts w:ascii="Book Antiqua" w:eastAsia="Times New Roman" w:hAnsi="Book Antiqua" w:cs="Times New Roman"/>
                <w:bCs/>
                <w:color w:val="000000"/>
                <w:sz w:val="24"/>
                <w:szCs w:val="24"/>
                <w:vertAlign w:val="superscript"/>
              </w:rPr>
              <w:t>1</w:t>
            </w:r>
          </w:p>
        </w:tc>
        <w:tc>
          <w:tcPr>
            <w:tcW w:w="902" w:type="dxa"/>
            <w:tcBorders>
              <w:top w:val="nil"/>
              <w:left w:val="nil"/>
              <w:bottom w:val="nil"/>
              <w:right w:val="nil"/>
            </w:tcBorders>
            <w:shd w:val="clear" w:color="000000" w:fill="FFFFFF"/>
            <w:vAlign w:val="center"/>
            <w:hideMark/>
          </w:tcPr>
          <w:p w14:paraId="28F62C2B"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0.007</w:t>
            </w:r>
          </w:p>
        </w:tc>
      </w:tr>
      <w:tr w:rsidR="00710080" w:rsidRPr="00FA26FB" w14:paraId="78FC11A1" w14:textId="77777777" w:rsidTr="00710080">
        <w:trPr>
          <w:cantSplit/>
          <w:trHeight w:val="360"/>
        </w:trPr>
        <w:tc>
          <w:tcPr>
            <w:tcW w:w="5310" w:type="dxa"/>
            <w:tcBorders>
              <w:top w:val="nil"/>
              <w:left w:val="nil"/>
              <w:bottom w:val="nil"/>
              <w:right w:val="nil"/>
            </w:tcBorders>
            <w:shd w:val="clear" w:color="000000" w:fill="FFFFFF"/>
            <w:vAlign w:val="center"/>
            <w:hideMark/>
          </w:tcPr>
          <w:p w14:paraId="06DCB003" w14:textId="6B497A69"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lang w:val="es-PR"/>
              </w:rPr>
              <w:t xml:space="preserve">ALT (U/L), mean </w:t>
            </w:r>
            <w:r>
              <w:rPr>
                <w:rFonts w:ascii="Book Antiqua" w:eastAsia="Times New Roman" w:hAnsi="Book Antiqua" w:cs="Times New Roman"/>
                <w:bCs/>
                <w:color w:val="000000"/>
                <w:sz w:val="24"/>
                <w:szCs w:val="24"/>
                <w:lang w:val="es-PR"/>
              </w:rPr>
              <w:t>± SE</w:t>
            </w:r>
          </w:p>
        </w:tc>
        <w:tc>
          <w:tcPr>
            <w:tcW w:w="2880" w:type="dxa"/>
            <w:tcBorders>
              <w:top w:val="nil"/>
              <w:left w:val="nil"/>
              <w:bottom w:val="nil"/>
              <w:right w:val="nil"/>
            </w:tcBorders>
            <w:shd w:val="clear" w:color="000000" w:fill="FFFFFF"/>
            <w:vAlign w:val="center"/>
            <w:hideMark/>
          </w:tcPr>
          <w:p w14:paraId="5B59215B" w14:textId="154FE190"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38.2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0.32</w:t>
            </w:r>
            <w:r w:rsidRPr="00FA26FB">
              <w:rPr>
                <w:rFonts w:ascii="Book Antiqua" w:eastAsia="Times New Roman" w:hAnsi="Book Antiqua" w:cs="Times New Roman"/>
                <w:bCs/>
                <w:color w:val="000000"/>
                <w:sz w:val="24"/>
                <w:szCs w:val="24"/>
                <w:vertAlign w:val="superscript"/>
              </w:rPr>
              <w:t>2</w:t>
            </w:r>
          </w:p>
        </w:tc>
        <w:tc>
          <w:tcPr>
            <w:tcW w:w="3250" w:type="dxa"/>
            <w:tcBorders>
              <w:top w:val="nil"/>
              <w:left w:val="nil"/>
              <w:bottom w:val="nil"/>
              <w:right w:val="nil"/>
            </w:tcBorders>
            <w:shd w:val="clear" w:color="000000" w:fill="FFFFFF"/>
            <w:vAlign w:val="center"/>
            <w:hideMark/>
          </w:tcPr>
          <w:p w14:paraId="056177BB" w14:textId="23958D2F"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53.1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3.6</w:t>
            </w:r>
            <w:r w:rsidRPr="00FA26FB">
              <w:rPr>
                <w:rFonts w:ascii="Book Antiqua" w:eastAsia="Times New Roman" w:hAnsi="Book Antiqua" w:cs="Times New Roman"/>
                <w:bCs/>
                <w:color w:val="000000"/>
                <w:sz w:val="24"/>
                <w:szCs w:val="24"/>
                <w:vertAlign w:val="superscript"/>
              </w:rPr>
              <w:t>1</w:t>
            </w:r>
          </w:p>
        </w:tc>
        <w:tc>
          <w:tcPr>
            <w:tcW w:w="902" w:type="dxa"/>
            <w:tcBorders>
              <w:top w:val="nil"/>
              <w:left w:val="nil"/>
              <w:bottom w:val="nil"/>
              <w:right w:val="nil"/>
            </w:tcBorders>
            <w:shd w:val="clear" w:color="000000" w:fill="FFFFFF"/>
            <w:vAlign w:val="center"/>
            <w:hideMark/>
          </w:tcPr>
          <w:p w14:paraId="073AE1FB"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&lt;0.001</w:t>
            </w:r>
          </w:p>
        </w:tc>
      </w:tr>
      <w:tr w:rsidR="00710080" w:rsidRPr="00FA26FB" w14:paraId="19594AC0" w14:textId="77777777" w:rsidTr="00710080">
        <w:trPr>
          <w:cantSplit/>
          <w:trHeight w:val="360"/>
        </w:trPr>
        <w:tc>
          <w:tcPr>
            <w:tcW w:w="5310" w:type="dxa"/>
            <w:tcBorders>
              <w:top w:val="nil"/>
              <w:left w:val="nil"/>
              <w:bottom w:val="nil"/>
              <w:right w:val="nil"/>
            </w:tcBorders>
            <w:shd w:val="clear" w:color="000000" w:fill="FFFFFF"/>
            <w:vAlign w:val="center"/>
            <w:hideMark/>
          </w:tcPr>
          <w:p w14:paraId="793D3735" w14:textId="390D2B53"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lang w:val="es-PR"/>
              </w:rPr>
              <w:t xml:space="preserve">AST (U/L), mean </w:t>
            </w:r>
            <w:r>
              <w:rPr>
                <w:rFonts w:ascii="Book Antiqua" w:eastAsia="Times New Roman" w:hAnsi="Book Antiqua" w:cs="Times New Roman"/>
                <w:bCs/>
                <w:color w:val="000000"/>
                <w:sz w:val="24"/>
                <w:szCs w:val="24"/>
                <w:lang w:val="es-PR"/>
              </w:rPr>
              <w:t>± SE</w:t>
            </w:r>
          </w:p>
        </w:tc>
        <w:tc>
          <w:tcPr>
            <w:tcW w:w="2880" w:type="dxa"/>
            <w:tcBorders>
              <w:top w:val="nil"/>
              <w:left w:val="nil"/>
              <w:bottom w:val="nil"/>
              <w:right w:val="nil"/>
            </w:tcBorders>
            <w:shd w:val="clear" w:color="000000" w:fill="FFFFFF"/>
            <w:vAlign w:val="center"/>
            <w:hideMark/>
          </w:tcPr>
          <w:p w14:paraId="3C7BF7D9" w14:textId="73001B8C"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31.2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0.34</w:t>
            </w:r>
            <w:r w:rsidRPr="00FA26FB">
              <w:rPr>
                <w:rFonts w:ascii="Book Antiqua" w:eastAsia="Times New Roman" w:hAnsi="Book Antiqua" w:cs="Times New Roman"/>
                <w:bCs/>
                <w:color w:val="000000"/>
                <w:sz w:val="24"/>
                <w:szCs w:val="24"/>
                <w:vertAlign w:val="superscript"/>
              </w:rPr>
              <w:t>2</w:t>
            </w:r>
          </w:p>
        </w:tc>
        <w:tc>
          <w:tcPr>
            <w:tcW w:w="3250" w:type="dxa"/>
            <w:tcBorders>
              <w:top w:val="nil"/>
              <w:left w:val="nil"/>
              <w:bottom w:val="nil"/>
              <w:right w:val="nil"/>
            </w:tcBorders>
            <w:shd w:val="clear" w:color="000000" w:fill="FFFFFF"/>
            <w:vAlign w:val="center"/>
            <w:hideMark/>
          </w:tcPr>
          <w:p w14:paraId="7AE00297" w14:textId="04ADC526"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43.3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3.3</w:t>
            </w:r>
            <w:r w:rsidRPr="00FA26FB">
              <w:rPr>
                <w:rFonts w:ascii="Book Antiqua" w:eastAsia="Times New Roman" w:hAnsi="Book Antiqua" w:cs="Times New Roman"/>
                <w:bCs/>
                <w:color w:val="000000"/>
                <w:sz w:val="24"/>
                <w:szCs w:val="24"/>
                <w:vertAlign w:val="superscript"/>
              </w:rPr>
              <w:t>1</w:t>
            </w:r>
          </w:p>
        </w:tc>
        <w:tc>
          <w:tcPr>
            <w:tcW w:w="902" w:type="dxa"/>
            <w:tcBorders>
              <w:top w:val="nil"/>
              <w:left w:val="nil"/>
              <w:bottom w:val="nil"/>
              <w:right w:val="nil"/>
            </w:tcBorders>
            <w:shd w:val="clear" w:color="000000" w:fill="FFFFFF"/>
            <w:vAlign w:val="center"/>
            <w:hideMark/>
          </w:tcPr>
          <w:p w14:paraId="7ED054FC"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&lt;0.001</w:t>
            </w:r>
          </w:p>
        </w:tc>
      </w:tr>
      <w:tr w:rsidR="00710080" w:rsidRPr="00FA26FB" w14:paraId="40CFAD62" w14:textId="77777777" w:rsidTr="00710080">
        <w:trPr>
          <w:cantSplit/>
          <w:trHeight w:val="360"/>
        </w:trPr>
        <w:tc>
          <w:tcPr>
            <w:tcW w:w="5310" w:type="dxa"/>
            <w:tcBorders>
              <w:top w:val="nil"/>
              <w:left w:val="nil"/>
              <w:bottom w:val="nil"/>
              <w:right w:val="nil"/>
            </w:tcBorders>
            <w:shd w:val="clear" w:color="000000" w:fill="FFFFFF"/>
            <w:vAlign w:val="center"/>
            <w:hideMark/>
          </w:tcPr>
          <w:p w14:paraId="11955D54" w14:textId="4D9EA653"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Alkaline phosphatase (U/L), mean </w:t>
            </w:r>
            <w:r>
              <w:rPr>
                <w:rFonts w:ascii="Book Antiqua" w:eastAsia="Times New Roman" w:hAnsi="Book Antiqua" w:cs="Times New Roman"/>
                <w:bCs/>
                <w:color w:val="000000"/>
                <w:sz w:val="24"/>
                <w:szCs w:val="24"/>
              </w:rPr>
              <w:t>± SE</w:t>
            </w:r>
          </w:p>
        </w:tc>
        <w:tc>
          <w:tcPr>
            <w:tcW w:w="2880" w:type="dxa"/>
            <w:tcBorders>
              <w:top w:val="nil"/>
              <w:left w:val="nil"/>
              <w:bottom w:val="nil"/>
              <w:right w:val="nil"/>
            </w:tcBorders>
            <w:shd w:val="clear" w:color="000000" w:fill="FFFFFF"/>
            <w:vAlign w:val="center"/>
            <w:hideMark/>
          </w:tcPr>
          <w:p w14:paraId="2A2A0E1F" w14:textId="5EB831E1"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71.4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0.51</w:t>
            </w:r>
          </w:p>
        </w:tc>
        <w:tc>
          <w:tcPr>
            <w:tcW w:w="3250" w:type="dxa"/>
            <w:tcBorders>
              <w:top w:val="nil"/>
              <w:left w:val="nil"/>
              <w:bottom w:val="nil"/>
              <w:right w:val="nil"/>
            </w:tcBorders>
            <w:shd w:val="clear" w:color="000000" w:fill="FFFFFF"/>
            <w:vAlign w:val="center"/>
            <w:hideMark/>
          </w:tcPr>
          <w:p w14:paraId="2A6C945A" w14:textId="52C5F2BE"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76.7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3.4</w:t>
            </w:r>
          </w:p>
        </w:tc>
        <w:tc>
          <w:tcPr>
            <w:tcW w:w="902" w:type="dxa"/>
            <w:tcBorders>
              <w:top w:val="nil"/>
              <w:left w:val="nil"/>
              <w:bottom w:val="nil"/>
              <w:right w:val="nil"/>
            </w:tcBorders>
            <w:shd w:val="clear" w:color="000000" w:fill="FFFFFF"/>
            <w:vAlign w:val="center"/>
            <w:hideMark/>
          </w:tcPr>
          <w:p w14:paraId="2284196A"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0.01</w:t>
            </w:r>
          </w:p>
        </w:tc>
      </w:tr>
      <w:tr w:rsidR="00710080" w:rsidRPr="00FA26FB" w14:paraId="0D851734" w14:textId="77777777" w:rsidTr="00710080">
        <w:trPr>
          <w:cantSplit/>
          <w:trHeight w:val="300"/>
        </w:trPr>
        <w:tc>
          <w:tcPr>
            <w:tcW w:w="5310" w:type="dxa"/>
            <w:tcBorders>
              <w:top w:val="nil"/>
              <w:left w:val="nil"/>
              <w:bottom w:val="nil"/>
              <w:right w:val="nil"/>
            </w:tcBorders>
            <w:shd w:val="clear" w:color="000000" w:fill="FFFFFF"/>
            <w:vAlign w:val="center"/>
            <w:hideMark/>
          </w:tcPr>
          <w:p w14:paraId="7A3B5314" w14:textId="2039FE3E"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Total bilirubin (mg/dL), mean </w:t>
            </w:r>
            <w:r>
              <w:rPr>
                <w:rFonts w:ascii="Book Antiqua" w:eastAsia="Times New Roman" w:hAnsi="Book Antiqua" w:cs="Times New Roman"/>
                <w:bCs/>
                <w:color w:val="000000"/>
                <w:sz w:val="24"/>
                <w:szCs w:val="24"/>
              </w:rPr>
              <w:t>± SE</w:t>
            </w:r>
          </w:p>
        </w:tc>
        <w:tc>
          <w:tcPr>
            <w:tcW w:w="2880" w:type="dxa"/>
            <w:tcBorders>
              <w:top w:val="nil"/>
              <w:left w:val="nil"/>
              <w:bottom w:val="nil"/>
              <w:right w:val="nil"/>
            </w:tcBorders>
            <w:shd w:val="clear" w:color="000000" w:fill="FFFFFF"/>
            <w:vAlign w:val="center"/>
            <w:hideMark/>
          </w:tcPr>
          <w:p w14:paraId="50EF153C" w14:textId="7A5CA757"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0.72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0.01</w:t>
            </w:r>
            <w:r w:rsidRPr="00FA26FB">
              <w:rPr>
                <w:rFonts w:ascii="Book Antiqua" w:eastAsia="Times New Roman" w:hAnsi="Book Antiqua" w:cs="Times New Roman"/>
                <w:bCs/>
                <w:color w:val="000000"/>
                <w:sz w:val="24"/>
                <w:szCs w:val="24"/>
                <w:vertAlign w:val="superscript"/>
              </w:rPr>
              <w:t xml:space="preserve"> </w:t>
            </w:r>
          </w:p>
        </w:tc>
        <w:tc>
          <w:tcPr>
            <w:tcW w:w="3250" w:type="dxa"/>
            <w:tcBorders>
              <w:top w:val="nil"/>
              <w:left w:val="nil"/>
              <w:bottom w:val="nil"/>
              <w:right w:val="nil"/>
            </w:tcBorders>
            <w:shd w:val="clear" w:color="000000" w:fill="FFFFFF"/>
            <w:vAlign w:val="center"/>
            <w:hideMark/>
          </w:tcPr>
          <w:p w14:paraId="7F0E7915" w14:textId="65DE657A"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0.77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0.02</w:t>
            </w:r>
            <w:r w:rsidRPr="00FA26FB">
              <w:rPr>
                <w:rFonts w:ascii="Book Antiqua" w:eastAsia="Times New Roman" w:hAnsi="Book Antiqua" w:cs="Times New Roman"/>
                <w:bCs/>
                <w:color w:val="000000"/>
                <w:sz w:val="24"/>
                <w:szCs w:val="24"/>
                <w:vertAlign w:val="superscript"/>
              </w:rPr>
              <w:t xml:space="preserve"> </w:t>
            </w:r>
          </w:p>
        </w:tc>
        <w:tc>
          <w:tcPr>
            <w:tcW w:w="902" w:type="dxa"/>
            <w:tcBorders>
              <w:top w:val="nil"/>
              <w:left w:val="nil"/>
              <w:bottom w:val="nil"/>
              <w:right w:val="nil"/>
            </w:tcBorders>
            <w:shd w:val="clear" w:color="000000" w:fill="FFFFFF"/>
            <w:vAlign w:val="center"/>
            <w:hideMark/>
          </w:tcPr>
          <w:p w14:paraId="6948161C"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0.007</w:t>
            </w:r>
          </w:p>
        </w:tc>
      </w:tr>
      <w:tr w:rsidR="00710080" w:rsidRPr="00FA26FB" w14:paraId="6C388451" w14:textId="77777777" w:rsidTr="00710080">
        <w:trPr>
          <w:cantSplit/>
          <w:trHeight w:val="300"/>
        </w:trPr>
        <w:tc>
          <w:tcPr>
            <w:tcW w:w="5310" w:type="dxa"/>
            <w:tcBorders>
              <w:top w:val="nil"/>
              <w:left w:val="nil"/>
              <w:bottom w:val="nil"/>
              <w:right w:val="nil"/>
            </w:tcBorders>
            <w:shd w:val="clear" w:color="000000" w:fill="FFFFFF"/>
            <w:vAlign w:val="center"/>
            <w:hideMark/>
          </w:tcPr>
          <w:p w14:paraId="45D7D000" w14:textId="56288188"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Creatinine (mg/dL), mean </w:t>
            </w:r>
            <w:r>
              <w:rPr>
                <w:rFonts w:ascii="Book Antiqua" w:eastAsia="Times New Roman" w:hAnsi="Book Antiqua" w:cs="Times New Roman"/>
                <w:bCs/>
                <w:color w:val="000000"/>
                <w:sz w:val="24"/>
                <w:szCs w:val="24"/>
              </w:rPr>
              <w:t>± SE</w:t>
            </w:r>
          </w:p>
        </w:tc>
        <w:tc>
          <w:tcPr>
            <w:tcW w:w="2880" w:type="dxa"/>
            <w:tcBorders>
              <w:top w:val="nil"/>
              <w:left w:val="nil"/>
              <w:bottom w:val="nil"/>
              <w:right w:val="nil"/>
            </w:tcBorders>
            <w:shd w:val="clear" w:color="000000" w:fill="FFFFFF"/>
            <w:vAlign w:val="center"/>
            <w:hideMark/>
          </w:tcPr>
          <w:p w14:paraId="03536CFD" w14:textId="4409967B"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0.86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0.00</w:t>
            </w:r>
            <w:r w:rsidRPr="00FA26FB">
              <w:rPr>
                <w:rFonts w:ascii="Book Antiqua" w:eastAsia="Times New Roman" w:hAnsi="Book Antiqua" w:cs="Times New Roman"/>
                <w:bCs/>
                <w:color w:val="000000"/>
                <w:sz w:val="24"/>
                <w:szCs w:val="24"/>
                <w:vertAlign w:val="superscript"/>
              </w:rPr>
              <w:t xml:space="preserve"> </w:t>
            </w:r>
          </w:p>
        </w:tc>
        <w:tc>
          <w:tcPr>
            <w:tcW w:w="3250" w:type="dxa"/>
            <w:tcBorders>
              <w:top w:val="nil"/>
              <w:left w:val="nil"/>
              <w:bottom w:val="nil"/>
              <w:right w:val="nil"/>
            </w:tcBorders>
            <w:shd w:val="clear" w:color="000000" w:fill="FFFFFF"/>
            <w:vAlign w:val="center"/>
            <w:hideMark/>
          </w:tcPr>
          <w:p w14:paraId="3288E959" w14:textId="0205C4C8"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0.86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0.01</w:t>
            </w:r>
            <w:r w:rsidRPr="00FA26FB">
              <w:rPr>
                <w:rFonts w:ascii="Book Antiqua" w:eastAsia="Times New Roman" w:hAnsi="Book Antiqua" w:cs="Times New Roman"/>
                <w:bCs/>
                <w:color w:val="000000"/>
                <w:sz w:val="24"/>
                <w:szCs w:val="24"/>
                <w:vertAlign w:val="superscript"/>
              </w:rPr>
              <w:t xml:space="preserve"> </w:t>
            </w:r>
          </w:p>
        </w:tc>
        <w:tc>
          <w:tcPr>
            <w:tcW w:w="902" w:type="dxa"/>
            <w:tcBorders>
              <w:top w:val="nil"/>
              <w:left w:val="nil"/>
              <w:bottom w:val="nil"/>
              <w:right w:val="nil"/>
            </w:tcBorders>
            <w:shd w:val="clear" w:color="000000" w:fill="FFFFFF"/>
            <w:vAlign w:val="center"/>
            <w:hideMark/>
          </w:tcPr>
          <w:p w14:paraId="496CC118" w14:textId="77777777"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0.15</w:t>
            </w:r>
          </w:p>
        </w:tc>
      </w:tr>
      <w:tr w:rsidR="00710080" w:rsidRPr="00FA26FB" w14:paraId="0D6CAC6E" w14:textId="77777777" w:rsidTr="00710080">
        <w:trPr>
          <w:cantSplit/>
          <w:trHeight w:val="360"/>
        </w:trPr>
        <w:tc>
          <w:tcPr>
            <w:tcW w:w="5310" w:type="dxa"/>
            <w:tcBorders>
              <w:top w:val="nil"/>
              <w:left w:val="nil"/>
              <w:bottom w:val="nil"/>
              <w:right w:val="nil"/>
            </w:tcBorders>
            <w:shd w:val="clear" w:color="000000" w:fill="FFFFFF"/>
            <w:vAlign w:val="center"/>
            <w:hideMark/>
          </w:tcPr>
          <w:p w14:paraId="4F390605" w14:textId="342555D5"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Cholesterol (mg/dL), mean </w:t>
            </w:r>
            <w:r>
              <w:rPr>
                <w:rFonts w:ascii="Book Antiqua" w:eastAsia="Times New Roman" w:hAnsi="Book Antiqua" w:cs="Times New Roman"/>
                <w:bCs/>
                <w:color w:val="000000"/>
                <w:sz w:val="24"/>
                <w:szCs w:val="24"/>
              </w:rPr>
              <w:t>± SE</w:t>
            </w:r>
          </w:p>
        </w:tc>
        <w:tc>
          <w:tcPr>
            <w:tcW w:w="2880" w:type="dxa"/>
            <w:tcBorders>
              <w:top w:val="nil"/>
              <w:left w:val="nil"/>
              <w:bottom w:val="nil"/>
              <w:right w:val="nil"/>
            </w:tcBorders>
            <w:shd w:val="clear" w:color="000000" w:fill="FFFFFF"/>
            <w:vAlign w:val="center"/>
            <w:hideMark/>
          </w:tcPr>
          <w:p w14:paraId="59A8CB8D" w14:textId="392F6E3D"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206.8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0.79</w:t>
            </w:r>
            <w:r w:rsidRPr="00FA26FB">
              <w:rPr>
                <w:rFonts w:ascii="Book Antiqua" w:eastAsia="Times New Roman" w:hAnsi="Book Antiqua" w:cs="Times New Roman"/>
                <w:bCs/>
                <w:color w:val="000000"/>
                <w:sz w:val="24"/>
                <w:szCs w:val="24"/>
                <w:vertAlign w:val="superscript"/>
              </w:rPr>
              <w:t>2</w:t>
            </w:r>
          </w:p>
        </w:tc>
        <w:tc>
          <w:tcPr>
            <w:tcW w:w="3250" w:type="dxa"/>
            <w:tcBorders>
              <w:top w:val="nil"/>
              <w:left w:val="nil"/>
              <w:bottom w:val="nil"/>
              <w:right w:val="nil"/>
            </w:tcBorders>
            <w:shd w:val="clear" w:color="000000" w:fill="FFFFFF"/>
            <w:vAlign w:val="center"/>
            <w:hideMark/>
          </w:tcPr>
          <w:p w14:paraId="3B95C2FB" w14:textId="323CF528"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224.7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4.3</w:t>
            </w:r>
            <w:r w:rsidRPr="00FA26FB">
              <w:rPr>
                <w:rFonts w:ascii="Book Antiqua" w:eastAsia="Times New Roman" w:hAnsi="Book Antiqua" w:cs="Times New Roman"/>
                <w:bCs/>
                <w:color w:val="000000"/>
                <w:sz w:val="24"/>
                <w:szCs w:val="24"/>
                <w:vertAlign w:val="superscript"/>
              </w:rPr>
              <w:t>1</w:t>
            </w:r>
          </w:p>
        </w:tc>
        <w:tc>
          <w:tcPr>
            <w:tcW w:w="902" w:type="dxa"/>
            <w:tcBorders>
              <w:top w:val="nil"/>
              <w:left w:val="nil"/>
              <w:bottom w:val="nil"/>
              <w:right w:val="nil"/>
            </w:tcBorders>
            <w:shd w:val="clear" w:color="000000" w:fill="FFFFFF"/>
            <w:vAlign w:val="center"/>
            <w:hideMark/>
          </w:tcPr>
          <w:p w14:paraId="7B65DA17"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&lt;0.001</w:t>
            </w:r>
          </w:p>
        </w:tc>
      </w:tr>
      <w:tr w:rsidR="00710080" w:rsidRPr="00FA26FB" w14:paraId="6DECC291" w14:textId="77777777" w:rsidTr="00710080">
        <w:trPr>
          <w:cantSplit/>
          <w:trHeight w:val="360"/>
        </w:trPr>
        <w:tc>
          <w:tcPr>
            <w:tcW w:w="5310" w:type="dxa"/>
            <w:tcBorders>
              <w:top w:val="nil"/>
              <w:left w:val="nil"/>
              <w:bottom w:val="nil"/>
              <w:right w:val="nil"/>
            </w:tcBorders>
            <w:shd w:val="clear" w:color="000000" w:fill="FFFFFF"/>
            <w:vAlign w:val="center"/>
            <w:hideMark/>
          </w:tcPr>
          <w:p w14:paraId="1D1FA60B" w14:textId="08B0A629"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Triglycerides (mg/dL), mean </w:t>
            </w:r>
            <w:r>
              <w:rPr>
                <w:rFonts w:ascii="Book Antiqua" w:eastAsia="Times New Roman" w:hAnsi="Book Antiqua" w:cs="Times New Roman"/>
                <w:bCs/>
                <w:color w:val="000000"/>
                <w:sz w:val="24"/>
                <w:szCs w:val="24"/>
              </w:rPr>
              <w:t>± SE</w:t>
            </w:r>
          </w:p>
        </w:tc>
        <w:tc>
          <w:tcPr>
            <w:tcW w:w="2880" w:type="dxa"/>
            <w:tcBorders>
              <w:top w:val="nil"/>
              <w:left w:val="nil"/>
              <w:bottom w:val="nil"/>
              <w:right w:val="nil"/>
            </w:tcBorders>
            <w:shd w:val="clear" w:color="000000" w:fill="FFFFFF"/>
            <w:vAlign w:val="center"/>
            <w:hideMark/>
          </w:tcPr>
          <w:p w14:paraId="6231C2AB" w14:textId="2873851D"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186.6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2.8</w:t>
            </w:r>
            <w:r w:rsidRPr="00FA26FB">
              <w:rPr>
                <w:rFonts w:ascii="Book Antiqua" w:eastAsia="Times New Roman" w:hAnsi="Book Antiqua" w:cs="Times New Roman"/>
                <w:bCs/>
                <w:color w:val="000000"/>
                <w:sz w:val="24"/>
                <w:szCs w:val="24"/>
                <w:vertAlign w:val="superscript"/>
              </w:rPr>
              <w:t>2</w:t>
            </w:r>
          </w:p>
        </w:tc>
        <w:tc>
          <w:tcPr>
            <w:tcW w:w="3250" w:type="dxa"/>
            <w:tcBorders>
              <w:top w:val="nil"/>
              <w:left w:val="nil"/>
              <w:bottom w:val="nil"/>
              <w:right w:val="nil"/>
            </w:tcBorders>
            <w:shd w:val="clear" w:color="000000" w:fill="FFFFFF"/>
            <w:vAlign w:val="center"/>
            <w:hideMark/>
          </w:tcPr>
          <w:p w14:paraId="2A060FAF" w14:textId="4115D4CD"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268.0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17.2</w:t>
            </w:r>
            <w:r w:rsidRPr="00FA26FB">
              <w:rPr>
                <w:rFonts w:ascii="Book Antiqua" w:eastAsia="Times New Roman" w:hAnsi="Book Antiqua" w:cs="Times New Roman"/>
                <w:bCs/>
                <w:color w:val="000000"/>
                <w:sz w:val="24"/>
                <w:szCs w:val="24"/>
                <w:vertAlign w:val="superscript"/>
              </w:rPr>
              <w:t>1</w:t>
            </w:r>
          </w:p>
        </w:tc>
        <w:tc>
          <w:tcPr>
            <w:tcW w:w="902" w:type="dxa"/>
            <w:tcBorders>
              <w:top w:val="nil"/>
              <w:left w:val="nil"/>
              <w:bottom w:val="nil"/>
              <w:right w:val="nil"/>
            </w:tcBorders>
            <w:shd w:val="clear" w:color="000000" w:fill="FFFFFF"/>
            <w:vAlign w:val="center"/>
            <w:hideMark/>
          </w:tcPr>
          <w:p w14:paraId="45948630"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&lt;0.001</w:t>
            </w:r>
          </w:p>
        </w:tc>
      </w:tr>
      <w:tr w:rsidR="00710080" w:rsidRPr="00FA26FB" w14:paraId="06FC6849" w14:textId="77777777" w:rsidTr="00710080">
        <w:trPr>
          <w:cantSplit/>
          <w:trHeight w:val="360"/>
        </w:trPr>
        <w:tc>
          <w:tcPr>
            <w:tcW w:w="5310" w:type="dxa"/>
            <w:tcBorders>
              <w:top w:val="nil"/>
              <w:left w:val="nil"/>
              <w:bottom w:val="nil"/>
              <w:right w:val="nil"/>
            </w:tcBorders>
            <w:shd w:val="clear" w:color="000000" w:fill="FFFFFF"/>
            <w:vAlign w:val="center"/>
            <w:hideMark/>
          </w:tcPr>
          <w:p w14:paraId="2EF11A6E" w14:textId="5643852A"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HDL (mg/dL), mean </w:t>
            </w:r>
            <w:r>
              <w:rPr>
                <w:rFonts w:ascii="Book Antiqua" w:eastAsia="Times New Roman" w:hAnsi="Book Antiqua" w:cs="Times New Roman"/>
                <w:bCs/>
                <w:color w:val="000000"/>
                <w:sz w:val="24"/>
                <w:szCs w:val="24"/>
              </w:rPr>
              <w:t>± SE</w:t>
            </w:r>
          </w:p>
        </w:tc>
        <w:tc>
          <w:tcPr>
            <w:tcW w:w="2880" w:type="dxa"/>
            <w:tcBorders>
              <w:top w:val="nil"/>
              <w:left w:val="nil"/>
              <w:bottom w:val="nil"/>
              <w:right w:val="nil"/>
            </w:tcBorders>
            <w:shd w:val="clear" w:color="000000" w:fill="FFFFFF"/>
            <w:vAlign w:val="center"/>
            <w:hideMark/>
          </w:tcPr>
          <w:p w14:paraId="728FBB36" w14:textId="5EC2C5AB"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48.3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0.30</w:t>
            </w:r>
          </w:p>
        </w:tc>
        <w:tc>
          <w:tcPr>
            <w:tcW w:w="3250" w:type="dxa"/>
            <w:tcBorders>
              <w:top w:val="nil"/>
              <w:left w:val="nil"/>
              <w:bottom w:val="nil"/>
              <w:right w:val="nil"/>
            </w:tcBorders>
            <w:shd w:val="clear" w:color="000000" w:fill="FFFFFF"/>
            <w:vAlign w:val="center"/>
            <w:hideMark/>
          </w:tcPr>
          <w:p w14:paraId="0F0DEAE0" w14:textId="5D3FBCDD"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48.3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1.7</w:t>
            </w:r>
          </w:p>
        </w:tc>
        <w:tc>
          <w:tcPr>
            <w:tcW w:w="902" w:type="dxa"/>
            <w:tcBorders>
              <w:top w:val="nil"/>
              <w:left w:val="nil"/>
              <w:bottom w:val="nil"/>
              <w:right w:val="nil"/>
            </w:tcBorders>
            <w:shd w:val="clear" w:color="000000" w:fill="FFFFFF"/>
            <w:vAlign w:val="center"/>
            <w:hideMark/>
          </w:tcPr>
          <w:p w14:paraId="23F8485A"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&lt;0.001</w:t>
            </w:r>
          </w:p>
        </w:tc>
      </w:tr>
      <w:tr w:rsidR="00710080" w:rsidRPr="00FA26FB" w14:paraId="0D8416A1" w14:textId="77777777" w:rsidTr="00710080">
        <w:trPr>
          <w:cantSplit/>
          <w:trHeight w:val="360"/>
        </w:trPr>
        <w:tc>
          <w:tcPr>
            <w:tcW w:w="5310" w:type="dxa"/>
            <w:tcBorders>
              <w:top w:val="nil"/>
              <w:left w:val="nil"/>
              <w:bottom w:val="nil"/>
              <w:right w:val="nil"/>
            </w:tcBorders>
            <w:shd w:val="clear" w:color="000000" w:fill="FFFFFF"/>
            <w:vAlign w:val="center"/>
            <w:hideMark/>
          </w:tcPr>
          <w:p w14:paraId="1C3965DB" w14:textId="16F3F78D"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LDL (mg/dL), mean </w:t>
            </w:r>
            <w:r>
              <w:rPr>
                <w:rFonts w:ascii="Book Antiqua" w:eastAsia="Times New Roman" w:hAnsi="Book Antiqua" w:cs="Times New Roman"/>
                <w:bCs/>
                <w:color w:val="000000"/>
                <w:sz w:val="24"/>
                <w:szCs w:val="24"/>
              </w:rPr>
              <w:t>± SE</w:t>
            </w:r>
          </w:p>
        </w:tc>
        <w:tc>
          <w:tcPr>
            <w:tcW w:w="2880" w:type="dxa"/>
            <w:tcBorders>
              <w:top w:val="nil"/>
              <w:left w:val="nil"/>
              <w:bottom w:val="nil"/>
              <w:right w:val="nil"/>
            </w:tcBorders>
            <w:shd w:val="clear" w:color="000000" w:fill="FFFFFF"/>
            <w:vAlign w:val="center"/>
            <w:hideMark/>
          </w:tcPr>
          <w:p w14:paraId="610531E9" w14:textId="406FD614"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121.2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0.71</w:t>
            </w:r>
          </w:p>
        </w:tc>
        <w:tc>
          <w:tcPr>
            <w:tcW w:w="3250" w:type="dxa"/>
            <w:tcBorders>
              <w:top w:val="nil"/>
              <w:left w:val="nil"/>
              <w:bottom w:val="nil"/>
              <w:right w:val="nil"/>
            </w:tcBorders>
            <w:shd w:val="clear" w:color="000000" w:fill="FFFFFF"/>
            <w:vAlign w:val="center"/>
            <w:hideMark/>
          </w:tcPr>
          <w:p w14:paraId="1F58B00E" w14:textId="1A99B238"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122.8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4.8</w:t>
            </w:r>
          </w:p>
        </w:tc>
        <w:tc>
          <w:tcPr>
            <w:tcW w:w="902" w:type="dxa"/>
            <w:tcBorders>
              <w:top w:val="nil"/>
              <w:left w:val="nil"/>
              <w:bottom w:val="nil"/>
              <w:right w:val="nil"/>
            </w:tcBorders>
            <w:shd w:val="clear" w:color="000000" w:fill="FFFFFF"/>
            <w:vAlign w:val="center"/>
            <w:hideMark/>
          </w:tcPr>
          <w:p w14:paraId="2866DEF5"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&lt;0.001</w:t>
            </w:r>
          </w:p>
        </w:tc>
      </w:tr>
      <w:tr w:rsidR="00710080" w:rsidRPr="00FA26FB" w14:paraId="7C1AB8F1" w14:textId="77777777" w:rsidTr="00710080">
        <w:trPr>
          <w:cantSplit/>
          <w:trHeight w:val="600"/>
        </w:trPr>
        <w:tc>
          <w:tcPr>
            <w:tcW w:w="5310" w:type="dxa"/>
            <w:tcBorders>
              <w:top w:val="nil"/>
              <w:left w:val="nil"/>
              <w:bottom w:val="nil"/>
              <w:right w:val="nil"/>
            </w:tcBorders>
            <w:shd w:val="clear" w:color="000000" w:fill="FFFFFF"/>
            <w:vAlign w:val="center"/>
            <w:hideMark/>
          </w:tcPr>
          <w:p w14:paraId="1F64C5C1" w14:textId="1BC3E84D"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lang w:val="es-PR"/>
              </w:rPr>
              <w:lastRenderedPageBreak/>
              <w:t xml:space="preserve">Gamma glutamyl transferase (U/L), mean </w:t>
            </w:r>
            <w:r>
              <w:rPr>
                <w:rFonts w:ascii="Book Antiqua" w:eastAsia="Times New Roman" w:hAnsi="Book Antiqua" w:cs="Times New Roman"/>
                <w:bCs/>
                <w:color w:val="000000"/>
                <w:sz w:val="24"/>
                <w:szCs w:val="24"/>
                <w:lang w:val="es-PR"/>
              </w:rPr>
              <w:t>± SE</w:t>
            </w:r>
          </w:p>
        </w:tc>
        <w:tc>
          <w:tcPr>
            <w:tcW w:w="2880" w:type="dxa"/>
            <w:tcBorders>
              <w:top w:val="nil"/>
              <w:left w:val="nil"/>
              <w:bottom w:val="nil"/>
              <w:right w:val="nil"/>
            </w:tcBorders>
            <w:shd w:val="clear" w:color="000000" w:fill="FFFFFF"/>
            <w:vAlign w:val="center"/>
            <w:hideMark/>
          </w:tcPr>
          <w:p w14:paraId="7803377B" w14:textId="091FAA9F"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36.6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0.62</w:t>
            </w:r>
            <w:r w:rsidRPr="00FA26FB">
              <w:rPr>
                <w:rFonts w:ascii="Book Antiqua" w:eastAsia="Times New Roman" w:hAnsi="Book Antiqua" w:cs="Times New Roman"/>
                <w:bCs/>
                <w:color w:val="000000"/>
                <w:sz w:val="24"/>
                <w:szCs w:val="24"/>
                <w:vertAlign w:val="superscript"/>
              </w:rPr>
              <w:t>2</w:t>
            </w:r>
          </w:p>
        </w:tc>
        <w:tc>
          <w:tcPr>
            <w:tcW w:w="3250" w:type="dxa"/>
            <w:tcBorders>
              <w:top w:val="nil"/>
              <w:left w:val="nil"/>
              <w:bottom w:val="nil"/>
              <w:right w:val="nil"/>
            </w:tcBorders>
            <w:shd w:val="clear" w:color="000000" w:fill="FFFFFF"/>
            <w:vAlign w:val="center"/>
            <w:hideMark/>
          </w:tcPr>
          <w:p w14:paraId="2E7456A1" w14:textId="46727BEC"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94.6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16.4</w:t>
            </w:r>
            <w:r w:rsidRPr="00FA26FB">
              <w:rPr>
                <w:rFonts w:ascii="Book Antiqua" w:eastAsia="Times New Roman" w:hAnsi="Book Antiqua" w:cs="Times New Roman"/>
                <w:bCs/>
                <w:color w:val="000000"/>
                <w:sz w:val="24"/>
                <w:szCs w:val="24"/>
                <w:vertAlign w:val="superscript"/>
              </w:rPr>
              <w:t>1</w:t>
            </w:r>
          </w:p>
        </w:tc>
        <w:tc>
          <w:tcPr>
            <w:tcW w:w="902" w:type="dxa"/>
            <w:tcBorders>
              <w:top w:val="nil"/>
              <w:left w:val="nil"/>
              <w:bottom w:val="nil"/>
              <w:right w:val="nil"/>
            </w:tcBorders>
            <w:shd w:val="clear" w:color="000000" w:fill="FFFFFF"/>
            <w:vAlign w:val="center"/>
            <w:hideMark/>
          </w:tcPr>
          <w:p w14:paraId="402C3C86"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0.002</w:t>
            </w:r>
          </w:p>
        </w:tc>
      </w:tr>
      <w:tr w:rsidR="00710080" w:rsidRPr="00FA26FB" w14:paraId="0163214E" w14:textId="77777777" w:rsidTr="00710080">
        <w:trPr>
          <w:cantSplit/>
          <w:trHeight w:val="360"/>
        </w:trPr>
        <w:tc>
          <w:tcPr>
            <w:tcW w:w="5310" w:type="dxa"/>
            <w:tcBorders>
              <w:top w:val="nil"/>
              <w:left w:val="nil"/>
              <w:bottom w:val="nil"/>
              <w:right w:val="nil"/>
            </w:tcBorders>
            <w:shd w:val="clear" w:color="000000" w:fill="FFFFFF"/>
            <w:vAlign w:val="center"/>
            <w:hideMark/>
          </w:tcPr>
          <w:p w14:paraId="2835F4B5" w14:textId="156383D0"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Glycohemoglobin (%), mean </w:t>
            </w:r>
            <w:r>
              <w:rPr>
                <w:rFonts w:ascii="Book Antiqua" w:eastAsia="Times New Roman" w:hAnsi="Book Antiqua" w:cs="Times New Roman"/>
                <w:bCs/>
                <w:color w:val="000000"/>
                <w:sz w:val="24"/>
                <w:szCs w:val="24"/>
              </w:rPr>
              <w:t>± SE</w:t>
            </w:r>
          </w:p>
        </w:tc>
        <w:tc>
          <w:tcPr>
            <w:tcW w:w="2880" w:type="dxa"/>
            <w:tcBorders>
              <w:top w:val="nil"/>
              <w:left w:val="nil"/>
              <w:bottom w:val="nil"/>
              <w:right w:val="nil"/>
            </w:tcBorders>
            <w:shd w:val="clear" w:color="000000" w:fill="FFFFFF"/>
            <w:vAlign w:val="center"/>
            <w:hideMark/>
          </w:tcPr>
          <w:p w14:paraId="38F980AC" w14:textId="41A4051E"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5.6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0.02</w:t>
            </w:r>
          </w:p>
        </w:tc>
        <w:tc>
          <w:tcPr>
            <w:tcW w:w="3250" w:type="dxa"/>
            <w:tcBorders>
              <w:top w:val="nil"/>
              <w:left w:val="nil"/>
              <w:bottom w:val="nil"/>
              <w:right w:val="nil"/>
            </w:tcBorders>
            <w:shd w:val="clear" w:color="000000" w:fill="FFFFFF"/>
            <w:vAlign w:val="center"/>
            <w:hideMark/>
          </w:tcPr>
          <w:p w14:paraId="56CA13CF" w14:textId="5F277308"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5.7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0.09</w:t>
            </w:r>
          </w:p>
        </w:tc>
        <w:tc>
          <w:tcPr>
            <w:tcW w:w="902" w:type="dxa"/>
            <w:tcBorders>
              <w:top w:val="nil"/>
              <w:left w:val="nil"/>
              <w:bottom w:val="nil"/>
              <w:right w:val="nil"/>
            </w:tcBorders>
            <w:shd w:val="clear" w:color="000000" w:fill="FFFFFF"/>
            <w:vAlign w:val="center"/>
            <w:hideMark/>
          </w:tcPr>
          <w:p w14:paraId="2166D76C"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&lt;0.001</w:t>
            </w:r>
          </w:p>
        </w:tc>
      </w:tr>
      <w:tr w:rsidR="00710080" w:rsidRPr="00FA26FB" w14:paraId="3DD9EC67" w14:textId="77777777" w:rsidTr="00710080">
        <w:trPr>
          <w:cantSplit/>
          <w:trHeight w:val="360"/>
        </w:trPr>
        <w:tc>
          <w:tcPr>
            <w:tcW w:w="5310" w:type="dxa"/>
            <w:tcBorders>
              <w:top w:val="nil"/>
              <w:left w:val="nil"/>
              <w:right w:val="nil"/>
            </w:tcBorders>
            <w:shd w:val="clear" w:color="000000" w:fill="FFFFFF"/>
            <w:vAlign w:val="center"/>
            <w:hideMark/>
          </w:tcPr>
          <w:p w14:paraId="5301635C" w14:textId="7C22389D"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FIB-4, mean </w:t>
            </w:r>
            <w:r>
              <w:rPr>
                <w:rFonts w:ascii="Book Antiqua" w:eastAsia="Times New Roman" w:hAnsi="Book Antiqua" w:cs="Times New Roman"/>
                <w:bCs/>
                <w:color w:val="000000"/>
                <w:sz w:val="24"/>
                <w:szCs w:val="24"/>
              </w:rPr>
              <w:t>± SE</w:t>
            </w:r>
          </w:p>
        </w:tc>
        <w:tc>
          <w:tcPr>
            <w:tcW w:w="2880" w:type="dxa"/>
            <w:tcBorders>
              <w:top w:val="nil"/>
              <w:left w:val="nil"/>
              <w:right w:val="nil"/>
            </w:tcBorders>
            <w:shd w:val="clear" w:color="000000" w:fill="FFFFFF"/>
            <w:vAlign w:val="center"/>
            <w:hideMark/>
          </w:tcPr>
          <w:p w14:paraId="774D98D6" w14:textId="072ACAFF"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0.94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0.01</w:t>
            </w:r>
            <w:r w:rsidRPr="00FA26FB">
              <w:rPr>
                <w:rFonts w:ascii="Book Antiqua" w:eastAsia="Times New Roman" w:hAnsi="Book Antiqua" w:cs="Times New Roman"/>
                <w:bCs/>
                <w:color w:val="000000"/>
                <w:sz w:val="24"/>
                <w:szCs w:val="24"/>
                <w:vertAlign w:val="superscript"/>
              </w:rPr>
              <w:t>2</w:t>
            </w:r>
          </w:p>
        </w:tc>
        <w:tc>
          <w:tcPr>
            <w:tcW w:w="3250" w:type="dxa"/>
            <w:tcBorders>
              <w:top w:val="nil"/>
              <w:left w:val="nil"/>
              <w:right w:val="nil"/>
            </w:tcBorders>
            <w:shd w:val="clear" w:color="000000" w:fill="FFFFFF"/>
            <w:vAlign w:val="center"/>
            <w:hideMark/>
          </w:tcPr>
          <w:p w14:paraId="76ED3BEE" w14:textId="7C0643AC"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1.2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0.09</w:t>
            </w:r>
            <w:r w:rsidRPr="00FA26FB">
              <w:rPr>
                <w:rFonts w:ascii="Book Antiqua" w:eastAsia="Times New Roman" w:hAnsi="Book Antiqua" w:cs="Times New Roman"/>
                <w:bCs/>
                <w:color w:val="000000"/>
                <w:sz w:val="24"/>
                <w:szCs w:val="24"/>
                <w:vertAlign w:val="superscript"/>
              </w:rPr>
              <w:t>1</w:t>
            </w:r>
          </w:p>
        </w:tc>
        <w:tc>
          <w:tcPr>
            <w:tcW w:w="902" w:type="dxa"/>
            <w:tcBorders>
              <w:top w:val="nil"/>
              <w:left w:val="nil"/>
              <w:right w:val="nil"/>
            </w:tcBorders>
            <w:shd w:val="clear" w:color="000000" w:fill="FFFFFF"/>
            <w:vAlign w:val="center"/>
            <w:hideMark/>
          </w:tcPr>
          <w:p w14:paraId="062112C6"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0.001</w:t>
            </w:r>
          </w:p>
        </w:tc>
      </w:tr>
      <w:tr w:rsidR="00710080" w:rsidRPr="00FA26FB" w14:paraId="7272486E" w14:textId="77777777" w:rsidTr="00710080">
        <w:trPr>
          <w:cantSplit/>
          <w:trHeight w:val="300"/>
        </w:trPr>
        <w:tc>
          <w:tcPr>
            <w:tcW w:w="5310" w:type="dxa"/>
            <w:tcBorders>
              <w:top w:val="nil"/>
              <w:left w:val="nil"/>
              <w:bottom w:val="single" w:sz="4" w:space="0" w:color="auto"/>
              <w:right w:val="nil"/>
            </w:tcBorders>
            <w:shd w:val="clear" w:color="000000" w:fill="FFFFFF"/>
            <w:vAlign w:val="center"/>
            <w:hideMark/>
          </w:tcPr>
          <w:p w14:paraId="6C4F0747" w14:textId="6402CB45"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FIB-4 &gt; 2.67, % </w:t>
            </w:r>
            <w:r>
              <w:rPr>
                <w:rFonts w:ascii="Book Antiqua" w:eastAsia="Times New Roman" w:hAnsi="Book Antiqua" w:cs="Times New Roman"/>
                <w:bCs/>
                <w:color w:val="000000"/>
                <w:sz w:val="24"/>
                <w:szCs w:val="24"/>
              </w:rPr>
              <w:t>± SE</w:t>
            </w:r>
          </w:p>
        </w:tc>
        <w:tc>
          <w:tcPr>
            <w:tcW w:w="2880" w:type="dxa"/>
            <w:tcBorders>
              <w:top w:val="nil"/>
              <w:left w:val="nil"/>
              <w:bottom w:val="single" w:sz="4" w:space="0" w:color="auto"/>
              <w:right w:val="nil"/>
            </w:tcBorders>
            <w:shd w:val="clear" w:color="000000" w:fill="FFFFFF"/>
            <w:vAlign w:val="center"/>
            <w:hideMark/>
          </w:tcPr>
          <w:p w14:paraId="2ED72328" w14:textId="58177FDF"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1.7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0.22</w:t>
            </w:r>
            <w:r w:rsidRPr="00FA26FB">
              <w:rPr>
                <w:rFonts w:ascii="Book Antiqua" w:eastAsia="Times New Roman" w:hAnsi="Book Antiqua" w:cs="Times New Roman"/>
                <w:bCs/>
                <w:color w:val="000000"/>
                <w:sz w:val="24"/>
                <w:szCs w:val="24"/>
                <w:vertAlign w:val="superscript"/>
              </w:rPr>
              <w:t xml:space="preserve"> </w:t>
            </w:r>
          </w:p>
        </w:tc>
        <w:tc>
          <w:tcPr>
            <w:tcW w:w="3250" w:type="dxa"/>
            <w:tcBorders>
              <w:top w:val="nil"/>
              <w:left w:val="nil"/>
              <w:bottom w:val="single" w:sz="4" w:space="0" w:color="auto"/>
              <w:right w:val="nil"/>
            </w:tcBorders>
            <w:shd w:val="clear" w:color="000000" w:fill="FFFFFF"/>
            <w:vAlign w:val="center"/>
            <w:hideMark/>
          </w:tcPr>
          <w:p w14:paraId="0E6C92D2" w14:textId="1E8EB941"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7.1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2.5</w:t>
            </w:r>
            <w:r w:rsidRPr="00FA26FB">
              <w:rPr>
                <w:rFonts w:ascii="Book Antiqua" w:eastAsia="Times New Roman" w:hAnsi="Book Antiqua" w:cs="Times New Roman"/>
                <w:bCs/>
                <w:color w:val="000000"/>
                <w:sz w:val="24"/>
                <w:szCs w:val="24"/>
                <w:vertAlign w:val="superscript"/>
              </w:rPr>
              <w:t xml:space="preserve"> </w:t>
            </w:r>
          </w:p>
        </w:tc>
        <w:tc>
          <w:tcPr>
            <w:tcW w:w="902" w:type="dxa"/>
            <w:tcBorders>
              <w:top w:val="nil"/>
              <w:left w:val="nil"/>
              <w:bottom w:val="single" w:sz="4" w:space="0" w:color="auto"/>
              <w:right w:val="nil"/>
            </w:tcBorders>
            <w:shd w:val="clear" w:color="000000" w:fill="FFFFFF"/>
            <w:vAlign w:val="center"/>
            <w:hideMark/>
          </w:tcPr>
          <w:p w14:paraId="76493B3B"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0.045</w:t>
            </w:r>
          </w:p>
        </w:tc>
      </w:tr>
    </w:tbl>
    <w:p w14:paraId="404F86AF" w14:textId="39299EE8" w:rsidR="00710080" w:rsidRPr="00710080" w:rsidRDefault="00710080" w:rsidP="002C1F15">
      <w:pPr>
        <w:spacing w:after="0" w:line="360" w:lineRule="auto"/>
        <w:jc w:val="both"/>
        <w:rPr>
          <w:rFonts w:ascii="Book Antiqua" w:hAnsi="Book Antiqua" w:cs="Times New Roman"/>
          <w:bCs/>
          <w:sz w:val="24"/>
          <w:szCs w:val="24"/>
        </w:rPr>
      </w:pPr>
      <w:r w:rsidRPr="00710080">
        <w:rPr>
          <w:rFonts w:ascii="Book Antiqua" w:hAnsi="Book Antiqua" w:cs="Times New Roman"/>
          <w:bCs/>
          <w:sz w:val="24"/>
          <w:szCs w:val="24"/>
        </w:rPr>
        <w:t xml:space="preserve">Population weighted means or percentages are presented with corresponding SE. </w:t>
      </w:r>
      <w:r w:rsidRPr="00710080">
        <w:rPr>
          <w:rFonts w:ascii="Book Antiqua" w:hAnsi="Book Antiqua" w:cs="Times New Roman"/>
          <w:bCs/>
          <w:sz w:val="24"/>
          <w:szCs w:val="24"/>
          <w:vertAlign w:val="superscript"/>
        </w:rPr>
        <w:t>1</w:t>
      </w:r>
      <w:r w:rsidRPr="00710080">
        <w:rPr>
          <w:rFonts w:ascii="Book Antiqua" w:hAnsi="Book Antiqua" w:cs="Times New Roman"/>
          <w:bCs/>
          <w:sz w:val="24"/>
          <w:szCs w:val="24"/>
        </w:rPr>
        <w:t xml:space="preserve">Significantly different from NAFLD; </w:t>
      </w:r>
      <w:r w:rsidRPr="00710080">
        <w:rPr>
          <w:rFonts w:ascii="Book Antiqua" w:hAnsi="Book Antiqua" w:cs="Times New Roman"/>
          <w:bCs/>
          <w:sz w:val="24"/>
          <w:szCs w:val="24"/>
          <w:vertAlign w:val="superscript"/>
        </w:rPr>
        <w:t>2</w:t>
      </w:r>
      <w:r w:rsidRPr="00710080">
        <w:rPr>
          <w:rFonts w:ascii="Book Antiqua" w:hAnsi="Book Antiqua" w:cs="Times New Roman"/>
          <w:bCs/>
          <w:sz w:val="24"/>
          <w:szCs w:val="24"/>
        </w:rPr>
        <w:t>Significantly different from BAFLD. Post-hoc comparisons were done using Bonferroni correction.</w:t>
      </w:r>
      <w:r>
        <w:rPr>
          <w:rFonts w:ascii="Book Antiqua" w:hAnsi="Book Antiqua" w:cs="Times New Roman" w:hint="eastAsia"/>
          <w:bCs/>
          <w:sz w:val="24"/>
          <w:szCs w:val="24"/>
          <w:lang w:eastAsia="zh-CN"/>
        </w:rPr>
        <w:t xml:space="preserve"> </w:t>
      </w:r>
      <w:r w:rsidRPr="00710080">
        <w:rPr>
          <w:rFonts w:ascii="Book Antiqua" w:hAnsi="Book Antiqua" w:cs="Times New Roman"/>
          <w:bCs/>
          <w:sz w:val="24"/>
          <w:szCs w:val="24"/>
        </w:rPr>
        <w:t xml:space="preserve">NAFLD: Non-alcoholic fatty liver disease; BAFLD: Both alcoholic and non-alcoholic fatty liver disease; BMI: body mass index; HTN: Hypertension; HDL: High density lipoprotein; LDL: Low density lipoprotein; ALT: </w:t>
      </w:r>
      <w:r w:rsidRPr="00710080">
        <w:rPr>
          <w:rFonts w:ascii="Book Antiqua" w:hAnsi="Book Antiqua" w:cs="Times New Roman"/>
          <w:bCs/>
          <w:caps/>
          <w:sz w:val="24"/>
          <w:szCs w:val="24"/>
        </w:rPr>
        <w:t>a</w:t>
      </w:r>
      <w:r w:rsidRPr="00710080">
        <w:rPr>
          <w:rFonts w:ascii="Book Antiqua" w:hAnsi="Book Antiqua" w:cs="Times New Roman"/>
          <w:bCs/>
          <w:sz w:val="24"/>
          <w:szCs w:val="24"/>
        </w:rPr>
        <w:t xml:space="preserve">lanine aminotransferase; AST: Aspartate aminotransferase; FIB-4: Fibrosis-4. </w:t>
      </w:r>
    </w:p>
    <w:p w14:paraId="2E1B74AE" w14:textId="77777777" w:rsidR="00710080" w:rsidRPr="00FA26FB" w:rsidRDefault="00710080" w:rsidP="002C1F15">
      <w:pPr>
        <w:spacing w:after="0" w:line="360" w:lineRule="auto"/>
        <w:jc w:val="both"/>
        <w:rPr>
          <w:rFonts w:ascii="Book Antiqua" w:hAnsi="Book Antiqua" w:cs="Times New Roman"/>
          <w:bCs/>
          <w:sz w:val="24"/>
          <w:szCs w:val="24"/>
        </w:rPr>
      </w:pPr>
    </w:p>
    <w:p w14:paraId="096DFC97" w14:textId="77777777" w:rsidR="00390FCA" w:rsidRPr="00FA26FB" w:rsidRDefault="00390FCA" w:rsidP="002C1F15">
      <w:pPr>
        <w:spacing w:after="0" w:line="360" w:lineRule="auto"/>
        <w:jc w:val="both"/>
        <w:rPr>
          <w:rFonts w:ascii="Book Antiqua" w:hAnsi="Book Antiqua" w:cs="Times New Roman"/>
          <w:bCs/>
          <w:sz w:val="24"/>
          <w:szCs w:val="24"/>
        </w:rPr>
      </w:pPr>
      <w:r w:rsidRPr="00FA26FB">
        <w:rPr>
          <w:rFonts w:ascii="Book Antiqua" w:hAnsi="Book Antiqua" w:cs="Times New Roman"/>
          <w:bCs/>
          <w:sz w:val="24"/>
          <w:szCs w:val="24"/>
        </w:rPr>
        <w:br w:type="page"/>
      </w:r>
    </w:p>
    <w:p w14:paraId="5B7FF0D0" w14:textId="77777777" w:rsidR="00390FCA" w:rsidRPr="00FA26FB" w:rsidRDefault="00390FCA" w:rsidP="002C1F15">
      <w:pPr>
        <w:spacing w:after="0" w:line="360" w:lineRule="auto"/>
        <w:jc w:val="both"/>
        <w:rPr>
          <w:rFonts w:ascii="Book Antiqua" w:hAnsi="Book Antiqua" w:cs="Times New Roman"/>
          <w:bCs/>
          <w:sz w:val="24"/>
          <w:szCs w:val="24"/>
        </w:rPr>
      </w:pPr>
    </w:p>
    <w:tbl>
      <w:tblPr>
        <w:tblW w:w="8730" w:type="dxa"/>
        <w:tblInd w:w="108" w:type="dxa"/>
        <w:tblLook w:val="04A0" w:firstRow="1" w:lastRow="0" w:firstColumn="1" w:lastColumn="0" w:noHBand="0" w:noVBand="1"/>
      </w:tblPr>
      <w:tblGrid>
        <w:gridCol w:w="8730"/>
      </w:tblGrid>
      <w:tr w:rsidR="00390FCA" w:rsidRPr="00FA26FB" w14:paraId="62C8708E" w14:textId="77777777" w:rsidTr="00F655B3">
        <w:trPr>
          <w:cantSplit/>
          <w:trHeight w:val="325"/>
        </w:trPr>
        <w:tc>
          <w:tcPr>
            <w:tcW w:w="8730" w:type="dxa"/>
            <w:tcBorders>
              <w:top w:val="single" w:sz="12" w:space="0" w:color="FFFFFF"/>
              <w:left w:val="nil"/>
              <w:bottom w:val="single" w:sz="12" w:space="0" w:color="000000"/>
              <w:right w:val="nil"/>
            </w:tcBorders>
            <w:shd w:val="clear" w:color="000000" w:fill="FFFFFF"/>
            <w:vAlign w:val="center"/>
            <w:hideMark/>
          </w:tcPr>
          <w:p w14:paraId="56465219" w14:textId="6670A774" w:rsidR="00390FCA" w:rsidRPr="00FA26FB" w:rsidRDefault="00390FCA" w:rsidP="002C1F15">
            <w:pPr>
              <w:spacing w:after="0" w:line="360" w:lineRule="auto"/>
              <w:jc w:val="both"/>
              <w:rPr>
                <w:rFonts w:ascii="Book Antiqua" w:eastAsia="Times New Roman" w:hAnsi="Book Antiqua" w:cs="Times New Roman"/>
                <w:bCs/>
                <w:color w:val="000000"/>
                <w:sz w:val="24"/>
                <w:szCs w:val="24"/>
              </w:rPr>
            </w:pPr>
          </w:p>
        </w:tc>
      </w:tr>
    </w:tbl>
    <w:p w14:paraId="3E92F1DF" w14:textId="77777777" w:rsidR="00390FCA" w:rsidRPr="00FA26FB" w:rsidRDefault="00390FCA" w:rsidP="002C1F15">
      <w:pPr>
        <w:spacing w:after="0" w:line="360" w:lineRule="auto"/>
        <w:jc w:val="both"/>
        <w:rPr>
          <w:rFonts w:ascii="Book Antiqua" w:hAnsi="Book Antiqua" w:cs="Times New Roman"/>
          <w:bCs/>
          <w:sz w:val="24"/>
          <w:szCs w:val="24"/>
        </w:rPr>
      </w:pPr>
    </w:p>
    <w:p w14:paraId="2655BC46" w14:textId="77777777" w:rsidR="00390FCA" w:rsidRPr="00FA26FB" w:rsidRDefault="00390FCA" w:rsidP="002C1F15">
      <w:pPr>
        <w:spacing w:after="0" w:line="360" w:lineRule="auto"/>
        <w:jc w:val="both"/>
        <w:rPr>
          <w:rFonts w:ascii="Book Antiqua" w:hAnsi="Book Antiqua" w:cs="Times New Roman"/>
          <w:bCs/>
          <w:sz w:val="24"/>
          <w:szCs w:val="24"/>
        </w:rPr>
      </w:pPr>
      <w:r w:rsidRPr="00FA26FB">
        <w:rPr>
          <w:rFonts w:ascii="Book Antiqua" w:hAnsi="Book Antiqua"/>
          <w:bCs/>
          <w:noProof/>
          <w:sz w:val="24"/>
          <w:szCs w:val="24"/>
          <w:lang w:eastAsia="zh-CN"/>
        </w:rPr>
        <w:drawing>
          <wp:inline distT="0" distB="0" distL="0" distR="0" wp14:anchorId="1AA06A77" wp14:editId="17210D68">
            <wp:extent cx="4572000" cy="2709333"/>
            <wp:effectExtent l="0" t="0" r="12700" b="8890"/>
            <wp:docPr id="2" name="Chart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EBC5B05-6012-1D41-85DE-E5AF418C3D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DCB9762" w14:textId="3AE02763" w:rsidR="0044346C" w:rsidRPr="00710080" w:rsidRDefault="00710080" w:rsidP="002C1F15">
      <w:pPr>
        <w:spacing w:after="0" w:line="360" w:lineRule="auto"/>
        <w:jc w:val="both"/>
        <w:rPr>
          <w:rFonts w:ascii="Book Antiqua" w:hAnsi="Book Antiqua" w:cs="Times New Roman"/>
          <w:bCs/>
          <w:sz w:val="24"/>
          <w:szCs w:val="24"/>
        </w:rPr>
      </w:pPr>
      <w:r w:rsidRPr="00710080">
        <w:rPr>
          <w:rFonts w:ascii="Book Antiqua" w:hAnsi="Book Antiqua" w:cs="Times"/>
          <w:b/>
          <w:color w:val="000000"/>
          <w:sz w:val="24"/>
          <w:szCs w:val="24"/>
        </w:rPr>
        <w:t>Figure 1</w:t>
      </w:r>
      <w:r>
        <w:rPr>
          <w:rFonts w:ascii="Book Antiqua" w:hAnsi="Book Antiqua" w:cs="Times"/>
          <w:b/>
          <w:color w:val="000000"/>
          <w:sz w:val="24"/>
          <w:szCs w:val="24"/>
        </w:rPr>
        <w:t xml:space="preserve"> </w:t>
      </w:r>
      <w:r w:rsidRPr="00710080">
        <w:rPr>
          <w:rFonts w:ascii="Book Antiqua" w:hAnsi="Book Antiqua" w:cs="Times"/>
          <w:b/>
          <w:color w:val="000000"/>
          <w:sz w:val="24"/>
          <w:szCs w:val="24"/>
        </w:rPr>
        <w:t xml:space="preserve">The prevalence of advanced fibrosis in patients with non-alcoholic fatty liver disease </w:t>
      </w:r>
      <w:r>
        <w:rPr>
          <w:rFonts w:ascii="Book Antiqua" w:hAnsi="Book Antiqua" w:cs="Times"/>
          <w:b/>
          <w:color w:val="000000"/>
          <w:sz w:val="24"/>
          <w:szCs w:val="24"/>
        </w:rPr>
        <w:t>(</w:t>
      </w:r>
      <w:r w:rsidRPr="00710080">
        <w:rPr>
          <w:rFonts w:ascii="Book Antiqua" w:hAnsi="Book Antiqua" w:cs="Times New Roman"/>
          <w:b/>
          <w:sz w:val="24"/>
          <w:szCs w:val="24"/>
        </w:rPr>
        <w:t>1.7%</w:t>
      </w:r>
      <w:r>
        <w:rPr>
          <w:rFonts w:ascii="Book Antiqua" w:hAnsi="Book Antiqua" w:cs="Times"/>
          <w:b/>
          <w:color w:val="000000"/>
          <w:sz w:val="24"/>
          <w:szCs w:val="24"/>
        </w:rPr>
        <w:t xml:space="preserve">) </w:t>
      </w:r>
      <w:r w:rsidRPr="00710080">
        <w:rPr>
          <w:rFonts w:ascii="Book Antiqua" w:hAnsi="Book Antiqua" w:cs="Times"/>
          <w:b/>
          <w:color w:val="000000"/>
          <w:sz w:val="24"/>
          <w:szCs w:val="24"/>
        </w:rPr>
        <w:t>and both alcoholic and non-alcoholic fatty liver disease</w:t>
      </w:r>
      <w:r>
        <w:rPr>
          <w:rFonts w:ascii="Book Antiqua" w:hAnsi="Book Antiqua" w:cs="Times"/>
          <w:b/>
          <w:color w:val="000000"/>
          <w:sz w:val="24"/>
          <w:szCs w:val="24"/>
        </w:rPr>
        <w:t xml:space="preserve"> (</w:t>
      </w:r>
      <w:r w:rsidRPr="00710080">
        <w:rPr>
          <w:rFonts w:ascii="Book Antiqua" w:hAnsi="Book Antiqua" w:cs="Times New Roman"/>
          <w:b/>
          <w:sz w:val="24"/>
          <w:szCs w:val="24"/>
        </w:rPr>
        <w:t>7.1%</w:t>
      </w:r>
      <w:r>
        <w:rPr>
          <w:rFonts w:ascii="Book Antiqua" w:hAnsi="Book Antiqua" w:cs="Times"/>
          <w:b/>
          <w:color w:val="000000"/>
          <w:sz w:val="24"/>
          <w:szCs w:val="24"/>
        </w:rPr>
        <w:t>)</w:t>
      </w:r>
      <w:r w:rsidRPr="00710080">
        <w:rPr>
          <w:rFonts w:ascii="Book Antiqua" w:hAnsi="Book Antiqua" w:cs="Times"/>
          <w:b/>
          <w:color w:val="000000"/>
          <w:sz w:val="24"/>
          <w:szCs w:val="24"/>
        </w:rPr>
        <w:t xml:space="preserve">. </w:t>
      </w:r>
      <w:r w:rsidRPr="00FA26FB">
        <w:rPr>
          <w:rFonts w:ascii="Book Antiqua" w:hAnsi="Book Antiqua" w:cs="Times New Roman"/>
          <w:bCs/>
          <w:sz w:val="24"/>
          <w:szCs w:val="24"/>
        </w:rPr>
        <w:t xml:space="preserve">Patients with BAFLD have 3-fold increase in the prevalence of advanced fibrosis. </w:t>
      </w:r>
      <w:r w:rsidR="0044346C" w:rsidRPr="00FA26FB">
        <w:rPr>
          <w:rFonts w:ascii="Book Antiqua" w:hAnsi="Book Antiqua" w:cs="Times"/>
          <w:bCs/>
          <w:color w:val="000000"/>
          <w:sz w:val="24"/>
          <w:szCs w:val="24"/>
        </w:rPr>
        <w:t xml:space="preserve">NAFLD: </w:t>
      </w:r>
      <w:r w:rsidR="0044346C" w:rsidRPr="00710080">
        <w:rPr>
          <w:rFonts w:ascii="Book Antiqua" w:hAnsi="Book Antiqua" w:cs="Times"/>
          <w:bCs/>
          <w:caps/>
          <w:color w:val="000000"/>
          <w:sz w:val="24"/>
          <w:szCs w:val="24"/>
        </w:rPr>
        <w:t>n</w:t>
      </w:r>
      <w:r w:rsidR="0044346C" w:rsidRPr="00FA26FB">
        <w:rPr>
          <w:rFonts w:ascii="Book Antiqua" w:hAnsi="Book Antiqua" w:cs="Times"/>
          <w:bCs/>
          <w:color w:val="000000"/>
          <w:sz w:val="24"/>
          <w:szCs w:val="24"/>
        </w:rPr>
        <w:t xml:space="preserve">on-alcoholic fatty liver disease; BAFLD: </w:t>
      </w:r>
      <w:r w:rsidR="0044346C" w:rsidRPr="00710080">
        <w:rPr>
          <w:rFonts w:ascii="Book Antiqua" w:hAnsi="Book Antiqua" w:cs="Times"/>
          <w:bCs/>
          <w:caps/>
          <w:color w:val="000000"/>
          <w:sz w:val="24"/>
          <w:szCs w:val="24"/>
        </w:rPr>
        <w:t>b</w:t>
      </w:r>
      <w:r w:rsidR="0044346C" w:rsidRPr="00FA26FB">
        <w:rPr>
          <w:rFonts w:ascii="Book Antiqua" w:hAnsi="Book Antiqua" w:cs="Times"/>
          <w:bCs/>
          <w:color w:val="000000"/>
          <w:sz w:val="24"/>
          <w:szCs w:val="24"/>
        </w:rPr>
        <w:t xml:space="preserve">oth alcoholic and non-alcoholic fatty liver disease; AF: </w:t>
      </w:r>
      <w:r w:rsidR="0044346C" w:rsidRPr="00710080">
        <w:rPr>
          <w:rFonts w:ascii="Book Antiqua" w:hAnsi="Book Antiqua" w:cs="Times"/>
          <w:bCs/>
          <w:caps/>
          <w:color w:val="000000"/>
          <w:sz w:val="24"/>
          <w:szCs w:val="24"/>
        </w:rPr>
        <w:t>a</w:t>
      </w:r>
      <w:r w:rsidR="0044346C" w:rsidRPr="00FA26FB">
        <w:rPr>
          <w:rFonts w:ascii="Book Antiqua" w:hAnsi="Book Antiqua" w:cs="Times"/>
          <w:bCs/>
          <w:color w:val="000000"/>
          <w:sz w:val="24"/>
          <w:szCs w:val="24"/>
        </w:rPr>
        <w:t>dvanced fibrosis</w:t>
      </w:r>
      <w:r>
        <w:rPr>
          <w:rFonts w:ascii="Book Antiqua" w:hAnsi="Book Antiqua" w:cs="Times"/>
          <w:bCs/>
          <w:color w:val="000000"/>
          <w:sz w:val="24"/>
          <w:szCs w:val="24"/>
        </w:rPr>
        <w:t xml:space="preserve">. </w:t>
      </w:r>
    </w:p>
    <w:p w14:paraId="56C26327" w14:textId="7A62BB5C" w:rsidR="0044346C" w:rsidRPr="00FA26FB" w:rsidRDefault="0044346C" w:rsidP="002C1F15">
      <w:pPr>
        <w:spacing w:after="0" w:line="360" w:lineRule="auto"/>
        <w:jc w:val="both"/>
        <w:rPr>
          <w:rFonts w:ascii="Book Antiqua" w:hAnsi="Book Antiqua" w:cs="Times New Roman"/>
          <w:bCs/>
          <w:sz w:val="24"/>
          <w:szCs w:val="24"/>
        </w:rPr>
      </w:pPr>
    </w:p>
    <w:p w14:paraId="0F932288" w14:textId="77777777" w:rsidR="00390FCA" w:rsidRPr="00214E65" w:rsidRDefault="00390FCA" w:rsidP="002C1F15">
      <w:pPr>
        <w:spacing w:after="0" w:line="360" w:lineRule="auto"/>
        <w:jc w:val="both"/>
        <w:rPr>
          <w:rFonts w:ascii="Book Antiqua" w:hAnsi="Book Antiqua" w:cs="Times New Roman"/>
          <w:bCs/>
          <w:sz w:val="24"/>
          <w:szCs w:val="24"/>
        </w:rPr>
      </w:pPr>
    </w:p>
    <w:bookmarkEnd w:id="1"/>
    <w:p w14:paraId="62D1CD38" w14:textId="77777777" w:rsidR="00E85E68" w:rsidRPr="00214E65" w:rsidRDefault="00E85E68" w:rsidP="002C1F15">
      <w:pPr>
        <w:spacing w:after="0" w:line="360" w:lineRule="auto"/>
        <w:jc w:val="both"/>
        <w:rPr>
          <w:rFonts w:ascii="Book Antiqua" w:hAnsi="Book Antiqua" w:cs="Times New Roman"/>
          <w:bCs/>
          <w:sz w:val="24"/>
          <w:szCs w:val="24"/>
        </w:rPr>
      </w:pPr>
    </w:p>
    <w:sectPr w:rsidR="00E85E68" w:rsidRPr="00214E65" w:rsidSect="001225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25C64" w14:textId="77777777" w:rsidR="009027AC" w:rsidRDefault="009027AC" w:rsidP="00AA5E17">
      <w:pPr>
        <w:spacing w:after="0" w:line="240" w:lineRule="auto"/>
      </w:pPr>
      <w:r>
        <w:separator/>
      </w:r>
    </w:p>
  </w:endnote>
  <w:endnote w:type="continuationSeparator" w:id="0">
    <w:p w14:paraId="26976393" w14:textId="77777777" w:rsidR="009027AC" w:rsidRDefault="009027AC" w:rsidP="00AA5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DengXian">
    <w:altName w:val="等线"/>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AdvTimes">
    <w:altName w:val="宋体"/>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3"/>
      </w:rPr>
      <w:id w:val="-1701319109"/>
      <w:docPartObj>
        <w:docPartGallery w:val="Page Numbers (Bottom of Page)"/>
        <w:docPartUnique/>
      </w:docPartObj>
    </w:sdtPr>
    <w:sdtEndPr>
      <w:rPr>
        <w:rStyle w:val="af3"/>
      </w:rPr>
    </w:sdtEndPr>
    <w:sdtContent>
      <w:p w14:paraId="27D3D53D" w14:textId="46913FDE" w:rsidR="00710080" w:rsidRDefault="00710080" w:rsidP="00334486">
        <w:pPr>
          <w:pStyle w:val="a4"/>
          <w:framePr w:wrap="none" w:vAnchor="text" w:hAnchor="margin" w:xAlign="right" w:y="1"/>
          <w:rPr>
            <w:rStyle w:val="af3"/>
          </w:rPr>
        </w:pPr>
        <w:r>
          <w:rPr>
            <w:rStyle w:val="af3"/>
          </w:rPr>
          <w:fldChar w:fldCharType="begin"/>
        </w:r>
        <w:r>
          <w:rPr>
            <w:rStyle w:val="af3"/>
          </w:rPr>
          <w:instrText xml:space="preserve"> PAGE </w:instrText>
        </w:r>
        <w:r>
          <w:rPr>
            <w:rStyle w:val="af3"/>
          </w:rPr>
          <w:fldChar w:fldCharType="end"/>
        </w:r>
      </w:p>
    </w:sdtContent>
  </w:sdt>
  <w:p w14:paraId="7D14F3A4" w14:textId="77777777" w:rsidR="00710080" w:rsidRDefault="00710080" w:rsidP="00D6342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3"/>
      </w:rPr>
      <w:id w:val="-573356098"/>
      <w:docPartObj>
        <w:docPartGallery w:val="Page Numbers (Bottom of Page)"/>
        <w:docPartUnique/>
      </w:docPartObj>
    </w:sdtPr>
    <w:sdtEndPr>
      <w:rPr>
        <w:rStyle w:val="af3"/>
      </w:rPr>
    </w:sdtEndPr>
    <w:sdtContent>
      <w:p w14:paraId="234764B2" w14:textId="7A4C75C4" w:rsidR="00710080" w:rsidRDefault="00710080" w:rsidP="00334486">
        <w:pPr>
          <w:pStyle w:val="a4"/>
          <w:framePr w:wrap="none" w:vAnchor="text" w:hAnchor="margin" w:xAlign="right" w:y="1"/>
          <w:rPr>
            <w:rStyle w:val="af3"/>
          </w:rPr>
        </w:pPr>
        <w:r>
          <w:rPr>
            <w:rStyle w:val="af3"/>
          </w:rPr>
          <w:fldChar w:fldCharType="begin"/>
        </w:r>
        <w:r>
          <w:rPr>
            <w:rStyle w:val="af3"/>
          </w:rPr>
          <w:instrText xml:space="preserve"> PAGE </w:instrText>
        </w:r>
        <w:r>
          <w:rPr>
            <w:rStyle w:val="af3"/>
          </w:rPr>
          <w:fldChar w:fldCharType="separate"/>
        </w:r>
        <w:r w:rsidR="00251801">
          <w:rPr>
            <w:rStyle w:val="af3"/>
            <w:noProof/>
          </w:rPr>
          <w:t>6</w:t>
        </w:r>
        <w:r>
          <w:rPr>
            <w:rStyle w:val="af3"/>
          </w:rPr>
          <w:fldChar w:fldCharType="end"/>
        </w:r>
      </w:p>
    </w:sdtContent>
  </w:sdt>
  <w:p w14:paraId="46D7923D" w14:textId="37EB0E73" w:rsidR="00710080" w:rsidRDefault="00710080" w:rsidP="00D63427">
    <w:pPr>
      <w:pStyle w:val="a4"/>
      <w:ind w:right="360"/>
      <w:jc w:val="right"/>
    </w:pPr>
  </w:p>
  <w:p w14:paraId="5712126A" w14:textId="77777777" w:rsidR="00710080" w:rsidRDefault="0071008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067C7" w14:textId="77777777" w:rsidR="009027AC" w:rsidRDefault="009027AC" w:rsidP="00AA5E17">
      <w:pPr>
        <w:spacing w:after="0" w:line="240" w:lineRule="auto"/>
      </w:pPr>
      <w:r>
        <w:separator/>
      </w:r>
    </w:p>
  </w:footnote>
  <w:footnote w:type="continuationSeparator" w:id="0">
    <w:p w14:paraId="54B7DB44" w14:textId="77777777" w:rsidR="009027AC" w:rsidRDefault="009027AC" w:rsidP="00AA5E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71170"/>
    <w:multiLevelType w:val="hybridMultilevel"/>
    <w:tmpl w:val="450C5E30"/>
    <w:lvl w:ilvl="0" w:tplc="1BC00D9A">
      <w:start w:val="1"/>
      <w:numFmt w:val="decimal"/>
      <w:lvlText w:val="%1."/>
      <w:lvlJc w:val="left"/>
      <w:pPr>
        <w:ind w:left="720" w:hanging="360"/>
      </w:pPr>
      <w:rPr>
        <w:rFonts w:ascii="Times New Roman" w:hAnsi="Times New Roman"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05F"/>
    <w:rsid w:val="00003364"/>
    <w:rsid w:val="000105BA"/>
    <w:rsid w:val="00015D11"/>
    <w:rsid w:val="0002072E"/>
    <w:rsid w:val="000227F8"/>
    <w:rsid w:val="00030345"/>
    <w:rsid w:val="000316CD"/>
    <w:rsid w:val="0003580B"/>
    <w:rsid w:val="00053A1A"/>
    <w:rsid w:val="000548A6"/>
    <w:rsid w:val="00056507"/>
    <w:rsid w:val="00056A7D"/>
    <w:rsid w:val="000615AD"/>
    <w:rsid w:val="00061B85"/>
    <w:rsid w:val="00061C84"/>
    <w:rsid w:val="000633C9"/>
    <w:rsid w:val="000677E9"/>
    <w:rsid w:val="00070D11"/>
    <w:rsid w:val="00070EB9"/>
    <w:rsid w:val="00073222"/>
    <w:rsid w:val="00077133"/>
    <w:rsid w:val="00083A9B"/>
    <w:rsid w:val="00087201"/>
    <w:rsid w:val="000A1794"/>
    <w:rsid w:val="000A3C65"/>
    <w:rsid w:val="000A57D6"/>
    <w:rsid w:val="000B00E1"/>
    <w:rsid w:val="000B17D3"/>
    <w:rsid w:val="000B1DA8"/>
    <w:rsid w:val="000B442D"/>
    <w:rsid w:val="000C1A3F"/>
    <w:rsid w:val="000C4708"/>
    <w:rsid w:val="000C4B68"/>
    <w:rsid w:val="000C58CB"/>
    <w:rsid w:val="000D5110"/>
    <w:rsid w:val="000E767A"/>
    <w:rsid w:val="000F37A0"/>
    <w:rsid w:val="000F6003"/>
    <w:rsid w:val="000F669C"/>
    <w:rsid w:val="00100C48"/>
    <w:rsid w:val="001062CC"/>
    <w:rsid w:val="00111878"/>
    <w:rsid w:val="00121284"/>
    <w:rsid w:val="00121D73"/>
    <w:rsid w:val="00122518"/>
    <w:rsid w:val="001272F2"/>
    <w:rsid w:val="00131F3E"/>
    <w:rsid w:val="00133615"/>
    <w:rsid w:val="00135067"/>
    <w:rsid w:val="0014337B"/>
    <w:rsid w:val="00146E2E"/>
    <w:rsid w:val="00156643"/>
    <w:rsid w:val="00164602"/>
    <w:rsid w:val="00170066"/>
    <w:rsid w:val="0017307F"/>
    <w:rsid w:val="00173135"/>
    <w:rsid w:val="00175E87"/>
    <w:rsid w:val="00181320"/>
    <w:rsid w:val="00182A08"/>
    <w:rsid w:val="00183AE4"/>
    <w:rsid w:val="00187310"/>
    <w:rsid w:val="001908D2"/>
    <w:rsid w:val="001911F1"/>
    <w:rsid w:val="00192187"/>
    <w:rsid w:val="0019409C"/>
    <w:rsid w:val="001A2558"/>
    <w:rsid w:val="001A35E8"/>
    <w:rsid w:val="001A4EF6"/>
    <w:rsid w:val="001B1ECB"/>
    <w:rsid w:val="001B2B43"/>
    <w:rsid w:val="001B4496"/>
    <w:rsid w:val="001B4F93"/>
    <w:rsid w:val="001B737D"/>
    <w:rsid w:val="001C1A7A"/>
    <w:rsid w:val="001C4FFB"/>
    <w:rsid w:val="001C6ECC"/>
    <w:rsid w:val="001C742A"/>
    <w:rsid w:val="001C7637"/>
    <w:rsid w:val="001D5991"/>
    <w:rsid w:val="001D7AFE"/>
    <w:rsid w:val="001D7CA3"/>
    <w:rsid w:val="001E1F72"/>
    <w:rsid w:val="001E318B"/>
    <w:rsid w:val="001E758E"/>
    <w:rsid w:val="001F4A08"/>
    <w:rsid w:val="001F6E48"/>
    <w:rsid w:val="00200FF4"/>
    <w:rsid w:val="00202B57"/>
    <w:rsid w:val="002036DA"/>
    <w:rsid w:val="00212C08"/>
    <w:rsid w:val="00214E65"/>
    <w:rsid w:val="0021604C"/>
    <w:rsid w:val="00223F89"/>
    <w:rsid w:val="002240E8"/>
    <w:rsid w:val="00233875"/>
    <w:rsid w:val="002367F3"/>
    <w:rsid w:val="00237AEB"/>
    <w:rsid w:val="0024066C"/>
    <w:rsid w:val="00244BEF"/>
    <w:rsid w:val="00251801"/>
    <w:rsid w:val="00253374"/>
    <w:rsid w:val="002561AB"/>
    <w:rsid w:val="00257417"/>
    <w:rsid w:val="00261CA4"/>
    <w:rsid w:val="00271B0A"/>
    <w:rsid w:val="002748A7"/>
    <w:rsid w:val="00281F07"/>
    <w:rsid w:val="0028325B"/>
    <w:rsid w:val="002841DA"/>
    <w:rsid w:val="002851E5"/>
    <w:rsid w:val="002911F8"/>
    <w:rsid w:val="00292399"/>
    <w:rsid w:val="002A472E"/>
    <w:rsid w:val="002A6D35"/>
    <w:rsid w:val="002B3574"/>
    <w:rsid w:val="002C1F15"/>
    <w:rsid w:val="002C2C41"/>
    <w:rsid w:val="002D0ACA"/>
    <w:rsid w:val="002D1E48"/>
    <w:rsid w:val="002E23C5"/>
    <w:rsid w:val="002F52CF"/>
    <w:rsid w:val="002F728C"/>
    <w:rsid w:val="00300C36"/>
    <w:rsid w:val="00301174"/>
    <w:rsid w:val="00302A40"/>
    <w:rsid w:val="003055A5"/>
    <w:rsid w:val="00305850"/>
    <w:rsid w:val="00305F8A"/>
    <w:rsid w:val="00315B33"/>
    <w:rsid w:val="003163FE"/>
    <w:rsid w:val="0031662C"/>
    <w:rsid w:val="00317B62"/>
    <w:rsid w:val="00325D29"/>
    <w:rsid w:val="00326304"/>
    <w:rsid w:val="00326F27"/>
    <w:rsid w:val="00327E51"/>
    <w:rsid w:val="00330235"/>
    <w:rsid w:val="00333DE7"/>
    <w:rsid w:val="00334486"/>
    <w:rsid w:val="00335474"/>
    <w:rsid w:val="0035359F"/>
    <w:rsid w:val="003566F2"/>
    <w:rsid w:val="00366CAB"/>
    <w:rsid w:val="00373DDE"/>
    <w:rsid w:val="00374184"/>
    <w:rsid w:val="00377406"/>
    <w:rsid w:val="00383829"/>
    <w:rsid w:val="00383CBC"/>
    <w:rsid w:val="00383D64"/>
    <w:rsid w:val="00387E1E"/>
    <w:rsid w:val="00390FCA"/>
    <w:rsid w:val="003928DB"/>
    <w:rsid w:val="003960F8"/>
    <w:rsid w:val="00396A44"/>
    <w:rsid w:val="003A1E90"/>
    <w:rsid w:val="003A314D"/>
    <w:rsid w:val="003A4F96"/>
    <w:rsid w:val="003A6722"/>
    <w:rsid w:val="003B0CB7"/>
    <w:rsid w:val="003B359D"/>
    <w:rsid w:val="003C2AF5"/>
    <w:rsid w:val="003C2FC3"/>
    <w:rsid w:val="003C6081"/>
    <w:rsid w:val="003C69B2"/>
    <w:rsid w:val="003C7420"/>
    <w:rsid w:val="003D0722"/>
    <w:rsid w:val="003D16B3"/>
    <w:rsid w:val="003D2479"/>
    <w:rsid w:val="003D63F8"/>
    <w:rsid w:val="003E07BF"/>
    <w:rsid w:val="003E2F03"/>
    <w:rsid w:val="003E58CB"/>
    <w:rsid w:val="003E793A"/>
    <w:rsid w:val="003F5436"/>
    <w:rsid w:val="0040362C"/>
    <w:rsid w:val="0041064A"/>
    <w:rsid w:val="00421490"/>
    <w:rsid w:val="0042157F"/>
    <w:rsid w:val="00433CDB"/>
    <w:rsid w:val="0044346C"/>
    <w:rsid w:val="00445438"/>
    <w:rsid w:val="004462F8"/>
    <w:rsid w:val="00451456"/>
    <w:rsid w:val="00465672"/>
    <w:rsid w:val="0046642B"/>
    <w:rsid w:val="00472E1D"/>
    <w:rsid w:val="00473164"/>
    <w:rsid w:val="00483944"/>
    <w:rsid w:val="0048475C"/>
    <w:rsid w:val="0048766C"/>
    <w:rsid w:val="00493274"/>
    <w:rsid w:val="004952EE"/>
    <w:rsid w:val="00497555"/>
    <w:rsid w:val="004A0D64"/>
    <w:rsid w:val="004A23CE"/>
    <w:rsid w:val="004B0241"/>
    <w:rsid w:val="004B3C8E"/>
    <w:rsid w:val="004C163F"/>
    <w:rsid w:val="004C339D"/>
    <w:rsid w:val="004C6514"/>
    <w:rsid w:val="004C7234"/>
    <w:rsid w:val="004D105F"/>
    <w:rsid w:val="004D500F"/>
    <w:rsid w:val="004E0853"/>
    <w:rsid w:val="004E3B36"/>
    <w:rsid w:val="004E74A4"/>
    <w:rsid w:val="004E7DA2"/>
    <w:rsid w:val="004F6620"/>
    <w:rsid w:val="005060DB"/>
    <w:rsid w:val="005125AE"/>
    <w:rsid w:val="00521688"/>
    <w:rsid w:val="005269AE"/>
    <w:rsid w:val="00534FE1"/>
    <w:rsid w:val="005435BD"/>
    <w:rsid w:val="0054618B"/>
    <w:rsid w:val="005527F7"/>
    <w:rsid w:val="00573924"/>
    <w:rsid w:val="00573F2B"/>
    <w:rsid w:val="0057752C"/>
    <w:rsid w:val="005849F2"/>
    <w:rsid w:val="00585753"/>
    <w:rsid w:val="0058692F"/>
    <w:rsid w:val="0059192B"/>
    <w:rsid w:val="00591A53"/>
    <w:rsid w:val="0059366F"/>
    <w:rsid w:val="00593D90"/>
    <w:rsid w:val="0059403D"/>
    <w:rsid w:val="00595C33"/>
    <w:rsid w:val="00596282"/>
    <w:rsid w:val="005A07C2"/>
    <w:rsid w:val="005A711A"/>
    <w:rsid w:val="005A7371"/>
    <w:rsid w:val="005B5E2E"/>
    <w:rsid w:val="005C13B6"/>
    <w:rsid w:val="005C1FE6"/>
    <w:rsid w:val="005C434E"/>
    <w:rsid w:val="005D0109"/>
    <w:rsid w:val="005E5465"/>
    <w:rsid w:val="005E7E88"/>
    <w:rsid w:val="005F1F2D"/>
    <w:rsid w:val="00601A10"/>
    <w:rsid w:val="00602FF6"/>
    <w:rsid w:val="00605DDF"/>
    <w:rsid w:val="006060D5"/>
    <w:rsid w:val="00611871"/>
    <w:rsid w:val="00615DE8"/>
    <w:rsid w:val="0062455F"/>
    <w:rsid w:val="00624651"/>
    <w:rsid w:val="00627827"/>
    <w:rsid w:val="0063265E"/>
    <w:rsid w:val="00632B06"/>
    <w:rsid w:val="00643D48"/>
    <w:rsid w:val="0064491C"/>
    <w:rsid w:val="00645BAA"/>
    <w:rsid w:val="006468F9"/>
    <w:rsid w:val="00646A55"/>
    <w:rsid w:val="006518D1"/>
    <w:rsid w:val="00651E6B"/>
    <w:rsid w:val="00660D94"/>
    <w:rsid w:val="00661F31"/>
    <w:rsid w:val="00663A2B"/>
    <w:rsid w:val="006821BD"/>
    <w:rsid w:val="00682EEF"/>
    <w:rsid w:val="006877BF"/>
    <w:rsid w:val="00696671"/>
    <w:rsid w:val="006A2CB8"/>
    <w:rsid w:val="006A3F9A"/>
    <w:rsid w:val="006A40BB"/>
    <w:rsid w:val="006A741C"/>
    <w:rsid w:val="006B26D0"/>
    <w:rsid w:val="006C04C9"/>
    <w:rsid w:val="006C2C56"/>
    <w:rsid w:val="006C4936"/>
    <w:rsid w:val="006C5991"/>
    <w:rsid w:val="006C78F2"/>
    <w:rsid w:val="006D3EE6"/>
    <w:rsid w:val="006D57C4"/>
    <w:rsid w:val="006D6DA0"/>
    <w:rsid w:val="006E503C"/>
    <w:rsid w:val="006F3B2C"/>
    <w:rsid w:val="006F6621"/>
    <w:rsid w:val="007044C4"/>
    <w:rsid w:val="007070DD"/>
    <w:rsid w:val="00710080"/>
    <w:rsid w:val="00712B9D"/>
    <w:rsid w:val="0071391C"/>
    <w:rsid w:val="0071668A"/>
    <w:rsid w:val="007170CC"/>
    <w:rsid w:val="00717CEA"/>
    <w:rsid w:val="00722D78"/>
    <w:rsid w:val="007263E5"/>
    <w:rsid w:val="00727193"/>
    <w:rsid w:val="007345F4"/>
    <w:rsid w:val="00750B3C"/>
    <w:rsid w:val="00756398"/>
    <w:rsid w:val="0076357E"/>
    <w:rsid w:val="00767025"/>
    <w:rsid w:val="00773BD3"/>
    <w:rsid w:val="00775B2E"/>
    <w:rsid w:val="0078222E"/>
    <w:rsid w:val="007914A1"/>
    <w:rsid w:val="007932DD"/>
    <w:rsid w:val="007B78D6"/>
    <w:rsid w:val="007C0F31"/>
    <w:rsid w:val="007C25C1"/>
    <w:rsid w:val="007C5C13"/>
    <w:rsid w:val="007D432E"/>
    <w:rsid w:val="007E3626"/>
    <w:rsid w:val="007E36C5"/>
    <w:rsid w:val="007F6F70"/>
    <w:rsid w:val="00805ADE"/>
    <w:rsid w:val="00811F2A"/>
    <w:rsid w:val="00817F5A"/>
    <w:rsid w:val="008217CF"/>
    <w:rsid w:val="008256FC"/>
    <w:rsid w:val="008310B7"/>
    <w:rsid w:val="00832458"/>
    <w:rsid w:val="00836B9F"/>
    <w:rsid w:val="00840F50"/>
    <w:rsid w:val="00841CE8"/>
    <w:rsid w:val="008420E2"/>
    <w:rsid w:val="008423E9"/>
    <w:rsid w:val="00843E3C"/>
    <w:rsid w:val="0085005F"/>
    <w:rsid w:val="0085471A"/>
    <w:rsid w:val="008565F2"/>
    <w:rsid w:val="008579DA"/>
    <w:rsid w:val="00863FFD"/>
    <w:rsid w:val="008661BF"/>
    <w:rsid w:val="00867B2F"/>
    <w:rsid w:val="00881D27"/>
    <w:rsid w:val="008842D8"/>
    <w:rsid w:val="00884F6A"/>
    <w:rsid w:val="0088650F"/>
    <w:rsid w:val="008868A3"/>
    <w:rsid w:val="008907EC"/>
    <w:rsid w:val="00892A44"/>
    <w:rsid w:val="008958A5"/>
    <w:rsid w:val="00896D55"/>
    <w:rsid w:val="008A0749"/>
    <w:rsid w:val="008A3734"/>
    <w:rsid w:val="008A4618"/>
    <w:rsid w:val="008B0AFA"/>
    <w:rsid w:val="008B40D3"/>
    <w:rsid w:val="008C03F0"/>
    <w:rsid w:val="008D16B9"/>
    <w:rsid w:val="008D27F5"/>
    <w:rsid w:val="008D688C"/>
    <w:rsid w:val="008E380A"/>
    <w:rsid w:val="008E3DD7"/>
    <w:rsid w:val="008F08B7"/>
    <w:rsid w:val="008F5669"/>
    <w:rsid w:val="00901158"/>
    <w:rsid w:val="009027AC"/>
    <w:rsid w:val="009030E0"/>
    <w:rsid w:val="009123C2"/>
    <w:rsid w:val="0091646B"/>
    <w:rsid w:val="00925064"/>
    <w:rsid w:val="00934E10"/>
    <w:rsid w:val="00942E95"/>
    <w:rsid w:val="0094689E"/>
    <w:rsid w:val="0096295B"/>
    <w:rsid w:val="00965DE9"/>
    <w:rsid w:val="00972A9C"/>
    <w:rsid w:val="00986495"/>
    <w:rsid w:val="009873B7"/>
    <w:rsid w:val="00992ABB"/>
    <w:rsid w:val="009947D8"/>
    <w:rsid w:val="009962E7"/>
    <w:rsid w:val="00996465"/>
    <w:rsid w:val="00996851"/>
    <w:rsid w:val="009A1A60"/>
    <w:rsid w:val="009A5541"/>
    <w:rsid w:val="009A7144"/>
    <w:rsid w:val="009B31FC"/>
    <w:rsid w:val="009C0051"/>
    <w:rsid w:val="009C44F5"/>
    <w:rsid w:val="009C5B27"/>
    <w:rsid w:val="009C5E12"/>
    <w:rsid w:val="009D4110"/>
    <w:rsid w:val="009D6976"/>
    <w:rsid w:val="009D6CD9"/>
    <w:rsid w:val="009E4F04"/>
    <w:rsid w:val="009E5AF2"/>
    <w:rsid w:val="009F7A07"/>
    <w:rsid w:val="00A04E45"/>
    <w:rsid w:val="00A14B51"/>
    <w:rsid w:val="00A14DE8"/>
    <w:rsid w:val="00A21B9B"/>
    <w:rsid w:val="00A41C1F"/>
    <w:rsid w:val="00A41EE6"/>
    <w:rsid w:val="00A440AF"/>
    <w:rsid w:val="00A446B9"/>
    <w:rsid w:val="00A447D3"/>
    <w:rsid w:val="00A45869"/>
    <w:rsid w:val="00A46BCD"/>
    <w:rsid w:val="00A46E4C"/>
    <w:rsid w:val="00A47C1C"/>
    <w:rsid w:val="00A50673"/>
    <w:rsid w:val="00A51BBE"/>
    <w:rsid w:val="00A612F6"/>
    <w:rsid w:val="00A64903"/>
    <w:rsid w:val="00A66768"/>
    <w:rsid w:val="00A7027C"/>
    <w:rsid w:val="00A74EF5"/>
    <w:rsid w:val="00A777E0"/>
    <w:rsid w:val="00A81472"/>
    <w:rsid w:val="00A857DA"/>
    <w:rsid w:val="00AA0CAE"/>
    <w:rsid w:val="00AA174D"/>
    <w:rsid w:val="00AA1C00"/>
    <w:rsid w:val="00AA2372"/>
    <w:rsid w:val="00AA5E17"/>
    <w:rsid w:val="00AB65FC"/>
    <w:rsid w:val="00AB7D22"/>
    <w:rsid w:val="00AC37AA"/>
    <w:rsid w:val="00AD4062"/>
    <w:rsid w:val="00AD4CF1"/>
    <w:rsid w:val="00AD7983"/>
    <w:rsid w:val="00AE13CB"/>
    <w:rsid w:val="00AE20C9"/>
    <w:rsid w:val="00AE2443"/>
    <w:rsid w:val="00AE4B00"/>
    <w:rsid w:val="00AF2ECB"/>
    <w:rsid w:val="00AF53B2"/>
    <w:rsid w:val="00AF70C7"/>
    <w:rsid w:val="00AF7286"/>
    <w:rsid w:val="00AF761E"/>
    <w:rsid w:val="00B06D1B"/>
    <w:rsid w:val="00B151A9"/>
    <w:rsid w:val="00B15B40"/>
    <w:rsid w:val="00B23826"/>
    <w:rsid w:val="00B243F8"/>
    <w:rsid w:val="00B26C99"/>
    <w:rsid w:val="00B27F76"/>
    <w:rsid w:val="00B33BB2"/>
    <w:rsid w:val="00B4004C"/>
    <w:rsid w:val="00B4033E"/>
    <w:rsid w:val="00B420DC"/>
    <w:rsid w:val="00B42C1A"/>
    <w:rsid w:val="00B436C4"/>
    <w:rsid w:val="00B63991"/>
    <w:rsid w:val="00B65476"/>
    <w:rsid w:val="00B763DA"/>
    <w:rsid w:val="00B817C3"/>
    <w:rsid w:val="00B84A4E"/>
    <w:rsid w:val="00B84A6E"/>
    <w:rsid w:val="00B85ECA"/>
    <w:rsid w:val="00B905DB"/>
    <w:rsid w:val="00B97095"/>
    <w:rsid w:val="00BA0B5D"/>
    <w:rsid w:val="00BA2AB4"/>
    <w:rsid w:val="00BA412D"/>
    <w:rsid w:val="00BA518E"/>
    <w:rsid w:val="00BA7CA4"/>
    <w:rsid w:val="00BB32EE"/>
    <w:rsid w:val="00BB4179"/>
    <w:rsid w:val="00BB7377"/>
    <w:rsid w:val="00BB7B4A"/>
    <w:rsid w:val="00BC4A5F"/>
    <w:rsid w:val="00BC4C69"/>
    <w:rsid w:val="00BC56EE"/>
    <w:rsid w:val="00BD05AD"/>
    <w:rsid w:val="00BD6A3E"/>
    <w:rsid w:val="00BD6BDC"/>
    <w:rsid w:val="00BD710F"/>
    <w:rsid w:val="00BD78E9"/>
    <w:rsid w:val="00BE0546"/>
    <w:rsid w:val="00BE16B6"/>
    <w:rsid w:val="00BE3915"/>
    <w:rsid w:val="00BE652A"/>
    <w:rsid w:val="00BF5670"/>
    <w:rsid w:val="00C00DE4"/>
    <w:rsid w:val="00C065CE"/>
    <w:rsid w:val="00C06BF6"/>
    <w:rsid w:val="00C07B14"/>
    <w:rsid w:val="00C15CBA"/>
    <w:rsid w:val="00C20907"/>
    <w:rsid w:val="00C219B9"/>
    <w:rsid w:val="00C40514"/>
    <w:rsid w:val="00C4360D"/>
    <w:rsid w:val="00C462A8"/>
    <w:rsid w:val="00C50C27"/>
    <w:rsid w:val="00C550F5"/>
    <w:rsid w:val="00C553C0"/>
    <w:rsid w:val="00C564B1"/>
    <w:rsid w:val="00C56785"/>
    <w:rsid w:val="00C64707"/>
    <w:rsid w:val="00C6713A"/>
    <w:rsid w:val="00C713C4"/>
    <w:rsid w:val="00C83E66"/>
    <w:rsid w:val="00C8457C"/>
    <w:rsid w:val="00C93955"/>
    <w:rsid w:val="00CA16BB"/>
    <w:rsid w:val="00CB0E8C"/>
    <w:rsid w:val="00CB1E3A"/>
    <w:rsid w:val="00CB7810"/>
    <w:rsid w:val="00CC49B0"/>
    <w:rsid w:val="00CC647C"/>
    <w:rsid w:val="00CD58B0"/>
    <w:rsid w:val="00CD6000"/>
    <w:rsid w:val="00CD6B9C"/>
    <w:rsid w:val="00CD7687"/>
    <w:rsid w:val="00CD7D7B"/>
    <w:rsid w:val="00CE3083"/>
    <w:rsid w:val="00CE66E0"/>
    <w:rsid w:val="00CE7FB8"/>
    <w:rsid w:val="00D01598"/>
    <w:rsid w:val="00D01BC4"/>
    <w:rsid w:val="00D02448"/>
    <w:rsid w:val="00D05380"/>
    <w:rsid w:val="00D05637"/>
    <w:rsid w:val="00D128EE"/>
    <w:rsid w:val="00D1456A"/>
    <w:rsid w:val="00D146E4"/>
    <w:rsid w:val="00D16024"/>
    <w:rsid w:val="00D20461"/>
    <w:rsid w:val="00D20C94"/>
    <w:rsid w:val="00D23D16"/>
    <w:rsid w:val="00D2422B"/>
    <w:rsid w:val="00D26579"/>
    <w:rsid w:val="00D32EC8"/>
    <w:rsid w:val="00D35817"/>
    <w:rsid w:val="00D3735C"/>
    <w:rsid w:val="00D43894"/>
    <w:rsid w:val="00D4605F"/>
    <w:rsid w:val="00D54FBE"/>
    <w:rsid w:val="00D57258"/>
    <w:rsid w:val="00D6254C"/>
    <w:rsid w:val="00D63427"/>
    <w:rsid w:val="00D859C7"/>
    <w:rsid w:val="00D86659"/>
    <w:rsid w:val="00D95ABE"/>
    <w:rsid w:val="00D95E14"/>
    <w:rsid w:val="00D97B85"/>
    <w:rsid w:val="00DA265D"/>
    <w:rsid w:val="00DA36D5"/>
    <w:rsid w:val="00DA672A"/>
    <w:rsid w:val="00DB1AEA"/>
    <w:rsid w:val="00DB41C2"/>
    <w:rsid w:val="00DB7EA1"/>
    <w:rsid w:val="00DC33C7"/>
    <w:rsid w:val="00DC6EE9"/>
    <w:rsid w:val="00DD2886"/>
    <w:rsid w:val="00DD4961"/>
    <w:rsid w:val="00DD5F56"/>
    <w:rsid w:val="00DE0137"/>
    <w:rsid w:val="00DE013F"/>
    <w:rsid w:val="00DE0316"/>
    <w:rsid w:val="00DE106B"/>
    <w:rsid w:val="00DE3C91"/>
    <w:rsid w:val="00DE5CBC"/>
    <w:rsid w:val="00DE7FF3"/>
    <w:rsid w:val="00DF0F84"/>
    <w:rsid w:val="00E15940"/>
    <w:rsid w:val="00E1782E"/>
    <w:rsid w:val="00E20B67"/>
    <w:rsid w:val="00E21603"/>
    <w:rsid w:val="00E218FC"/>
    <w:rsid w:val="00E22A14"/>
    <w:rsid w:val="00E22ABA"/>
    <w:rsid w:val="00E24306"/>
    <w:rsid w:val="00E335A9"/>
    <w:rsid w:val="00E467F7"/>
    <w:rsid w:val="00E50351"/>
    <w:rsid w:val="00E5680A"/>
    <w:rsid w:val="00E57AC7"/>
    <w:rsid w:val="00E606BE"/>
    <w:rsid w:val="00E6692E"/>
    <w:rsid w:val="00E77BB4"/>
    <w:rsid w:val="00E77E69"/>
    <w:rsid w:val="00E8506F"/>
    <w:rsid w:val="00E85E68"/>
    <w:rsid w:val="00E86937"/>
    <w:rsid w:val="00EA1444"/>
    <w:rsid w:val="00EA24AA"/>
    <w:rsid w:val="00EA276E"/>
    <w:rsid w:val="00EA4448"/>
    <w:rsid w:val="00EB048D"/>
    <w:rsid w:val="00EC3457"/>
    <w:rsid w:val="00ED2E2B"/>
    <w:rsid w:val="00EE186D"/>
    <w:rsid w:val="00EE78F4"/>
    <w:rsid w:val="00EF1C44"/>
    <w:rsid w:val="00EF2A65"/>
    <w:rsid w:val="00EF4549"/>
    <w:rsid w:val="00EF5FD2"/>
    <w:rsid w:val="00EF7AB8"/>
    <w:rsid w:val="00F00B33"/>
    <w:rsid w:val="00F01134"/>
    <w:rsid w:val="00F05BE5"/>
    <w:rsid w:val="00F156D4"/>
    <w:rsid w:val="00F20407"/>
    <w:rsid w:val="00F20EAA"/>
    <w:rsid w:val="00F25EE2"/>
    <w:rsid w:val="00F27322"/>
    <w:rsid w:val="00F420E5"/>
    <w:rsid w:val="00F51A1A"/>
    <w:rsid w:val="00F54842"/>
    <w:rsid w:val="00F55CF8"/>
    <w:rsid w:val="00F57E5F"/>
    <w:rsid w:val="00F6360A"/>
    <w:rsid w:val="00F6420B"/>
    <w:rsid w:val="00F655B3"/>
    <w:rsid w:val="00F65A65"/>
    <w:rsid w:val="00F661DD"/>
    <w:rsid w:val="00F663F6"/>
    <w:rsid w:val="00F73751"/>
    <w:rsid w:val="00F824B4"/>
    <w:rsid w:val="00F82931"/>
    <w:rsid w:val="00F92272"/>
    <w:rsid w:val="00F92E82"/>
    <w:rsid w:val="00F94318"/>
    <w:rsid w:val="00F946EF"/>
    <w:rsid w:val="00F96E75"/>
    <w:rsid w:val="00FA2621"/>
    <w:rsid w:val="00FA26FB"/>
    <w:rsid w:val="00FA3298"/>
    <w:rsid w:val="00FA404C"/>
    <w:rsid w:val="00FA7DA8"/>
    <w:rsid w:val="00FB495D"/>
    <w:rsid w:val="00FB5ED4"/>
    <w:rsid w:val="00FC65E8"/>
    <w:rsid w:val="00FD0353"/>
    <w:rsid w:val="00FD2AA6"/>
    <w:rsid w:val="00FD41FE"/>
    <w:rsid w:val="00FD56EA"/>
    <w:rsid w:val="00FE0DDC"/>
    <w:rsid w:val="00FE7DDC"/>
    <w:rsid w:val="00FF10CC"/>
    <w:rsid w:val="00FF44F3"/>
    <w:rsid w:val="00FF6C01"/>
    <w:rsid w:val="00FF74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47638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05F"/>
    <w:pPr>
      <w:spacing w:after="160" w:line="259" w:lineRule="auto"/>
    </w:pPr>
    <w:rPr>
      <w:sz w:val="22"/>
      <w:szCs w:val="22"/>
    </w:rPr>
  </w:style>
  <w:style w:type="paragraph" w:styleId="1">
    <w:name w:val="heading 1"/>
    <w:basedOn w:val="a"/>
    <w:link w:val="1Char"/>
    <w:uiPriority w:val="9"/>
    <w:qFormat/>
    <w:rsid w:val="009873B7"/>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5E17"/>
    <w:pPr>
      <w:tabs>
        <w:tab w:val="center" w:pos="4680"/>
        <w:tab w:val="right" w:pos="9360"/>
      </w:tabs>
      <w:spacing w:after="0" w:line="240" w:lineRule="auto"/>
    </w:pPr>
  </w:style>
  <w:style w:type="character" w:customStyle="1" w:styleId="Char">
    <w:name w:val="页眉 Char"/>
    <w:basedOn w:val="a0"/>
    <w:link w:val="a3"/>
    <w:uiPriority w:val="99"/>
    <w:rsid w:val="00AA5E17"/>
    <w:rPr>
      <w:sz w:val="22"/>
      <w:szCs w:val="22"/>
    </w:rPr>
  </w:style>
  <w:style w:type="paragraph" w:styleId="a4">
    <w:name w:val="footer"/>
    <w:basedOn w:val="a"/>
    <w:link w:val="Char0"/>
    <w:uiPriority w:val="99"/>
    <w:unhideWhenUsed/>
    <w:rsid w:val="00AA5E17"/>
    <w:pPr>
      <w:tabs>
        <w:tab w:val="center" w:pos="4680"/>
        <w:tab w:val="right" w:pos="9360"/>
      </w:tabs>
      <w:spacing w:after="0" w:line="240" w:lineRule="auto"/>
    </w:pPr>
  </w:style>
  <w:style w:type="character" w:customStyle="1" w:styleId="Char0">
    <w:name w:val="页脚 Char"/>
    <w:basedOn w:val="a0"/>
    <w:link w:val="a4"/>
    <w:uiPriority w:val="99"/>
    <w:rsid w:val="00AA5E17"/>
    <w:rPr>
      <w:sz w:val="22"/>
      <w:szCs w:val="22"/>
    </w:rPr>
  </w:style>
  <w:style w:type="character" w:styleId="a5">
    <w:name w:val="annotation reference"/>
    <w:basedOn w:val="a0"/>
    <w:unhideWhenUsed/>
    <w:rsid w:val="00F01134"/>
    <w:rPr>
      <w:sz w:val="16"/>
      <w:szCs w:val="16"/>
    </w:rPr>
  </w:style>
  <w:style w:type="paragraph" w:styleId="a6">
    <w:name w:val="annotation text"/>
    <w:basedOn w:val="a"/>
    <w:link w:val="Char1"/>
    <w:unhideWhenUsed/>
    <w:qFormat/>
    <w:rsid w:val="00F01134"/>
    <w:pPr>
      <w:spacing w:line="240" w:lineRule="auto"/>
    </w:pPr>
    <w:rPr>
      <w:sz w:val="20"/>
      <w:szCs w:val="20"/>
    </w:rPr>
  </w:style>
  <w:style w:type="character" w:customStyle="1" w:styleId="Char1">
    <w:name w:val="批注文字 Char1"/>
    <w:basedOn w:val="a0"/>
    <w:link w:val="a6"/>
    <w:uiPriority w:val="99"/>
    <w:semiHidden/>
    <w:rsid w:val="00F01134"/>
    <w:rPr>
      <w:sz w:val="20"/>
      <w:szCs w:val="20"/>
    </w:rPr>
  </w:style>
  <w:style w:type="paragraph" w:styleId="a7">
    <w:name w:val="annotation subject"/>
    <w:basedOn w:val="a6"/>
    <w:next w:val="a6"/>
    <w:link w:val="Char2"/>
    <w:uiPriority w:val="99"/>
    <w:semiHidden/>
    <w:unhideWhenUsed/>
    <w:rsid w:val="00F01134"/>
    <w:rPr>
      <w:b/>
      <w:bCs/>
    </w:rPr>
  </w:style>
  <w:style w:type="character" w:customStyle="1" w:styleId="Char2">
    <w:name w:val="批注主题 Char"/>
    <w:basedOn w:val="Char1"/>
    <w:link w:val="a7"/>
    <w:uiPriority w:val="99"/>
    <w:semiHidden/>
    <w:rsid w:val="00F01134"/>
    <w:rPr>
      <w:b/>
      <w:bCs/>
      <w:sz w:val="20"/>
      <w:szCs w:val="20"/>
    </w:rPr>
  </w:style>
  <w:style w:type="paragraph" w:styleId="a8">
    <w:name w:val="Balloon Text"/>
    <w:basedOn w:val="a"/>
    <w:link w:val="Char3"/>
    <w:uiPriority w:val="99"/>
    <w:semiHidden/>
    <w:unhideWhenUsed/>
    <w:rsid w:val="00F01134"/>
    <w:pPr>
      <w:spacing w:after="0" w:line="240" w:lineRule="auto"/>
    </w:pPr>
    <w:rPr>
      <w:rFonts w:ascii="Segoe UI" w:hAnsi="Segoe UI" w:cs="Segoe UI"/>
      <w:sz w:val="18"/>
      <w:szCs w:val="18"/>
    </w:rPr>
  </w:style>
  <w:style w:type="character" w:customStyle="1" w:styleId="Char3">
    <w:name w:val="批注框文本 Char"/>
    <w:basedOn w:val="a0"/>
    <w:link w:val="a8"/>
    <w:uiPriority w:val="99"/>
    <w:semiHidden/>
    <w:rsid w:val="00F01134"/>
    <w:rPr>
      <w:rFonts w:ascii="Segoe UI" w:hAnsi="Segoe UI" w:cs="Segoe UI"/>
      <w:sz w:val="18"/>
      <w:szCs w:val="18"/>
    </w:rPr>
  </w:style>
  <w:style w:type="character" w:styleId="a9">
    <w:name w:val="Hyperlink"/>
    <w:basedOn w:val="a0"/>
    <w:uiPriority w:val="99"/>
    <w:unhideWhenUsed/>
    <w:rsid w:val="00DE3C91"/>
    <w:rPr>
      <w:color w:val="0563C1" w:themeColor="hyperlink"/>
      <w:u w:val="single"/>
    </w:rPr>
  </w:style>
  <w:style w:type="character" w:customStyle="1" w:styleId="1Char">
    <w:name w:val="标题 1 Char"/>
    <w:basedOn w:val="a0"/>
    <w:link w:val="1"/>
    <w:uiPriority w:val="9"/>
    <w:rsid w:val="009873B7"/>
    <w:rPr>
      <w:rFonts w:ascii="Times New Roman" w:hAnsi="Times New Roman" w:cs="Times New Roman"/>
      <w:b/>
      <w:bCs/>
      <w:kern w:val="36"/>
      <w:sz w:val="48"/>
      <w:szCs w:val="48"/>
    </w:rPr>
  </w:style>
  <w:style w:type="character" w:customStyle="1" w:styleId="cit">
    <w:name w:val="cit"/>
    <w:basedOn w:val="a0"/>
    <w:rsid w:val="009873B7"/>
  </w:style>
  <w:style w:type="character" w:customStyle="1" w:styleId="apple-converted-space">
    <w:name w:val="apple-converted-space"/>
    <w:basedOn w:val="a0"/>
    <w:rsid w:val="009873B7"/>
  </w:style>
  <w:style w:type="character" w:customStyle="1" w:styleId="fm-vol-iss-date">
    <w:name w:val="fm-vol-iss-date"/>
    <w:basedOn w:val="a0"/>
    <w:rsid w:val="009873B7"/>
  </w:style>
  <w:style w:type="character" w:customStyle="1" w:styleId="doi">
    <w:name w:val="doi"/>
    <w:basedOn w:val="a0"/>
    <w:rsid w:val="009873B7"/>
  </w:style>
  <w:style w:type="character" w:customStyle="1" w:styleId="fm-citation-ids-label">
    <w:name w:val="fm-citation-ids-label"/>
    <w:basedOn w:val="a0"/>
    <w:rsid w:val="009873B7"/>
  </w:style>
  <w:style w:type="character" w:styleId="aa">
    <w:name w:val="FollowedHyperlink"/>
    <w:basedOn w:val="a0"/>
    <w:uiPriority w:val="99"/>
    <w:semiHidden/>
    <w:unhideWhenUsed/>
    <w:rsid w:val="0071391C"/>
    <w:rPr>
      <w:color w:val="954F72" w:themeColor="followedHyperlink"/>
      <w:u w:val="single"/>
    </w:rPr>
  </w:style>
  <w:style w:type="character" w:customStyle="1" w:styleId="UnresolvedMention1">
    <w:name w:val="Unresolved Mention1"/>
    <w:basedOn w:val="a0"/>
    <w:uiPriority w:val="99"/>
    <w:semiHidden/>
    <w:unhideWhenUsed/>
    <w:rsid w:val="0071391C"/>
    <w:rPr>
      <w:color w:val="808080"/>
      <w:shd w:val="clear" w:color="auto" w:fill="E6E6E6"/>
    </w:rPr>
  </w:style>
  <w:style w:type="paragraph" w:styleId="ab">
    <w:name w:val="Revision"/>
    <w:hidden/>
    <w:uiPriority w:val="99"/>
    <w:semiHidden/>
    <w:rsid w:val="00996465"/>
    <w:rPr>
      <w:sz w:val="22"/>
      <w:szCs w:val="22"/>
    </w:rPr>
  </w:style>
  <w:style w:type="paragraph" w:styleId="ac">
    <w:name w:val="footnote text"/>
    <w:basedOn w:val="a"/>
    <w:link w:val="Char4"/>
    <w:uiPriority w:val="99"/>
    <w:semiHidden/>
    <w:unhideWhenUsed/>
    <w:rsid w:val="00AE2443"/>
    <w:pPr>
      <w:spacing w:after="0" w:line="240" w:lineRule="auto"/>
    </w:pPr>
    <w:rPr>
      <w:sz w:val="20"/>
      <w:szCs w:val="20"/>
    </w:rPr>
  </w:style>
  <w:style w:type="character" w:customStyle="1" w:styleId="Char4">
    <w:name w:val="脚注文本 Char"/>
    <w:basedOn w:val="a0"/>
    <w:link w:val="ac"/>
    <w:uiPriority w:val="99"/>
    <w:semiHidden/>
    <w:rsid w:val="00AE2443"/>
    <w:rPr>
      <w:sz w:val="20"/>
      <w:szCs w:val="20"/>
    </w:rPr>
  </w:style>
  <w:style w:type="character" w:styleId="ad">
    <w:name w:val="footnote reference"/>
    <w:basedOn w:val="a0"/>
    <w:uiPriority w:val="99"/>
    <w:semiHidden/>
    <w:unhideWhenUsed/>
    <w:rsid w:val="00AE2443"/>
    <w:rPr>
      <w:vertAlign w:val="superscript"/>
    </w:rPr>
  </w:style>
  <w:style w:type="character" w:customStyle="1" w:styleId="UnresolvedMention">
    <w:name w:val="Unresolved Mention"/>
    <w:basedOn w:val="a0"/>
    <w:uiPriority w:val="99"/>
    <w:semiHidden/>
    <w:unhideWhenUsed/>
    <w:rsid w:val="00805ADE"/>
    <w:rPr>
      <w:color w:val="605E5C"/>
      <w:shd w:val="clear" w:color="auto" w:fill="E1DFDD"/>
    </w:rPr>
  </w:style>
  <w:style w:type="character" w:customStyle="1" w:styleId="Char5">
    <w:name w:val="批注文字 Char"/>
    <w:locked/>
    <w:rsid w:val="00E86937"/>
    <w:rPr>
      <w:rFonts w:eastAsia="宋体"/>
      <w:sz w:val="24"/>
      <w:szCs w:val="24"/>
      <w:lang w:val="en-US" w:eastAsia="en-US" w:bidi="ar-SA"/>
    </w:rPr>
  </w:style>
  <w:style w:type="paragraph" w:styleId="ae">
    <w:name w:val="Normal (Web)"/>
    <w:basedOn w:val="a"/>
    <w:uiPriority w:val="99"/>
    <w:unhideWhenUsed/>
    <w:rsid w:val="00E8693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af">
    <w:name w:val="Strong"/>
    <w:uiPriority w:val="22"/>
    <w:qFormat/>
    <w:rsid w:val="00E86937"/>
    <w:rPr>
      <w:b/>
      <w:bCs/>
    </w:rPr>
  </w:style>
  <w:style w:type="character" w:customStyle="1" w:styleId="labellist1">
    <w:name w:val="label_list1"/>
    <w:rsid w:val="00E86937"/>
  </w:style>
  <w:style w:type="paragraph" w:styleId="af0">
    <w:name w:val="List Paragraph"/>
    <w:basedOn w:val="a"/>
    <w:uiPriority w:val="34"/>
    <w:qFormat/>
    <w:rsid w:val="005C13B6"/>
    <w:pPr>
      <w:ind w:left="720"/>
      <w:contextualSpacing/>
    </w:pPr>
  </w:style>
  <w:style w:type="table" w:styleId="af1">
    <w:name w:val="Table Grid"/>
    <w:basedOn w:val="a1"/>
    <w:uiPriority w:val="39"/>
    <w:rsid w:val="00443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semiHidden/>
    <w:unhideWhenUsed/>
    <w:rsid w:val="00925064"/>
    <w:pPr>
      <w:spacing w:after="0" w:line="240" w:lineRule="auto"/>
    </w:pPr>
    <w:rPr>
      <w:rFonts w:ascii="Consolas" w:hAnsi="Consolas" w:cs="Consolas"/>
      <w:sz w:val="20"/>
      <w:szCs w:val="20"/>
    </w:rPr>
  </w:style>
  <w:style w:type="character" w:customStyle="1" w:styleId="HTMLChar">
    <w:name w:val="HTML 预设格式 Char"/>
    <w:basedOn w:val="a0"/>
    <w:link w:val="HTML"/>
    <w:uiPriority w:val="99"/>
    <w:semiHidden/>
    <w:rsid w:val="00925064"/>
    <w:rPr>
      <w:rFonts w:ascii="Consolas" w:hAnsi="Consolas" w:cs="Consolas"/>
      <w:sz w:val="20"/>
      <w:szCs w:val="20"/>
    </w:rPr>
  </w:style>
  <w:style w:type="character" w:styleId="af2">
    <w:name w:val="line number"/>
    <w:basedOn w:val="a0"/>
    <w:uiPriority w:val="99"/>
    <w:semiHidden/>
    <w:unhideWhenUsed/>
    <w:rsid w:val="00D63427"/>
  </w:style>
  <w:style w:type="character" w:styleId="af3">
    <w:name w:val="page number"/>
    <w:basedOn w:val="a0"/>
    <w:uiPriority w:val="99"/>
    <w:semiHidden/>
    <w:unhideWhenUsed/>
    <w:rsid w:val="00D634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05F"/>
    <w:pPr>
      <w:spacing w:after="160" w:line="259" w:lineRule="auto"/>
    </w:pPr>
    <w:rPr>
      <w:sz w:val="22"/>
      <w:szCs w:val="22"/>
    </w:rPr>
  </w:style>
  <w:style w:type="paragraph" w:styleId="1">
    <w:name w:val="heading 1"/>
    <w:basedOn w:val="a"/>
    <w:link w:val="1Char"/>
    <w:uiPriority w:val="9"/>
    <w:qFormat/>
    <w:rsid w:val="009873B7"/>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5E17"/>
    <w:pPr>
      <w:tabs>
        <w:tab w:val="center" w:pos="4680"/>
        <w:tab w:val="right" w:pos="9360"/>
      </w:tabs>
      <w:spacing w:after="0" w:line="240" w:lineRule="auto"/>
    </w:pPr>
  </w:style>
  <w:style w:type="character" w:customStyle="1" w:styleId="Char">
    <w:name w:val="页眉 Char"/>
    <w:basedOn w:val="a0"/>
    <w:link w:val="a3"/>
    <w:uiPriority w:val="99"/>
    <w:rsid w:val="00AA5E17"/>
    <w:rPr>
      <w:sz w:val="22"/>
      <w:szCs w:val="22"/>
    </w:rPr>
  </w:style>
  <w:style w:type="paragraph" w:styleId="a4">
    <w:name w:val="footer"/>
    <w:basedOn w:val="a"/>
    <w:link w:val="Char0"/>
    <w:uiPriority w:val="99"/>
    <w:unhideWhenUsed/>
    <w:rsid w:val="00AA5E17"/>
    <w:pPr>
      <w:tabs>
        <w:tab w:val="center" w:pos="4680"/>
        <w:tab w:val="right" w:pos="9360"/>
      </w:tabs>
      <w:spacing w:after="0" w:line="240" w:lineRule="auto"/>
    </w:pPr>
  </w:style>
  <w:style w:type="character" w:customStyle="1" w:styleId="Char0">
    <w:name w:val="页脚 Char"/>
    <w:basedOn w:val="a0"/>
    <w:link w:val="a4"/>
    <w:uiPriority w:val="99"/>
    <w:rsid w:val="00AA5E17"/>
    <w:rPr>
      <w:sz w:val="22"/>
      <w:szCs w:val="22"/>
    </w:rPr>
  </w:style>
  <w:style w:type="character" w:styleId="a5">
    <w:name w:val="annotation reference"/>
    <w:basedOn w:val="a0"/>
    <w:unhideWhenUsed/>
    <w:rsid w:val="00F01134"/>
    <w:rPr>
      <w:sz w:val="16"/>
      <w:szCs w:val="16"/>
    </w:rPr>
  </w:style>
  <w:style w:type="paragraph" w:styleId="a6">
    <w:name w:val="annotation text"/>
    <w:basedOn w:val="a"/>
    <w:link w:val="Char1"/>
    <w:unhideWhenUsed/>
    <w:qFormat/>
    <w:rsid w:val="00F01134"/>
    <w:pPr>
      <w:spacing w:line="240" w:lineRule="auto"/>
    </w:pPr>
    <w:rPr>
      <w:sz w:val="20"/>
      <w:szCs w:val="20"/>
    </w:rPr>
  </w:style>
  <w:style w:type="character" w:customStyle="1" w:styleId="Char1">
    <w:name w:val="批注文字 Char1"/>
    <w:basedOn w:val="a0"/>
    <w:link w:val="a6"/>
    <w:uiPriority w:val="99"/>
    <w:semiHidden/>
    <w:rsid w:val="00F01134"/>
    <w:rPr>
      <w:sz w:val="20"/>
      <w:szCs w:val="20"/>
    </w:rPr>
  </w:style>
  <w:style w:type="paragraph" w:styleId="a7">
    <w:name w:val="annotation subject"/>
    <w:basedOn w:val="a6"/>
    <w:next w:val="a6"/>
    <w:link w:val="Char2"/>
    <w:uiPriority w:val="99"/>
    <w:semiHidden/>
    <w:unhideWhenUsed/>
    <w:rsid w:val="00F01134"/>
    <w:rPr>
      <w:b/>
      <w:bCs/>
    </w:rPr>
  </w:style>
  <w:style w:type="character" w:customStyle="1" w:styleId="Char2">
    <w:name w:val="批注主题 Char"/>
    <w:basedOn w:val="Char1"/>
    <w:link w:val="a7"/>
    <w:uiPriority w:val="99"/>
    <w:semiHidden/>
    <w:rsid w:val="00F01134"/>
    <w:rPr>
      <w:b/>
      <w:bCs/>
      <w:sz w:val="20"/>
      <w:szCs w:val="20"/>
    </w:rPr>
  </w:style>
  <w:style w:type="paragraph" w:styleId="a8">
    <w:name w:val="Balloon Text"/>
    <w:basedOn w:val="a"/>
    <w:link w:val="Char3"/>
    <w:uiPriority w:val="99"/>
    <w:semiHidden/>
    <w:unhideWhenUsed/>
    <w:rsid w:val="00F01134"/>
    <w:pPr>
      <w:spacing w:after="0" w:line="240" w:lineRule="auto"/>
    </w:pPr>
    <w:rPr>
      <w:rFonts w:ascii="Segoe UI" w:hAnsi="Segoe UI" w:cs="Segoe UI"/>
      <w:sz w:val="18"/>
      <w:szCs w:val="18"/>
    </w:rPr>
  </w:style>
  <w:style w:type="character" w:customStyle="1" w:styleId="Char3">
    <w:name w:val="批注框文本 Char"/>
    <w:basedOn w:val="a0"/>
    <w:link w:val="a8"/>
    <w:uiPriority w:val="99"/>
    <w:semiHidden/>
    <w:rsid w:val="00F01134"/>
    <w:rPr>
      <w:rFonts w:ascii="Segoe UI" w:hAnsi="Segoe UI" w:cs="Segoe UI"/>
      <w:sz w:val="18"/>
      <w:szCs w:val="18"/>
    </w:rPr>
  </w:style>
  <w:style w:type="character" w:styleId="a9">
    <w:name w:val="Hyperlink"/>
    <w:basedOn w:val="a0"/>
    <w:uiPriority w:val="99"/>
    <w:unhideWhenUsed/>
    <w:rsid w:val="00DE3C91"/>
    <w:rPr>
      <w:color w:val="0563C1" w:themeColor="hyperlink"/>
      <w:u w:val="single"/>
    </w:rPr>
  </w:style>
  <w:style w:type="character" w:customStyle="1" w:styleId="1Char">
    <w:name w:val="标题 1 Char"/>
    <w:basedOn w:val="a0"/>
    <w:link w:val="1"/>
    <w:uiPriority w:val="9"/>
    <w:rsid w:val="009873B7"/>
    <w:rPr>
      <w:rFonts w:ascii="Times New Roman" w:hAnsi="Times New Roman" w:cs="Times New Roman"/>
      <w:b/>
      <w:bCs/>
      <w:kern w:val="36"/>
      <w:sz w:val="48"/>
      <w:szCs w:val="48"/>
    </w:rPr>
  </w:style>
  <w:style w:type="character" w:customStyle="1" w:styleId="cit">
    <w:name w:val="cit"/>
    <w:basedOn w:val="a0"/>
    <w:rsid w:val="009873B7"/>
  </w:style>
  <w:style w:type="character" w:customStyle="1" w:styleId="apple-converted-space">
    <w:name w:val="apple-converted-space"/>
    <w:basedOn w:val="a0"/>
    <w:rsid w:val="009873B7"/>
  </w:style>
  <w:style w:type="character" w:customStyle="1" w:styleId="fm-vol-iss-date">
    <w:name w:val="fm-vol-iss-date"/>
    <w:basedOn w:val="a0"/>
    <w:rsid w:val="009873B7"/>
  </w:style>
  <w:style w:type="character" w:customStyle="1" w:styleId="doi">
    <w:name w:val="doi"/>
    <w:basedOn w:val="a0"/>
    <w:rsid w:val="009873B7"/>
  </w:style>
  <w:style w:type="character" w:customStyle="1" w:styleId="fm-citation-ids-label">
    <w:name w:val="fm-citation-ids-label"/>
    <w:basedOn w:val="a0"/>
    <w:rsid w:val="009873B7"/>
  </w:style>
  <w:style w:type="character" w:styleId="aa">
    <w:name w:val="FollowedHyperlink"/>
    <w:basedOn w:val="a0"/>
    <w:uiPriority w:val="99"/>
    <w:semiHidden/>
    <w:unhideWhenUsed/>
    <w:rsid w:val="0071391C"/>
    <w:rPr>
      <w:color w:val="954F72" w:themeColor="followedHyperlink"/>
      <w:u w:val="single"/>
    </w:rPr>
  </w:style>
  <w:style w:type="character" w:customStyle="1" w:styleId="UnresolvedMention1">
    <w:name w:val="Unresolved Mention1"/>
    <w:basedOn w:val="a0"/>
    <w:uiPriority w:val="99"/>
    <w:semiHidden/>
    <w:unhideWhenUsed/>
    <w:rsid w:val="0071391C"/>
    <w:rPr>
      <w:color w:val="808080"/>
      <w:shd w:val="clear" w:color="auto" w:fill="E6E6E6"/>
    </w:rPr>
  </w:style>
  <w:style w:type="paragraph" w:styleId="ab">
    <w:name w:val="Revision"/>
    <w:hidden/>
    <w:uiPriority w:val="99"/>
    <w:semiHidden/>
    <w:rsid w:val="00996465"/>
    <w:rPr>
      <w:sz w:val="22"/>
      <w:szCs w:val="22"/>
    </w:rPr>
  </w:style>
  <w:style w:type="paragraph" w:styleId="ac">
    <w:name w:val="footnote text"/>
    <w:basedOn w:val="a"/>
    <w:link w:val="Char4"/>
    <w:uiPriority w:val="99"/>
    <w:semiHidden/>
    <w:unhideWhenUsed/>
    <w:rsid w:val="00AE2443"/>
    <w:pPr>
      <w:spacing w:after="0" w:line="240" w:lineRule="auto"/>
    </w:pPr>
    <w:rPr>
      <w:sz w:val="20"/>
      <w:szCs w:val="20"/>
    </w:rPr>
  </w:style>
  <w:style w:type="character" w:customStyle="1" w:styleId="Char4">
    <w:name w:val="脚注文本 Char"/>
    <w:basedOn w:val="a0"/>
    <w:link w:val="ac"/>
    <w:uiPriority w:val="99"/>
    <w:semiHidden/>
    <w:rsid w:val="00AE2443"/>
    <w:rPr>
      <w:sz w:val="20"/>
      <w:szCs w:val="20"/>
    </w:rPr>
  </w:style>
  <w:style w:type="character" w:styleId="ad">
    <w:name w:val="footnote reference"/>
    <w:basedOn w:val="a0"/>
    <w:uiPriority w:val="99"/>
    <w:semiHidden/>
    <w:unhideWhenUsed/>
    <w:rsid w:val="00AE2443"/>
    <w:rPr>
      <w:vertAlign w:val="superscript"/>
    </w:rPr>
  </w:style>
  <w:style w:type="character" w:customStyle="1" w:styleId="UnresolvedMention">
    <w:name w:val="Unresolved Mention"/>
    <w:basedOn w:val="a0"/>
    <w:uiPriority w:val="99"/>
    <w:semiHidden/>
    <w:unhideWhenUsed/>
    <w:rsid w:val="00805ADE"/>
    <w:rPr>
      <w:color w:val="605E5C"/>
      <w:shd w:val="clear" w:color="auto" w:fill="E1DFDD"/>
    </w:rPr>
  </w:style>
  <w:style w:type="character" w:customStyle="1" w:styleId="Char5">
    <w:name w:val="批注文字 Char"/>
    <w:locked/>
    <w:rsid w:val="00E86937"/>
    <w:rPr>
      <w:rFonts w:eastAsia="宋体"/>
      <w:sz w:val="24"/>
      <w:szCs w:val="24"/>
      <w:lang w:val="en-US" w:eastAsia="en-US" w:bidi="ar-SA"/>
    </w:rPr>
  </w:style>
  <w:style w:type="paragraph" w:styleId="ae">
    <w:name w:val="Normal (Web)"/>
    <w:basedOn w:val="a"/>
    <w:uiPriority w:val="99"/>
    <w:unhideWhenUsed/>
    <w:rsid w:val="00E8693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af">
    <w:name w:val="Strong"/>
    <w:uiPriority w:val="22"/>
    <w:qFormat/>
    <w:rsid w:val="00E86937"/>
    <w:rPr>
      <w:b/>
      <w:bCs/>
    </w:rPr>
  </w:style>
  <w:style w:type="character" w:customStyle="1" w:styleId="labellist1">
    <w:name w:val="label_list1"/>
    <w:rsid w:val="00E86937"/>
  </w:style>
  <w:style w:type="paragraph" w:styleId="af0">
    <w:name w:val="List Paragraph"/>
    <w:basedOn w:val="a"/>
    <w:uiPriority w:val="34"/>
    <w:qFormat/>
    <w:rsid w:val="005C13B6"/>
    <w:pPr>
      <w:ind w:left="720"/>
      <w:contextualSpacing/>
    </w:pPr>
  </w:style>
  <w:style w:type="table" w:styleId="af1">
    <w:name w:val="Table Grid"/>
    <w:basedOn w:val="a1"/>
    <w:uiPriority w:val="39"/>
    <w:rsid w:val="00443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semiHidden/>
    <w:unhideWhenUsed/>
    <w:rsid w:val="00925064"/>
    <w:pPr>
      <w:spacing w:after="0" w:line="240" w:lineRule="auto"/>
    </w:pPr>
    <w:rPr>
      <w:rFonts w:ascii="Consolas" w:hAnsi="Consolas" w:cs="Consolas"/>
      <w:sz w:val="20"/>
      <w:szCs w:val="20"/>
    </w:rPr>
  </w:style>
  <w:style w:type="character" w:customStyle="1" w:styleId="HTMLChar">
    <w:name w:val="HTML 预设格式 Char"/>
    <w:basedOn w:val="a0"/>
    <w:link w:val="HTML"/>
    <w:uiPriority w:val="99"/>
    <w:semiHidden/>
    <w:rsid w:val="00925064"/>
    <w:rPr>
      <w:rFonts w:ascii="Consolas" w:hAnsi="Consolas" w:cs="Consolas"/>
      <w:sz w:val="20"/>
      <w:szCs w:val="20"/>
    </w:rPr>
  </w:style>
  <w:style w:type="character" w:styleId="af2">
    <w:name w:val="line number"/>
    <w:basedOn w:val="a0"/>
    <w:uiPriority w:val="99"/>
    <w:semiHidden/>
    <w:unhideWhenUsed/>
    <w:rsid w:val="00D63427"/>
  </w:style>
  <w:style w:type="character" w:styleId="af3">
    <w:name w:val="page number"/>
    <w:basedOn w:val="a0"/>
    <w:uiPriority w:val="99"/>
    <w:semiHidden/>
    <w:unhideWhenUsed/>
    <w:rsid w:val="00D63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628">
      <w:bodyDiv w:val="1"/>
      <w:marLeft w:val="0"/>
      <w:marRight w:val="0"/>
      <w:marTop w:val="0"/>
      <w:marBottom w:val="0"/>
      <w:divBdr>
        <w:top w:val="none" w:sz="0" w:space="0" w:color="auto"/>
        <w:left w:val="none" w:sz="0" w:space="0" w:color="auto"/>
        <w:bottom w:val="none" w:sz="0" w:space="0" w:color="auto"/>
        <w:right w:val="none" w:sz="0" w:space="0" w:color="auto"/>
      </w:divBdr>
    </w:div>
    <w:div w:id="20788983">
      <w:bodyDiv w:val="1"/>
      <w:marLeft w:val="0"/>
      <w:marRight w:val="0"/>
      <w:marTop w:val="0"/>
      <w:marBottom w:val="0"/>
      <w:divBdr>
        <w:top w:val="none" w:sz="0" w:space="0" w:color="auto"/>
        <w:left w:val="none" w:sz="0" w:space="0" w:color="auto"/>
        <w:bottom w:val="none" w:sz="0" w:space="0" w:color="auto"/>
        <w:right w:val="none" w:sz="0" w:space="0" w:color="auto"/>
      </w:divBdr>
    </w:div>
    <w:div w:id="53818263">
      <w:bodyDiv w:val="1"/>
      <w:marLeft w:val="0"/>
      <w:marRight w:val="0"/>
      <w:marTop w:val="0"/>
      <w:marBottom w:val="0"/>
      <w:divBdr>
        <w:top w:val="none" w:sz="0" w:space="0" w:color="auto"/>
        <w:left w:val="none" w:sz="0" w:space="0" w:color="auto"/>
        <w:bottom w:val="none" w:sz="0" w:space="0" w:color="auto"/>
        <w:right w:val="none" w:sz="0" w:space="0" w:color="auto"/>
      </w:divBdr>
    </w:div>
    <w:div w:id="65033260">
      <w:bodyDiv w:val="1"/>
      <w:marLeft w:val="0"/>
      <w:marRight w:val="0"/>
      <w:marTop w:val="0"/>
      <w:marBottom w:val="0"/>
      <w:divBdr>
        <w:top w:val="none" w:sz="0" w:space="0" w:color="auto"/>
        <w:left w:val="none" w:sz="0" w:space="0" w:color="auto"/>
        <w:bottom w:val="none" w:sz="0" w:space="0" w:color="auto"/>
        <w:right w:val="none" w:sz="0" w:space="0" w:color="auto"/>
      </w:divBdr>
    </w:div>
    <w:div w:id="70667234">
      <w:bodyDiv w:val="1"/>
      <w:marLeft w:val="0"/>
      <w:marRight w:val="0"/>
      <w:marTop w:val="0"/>
      <w:marBottom w:val="0"/>
      <w:divBdr>
        <w:top w:val="none" w:sz="0" w:space="0" w:color="auto"/>
        <w:left w:val="none" w:sz="0" w:space="0" w:color="auto"/>
        <w:bottom w:val="none" w:sz="0" w:space="0" w:color="auto"/>
        <w:right w:val="none" w:sz="0" w:space="0" w:color="auto"/>
      </w:divBdr>
    </w:div>
    <w:div w:id="72749508">
      <w:bodyDiv w:val="1"/>
      <w:marLeft w:val="0"/>
      <w:marRight w:val="0"/>
      <w:marTop w:val="0"/>
      <w:marBottom w:val="0"/>
      <w:divBdr>
        <w:top w:val="none" w:sz="0" w:space="0" w:color="auto"/>
        <w:left w:val="none" w:sz="0" w:space="0" w:color="auto"/>
        <w:bottom w:val="none" w:sz="0" w:space="0" w:color="auto"/>
        <w:right w:val="none" w:sz="0" w:space="0" w:color="auto"/>
      </w:divBdr>
    </w:div>
    <w:div w:id="73480602">
      <w:bodyDiv w:val="1"/>
      <w:marLeft w:val="0"/>
      <w:marRight w:val="0"/>
      <w:marTop w:val="0"/>
      <w:marBottom w:val="0"/>
      <w:divBdr>
        <w:top w:val="none" w:sz="0" w:space="0" w:color="auto"/>
        <w:left w:val="none" w:sz="0" w:space="0" w:color="auto"/>
        <w:bottom w:val="none" w:sz="0" w:space="0" w:color="auto"/>
        <w:right w:val="none" w:sz="0" w:space="0" w:color="auto"/>
      </w:divBdr>
    </w:div>
    <w:div w:id="105736392">
      <w:bodyDiv w:val="1"/>
      <w:marLeft w:val="0"/>
      <w:marRight w:val="0"/>
      <w:marTop w:val="0"/>
      <w:marBottom w:val="0"/>
      <w:divBdr>
        <w:top w:val="none" w:sz="0" w:space="0" w:color="auto"/>
        <w:left w:val="none" w:sz="0" w:space="0" w:color="auto"/>
        <w:bottom w:val="none" w:sz="0" w:space="0" w:color="auto"/>
        <w:right w:val="none" w:sz="0" w:space="0" w:color="auto"/>
      </w:divBdr>
    </w:div>
    <w:div w:id="108358139">
      <w:bodyDiv w:val="1"/>
      <w:marLeft w:val="0"/>
      <w:marRight w:val="0"/>
      <w:marTop w:val="0"/>
      <w:marBottom w:val="0"/>
      <w:divBdr>
        <w:top w:val="none" w:sz="0" w:space="0" w:color="auto"/>
        <w:left w:val="none" w:sz="0" w:space="0" w:color="auto"/>
        <w:bottom w:val="none" w:sz="0" w:space="0" w:color="auto"/>
        <w:right w:val="none" w:sz="0" w:space="0" w:color="auto"/>
      </w:divBdr>
    </w:div>
    <w:div w:id="131755827">
      <w:bodyDiv w:val="1"/>
      <w:marLeft w:val="0"/>
      <w:marRight w:val="0"/>
      <w:marTop w:val="0"/>
      <w:marBottom w:val="0"/>
      <w:divBdr>
        <w:top w:val="none" w:sz="0" w:space="0" w:color="auto"/>
        <w:left w:val="none" w:sz="0" w:space="0" w:color="auto"/>
        <w:bottom w:val="none" w:sz="0" w:space="0" w:color="auto"/>
        <w:right w:val="none" w:sz="0" w:space="0" w:color="auto"/>
      </w:divBdr>
    </w:div>
    <w:div w:id="134028027">
      <w:bodyDiv w:val="1"/>
      <w:marLeft w:val="0"/>
      <w:marRight w:val="0"/>
      <w:marTop w:val="0"/>
      <w:marBottom w:val="0"/>
      <w:divBdr>
        <w:top w:val="none" w:sz="0" w:space="0" w:color="auto"/>
        <w:left w:val="none" w:sz="0" w:space="0" w:color="auto"/>
        <w:bottom w:val="none" w:sz="0" w:space="0" w:color="auto"/>
        <w:right w:val="none" w:sz="0" w:space="0" w:color="auto"/>
      </w:divBdr>
    </w:div>
    <w:div w:id="164788206">
      <w:bodyDiv w:val="1"/>
      <w:marLeft w:val="0"/>
      <w:marRight w:val="0"/>
      <w:marTop w:val="0"/>
      <w:marBottom w:val="0"/>
      <w:divBdr>
        <w:top w:val="none" w:sz="0" w:space="0" w:color="auto"/>
        <w:left w:val="none" w:sz="0" w:space="0" w:color="auto"/>
        <w:bottom w:val="none" w:sz="0" w:space="0" w:color="auto"/>
        <w:right w:val="none" w:sz="0" w:space="0" w:color="auto"/>
      </w:divBdr>
    </w:div>
    <w:div w:id="175729996">
      <w:bodyDiv w:val="1"/>
      <w:marLeft w:val="0"/>
      <w:marRight w:val="0"/>
      <w:marTop w:val="0"/>
      <w:marBottom w:val="0"/>
      <w:divBdr>
        <w:top w:val="none" w:sz="0" w:space="0" w:color="auto"/>
        <w:left w:val="none" w:sz="0" w:space="0" w:color="auto"/>
        <w:bottom w:val="none" w:sz="0" w:space="0" w:color="auto"/>
        <w:right w:val="none" w:sz="0" w:space="0" w:color="auto"/>
      </w:divBdr>
    </w:div>
    <w:div w:id="175731560">
      <w:bodyDiv w:val="1"/>
      <w:marLeft w:val="0"/>
      <w:marRight w:val="0"/>
      <w:marTop w:val="0"/>
      <w:marBottom w:val="0"/>
      <w:divBdr>
        <w:top w:val="none" w:sz="0" w:space="0" w:color="auto"/>
        <w:left w:val="none" w:sz="0" w:space="0" w:color="auto"/>
        <w:bottom w:val="none" w:sz="0" w:space="0" w:color="auto"/>
        <w:right w:val="none" w:sz="0" w:space="0" w:color="auto"/>
      </w:divBdr>
    </w:div>
    <w:div w:id="181358184">
      <w:bodyDiv w:val="1"/>
      <w:marLeft w:val="0"/>
      <w:marRight w:val="0"/>
      <w:marTop w:val="0"/>
      <w:marBottom w:val="0"/>
      <w:divBdr>
        <w:top w:val="none" w:sz="0" w:space="0" w:color="auto"/>
        <w:left w:val="none" w:sz="0" w:space="0" w:color="auto"/>
        <w:bottom w:val="none" w:sz="0" w:space="0" w:color="auto"/>
        <w:right w:val="none" w:sz="0" w:space="0" w:color="auto"/>
      </w:divBdr>
    </w:div>
    <w:div w:id="202331231">
      <w:bodyDiv w:val="1"/>
      <w:marLeft w:val="0"/>
      <w:marRight w:val="0"/>
      <w:marTop w:val="0"/>
      <w:marBottom w:val="0"/>
      <w:divBdr>
        <w:top w:val="none" w:sz="0" w:space="0" w:color="auto"/>
        <w:left w:val="none" w:sz="0" w:space="0" w:color="auto"/>
        <w:bottom w:val="none" w:sz="0" w:space="0" w:color="auto"/>
        <w:right w:val="none" w:sz="0" w:space="0" w:color="auto"/>
      </w:divBdr>
    </w:div>
    <w:div w:id="207954089">
      <w:bodyDiv w:val="1"/>
      <w:marLeft w:val="0"/>
      <w:marRight w:val="0"/>
      <w:marTop w:val="0"/>
      <w:marBottom w:val="0"/>
      <w:divBdr>
        <w:top w:val="none" w:sz="0" w:space="0" w:color="auto"/>
        <w:left w:val="none" w:sz="0" w:space="0" w:color="auto"/>
        <w:bottom w:val="none" w:sz="0" w:space="0" w:color="auto"/>
        <w:right w:val="none" w:sz="0" w:space="0" w:color="auto"/>
      </w:divBdr>
      <w:divsChild>
        <w:div w:id="332222053">
          <w:marLeft w:val="0"/>
          <w:marRight w:val="0"/>
          <w:marTop w:val="0"/>
          <w:marBottom w:val="0"/>
          <w:divBdr>
            <w:top w:val="none" w:sz="0" w:space="0" w:color="auto"/>
            <w:left w:val="none" w:sz="0" w:space="0" w:color="auto"/>
            <w:bottom w:val="none" w:sz="0" w:space="0" w:color="auto"/>
            <w:right w:val="none" w:sz="0" w:space="0" w:color="auto"/>
          </w:divBdr>
        </w:div>
      </w:divsChild>
    </w:div>
    <w:div w:id="223179995">
      <w:bodyDiv w:val="1"/>
      <w:marLeft w:val="0"/>
      <w:marRight w:val="0"/>
      <w:marTop w:val="0"/>
      <w:marBottom w:val="0"/>
      <w:divBdr>
        <w:top w:val="none" w:sz="0" w:space="0" w:color="auto"/>
        <w:left w:val="none" w:sz="0" w:space="0" w:color="auto"/>
        <w:bottom w:val="none" w:sz="0" w:space="0" w:color="auto"/>
        <w:right w:val="none" w:sz="0" w:space="0" w:color="auto"/>
      </w:divBdr>
    </w:div>
    <w:div w:id="227693023">
      <w:bodyDiv w:val="1"/>
      <w:marLeft w:val="0"/>
      <w:marRight w:val="0"/>
      <w:marTop w:val="0"/>
      <w:marBottom w:val="0"/>
      <w:divBdr>
        <w:top w:val="none" w:sz="0" w:space="0" w:color="auto"/>
        <w:left w:val="none" w:sz="0" w:space="0" w:color="auto"/>
        <w:bottom w:val="none" w:sz="0" w:space="0" w:color="auto"/>
        <w:right w:val="none" w:sz="0" w:space="0" w:color="auto"/>
      </w:divBdr>
    </w:div>
    <w:div w:id="243078145">
      <w:bodyDiv w:val="1"/>
      <w:marLeft w:val="0"/>
      <w:marRight w:val="0"/>
      <w:marTop w:val="0"/>
      <w:marBottom w:val="0"/>
      <w:divBdr>
        <w:top w:val="none" w:sz="0" w:space="0" w:color="auto"/>
        <w:left w:val="none" w:sz="0" w:space="0" w:color="auto"/>
        <w:bottom w:val="none" w:sz="0" w:space="0" w:color="auto"/>
        <w:right w:val="none" w:sz="0" w:space="0" w:color="auto"/>
      </w:divBdr>
    </w:div>
    <w:div w:id="272134183">
      <w:bodyDiv w:val="1"/>
      <w:marLeft w:val="0"/>
      <w:marRight w:val="0"/>
      <w:marTop w:val="0"/>
      <w:marBottom w:val="0"/>
      <w:divBdr>
        <w:top w:val="none" w:sz="0" w:space="0" w:color="auto"/>
        <w:left w:val="none" w:sz="0" w:space="0" w:color="auto"/>
        <w:bottom w:val="none" w:sz="0" w:space="0" w:color="auto"/>
        <w:right w:val="none" w:sz="0" w:space="0" w:color="auto"/>
      </w:divBdr>
    </w:div>
    <w:div w:id="291205703">
      <w:bodyDiv w:val="1"/>
      <w:marLeft w:val="0"/>
      <w:marRight w:val="0"/>
      <w:marTop w:val="0"/>
      <w:marBottom w:val="0"/>
      <w:divBdr>
        <w:top w:val="none" w:sz="0" w:space="0" w:color="auto"/>
        <w:left w:val="none" w:sz="0" w:space="0" w:color="auto"/>
        <w:bottom w:val="none" w:sz="0" w:space="0" w:color="auto"/>
        <w:right w:val="none" w:sz="0" w:space="0" w:color="auto"/>
      </w:divBdr>
    </w:div>
    <w:div w:id="291523937">
      <w:bodyDiv w:val="1"/>
      <w:marLeft w:val="0"/>
      <w:marRight w:val="0"/>
      <w:marTop w:val="0"/>
      <w:marBottom w:val="0"/>
      <w:divBdr>
        <w:top w:val="none" w:sz="0" w:space="0" w:color="auto"/>
        <w:left w:val="none" w:sz="0" w:space="0" w:color="auto"/>
        <w:bottom w:val="none" w:sz="0" w:space="0" w:color="auto"/>
        <w:right w:val="none" w:sz="0" w:space="0" w:color="auto"/>
      </w:divBdr>
    </w:div>
    <w:div w:id="312681614">
      <w:bodyDiv w:val="1"/>
      <w:marLeft w:val="0"/>
      <w:marRight w:val="0"/>
      <w:marTop w:val="0"/>
      <w:marBottom w:val="0"/>
      <w:divBdr>
        <w:top w:val="none" w:sz="0" w:space="0" w:color="auto"/>
        <w:left w:val="none" w:sz="0" w:space="0" w:color="auto"/>
        <w:bottom w:val="none" w:sz="0" w:space="0" w:color="auto"/>
        <w:right w:val="none" w:sz="0" w:space="0" w:color="auto"/>
      </w:divBdr>
    </w:div>
    <w:div w:id="320084791">
      <w:bodyDiv w:val="1"/>
      <w:marLeft w:val="0"/>
      <w:marRight w:val="0"/>
      <w:marTop w:val="0"/>
      <w:marBottom w:val="0"/>
      <w:divBdr>
        <w:top w:val="none" w:sz="0" w:space="0" w:color="auto"/>
        <w:left w:val="none" w:sz="0" w:space="0" w:color="auto"/>
        <w:bottom w:val="none" w:sz="0" w:space="0" w:color="auto"/>
        <w:right w:val="none" w:sz="0" w:space="0" w:color="auto"/>
      </w:divBdr>
    </w:div>
    <w:div w:id="330909682">
      <w:bodyDiv w:val="1"/>
      <w:marLeft w:val="0"/>
      <w:marRight w:val="0"/>
      <w:marTop w:val="0"/>
      <w:marBottom w:val="0"/>
      <w:divBdr>
        <w:top w:val="none" w:sz="0" w:space="0" w:color="auto"/>
        <w:left w:val="none" w:sz="0" w:space="0" w:color="auto"/>
        <w:bottom w:val="none" w:sz="0" w:space="0" w:color="auto"/>
        <w:right w:val="none" w:sz="0" w:space="0" w:color="auto"/>
      </w:divBdr>
    </w:div>
    <w:div w:id="330913240">
      <w:bodyDiv w:val="1"/>
      <w:marLeft w:val="0"/>
      <w:marRight w:val="0"/>
      <w:marTop w:val="0"/>
      <w:marBottom w:val="0"/>
      <w:divBdr>
        <w:top w:val="none" w:sz="0" w:space="0" w:color="auto"/>
        <w:left w:val="none" w:sz="0" w:space="0" w:color="auto"/>
        <w:bottom w:val="none" w:sz="0" w:space="0" w:color="auto"/>
        <w:right w:val="none" w:sz="0" w:space="0" w:color="auto"/>
      </w:divBdr>
    </w:div>
    <w:div w:id="331110524">
      <w:bodyDiv w:val="1"/>
      <w:marLeft w:val="0"/>
      <w:marRight w:val="0"/>
      <w:marTop w:val="0"/>
      <w:marBottom w:val="0"/>
      <w:divBdr>
        <w:top w:val="none" w:sz="0" w:space="0" w:color="auto"/>
        <w:left w:val="none" w:sz="0" w:space="0" w:color="auto"/>
        <w:bottom w:val="none" w:sz="0" w:space="0" w:color="auto"/>
        <w:right w:val="none" w:sz="0" w:space="0" w:color="auto"/>
      </w:divBdr>
    </w:div>
    <w:div w:id="350422838">
      <w:bodyDiv w:val="1"/>
      <w:marLeft w:val="0"/>
      <w:marRight w:val="0"/>
      <w:marTop w:val="0"/>
      <w:marBottom w:val="0"/>
      <w:divBdr>
        <w:top w:val="none" w:sz="0" w:space="0" w:color="auto"/>
        <w:left w:val="none" w:sz="0" w:space="0" w:color="auto"/>
        <w:bottom w:val="none" w:sz="0" w:space="0" w:color="auto"/>
        <w:right w:val="none" w:sz="0" w:space="0" w:color="auto"/>
      </w:divBdr>
    </w:div>
    <w:div w:id="366957512">
      <w:bodyDiv w:val="1"/>
      <w:marLeft w:val="0"/>
      <w:marRight w:val="0"/>
      <w:marTop w:val="0"/>
      <w:marBottom w:val="0"/>
      <w:divBdr>
        <w:top w:val="none" w:sz="0" w:space="0" w:color="auto"/>
        <w:left w:val="none" w:sz="0" w:space="0" w:color="auto"/>
        <w:bottom w:val="none" w:sz="0" w:space="0" w:color="auto"/>
        <w:right w:val="none" w:sz="0" w:space="0" w:color="auto"/>
      </w:divBdr>
    </w:div>
    <w:div w:id="368847731">
      <w:bodyDiv w:val="1"/>
      <w:marLeft w:val="0"/>
      <w:marRight w:val="0"/>
      <w:marTop w:val="0"/>
      <w:marBottom w:val="0"/>
      <w:divBdr>
        <w:top w:val="none" w:sz="0" w:space="0" w:color="auto"/>
        <w:left w:val="none" w:sz="0" w:space="0" w:color="auto"/>
        <w:bottom w:val="none" w:sz="0" w:space="0" w:color="auto"/>
        <w:right w:val="none" w:sz="0" w:space="0" w:color="auto"/>
      </w:divBdr>
    </w:div>
    <w:div w:id="432172011">
      <w:bodyDiv w:val="1"/>
      <w:marLeft w:val="0"/>
      <w:marRight w:val="0"/>
      <w:marTop w:val="0"/>
      <w:marBottom w:val="0"/>
      <w:divBdr>
        <w:top w:val="none" w:sz="0" w:space="0" w:color="auto"/>
        <w:left w:val="none" w:sz="0" w:space="0" w:color="auto"/>
        <w:bottom w:val="none" w:sz="0" w:space="0" w:color="auto"/>
        <w:right w:val="none" w:sz="0" w:space="0" w:color="auto"/>
      </w:divBdr>
    </w:div>
    <w:div w:id="447824021">
      <w:bodyDiv w:val="1"/>
      <w:marLeft w:val="0"/>
      <w:marRight w:val="0"/>
      <w:marTop w:val="0"/>
      <w:marBottom w:val="0"/>
      <w:divBdr>
        <w:top w:val="none" w:sz="0" w:space="0" w:color="auto"/>
        <w:left w:val="none" w:sz="0" w:space="0" w:color="auto"/>
        <w:bottom w:val="none" w:sz="0" w:space="0" w:color="auto"/>
        <w:right w:val="none" w:sz="0" w:space="0" w:color="auto"/>
      </w:divBdr>
    </w:div>
    <w:div w:id="448284926">
      <w:bodyDiv w:val="1"/>
      <w:marLeft w:val="0"/>
      <w:marRight w:val="0"/>
      <w:marTop w:val="0"/>
      <w:marBottom w:val="0"/>
      <w:divBdr>
        <w:top w:val="none" w:sz="0" w:space="0" w:color="auto"/>
        <w:left w:val="none" w:sz="0" w:space="0" w:color="auto"/>
        <w:bottom w:val="none" w:sz="0" w:space="0" w:color="auto"/>
        <w:right w:val="none" w:sz="0" w:space="0" w:color="auto"/>
      </w:divBdr>
    </w:div>
    <w:div w:id="507403675">
      <w:bodyDiv w:val="1"/>
      <w:marLeft w:val="0"/>
      <w:marRight w:val="0"/>
      <w:marTop w:val="0"/>
      <w:marBottom w:val="0"/>
      <w:divBdr>
        <w:top w:val="none" w:sz="0" w:space="0" w:color="auto"/>
        <w:left w:val="none" w:sz="0" w:space="0" w:color="auto"/>
        <w:bottom w:val="none" w:sz="0" w:space="0" w:color="auto"/>
        <w:right w:val="none" w:sz="0" w:space="0" w:color="auto"/>
      </w:divBdr>
    </w:div>
    <w:div w:id="532765734">
      <w:bodyDiv w:val="1"/>
      <w:marLeft w:val="0"/>
      <w:marRight w:val="0"/>
      <w:marTop w:val="0"/>
      <w:marBottom w:val="0"/>
      <w:divBdr>
        <w:top w:val="none" w:sz="0" w:space="0" w:color="auto"/>
        <w:left w:val="none" w:sz="0" w:space="0" w:color="auto"/>
        <w:bottom w:val="none" w:sz="0" w:space="0" w:color="auto"/>
        <w:right w:val="none" w:sz="0" w:space="0" w:color="auto"/>
      </w:divBdr>
    </w:div>
    <w:div w:id="533734621">
      <w:bodyDiv w:val="1"/>
      <w:marLeft w:val="0"/>
      <w:marRight w:val="0"/>
      <w:marTop w:val="0"/>
      <w:marBottom w:val="0"/>
      <w:divBdr>
        <w:top w:val="none" w:sz="0" w:space="0" w:color="auto"/>
        <w:left w:val="none" w:sz="0" w:space="0" w:color="auto"/>
        <w:bottom w:val="none" w:sz="0" w:space="0" w:color="auto"/>
        <w:right w:val="none" w:sz="0" w:space="0" w:color="auto"/>
      </w:divBdr>
    </w:div>
    <w:div w:id="560285085">
      <w:bodyDiv w:val="1"/>
      <w:marLeft w:val="0"/>
      <w:marRight w:val="0"/>
      <w:marTop w:val="0"/>
      <w:marBottom w:val="0"/>
      <w:divBdr>
        <w:top w:val="none" w:sz="0" w:space="0" w:color="auto"/>
        <w:left w:val="none" w:sz="0" w:space="0" w:color="auto"/>
        <w:bottom w:val="none" w:sz="0" w:space="0" w:color="auto"/>
        <w:right w:val="none" w:sz="0" w:space="0" w:color="auto"/>
      </w:divBdr>
    </w:div>
    <w:div w:id="577203931">
      <w:bodyDiv w:val="1"/>
      <w:marLeft w:val="0"/>
      <w:marRight w:val="0"/>
      <w:marTop w:val="0"/>
      <w:marBottom w:val="0"/>
      <w:divBdr>
        <w:top w:val="none" w:sz="0" w:space="0" w:color="auto"/>
        <w:left w:val="none" w:sz="0" w:space="0" w:color="auto"/>
        <w:bottom w:val="none" w:sz="0" w:space="0" w:color="auto"/>
        <w:right w:val="none" w:sz="0" w:space="0" w:color="auto"/>
      </w:divBdr>
    </w:div>
    <w:div w:id="583346614">
      <w:bodyDiv w:val="1"/>
      <w:marLeft w:val="0"/>
      <w:marRight w:val="0"/>
      <w:marTop w:val="0"/>
      <w:marBottom w:val="0"/>
      <w:divBdr>
        <w:top w:val="none" w:sz="0" w:space="0" w:color="auto"/>
        <w:left w:val="none" w:sz="0" w:space="0" w:color="auto"/>
        <w:bottom w:val="none" w:sz="0" w:space="0" w:color="auto"/>
        <w:right w:val="none" w:sz="0" w:space="0" w:color="auto"/>
      </w:divBdr>
    </w:div>
    <w:div w:id="589890364">
      <w:bodyDiv w:val="1"/>
      <w:marLeft w:val="0"/>
      <w:marRight w:val="0"/>
      <w:marTop w:val="0"/>
      <w:marBottom w:val="0"/>
      <w:divBdr>
        <w:top w:val="none" w:sz="0" w:space="0" w:color="auto"/>
        <w:left w:val="none" w:sz="0" w:space="0" w:color="auto"/>
        <w:bottom w:val="none" w:sz="0" w:space="0" w:color="auto"/>
        <w:right w:val="none" w:sz="0" w:space="0" w:color="auto"/>
      </w:divBdr>
    </w:div>
    <w:div w:id="620455442">
      <w:bodyDiv w:val="1"/>
      <w:marLeft w:val="0"/>
      <w:marRight w:val="0"/>
      <w:marTop w:val="0"/>
      <w:marBottom w:val="0"/>
      <w:divBdr>
        <w:top w:val="none" w:sz="0" w:space="0" w:color="auto"/>
        <w:left w:val="none" w:sz="0" w:space="0" w:color="auto"/>
        <w:bottom w:val="none" w:sz="0" w:space="0" w:color="auto"/>
        <w:right w:val="none" w:sz="0" w:space="0" w:color="auto"/>
      </w:divBdr>
    </w:div>
    <w:div w:id="638539744">
      <w:bodyDiv w:val="1"/>
      <w:marLeft w:val="0"/>
      <w:marRight w:val="0"/>
      <w:marTop w:val="0"/>
      <w:marBottom w:val="0"/>
      <w:divBdr>
        <w:top w:val="none" w:sz="0" w:space="0" w:color="auto"/>
        <w:left w:val="none" w:sz="0" w:space="0" w:color="auto"/>
        <w:bottom w:val="none" w:sz="0" w:space="0" w:color="auto"/>
        <w:right w:val="none" w:sz="0" w:space="0" w:color="auto"/>
      </w:divBdr>
    </w:div>
    <w:div w:id="641033717">
      <w:bodyDiv w:val="1"/>
      <w:marLeft w:val="0"/>
      <w:marRight w:val="0"/>
      <w:marTop w:val="0"/>
      <w:marBottom w:val="0"/>
      <w:divBdr>
        <w:top w:val="none" w:sz="0" w:space="0" w:color="auto"/>
        <w:left w:val="none" w:sz="0" w:space="0" w:color="auto"/>
        <w:bottom w:val="none" w:sz="0" w:space="0" w:color="auto"/>
        <w:right w:val="none" w:sz="0" w:space="0" w:color="auto"/>
      </w:divBdr>
    </w:div>
    <w:div w:id="647051453">
      <w:bodyDiv w:val="1"/>
      <w:marLeft w:val="0"/>
      <w:marRight w:val="0"/>
      <w:marTop w:val="0"/>
      <w:marBottom w:val="0"/>
      <w:divBdr>
        <w:top w:val="none" w:sz="0" w:space="0" w:color="auto"/>
        <w:left w:val="none" w:sz="0" w:space="0" w:color="auto"/>
        <w:bottom w:val="none" w:sz="0" w:space="0" w:color="auto"/>
        <w:right w:val="none" w:sz="0" w:space="0" w:color="auto"/>
      </w:divBdr>
    </w:div>
    <w:div w:id="677998910">
      <w:bodyDiv w:val="1"/>
      <w:marLeft w:val="0"/>
      <w:marRight w:val="0"/>
      <w:marTop w:val="0"/>
      <w:marBottom w:val="0"/>
      <w:divBdr>
        <w:top w:val="none" w:sz="0" w:space="0" w:color="auto"/>
        <w:left w:val="none" w:sz="0" w:space="0" w:color="auto"/>
        <w:bottom w:val="none" w:sz="0" w:space="0" w:color="auto"/>
        <w:right w:val="none" w:sz="0" w:space="0" w:color="auto"/>
      </w:divBdr>
    </w:div>
    <w:div w:id="681320310">
      <w:bodyDiv w:val="1"/>
      <w:marLeft w:val="0"/>
      <w:marRight w:val="0"/>
      <w:marTop w:val="0"/>
      <w:marBottom w:val="0"/>
      <w:divBdr>
        <w:top w:val="none" w:sz="0" w:space="0" w:color="auto"/>
        <w:left w:val="none" w:sz="0" w:space="0" w:color="auto"/>
        <w:bottom w:val="none" w:sz="0" w:space="0" w:color="auto"/>
        <w:right w:val="none" w:sz="0" w:space="0" w:color="auto"/>
      </w:divBdr>
    </w:div>
    <w:div w:id="685716951">
      <w:bodyDiv w:val="1"/>
      <w:marLeft w:val="0"/>
      <w:marRight w:val="0"/>
      <w:marTop w:val="0"/>
      <w:marBottom w:val="0"/>
      <w:divBdr>
        <w:top w:val="none" w:sz="0" w:space="0" w:color="auto"/>
        <w:left w:val="none" w:sz="0" w:space="0" w:color="auto"/>
        <w:bottom w:val="none" w:sz="0" w:space="0" w:color="auto"/>
        <w:right w:val="none" w:sz="0" w:space="0" w:color="auto"/>
      </w:divBdr>
    </w:div>
    <w:div w:id="700129182">
      <w:bodyDiv w:val="1"/>
      <w:marLeft w:val="0"/>
      <w:marRight w:val="0"/>
      <w:marTop w:val="0"/>
      <w:marBottom w:val="0"/>
      <w:divBdr>
        <w:top w:val="none" w:sz="0" w:space="0" w:color="auto"/>
        <w:left w:val="none" w:sz="0" w:space="0" w:color="auto"/>
        <w:bottom w:val="none" w:sz="0" w:space="0" w:color="auto"/>
        <w:right w:val="none" w:sz="0" w:space="0" w:color="auto"/>
      </w:divBdr>
    </w:div>
    <w:div w:id="704211386">
      <w:bodyDiv w:val="1"/>
      <w:marLeft w:val="0"/>
      <w:marRight w:val="0"/>
      <w:marTop w:val="0"/>
      <w:marBottom w:val="0"/>
      <w:divBdr>
        <w:top w:val="none" w:sz="0" w:space="0" w:color="auto"/>
        <w:left w:val="none" w:sz="0" w:space="0" w:color="auto"/>
        <w:bottom w:val="none" w:sz="0" w:space="0" w:color="auto"/>
        <w:right w:val="none" w:sz="0" w:space="0" w:color="auto"/>
      </w:divBdr>
    </w:div>
    <w:div w:id="709258224">
      <w:bodyDiv w:val="1"/>
      <w:marLeft w:val="0"/>
      <w:marRight w:val="0"/>
      <w:marTop w:val="0"/>
      <w:marBottom w:val="0"/>
      <w:divBdr>
        <w:top w:val="none" w:sz="0" w:space="0" w:color="auto"/>
        <w:left w:val="none" w:sz="0" w:space="0" w:color="auto"/>
        <w:bottom w:val="none" w:sz="0" w:space="0" w:color="auto"/>
        <w:right w:val="none" w:sz="0" w:space="0" w:color="auto"/>
      </w:divBdr>
    </w:div>
    <w:div w:id="724451056">
      <w:bodyDiv w:val="1"/>
      <w:marLeft w:val="0"/>
      <w:marRight w:val="0"/>
      <w:marTop w:val="0"/>
      <w:marBottom w:val="0"/>
      <w:divBdr>
        <w:top w:val="none" w:sz="0" w:space="0" w:color="auto"/>
        <w:left w:val="none" w:sz="0" w:space="0" w:color="auto"/>
        <w:bottom w:val="none" w:sz="0" w:space="0" w:color="auto"/>
        <w:right w:val="none" w:sz="0" w:space="0" w:color="auto"/>
      </w:divBdr>
    </w:div>
    <w:div w:id="753088773">
      <w:bodyDiv w:val="1"/>
      <w:marLeft w:val="0"/>
      <w:marRight w:val="0"/>
      <w:marTop w:val="0"/>
      <w:marBottom w:val="0"/>
      <w:divBdr>
        <w:top w:val="none" w:sz="0" w:space="0" w:color="auto"/>
        <w:left w:val="none" w:sz="0" w:space="0" w:color="auto"/>
        <w:bottom w:val="none" w:sz="0" w:space="0" w:color="auto"/>
        <w:right w:val="none" w:sz="0" w:space="0" w:color="auto"/>
      </w:divBdr>
    </w:div>
    <w:div w:id="753434351">
      <w:bodyDiv w:val="1"/>
      <w:marLeft w:val="0"/>
      <w:marRight w:val="0"/>
      <w:marTop w:val="0"/>
      <w:marBottom w:val="0"/>
      <w:divBdr>
        <w:top w:val="none" w:sz="0" w:space="0" w:color="auto"/>
        <w:left w:val="none" w:sz="0" w:space="0" w:color="auto"/>
        <w:bottom w:val="none" w:sz="0" w:space="0" w:color="auto"/>
        <w:right w:val="none" w:sz="0" w:space="0" w:color="auto"/>
      </w:divBdr>
    </w:div>
    <w:div w:id="755634139">
      <w:bodyDiv w:val="1"/>
      <w:marLeft w:val="0"/>
      <w:marRight w:val="0"/>
      <w:marTop w:val="0"/>
      <w:marBottom w:val="0"/>
      <w:divBdr>
        <w:top w:val="none" w:sz="0" w:space="0" w:color="auto"/>
        <w:left w:val="none" w:sz="0" w:space="0" w:color="auto"/>
        <w:bottom w:val="none" w:sz="0" w:space="0" w:color="auto"/>
        <w:right w:val="none" w:sz="0" w:space="0" w:color="auto"/>
      </w:divBdr>
    </w:div>
    <w:div w:id="777680561">
      <w:bodyDiv w:val="1"/>
      <w:marLeft w:val="0"/>
      <w:marRight w:val="0"/>
      <w:marTop w:val="0"/>
      <w:marBottom w:val="0"/>
      <w:divBdr>
        <w:top w:val="none" w:sz="0" w:space="0" w:color="auto"/>
        <w:left w:val="none" w:sz="0" w:space="0" w:color="auto"/>
        <w:bottom w:val="none" w:sz="0" w:space="0" w:color="auto"/>
        <w:right w:val="none" w:sz="0" w:space="0" w:color="auto"/>
      </w:divBdr>
    </w:div>
    <w:div w:id="780296445">
      <w:bodyDiv w:val="1"/>
      <w:marLeft w:val="0"/>
      <w:marRight w:val="0"/>
      <w:marTop w:val="0"/>
      <w:marBottom w:val="0"/>
      <w:divBdr>
        <w:top w:val="none" w:sz="0" w:space="0" w:color="auto"/>
        <w:left w:val="none" w:sz="0" w:space="0" w:color="auto"/>
        <w:bottom w:val="none" w:sz="0" w:space="0" w:color="auto"/>
        <w:right w:val="none" w:sz="0" w:space="0" w:color="auto"/>
      </w:divBdr>
    </w:div>
    <w:div w:id="810514872">
      <w:bodyDiv w:val="1"/>
      <w:marLeft w:val="0"/>
      <w:marRight w:val="0"/>
      <w:marTop w:val="0"/>
      <w:marBottom w:val="0"/>
      <w:divBdr>
        <w:top w:val="none" w:sz="0" w:space="0" w:color="auto"/>
        <w:left w:val="none" w:sz="0" w:space="0" w:color="auto"/>
        <w:bottom w:val="none" w:sz="0" w:space="0" w:color="auto"/>
        <w:right w:val="none" w:sz="0" w:space="0" w:color="auto"/>
      </w:divBdr>
    </w:div>
    <w:div w:id="812605990">
      <w:bodyDiv w:val="1"/>
      <w:marLeft w:val="0"/>
      <w:marRight w:val="0"/>
      <w:marTop w:val="0"/>
      <w:marBottom w:val="0"/>
      <w:divBdr>
        <w:top w:val="none" w:sz="0" w:space="0" w:color="auto"/>
        <w:left w:val="none" w:sz="0" w:space="0" w:color="auto"/>
        <w:bottom w:val="none" w:sz="0" w:space="0" w:color="auto"/>
        <w:right w:val="none" w:sz="0" w:space="0" w:color="auto"/>
      </w:divBdr>
    </w:div>
    <w:div w:id="820197741">
      <w:bodyDiv w:val="1"/>
      <w:marLeft w:val="0"/>
      <w:marRight w:val="0"/>
      <w:marTop w:val="0"/>
      <w:marBottom w:val="0"/>
      <w:divBdr>
        <w:top w:val="none" w:sz="0" w:space="0" w:color="auto"/>
        <w:left w:val="none" w:sz="0" w:space="0" w:color="auto"/>
        <w:bottom w:val="none" w:sz="0" w:space="0" w:color="auto"/>
        <w:right w:val="none" w:sz="0" w:space="0" w:color="auto"/>
      </w:divBdr>
    </w:div>
    <w:div w:id="838420604">
      <w:bodyDiv w:val="1"/>
      <w:marLeft w:val="0"/>
      <w:marRight w:val="0"/>
      <w:marTop w:val="0"/>
      <w:marBottom w:val="0"/>
      <w:divBdr>
        <w:top w:val="none" w:sz="0" w:space="0" w:color="auto"/>
        <w:left w:val="none" w:sz="0" w:space="0" w:color="auto"/>
        <w:bottom w:val="none" w:sz="0" w:space="0" w:color="auto"/>
        <w:right w:val="none" w:sz="0" w:space="0" w:color="auto"/>
      </w:divBdr>
    </w:div>
    <w:div w:id="862668646">
      <w:bodyDiv w:val="1"/>
      <w:marLeft w:val="0"/>
      <w:marRight w:val="0"/>
      <w:marTop w:val="0"/>
      <w:marBottom w:val="0"/>
      <w:divBdr>
        <w:top w:val="none" w:sz="0" w:space="0" w:color="auto"/>
        <w:left w:val="none" w:sz="0" w:space="0" w:color="auto"/>
        <w:bottom w:val="none" w:sz="0" w:space="0" w:color="auto"/>
        <w:right w:val="none" w:sz="0" w:space="0" w:color="auto"/>
      </w:divBdr>
    </w:div>
    <w:div w:id="865211513">
      <w:bodyDiv w:val="1"/>
      <w:marLeft w:val="0"/>
      <w:marRight w:val="0"/>
      <w:marTop w:val="0"/>
      <w:marBottom w:val="0"/>
      <w:divBdr>
        <w:top w:val="none" w:sz="0" w:space="0" w:color="auto"/>
        <w:left w:val="none" w:sz="0" w:space="0" w:color="auto"/>
        <w:bottom w:val="none" w:sz="0" w:space="0" w:color="auto"/>
        <w:right w:val="none" w:sz="0" w:space="0" w:color="auto"/>
      </w:divBdr>
    </w:div>
    <w:div w:id="870336735">
      <w:bodyDiv w:val="1"/>
      <w:marLeft w:val="0"/>
      <w:marRight w:val="0"/>
      <w:marTop w:val="0"/>
      <w:marBottom w:val="0"/>
      <w:divBdr>
        <w:top w:val="none" w:sz="0" w:space="0" w:color="auto"/>
        <w:left w:val="none" w:sz="0" w:space="0" w:color="auto"/>
        <w:bottom w:val="none" w:sz="0" w:space="0" w:color="auto"/>
        <w:right w:val="none" w:sz="0" w:space="0" w:color="auto"/>
      </w:divBdr>
    </w:div>
    <w:div w:id="878126794">
      <w:bodyDiv w:val="1"/>
      <w:marLeft w:val="0"/>
      <w:marRight w:val="0"/>
      <w:marTop w:val="0"/>
      <w:marBottom w:val="0"/>
      <w:divBdr>
        <w:top w:val="none" w:sz="0" w:space="0" w:color="auto"/>
        <w:left w:val="none" w:sz="0" w:space="0" w:color="auto"/>
        <w:bottom w:val="none" w:sz="0" w:space="0" w:color="auto"/>
        <w:right w:val="none" w:sz="0" w:space="0" w:color="auto"/>
      </w:divBdr>
    </w:div>
    <w:div w:id="884026903">
      <w:bodyDiv w:val="1"/>
      <w:marLeft w:val="0"/>
      <w:marRight w:val="0"/>
      <w:marTop w:val="0"/>
      <w:marBottom w:val="0"/>
      <w:divBdr>
        <w:top w:val="none" w:sz="0" w:space="0" w:color="auto"/>
        <w:left w:val="none" w:sz="0" w:space="0" w:color="auto"/>
        <w:bottom w:val="none" w:sz="0" w:space="0" w:color="auto"/>
        <w:right w:val="none" w:sz="0" w:space="0" w:color="auto"/>
      </w:divBdr>
    </w:div>
    <w:div w:id="896479513">
      <w:bodyDiv w:val="1"/>
      <w:marLeft w:val="0"/>
      <w:marRight w:val="0"/>
      <w:marTop w:val="0"/>
      <w:marBottom w:val="0"/>
      <w:divBdr>
        <w:top w:val="none" w:sz="0" w:space="0" w:color="auto"/>
        <w:left w:val="none" w:sz="0" w:space="0" w:color="auto"/>
        <w:bottom w:val="none" w:sz="0" w:space="0" w:color="auto"/>
        <w:right w:val="none" w:sz="0" w:space="0" w:color="auto"/>
      </w:divBdr>
    </w:div>
    <w:div w:id="952709391">
      <w:bodyDiv w:val="1"/>
      <w:marLeft w:val="0"/>
      <w:marRight w:val="0"/>
      <w:marTop w:val="0"/>
      <w:marBottom w:val="0"/>
      <w:divBdr>
        <w:top w:val="none" w:sz="0" w:space="0" w:color="auto"/>
        <w:left w:val="none" w:sz="0" w:space="0" w:color="auto"/>
        <w:bottom w:val="none" w:sz="0" w:space="0" w:color="auto"/>
        <w:right w:val="none" w:sz="0" w:space="0" w:color="auto"/>
      </w:divBdr>
    </w:div>
    <w:div w:id="961885776">
      <w:bodyDiv w:val="1"/>
      <w:marLeft w:val="0"/>
      <w:marRight w:val="0"/>
      <w:marTop w:val="0"/>
      <w:marBottom w:val="0"/>
      <w:divBdr>
        <w:top w:val="none" w:sz="0" w:space="0" w:color="auto"/>
        <w:left w:val="none" w:sz="0" w:space="0" w:color="auto"/>
        <w:bottom w:val="none" w:sz="0" w:space="0" w:color="auto"/>
        <w:right w:val="none" w:sz="0" w:space="0" w:color="auto"/>
      </w:divBdr>
    </w:div>
    <w:div w:id="963385613">
      <w:bodyDiv w:val="1"/>
      <w:marLeft w:val="0"/>
      <w:marRight w:val="0"/>
      <w:marTop w:val="0"/>
      <w:marBottom w:val="0"/>
      <w:divBdr>
        <w:top w:val="none" w:sz="0" w:space="0" w:color="auto"/>
        <w:left w:val="none" w:sz="0" w:space="0" w:color="auto"/>
        <w:bottom w:val="none" w:sz="0" w:space="0" w:color="auto"/>
        <w:right w:val="none" w:sz="0" w:space="0" w:color="auto"/>
      </w:divBdr>
    </w:div>
    <w:div w:id="971906132">
      <w:bodyDiv w:val="1"/>
      <w:marLeft w:val="0"/>
      <w:marRight w:val="0"/>
      <w:marTop w:val="0"/>
      <w:marBottom w:val="0"/>
      <w:divBdr>
        <w:top w:val="none" w:sz="0" w:space="0" w:color="auto"/>
        <w:left w:val="none" w:sz="0" w:space="0" w:color="auto"/>
        <w:bottom w:val="none" w:sz="0" w:space="0" w:color="auto"/>
        <w:right w:val="none" w:sz="0" w:space="0" w:color="auto"/>
      </w:divBdr>
    </w:div>
    <w:div w:id="976297186">
      <w:bodyDiv w:val="1"/>
      <w:marLeft w:val="0"/>
      <w:marRight w:val="0"/>
      <w:marTop w:val="0"/>
      <w:marBottom w:val="0"/>
      <w:divBdr>
        <w:top w:val="none" w:sz="0" w:space="0" w:color="auto"/>
        <w:left w:val="none" w:sz="0" w:space="0" w:color="auto"/>
        <w:bottom w:val="none" w:sz="0" w:space="0" w:color="auto"/>
        <w:right w:val="none" w:sz="0" w:space="0" w:color="auto"/>
      </w:divBdr>
    </w:div>
    <w:div w:id="986275341">
      <w:bodyDiv w:val="1"/>
      <w:marLeft w:val="0"/>
      <w:marRight w:val="0"/>
      <w:marTop w:val="0"/>
      <w:marBottom w:val="0"/>
      <w:divBdr>
        <w:top w:val="none" w:sz="0" w:space="0" w:color="auto"/>
        <w:left w:val="none" w:sz="0" w:space="0" w:color="auto"/>
        <w:bottom w:val="none" w:sz="0" w:space="0" w:color="auto"/>
        <w:right w:val="none" w:sz="0" w:space="0" w:color="auto"/>
      </w:divBdr>
    </w:div>
    <w:div w:id="994188977">
      <w:bodyDiv w:val="1"/>
      <w:marLeft w:val="0"/>
      <w:marRight w:val="0"/>
      <w:marTop w:val="0"/>
      <w:marBottom w:val="0"/>
      <w:divBdr>
        <w:top w:val="none" w:sz="0" w:space="0" w:color="auto"/>
        <w:left w:val="none" w:sz="0" w:space="0" w:color="auto"/>
        <w:bottom w:val="none" w:sz="0" w:space="0" w:color="auto"/>
        <w:right w:val="none" w:sz="0" w:space="0" w:color="auto"/>
      </w:divBdr>
    </w:div>
    <w:div w:id="1012537512">
      <w:bodyDiv w:val="1"/>
      <w:marLeft w:val="0"/>
      <w:marRight w:val="0"/>
      <w:marTop w:val="0"/>
      <w:marBottom w:val="0"/>
      <w:divBdr>
        <w:top w:val="none" w:sz="0" w:space="0" w:color="auto"/>
        <w:left w:val="none" w:sz="0" w:space="0" w:color="auto"/>
        <w:bottom w:val="none" w:sz="0" w:space="0" w:color="auto"/>
        <w:right w:val="none" w:sz="0" w:space="0" w:color="auto"/>
      </w:divBdr>
    </w:div>
    <w:div w:id="1014768560">
      <w:bodyDiv w:val="1"/>
      <w:marLeft w:val="0"/>
      <w:marRight w:val="0"/>
      <w:marTop w:val="0"/>
      <w:marBottom w:val="0"/>
      <w:divBdr>
        <w:top w:val="none" w:sz="0" w:space="0" w:color="auto"/>
        <w:left w:val="none" w:sz="0" w:space="0" w:color="auto"/>
        <w:bottom w:val="none" w:sz="0" w:space="0" w:color="auto"/>
        <w:right w:val="none" w:sz="0" w:space="0" w:color="auto"/>
      </w:divBdr>
    </w:div>
    <w:div w:id="1023628805">
      <w:bodyDiv w:val="1"/>
      <w:marLeft w:val="0"/>
      <w:marRight w:val="0"/>
      <w:marTop w:val="0"/>
      <w:marBottom w:val="0"/>
      <w:divBdr>
        <w:top w:val="none" w:sz="0" w:space="0" w:color="auto"/>
        <w:left w:val="none" w:sz="0" w:space="0" w:color="auto"/>
        <w:bottom w:val="none" w:sz="0" w:space="0" w:color="auto"/>
        <w:right w:val="none" w:sz="0" w:space="0" w:color="auto"/>
      </w:divBdr>
    </w:div>
    <w:div w:id="1036278539">
      <w:bodyDiv w:val="1"/>
      <w:marLeft w:val="0"/>
      <w:marRight w:val="0"/>
      <w:marTop w:val="0"/>
      <w:marBottom w:val="0"/>
      <w:divBdr>
        <w:top w:val="none" w:sz="0" w:space="0" w:color="auto"/>
        <w:left w:val="none" w:sz="0" w:space="0" w:color="auto"/>
        <w:bottom w:val="none" w:sz="0" w:space="0" w:color="auto"/>
        <w:right w:val="none" w:sz="0" w:space="0" w:color="auto"/>
      </w:divBdr>
    </w:div>
    <w:div w:id="1058280118">
      <w:bodyDiv w:val="1"/>
      <w:marLeft w:val="0"/>
      <w:marRight w:val="0"/>
      <w:marTop w:val="0"/>
      <w:marBottom w:val="0"/>
      <w:divBdr>
        <w:top w:val="none" w:sz="0" w:space="0" w:color="auto"/>
        <w:left w:val="none" w:sz="0" w:space="0" w:color="auto"/>
        <w:bottom w:val="none" w:sz="0" w:space="0" w:color="auto"/>
        <w:right w:val="none" w:sz="0" w:space="0" w:color="auto"/>
      </w:divBdr>
    </w:div>
    <w:div w:id="1077091868">
      <w:bodyDiv w:val="1"/>
      <w:marLeft w:val="0"/>
      <w:marRight w:val="0"/>
      <w:marTop w:val="0"/>
      <w:marBottom w:val="0"/>
      <w:divBdr>
        <w:top w:val="none" w:sz="0" w:space="0" w:color="auto"/>
        <w:left w:val="none" w:sz="0" w:space="0" w:color="auto"/>
        <w:bottom w:val="none" w:sz="0" w:space="0" w:color="auto"/>
        <w:right w:val="none" w:sz="0" w:space="0" w:color="auto"/>
      </w:divBdr>
    </w:div>
    <w:div w:id="1084840360">
      <w:bodyDiv w:val="1"/>
      <w:marLeft w:val="0"/>
      <w:marRight w:val="0"/>
      <w:marTop w:val="0"/>
      <w:marBottom w:val="0"/>
      <w:divBdr>
        <w:top w:val="none" w:sz="0" w:space="0" w:color="auto"/>
        <w:left w:val="none" w:sz="0" w:space="0" w:color="auto"/>
        <w:bottom w:val="none" w:sz="0" w:space="0" w:color="auto"/>
        <w:right w:val="none" w:sz="0" w:space="0" w:color="auto"/>
      </w:divBdr>
    </w:div>
    <w:div w:id="1096367084">
      <w:bodyDiv w:val="1"/>
      <w:marLeft w:val="0"/>
      <w:marRight w:val="0"/>
      <w:marTop w:val="0"/>
      <w:marBottom w:val="0"/>
      <w:divBdr>
        <w:top w:val="none" w:sz="0" w:space="0" w:color="auto"/>
        <w:left w:val="none" w:sz="0" w:space="0" w:color="auto"/>
        <w:bottom w:val="none" w:sz="0" w:space="0" w:color="auto"/>
        <w:right w:val="none" w:sz="0" w:space="0" w:color="auto"/>
      </w:divBdr>
    </w:div>
    <w:div w:id="1104421584">
      <w:bodyDiv w:val="1"/>
      <w:marLeft w:val="0"/>
      <w:marRight w:val="0"/>
      <w:marTop w:val="0"/>
      <w:marBottom w:val="0"/>
      <w:divBdr>
        <w:top w:val="none" w:sz="0" w:space="0" w:color="auto"/>
        <w:left w:val="none" w:sz="0" w:space="0" w:color="auto"/>
        <w:bottom w:val="none" w:sz="0" w:space="0" w:color="auto"/>
        <w:right w:val="none" w:sz="0" w:space="0" w:color="auto"/>
      </w:divBdr>
    </w:div>
    <w:div w:id="1106313712">
      <w:bodyDiv w:val="1"/>
      <w:marLeft w:val="0"/>
      <w:marRight w:val="0"/>
      <w:marTop w:val="0"/>
      <w:marBottom w:val="0"/>
      <w:divBdr>
        <w:top w:val="none" w:sz="0" w:space="0" w:color="auto"/>
        <w:left w:val="none" w:sz="0" w:space="0" w:color="auto"/>
        <w:bottom w:val="none" w:sz="0" w:space="0" w:color="auto"/>
        <w:right w:val="none" w:sz="0" w:space="0" w:color="auto"/>
      </w:divBdr>
    </w:div>
    <w:div w:id="1121455303">
      <w:bodyDiv w:val="1"/>
      <w:marLeft w:val="0"/>
      <w:marRight w:val="0"/>
      <w:marTop w:val="0"/>
      <w:marBottom w:val="0"/>
      <w:divBdr>
        <w:top w:val="none" w:sz="0" w:space="0" w:color="auto"/>
        <w:left w:val="none" w:sz="0" w:space="0" w:color="auto"/>
        <w:bottom w:val="none" w:sz="0" w:space="0" w:color="auto"/>
        <w:right w:val="none" w:sz="0" w:space="0" w:color="auto"/>
      </w:divBdr>
    </w:div>
    <w:div w:id="1122335364">
      <w:bodyDiv w:val="1"/>
      <w:marLeft w:val="0"/>
      <w:marRight w:val="0"/>
      <w:marTop w:val="0"/>
      <w:marBottom w:val="0"/>
      <w:divBdr>
        <w:top w:val="none" w:sz="0" w:space="0" w:color="auto"/>
        <w:left w:val="none" w:sz="0" w:space="0" w:color="auto"/>
        <w:bottom w:val="none" w:sz="0" w:space="0" w:color="auto"/>
        <w:right w:val="none" w:sz="0" w:space="0" w:color="auto"/>
      </w:divBdr>
    </w:div>
    <w:div w:id="1133907318">
      <w:bodyDiv w:val="1"/>
      <w:marLeft w:val="0"/>
      <w:marRight w:val="0"/>
      <w:marTop w:val="0"/>
      <w:marBottom w:val="0"/>
      <w:divBdr>
        <w:top w:val="none" w:sz="0" w:space="0" w:color="auto"/>
        <w:left w:val="none" w:sz="0" w:space="0" w:color="auto"/>
        <w:bottom w:val="none" w:sz="0" w:space="0" w:color="auto"/>
        <w:right w:val="none" w:sz="0" w:space="0" w:color="auto"/>
      </w:divBdr>
    </w:div>
    <w:div w:id="1143542330">
      <w:bodyDiv w:val="1"/>
      <w:marLeft w:val="0"/>
      <w:marRight w:val="0"/>
      <w:marTop w:val="0"/>
      <w:marBottom w:val="0"/>
      <w:divBdr>
        <w:top w:val="none" w:sz="0" w:space="0" w:color="auto"/>
        <w:left w:val="none" w:sz="0" w:space="0" w:color="auto"/>
        <w:bottom w:val="none" w:sz="0" w:space="0" w:color="auto"/>
        <w:right w:val="none" w:sz="0" w:space="0" w:color="auto"/>
      </w:divBdr>
    </w:div>
    <w:div w:id="1178539921">
      <w:bodyDiv w:val="1"/>
      <w:marLeft w:val="0"/>
      <w:marRight w:val="0"/>
      <w:marTop w:val="0"/>
      <w:marBottom w:val="0"/>
      <w:divBdr>
        <w:top w:val="none" w:sz="0" w:space="0" w:color="auto"/>
        <w:left w:val="none" w:sz="0" w:space="0" w:color="auto"/>
        <w:bottom w:val="none" w:sz="0" w:space="0" w:color="auto"/>
        <w:right w:val="none" w:sz="0" w:space="0" w:color="auto"/>
      </w:divBdr>
    </w:div>
    <w:div w:id="1186476984">
      <w:bodyDiv w:val="1"/>
      <w:marLeft w:val="0"/>
      <w:marRight w:val="0"/>
      <w:marTop w:val="0"/>
      <w:marBottom w:val="0"/>
      <w:divBdr>
        <w:top w:val="none" w:sz="0" w:space="0" w:color="auto"/>
        <w:left w:val="none" w:sz="0" w:space="0" w:color="auto"/>
        <w:bottom w:val="none" w:sz="0" w:space="0" w:color="auto"/>
        <w:right w:val="none" w:sz="0" w:space="0" w:color="auto"/>
      </w:divBdr>
    </w:div>
    <w:div w:id="1201821056">
      <w:bodyDiv w:val="1"/>
      <w:marLeft w:val="0"/>
      <w:marRight w:val="0"/>
      <w:marTop w:val="0"/>
      <w:marBottom w:val="0"/>
      <w:divBdr>
        <w:top w:val="none" w:sz="0" w:space="0" w:color="auto"/>
        <w:left w:val="none" w:sz="0" w:space="0" w:color="auto"/>
        <w:bottom w:val="none" w:sz="0" w:space="0" w:color="auto"/>
        <w:right w:val="none" w:sz="0" w:space="0" w:color="auto"/>
      </w:divBdr>
    </w:div>
    <w:div w:id="1227692459">
      <w:bodyDiv w:val="1"/>
      <w:marLeft w:val="0"/>
      <w:marRight w:val="0"/>
      <w:marTop w:val="0"/>
      <w:marBottom w:val="0"/>
      <w:divBdr>
        <w:top w:val="none" w:sz="0" w:space="0" w:color="auto"/>
        <w:left w:val="none" w:sz="0" w:space="0" w:color="auto"/>
        <w:bottom w:val="none" w:sz="0" w:space="0" w:color="auto"/>
        <w:right w:val="none" w:sz="0" w:space="0" w:color="auto"/>
      </w:divBdr>
      <w:divsChild>
        <w:div w:id="614794347">
          <w:marLeft w:val="0"/>
          <w:marRight w:val="0"/>
          <w:marTop w:val="0"/>
          <w:marBottom w:val="166"/>
          <w:divBdr>
            <w:top w:val="none" w:sz="0" w:space="0" w:color="auto"/>
            <w:left w:val="none" w:sz="0" w:space="0" w:color="auto"/>
            <w:bottom w:val="none" w:sz="0" w:space="0" w:color="auto"/>
            <w:right w:val="none" w:sz="0" w:space="0" w:color="auto"/>
          </w:divBdr>
          <w:divsChild>
            <w:div w:id="1014720634">
              <w:marLeft w:val="0"/>
              <w:marRight w:val="0"/>
              <w:marTop w:val="0"/>
              <w:marBottom w:val="0"/>
              <w:divBdr>
                <w:top w:val="none" w:sz="0" w:space="0" w:color="auto"/>
                <w:left w:val="none" w:sz="0" w:space="0" w:color="auto"/>
                <w:bottom w:val="none" w:sz="0" w:space="0" w:color="auto"/>
                <w:right w:val="none" w:sz="0" w:space="0" w:color="auto"/>
              </w:divBdr>
              <w:divsChild>
                <w:div w:id="875191864">
                  <w:marLeft w:val="0"/>
                  <w:marRight w:val="0"/>
                  <w:marTop w:val="0"/>
                  <w:marBottom w:val="0"/>
                  <w:divBdr>
                    <w:top w:val="none" w:sz="0" w:space="0" w:color="auto"/>
                    <w:left w:val="none" w:sz="0" w:space="0" w:color="auto"/>
                    <w:bottom w:val="none" w:sz="0" w:space="0" w:color="auto"/>
                    <w:right w:val="none" w:sz="0" w:space="0" w:color="auto"/>
                  </w:divBdr>
                  <w:divsChild>
                    <w:div w:id="21900379">
                      <w:marLeft w:val="0"/>
                      <w:marRight w:val="0"/>
                      <w:marTop w:val="0"/>
                      <w:marBottom w:val="0"/>
                      <w:divBdr>
                        <w:top w:val="none" w:sz="0" w:space="0" w:color="auto"/>
                        <w:left w:val="none" w:sz="0" w:space="0" w:color="auto"/>
                        <w:bottom w:val="none" w:sz="0" w:space="0" w:color="auto"/>
                        <w:right w:val="none" w:sz="0" w:space="0" w:color="auto"/>
                      </w:divBdr>
                    </w:div>
                    <w:div w:id="684282228">
                      <w:marLeft w:val="0"/>
                      <w:marRight w:val="0"/>
                      <w:marTop w:val="0"/>
                      <w:marBottom w:val="0"/>
                      <w:divBdr>
                        <w:top w:val="none" w:sz="0" w:space="0" w:color="auto"/>
                        <w:left w:val="none" w:sz="0" w:space="0" w:color="auto"/>
                        <w:bottom w:val="none" w:sz="0" w:space="0" w:color="auto"/>
                        <w:right w:val="none" w:sz="0" w:space="0" w:color="auto"/>
                      </w:divBdr>
                    </w:div>
                  </w:divsChild>
                </w:div>
                <w:div w:id="1565026863">
                  <w:marLeft w:val="0"/>
                  <w:marRight w:val="0"/>
                  <w:marTop w:val="0"/>
                  <w:marBottom w:val="0"/>
                  <w:divBdr>
                    <w:top w:val="none" w:sz="0" w:space="0" w:color="auto"/>
                    <w:left w:val="none" w:sz="0" w:space="0" w:color="auto"/>
                    <w:bottom w:val="none" w:sz="0" w:space="0" w:color="auto"/>
                    <w:right w:val="none" w:sz="0" w:space="0" w:color="auto"/>
                  </w:divBdr>
                  <w:divsChild>
                    <w:div w:id="1044333872">
                      <w:marLeft w:val="0"/>
                      <w:marRight w:val="0"/>
                      <w:marTop w:val="0"/>
                      <w:marBottom w:val="0"/>
                      <w:divBdr>
                        <w:top w:val="none" w:sz="0" w:space="0" w:color="auto"/>
                        <w:left w:val="none" w:sz="0" w:space="0" w:color="auto"/>
                        <w:bottom w:val="none" w:sz="0" w:space="0" w:color="auto"/>
                        <w:right w:val="none" w:sz="0" w:space="0" w:color="auto"/>
                      </w:divBdr>
                      <w:divsChild>
                        <w:div w:id="1194811213">
                          <w:marLeft w:val="0"/>
                          <w:marRight w:val="0"/>
                          <w:marTop w:val="0"/>
                          <w:marBottom w:val="0"/>
                          <w:divBdr>
                            <w:top w:val="none" w:sz="0" w:space="0" w:color="auto"/>
                            <w:left w:val="none" w:sz="0" w:space="0" w:color="auto"/>
                            <w:bottom w:val="none" w:sz="0" w:space="0" w:color="auto"/>
                            <w:right w:val="none" w:sz="0" w:space="0" w:color="auto"/>
                          </w:divBdr>
                        </w:div>
                        <w:div w:id="11999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69173">
          <w:marLeft w:val="0"/>
          <w:marRight w:val="0"/>
          <w:marTop w:val="166"/>
          <w:marBottom w:val="166"/>
          <w:divBdr>
            <w:top w:val="none" w:sz="0" w:space="0" w:color="auto"/>
            <w:left w:val="none" w:sz="0" w:space="0" w:color="auto"/>
            <w:bottom w:val="none" w:sz="0" w:space="0" w:color="auto"/>
            <w:right w:val="none" w:sz="0" w:space="0" w:color="auto"/>
          </w:divBdr>
          <w:divsChild>
            <w:div w:id="2680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31039">
      <w:bodyDiv w:val="1"/>
      <w:marLeft w:val="0"/>
      <w:marRight w:val="0"/>
      <w:marTop w:val="0"/>
      <w:marBottom w:val="0"/>
      <w:divBdr>
        <w:top w:val="none" w:sz="0" w:space="0" w:color="auto"/>
        <w:left w:val="none" w:sz="0" w:space="0" w:color="auto"/>
        <w:bottom w:val="none" w:sz="0" w:space="0" w:color="auto"/>
        <w:right w:val="none" w:sz="0" w:space="0" w:color="auto"/>
      </w:divBdr>
    </w:div>
    <w:div w:id="1252352228">
      <w:bodyDiv w:val="1"/>
      <w:marLeft w:val="0"/>
      <w:marRight w:val="0"/>
      <w:marTop w:val="0"/>
      <w:marBottom w:val="0"/>
      <w:divBdr>
        <w:top w:val="none" w:sz="0" w:space="0" w:color="auto"/>
        <w:left w:val="none" w:sz="0" w:space="0" w:color="auto"/>
        <w:bottom w:val="none" w:sz="0" w:space="0" w:color="auto"/>
        <w:right w:val="none" w:sz="0" w:space="0" w:color="auto"/>
      </w:divBdr>
    </w:div>
    <w:div w:id="1272281820">
      <w:bodyDiv w:val="1"/>
      <w:marLeft w:val="0"/>
      <w:marRight w:val="0"/>
      <w:marTop w:val="0"/>
      <w:marBottom w:val="0"/>
      <w:divBdr>
        <w:top w:val="none" w:sz="0" w:space="0" w:color="auto"/>
        <w:left w:val="none" w:sz="0" w:space="0" w:color="auto"/>
        <w:bottom w:val="none" w:sz="0" w:space="0" w:color="auto"/>
        <w:right w:val="none" w:sz="0" w:space="0" w:color="auto"/>
      </w:divBdr>
    </w:div>
    <w:div w:id="1276795050">
      <w:bodyDiv w:val="1"/>
      <w:marLeft w:val="0"/>
      <w:marRight w:val="0"/>
      <w:marTop w:val="0"/>
      <w:marBottom w:val="0"/>
      <w:divBdr>
        <w:top w:val="none" w:sz="0" w:space="0" w:color="auto"/>
        <w:left w:val="none" w:sz="0" w:space="0" w:color="auto"/>
        <w:bottom w:val="none" w:sz="0" w:space="0" w:color="auto"/>
        <w:right w:val="none" w:sz="0" w:space="0" w:color="auto"/>
      </w:divBdr>
    </w:div>
    <w:div w:id="1281255261">
      <w:bodyDiv w:val="1"/>
      <w:marLeft w:val="0"/>
      <w:marRight w:val="0"/>
      <w:marTop w:val="0"/>
      <w:marBottom w:val="0"/>
      <w:divBdr>
        <w:top w:val="none" w:sz="0" w:space="0" w:color="auto"/>
        <w:left w:val="none" w:sz="0" w:space="0" w:color="auto"/>
        <w:bottom w:val="none" w:sz="0" w:space="0" w:color="auto"/>
        <w:right w:val="none" w:sz="0" w:space="0" w:color="auto"/>
      </w:divBdr>
    </w:div>
    <w:div w:id="1281912733">
      <w:bodyDiv w:val="1"/>
      <w:marLeft w:val="0"/>
      <w:marRight w:val="0"/>
      <w:marTop w:val="0"/>
      <w:marBottom w:val="0"/>
      <w:divBdr>
        <w:top w:val="none" w:sz="0" w:space="0" w:color="auto"/>
        <w:left w:val="none" w:sz="0" w:space="0" w:color="auto"/>
        <w:bottom w:val="none" w:sz="0" w:space="0" w:color="auto"/>
        <w:right w:val="none" w:sz="0" w:space="0" w:color="auto"/>
      </w:divBdr>
    </w:div>
    <w:div w:id="1293750605">
      <w:bodyDiv w:val="1"/>
      <w:marLeft w:val="0"/>
      <w:marRight w:val="0"/>
      <w:marTop w:val="0"/>
      <w:marBottom w:val="0"/>
      <w:divBdr>
        <w:top w:val="none" w:sz="0" w:space="0" w:color="auto"/>
        <w:left w:val="none" w:sz="0" w:space="0" w:color="auto"/>
        <w:bottom w:val="none" w:sz="0" w:space="0" w:color="auto"/>
        <w:right w:val="none" w:sz="0" w:space="0" w:color="auto"/>
      </w:divBdr>
    </w:div>
    <w:div w:id="1295134322">
      <w:bodyDiv w:val="1"/>
      <w:marLeft w:val="0"/>
      <w:marRight w:val="0"/>
      <w:marTop w:val="0"/>
      <w:marBottom w:val="0"/>
      <w:divBdr>
        <w:top w:val="none" w:sz="0" w:space="0" w:color="auto"/>
        <w:left w:val="none" w:sz="0" w:space="0" w:color="auto"/>
        <w:bottom w:val="none" w:sz="0" w:space="0" w:color="auto"/>
        <w:right w:val="none" w:sz="0" w:space="0" w:color="auto"/>
      </w:divBdr>
    </w:div>
    <w:div w:id="1295406256">
      <w:bodyDiv w:val="1"/>
      <w:marLeft w:val="0"/>
      <w:marRight w:val="0"/>
      <w:marTop w:val="0"/>
      <w:marBottom w:val="0"/>
      <w:divBdr>
        <w:top w:val="none" w:sz="0" w:space="0" w:color="auto"/>
        <w:left w:val="none" w:sz="0" w:space="0" w:color="auto"/>
        <w:bottom w:val="none" w:sz="0" w:space="0" w:color="auto"/>
        <w:right w:val="none" w:sz="0" w:space="0" w:color="auto"/>
      </w:divBdr>
    </w:div>
    <w:div w:id="1313216530">
      <w:bodyDiv w:val="1"/>
      <w:marLeft w:val="0"/>
      <w:marRight w:val="0"/>
      <w:marTop w:val="0"/>
      <w:marBottom w:val="0"/>
      <w:divBdr>
        <w:top w:val="none" w:sz="0" w:space="0" w:color="auto"/>
        <w:left w:val="none" w:sz="0" w:space="0" w:color="auto"/>
        <w:bottom w:val="none" w:sz="0" w:space="0" w:color="auto"/>
        <w:right w:val="none" w:sz="0" w:space="0" w:color="auto"/>
      </w:divBdr>
    </w:div>
    <w:div w:id="1325232997">
      <w:bodyDiv w:val="1"/>
      <w:marLeft w:val="0"/>
      <w:marRight w:val="0"/>
      <w:marTop w:val="0"/>
      <w:marBottom w:val="0"/>
      <w:divBdr>
        <w:top w:val="none" w:sz="0" w:space="0" w:color="auto"/>
        <w:left w:val="none" w:sz="0" w:space="0" w:color="auto"/>
        <w:bottom w:val="none" w:sz="0" w:space="0" w:color="auto"/>
        <w:right w:val="none" w:sz="0" w:space="0" w:color="auto"/>
      </w:divBdr>
    </w:div>
    <w:div w:id="1344475568">
      <w:bodyDiv w:val="1"/>
      <w:marLeft w:val="0"/>
      <w:marRight w:val="0"/>
      <w:marTop w:val="0"/>
      <w:marBottom w:val="0"/>
      <w:divBdr>
        <w:top w:val="none" w:sz="0" w:space="0" w:color="auto"/>
        <w:left w:val="none" w:sz="0" w:space="0" w:color="auto"/>
        <w:bottom w:val="none" w:sz="0" w:space="0" w:color="auto"/>
        <w:right w:val="none" w:sz="0" w:space="0" w:color="auto"/>
      </w:divBdr>
    </w:div>
    <w:div w:id="1348173270">
      <w:bodyDiv w:val="1"/>
      <w:marLeft w:val="0"/>
      <w:marRight w:val="0"/>
      <w:marTop w:val="0"/>
      <w:marBottom w:val="0"/>
      <w:divBdr>
        <w:top w:val="none" w:sz="0" w:space="0" w:color="auto"/>
        <w:left w:val="none" w:sz="0" w:space="0" w:color="auto"/>
        <w:bottom w:val="none" w:sz="0" w:space="0" w:color="auto"/>
        <w:right w:val="none" w:sz="0" w:space="0" w:color="auto"/>
      </w:divBdr>
    </w:div>
    <w:div w:id="1350716455">
      <w:bodyDiv w:val="1"/>
      <w:marLeft w:val="0"/>
      <w:marRight w:val="0"/>
      <w:marTop w:val="0"/>
      <w:marBottom w:val="0"/>
      <w:divBdr>
        <w:top w:val="none" w:sz="0" w:space="0" w:color="auto"/>
        <w:left w:val="none" w:sz="0" w:space="0" w:color="auto"/>
        <w:bottom w:val="none" w:sz="0" w:space="0" w:color="auto"/>
        <w:right w:val="none" w:sz="0" w:space="0" w:color="auto"/>
      </w:divBdr>
    </w:div>
    <w:div w:id="1407532370">
      <w:bodyDiv w:val="1"/>
      <w:marLeft w:val="0"/>
      <w:marRight w:val="0"/>
      <w:marTop w:val="0"/>
      <w:marBottom w:val="0"/>
      <w:divBdr>
        <w:top w:val="none" w:sz="0" w:space="0" w:color="auto"/>
        <w:left w:val="none" w:sz="0" w:space="0" w:color="auto"/>
        <w:bottom w:val="none" w:sz="0" w:space="0" w:color="auto"/>
        <w:right w:val="none" w:sz="0" w:space="0" w:color="auto"/>
      </w:divBdr>
    </w:div>
    <w:div w:id="1420441091">
      <w:bodyDiv w:val="1"/>
      <w:marLeft w:val="0"/>
      <w:marRight w:val="0"/>
      <w:marTop w:val="0"/>
      <w:marBottom w:val="0"/>
      <w:divBdr>
        <w:top w:val="none" w:sz="0" w:space="0" w:color="auto"/>
        <w:left w:val="none" w:sz="0" w:space="0" w:color="auto"/>
        <w:bottom w:val="none" w:sz="0" w:space="0" w:color="auto"/>
        <w:right w:val="none" w:sz="0" w:space="0" w:color="auto"/>
      </w:divBdr>
    </w:div>
    <w:div w:id="1425224648">
      <w:bodyDiv w:val="1"/>
      <w:marLeft w:val="0"/>
      <w:marRight w:val="0"/>
      <w:marTop w:val="0"/>
      <w:marBottom w:val="0"/>
      <w:divBdr>
        <w:top w:val="none" w:sz="0" w:space="0" w:color="auto"/>
        <w:left w:val="none" w:sz="0" w:space="0" w:color="auto"/>
        <w:bottom w:val="none" w:sz="0" w:space="0" w:color="auto"/>
        <w:right w:val="none" w:sz="0" w:space="0" w:color="auto"/>
      </w:divBdr>
    </w:div>
    <w:div w:id="1428112649">
      <w:bodyDiv w:val="1"/>
      <w:marLeft w:val="0"/>
      <w:marRight w:val="0"/>
      <w:marTop w:val="0"/>
      <w:marBottom w:val="0"/>
      <w:divBdr>
        <w:top w:val="none" w:sz="0" w:space="0" w:color="auto"/>
        <w:left w:val="none" w:sz="0" w:space="0" w:color="auto"/>
        <w:bottom w:val="none" w:sz="0" w:space="0" w:color="auto"/>
        <w:right w:val="none" w:sz="0" w:space="0" w:color="auto"/>
      </w:divBdr>
    </w:div>
    <w:div w:id="1429235069">
      <w:bodyDiv w:val="1"/>
      <w:marLeft w:val="0"/>
      <w:marRight w:val="0"/>
      <w:marTop w:val="0"/>
      <w:marBottom w:val="0"/>
      <w:divBdr>
        <w:top w:val="none" w:sz="0" w:space="0" w:color="auto"/>
        <w:left w:val="none" w:sz="0" w:space="0" w:color="auto"/>
        <w:bottom w:val="none" w:sz="0" w:space="0" w:color="auto"/>
        <w:right w:val="none" w:sz="0" w:space="0" w:color="auto"/>
      </w:divBdr>
    </w:div>
    <w:div w:id="1448429306">
      <w:bodyDiv w:val="1"/>
      <w:marLeft w:val="0"/>
      <w:marRight w:val="0"/>
      <w:marTop w:val="0"/>
      <w:marBottom w:val="0"/>
      <w:divBdr>
        <w:top w:val="none" w:sz="0" w:space="0" w:color="auto"/>
        <w:left w:val="none" w:sz="0" w:space="0" w:color="auto"/>
        <w:bottom w:val="none" w:sz="0" w:space="0" w:color="auto"/>
        <w:right w:val="none" w:sz="0" w:space="0" w:color="auto"/>
      </w:divBdr>
    </w:div>
    <w:div w:id="1456026524">
      <w:bodyDiv w:val="1"/>
      <w:marLeft w:val="0"/>
      <w:marRight w:val="0"/>
      <w:marTop w:val="0"/>
      <w:marBottom w:val="0"/>
      <w:divBdr>
        <w:top w:val="none" w:sz="0" w:space="0" w:color="auto"/>
        <w:left w:val="none" w:sz="0" w:space="0" w:color="auto"/>
        <w:bottom w:val="none" w:sz="0" w:space="0" w:color="auto"/>
        <w:right w:val="none" w:sz="0" w:space="0" w:color="auto"/>
      </w:divBdr>
    </w:div>
    <w:div w:id="1481535262">
      <w:bodyDiv w:val="1"/>
      <w:marLeft w:val="0"/>
      <w:marRight w:val="0"/>
      <w:marTop w:val="0"/>
      <w:marBottom w:val="0"/>
      <w:divBdr>
        <w:top w:val="none" w:sz="0" w:space="0" w:color="auto"/>
        <w:left w:val="none" w:sz="0" w:space="0" w:color="auto"/>
        <w:bottom w:val="none" w:sz="0" w:space="0" w:color="auto"/>
        <w:right w:val="none" w:sz="0" w:space="0" w:color="auto"/>
      </w:divBdr>
    </w:div>
    <w:div w:id="1489128410">
      <w:bodyDiv w:val="1"/>
      <w:marLeft w:val="0"/>
      <w:marRight w:val="0"/>
      <w:marTop w:val="0"/>
      <w:marBottom w:val="0"/>
      <w:divBdr>
        <w:top w:val="none" w:sz="0" w:space="0" w:color="auto"/>
        <w:left w:val="none" w:sz="0" w:space="0" w:color="auto"/>
        <w:bottom w:val="none" w:sz="0" w:space="0" w:color="auto"/>
        <w:right w:val="none" w:sz="0" w:space="0" w:color="auto"/>
      </w:divBdr>
    </w:div>
    <w:div w:id="1498038491">
      <w:bodyDiv w:val="1"/>
      <w:marLeft w:val="0"/>
      <w:marRight w:val="0"/>
      <w:marTop w:val="0"/>
      <w:marBottom w:val="0"/>
      <w:divBdr>
        <w:top w:val="none" w:sz="0" w:space="0" w:color="auto"/>
        <w:left w:val="none" w:sz="0" w:space="0" w:color="auto"/>
        <w:bottom w:val="none" w:sz="0" w:space="0" w:color="auto"/>
        <w:right w:val="none" w:sz="0" w:space="0" w:color="auto"/>
      </w:divBdr>
    </w:div>
    <w:div w:id="1501696528">
      <w:bodyDiv w:val="1"/>
      <w:marLeft w:val="0"/>
      <w:marRight w:val="0"/>
      <w:marTop w:val="0"/>
      <w:marBottom w:val="0"/>
      <w:divBdr>
        <w:top w:val="none" w:sz="0" w:space="0" w:color="auto"/>
        <w:left w:val="none" w:sz="0" w:space="0" w:color="auto"/>
        <w:bottom w:val="none" w:sz="0" w:space="0" w:color="auto"/>
        <w:right w:val="none" w:sz="0" w:space="0" w:color="auto"/>
      </w:divBdr>
    </w:div>
    <w:div w:id="1504540646">
      <w:bodyDiv w:val="1"/>
      <w:marLeft w:val="0"/>
      <w:marRight w:val="0"/>
      <w:marTop w:val="0"/>
      <w:marBottom w:val="0"/>
      <w:divBdr>
        <w:top w:val="none" w:sz="0" w:space="0" w:color="auto"/>
        <w:left w:val="none" w:sz="0" w:space="0" w:color="auto"/>
        <w:bottom w:val="none" w:sz="0" w:space="0" w:color="auto"/>
        <w:right w:val="none" w:sz="0" w:space="0" w:color="auto"/>
      </w:divBdr>
    </w:div>
    <w:div w:id="1544370338">
      <w:bodyDiv w:val="1"/>
      <w:marLeft w:val="0"/>
      <w:marRight w:val="0"/>
      <w:marTop w:val="0"/>
      <w:marBottom w:val="0"/>
      <w:divBdr>
        <w:top w:val="none" w:sz="0" w:space="0" w:color="auto"/>
        <w:left w:val="none" w:sz="0" w:space="0" w:color="auto"/>
        <w:bottom w:val="none" w:sz="0" w:space="0" w:color="auto"/>
        <w:right w:val="none" w:sz="0" w:space="0" w:color="auto"/>
      </w:divBdr>
    </w:div>
    <w:div w:id="1557931642">
      <w:bodyDiv w:val="1"/>
      <w:marLeft w:val="0"/>
      <w:marRight w:val="0"/>
      <w:marTop w:val="0"/>
      <w:marBottom w:val="0"/>
      <w:divBdr>
        <w:top w:val="none" w:sz="0" w:space="0" w:color="auto"/>
        <w:left w:val="none" w:sz="0" w:space="0" w:color="auto"/>
        <w:bottom w:val="none" w:sz="0" w:space="0" w:color="auto"/>
        <w:right w:val="none" w:sz="0" w:space="0" w:color="auto"/>
      </w:divBdr>
    </w:div>
    <w:div w:id="1571962254">
      <w:bodyDiv w:val="1"/>
      <w:marLeft w:val="0"/>
      <w:marRight w:val="0"/>
      <w:marTop w:val="0"/>
      <w:marBottom w:val="0"/>
      <w:divBdr>
        <w:top w:val="none" w:sz="0" w:space="0" w:color="auto"/>
        <w:left w:val="none" w:sz="0" w:space="0" w:color="auto"/>
        <w:bottom w:val="none" w:sz="0" w:space="0" w:color="auto"/>
        <w:right w:val="none" w:sz="0" w:space="0" w:color="auto"/>
      </w:divBdr>
    </w:div>
    <w:div w:id="1577977853">
      <w:bodyDiv w:val="1"/>
      <w:marLeft w:val="0"/>
      <w:marRight w:val="0"/>
      <w:marTop w:val="0"/>
      <w:marBottom w:val="0"/>
      <w:divBdr>
        <w:top w:val="none" w:sz="0" w:space="0" w:color="auto"/>
        <w:left w:val="none" w:sz="0" w:space="0" w:color="auto"/>
        <w:bottom w:val="none" w:sz="0" w:space="0" w:color="auto"/>
        <w:right w:val="none" w:sz="0" w:space="0" w:color="auto"/>
      </w:divBdr>
    </w:div>
    <w:div w:id="1594557747">
      <w:bodyDiv w:val="1"/>
      <w:marLeft w:val="0"/>
      <w:marRight w:val="0"/>
      <w:marTop w:val="0"/>
      <w:marBottom w:val="0"/>
      <w:divBdr>
        <w:top w:val="none" w:sz="0" w:space="0" w:color="auto"/>
        <w:left w:val="none" w:sz="0" w:space="0" w:color="auto"/>
        <w:bottom w:val="none" w:sz="0" w:space="0" w:color="auto"/>
        <w:right w:val="none" w:sz="0" w:space="0" w:color="auto"/>
      </w:divBdr>
    </w:div>
    <w:div w:id="1611737874">
      <w:bodyDiv w:val="1"/>
      <w:marLeft w:val="0"/>
      <w:marRight w:val="0"/>
      <w:marTop w:val="0"/>
      <w:marBottom w:val="0"/>
      <w:divBdr>
        <w:top w:val="none" w:sz="0" w:space="0" w:color="auto"/>
        <w:left w:val="none" w:sz="0" w:space="0" w:color="auto"/>
        <w:bottom w:val="none" w:sz="0" w:space="0" w:color="auto"/>
        <w:right w:val="none" w:sz="0" w:space="0" w:color="auto"/>
      </w:divBdr>
    </w:div>
    <w:div w:id="1626889297">
      <w:bodyDiv w:val="1"/>
      <w:marLeft w:val="0"/>
      <w:marRight w:val="0"/>
      <w:marTop w:val="0"/>
      <w:marBottom w:val="0"/>
      <w:divBdr>
        <w:top w:val="none" w:sz="0" w:space="0" w:color="auto"/>
        <w:left w:val="none" w:sz="0" w:space="0" w:color="auto"/>
        <w:bottom w:val="none" w:sz="0" w:space="0" w:color="auto"/>
        <w:right w:val="none" w:sz="0" w:space="0" w:color="auto"/>
      </w:divBdr>
    </w:div>
    <w:div w:id="1635912322">
      <w:bodyDiv w:val="1"/>
      <w:marLeft w:val="0"/>
      <w:marRight w:val="0"/>
      <w:marTop w:val="0"/>
      <w:marBottom w:val="0"/>
      <w:divBdr>
        <w:top w:val="none" w:sz="0" w:space="0" w:color="auto"/>
        <w:left w:val="none" w:sz="0" w:space="0" w:color="auto"/>
        <w:bottom w:val="none" w:sz="0" w:space="0" w:color="auto"/>
        <w:right w:val="none" w:sz="0" w:space="0" w:color="auto"/>
      </w:divBdr>
    </w:div>
    <w:div w:id="1656762928">
      <w:bodyDiv w:val="1"/>
      <w:marLeft w:val="0"/>
      <w:marRight w:val="0"/>
      <w:marTop w:val="0"/>
      <w:marBottom w:val="0"/>
      <w:divBdr>
        <w:top w:val="none" w:sz="0" w:space="0" w:color="auto"/>
        <w:left w:val="none" w:sz="0" w:space="0" w:color="auto"/>
        <w:bottom w:val="none" w:sz="0" w:space="0" w:color="auto"/>
        <w:right w:val="none" w:sz="0" w:space="0" w:color="auto"/>
      </w:divBdr>
    </w:div>
    <w:div w:id="1656950032">
      <w:bodyDiv w:val="1"/>
      <w:marLeft w:val="0"/>
      <w:marRight w:val="0"/>
      <w:marTop w:val="0"/>
      <w:marBottom w:val="0"/>
      <w:divBdr>
        <w:top w:val="none" w:sz="0" w:space="0" w:color="auto"/>
        <w:left w:val="none" w:sz="0" w:space="0" w:color="auto"/>
        <w:bottom w:val="none" w:sz="0" w:space="0" w:color="auto"/>
        <w:right w:val="none" w:sz="0" w:space="0" w:color="auto"/>
      </w:divBdr>
    </w:div>
    <w:div w:id="1659646170">
      <w:bodyDiv w:val="1"/>
      <w:marLeft w:val="0"/>
      <w:marRight w:val="0"/>
      <w:marTop w:val="0"/>
      <w:marBottom w:val="0"/>
      <w:divBdr>
        <w:top w:val="none" w:sz="0" w:space="0" w:color="auto"/>
        <w:left w:val="none" w:sz="0" w:space="0" w:color="auto"/>
        <w:bottom w:val="none" w:sz="0" w:space="0" w:color="auto"/>
        <w:right w:val="none" w:sz="0" w:space="0" w:color="auto"/>
      </w:divBdr>
    </w:div>
    <w:div w:id="1762139358">
      <w:bodyDiv w:val="1"/>
      <w:marLeft w:val="0"/>
      <w:marRight w:val="0"/>
      <w:marTop w:val="0"/>
      <w:marBottom w:val="0"/>
      <w:divBdr>
        <w:top w:val="none" w:sz="0" w:space="0" w:color="auto"/>
        <w:left w:val="none" w:sz="0" w:space="0" w:color="auto"/>
        <w:bottom w:val="none" w:sz="0" w:space="0" w:color="auto"/>
        <w:right w:val="none" w:sz="0" w:space="0" w:color="auto"/>
      </w:divBdr>
    </w:div>
    <w:div w:id="1762987739">
      <w:bodyDiv w:val="1"/>
      <w:marLeft w:val="0"/>
      <w:marRight w:val="0"/>
      <w:marTop w:val="0"/>
      <w:marBottom w:val="0"/>
      <w:divBdr>
        <w:top w:val="none" w:sz="0" w:space="0" w:color="auto"/>
        <w:left w:val="none" w:sz="0" w:space="0" w:color="auto"/>
        <w:bottom w:val="none" w:sz="0" w:space="0" w:color="auto"/>
        <w:right w:val="none" w:sz="0" w:space="0" w:color="auto"/>
      </w:divBdr>
    </w:div>
    <w:div w:id="1776441416">
      <w:bodyDiv w:val="1"/>
      <w:marLeft w:val="0"/>
      <w:marRight w:val="0"/>
      <w:marTop w:val="0"/>
      <w:marBottom w:val="0"/>
      <w:divBdr>
        <w:top w:val="none" w:sz="0" w:space="0" w:color="auto"/>
        <w:left w:val="none" w:sz="0" w:space="0" w:color="auto"/>
        <w:bottom w:val="none" w:sz="0" w:space="0" w:color="auto"/>
        <w:right w:val="none" w:sz="0" w:space="0" w:color="auto"/>
      </w:divBdr>
    </w:div>
    <w:div w:id="1801000582">
      <w:bodyDiv w:val="1"/>
      <w:marLeft w:val="0"/>
      <w:marRight w:val="0"/>
      <w:marTop w:val="0"/>
      <w:marBottom w:val="0"/>
      <w:divBdr>
        <w:top w:val="none" w:sz="0" w:space="0" w:color="auto"/>
        <w:left w:val="none" w:sz="0" w:space="0" w:color="auto"/>
        <w:bottom w:val="none" w:sz="0" w:space="0" w:color="auto"/>
        <w:right w:val="none" w:sz="0" w:space="0" w:color="auto"/>
      </w:divBdr>
    </w:div>
    <w:div w:id="1816215235">
      <w:bodyDiv w:val="1"/>
      <w:marLeft w:val="0"/>
      <w:marRight w:val="0"/>
      <w:marTop w:val="0"/>
      <w:marBottom w:val="0"/>
      <w:divBdr>
        <w:top w:val="none" w:sz="0" w:space="0" w:color="auto"/>
        <w:left w:val="none" w:sz="0" w:space="0" w:color="auto"/>
        <w:bottom w:val="none" w:sz="0" w:space="0" w:color="auto"/>
        <w:right w:val="none" w:sz="0" w:space="0" w:color="auto"/>
      </w:divBdr>
    </w:div>
    <w:div w:id="1835878361">
      <w:bodyDiv w:val="1"/>
      <w:marLeft w:val="0"/>
      <w:marRight w:val="0"/>
      <w:marTop w:val="0"/>
      <w:marBottom w:val="0"/>
      <w:divBdr>
        <w:top w:val="none" w:sz="0" w:space="0" w:color="auto"/>
        <w:left w:val="none" w:sz="0" w:space="0" w:color="auto"/>
        <w:bottom w:val="none" w:sz="0" w:space="0" w:color="auto"/>
        <w:right w:val="none" w:sz="0" w:space="0" w:color="auto"/>
      </w:divBdr>
    </w:div>
    <w:div w:id="1863862804">
      <w:bodyDiv w:val="1"/>
      <w:marLeft w:val="0"/>
      <w:marRight w:val="0"/>
      <w:marTop w:val="0"/>
      <w:marBottom w:val="0"/>
      <w:divBdr>
        <w:top w:val="none" w:sz="0" w:space="0" w:color="auto"/>
        <w:left w:val="none" w:sz="0" w:space="0" w:color="auto"/>
        <w:bottom w:val="none" w:sz="0" w:space="0" w:color="auto"/>
        <w:right w:val="none" w:sz="0" w:space="0" w:color="auto"/>
      </w:divBdr>
    </w:div>
    <w:div w:id="1868330108">
      <w:bodyDiv w:val="1"/>
      <w:marLeft w:val="0"/>
      <w:marRight w:val="0"/>
      <w:marTop w:val="0"/>
      <w:marBottom w:val="0"/>
      <w:divBdr>
        <w:top w:val="none" w:sz="0" w:space="0" w:color="auto"/>
        <w:left w:val="none" w:sz="0" w:space="0" w:color="auto"/>
        <w:bottom w:val="none" w:sz="0" w:space="0" w:color="auto"/>
        <w:right w:val="none" w:sz="0" w:space="0" w:color="auto"/>
      </w:divBdr>
    </w:div>
    <w:div w:id="1880314086">
      <w:bodyDiv w:val="1"/>
      <w:marLeft w:val="0"/>
      <w:marRight w:val="0"/>
      <w:marTop w:val="0"/>
      <w:marBottom w:val="0"/>
      <w:divBdr>
        <w:top w:val="none" w:sz="0" w:space="0" w:color="auto"/>
        <w:left w:val="none" w:sz="0" w:space="0" w:color="auto"/>
        <w:bottom w:val="none" w:sz="0" w:space="0" w:color="auto"/>
        <w:right w:val="none" w:sz="0" w:space="0" w:color="auto"/>
      </w:divBdr>
    </w:div>
    <w:div w:id="1920482793">
      <w:bodyDiv w:val="1"/>
      <w:marLeft w:val="0"/>
      <w:marRight w:val="0"/>
      <w:marTop w:val="0"/>
      <w:marBottom w:val="0"/>
      <w:divBdr>
        <w:top w:val="none" w:sz="0" w:space="0" w:color="auto"/>
        <w:left w:val="none" w:sz="0" w:space="0" w:color="auto"/>
        <w:bottom w:val="none" w:sz="0" w:space="0" w:color="auto"/>
        <w:right w:val="none" w:sz="0" w:space="0" w:color="auto"/>
      </w:divBdr>
    </w:div>
    <w:div w:id="1941065943">
      <w:bodyDiv w:val="1"/>
      <w:marLeft w:val="0"/>
      <w:marRight w:val="0"/>
      <w:marTop w:val="0"/>
      <w:marBottom w:val="0"/>
      <w:divBdr>
        <w:top w:val="none" w:sz="0" w:space="0" w:color="auto"/>
        <w:left w:val="none" w:sz="0" w:space="0" w:color="auto"/>
        <w:bottom w:val="none" w:sz="0" w:space="0" w:color="auto"/>
        <w:right w:val="none" w:sz="0" w:space="0" w:color="auto"/>
      </w:divBdr>
    </w:div>
    <w:div w:id="1943954971">
      <w:bodyDiv w:val="1"/>
      <w:marLeft w:val="0"/>
      <w:marRight w:val="0"/>
      <w:marTop w:val="0"/>
      <w:marBottom w:val="0"/>
      <w:divBdr>
        <w:top w:val="none" w:sz="0" w:space="0" w:color="auto"/>
        <w:left w:val="none" w:sz="0" w:space="0" w:color="auto"/>
        <w:bottom w:val="none" w:sz="0" w:space="0" w:color="auto"/>
        <w:right w:val="none" w:sz="0" w:space="0" w:color="auto"/>
      </w:divBdr>
    </w:div>
    <w:div w:id="1947880065">
      <w:bodyDiv w:val="1"/>
      <w:marLeft w:val="0"/>
      <w:marRight w:val="0"/>
      <w:marTop w:val="0"/>
      <w:marBottom w:val="0"/>
      <w:divBdr>
        <w:top w:val="none" w:sz="0" w:space="0" w:color="auto"/>
        <w:left w:val="none" w:sz="0" w:space="0" w:color="auto"/>
        <w:bottom w:val="none" w:sz="0" w:space="0" w:color="auto"/>
        <w:right w:val="none" w:sz="0" w:space="0" w:color="auto"/>
      </w:divBdr>
    </w:div>
    <w:div w:id="1961295987">
      <w:bodyDiv w:val="1"/>
      <w:marLeft w:val="0"/>
      <w:marRight w:val="0"/>
      <w:marTop w:val="0"/>
      <w:marBottom w:val="0"/>
      <w:divBdr>
        <w:top w:val="none" w:sz="0" w:space="0" w:color="auto"/>
        <w:left w:val="none" w:sz="0" w:space="0" w:color="auto"/>
        <w:bottom w:val="none" w:sz="0" w:space="0" w:color="auto"/>
        <w:right w:val="none" w:sz="0" w:space="0" w:color="auto"/>
      </w:divBdr>
    </w:div>
    <w:div w:id="1974749701">
      <w:bodyDiv w:val="1"/>
      <w:marLeft w:val="0"/>
      <w:marRight w:val="0"/>
      <w:marTop w:val="0"/>
      <w:marBottom w:val="0"/>
      <w:divBdr>
        <w:top w:val="none" w:sz="0" w:space="0" w:color="auto"/>
        <w:left w:val="none" w:sz="0" w:space="0" w:color="auto"/>
        <w:bottom w:val="none" w:sz="0" w:space="0" w:color="auto"/>
        <w:right w:val="none" w:sz="0" w:space="0" w:color="auto"/>
      </w:divBdr>
    </w:div>
    <w:div w:id="1996713730">
      <w:bodyDiv w:val="1"/>
      <w:marLeft w:val="0"/>
      <w:marRight w:val="0"/>
      <w:marTop w:val="0"/>
      <w:marBottom w:val="0"/>
      <w:divBdr>
        <w:top w:val="none" w:sz="0" w:space="0" w:color="auto"/>
        <w:left w:val="none" w:sz="0" w:space="0" w:color="auto"/>
        <w:bottom w:val="none" w:sz="0" w:space="0" w:color="auto"/>
        <w:right w:val="none" w:sz="0" w:space="0" w:color="auto"/>
      </w:divBdr>
    </w:div>
    <w:div w:id="2008170457">
      <w:bodyDiv w:val="1"/>
      <w:marLeft w:val="0"/>
      <w:marRight w:val="0"/>
      <w:marTop w:val="0"/>
      <w:marBottom w:val="0"/>
      <w:divBdr>
        <w:top w:val="none" w:sz="0" w:space="0" w:color="auto"/>
        <w:left w:val="none" w:sz="0" w:space="0" w:color="auto"/>
        <w:bottom w:val="none" w:sz="0" w:space="0" w:color="auto"/>
        <w:right w:val="none" w:sz="0" w:space="0" w:color="auto"/>
      </w:divBdr>
    </w:div>
    <w:div w:id="2014531829">
      <w:bodyDiv w:val="1"/>
      <w:marLeft w:val="0"/>
      <w:marRight w:val="0"/>
      <w:marTop w:val="0"/>
      <w:marBottom w:val="0"/>
      <w:divBdr>
        <w:top w:val="none" w:sz="0" w:space="0" w:color="auto"/>
        <w:left w:val="none" w:sz="0" w:space="0" w:color="auto"/>
        <w:bottom w:val="none" w:sz="0" w:space="0" w:color="auto"/>
        <w:right w:val="none" w:sz="0" w:space="0" w:color="auto"/>
      </w:divBdr>
    </w:div>
    <w:div w:id="2018845293">
      <w:bodyDiv w:val="1"/>
      <w:marLeft w:val="0"/>
      <w:marRight w:val="0"/>
      <w:marTop w:val="0"/>
      <w:marBottom w:val="0"/>
      <w:divBdr>
        <w:top w:val="none" w:sz="0" w:space="0" w:color="auto"/>
        <w:left w:val="none" w:sz="0" w:space="0" w:color="auto"/>
        <w:bottom w:val="none" w:sz="0" w:space="0" w:color="auto"/>
        <w:right w:val="none" w:sz="0" w:space="0" w:color="auto"/>
      </w:divBdr>
    </w:div>
    <w:div w:id="2030988857">
      <w:bodyDiv w:val="1"/>
      <w:marLeft w:val="0"/>
      <w:marRight w:val="0"/>
      <w:marTop w:val="0"/>
      <w:marBottom w:val="0"/>
      <w:divBdr>
        <w:top w:val="none" w:sz="0" w:space="0" w:color="auto"/>
        <w:left w:val="none" w:sz="0" w:space="0" w:color="auto"/>
        <w:bottom w:val="none" w:sz="0" w:space="0" w:color="auto"/>
        <w:right w:val="none" w:sz="0" w:space="0" w:color="auto"/>
      </w:divBdr>
    </w:div>
    <w:div w:id="2037929369">
      <w:bodyDiv w:val="1"/>
      <w:marLeft w:val="0"/>
      <w:marRight w:val="0"/>
      <w:marTop w:val="0"/>
      <w:marBottom w:val="0"/>
      <w:divBdr>
        <w:top w:val="none" w:sz="0" w:space="0" w:color="auto"/>
        <w:left w:val="none" w:sz="0" w:space="0" w:color="auto"/>
        <w:bottom w:val="none" w:sz="0" w:space="0" w:color="auto"/>
        <w:right w:val="none" w:sz="0" w:space="0" w:color="auto"/>
      </w:divBdr>
    </w:div>
    <w:div w:id="2055958769">
      <w:bodyDiv w:val="1"/>
      <w:marLeft w:val="0"/>
      <w:marRight w:val="0"/>
      <w:marTop w:val="0"/>
      <w:marBottom w:val="0"/>
      <w:divBdr>
        <w:top w:val="none" w:sz="0" w:space="0" w:color="auto"/>
        <w:left w:val="none" w:sz="0" w:space="0" w:color="auto"/>
        <w:bottom w:val="none" w:sz="0" w:space="0" w:color="auto"/>
        <w:right w:val="none" w:sz="0" w:space="0" w:color="auto"/>
      </w:divBdr>
    </w:div>
    <w:div w:id="2063601493">
      <w:bodyDiv w:val="1"/>
      <w:marLeft w:val="0"/>
      <w:marRight w:val="0"/>
      <w:marTop w:val="0"/>
      <w:marBottom w:val="0"/>
      <w:divBdr>
        <w:top w:val="none" w:sz="0" w:space="0" w:color="auto"/>
        <w:left w:val="none" w:sz="0" w:space="0" w:color="auto"/>
        <w:bottom w:val="none" w:sz="0" w:space="0" w:color="auto"/>
        <w:right w:val="none" w:sz="0" w:space="0" w:color="auto"/>
      </w:divBdr>
    </w:div>
    <w:div w:id="2067025130">
      <w:bodyDiv w:val="1"/>
      <w:marLeft w:val="0"/>
      <w:marRight w:val="0"/>
      <w:marTop w:val="0"/>
      <w:marBottom w:val="0"/>
      <w:divBdr>
        <w:top w:val="none" w:sz="0" w:space="0" w:color="auto"/>
        <w:left w:val="none" w:sz="0" w:space="0" w:color="auto"/>
        <w:bottom w:val="none" w:sz="0" w:space="0" w:color="auto"/>
        <w:right w:val="none" w:sz="0" w:space="0" w:color="auto"/>
      </w:divBdr>
    </w:div>
    <w:div w:id="2078555932">
      <w:bodyDiv w:val="1"/>
      <w:marLeft w:val="0"/>
      <w:marRight w:val="0"/>
      <w:marTop w:val="0"/>
      <w:marBottom w:val="0"/>
      <w:divBdr>
        <w:top w:val="none" w:sz="0" w:space="0" w:color="auto"/>
        <w:left w:val="none" w:sz="0" w:space="0" w:color="auto"/>
        <w:bottom w:val="none" w:sz="0" w:space="0" w:color="auto"/>
        <w:right w:val="none" w:sz="0" w:space="0" w:color="auto"/>
      </w:divBdr>
    </w:div>
    <w:div w:id="2109302052">
      <w:bodyDiv w:val="1"/>
      <w:marLeft w:val="0"/>
      <w:marRight w:val="0"/>
      <w:marTop w:val="0"/>
      <w:marBottom w:val="0"/>
      <w:divBdr>
        <w:top w:val="none" w:sz="0" w:space="0" w:color="auto"/>
        <w:left w:val="none" w:sz="0" w:space="0" w:color="auto"/>
        <w:bottom w:val="none" w:sz="0" w:space="0" w:color="auto"/>
        <w:right w:val="none" w:sz="0" w:space="0" w:color="auto"/>
      </w:divBdr>
    </w:div>
    <w:div w:id="2122413073">
      <w:bodyDiv w:val="1"/>
      <w:marLeft w:val="0"/>
      <w:marRight w:val="0"/>
      <w:marTop w:val="0"/>
      <w:marBottom w:val="0"/>
      <w:divBdr>
        <w:top w:val="none" w:sz="0" w:space="0" w:color="auto"/>
        <w:left w:val="none" w:sz="0" w:space="0" w:color="auto"/>
        <w:bottom w:val="none" w:sz="0" w:space="0" w:color="auto"/>
        <w:right w:val="none" w:sz="0" w:space="0" w:color="auto"/>
      </w:divBdr>
    </w:div>
    <w:div w:id="2128505957">
      <w:bodyDiv w:val="1"/>
      <w:marLeft w:val="0"/>
      <w:marRight w:val="0"/>
      <w:marTop w:val="0"/>
      <w:marBottom w:val="0"/>
      <w:divBdr>
        <w:top w:val="none" w:sz="0" w:space="0" w:color="auto"/>
        <w:left w:val="none" w:sz="0" w:space="0" w:color="auto"/>
        <w:bottom w:val="none" w:sz="0" w:space="0" w:color="auto"/>
        <w:right w:val="none" w:sz="0" w:space="0" w:color="auto"/>
      </w:divBdr>
    </w:div>
    <w:div w:id="214068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wjgnet.com/1948-5182/full/v11/i10/710.ht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Prevalence of AF %</c:v>
                </c:pt>
              </c:strCache>
            </c:strRef>
          </c:tx>
          <c:spPr>
            <a:solidFill>
              <a:schemeClr val="tx1"/>
            </a:solidFill>
            <a:ln>
              <a:noFill/>
            </a:ln>
            <a:effectLst/>
          </c:spPr>
          <c:invertIfNegative val="0"/>
          <c:cat>
            <c:strRef>
              <c:f>Sheet1!$A$2:$A$3</c:f>
              <c:strCache>
                <c:ptCount val="2"/>
                <c:pt idx="0">
                  <c:v>NAFLD</c:v>
                </c:pt>
                <c:pt idx="1">
                  <c:v>BAFLD</c:v>
                </c:pt>
              </c:strCache>
            </c:strRef>
          </c:cat>
          <c:val>
            <c:numRef>
              <c:f>Sheet1!$B$2:$B$3</c:f>
              <c:numCache>
                <c:formatCode>0.00%</c:formatCode>
                <c:ptCount val="2"/>
                <c:pt idx="0">
                  <c:v>1.7000000000000001E-2</c:v>
                </c:pt>
                <c:pt idx="1">
                  <c:v>7.0999999999999994E-2</c:v>
                </c:pt>
              </c:numCache>
            </c:numRef>
          </c:val>
          <c:extLst xmlns:c16r2="http://schemas.microsoft.com/office/drawing/2015/06/chart">
            <c:ext xmlns:c16="http://schemas.microsoft.com/office/drawing/2014/chart" uri="{C3380CC4-5D6E-409C-BE32-E72D297353CC}">
              <c16:uniqueId val="{00000000-760E-5F41-A0F2-AF1F5660DD9F}"/>
            </c:ext>
          </c:extLst>
        </c:ser>
        <c:dLbls>
          <c:showLegendKey val="0"/>
          <c:showVal val="0"/>
          <c:showCatName val="0"/>
          <c:showSerName val="0"/>
          <c:showPercent val="0"/>
          <c:showBubbleSize val="0"/>
        </c:dLbls>
        <c:gapWidth val="150"/>
        <c:overlap val="100"/>
        <c:axId val="206905728"/>
        <c:axId val="206907264"/>
      </c:barChart>
      <c:catAx>
        <c:axId val="206905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crossAx val="206907264"/>
        <c:crosses val="autoZero"/>
        <c:auto val="1"/>
        <c:lblAlgn val="ctr"/>
        <c:lblOffset val="100"/>
        <c:noMultiLvlLbl val="0"/>
      </c:catAx>
      <c:valAx>
        <c:axId val="206907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Prevalence</a:t>
                </a:r>
                <a:r>
                  <a:rPr lang="en-US" baseline="0"/>
                  <a:t> of AF</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crossAx val="20690572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4972C-ACEF-4248-9C15-8184C163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20052</Words>
  <Characters>114300</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Khoudari, George</dc:creator>
  <cp:keywords/>
  <dc:description/>
  <cp:lastModifiedBy>8613716430021</cp:lastModifiedBy>
  <cp:revision>4</cp:revision>
  <cp:lastPrinted>2019-07-29T17:46:00Z</cp:lastPrinted>
  <dcterms:created xsi:type="dcterms:W3CDTF">2019-10-15T16:33:00Z</dcterms:created>
  <dcterms:modified xsi:type="dcterms:W3CDTF">2019-10-22T09:33:00Z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456b86f1-38d5-3a3a-bfe2-f0e66cb29f28</vt:lpwstr>
  </property>
  <property fmtid="{D5CDD505-2E9C-101B-9397-08002B2CF9AE}" pid="24" name="Mendeley Citation Style_1">
    <vt:lpwstr>http://www.zotero.org/styles/vancouver</vt:lpwstr>
  </property>
</Properties>
</file>