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FCD067" w14:textId="77777777" w:rsidR="00C40C99" w:rsidRPr="004B329E" w:rsidRDefault="00C40C99" w:rsidP="000675D7">
      <w:pPr>
        <w:spacing w:after="0" w:line="360" w:lineRule="auto"/>
        <w:jc w:val="both"/>
        <w:rPr>
          <w:rFonts w:ascii="Book Antiqua" w:hAnsi="Book Antiqua"/>
          <w:b/>
          <w:i/>
          <w:iCs/>
          <w:sz w:val="24"/>
          <w:szCs w:val="24"/>
        </w:rPr>
      </w:pPr>
      <w:r w:rsidRPr="004B329E">
        <w:rPr>
          <w:rFonts w:ascii="Book Antiqua" w:hAnsi="Book Antiqua"/>
          <w:b/>
          <w:sz w:val="24"/>
          <w:szCs w:val="24"/>
        </w:rPr>
        <w:t xml:space="preserve">Name of Journal: </w:t>
      </w:r>
      <w:r w:rsidRPr="004B329E">
        <w:rPr>
          <w:rFonts w:ascii="Book Antiqua" w:hAnsi="Book Antiqua"/>
          <w:i/>
          <w:iCs/>
          <w:sz w:val="24"/>
          <w:szCs w:val="24"/>
        </w:rPr>
        <w:t>World Journal of Clinical Cases</w:t>
      </w:r>
    </w:p>
    <w:p w14:paraId="60D3E312" w14:textId="6C90C68E" w:rsidR="00C40C99" w:rsidRPr="004B329E" w:rsidRDefault="009014A5" w:rsidP="000675D7">
      <w:pPr>
        <w:spacing w:after="0" w:line="360" w:lineRule="auto"/>
        <w:jc w:val="both"/>
        <w:rPr>
          <w:rFonts w:ascii="Book Antiqua" w:hAnsi="Book Antiqua"/>
          <w:b/>
          <w:sz w:val="24"/>
          <w:szCs w:val="24"/>
        </w:rPr>
      </w:pPr>
      <w:r w:rsidRPr="004B329E">
        <w:rPr>
          <w:rFonts w:ascii="Book Antiqua" w:eastAsia="Book Antiqua" w:hAnsi="Book Antiqua"/>
          <w:b/>
          <w:sz w:val="24"/>
          <w:szCs w:val="24"/>
        </w:rPr>
        <w:t>Manuscript NO:</w:t>
      </w:r>
      <w:r w:rsidR="00EE6C42" w:rsidRPr="004B329E">
        <w:rPr>
          <w:rFonts w:ascii="Book Antiqua" w:eastAsia="Book Antiqua" w:hAnsi="Book Antiqua"/>
          <w:b/>
          <w:sz w:val="24"/>
          <w:szCs w:val="24"/>
        </w:rPr>
        <w:t xml:space="preserve"> </w:t>
      </w:r>
      <w:r w:rsidR="00EE6C42" w:rsidRPr="004B329E">
        <w:rPr>
          <w:rFonts w:ascii="Book Antiqua" w:eastAsia="Book Antiqua" w:hAnsi="Book Antiqua"/>
          <w:bCs/>
          <w:sz w:val="24"/>
          <w:szCs w:val="24"/>
        </w:rPr>
        <w:t>48783</w:t>
      </w:r>
    </w:p>
    <w:p w14:paraId="3BBB19B5" w14:textId="77777777" w:rsidR="00C40C99" w:rsidRPr="004B329E" w:rsidRDefault="00C40C99" w:rsidP="000675D7">
      <w:pPr>
        <w:spacing w:after="0" w:line="360" w:lineRule="auto"/>
        <w:jc w:val="both"/>
        <w:rPr>
          <w:rFonts w:ascii="Book Antiqua" w:hAnsi="Book Antiqua"/>
          <w:b/>
          <w:sz w:val="24"/>
          <w:szCs w:val="24"/>
        </w:rPr>
      </w:pPr>
      <w:r w:rsidRPr="004B329E">
        <w:rPr>
          <w:rFonts w:ascii="Book Antiqua" w:hAnsi="Book Antiqua"/>
          <w:b/>
          <w:sz w:val="24"/>
          <w:szCs w:val="24"/>
        </w:rPr>
        <w:t xml:space="preserve">Manuscript Type: </w:t>
      </w:r>
      <w:r w:rsidRPr="004B329E">
        <w:rPr>
          <w:rFonts w:ascii="Book Antiqua" w:hAnsi="Book Antiqua"/>
          <w:sz w:val="24"/>
          <w:szCs w:val="24"/>
        </w:rPr>
        <w:t>SYSTEMATIC REVIEWS</w:t>
      </w:r>
    </w:p>
    <w:p w14:paraId="13D60B60" w14:textId="77777777" w:rsidR="00C40C99" w:rsidRPr="004B329E" w:rsidRDefault="00C40C99" w:rsidP="000675D7">
      <w:pPr>
        <w:spacing w:after="0" w:line="360" w:lineRule="auto"/>
        <w:jc w:val="both"/>
        <w:rPr>
          <w:rFonts w:ascii="Book Antiqua" w:hAnsi="Book Antiqua"/>
          <w:b/>
          <w:sz w:val="24"/>
          <w:szCs w:val="24"/>
        </w:rPr>
      </w:pPr>
    </w:p>
    <w:p w14:paraId="157F1474" w14:textId="3D1DBC7E" w:rsidR="00C40C99" w:rsidRPr="004B329E" w:rsidRDefault="00C40C99" w:rsidP="000675D7">
      <w:pPr>
        <w:spacing w:after="0" w:line="360" w:lineRule="auto"/>
        <w:jc w:val="both"/>
        <w:rPr>
          <w:rFonts w:ascii="Book Antiqua" w:hAnsi="Book Antiqua"/>
          <w:b/>
          <w:sz w:val="24"/>
          <w:szCs w:val="24"/>
        </w:rPr>
      </w:pPr>
      <w:bookmarkStart w:id="0" w:name="OLE_LINK39"/>
      <w:r w:rsidRPr="004B329E">
        <w:rPr>
          <w:rFonts w:ascii="Book Antiqua" w:hAnsi="Book Antiqua"/>
          <w:b/>
          <w:sz w:val="24"/>
          <w:szCs w:val="24"/>
        </w:rPr>
        <w:t>Characteristics of clear cell renal cell carcinoma metastases to the thyroid gland: A systematic review</w:t>
      </w:r>
    </w:p>
    <w:bookmarkEnd w:id="0"/>
    <w:p w14:paraId="474070EB" w14:textId="77777777" w:rsidR="00C40C99" w:rsidRPr="004B329E" w:rsidRDefault="00C40C99" w:rsidP="000675D7">
      <w:pPr>
        <w:spacing w:after="0" w:line="360" w:lineRule="auto"/>
        <w:jc w:val="both"/>
        <w:rPr>
          <w:rFonts w:ascii="Book Antiqua" w:hAnsi="Book Antiqua"/>
          <w:b/>
          <w:sz w:val="24"/>
          <w:szCs w:val="24"/>
        </w:rPr>
      </w:pPr>
    </w:p>
    <w:p w14:paraId="0E38CBDA" w14:textId="77777777" w:rsidR="00C40C99" w:rsidRPr="004B329E" w:rsidRDefault="00C40C99" w:rsidP="000675D7">
      <w:pPr>
        <w:spacing w:after="0" w:line="360" w:lineRule="auto"/>
        <w:jc w:val="both"/>
        <w:rPr>
          <w:rFonts w:ascii="Book Antiqua" w:hAnsi="Book Antiqua"/>
          <w:sz w:val="24"/>
          <w:szCs w:val="24"/>
        </w:rPr>
      </w:pPr>
      <w:r w:rsidRPr="004B329E">
        <w:rPr>
          <w:rFonts w:ascii="Book Antiqua" w:hAnsi="Book Antiqua"/>
          <w:sz w:val="24"/>
          <w:szCs w:val="24"/>
        </w:rPr>
        <w:t xml:space="preserve">Khaddour K </w:t>
      </w:r>
      <w:r w:rsidRPr="004B329E">
        <w:rPr>
          <w:rFonts w:ascii="Book Antiqua" w:hAnsi="Book Antiqua"/>
          <w:i/>
          <w:iCs/>
          <w:sz w:val="24"/>
          <w:szCs w:val="24"/>
        </w:rPr>
        <w:t>et al</w:t>
      </w:r>
      <w:r w:rsidRPr="004B329E">
        <w:rPr>
          <w:rFonts w:ascii="Book Antiqua" w:hAnsi="Book Antiqua"/>
          <w:sz w:val="24"/>
          <w:szCs w:val="24"/>
        </w:rPr>
        <w:t>. Clear cell renal cell carcinoma metastases to the thyroid</w:t>
      </w:r>
    </w:p>
    <w:p w14:paraId="34BF1421" w14:textId="77777777" w:rsidR="009014A5" w:rsidRPr="004B329E" w:rsidRDefault="009014A5" w:rsidP="000675D7">
      <w:pPr>
        <w:spacing w:after="0" w:line="360" w:lineRule="auto"/>
        <w:jc w:val="both"/>
        <w:rPr>
          <w:rFonts w:ascii="Book Antiqua" w:hAnsi="Book Antiqua"/>
          <w:b/>
          <w:sz w:val="24"/>
          <w:szCs w:val="24"/>
        </w:rPr>
      </w:pPr>
    </w:p>
    <w:p w14:paraId="33F133ED" w14:textId="6AD19F98" w:rsidR="00C40C99" w:rsidRPr="004B329E" w:rsidRDefault="00C40C99" w:rsidP="000675D7">
      <w:pPr>
        <w:spacing w:after="0" w:line="360" w:lineRule="auto"/>
        <w:jc w:val="both"/>
        <w:rPr>
          <w:rFonts w:ascii="Book Antiqua" w:hAnsi="Book Antiqua"/>
          <w:bCs/>
          <w:sz w:val="24"/>
          <w:szCs w:val="24"/>
        </w:rPr>
      </w:pPr>
      <w:r w:rsidRPr="004B329E">
        <w:rPr>
          <w:rFonts w:ascii="Book Antiqua" w:hAnsi="Book Antiqua"/>
          <w:bCs/>
          <w:sz w:val="24"/>
          <w:szCs w:val="24"/>
        </w:rPr>
        <w:t>Karam Khaddour, Nadiia M</w:t>
      </w:r>
      <w:r w:rsidR="00F0475D" w:rsidRPr="004B329E">
        <w:rPr>
          <w:rFonts w:ascii="Book Antiqua" w:hAnsi="Book Antiqua"/>
          <w:bCs/>
          <w:sz w:val="24"/>
          <w:szCs w:val="24"/>
        </w:rPr>
        <w:t>a</w:t>
      </w:r>
      <w:r w:rsidRPr="004B329E">
        <w:rPr>
          <w:rFonts w:ascii="Book Antiqua" w:hAnsi="Book Antiqua"/>
          <w:bCs/>
          <w:sz w:val="24"/>
          <w:szCs w:val="24"/>
        </w:rPr>
        <w:t>r</w:t>
      </w:r>
      <w:r w:rsidR="00F0475D" w:rsidRPr="004B329E">
        <w:rPr>
          <w:rFonts w:ascii="Book Antiqua" w:hAnsi="Book Antiqua"/>
          <w:bCs/>
          <w:sz w:val="24"/>
          <w:szCs w:val="24"/>
        </w:rPr>
        <w:t>en</w:t>
      </w:r>
      <w:r w:rsidRPr="004B329E">
        <w:rPr>
          <w:rFonts w:ascii="Book Antiqua" w:hAnsi="Book Antiqua"/>
          <w:bCs/>
          <w:sz w:val="24"/>
          <w:szCs w:val="24"/>
        </w:rPr>
        <w:t>ych, Wendy L Ward, Jerry Liu, Theodora Pappa</w:t>
      </w:r>
    </w:p>
    <w:p w14:paraId="4761DABF" w14:textId="77777777" w:rsidR="00C40C99" w:rsidRPr="004B329E" w:rsidRDefault="00C40C99" w:rsidP="000675D7">
      <w:pPr>
        <w:spacing w:after="0" w:line="360" w:lineRule="auto"/>
        <w:jc w:val="both"/>
        <w:rPr>
          <w:rFonts w:ascii="Book Antiqua" w:hAnsi="Book Antiqua"/>
          <w:b/>
          <w:sz w:val="24"/>
          <w:szCs w:val="24"/>
        </w:rPr>
      </w:pPr>
    </w:p>
    <w:p w14:paraId="115E3C2F" w14:textId="57E9F4AC" w:rsidR="00C40C99" w:rsidRPr="004B329E" w:rsidRDefault="00C40C99" w:rsidP="000675D7">
      <w:pPr>
        <w:spacing w:after="0" w:line="360" w:lineRule="auto"/>
        <w:jc w:val="both"/>
        <w:rPr>
          <w:rFonts w:ascii="Book Antiqua" w:hAnsi="Book Antiqua"/>
          <w:b/>
          <w:sz w:val="24"/>
          <w:szCs w:val="24"/>
        </w:rPr>
      </w:pPr>
      <w:r w:rsidRPr="004B329E">
        <w:rPr>
          <w:rFonts w:ascii="Book Antiqua" w:hAnsi="Book Antiqua"/>
          <w:b/>
          <w:sz w:val="24"/>
          <w:szCs w:val="24"/>
        </w:rPr>
        <w:t>Karam Khaddour, Nadiia M</w:t>
      </w:r>
      <w:r w:rsidR="00F0475D" w:rsidRPr="004B329E">
        <w:rPr>
          <w:rFonts w:ascii="Book Antiqua" w:hAnsi="Book Antiqua"/>
          <w:b/>
          <w:sz w:val="24"/>
          <w:szCs w:val="24"/>
        </w:rPr>
        <w:t>ar</w:t>
      </w:r>
      <w:r w:rsidRPr="004B329E">
        <w:rPr>
          <w:rFonts w:ascii="Book Antiqua" w:hAnsi="Book Antiqua"/>
          <w:b/>
          <w:sz w:val="24"/>
          <w:szCs w:val="24"/>
        </w:rPr>
        <w:t>ern</w:t>
      </w:r>
      <w:r w:rsidR="00F0475D" w:rsidRPr="004B329E">
        <w:rPr>
          <w:rFonts w:ascii="Book Antiqua" w:hAnsi="Book Antiqua"/>
          <w:b/>
          <w:sz w:val="24"/>
          <w:szCs w:val="24"/>
        </w:rPr>
        <w:t>y</w:t>
      </w:r>
      <w:r w:rsidRPr="004B329E">
        <w:rPr>
          <w:rFonts w:ascii="Book Antiqua" w:hAnsi="Book Antiqua"/>
          <w:b/>
          <w:sz w:val="24"/>
          <w:szCs w:val="24"/>
        </w:rPr>
        <w:t>ch, Theodora Pappa</w:t>
      </w:r>
      <w:r w:rsidR="009014A5" w:rsidRPr="004B329E">
        <w:rPr>
          <w:rFonts w:ascii="Book Antiqua" w:hAnsi="Book Antiqua"/>
          <w:b/>
          <w:sz w:val="24"/>
          <w:szCs w:val="24"/>
        </w:rPr>
        <w:t xml:space="preserve">, </w:t>
      </w:r>
      <w:r w:rsidR="00EE6C42" w:rsidRPr="004B329E">
        <w:rPr>
          <w:rFonts w:ascii="Book Antiqua" w:hAnsi="Book Antiqua"/>
          <w:sz w:val="24"/>
          <w:szCs w:val="24"/>
        </w:rPr>
        <w:t xml:space="preserve">Department of Medicine at </w:t>
      </w:r>
      <w:r w:rsidRPr="004B329E">
        <w:rPr>
          <w:rFonts w:ascii="Book Antiqua" w:hAnsi="Book Antiqua"/>
          <w:sz w:val="24"/>
          <w:szCs w:val="24"/>
        </w:rPr>
        <w:t>Rosalind Franklin Uni</w:t>
      </w:r>
      <w:r w:rsidR="00EE6C42" w:rsidRPr="004B329E">
        <w:rPr>
          <w:rFonts w:ascii="Book Antiqua" w:hAnsi="Book Antiqua"/>
          <w:sz w:val="24"/>
          <w:szCs w:val="24"/>
        </w:rPr>
        <w:t>versity of Medicine and Science, Chicago,</w:t>
      </w:r>
      <w:r w:rsidR="0010232F" w:rsidRPr="004B329E">
        <w:rPr>
          <w:rFonts w:ascii="Book Antiqua" w:hAnsi="Book Antiqua"/>
          <w:sz w:val="24"/>
          <w:szCs w:val="24"/>
        </w:rPr>
        <w:t xml:space="preserve"> IL 60050,</w:t>
      </w:r>
      <w:r w:rsidR="00EE6C42" w:rsidRPr="004B329E">
        <w:rPr>
          <w:rFonts w:ascii="Book Antiqua" w:hAnsi="Book Antiqua"/>
          <w:sz w:val="24"/>
          <w:szCs w:val="24"/>
        </w:rPr>
        <w:t xml:space="preserve"> U</w:t>
      </w:r>
      <w:r w:rsidR="0010232F" w:rsidRPr="004B329E">
        <w:rPr>
          <w:rFonts w:ascii="Book Antiqua" w:hAnsi="Book Antiqua"/>
          <w:sz w:val="24"/>
          <w:szCs w:val="24"/>
          <w:lang w:eastAsia="zh-CN"/>
        </w:rPr>
        <w:t>nited</w:t>
      </w:r>
      <w:r w:rsidR="0010232F" w:rsidRPr="004B329E">
        <w:rPr>
          <w:rFonts w:ascii="Book Antiqua" w:hAnsi="Book Antiqua"/>
          <w:sz w:val="24"/>
          <w:szCs w:val="24"/>
        </w:rPr>
        <w:t xml:space="preserve"> </w:t>
      </w:r>
      <w:r w:rsidR="00EE6C42" w:rsidRPr="004B329E">
        <w:rPr>
          <w:rFonts w:ascii="Book Antiqua" w:hAnsi="Book Antiqua"/>
          <w:sz w:val="24"/>
          <w:szCs w:val="24"/>
        </w:rPr>
        <w:t>S</w:t>
      </w:r>
      <w:r w:rsidR="0010232F" w:rsidRPr="004B329E">
        <w:rPr>
          <w:rFonts w:ascii="Book Antiqua" w:hAnsi="Book Antiqua"/>
          <w:sz w:val="24"/>
          <w:szCs w:val="24"/>
        </w:rPr>
        <w:t>tates</w:t>
      </w:r>
    </w:p>
    <w:p w14:paraId="6F2C1264" w14:textId="77777777" w:rsidR="009014A5" w:rsidRPr="004B329E" w:rsidRDefault="009014A5" w:rsidP="000675D7">
      <w:pPr>
        <w:spacing w:after="0" w:line="360" w:lineRule="auto"/>
        <w:jc w:val="both"/>
        <w:rPr>
          <w:rFonts w:ascii="Book Antiqua" w:hAnsi="Book Antiqua"/>
          <w:b/>
          <w:sz w:val="24"/>
          <w:szCs w:val="24"/>
        </w:rPr>
      </w:pPr>
    </w:p>
    <w:p w14:paraId="5AEA5C73" w14:textId="5D35E861" w:rsidR="00C40C99" w:rsidRPr="004B329E" w:rsidRDefault="00C40C99" w:rsidP="000675D7">
      <w:pPr>
        <w:spacing w:after="0" w:line="360" w:lineRule="auto"/>
        <w:jc w:val="both"/>
        <w:rPr>
          <w:rFonts w:ascii="Book Antiqua" w:hAnsi="Book Antiqua"/>
          <w:b/>
          <w:sz w:val="24"/>
          <w:szCs w:val="24"/>
        </w:rPr>
      </w:pPr>
      <w:r w:rsidRPr="004B329E">
        <w:rPr>
          <w:rFonts w:ascii="Book Antiqua" w:hAnsi="Book Antiqua"/>
          <w:b/>
          <w:sz w:val="24"/>
          <w:szCs w:val="24"/>
        </w:rPr>
        <w:t>Jerry Liu</w:t>
      </w:r>
      <w:r w:rsidR="009014A5" w:rsidRPr="004B329E">
        <w:rPr>
          <w:rFonts w:ascii="Book Antiqua" w:hAnsi="Book Antiqua"/>
          <w:b/>
          <w:sz w:val="24"/>
          <w:szCs w:val="24"/>
          <w:lang w:eastAsia="zh-CN"/>
        </w:rPr>
        <w:t>,</w:t>
      </w:r>
      <w:r w:rsidR="00EE6C42" w:rsidRPr="004B329E">
        <w:rPr>
          <w:rFonts w:ascii="Book Antiqua" w:hAnsi="Book Antiqua"/>
          <w:b/>
          <w:sz w:val="24"/>
          <w:szCs w:val="24"/>
          <w:lang w:eastAsia="zh-CN"/>
        </w:rPr>
        <w:t xml:space="preserve"> </w:t>
      </w:r>
      <w:r w:rsidR="00EE6C42" w:rsidRPr="004B329E">
        <w:rPr>
          <w:rFonts w:ascii="Book Antiqua" w:hAnsi="Book Antiqua"/>
          <w:sz w:val="24"/>
          <w:szCs w:val="24"/>
        </w:rPr>
        <w:t>Advocate Medical Group</w:t>
      </w:r>
      <w:r w:rsidR="00F85D19" w:rsidRPr="004B329E">
        <w:rPr>
          <w:rFonts w:ascii="Book Antiqua" w:hAnsi="Book Antiqua"/>
          <w:sz w:val="24"/>
          <w:szCs w:val="24"/>
        </w:rPr>
        <w:t xml:space="preserve"> Oncology</w:t>
      </w:r>
      <w:r w:rsidR="00EE6C42" w:rsidRPr="004B329E">
        <w:rPr>
          <w:rFonts w:ascii="Book Antiqua" w:hAnsi="Book Antiqua"/>
          <w:sz w:val="24"/>
          <w:szCs w:val="24"/>
        </w:rPr>
        <w:t>, Crystal Lake</w:t>
      </w:r>
      <w:r w:rsidR="0010232F" w:rsidRPr="004B329E">
        <w:rPr>
          <w:rFonts w:ascii="Book Antiqua" w:hAnsi="Book Antiqua"/>
          <w:sz w:val="24"/>
          <w:szCs w:val="24"/>
        </w:rPr>
        <w:t>, IL</w:t>
      </w:r>
      <w:r w:rsidR="00EE6C42" w:rsidRPr="004B329E">
        <w:rPr>
          <w:rFonts w:ascii="Book Antiqua" w:hAnsi="Book Antiqua"/>
          <w:sz w:val="24"/>
          <w:szCs w:val="24"/>
        </w:rPr>
        <w:t xml:space="preserve"> 60014, </w:t>
      </w:r>
      <w:bookmarkStart w:id="1" w:name="OLE_LINK35"/>
      <w:r w:rsidR="0010232F" w:rsidRPr="004B329E">
        <w:rPr>
          <w:rFonts w:ascii="Book Antiqua" w:hAnsi="Book Antiqua"/>
          <w:sz w:val="24"/>
          <w:szCs w:val="24"/>
        </w:rPr>
        <w:t>U</w:t>
      </w:r>
      <w:r w:rsidR="0010232F" w:rsidRPr="004B329E">
        <w:rPr>
          <w:rFonts w:ascii="Book Antiqua" w:hAnsi="Book Antiqua"/>
          <w:sz w:val="24"/>
          <w:szCs w:val="24"/>
          <w:lang w:eastAsia="zh-CN"/>
        </w:rPr>
        <w:t>nited</w:t>
      </w:r>
      <w:r w:rsidR="0010232F" w:rsidRPr="004B329E">
        <w:rPr>
          <w:rFonts w:ascii="Book Antiqua" w:hAnsi="Book Antiqua"/>
          <w:sz w:val="24"/>
          <w:szCs w:val="24"/>
        </w:rPr>
        <w:t xml:space="preserve"> States</w:t>
      </w:r>
    </w:p>
    <w:bookmarkEnd w:id="1"/>
    <w:p w14:paraId="1792862A" w14:textId="77777777" w:rsidR="009014A5" w:rsidRPr="004B329E" w:rsidRDefault="009014A5" w:rsidP="000675D7">
      <w:pPr>
        <w:spacing w:after="0" w:line="360" w:lineRule="auto"/>
        <w:jc w:val="both"/>
        <w:rPr>
          <w:rFonts w:ascii="Book Antiqua" w:hAnsi="Book Antiqua"/>
          <w:b/>
          <w:sz w:val="24"/>
          <w:szCs w:val="24"/>
        </w:rPr>
      </w:pPr>
    </w:p>
    <w:p w14:paraId="6BE99BEA" w14:textId="06E473DF" w:rsidR="00C40C99" w:rsidRPr="004B329E" w:rsidRDefault="00C40C99" w:rsidP="000675D7">
      <w:pPr>
        <w:spacing w:after="0" w:line="360" w:lineRule="auto"/>
        <w:jc w:val="both"/>
        <w:rPr>
          <w:rFonts w:ascii="Book Antiqua" w:hAnsi="Book Antiqua"/>
          <w:b/>
          <w:sz w:val="24"/>
          <w:szCs w:val="24"/>
        </w:rPr>
      </w:pPr>
      <w:r w:rsidRPr="004B329E">
        <w:rPr>
          <w:rFonts w:ascii="Book Antiqua" w:hAnsi="Book Antiqua"/>
          <w:b/>
          <w:sz w:val="24"/>
          <w:szCs w:val="24"/>
        </w:rPr>
        <w:t>Wendy L Ward</w:t>
      </w:r>
      <w:r w:rsidR="009014A5" w:rsidRPr="004B329E">
        <w:rPr>
          <w:rFonts w:ascii="Book Antiqua" w:hAnsi="Book Antiqua"/>
          <w:b/>
          <w:sz w:val="24"/>
          <w:szCs w:val="24"/>
        </w:rPr>
        <w:t xml:space="preserve">, </w:t>
      </w:r>
      <w:r w:rsidRPr="004B329E">
        <w:rPr>
          <w:rFonts w:ascii="Book Antiqua" w:hAnsi="Book Antiqua"/>
          <w:sz w:val="24"/>
          <w:szCs w:val="24"/>
        </w:rPr>
        <w:t xml:space="preserve">Northwestern Medicine </w:t>
      </w:r>
      <w:r w:rsidR="00EE6C42" w:rsidRPr="004B329E">
        <w:rPr>
          <w:rFonts w:ascii="Book Antiqua" w:hAnsi="Book Antiqua"/>
          <w:sz w:val="24"/>
          <w:szCs w:val="24"/>
        </w:rPr>
        <w:t>McHenry, Chicago</w:t>
      </w:r>
      <w:r w:rsidR="0010232F" w:rsidRPr="004B329E">
        <w:rPr>
          <w:rFonts w:ascii="Book Antiqua" w:hAnsi="Book Antiqua"/>
          <w:sz w:val="24"/>
          <w:szCs w:val="24"/>
        </w:rPr>
        <w:t>,</w:t>
      </w:r>
      <w:r w:rsidR="00EE6C42" w:rsidRPr="004B329E">
        <w:rPr>
          <w:rFonts w:ascii="Book Antiqua" w:hAnsi="Book Antiqua"/>
          <w:sz w:val="24"/>
          <w:szCs w:val="24"/>
        </w:rPr>
        <w:t xml:space="preserve"> </w:t>
      </w:r>
      <w:r w:rsidR="0010232F" w:rsidRPr="004B329E">
        <w:rPr>
          <w:rFonts w:ascii="Book Antiqua" w:hAnsi="Book Antiqua"/>
          <w:sz w:val="24"/>
          <w:szCs w:val="24"/>
        </w:rPr>
        <w:t xml:space="preserve">IL </w:t>
      </w:r>
      <w:r w:rsidR="00EE6C42" w:rsidRPr="004B329E">
        <w:rPr>
          <w:rFonts w:ascii="Book Antiqua" w:hAnsi="Book Antiqua"/>
          <w:sz w:val="24"/>
          <w:szCs w:val="24"/>
        </w:rPr>
        <w:t xml:space="preserve">60050, </w:t>
      </w:r>
      <w:r w:rsidR="0010232F" w:rsidRPr="004B329E">
        <w:rPr>
          <w:rFonts w:ascii="Book Antiqua" w:hAnsi="Book Antiqua"/>
          <w:sz w:val="24"/>
          <w:szCs w:val="24"/>
        </w:rPr>
        <w:t>U</w:t>
      </w:r>
      <w:r w:rsidR="0010232F" w:rsidRPr="004B329E">
        <w:rPr>
          <w:rFonts w:ascii="Book Antiqua" w:hAnsi="Book Antiqua"/>
          <w:sz w:val="24"/>
          <w:szCs w:val="24"/>
          <w:lang w:eastAsia="zh-CN"/>
        </w:rPr>
        <w:t>nited</w:t>
      </w:r>
      <w:r w:rsidR="0010232F" w:rsidRPr="004B329E">
        <w:rPr>
          <w:rFonts w:ascii="Book Antiqua" w:hAnsi="Book Antiqua"/>
          <w:sz w:val="24"/>
          <w:szCs w:val="24"/>
        </w:rPr>
        <w:t xml:space="preserve"> States</w:t>
      </w:r>
    </w:p>
    <w:p w14:paraId="7C0F4EAC" w14:textId="77777777" w:rsidR="00C40C99" w:rsidRPr="004B329E" w:rsidRDefault="00C40C99" w:rsidP="000675D7">
      <w:pPr>
        <w:spacing w:after="0" w:line="360" w:lineRule="auto"/>
        <w:jc w:val="both"/>
        <w:rPr>
          <w:rFonts w:ascii="Book Antiqua" w:hAnsi="Book Antiqua"/>
          <w:b/>
          <w:sz w:val="24"/>
          <w:szCs w:val="24"/>
        </w:rPr>
      </w:pPr>
    </w:p>
    <w:p w14:paraId="724A27A0" w14:textId="68B8EC59" w:rsidR="00C40C99" w:rsidRPr="004B329E" w:rsidRDefault="00C40C99" w:rsidP="000675D7">
      <w:pPr>
        <w:spacing w:after="0" w:line="360" w:lineRule="auto"/>
        <w:jc w:val="both"/>
        <w:rPr>
          <w:rFonts w:ascii="Book Antiqua" w:hAnsi="Book Antiqua"/>
          <w:b/>
          <w:sz w:val="24"/>
          <w:szCs w:val="24"/>
        </w:rPr>
      </w:pPr>
      <w:r w:rsidRPr="004B329E">
        <w:rPr>
          <w:rFonts w:ascii="Book Antiqua" w:hAnsi="Book Antiqua"/>
          <w:b/>
          <w:sz w:val="24"/>
          <w:szCs w:val="24"/>
        </w:rPr>
        <w:t xml:space="preserve">ORCID number: </w:t>
      </w:r>
      <w:r w:rsidRPr="004B329E">
        <w:rPr>
          <w:rFonts w:ascii="Book Antiqua" w:hAnsi="Book Antiqua"/>
          <w:sz w:val="24"/>
          <w:szCs w:val="24"/>
        </w:rPr>
        <w:t>Karam Khaddour (</w:t>
      </w:r>
      <w:r w:rsidR="00EE6C42" w:rsidRPr="004B329E">
        <w:rPr>
          <w:rFonts w:ascii="Book Antiqua" w:hAnsi="Book Antiqua"/>
          <w:sz w:val="24"/>
          <w:szCs w:val="24"/>
          <w:shd w:val="clear" w:color="auto" w:fill="FFFFFF"/>
        </w:rPr>
        <w:t>0000-0001-6697-3516</w:t>
      </w:r>
      <w:r w:rsidRPr="004B329E">
        <w:rPr>
          <w:rFonts w:ascii="Book Antiqua" w:hAnsi="Book Antiqua"/>
          <w:sz w:val="24"/>
          <w:szCs w:val="24"/>
        </w:rPr>
        <w:t>)</w:t>
      </w:r>
      <w:r w:rsidR="0010232F" w:rsidRPr="004B329E">
        <w:rPr>
          <w:rFonts w:ascii="Book Antiqua" w:hAnsi="Book Antiqua"/>
          <w:sz w:val="24"/>
          <w:szCs w:val="24"/>
        </w:rPr>
        <w:t>;</w:t>
      </w:r>
      <w:r w:rsidRPr="004B329E">
        <w:rPr>
          <w:rFonts w:ascii="Book Antiqua" w:hAnsi="Book Antiqua"/>
          <w:sz w:val="24"/>
          <w:szCs w:val="24"/>
        </w:rPr>
        <w:t xml:space="preserve"> Nadiia M</w:t>
      </w:r>
      <w:r w:rsidR="00F0475D" w:rsidRPr="004B329E">
        <w:rPr>
          <w:rFonts w:ascii="Book Antiqua" w:hAnsi="Book Antiqua"/>
          <w:sz w:val="24"/>
          <w:szCs w:val="24"/>
        </w:rPr>
        <w:t>ar</w:t>
      </w:r>
      <w:r w:rsidRPr="004B329E">
        <w:rPr>
          <w:rFonts w:ascii="Book Antiqua" w:hAnsi="Book Antiqua"/>
          <w:sz w:val="24"/>
          <w:szCs w:val="24"/>
        </w:rPr>
        <w:t>er</w:t>
      </w:r>
      <w:r w:rsidR="00F0475D" w:rsidRPr="004B329E">
        <w:rPr>
          <w:rFonts w:ascii="Book Antiqua" w:hAnsi="Book Antiqua"/>
          <w:sz w:val="24"/>
          <w:szCs w:val="24"/>
        </w:rPr>
        <w:t>n</w:t>
      </w:r>
      <w:r w:rsidRPr="004B329E">
        <w:rPr>
          <w:rFonts w:ascii="Book Antiqua" w:hAnsi="Book Antiqua"/>
          <w:sz w:val="24"/>
          <w:szCs w:val="24"/>
        </w:rPr>
        <w:t>ych (</w:t>
      </w:r>
      <w:r w:rsidR="00EE6C42" w:rsidRPr="004B329E">
        <w:rPr>
          <w:rFonts w:ascii="Book Antiqua" w:hAnsi="Book Antiqua"/>
          <w:sz w:val="24"/>
          <w:szCs w:val="24"/>
          <w:shd w:val="clear" w:color="auto" w:fill="FFFFFF"/>
        </w:rPr>
        <w:t>0000-0002-5103-8696</w:t>
      </w:r>
      <w:r w:rsidRPr="004B329E">
        <w:rPr>
          <w:rFonts w:ascii="Book Antiqua" w:hAnsi="Book Antiqua"/>
          <w:sz w:val="24"/>
          <w:szCs w:val="24"/>
        </w:rPr>
        <w:t>)</w:t>
      </w:r>
      <w:r w:rsidR="0010232F" w:rsidRPr="004B329E">
        <w:rPr>
          <w:rFonts w:ascii="Book Antiqua" w:hAnsi="Book Antiqua"/>
          <w:sz w:val="24"/>
          <w:szCs w:val="24"/>
        </w:rPr>
        <w:t>;</w:t>
      </w:r>
      <w:r w:rsidRPr="004B329E">
        <w:rPr>
          <w:rFonts w:ascii="Book Antiqua" w:hAnsi="Book Antiqua"/>
          <w:sz w:val="24"/>
          <w:szCs w:val="24"/>
        </w:rPr>
        <w:t xml:space="preserve"> Wendy L. Ward (</w:t>
      </w:r>
      <w:r w:rsidR="0073418A" w:rsidRPr="004B329E">
        <w:rPr>
          <w:rFonts w:ascii="Book Antiqua" w:hAnsi="Book Antiqua"/>
          <w:sz w:val="24"/>
          <w:szCs w:val="24"/>
        </w:rPr>
        <w:t>0000-0001-5587-2955</w:t>
      </w:r>
      <w:r w:rsidRPr="004B329E">
        <w:rPr>
          <w:rFonts w:ascii="Book Antiqua" w:hAnsi="Book Antiqua"/>
          <w:sz w:val="24"/>
          <w:szCs w:val="24"/>
        </w:rPr>
        <w:t>)</w:t>
      </w:r>
      <w:r w:rsidR="0010232F" w:rsidRPr="004B329E">
        <w:rPr>
          <w:rFonts w:ascii="Book Antiqua" w:hAnsi="Book Antiqua"/>
          <w:sz w:val="24"/>
          <w:szCs w:val="24"/>
        </w:rPr>
        <w:t>;</w:t>
      </w:r>
      <w:r w:rsidRPr="004B329E">
        <w:rPr>
          <w:rFonts w:ascii="Book Antiqua" w:hAnsi="Book Antiqua"/>
          <w:sz w:val="24"/>
          <w:szCs w:val="24"/>
        </w:rPr>
        <w:t xml:space="preserve"> Jerry Liu (</w:t>
      </w:r>
      <w:r w:rsidR="0073418A" w:rsidRPr="004B329E">
        <w:rPr>
          <w:rFonts w:ascii="Book Antiqua" w:hAnsi="Book Antiqua"/>
          <w:sz w:val="24"/>
          <w:szCs w:val="24"/>
        </w:rPr>
        <w:t>0000-0001-8646-679X</w:t>
      </w:r>
      <w:r w:rsidRPr="004B329E">
        <w:rPr>
          <w:rFonts w:ascii="Book Antiqua" w:hAnsi="Book Antiqua"/>
          <w:sz w:val="24"/>
          <w:szCs w:val="24"/>
        </w:rPr>
        <w:t>)</w:t>
      </w:r>
      <w:r w:rsidR="0010232F" w:rsidRPr="004B329E">
        <w:rPr>
          <w:rFonts w:ascii="Book Antiqua" w:hAnsi="Book Antiqua"/>
          <w:sz w:val="24"/>
          <w:szCs w:val="24"/>
        </w:rPr>
        <w:t>;</w:t>
      </w:r>
      <w:r w:rsidRPr="004B329E">
        <w:rPr>
          <w:rFonts w:ascii="Book Antiqua" w:hAnsi="Book Antiqua"/>
          <w:sz w:val="24"/>
          <w:szCs w:val="24"/>
        </w:rPr>
        <w:t xml:space="preserve"> Theodora Pappa</w:t>
      </w:r>
      <w:r w:rsidRPr="004B329E">
        <w:rPr>
          <w:rFonts w:ascii="Book Antiqua" w:hAnsi="Book Antiqua"/>
          <w:b/>
          <w:sz w:val="24"/>
          <w:szCs w:val="24"/>
        </w:rPr>
        <w:t xml:space="preserve"> </w:t>
      </w:r>
      <w:r w:rsidR="00291A63" w:rsidRPr="004B329E">
        <w:rPr>
          <w:rFonts w:ascii="Book Antiqua" w:hAnsi="Book Antiqua"/>
          <w:sz w:val="24"/>
          <w:szCs w:val="24"/>
        </w:rPr>
        <w:t>(0000-0001-5336-</w:t>
      </w:r>
      <w:r w:rsidR="0073418A" w:rsidRPr="004B329E">
        <w:rPr>
          <w:rFonts w:ascii="Book Antiqua" w:hAnsi="Book Antiqua"/>
          <w:sz w:val="24"/>
          <w:szCs w:val="24"/>
        </w:rPr>
        <w:t>9117)</w:t>
      </w:r>
      <w:r w:rsidR="0010232F" w:rsidRPr="004B329E">
        <w:rPr>
          <w:rFonts w:ascii="Book Antiqua" w:hAnsi="Book Antiqua"/>
          <w:sz w:val="24"/>
          <w:szCs w:val="24"/>
        </w:rPr>
        <w:t>.</w:t>
      </w:r>
    </w:p>
    <w:p w14:paraId="2E9E7747" w14:textId="77777777" w:rsidR="009014A5" w:rsidRPr="004B329E" w:rsidRDefault="009014A5" w:rsidP="000675D7">
      <w:pPr>
        <w:widowControl w:val="0"/>
        <w:autoSpaceDE w:val="0"/>
        <w:autoSpaceDN w:val="0"/>
        <w:adjustRightInd w:val="0"/>
        <w:spacing w:after="0" w:line="360" w:lineRule="auto"/>
        <w:jc w:val="both"/>
        <w:rPr>
          <w:rFonts w:ascii="Book Antiqua" w:hAnsi="Book Antiqua" w:cs="Calibri"/>
          <w:b/>
          <w:sz w:val="24"/>
          <w:szCs w:val="24"/>
          <w:lang w:val="en"/>
        </w:rPr>
      </w:pPr>
    </w:p>
    <w:p w14:paraId="21DF0ACE" w14:textId="51E7181F" w:rsidR="00C40C99" w:rsidRPr="004B329E"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4B329E">
        <w:rPr>
          <w:rFonts w:ascii="Book Antiqua" w:hAnsi="Book Antiqua" w:cs="Calibri"/>
          <w:b/>
          <w:sz w:val="24"/>
          <w:szCs w:val="24"/>
          <w:lang w:val="en"/>
        </w:rPr>
        <w:t>Author contributions:</w:t>
      </w:r>
      <w:r w:rsidRPr="004B329E">
        <w:rPr>
          <w:rFonts w:ascii="Book Antiqua" w:hAnsi="Book Antiqua" w:cs="Calibri"/>
          <w:sz w:val="24"/>
          <w:szCs w:val="24"/>
          <w:lang w:val="en"/>
        </w:rPr>
        <w:t xml:space="preserve"> Khaddour</w:t>
      </w:r>
      <w:r w:rsidR="0010232F" w:rsidRPr="004B329E">
        <w:rPr>
          <w:rFonts w:ascii="Book Antiqua" w:hAnsi="Book Antiqua" w:cs="Calibri"/>
          <w:sz w:val="24"/>
          <w:szCs w:val="24"/>
          <w:lang w:val="en"/>
        </w:rPr>
        <w:t xml:space="preserve"> K</w:t>
      </w:r>
      <w:r w:rsidR="002E5220" w:rsidRPr="004B329E">
        <w:rPr>
          <w:rFonts w:ascii="Book Antiqua" w:hAnsi="Book Antiqua" w:cs="Calibri"/>
          <w:sz w:val="24"/>
          <w:szCs w:val="24"/>
          <w:lang w:val="en"/>
        </w:rPr>
        <w:t xml:space="preserve"> </w:t>
      </w:r>
      <w:r w:rsidRPr="004B329E">
        <w:rPr>
          <w:rFonts w:ascii="Book Antiqua" w:hAnsi="Book Antiqua" w:cs="Calibri"/>
          <w:sz w:val="24"/>
          <w:szCs w:val="24"/>
          <w:lang w:val="en"/>
        </w:rPr>
        <w:t>conceptualized and</w:t>
      </w:r>
      <w:r w:rsidR="002E5220" w:rsidRPr="004B329E">
        <w:rPr>
          <w:rFonts w:ascii="Book Antiqua" w:hAnsi="Book Antiqua" w:cs="Calibri"/>
          <w:sz w:val="24"/>
          <w:szCs w:val="24"/>
          <w:lang w:val="en"/>
        </w:rPr>
        <w:t xml:space="preserve"> wrote all the parts of the manuscript.</w:t>
      </w:r>
      <w:r w:rsidRPr="004B329E">
        <w:rPr>
          <w:rFonts w:ascii="Book Antiqua" w:hAnsi="Book Antiqua" w:cs="Calibri"/>
          <w:sz w:val="24"/>
          <w:szCs w:val="24"/>
          <w:lang w:val="en"/>
        </w:rPr>
        <w:t xml:space="preserve"> </w:t>
      </w:r>
      <w:r w:rsidR="00680FF1" w:rsidRPr="004B329E">
        <w:rPr>
          <w:rFonts w:ascii="Book Antiqua" w:hAnsi="Book Antiqua" w:cs="Calibri"/>
          <w:sz w:val="24"/>
          <w:szCs w:val="24"/>
          <w:lang w:val="en"/>
        </w:rPr>
        <w:t>Statistical analysis was provided by a third party and work was r</w:t>
      </w:r>
      <w:r w:rsidR="008A2B82" w:rsidRPr="004B329E">
        <w:rPr>
          <w:rFonts w:ascii="Book Antiqua" w:hAnsi="Book Antiqua" w:cs="Calibri"/>
          <w:sz w:val="24"/>
          <w:szCs w:val="24"/>
          <w:lang w:val="en"/>
        </w:rPr>
        <w:t>e</w:t>
      </w:r>
      <w:r w:rsidR="00680FF1" w:rsidRPr="004B329E">
        <w:rPr>
          <w:rFonts w:ascii="Book Antiqua" w:hAnsi="Book Antiqua" w:cs="Calibri"/>
          <w:sz w:val="24"/>
          <w:szCs w:val="24"/>
          <w:lang w:val="en"/>
        </w:rPr>
        <w:t xml:space="preserve">viewed by all authors. </w:t>
      </w:r>
      <w:r w:rsidRPr="004B329E">
        <w:rPr>
          <w:rFonts w:ascii="Book Antiqua" w:hAnsi="Book Antiqua" w:cs="Calibri"/>
          <w:sz w:val="24"/>
          <w:szCs w:val="24"/>
          <w:lang w:val="en"/>
        </w:rPr>
        <w:t>M</w:t>
      </w:r>
      <w:r w:rsidR="00F0475D" w:rsidRPr="004B329E">
        <w:rPr>
          <w:rFonts w:ascii="Book Antiqua" w:hAnsi="Book Antiqua" w:cs="Calibri"/>
          <w:sz w:val="24"/>
          <w:szCs w:val="24"/>
          <w:lang w:val="en"/>
        </w:rPr>
        <w:t>ar</w:t>
      </w:r>
      <w:r w:rsidR="002E5220" w:rsidRPr="004B329E">
        <w:rPr>
          <w:rFonts w:ascii="Book Antiqua" w:hAnsi="Book Antiqua" w:cs="Calibri"/>
          <w:sz w:val="24"/>
          <w:szCs w:val="24"/>
          <w:lang w:val="en"/>
        </w:rPr>
        <w:t>en</w:t>
      </w:r>
      <w:r w:rsidR="00F0475D" w:rsidRPr="004B329E">
        <w:rPr>
          <w:rFonts w:ascii="Book Antiqua" w:hAnsi="Book Antiqua" w:cs="Calibri"/>
          <w:sz w:val="24"/>
          <w:szCs w:val="24"/>
          <w:lang w:val="en"/>
        </w:rPr>
        <w:t>y</w:t>
      </w:r>
      <w:r w:rsidR="002E5220" w:rsidRPr="004B329E">
        <w:rPr>
          <w:rFonts w:ascii="Book Antiqua" w:hAnsi="Book Antiqua" w:cs="Calibri"/>
          <w:sz w:val="24"/>
          <w:szCs w:val="24"/>
          <w:lang w:val="en"/>
        </w:rPr>
        <w:t>ch</w:t>
      </w:r>
      <w:r w:rsidR="0010232F" w:rsidRPr="004B329E">
        <w:rPr>
          <w:rFonts w:ascii="Book Antiqua" w:hAnsi="Book Antiqua" w:cs="Calibri"/>
          <w:sz w:val="24"/>
          <w:szCs w:val="24"/>
          <w:lang w:val="en"/>
        </w:rPr>
        <w:t xml:space="preserve"> N</w:t>
      </w:r>
      <w:r w:rsidR="002E5220" w:rsidRPr="004B329E">
        <w:rPr>
          <w:rFonts w:ascii="Book Antiqua" w:hAnsi="Book Antiqua" w:cs="Calibri"/>
          <w:sz w:val="24"/>
          <w:szCs w:val="24"/>
          <w:lang w:val="en"/>
        </w:rPr>
        <w:t xml:space="preserve"> and Khaddour</w:t>
      </w:r>
      <w:r w:rsidR="0010232F" w:rsidRPr="004B329E">
        <w:rPr>
          <w:rFonts w:ascii="Book Antiqua" w:hAnsi="Book Antiqua" w:cs="Calibri"/>
          <w:sz w:val="24"/>
          <w:szCs w:val="24"/>
          <w:lang w:val="en"/>
        </w:rPr>
        <w:t xml:space="preserve"> K</w:t>
      </w:r>
      <w:r w:rsidR="002E5220" w:rsidRPr="004B329E">
        <w:rPr>
          <w:rFonts w:ascii="Book Antiqua" w:hAnsi="Book Antiqua" w:cs="Calibri"/>
          <w:sz w:val="24"/>
          <w:szCs w:val="24"/>
          <w:lang w:val="en"/>
        </w:rPr>
        <w:t xml:space="preserve"> collected the data for the systematic review. Ward</w:t>
      </w:r>
      <w:r w:rsidR="0010232F" w:rsidRPr="004B329E">
        <w:rPr>
          <w:rFonts w:ascii="Book Antiqua" w:hAnsi="Book Antiqua" w:cs="Calibri"/>
          <w:sz w:val="24"/>
          <w:szCs w:val="24"/>
          <w:lang w:val="en"/>
        </w:rPr>
        <w:t xml:space="preserve"> WL</w:t>
      </w:r>
      <w:r w:rsidR="002E5220" w:rsidRPr="004B329E">
        <w:rPr>
          <w:rFonts w:ascii="Book Antiqua" w:hAnsi="Book Antiqua" w:cs="Calibri"/>
          <w:sz w:val="24"/>
          <w:szCs w:val="24"/>
          <w:lang w:val="en"/>
        </w:rPr>
        <w:t xml:space="preserve"> contributed with original pathology pictures from our institution. P</w:t>
      </w:r>
      <w:r w:rsidR="00C556B8" w:rsidRPr="004B329E">
        <w:rPr>
          <w:rFonts w:ascii="Book Antiqua" w:hAnsi="Book Antiqua" w:cs="Calibri"/>
          <w:sz w:val="24"/>
          <w:szCs w:val="24"/>
          <w:lang w:val="en"/>
        </w:rPr>
        <w:t>appa</w:t>
      </w:r>
      <w:r w:rsidR="0010232F" w:rsidRPr="004B329E">
        <w:rPr>
          <w:rFonts w:ascii="Book Antiqua" w:hAnsi="Book Antiqua" w:cs="Calibri"/>
          <w:sz w:val="24"/>
          <w:szCs w:val="24"/>
          <w:lang w:val="en"/>
        </w:rPr>
        <w:t xml:space="preserve"> T</w:t>
      </w:r>
      <w:r w:rsidR="002E5220" w:rsidRPr="004B329E">
        <w:rPr>
          <w:rFonts w:ascii="Book Antiqua" w:hAnsi="Book Antiqua" w:cs="Calibri"/>
          <w:sz w:val="24"/>
          <w:szCs w:val="24"/>
          <w:lang w:val="en"/>
        </w:rPr>
        <w:t xml:space="preserve"> </w:t>
      </w:r>
      <w:r w:rsidRPr="004B329E">
        <w:rPr>
          <w:rFonts w:ascii="Book Antiqua" w:hAnsi="Book Antiqua" w:cs="Calibri"/>
          <w:sz w:val="24"/>
          <w:szCs w:val="24"/>
          <w:lang w:val="en"/>
        </w:rPr>
        <w:t>and Liu</w:t>
      </w:r>
      <w:r w:rsidR="0010232F" w:rsidRPr="004B329E">
        <w:rPr>
          <w:rFonts w:ascii="Book Antiqua" w:hAnsi="Book Antiqua" w:cs="Calibri"/>
          <w:sz w:val="24"/>
          <w:szCs w:val="24"/>
          <w:lang w:val="en"/>
        </w:rPr>
        <w:t xml:space="preserve"> J</w:t>
      </w:r>
      <w:r w:rsidRPr="004B329E">
        <w:rPr>
          <w:rFonts w:ascii="Book Antiqua" w:hAnsi="Book Antiqua" w:cs="Calibri"/>
          <w:sz w:val="24"/>
          <w:szCs w:val="24"/>
          <w:lang w:val="en"/>
        </w:rPr>
        <w:t xml:space="preserve"> contributed to</w:t>
      </w:r>
      <w:r w:rsidR="002E5220" w:rsidRPr="004B329E">
        <w:rPr>
          <w:rFonts w:ascii="Book Antiqua" w:hAnsi="Book Antiqua" w:cs="Calibri"/>
          <w:sz w:val="24"/>
          <w:szCs w:val="24"/>
          <w:lang w:val="en"/>
        </w:rPr>
        <w:t xml:space="preserve"> the </w:t>
      </w:r>
      <w:r w:rsidR="008A2B82" w:rsidRPr="004B329E">
        <w:rPr>
          <w:rFonts w:ascii="Book Antiqua" w:hAnsi="Book Antiqua" w:cs="Calibri"/>
          <w:sz w:val="24"/>
          <w:szCs w:val="24"/>
          <w:lang w:val="en"/>
        </w:rPr>
        <w:t>re</w:t>
      </w:r>
      <w:r w:rsidRPr="004B329E">
        <w:rPr>
          <w:rFonts w:ascii="Book Antiqua" w:hAnsi="Book Antiqua" w:cs="Calibri"/>
          <w:sz w:val="24"/>
          <w:szCs w:val="24"/>
          <w:lang w:val="en"/>
        </w:rPr>
        <w:t xml:space="preserve">view of the manuscript. </w:t>
      </w:r>
      <w:r w:rsidR="00AA589A" w:rsidRPr="004B329E">
        <w:rPr>
          <w:rFonts w:ascii="Book Antiqua" w:hAnsi="Book Antiqua" w:cs="Calibri"/>
          <w:sz w:val="24"/>
          <w:szCs w:val="24"/>
          <w:lang w:val="en"/>
        </w:rPr>
        <w:t>All authors</w:t>
      </w:r>
      <w:r w:rsidRPr="004B329E">
        <w:rPr>
          <w:rFonts w:ascii="Book Antiqua" w:hAnsi="Book Antiqua" w:cs="Calibri"/>
          <w:sz w:val="24"/>
          <w:szCs w:val="24"/>
          <w:lang w:val="en"/>
        </w:rPr>
        <w:t xml:space="preserve"> contributed to the final production and overview of the manuscript; all authors reviewed and approved the final manuscript submitted.</w:t>
      </w:r>
    </w:p>
    <w:p w14:paraId="79F0C585" w14:textId="77777777" w:rsidR="0000608F" w:rsidRPr="004B329E" w:rsidRDefault="0000608F" w:rsidP="000675D7">
      <w:pPr>
        <w:adjustRightInd w:val="0"/>
        <w:snapToGrid w:val="0"/>
        <w:spacing w:after="0" w:line="360" w:lineRule="auto"/>
        <w:jc w:val="both"/>
        <w:rPr>
          <w:rFonts w:ascii="Book Antiqua" w:hAnsi="Book Antiqua"/>
          <w:b/>
          <w:sz w:val="24"/>
          <w:szCs w:val="24"/>
        </w:rPr>
      </w:pPr>
    </w:p>
    <w:p w14:paraId="0FBBDF21" w14:textId="2B731B73" w:rsidR="0010232F" w:rsidRPr="004B329E" w:rsidRDefault="0010232F" w:rsidP="000675D7">
      <w:pPr>
        <w:adjustRightInd w:val="0"/>
        <w:snapToGrid w:val="0"/>
        <w:spacing w:after="0" w:line="360" w:lineRule="auto"/>
        <w:jc w:val="both"/>
        <w:rPr>
          <w:rFonts w:ascii="Book Antiqua" w:hAnsi="Book Antiqua"/>
          <w:sz w:val="24"/>
          <w:szCs w:val="24"/>
        </w:rPr>
      </w:pPr>
      <w:r w:rsidRPr="004B329E">
        <w:rPr>
          <w:rFonts w:ascii="Book Antiqua" w:hAnsi="Book Antiqua"/>
          <w:b/>
          <w:sz w:val="24"/>
          <w:szCs w:val="24"/>
        </w:rPr>
        <w:t>Conflict-of-interest statement:</w:t>
      </w:r>
      <w:r w:rsidRPr="004B329E">
        <w:rPr>
          <w:rFonts w:ascii="Book Antiqua" w:hAnsi="Book Antiqua" w:cs="TimesNewRomanPS-BoldItalicMT"/>
          <w:b/>
          <w:bCs/>
          <w:iCs/>
          <w:sz w:val="24"/>
          <w:szCs w:val="24"/>
        </w:rPr>
        <w:t xml:space="preserve"> </w:t>
      </w:r>
      <w:r w:rsidRPr="004B329E">
        <w:rPr>
          <w:rFonts w:ascii="Book Antiqua" w:hAnsi="Book Antiqua"/>
          <w:sz w:val="24"/>
          <w:szCs w:val="24"/>
        </w:rPr>
        <w:t>Authors declare no conflict of interests for this article.</w:t>
      </w:r>
    </w:p>
    <w:p w14:paraId="356BAFBC" w14:textId="77777777" w:rsidR="0010232F" w:rsidRPr="004B329E" w:rsidRDefault="0010232F" w:rsidP="000675D7">
      <w:pPr>
        <w:adjustRightInd w:val="0"/>
        <w:snapToGrid w:val="0"/>
        <w:spacing w:after="0" w:line="360" w:lineRule="auto"/>
        <w:jc w:val="both"/>
        <w:rPr>
          <w:rFonts w:ascii="Book Antiqua" w:hAnsi="Book Antiqua"/>
          <w:sz w:val="24"/>
          <w:szCs w:val="24"/>
        </w:rPr>
      </w:pPr>
    </w:p>
    <w:p w14:paraId="739FE393" w14:textId="01B79F0E" w:rsidR="00291A63" w:rsidRPr="004B329E" w:rsidRDefault="00291A63" w:rsidP="00291A63">
      <w:pPr>
        <w:spacing w:after="0" w:line="360" w:lineRule="auto"/>
        <w:jc w:val="both"/>
        <w:rPr>
          <w:rFonts w:ascii="Book Antiqua" w:hAnsi="Book Antiqua"/>
          <w:b/>
          <w:sz w:val="24"/>
          <w:szCs w:val="24"/>
          <w:lang w:eastAsia="zh-CN"/>
        </w:rPr>
      </w:pPr>
      <w:bookmarkStart w:id="2" w:name="OLE_LINK507"/>
      <w:bookmarkStart w:id="3" w:name="OLE_LINK506"/>
      <w:bookmarkStart w:id="4" w:name="OLE_LINK496"/>
      <w:bookmarkStart w:id="5" w:name="OLE_LINK479"/>
      <w:r w:rsidRPr="004B329E">
        <w:rPr>
          <w:rFonts w:ascii="Book Antiqua" w:hAnsi="Book Antiqua"/>
          <w:b/>
          <w:sz w:val="24"/>
          <w:szCs w:val="24"/>
        </w:rPr>
        <w:t xml:space="preserve">PRISMA 2009 Checklist statement: </w:t>
      </w:r>
      <w:r w:rsidRPr="004B329E">
        <w:rPr>
          <w:rFonts w:ascii="Book Antiqua" w:hAnsi="Book Antiqua" w:hint="eastAsia"/>
          <w:sz w:val="24"/>
          <w:szCs w:val="24"/>
          <w:lang w:eastAsia="zh-CN"/>
        </w:rPr>
        <w:t xml:space="preserve">Authors revised the manuscript according to the </w:t>
      </w:r>
      <w:r w:rsidRPr="004B329E">
        <w:rPr>
          <w:rFonts w:ascii="Book Antiqua" w:hAnsi="Book Antiqua"/>
          <w:sz w:val="24"/>
          <w:szCs w:val="24"/>
          <w:lang w:eastAsia="zh-CN"/>
        </w:rPr>
        <w:t>PRISMA 2009 Checklist</w:t>
      </w:r>
      <w:r w:rsidRPr="004B329E">
        <w:rPr>
          <w:rFonts w:ascii="Book Antiqua" w:hAnsi="Book Antiqua" w:hint="eastAsia"/>
          <w:sz w:val="24"/>
          <w:szCs w:val="24"/>
          <w:lang w:eastAsia="zh-CN"/>
        </w:rPr>
        <w:t>.</w:t>
      </w:r>
    </w:p>
    <w:p w14:paraId="57EA6C9F" w14:textId="77777777" w:rsidR="00291A63" w:rsidRPr="004B329E" w:rsidRDefault="00291A63" w:rsidP="000675D7">
      <w:pPr>
        <w:adjustRightInd w:val="0"/>
        <w:snapToGrid w:val="0"/>
        <w:spacing w:after="0" w:line="360" w:lineRule="auto"/>
        <w:jc w:val="both"/>
        <w:rPr>
          <w:rFonts w:ascii="Book Antiqua" w:hAnsi="Book Antiqua"/>
          <w:b/>
          <w:sz w:val="24"/>
          <w:szCs w:val="24"/>
          <w:lang w:eastAsia="zh-CN"/>
        </w:rPr>
      </w:pPr>
    </w:p>
    <w:p w14:paraId="7F41825B" w14:textId="77777777" w:rsidR="0010232F" w:rsidRPr="004B329E" w:rsidRDefault="0010232F" w:rsidP="000675D7">
      <w:pPr>
        <w:adjustRightInd w:val="0"/>
        <w:snapToGrid w:val="0"/>
        <w:spacing w:after="0" w:line="360" w:lineRule="auto"/>
        <w:jc w:val="both"/>
        <w:rPr>
          <w:rFonts w:ascii="Book Antiqua" w:hAnsi="Book Antiqua"/>
          <w:sz w:val="24"/>
          <w:szCs w:val="24"/>
        </w:rPr>
      </w:pPr>
      <w:r w:rsidRPr="004B329E">
        <w:rPr>
          <w:rFonts w:ascii="Book Antiqua" w:hAnsi="Book Antiqua"/>
          <w:b/>
          <w:sz w:val="24"/>
          <w:szCs w:val="24"/>
        </w:rPr>
        <w:t xml:space="preserve">Open-Access: </w:t>
      </w:r>
      <w:r w:rsidRPr="004B329E">
        <w:rPr>
          <w:rFonts w:ascii="Book Antiqua" w:hAnsi="Book Antiqua"/>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0F32CCB4" w14:textId="77777777" w:rsidR="0010232F" w:rsidRPr="004B329E" w:rsidRDefault="0010232F" w:rsidP="000675D7">
      <w:pPr>
        <w:adjustRightInd w:val="0"/>
        <w:snapToGrid w:val="0"/>
        <w:spacing w:after="0" w:line="360" w:lineRule="auto"/>
        <w:jc w:val="both"/>
        <w:rPr>
          <w:rFonts w:ascii="Book Antiqua" w:hAnsi="Book Antiqua"/>
          <w:sz w:val="24"/>
          <w:szCs w:val="24"/>
        </w:rPr>
      </w:pPr>
    </w:p>
    <w:p w14:paraId="2AE3E1BF" w14:textId="77777777" w:rsidR="0010232F" w:rsidRPr="004B329E" w:rsidRDefault="0010232F" w:rsidP="000675D7">
      <w:pPr>
        <w:adjustRightInd w:val="0"/>
        <w:snapToGrid w:val="0"/>
        <w:spacing w:after="0" w:line="360" w:lineRule="auto"/>
        <w:jc w:val="both"/>
        <w:rPr>
          <w:rStyle w:val="a8"/>
          <w:rFonts w:ascii="Book Antiqua" w:hAnsi="Book Antiqua"/>
          <w:bCs/>
          <w:iCs/>
          <w:color w:val="auto"/>
          <w:sz w:val="24"/>
          <w:szCs w:val="24"/>
        </w:rPr>
      </w:pPr>
      <w:r w:rsidRPr="004B329E">
        <w:rPr>
          <w:rFonts w:ascii="Book Antiqua" w:hAnsi="Book Antiqua"/>
          <w:b/>
          <w:bCs/>
          <w:iCs/>
          <w:sz w:val="24"/>
          <w:szCs w:val="24"/>
        </w:rPr>
        <w:t>Manuscript source:</w:t>
      </w:r>
      <w:r w:rsidRPr="004B329E">
        <w:rPr>
          <w:rFonts w:ascii="Book Antiqua" w:hAnsi="Book Antiqua"/>
          <w:bCs/>
          <w:iCs/>
          <w:sz w:val="24"/>
          <w:szCs w:val="24"/>
        </w:rPr>
        <w:t xml:space="preserve"> Invited manuscript</w:t>
      </w:r>
    </w:p>
    <w:p w14:paraId="51D558F4" w14:textId="77777777" w:rsidR="009014A5" w:rsidRPr="004B329E" w:rsidRDefault="009014A5" w:rsidP="000675D7">
      <w:pPr>
        <w:spacing w:after="0" w:line="360" w:lineRule="auto"/>
        <w:jc w:val="both"/>
        <w:rPr>
          <w:rFonts w:ascii="Book Antiqua" w:hAnsi="Book Antiqua" w:cs="Calibri"/>
          <w:b/>
          <w:sz w:val="24"/>
          <w:szCs w:val="24"/>
          <w:lang w:val="en"/>
        </w:rPr>
      </w:pPr>
    </w:p>
    <w:p w14:paraId="334A79AE" w14:textId="21BF87BD" w:rsidR="00C40C99" w:rsidRPr="004B329E" w:rsidRDefault="009014A5" w:rsidP="000675D7">
      <w:pPr>
        <w:spacing w:after="0" w:line="360" w:lineRule="auto"/>
        <w:jc w:val="both"/>
        <w:rPr>
          <w:rFonts w:ascii="Book Antiqua" w:hAnsi="Book Antiqua"/>
          <w:b/>
          <w:sz w:val="24"/>
          <w:szCs w:val="24"/>
          <w:u w:val="single"/>
          <w:lang w:eastAsia="zh-CN"/>
        </w:rPr>
      </w:pPr>
      <w:r w:rsidRPr="004B329E">
        <w:rPr>
          <w:rFonts w:ascii="Book Antiqua" w:hAnsi="Book Antiqua" w:cs="Calibri"/>
          <w:b/>
          <w:sz w:val="24"/>
          <w:szCs w:val="24"/>
          <w:lang w:val="en"/>
        </w:rPr>
        <w:t>Corresponding author</w:t>
      </w:r>
      <w:r w:rsidR="00C40C99" w:rsidRPr="004B329E">
        <w:rPr>
          <w:rFonts w:ascii="Book Antiqua" w:hAnsi="Book Antiqua" w:cs="Calibri"/>
          <w:b/>
          <w:sz w:val="24"/>
          <w:szCs w:val="24"/>
          <w:lang w:val="en"/>
        </w:rPr>
        <w:t>:</w:t>
      </w:r>
      <w:r w:rsidR="00C40C99" w:rsidRPr="004B329E">
        <w:rPr>
          <w:rFonts w:ascii="Book Antiqua" w:hAnsi="Book Antiqua" w:cs="Calibri"/>
          <w:sz w:val="24"/>
          <w:szCs w:val="24"/>
          <w:lang w:val="en"/>
        </w:rPr>
        <w:t xml:space="preserve"> </w:t>
      </w:r>
      <w:r w:rsidR="00C40C99" w:rsidRPr="004B329E">
        <w:rPr>
          <w:rFonts w:ascii="Book Antiqua" w:hAnsi="Book Antiqua" w:cs="Calibri"/>
          <w:b/>
          <w:bCs/>
          <w:sz w:val="24"/>
          <w:szCs w:val="24"/>
          <w:lang w:val="en"/>
        </w:rPr>
        <w:t xml:space="preserve">Karam Khaddour, </w:t>
      </w:r>
      <w:r w:rsidR="0010232F" w:rsidRPr="004B329E">
        <w:rPr>
          <w:rFonts w:ascii="Book Antiqua" w:hAnsi="Book Antiqua" w:cs="Calibri"/>
          <w:b/>
          <w:bCs/>
          <w:sz w:val="24"/>
          <w:szCs w:val="24"/>
          <w:lang w:val="en"/>
        </w:rPr>
        <w:t xml:space="preserve">MD, Academic Fellow, </w:t>
      </w:r>
      <w:r w:rsidR="0021111A" w:rsidRPr="004B329E">
        <w:rPr>
          <w:rFonts w:ascii="Book Antiqua" w:hAnsi="Book Antiqua" w:cs="Calibri"/>
          <w:sz w:val="24"/>
          <w:szCs w:val="24"/>
          <w:lang w:val="en"/>
        </w:rPr>
        <w:t>Division of Internal Medicine</w:t>
      </w:r>
      <w:r w:rsidR="0021111A" w:rsidRPr="004B329E">
        <w:rPr>
          <w:rFonts w:ascii="Book Antiqua" w:hAnsi="Book Antiqua"/>
          <w:b/>
          <w:sz w:val="24"/>
          <w:szCs w:val="24"/>
          <w:lang w:eastAsia="zh-CN"/>
        </w:rPr>
        <w:t>,</w:t>
      </w:r>
      <w:r w:rsidR="0021111A" w:rsidRPr="004B329E">
        <w:rPr>
          <w:rFonts w:ascii="Book Antiqua" w:hAnsi="Book Antiqua" w:hint="eastAsia"/>
          <w:b/>
          <w:sz w:val="24"/>
          <w:szCs w:val="24"/>
          <w:lang w:eastAsia="zh-CN"/>
        </w:rPr>
        <w:t xml:space="preserve"> </w:t>
      </w:r>
      <w:r w:rsidR="00C40C99" w:rsidRPr="004B329E">
        <w:rPr>
          <w:rFonts w:ascii="Book Antiqua" w:hAnsi="Book Antiqua" w:cs="Calibri"/>
          <w:sz w:val="24"/>
          <w:szCs w:val="24"/>
          <w:lang w:val="en"/>
        </w:rPr>
        <w:t>Rosalind Franklin University of Medicine and Science</w:t>
      </w:r>
      <w:r w:rsidRPr="004B329E">
        <w:rPr>
          <w:rFonts w:ascii="Book Antiqua" w:hAnsi="Book Antiqua"/>
          <w:b/>
          <w:sz w:val="24"/>
          <w:szCs w:val="24"/>
          <w:lang w:eastAsia="zh-CN"/>
        </w:rPr>
        <w:t xml:space="preserve">, </w:t>
      </w:r>
      <w:r w:rsidR="00C40C99" w:rsidRPr="004B329E">
        <w:rPr>
          <w:rFonts w:ascii="Book Antiqua" w:hAnsi="Book Antiqua" w:cs="Calibri"/>
          <w:sz w:val="24"/>
          <w:szCs w:val="24"/>
          <w:lang w:val="en"/>
        </w:rPr>
        <w:t xml:space="preserve">4309 </w:t>
      </w:r>
      <w:r w:rsidR="00F0475D" w:rsidRPr="004B329E">
        <w:rPr>
          <w:rFonts w:ascii="Book Antiqua" w:hAnsi="Book Antiqua" w:cs="Calibri"/>
          <w:sz w:val="24"/>
          <w:szCs w:val="24"/>
          <w:lang w:val="en"/>
        </w:rPr>
        <w:t>M</w:t>
      </w:r>
      <w:r w:rsidR="00C40C99" w:rsidRPr="004B329E">
        <w:rPr>
          <w:rFonts w:ascii="Book Antiqua" w:hAnsi="Book Antiqua" w:cs="Calibri"/>
          <w:sz w:val="24"/>
          <w:szCs w:val="24"/>
          <w:lang w:val="en"/>
        </w:rPr>
        <w:t xml:space="preserve">edical </w:t>
      </w:r>
      <w:r w:rsidR="00F0475D" w:rsidRPr="004B329E">
        <w:rPr>
          <w:rFonts w:ascii="Book Antiqua" w:hAnsi="Book Antiqua" w:cs="Calibri"/>
          <w:sz w:val="24"/>
          <w:szCs w:val="24"/>
          <w:lang w:val="en"/>
        </w:rPr>
        <w:t>C</w:t>
      </w:r>
      <w:r w:rsidR="00C40C99" w:rsidRPr="004B329E">
        <w:rPr>
          <w:rFonts w:ascii="Book Antiqua" w:hAnsi="Book Antiqua" w:cs="Calibri"/>
          <w:sz w:val="24"/>
          <w:szCs w:val="24"/>
          <w:lang w:val="en"/>
        </w:rPr>
        <w:t xml:space="preserve">enter </w:t>
      </w:r>
      <w:r w:rsidR="00F0475D" w:rsidRPr="004B329E">
        <w:rPr>
          <w:rFonts w:ascii="Book Antiqua" w:hAnsi="Book Antiqua" w:cs="Calibri"/>
          <w:sz w:val="24"/>
          <w:szCs w:val="24"/>
          <w:lang w:val="en"/>
        </w:rPr>
        <w:t>D</w:t>
      </w:r>
      <w:r w:rsidR="00C40C99" w:rsidRPr="004B329E">
        <w:rPr>
          <w:rFonts w:ascii="Book Antiqua" w:hAnsi="Book Antiqua" w:cs="Calibri"/>
          <w:sz w:val="24"/>
          <w:szCs w:val="24"/>
          <w:lang w:val="en"/>
        </w:rPr>
        <w:t xml:space="preserve">rive, </w:t>
      </w:r>
      <w:r w:rsidR="00F0475D" w:rsidRPr="004B329E">
        <w:rPr>
          <w:rFonts w:ascii="Book Antiqua" w:hAnsi="Book Antiqua" w:cs="Calibri"/>
          <w:sz w:val="24"/>
          <w:szCs w:val="24"/>
          <w:lang w:val="en"/>
        </w:rPr>
        <w:t>M</w:t>
      </w:r>
      <w:r w:rsidR="00C40C99" w:rsidRPr="004B329E">
        <w:rPr>
          <w:rFonts w:ascii="Book Antiqua" w:hAnsi="Book Antiqua" w:cs="Calibri"/>
          <w:sz w:val="24"/>
          <w:szCs w:val="24"/>
          <w:lang w:val="en"/>
        </w:rPr>
        <w:t xml:space="preserve">edical </w:t>
      </w:r>
      <w:r w:rsidR="00F0475D" w:rsidRPr="004B329E">
        <w:rPr>
          <w:rFonts w:ascii="Book Antiqua" w:hAnsi="Book Antiqua" w:cs="Calibri"/>
          <w:sz w:val="24"/>
          <w:szCs w:val="24"/>
          <w:lang w:val="en"/>
        </w:rPr>
        <w:t>O</w:t>
      </w:r>
      <w:r w:rsidR="00C40C99" w:rsidRPr="004B329E">
        <w:rPr>
          <w:rFonts w:ascii="Book Antiqua" w:hAnsi="Book Antiqua" w:cs="Calibri"/>
          <w:sz w:val="24"/>
          <w:szCs w:val="24"/>
          <w:lang w:val="en"/>
        </w:rPr>
        <w:t xml:space="preserve">ffice </w:t>
      </w:r>
      <w:r w:rsidR="00F0475D" w:rsidRPr="004B329E">
        <w:rPr>
          <w:rFonts w:ascii="Book Antiqua" w:hAnsi="Book Antiqua" w:cs="Calibri"/>
          <w:sz w:val="24"/>
          <w:szCs w:val="24"/>
          <w:lang w:val="en"/>
        </w:rPr>
        <w:t>B</w:t>
      </w:r>
      <w:r w:rsidR="00C40C99" w:rsidRPr="004B329E">
        <w:rPr>
          <w:rFonts w:ascii="Book Antiqua" w:hAnsi="Book Antiqua" w:cs="Calibri"/>
          <w:sz w:val="24"/>
          <w:szCs w:val="24"/>
          <w:lang w:val="en"/>
        </w:rPr>
        <w:t>uilding A, Rosalind Franklin Residency Suite, McHenry, IL 60050</w:t>
      </w:r>
      <w:r w:rsidR="0010232F" w:rsidRPr="004B329E">
        <w:rPr>
          <w:rFonts w:ascii="Book Antiqua" w:hAnsi="Book Antiqua" w:cs="Calibri"/>
          <w:sz w:val="24"/>
          <w:szCs w:val="24"/>
          <w:lang w:val="en"/>
        </w:rPr>
        <w:t xml:space="preserve">, </w:t>
      </w:r>
      <w:r w:rsidR="0010232F" w:rsidRPr="004B329E">
        <w:rPr>
          <w:rFonts w:ascii="Book Antiqua" w:hAnsi="Book Antiqua"/>
          <w:sz w:val="24"/>
          <w:szCs w:val="24"/>
        </w:rPr>
        <w:t>U</w:t>
      </w:r>
      <w:r w:rsidR="0010232F" w:rsidRPr="004B329E">
        <w:rPr>
          <w:rFonts w:ascii="Book Antiqua" w:hAnsi="Book Antiqua"/>
          <w:sz w:val="24"/>
          <w:szCs w:val="24"/>
          <w:lang w:eastAsia="zh-CN"/>
        </w:rPr>
        <w:t>nited</w:t>
      </w:r>
      <w:r w:rsidR="0010232F" w:rsidRPr="004B329E">
        <w:rPr>
          <w:rFonts w:ascii="Book Antiqua" w:hAnsi="Book Antiqua"/>
          <w:sz w:val="24"/>
          <w:szCs w:val="24"/>
        </w:rPr>
        <w:t xml:space="preserve"> Stat</w:t>
      </w:r>
      <w:r w:rsidR="0010232F" w:rsidRPr="004B329E">
        <w:rPr>
          <w:rFonts w:ascii="Book Antiqua" w:hAnsi="Book Antiqua"/>
          <w:sz w:val="24"/>
          <w:szCs w:val="24"/>
          <w:lang w:eastAsia="zh-CN"/>
        </w:rPr>
        <w:t>es</w:t>
      </w:r>
      <w:r w:rsidR="00A725CC" w:rsidRPr="004B329E">
        <w:rPr>
          <w:rFonts w:ascii="Book Antiqua" w:hAnsi="Book Antiqua"/>
          <w:sz w:val="24"/>
          <w:szCs w:val="24"/>
          <w:lang w:eastAsia="zh-CN"/>
        </w:rPr>
        <w:t xml:space="preserve">. </w:t>
      </w:r>
      <w:r w:rsidR="008719DE" w:rsidRPr="004B329E">
        <w:rPr>
          <w:rFonts w:ascii="Book Antiqua" w:hAnsi="Book Antiqua"/>
          <w:sz w:val="24"/>
          <w:szCs w:val="24"/>
          <w:u w:val="single"/>
          <w:lang w:eastAsia="zh-CN"/>
        </w:rPr>
        <w:t>Karam.khaddour@gmail.com</w:t>
      </w:r>
    </w:p>
    <w:p w14:paraId="4B2ACAAC" w14:textId="587C6F3E" w:rsidR="00C40C99" w:rsidRPr="004B329E"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4B329E">
        <w:rPr>
          <w:rFonts w:ascii="Book Antiqua" w:hAnsi="Book Antiqua" w:cs="Calibri"/>
          <w:b/>
          <w:sz w:val="24"/>
          <w:szCs w:val="24"/>
          <w:lang w:val="en"/>
        </w:rPr>
        <w:t>Telephone:</w:t>
      </w:r>
      <w:r w:rsidRPr="004B329E">
        <w:rPr>
          <w:rFonts w:ascii="Book Antiqua" w:hAnsi="Book Antiqua" w:cs="Calibri"/>
          <w:sz w:val="24"/>
          <w:szCs w:val="24"/>
          <w:lang w:val="en"/>
        </w:rPr>
        <w:t xml:space="preserve"> +1</w:t>
      </w:r>
      <w:r w:rsidR="00A725CC" w:rsidRPr="004B329E">
        <w:rPr>
          <w:rFonts w:ascii="Book Antiqua" w:hAnsi="Book Antiqua" w:cs="Calibri"/>
          <w:sz w:val="24"/>
          <w:szCs w:val="24"/>
          <w:lang w:val="en"/>
        </w:rPr>
        <w:t>-</w:t>
      </w:r>
      <w:r w:rsidRPr="004B329E">
        <w:rPr>
          <w:rFonts w:ascii="Book Antiqua" w:hAnsi="Book Antiqua" w:cs="Calibri"/>
          <w:sz w:val="24"/>
          <w:szCs w:val="24"/>
          <w:lang w:val="en"/>
        </w:rPr>
        <w:t>314</w:t>
      </w:r>
      <w:r w:rsidR="00A725CC" w:rsidRPr="004B329E">
        <w:rPr>
          <w:rFonts w:ascii="Book Antiqua" w:hAnsi="Book Antiqua" w:cs="Calibri"/>
          <w:sz w:val="24"/>
          <w:szCs w:val="24"/>
          <w:lang w:val="en"/>
        </w:rPr>
        <w:t>-</w:t>
      </w:r>
      <w:r w:rsidRPr="004B329E">
        <w:rPr>
          <w:rFonts w:ascii="Book Antiqua" w:hAnsi="Book Antiqua" w:cs="Calibri"/>
          <w:sz w:val="24"/>
          <w:szCs w:val="24"/>
          <w:lang w:val="en"/>
        </w:rPr>
        <w:t>7286797</w:t>
      </w:r>
    </w:p>
    <w:p w14:paraId="43AE06BF" w14:textId="4DDF4C75" w:rsidR="00C40C99" w:rsidRPr="004B329E" w:rsidRDefault="00C40C99" w:rsidP="000675D7">
      <w:pPr>
        <w:widowControl w:val="0"/>
        <w:autoSpaceDE w:val="0"/>
        <w:autoSpaceDN w:val="0"/>
        <w:adjustRightInd w:val="0"/>
        <w:spacing w:after="0" w:line="360" w:lineRule="auto"/>
        <w:jc w:val="both"/>
        <w:rPr>
          <w:rFonts w:ascii="Book Antiqua" w:hAnsi="Book Antiqua" w:cs="Calibri"/>
          <w:sz w:val="24"/>
          <w:szCs w:val="24"/>
          <w:lang w:val="en"/>
        </w:rPr>
      </w:pPr>
      <w:r w:rsidRPr="004B329E">
        <w:rPr>
          <w:rFonts w:ascii="Book Antiqua" w:hAnsi="Book Antiqua" w:cs="Calibri"/>
          <w:b/>
          <w:sz w:val="24"/>
          <w:szCs w:val="24"/>
          <w:lang w:val="en"/>
        </w:rPr>
        <w:t>Fax:</w:t>
      </w:r>
      <w:r w:rsidRPr="004B329E">
        <w:rPr>
          <w:rFonts w:ascii="Book Antiqua" w:hAnsi="Book Antiqua" w:cs="Calibri"/>
          <w:sz w:val="24"/>
          <w:szCs w:val="24"/>
          <w:lang w:val="en"/>
        </w:rPr>
        <w:t xml:space="preserve"> +1</w:t>
      </w:r>
      <w:r w:rsidR="00A725CC" w:rsidRPr="004B329E">
        <w:rPr>
          <w:rFonts w:ascii="Book Antiqua" w:hAnsi="Book Antiqua" w:cs="Calibri"/>
          <w:sz w:val="24"/>
          <w:szCs w:val="24"/>
          <w:lang w:val="en"/>
        </w:rPr>
        <w:t>-</w:t>
      </w:r>
      <w:r w:rsidRPr="004B329E">
        <w:rPr>
          <w:rFonts w:ascii="Book Antiqua" w:hAnsi="Book Antiqua" w:cs="Calibri"/>
          <w:sz w:val="24"/>
          <w:szCs w:val="24"/>
          <w:lang w:val="en"/>
        </w:rPr>
        <w:t>815-7598255</w:t>
      </w:r>
    </w:p>
    <w:p w14:paraId="0A84F2A8" w14:textId="05F91D34" w:rsidR="00A725CC" w:rsidRPr="004B329E" w:rsidRDefault="00A725CC" w:rsidP="000675D7">
      <w:pPr>
        <w:widowControl w:val="0"/>
        <w:autoSpaceDE w:val="0"/>
        <w:autoSpaceDN w:val="0"/>
        <w:adjustRightInd w:val="0"/>
        <w:spacing w:after="0" w:line="360" w:lineRule="auto"/>
        <w:jc w:val="both"/>
        <w:rPr>
          <w:rFonts w:ascii="Book Antiqua" w:hAnsi="Book Antiqua" w:cs="Calibri"/>
          <w:sz w:val="24"/>
          <w:szCs w:val="24"/>
          <w:lang w:val="en"/>
        </w:rPr>
      </w:pPr>
    </w:p>
    <w:p w14:paraId="4D6468E2" w14:textId="6B533441" w:rsidR="00A725CC" w:rsidRPr="004B329E" w:rsidRDefault="00A725CC" w:rsidP="000675D7">
      <w:pPr>
        <w:adjustRightInd w:val="0"/>
        <w:snapToGrid w:val="0"/>
        <w:spacing w:after="0" w:line="360" w:lineRule="auto"/>
        <w:jc w:val="both"/>
        <w:rPr>
          <w:rFonts w:ascii="Book Antiqua" w:hAnsi="Book Antiqua"/>
          <w:b/>
          <w:sz w:val="24"/>
          <w:szCs w:val="24"/>
        </w:rPr>
      </w:pPr>
      <w:bookmarkStart w:id="6" w:name="OLE_LINK1"/>
      <w:bookmarkStart w:id="7" w:name="OLE_LINK2"/>
      <w:r w:rsidRPr="004B329E">
        <w:rPr>
          <w:rFonts w:ascii="Book Antiqua" w:hAnsi="Book Antiqua"/>
          <w:b/>
          <w:sz w:val="24"/>
          <w:szCs w:val="24"/>
        </w:rPr>
        <w:t xml:space="preserve">Received: </w:t>
      </w:r>
      <w:r w:rsidRPr="004B329E">
        <w:rPr>
          <w:rFonts w:ascii="Book Antiqua" w:hAnsi="Book Antiqua"/>
          <w:sz w:val="24"/>
          <w:szCs w:val="24"/>
        </w:rPr>
        <w:t>May 8, 2019</w:t>
      </w:r>
    </w:p>
    <w:p w14:paraId="20187F0B" w14:textId="062A2074" w:rsidR="00A725CC" w:rsidRPr="004B329E" w:rsidRDefault="00A725CC" w:rsidP="000675D7">
      <w:pPr>
        <w:adjustRightInd w:val="0"/>
        <w:snapToGrid w:val="0"/>
        <w:spacing w:after="0" w:line="360" w:lineRule="auto"/>
        <w:jc w:val="both"/>
        <w:rPr>
          <w:rFonts w:ascii="Book Antiqua" w:hAnsi="Book Antiqua"/>
          <w:b/>
          <w:sz w:val="24"/>
          <w:szCs w:val="24"/>
        </w:rPr>
      </w:pPr>
      <w:r w:rsidRPr="004B329E">
        <w:rPr>
          <w:rFonts w:ascii="Book Antiqua" w:hAnsi="Book Antiqua"/>
          <w:b/>
          <w:sz w:val="24"/>
          <w:szCs w:val="24"/>
        </w:rPr>
        <w:t xml:space="preserve">Peer-review started: </w:t>
      </w:r>
      <w:r w:rsidRPr="004B329E">
        <w:rPr>
          <w:rFonts w:ascii="Book Antiqua" w:hAnsi="Book Antiqua"/>
          <w:sz w:val="24"/>
          <w:szCs w:val="24"/>
        </w:rPr>
        <w:t>May 10, 2019</w:t>
      </w:r>
    </w:p>
    <w:p w14:paraId="66CE93C6" w14:textId="1E75FFFB" w:rsidR="00A725CC" w:rsidRPr="004B329E" w:rsidRDefault="00A725CC" w:rsidP="000675D7">
      <w:pPr>
        <w:adjustRightInd w:val="0"/>
        <w:snapToGrid w:val="0"/>
        <w:spacing w:after="0" w:line="360" w:lineRule="auto"/>
        <w:jc w:val="both"/>
        <w:rPr>
          <w:rFonts w:ascii="Book Antiqua" w:hAnsi="Book Antiqua"/>
          <w:b/>
          <w:sz w:val="24"/>
          <w:szCs w:val="24"/>
        </w:rPr>
      </w:pPr>
      <w:r w:rsidRPr="004B329E">
        <w:rPr>
          <w:rFonts w:ascii="Book Antiqua" w:hAnsi="Book Antiqua"/>
          <w:b/>
          <w:sz w:val="24"/>
          <w:szCs w:val="24"/>
        </w:rPr>
        <w:t xml:space="preserve">First decision: </w:t>
      </w:r>
      <w:r w:rsidRPr="004B329E">
        <w:rPr>
          <w:rFonts w:ascii="Book Antiqua" w:hAnsi="Book Antiqua"/>
          <w:sz w:val="24"/>
          <w:szCs w:val="24"/>
        </w:rPr>
        <w:t>September 9, 2019</w:t>
      </w:r>
    </w:p>
    <w:p w14:paraId="1E07F769" w14:textId="773F0C5B" w:rsidR="00A725CC" w:rsidRPr="004B329E" w:rsidRDefault="00A725CC" w:rsidP="000675D7">
      <w:pPr>
        <w:adjustRightInd w:val="0"/>
        <w:snapToGrid w:val="0"/>
        <w:spacing w:after="0" w:line="360" w:lineRule="auto"/>
        <w:jc w:val="both"/>
        <w:rPr>
          <w:rFonts w:ascii="Book Antiqua" w:hAnsi="Book Antiqua"/>
          <w:b/>
          <w:sz w:val="24"/>
          <w:szCs w:val="24"/>
        </w:rPr>
      </w:pPr>
      <w:r w:rsidRPr="004B329E">
        <w:rPr>
          <w:rFonts w:ascii="Book Antiqua" w:hAnsi="Book Antiqua"/>
          <w:b/>
          <w:sz w:val="24"/>
          <w:szCs w:val="24"/>
        </w:rPr>
        <w:t xml:space="preserve">Revised: </w:t>
      </w:r>
      <w:r w:rsidRPr="004B329E">
        <w:rPr>
          <w:rFonts w:ascii="Book Antiqua" w:hAnsi="Book Antiqua"/>
          <w:sz w:val="24"/>
          <w:szCs w:val="24"/>
        </w:rPr>
        <w:t>September 25, 2019</w:t>
      </w:r>
    </w:p>
    <w:p w14:paraId="32AB40E0" w14:textId="3EC53B84" w:rsidR="00A725CC" w:rsidRPr="004B329E" w:rsidRDefault="00A725CC" w:rsidP="000675D7">
      <w:pPr>
        <w:adjustRightInd w:val="0"/>
        <w:snapToGrid w:val="0"/>
        <w:spacing w:after="0" w:line="360" w:lineRule="auto"/>
        <w:jc w:val="both"/>
        <w:rPr>
          <w:rFonts w:ascii="Book Antiqua" w:hAnsi="Book Antiqua"/>
          <w:sz w:val="24"/>
          <w:szCs w:val="24"/>
        </w:rPr>
      </w:pPr>
      <w:r w:rsidRPr="004B329E">
        <w:rPr>
          <w:rFonts w:ascii="Book Antiqua" w:hAnsi="Book Antiqua"/>
          <w:b/>
          <w:sz w:val="24"/>
          <w:szCs w:val="24"/>
        </w:rPr>
        <w:t>Accepted:</w:t>
      </w:r>
      <w:bookmarkStart w:id="8" w:name="OLE_LINK98"/>
      <w:bookmarkStart w:id="9" w:name="OLE_LINK99"/>
      <w:bookmarkStart w:id="10" w:name="OLE_LINK104"/>
      <w:bookmarkStart w:id="11" w:name="OLE_LINK110"/>
      <w:bookmarkStart w:id="12" w:name="OLE_LINK111"/>
      <w:bookmarkStart w:id="13" w:name="OLE_LINK115"/>
      <w:bookmarkStart w:id="14" w:name="OLE_LINK116"/>
      <w:r w:rsidRPr="004B329E">
        <w:rPr>
          <w:rFonts w:ascii="Book Antiqua" w:hAnsi="Book Antiqua"/>
          <w:sz w:val="24"/>
          <w:szCs w:val="24"/>
        </w:rPr>
        <w:t xml:space="preserve"> </w:t>
      </w:r>
      <w:bookmarkEnd w:id="8"/>
      <w:bookmarkEnd w:id="9"/>
      <w:bookmarkEnd w:id="10"/>
      <w:bookmarkEnd w:id="11"/>
      <w:bookmarkEnd w:id="12"/>
      <w:bookmarkEnd w:id="13"/>
      <w:bookmarkEnd w:id="14"/>
      <w:r w:rsidR="004707AF" w:rsidRPr="004B329E">
        <w:rPr>
          <w:rFonts w:ascii="Book Antiqua" w:hAnsi="Book Antiqua"/>
          <w:sz w:val="24"/>
          <w:szCs w:val="24"/>
        </w:rPr>
        <w:t>October 15, 2019</w:t>
      </w:r>
    </w:p>
    <w:bookmarkEnd w:id="6"/>
    <w:bookmarkEnd w:id="7"/>
    <w:p w14:paraId="3C24A88A" w14:textId="77777777" w:rsidR="008E6951" w:rsidRPr="004B329E" w:rsidRDefault="008E6951" w:rsidP="008E6951">
      <w:pPr>
        <w:adjustRightInd w:val="0"/>
        <w:snapToGrid w:val="0"/>
        <w:spacing w:after="0" w:line="360" w:lineRule="auto"/>
        <w:jc w:val="both"/>
        <w:rPr>
          <w:rFonts w:ascii="Book Antiqua" w:hAnsi="Book Antiqua"/>
          <w:b/>
          <w:sz w:val="24"/>
          <w:szCs w:val="24"/>
        </w:rPr>
      </w:pPr>
      <w:r w:rsidRPr="004B329E">
        <w:rPr>
          <w:rFonts w:ascii="Book Antiqua" w:hAnsi="Book Antiqua"/>
          <w:b/>
          <w:sz w:val="24"/>
          <w:szCs w:val="24"/>
        </w:rPr>
        <w:t>Article in press:</w:t>
      </w:r>
      <w:r w:rsidRPr="004B329E">
        <w:rPr>
          <w:rFonts w:ascii="Book Antiqua" w:hAnsi="Book Antiqua"/>
          <w:sz w:val="24"/>
          <w:szCs w:val="24"/>
        </w:rPr>
        <w:t xml:space="preserve"> October 15, 2019</w:t>
      </w:r>
    </w:p>
    <w:p w14:paraId="65629837" w14:textId="77777777" w:rsidR="008E6951" w:rsidRPr="004B329E" w:rsidRDefault="008E6951" w:rsidP="008E6951">
      <w:pPr>
        <w:adjustRightInd w:val="0"/>
        <w:snapToGrid w:val="0"/>
        <w:spacing w:after="0" w:line="360" w:lineRule="auto"/>
        <w:jc w:val="both"/>
        <w:rPr>
          <w:rFonts w:ascii="Book Antiqua" w:hAnsi="Book Antiqua" w:cs="Calibri"/>
          <w:sz w:val="24"/>
          <w:szCs w:val="24"/>
          <w:lang w:val="en"/>
        </w:rPr>
      </w:pPr>
      <w:r w:rsidRPr="004B329E">
        <w:rPr>
          <w:rFonts w:ascii="Book Antiqua" w:hAnsi="Book Antiqua"/>
          <w:b/>
          <w:sz w:val="24"/>
          <w:szCs w:val="24"/>
        </w:rPr>
        <w:t xml:space="preserve">Published online: </w:t>
      </w:r>
      <w:r w:rsidRPr="004B329E">
        <w:rPr>
          <w:rFonts w:ascii="Book Antiqua" w:hAnsi="Book Antiqua"/>
          <w:sz w:val="24"/>
          <w:szCs w:val="24"/>
        </w:rPr>
        <w:t>November 6, 2019</w:t>
      </w:r>
    </w:p>
    <w:p w14:paraId="4ABCC01A" w14:textId="2C9FBBF4" w:rsidR="00C40C99" w:rsidRPr="004B329E" w:rsidRDefault="009014A5" w:rsidP="000675D7">
      <w:pPr>
        <w:spacing w:after="0" w:line="360" w:lineRule="auto"/>
        <w:jc w:val="both"/>
        <w:rPr>
          <w:rFonts w:ascii="Book Antiqua" w:hAnsi="Book Antiqua"/>
          <w:sz w:val="24"/>
          <w:szCs w:val="24"/>
        </w:rPr>
      </w:pPr>
      <w:r w:rsidRPr="004B329E">
        <w:rPr>
          <w:rFonts w:ascii="Book Antiqua" w:hAnsi="Book Antiqua"/>
          <w:sz w:val="24"/>
          <w:szCs w:val="24"/>
        </w:rPr>
        <w:br w:type="page"/>
      </w:r>
      <w:r w:rsidR="00C40C99" w:rsidRPr="004B329E">
        <w:rPr>
          <w:rFonts w:ascii="Book Antiqua" w:hAnsi="Book Antiqua"/>
          <w:b/>
          <w:sz w:val="24"/>
          <w:szCs w:val="24"/>
        </w:rPr>
        <w:t>Abstract</w:t>
      </w:r>
    </w:p>
    <w:p w14:paraId="5B588AD5" w14:textId="77777777" w:rsidR="009014A5" w:rsidRPr="004B329E" w:rsidRDefault="00482AA6" w:rsidP="000675D7">
      <w:pPr>
        <w:autoSpaceDE w:val="0"/>
        <w:autoSpaceDN w:val="0"/>
        <w:adjustRightInd w:val="0"/>
        <w:spacing w:after="0" w:line="360" w:lineRule="auto"/>
        <w:jc w:val="both"/>
        <w:rPr>
          <w:rFonts w:ascii="Book Antiqua" w:hAnsi="Book Antiqua" w:cs="Calibri-Bold"/>
          <w:b/>
          <w:bCs/>
          <w:i/>
          <w:iCs/>
          <w:sz w:val="24"/>
          <w:szCs w:val="24"/>
        </w:rPr>
      </w:pPr>
      <w:r w:rsidRPr="004B329E">
        <w:rPr>
          <w:rFonts w:ascii="Book Antiqua" w:hAnsi="Book Antiqua" w:cs="Calibri-Bold"/>
          <w:b/>
          <w:bCs/>
          <w:i/>
          <w:iCs/>
          <w:caps/>
          <w:sz w:val="24"/>
          <w:szCs w:val="24"/>
        </w:rPr>
        <w:t>Background</w:t>
      </w:r>
    </w:p>
    <w:p w14:paraId="4622940A" w14:textId="7C602308" w:rsidR="00482AA6" w:rsidRPr="004B329E" w:rsidRDefault="00482AA6" w:rsidP="000675D7">
      <w:pPr>
        <w:autoSpaceDE w:val="0"/>
        <w:autoSpaceDN w:val="0"/>
        <w:adjustRightInd w:val="0"/>
        <w:spacing w:after="0" w:line="360" w:lineRule="auto"/>
        <w:jc w:val="both"/>
        <w:rPr>
          <w:rFonts w:ascii="Book Antiqua" w:hAnsi="Book Antiqua" w:cs="Calibri-Bold"/>
          <w:bCs/>
          <w:sz w:val="24"/>
          <w:szCs w:val="24"/>
        </w:rPr>
      </w:pPr>
      <w:r w:rsidRPr="004B329E">
        <w:rPr>
          <w:rFonts w:ascii="Book Antiqua" w:hAnsi="Book Antiqua" w:cs="Calibri-Bold"/>
          <w:bCs/>
          <w:sz w:val="24"/>
          <w:szCs w:val="24"/>
        </w:rPr>
        <w:t>Thyroid gland is an uncommon site for metastases from clear cell renal cell carcinoma (CCRCC) and literature is scarce. Due to the variable and often long lag time before development of metastases in patients with CCRCC, thyroid nodules may be misdiagnosed initially as benign. This systematic review aims at a better understanding of the nature of these metastases.</w:t>
      </w:r>
    </w:p>
    <w:p w14:paraId="3796215E" w14:textId="77777777" w:rsidR="00482AA6" w:rsidRPr="004B329E" w:rsidRDefault="00482AA6" w:rsidP="000675D7">
      <w:pPr>
        <w:autoSpaceDE w:val="0"/>
        <w:autoSpaceDN w:val="0"/>
        <w:adjustRightInd w:val="0"/>
        <w:spacing w:after="0" w:line="360" w:lineRule="auto"/>
        <w:jc w:val="both"/>
        <w:rPr>
          <w:rFonts w:ascii="Book Antiqua" w:hAnsi="Book Antiqua" w:cs="Calibri-Bold"/>
          <w:b/>
          <w:bCs/>
          <w:sz w:val="24"/>
          <w:szCs w:val="24"/>
        </w:rPr>
      </w:pPr>
    </w:p>
    <w:p w14:paraId="486EB6E7" w14:textId="77777777" w:rsidR="009014A5" w:rsidRPr="004B329E" w:rsidRDefault="00482AA6" w:rsidP="000675D7">
      <w:pPr>
        <w:pStyle w:val="a6"/>
        <w:spacing w:after="0" w:line="360" w:lineRule="auto"/>
        <w:jc w:val="both"/>
        <w:rPr>
          <w:rFonts w:ascii="Book Antiqua" w:hAnsi="Book Antiqua" w:cs="Calibri-Bold"/>
          <w:b/>
          <w:bCs/>
          <w:i/>
          <w:iCs/>
          <w:sz w:val="24"/>
          <w:szCs w:val="24"/>
        </w:rPr>
      </w:pPr>
      <w:r w:rsidRPr="004B329E">
        <w:rPr>
          <w:rFonts w:ascii="Book Antiqua" w:hAnsi="Book Antiqua" w:cs="Calibri-Bold"/>
          <w:b/>
          <w:bCs/>
          <w:i/>
          <w:iCs/>
          <w:caps/>
          <w:sz w:val="24"/>
          <w:szCs w:val="24"/>
        </w:rPr>
        <w:t>Methods</w:t>
      </w:r>
    </w:p>
    <w:p w14:paraId="158AF5E8" w14:textId="3DCABE74" w:rsidR="00482AA6" w:rsidRPr="004B329E" w:rsidRDefault="00482AA6" w:rsidP="000675D7">
      <w:pPr>
        <w:pStyle w:val="a6"/>
        <w:spacing w:after="0" w:line="360" w:lineRule="auto"/>
        <w:jc w:val="both"/>
        <w:rPr>
          <w:rFonts w:ascii="Book Antiqua" w:hAnsi="Book Antiqua" w:cs="Calibri-Bold"/>
          <w:bCs/>
          <w:sz w:val="24"/>
          <w:szCs w:val="24"/>
        </w:rPr>
      </w:pPr>
      <w:r w:rsidRPr="004B329E">
        <w:rPr>
          <w:rFonts w:ascii="Book Antiqua" w:hAnsi="Book Antiqua" w:cs="Calibri-Bold"/>
          <w:bCs/>
          <w:sz w:val="24"/>
          <w:szCs w:val="24"/>
        </w:rPr>
        <w:t>A bibliographic search was performed using PubMed (1990-2019), key words being</w:t>
      </w:r>
      <w:r w:rsidRPr="004B329E">
        <w:rPr>
          <w:rFonts w:ascii="Book Antiqua" w:hAnsi="Book Antiqua" w:cs="Calibri-Bold"/>
          <w:b/>
          <w:bCs/>
          <w:sz w:val="24"/>
          <w:szCs w:val="24"/>
        </w:rPr>
        <w:t xml:space="preserve"> </w:t>
      </w:r>
      <w:r w:rsidRPr="004B329E">
        <w:rPr>
          <w:rFonts w:ascii="Book Antiqua" w:hAnsi="Book Antiqua" w:cs="Calibri-Bold"/>
          <w:bCs/>
          <w:sz w:val="24"/>
          <w:szCs w:val="24"/>
        </w:rPr>
        <w:t>“renal cell carcinoma, thyroid, kidney cancer, clear cell.” 147 cases were analyzed. The patient’s characteristics assessed were: age, sex, stage, size of metastases, lag time, diagnostic modality, initial symptoms, treatment and outcome in last documented follow up.</w:t>
      </w:r>
      <w:r w:rsidR="006F7C27" w:rsidRPr="004B329E">
        <w:rPr>
          <w:rFonts w:ascii="Book Antiqua" w:hAnsi="Book Antiqua" w:cs="Calibri-Bold"/>
          <w:bCs/>
          <w:sz w:val="24"/>
          <w:szCs w:val="24"/>
        </w:rPr>
        <w:t xml:space="preserve"> </w:t>
      </w:r>
      <w:r w:rsidRPr="004B329E">
        <w:rPr>
          <w:rFonts w:ascii="Book Antiqua" w:hAnsi="Book Antiqua" w:cs="Calibri-Bold"/>
          <w:bCs/>
          <w:sz w:val="24"/>
          <w:szCs w:val="24"/>
        </w:rPr>
        <w:t xml:space="preserve">Binary logistic regression, </w:t>
      </w:r>
      <w:r w:rsidR="00F0475D" w:rsidRPr="004B329E">
        <w:rPr>
          <w:rFonts w:ascii="Book Antiqua" w:hAnsi="Book Antiqua" w:cs="Calibri-Bold"/>
          <w:bCs/>
          <w:sz w:val="24"/>
          <w:szCs w:val="24"/>
        </w:rPr>
        <w:t>S</w:t>
      </w:r>
      <w:r w:rsidRPr="004B329E">
        <w:rPr>
          <w:rFonts w:ascii="Book Antiqua" w:hAnsi="Book Antiqua" w:cs="Calibri-Bold"/>
          <w:bCs/>
          <w:sz w:val="24"/>
          <w:szCs w:val="24"/>
        </w:rPr>
        <w:t>pearman</w:t>
      </w:r>
      <w:r w:rsidR="00F0475D" w:rsidRPr="004B329E">
        <w:rPr>
          <w:rFonts w:ascii="Book Antiqua" w:hAnsi="Book Antiqua" w:cs="Calibri-Bold"/>
          <w:bCs/>
          <w:sz w:val="24"/>
          <w:szCs w:val="24"/>
        </w:rPr>
        <w:t>’s rho</w:t>
      </w:r>
      <w:r w:rsidRPr="004B329E">
        <w:rPr>
          <w:rFonts w:ascii="Book Antiqua" w:hAnsi="Book Antiqua" w:cs="Calibri-Bold"/>
          <w:bCs/>
          <w:sz w:val="24"/>
          <w:szCs w:val="24"/>
        </w:rPr>
        <w:t xml:space="preserve"> and ANOVA were </w:t>
      </w:r>
      <w:r w:rsidR="00F0475D" w:rsidRPr="004B329E">
        <w:rPr>
          <w:rFonts w:ascii="Book Antiqua" w:hAnsi="Book Antiqua" w:cs="Calibri-Bold"/>
          <w:bCs/>
          <w:sz w:val="24"/>
          <w:szCs w:val="24"/>
        </w:rPr>
        <w:t>used</w:t>
      </w:r>
      <w:r w:rsidRPr="004B329E">
        <w:rPr>
          <w:rFonts w:ascii="Book Antiqua" w:hAnsi="Book Antiqua" w:cs="Calibri-Bold"/>
          <w:bCs/>
          <w:sz w:val="24"/>
          <w:szCs w:val="24"/>
        </w:rPr>
        <w:t xml:space="preserve"> to identify differences between the existing variables.</w:t>
      </w:r>
    </w:p>
    <w:p w14:paraId="320EEBA9" w14:textId="77777777" w:rsidR="001639EB" w:rsidRPr="004B329E" w:rsidRDefault="001639EB" w:rsidP="000675D7">
      <w:pPr>
        <w:pStyle w:val="a6"/>
        <w:spacing w:after="0" w:line="360" w:lineRule="auto"/>
        <w:jc w:val="both"/>
        <w:rPr>
          <w:rFonts w:ascii="Book Antiqua" w:hAnsi="Book Antiqua" w:cs="Calibri-Bold"/>
          <w:b/>
          <w:bCs/>
          <w:sz w:val="24"/>
          <w:szCs w:val="24"/>
        </w:rPr>
      </w:pPr>
    </w:p>
    <w:p w14:paraId="6AD442DD" w14:textId="0F27894C" w:rsidR="001639EB" w:rsidRPr="004B329E" w:rsidRDefault="00482AA6" w:rsidP="000675D7">
      <w:pPr>
        <w:pStyle w:val="a6"/>
        <w:spacing w:after="0" w:line="360" w:lineRule="auto"/>
        <w:jc w:val="both"/>
        <w:rPr>
          <w:rFonts w:ascii="Book Antiqua" w:hAnsi="Book Antiqua" w:cs="Calibri-Bold"/>
          <w:b/>
          <w:bCs/>
          <w:i/>
          <w:iCs/>
          <w:caps/>
          <w:sz w:val="24"/>
          <w:szCs w:val="24"/>
        </w:rPr>
      </w:pPr>
      <w:r w:rsidRPr="004B329E">
        <w:rPr>
          <w:rFonts w:ascii="Book Antiqua" w:hAnsi="Book Antiqua" w:cs="Calibri-Bold"/>
          <w:b/>
          <w:bCs/>
          <w:i/>
          <w:iCs/>
          <w:caps/>
          <w:sz w:val="24"/>
          <w:szCs w:val="24"/>
        </w:rPr>
        <w:t>Results</w:t>
      </w:r>
    </w:p>
    <w:p w14:paraId="0F088832" w14:textId="26320B96" w:rsidR="00482AA6" w:rsidRPr="004B329E" w:rsidRDefault="00482AA6" w:rsidP="000675D7">
      <w:pPr>
        <w:pStyle w:val="a6"/>
        <w:spacing w:after="0" w:line="360" w:lineRule="auto"/>
        <w:jc w:val="both"/>
        <w:rPr>
          <w:rFonts w:ascii="Book Antiqua" w:hAnsi="Book Antiqua"/>
          <w:b/>
          <w:sz w:val="24"/>
          <w:szCs w:val="24"/>
        </w:rPr>
      </w:pPr>
      <w:r w:rsidRPr="004B329E">
        <w:rPr>
          <w:rFonts w:ascii="Book Antiqua" w:hAnsi="Book Antiqua" w:cs="Calibri-Bold"/>
          <w:bCs/>
          <w:sz w:val="24"/>
          <w:szCs w:val="24"/>
        </w:rPr>
        <w:t>The mean age (</w:t>
      </w:r>
      <w:r w:rsidRPr="004B329E">
        <w:rPr>
          <w:rFonts w:ascii="Book Antiqua" w:eastAsia="MS Gothic" w:hAnsi="Book Antiqua"/>
          <w:sz w:val="24"/>
          <w:szCs w:val="24"/>
        </w:rPr>
        <w:t>±</w:t>
      </w:r>
      <w:r w:rsidR="001639EB" w:rsidRPr="004B329E">
        <w:rPr>
          <w:rFonts w:ascii="Book Antiqua" w:eastAsia="MS Gothic" w:hAnsi="Book Antiqua"/>
          <w:sz w:val="24"/>
          <w:szCs w:val="24"/>
        </w:rPr>
        <w:t xml:space="preserve"> </w:t>
      </w:r>
      <w:r w:rsidRPr="004B329E">
        <w:rPr>
          <w:rFonts w:ascii="Book Antiqua" w:hAnsi="Book Antiqua" w:cs="Calibri-Bold"/>
          <w:bCs/>
          <w:sz w:val="24"/>
          <w:szCs w:val="24"/>
        </w:rPr>
        <w:t>SE) was 64</w:t>
      </w:r>
      <w:r w:rsidR="001639EB" w:rsidRPr="004B329E">
        <w:rPr>
          <w:rFonts w:ascii="Book Antiqua" w:hAnsi="Book Antiqua" w:cs="Calibri-Bold"/>
          <w:bCs/>
          <w:sz w:val="24"/>
          <w:szCs w:val="24"/>
        </w:rPr>
        <w:t xml:space="preserve"> </w:t>
      </w:r>
      <w:r w:rsidRPr="004B329E">
        <w:rPr>
          <w:rFonts w:ascii="Book Antiqua" w:hAnsi="Book Antiqua" w:cs="Calibri-Bold"/>
          <w:bCs/>
          <w:sz w:val="24"/>
          <w:szCs w:val="24"/>
        </w:rPr>
        <w:t>± (10) years in males and 64 (±</w:t>
      </w:r>
      <w:r w:rsidR="001639EB" w:rsidRPr="004B329E">
        <w:rPr>
          <w:rFonts w:ascii="Book Antiqua" w:hAnsi="Book Antiqua" w:cs="Calibri-Bold"/>
          <w:bCs/>
          <w:sz w:val="24"/>
          <w:szCs w:val="24"/>
        </w:rPr>
        <w:t xml:space="preserve"> </w:t>
      </w:r>
      <w:r w:rsidRPr="004B329E">
        <w:rPr>
          <w:rFonts w:ascii="Book Antiqua" w:hAnsi="Book Antiqua" w:cs="Calibri-Bold"/>
          <w:bCs/>
          <w:sz w:val="24"/>
          <w:szCs w:val="24"/>
        </w:rPr>
        <w:t>11) in females. The mean lag time to diagnosis of thyroid metastas</w:t>
      </w:r>
      <w:r w:rsidR="00F0475D" w:rsidRPr="004B329E">
        <w:rPr>
          <w:rFonts w:ascii="Book Antiqua" w:hAnsi="Book Antiqua" w:cs="Calibri-Bold"/>
          <w:bCs/>
          <w:sz w:val="24"/>
          <w:szCs w:val="24"/>
        </w:rPr>
        <w:t>e</w:t>
      </w:r>
      <w:r w:rsidRPr="004B329E">
        <w:rPr>
          <w:rFonts w:ascii="Book Antiqua" w:hAnsi="Book Antiqua" w:cs="Calibri-Bold"/>
          <w:bCs/>
          <w:sz w:val="24"/>
          <w:szCs w:val="24"/>
        </w:rPr>
        <w:t>s was 8.7 (±</w:t>
      </w:r>
      <w:r w:rsidR="001639EB" w:rsidRPr="004B329E">
        <w:rPr>
          <w:rFonts w:ascii="Book Antiqua" w:hAnsi="Book Antiqua" w:cs="Calibri-Bold"/>
          <w:bCs/>
          <w:sz w:val="24"/>
          <w:szCs w:val="24"/>
        </w:rPr>
        <w:t xml:space="preserve"> </w:t>
      </w:r>
      <w:r w:rsidRPr="004B329E">
        <w:rPr>
          <w:rFonts w:ascii="Book Antiqua" w:hAnsi="Book Antiqua" w:cs="Calibri-Bold"/>
          <w:bCs/>
          <w:sz w:val="24"/>
          <w:szCs w:val="24"/>
        </w:rPr>
        <w:t xml:space="preserve">6.3) years. Gender distribution of the patients was 46.3% male, 52.4% female. </w:t>
      </w:r>
      <w:r w:rsidRPr="004B329E">
        <w:rPr>
          <w:rFonts w:ascii="Book Antiqua" w:hAnsi="Book Antiqua" w:cs="Times New Roman"/>
          <w:sz w:val="24"/>
          <w:szCs w:val="24"/>
        </w:rPr>
        <w:t>There was a weak correlation between lag time and size of metastases, not statistically significant. Size of metastases was significantly higher in symptomatic patients (6.06</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3.51</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cm) compared to those with painless mass (4.6</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0.29</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cm) and asymptomatic ones (3.93</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1.99</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cm) (</w:t>
      </w:r>
      <w:r w:rsidRPr="004B329E">
        <w:rPr>
          <w:rFonts w:ascii="Book Antiqua" w:hAnsi="Book Antiqua" w:cs="Times New Roman"/>
          <w:i/>
          <w:iCs/>
          <w:caps/>
          <w:sz w:val="24"/>
          <w:szCs w:val="24"/>
        </w:rPr>
        <w:t>p</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0.03). Fine Needle Aspiration was diagnostic in 29.4% of cases, 47.1% were non diagnostic. Most patients (80.3%) underwent thyroid surgery. At 1 year follow up, 55.6% of patients operated were alive versus 35.3% who did not have surgery, though this was not statistically significant (</w:t>
      </w:r>
      <w:r w:rsidRPr="004B329E">
        <w:rPr>
          <w:rFonts w:ascii="Book Antiqua" w:hAnsi="Book Antiqua" w:cs="Times New Roman"/>
          <w:i/>
          <w:iCs/>
          <w:caps/>
          <w:sz w:val="24"/>
          <w:szCs w:val="24"/>
        </w:rPr>
        <w:t>p</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0.1).</w:t>
      </w:r>
    </w:p>
    <w:p w14:paraId="555DA182" w14:textId="77777777" w:rsidR="00482AA6" w:rsidRPr="004B329E" w:rsidRDefault="00482AA6" w:rsidP="000675D7">
      <w:pPr>
        <w:autoSpaceDE w:val="0"/>
        <w:autoSpaceDN w:val="0"/>
        <w:adjustRightInd w:val="0"/>
        <w:spacing w:after="0" w:line="360" w:lineRule="auto"/>
        <w:jc w:val="both"/>
        <w:rPr>
          <w:rFonts w:ascii="Book Antiqua" w:hAnsi="Book Antiqua" w:cs="Calibri-Bold"/>
          <w:b/>
          <w:bCs/>
          <w:sz w:val="24"/>
          <w:szCs w:val="24"/>
        </w:rPr>
      </w:pPr>
    </w:p>
    <w:p w14:paraId="4D4732D8" w14:textId="3126D290" w:rsidR="009014A5" w:rsidRPr="004B329E" w:rsidRDefault="0021111A" w:rsidP="000675D7">
      <w:pPr>
        <w:autoSpaceDE w:val="0"/>
        <w:autoSpaceDN w:val="0"/>
        <w:adjustRightInd w:val="0"/>
        <w:spacing w:after="0" w:line="360" w:lineRule="auto"/>
        <w:jc w:val="both"/>
        <w:rPr>
          <w:rFonts w:ascii="Book Antiqua" w:hAnsi="Book Antiqua" w:cs="SAS Monospace"/>
          <w:b/>
          <w:i/>
          <w:sz w:val="24"/>
          <w:szCs w:val="24"/>
          <w:lang w:eastAsia="zh-CN"/>
        </w:rPr>
      </w:pPr>
      <w:r w:rsidRPr="004B329E">
        <w:rPr>
          <w:rFonts w:ascii="Book Antiqua" w:hAnsi="Book Antiqua" w:cs="SAS Monospace"/>
          <w:b/>
          <w:i/>
          <w:caps/>
          <w:sz w:val="24"/>
          <w:szCs w:val="24"/>
        </w:rPr>
        <w:t>Conclusion</w:t>
      </w:r>
    </w:p>
    <w:p w14:paraId="0409CCAD" w14:textId="757BE6C7" w:rsidR="00482AA6" w:rsidRPr="004B329E" w:rsidRDefault="00482AA6" w:rsidP="000675D7">
      <w:pPr>
        <w:autoSpaceDE w:val="0"/>
        <w:autoSpaceDN w:val="0"/>
        <w:adjustRightInd w:val="0"/>
        <w:spacing w:after="0" w:line="360" w:lineRule="auto"/>
        <w:jc w:val="both"/>
        <w:rPr>
          <w:rFonts w:ascii="Book Antiqua" w:hAnsi="Book Antiqua" w:cs="SAS Monospace"/>
          <w:sz w:val="24"/>
          <w:szCs w:val="24"/>
        </w:rPr>
      </w:pPr>
      <w:r w:rsidRPr="004B329E">
        <w:rPr>
          <w:rFonts w:ascii="Book Antiqua" w:hAnsi="Book Antiqua" w:cs="SAS Monospace"/>
          <w:sz w:val="24"/>
          <w:szCs w:val="24"/>
        </w:rPr>
        <w:t>A larger size of thyroid metastasis was more likely to present with symptomatology. A high index of suspicion is warranted when evaluating thyroid nodules in CCRCC patients. There was no significant difference in outcome between patients who underwent surgery and those who did not. With the wider use of immune check-point and tyrosine kinase inhibitors in metastatic CCRCC, surgery may eventually be reserved only for palliative purposes.</w:t>
      </w:r>
    </w:p>
    <w:p w14:paraId="06FDB12A" w14:textId="77777777" w:rsidR="00C4648D" w:rsidRPr="004B329E" w:rsidRDefault="00C4648D" w:rsidP="000675D7">
      <w:pPr>
        <w:spacing w:after="0" w:line="360" w:lineRule="auto"/>
        <w:jc w:val="both"/>
        <w:rPr>
          <w:rFonts w:ascii="Book Antiqua" w:hAnsi="Book Antiqua"/>
          <w:b/>
          <w:sz w:val="24"/>
          <w:szCs w:val="24"/>
        </w:rPr>
      </w:pPr>
    </w:p>
    <w:p w14:paraId="4D824118" w14:textId="338A47A8" w:rsidR="00C40C99" w:rsidRPr="004B329E" w:rsidRDefault="00C40C99" w:rsidP="000675D7">
      <w:pPr>
        <w:spacing w:after="0" w:line="360" w:lineRule="auto"/>
        <w:jc w:val="both"/>
        <w:rPr>
          <w:rFonts w:ascii="Book Antiqua" w:hAnsi="Book Antiqua"/>
          <w:sz w:val="24"/>
          <w:szCs w:val="24"/>
        </w:rPr>
      </w:pPr>
      <w:r w:rsidRPr="004B329E">
        <w:rPr>
          <w:rFonts w:ascii="Book Antiqua" w:hAnsi="Book Antiqua"/>
          <w:b/>
          <w:sz w:val="24"/>
          <w:szCs w:val="24"/>
        </w:rPr>
        <w:t>Key words:</w:t>
      </w:r>
      <w:r w:rsidRPr="004B329E">
        <w:rPr>
          <w:rFonts w:ascii="Book Antiqua" w:hAnsi="Book Antiqua"/>
          <w:sz w:val="24"/>
          <w:szCs w:val="24"/>
        </w:rPr>
        <w:t xml:space="preserve"> </w:t>
      </w:r>
      <w:bookmarkStart w:id="15" w:name="OLE_LINK40"/>
      <w:bookmarkStart w:id="16" w:name="OLE_LINK41"/>
      <w:r w:rsidR="009014A5" w:rsidRPr="004B329E">
        <w:rPr>
          <w:rFonts w:ascii="Book Antiqua" w:hAnsi="Book Antiqua"/>
          <w:sz w:val="24"/>
          <w:szCs w:val="24"/>
        </w:rPr>
        <w:t xml:space="preserve">Clear </w:t>
      </w:r>
      <w:r w:rsidRPr="004B329E">
        <w:rPr>
          <w:rFonts w:ascii="Book Antiqua" w:hAnsi="Book Antiqua"/>
          <w:sz w:val="24"/>
          <w:szCs w:val="24"/>
        </w:rPr>
        <w:t>cell renal cell carcinoma</w:t>
      </w:r>
      <w:bookmarkEnd w:id="15"/>
      <w:bookmarkEnd w:id="16"/>
      <w:r w:rsidR="009014A5" w:rsidRPr="004B329E">
        <w:rPr>
          <w:rFonts w:ascii="Book Antiqua" w:hAnsi="Book Antiqua"/>
          <w:sz w:val="24"/>
          <w:szCs w:val="24"/>
        </w:rPr>
        <w:t>;</w:t>
      </w:r>
      <w:r w:rsidRPr="004B329E">
        <w:rPr>
          <w:rFonts w:ascii="Book Antiqua" w:hAnsi="Book Antiqua"/>
          <w:sz w:val="24"/>
          <w:szCs w:val="24"/>
        </w:rPr>
        <w:t xml:space="preserve"> </w:t>
      </w:r>
      <w:bookmarkStart w:id="17" w:name="OLE_LINK42"/>
      <w:bookmarkStart w:id="18" w:name="OLE_LINK43"/>
      <w:r w:rsidR="009014A5" w:rsidRPr="004B329E">
        <w:rPr>
          <w:rFonts w:ascii="Book Antiqua" w:hAnsi="Book Antiqua"/>
          <w:sz w:val="24"/>
          <w:szCs w:val="24"/>
        </w:rPr>
        <w:t>Thyroid</w:t>
      </w:r>
      <w:bookmarkEnd w:id="17"/>
      <w:bookmarkEnd w:id="18"/>
      <w:r w:rsidR="009014A5" w:rsidRPr="004B329E">
        <w:rPr>
          <w:rFonts w:ascii="Book Antiqua" w:hAnsi="Book Antiqua"/>
          <w:sz w:val="24"/>
          <w:szCs w:val="24"/>
        </w:rPr>
        <w:t>;</w:t>
      </w:r>
      <w:r w:rsidR="00F354DE" w:rsidRPr="004B329E">
        <w:rPr>
          <w:rFonts w:ascii="Book Antiqua" w:hAnsi="Book Antiqua"/>
          <w:sz w:val="24"/>
          <w:szCs w:val="24"/>
        </w:rPr>
        <w:t xml:space="preserve"> </w:t>
      </w:r>
      <w:bookmarkStart w:id="19" w:name="OLE_LINK44"/>
      <w:bookmarkStart w:id="20" w:name="OLE_LINK45"/>
      <w:r w:rsidR="009014A5" w:rsidRPr="004B329E">
        <w:rPr>
          <w:rFonts w:ascii="Book Antiqua" w:hAnsi="Book Antiqua"/>
          <w:sz w:val="24"/>
          <w:szCs w:val="24"/>
        </w:rPr>
        <w:t>Metastases</w:t>
      </w:r>
      <w:bookmarkEnd w:id="19"/>
      <w:bookmarkEnd w:id="20"/>
      <w:r w:rsidR="009014A5" w:rsidRPr="004B329E">
        <w:rPr>
          <w:rFonts w:ascii="Book Antiqua" w:hAnsi="Book Antiqua"/>
          <w:sz w:val="24"/>
          <w:szCs w:val="24"/>
        </w:rPr>
        <w:t>;</w:t>
      </w:r>
      <w:r w:rsidRPr="004B329E">
        <w:rPr>
          <w:rFonts w:ascii="Book Antiqua" w:hAnsi="Book Antiqua"/>
          <w:sz w:val="24"/>
          <w:szCs w:val="24"/>
        </w:rPr>
        <w:t xml:space="preserve"> </w:t>
      </w:r>
      <w:bookmarkStart w:id="21" w:name="OLE_LINK46"/>
      <w:bookmarkStart w:id="22" w:name="OLE_LINK47"/>
      <w:r w:rsidR="009014A5" w:rsidRPr="004B329E">
        <w:rPr>
          <w:rFonts w:ascii="Book Antiqua" w:hAnsi="Book Antiqua"/>
          <w:sz w:val="24"/>
          <w:szCs w:val="24"/>
        </w:rPr>
        <w:t>Thyroidectomy</w:t>
      </w:r>
      <w:bookmarkEnd w:id="21"/>
      <w:bookmarkEnd w:id="22"/>
    </w:p>
    <w:p w14:paraId="248E81CC" w14:textId="31646770" w:rsidR="009014A5" w:rsidRPr="004B329E" w:rsidRDefault="009014A5" w:rsidP="000675D7">
      <w:pPr>
        <w:spacing w:after="0" w:line="360" w:lineRule="auto"/>
        <w:jc w:val="both"/>
        <w:rPr>
          <w:rFonts w:ascii="Book Antiqua" w:hAnsi="Book Antiqua" w:cs="Arial"/>
          <w:sz w:val="24"/>
          <w:szCs w:val="24"/>
          <w:shd w:val="clear" w:color="auto" w:fill="FFFFFF"/>
        </w:rPr>
      </w:pPr>
    </w:p>
    <w:p w14:paraId="5F8D31EA" w14:textId="77777777" w:rsidR="001639EB" w:rsidRPr="004B329E" w:rsidRDefault="001639EB" w:rsidP="000675D7">
      <w:pPr>
        <w:spacing w:after="0" w:line="360" w:lineRule="auto"/>
        <w:jc w:val="both"/>
        <w:rPr>
          <w:rFonts w:ascii="Book Antiqua" w:hAnsi="Book Antiqua"/>
          <w:bCs/>
          <w:sz w:val="24"/>
          <w:szCs w:val="24"/>
        </w:rPr>
      </w:pPr>
      <w:r w:rsidRPr="004B329E">
        <w:rPr>
          <w:rFonts w:ascii="Book Antiqua" w:hAnsi="Book Antiqua"/>
          <w:b/>
          <w:bCs/>
          <w:sz w:val="24"/>
          <w:szCs w:val="24"/>
        </w:rPr>
        <w:t xml:space="preserve">© The Author(s) 2019. </w:t>
      </w:r>
      <w:r w:rsidRPr="004B329E">
        <w:rPr>
          <w:rFonts w:ascii="Book Antiqua" w:hAnsi="Book Antiqua"/>
          <w:bCs/>
          <w:sz w:val="24"/>
          <w:szCs w:val="24"/>
        </w:rPr>
        <w:t>Published by Baishideng Publishing Group Inc. All rights reserved.</w:t>
      </w:r>
    </w:p>
    <w:p w14:paraId="73E0FF36" w14:textId="77777777" w:rsidR="009014A5" w:rsidRPr="004B329E" w:rsidRDefault="009014A5" w:rsidP="000675D7">
      <w:pPr>
        <w:spacing w:after="0" w:line="360" w:lineRule="auto"/>
        <w:jc w:val="both"/>
        <w:rPr>
          <w:rFonts w:ascii="Book Antiqua" w:hAnsi="Book Antiqua" w:cs="Arial"/>
          <w:sz w:val="24"/>
          <w:szCs w:val="24"/>
          <w:shd w:val="clear" w:color="auto" w:fill="FFFFFF"/>
        </w:rPr>
      </w:pPr>
    </w:p>
    <w:p w14:paraId="58358E2F" w14:textId="2B35AB64" w:rsidR="0073418A" w:rsidRPr="004B329E" w:rsidRDefault="00C40C99" w:rsidP="000675D7">
      <w:pPr>
        <w:autoSpaceDE w:val="0"/>
        <w:autoSpaceDN w:val="0"/>
        <w:adjustRightInd w:val="0"/>
        <w:spacing w:after="0" w:line="360" w:lineRule="auto"/>
        <w:jc w:val="both"/>
        <w:rPr>
          <w:rFonts w:ascii="Book Antiqua" w:hAnsi="Book Antiqua" w:cs="Calibri-Bold"/>
          <w:bCs/>
          <w:sz w:val="24"/>
          <w:szCs w:val="24"/>
        </w:rPr>
      </w:pPr>
      <w:r w:rsidRPr="004B329E">
        <w:rPr>
          <w:rFonts w:ascii="Book Antiqua" w:hAnsi="Book Antiqua"/>
          <w:b/>
          <w:sz w:val="24"/>
          <w:szCs w:val="24"/>
        </w:rPr>
        <w:t xml:space="preserve">Core tip: </w:t>
      </w:r>
      <w:bookmarkStart w:id="23" w:name="OLE_LINK48"/>
      <w:r w:rsidR="0073418A" w:rsidRPr="004B329E">
        <w:rPr>
          <w:rFonts w:ascii="Book Antiqua" w:hAnsi="Book Antiqua" w:cs="Calibri-Bold"/>
          <w:bCs/>
          <w:sz w:val="24"/>
          <w:szCs w:val="24"/>
        </w:rPr>
        <w:t>Thyroid gland is an infrequent site for metastases from clear cell renal cell carcinoma (CCRCC) and literature regarding this topic is scarce. Due to the variable and often long lag time before development of metastases in patients with CCRCC, thyroid nodules may be misdiagnosed initially as benign. This systematic review aims at a better understanding of the nature of these metastases.</w:t>
      </w:r>
    </w:p>
    <w:bookmarkEnd w:id="23"/>
    <w:p w14:paraId="5C3741AD" w14:textId="77777777" w:rsidR="009014A5" w:rsidRPr="004B329E" w:rsidRDefault="009014A5" w:rsidP="000675D7">
      <w:pPr>
        <w:spacing w:after="0" w:line="360" w:lineRule="auto"/>
        <w:jc w:val="both"/>
        <w:rPr>
          <w:rFonts w:ascii="Book Antiqua" w:hAnsi="Book Antiqua"/>
          <w:sz w:val="24"/>
          <w:szCs w:val="24"/>
        </w:rPr>
      </w:pPr>
    </w:p>
    <w:p w14:paraId="32A774C5" w14:textId="27C71B25" w:rsidR="009014A5" w:rsidRPr="004B329E" w:rsidRDefault="00C40C99" w:rsidP="000675D7">
      <w:pPr>
        <w:adjustRightInd w:val="0"/>
        <w:snapToGrid w:val="0"/>
        <w:spacing w:after="0" w:line="360" w:lineRule="auto"/>
        <w:jc w:val="both"/>
        <w:rPr>
          <w:rFonts w:ascii="Book Antiqua" w:hAnsi="Book Antiqua"/>
          <w:b/>
          <w:iCs/>
          <w:sz w:val="24"/>
          <w:szCs w:val="24"/>
          <w:lang w:eastAsia="zh-CN"/>
        </w:rPr>
      </w:pPr>
      <w:bookmarkStart w:id="24" w:name="OLE_LINK49"/>
      <w:r w:rsidRPr="004B329E">
        <w:rPr>
          <w:rFonts w:ascii="Book Antiqua" w:hAnsi="Book Antiqua"/>
          <w:sz w:val="24"/>
          <w:szCs w:val="24"/>
        </w:rPr>
        <w:t>Khaddour K, M</w:t>
      </w:r>
      <w:r w:rsidR="00F0475D" w:rsidRPr="004B329E">
        <w:rPr>
          <w:rFonts w:ascii="Book Antiqua" w:hAnsi="Book Antiqua"/>
          <w:sz w:val="24"/>
          <w:szCs w:val="24"/>
        </w:rPr>
        <w:t>ar</w:t>
      </w:r>
      <w:r w:rsidRPr="004B329E">
        <w:rPr>
          <w:rFonts w:ascii="Book Antiqua" w:hAnsi="Book Antiqua"/>
          <w:sz w:val="24"/>
          <w:szCs w:val="24"/>
        </w:rPr>
        <w:t>en</w:t>
      </w:r>
      <w:r w:rsidR="00F0475D" w:rsidRPr="004B329E">
        <w:rPr>
          <w:rFonts w:ascii="Book Antiqua" w:hAnsi="Book Antiqua"/>
          <w:sz w:val="24"/>
          <w:szCs w:val="24"/>
        </w:rPr>
        <w:t>y</w:t>
      </w:r>
      <w:r w:rsidRPr="004B329E">
        <w:rPr>
          <w:rFonts w:ascii="Book Antiqua" w:hAnsi="Book Antiqua"/>
          <w:sz w:val="24"/>
          <w:szCs w:val="24"/>
        </w:rPr>
        <w:t xml:space="preserve">ch N, </w:t>
      </w:r>
      <w:r w:rsidR="00B97829" w:rsidRPr="004B329E">
        <w:rPr>
          <w:rFonts w:ascii="Book Antiqua" w:hAnsi="Book Antiqua"/>
          <w:sz w:val="24"/>
          <w:szCs w:val="24"/>
        </w:rPr>
        <w:t>Ward WL</w:t>
      </w:r>
      <w:r w:rsidRPr="004B329E">
        <w:rPr>
          <w:rFonts w:ascii="Book Antiqua" w:hAnsi="Book Antiqua"/>
          <w:sz w:val="24"/>
          <w:szCs w:val="24"/>
        </w:rPr>
        <w:t>, Liu J, Pappa T. Characteristics of clear cell renal cell carcinoma metastases to the thyroid gland: A systematic review</w:t>
      </w:r>
      <w:r w:rsidR="001639EB" w:rsidRPr="004B329E">
        <w:rPr>
          <w:rFonts w:ascii="Book Antiqua" w:hAnsi="Book Antiqua"/>
          <w:sz w:val="24"/>
          <w:szCs w:val="24"/>
        </w:rPr>
        <w:t>.</w:t>
      </w:r>
      <w:r w:rsidR="001639EB" w:rsidRPr="004B329E">
        <w:rPr>
          <w:rFonts w:ascii="Book Antiqua" w:hAnsi="Book Antiqua"/>
          <w:i/>
          <w:sz w:val="24"/>
          <w:szCs w:val="24"/>
        </w:rPr>
        <w:t xml:space="preserve"> World J Clin Cases </w:t>
      </w:r>
      <w:r w:rsidR="008A6B5A" w:rsidRPr="004B329E">
        <w:rPr>
          <w:rFonts w:ascii="Book Antiqua" w:hAnsi="Book Antiqua"/>
          <w:iCs/>
          <w:sz w:val="24"/>
          <w:szCs w:val="24"/>
        </w:rPr>
        <w:t xml:space="preserve">2019; 7(21): </w:t>
      </w:r>
      <w:r w:rsidR="0072613A">
        <w:rPr>
          <w:rFonts w:ascii="Book Antiqua" w:hAnsi="Book Antiqua" w:hint="eastAsia"/>
          <w:iCs/>
          <w:sz w:val="24"/>
          <w:szCs w:val="24"/>
          <w:lang w:eastAsia="zh-CN"/>
        </w:rPr>
        <w:t>3474</w:t>
      </w:r>
      <w:r w:rsidR="004B329E">
        <w:rPr>
          <w:rFonts w:ascii="Book Antiqua" w:hAnsi="Book Antiqua" w:hint="eastAsia"/>
          <w:iCs/>
          <w:sz w:val="24"/>
          <w:szCs w:val="24"/>
          <w:lang w:eastAsia="zh-CN"/>
        </w:rPr>
        <w:t>-</w:t>
      </w:r>
      <w:r w:rsidR="0072613A">
        <w:rPr>
          <w:rFonts w:ascii="Book Antiqua" w:hAnsi="Book Antiqua" w:hint="eastAsia"/>
          <w:iCs/>
          <w:sz w:val="24"/>
          <w:szCs w:val="24"/>
          <w:lang w:eastAsia="zh-CN"/>
        </w:rPr>
        <w:t>34</w:t>
      </w:r>
      <w:r w:rsidR="0072613A">
        <w:rPr>
          <w:rFonts w:ascii="Book Antiqua" w:hAnsi="Book Antiqua" w:hint="eastAsia"/>
          <w:iCs/>
          <w:sz w:val="24"/>
          <w:szCs w:val="24"/>
          <w:lang w:eastAsia="zh-CN"/>
        </w:rPr>
        <w:t>85</w:t>
      </w:r>
      <w:bookmarkStart w:id="25" w:name="_GoBack"/>
      <w:bookmarkEnd w:id="25"/>
      <w:r w:rsidR="008A6B5A" w:rsidRPr="004B329E">
        <w:rPr>
          <w:rFonts w:ascii="Book Antiqua" w:hAnsi="Book Antiqua"/>
          <w:iCs/>
          <w:sz w:val="24"/>
          <w:szCs w:val="24"/>
        </w:rPr>
        <w:t xml:space="preserve"> URL: https://www.wjgnet.com/2307-8960/full/v7/i21/</w:t>
      </w:r>
      <w:r w:rsidR="0072613A">
        <w:rPr>
          <w:rFonts w:ascii="Book Antiqua" w:hAnsi="Book Antiqua" w:hint="eastAsia"/>
          <w:iCs/>
          <w:sz w:val="24"/>
          <w:szCs w:val="24"/>
          <w:lang w:eastAsia="zh-CN"/>
        </w:rPr>
        <w:t>3474</w:t>
      </w:r>
      <w:r w:rsidR="008A6B5A" w:rsidRPr="004B329E">
        <w:rPr>
          <w:rFonts w:ascii="Book Antiqua" w:hAnsi="Book Antiqua"/>
          <w:iCs/>
          <w:sz w:val="24"/>
          <w:szCs w:val="24"/>
        </w:rPr>
        <w:t>.htm  DOI: https://dx.doi.org/10.12998/wjcc.v7.i21.</w:t>
      </w:r>
      <w:r w:rsidR="004B329E">
        <w:rPr>
          <w:rFonts w:ascii="Book Antiqua" w:hAnsi="Book Antiqua" w:hint="eastAsia"/>
          <w:iCs/>
          <w:sz w:val="24"/>
          <w:szCs w:val="24"/>
          <w:lang w:eastAsia="zh-CN"/>
        </w:rPr>
        <w:t>34</w:t>
      </w:r>
      <w:r w:rsidR="0072613A">
        <w:rPr>
          <w:rFonts w:ascii="Book Antiqua" w:hAnsi="Book Antiqua" w:hint="eastAsia"/>
          <w:iCs/>
          <w:sz w:val="24"/>
          <w:szCs w:val="24"/>
          <w:lang w:eastAsia="zh-CN"/>
        </w:rPr>
        <w:t>74</w:t>
      </w:r>
    </w:p>
    <w:bookmarkEnd w:id="24"/>
    <w:p w14:paraId="75F13880" w14:textId="77777777" w:rsidR="009014A5" w:rsidRPr="004B329E" w:rsidRDefault="009014A5" w:rsidP="000675D7">
      <w:pPr>
        <w:spacing w:after="0" w:line="360" w:lineRule="auto"/>
        <w:jc w:val="both"/>
        <w:rPr>
          <w:rFonts w:ascii="Book Antiqua" w:hAnsi="Book Antiqua"/>
          <w:sz w:val="24"/>
          <w:szCs w:val="24"/>
        </w:rPr>
      </w:pPr>
      <w:r w:rsidRPr="004B329E">
        <w:rPr>
          <w:rFonts w:ascii="Book Antiqua" w:hAnsi="Book Antiqua"/>
          <w:sz w:val="24"/>
          <w:szCs w:val="24"/>
        </w:rPr>
        <w:br w:type="page"/>
      </w:r>
    </w:p>
    <w:p w14:paraId="5BA90556" w14:textId="717022BA" w:rsidR="00C40C99" w:rsidRPr="004B329E" w:rsidRDefault="00B21F9B" w:rsidP="000675D7">
      <w:pPr>
        <w:spacing w:after="0" w:line="360" w:lineRule="auto"/>
        <w:jc w:val="both"/>
        <w:rPr>
          <w:rFonts w:ascii="Book Antiqua" w:hAnsi="Book Antiqua"/>
          <w:b/>
          <w:sz w:val="24"/>
          <w:szCs w:val="24"/>
        </w:rPr>
      </w:pPr>
      <w:r w:rsidRPr="004B329E">
        <w:rPr>
          <w:rFonts w:ascii="Book Antiqua" w:hAnsi="Book Antiqua"/>
          <w:b/>
          <w:sz w:val="24"/>
          <w:szCs w:val="24"/>
        </w:rPr>
        <w:t>INTRODUCTION</w:t>
      </w:r>
    </w:p>
    <w:p w14:paraId="7E3E97AB" w14:textId="2C2CECCF" w:rsidR="00B21F9B" w:rsidRPr="004B329E" w:rsidRDefault="00B21F9B" w:rsidP="000675D7">
      <w:pPr>
        <w:spacing w:after="0" w:line="360" w:lineRule="auto"/>
        <w:jc w:val="both"/>
        <w:rPr>
          <w:rFonts w:ascii="Book Antiqua" w:eastAsia="Arial Unicode MS" w:hAnsi="Book Antiqua" w:cs="Arial Unicode MS"/>
          <w:sz w:val="24"/>
          <w:szCs w:val="24"/>
          <w:shd w:val="clear" w:color="auto" w:fill="FFFFFF"/>
        </w:rPr>
      </w:pPr>
      <w:r w:rsidRPr="004B329E">
        <w:rPr>
          <w:rFonts w:ascii="Book Antiqua" w:eastAsia="Arial Unicode MS" w:hAnsi="Book Antiqua" w:cs="Arial Unicode MS"/>
          <w:sz w:val="24"/>
          <w:szCs w:val="24"/>
          <w:shd w:val="clear" w:color="auto" w:fill="FFFFFF"/>
        </w:rPr>
        <w:t xml:space="preserve">Metastasis to the thyroid gland is an uncommon clinical presentation, with the most common primary tumor being clear cell renal cell carcinoma (CCRCC) in clinical series. Many patients </w:t>
      </w:r>
      <w:r w:rsidR="00C6422B" w:rsidRPr="004B329E">
        <w:rPr>
          <w:rFonts w:ascii="Book Antiqua" w:eastAsia="Arial Unicode MS" w:hAnsi="Book Antiqua" w:cs="Arial Unicode MS"/>
          <w:sz w:val="24"/>
          <w:szCs w:val="24"/>
          <w:shd w:val="clear" w:color="auto" w:fill="FFFFFF"/>
        </w:rPr>
        <w:t>with thyroid metastas</w:t>
      </w:r>
      <w:r w:rsidR="00704D4C" w:rsidRPr="004B329E">
        <w:rPr>
          <w:rFonts w:ascii="Book Antiqua" w:eastAsia="Arial Unicode MS" w:hAnsi="Book Antiqua" w:cs="Arial Unicode MS"/>
          <w:sz w:val="24"/>
          <w:szCs w:val="24"/>
          <w:shd w:val="clear" w:color="auto" w:fill="FFFFFF"/>
        </w:rPr>
        <w:t>e</w:t>
      </w:r>
      <w:r w:rsidR="00C6422B" w:rsidRPr="004B329E">
        <w:rPr>
          <w:rFonts w:ascii="Book Antiqua" w:eastAsia="Arial Unicode MS" w:hAnsi="Book Antiqua" w:cs="Arial Unicode MS"/>
          <w:sz w:val="24"/>
          <w:szCs w:val="24"/>
          <w:shd w:val="clear" w:color="auto" w:fill="FFFFFF"/>
        </w:rPr>
        <w:t>s</w:t>
      </w:r>
      <w:r w:rsidR="00704D4C" w:rsidRPr="004B329E">
        <w:rPr>
          <w:rFonts w:ascii="Book Antiqua" w:eastAsia="Arial Unicode MS" w:hAnsi="Book Antiqua" w:cs="Arial Unicode MS"/>
          <w:sz w:val="24"/>
          <w:szCs w:val="24"/>
          <w:shd w:val="clear" w:color="auto" w:fill="FFFFFF"/>
        </w:rPr>
        <w:t xml:space="preserve"> present</w:t>
      </w:r>
      <w:r w:rsidRPr="004B329E">
        <w:rPr>
          <w:rFonts w:ascii="Book Antiqua" w:eastAsia="Arial Unicode MS" w:hAnsi="Book Antiqua" w:cs="Arial Unicode MS"/>
          <w:sz w:val="24"/>
          <w:szCs w:val="24"/>
          <w:shd w:val="clear" w:color="auto" w:fill="FFFFFF"/>
        </w:rPr>
        <w:t xml:space="preserve"> with sign</w:t>
      </w:r>
      <w:r w:rsidR="00EF5735" w:rsidRPr="004B329E">
        <w:rPr>
          <w:rFonts w:ascii="Book Antiqua" w:eastAsia="Arial Unicode MS" w:hAnsi="Book Antiqua" w:cs="Arial Unicode MS"/>
          <w:sz w:val="24"/>
          <w:szCs w:val="24"/>
          <w:shd w:val="clear" w:color="auto" w:fill="FFFFFF"/>
        </w:rPr>
        <w:t>s</w:t>
      </w:r>
      <w:r w:rsidRPr="004B329E">
        <w:rPr>
          <w:rFonts w:ascii="Book Antiqua" w:eastAsia="Arial Unicode MS" w:hAnsi="Book Antiqua" w:cs="Arial Unicode MS"/>
          <w:sz w:val="24"/>
          <w:szCs w:val="24"/>
          <w:shd w:val="clear" w:color="auto" w:fill="FFFFFF"/>
        </w:rPr>
        <w:t xml:space="preserve"> and symptoms similar to those with primary thyroid disease, and occasionally after a long period </w:t>
      </w:r>
      <w:r w:rsidR="00704D4C" w:rsidRPr="004B329E">
        <w:rPr>
          <w:rFonts w:ascii="Book Antiqua" w:eastAsia="Arial Unicode MS" w:hAnsi="Book Antiqua" w:cs="Arial Unicode MS"/>
          <w:sz w:val="24"/>
          <w:szCs w:val="24"/>
          <w:shd w:val="clear" w:color="auto" w:fill="FFFFFF"/>
        </w:rPr>
        <w:t>following</w:t>
      </w:r>
      <w:r w:rsidRPr="004B329E">
        <w:rPr>
          <w:rFonts w:ascii="Book Antiqua" w:eastAsia="Arial Unicode MS" w:hAnsi="Book Antiqua" w:cs="Arial Unicode MS"/>
          <w:sz w:val="24"/>
          <w:szCs w:val="24"/>
          <w:shd w:val="clear" w:color="auto" w:fill="FFFFFF"/>
        </w:rPr>
        <w:t xml:space="preserve"> initial diagnosis of their primary tumor. Ther</w:t>
      </w:r>
      <w:r w:rsidR="00C6422B" w:rsidRPr="004B329E">
        <w:rPr>
          <w:rFonts w:ascii="Book Antiqua" w:eastAsia="Arial Unicode MS" w:hAnsi="Book Antiqua" w:cs="Arial Unicode MS"/>
          <w:sz w:val="24"/>
          <w:szCs w:val="24"/>
          <w:shd w:val="clear" w:color="auto" w:fill="FFFFFF"/>
        </w:rPr>
        <w:t>efore, thyroid metastases may</w:t>
      </w:r>
      <w:r w:rsidRPr="004B329E">
        <w:rPr>
          <w:rFonts w:ascii="Book Antiqua" w:eastAsia="Arial Unicode MS" w:hAnsi="Book Antiqua" w:cs="Arial Unicode MS"/>
          <w:sz w:val="24"/>
          <w:szCs w:val="24"/>
          <w:shd w:val="clear" w:color="auto" w:fill="FFFFFF"/>
        </w:rPr>
        <w:t xml:space="preserve"> initially be misdiagnosed as benign thyroid nodules. The aim of this systematic review is to provide an overview of published cases of CCRCC with thyroid metastases, help characterize the features of CCRCC metastasizing to the thyroid gland and understand the role of </w:t>
      </w:r>
      <w:r w:rsidR="00704D4C" w:rsidRPr="004B329E">
        <w:rPr>
          <w:rFonts w:ascii="Book Antiqua" w:eastAsia="Arial Unicode MS" w:hAnsi="Book Antiqua" w:cs="Arial Unicode MS"/>
          <w:sz w:val="24"/>
          <w:szCs w:val="24"/>
          <w:shd w:val="clear" w:color="auto" w:fill="FFFFFF"/>
        </w:rPr>
        <w:t>diagnostic and therapeutic approaches in the management of these patients</w:t>
      </w:r>
      <w:r w:rsidRPr="004B329E">
        <w:rPr>
          <w:rFonts w:ascii="Book Antiqua" w:eastAsia="Arial Unicode MS" w:hAnsi="Book Antiqua" w:cs="Arial Unicode MS"/>
          <w:sz w:val="24"/>
          <w:szCs w:val="24"/>
          <w:shd w:val="clear" w:color="auto" w:fill="FFFFFF"/>
        </w:rPr>
        <w:t>.</w:t>
      </w:r>
    </w:p>
    <w:p w14:paraId="424D7CBF" w14:textId="77777777" w:rsidR="00B21F9B" w:rsidRPr="004B329E" w:rsidRDefault="00B21F9B" w:rsidP="000675D7">
      <w:pPr>
        <w:spacing w:after="0" w:line="360" w:lineRule="auto"/>
        <w:jc w:val="both"/>
        <w:rPr>
          <w:rFonts w:ascii="Book Antiqua" w:hAnsi="Book Antiqua"/>
          <w:sz w:val="24"/>
          <w:szCs w:val="24"/>
        </w:rPr>
      </w:pPr>
    </w:p>
    <w:p w14:paraId="31B78E85" w14:textId="5DD8387B" w:rsidR="00F02CED" w:rsidRPr="004B329E" w:rsidRDefault="00F02CED" w:rsidP="000675D7">
      <w:pPr>
        <w:spacing w:after="0" w:line="360" w:lineRule="auto"/>
        <w:jc w:val="both"/>
        <w:rPr>
          <w:rFonts w:ascii="Book Antiqua" w:hAnsi="Book Antiqua" w:cs="Times New Roman"/>
          <w:b/>
          <w:sz w:val="24"/>
          <w:szCs w:val="24"/>
        </w:rPr>
      </w:pPr>
      <w:r w:rsidRPr="004B329E">
        <w:rPr>
          <w:rFonts w:ascii="Book Antiqua" w:hAnsi="Book Antiqua" w:cs="Times New Roman"/>
          <w:b/>
          <w:sz w:val="24"/>
          <w:szCs w:val="24"/>
        </w:rPr>
        <w:t>MATERIALS AND METHODS</w:t>
      </w:r>
    </w:p>
    <w:p w14:paraId="69E343B4" w14:textId="002E7033" w:rsidR="00F02CED" w:rsidRPr="004B329E" w:rsidRDefault="00F02CE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 xml:space="preserve">This systematic review was conducted according to the PRISMA guidelines. We searched PubMed, </w:t>
      </w:r>
      <w:r w:rsidR="0021111A" w:rsidRPr="004B329E">
        <w:rPr>
          <w:rFonts w:ascii="Book Antiqua" w:hAnsi="Book Antiqua" w:cs="Times New Roman"/>
          <w:sz w:val="24"/>
          <w:szCs w:val="24"/>
        </w:rPr>
        <w:t xml:space="preserve">MEDLINE </w:t>
      </w:r>
      <w:r w:rsidRPr="004B329E">
        <w:rPr>
          <w:rFonts w:ascii="Book Antiqua" w:hAnsi="Book Antiqua" w:cs="Times New Roman"/>
          <w:sz w:val="24"/>
          <w:szCs w:val="24"/>
        </w:rPr>
        <w:t>in September 2018 for cases of thyroid metastases from CCRCC between 1990 and 2018 including articles published in English, French, German, Spanish and Japanese.</w:t>
      </w:r>
      <w:r w:rsidR="00E017D3" w:rsidRPr="004B329E">
        <w:rPr>
          <w:rFonts w:ascii="Book Antiqua" w:hAnsi="Book Antiqua" w:cs="Times New Roman"/>
          <w:sz w:val="24"/>
          <w:szCs w:val="24"/>
        </w:rPr>
        <w:t xml:space="preserve"> The</w:t>
      </w:r>
      <w:r w:rsidR="00E017D3" w:rsidRPr="004B329E">
        <w:rPr>
          <w:rFonts w:ascii="Book Antiqua" w:hAnsi="Book Antiqua" w:cs="Calibri-Bold"/>
          <w:bCs/>
          <w:sz w:val="24"/>
          <w:szCs w:val="24"/>
        </w:rPr>
        <w:t xml:space="preserve"> key words were</w:t>
      </w:r>
      <w:r w:rsidR="00E017D3" w:rsidRPr="004B329E">
        <w:rPr>
          <w:rFonts w:ascii="Book Antiqua" w:hAnsi="Book Antiqua" w:cs="Calibri-Bold"/>
          <w:b/>
          <w:bCs/>
          <w:sz w:val="24"/>
          <w:szCs w:val="24"/>
        </w:rPr>
        <w:t xml:space="preserve"> </w:t>
      </w:r>
      <w:r w:rsidR="00E017D3" w:rsidRPr="004B329E">
        <w:rPr>
          <w:rFonts w:ascii="Book Antiqua" w:hAnsi="Book Antiqua" w:cs="Calibri-Bold"/>
          <w:bCs/>
          <w:sz w:val="24"/>
          <w:szCs w:val="24"/>
        </w:rPr>
        <w:t xml:space="preserve">“renal cell carcinoma, thyroid, kidney cancer, clear cell.” </w:t>
      </w:r>
      <w:r w:rsidRPr="004B329E">
        <w:rPr>
          <w:rFonts w:ascii="Book Antiqua" w:hAnsi="Book Antiqua" w:cs="Times New Roman"/>
          <w:sz w:val="24"/>
          <w:szCs w:val="24"/>
        </w:rPr>
        <w:t xml:space="preserve">The search strategy is reported in </w:t>
      </w:r>
      <w:r w:rsidR="007D0AAA" w:rsidRPr="004B329E">
        <w:rPr>
          <w:rFonts w:ascii="Book Antiqua" w:hAnsi="Book Antiqua" w:cs="Times New Roman"/>
          <w:sz w:val="24"/>
          <w:szCs w:val="24"/>
        </w:rPr>
        <w:t>Figure</w:t>
      </w:r>
      <w:r w:rsidR="001639EB" w:rsidRPr="004B329E">
        <w:rPr>
          <w:rFonts w:ascii="Book Antiqua" w:hAnsi="Book Antiqua" w:cs="Times New Roman"/>
          <w:sz w:val="24"/>
          <w:szCs w:val="24"/>
        </w:rPr>
        <w:t xml:space="preserve"> </w:t>
      </w:r>
      <w:r w:rsidR="007D0AAA" w:rsidRPr="004B329E">
        <w:rPr>
          <w:rFonts w:ascii="Book Antiqua" w:hAnsi="Book Antiqua" w:cs="Times New Roman"/>
          <w:sz w:val="24"/>
          <w:szCs w:val="24"/>
        </w:rPr>
        <w:t>1</w:t>
      </w:r>
      <w:r w:rsidRPr="004B329E">
        <w:rPr>
          <w:rFonts w:ascii="Book Antiqua" w:hAnsi="Book Antiqua" w:cs="Times New Roman"/>
          <w:sz w:val="24"/>
          <w:szCs w:val="24"/>
        </w:rPr>
        <w:t>. All relevant articles were assessed in full text. A total of 163 cases were obtained. 16 cases were excluded because they were either unavailable in full text</w:t>
      </w:r>
      <w:r w:rsidR="00E17261" w:rsidRPr="004B329E">
        <w:rPr>
          <w:rFonts w:ascii="Book Antiqua" w:hAnsi="Book Antiqua" w:cs="Times New Roman"/>
          <w:sz w:val="24"/>
          <w:szCs w:val="24"/>
        </w:rPr>
        <w:t>, had a primary kidney cancer other than clear cell renal cell carcinoma</w:t>
      </w:r>
      <w:r w:rsidRPr="004B329E">
        <w:rPr>
          <w:rFonts w:ascii="Book Antiqua" w:hAnsi="Book Antiqua" w:cs="Times New Roman"/>
          <w:sz w:val="24"/>
          <w:szCs w:val="24"/>
        </w:rPr>
        <w:t xml:space="preserve"> or due to language barrier. 147 cases were studied. The </w:t>
      </w:r>
      <w:r w:rsidR="00E017D3" w:rsidRPr="004B329E">
        <w:rPr>
          <w:rFonts w:ascii="Book Antiqua" w:hAnsi="Book Antiqua" w:cs="Times New Roman"/>
          <w:sz w:val="24"/>
          <w:szCs w:val="24"/>
        </w:rPr>
        <w:t xml:space="preserve">studied patients’ </w:t>
      </w:r>
      <w:r w:rsidRPr="004B329E">
        <w:rPr>
          <w:rFonts w:ascii="Book Antiqua" w:hAnsi="Book Antiqua" w:cs="Times New Roman"/>
          <w:sz w:val="24"/>
          <w:szCs w:val="24"/>
        </w:rPr>
        <w:t>characteristics were</w:t>
      </w:r>
      <w:r w:rsidR="00E017D3" w:rsidRPr="004B329E">
        <w:rPr>
          <w:rFonts w:ascii="Book Antiqua" w:hAnsi="Book Antiqua" w:cs="Times New Roman"/>
          <w:sz w:val="24"/>
          <w:szCs w:val="24"/>
        </w:rPr>
        <w:t>:</w:t>
      </w:r>
      <w:r w:rsidRPr="004B329E">
        <w:rPr>
          <w:rFonts w:ascii="Book Antiqua" w:hAnsi="Book Antiqua" w:cs="Times New Roman"/>
          <w:sz w:val="24"/>
          <w:szCs w:val="24"/>
        </w:rPr>
        <w:t xml:space="preserve"> age, sex, ethnicity, CCRCC stage at initial diagnosis, presence of internal jugular vein thrombosis, lag time between initial diagnosis of CCRCC and detection of thyroid metastases, presence of metastatic sites other than the thyroid gland, diagnostic modality used to confirm the diagnosis of metastatic CCRCC to the thyroid, therapeutic modalities used in treatment, initial presenting symptoms at the diagnosis of the thyroid metastases, p</w:t>
      </w:r>
      <w:r w:rsidR="00E017D3" w:rsidRPr="004B329E">
        <w:rPr>
          <w:rFonts w:ascii="Book Antiqua" w:hAnsi="Book Antiqua" w:cs="Times New Roman"/>
          <w:sz w:val="24"/>
          <w:szCs w:val="24"/>
        </w:rPr>
        <w:t>resence of thyroid antibodies, t</w:t>
      </w:r>
      <w:r w:rsidRPr="004B329E">
        <w:rPr>
          <w:rFonts w:ascii="Book Antiqua" w:hAnsi="Book Antiqua" w:cs="Times New Roman"/>
          <w:sz w:val="24"/>
          <w:szCs w:val="24"/>
        </w:rPr>
        <w:t xml:space="preserve">hyroid stimulating hormone (TSH) values, airway obstruction, follow-up time after detection of thyroid metastases with the final reported status of the patient (alive versus deceased), status and size of the thyroid metastatic lesions. The </w:t>
      </w:r>
      <w:r w:rsidR="007D0AAA" w:rsidRPr="004B329E">
        <w:rPr>
          <w:rFonts w:ascii="Book Antiqua" w:hAnsi="Book Antiqua" w:cs="Times New Roman"/>
          <w:sz w:val="24"/>
          <w:szCs w:val="24"/>
        </w:rPr>
        <w:t>characteristics</w:t>
      </w:r>
      <w:r w:rsidR="00476078" w:rsidRPr="004B329E">
        <w:rPr>
          <w:rFonts w:ascii="Book Antiqua" w:hAnsi="Book Antiqua" w:cs="Times New Roman"/>
          <w:sz w:val="24"/>
          <w:szCs w:val="24"/>
        </w:rPr>
        <w:t xml:space="preserve"> of patient population and different</w:t>
      </w:r>
      <w:r w:rsidRPr="004B329E">
        <w:rPr>
          <w:rFonts w:ascii="Book Antiqua" w:hAnsi="Book Antiqua" w:cs="Times New Roman"/>
          <w:sz w:val="24"/>
          <w:szCs w:val="24"/>
        </w:rPr>
        <w:t xml:space="preserve"> var</w:t>
      </w:r>
      <w:r w:rsidR="005915C7" w:rsidRPr="004B329E">
        <w:rPr>
          <w:rFonts w:ascii="Book Antiqua" w:hAnsi="Book Antiqua" w:cs="Times New Roman"/>
          <w:sz w:val="24"/>
          <w:szCs w:val="24"/>
        </w:rPr>
        <w:t>iable</w:t>
      </w:r>
      <w:r w:rsidR="00476078" w:rsidRPr="004B329E">
        <w:rPr>
          <w:rFonts w:ascii="Book Antiqua" w:hAnsi="Book Antiqua" w:cs="Times New Roman"/>
          <w:sz w:val="24"/>
          <w:szCs w:val="24"/>
        </w:rPr>
        <w:t>s</w:t>
      </w:r>
      <w:r w:rsidR="005915C7" w:rsidRPr="004B329E">
        <w:rPr>
          <w:rFonts w:ascii="Book Antiqua" w:hAnsi="Book Antiqua" w:cs="Times New Roman"/>
          <w:sz w:val="24"/>
          <w:szCs w:val="24"/>
        </w:rPr>
        <w:t xml:space="preserve"> </w:t>
      </w:r>
      <w:r w:rsidR="00476078" w:rsidRPr="004B329E">
        <w:rPr>
          <w:rFonts w:ascii="Book Antiqua" w:hAnsi="Book Antiqua" w:cs="Times New Roman"/>
          <w:sz w:val="24"/>
          <w:szCs w:val="24"/>
        </w:rPr>
        <w:t>are</w:t>
      </w:r>
      <w:r w:rsidR="005915C7" w:rsidRPr="004B329E">
        <w:rPr>
          <w:rFonts w:ascii="Book Antiqua" w:hAnsi="Book Antiqua" w:cs="Times New Roman"/>
          <w:sz w:val="24"/>
          <w:szCs w:val="24"/>
        </w:rPr>
        <w:t xml:space="preserve"> </w:t>
      </w:r>
      <w:r w:rsidR="00476078" w:rsidRPr="004B329E">
        <w:rPr>
          <w:rFonts w:ascii="Book Antiqua" w:hAnsi="Book Antiqua" w:cs="Times New Roman"/>
          <w:sz w:val="24"/>
          <w:szCs w:val="24"/>
        </w:rPr>
        <w:t xml:space="preserve">provided </w:t>
      </w:r>
      <w:r w:rsidR="005915C7" w:rsidRPr="004B329E">
        <w:rPr>
          <w:rFonts w:ascii="Book Antiqua" w:hAnsi="Book Antiqua" w:cs="Times New Roman"/>
          <w:sz w:val="24"/>
          <w:szCs w:val="24"/>
        </w:rPr>
        <w:t xml:space="preserve">in </w:t>
      </w:r>
      <w:r w:rsidR="001639EB" w:rsidRPr="004B329E">
        <w:rPr>
          <w:rFonts w:ascii="Book Antiqua" w:hAnsi="Book Antiqua" w:cs="Times New Roman"/>
          <w:sz w:val="24"/>
          <w:szCs w:val="24"/>
        </w:rPr>
        <w:t xml:space="preserve">Table </w:t>
      </w:r>
      <w:r w:rsidR="007D0AAA" w:rsidRPr="004B329E">
        <w:rPr>
          <w:rFonts w:ascii="Book Antiqua" w:hAnsi="Book Antiqua" w:cs="Times New Roman"/>
          <w:sz w:val="24"/>
          <w:szCs w:val="24"/>
        </w:rPr>
        <w:t>1</w:t>
      </w:r>
      <w:r w:rsidRPr="004B329E">
        <w:rPr>
          <w:rFonts w:ascii="Book Antiqua" w:hAnsi="Book Antiqua" w:cs="Times New Roman"/>
          <w:sz w:val="24"/>
          <w:szCs w:val="24"/>
        </w:rPr>
        <w:t>.</w:t>
      </w:r>
    </w:p>
    <w:p w14:paraId="4EA943DB" w14:textId="77777777" w:rsidR="00AB033C" w:rsidRPr="004B329E" w:rsidRDefault="00AB033C" w:rsidP="000675D7">
      <w:pPr>
        <w:spacing w:after="0" w:line="360" w:lineRule="auto"/>
        <w:jc w:val="both"/>
        <w:rPr>
          <w:rFonts w:ascii="Book Antiqua" w:hAnsi="Book Antiqua"/>
          <w:sz w:val="24"/>
          <w:szCs w:val="24"/>
        </w:rPr>
      </w:pPr>
    </w:p>
    <w:p w14:paraId="4E9CFEE0" w14:textId="034D09F1" w:rsidR="00F02CED" w:rsidRPr="004B329E" w:rsidRDefault="005531B4" w:rsidP="000675D7">
      <w:pPr>
        <w:spacing w:after="0" w:line="360" w:lineRule="auto"/>
        <w:jc w:val="both"/>
        <w:rPr>
          <w:rFonts w:ascii="Book Antiqua" w:hAnsi="Book Antiqua" w:cs="Times New Roman"/>
          <w:b/>
          <w:i/>
          <w:sz w:val="24"/>
          <w:szCs w:val="24"/>
        </w:rPr>
      </w:pPr>
      <w:r w:rsidRPr="004B329E">
        <w:rPr>
          <w:rFonts w:ascii="Book Antiqua" w:hAnsi="Book Antiqua" w:cs="Times New Roman"/>
          <w:b/>
          <w:i/>
          <w:sz w:val="24"/>
          <w:szCs w:val="24"/>
        </w:rPr>
        <w:t>Statistical analysis</w:t>
      </w:r>
    </w:p>
    <w:p w14:paraId="77EABACD" w14:textId="6962589B" w:rsidR="00F02CED" w:rsidRPr="004B329E" w:rsidRDefault="00E017D3" w:rsidP="000675D7">
      <w:pPr>
        <w:spacing w:after="0" w:line="360" w:lineRule="auto"/>
        <w:jc w:val="both"/>
        <w:rPr>
          <w:rFonts w:ascii="Book Antiqua" w:hAnsi="Book Antiqua" w:cs="Times New Roman"/>
          <w:sz w:val="24"/>
          <w:szCs w:val="24"/>
        </w:rPr>
      </w:pPr>
      <w:r w:rsidRPr="004B329E">
        <w:rPr>
          <w:rFonts w:ascii="Book Antiqua" w:hAnsi="Book Antiqua" w:cs="Times New Roman"/>
          <w:sz w:val="24"/>
          <w:szCs w:val="24"/>
        </w:rPr>
        <w:t>Descriptive</w:t>
      </w:r>
      <w:r w:rsidR="00F02CED" w:rsidRPr="004B329E">
        <w:rPr>
          <w:rFonts w:ascii="Book Antiqua" w:hAnsi="Book Antiqua" w:cs="Times New Roman"/>
          <w:sz w:val="24"/>
          <w:szCs w:val="24"/>
        </w:rPr>
        <w:t xml:space="preserve"> statistics were used</w:t>
      </w:r>
      <w:r w:rsidRPr="004B329E">
        <w:rPr>
          <w:rFonts w:ascii="Book Antiqua" w:hAnsi="Book Antiqua" w:cs="Times New Roman"/>
          <w:sz w:val="24"/>
          <w:szCs w:val="24"/>
        </w:rPr>
        <w:t>; f</w:t>
      </w:r>
      <w:r w:rsidR="00F02CED" w:rsidRPr="004B329E">
        <w:rPr>
          <w:rFonts w:ascii="Book Antiqua" w:hAnsi="Book Antiqua" w:cs="Times New Roman"/>
          <w:sz w:val="24"/>
          <w:szCs w:val="24"/>
        </w:rPr>
        <w:t>or continuous variables, the mean, median</w:t>
      </w:r>
      <w:r w:rsidR="00D5765E" w:rsidRPr="004B329E">
        <w:rPr>
          <w:rFonts w:ascii="Book Antiqua" w:hAnsi="Book Antiqua" w:cs="Times New Roman"/>
          <w:sz w:val="24"/>
          <w:szCs w:val="24"/>
        </w:rPr>
        <w:t>,</w:t>
      </w:r>
      <w:r w:rsidR="00F02CED" w:rsidRPr="004B329E">
        <w:rPr>
          <w:rFonts w:ascii="Book Antiqua" w:hAnsi="Book Antiqua" w:cs="Times New Roman"/>
          <w:sz w:val="24"/>
          <w:szCs w:val="24"/>
        </w:rPr>
        <w:t xml:space="preserve"> standard deviation</w:t>
      </w:r>
      <w:r w:rsidR="00D5765E" w:rsidRPr="004B329E">
        <w:rPr>
          <w:rFonts w:ascii="Book Antiqua" w:hAnsi="Book Antiqua" w:cs="Times New Roman"/>
          <w:sz w:val="24"/>
          <w:szCs w:val="24"/>
        </w:rPr>
        <w:t xml:space="preserve"> and standard error</w:t>
      </w:r>
      <w:r w:rsidR="00F02CED" w:rsidRPr="004B329E">
        <w:rPr>
          <w:rFonts w:ascii="Book Antiqua" w:hAnsi="Book Antiqua" w:cs="Times New Roman"/>
          <w:sz w:val="24"/>
          <w:szCs w:val="24"/>
        </w:rPr>
        <w:t xml:space="preserve"> were calculated. Categorical variables were presented with frequency tables and cross-</w:t>
      </w:r>
      <w:r w:rsidRPr="004B329E">
        <w:rPr>
          <w:rFonts w:ascii="Book Antiqua" w:hAnsi="Book Antiqua" w:cs="Times New Roman"/>
          <w:sz w:val="24"/>
          <w:szCs w:val="24"/>
        </w:rPr>
        <w:t>tabulation matrices. Chi-square</w:t>
      </w:r>
      <w:r w:rsidR="00F02CED" w:rsidRPr="004B329E">
        <w:rPr>
          <w:rFonts w:ascii="Book Antiqua" w:hAnsi="Book Antiqua" w:cs="Times New Roman"/>
          <w:sz w:val="24"/>
          <w:szCs w:val="24"/>
        </w:rPr>
        <w:t xml:space="preserve"> test was used for the association of thyroidectomy and subtotal thyroidectomy and the status of the patient (alive/deceased) at 12 mo</w:t>
      </w:r>
      <w:r w:rsidRPr="004B329E">
        <w:rPr>
          <w:rFonts w:ascii="Book Antiqua" w:hAnsi="Book Antiqua" w:cs="Times New Roman"/>
          <w:sz w:val="24"/>
          <w:szCs w:val="24"/>
        </w:rPr>
        <w:t>’ follow-up</w:t>
      </w:r>
      <w:r w:rsidR="00F02CED" w:rsidRPr="004B329E">
        <w:rPr>
          <w:rFonts w:ascii="Book Antiqua" w:hAnsi="Book Antiqua" w:cs="Times New Roman"/>
          <w:sz w:val="24"/>
          <w:szCs w:val="24"/>
        </w:rPr>
        <w:t xml:space="preserve">. We compared the distribution of age and the distribution of lag time of males versus females, using independent samples </w:t>
      </w:r>
      <w:r w:rsidR="00F02CED" w:rsidRPr="004B329E">
        <w:rPr>
          <w:rFonts w:ascii="Book Antiqua" w:hAnsi="Book Antiqua" w:cs="Times New Roman"/>
          <w:i/>
          <w:iCs/>
          <w:sz w:val="24"/>
          <w:szCs w:val="24"/>
        </w:rPr>
        <w:t>t</w:t>
      </w:r>
      <w:r w:rsidR="00F02CED" w:rsidRPr="004B329E">
        <w:rPr>
          <w:rFonts w:ascii="Book Antiqua" w:hAnsi="Book Antiqua" w:cs="Times New Roman"/>
          <w:sz w:val="24"/>
          <w:szCs w:val="24"/>
        </w:rPr>
        <w:t xml:space="preserve">-tests. Spearman’s correlation coefficients were used for the correlation of lag time and the size of the metastasis. Analysis of variance was used to compare the distribution of size, across the three symptoms groups and status. Logistic regression was used for the association of lag time and size to the airway obstruction, a binary categorical variable. Statistically significant levels were those with </w:t>
      </w:r>
      <w:r w:rsidR="00F02CED" w:rsidRPr="004B329E">
        <w:rPr>
          <w:rFonts w:ascii="Book Antiqua" w:hAnsi="Book Antiqua" w:cs="Times New Roman"/>
          <w:i/>
          <w:iCs/>
          <w:caps/>
          <w:sz w:val="24"/>
          <w:szCs w:val="24"/>
        </w:rPr>
        <w:t>p</w:t>
      </w:r>
      <w:r w:rsidR="00D5765E" w:rsidRPr="004B329E">
        <w:rPr>
          <w:rFonts w:ascii="Book Antiqua" w:hAnsi="Book Antiqua" w:cs="Times New Roman"/>
          <w:sz w:val="24"/>
          <w:szCs w:val="24"/>
        </w:rPr>
        <w:t xml:space="preserve"> values</w:t>
      </w:r>
      <w:r w:rsidR="00F02CED" w:rsidRPr="004B329E">
        <w:rPr>
          <w:rFonts w:ascii="Book Antiqua" w:hAnsi="Book Antiqua" w:cs="Times New Roman"/>
          <w:sz w:val="24"/>
          <w:szCs w:val="24"/>
        </w:rPr>
        <w:t xml:space="preserve"> &lt;</w:t>
      </w:r>
      <w:r w:rsidR="001639EB" w:rsidRPr="004B329E">
        <w:rPr>
          <w:rFonts w:ascii="Book Antiqua" w:hAnsi="Book Antiqua" w:cs="Times New Roman"/>
          <w:sz w:val="24"/>
          <w:szCs w:val="24"/>
        </w:rPr>
        <w:t xml:space="preserve"> </w:t>
      </w:r>
      <w:r w:rsidR="00F02CED" w:rsidRPr="004B329E">
        <w:rPr>
          <w:rFonts w:ascii="Book Antiqua" w:hAnsi="Book Antiqua" w:cs="Times New Roman"/>
          <w:sz w:val="24"/>
          <w:szCs w:val="24"/>
        </w:rPr>
        <w:t>0.05. The statistical analysis was performed using IBM SPSS (IBM Corp. Released 2017. IBM SPSS Statistics for Windows, Version 25.0. Armonk, NY: IBM Corp).</w:t>
      </w:r>
    </w:p>
    <w:p w14:paraId="1A189F08" w14:textId="77777777" w:rsidR="00104B3D" w:rsidRPr="004B329E" w:rsidRDefault="00104B3D" w:rsidP="000675D7">
      <w:pPr>
        <w:pStyle w:val="a3"/>
        <w:spacing w:after="0" w:line="360" w:lineRule="auto"/>
        <w:ind w:left="0"/>
        <w:jc w:val="both"/>
        <w:rPr>
          <w:rFonts w:ascii="Book Antiqua" w:hAnsi="Book Antiqua" w:cs="Times New Roman"/>
          <w:b/>
          <w:sz w:val="24"/>
          <w:szCs w:val="24"/>
        </w:rPr>
      </w:pPr>
    </w:p>
    <w:p w14:paraId="030D4C1A" w14:textId="77777777" w:rsidR="00F02CED" w:rsidRPr="004B329E" w:rsidRDefault="007F199C" w:rsidP="000675D7">
      <w:pPr>
        <w:spacing w:after="0" w:line="360" w:lineRule="auto"/>
        <w:jc w:val="both"/>
        <w:rPr>
          <w:rFonts w:ascii="Book Antiqua" w:hAnsi="Book Antiqua" w:cs="Times New Roman"/>
          <w:b/>
          <w:sz w:val="24"/>
          <w:szCs w:val="24"/>
        </w:rPr>
      </w:pPr>
      <w:r w:rsidRPr="004B329E">
        <w:rPr>
          <w:rFonts w:ascii="Book Antiqua" w:hAnsi="Book Antiqua" w:cs="Times New Roman"/>
          <w:b/>
          <w:sz w:val="24"/>
          <w:szCs w:val="24"/>
        </w:rPr>
        <w:t>RESULTS</w:t>
      </w:r>
    </w:p>
    <w:p w14:paraId="302D3E37" w14:textId="008A7650" w:rsidR="00F02CED" w:rsidRPr="004B329E" w:rsidRDefault="00D5765E" w:rsidP="000675D7">
      <w:pPr>
        <w:spacing w:after="0" w:line="360" w:lineRule="auto"/>
        <w:jc w:val="both"/>
        <w:rPr>
          <w:rFonts w:ascii="Book Antiqua" w:hAnsi="Book Antiqua" w:cs="Times New Roman"/>
          <w:sz w:val="24"/>
          <w:szCs w:val="24"/>
        </w:rPr>
      </w:pPr>
      <w:r w:rsidRPr="004B329E">
        <w:rPr>
          <w:rFonts w:ascii="Book Antiqua" w:hAnsi="Book Antiqua" w:cs="Times New Roman"/>
          <w:sz w:val="24"/>
          <w:szCs w:val="24"/>
        </w:rPr>
        <w:t>Out of a total of 143 CCRCC patients with metastases in the thyroid gland,</w:t>
      </w:r>
      <w:r w:rsidR="00F02CED" w:rsidRPr="004B329E">
        <w:rPr>
          <w:rFonts w:ascii="Book Antiqua" w:hAnsi="Book Antiqua" w:cs="Times New Roman"/>
          <w:sz w:val="24"/>
          <w:szCs w:val="24"/>
        </w:rPr>
        <w:t xml:space="preserve"> 46.3% were male (</w:t>
      </w:r>
      <w:r w:rsidR="00F23EC0" w:rsidRPr="004B329E">
        <w:rPr>
          <w:rFonts w:ascii="Book Antiqua" w:hAnsi="Book Antiqua" w:cs="Times New Roman"/>
          <w:i/>
          <w:sz w:val="24"/>
          <w:szCs w:val="24"/>
        </w:rPr>
        <w:t>n</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00E017D3" w:rsidRPr="004B329E">
        <w:rPr>
          <w:rFonts w:ascii="Book Antiqua" w:hAnsi="Book Antiqua" w:cs="Times New Roman"/>
          <w:sz w:val="24"/>
          <w:szCs w:val="24"/>
        </w:rPr>
        <w:t>68) and</w:t>
      </w:r>
      <w:r w:rsidR="00F02CED" w:rsidRPr="004B329E">
        <w:rPr>
          <w:rFonts w:ascii="Book Antiqua" w:hAnsi="Book Antiqua" w:cs="Times New Roman"/>
          <w:sz w:val="24"/>
          <w:szCs w:val="24"/>
        </w:rPr>
        <w:t xml:space="preserve"> 52.4% were female (</w:t>
      </w:r>
      <w:r w:rsidR="00F23EC0" w:rsidRPr="004B329E">
        <w:rPr>
          <w:rFonts w:ascii="Book Antiqua" w:hAnsi="Book Antiqua" w:cs="Times New Roman"/>
          <w:i/>
          <w:sz w:val="24"/>
          <w:szCs w:val="24"/>
        </w:rPr>
        <w:t>n</w:t>
      </w:r>
      <w:r w:rsidR="00F23EC0"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00F02CED" w:rsidRPr="004B329E">
        <w:rPr>
          <w:rFonts w:ascii="Book Antiqua" w:hAnsi="Book Antiqua" w:cs="Times New Roman"/>
          <w:sz w:val="24"/>
          <w:szCs w:val="24"/>
        </w:rPr>
        <w:t>75)</w:t>
      </w:r>
      <w:r w:rsidRPr="004B329E">
        <w:rPr>
          <w:rFonts w:ascii="Book Antiqua" w:hAnsi="Book Antiqua" w:cs="Times New Roman"/>
          <w:sz w:val="24"/>
          <w:szCs w:val="24"/>
        </w:rPr>
        <w:t>.</w:t>
      </w:r>
      <w:r w:rsidR="00F02CED" w:rsidRPr="004B329E">
        <w:rPr>
          <w:rFonts w:ascii="Book Antiqua" w:hAnsi="Book Antiqua" w:cs="Times New Roman"/>
          <w:sz w:val="24"/>
          <w:szCs w:val="24"/>
        </w:rPr>
        <w:t xml:space="preserve"> The ratio between male and female was 1:1.13 suggesting a mild female predominance in the studied population.</w:t>
      </w:r>
    </w:p>
    <w:p w14:paraId="52B8835F" w14:textId="4446E902" w:rsidR="00F02CED" w:rsidRPr="004B329E" w:rsidRDefault="00F02CED"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The age of the patients varied from 37 to 87 years with the mean age of males</w:t>
      </w:r>
      <w:r w:rsidR="00D5765E" w:rsidRPr="004B329E">
        <w:rPr>
          <w:rFonts w:ascii="Book Antiqua" w:hAnsi="Book Antiqua" w:cs="Times New Roman"/>
          <w:sz w:val="24"/>
          <w:szCs w:val="24"/>
        </w:rPr>
        <w:t xml:space="preserve"> (±</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standard deviation</w:t>
      </w:r>
      <w:r w:rsidR="00D5765E" w:rsidRPr="004B329E">
        <w:rPr>
          <w:rFonts w:ascii="Book Antiqua" w:hAnsi="Book Antiqua" w:cs="Times New Roman"/>
          <w:sz w:val="24"/>
          <w:szCs w:val="24"/>
        </w:rPr>
        <w:t>) being</w:t>
      </w:r>
      <w:r w:rsidRPr="004B329E">
        <w:rPr>
          <w:rFonts w:ascii="Book Antiqua" w:hAnsi="Book Antiqua" w:cs="Times New Roman"/>
          <w:sz w:val="24"/>
          <w:szCs w:val="24"/>
        </w:rPr>
        <w:t xml:space="preserve"> 64 </w:t>
      </w:r>
      <w:r w:rsidR="00D5765E" w:rsidRPr="004B329E">
        <w:rPr>
          <w:rFonts w:ascii="Book Antiqua" w:hAnsi="Book Antiqua" w:cs="Times New Roman"/>
          <w:sz w:val="24"/>
          <w:szCs w:val="24"/>
        </w:rPr>
        <w:t>(</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10.36</w:t>
      </w:r>
      <w:r w:rsidR="00D5765E" w:rsidRPr="004B329E">
        <w:rPr>
          <w:rFonts w:ascii="Book Antiqua" w:hAnsi="Book Antiqua" w:cs="Times New Roman"/>
          <w:sz w:val="24"/>
          <w:szCs w:val="24"/>
        </w:rPr>
        <w:t>)</w:t>
      </w:r>
      <w:r w:rsidRPr="004B329E">
        <w:rPr>
          <w:rFonts w:ascii="Book Antiqua" w:hAnsi="Book Antiqua" w:cs="Times New Roman"/>
          <w:sz w:val="24"/>
          <w:szCs w:val="24"/>
        </w:rPr>
        <w:t xml:space="preserve"> years and </w:t>
      </w:r>
      <w:r w:rsidR="00D5765E" w:rsidRPr="004B329E">
        <w:rPr>
          <w:rFonts w:ascii="Book Antiqua" w:hAnsi="Book Antiqua" w:cs="Times New Roman"/>
          <w:sz w:val="24"/>
          <w:szCs w:val="24"/>
        </w:rPr>
        <w:t>o</w:t>
      </w:r>
      <w:r w:rsidRPr="004B329E">
        <w:rPr>
          <w:rFonts w:ascii="Book Antiqua" w:hAnsi="Book Antiqua" w:cs="Times New Roman"/>
          <w:sz w:val="24"/>
          <w:szCs w:val="24"/>
        </w:rPr>
        <w:t xml:space="preserve">f females 64.23 </w:t>
      </w:r>
      <w:r w:rsidR="00D5765E" w:rsidRPr="004B329E">
        <w:rPr>
          <w:rFonts w:ascii="Book Antiqua" w:hAnsi="Book Antiqua" w:cs="Times New Roman"/>
          <w:sz w:val="24"/>
          <w:szCs w:val="24"/>
        </w:rPr>
        <w:t>(</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10.86)</w:t>
      </w:r>
      <w:r w:rsidR="00D5765E" w:rsidRPr="004B329E">
        <w:rPr>
          <w:rFonts w:ascii="Book Antiqua" w:hAnsi="Book Antiqua" w:cs="Times New Roman"/>
          <w:sz w:val="24"/>
          <w:szCs w:val="24"/>
        </w:rPr>
        <w:t xml:space="preserve"> years</w:t>
      </w:r>
      <w:r w:rsidRPr="004B329E">
        <w:rPr>
          <w:rFonts w:ascii="Book Antiqua" w:hAnsi="Book Antiqua" w:cs="Times New Roman"/>
          <w:sz w:val="24"/>
          <w:szCs w:val="24"/>
        </w:rPr>
        <w:t>. We compared the distribution of age among male and female patients and we found that the age at which CCRCC was first diagnosed did not differ statistically between the two groups (</w:t>
      </w:r>
      <w:r w:rsidRPr="004B329E">
        <w:rPr>
          <w:rFonts w:ascii="Book Antiqua" w:hAnsi="Book Antiqua" w:cs="Times New Roman"/>
          <w:i/>
          <w:iCs/>
          <w:caps/>
          <w:sz w:val="24"/>
          <w:szCs w:val="24"/>
        </w:rPr>
        <w:t>p</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0.898). The age was divided into 4 categories (20-40, 41-60, 61-80, and 81-100</w:t>
      </w:r>
      <w:r w:rsidR="00D5765E" w:rsidRPr="004B329E">
        <w:rPr>
          <w:rFonts w:ascii="Book Antiqua" w:hAnsi="Book Antiqua" w:cs="Times New Roman"/>
          <w:sz w:val="24"/>
          <w:szCs w:val="24"/>
        </w:rPr>
        <w:t xml:space="preserve"> years,</w:t>
      </w:r>
      <w:r w:rsidR="00FB1471" w:rsidRPr="004B329E">
        <w:rPr>
          <w:rFonts w:ascii="Book Antiqua" w:hAnsi="Book Antiqua" w:cs="Times New Roman"/>
          <w:sz w:val="24"/>
          <w:szCs w:val="24"/>
        </w:rPr>
        <w:t xml:space="preserve"> Figure</w:t>
      </w:r>
      <w:r w:rsidR="001639EB" w:rsidRPr="004B329E">
        <w:rPr>
          <w:rFonts w:ascii="Book Antiqua" w:hAnsi="Book Antiqua" w:cs="Times New Roman"/>
          <w:sz w:val="24"/>
          <w:szCs w:val="24"/>
        </w:rPr>
        <w:t xml:space="preserve"> </w:t>
      </w:r>
      <w:r w:rsidR="00FB1471" w:rsidRPr="004B329E">
        <w:rPr>
          <w:rFonts w:ascii="Book Antiqua" w:hAnsi="Book Antiqua" w:cs="Times New Roman"/>
          <w:sz w:val="24"/>
          <w:szCs w:val="24"/>
        </w:rPr>
        <w:t>2</w:t>
      </w:r>
      <w:r w:rsidR="00D5765E" w:rsidRPr="004B329E">
        <w:rPr>
          <w:rFonts w:ascii="Book Antiqua" w:hAnsi="Book Antiqua" w:cs="Times New Roman"/>
          <w:sz w:val="24"/>
          <w:szCs w:val="24"/>
        </w:rPr>
        <w:t>)</w:t>
      </w:r>
      <w:r w:rsidRPr="004B329E">
        <w:rPr>
          <w:rFonts w:ascii="Book Antiqua" w:hAnsi="Book Antiqua" w:cs="Times New Roman"/>
          <w:sz w:val="24"/>
          <w:szCs w:val="24"/>
        </w:rPr>
        <w:t>.</w:t>
      </w:r>
    </w:p>
    <w:p w14:paraId="0B94B79F" w14:textId="4C2C4CFB" w:rsidR="00F02CED" w:rsidRPr="004B329E" w:rsidRDefault="00E017D3"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E</w:t>
      </w:r>
      <w:r w:rsidR="00F02CED" w:rsidRPr="004B329E">
        <w:rPr>
          <w:rFonts w:ascii="Book Antiqua" w:hAnsi="Book Antiqua" w:cs="Times New Roman"/>
          <w:sz w:val="24"/>
          <w:szCs w:val="24"/>
        </w:rPr>
        <w:t>thnicity</w:t>
      </w:r>
      <w:r w:rsidRPr="004B329E">
        <w:rPr>
          <w:rFonts w:ascii="Book Antiqua" w:hAnsi="Book Antiqua" w:cs="Times New Roman"/>
          <w:sz w:val="24"/>
          <w:szCs w:val="24"/>
        </w:rPr>
        <w:t xml:space="preserve"> was documented</w:t>
      </w:r>
      <w:r w:rsidR="00F02CED" w:rsidRPr="004B329E">
        <w:rPr>
          <w:rFonts w:ascii="Book Antiqua" w:hAnsi="Book Antiqua" w:cs="Times New Roman"/>
          <w:sz w:val="24"/>
          <w:szCs w:val="24"/>
        </w:rPr>
        <w:t xml:space="preserve"> in onl</w:t>
      </w:r>
      <w:r w:rsidRPr="004B329E">
        <w:rPr>
          <w:rFonts w:ascii="Book Antiqua" w:hAnsi="Book Antiqua" w:cs="Times New Roman"/>
          <w:sz w:val="24"/>
          <w:szCs w:val="24"/>
        </w:rPr>
        <w:t xml:space="preserve">y 12.9% (19) of the </w:t>
      </w:r>
      <w:r w:rsidR="00F02CED" w:rsidRPr="004B329E">
        <w:rPr>
          <w:rFonts w:ascii="Book Antiqua" w:hAnsi="Book Antiqua" w:cs="Times New Roman"/>
          <w:sz w:val="24"/>
          <w:szCs w:val="24"/>
        </w:rPr>
        <w:t>cases. Of those, 68.4% were Caucasian (13 patients), 10.5% were African American (2 patients) and 21.1% were Asian (4 patients).</w:t>
      </w:r>
    </w:p>
    <w:p w14:paraId="6354F5A6" w14:textId="77777777" w:rsidR="00F02CED" w:rsidRPr="004B329E"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 xml:space="preserve">The Stage of clear cell renal cell carcinoma at initial diagnosis was reported in 62 cases. 30.6% had Stage I CCRCC at diagnosis (19 patients), 29% had stage II (18 patients), 32.3% had stage III (20 patients) and 8.1% had stage IV (5 patients). However, it is important to </w:t>
      </w:r>
      <w:r w:rsidR="00D5765E" w:rsidRPr="004B329E">
        <w:rPr>
          <w:rFonts w:ascii="Book Antiqua" w:hAnsi="Book Antiqua" w:cs="Times New Roman"/>
          <w:sz w:val="24"/>
          <w:szCs w:val="24"/>
        </w:rPr>
        <w:t xml:space="preserve">note </w:t>
      </w:r>
      <w:r w:rsidRPr="004B329E">
        <w:rPr>
          <w:rFonts w:ascii="Book Antiqua" w:hAnsi="Book Antiqua" w:cs="Times New Roman"/>
          <w:sz w:val="24"/>
          <w:szCs w:val="24"/>
        </w:rPr>
        <w:t>that TNM staging for r</w:t>
      </w:r>
      <w:r w:rsidR="00A43574" w:rsidRPr="004B329E">
        <w:rPr>
          <w:rFonts w:ascii="Book Antiqua" w:hAnsi="Book Antiqua" w:cs="Times New Roman"/>
          <w:sz w:val="24"/>
          <w:szCs w:val="24"/>
        </w:rPr>
        <w:t>enal carcinoma has changed</w:t>
      </w:r>
      <w:r w:rsidRPr="004B329E">
        <w:rPr>
          <w:rFonts w:ascii="Book Antiqua" w:hAnsi="Book Antiqua" w:cs="Times New Roman"/>
          <w:sz w:val="24"/>
          <w:szCs w:val="24"/>
        </w:rPr>
        <w:t xml:space="preserve"> since 1990. As an example</w:t>
      </w:r>
      <w:r w:rsidR="00D5765E" w:rsidRPr="004B329E">
        <w:rPr>
          <w:rFonts w:ascii="Book Antiqua" w:hAnsi="Book Antiqua" w:cs="Times New Roman"/>
          <w:sz w:val="24"/>
          <w:szCs w:val="24"/>
        </w:rPr>
        <w:t>,</w:t>
      </w:r>
      <w:r w:rsidRPr="004B329E">
        <w:rPr>
          <w:rFonts w:ascii="Book Antiqua" w:hAnsi="Book Antiqua" w:cs="Times New Roman"/>
          <w:sz w:val="24"/>
          <w:szCs w:val="24"/>
        </w:rPr>
        <w:t xml:space="preserve"> T1 staging used to include tumor size less than 2.5 cm </w:t>
      </w:r>
      <w:r w:rsidR="00CB3591" w:rsidRPr="004B329E">
        <w:rPr>
          <w:rFonts w:ascii="Book Antiqua" w:hAnsi="Book Antiqua" w:cs="Times New Roman"/>
          <w:sz w:val="24"/>
          <w:szCs w:val="24"/>
        </w:rPr>
        <w:t>and was later changed to ≤ 7 cm.</w:t>
      </w:r>
    </w:p>
    <w:p w14:paraId="1487DA24" w14:textId="40F36621" w:rsidR="00F02CED" w:rsidRPr="004B329E"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The</w:t>
      </w:r>
      <w:r w:rsidR="00033F9A" w:rsidRPr="004B329E">
        <w:rPr>
          <w:rFonts w:ascii="Book Antiqua" w:hAnsi="Book Antiqua" w:cs="Times New Roman"/>
          <w:sz w:val="24"/>
          <w:szCs w:val="24"/>
        </w:rPr>
        <w:t xml:space="preserve"> mean </w:t>
      </w:r>
      <w:r w:rsidR="00D5765E"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00D5765E" w:rsidRPr="004B329E">
        <w:rPr>
          <w:rFonts w:ascii="Book Antiqua" w:hAnsi="Book Antiqua" w:cs="Times New Roman"/>
          <w:sz w:val="24"/>
          <w:szCs w:val="24"/>
        </w:rPr>
        <w:t>SD</w:t>
      </w:r>
      <w:r w:rsidRPr="004B329E">
        <w:rPr>
          <w:rFonts w:ascii="Book Antiqua" w:hAnsi="Book Antiqua" w:cs="Times New Roman"/>
          <w:sz w:val="24"/>
          <w:szCs w:val="24"/>
        </w:rPr>
        <w:t xml:space="preserve"> lag time</w:t>
      </w:r>
      <w:r w:rsidR="00D5765E" w:rsidRPr="004B329E">
        <w:rPr>
          <w:rFonts w:ascii="Book Antiqua" w:hAnsi="Book Antiqua" w:cs="Times New Roman"/>
          <w:sz w:val="24"/>
          <w:szCs w:val="24"/>
        </w:rPr>
        <w:t xml:space="preserve"> </w:t>
      </w:r>
      <w:r w:rsidRPr="004B329E">
        <w:rPr>
          <w:rFonts w:ascii="Book Antiqua" w:hAnsi="Book Antiqua" w:cs="Times New Roman"/>
          <w:sz w:val="24"/>
          <w:szCs w:val="24"/>
        </w:rPr>
        <w:t>from initial diagnosis of CCRCC to discovery of thyroid metastases was 8.7</w:t>
      </w:r>
      <w:r w:rsidR="00033F9A" w:rsidRPr="004B329E">
        <w:rPr>
          <w:rFonts w:ascii="Book Antiqua" w:hAnsi="Book Antiqua" w:cs="Times New Roman"/>
          <w:sz w:val="24"/>
          <w:szCs w:val="24"/>
        </w:rPr>
        <w:t xml:space="preserve"> </w:t>
      </w:r>
      <w:r w:rsidR="00D5765E" w:rsidRPr="004B329E">
        <w:rPr>
          <w:rFonts w:ascii="Book Antiqua" w:hAnsi="Book Antiqua" w:cs="Times New Roman"/>
          <w:sz w:val="24"/>
          <w:szCs w:val="24"/>
        </w:rPr>
        <w:t>±</w:t>
      </w:r>
      <w:r w:rsidR="001639EB" w:rsidRPr="004B329E">
        <w:rPr>
          <w:rFonts w:ascii="Book Antiqua" w:hAnsi="Book Antiqua" w:cs="Times New Roman"/>
          <w:sz w:val="24"/>
          <w:szCs w:val="24"/>
        </w:rPr>
        <w:t xml:space="preserve"> </w:t>
      </w:r>
      <w:r w:rsidRPr="004B329E">
        <w:rPr>
          <w:rFonts w:ascii="Book Antiqua" w:hAnsi="Book Antiqua" w:cs="Times New Roman"/>
          <w:sz w:val="24"/>
          <w:szCs w:val="24"/>
        </w:rPr>
        <w:t>6.35 years</w:t>
      </w:r>
      <w:r w:rsidR="00D5765E" w:rsidRPr="004B329E">
        <w:rPr>
          <w:rFonts w:ascii="Book Antiqua" w:hAnsi="Book Antiqua" w:cs="Times New Roman"/>
          <w:sz w:val="24"/>
          <w:szCs w:val="24"/>
        </w:rPr>
        <w:t xml:space="preserve">, similar </w:t>
      </w:r>
      <w:r w:rsidRPr="004B329E">
        <w:rPr>
          <w:rFonts w:ascii="Book Antiqua" w:hAnsi="Book Antiqua" w:cs="Times New Roman"/>
          <w:sz w:val="24"/>
          <w:szCs w:val="24"/>
        </w:rPr>
        <w:t xml:space="preserve">across female and male </w:t>
      </w:r>
      <w:r w:rsidR="00D5765E" w:rsidRPr="004B329E">
        <w:rPr>
          <w:rFonts w:ascii="Book Antiqua" w:hAnsi="Book Antiqua" w:cs="Times New Roman"/>
          <w:sz w:val="24"/>
          <w:szCs w:val="24"/>
        </w:rPr>
        <w:t xml:space="preserve">patients </w:t>
      </w:r>
      <w:r w:rsidRPr="004B329E">
        <w:rPr>
          <w:rFonts w:ascii="Book Antiqua" w:hAnsi="Book Antiqua" w:cs="Times New Roman"/>
          <w:sz w:val="24"/>
          <w:szCs w:val="24"/>
        </w:rPr>
        <w:t>(</w:t>
      </w:r>
      <w:r w:rsidRPr="004B329E">
        <w:rPr>
          <w:rFonts w:ascii="Book Antiqua" w:hAnsi="Book Antiqua" w:cs="Times New Roman"/>
          <w:i/>
          <w:iCs/>
          <w:caps/>
          <w:sz w:val="24"/>
          <w:szCs w:val="24"/>
        </w:rPr>
        <w:t>p</w:t>
      </w:r>
      <w:r w:rsidRPr="004B329E">
        <w:rPr>
          <w:rFonts w:ascii="Book Antiqua" w:hAnsi="Book Antiqua" w:cs="Times New Roman"/>
          <w:sz w:val="24"/>
          <w:szCs w:val="24"/>
        </w:rPr>
        <w:t xml:space="preserve"> = 0.836).</w:t>
      </w:r>
    </w:p>
    <w:p w14:paraId="3AC84CBA" w14:textId="5B28FF52" w:rsidR="00F02CED" w:rsidRPr="004B329E"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 xml:space="preserve">The </w:t>
      </w:r>
      <w:r w:rsidR="00D5765E" w:rsidRPr="004B329E">
        <w:rPr>
          <w:rFonts w:ascii="Book Antiqua" w:hAnsi="Book Antiqua" w:cs="Times New Roman"/>
          <w:sz w:val="24"/>
          <w:szCs w:val="24"/>
        </w:rPr>
        <w:t xml:space="preserve">other non-thyroidal </w:t>
      </w:r>
      <w:r w:rsidRPr="004B329E">
        <w:rPr>
          <w:rFonts w:ascii="Book Antiqua" w:hAnsi="Book Antiqua" w:cs="Times New Roman"/>
          <w:sz w:val="24"/>
          <w:szCs w:val="24"/>
        </w:rPr>
        <w:t xml:space="preserve">metastatic sites are presented in </w:t>
      </w:r>
      <w:r w:rsidR="00D5765E" w:rsidRPr="004B329E">
        <w:rPr>
          <w:rFonts w:ascii="Book Antiqua" w:hAnsi="Book Antiqua" w:cs="Times New Roman"/>
          <w:sz w:val="24"/>
          <w:szCs w:val="24"/>
        </w:rPr>
        <w:t>T</w:t>
      </w:r>
      <w:r w:rsidRPr="004B329E">
        <w:rPr>
          <w:rFonts w:ascii="Book Antiqua" w:hAnsi="Book Antiqua" w:cs="Times New Roman"/>
          <w:sz w:val="24"/>
          <w:szCs w:val="24"/>
        </w:rPr>
        <w:t>able</w:t>
      </w:r>
      <w:r w:rsidR="00D5765E" w:rsidRPr="004B329E">
        <w:rPr>
          <w:rFonts w:ascii="Book Antiqua" w:hAnsi="Book Antiqua" w:cs="Times New Roman"/>
          <w:sz w:val="24"/>
          <w:szCs w:val="24"/>
        </w:rPr>
        <w:t xml:space="preserve"> 2</w:t>
      </w:r>
      <w:r w:rsidRPr="004B329E">
        <w:rPr>
          <w:rFonts w:ascii="Book Antiqua" w:hAnsi="Book Antiqua" w:cs="Times New Roman"/>
          <w:sz w:val="24"/>
          <w:szCs w:val="24"/>
        </w:rPr>
        <w:t xml:space="preserve">. </w:t>
      </w:r>
      <w:r w:rsidR="00E017D3" w:rsidRPr="004B329E">
        <w:rPr>
          <w:rFonts w:ascii="Book Antiqua" w:hAnsi="Book Antiqua" w:cs="Times New Roman"/>
          <w:sz w:val="24"/>
          <w:szCs w:val="24"/>
        </w:rPr>
        <w:t>Almost one third,</w:t>
      </w:r>
      <w:r w:rsidRPr="004B329E">
        <w:rPr>
          <w:rFonts w:ascii="Book Antiqua" w:hAnsi="Book Antiqua" w:cs="Times New Roman"/>
          <w:sz w:val="24"/>
          <w:szCs w:val="24"/>
        </w:rPr>
        <w:t xml:space="preserve"> 31.3%</w:t>
      </w:r>
      <w:r w:rsidR="00E017D3" w:rsidRPr="004B329E">
        <w:rPr>
          <w:rFonts w:ascii="Book Antiqua" w:hAnsi="Book Antiqua" w:cs="Times New Roman"/>
          <w:sz w:val="24"/>
          <w:szCs w:val="24"/>
        </w:rPr>
        <w:t>,</w:t>
      </w:r>
      <w:r w:rsidRPr="004B329E">
        <w:rPr>
          <w:rFonts w:ascii="Book Antiqua" w:hAnsi="Book Antiqua" w:cs="Times New Roman"/>
          <w:sz w:val="24"/>
          <w:szCs w:val="24"/>
        </w:rPr>
        <w:t xml:space="preserve"> of the patients </w:t>
      </w:r>
      <w:r w:rsidR="00E017D3" w:rsidRPr="004B329E">
        <w:rPr>
          <w:rFonts w:ascii="Book Antiqua" w:hAnsi="Book Antiqua" w:cs="Times New Roman"/>
          <w:sz w:val="24"/>
          <w:szCs w:val="24"/>
        </w:rPr>
        <w:t>had</w:t>
      </w:r>
      <w:r w:rsidRPr="004B329E">
        <w:rPr>
          <w:rFonts w:ascii="Book Antiqua" w:hAnsi="Book Antiqua" w:cs="Times New Roman"/>
          <w:sz w:val="24"/>
          <w:szCs w:val="24"/>
        </w:rPr>
        <w:t xml:space="preserve"> lung metastases (25 patients)</w:t>
      </w:r>
      <w:r w:rsidR="00B92C6C" w:rsidRPr="004B329E">
        <w:rPr>
          <w:rFonts w:ascii="Book Antiqua" w:hAnsi="Book Antiqua" w:cs="Times New Roman"/>
          <w:sz w:val="24"/>
          <w:szCs w:val="24"/>
        </w:rPr>
        <w:t>,</w:t>
      </w:r>
      <w:r w:rsidRPr="004B329E">
        <w:rPr>
          <w:rFonts w:ascii="Book Antiqua" w:hAnsi="Book Antiqua" w:cs="Times New Roman"/>
          <w:sz w:val="24"/>
          <w:szCs w:val="24"/>
        </w:rPr>
        <w:t xml:space="preserve"> followed by 17.5% with neck metastases</w:t>
      </w:r>
      <w:r w:rsidR="00EF5735" w:rsidRPr="004B329E">
        <w:rPr>
          <w:rFonts w:ascii="Book Antiqua" w:hAnsi="Book Antiqua" w:cs="Times New Roman"/>
          <w:sz w:val="24"/>
          <w:szCs w:val="24"/>
        </w:rPr>
        <w:t xml:space="preserve"> including cervical lymph nodes, muscular, soft tissue structure</w:t>
      </w:r>
      <w:r w:rsidRPr="004B329E">
        <w:rPr>
          <w:rFonts w:ascii="Book Antiqua" w:hAnsi="Book Antiqua" w:cs="Times New Roman"/>
          <w:sz w:val="24"/>
          <w:szCs w:val="24"/>
        </w:rPr>
        <w:t xml:space="preserve"> (14 patients) and other sites. Approximately one fourth of the patients had no </w:t>
      </w:r>
      <w:r w:rsidR="00B92C6C" w:rsidRPr="004B329E">
        <w:rPr>
          <w:rFonts w:ascii="Book Antiqua" w:hAnsi="Book Antiqua" w:cs="Times New Roman"/>
          <w:sz w:val="24"/>
          <w:szCs w:val="24"/>
        </w:rPr>
        <w:t xml:space="preserve">other </w:t>
      </w:r>
      <w:r w:rsidRPr="004B329E">
        <w:rPr>
          <w:rFonts w:ascii="Book Antiqua" w:hAnsi="Book Antiqua" w:cs="Times New Roman"/>
          <w:sz w:val="24"/>
          <w:szCs w:val="24"/>
        </w:rPr>
        <w:t>metastas</w:t>
      </w:r>
      <w:r w:rsidR="00B92C6C" w:rsidRPr="004B329E">
        <w:rPr>
          <w:rFonts w:ascii="Book Antiqua" w:hAnsi="Book Antiqua" w:cs="Times New Roman"/>
          <w:sz w:val="24"/>
          <w:szCs w:val="24"/>
        </w:rPr>
        <w:t>e</w:t>
      </w:r>
      <w:r w:rsidR="00E017D3" w:rsidRPr="004B329E">
        <w:rPr>
          <w:rFonts w:ascii="Book Antiqua" w:hAnsi="Book Antiqua" w:cs="Times New Roman"/>
          <w:sz w:val="24"/>
          <w:szCs w:val="24"/>
        </w:rPr>
        <w:t xml:space="preserve">s besides </w:t>
      </w:r>
      <w:r w:rsidR="00B92C6C" w:rsidRPr="004B329E">
        <w:rPr>
          <w:rFonts w:ascii="Book Antiqua" w:hAnsi="Book Antiqua" w:cs="Times New Roman"/>
          <w:sz w:val="24"/>
          <w:szCs w:val="24"/>
        </w:rPr>
        <w:t xml:space="preserve">in </w:t>
      </w:r>
      <w:r w:rsidRPr="004B329E">
        <w:rPr>
          <w:rFonts w:ascii="Book Antiqua" w:hAnsi="Book Antiqua" w:cs="Times New Roman"/>
          <w:sz w:val="24"/>
          <w:szCs w:val="24"/>
        </w:rPr>
        <w:t xml:space="preserve">the thyroid </w:t>
      </w:r>
      <w:r w:rsidR="00B92C6C" w:rsidRPr="004B329E">
        <w:rPr>
          <w:rFonts w:ascii="Book Antiqua" w:hAnsi="Book Antiqua" w:cs="Times New Roman"/>
          <w:sz w:val="24"/>
          <w:szCs w:val="24"/>
        </w:rPr>
        <w:t>gland</w:t>
      </w:r>
      <w:r w:rsidR="007D0AAA" w:rsidRPr="004B329E">
        <w:rPr>
          <w:rFonts w:ascii="Book Antiqua" w:hAnsi="Book Antiqua" w:cs="Times New Roman"/>
          <w:sz w:val="24"/>
          <w:szCs w:val="24"/>
        </w:rPr>
        <w:t>.</w:t>
      </w:r>
    </w:p>
    <w:p w14:paraId="31345782" w14:textId="20E895D4" w:rsidR="00F02CED" w:rsidRPr="004B329E" w:rsidRDefault="00E017D3" w:rsidP="000675D7">
      <w:pPr>
        <w:tabs>
          <w:tab w:val="left" w:pos="2174"/>
        </w:tabs>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We examined whether</w:t>
      </w:r>
      <w:r w:rsidR="00F02CED" w:rsidRPr="004B329E">
        <w:rPr>
          <w:rFonts w:ascii="Book Antiqua" w:hAnsi="Book Antiqua" w:cs="Times New Roman"/>
          <w:sz w:val="24"/>
          <w:szCs w:val="24"/>
        </w:rPr>
        <w:t xml:space="preserve"> the presence of lung metastases had a</w:t>
      </w:r>
      <w:r w:rsidR="00B92C6C" w:rsidRPr="004B329E">
        <w:rPr>
          <w:rFonts w:ascii="Book Antiqua" w:hAnsi="Book Antiqua" w:cs="Times New Roman"/>
          <w:sz w:val="24"/>
          <w:szCs w:val="24"/>
        </w:rPr>
        <w:t>n</w:t>
      </w:r>
      <w:r w:rsidR="00F02CED" w:rsidRPr="004B329E">
        <w:rPr>
          <w:rFonts w:ascii="Book Antiqua" w:hAnsi="Book Antiqua" w:cs="Times New Roman"/>
          <w:sz w:val="24"/>
          <w:szCs w:val="24"/>
        </w:rPr>
        <w:t xml:space="preserve"> impact on overall survival, however, </w:t>
      </w:r>
      <w:r w:rsidR="00A43574" w:rsidRPr="004B329E">
        <w:rPr>
          <w:rFonts w:ascii="Book Antiqua" w:hAnsi="Book Antiqua" w:cs="Times New Roman"/>
          <w:sz w:val="24"/>
          <w:szCs w:val="24"/>
        </w:rPr>
        <w:t>the analysis did not show</w:t>
      </w:r>
      <w:r w:rsidR="00F02CED" w:rsidRPr="004B329E">
        <w:rPr>
          <w:rFonts w:ascii="Book Antiqua" w:hAnsi="Book Antiqua" w:cs="Times New Roman"/>
          <w:sz w:val="24"/>
          <w:szCs w:val="24"/>
        </w:rPr>
        <w:t xml:space="preserve"> </w:t>
      </w:r>
      <w:r w:rsidR="00B92C6C" w:rsidRPr="004B329E">
        <w:rPr>
          <w:rFonts w:ascii="Book Antiqua" w:hAnsi="Book Antiqua" w:cs="Times New Roman"/>
          <w:sz w:val="24"/>
          <w:szCs w:val="24"/>
        </w:rPr>
        <w:t>a statistically significant link,</w:t>
      </w:r>
      <w:r w:rsidR="00F02CED" w:rsidRPr="004B329E">
        <w:rPr>
          <w:rFonts w:ascii="Book Antiqua" w:hAnsi="Book Antiqua" w:cs="Times New Roman"/>
          <w:sz w:val="24"/>
          <w:szCs w:val="24"/>
        </w:rPr>
        <w:t xml:space="preserve"> </w:t>
      </w:r>
      <w:r w:rsidR="00B92C6C" w:rsidRPr="004B329E">
        <w:rPr>
          <w:rFonts w:ascii="Book Antiqua" w:hAnsi="Book Antiqua" w:cs="Times New Roman"/>
          <w:sz w:val="24"/>
          <w:szCs w:val="24"/>
        </w:rPr>
        <w:t>as</w:t>
      </w:r>
      <w:r w:rsidR="00F02CED" w:rsidRPr="004B329E">
        <w:rPr>
          <w:rFonts w:ascii="Book Antiqua" w:hAnsi="Book Antiqua" w:cs="Times New Roman"/>
          <w:sz w:val="24"/>
          <w:szCs w:val="24"/>
        </w:rPr>
        <w:t xml:space="preserve"> lung metastases were not associated with worsened </w:t>
      </w:r>
      <w:r w:rsidR="001639EB" w:rsidRPr="004B329E">
        <w:rPr>
          <w:rFonts w:ascii="Book Antiqua" w:hAnsi="Book Antiqua" w:cs="Times New Roman"/>
          <w:sz w:val="24"/>
          <w:szCs w:val="24"/>
        </w:rPr>
        <w:t>one</w:t>
      </w:r>
      <w:r w:rsidR="00F02CED" w:rsidRPr="004B329E">
        <w:rPr>
          <w:rFonts w:ascii="Book Antiqua" w:hAnsi="Book Antiqua" w:cs="Times New Roman"/>
          <w:sz w:val="24"/>
          <w:szCs w:val="24"/>
        </w:rPr>
        <w:t xml:space="preserve"> year overall survival (</w:t>
      </w:r>
      <w:r w:rsidR="00F02CED" w:rsidRPr="004B329E">
        <w:rPr>
          <w:rFonts w:ascii="Book Antiqua" w:hAnsi="Book Antiqua" w:cs="Times New Roman"/>
          <w:i/>
          <w:iCs/>
          <w:caps/>
          <w:sz w:val="24"/>
          <w:szCs w:val="24"/>
        </w:rPr>
        <w:t>p</w:t>
      </w:r>
      <w:r w:rsidR="00F02CED" w:rsidRPr="004B329E">
        <w:rPr>
          <w:rFonts w:ascii="Book Antiqua" w:hAnsi="Book Antiqua" w:cs="Times New Roman"/>
          <w:sz w:val="24"/>
          <w:szCs w:val="24"/>
        </w:rPr>
        <w:t xml:space="preserve"> = 0.243).</w:t>
      </w:r>
    </w:p>
    <w:p w14:paraId="400DEB32" w14:textId="3A773BEE" w:rsidR="00F02CED" w:rsidRPr="004B329E" w:rsidRDefault="00F02CED"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 xml:space="preserve">There were 10 cases (6.8%) which documented the presence or absence of </w:t>
      </w:r>
      <w:r w:rsidR="00033F9A" w:rsidRPr="004B329E">
        <w:rPr>
          <w:rFonts w:ascii="Book Antiqua" w:hAnsi="Book Antiqua"/>
          <w:sz w:val="24"/>
          <w:szCs w:val="24"/>
        </w:rPr>
        <w:t xml:space="preserve">internal jugular </w:t>
      </w:r>
      <w:r w:rsidRPr="004B329E">
        <w:rPr>
          <w:rFonts w:ascii="Book Antiqua" w:hAnsi="Book Antiqua"/>
          <w:sz w:val="24"/>
          <w:szCs w:val="24"/>
        </w:rPr>
        <w:t>(IJ) thrombosis. 7 patients (4.8%) had IJ thrombosis at the time of diagnosis of thyroid metastases while 3 cases (2%) did not have IJ thrombosis on diagnosis.</w:t>
      </w:r>
    </w:p>
    <w:p w14:paraId="7104B640" w14:textId="63D4BEE1" w:rsidR="00F02CED" w:rsidRPr="004B329E" w:rsidRDefault="00F02CED"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Symptomatology was reported in 96 cases at the initial diagnosis of renal metastases to the thyroid gland. The majority of cases presented as painless mass 32.7% (48 patients), followed by 21.8% who were asymptomatic (32 patients)</w:t>
      </w:r>
      <w:r w:rsidR="00104B3D" w:rsidRPr="004B329E">
        <w:rPr>
          <w:rFonts w:ascii="Book Antiqua" w:hAnsi="Book Antiqua" w:cs="Times New Roman"/>
          <w:sz w:val="24"/>
          <w:szCs w:val="24"/>
        </w:rPr>
        <w:t xml:space="preserve"> and</w:t>
      </w:r>
      <w:r w:rsidRPr="004B329E">
        <w:rPr>
          <w:rFonts w:ascii="Book Antiqua" w:hAnsi="Book Antiqua" w:cs="Times New Roman"/>
          <w:sz w:val="24"/>
          <w:szCs w:val="24"/>
        </w:rPr>
        <w:t xml:space="preserve"> 10.9% were symptomatic (16 patients). The </w:t>
      </w:r>
      <w:r w:rsidR="00B92C6C" w:rsidRPr="004B329E">
        <w:rPr>
          <w:rFonts w:ascii="Book Antiqua" w:hAnsi="Book Antiqua" w:cs="Times New Roman"/>
          <w:sz w:val="24"/>
          <w:szCs w:val="24"/>
        </w:rPr>
        <w:t xml:space="preserve">most frequently reported </w:t>
      </w:r>
      <w:r w:rsidRPr="004B329E">
        <w:rPr>
          <w:rFonts w:ascii="Book Antiqua" w:hAnsi="Book Antiqua" w:cs="Times New Roman"/>
          <w:sz w:val="24"/>
          <w:szCs w:val="24"/>
        </w:rPr>
        <w:t xml:space="preserve">symptom </w:t>
      </w:r>
      <w:r w:rsidR="00B92C6C" w:rsidRPr="004B329E">
        <w:rPr>
          <w:rFonts w:ascii="Book Antiqua" w:hAnsi="Book Antiqua" w:cs="Times New Roman"/>
          <w:sz w:val="24"/>
          <w:szCs w:val="24"/>
        </w:rPr>
        <w:t>was</w:t>
      </w:r>
      <w:r w:rsidRPr="004B329E">
        <w:rPr>
          <w:rFonts w:ascii="Book Antiqua" w:hAnsi="Book Antiqua" w:cs="Times New Roman"/>
          <w:sz w:val="24"/>
          <w:szCs w:val="24"/>
        </w:rPr>
        <w:t xml:space="preserve"> dysphagia (13 cases), followed by dyspnea (9 cases), hoarseness (6 cases), neck pain (5 cases), cough and stridor (4 cases) and epistaxis (2 cases). </w:t>
      </w:r>
      <w:r w:rsidRPr="004B329E">
        <w:rPr>
          <w:rFonts w:ascii="Book Antiqua" w:hAnsi="Book Antiqua"/>
          <w:sz w:val="24"/>
          <w:szCs w:val="24"/>
        </w:rPr>
        <w:t>Moreover, presence of airway obstruction either when presenting with respiratory symptoms or on radiological imaging was reported in 8.2% patients (12 patients), while 76.2% of patients did not have any clinical or radiological signs of airway obstruction (112 patients) and 15.6% of the cases did not report on the presence or absence of airway obstruction (23 patients).</w:t>
      </w:r>
    </w:p>
    <w:p w14:paraId="5CD0B454" w14:textId="2B1524C1" w:rsidR="00F02CED" w:rsidRPr="004B329E" w:rsidRDefault="00F02CED" w:rsidP="000675D7">
      <w:pPr>
        <w:autoSpaceDE w:val="0"/>
        <w:autoSpaceDN w:val="0"/>
        <w:adjustRightInd w:val="0"/>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Size of the metastases in the thyroid gland was reported in several ways, some cases</w:t>
      </w:r>
      <w:r w:rsidR="00884A76" w:rsidRPr="004B329E">
        <w:rPr>
          <w:rFonts w:ascii="Book Antiqua" w:hAnsi="Book Antiqua" w:cs="Times New Roman"/>
          <w:sz w:val="24"/>
          <w:szCs w:val="24"/>
          <w:lang w:eastAsia="zh-CN"/>
        </w:rPr>
        <w:t xml:space="preserve"> </w:t>
      </w:r>
      <w:r w:rsidRPr="004B329E">
        <w:rPr>
          <w:rFonts w:ascii="Book Antiqua" w:hAnsi="Book Antiqua" w:cs="Times New Roman"/>
          <w:sz w:val="24"/>
          <w:szCs w:val="24"/>
        </w:rPr>
        <w:t>provided accurate information about the number of metastases and size of each lesion,</w:t>
      </w:r>
      <w:r w:rsidR="00884A76" w:rsidRPr="004B329E">
        <w:rPr>
          <w:rFonts w:ascii="Book Antiqua" w:hAnsi="Book Antiqua" w:cs="Times New Roman"/>
          <w:sz w:val="24"/>
          <w:szCs w:val="24"/>
          <w:lang w:eastAsia="zh-CN"/>
        </w:rPr>
        <w:t xml:space="preserve"> </w:t>
      </w:r>
      <w:r w:rsidRPr="004B329E">
        <w:rPr>
          <w:rFonts w:ascii="Book Antiqua" w:hAnsi="Book Antiqua" w:cs="Times New Roman"/>
          <w:sz w:val="24"/>
          <w:szCs w:val="24"/>
        </w:rPr>
        <w:t>while other cases provided information about the gross nodular enlargement seen on radiological imaging. We used the highe</w:t>
      </w:r>
      <w:r w:rsidR="00B92C6C" w:rsidRPr="004B329E">
        <w:rPr>
          <w:rFonts w:ascii="Book Antiqua" w:hAnsi="Book Antiqua" w:cs="Times New Roman"/>
          <w:sz w:val="24"/>
          <w:szCs w:val="24"/>
        </w:rPr>
        <w:t>st</w:t>
      </w:r>
      <w:r w:rsidRPr="004B329E">
        <w:rPr>
          <w:rFonts w:ascii="Book Antiqua" w:hAnsi="Book Antiqua" w:cs="Times New Roman"/>
          <w:sz w:val="24"/>
          <w:szCs w:val="24"/>
        </w:rPr>
        <w:t xml:space="preserve"> diameter number as a representative of the size </w:t>
      </w:r>
      <w:r w:rsidR="00E017D3" w:rsidRPr="004B329E">
        <w:rPr>
          <w:rFonts w:ascii="Book Antiqua" w:hAnsi="Book Antiqua" w:cs="Times New Roman"/>
          <w:sz w:val="24"/>
          <w:szCs w:val="24"/>
        </w:rPr>
        <w:t>of the metastatic lesion.</w:t>
      </w:r>
    </w:p>
    <w:p w14:paraId="10CFF962" w14:textId="48E69DFD" w:rsidR="00D419BE" w:rsidRPr="004B329E" w:rsidRDefault="00F02CED" w:rsidP="000675D7">
      <w:pPr>
        <w:spacing w:after="0" w:line="360" w:lineRule="auto"/>
        <w:ind w:firstLineChars="100" w:firstLine="240"/>
        <w:jc w:val="both"/>
        <w:rPr>
          <w:rFonts w:ascii="Book Antiqua" w:hAnsi="Book Antiqua" w:cs="Times New Roman"/>
          <w:strike/>
          <w:sz w:val="24"/>
          <w:szCs w:val="24"/>
        </w:rPr>
      </w:pPr>
      <w:r w:rsidRPr="004B329E">
        <w:rPr>
          <w:rFonts w:ascii="Book Antiqua" w:hAnsi="Book Antiqua" w:cs="Times New Roman"/>
          <w:sz w:val="24"/>
          <w:szCs w:val="24"/>
        </w:rPr>
        <w:t xml:space="preserve">The size of the metastasis </w:t>
      </w:r>
      <w:r w:rsidR="00B92C6C" w:rsidRPr="004B329E">
        <w:rPr>
          <w:rFonts w:ascii="Book Antiqua" w:hAnsi="Book Antiqua" w:cs="Times New Roman"/>
          <w:sz w:val="24"/>
          <w:szCs w:val="24"/>
        </w:rPr>
        <w:t>(mean</w:t>
      </w:r>
      <w:r w:rsidR="006B255E" w:rsidRPr="004B329E">
        <w:rPr>
          <w:rFonts w:ascii="Book Antiqua" w:hAnsi="Book Antiqua" w:cs="Times New Roman"/>
          <w:sz w:val="24"/>
          <w:szCs w:val="24"/>
        </w:rPr>
        <w:t xml:space="preserve"> </w:t>
      </w:r>
      <w:r w:rsidR="00B92C6C" w:rsidRPr="004B329E">
        <w:rPr>
          <w:rFonts w:ascii="Book Antiqua" w:hAnsi="Book Antiqua" w:cs="Times New Roman"/>
          <w:sz w:val="24"/>
          <w:szCs w:val="24"/>
        </w:rPr>
        <w:t>±</w:t>
      </w:r>
      <w:r w:rsidR="00884A76" w:rsidRPr="004B329E">
        <w:rPr>
          <w:rFonts w:ascii="Book Antiqua" w:hAnsi="Book Antiqua" w:cs="Times New Roman"/>
          <w:sz w:val="24"/>
          <w:szCs w:val="24"/>
        </w:rPr>
        <w:t xml:space="preserve"> </w:t>
      </w:r>
      <w:r w:rsidR="00B92C6C" w:rsidRPr="004B329E">
        <w:rPr>
          <w:rFonts w:ascii="Book Antiqua" w:hAnsi="Book Antiqua" w:cs="Times New Roman"/>
          <w:sz w:val="24"/>
          <w:szCs w:val="24"/>
        </w:rPr>
        <w:t xml:space="preserve">SD) </w:t>
      </w:r>
      <w:r w:rsidRPr="004B329E">
        <w:rPr>
          <w:rFonts w:ascii="Book Antiqua" w:hAnsi="Book Antiqua" w:cs="Times New Roman"/>
          <w:sz w:val="24"/>
          <w:szCs w:val="24"/>
        </w:rPr>
        <w:t>between males (4.87</w:t>
      </w:r>
      <w:r w:rsidR="00884A76" w:rsidRPr="004B329E">
        <w:rPr>
          <w:rFonts w:ascii="Book Antiqua" w:hAnsi="Book Antiqua" w:cs="Times New Roman"/>
          <w:sz w:val="24"/>
          <w:szCs w:val="24"/>
        </w:rPr>
        <w:t xml:space="preserve"> </w:t>
      </w:r>
      <w:r w:rsidR="00B92C6C" w:rsidRPr="004B329E">
        <w:rPr>
          <w:rFonts w:ascii="Book Antiqua" w:hAnsi="Book Antiqua" w:cs="Times New Roman"/>
          <w:sz w:val="24"/>
          <w:szCs w:val="24"/>
        </w:rPr>
        <w:t>±</w:t>
      </w:r>
      <w:r w:rsidR="00884A76" w:rsidRPr="004B329E">
        <w:rPr>
          <w:rFonts w:ascii="Book Antiqua" w:hAnsi="Book Antiqua" w:cs="Times New Roman"/>
          <w:sz w:val="24"/>
          <w:szCs w:val="24"/>
        </w:rPr>
        <w:t xml:space="preserve"> </w:t>
      </w:r>
      <w:r w:rsidRPr="004B329E">
        <w:rPr>
          <w:rFonts w:ascii="Book Antiqua" w:hAnsi="Book Antiqua" w:cs="Times New Roman"/>
          <w:sz w:val="24"/>
          <w:szCs w:val="24"/>
        </w:rPr>
        <w:t>2.55</w:t>
      </w:r>
      <w:r w:rsidR="00884A76" w:rsidRPr="004B329E">
        <w:rPr>
          <w:rFonts w:ascii="Book Antiqua" w:hAnsi="Book Antiqua" w:cs="Times New Roman"/>
          <w:sz w:val="24"/>
          <w:szCs w:val="24"/>
        </w:rPr>
        <w:t xml:space="preserve"> cm</w:t>
      </w:r>
      <w:r w:rsidRPr="004B329E">
        <w:rPr>
          <w:rFonts w:ascii="Book Antiqua" w:hAnsi="Book Antiqua" w:cs="Times New Roman"/>
          <w:sz w:val="24"/>
          <w:szCs w:val="24"/>
        </w:rPr>
        <w:t>) and females (3.84</w:t>
      </w:r>
      <w:r w:rsidR="00884A76" w:rsidRPr="004B329E">
        <w:rPr>
          <w:rFonts w:ascii="Book Antiqua" w:hAnsi="Book Antiqua" w:cs="Times New Roman"/>
          <w:sz w:val="24"/>
          <w:szCs w:val="24"/>
        </w:rPr>
        <w:t xml:space="preserve"> </w:t>
      </w:r>
      <w:r w:rsidR="00B92C6C" w:rsidRPr="004B329E">
        <w:rPr>
          <w:rFonts w:ascii="Book Antiqua" w:hAnsi="Book Antiqua" w:cs="Times New Roman"/>
          <w:sz w:val="24"/>
          <w:szCs w:val="24"/>
        </w:rPr>
        <w:t>±</w:t>
      </w:r>
      <w:r w:rsidR="00884A76" w:rsidRPr="004B329E">
        <w:rPr>
          <w:rFonts w:ascii="Book Antiqua" w:hAnsi="Book Antiqua" w:cs="Times New Roman"/>
          <w:sz w:val="24"/>
          <w:szCs w:val="24"/>
        </w:rPr>
        <w:t xml:space="preserve"> </w:t>
      </w:r>
      <w:r w:rsidRPr="004B329E">
        <w:rPr>
          <w:rFonts w:ascii="Book Antiqua" w:hAnsi="Book Antiqua" w:cs="Times New Roman"/>
          <w:sz w:val="24"/>
          <w:szCs w:val="24"/>
        </w:rPr>
        <w:t>1.65</w:t>
      </w:r>
      <w:r w:rsidR="00884A76" w:rsidRPr="004B329E">
        <w:rPr>
          <w:rFonts w:ascii="Book Antiqua" w:hAnsi="Book Antiqua" w:cs="Times New Roman"/>
          <w:sz w:val="24"/>
          <w:szCs w:val="24"/>
        </w:rPr>
        <w:t xml:space="preserve"> cm</w:t>
      </w:r>
      <w:r w:rsidRPr="004B329E">
        <w:rPr>
          <w:rFonts w:ascii="Book Antiqua" w:hAnsi="Book Antiqua" w:cs="Times New Roman"/>
          <w:sz w:val="24"/>
          <w:szCs w:val="24"/>
        </w:rPr>
        <w:t>) follow</w:t>
      </w:r>
      <w:r w:rsidR="00B92C6C" w:rsidRPr="004B329E">
        <w:rPr>
          <w:rFonts w:ascii="Book Antiqua" w:hAnsi="Book Antiqua" w:cs="Times New Roman"/>
          <w:sz w:val="24"/>
          <w:szCs w:val="24"/>
        </w:rPr>
        <w:t>ed</w:t>
      </w:r>
      <w:r w:rsidRPr="004B329E">
        <w:rPr>
          <w:rFonts w:ascii="Book Antiqua" w:hAnsi="Book Antiqua" w:cs="Times New Roman"/>
          <w:sz w:val="24"/>
          <w:szCs w:val="24"/>
        </w:rPr>
        <w:t xml:space="preserve"> the same distribution</w:t>
      </w:r>
      <w:r w:rsidR="00884A76" w:rsidRPr="004B329E">
        <w:rPr>
          <w:rFonts w:ascii="Book Antiqua" w:hAnsi="Book Antiqua" w:cs="Times New Roman"/>
          <w:strike/>
          <w:sz w:val="24"/>
          <w:szCs w:val="24"/>
        </w:rPr>
        <w:t>.</w:t>
      </w:r>
    </w:p>
    <w:p w14:paraId="7B157497" w14:textId="4AD59048" w:rsidR="00F02CED" w:rsidRPr="004B329E" w:rsidRDefault="00F02CED" w:rsidP="000675D7">
      <w:pPr>
        <w:spacing w:after="0" w:line="360" w:lineRule="auto"/>
        <w:ind w:firstLineChars="100" w:firstLine="240"/>
        <w:jc w:val="both"/>
        <w:rPr>
          <w:rFonts w:ascii="Book Antiqua" w:hAnsi="Book Antiqua" w:cs="Times New Roman"/>
          <w:strike/>
          <w:sz w:val="24"/>
          <w:szCs w:val="24"/>
        </w:rPr>
      </w:pPr>
      <w:r w:rsidRPr="004B329E">
        <w:rPr>
          <w:rFonts w:ascii="Book Antiqua" w:hAnsi="Book Antiqua" w:cs="Times New Roman"/>
          <w:sz w:val="24"/>
          <w:szCs w:val="24"/>
        </w:rPr>
        <w:t xml:space="preserve">There </w:t>
      </w:r>
      <w:r w:rsidR="00B92C6C" w:rsidRPr="004B329E">
        <w:rPr>
          <w:rFonts w:ascii="Book Antiqua" w:hAnsi="Book Antiqua" w:cs="Times New Roman"/>
          <w:sz w:val="24"/>
          <w:szCs w:val="24"/>
        </w:rPr>
        <w:t xml:space="preserve">was </w:t>
      </w:r>
      <w:r w:rsidRPr="004B329E">
        <w:rPr>
          <w:rFonts w:ascii="Book Antiqua" w:hAnsi="Book Antiqua" w:cs="Times New Roman"/>
          <w:sz w:val="24"/>
          <w:szCs w:val="24"/>
        </w:rPr>
        <w:t xml:space="preserve">a weak monotonic association between lag time and size of metastasis, as </w:t>
      </w:r>
      <w:r w:rsidR="00B92C6C" w:rsidRPr="004B329E">
        <w:rPr>
          <w:rFonts w:ascii="Book Antiqua" w:hAnsi="Book Antiqua" w:cs="Times New Roman"/>
          <w:sz w:val="24"/>
          <w:szCs w:val="24"/>
        </w:rPr>
        <w:t xml:space="preserve">shown </w:t>
      </w:r>
      <w:r w:rsidRPr="004B329E">
        <w:rPr>
          <w:rFonts w:ascii="Book Antiqua" w:hAnsi="Book Antiqua" w:cs="Times New Roman"/>
          <w:sz w:val="24"/>
          <w:szCs w:val="24"/>
        </w:rPr>
        <w:t>by the Spearman’s correlation coefficient (</w:t>
      </w:r>
      <w:r w:rsidRPr="004B329E">
        <w:rPr>
          <w:rFonts w:ascii="Book Antiqua" w:hAnsi="Book Antiqua" w:cs="Times New Roman"/>
          <w:i/>
          <w:iCs/>
          <w:sz w:val="24"/>
          <w:szCs w:val="24"/>
        </w:rPr>
        <w:t>r</w:t>
      </w:r>
      <w:r w:rsidRPr="004B329E">
        <w:rPr>
          <w:rFonts w:ascii="Book Antiqua" w:hAnsi="Book Antiqua" w:cs="Times New Roman"/>
          <w:sz w:val="24"/>
          <w:szCs w:val="24"/>
        </w:rPr>
        <w:t xml:space="preserve"> = 0.143</w:t>
      </w:r>
      <w:r w:rsidR="00B92C6C" w:rsidRPr="004B329E">
        <w:rPr>
          <w:rFonts w:ascii="Book Antiqua" w:hAnsi="Book Antiqua" w:cs="Times New Roman"/>
          <w:sz w:val="24"/>
          <w:szCs w:val="24"/>
        </w:rPr>
        <w:t xml:space="preserve">, </w:t>
      </w:r>
      <w:r w:rsidR="00B92C6C" w:rsidRPr="004B329E">
        <w:rPr>
          <w:rFonts w:ascii="Book Antiqua" w:hAnsi="Book Antiqua" w:cs="Times New Roman"/>
          <w:i/>
          <w:iCs/>
          <w:caps/>
          <w:sz w:val="24"/>
          <w:szCs w:val="24"/>
        </w:rPr>
        <w:t>p</w:t>
      </w:r>
      <w:r w:rsidR="00884A76" w:rsidRPr="004B329E">
        <w:rPr>
          <w:rFonts w:ascii="Book Antiqua" w:hAnsi="Book Antiqua" w:cs="Times New Roman"/>
          <w:i/>
          <w:iCs/>
          <w:caps/>
          <w:sz w:val="24"/>
          <w:szCs w:val="24"/>
        </w:rPr>
        <w:t xml:space="preserve"> </w:t>
      </w:r>
      <w:r w:rsidR="00104B3D" w:rsidRPr="004B329E">
        <w:rPr>
          <w:rFonts w:ascii="Book Antiqua" w:hAnsi="Book Antiqua" w:cs="Times New Roman"/>
          <w:sz w:val="24"/>
          <w:szCs w:val="24"/>
        </w:rPr>
        <w:t>=</w:t>
      </w:r>
      <w:r w:rsidR="00884A76" w:rsidRPr="004B329E">
        <w:rPr>
          <w:rFonts w:ascii="Book Antiqua" w:hAnsi="Book Antiqua" w:cs="Times New Roman"/>
          <w:sz w:val="24"/>
          <w:szCs w:val="24"/>
        </w:rPr>
        <w:t xml:space="preserve"> </w:t>
      </w:r>
      <w:r w:rsidR="00104B3D" w:rsidRPr="004B329E">
        <w:rPr>
          <w:rFonts w:ascii="Book Antiqua" w:hAnsi="Book Antiqua" w:cs="Times New Roman"/>
          <w:sz w:val="24"/>
          <w:szCs w:val="24"/>
        </w:rPr>
        <w:t>0.1</w:t>
      </w:r>
      <w:r w:rsidRPr="004B329E">
        <w:rPr>
          <w:rFonts w:ascii="Book Antiqua" w:hAnsi="Book Antiqua" w:cs="Times New Roman"/>
          <w:sz w:val="24"/>
          <w:szCs w:val="24"/>
        </w:rPr>
        <w:t>)</w:t>
      </w:r>
      <w:r w:rsidR="00E017D3" w:rsidRPr="004B329E">
        <w:rPr>
          <w:rFonts w:ascii="Book Antiqua" w:hAnsi="Book Antiqua" w:cs="Times New Roman"/>
          <w:sz w:val="24"/>
          <w:szCs w:val="24"/>
        </w:rPr>
        <w:t>,</w:t>
      </w:r>
      <w:r w:rsidR="00FB1471" w:rsidRPr="004B329E">
        <w:rPr>
          <w:rFonts w:ascii="Book Antiqua" w:hAnsi="Book Antiqua" w:cs="Times New Roman"/>
          <w:sz w:val="24"/>
          <w:szCs w:val="24"/>
        </w:rPr>
        <w:t xml:space="preserve"> Figure 3</w:t>
      </w:r>
      <w:r w:rsidRPr="004B329E">
        <w:rPr>
          <w:rFonts w:ascii="Book Antiqua" w:hAnsi="Book Antiqua" w:cs="Times New Roman"/>
          <w:sz w:val="24"/>
          <w:szCs w:val="24"/>
        </w:rPr>
        <w:t>.</w:t>
      </w:r>
    </w:p>
    <w:p w14:paraId="0126B3D4" w14:textId="1F55CD0C" w:rsidR="00F02CED" w:rsidRPr="004B329E" w:rsidRDefault="00F02CED"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 xml:space="preserve">The size of metastases was </w:t>
      </w:r>
      <w:r w:rsidR="005F5F11" w:rsidRPr="004B329E">
        <w:rPr>
          <w:rFonts w:ascii="Book Antiqua" w:hAnsi="Book Antiqua" w:cs="Times New Roman"/>
          <w:sz w:val="24"/>
          <w:szCs w:val="24"/>
        </w:rPr>
        <w:t xml:space="preserve">significantly </w:t>
      </w:r>
      <w:r w:rsidRPr="004B329E">
        <w:rPr>
          <w:rFonts w:ascii="Book Antiqua" w:hAnsi="Book Antiqua" w:cs="Times New Roman"/>
          <w:sz w:val="24"/>
          <w:szCs w:val="24"/>
        </w:rPr>
        <w:t xml:space="preserve">higher in </w:t>
      </w:r>
      <w:r w:rsidR="005F5F11" w:rsidRPr="004B329E">
        <w:rPr>
          <w:rFonts w:ascii="Book Antiqua" w:hAnsi="Book Antiqua" w:cs="Times New Roman"/>
          <w:sz w:val="24"/>
          <w:szCs w:val="24"/>
        </w:rPr>
        <w:t xml:space="preserve">the </w:t>
      </w:r>
      <w:r w:rsidRPr="004B329E">
        <w:rPr>
          <w:rFonts w:ascii="Book Antiqua" w:hAnsi="Book Antiqua" w:cs="Times New Roman"/>
          <w:sz w:val="24"/>
          <w:szCs w:val="24"/>
        </w:rPr>
        <w:t>symptomatic group (M = 6.06</w:t>
      </w:r>
      <w:r w:rsidR="005F5F11" w:rsidRPr="004B329E">
        <w:rPr>
          <w:rFonts w:ascii="Book Antiqua" w:hAnsi="Book Antiqua" w:cs="Times New Roman"/>
          <w:sz w:val="24"/>
          <w:szCs w:val="24"/>
        </w:rPr>
        <w:t xml:space="preserve"> cm</w:t>
      </w:r>
      <w:r w:rsidRPr="004B329E">
        <w:rPr>
          <w:rFonts w:ascii="Book Antiqua" w:hAnsi="Book Antiqua" w:cs="Times New Roman"/>
          <w:sz w:val="24"/>
          <w:szCs w:val="24"/>
        </w:rPr>
        <w:t>, SD = 3.51), followed by the painless mass group (M = 4.60</w:t>
      </w:r>
      <w:r w:rsidR="005F5F11" w:rsidRPr="004B329E">
        <w:rPr>
          <w:rFonts w:ascii="Book Antiqua" w:hAnsi="Book Antiqua" w:cs="Times New Roman"/>
          <w:sz w:val="24"/>
          <w:szCs w:val="24"/>
        </w:rPr>
        <w:t xml:space="preserve"> cm</w:t>
      </w:r>
      <w:r w:rsidRPr="004B329E">
        <w:rPr>
          <w:rFonts w:ascii="Book Antiqua" w:hAnsi="Book Antiqua" w:cs="Times New Roman"/>
          <w:sz w:val="24"/>
          <w:szCs w:val="24"/>
        </w:rPr>
        <w:t>, SD = 0.29) and asymptomatic group (M = 3.93</w:t>
      </w:r>
      <w:r w:rsidR="005F5F11" w:rsidRPr="004B329E">
        <w:rPr>
          <w:rFonts w:ascii="Book Antiqua" w:hAnsi="Book Antiqua" w:cs="Times New Roman"/>
          <w:sz w:val="24"/>
          <w:szCs w:val="24"/>
        </w:rPr>
        <w:t xml:space="preserve"> cm</w:t>
      </w:r>
      <w:r w:rsidRPr="004B329E">
        <w:rPr>
          <w:rFonts w:ascii="Book Antiqua" w:hAnsi="Book Antiqua" w:cs="Times New Roman"/>
          <w:sz w:val="24"/>
          <w:szCs w:val="24"/>
        </w:rPr>
        <w:t>, SD = 1.99)</w:t>
      </w:r>
      <w:r w:rsidR="005F5F11" w:rsidRPr="004B329E">
        <w:rPr>
          <w:rFonts w:ascii="Book Antiqua" w:hAnsi="Book Antiqua" w:cs="Times New Roman"/>
          <w:sz w:val="24"/>
          <w:szCs w:val="24"/>
        </w:rPr>
        <w:t>,</w:t>
      </w:r>
      <w:r w:rsidR="00EF5735" w:rsidRPr="004B329E">
        <w:rPr>
          <w:rFonts w:ascii="Book Antiqua" w:hAnsi="Book Antiqua" w:cs="Times New Roman"/>
          <w:sz w:val="24"/>
          <w:szCs w:val="24"/>
        </w:rPr>
        <w:t xml:space="preserve"> </w:t>
      </w:r>
      <w:r w:rsidRPr="004B329E">
        <w:rPr>
          <w:rFonts w:ascii="Book Antiqua" w:hAnsi="Book Antiqua" w:cs="Times New Roman"/>
          <w:sz w:val="24"/>
          <w:szCs w:val="24"/>
        </w:rPr>
        <w:t>(</w:t>
      </w:r>
      <w:r w:rsidRPr="004B329E">
        <w:rPr>
          <w:rFonts w:ascii="Book Antiqua" w:hAnsi="Book Antiqua" w:cs="Times New Roman"/>
          <w:i/>
          <w:iCs/>
          <w:caps/>
          <w:sz w:val="24"/>
          <w:szCs w:val="24"/>
        </w:rPr>
        <w:t>p</w:t>
      </w:r>
      <w:r w:rsidRPr="004B329E">
        <w:rPr>
          <w:rFonts w:ascii="Book Antiqua" w:hAnsi="Book Antiqua" w:cs="Times New Roman"/>
          <w:sz w:val="24"/>
          <w:szCs w:val="24"/>
        </w:rPr>
        <w:t xml:space="preserve"> = 0.035)</w:t>
      </w:r>
      <w:r w:rsidR="00FB1471" w:rsidRPr="004B329E">
        <w:rPr>
          <w:rFonts w:ascii="Book Antiqua" w:hAnsi="Book Antiqua" w:cs="Times New Roman"/>
          <w:sz w:val="24"/>
          <w:szCs w:val="24"/>
        </w:rPr>
        <w:t xml:space="preserve"> </w:t>
      </w:r>
      <w:r w:rsidR="005F5F11" w:rsidRPr="004B329E">
        <w:rPr>
          <w:rFonts w:ascii="Book Antiqua" w:hAnsi="Book Antiqua" w:cs="Times New Roman"/>
          <w:sz w:val="24"/>
          <w:szCs w:val="24"/>
        </w:rPr>
        <w:t>(</w:t>
      </w:r>
      <w:r w:rsidR="00FB1471" w:rsidRPr="004B329E">
        <w:rPr>
          <w:rFonts w:ascii="Book Antiqua" w:hAnsi="Book Antiqua" w:cs="Times New Roman"/>
          <w:sz w:val="24"/>
          <w:szCs w:val="24"/>
        </w:rPr>
        <w:t>Figure</w:t>
      </w:r>
      <w:r w:rsidR="00884A76" w:rsidRPr="004B329E">
        <w:rPr>
          <w:rFonts w:ascii="Book Antiqua" w:hAnsi="Book Antiqua" w:cs="Times New Roman"/>
          <w:sz w:val="24"/>
          <w:szCs w:val="24"/>
        </w:rPr>
        <w:t xml:space="preserve"> </w:t>
      </w:r>
      <w:r w:rsidR="00FB1471" w:rsidRPr="004B329E">
        <w:rPr>
          <w:rFonts w:ascii="Book Antiqua" w:hAnsi="Book Antiqua" w:cs="Times New Roman"/>
          <w:sz w:val="24"/>
          <w:szCs w:val="24"/>
        </w:rPr>
        <w:t>4</w:t>
      </w:r>
      <w:r w:rsidR="005F5F11" w:rsidRPr="004B329E">
        <w:rPr>
          <w:rFonts w:ascii="Book Antiqua" w:hAnsi="Book Antiqua" w:cs="Times New Roman"/>
          <w:sz w:val="24"/>
          <w:szCs w:val="24"/>
        </w:rPr>
        <w:t>)</w:t>
      </w:r>
      <w:r w:rsidRPr="004B329E">
        <w:rPr>
          <w:rFonts w:ascii="Book Antiqua" w:hAnsi="Book Antiqua" w:cs="Times New Roman"/>
          <w:sz w:val="24"/>
          <w:szCs w:val="24"/>
        </w:rPr>
        <w:t xml:space="preserve">. The size of the metastatic lesions in the thyroid gland appeared to </w:t>
      </w:r>
      <w:r w:rsidR="00163420" w:rsidRPr="004B329E">
        <w:rPr>
          <w:rFonts w:ascii="Book Antiqua" w:hAnsi="Book Antiqua" w:cs="Times New Roman"/>
          <w:sz w:val="24"/>
          <w:szCs w:val="24"/>
        </w:rPr>
        <w:t xml:space="preserve">correlate with symptomatology </w:t>
      </w:r>
      <w:r w:rsidRPr="004B329E">
        <w:rPr>
          <w:rFonts w:ascii="Book Antiqua" w:hAnsi="Book Antiqua" w:cs="Times New Roman"/>
          <w:sz w:val="24"/>
          <w:szCs w:val="24"/>
        </w:rPr>
        <w:t xml:space="preserve">as </w:t>
      </w:r>
      <w:r w:rsidR="00163420" w:rsidRPr="004B329E">
        <w:rPr>
          <w:rFonts w:ascii="Book Antiqua" w:hAnsi="Book Antiqua" w:cs="Times New Roman"/>
          <w:sz w:val="24"/>
          <w:szCs w:val="24"/>
        </w:rPr>
        <w:t>patients with thyroid lesions over 4 cm were more likely</w:t>
      </w:r>
      <w:r w:rsidRPr="004B329E">
        <w:rPr>
          <w:rFonts w:ascii="Book Antiqua" w:hAnsi="Book Antiqua" w:cs="Times New Roman"/>
          <w:sz w:val="24"/>
          <w:szCs w:val="24"/>
        </w:rPr>
        <w:t xml:space="preserve"> to </w:t>
      </w:r>
      <w:r w:rsidR="00EF5735" w:rsidRPr="004B329E">
        <w:rPr>
          <w:rFonts w:ascii="Book Antiqua" w:hAnsi="Book Antiqua" w:cs="Times New Roman"/>
          <w:sz w:val="24"/>
          <w:szCs w:val="24"/>
        </w:rPr>
        <w:t>present with symptoms</w:t>
      </w:r>
      <w:r w:rsidRPr="004B329E">
        <w:rPr>
          <w:rFonts w:ascii="Book Antiqua" w:hAnsi="Book Antiqua" w:cs="Times New Roman"/>
          <w:sz w:val="24"/>
          <w:szCs w:val="24"/>
        </w:rPr>
        <w:t>.</w:t>
      </w:r>
    </w:p>
    <w:p w14:paraId="44CD7FF1" w14:textId="078A349C" w:rsidR="00F02CED" w:rsidRPr="004B329E" w:rsidRDefault="00F02CED"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Regarding TSH levels, 28.6% of patient had normal serum levels (42 cases); TSH was high in 2% of the repor</w:t>
      </w:r>
      <w:r w:rsidR="00E017D3" w:rsidRPr="004B329E">
        <w:rPr>
          <w:rFonts w:ascii="Book Antiqua" w:hAnsi="Book Antiqua" w:cs="Times New Roman"/>
          <w:sz w:val="24"/>
          <w:szCs w:val="24"/>
        </w:rPr>
        <w:t>ted population (3 cases) and</w:t>
      </w:r>
      <w:r w:rsidRPr="004B329E">
        <w:rPr>
          <w:rFonts w:ascii="Book Antiqua" w:hAnsi="Book Antiqua" w:cs="Times New Roman"/>
          <w:sz w:val="24"/>
          <w:szCs w:val="24"/>
        </w:rPr>
        <w:t xml:space="preserve"> low in 1.4% of the studied population (2 cases). There was no documentati</w:t>
      </w:r>
      <w:r w:rsidR="00D419BE" w:rsidRPr="004B329E">
        <w:rPr>
          <w:rFonts w:ascii="Book Antiqua" w:hAnsi="Book Antiqua" w:cs="Times New Roman"/>
          <w:sz w:val="24"/>
          <w:szCs w:val="24"/>
        </w:rPr>
        <w:t xml:space="preserve">on of TSH levels in 100 cases. </w:t>
      </w:r>
      <w:r w:rsidR="00E02C08" w:rsidRPr="004B329E">
        <w:rPr>
          <w:rFonts w:ascii="Book Antiqua" w:hAnsi="Book Antiqua"/>
          <w:sz w:val="24"/>
          <w:szCs w:val="24"/>
        </w:rPr>
        <w:t>There was only on</w:t>
      </w:r>
      <w:r w:rsidRPr="004B329E">
        <w:rPr>
          <w:rFonts w:ascii="Book Antiqua" w:hAnsi="Book Antiqua"/>
          <w:sz w:val="24"/>
          <w:szCs w:val="24"/>
        </w:rPr>
        <w:t>e case th</w:t>
      </w:r>
      <w:r w:rsidR="00B7276B" w:rsidRPr="004B329E">
        <w:rPr>
          <w:rFonts w:ascii="Book Antiqua" w:hAnsi="Book Antiqua"/>
          <w:sz w:val="24"/>
          <w:szCs w:val="24"/>
        </w:rPr>
        <w:t>at mentioned the presence of thyroid</w:t>
      </w:r>
      <w:r w:rsidRPr="004B329E">
        <w:rPr>
          <w:rFonts w:ascii="Book Antiqua" w:hAnsi="Book Antiqua"/>
          <w:sz w:val="24"/>
          <w:szCs w:val="24"/>
        </w:rPr>
        <w:t xml:space="preserve"> antibodies. </w:t>
      </w:r>
      <w:r w:rsidR="00B7276B" w:rsidRPr="004B329E">
        <w:rPr>
          <w:rFonts w:ascii="Book Antiqua" w:hAnsi="Book Antiqua"/>
          <w:sz w:val="24"/>
          <w:szCs w:val="24"/>
        </w:rPr>
        <w:t>In</w:t>
      </w:r>
      <w:r w:rsidRPr="004B329E">
        <w:rPr>
          <w:rFonts w:ascii="Book Antiqua" w:hAnsi="Book Antiqua"/>
          <w:sz w:val="24"/>
          <w:szCs w:val="24"/>
        </w:rPr>
        <w:t xml:space="preserve"> 7 cases </w:t>
      </w:r>
      <w:r w:rsidR="00B7276B" w:rsidRPr="004B329E">
        <w:rPr>
          <w:rFonts w:ascii="Book Antiqua" w:hAnsi="Book Antiqua"/>
          <w:sz w:val="24"/>
          <w:szCs w:val="24"/>
        </w:rPr>
        <w:t>(</w:t>
      </w:r>
      <w:r w:rsidRPr="004B329E">
        <w:rPr>
          <w:rFonts w:ascii="Book Antiqua" w:hAnsi="Book Antiqua"/>
          <w:sz w:val="24"/>
          <w:szCs w:val="24"/>
        </w:rPr>
        <w:t>4.8%</w:t>
      </w:r>
      <w:r w:rsidR="00B7276B" w:rsidRPr="004B329E">
        <w:rPr>
          <w:rFonts w:ascii="Book Antiqua" w:hAnsi="Book Antiqua"/>
          <w:sz w:val="24"/>
          <w:szCs w:val="24"/>
        </w:rPr>
        <w:t>) thyroid antibodies were negative</w:t>
      </w:r>
      <w:r w:rsidRPr="004B329E">
        <w:rPr>
          <w:rFonts w:ascii="Book Antiqua" w:hAnsi="Book Antiqua"/>
          <w:sz w:val="24"/>
          <w:szCs w:val="24"/>
        </w:rPr>
        <w:t>.</w:t>
      </w:r>
    </w:p>
    <w:p w14:paraId="1AB215AC" w14:textId="47D41546" w:rsidR="00F02CED" w:rsidRPr="004B329E" w:rsidRDefault="005F5F11"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Regarding</w:t>
      </w:r>
      <w:r w:rsidR="00F02CED" w:rsidRPr="004B329E">
        <w:rPr>
          <w:rFonts w:ascii="Book Antiqua" w:hAnsi="Book Antiqua" w:cs="Times New Roman"/>
          <w:sz w:val="24"/>
          <w:szCs w:val="24"/>
        </w:rPr>
        <w:t xml:space="preserve"> the tests </w:t>
      </w:r>
      <w:r w:rsidRPr="004B329E">
        <w:rPr>
          <w:rFonts w:ascii="Book Antiqua" w:hAnsi="Book Antiqua" w:cs="Times New Roman"/>
          <w:sz w:val="24"/>
          <w:szCs w:val="24"/>
        </w:rPr>
        <w:t>performed</w:t>
      </w:r>
      <w:r w:rsidR="00F02CED" w:rsidRPr="004B329E">
        <w:rPr>
          <w:rFonts w:ascii="Book Antiqua" w:hAnsi="Book Antiqua" w:cs="Times New Roman"/>
          <w:sz w:val="24"/>
          <w:szCs w:val="24"/>
        </w:rPr>
        <w:t xml:space="preserve"> for the diagnosis of CCRCC metastases to the thyroid gland, computed tomography (CT), </w:t>
      </w:r>
      <w:r w:rsidR="00521BE4" w:rsidRPr="004B329E">
        <w:rPr>
          <w:rFonts w:ascii="Book Antiqua" w:hAnsi="Book Antiqua" w:cs="Times New Roman"/>
          <w:sz w:val="24"/>
          <w:szCs w:val="24"/>
        </w:rPr>
        <w:t xml:space="preserve">ultrasound </w:t>
      </w:r>
      <w:r w:rsidR="00F02CED" w:rsidRPr="004B329E">
        <w:rPr>
          <w:rFonts w:ascii="Book Antiqua" w:hAnsi="Book Antiqua" w:cs="Times New Roman"/>
          <w:sz w:val="24"/>
          <w:szCs w:val="24"/>
        </w:rPr>
        <w:t xml:space="preserve">of the neck, positron emission tomography (PET), </w:t>
      </w:r>
      <w:r w:rsidR="00521BE4" w:rsidRPr="004B329E">
        <w:rPr>
          <w:rFonts w:ascii="Book Antiqua" w:hAnsi="Book Antiqua" w:cs="Times New Roman"/>
          <w:sz w:val="24"/>
          <w:szCs w:val="24"/>
        </w:rPr>
        <w:t>fine needle aspiration</w:t>
      </w:r>
      <w:r w:rsidR="00884A76" w:rsidRPr="004B329E">
        <w:rPr>
          <w:rFonts w:ascii="Book Antiqua" w:hAnsi="Book Antiqua" w:cs="Times New Roman"/>
          <w:sz w:val="24"/>
          <w:szCs w:val="24"/>
        </w:rPr>
        <w:t xml:space="preserve"> (FNA)</w:t>
      </w:r>
      <w:r w:rsidRPr="004B329E">
        <w:rPr>
          <w:rFonts w:ascii="Book Antiqua" w:hAnsi="Book Antiqua" w:cs="Times New Roman"/>
          <w:sz w:val="24"/>
          <w:szCs w:val="24"/>
        </w:rPr>
        <w:t xml:space="preserve"> and </w:t>
      </w:r>
      <w:r w:rsidR="00F02CED" w:rsidRPr="004B329E">
        <w:rPr>
          <w:rFonts w:ascii="Book Antiqua" w:hAnsi="Book Antiqua" w:cs="Times New Roman"/>
          <w:sz w:val="24"/>
          <w:szCs w:val="24"/>
        </w:rPr>
        <w:t xml:space="preserve">surgery with pathological diagnosis were utilized. Ultrasound was the most </w:t>
      </w:r>
      <w:r w:rsidRPr="004B329E">
        <w:rPr>
          <w:rFonts w:ascii="Book Antiqua" w:hAnsi="Book Antiqua" w:cs="Times New Roman"/>
          <w:sz w:val="24"/>
          <w:szCs w:val="24"/>
        </w:rPr>
        <w:t xml:space="preserve">frequently used </w:t>
      </w:r>
      <w:r w:rsidR="00F02CED" w:rsidRPr="004B329E">
        <w:rPr>
          <w:rFonts w:ascii="Book Antiqua" w:hAnsi="Book Antiqua" w:cs="Times New Roman"/>
          <w:sz w:val="24"/>
          <w:szCs w:val="24"/>
        </w:rPr>
        <w:t xml:space="preserve">radiological imaging </w:t>
      </w:r>
      <w:r w:rsidRPr="004B329E">
        <w:rPr>
          <w:rFonts w:ascii="Book Antiqua" w:hAnsi="Book Antiqua" w:cs="Times New Roman"/>
          <w:sz w:val="24"/>
          <w:szCs w:val="24"/>
        </w:rPr>
        <w:t xml:space="preserve">modality </w:t>
      </w:r>
      <w:r w:rsidR="00F02CED" w:rsidRPr="004B329E">
        <w:rPr>
          <w:rFonts w:ascii="Book Antiqua" w:hAnsi="Book Antiqua" w:cs="Times New Roman"/>
          <w:sz w:val="24"/>
          <w:szCs w:val="24"/>
        </w:rPr>
        <w:t xml:space="preserve">when metastases </w:t>
      </w:r>
      <w:r w:rsidRPr="004B329E">
        <w:rPr>
          <w:rFonts w:ascii="Book Antiqua" w:hAnsi="Book Antiqua" w:cs="Times New Roman"/>
          <w:sz w:val="24"/>
          <w:szCs w:val="24"/>
        </w:rPr>
        <w:t>in</w:t>
      </w:r>
      <w:r w:rsidR="00F02CED" w:rsidRPr="004B329E">
        <w:rPr>
          <w:rFonts w:ascii="Book Antiqua" w:hAnsi="Book Antiqua" w:cs="Times New Roman"/>
          <w:sz w:val="24"/>
          <w:szCs w:val="24"/>
        </w:rPr>
        <w:t xml:space="preserve"> the thyroid were detected 41.2% (35 cases), followed by CT scan 20.0% (17 cases) and PET scan 15.3% (13 cases). FNA was used in 76.5% of the population (65 cases). Cytology with FNA was diagnostic in 29.4% of the population (25 cases) and was non diagnostic or non-confirmatory in 47.1% of the population (40 cases)</w:t>
      </w:r>
      <w:r w:rsidR="00743D8D" w:rsidRPr="004B329E">
        <w:rPr>
          <w:rFonts w:ascii="Book Antiqua" w:hAnsi="Book Antiqua" w:cs="Times New Roman"/>
          <w:sz w:val="24"/>
          <w:szCs w:val="24"/>
        </w:rPr>
        <w:t xml:space="preserve"> as </w:t>
      </w:r>
      <w:r w:rsidRPr="004B329E">
        <w:rPr>
          <w:rFonts w:ascii="Book Antiqua" w:hAnsi="Book Antiqua" w:cs="Times New Roman"/>
          <w:sz w:val="24"/>
          <w:szCs w:val="24"/>
        </w:rPr>
        <w:t xml:space="preserve">shown </w:t>
      </w:r>
      <w:r w:rsidR="00743D8D" w:rsidRPr="004B329E">
        <w:rPr>
          <w:rFonts w:ascii="Book Antiqua" w:hAnsi="Book Antiqua" w:cs="Times New Roman"/>
          <w:sz w:val="24"/>
          <w:szCs w:val="24"/>
        </w:rPr>
        <w:t>in</w:t>
      </w:r>
      <w:r w:rsidR="00F02CED" w:rsidRPr="004B329E">
        <w:rPr>
          <w:rFonts w:ascii="Book Antiqua" w:hAnsi="Book Antiqua" w:cs="Times New Roman"/>
          <w:sz w:val="24"/>
          <w:szCs w:val="24"/>
        </w:rPr>
        <w:t xml:space="preserve"> </w:t>
      </w:r>
      <w:r w:rsidR="007D0AAA" w:rsidRPr="004B329E">
        <w:rPr>
          <w:rFonts w:ascii="Book Antiqua" w:hAnsi="Book Antiqua" w:cs="Times New Roman"/>
          <w:sz w:val="24"/>
          <w:szCs w:val="24"/>
        </w:rPr>
        <w:t>Figure</w:t>
      </w:r>
      <w:r w:rsidR="00884A76" w:rsidRPr="004B329E">
        <w:rPr>
          <w:rFonts w:ascii="Book Antiqua" w:hAnsi="Book Antiqua" w:cs="Times New Roman"/>
          <w:sz w:val="24"/>
          <w:szCs w:val="24"/>
        </w:rPr>
        <w:t xml:space="preserve"> </w:t>
      </w:r>
      <w:r w:rsidR="007D0AAA" w:rsidRPr="004B329E">
        <w:rPr>
          <w:rFonts w:ascii="Book Antiqua" w:hAnsi="Book Antiqua" w:cs="Times New Roman"/>
          <w:sz w:val="24"/>
          <w:szCs w:val="24"/>
        </w:rPr>
        <w:t>5</w:t>
      </w:r>
      <w:r w:rsidR="00F02CED" w:rsidRPr="004B329E">
        <w:rPr>
          <w:rFonts w:ascii="Book Antiqua" w:hAnsi="Book Antiqua" w:cs="Times New Roman"/>
          <w:sz w:val="24"/>
          <w:szCs w:val="24"/>
        </w:rPr>
        <w:t>. Surgical resection followed by histopathological examination of the thyroid nodule was used in all the studied patient population 100.0% (147 cases).</w:t>
      </w:r>
    </w:p>
    <w:p w14:paraId="3CF6339D" w14:textId="558268AE" w:rsidR="00FB1471" w:rsidRPr="004B329E" w:rsidRDefault="00F02CED" w:rsidP="000675D7">
      <w:pPr>
        <w:spacing w:after="0" w:line="360" w:lineRule="auto"/>
        <w:ind w:firstLineChars="100" w:firstLine="240"/>
        <w:jc w:val="both"/>
        <w:rPr>
          <w:rFonts w:ascii="Book Antiqua" w:hAnsi="Book Antiqua" w:cs="Times New Roman"/>
          <w:sz w:val="24"/>
          <w:szCs w:val="24"/>
        </w:rPr>
      </w:pPr>
      <w:r w:rsidRPr="004B329E">
        <w:rPr>
          <w:rFonts w:ascii="Book Antiqua" w:hAnsi="Book Antiqua" w:cs="Times New Roman"/>
          <w:sz w:val="24"/>
          <w:szCs w:val="24"/>
        </w:rPr>
        <w:t>Surgery was the mainstay of treatment in the majority of the studied patients 80.3% (118</w:t>
      </w:r>
      <w:r w:rsidR="00D419BE" w:rsidRPr="004B329E">
        <w:rPr>
          <w:rFonts w:ascii="Book Antiqua" w:hAnsi="Book Antiqua" w:cs="Times New Roman"/>
          <w:sz w:val="24"/>
          <w:szCs w:val="24"/>
        </w:rPr>
        <w:t xml:space="preserve"> </w:t>
      </w:r>
      <w:r w:rsidRPr="004B329E">
        <w:rPr>
          <w:rFonts w:ascii="Book Antiqua" w:hAnsi="Book Antiqua" w:cs="Times New Roman"/>
          <w:sz w:val="24"/>
          <w:szCs w:val="24"/>
        </w:rPr>
        <w:t xml:space="preserve">patients). </w:t>
      </w:r>
      <w:r w:rsidR="005F5F11" w:rsidRPr="004B329E">
        <w:rPr>
          <w:rFonts w:ascii="Book Antiqua" w:hAnsi="Book Antiqua" w:cs="Times New Roman"/>
          <w:sz w:val="24"/>
          <w:szCs w:val="24"/>
        </w:rPr>
        <w:t>Surgery involved</w:t>
      </w:r>
      <w:r w:rsidRPr="004B329E">
        <w:rPr>
          <w:rFonts w:ascii="Book Antiqua" w:hAnsi="Book Antiqua" w:cs="Times New Roman"/>
          <w:sz w:val="24"/>
          <w:szCs w:val="24"/>
        </w:rPr>
        <w:t xml:space="preserve"> either total thyroidectomy 49.0% (72 patients) or subtotal thyroidectomy 31.3% (46 patients).</w:t>
      </w:r>
      <w:r w:rsidR="00F90F3E" w:rsidRPr="004B329E">
        <w:rPr>
          <w:rFonts w:ascii="Book Antiqua" w:hAnsi="Book Antiqua" w:cs="Times New Roman"/>
          <w:sz w:val="24"/>
          <w:szCs w:val="24"/>
        </w:rPr>
        <w:t xml:space="preserve"> Regarding chemotherapy and targeted therapy,</w:t>
      </w:r>
      <w:r w:rsidRPr="004B329E">
        <w:rPr>
          <w:rFonts w:ascii="Book Antiqua" w:hAnsi="Book Antiqua" w:cs="Times New Roman"/>
          <w:sz w:val="24"/>
          <w:szCs w:val="24"/>
        </w:rPr>
        <w:t xml:space="preserve"> 12.2%</w:t>
      </w:r>
      <w:r w:rsidR="00B7276B" w:rsidRPr="004B329E">
        <w:rPr>
          <w:rFonts w:ascii="Book Antiqua" w:hAnsi="Book Antiqua" w:cs="Times New Roman"/>
          <w:sz w:val="24"/>
          <w:szCs w:val="24"/>
        </w:rPr>
        <w:t xml:space="preserve"> of </w:t>
      </w:r>
      <w:r w:rsidR="00A43574" w:rsidRPr="004B329E">
        <w:rPr>
          <w:rFonts w:ascii="Book Antiqua" w:hAnsi="Book Antiqua" w:cs="Times New Roman"/>
          <w:sz w:val="24"/>
          <w:szCs w:val="24"/>
        </w:rPr>
        <w:t>147 patients</w:t>
      </w:r>
      <w:r w:rsidRPr="004B329E">
        <w:rPr>
          <w:rFonts w:ascii="Book Antiqua" w:hAnsi="Book Antiqua" w:cs="Times New Roman"/>
          <w:sz w:val="24"/>
          <w:szCs w:val="24"/>
        </w:rPr>
        <w:t xml:space="preserve"> received system</w:t>
      </w:r>
      <w:r w:rsidR="005F5F11" w:rsidRPr="004B329E">
        <w:rPr>
          <w:rFonts w:ascii="Book Antiqua" w:hAnsi="Book Antiqua" w:cs="Times New Roman"/>
          <w:sz w:val="24"/>
          <w:szCs w:val="24"/>
        </w:rPr>
        <w:t>i</w:t>
      </w:r>
      <w:r w:rsidRPr="004B329E">
        <w:rPr>
          <w:rFonts w:ascii="Book Antiqua" w:hAnsi="Book Antiqua" w:cs="Times New Roman"/>
          <w:sz w:val="24"/>
          <w:szCs w:val="24"/>
        </w:rPr>
        <w:t xml:space="preserve">c therapy for </w:t>
      </w:r>
      <w:r w:rsidR="005F5F11" w:rsidRPr="004B329E">
        <w:rPr>
          <w:rFonts w:ascii="Book Antiqua" w:hAnsi="Book Antiqua" w:cs="Times New Roman"/>
          <w:sz w:val="24"/>
          <w:szCs w:val="24"/>
        </w:rPr>
        <w:t>metastatic CCRCC</w:t>
      </w:r>
      <w:r w:rsidRPr="004B329E">
        <w:rPr>
          <w:rFonts w:ascii="Book Antiqua" w:hAnsi="Book Antiqua" w:cs="Times New Roman"/>
          <w:sz w:val="24"/>
          <w:szCs w:val="24"/>
        </w:rPr>
        <w:t xml:space="preserve"> (18 cases)</w:t>
      </w:r>
      <w:r w:rsidR="005F5F11" w:rsidRPr="004B329E">
        <w:rPr>
          <w:rFonts w:ascii="Book Antiqua" w:hAnsi="Book Antiqua" w:cs="Times New Roman"/>
          <w:sz w:val="24"/>
          <w:szCs w:val="24"/>
        </w:rPr>
        <w:t>, including</w:t>
      </w:r>
      <w:r w:rsidRPr="004B329E">
        <w:rPr>
          <w:rFonts w:ascii="Book Antiqua" w:hAnsi="Book Antiqua" w:cs="Times New Roman"/>
          <w:sz w:val="24"/>
          <w:szCs w:val="24"/>
        </w:rPr>
        <w:t xml:space="preserve"> tyrosine kinase inhibitors, Interferon-a, interlukin-2, nonspecific chemotherapies and vascular endothelial growth factor inhibitors. Radiotherapy was reported in 2.7% of the studied population (4 cases) and 2 patients did not receive any treatment 1.4%</w:t>
      </w:r>
      <w:r w:rsidR="00743D8D" w:rsidRPr="004B329E">
        <w:rPr>
          <w:rFonts w:ascii="Book Antiqua" w:hAnsi="Book Antiqua" w:cs="Times New Roman"/>
          <w:sz w:val="24"/>
          <w:szCs w:val="24"/>
        </w:rPr>
        <w:t xml:space="preserve"> </w:t>
      </w:r>
      <w:r w:rsidR="005F5F11" w:rsidRPr="004B329E">
        <w:rPr>
          <w:rFonts w:ascii="Book Antiqua" w:hAnsi="Book Antiqua" w:cs="Times New Roman"/>
          <w:sz w:val="24"/>
          <w:szCs w:val="24"/>
        </w:rPr>
        <w:t>(</w:t>
      </w:r>
      <w:r w:rsidR="007D0AAA" w:rsidRPr="004B329E">
        <w:rPr>
          <w:rFonts w:ascii="Book Antiqua" w:hAnsi="Book Antiqua" w:cs="Times New Roman"/>
          <w:sz w:val="24"/>
          <w:szCs w:val="24"/>
        </w:rPr>
        <w:t>Figure</w:t>
      </w:r>
      <w:r w:rsidR="00884A76" w:rsidRPr="004B329E">
        <w:rPr>
          <w:rFonts w:ascii="Book Antiqua" w:hAnsi="Book Antiqua" w:cs="Times New Roman"/>
          <w:sz w:val="24"/>
          <w:szCs w:val="24"/>
        </w:rPr>
        <w:t xml:space="preserve"> </w:t>
      </w:r>
      <w:r w:rsidR="007D0AAA" w:rsidRPr="004B329E">
        <w:rPr>
          <w:rFonts w:ascii="Book Antiqua" w:hAnsi="Book Antiqua" w:cs="Times New Roman"/>
          <w:sz w:val="24"/>
          <w:szCs w:val="24"/>
        </w:rPr>
        <w:t>6</w:t>
      </w:r>
      <w:r w:rsidR="005F5F11" w:rsidRPr="004B329E">
        <w:rPr>
          <w:rFonts w:ascii="Book Antiqua" w:hAnsi="Book Antiqua" w:cs="Times New Roman"/>
          <w:sz w:val="24"/>
          <w:szCs w:val="24"/>
        </w:rPr>
        <w:t>)</w:t>
      </w:r>
      <w:r w:rsidRPr="004B329E">
        <w:rPr>
          <w:rFonts w:ascii="Book Antiqua" w:hAnsi="Book Antiqua" w:cs="Times New Roman"/>
          <w:sz w:val="24"/>
          <w:szCs w:val="24"/>
        </w:rPr>
        <w:t>. No</w:t>
      </w:r>
      <w:r w:rsidR="00A43574" w:rsidRPr="004B329E">
        <w:rPr>
          <w:rFonts w:ascii="Book Antiqua" w:hAnsi="Book Antiqua" w:cs="Times New Roman"/>
          <w:sz w:val="24"/>
          <w:szCs w:val="24"/>
        </w:rPr>
        <w:t>ne of the</w:t>
      </w:r>
      <w:r w:rsidRPr="004B329E">
        <w:rPr>
          <w:rFonts w:ascii="Book Antiqua" w:hAnsi="Book Antiqua" w:cs="Times New Roman"/>
          <w:sz w:val="24"/>
          <w:szCs w:val="24"/>
        </w:rPr>
        <w:t xml:space="preserve"> patients received immune check point inhibitors </w:t>
      </w:r>
      <w:r w:rsidR="00A43574" w:rsidRPr="004B329E">
        <w:rPr>
          <w:rFonts w:ascii="Book Antiqua" w:hAnsi="Book Antiqua" w:cs="Times New Roman"/>
          <w:sz w:val="24"/>
          <w:szCs w:val="24"/>
        </w:rPr>
        <w:t>as these agents were only recently approved for the treatment of metastatic disease.</w:t>
      </w:r>
    </w:p>
    <w:p w14:paraId="4C26D67E" w14:textId="3964F9C0" w:rsidR="00F02CED" w:rsidRPr="004B329E" w:rsidRDefault="00F02CED"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 xml:space="preserve">Regarding </w:t>
      </w:r>
      <w:r w:rsidR="005F5F11" w:rsidRPr="004B329E">
        <w:rPr>
          <w:rFonts w:ascii="Book Antiqua" w:hAnsi="Book Antiqua"/>
          <w:sz w:val="24"/>
          <w:szCs w:val="24"/>
        </w:rPr>
        <w:t xml:space="preserve">the </w:t>
      </w:r>
      <w:r w:rsidRPr="004B329E">
        <w:rPr>
          <w:rFonts w:ascii="Book Antiqua" w:hAnsi="Book Antiqua"/>
          <w:sz w:val="24"/>
          <w:szCs w:val="24"/>
        </w:rPr>
        <w:t xml:space="preserve">impact of surgical intervention (total thyroidectomy or subtotal thyroidectomy) on patient’s outcome, all alive patients who had a follow-up time less than 12 mo (&lt; 12) were excluded from the analysis. The sample consisted of 83 patients. </w:t>
      </w:r>
      <w:r w:rsidRPr="004B329E">
        <w:rPr>
          <w:rFonts w:ascii="Book Antiqua" w:hAnsi="Book Antiqua" w:cs="Times New Roman"/>
          <w:sz w:val="24"/>
          <w:szCs w:val="24"/>
        </w:rPr>
        <w:t>Operated patients (thyroidectomy or subtotal thyroidectomy) and non-operated patients were compared regarding their status (alive or dead) after the 12</w:t>
      </w:r>
      <w:r w:rsidR="00884A76" w:rsidRPr="004B329E">
        <w:rPr>
          <w:rFonts w:ascii="Book Antiqua" w:hAnsi="Book Antiqua" w:cs="Times New Roman"/>
          <w:sz w:val="24"/>
          <w:szCs w:val="24"/>
        </w:rPr>
        <w:t xml:space="preserve"> </w:t>
      </w:r>
      <w:r w:rsidRPr="004B329E">
        <w:rPr>
          <w:rFonts w:ascii="Book Antiqua" w:hAnsi="Book Antiqua" w:cs="Times New Roman"/>
          <w:sz w:val="24"/>
          <w:szCs w:val="24"/>
        </w:rPr>
        <w:t xml:space="preserve">mo period. It was found that the majority of the operated patients 55.6% were alive at </w:t>
      </w:r>
      <w:r w:rsidR="00D263CF" w:rsidRPr="004B329E">
        <w:rPr>
          <w:rFonts w:ascii="Book Antiqua" w:hAnsi="Book Antiqua" w:cs="Times New Roman"/>
          <w:sz w:val="24"/>
          <w:szCs w:val="24"/>
        </w:rPr>
        <w:t>1-year</w:t>
      </w:r>
      <w:r w:rsidRPr="004B329E">
        <w:rPr>
          <w:rFonts w:ascii="Book Antiqua" w:hAnsi="Book Antiqua" w:cs="Times New Roman"/>
          <w:sz w:val="24"/>
          <w:szCs w:val="24"/>
        </w:rPr>
        <w:t xml:space="preserve"> follow-up, versus</w:t>
      </w:r>
      <w:r w:rsidR="00D5570A" w:rsidRPr="004B329E">
        <w:rPr>
          <w:rFonts w:ascii="Book Antiqua" w:hAnsi="Book Antiqua" w:cs="Times New Roman"/>
          <w:sz w:val="24"/>
          <w:szCs w:val="24"/>
        </w:rPr>
        <w:t xml:space="preserve"> 35.3% of</w:t>
      </w:r>
      <w:r w:rsidRPr="004B329E">
        <w:rPr>
          <w:rFonts w:ascii="Book Antiqua" w:hAnsi="Book Antiqua" w:cs="Times New Roman"/>
          <w:sz w:val="24"/>
          <w:szCs w:val="24"/>
        </w:rPr>
        <w:t xml:space="preserve"> non-operated patients. This </w:t>
      </w:r>
      <w:r w:rsidR="005F5F11" w:rsidRPr="004B329E">
        <w:rPr>
          <w:rFonts w:ascii="Book Antiqua" w:hAnsi="Book Antiqua" w:cs="Times New Roman"/>
          <w:sz w:val="24"/>
          <w:szCs w:val="24"/>
        </w:rPr>
        <w:t xml:space="preserve">suggests </w:t>
      </w:r>
      <w:r w:rsidRPr="004B329E">
        <w:rPr>
          <w:rFonts w:ascii="Book Antiqua" w:hAnsi="Book Antiqua" w:cs="Times New Roman"/>
          <w:sz w:val="24"/>
          <w:szCs w:val="24"/>
        </w:rPr>
        <w:t xml:space="preserve">that surgery </w:t>
      </w:r>
      <w:r w:rsidR="005F5F11" w:rsidRPr="004B329E">
        <w:rPr>
          <w:rFonts w:ascii="Book Antiqua" w:hAnsi="Book Antiqua" w:cs="Times New Roman"/>
          <w:sz w:val="24"/>
          <w:szCs w:val="24"/>
        </w:rPr>
        <w:t>might have an</w:t>
      </w:r>
      <w:r w:rsidRPr="004B329E">
        <w:rPr>
          <w:rFonts w:ascii="Book Antiqua" w:hAnsi="Book Antiqua" w:cs="Times New Roman"/>
          <w:sz w:val="24"/>
          <w:szCs w:val="24"/>
        </w:rPr>
        <w:t xml:space="preserve"> impact on </w:t>
      </w:r>
      <w:r w:rsidR="00D263CF" w:rsidRPr="004B329E">
        <w:rPr>
          <w:rFonts w:ascii="Book Antiqua" w:hAnsi="Book Antiqua" w:cs="Times New Roman"/>
          <w:sz w:val="24"/>
          <w:szCs w:val="24"/>
        </w:rPr>
        <w:t>1-year</w:t>
      </w:r>
      <w:r w:rsidRPr="004B329E">
        <w:rPr>
          <w:rFonts w:ascii="Book Antiqua" w:hAnsi="Book Antiqua" w:cs="Times New Roman"/>
          <w:sz w:val="24"/>
          <w:szCs w:val="24"/>
        </w:rPr>
        <w:t xml:space="preserve"> </w:t>
      </w:r>
      <w:r w:rsidR="005F5F11" w:rsidRPr="004B329E">
        <w:rPr>
          <w:rFonts w:ascii="Book Antiqua" w:hAnsi="Book Antiqua" w:cs="Times New Roman"/>
          <w:sz w:val="24"/>
          <w:szCs w:val="24"/>
        </w:rPr>
        <w:t>survival</w:t>
      </w:r>
      <w:r w:rsidR="00B7276B" w:rsidRPr="004B329E">
        <w:rPr>
          <w:rFonts w:ascii="Book Antiqua" w:hAnsi="Book Antiqua" w:cs="Times New Roman"/>
          <w:sz w:val="24"/>
          <w:szCs w:val="24"/>
        </w:rPr>
        <w:t>, however</w:t>
      </w:r>
      <w:r w:rsidRPr="004B329E">
        <w:rPr>
          <w:rFonts w:ascii="Book Antiqua" w:hAnsi="Book Antiqua" w:cs="Times New Roman"/>
          <w:sz w:val="24"/>
          <w:szCs w:val="24"/>
        </w:rPr>
        <w:t xml:space="preserve"> this effect was found to be statistically non- significant (</w:t>
      </w:r>
      <w:r w:rsidRPr="004B329E">
        <w:rPr>
          <w:rFonts w:ascii="Book Antiqua" w:hAnsi="Book Antiqua" w:cs="Times New Roman"/>
          <w:i/>
          <w:iCs/>
          <w:caps/>
          <w:sz w:val="24"/>
          <w:szCs w:val="24"/>
        </w:rPr>
        <w:t>p</w:t>
      </w:r>
      <w:r w:rsidRPr="004B329E">
        <w:rPr>
          <w:rFonts w:ascii="Book Antiqua" w:hAnsi="Book Antiqua" w:cs="Times New Roman"/>
          <w:sz w:val="24"/>
          <w:szCs w:val="24"/>
        </w:rPr>
        <w:t xml:space="preserve"> = 0.145)</w:t>
      </w:r>
      <w:r w:rsidR="005F5F11" w:rsidRPr="004B329E">
        <w:rPr>
          <w:rFonts w:ascii="Book Antiqua" w:hAnsi="Book Antiqua" w:cs="Times New Roman"/>
          <w:sz w:val="24"/>
          <w:szCs w:val="24"/>
        </w:rPr>
        <w:t>.</w:t>
      </w:r>
    </w:p>
    <w:p w14:paraId="49E1051D" w14:textId="77777777" w:rsidR="00F90162" w:rsidRPr="004B329E" w:rsidRDefault="00F90162" w:rsidP="000675D7">
      <w:pPr>
        <w:tabs>
          <w:tab w:val="left" w:pos="2174"/>
        </w:tabs>
        <w:spacing w:after="0" w:line="360" w:lineRule="auto"/>
        <w:jc w:val="both"/>
        <w:rPr>
          <w:rFonts w:ascii="Book Antiqua" w:hAnsi="Book Antiqua" w:cs="Times New Roman"/>
          <w:sz w:val="24"/>
          <w:szCs w:val="24"/>
        </w:rPr>
      </w:pPr>
    </w:p>
    <w:p w14:paraId="588E13EF" w14:textId="3B04E9D4" w:rsidR="00F90162" w:rsidRPr="004B329E" w:rsidRDefault="00F90162" w:rsidP="000675D7">
      <w:pPr>
        <w:spacing w:after="0" w:line="360" w:lineRule="auto"/>
        <w:jc w:val="both"/>
        <w:rPr>
          <w:rFonts w:ascii="Book Antiqua" w:hAnsi="Book Antiqua"/>
          <w:b/>
          <w:caps/>
          <w:sz w:val="24"/>
          <w:szCs w:val="24"/>
        </w:rPr>
      </w:pPr>
      <w:r w:rsidRPr="004B329E">
        <w:rPr>
          <w:rFonts w:ascii="Book Antiqua" w:hAnsi="Book Antiqua"/>
          <w:b/>
          <w:caps/>
          <w:sz w:val="24"/>
          <w:szCs w:val="24"/>
        </w:rPr>
        <w:t>Discussion</w:t>
      </w:r>
    </w:p>
    <w:p w14:paraId="5D9F8EF7" w14:textId="0C6D4D28" w:rsidR="00F90162" w:rsidRPr="004B329E" w:rsidRDefault="00F90162" w:rsidP="000675D7">
      <w:pPr>
        <w:spacing w:after="0" w:line="360" w:lineRule="auto"/>
        <w:jc w:val="both"/>
        <w:rPr>
          <w:rFonts w:ascii="Book Antiqua" w:hAnsi="Book Antiqua"/>
          <w:b/>
          <w:i/>
          <w:iCs/>
          <w:sz w:val="24"/>
          <w:szCs w:val="24"/>
          <w:lang w:eastAsia="zh-CN"/>
        </w:rPr>
      </w:pPr>
      <w:r w:rsidRPr="004B329E">
        <w:rPr>
          <w:rFonts w:ascii="Book Antiqua" w:hAnsi="Book Antiqua"/>
          <w:b/>
          <w:i/>
          <w:iCs/>
          <w:sz w:val="24"/>
          <w:szCs w:val="24"/>
        </w:rPr>
        <w:t xml:space="preserve">Epidemiology and </w:t>
      </w:r>
      <w:r w:rsidR="00521BE4" w:rsidRPr="004B329E">
        <w:rPr>
          <w:rFonts w:ascii="Book Antiqua" w:hAnsi="Book Antiqua"/>
          <w:b/>
          <w:i/>
          <w:iCs/>
          <w:sz w:val="24"/>
          <w:szCs w:val="24"/>
        </w:rPr>
        <w:t>pathophysiology</w:t>
      </w:r>
    </w:p>
    <w:p w14:paraId="4D3C7D16" w14:textId="2974BB81" w:rsidR="00F90162" w:rsidRPr="004B329E" w:rsidRDefault="00F90162" w:rsidP="000675D7">
      <w:pPr>
        <w:spacing w:after="0" w:line="360" w:lineRule="auto"/>
        <w:jc w:val="both"/>
        <w:rPr>
          <w:rFonts w:ascii="Book Antiqua" w:hAnsi="Book Antiqua"/>
          <w:sz w:val="24"/>
          <w:szCs w:val="24"/>
        </w:rPr>
      </w:pPr>
      <w:r w:rsidRPr="004B329E">
        <w:rPr>
          <w:rFonts w:ascii="Book Antiqua" w:hAnsi="Book Antiqua"/>
          <w:sz w:val="24"/>
          <w:szCs w:val="24"/>
        </w:rPr>
        <w:t xml:space="preserve">The thyroid gland is an infrequent site for metastasis </w:t>
      </w:r>
      <w:r w:rsidR="00D5570A" w:rsidRPr="004B329E">
        <w:rPr>
          <w:rFonts w:ascii="Book Antiqua" w:hAnsi="Book Antiqua"/>
          <w:sz w:val="24"/>
          <w:szCs w:val="24"/>
        </w:rPr>
        <w:t xml:space="preserve">of </w:t>
      </w:r>
      <w:r w:rsidRPr="004B329E">
        <w:rPr>
          <w:rFonts w:ascii="Book Antiqua" w:hAnsi="Book Antiqua"/>
          <w:sz w:val="24"/>
          <w:szCs w:val="24"/>
        </w:rPr>
        <w:t xml:space="preserve">different primary malignancies. In one study, the </w:t>
      </w:r>
      <w:r w:rsidR="00D5570A" w:rsidRPr="004B329E">
        <w:rPr>
          <w:rFonts w:ascii="Book Antiqua" w:hAnsi="Book Antiqua"/>
          <w:sz w:val="24"/>
          <w:szCs w:val="24"/>
        </w:rPr>
        <w:t xml:space="preserve">estimated </w:t>
      </w:r>
      <w:r w:rsidRPr="004B329E">
        <w:rPr>
          <w:rFonts w:ascii="Book Antiqua" w:hAnsi="Book Antiqua"/>
          <w:sz w:val="24"/>
          <w:szCs w:val="24"/>
        </w:rPr>
        <w:t>prevalence was low accounting for less than 5% when compared to other organs as secondary sites for metastases when assessed in more than 1000 autopsies in 16 different primary malignancies</w:t>
      </w:r>
      <w:r w:rsidR="0011779F" w:rsidRPr="004B329E">
        <w:rPr>
          <w:rFonts w:ascii="Book Antiqua" w:hAnsi="Book Antiqua"/>
          <w:sz w:val="24"/>
          <w:szCs w:val="24"/>
          <w:vertAlign w:val="superscript"/>
        </w:rPr>
        <w:t>[1]</w:t>
      </w:r>
      <w:r w:rsidRPr="004B329E">
        <w:rPr>
          <w:rFonts w:ascii="Book Antiqua" w:hAnsi="Book Antiqua"/>
          <w:sz w:val="24"/>
          <w:szCs w:val="24"/>
        </w:rPr>
        <w:t xml:space="preserve">. Another retrospective study in a single institution examining the pathological report over 10 years </w:t>
      </w:r>
      <w:r w:rsidR="00D5570A" w:rsidRPr="004B329E">
        <w:rPr>
          <w:rFonts w:ascii="Book Antiqua" w:hAnsi="Book Antiqua"/>
          <w:sz w:val="24"/>
          <w:szCs w:val="24"/>
        </w:rPr>
        <w:t xml:space="preserve">found </w:t>
      </w:r>
      <w:r w:rsidRPr="004B329E">
        <w:rPr>
          <w:rFonts w:ascii="Book Antiqua" w:hAnsi="Book Antiqua"/>
          <w:sz w:val="24"/>
          <w:szCs w:val="24"/>
        </w:rPr>
        <w:t>that the number of metastatic disease to the thyroid gland account</w:t>
      </w:r>
      <w:r w:rsidR="00D5570A" w:rsidRPr="004B329E">
        <w:rPr>
          <w:rFonts w:ascii="Book Antiqua" w:hAnsi="Book Antiqua"/>
          <w:sz w:val="24"/>
          <w:szCs w:val="24"/>
        </w:rPr>
        <w:t>ed</w:t>
      </w:r>
      <w:r w:rsidRPr="004B329E">
        <w:rPr>
          <w:rFonts w:ascii="Book Antiqua" w:hAnsi="Book Antiqua"/>
          <w:sz w:val="24"/>
          <w:szCs w:val="24"/>
        </w:rPr>
        <w:t xml:space="preserve"> only for 0.13% </w:t>
      </w:r>
      <w:r w:rsidR="00D5570A" w:rsidRPr="004B329E">
        <w:rPr>
          <w:rFonts w:ascii="Book Antiqua" w:hAnsi="Book Antiqua"/>
          <w:sz w:val="24"/>
          <w:szCs w:val="24"/>
        </w:rPr>
        <w:t>of</w:t>
      </w:r>
      <w:r w:rsidR="0011779F" w:rsidRPr="004B329E">
        <w:rPr>
          <w:rFonts w:ascii="Book Antiqua" w:hAnsi="Book Antiqua"/>
          <w:sz w:val="24"/>
          <w:szCs w:val="24"/>
        </w:rPr>
        <w:t xml:space="preserve"> resected thyroid nodules</w:t>
      </w:r>
      <w:r w:rsidR="0011779F" w:rsidRPr="004B329E">
        <w:rPr>
          <w:rFonts w:ascii="Book Antiqua" w:hAnsi="Book Antiqua"/>
          <w:sz w:val="24"/>
          <w:szCs w:val="24"/>
          <w:vertAlign w:val="superscript"/>
        </w:rPr>
        <w:t>[2]</w:t>
      </w:r>
      <w:r w:rsidRPr="004B329E">
        <w:rPr>
          <w:rFonts w:ascii="Book Antiqua" w:hAnsi="Book Antiqua"/>
          <w:sz w:val="24"/>
          <w:szCs w:val="24"/>
        </w:rPr>
        <w:t>. Historically, breast adenocarcinoma</w:t>
      </w:r>
      <w:r w:rsidR="00D5570A" w:rsidRPr="004B329E">
        <w:rPr>
          <w:rFonts w:ascii="Book Antiqua" w:hAnsi="Book Antiqua"/>
          <w:sz w:val="24"/>
          <w:szCs w:val="24"/>
        </w:rPr>
        <w:t xml:space="preserve"> used</w:t>
      </w:r>
      <w:r w:rsidR="00B21F9B" w:rsidRPr="004B329E">
        <w:rPr>
          <w:rFonts w:ascii="Book Antiqua" w:hAnsi="Book Antiqua"/>
          <w:sz w:val="24"/>
          <w:szCs w:val="24"/>
        </w:rPr>
        <w:t xml:space="preserve"> </w:t>
      </w:r>
      <w:r w:rsidRPr="004B329E">
        <w:rPr>
          <w:rFonts w:ascii="Book Antiqua" w:hAnsi="Book Antiqua"/>
          <w:sz w:val="24"/>
          <w:szCs w:val="24"/>
        </w:rPr>
        <w:t xml:space="preserve">to be the most </w:t>
      </w:r>
      <w:r w:rsidR="00D5570A" w:rsidRPr="004B329E">
        <w:rPr>
          <w:rFonts w:ascii="Book Antiqua" w:hAnsi="Book Antiqua"/>
          <w:sz w:val="24"/>
          <w:szCs w:val="24"/>
        </w:rPr>
        <w:t xml:space="preserve">common </w:t>
      </w:r>
      <w:r w:rsidRPr="004B329E">
        <w:rPr>
          <w:rFonts w:ascii="Book Antiqua" w:hAnsi="Book Antiqua"/>
          <w:sz w:val="24"/>
          <w:szCs w:val="24"/>
        </w:rPr>
        <w:t>primary malignancy to metastasize to the thyroid gland as was demonstrated in a large study of more than 16000 autopsies</w:t>
      </w:r>
      <w:r w:rsidR="0011779F" w:rsidRPr="004B329E">
        <w:rPr>
          <w:rFonts w:ascii="Book Antiqua" w:hAnsi="Book Antiqua"/>
          <w:sz w:val="24"/>
          <w:szCs w:val="24"/>
          <w:vertAlign w:val="superscript"/>
        </w:rPr>
        <w:t>[3]</w:t>
      </w:r>
      <w:r w:rsidR="00B7276B" w:rsidRPr="004B329E">
        <w:rPr>
          <w:rFonts w:ascii="Book Antiqua" w:hAnsi="Book Antiqua"/>
          <w:sz w:val="24"/>
          <w:szCs w:val="24"/>
        </w:rPr>
        <w:t>. H</w:t>
      </w:r>
      <w:r w:rsidRPr="004B329E">
        <w:rPr>
          <w:rFonts w:ascii="Book Antiqua" w:hAnsi="Book Antiqua"/>
          <w:sz w:val="24"/>
          <w:szCs w:val="24"/>
        </w:rPr>
        <w:t xml:space="preserve">owever, when pooled data from different studies were </w:t>
      </w:r>
      <w:r w:rsidR="00293D5C" w:rsidRPr="004B329E">
        <w:rPr>
          <w:rFonts w:ascii="Book Antiqua" w:hAnsi="Book Antiqua"/>
          <w:sz w:val="24"/>
          <w:szCs w:val="24"/>
        </w:rPr>
        <w:t>analyzed</w:t>
      </w:r>
      <w:r w:rsidR="00B7276B" w:rsidRPr="004B329E">
        <w:rPr>
          <w:rFonts w:ascii="Book Antiqua" w:hAnsi="Book Antiqua"/>
          <w:sz w:val="24"/>
          <w:szCs w:val="24"/>
        </w:rPr>
        <w:t>,</w:t>
      </w:r>
      <w:r w:rsidR="00293D5C" w:rsidRPr="004B329E">
        <w:rPr>
          <w:rFonts w:ascii="Book Antiqua" w:hAnsi="Book Antiqua"/>
          <w:sz w:val="24"/>
          <w:szCs w:val="24"/>
        </w:rPr>
        <w:t xml:space="preserve"> clear cell renal</w:t>
      </w:r>
      <w:r w:rsidRPr="004B329E">
        <w:rPr>
          <w:rFonts w:ascii="Book Antiqua" w:hAnsi="Book Antiqua"/>
          <w:sz w:val="24"/>
          <w:szCs w:val="24"/>
        </w:rPr>
        <w:t xml:space="preserve"> cell carcinoma account</w:t>
      </w:r>
      <w:r w:rsidR="00D5570A" w:rsidRPr="004B329E">
        <w:rPr>
          <w:rFonts w:ascii="Book Antiqua" w:hAnsi="Book Antiqua"/>
          <w:sz w:val="24"/>
          <w:szCs w:val="24"/>
        </w:rPr>
        <w:t>ed</w:t>
      </w:r>
      <w:r w:rsidRPr="004B329E">
        <w:rPr>
          <w:rFonts w:ascii="Book Antiqua" w:hAnsi="Book Antiqua"/>
          <w:sz w:val="24"/>
          <w:szCs w:val="24"/>
        </w:rPr>
        <w:t xml:space="preserve"> for the majority of metastatic disease to the thyroid gland</w:t>
      </w:r>
      <w:r w:rsidR="0011779F" w:rsidRPr="004B329E">
        <w:rPr>
          <w:rFonts w:ascii="Book Antiqua" w:hAnsi="Book Antiqua"/>
          <w:sz w:val="24"/>
          <w:szCs w:val="24"/>
          <w:vertAlign w:val="superscript"/>
        </w:rPr>
        <w:t>[4]</w:t>
      </w:r>
      <w:r w:rsidRPr="004B329E">
        <w:rPr>
          <w:rFonts w:ascii="Book Antiqua" w:hAnsi="Book Antiqua"/>
          <w:sz w:val="24"/>
          <w:szCs w:val="24"/>
        </w:rPr>
        <w:t xml:space="preserve">. </w:t>
      </w:r>
      <w:r w:rsidR="00C33C63" w:rsidRPr="004B329E">
        <w:rPr>
          <w:rFonts w:ascii="Book Antiqua" w:hAnsi="Book Antiqua"/>
          <w:sz w:val="24"/>
          <w:szCs w:val="24"/>
        </w:rPr>
        <w:t>In general, frequency of metastatic clear cell ren</w:t>
      </w:r>
      <w:r w:rsidR="001050F0" w:rsidRPr="004B329E">
        <w:rPr>
          <w:rFonts w:ascii="Book Antiqua" w:hAnsi="Book Antiqua"/>
          <w:sz w:val="24"/>
          <w:szCs w:val="24"/>
        </w:rPr>
        <w:t>al cell carcinoma remains low</w:t>
      </w:r>
      <w:r w:rsidR="001050F0" w:rsidRPr="004B329E">
        <w:rPr>
          <w:rFonts w:ascii="Book Antiqua" w:hAnsi="Book Antiqua"/>
          <w:sz w:val="24"/>
          <w:szCs w:val="24"/>
          <w:vertAlign w:val="superscript"/>
        </w:rPr>
        <w:t>[5,6]</w:t>
      </w:r>
      <w:r w:rsidR="001050F0" w:rsidRPr="004B329E">
        <w:rPr>
          <w:rFonts w:ascii="Book Antiqua" w:hAnsi="Book Antiqua"/>
          <w:sz w:val="24"/>
          <w:szCs w:val="24"/>
        </w:rPr>
        <w:t>.</w:t>
      </w:r>
      <w:r w:rsidR="00B7276B" w:rsidRPr="004B329E">
        <w:rPr>
          <w:rFonts w:ascii="Book Antiqua" w:hAnsi="Book Antiqua"/>
          <w:sz w:val="24"/>
          <w:szCs w:val="24"/>
        </w:rPr>
        <w:t xml:space="preserve"> In our study, there was</w:t>
      </w:r>
      <w:r w:rsidR="00C33C63" w:rsidRPr="004B329E">
        <w:rPr>
          <w:rFonts w:ascii="Book Antiqua" w:hAnsi="Book Antiqua"/>
          <w:sz w:val="24"/>
          <w:szCs w:val="24"/>
        </w:rPr>
        <w:t xml:space="preserve"> no gender preponderance with a male to female ratio of 1:1.13 </w:t>
      </w:r>
      <w:r w:rsidR="00B7276B" w:rsidRPr="004B329E">
        <w:rPr>
          <w:rFonts w:ascii="Book Antiqua" w:hAnsi="Book Antiqua"/>
          <w:sz w:val="24"/>
          <w:szCs w:val="24"/>
        </w:rPr>
        <w:t>similar to</w:t>
      </w:r>
      <w:r w:rsidR="001050F0" w:rsidRPr="004B329E">
        <w:rPr>
          <w:rFonts w:ascii="Book Antiqua" w:hAnsi="Book Antiqua"/>
          <w:sz w:val="24"/>
          <w:szCs w:val="24"/>
        </w:rPr>
        <w:t xml:space="preserve"> previous studies</w:t>
      </w:r>
      <w:r w:rsidR="001050F0" w:rsidRPr="004B329E">
        <w:rPr>
          <w:rFonts w:ascii="Book Antiqua" w:hAnsi="Book Antiqua"/>
          <w:sz w:val="24"/>
          <w:szCs w:val="24"/>
          <w:vertAlign w:val="superscript"/>
        </w:rPr>
        <w:t>[7]</w:t>
      </w:r>
      <w:r w:rsidR="001050F0" w:rsidRPr="004B329E">
        <w:rPr>
          <w:rFonts w:ascii="Book Antiqua" w:hAnsi="Book Antiqua"/>
          <w:sz w:val="24"/>
          <w:szCs w:val="24"/>
        </w:rPr>
        <w:t>.</w:t>
      </w:r>
      <w:r w:rsidR="00C33C63" w:rsidRPr="004B329E">
        <w:rPr>
          <w:rFonts w:ascii="Book Antiqua" w:hAnsi="Book Antiqua"/>
          <w:sz w:val="24"/>
          <w:szCs w:val="24"/>
        </w:rPr>
        <w:t xml:space="preserve"> </w:t>
      </w:r>
      <w:r w:rsidRPr="004B329E">
        <w:rPr>
          <w:rFonts w:ascii="Book Antiqua" w:hAnsi="Book Antiqua"/>
          <w:sz w:val="24"/>
          <w:szCs w:val="24"/>
        </w:rPr>
        <w:t>The pathophysiology</w:t>
      </w:r>
      <w:r w:rsidR="00B7276B" w:rsidRPr="004B329E">
        <w:rPr>
          <w:rFonts w:ascii="Book Antiqua" w:hAnsi="Book Antiqua"/>
          <w:sz w:val="24"/>
          <w:szCs w:val="24"/>
        </w:rPr>
        <w:t xml:space="preserve"> underlying</w:t>
      </w:r>
      <w:r w:rsidRPr="004B329E">
        <w:rPr>
          <w:rFonts w:ascii="Book Antiqua" w:hAnsi="Book Antiqua"/>
          <w:sz w:val="24"/>
          <w:szCs w:val="24"/>
        </w:rPr>
        <w:t xml:space="preserve"> the rarity of metastasis to the thyroid gland is not well established and despite the extensive blood supply to the thyroid gland it is uncommon for met</w:t>
      </w:r>
      <w:r w:rsidR="00B7276B" w:rsidRPr="004B329E">
        <w:rPr>
          <w:rFonts w:ascii="Book Antiqua" w:hAnsi="Book Antiqua"/>
          <w:sz w:val="24"/>
          <w:szCs w:val="24"/>
        </w:rPr>
        <w:t>astatic disease to develop</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8</w:t>
      </w:r>
      <w:r w:rsidR="0011779F" w:rsidRPr="004B329E">
        <w:rPr>
          <w:rFonts w:ascii="Book Antiqua" w:hAnsi="Book Antiqua"/>
          <w:sz w:val="24"/>
          <w:szCs w:val="24"/>
          <w:vertAlign w:val="superscript"/>
        </w:rPr>
        <w:t>]</w:t>
      </w:r>
      <w:r w:rsidRPr="004B329E">
        <w:rPr>
          <w:rFonts w:ascii="Book Antiqua" w:hAnsi="Book Antiqua"/>
          <w:sz w:val="24"/>
          <w:szCs w:val="24"/>
        </w:rPr>
        <w:t xml:space="preserve">. One theory behind the rarity of having metastasis to the thyroid gland is the high oxygen and iodine content which prevents the growth of metastatic lesions but there are no original studies examining the microenvironment </w:t>
      </w:r>
      <w:r w:rsidR="00293D5C" w:rsidRPr="004B329E">
        <w:rPr>
          <w:rFonts w:ascii="Book Antiqua" w:hAnsi="Book Antiqua"/>
          <w:sz w:val="24"/>
          <w:szCs w:val="24"/>
        </w:rPr>
        <w:t xml:space="preserve">effect </w:t>
      </w:r>
      <w:r w:rsidRPr="004B329E">
        <w:rPr>
          <w:rFonts w:ascii="Book Antiqua" w:hAnsi="Book Antiqua"/>
          <w:sz w:val="24"/>
          <w:szCs w:val="24"/>
        </w:rPr>
        <w:t>on the enrichment of circulating metastases</w:t>
      </w:r>
      <w:r w:rsidR="00293D5C" w:rsidRPr="004B329E">
        <w:rPr>
          <w:rFonts w:ascii="Book Antiqua" w:hAnsi="Book Antiqua"/>
          <w:sz w:val="24"/>
          <w:szCs w:val="24"/>
        </w:rPr>
        <w:t xml:space="preserve"> in the thyroid gland</w:t>
      </w:r>
      <w:r w:rsidRPr="004B329E">
        <w:rPr>
          <w:rFonts w:ascii="Book Antiqua" w:hAnsi="Book Antiqua"/>
          <w:sz w:val="24"/>
          <w:szCs w:val="24"/>
        </w:rPr>
        <w:t xml:space="preserve">. Metastatic spread from </w:t>
      </w:r>
      <w:r w:rsidR="00293D5C" w:rsidRPr="004B329E">
        <w:rPr>
          <w:rFonts w:ascii="Book Antiqua" w:hAnsi="Book Antiqua"/>
          <w:sz w:val="24"/>
          <w:szCs w:val="24"/>
        </w:rPr>
        <w:t xml:space="preserve">clear cell </w:t>
      </w:r>
      <w:r w:rsidRPr="004B329E">
        <w:rPr>
          <w:rFonts w:ascii="Book Antiqua" w:hAnsi="Book Antiqua"/>
          <w:sz w:val="24"/>
          <w:szCs w:val="24"/>
        </w:rPr>
        <w:t>renal cell carcinoma to secondary sites was found to be more prevalent in patients younger than 55 years old (</w:t>
      </w:r>
      <w:r w:rsidRPr="004B329E">
        <w:rPr>
          <w:rFonts w:ascii="Book Antiqua" w:hAnsi="Book Antiqua"/>
          <w:i/>
          <w:iCs/>
          <w:caps/>
          <w:sz w:val="24"/>
          <w:szCs w:val="24"/>
        </w:rPr>
        <w:t>p</w:t>
      </w:r>
      <w:r w:rsidR="00884A76" w:rsidRPr="004B329E">
        <w:rPr>
          <w:rFonts w:ascii="Book Antiqua" w:hAnsi="Book Antiqua"/>
          <w:sz w:val="24"/>
          <w:szCs w:val="24"/>
        </w:rPr>
        <w:t xml:space="preserve"> </w:t>
      </w:r>
      <w:r w:rsidRPr="004B329E">
        <w:rPr>
          <w:rFonts w:ascii="Book Antiqua" w:hAnsi="Book Antiqua"/>
          <w:sz w:val="24"/>
          <w:szCs w:val="24"/>
        </w:rPr>
        <w:t>&lt;</w:t>
      </w:r>
      <w:r w:rsidR="00884A76" w:rsidRPr="004B329E">
        <w:rPr>
          <w:rFonts w:ascii="Book Antiqua" w:hAnsi="Book Antiqua"/>
          <w:sz w:val="24"/>
          <w:szCs w:val="24"/>
        </w:rPr>
        <w:t xml:space="preserve"> </w:t>
      </w:r>
      <w:r w:rsidRPr="004B329E">
        <w:rPr>
          <w:rFonts w:ascii="Book Antiqua" w:hAnsi="Book Antiqua"/>
          <w:sz w:val="24"/>
          <w:szCs w:val="24"/>
        </w:rPr>
        <w:t>0.001), however, the scope of this large study (</w:t>
      </w:r>
      <w:r w:rsidR="00703F45" w:rsidRPr="004B329E">
        <w:rPr>
          <w:rFonts w:ascii="Book Antiqua" w:hAnsi="Book Antiqua"/>
          <w:i/>
          <w:sz w:val="24"/>
          <w:szCs w:val="24"/>
        </w:rPr>
        <w:t>n</w:t>
      </w:r>
      <w:r w:rsidR="00884A76" w:rsidRPr="004B329E">
        <w:rPr>
          <w:rFonts w:ascii="Book Antiqua" w:hAnsi="Book Antiqua"/>
          <w:sz w:val="24"/>
          <w:szCs w:val="24"/>
        </w:rPr>
        <w:t xml:space="preserve"> </w:t>
      </w:r>
      <w:r w:rsidRPr="004B329E">
        <w:rPr>
          <w:rFonts w:ascii="Book Antiqua" w:hAnsi="Book Antiqua"/>
          <w:sz w:val="24"/>
          <w:szCs w:val="24"/>
        </w:rPr>
        <w:t>=</w:t>
      </w:r>
      <w:r w:rsidR="00884A76" w:rsidRPr="004B329E">
        <w:rPr>
          <w:rFonts w:ascii="Book Antiqua" w:hAnsi="Book Antiqua"/>
          <w:sz w:val="24"/>
          <w:szCs w:val="24"/>
        </w:rPr>
        <w:t xml:space="preserve"> </w:t>
      </w:r>
      <w:r w:rsidRPr="004B329E">
        <w:rPr>
          <w:rFonts w:ascii="Book Antiqua" w:hAnsi="Book Antiqua"/>
          <w:sz w:val="24"/>
          <w:szCs w:val="24"/>
        </w:rPr>
        <w:t>11.000) included all organs as secondary sites for metastases from CCRCC</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9</w:t>
      </w:r>
      <w:r w:rsidR="0011779F" w:rsidRPr="004B329E">
        <w:rPr>
          <w:rFonts w:ascii="Book Antiqua" w:hAnsi="Book Antiqua"/>
          <w:sz w:val="24"/>
          <w:szCs w:val="24"/>
          <w:vertAlign w:val="superscript"/>
        </w:rPr>
        <w:t>]</w:t>
      </w:r>
      <w:r w:rsidRPr="004B329E">
        <w:rPr>
          <w:rFonts w:ascii="Book Antiqua" w:hAnsi="Book Antiqua"/>
          <w:sz w:val="24"/>
          <w:szCs w:val="24"/>
        </w:rPr>
        <w:t xml:space="preserve">. In our pooled sample, the majority of patients who had thyroid metastases from clear cell renal cell carcinoma were &gt; 55 years old as shown in </w:t>
      </w:r>
      <w:r w:rsidR="00884A76" w:rsidRPr="004B329E">
        <w:rPr>
          <w:rFonts w:ascii="Book Antiqua" w:hAnsi="Book Antiqua"/>
          <w:sz w:val="24"/>
          <w:szCs w:val="24"/>
        </w:rPr>
        <w:t xml:space="preserve">Figure </w:t>
      </w:r>
      <w:r w:rsidRPr="004B329E">
        <w:rPr>
          <w:rFonts w:ascii="Book Antiqua" w:hAnsi="Book Antiqua"/>
          <w:sz w:val="24"/>
          <w:szCs w:val="24"/>
        </w:rPr>
        <w:t xml:space="preserve">2. The presence of non-malignant pathology in the </w:t>
      </w:r>
      <w:r w:rsidR="00B7276B" w:rsidRPr="004B329E">
        <w:rPr>
          <w:rFonts w:ascii="Book Antiqua" w:hAnsi="Book Antiqua"/>
          <w:sz w:val="24"/>
          <w:szCs w:val="24"/>
        </w:rPr>
        <w:t>thyroid gland as a risk</w:t>
      </w:r>
      <w:r w:rsidRPr="004B329E">
        <w:rPr>
          <w:rFonts w:ascii="Book Antiqua" w:hAnsi="Book Antiqua"/>
          <w:sz w:val="24"/>
          <w:szCs w:val="24"/>
        </w:rPr>
        <w:t xml:space="preserve"> factor for metastasis is an </w:t>
      </w:r>
      <w:r w:rsidR="00B7276B" w:rsidRPr="004B329E">
        <w:rPr>
          <w:rFonts w:ascii="Book Antiqua" w:hAnsi="Book Antiqua"/>
          <w:sz w:val="24"/>
          <w:szCs w:val="24"/>
        </w:rPr>
        <w:t xml:space="preserve">area of controversy. </w:t>
      </w:r>
      <w:r w:rsidR="00884A76" w:rsidRPr="004B329E">
        <w:rPr>
          <w:rFonts w:ascii="Book Antiqua" w:hAnsi="Book Antiqua"/>
          <w:sz w:val="24"/>
          <w:szCs w:val="24"/>
        </w:rPr>
        <w:t>Heffess</w:t>
      </w:r>
      <w:r w:rsidR="00B7276B" w:rsidRPr="004B329E">
        <w:rPr>
          <w:rFonts w:ascii="Book Antiqua" w:hAnsi="Book Antiqua"/>
          <w:sz w:val="24"/>
          <w:szCs w:val="24"/>
        </w:rPr>
        <w:t xml:space="preserve"> </w:t>
      </w:r>
      <w:r w:rsidRPr="004B329E">
        <w:rPr>
          <w:rFonts w:ascii="Book Antiqua" w:hAnsi="Book Antiqua"/>
          <w:i/>
          <w:iCs/>
          <w:sz w:val="24"/>
          <w:szCs w:val="24"/>
        </w:rPr>
        <w:t>et al</w:t>
      </w:r>
      <w:r w:rsidR="00884A76" w:rsidRPr="004B329E">
        <w:rPr>
          <w:rFonts w:ascii="Book Antiqua" w:hAnsi="Book Antiqua"/>
          <w:sz w:val="24"/>
          <w:szCs w:val="24"/>
          <w:vertAlign w:val="superscript"/>
        </w:rPr>
        <w:t>[10]</w:t>
      </w:r>
      <w:r w:rsidRPr="004B329E">
        <w:rPr>
          <w:rFonts w:ascii="Book Antiqua" w:hAnsi="Book Antiqua"/>
          <w:sz w:val="24"/>
          <w:szCs w:val="24"/>
        </w:rPr>
        <w:t xml:space="preserve"> performed a pathological study in 36 cases of metastatic renal cell carcinoma to the thyroid gland and found presence of pathological non-malignant abnorm</w:t>
      </w:r>
      <w:r w:rsidR="00B7276B" w:rsidRPr="004B329E">
        <w:rPr>
          <w:rFonts w:ascii="Book Antiqua" w:hAnsi="Book Antiqua"/>
          <w:sz w:val="24"/>
          <w:szCs w:val="24"/>
        </w:rPr>
        <w:t>alities in some patients with</w:t>
      </w:r>
      <w:r w:rsidRPr="004B329E">
        <w:rPr>
          <w:rFonts w:ascii="Book Antiqua" w:hAnsi="Book Antiqua"/>
          <w:sz w:val="24"/>
          <w:szCs w:val="24"/>
        </w:rPr>
        <w:t xml:space="preserve"> CCRCC metastases to the thyroid. This could account for the development of metastases which could be due to a compromise of </w:t>
      </w:r>
      <w:r w:rsidR="001B05E8" w:rsidRPr="004B329E">
        <w:rPr>
          <w:rFonts w:ascii="Book Antiqua" w:hAnsi="Book Antiqua"/>
          <w:sz w:val="24"/>
          <w:szCs w:val="24"/>
        </w:rPr>
        <w:t xml:space="preserve">either </w:t>
      </w:r>
      <w:r w:rsidRPr="004B329E">
        <w:rPr>
          <w:rFonts w:ascii="Book Antiqua" w:hAnsi="Book Antiqua"/>
          <w:sz w:val="24"/>
          <w:szCs w:val="24"/>
        </w:rPr>
        <w:t xml:space="preserve">the blood supply </w:t>
      </w:r>
      <w:r w:rsidR="001B05E8" w:rsidRPr="004B329E">
        <w:rPr>
          <w:rFonts w:ascii="Book Antiqua" w:hAnsi="Book Antiqua"/>
          <w:sz w:val="24"/>
          <w:szCs w:val="24"/>
        </w:rPr>
        <w:t xml:space="preserve">or cellular metabolism </w:t>
      </w:r>
      <w:r w:rsidRPr="004B329E">
        <w:rPr>
          <w:rFonts w:ascii="Book Antiqua" w:hAnsi="Book Antiqua"/>
          <w:sz w:val="24"/>
          <w:szCs w:val="24"/>
        </w:rPr>
        <w:t xml:space="preserve">that </w:t>
      </w:r>
      <w:r w:rsidR="001B05E8" w:rsidRPr="004B329E">
        <w:rPr>
          <w:rFonts w:ascii="Book Antiqua" w:hAnsi="Book Antiqua"/>
          <w:sz w:val="24"/>
          <w:szCs w:val="24"/>
        </w:rPr>
        <w:t xml:space="preserve">might </w:t>
      </w:r>
      <w:r w:rsidRPr="004B329E">
        <w:rPr>
          <w:rFonts w:ascii="Book Antiqua" w:hAnsi="Book Antiqua"/>
          <w:sz w:val="24"/>
          <w:szCs w:val="24"/>
        </w:rPr>
        <w:t>lead to low oxygen and iodine content and support</w:t>
      </w:r>
      <w:r w:rsidR="00D5570A" w:rsidRPr="004B329E">
        <w:rPr>
          <w:rFonts w:ascii="Book Antiqua" w:hAnsi="Book Antiqua"/>
          <w:sz w:val="24"/>
          <w:szCs w:val="24"/>
        </w:rPr>
        <w:t>s</w:t>
      </w:r>
      <w:r w:rsidRPr="004B329E">
        <w:rPr>
          <w:rFonts w:ascii="Book Antiqua" w:hAnsi="Book Antiqua"/>
          <w:sz w:val="24"/>
          <w:szCs w:val="24"/>
        </w:rPr>
        <w:t xml:space="preserve"> the development of metastatic lesions.</w:t>
      </w:r>
      <w:r w:rsidR="00884A76" w:rsidRPr="004B329E">
        <w:rPr>
          <w:rFonts w:ascii="Book Antiqua" w:hAnsi="Book Antiqua"/>
          <w:sz w:val="24"/>
          <w:szCs w:val="24"/>
        </w:rPr>
        <w:t xml:space="preserve"> </w:t>
      </w:r>
      <w:r w:rsidRPr="004B329E">
        <w:rPr>
          <w:rFonts w:ascii="Book Antiqua" w:hAnsi="Book Antiqua"/>
          <w:sz w:val="24"/>
          <w:szCs w:val="24"/>
        </w:rPr>
        <w:t xml:space="preserve">The majority of our patients </w:t>
      </w:r>
      <w:r w:rsidR="00D5570A" w:rsidRPr="004B329E">
        <w:rPr>
          <w:rFonts w:ascii="Book Antiqua" w:hAnsi="Book Antiqua"/>
          <w:sz w:val="24"/>
          <w:szCs w:val="24"/>
        </w:rPr>
        <w:t>with available</w:t>
      </w:r>
      <w:r w:rsidR="00B7276B" w:rsidRPr="004B329E">
        <w:rPr>
          <w:rFonts w:ascii="Book Antiqua" w:hAnsi="Book Antiqua"/>
          <w:sz w:val="24"/>
          <w:szCs w:val="24"/>
        </w:rPr>
        <w:t xml:space="preserve"> TSH levels</w:t>
      </w:r>
      <w:r w:rsidRPr="004B329E">
        <w:rPr>
          <w:rFonts w:ascii="Book Antiqua" w:hAnsi="Book Antiqua"/>
          <w:sz w:val="24"/>
          <w:szCs w:val="24"/>
        </w:rPr>
        <w:t xml:space="preserve"> (89.3%) </w:t>
      </w:r>
      <w:r w:rsidR="00B7276B" w:rsidRPr="004B329E">
        <w:rPr>
          <w:rFonts w:ascii="Book Antiqua" w:hAnsi="Book Antiqua"/>
          <w:sz w:val="24"/>
          <w:szCs w:val="24"/>
        </w:rPr>
        <w:t>had normal hormone values</w:t>
      </w:r>
      <w:r w:rsidRPr="004B329E">
        <w:rPr>
          <w:rFonts w:ascii="Book Antiqua" w:hAnsi="Book Antiqua"/>
          <w:sz w:val="24"/>
          <w:szCs w:val="24"/>
        </w:rPr>
        <w:t xml:space="preserve"> and there was no history of prior thyroid disease except for</w:t>
      </w:r>
      <w:r w:rsidR="00D5570A" w:rsidRPr="004B329E">
        <w:rPr>
          <w:rFonts w:ascii="Book Antiqua" w:hAnsi="Book Antiqua"/>
          <w:sz w:val="24"/>
          <w:szCs w:val="24"/>
        </w:rPr>
        <w:t xml:space="preserve"> presumed</w:t>
      </w:r>
      <w:r w:rsidRPr="004B329E">
        <w:rPr>
          <w:rFonts w:ascii="Book Antiqua" w:hAnsi="Book Antiqua"/>
          <w:sz w:val="24"/>
          <w:szCs w:val="24"/>
        </w:rPr>
        <w:t xml:space="preserve"> non-toxic multinodular goiter which in the majority of cases was found eventually to be metastatic CCRCC.</w:t>
      </w:r>
    </w:p>
    <w:p w14:paraId="26BF1FF5" w14:textId="77777777" w:rsidR="00D419BE" w:rsidRPr="004B329E" w:rsidRDefault="00D419BE" w:rsidP="000675D7">
      <w:pPr>
        <w:spacing w:after="0" w:line="360" w:lineRule="auto"/>
        <w:jc w:val="both"/>
        <w:rPr>
          <w:rFonts w:ascii="Book Antiqua" w:hAnsi="Book Antiqua"/>
          <w:b/>
          <w:sz w:val="24"/>
          <w:szCs w:val="24"/>
        </w:rPr>
      </w:pPr>
    </w:p>
    <w:p w14:paraId="36393EC2" w14:textId="110DEC0A" w:rsidR="00F90162" w:rsidRPr="004B329E" w:rsidRDefault="00F90162" w:rsidP="000675D7">
      <w:pPr>
        <w:spacing w:after="0" w:line="360" w:lineRule="auto"/>
        <w:jc w:val="both"/>
        <w:rPr>
          <w:rFonts w:ascii="Book Antiqua" w:hAnsi="Book Antiqua"/>
          <w:b/>
          <w:i/>
          <w:iCs/>
          <w:sz w:val="24"/>
          <w:szCs w:val="24"/>
        </w:rPr>
      </w:pPr>
      <w:r w:rsidRPr="004B329E">
        <w:rPr>
          <w:rFonts w:ascii="Book Antiqua" w:hAnsi="Book Antiqua"/>
          <w:b/>
          <w:i/>
          <w:iCs/>
          <w:sz w:val="24"/>
          <w:szCs w:val="24"/>
        </w:rPr>
        <w:t>Period of Latency and secondary metastatic sites</w:t>
      </w:r>
    </w:p>
    <w:p w14:paraId="0DC31E90" w14:textId="7C710F85" w:rsidR="00884A76" w:rsidRPr="004B329E" w:rsidRDefault="00F90162" w:rsidP="000675D7">
      <w:pPr>
        <w:spacing w:after="0" w:line="360" w:lineRule="auto"/>
        <w:jc w:val="both"/>
        <w:rPr>
          <w:rFonts w:ascii="Book Antiqua" w:hAnsi="Book Antiqua"/>
          <w:sz w:val="24"/>
          <w:szCs w:val="24"/>
        </w:rPr>
      </w:pPr>
      <w:r w:rsidRPr="004B329E">
        <w:rPr>
          <w:rFonts w:ascii="Book Antiqua" w:hAnsi="Book Antiqua"/>
          <w:sz w:val="24"/>
          <w:szCs w:val="24"/>
        </w:rPr>
        <w:t>The distribution of metastatic CCRCC to the thyroid gland appears to be slightly different in the studied population with a male to female ratio of 1:1.13. The recurrence of metastatic disease in clear cell renal cell carcinoma follows an unpredictable distribution and it is not uncommon to have a long latency period of years before the development or detection of metastases</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11</w:t>
      </w:r>
      <w:r w:rsidR="0011779F" w:rsidRPr="004B329E">
        <w:rPr>
          <w:rFonts w:ascii="Book Antiqua" w:hAnsi="Book Antiqua"/>
          <w:sz w:val="24"/>
          <w:szCs w:val="24"/>
          <w:vertAlign w:val="superscript"/>
        </w:rPr>
        <w:t>]</w:t>
      </w:r>
      <w:r w:rsidRPr="004B329E">
        <w:rPr>
          <w:rFonts w:ascii="Book Antiqua" w:hAnsi="Book Antiqua"/>
          <w:sz w:val="24"/>
          <w:szCs w:val="24"/>
        </w:rPr>
        <w:t xml:space="preserve">. In our study, the mean latency time before the detection of thyroid metastases was 8.7 years (ranging from several weeks to 31 years) which correlates with previous published </w:t>
      </w:r>
      <w:r w:rsidR="001A260A" w:rsidRPr="004B329E">
        <w:rPr>
          <w:rFonts w:ascii="Book Antiqua" w:hAnsi="Book Antiqua"/>
          <w:sz w:val="24"/>
          <w:szCs w:val="24"/>
        </w:rPr>
        <w:t>reports</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12,13</w:t>
      </w:r>
      <w:r w:rsidR="0011779F" w:rsidRPr="004B329E">
        <w:rPr>
          <w:rFonts w:ascii="Book Antiqua" w:hAnsi="Book Antiqua"/>
          <w:sz w:val="24"/>
          <w:szCs w:val="24"/>
          <w:vertAlign w:val="superscript"/>
        </w:rPr>
        <w:t>]</w:t>
      </w:r>
      <w:r w:rsidRPr="004B329E">
        <w:rPr>
          <w:rFonts w:ascii="Book Antiqua" w:hAnsi="Book Antiqua"/>
          <w:sz w:val="24"/>
          <w:szCs w:val="24"/>
        </w:rPr>
        <w:t>. However, the highest risk of metastatic recurrence after surgical nephrectomy of the primary tumor appears to be in the first 5 years with the initial tumor staging predicting the time of recurrence and metastases</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14</w:t>
      </w:r>
      <w:r w:rsidR="0011779F" w:rsidRPr="004B329E">
        <w:rPr>
          <w:rFonts w:ascii="Book Antiqua" w:hAnsi="Book Antiqua"/>
          <w:sz w:val="24"/>
          <w:szCs w:val="24"/>
          <w:vertAlign w:val="superscript"/>
        </w:rPr>
        <w:t>]</w:t>
      </w:r>
      <w:r w:rsidRPr="004B329E">
        <w:rPr>
          <w:rFonts w:ascii="Book Antiqua" w:hAnsi="Book Antiqua"/>
          <w:sz w:val="24"/>
          <w:szCs w:val="24"/>
        </w:rPr>
        <w:t>.</w:t>
      </w:r>
    </w:p>
    <w:p w14:paraId="4D295C49" w14:textId="1C487C0D" w:rsidR="00F90162" w:rsidRPr="004B329E" w:rsidRDefault="00F90162"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 xml:space="preserve">We examined </w:t>
      </w:r>
      <w:r w:rsidR="00D5570A" w:rsidRPr="004B329E">
        <w:rPr>
          <w:rFonts w:ascii="Book Antiqua" w:hAnsi="Book Antiqua"/>
          <w:sz w:val="24"/>
          <w:szCs w:val="24"/>
        </w:rPr>
        <w:t>whether</w:t>
      </w:r>
      <w:r w:rsidRPr="004B329E">
        <w:rPr>
          <w:rFonts w:ascii="Book Antiqua" w:hAnsi="Book Antiqua"/>
          <w:sz w:val="24"/>
          <w:szCs w:val="24"/>
        </w:rPr>
        <w:t xml:space="preserve"> the presence of lung and thyroid metastases </w:t>
      </w:r>
      <w:r w:rsidR="001A260A" w:rsidRPr="004B329E">
        <w:rPr>
          <w:rFonts w:ascii="Book Antiqua" w:hAnsi="Book Antiqua"/>
          <w:sz w:val="24"/>
          <w:szCs w:val="24"/>
        </w:rPr>
        <w:t>conferred</w:t>
      </w:r>
      <w:r w:rsidRPr="004B329E">
        <w:rPr>
          <w:rFonts w:ascii="Book Antiqua" w:hAnsi="Book Antiqua"/>
          <w:sz w:val="24"/>
          <w:szCs w:val="24"/>
        </w:rPr>
        <w:t xml:space="preserve"> </w:t>
      </w:r>
      <w:r w:rsidR="001A260A" w:rsidRPr="004B329E">
        <w:rPr>
          <w:rFonts w:ascii="Book Antiqua" w:hAnsi="Book Antiqua"/>
          <w:sz w:val="24"/>
          <w:szCs w:val="24"/>
        </w:rPr>
        <w:t xml:space="preserve">worse </w:t>
      </w:r>
      <w:r w:rsidRPr="004B329E">
        <w:rPr>
          <w:rFonts w:ascii="Book Antiqua" w:hAnsi="Book Antiqua"/>
          <w:sz w:val="24"/>
          <w:szCs w:val="24"/>
        </w:rPr>
        <w:t xml:space="preserve">prognosis compared to other metastatic sites. However, our analysis did not yield a </w:t>
      </w:r>
      <w:r w:rsidR="00D5570A" w:rsidRPr="004B329E">
        <w:rPr>
          <w:rFonts w:ascii="Book Antiqua" w:hAnsi="Book Antiqua"/>
          <w:sz w:val="24"/>
          <w:szCs w:val="24"/>
        </w:rPr>
        <w:t xml:space="preserve">significant </w:t>
      </w:r>
      <w:r w:rsidRPr="004B329E">
        <w:rPr>
          <w:rFonts w:ascii="Book Antiqua" w:hAnsi="Book Antiqua"/>
          <w:sz w:val="24"/>
          <w:szCs w:val="24"/>
        </w:rPr>
        <w:t>difference. We could not perform the analysis on the other metastatic site in the pooled population due to the low number. In our search of the literature we found that patients with pancreatic metastasis from renal cell carcinoma had a better median overall survival</w:t>
      </w:r>
      <w:r w:rsidR="00D5570A" w:rsidRPr="004B329E">
        <w:rPr>
          <w:rFonts w:ascii="Book Antiqua" w:hAnsi="Book Antiqua"/>
          <w:sz w:val="24"/>
          <w:szCs w:val="24"/>
        </w:rPr>
        <w:t xml:space="preserve"> as demonstrated</w:t>
      </w:r>
      <w:r w:rsidR="00B7276B" w:rsidRPr="004B329E">
        <w:rPr>
          <w:rFonts w:ascii="Book Antiqua" w:hAnsi="Book Antiqua"/>
          <w:sz w:val="24"/>
          <w:szCs w:val="24"/>
        </w:rPr>
        <w:t xml:space="preserve"> in the study of </w:t>
      </w:r>
      <w:r w:rsidR="00884A76" w:rsidRPr="004B329E">
        <w:rPr>
          <w:rFonts w:ascii="Book Antiqua" w:hAnsi="Book Antiqua"/>
          <w:sz w:val="24"/>
          <w:szCs w:val="24"/>
        </w:rPr>
        <w:t>Kalra</w:t>
      </w:r>
      <w:r w:rsidR="00B7276B" w:rsidRPr="004B329E">
        <w:rPr>
          <w:rFonts w:ascii="Book Antiqua" w:hAnsi="Book Antiqua"/>
          <w:sz w:val="24"/>
          <w:szCs w:val="24"/>
        </w:rPr>
        <w:t xml:space="preserve"> </w:t>
      </w:r>
      <w:r w:rsidRPr="004B329E">
        <w:rPr>
          <w:rFonts w:ascii="Book Antiqua" w:hAnsi="Book Antiqua"/>
          <w:i/>
          <w:iCs/>
          <w:sz w:val="24"/>
          <w:szCs w:val="24"/>
        </w:rPr>
        <w:t>et al</w:t>
      </w:r>
      <w:r w:rsidR="00884A76" w:rsidRPr="004B329E">
        <w:rPr>
          <w:rFonts w:ascii="Book Antiqua" w:hAnsi="Book Antiqua"/>
          <w:sz w:val="24"/>
          <w:szCs w:val="24"/>
          <w:vertAlign w:val="superscript"/>
        </w:rPr>
        <w:t>[15]</w:t>
      </w:r>
      <w:r w:rsidRPr="004B329E">
        <w:rPr>
          <w:rFonts w:ascii="Book Antiqua" w:hAnsi="Book Antiqua"/>
          <w:sz w:val="24"/>
          <w:szCs w:val="24"/>
        </w:rPr>
        <w:t xml:space="preserve"> which compared</w:t>
      </w:r>
      <w:r w:rsidR="001A260A" w:rsidRPr="004B329E">
        <w:rPr>
          <w:rFonts w:ascii="Book Antiqua" w:hAnsi="Book Antiqua"/>
          <w:sz w:val="24"/>
          <w:szCs w:val="24"/>
        </w:rPr>
        <w:t xml:space="preserve"> overall survival in patient with</w:t>
      </w:r>
      <w:r w:rsidR="00D5570A" w:rsidRPr="004B329E">
        <w:rPr>
          <w:rFonts w:ascii="Book Antiqua" w:hAnsi="Book Antiqua"/>
          <w:sz w:val="24"/>
          <w:szCs w:val="24"/>
        </w:rPr>
        <w:t xml:space="preserve"> pancreatic metastases</w:t>
      </w:r>
      <w:r w:rsidRPr="004B329E">
        <w:rPr>
          <w:rFonts w:ascii="Book Antiqua" w:hAnsi="Book Antiqua"/>
          <w:sz w:val="24"/>
          <w:szCs w:val="24"/>
        </w:rPr>
        <w:t xml:space="preserve"> </w:t>
      </w:r>
      <w:r w:rsidR="001A260A" w:rsidRPr="004B329E">
        <w:rPr>
          <w:rFonts w:ascii="Book Antiqua" w:hAnsi="Book Antiqua"/>
          <w:sz w:val="24"/>
          <w:szCs w:val="24"/>
        </w:rPr>
        <w:t>versus different metastatic sites</w:t>
      </w:r>
      <w:r w:rsidRPr="004B329E">
        <w:rPr>
          <w:rFonts w:ascii="Book Antiqua" w:hAnsi="Book Antiqua"/>
          <w:sz w:val="24"/>
          <w:szCs w:val="24"/>
        </w:rPr>
        <w:t xml:space="preserve"> other metastatic site (39 </w:t>
      </w:r>
      <w:r w:rsidRPr="004B329E">
        <w:rPr>
          <w:rFonts w:ascii="Book Antiqua" w:hAnsi="Book Antiqua"/>
          <w:i/>
          <w:iCs/>
          <w:sz w:val="24"/>
          <w:szCs w:val="24"/>
        </w:rPr>
        <w:t xml:space="preserve">vs </w:t>
      </w:r>
      <w:r w:rsidRPr="004B329E">
        <w:rPr>
          <w:rFonts w:ascii="Book Antiqua" w:hAnsi="Book Antiqua"/>
          <w:sz w:val="24"/>
          <w:szCs w:val="24"/>
        </w:rPr>
        <w:t xml:space="preserve">26 mo respectively, </w:t>
      </w:r>
      <w:r w:rsidRPr="004B329E">
        <w:rPr>
          <w:rFonts w:ascii="Book Antiqua" w:hAnsi="Book Antiqua"/>
          <w:i/>
          <w:iCs/>
          <w:caps/>
          <w:sz w:val="24"/>
          <w:szCs w:val="24"/>
        </w:rPr>
        <w:t>p</w:t>
      </w:r>
      <w:r w:rsidRPr="004B329E">
        <w:rPr>
          <w:rFonts w:ascii="Book Antiqua" w:hAnsi="Book Antiqua"/>
          <w:sz w:val="24"/>
          <w:szCs w:val="24"/>
        </w:rPr>
        <w:t xml:space="preserve"> &lt; 0.01</w:t>
      </w:r>
      <w:r w:rsidR="0011779F" w:rsidRPr="004B329E">
        <w:rPr>
          <w:rFonts w:ascii="Book Antiqua" w:hAnsi="Book Antiqua"/>
          <w:sz w:val="24"/>
          <w:szCs w:val="24"/>
        </w:rPr>
        <w:t>) in a cohort of 228 patients</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15</w:t>
      </w:r>
      <w:r w:rsidR="0011779F" w:rsidRPr="004B329E">
        <w:rPr>
          <w:rFonts w:ascii="Book Antiqua" w:hAnsi="Book Antiqua"/>
          <w:sz w:val="24"/>
          <w:szCs w:val="24"/>
          <w:vertAlign w:val="superscript"/>
        </w:rPr>
        <w:t>]</w:t>
      </w:r>
      <w:r w:rsidRPr="004B329E">
        <w:rPr>
          <w:rFonts w:ascii="Book Antiqua" w:hAnsi="Book Antiqua"/>
          <w:sz w:val="24"/>
          <w:szCs w:val="24"/>
        </w:rPr>
        <w:t>.</w:t>
      </w:r>
    </w:p>
    <w:p w14:paraId="46C6451F" w14:textId="72F9A73B" w:rsidR="00F90162" w:rsidRPr="004B329E" w:rsidRDefault="00F90162"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In this review, the most frequent metastatic site in patients with CCRCC and thyroid metastases was the lung (31.3%)</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9</w:t>
      </w:r>
      <w:r w:rsidR="0011779F" w:rsidRPr="004B329E">
        <w:rPr>
          <w:rFonts w:ascii="Book Antiqua" w:hAnsi="Book Antiqua"/>
          <w:sz w:val="24"/>
          <w:szCs w:val="24"/>
          <w:vertAlign w:val="superscript"/>
        </w:rPr>
        <w:t>]</w:t>
      </w:r>
      <w:r w:rsidRPr="004B329E">
        <w:rPr>
          <w:rFonts w:ascii="Book Antiqua" w:hAnsi="Book Antiqua"/>
          <w:sz w:val="24"/>
          <w:szCs w:val="24"/>
        </w:rPr>
        <w:t>.</w:t>
      </w:r>
    </w:p>
    <w:p w14:paraId="4BCD41A2" w14:textId="77777777" w:rsidR="009014A5" w:rsidRPr="004B329E" w:rsidRDefault="009014A5" w:rsidP="000675D7">
      <w:pPr>
        <w:spacing w:after="0" w:line="360" w:lineRule="auto"/>
        <w:jc w:val="both"/>
        <w:rPr>
          <w:rFonts w:ascii="Book Antiqua" w:hAnsi="Book Antiqua"/>
          <w:b/>
          <w:sz w:val="24"/>
          <w:szCs w:val="24"/>
        </w:rPr>
      </w:pPr>
    </w:p>
    <w:p w14:paraId="3F567F9E" w14:textId="27B0BE96" w:rsidR="00F90162" w:rsidRPr="004B329E" w:rsidRDefault="00F90162" w:rsidP="000675D7">
      <w:pPr>
        <w:spacing w:after="0" w:line="360" w:lineRule="auto"/>
        <w:jc w:val="both"/>
        <w:rPr>
          <w:rFonts w:ascii="Book Antiqua" w:hAnsi="Book Antiqua"/>
          <w:b/>
          <w:i/>
          <w:iCs/>
          <w:sz w:val="24"/>
          <w:szCs w:val="24"/>
        </w:rPr>
      </w:pPr>
      <w:r w:rsidRPr="004B329E">
        <w:rPr>
          <w:rFonts w:ascii="Book Antiqua" w:hAnsi="Book Antiqua"/>
          <w:b/>
          <w:i/>
          <w:iCs/>
          <w:sz w:val="24"/>
          <w:szCs w:val="24"/>
        </w:rPr>
        <w:t xml:space="preserve">Clinical </w:t>
      </w:r>
      <w:r w:rsidR="009014A5" w:rsidRPr="004B329E">
        <w:rPr>
          <w:rFonts w:ascii="Book Antiqua" w:hAnsi="Book Antiqua"/>
          <w:b/>
          <w:i/>
          <w:iCs/>
          <w:sz w:val="24"/>
          <w:szCs w:val="24"/>
        </w:rPr>
        <w:t>features</w:t>
      </w:r>
    </w:p>
    <w:p w14:paraId="746AA391" w14:textId="7C0EDD3C" w:rsidR="00F90162" w:rsidRPr="004B329E" w:rsidRDefault="00F90162" w:rsidP="000675D7">
      <w:pPr>
        <w:spacing w:after="0" w:line="360" w:lineRule="auto"/>
        <w:jc w:val="both"/>
        <w:rPr>
          <w:rFonts w:ascii="Book Antiqua" w:hAnsi="Book Antiqua"/>
          <w:sz w:val="24"/>
          <w:szCs w:val="24"/>
        </w:rPr>
      </w:pPr>
      <w:r w:rsidRPr="004B329E">
        <w:rPr>
          <w:rFonts w:ascii="Book Antiqua" w:hAnsi="Book Antiqua"/>
          <w:sz w:val="24"/>
          <w:szCs w:val="24"/>
        </w:rPr>
        <w:t xml:space="preserve">The majority of patients with CCRCC and thyroid metastases present with a painless mass and can be often misdiagnosed initially as non-toxic multinodular goiter. In our study, we noticed a weak </w:t>
      </w:r>
      <w:r w:rsidR="00E1221A" w:rsidRPr="004B329E">
        <w:rPr>
          <w:rFonts w:ascii="Book Antiqua" w:hAnsi="Book Antiqua"/>
          <w:sz w:val="24"/>
          <w:szCs w:val="24"/>
        </w:rPr>
        <w:t xml:space="preserve">correlation </w:t>
      </w:r>
      <w:r w:rsidRPr="004B329E">
        <w:rPr>
          <w:rFonts w:ascii="Book Antiqua" w:hAnsi="Book Antiqua"/>
          <w:sz w:val="24"/>
          <w:szCs w:val="24"/>
        </w:rPr>
        <w:t>between the lag time and the size of thyroid metastases</w:t>
      </w:r>
      <w:r w:rsidR="00E1221A" w:rsidRPr="004B329E">
        <w:rPr>
          <w:rFonts w:ascii="Book Antiqua" w:hAnsi="Book Antiqua"/>
          <w:sz w:val="24"/>
          <w:szCs w:val="24"/>
        </w:rPr>
        <w:t>; however, not statistically significant (</w:t>
      </w:r>
      <w:r w:rsidR="00E1221A" w:rsidRPr="004B329E">
        <w:rPr>
          <w:rFonts w:ascii="Book Antiqua" w:hAnsi="Book Antiqua"/>
          <w:i/>
          <w:iCs/>
          <w:sz w:val="24"/>
          <w:szCs w:val="24"/>
        </w:rPr>
        <w:t>P</w:t>
      </w:r>
      <w:r w:rsidR="0035406E" w:rsidRPr="004B329E">
        <w:rPr>
          <w:rFonts w:ascii="Book Antiqua" w:hAnsi="Book Antiqua"/>
          <w:sz w:val="24"/>
          <w:szCs w:val="24"/>
        </w:rPr>
        <w:t xml:space="preserve"> </w:t>
      </w:r>
      <w:r w:rsidR="00E1221A" w:rsidRPr="004B329E">
        <w:rPr>
          <w:rFonts w:ascii="Book Antiqua" w:hAnsi="Book Antiqua"/>
          <w:sz w:val="24"/>
          <w:szCs w:val="24"/>
        </w:rPr>
        <w:t>=</w:t>
      </w:r>
      <w:r w:rsidR="0035406E" w:rsidRPr="004B329E">
        <w:rPr>
          <w:rFonts w:ascii="Book Antiqua" w:hAnsi="Book Antiqua"/>
          <w:sz w:val="24"/>
          <w:szCs w:val="24"/>
        </w:rPr>
        <w:t xml:space="preserve"> </w:t>
      </w:r>
      <w:r w:rsidR="00703F45" w:rsidRPr="004B329E">
        <w:rPr>
          <w:rFonts w:ascii="Book Antiqua" w:hAnsi="Book Antiqua"/>
          <w:sz w:val="24"/>
          <w:szCs w:val="24"/>
        </w:rPr>
        <w:t>0.1</w:t>
      </w:r>
      <w:r w:rsidR="00703F45" w:rsidRPr="004B329E">
        <w:rPr>
          <w:rFonts w:ascii="Book Antiqua" w:hAnsi="Book Antiqua" w:hint="eastAsia"/>
          <w:sz w:val="24"/>
          <w:szCs w:val="24"/>
          <w:lang w:eastAsia="zh-CN"/>
        </w:rPr>
        <w:t>,</w:t>
      </w:r>
      <w:r w:rsidR="00E1221A" w:rsidRPr="004B329E">
        <w:rPr>
          <w:rFonts w:ascii="Book Antiqua" w:hAnsi="Book Antiqua"/>
          <w:sz w:val="24"/>
          <w:szCs w:val="24"/>
        </w:rPr>
        <w:t xml:space="preserve"> Figure</w:t>
      </w:r>
      <w:r w:rsidR="0035406E" w:rsidRPr="004B329E">
        <w:rPr>
          <w:rFonts w:ascii="Book Antiqua" w:hAnsi="Book Antiqua"/>
          <w:sz w:val="24"/>
          <w:szCs w:val="24"/>
        </w:rPr>
        <w:t xml:space="preserve"> </w:t>
      </w:r>
      <w:r w:rsidR="00E1221A" w:rsidRPr="004B329E">
        <w:rPr>
          <w:rFonts w:ascii="Book Antiqua" w:hAnsi="Book Antiqua"/>
          <w:sz w:val="24"/>
          <w:szCs w:val="24"/>
        </w:rPr>
        <w:t>3</w:t>
      </w:r>
      <w:r w:rsidR="00703F45" w:rsidRPr="004B329E">
        <w:rPr>
          <w:rFonts w:ascii="Book Antiqua" w:hAnsi="Book Antiqua" w:hint="eastAsia"/>
          <w:sz w:val="24"/>
          <w:szCs w:val="24"/>
          <w:lang w:eastAsia="zh-CN"/>
        </w:rPr>
        <w:t>)</w:t>
      </w:r>
      <w:r w:rsidRPr="004B329E">
        <w:rPr>
          <w:rFonts w:ascii="Book Antiqua" w:hAnsi="Book Antiqua"/>
          <w:sz w:val="24"/>
          <w:szCs w:val="24"/>
        </w:rPr>
        <w:t>. Moreover, the size of metastasis correlates with symptoms as increased lesion size correlate</w:t>
      </w:r>
      <w:r w:rsidR="00B7276B" w:rsidRPr="004B329E">
        <w:rPr>
          <w:rFonts w:ascii="Book Antiqua" w:hAnsi="Book Antiqua"/>
          <w:sz w:val="24"/>
          <w:szCs w:val="24"/>
        </w:rPr>
        <w:t>d</w:t>
      </w:r>
      <w:r w:rsidRPr="004B329E">
        <w:rPr>
          <w:rFonts w:ascii="Book Antiqua" w:hAnsi="Book Antiqua"/>
          <w:sz w:val="24"/>
          <w:szCs w:val="24"/>
        </w:rPr>
        <w:t xml:space="preserve"> with symptomatic disease (</w:t>
      </w:r>
      <w:r w:rsidRPr="004B329E">
        <w:rPr>
          <w:rFonts w:ascii="Book Antiqua" w:hAnsi="Book Antiqua"/>
          <w:i/>
          <w:iCs/>
          <w:caps/>
          <w:sz w:val="24"/>
          <w:szCs w:val="24"/>
        </w:rPr>
        <w:t>p</w:t>
      </w:r>
      <w:r w:rsidR="0035406E" w:rsidRPr="004B329E">
        <w:rPr>
          <w:rFonts w:ascii="Book Antiqua" w:hAnsi="Book Antiqua"/>
          <w:sz w:val="24"/>
          <w:szCs w:val="24"/>
        </w:rPr>
        <w:t xml:space="preserve"> </w:t>
      </w:r>
      <w:r w:rsidRPr="004B329E">
        <w:rPr>
          <w:rFonts w:ascii="Book Antiqua" w:hAnsi="Book Antiqua"/>
          <w:sz w:val="24"/>
          <w:szCs w:val="24"/>
        </w:rPr>
        <w:t>=</w:t>
      </w:r>
      <w:r w:rsidR="0035406E" w:rsidRPr="004B329E">
        <w:rPr>
          <w:rFonts w:ascii="Book Antiqua" w:hAnsi="Book Antiqua"/>
          <w:sz w:val="24"/>
          <w:szCs w:val="24"/>
        </w:rPr>
        <w:t xml:space="preserve"> </w:t>
      </w:r>
      <w:r w:rsidRPr="004B329E">
        <w:rPr>
          <w:rFonts w:ascii="Book Antiqua" w:hAnsi="Book Antiqua"/>
          <w:sz w:val="24"/>
          <w:szCs w:val="24"/>
        </w:rPr>
        <w:t xml:space="preserve">0.035). These two observations suggest that high index of suspicion is required as thyroid metastases may take a long time to develop </w:t>
      </w:r>
      <w:r w:rsidR="0059481D" w:rsidRPr="004B329E">
        <w:rPr>
          <w:rFonts w:ascii="Book Antiqua" w:hAnsi="Book Antiqua"/>
          <w:sz w:val="24"/>
          <w:szCs w:val="24"/>
        </w:rPr>
        <w:t>with smaller</w:t>
      </w:r>
      <w:r w:rsidRPr="004B329E">
        <w:rPr>
          <w:rFonts w:ascii="Book Antiqua" w:hAnsi="Book Antiqua"/>
          <w:sz w:val="24"/>
          <w:szCs w:val="24"/>
        </w:rPr>
        <w:t xml:space="preserve"> size </w:t>
      </w:r>
      <w:r w:rsidR="0059481D" w:rsidRPr="004B329E">
        <w:rPr>
          <w:rFonts w:ascii="Book Antiqua" w:hAnsi="Book Antiqua"/>
          <w:sz w:val="24"/>
          <w:szCs w:val="24"/>
        </w:rPr>
        <w:t>metastases</w:t>
      </w:r>
      <w:r w:rsidRPr="004B329E">
        <w:rPr>
          <w:rFonts w:ascii="Book Antiqua" w:hAnsi="Book Antiqua"/>
          <w:sz w:val="24"/>
          <w:szCs w:val="24"/>
        </w:rPr>
        <w:t xml:space="preserve"> not produc</w:t>
      </w:r>
      <w:r w:rsidR="0059481D" w:rsidRPr="004B329E">
        <w:rPr>
          <w:rFonts w:ascii="Book Antiqua" w:hAnsi="Book Antiqua"/>
          <w:sz w:val="24"/>
          <w:szCs w:val="24"/>
        </w:rPr>
        <w:t>ing</w:t>
      </w:r>
      <w:r w:rsidRPr="004B329E">
        <w:rPr>
          <w:rFonts w:ascii="Book Antiqua" w:hAnsi="Book Antiqua"/>
          <w:sz w:val="24"/>
          <w:szCs w:val="24"/>
        </w:rPr>
        <w:t xml:space="preserve"> symptoms. </w:t>
      </w:r>
      <w:r w:rsidR="00D674C1" w:rsidRPr="004B329E">
        <w:rPr>
          <w:rFonts w:ascii="Book Antiqua" w:hAnsi="Book Antiqua"/>
          <w:sz w:val="24"/>
          <w:szCs w:val="24"/>
        </w:rPr>
        <w:t xml:space="preserve">However, </w:t>
      </w:r>
      <w:r w:rsidR="0059481D" w:rsidRPr="004B329E">
        <w:rPr>
          <w:rFonts w:ascii="Book Antiqua" w:hAnsi="Book Antiqua"/>
          <w:sz w:val="24"/>
          <w:szCs w:val="24"/>
        </w:rPr>
        <w:t>the</w:t>
      </w:r>
      <w:r w:rsidR="00D674C1" w:rsidRPr="004B329E">
        <w:rPr>
          <w:rFonts w:ascii="Book Antiqua" w:hAnsi="Book Antiqua"/>
          <w:sz w:val="24"/>
          <w:szCs w:val="24"/>
        </w:rPr>
        <w:t xml:space="preserve"> current </w:t>
      </w:r>
      <w:r w:rsidRPr="004B329E">
        <w:rPr>
          <w:rFonts w:ascii="Book Antiqua" w:hAnsi="Book Antiqua"/>
          <w:sz w:val="24"/>
          <w:szCs w:val="24"/>
        </w:rPr>
        <w:t>guidelines recommend surveillance for up to 5 years given that the highest risk of recurrence of CCRCC is within 3 to 5 years and due to the lack of evidence of cost effectiveness and overall benefit when exte</w:t>
      </w:r>
      <w:r w:rsidR="0011779F" w:rsidRPr="004B329E">
        <w:rPr>
          <w:rFonts w:ascii="Book Antiqua" w:hAnsi="Book Antiqua"/>
          <w:sz w:val="24"/>
          <w:szCs w:val="24"/>
        </w:rPr>
        <w:t>nding the surveillance period</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16</w:t>
      </w:r>
      <w:r w:rsidR="0011779F" w:rsidRPr="004B329E">
        <w:rPr>
          <w:rFonts w:ascii="Book Antiqua" w:hAnsi="Book Antiqua"/>
          <w:sz w:val="24"/>
          <w:szCs w:val="24"/>
          <w:vertAlign w:val="superscript"/>
        </w:rPr>
        <w:t>]</w:t>
      </w:r>
      <w:r w:rsidRPr="004B329E">
        <w:rPr>
          <w:rFonts w:ascii="Book Antiqua" w:hAnsi="Book Antiqua"/>
          <w:sz w:val="24"/>
          <w:szCs w:val="24"/>
        </w:rPr>
        <w:t xml:space="preserve">. The most frequent symptoms encountered in our study </w:t>
      </w:r>
      <w:r w:rsidR="00D674C1" w:rsidRPr="004B329E">
        <w:rPr>
          <w:rFonts w:ascii="Book Antiqua" w:hAnsi="Book Antiqua"/>
          <w:sz w:val="24"/>
          <w:szCs w:val="24"/>
        </w:rPr>
        <w:t>we</w:t>
      </w:r>
      <w:r w:rsidRPr="004B329E">
        <w:rPr>
          <w:rFonts w:ascii="Book Antiqua" w:hAnsi="Book Antiqua"/>
          <w:sz w:val="24"/>
          <w:szCs w:val="24"/>
        </w:rPr>
        <w:t>re dysphagia followed by dyspnea, hoarseness</w:t>
      </w:r>
      <w:r w:rsidR="00D674C1" w:rsidRPr="004B329E">
        <w:rPr>
          <w:rFonts w:ascii="Book Antiqua" w:hAnsi="Book Antiqua"/>
          <w:sz w:val="24"/>
          <w:szCs w:val="24"/>
        </w:rPr>
        <w:t>,</w:t>
      </w:r>
      <w:r w:rsidRPr="004B329E">
        <w:rPr>
          <w:rFonts w:ascii="Book Antiqua" w:hAnsi="Book Antiqua"/>
          <w:sz w:val="24"/>
          <w:szCs w:val="24"/>
        </w:rPr>
        <w:t xml:space="preserve"> neck pain, cough, stridor and epistaxis. Other uncommon symptoms incl</w:t>
      </w:r>
      <w:r w:rsidR="002C7368" w:rsidRPr="004B329E">
        <w:rPr>
          <w:rFonts w:ascii="Book Antiqua" w:hAnsi="Book Antiqua"/>
          <w:sz w:val="24"/>
          <w:szCs w:val="24"/>
        </w:rPr>
        <w:t>ude acu</w:t>
      </w:r>
      <w:r w:rsidR="0011779F" w:rsidRPr="004B329E">
        <w:rPr>
          <w:rFonts w:ascii="Book Antiqua" w:hAnsi="Book Antiqua"/>
          <w:sz w:val="24"/>
          <w:szCs w:val="24"/>
        </w:rPr>
        <w:t>te respiratory failure</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17</w:t>
      </w:r>
      <w:r w:rsidR="0011779F" w:rsidRPr="004B329E">
        <w:rPr>
          <w:rFonts w:ascii="Book Antiqua" w:hAnsi="Book Antiqua"/>
          <w:sz w:val="24"/>
          <w:szCs w:val="24"/>
          <w:vertAlign w:val="superscript"/>
        </w:rPr>
        <w:t>]</w:t>
      </w:r>
      <w:r w:rsidRPr="004B329E">
        <w:rPr>
          <w:rFonts w:ascii="Book Antiqua" w:hAnsi="Book Antiqua"/>
          <w:sz w:val="24"/>
          <w:szCs w:val="24"/>
        </w:rPr>
        <w:t xml:space="preserve"> and chest pain</w:t>
      </w:r>
      <w:r w:rsidR="0059481D" w:rsidRPr="004B329E">
        <w:rPr>
          <w:rFonts w:ascii="Book Antiqua" w:hAnsi="Book Antiqua"/>
          <w:sz w:val="24"/>
          <w:szCs w:val="24"/>
        </w:rPr>
        <w:t xml:space="preserve"> which were described in anecdotal reports</w:t>
      </w:r>
      <w:r w:rsidR="00D674C1" w:rsidRPr="004B329E">
        <w:rPr>
          <w:rFonts w:ascii="Book Antiqua" w:hAnsi="Book Antiqua"/>
          <w:sz w:val="24"/>
          <w:szCs w:val="24"/>
        </w:rPr>
        <w:t>.</w:t>
      </w:r>
    </w:p>
    <w:p w14:paraId="18CC3618" w14:textId="77777777" w:rsidR="009014A5" w:rsidRPr="004B329E" w:rsidRDefault="009014A5" w:rsidP="000675D7">
      <w:pPr>
        <w:spacing w:after="0" w:line="360" w:lineRule="auto"/>
        <w:jc w:val="both"/>
        <w:rPr>
          <w:rFonts w:ascii="Book Antiqua" w:hAnsi="Book Antiqua"/>
          <w:b/>
          <w:sz w:val="24"/>
          <w:szCs w:val="24"/>
        </w:rPr>
      </w:pPr>
    </w:p>
    <w:p w14:paraId="3A11E358" w14:textId="428C3B50" w:rsidR="00F90162" w:rsidRPr="004B329E" w:rsidRDefault="00F90162" w:rsidP="000675D7">
      <w:pPr>
        <w:spacing w:after="0" w:line="360" w:lineRule="auto"/>
        <w:jc w:val="both"/>
        <w:rPr>
          <w:rFonts w:ascii="Book Antiqua" w:hAnsi="Book Antiqua"/>
          <w:b/>
          <w:i/>
          <w:iCs/>
          <w:sz w:val="24"/>
          <w:szCs w:val="24"/>
        </w:rPr>
      </w:pPr>
      <w:r w:rsidRPr="004B329E">
        <w:rPr>
          <w:rFonts w:ascii="Book Antiqua" w:hAnsi="Book Antiqua"/>
          <w:b/>
          <w:i/>
          <w:iCs/>
          <w:sz w:val="24"/>
          <w:szCs w:val="24"/>
        </w:rPr>
        <w:t>Diagnosis</w:t>
      </w:r>
    </w:p>
    <w:p w14:paraId="5B4B6F93" w14:textId="7D88103C" w:rsidR="00F90162" w:rsidRPr="004B329E" w:rsidRDefault="00F90162" w:rsidP="000675D7">
      <w:pPr>
        <w:spacing w:after="0" w:line="360" w:lineRule="auto"/>
        <w:jc w:val="both"/>
        <w:rPr>
          <w:rFonts w:ascii="Book Antiqua" w:hAnsi="Book Antiqua"/>
          <w:sz w:val="24"/>
          <w:szCs w:val="24"/>
        </w:rPr>
      </w:pPr>
      <w:r w:rsidRPr="004B329E">
        <w:rPr>
          <w:rFonts w:ascii="Book Antiqua" w:hAnsi="Book Antiqua"/>
          <w:sz w:val="24"/>
          <w:szCs w:val="24"/>
        </w:rPr>
        <w:t xml:space="preserve">The approach to a newly detected thyroid nodule in patients with prior history of clear cell renal cell carcinoma is similar to the general approach of thyroid nodules. All the cases that were </w:t>
      </w:r>
      <w:r w:rsidR="00B7276B" w:rsidRPr="004B329E">
        <w:rPr>
          <w:rFonts w:ascii="Book Antiqua" w:hAnsi="Book Antiqua"/>
          <w:sz w:val="24"/>
          <w:szCs w:val="24"/>
        </w:rPr>
        <w:t xml:space="preserve">included </w:t>
      </w:r>
      <w:r w:rsidRPr="004B329E">
        <w:rPr>
          <w:rFonts w:ascii="Book Antiqua" w:hAnsi="Book Antiqua"/>
          <w:sz w:val="24"/>
          <w:szCs w:val="24"/>
        </w:rPr>
        <w:t xml:space="preserve">our systematic </w:t>
      </w:r>
      <w:r w:rsidR="00B7276B" w:rsidRPr="004B329E">
        <w:rPr>
          <w:rFonts w:ascii="Book Antiqua" w:hAnsi="Book Antiqua"/>
          <w:sz w:val="24"/>
          <w:szCs w:val="24"/>
        </w:rPr>
        <w:t>review had a definitive diagnosi</w:t>
      </w:r>
      <w:r w:rsidRPr="004B329E">
        <w:rPr>
          <w:rFonts w:ascii="Book Antiqua" w:hAnsi="Book Antiqua"/>
          <w:sz w:val="24"/>
          <w:szCs w:val="24"/>
        </w:rPr>
        <w:t>s following surgical resection of the thyroid mass with histopathology (100% cases). Nevertheless, FNA appears to be a reliable and sufficient method of diagnosis when proper immunohistochemi</w:t>
      </w:r>
      <w:r w:rsidR="00F676F1" w:rsidRPr="004B329E">
        <w:rPr>
          <w:rFonts w:ascii="Book Antiqua" w:hAnsi="Book Antiqua"/>
          <w:sz w:val="24"/>
          <w:szCs w:val="24"/>
        </w:rPr>
        <w:t>cal stain</w:t>
      </w:r>
      <w:r w:rsidRPr="004B329E">
        <w:rPr>
          <w:rFonts w:ascii="Book Antiqua" w:hAnsi="Book Antiqua"/>
          <w:sz w:val="24"/>
          <w:szCs w:val="24"/>
        </w:rPr>
        <w:t xml:space="preserve"> (IHC) is used. Despite our findings of </w:t>
      </w:r>
      <w:r w:rsidR="00D674C1" w:rsidRPr="004B329E">
        <w:rPr>
          <w:rFonts w:ascii="Book Antiqua" w:hAnsi="Book Antiqua"/>
          <w:sz w:val="24"/>
          <w:szCs w:val="24"/>
        </w:rPr>
        <w:t xml:space="preserve">the </w:t>
      </w:r>
      <w:r w:rsidRPr="004B329E">
        <w:rPr>
          <w:rFonts w:ascii="Book Antiqua" w:hAnsi="Book Antiqua"/>
          <w:sz w:val="24"/>
          <w:szCs w:val="24"/>
        </w:rPr>
        <w:t xml:space="preserve">majority of FNA being non diagnostic or inconclusive, prior studies have demonstrated the high sensitivity and specificity of FNA in diagnosing CCRCC metastases to the thyroid gland. </w:t>
      </w:r>
      <w:r w:rsidR="00B7276B" w:rsidRPr="004B329E">
        <w:rPr>
          <w:rFonts w:ascii="Book Antiqua" w:hAnsi="Book Antiqua" w:cs="Arial"/>
          <w:sz w:val="24"/>
          <w:szCs w:val="24"/>
          <w:shd w:val="clear" w:color="auto" w:fill="FFFFFF"/>
        </w:rPr>
        <w:t>Heffess</w:t>
      </w:r>
      <w:r w:rsidR="00B7276B" w:rsidRPr="004B329E">
        <w:rPr>
          <w:rFonts w:ascii="Book Antiqua" w:hAnsi="Book Antiqua" w:cs="Arial"/>
          <w:i/>
          <w:iCs/>
          <w:sz w:val="24"/>
          <w:szCs w:val="24"/>
          <w:shd w:val="clear" w:color="auto" w:fill="FFFFFF"/>
        </w:rPr>
        <w:t xml:space="preserve"> </w:t>
      </w:r>
      <w:r w:rsidRPr="004B329E">
        <w:rPr>
          <w:rFonts w:ascii="Book Antiqua" w:hAnsi="Book Antiqua"/>
          <w:i/>
          <w:iCs/>
          <w:sz w:val="24"/>
          <w:szCs w:val="24"/>
        </w:rPr>
        <w:t>et al</w:t>
      </w:r>
      <w:r w:rsidR="0035406E" w:rsidRPr="004B329E">
        <w:rPr>
          <w:rFonts w:ascii="Book Antiqua" w:hAnsi="Book Antiqua"/>
          <w:sz w:val="24"/>
          <w:szCs w:val="24"/>
          <w:vertAlign w:val="superscript"/>
        </w:rPr>
        <w:t>[10]</w:t>
      </w:r>
      <w:r w:rsidRPr="004B329E">
        <w:rPr>
          <w:rFonts w:ascii="Book Antiqua" w:hAnsi="Book Antiqua"/>
          <w:sz w:val="24"/>
          <w:szCs w:val="24"/>
        </w:rPr>
        <w:t xml:space="preserve"> suggested that FNA or core needle biopsy might not be sufficient for a proper diagnosis of CCRCC metastases to the thyroid gland and recommended a surgical resection for a </w:t>
      </w:r>
      <w:r w:rsidR="0011779F" w:rsidRPr="004B329E">
        <w:rPr>
          <w:rFonts w:ascii="Book Antiqua" w:hAnsi="Book Antiqua"/>
          <w:sz w:val="24"/>
          <w:szCs w:val="24"/>
        </w:rPr>
        <w:t>definitive diagnosis</w:t>
      </w:r>
      <w:r w:rsidRPr="004B329E">
        <w:rPr>
          <w:rFonts w:ascii="Book Antiqua" w:hAnsi="Book Antiqua"/>
          <w:sz w:val="24"/>
          <w:szCs w:val="24"/>
        </w:rPr>
        <w:t xml:space="preserve">. However, a multi-institutional study showed a high sensitivity and specificity of FNA in diagnosing CCRCC to the thyroid even without </w:t>
      </w:r>
      <w:r w:rsidR="00DC4F48" w:rsidRPr="004B329E">
        <w:rPr>
          <w:rFonts w:ascii="Book Antiqua" w:hAnsi="Book Antiqua"/>
          <w:sz w:val="24"/>
          <w:szCs w:val="24"/>
        </w:rPr>
        <w:t xml:space="preserve">the </w:t>
      </w:r>
      <w:r w:rsidRPr="004B329E">
        <w:rPr>
          <w:rFonts w:ascii="Book Antiqua" w:hAnsi="Book Antiqua"/>
          <w:sz w:val="24"/>
          <w:szCs w:val="24"/>
        </w:rPr>
        <w:t>use of immunohistochemistry and only based on cellular morphology and prior history of kidney cancer (10 cases diagnosed with FNA without the</w:t>
      </w:r>
      <w:r w:rsidR="002C7368" w:rsidRPr="004B329E">
        <w:rPr>
          <w:rFonts w:ascii="Book Antiqua" w:hAnsi="Book Antiqua"/>
          <w:sz w:val="24"/>
          <w:szCs w:val="24"/>
        </w:rPr>
        <w:t xml:space="preserve"> need for su</w:t>
      </w:r>
      <w:r w:rsidR="0011779F" w:rsidRPr="004B329E">
        <w:rPr>
          <w:rFonts w:ascii="Book Antiqua" w:hAnsi="Book Antiqua"/>
          <w:sz w:val="24"/>
          <w:szCs w:val="24"/>
        </w:rPr>
        <w:t>rgical resection)</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18</w:t>
      </w:r>
      <w:r w:rsidR="0011779F" w:rsidRPr="004B329E">
        <w:rPr>
          <w:rFonts w:ascii="Book Antiqua" w:hAnsi="Book Antiqua"/>
          <w:sz w:val="24"/>
          <w:szCs w:val="24"/>
          <w:vertAlign w:val="superscript"/>
        </w:rPr>
        <w:t>]</w:t>
      </w:r>
      <w:r w:rsidRPr="004B329E">
        <w:rPr>
          <w:rFonts w:ascii="Book Antiqua" w:hAnsi="Book Antiqua"/>
          <w:sz w:val="24"/>
          <w:szCs w:val="24"/>
        </w:rPr>
        <w:t>. Another cas</w:t>
      </w:r>
      <w:r w:rsidR="00B7276B" w:rsidRPr="004B329E">
        <w:rPr>
          <w:rFonts w:ascii="Book Antiqua" w:hAnsi="Book Antiqua"/>
          <w:sz w:val="24"/>
          <w:szCs w:val="24"/>
        </w:rPr>
        <w:t>e series performed from Mayo C</w:t>
      </w:r>
      <w:r w:rsidRPr="004B329E">
        <w:rPr>
          <w:rFonts w:ascii="Book Antiqua" w:hAnsi="Book Antiqua"/>
          <w:sz w:val="24"/>
          <w:szCs w:val="24"/>
        </w:rPr>
        <w:t>linic confirmed the high sensitivity and specificity of FNA in the detection of CCRCC metastases to the thyroid gland</w:t>
      </w:r>
      <w:r w:rsidR="007F6D8B" w:rsidRPr="004B329E">
        <w:rPr>
          <w:rFonts w:ascii="Book Antiqua" w:hAnsi="Book Antiqua"/>
          <w:sz w:val="24"/>
          <w:szCs w:val="24"/>
          <w:vertAlign w:val="superscript"/>
        </w:rPr>
        <w:t>[19]</w:t>
      </w:r>
      <w:r w:rsidR="007F6D8B" w:rsidRPr="004B329E">
        <w:rPr>
          <w:rFonts w:ascii="Book Antiqua" w:hAnsi="Book Antiqua"/>
          <w:sz w:val="24"/>
          <w:szCs w:val="24"/>
        </w:rPr>
        <w:t xml:space="preserve">. </w:t>
      </w:r>
      <w:r w:rsidRPr="004B329E">
        <w:rPr>
          <w:rFonts w:ascii="Book Antiqua" w:hAnsi="Book Antiqua"/>
          <w:sz w:val="24"/>
          <w:szCs w:val="24"/>
        </w:rPr>
        <w:t xml:space="preserve">The most helpful IHC stains used on FNA specimens for diagnosis of CCRCC metastatic to the thyroid gland are thyroid transcription factor-1 (TTF-1), thyroglobulin (TGB) and carbonic anhydrase IX and their sensitivity </w:t>
      </w:r>
      <w:r w:rsidR="002C7368" w:rsidRPr="004B329E">
        <w:rPr>
          <w:rFonts w:ascii="Book Antiqua" w:hAnsi="Book Antiqua"/>
          <w:sz w:val="24"/>
          <w:szCs w:val="24"/>
        </w:rPr>
        <w:t>and specificity reach 100%</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19</w:t>
      </w:r>
      <w:r w:rsidR="0011779F" w:rsidRPr="004B329E">
        <w:rPr>
          <w:rFonts w:ascii="Book Antiqua" w:hAnsi="Book Antiqua"/>
          <w:sz w:val="24"/>
          <w:szCs w:val="24"/>
          <w:vertAlign w:val="superscript"/>
        </w:rPr>
        <w:t>]</w:t>
      </w:r>
      <w:r w:rsidRPr="004B329E">
        <w:rPr>
          <w:rFonts w:ascii="Book Antiqua" w:hAnsi="Book Antiqua"/>
          <w:sz w:val="24"/>
          <w:szCs w:val="24"/>
        </w:rPr>
        <w:t xml:space="preserve"> as these stains are negative in CCRCC metastases </w:t>
      </w:r>
      <w:r w:rsidR="00DC4F48" w:rsidRPr="004B329E">
        <w:rPr>
          <w:rFonts w:ascii="Book Antiqua" w:hAnsi="Book Antiqua"/>
          <w:sz w:val="24"/>
          <w:szCs w:val="24"/>
        </w:rPr>
        <w:t xml:space="preserve">foci </w:t>
      </w:r>
      <w:r w:rsidRPr="004B329E">
        <w:rPr>
          <w:rFonts w:ascii="Book Antiqua" w:hAnsi="Book Antiqua"/>
          <w:sz w:val="24"/>
          <w:szCs w:val="24"/>
        </w:rPr>
        <w:t xml:space="preserve">in the thyroid gland and positive in primary thyroid malignancies. </w:t>
      </w:r>
      <w:r w:rsidR="00D674C1" w:rsidRPr="004B329E">
        <w:rPr>
          <w:rFonts w:ascii="Book Antiqua" w:hAnsi="Book Antiqua"/>
          <w:sz w:val="24"/>
          <w:szCs w:val="24"/>
        </w:rPr>
        <w:t xml:space="preserve">As an example, </w:t>
      </w:r>
      <w:r w:rsidR="00AD2AFF" w:rsidRPr="004B329E">
        <w:rPr>
          <w:rFonts w:ascii="Book Antiqua" w:hAnsi="Book Antiqua"/>
          <w:sz w:val="24"/>
          <w:szCs w:val="24"/>
        </w:rPr>
        <w:t>Figure</w:t>
      </w:r>
      <w:r w:rsidR="0035406E" w:rsidRPr="004B329E">
        <w:rPr>
          <w:rFonts w:ascii="Book Antiqua" w:hAnsi="Book Antiqua"/>
          <w:sz w:val="24"/>
          <w:szCs w:val="24"/>
        </w:rPr>
        <w:t xml:space="preserve"> </w:t>
      </w:r>
      <w:r w:rsidR="007D0AAA" w:rsidRPr="004B329E">
        <w:rPr>
          <w:rFonts w:ascii="Book Antiqua" w:hAnsi="Book Antiqua"/>
          <w:sz w:val="24"/>
          <w:szCs w:val="24"/>
        </w:rPr>
        <w:t>7</w:t>
      </w:r>
      <w:r w:rsidR="00AD2AFF" w:rsidRPr="004B329E">
        <w:rPr>
          <w:rFonts w:ascii="Book Antiqua" w:hAnsi="Book Antiqua"/>
          <w:sz w:val="24"/>
          <w:szCs w:val="24"/>
        </w:rPr>
        <w:t xml:space="preserve"> illustrates IHC stains for TTF-1 and TGB</w:t>
      </w:r>
      <w:r w:rsidR="00D674C1" w:rsidRPr="004B329E">
        <w:rPr>
          <w:rFonts w:ascii="Book Antiqua" w:hAnsi="Book Antiqua"/>
          <w:sz w:val="24"/>
          <w:szCs w:val="24"/>
        </w:rPr>
        <w:t xml:space="preserve"> in a case of CCRCC with thyroid metastases</w:t>
      </w:r>
      <w:r w:rsidR="00AD2AFF" w:rsidRPr="004B329E">
        <w:rPr>
          <w:rFonts w:ascii="Book Antiqua" w:hAnsi="Book Antiqua"/>
          <w:sz w:val="24"/>
          <w:szCs w:val="24"/>
        </w:rPr>
        <w:t xml:space="preserve">. </w:t>
      </w:r>
      <w:r w:rsidR="00216C38" w:rsidRPr="004B329E">
        <w:rPr>
          <w:rFonts w:ascii="Book Antiqua" w:hAnsi="Book Antiqua"/>
          <w:sz w:val="24"/>
          <w:szCs w:val="24"/>
        </w:rPr>
        <w:t xml:space="preserve">Histopathology with tissue biopsy will reveal a distinct alteration between the normal thyroid architecture and areas containing clear cell renal carcinoma </w:t>
      </w:r>
      <w:r w:rsidR="00DC4F48" w:rsidRPr="004B329E">
        <w:rPr>
          <w:rFonts w:ascii="Book Antiqua" w:hAnsi="Book Antiqua"/>
          <w:sz w:val="24"/>
          <w:szCs w:val="24"/>
        </w:rPr>
        <w:t>cells as</w:t>
      </w:r>
      <w:r w:rsidR="00D674C1" w:rsidRPr="004B329E">
        <w:rPr>
          <w:rFonts w:ascii="Book Antiqua" w:hAnsi="Book Antiqua"/>
          <w:sz w:val="24"/>
          <w:szCs w:val="24"/>
        </w:rPr>
        <w:t xml:space="preserve"> shown in </w:t>
      </w:r>
      <w:r w:rsidR="0035406E" w:rsidRPr="004B329E">
        <w:rPr>
          <w:rFonts w:ascii="Book Antiqua" w:hAnsi="Book Antiqua"/>
          <w:sz w:val="24"/>
          <w:szCs w:val="24"/>
        </w:rPr>
        <w:t xml:space="preserve">Figure </w:t>
      </w:r>
      <w:r w:rsidR="007D0AAA" w:rsidRPr="004B329E">
        <w:rPr>
          <w:rFonts w:ascii="Book Antiqua" w:hAnsi="Book Antiqua"/>
          <w:sz w:val="24"/>
          <w:szCs w:val="24"/>
        </w:rPr>
        <w:t>8</w:t>
      </w:r>
      <w:r w:rsidR="00D674C1" w:rsidRPr="004B329E">
        <w:rPr>
          <w:rFonts w:ascii="Book Antiqua" w:hAnsi="Book Antiqua"/>
          <w:sz w:val="24"/>
          <w:szCs w:val="24"/>
        </w:rPr>
        <w:t>.</w:t>
      </w:r>
    </w:p>
    <w:p w14:paraId="7804349D" w14:textId="4DB31E0C" w:rsidR="00F90162" w:rsidRPr="004B329E" w:rsidRDefault="00F90162"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 xml:space="preserve">Radiological studies including CT and PET scans are used for surveillance of metastatic </w:t>
      </w:r>
      <w:r w:rsidR="0029425C" w:rsidRPr="004B329E">
        <w:rPr>
          <w:rFonts w:ascii="Book Antiqua" w:hAnsi="Book Antiqua"/>
          <w:sz w:val="24"/>
          <w:szCs w:val="24"/>
        </w:rPr>
        <w:t>CCRCC</w:t>
      </w:r>
      <w:r w:rsidRPr="004B329E">
        <w:rPr>
          <w:rFonts w:ascii="Book Antiqua" w:hAnsi="Book Antiqua"/>
          <w:sz w:val="24"/>
          <w:szCs w:val="24"/>
        </w:rPr>
        <w:t>. While CT is considered to have better sensitivity than PET they are often both obtained to maximize the detection of metas</w:t>
      </w:r>
      <w:r w:rsidR="0011779F" w:rsidRPr="004B329E">
        <w:rPr>
          <w:rFonts w:ascii="Book Antiqua" w:hAnsi="Book Antiqua"/>
          <w:sz w:val="24"/>
          <w:szCs w:val="24"/>
        </w:rPr>
        <w:t>tasis of renal cell carcinoma</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20</w:t>
      </w:r>
      <w:r w:rsidR="0011779F" w:rsidRPr="004B329E">
        <w:rPr>
          <w:rFonts w:ascii="Book Antiqua" w:hAnsi="Book Antiqua"/>
          <w:sz w:val="24"/>
          <w:szCs w:val="24"/>
          <w:vertAlign w:val="superscript"/>
        </w:rPr>
        <w:t>]</w:t>
      </w:r>
      <w:r w:rsidRPr="004B329E">
        <w:rPr>
          <w:rFonts w:ascii="Book Antiqua" w:hAnsi="Book Antiqua"/>
          <w:sz w:val="24"/>
          <w:szCs w:val="24"/>
        </w:rPr>
        <w:t>. However, metastatic lesions in the thyroid might be difficult to</w:t>
      </w:r>
      <w:r w:rsidR="0029425C" w:rsidRPr="004B329E">
        <w:rPr>
          <w:rFonts w:ascii="Book Antiqua" w:hAnsi="Book Antiqua"/>
          <w:sz w:val="24"/>
          <w:szCs w:val="24"/>
        </w:rPr>
        <w:t xml:space="preserve"> identify</w:t>
      </w:r>
      <w:r w:rsidRPr="004B329E">
        <w:rPr>
          <w:rFonts w:ascii="Book Antiqua" w:hAnsi="Book Antiqua"/>
          <w:sz w:val="24"/>
          <w:szCs w:val="24"/>
        </w:rPr>
        <w:t xml:space="preserve"> </w:t>
      </w:r>
      <w:r w:rsidR="0029425C" w:rsidRPr="004B329E">
        <w:rPr>
          <w:rFonts w:ascii="Book Antiqua" w:hAnsi="Book Antiqua"/>
          <w:sz w:val="24"/>
          <w:szCs w:val="24"/>
        </w:rPr>
        <w:t>i</w:t>
      </w:r>
      <w:r w:rsidRPr="004B329E">
        <w:rPr>
          <w:rFonts w:ascii="Book Antiqua" w:hAnsi="Book Antiqua"/>
          <w:sz w:val="24"/>
          <w:szCs w:val="24"/>
        </w:rPr>
        <w:t>n radiological studies such as PET-CT as they can appear as non-specific metabolic activ</w:t>
      </w:r>
      <w:r w:rsidR="0011779F" w:rsidRPr="004B329E">
        <w:rPr>
          <w:rFonts w:ascii="Book Antiqua" w:hAnsi="Book Antiqua"/>
          <w:sz w:val="24"/>
          <w:szCs w:val="24"/>
        </w:rPr>
        <w:t>ity resembling benign lesions</w:t>
      </w:r>
      <w:r w:rsidR="0011779F" w:rsidRPr="004B329E">
        <w:rPr>
          <w:rFonts w:ascii="Book Antiqua" w:hAnsi="Book Antiqua"/>
          <w:sz w:val="24"/>
          <w:szCs w:val="24"/>
          <w:vertAlign w:val="superscript"/>
        </w:rPr>
        <w:t>[</w:t>
      </w:r>
      <w:r w:rsidR="00AC62D3" w:rsidRPr="004B329E">
        <w:rPr>
          <w:rFonts w:ascii="Book Antiqua" w:hAnsi="Book Antiqua"/>
          <w:sz w:val="24"/>
          <w:szCs w:val="24"/>
          <w:vertAlign w:val="superscript"/>
        </w:rPr>
        <w:t>12</w:t>
      </w:r>
      <w:r w:rsidR="0011779F" w:rsidRPr="004B329E">
        <w:rPr>
          <w:rFonts w:ascii="Book Antiqua" w:hAnsi="Book Antiqua"/>
          <w:sz w:val="24"/>
          <w:szCs w:val="24"/>
          <w:vertAlign w:val="superscript"/>
        </w:rPr>
        <w:t>]</w:t>
      </w:r>
      <w:r w:rsidRPr="004B329E">
        <w:rPr>
          <w:rFonts w:ascii="Book Antiqua" w:hAnsi="Book Antiqua"/>
          <w:sz w:val="24"/>
          <w:szCs w:val="24"/>
        </w:rPr>
        <w:t>.</w:t>
      </w:r>
    </w:p>
    <w:p w14:paraId="54635F8C" w14:textId="17F2557E" w:rsidR="00F90162" w:rsidRPr="004B329E" w:rsidRDefault="00DC4F48"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U</w:t>
      </w:r>
      <w:r w:rsidR="00F90162" w:rsidRPr="004B329E">
        <w:rPr>
          <w:rFonts w:ascii="Book Antiqua" w:hAnsi="Book Antiqua"/>
          <w:sz w:val="24"/>
          <w:szCs w:val="24"/>
        </w:rPr>
        <w:t>ltrasonography can</w:t>
      </w:r>
      <w:r w:rsidR="0029425C" w:rsidRPr="004B329E">
        <w:rPr>
          <w:rFonts w:ascii="Book Antiqua" w:hAnsi="Book Antiqua"/>
          <w:sz w:val="24"/>
          <w:szCs w:val="24"/>
        </w:rPr>
        <w:t xml:space="preserve"> be useful in differentiating CCRCC thyroid metastatic lesions from benign nodules</w:t>
      </w:r>
      <w:r w:rsidRPr="004B329E">
        <w:rPr>
          <w:rFonts w:ascii="Book Antiqua" w:hAnsi="Book Antiqua"/>
          <w:sz w:val="24"/>
          <w:szCs w:val="24"/>
        </w:rPr>
        <w:t xml:space="preserve"> </w:t>
      </w:r>
      <w:r w:rsidR="0029425C" w:rsidRPr="004B329E">
        <w:rPr>
          <w:rFonts w:ascii="Book Antiqua" w:hAnsi="Book Antiqua"/>
          <w:sz w:val="24"/>
          <w:szCs w:val="24"/>
        </w:rPr>
        <w:t>with features of</w:t>
      </w:r>
      <w:r w:rsidR="00F90162" w:rsidRPr="004B329E">
        <w:rPr>
          <w:rFonts w:ascii="Book Antiqua" w:hAnsi="Book Antiqua"/>
          <w:sz w:val="24"/>
          <w:szCs w:val="24"/>
        </w:rPr>
        <w:t xml:space="preserve"> irregularity, solitary nodule, intra-nodule vascularity and venous thrombosis</w:t>
      </w:r>
      <w:r w:rsidR="002C7368" w:rsidRPr="004B329E">
        <w:rPr>
          <w:rFonts w:ascii="Book Antiqua" w:hAnsi="Book Antiqua"/>
          <w:sz w:val="24"/>
          <w:szCs w:val="24"/>
        </w:rPr>
        <w:t xml:space="preserve"> </w:t>
      </w:r>
      <w:r w:rsidR="0029425C" w:rsidRPr="004B329E">
        <w:rPr>
          <w:rFonts w:ascii="Book Antiqua" w:hAnsi="Book Antiqua"/>
          <w:sz w:val="24"/>
          <w:szCs w:val="24"/>
        </w:rPr>
        <w:t xml:space="preserve">being suggestive of </w:t>
      </w:r>
      <w:r w:rsidR="00B7276B" w:rsidRPr="004B329E">
        <w:rPr>
          <w:rFonts w:ascii="Book Antiqua" w:hAnsi="Book Antiqua"/>
          <w:sz w:val="24"/>
          <w:szCs w:val="24"/>
        </w:rPr>
        <w:t xml:space="preserve">a </w:t>
      </w:r>
      <w:r w:rsidR="0029425C" w:rsidRPr="004B329E">
        <w:rPr>
          <w:rFonts w:ascii="Book Antiqua" w:hAnsi="Book Antiqua"/>
          <w:sz w:val="24"/>
          <w:szCs w:val="24"/>
        </w:rPr>
        <w:t>cancerous/metastatic lesion</w:t>
      </w:r>
      <w:r w:rsidR="0011779F" w:rsidRPr="004B329E">
        <w:rPr>
          <w:rFonts w:ascii="Book Antiqua" w:hAnsi="Book Antiqua"/>
          <w:sz w:val="24"/>
          <w:szCs w:val="24"/>
          <w:vertAlign w:val="superscript"/>
        </w:rPr>
        <w:t>[</w:t>
      </w:r>
      <w:r w:rsidR="00AC62D3" w:rsidRPr="004B329E">
        <w:rPr>
          <w:rFonts w:ascii="Book Antiqua" w:hAnsi="Book Antiqua"/>
          <w:sz w:val="24"/>
          <w:szCs w:val="24"/>
          <w:vertAlign w:val="superscript"/>
        </w:rPr>
        <w:t>21</w:t>
      </w:r>
      <w:r w:rsidR="0011779F" w:rsidRPr="004B329E">
        <w:rPr>
          <w:rFonts w:ascii="Book Antiqua" w:hAnsi="Book Antiqua"/>
          <w:sz w:val="24"/>
          <w:szCs w:val="24"/>
          <w:vertAlign w:val="superscript"/>
        </w:rPr>
        <w:t>]</w:t>
      </w:r>
      <w:r w:rsidR="00F90162" w:rsidRPr="004B329E">
        <w:rPr>
          <w:rFonts w:ascii="Book Antiqua" w:hAnsi="Book Antiqua"/>
          <w:sz w:val="24"/>
          <w:szCs w:val="24"/>
        </w:rPr>
        <w:t>. In our systematic review, 4.8% of the patients had internal jugular thrombosis which could represent either local tumor invasion of the vascular bad or hypercoagulable state from the metastatic lesions. Other studies have shown that solid nodules with well</w:t>
      </w:r>
      <w:r w:rsidR="0035406E" w:rsidRPr="004B329E">
        <w:rPr>
          <w:rFonts w:ascii="Book Antiqua" w:hAnsi="Book Antiqua"/>
          <w:sz w:val="24"/>
          <w:szCs w:val="24"/>
        </w:rPr>
        <w:t>-</w:t>
      </w:r>
      <w:r w:rsidR="00F90162" w:rsidRPr="004B329E">
        <w:rPr>
          <w:rFonts w:ascii="Book Antiqua" w:hAnsi="Book Antiqua"/>
          <w:sz w:val="24"/>
          <w:szCs w:val="24"/>
        </w:rPr>
        <w:t>defin</w:t>
      </w:r>
      <w:r w:rsidR="00B7276B" w:rsidRPr="004B329E">
        <w:rPr>
          <w:rFonts w:ascii="Book Antiqua" w:hAnsi="Book Antiqua"/>
          <w:sz w:val="24"/>
          <w:szCs w:val="24"/>
        </w:rPr>
        <w:t>ed margins and high vascularity may</w:t>
      </w:r>
      <w:r w:rsidR="00F90162" w:rsidRPr="004B329E">
        <w:rPr>
          <w:rFonts w:ascii="Book Antiqua" w:hAnsi="Book Antiqua"/>
          <w:sz w:val="24"/>
          <w:szCs w:val="24"/>
        </w:rPr>
        <w:t xml:space="preserve"> represent </w:t>
      </w:r>
      <w:r w:rsidR="0011779F" w:rsidRPr="004B329E">
        <w:rPr>
          <w:rFonts w:ascii="Book Antiqua" w:hAnsi="Book Antiqua"/>
          <w:sz w:val="24"/>
          <w:szCs w:val="24"/>
        </w:rPr>
        <w:t>metastatic lesions</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2</w:t>
      </w:r>
      <w:r w:rsidR="0011779F" w:rsidRPr="004B329E">
        <w:rPr>
          <w:rFonts w:ascii="Book Antiqua" w:hAnsi="Book Antiqua"/>
          <w:sz w:val="24"/>
          <w:szCs w:val="24"/>
          <w:vertAlign w:val="superscript"/>
        </w:rPr>
        <w:t>]</w:t>
      </w:r>
      <w:r w:rsidR="00F90162" w:rsidRPr="004B329E">
        <w:rPr>
          <w:rFonts w:ascii="Book Antiqua" w:hAnsi="Book Antiqua"/>
          <w:sz w:val="24"/>
          <w:szCs w:val="24"/>
        </w:rPr>
        <w:t>.</w:t>
      </w:r>
    </w:p>
    <w:p w14:paraId="6AB86B4C" w14:textId="77777777" w:rsidR="0035406E" w:rsidRPr="004B329E" w:rsidRDefault="0035406E" w:rsidP="000675D7">
      <w:pPr>
        <w:spacing w:after="0" w:line="360" w:lineRule="auto"/>
        <w:jc w:val="both"/>
        <w:rPr>
          <w:rFonts w:ascii="Book Antiqua" w:hAnsi="Book Antiqua"/>
          <w:b/>
          <w:i/>
          <w:iCs/>
          <w:sz w:val="24"/>
          <w:szCs w:val="24"/>
        </w:rPr>
      </w:pPr>
    </w:p>
    <w:p w14:paraId="03556916" w14:textId="0C479DFE" w:rsidR="00F90162" w:rsidRPr="004B329E" w:rsidRDefault="00F90162" w:rsidP="000675D7">
      <w:pPr>
        <w:spacing w:after="0" w:line="360" w:lineRule="auto"/>
        <w:jc w:val="both"/>
        <w:rPr>
          <w:rFonts w:ascii="Book Antiqua" w:hAnsi="Book Antiqua"/>
          <w:b/>
          <w:i/>
          <w:iCs/>
          <w:sz w:val="24"/>
          <w:szCs w:val="24"/>
        </w:rPr>
      </w:pPr>
      <w:r w:rsidRPr="004B329E">
        <w:rPr>
          <w:rFonts w:ascii="Book Antiqua" w:hAnsi="Book Antiqua"/>
          <w:b/>
          <w:i/>
          <w:iCs/>
          <w:sz w:val="24"/>
          <w:szCs w:val="24"/>
        </w:rPr>
        <w:t>Treatment and prognosis</w:t>
      </w:r>
    </w:p>
    <w:p w14:paraId="7EAD21B1" w14:textId="370AF83D" w:rsidR="00F90162" w:rsidRPr="004B329E" w:rsidRDefault="00F90162" w:rsidP="000675D7">
      <w:pPr>
        <w:spacing w:after="0" w:line="360" w:lineRule="auto"/>
        <w:jc w:val="both"/>
        <w:rPr>
          <w:rFonts w:ascii="Book Antiqua" w:hAnsi="Book Antiqua"/>
          <w:sz w:val="24"/>
          <w:szCs w:val="24"/>
        </w:rPr>
      </w:pPr>
      <w:r w:rsidRPr="004B329E">
        <w:rPr>
          <w:rFonts w:ascii="Book Antiqua" w:hAnsi="Book Antiqua"/>
          <w:sz w:val="24"/>
          <w:szCs w:val="24"/>
        </w:rPr>
        <w:t xml:space="preserve">In our systematic review, most patients had surgical resection of their CCRCC metastatic lesions in the thyroid gland with an approach involving either thyroidectomy or subtotal thyroidectomy. Given the rarity of the metastatic disease in this location the studies </w:t>
      </w:r>
      <w:r w:rsidR="0029425C" w:rsidRPr="004B329E">
        <w:rPr>
          <w:rFonts w:ascii="Book Antiqua" w:hAnsi="Book Antiqua"/>
          <w:sz w:val="24"/>
          <w:szCs w:val="24"/>
        </w:rPr>
        <w:t xml:space="preserve">performed </w:t>
      </w:r>
      <w:r w:rsidRPr="004B329E">
        <w:rPr>
          <w:rFonts w:ascii="Book Antiqua" w:hAnsi="Book Antiqua"/>
          <w:sz w:val="24"/>
          <w:szCs w:val="24"/>
        </w:rPr>
        <w:t xml:space="preserve">regarding surgical </w:t>
      </w:r>
      <w:r w:rsidR="0029425C" w:rsidRPr="004B329E">
        <w:rPr>
          <w:rFonts w:ascii="Book Antiqua" w:hAnsi="Book Antiqua"/>
          <w:sz w:val="24"/>
          <w:szCs w:val="24"/>
        </w:rPr>
        <w:t xml:space="preserve">approach </w:t>
      </w:r>
      <w:r w:rsidRPr="004B329E">
        <w:rPr>
          <w:rFonts w:ascii="Book Antiqua" w:hAnsi="Book Antiqua"/>
          <w:sz w:val="24"/>
          <w:szCs w:val="24"/>
        </w:rPr>
        <w:t>included small number of patients without a control arm and the literature regarding the role of surgery is controversial. Usually, surgery is aimed as a palliative treatment and local control of the me</w:t>
      </w:r>
      <w:r w:rsidR="00B7276B" w:rsidRPr="004B329E">
        <w:rPr>
          <w:rFonts w:ascii="Book Antiqua" w:hAnsi="Book Antiqua"/>
          <w:sz w:val="24"/>
          <w:szCs w:val="24"/>
        </w:rPr>
        <w:t>tastatic disease and should be</w:t>
      </w:r>
      <w:r w:rsidRPr="004B329E">
        <w:rPr>
          <w:rFonts w:ascii="Book Antiqua" w:hAnsi="Book Antiqua"/>
          <w:sz w:val="24"/>
          <w:szCs w:val="24"/>
        </w:rPr>
        <w:t xml:space="preserve"> part of a </w:t>
      </w:r>
      <w:r w:rsidR="0029425C" w:rsidRPr="004B329E">
        <w:rPr>
          <w:rFonts w:ascii="Book Antiqua" w:hAnsi="Book Antiqua"/>
          <w:sz w:val="24"/>
          <w:szCs w:val="24"/>
        </w:rPr>
        <w:t xml:space="preserve">broader </w:t>
      </w:r>
      <w:r w:rsidRPr="004B329E">
        <w:rPr>
          <w:rFonts w:ascii="Book Antiqua" w:hAnsi="Book Antiqua"/>
          <w:sz w:val="24"/>
          <w:szCs w:val="24"/>
        </w:rPr>
        <w:t xml:space="preserve">systematic and multidisciplinary approach. Some studies </w:t>
      </w:r>
      <w:r w:rsidR="0029425C" w:rsidRPr="004B329E">
        <w:rPr>
          <w:rFonts w:ascii="Book Antiqua" w:hAnsi="Book Antiqua"/>
          <w:sz w:val="24"/>
          <w:szCs w:val="24"/>
        </w:rPr>
        <w:t>including</w:t>
      </w:r>
      <w:r w:rsidRPr="004B329E">
        <w:rPr>
          <w:rFonts w:ascii="Book Antiqua" w:hAnsi="Book Antiqua"/>
          <w:sz w:val="24"/>
          <w:szCs w:val="24"/>
        </w:rPr>
        <w:t xml:space="preserve"> a small number of patients showed decreased survival with extra </w:t>
      </w:r>
      <w:r w:rsidR="00DC4F48" w:rsidRPr="004B329E">
        <w:rPr>
          <w:rFonts w:ascii="Book Antiqua" w:hAnsi="Book Antiqua"/>
          <w:sz w:val="24"/>
          <w:szCs w:val="24"/>
        </w:rPr>
        <w:t xml:space="preserve">thyroid </w:t>
      </w:r>
      <w:r w:rsidRPr="004B329E">
        <w:rPr>
          <w:rFonts w:ascii="Book Antiqua" w:hAnsi="Book Antiqua"/>
          <w:sz w:val="24"/>
          <w:szCs w:val="24"/>
        </w:rPr>
        <w:t>nodal</w:t>
      </w:r>
      <w:r w:rsidR="00DC4F48" w:rsidRPr="004B329E">
        <w:rPr>
          <w:rFonts w:ascii="Book Antiqua" w:hAnsi="Book Antiqua"/>
          <w:sz w:val="24"/>
          <w:szCs w:val="24"/>
        </w:rPr>
        <w:t xml:space="preserve"> metastatic</w:t>
      </w:r>
      <w:r w:rsidRPr="004B329E">
        <w:rPr>
          <w:rFonts w:ascii="Book Antiqua" w:hAnsi="Book Antiqua"/>
          <w:sz w:val="24"/>
          <w:szCs w:val="24"/>
        </w:rPr>
        <w:t xml:space="preserve"> extension suggesting that surgery might play a role in co</w:t>
      </w:r>
      <w:r w:rsidR="0011779F" w:rsidRPr="004B329E">
        <w:rPr>
          <w:rFonts w:ascii="Book Antiqua" w:hAnsi="Book Antiqua"/>
          <w:sz w:val="24"/>
          <w:szCs w:val="24"/>
        </w:rPr>
        <w:t>ntrolling local recurrence</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3</w:t>
      </w:r>
      <w:r w:rsidR="0011779F" w:rsidRPr="004B329E">
        <w:rPr>
          <w:rFonts w:ascii="Book Antiqua" w:hAnsi="Book Antiqua"/>
          <w:sz w:val="24"/>
          <w:szCs w:val="24"/>
          <w:vertAlign w:val="superscript"/>
        </w:rPr>
        <w:t>]</w:t>
      </w:r>
      <w:r w:rsidR="006F5D92" w:rsidRPr="004B329E">
        <w:rPr>
          <w:rFonts w:ascii="Book Antiqua" w:hAnsi="Book Antiqua"/>
          <w:sz w:val="24"/>
          <w:szCs w:val="24"/>
        </w:rPr>
        <w:t xml:space="preserve">. A case series done by Nixon </w:t>
      </w:r>
      <w:r w:rsidRPr="004B329E">
        <w:rPr>
          <w:rFonts w:ascii="Book Antiqua" w:hAnsi="Book Antiqua"/>
          <w:i/>
          <w:iCs/>
          <w:sz w:val="24"/>
          <w:szCs w:val="24"/>
        </w:rPr>
        <w:t>et al</w:t>
      </w:r>
      <w:r w:rsidR="0035406E" w:rsidRPr="004B329E">
        <w:rPr>
          <w:rFonts w:ascii="Book Antiqua" w:hAnsi="Book Antiqua"/>
          <w:sz w:val="24"/>
          <w:szCs w:val="24"/>
          <w:vertAlign w:val="superscript"/>
        </w:rPr>
        <w:t>[24]</w:t>
      </w:r>
      <w:r w:rsidRPr="004B329E">
        <w:rPr>
          <w:rFonts w:ascii="Book Antiqua" w:hAnsi="Book Antiqua"/>
          <w:sz w:val="24"/>
          <w:szCs w:val="24"/>
        </w:rPr>
        <w:t xml:space="preserve"> showed the median survival from surgery to death to be 26.5 mo (</w:t>
      </w:r>
      <w:r w:rsidR="0078492A" w:rsidRPr="004B329E">
        <w:rPr>
          <w:rFonts w:ascii="Book Antiqua" w:hAnsi="Book Antiqua"/>
          <w:i/>
          <w:sz w:val="24"/>
          <w:szCs w:val="24"/>
        </w:rPr>
        <w:t>n</w:t>
      </w:r>
      <w:r w:rsidRPr="004B329E">
        <w:rPr>
          <w:rFonts w:ascii="Book Antiqua" w:hAnsi="Book Antiqua"/>
          <w:sz w:val="24"/>
          <w:szCs w:val="24"/>
        </w:rPr>
        <w:t xml:space="preserve"> =</w:t>
      </w:r>
      <w:r w:rsidR="0035406E" w:rsidRPr="004B329E">
        <w:rPr>
          <w:rFonts w:ascii="Book Antiqua" w:hAnsi="Book Antiqua"/>
          <w:sz w:val="24"/>
          <w:szCs w:val="24"/>
        </w:rPr>
        <w:t xml:space="preserve"> </w:t>
      </w:r>
      <w:r w:rsidRPr="004B329E">
        <w:rPr>
          <w:rFonts w:ascii="Book Antiqua" w:hAnsi="Book Antiqua"/>
          <w:sz w:val="24"/>
          <w:szCs w:val="24"/>
        </w:rPr>
        <w:t xml:space="preserve">21) and suggested a role for surgery </w:t>
      </w:r>
      <w:r w:rsidR="0011779F" w:rsidRPr="004B329E">
        <w:rPr>
          <w:rFonts w:ascii="Book Antiqua" w:hAnsi="Book Antiqua"/>
          <w:sz w:val="24"/>
          <w:szCs w:val="24"/>
        </w:rPr>
        <w:t>only to control local disease</w:t>
      </w:r>
      <w:r w:rsidR="0011779F"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4</w:t>
      </w:r>
      <w:r w:rsidR="0011779F" w:rsidRPr="004B329E">
        <w:rPr>
          <w:rFonts w:ascii="Book Antiqua" w:hAnsi="Book Antiqua"/>
          <w:sz w:val="24"/>
          <w:szCs w:val="24"/>
          <w:vertAlign w:val="superscript"/>
        </w:rPr>
        <w:t>]</w:t>
      </w:r>
      <w:r w:rsidRPr="004B329E">
        <w:rPr>
          <w:rFonts w:ascii="Book Antiqua" w:hAnsi="Book Antiqua"/>
          <w:sz w:val="24"/>
          <w:szCs w:val="24"/>
        </w:rPr>
        <w:t>.</w:t>
      </w:r>
    </w:p>
    <w:p w14:paraId="52F2860D" w14:textId="0C3F6906" w:rsidR="00F90162" w:rsidRPr="004B329E" w:rsidRDefault="00F90162" w:rsidP="000675D7">
      <w:pPr>
        <w:widowControl w:val="0"/>
        <w:autoSpaceDE w:val="0"/>
        <w:autoSpaceDN w:val="0"/>
        <w:adjustRightInd w:val="0"/>
        <w:spacing w:after="0" w:line="360" w:lineRule="auto"/>
        <w:ind w:firstLineChars="100" w:firstLine="240"/>
        <w:jc w:val="both"/>
        <w:rPr>
          <w:rFonts w:ascii="Book Antiqua" w:hAnsi="Book Antiqua" w:cs="Calibri"/>
          <w:sz w:val="24"/>
          <w:szCs w:val="24"/>
          <w:lang w:val="en"/>
        </w:rPr>
      </w:pPr>
      <w:r w:rsidRPr="004B329E">
        <w:rPr>
          <w:rFonts w:ascii="Book Antiqua" w:hAnsi="Book Antiqua"/>
          <w:sz w:val="24"/>
          <w:szCs w:val="24"/>
        </w:rPr>
        <w:t xml:space="preserve">Whether there is a difference between total and subtotal thyroidectomy is an area of debate with some studies suggesting no difference in survival between the two surgeries. </w:t>
      </w:r>
      <w:hyperlink r:id="rId9" w:history="1">
        <w:r w:rsidRPr="004B329E">
          <w:rPr>
            <w:rFonts w:ascii="Book Antiqua" w:hAnsi="Book Antiqua" w:cs="Times New Roman"/>
            <w:sz w:val="24"/>
            <w:szCs w:val="24"/>
          </w:rPr>
          <w:t xml:space="preserve">Beutner </w:t>
        </w:r>
      </w:hyperlink>
      <w:r w:rsidRPr="004B329E">
        <w:rPr>
          <w:rFonts w:ascii="Book Antiqua" w:hAnsi="Book Antiqua" w:cs="Times New Roman"/>
          <w:i/>
          <w:iCs/>
          <w:sz w:val="24"/>
          <w:szCs w:val="24"/>
        </w:rPr>
        <w:t>et al</w:t>
      </w:r>
      <w:r w:rsidR="00470C9A" w:rsidRPr="004B329E">
        <w:rPr>
          <w:rFonts w:ascii="Book Antiqua" w:hAnsi="Book Antiqua" w:cs="Times New Roman"/>
          <w:sz w:val="24"/>
          <w:szCs w:val="24"/>
          <w:vertAlign w:val="superscript"/>
        </w:rPr>
        <w:t>[25]</w:t>
      </w:r>
      <w:r w:rsidRPr="004B329E">
        <w:rPr>
          <w:rFonts w:ascii="Book Antiqua" w:hAnsi="Book Antiqua" w:cs="Times New Roman"/>
          <w:sz w:val="24"/>
          <w:szCs w:val="24"/>
        </w:rPr>
        <w:t xml:space="preserve"> </w:t>
      </w:r>
      <w:r w:rsidRPr="004B329E">
        <w:rPr>
          <w:rFonts w:ascii="Book Antiqua" w:hAnsi="Book Antiqua" w:cs="Calibri"/>
          <w:sz w:val="24"/>
          <w:szCs w:val="24"/>
          <w:lang w:val="en"/>
        </w:rPr>
        <w:t xml:space="preserve">found that the 5-year survival with total thyroidectomy was better than non-total </w:t>
      </w:r>
      <w:r w:rsidR="005E0E3C" w:rsidRPr="004B329E">
        <w:rPr>
          <w:rFonts w:ascii="Book Antiqua" w:hAnsi="Book Antiqua" w:cs="Calibri"/>
          <w:sz w:val="24"/>
          <w:szCs w:val="24"/>
          <w:lang w:val="en"/>
        </w:rPr>
        <w:t>thyroidectomy</w:t>
      </w:r>
      <w:r w:rsidRPr="004B329E">
        <w:rPr>
          <w:rFonts w:ascii="Book Antiqua" w:hAnsi="Book Antiqua" w:cs="Calibri"/>
          <w:sz w:val="24"/>
          <w:szCs w:val="24"/>
          <w:lang w:val="en"/>
        </w:rPr>
        <w:t xml:space="preserve"> but the results were statistically non-significant (</w:t>
      </w:r>
      <w:r w:rsidRPr="004B329E">
        <w:rPr>
          <w:rFonts w:ascii="Book Antiqua" w:hAnsi="Book Antiqua" w:cs="Calibri"/>
          <w:i/>
          <w:iCs/>
          <w:caps/>
          <w:sz w:val="24"/>
          <w:szCs w:val="24"/>
          <w:lang w:val="en"/>
        </w:rPr>
        <w:t>p</w:t>
      </w:r>
      <w:r w:rsidR="0035406E" w:rsidRPr="004B329E">
        <w:rPr>
          <w:rFonts w:ascii="Book Antiqua" w:hAnsi="Book Antiqua" w:cs="Calibri"/>
          <w:sz w:val="24"/>
          <w:szCs w:val="24"/>
          <w:lang w:val="en"/>
        </w:rPr>
        <w:t xml:space="preserve"> </w:t>
      </w:r>
      <w:r w:rsidRPr="004B329E">
        <w:rPr>
          <w:rFonts w:ascii="Book Antiqua" w:hAnsi="Book Antiqua" w:cs="Calibri"/>
          <w:sz w:val="24"/>
          <w:szCs w:val="24"/>
          <w:lang w:val="en"/>
        </w:rPr>
        <w:t>=</w:t>
      </w:r>
      <w:r w:rsidR="0035406E" w:rsidRPr="004B329E">
        <w:rPr>
          <w:rFonts w:ascii="Book Antiqua" w:hAnsi="Book Antiqua" w:cs="Calibri"/>
          <w:sz w:val="24"/>
          <w:szCs w:val="24"/>
          <w:lang w:val="en"/>
        </w:rPr>
        <w:t xml:space="preserve"> </w:t>
      </w:r>
      <w:r w:rsidRPr="004B329E">
        <w:rPr>
          <w:rFonts w:ascii="Book Antiqua" w:hAnsi="Book Antiqua" w:cs="Calibri"/>
          <w:sz w:val="24"/>
          <w:szCs w:val="24"/>
          <w:lang w:val="en"/>
        </w:rPr>
        <w:t>0.49)</w:t>
      </w:r>
      <w:r w:rsidR="00C33C63" w:rsidRPr="004B329E">
        <w:rPr>
          <w:rFonts w:ascii="Book Antiqua" w:hAnsi="Book Antiqua" w:cs="Calibri"/>
          <w:sz w:val="24"/>
          <w:szCs w:val="24"/>
          <w:lang w:val="en"/>
        </w:rPr>
        <w:t xml:space="preserve"> </w:t>
      </w:r>
      <w:r w:rsidR="006F5D92" w:rsidRPr="004B329E">
        <w:rPr>
          <w:rFonts w:ascii="Book Antiqua" w:hAnsi="Book Antiqua" w:cs="Calibri"/>
          <w:sz w:val="24"/>
          <w:szCs w:val="24"/>
          <w:lang w:val="en"/>
        </w:rPr>
        <w:t>suggesting</w:t>
      </w:r>
      <w:r w:rsidR="00C33C63" w:rsidRPr="004B329E">
        <w:rPr>
          <w:rFonts w:ascii="Book Antiqua" w:hAnsi="Book Antiqua" w:cs="Calibri"/>
          <w:sz w:val="24"/>
          <w:szCs w:val="24"/>
          <w:lang w:val="en"/>
        </w:rPr>
        <w:t xml:space="preserve"> no improved survival with total thyroidectomy compared to partial thyroidectomy</w:t>
      </w:r>
      <w:r w:rsidRPr="004B329E">
        <w:rPr>
          <w:rFonts w:ascii="Book Antiqua" w:hAnsi="Book Antiqua" w:cs="Calibri"/>
          <w:sz w:val="24"/>
          <w:szCs w:val="24"/>
          <w:lang w:val="en"/>
        </w:rPr>
        <w:t xml:space="preserve">. However, one observation from this study is that median overall survival after thyroidectomy was better in females compared to males (5 years </w:t>
      </w:r>
      <w:r w:rsidRPr="004B329E">
        <w:rPr>
          <w:rFonts w:ascii="Book Antiqua" w:hAnsi="Book Antiqua" w:cs="Calibri"/>
          <w:i/>
          <w:iCs/>
          <w:sz w:val="24"/>
          <w:szCs w:val="24"/>
          <w:lang w:val="en"/>
        </w:rPr>
        <w:t>vs</w:t>
      </w:r>
      <w:r w:rsidRPr="004B329E">
        <w:rPr>
          <w:rFonts w:ascii="Book Antiqua" w:hAnsi="Book Antiqua" w:cs="Calibri"/>
          <w:sz w:val="24"/>
          <w:szCs w:val="24"/>
          <w:lang w:val="en"/>
        </w:rPr>
        <w:t xml:space="preserve"> 2 years </w:t>
      </w:r>
      <w:r w:rsidRPr="004B329E">
        <w:rPr>
          <w:rFonts w:ascii="Book Antiqua" w:hAnsi="Book Antiqua" w:cs="Calibri"/>
          <w:i/>
          <w:iCs/>
          <w:caps/>
          <w:sz w:val="24"/>
          <w:szCs w:val="24"/>
          <w:lang w:val="en"/>
        </w:rPr>
        <w:t>p</w:t>
      </w:r>
      <w:r w:rsidR="0035406E" w:rsidRPr="004B329E">
        <w:rPr>
          <w:rFonts w:ascii="Book Antiqua" w:hAnsi="Book Antiqua" w:cs="Calibri"/>
          <w:sz w:val="24"/>
          <w:szCs w:val="24"/>
          <w:lang w:val="en"/>
        </w:rPr>
        <w:t xml:space="preserve"> </w:t>
      </w:r>
      <w:r w:rsidRPr="004B329E">
        <w:rPr>
          <w:rFonts w:ascii="Book Antiqua" w:hAnsi="Book Antiqua" w:cs="Calibri"/>
          <w:sz w:val="24"/>
          <w:szCs w:val="24"/>
          <w:lang w:val="en"/>
        </w:rPr>
        <w:t>=</w:t>
      </w:r>
      <w:r w:rsidR="0035406E" w:rsidRPr="004B329E">
        <w:rPr>
          <w:rFonts w:ascii="Book Antiqua" w:hAnsi="Book Antiqua" w:cs="Calibri"/>
          <w:sz w:val="24"/>
          <w:szCs w:val="24"/>
          <w:lang w:val="en"/>
        </w:rPr>
        <w:t xml:space="preserve"> </w:t>
      </w:r>
      <w:r w:rsidRPr="004B329E">
        <w:rPr>
          <w:rFonts w:ascii="Book Antiqua" w:hAnsi="Book Antiqua" w:cs="Calibri"/>
          <w:sz w:val="24"/>
          <w:szCs w:val="24"/>
          <w:lang w:val="en"/>
        </w:rPr>
        <w:t>0.003)</w:t>
      </w:r>
      <w:r w:rsidR="005E0E3C"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5</w:t>
      </w:r>
      <w:r w:rsidR="005E0E3C" w:rsidRPr="004B329E">
        <w:rPr>
          <w:rFonts w:ascii="Book Antiqua" w:hAnsi="Book Antiqua"/>
          <w:sz w:val="24"/>
          <w:szCs w:val="24"/>
          <w:vertAlign w:val="superscript"/>
        </w:rPr>
        <w:t>]</w:t>
      </w:r>
      <w:r w:rsidRPr="004B329E">
        <w:rPr>
          <w:rFonts w:ascii="Book Antiqua" w:hAnsi="Book Antiqua"/>
          <w:sz w:val="24"/>
          <w:szCs w:val="24"/>
        </w:rPr>
        <w:t>. A cohort of 8 patients reported a 4-year survival of metasta</w:t>
      </w:r>
      <w:r w:rsidR="00EA738D" w:rsidRPr="004B329E">
        <w:rPr>
          <w:rFonts w:ascii="Book Antiqua" w:hAnsi="Book Antiqua"/>
          <w:sz w:val="24"/>
          <w:szCs w:val="24"/>
        </w:rPr>
        <w:t>s</w:t>
      </w:r>
      <w:r w:rsidRPr="004B329E">
        <w:rPr>
          <w:rFonts w:ascii="Book Antiqua" w:hAnsi="Book Antiqua"/>
          <w:sz w:val="24"/>
          <w:szCs w:val="24"/>
        </w:rPr>
        <w:t>ectomy of thyroid metastases to be 53%</w:t>
      </w:r>
      <w:r w:rsidR="005E0E3C"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6</w:t>
      </w:r>
      <w:r w:rsidR="005E0E3C" w:rsidRPr="004B329E">
        <w:rPr>
          <w:rFonts w:ascii="Book Antiqua" w:hAnsi="Book Antiqua"/>
          <w:sz w:val="24"/>
          <w:szCs w:val="24"/>
          <w:vertAlign w:val="superscript"/>
        </w:rPr>
        <w:t>]</w:t>
      </w:r>
      <w:r w:rsidRPr="004B329E">
        <w:rPr>
          <w:rFonts w:ascii="Book Antiqua" w:hAnsi="Book Antiqua"/>
          <w:sz w:val="24"/>
          <w:szCs w:val="24"/>
        </w:rPr>
        <w:t>. Another retrospective study in Europe (</w:t>
      </w:r>
      <w:r w:rsidR="0078492A" w:rsidRPr="004B329E">
        <w:rPr>
          <w:rFonts w:ascii="Book Antiqua" w:hAnsi="Book Antiqua"/>
          <w:i/>
          <w:sz w:val="24"/>
          <w:szCs w:val="24"/>
        </w:rPr>
        <w:t>n</w:t>
      </w:r>
      <w:r w:rsidR="0035406E" w:rsidRPr="004B329E">
        <w:rPr>
          <w:rFonts w:ascii="Book Antiqua" w:hAnsi="Book Antiqua"/>
          <w:sz w:val="24"/>
          <w:szCs w:val="24"/>
        </w:rPr>
        <w:t xml:space="preserve"> </w:t>
      </w:r>
      <w:r w:rsidRPr="004B329E">
        <w:rPr>
          <w:rFonts w:ascii="Book Antiqua" w:hAnsi="Book Antiqua"/>
          <w:sz w:val="24"/>
          <w:szCs w:val="24"/>
        </w:rPr>
        <w:t>=</w:t>
      </w:r>
      <w:r w:rsidR="0035406E" w:rsidRPr="004B329E">
        <w:rPr>
          <w:rFonts w:ascii="Book Antiqua" w:hAnsi="Book Antiqua"/>
          <w:sz w:val="24"/>
          <w:szCs w:val="24"/>
        </w:rPr>
        <w:t xml:space="preserve"> </w:t>
      </w:r>
      <w:r w:rsidRPr="004B329E">
        <w:rPr>
          <w:rFonts w:ascii="Book Antiqua" w:hAnsi="Book Antiqua"/>
          <w:sz w:val="24"/>
          <w:szCs w:val="24"/>
        </w:rPr>
        <w:t xml:space="preserve">45) showed </w:t>
      </w:r>
      <w:r w:rsidRPr="004B329E">
        <w:rPr>
          <w:rFonts w:ascii="Book Antiqua" w:hAnsi="Book Antiqua" w:cs="Calibri"/>
          <w:sz w:val="24"/>
          <w:szCs w:val="24"/>
          <w:lang w:val="en"/>
        </w:rPr>
        <w:t>that the 5-year overall survival rate with t</w:t>
      </w:r>
      <w:r w:rsidR="005E0E3C" w:rsidRPr="004B329E">
        <w:rPr>
          <w:rFonts w:ascii="Book Antiqua" w:hAnsi="Book Antiqua" w:cs="Calibri"/>
          <w:sz w:val="24"/>
          <w:szCs w:val="24"/>
          <w:lang w:val="en"/>
        </w:rPr>
        <w:t>hyroid metastasectomy was 51%</w:t>
      </w:r>
      <w:r w:rsidR="005E0E3C"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7</w:t>
      </w:r>
      <w:r w:rsidR="005E0E3C" w:rsidRPr="004B329E">
        <w:rPr>
          <w:rFonts w:ascii="Book Antiqua" w:hAnsi="Book Antiqua"/>
          <w:sz w:val="24"/>
          <w:szCs w:val="24"/>
          <w:vertAlign w:val="superscript"/>
        </w:rPr>
        <w:t>]</w:t>
      </w:r>
      <w:r w:rsidRPr="004B329E">
        <w:rPr>
          <w:rFonts w:ascii="Book Antiqua" w:hAnsi="Book Antiqua" w:cs="Calibri"/>
          <w:sz w:val="24"/>
          <w:szCs w:val="24"/>
          <w:lang w:val="en"/>
        </w:rPr>
        <w:t>.</w:t>
      </w:r>
    </w:p>
    <w:p w14:paraId="4C5F92BD" w14:textId="1A47DBBA" w:rsidR="00F90162" w:rsidRPr="004B329E" w:rsidRDefault="00F90162"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The decision about choice of treatment in metastatic renal cell carcinoma depends on different factors including the extent of the disease, metastatic sites of involvement and pro</w:t>
      </w:r>
      <w:r w:rsidR="00C4032E" w:rsidRPr="004B329E">
        <w:rPr>
          <w:rFonts w:ascii="Book Antiqua" w:hAnsi="Book Antiqua"/>
          <w:sz w:val="24"/>
          <w:szCs w:val="24"/>
        </w:rPr>
        <w:t>gnostic risk factors including K</w:t>
      </w:r>
      <w:r w:rsidRPr="004B329E">
        <w:rPr>
          <w:rFonts w:ascii="Book Antiqua" w:hAnsi="Book Antiqua"/>
          <w:sz w:val="24"/>
          <w:szCs w:val="24"/>
        </w:rPr>
        <w:t>ornofsky performance status, time from diagnosis to treatme</w:t>
      </w:r>
      <w:r w:rsidR="006F5D92" w:rsidRPr="004B329E">
        <w:rPr>
          <w:rFonts w:ascii="Book Antiqua" w:hAnsi="Book Antiqua"/>
          <w:sz w:val="24"/>
          <w:szCs w:val="24"/>
        </w:rPr>
        <w:t>nt and laboratory findings. Several</w:t>
      </w:r>
      <w:r w:rsidRPr="004B329E">
        <w:rPr>
          <w:rFonts w:ascii="Book Antiqua" w:hAnsi="Book Antiqua"/>
          <w:sz w:val="24"/>
          <w:szCs w:val="24"/>
        </w:rPr>
        <w:t xml:space="preserve"> guidelines still recommend consideration of metastatectomy within a multidisciplinary approach in patients with metastatic CCRCC regardless of the site if there is a single</w:t>
      </w:r>
      <w:r w:rsidR="00DC4F48" w:rsidRPr="004B329E">
        <w:rPr>
          <w:rFonts w:ascii="Book Antiqua" w:hAnsi="Book Antiqua"/>
          <w:sz w:val="24"/>
          <w:szCs w:val="24"/>
        </w:rPr>
        <w:t xml:space="preserve"> </w:t>
      </w:r>
      <w:r w:rsidRPr="004B329E">
        <w:rPr>
          <w:rFonts w:ascii="Book Antiqua" w:hAnsi="Book Antiqua"/>
          <w:sz w:val="24"/>
          <w:szCs w:val="24"/>
        </w:rPr>
        <w:t xml:space="preserve">lesion </w:t>
      </w:r>
      <w:r w:rsidR="002B5373" w:rsidRPr="004B329E">
        <w:rPr>
          <w:rFonts w:ascii="Book Antiqua" w:hAnsi="Book Antiqua"/>
          <w:sz w:val="24"/>
          <w:szCs w:val="24"/>
        </w:rPr>
        <w:t>amenable</w:t>
      </w:r>
      <w:r w:rsidR="007D0AAA" w:rsidRPr="004B329E">
        <w:rPr>
          <w:rFonts w:ascii="Book Antiqua" w:hAnsi="Book Antiqua"/>
          <w:sz w:val="24"/>
          <w:szCs w:val="24"/>
        </w:rPr>
        <w:t xml:space="preserve"> for resection and </w:t>
      </w:r>
      <w:r w:rsidRPr="004B329E">
        <w:rPr>
          <w:rFonts w:ascii="Book Antiqua" w:hAnsi="Book Antiqua"/>
          <w:sz w:val="24"/>
          <w:szCs w:val="24"/>
        </w:rPr>
        <w:t>without presence of</w:t>
      </w:r>
      <w:r w:rsidR="005E0E3C" w:rsidRPr="004B329E">
        <w:rPr>
          <w:rFonts w:ascii="Book Antiqua" w:hAnsi="Book Antiqua"/>
          <w:sz w:val="24"/>
          <w:szCs w:val="24"/>
        </w:rPr>
        <w:t xml:space="preserve"> contraindications to surgery</w:t>
      </w:r>
      <w:r w:rsidR="005E0E3C" w:rsidRPr="004B329E">
        <w:rPr>
          <w:rFonts w:ascii="Book Antiqua" w:hAnsi="Book Antiqua"/>
          <w:sz w:val="24"/>
          <w:szCs w:val="24"/>
          <w:vertAlign w:val="superscript"/>
        </w:rPr>
        <w:t>[</w:t>
      </w:r>
      <w:r w:rsidR="007F6D8B" w:rsidRPr="004B329E">
        <w:rPr>
          <w:rFonts w:ascii="Book Antiqua" w:hAnsi="Book Antiqua"/>
          <w:sz w:val="24"/>
          <w:szCs w:val="24"/>
          <w:vertAlign w:val="superscript"/>
        </w:rPr>
        <w:t>2</w:t>
      </w:r>
      <w:r w:rsidR="00AC62D3" w:rsidRPr="004B329E">
        <w:rPr>
          <w:rFonts w:ascii="Book Antiqua" w:hAnsi="Book Antiqua"/>
          <w:sz w:val="24"/>
          <w:szCs w:val="24"/>
          <w:vertAlign w:val="superscript"/>
        </w:rPr>
        <w:t>8</w:t>
      </w:r>
      <w:r w:rsidR="007F6D8B" w:rsidRPr="004B329E">
        <w:rPr>
          <w:rFonts w:ascii="Book Antiqua" w:hAnsi="Book Antiqua"/>
          <w:sz w:val="24"/>
          <w:szCs w:val="24"/>
          <w:vertAlign w:val="superscript"/>
        </w:rPr>
        <w:t>,</w:t>
      </w:r>
      <w:r w:rsidR="00AC62D3" w:rsidRPr="004B329E">
        <w:rPr>
          <w:rFonts w:ascii="Book Antiqua" w:hAnsi="Book Antiqua"/>
          <w:sz w:val="24"/>
          <w:szCs w:val="24"/>
          <w:vertAlign w:val="superscript"/>
        </w:rPr>
        <w:t>29</w:t>
      </w:r>
      <w:r w:rsidR="005E0E3C" w:rsidRPr="004B329E">
        <w:rPr>
          <w:rFonts w:ascii="Book Antiqua" w:hAnsi="Book Antiqua"/>
          <w:sz w:val="24"/>
          <w:szCs w:val="24"/>
          <w:vertAlign w:val="superscript"/>
        </w:rPr>
        <w:t>]</w:t>
      </w:r>
      <w:r w:rsidRPr="004B329E">
        <w:rPr>
          <w:rFonts w:ascii="Book Antiqua" w:hAnsi="Book Antiqua"/>
          <w:sz w:val="24"/>
          <w:szCs w:val="24"/>
        </w:rPr>
        <w:t>.</w:t>
      </w:r>
    </w:p>
    <w:p w14:paraId="098D3873" w14:textId="4E1864DE" w:rsidR="00F90162" w:rsidRPr="004B329E" w:rsidRDefault="00F90162"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 xml:space="preserve">Pharmacological therapy including immune-check point blockade and antiangiogenic targeted therapies have made advancement in the treatment of metastatic CCRCC with studies showing prolonged overall survival </w:t>
      </w:r>
      <w:r w:rsidR="005E0E3C" w:rsidRPr="004B329E">
        <w:rPr>
          <w:rFonts w:ascii="Book Antiqua" w:hAnsi="Book Antiqua"/>
          <w:sz w:val="24"/>
          <w:szCs w:val="24"/>
        </w:rPr>
        <w:t>and progression free survival</w:t>
      </w:r>
      <w:r w:rsidR="005E0E3C" w:rsidRPr="004B329E">
        <w:rPr>
          <w:rFonts w:ascii="Book Antiqua" w:hAnsi="Book Antiqua"/>
          <w:sz w:val="24"/>
          <w:szCs w:val="24"/>
          <w:vertAlign w:val="superscript"/>
        </w:rPr>
        <w:t>[</w:t>
      </w:r>
      <w:r w:rsidR="007F6D8B" w:rsidRPr="004B329E">
        <w:rPr>
          <w:rFonts w:ascii="Book Antiqua" w:hAnsi="Book Antiqua"/>
          <w:sz w:val="24"/>
          <w:szCs w:val="24"/>
          <w:vertAlign w:val="superscript"/>
        </w:rPr>
        <w:t>3</w:t>
      </w:r>
      <w:r w:rsidR="00AC62D3" w:rsidRPr="004B329E">
        <w:rPr>
          <w:rFonts w:ascii="Book Antiqua" w:hAnsi="Book Antiqua"/>
          <w:sz w:val="24"/>
          <w:szCs w:val="24"/>
          <w:vertAlign w:val="superscript"/>
        </w:rPr>
        <w:t>0</w:t>
      </w:r>
      <w:r w:rsidR="007F6D8B" w:rsidRPr="004B329E">
        <w:rPr>
          <w:rFonts w:ascii="Book Antiqua" w:hAnsi="Book Antiqua"/>
          <w:sz w:val="24"/>
          <w:szCs w:val="24"/>
          <w:vertAlign w:val="superscript"/>
        </w:rPr>
        <w:t>,3</w:t>
      </w:r>
      <w:r w:rsidR="00AC62D3" w:rsidRPr="004B329E">
        <w:rPr>
          <w:rFonts w:ascii="Book Antiqua" w:hAnsi="Book Antiqua"/>
          <w:sz w:val="24"/>
          <w:szCs w:val="24"/>
          <w:vertAlign w:val="superscript"/>
        </w:rPr>
        <w:t>1</w:t>
      </w:r>
      <w:r w:rsidR="005E0E3C" w:rsidRPr="004B329E">
        <w:rPr>
          <w:rFonts w:ascii="Book Antiqua" w:hAnsi="Book Antiqua"/>
          <w:sz w:val="24"/>
          <w:szCs w:val="24"/>
          <w:vertAlign w:val="superscript"/>
        </w:rPr>
        <w:t>]</w:t>
      </w:r>
      <w:r w:rsidRPr="004B329E">
        <w:rPr>
          <w:rFonts w:ascii="Book Antiqua" w:hAnsi="Book Antiqua"/>
          <w:sz w:val="24"/>
          <w:szCs w:val="24"/>
        </w:rPr>
        <w:t xml:space="preserve">. This could change practice in the future with a medical based approach to metastatic CCRCC rather than surgery, however, more studies are needed to determine </w:t>
      </w:r>
      <w:r w:rsidR="00DC4F48" w:rsidRPr="004B329E">
        <w:rPr>
          <w:rFonts w:ascii="Book Antiqua" w:hAnsi="Book Antiqua"/>
          <w:sz w:val="24"/>
          <w:szCs w:val="24"/>
        </w:rPr>
        <w:t>the best approach</w:t>
      </w:r>
      <w:r w:rsidRPr="004B329E">
        <w:rPr>
          <w:rFonts w:ascii="Book Antiqua" w:hAnsi="Book Antiqua"/>
          <w:sz w:val="24"/>
          <w:szCs w:val="24"/>
        </w:rPr>
        <w:t>.</w:t>
      </w:r>
    </w:p>
    <w:p w14:paraId="41EE0B26" w14:textId="6A8A5A6B" w:rsidR="002B5373" w:rsidRPr="004B329E" w:rsidRDefault="002B5373" w:rsidP="000675D7">
      <w:pPr>
        <w:spacing w:after="0" w:line="360" w:lineRule="auto"/>
        <w:ind w:firstLineChars="100" w:firstLine="240"/>
        <w:jc w:val="both"/>
        <w:rPr>
          <w:rFonts w:ascii="Book Antiqua" w:hAnsi="Book Antiqua"/>
          <w:sz w:val="24"/>
          <w:szCs w:val="24"/>
        </w:rPr>
      </w:pPr>
      <w:r w:rsidRPr="004B329E">
        <w:rPr>
          <w:rFonts w:ascii="Book Antiqua" w:hAnsi="Book Antiqua"/>
          <w:sz w:val="24"/>
          <w:szCs w:val="24"/>
        </w:rPr>
        <w:t>Our study offers a comprehensive insight into the characteristics of thyroid metastases from clear cell renal cell carcinoma, include a wide range of patients reported from 1990 to 2018 and had a sufficient number of patients. Limitations include the heterogeneity of studied population</w:t>
      </w:r>
      <w:r w:rsidR="006F5D92" w:rsidRPr="004B329E">
        <w:rPr>
          <w:rFonts w:ascii="Book Antiqua" w:hAnsi="Book Antiqua"/>
          <w:sz w:val="24"/>
          <w:szCs w:val="24"/>
        </w:rPr>
        <w:t xml:space="preserve"> and the retrospective nature of the study</w:t>
      </w:r>
      <w:r w:rsidRPr="004B329E">
        <w:rPr>
          <w:rFonts w:ascii="Book Antiqua" w:hAnsi="Book Antiqua"/>
          <w:sz w:val="24"/>
          <w:szCs w:val="24"/>
        </w:rPr>
        <w:t>.</w:t>
      </w:r>
    </w:p>
    <w:p w14:paraId="79E12CF0" w14:textId="436309A5" w:rsidR="00482AA6" w:rsidRPr="004B329E" w:rsidRDefault="00F66C40" w:rsidP="000675D7">
      <w:pPr>
        <w:autoSpaceDE w:val="0"/>
        <w:autoSpaceDN w:val="0"/>
        <w:adjustRightInd w:val="0"/>
        <w:spacing w:after="0" w:line="360" w:lineRule="auto"/>
        <w:ind w:firstLineChars="100" w:firstLine="240"/>
        <w:jc w:val="both"/>
        <w:rPr>
          <w:rFonts w:ascii="Book Antiqua" w:hAnsi="Book Antiqua" w:cs="SAS Monospace"/>
          <w:sz w:val="24"/>
          <w:szCs w:val="24"/>
        </w:rPr>
      </w:pPr>
      <w:r w:rsidRPr="004B329E">
        <w:rPr>
          <w:rFonts w:ascii="Book Antiqua" w:hAnsi="Book Antiqua" w:cs="SAS Monospace"/>
          <w:sz w:val="24"/>
          <w:szCs w:val="24"/>
        </w:rPr>
        <w:t xml:space="preserve">In our retrospective review of CCRCC patients presenting with thyroid metastases, we found that </w:t>
      </w:r>
      <w:r w:rsidR="00482AA6" w:rsidRPr="004B329E">
        <w:rPr>
          <w:rFonts w:ascii="Book Antiqua" w:hAnsi="Book Antiqua" w:cs="SAS Monospace"/>
          <w:sz w:val="24"/>
          <w:szCs w:val="24"/>
        </w:rPr>
        <w:t xml:space="preserve">larger size of thyroid metastasis was more likely to present with symptomatology. A high index of suspicion is warranted when evaluating thyroid nodules in CCRCC patients. There </w:t>
      </w:r>
      <w:r w:rsidRPr="004B329E">
        <w:rPr>
          <w:rFonts w:ascii="Book Antiqua" w:hAnsi="Book Antiqua" w:cs="SAS Monospace"/>
          <w:sz w:val="24"/>
          <w:szCs w:val="24"/>
        </w:rPr>
        <w:t xml:space="preserve">appeared to be </w:t>
      </w:r>
      <w:r w:rsidR="00482AA6" w:rsidRPr="004B329E">
        <w:rPr>
          <w:rFonts w:ascii="Book Antiqua" w:hAnsi="Book Antiqua" w:cs="SAS Monospace"/>
          <w:sz w:val="24"/>
          <w:szCs w:val="24"/>
        </w:rPr>
        <w:t>no significant difference in outcome between patients who underwent surgery and those who did not. With the wider use of immune check-point and tyrosine kinase inhibitors in metastatic CCRCC, surgery may eventually be reserved only for palliative purposes.</w:t>
      </w:r>
    </w:p>
    <w:p w14:paraId="2CEC5E8B" w14:textId="77777777" w:rsidR="00FF1C18" w:rsidRPr="004B329E" w:rsidRDefault="00FF1C18" w:rsidP="000675D7">
      <w:pPr>
        <w:spacing w:after="0" w:line="360" w:lineRule="auto"/>
        <w:jc w:val="both"/>
        <w:rPr>
          <w:rFonts w:ascii="Book Antiqua" w:hAnsi="Book Antiqua"/>
          <w:sz w:val="24"/>
          <w:szCs w:val="24"/>
        </w:rPr>
      </w:pPr>
    </w:p>
    <w:p w14:paraId="02F3D5C3" w14:textId="6422B350" w:rsidR="00F90162" w:rsidRPr="004B329E" w:rsidRDefault="00F90162" w:rsidP="000675D7">
      <w:pPr>
        <w:spacing w:after="0" w:line="360" w:lineRule="auto"/>
        <w:jc w:val="both"/>
        <w:rPr>
          <w:rFonts w:ascii="Book Antiqua" w:hAnsi="Book Antiqua"/>
          <w:b/>
          <w:caps/>
          <w:sz w:val="24"/>
          <w:szCs w:val="24"/>
        </w:rPr>
      </w:pPr>
      <w:r w:rsidRPr="004B329E">
        <w:rPr>
          <w:rFonts w:ascii="Book Antiqua" w:hAnsi="Book Antiqua"/>
          <w:b/>
          <w:caps/>
          <w:sz w:val="24"/>
          <w:szCs w:val="24"/>
        </w:rPr>
        <w:t>References</w:t>
      </w:r>
    </w:p>
    <w:p w14:paraId="78FA79CA" w14:textId="77777777" w:rsidR="000675D7" w:rsidRPr="004B329E" w:rsidRDefault="000675D7" w:rsidP="000675D7">
      <w:pPr>
        <w:spacing w:after="0" w:line="360" w:lineRule="auto"/>
        <w:jc w:val="both"/>
        <w:rPr>
          <w:rFonts w:ascii="Book Antiqua" w:hAnsi="Book Antiqua"/>
          <w:sz w:val="24"/>
          <w:szCs w:val="24"/>
        </w:rPr>
      </w:pPr>
      <w:bookmarkStart w:id="26" w:name="OLE_LINK36"/>
      <w:r w:rsidRPr="004B329E">
        <w:rPr>
          <w:rFonts w:ascii="Book Antiqua" w:hAnsi="Book Antiqua"/>
          <w:sz w:val="24"/>
          <w:szCs w:val="24"/>
        </w:rPr>
        <w:t xml:space="preserve">1 </w:t>
      </w:r>
      <w:r w:rsidRPr="004B329E">
        <w:rPr>
          <w:rFonts w:ascii="Book Antiqua" w:hAnsi="Book Antiqua"/>
          <w:b/>
          <w:sz w:val="24"/>
          <w:szCs w:val="24"/>
        </w:rPr>
        <w:t>Budczies J</w:t>
      </w:r>
      <w:r w:rsidRPr="004B329E">
        <w:rPr>
          <w:rFonts w:ascii="Book Antiqua" w:hAnsi="Book Antiqua"/>
          <w:sz w:val="24"/>
          <w:szCs w:val="24"/>
        </w:rPr>
        <w:t xml:space="preserve">, von Winterfeld M, Klauschen F, Bockmayr M, Lennerz JK, Denkert C, Wolf T, Warth A, Dietel M, Anagnostopoulos I, Weichert W, Wittschieber D, Stenzinger A. The landscape of metastatic progression patterns across major human cancers. </w:t>
      </w:r>
      <w:r w:rsidRPr="004B329E">
        <w:rPr>
          <w:rFonts w:ascii="Book Antiqua" w:hAnsi="Book Antiqua"/>
          <w:i/>
          <w:sz w:val="24"/>
          <w:szCs w:val="24"/>
        </w:rPr>
        <w:t>Oncotarget</w:t>
      </w:r>
      <w:r w:rsidRPr="004B329E">
        <w:rPr>
          <w:rFonts w:ascii="Book Antiqua" w:hAnsi="Book Antiqua"/>
          <w:sz w:val="24"/>
          <w:szCs w:val="24"/>
        </w:rPr>
        <w:t xml:space="preserve"> 2015; </w:t>
      </w:r>
      <w:r w:rsidRPr="004B329E">
        <w:rPr>
          <w:rFonts w:ascii="Book Antiqua" w:hAnsi="Book Antiqua"/>
          <w:b/>
          <w:sz w:val="24"/>
          <w:szCs w:val="24"/>
        </w:rPr>
        <w:t>6</w:t>
      </w:r>
      <w:r w:rsidRPr="004B329E">
        <w:rPr>
          <w:rFonts w:ascii="Book Antiqua" w:hAnsi="Book Antiqua"/>
          <w:sz w:val="24"/>
          <w:szCs w:val="24"/>
        </w:rPr>
        <w:t>: 570-583 [PMID: 25402435 DOI: 10.18632/oncotarget.2677]</w:t>
      </w:r>
    </w:p>
    <w:p w14:paraId="3C1F3005"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 </w:t>
      </w:r>
      <w:r w:rsidRPr="004B329E">
        <w:rPr>
          <w:rFonts w:ascii="Book Antiqua" w:hAnsi="Book Antiqua"/>
          <w:b/>
          <w:sz w:val="24"/>
          <w:szCs w:val="24"/>
        </w:rPr>
        <w:t>Papi G</w:t>
      </w:r>
      <w:r w:rsidRPr="004B329E">
        <w:rPr>
          <w:rFonts w:ascii="Book Antiqua" w:hAnsi="Book Antiqua"/>
          <w:sz w:val="24"/>
          <w:szCs w:val="24"/>
        </w:rPr>
        <w:t xml:space="preserve">, Fadda G, Corsello SM, Corrado S, Rossi ED, Radighieri E, Miraglia A, Carani C, Pontecorvi A. Metastases to the thyroid gland: prevalence, clinicopathological aspects and prognosis: a 10-year experience. </w:t>
      </w:r>
      <w:r w:rsidRPr="004B329E">
        <w:rPr>
          <w:rFonts w:ascii="Book Antiqua" w:hAnsi="Book Antiqua"/>
          <w:i/>
          <w:sz w:val="24"/>
          <w:szCs w:val="24"/>
        </w:rPr>
        <w:t>Clin Endocrinol (Oxf)</w:t>
      </w:r>
      <w:r w:rsidRPr="004B329E">
        <w:rPr>
          <w:rFonts w:ascii="Book Antiqua" w:hAnsi="Book Antiqua"/>
          <w:sz w:val="24"/>
          <w:szCs w:val="24"/>
        </w:rPr>
        <w:t xml:space="preserve"> 2007; </w:t>
      </w:r>
      <w:r w:rsidRPr="004B329E">
        <w:rPr>
          <w:rFonts w:ascii="Book Antiqua" w:hAnsi="Book Antiqua"/>
          <w:b/>
          <w:sz w:val="24"/>
          <w:szCs w:val="24"/>
        </w:rPr>
        <w:t>66</w:t>
      </w:r>
      <w:r w:rsidRPr="004B329E">
        <w:rPr>
          <w:rFonts w:ascii="Book Antiqua" w:hAnsi="Book Antiqua"/>
          <w:sz w:val="24"/>
          <w:szCs w:val="24"/>
        </w:rPr>
        <w:t>: 565-571 [PMID: 17371476 DOI: 10.1111/j.1365-2265.2007.02773.x]</w:t>
      </w:r>
    </w:p>
    <w:p w14:paraId="1382108D" w14:textId="3797BE32"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3 </w:t>
      </w:r>
      <w:r w:rsidRPr="004B329E">
        <w:rPr>
          <w:rFonts w:ascii="Book Antiqua" w:hAnsi="Book Antiqua"/>
          <w:b/>
          <w:sz w:val="24"/>
          <w:szCs w:val="24"/>
        </w:rPr>
        <w:t>Berge T</w:t>
      </w:r>
      <w:r w:rsidRPr="004B329E">
        <w:rPr>
          <w:rFonts w:ascii="Book Antiqua" w:hAnsi="Book Antiqua"/>
          <w:sz w:val="24"/>
          <w:szCs w:val="24"/>
        </w:rPr>
        <w:t xml:space="preserve">, Lundberg S. Cancer in Malmö 1958-1969. An autopsy study. </w:t>
      </w:r>
      <w:r w:rsidRPr="004B329E">
        <w:rPr>
          <w:rFonts w:ascii="Book Antiqua" w:hAnsi="Book Antiqua"/>
          <w:i/>
          <w:sz w:val="24"/>
          <w:szCs w:val="24"/>
        </w:rPr>
        <w:t>Acta Pathol Microbiol Scand Suppl</w:t>
      </w:r>
      <w:r w:rsidRPr="004B329E">
        <w:rPr>
          <w:rFonts w:ascii="Book Antiqua" w:hAnsi="Book Antiqua"/>
          <w:sz w:val="24"/>
          <w:szCs w:val="24"/>
        </w:rPr>
        <w:t xml:space="preserve"> 1977; 1-235 [PMID: 269649]</w:t>
      </w:r>
    </w:p>
    <w:p w14:paraId="7FC1B7CD"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4 </w:t>
      </w:r>
      <w:r w:rsidRPr="004B329E">
        <w:rPr>
          <w:rFonts w:ascii="Book Antiqua" w:hAnsi="Book Antiqua"/>
          <w:b/>
          <w:sz w:val="24"/>
          <w:szCs w:val="24"/>
        </w:rPr>
        <w:t>Nixon IJ</w:t>
      </w:r>
      <w:r w:rsidRPr="004B329E">
        <w:rPr>
          <w:rFonts w:ascii="Book Antiqua" w:hAnsi="Book Antiqua"/>
          <w:sz w:val="24"/>
          <w:szCs w:val="24"/>
        </w:rPr>
        <w:t xml:space="preserve">, Coca-Pelaz A, Kaleva AI, Triantafyllou A, Angelos P, Owen RP, Rinaldo A, Shaha AR, Silver CE, Ferlito A. Metastasis to the Thyroid Gland: A Critical Review. </w:t>
      </w:r>
      <w:r w:rsidRPr="004B329E">
        <w:rPr>
          <w:rFonts w:ascii="Book Antiqua" w:hAnsi="Book Antiqua"/>
          <w:i/>
          <w:sz w:val="24"/>
          <w:szCs w:val="24"/>
        </w:rPr>
        <w:t>Ann Surg Oncol</w:t>
      </w:r>
      <w:r w:rsidRPr="004B329E">
        <w:rPr>
          <w:rFonts w:ascii="Book Antiqua" w:hAnsi="Book Antiqua"/>
          <w:sz w:val="24"/>
          <w:szCs w:val="24"/>
        </w:rPr>
        <w:t xml:space="preserve"> 2017; </w:t>
      </w:r>
      <w:r w:rsidRPr="004B329E">
        <w:rPr>
          <w:rFonts w:ascii="Book Antiqua" w:hAnsi="Book Antiqua"/>
          <w:b/>
          <w:sz w:val="24"/>
          <w:szCs w:val="24"/>
        </w:rPr>
        <w:t>24</w:t>
      </w:r>
      <w:r w:rsidRPr="004B329E">
        <w:rPr>
          <w:rFonts w:ascii="Book Antiqua" w:hAnsi="Book Antiqua"/>
          <w:sz w:val="24"/>
          <w:szCs w:val="24"/>
        </w:rPr>
        <w:t>: 1533-1539 [PMID: 27873099 DOI: 10.1245/s10434-016-5683-4]</w:t>
      </w:r>
    </w:p>
    <w:p w14:paraId="45B537B9"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5 </w:t>
      </w:r>
      <w:r w:rsidRPr="004B329E">
        <w:rPr>
          <w:rFonts w:ascii="Book Antiqua" w:hAnsi="Book Antiqua"/>
          <w:b/>
          <w:sz w:val="24"/>
          <w:szCs w:val="24"/>
        </w:rPr>
        <w:t>Cesaretti M</w:t>
      </w:r>
      <w:r w:rsidRPr="004B329E">
        <w:rPr>
          <w:rFonts w:ascii="Book Antiqua" w:hAnsi="Book Antiqua"/>
          <w:sz w:val="24"/>
          <w:szCs w:val="24"/>
        </w:rPr>
        <w:t xml:space="preserve">, Trotta M, Varaldo E, Ansaldo G, Leale I, Borgonovo G. Metastases to the thyroid gland from renal cancer. </w:t>
      </w:r>
      <w:r w:rsidRPr="004B329E">
        <w:rPr>
          <w:rFonts w:ascii="Book Antiqua" w:hAnsi="Book Antiqua"/>
          <w:i/>
          <w:sz w:val="24"/>
          <w:szCs w:val="24"/>
        </w:rPr>
        <w:t>Tumori</w:t>
      </w:r>
      <w:r w:rsidRPr="004B329E">
        <w:rPr>
          <w:rFonts w:ascii="Book Antiqua" w:hAnsi="Book Antiqua"/>
          <w:sz w:val="24"/>
          <w:szCs w:val="24"/>
        </w:rPr>
        <w:t xml:space="preserve"> 2013; </w:t>
      </w:r>
      <w:r w:rsidRPr="004B329E">
        <w:rPr>
          <w:rFonts w:ascii="Book Antiqua" w:hAnsi="Book Antiqua"/>
          <w:b/>
          <w:sz w:val="24"/>
          <w:szCs w:val="24"/>
        </w:rPr>
        <w:t>99</w:t>
      </w:r>
      <w:r w:rsidRPr="004B329E">
        <w:rPr>
          <w:rFonts w:ascii="Book Antiqua" w:hAnsi="Book Antiqua"/>
          <w:sz w:val="24"/>
          <w:szCs w:val="24"/>
        </w:rPr>
        <w:t>: e107-e110 [PMID: 24158077 DOI: 10.1700/1334.14816]</w:t>
      </w:r>
    </w:p>
    <w:p w14:paraId="54277E9C"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6 </w:t>
      </w:r>
      <w:r w:rsidRPr="004B329E">
        <w:rPr>
          <w:rFonts w:ascii="Book Antiqua" w:hAnsi="Book Antiqua"/>
          <w:b/>
          <w:sz w:val="24"/>
          <w:szCs w:val="24"/>
        </w:rPr>
        <w:t>Sindoni A</w:t>
      </w:r>
      <w:r w:rsidRPr="004B329E">
        <w:rPr>
          <w:rFonts w:ascii="Book Antiqua" w:hAnsi="Book Antiqua"/>
          <w:sz w:val="24"/>
          <w:szCs w:val="24"/>
        </w:rPr>
        <w:t xml:space="preserve">, Rizzo M, Tuccari G, Ieni A, Barresi V, Calbo L, Cucinotta E, Mallamace A, Trimarchi F, Benvenga S. Thyroid metastases from clear cell renal carcinoma 18 years after nephrectomy. </w:t>
      </w:r>
      <w:r w:rsidRPr="004B329E">
        <w:rPr>
          <w:rFonts w:ascii="Book Antiqua" w:hAnsi="Book Antiqua"/>
          <w:i/>
          <w:sz w:val="24"/>
          <w:szCs w:val="24"/>
        </w:rPr>
        <w:t>Ann Endocrinol (Paris)</w:t>
      </w:r>
      <w:r w:rsidRPr="004B329E">
        <w:rPr>
          <w:rFonts w:ascii="Book Antiqua" w:hAnsi="Book Antiqua"/>
          <w:sz w:val="24"/>
          <w:szCs w:val="24"/>
        </w:rPr>
        <w:t xml:space="preserve"> 2010; </w:t>
      </w:r>
      <w:r w:rsidRPr="004B329E">
        <w:rPr>
          <w:rFonts w:ascii="Book Antiqua" w:hAnsi="Book Antiqua"/>
          <w:b/>
          <w:sz w:val="24"/>
          <w:szCs w:val="24"/>
        </w:rPr>
        <w:t>71</w:t>
      </w:r>
      <w:r w:rsidRPr="004B329E">
        <w:rPr>
          <w:rFonts w:ascii="Book Antiqua" w:hAnsi="Book Antiqua"/>
          <w:sz w:val="24"/>
          <w:szCs w:val="24"/>
        </w:rPr>
        <w:t>: 127-130 [PMID: 20207342 DOI: 10.1016/j.ando.2010.01.004]</w:t>
      </w:r>
    </w:p>
    <w:p w14:paraId="0A310EAD"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7 </w:t>
      </w:r>
      <w:r w:rsidRPr="004B329E">
        <w:rPr>
          <w:rFonts w:ascii="Book Antiqua" w:hAnsi="Book Antiqua"/>
          <w:b/>
          <w:sz w:val="24"/>
          <w:szCs w:val="24"/>
        </w:rPr>
        <w:t>Sindoni A</w:t>
      </w:r>
      <w:r w:rsidRPr="004B329E">
        <w:rPr>
          <w:rFonts w:ascii="Book Antiqua" w:hAnsi="Book Antiqua"/>
          <w:sz w:val="24"/>
          <w:szCs w:val="24"/>
        </w:rPr>
        <w:t xml:space="preserve">, Rizzo M, Tuccari G, Ieni A, Barresi V, Calbo L, Cucinotta E, Trimarchi F, Benvenga S. Thyroid metastases from renal cell carcinoma: review of the literature. </w:t>
      </w:r>
      <w:r w:rsidRPr="004B329E">
        <w:rPr>
          <w:rFonts w:ascii="Book Antiqua" w:hAnsi="Book Antiqua"/>
          <w:i/>
          <w:sz w:val="24"/>
          <w:szCs w:val="24"/>
        </w:rPr>
        <w:t>ScientificWorldJournal</w:t>
      </w:r>
      <w:r w:rsidRPr="004B329E">
        <w:rPr>
          <w:rFonts w:ascii="Book Antiqua" w:hAnsi="Book Antiqua"/>
          <w:sz w:val="24"/>
          <w:szCs w:val="24"/>
        </w:rPr>
        <w:t xml:space="preserve"> 2010; </w:t>
      </w:r>
      <w:r w:rsidRPr="004B329E">
        <w:rPr>
          <w:rFonts w:ascii="Book Antiqua" w:hAnsi="Book Antiqua"/>
          <w:b/>
          <w:sz w:val="24"/>
          <w:szCs w:val="24"/>
        </w:rPr>
        <w:t>10</w:t>
      </w:r>
      <w:r w:rsidRPr="004B329E">
        <w:rPr>
          <w:rFonts w:ascii="Book Antiqua" w:hAnsi="Book Antiqua"/>
          <w:sz w:val="24"/>
          <w:szCs w:val="24"/>
        </w:rPr>
        <w:t>: 590-602 [PMID: 20364245 DOI: 10.1100/tsw.2010.55]</w:t>
      </w:r>
    </w:p>
    <w:p w14:paraId="170CBAD2"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8 </w:t>
      </w:r>
      <w:r w:rsidRPr="004B329E">
        <w:rPr>
          <w:rFonts w:ascii="Book Antiqua" w:hAnsi="Book Antiqua"/>
          <w:b/>
          <w:sz w:val="24"/>
          <w:szCs w:val="24"/>
        </w:rPr>
        <w:t>Willis RA</w:t>
      </w:r>
      <w:r w:rsidRPr="004B329E">
        <w:rPr>
          <w:rFonts w:ascii="Book Antiqua" w:hAnsi="Book Antiqua"/>
          <w:sz w:val="24"/>
          <w:szCs w:val="24"/>
        </w:rPr>
        <w:t xml:space="preserve">. Metastatic Tumours in the Thyreoid Gland. </w:t>
      </w:r>
      <w:r w:rsidRPr="004B329E">
        <w:rPr>
          <w:rFonts w:ascii="Book Antiqua" w:hAnsi="Book Antiqua"/>
          <w:i/>
          <w:sz w:val="24"/>
          <w:szCs w:val="24"/>
        </w:rPr>
        <w:t>Am J Pathol</w:t>
      </w:r>
      <w:r w:rsidRPr="004B329E">
        <w:rPr>
          <w:rFonts w:ascii="Book Antiqua" w:hAnsi="Book Antiqua"/>
          <w:sz w:val="24"/>
          <w:szCs w:val="24"/>
        </w:rPr>
        <w:t xml:space="preserve"> 1931; </w:t>
      </w:r>
      <w:r w:rsidRPr="004B329E">
        <w:rPr>
          <w:rFonts w:ascii="Book Antiqua" w:hAnsi="Book Antiqua"/>
          <w:b/>
          <w:sz w:val="24"/>
          <w:szCs w:val="24"/>
        </w:rPr>
        <w:t>7</w:t>
      </w:r>
      <w:r w:rsidRPr="004B329E">
        <w:rPr>
          <w:rFonts w:ascii="Book Antiqua" w:hAnsi="Book Antiqua"/>
          <w:sz w:val="24"/>
          <w:szCs w:val="24"/>
        </w:rPr>
        <w:t>: 187-208.3 [PMID: 19969962]</w:t>
      </w:r>
    </w:p>
    <w:p w14:paraId="5E67D810"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9 </w:t>
      </w:r>
      <w:r w:rsidRPr="004B329E">
        <w:rPr>
          <w:rFonts w:ascii="Book Antiqua" w:hAnsi="Book Antiqua"/>
          <w:b/>
          <w:sz w:val="24"/>
          <w:szCs w:val="24"/>
        </w:rPr>
        <w:t>Bianchi M</w:t>
      </w:r>
      <w:r w:rsidRPr="004B329E">
        <w:rPr>
          <w:rFonts w:ascii="Book Antiqua" w:hAnsi="Book Antiqua"/>
          <w:sz w:val="24"/>
          <w:szCs w:val="24"/>
        </w:rPr>
        <w:t xml:space="preserve">, Sun M, Jeldres C, Shariat SF, Trinh QD, Briganti A, Tian Z, Schmitges J, Graefen M, Perrotte P, Menon M, Montorsi F, Karakiewicz PI. Distribution of metastatic sites in renal cell carcinoma: a population-based analysis. </w:t>
      </w:r>
      <w:r w:rsidRPr="004B329E">
        <w:rPr>
          <w:rFonts w:ascii="Book Antiqua" w:hAnsi="Book Antiqua"/>
          <w:i/>
          <w:sz w:val="24"/>
          <w:szCs w:val="24"/>
        </w:rPr>
        <w:t>Ann Oncol</w:t>
      </w:r>
      <w:r w:rsidRPr="004B329E">
        <w:rPr>
          <w:rFonts w:ascii="Book Antiqua" w:hAnsi="Book Antiqua"/>
          <w:sz w:val="24"/>
          <w:szCs w:val="24"/>
        </w:rPr>
        <w:t xml:space="preserve"> 2012; </w:t>
      </w:r>
      <w:r w:rsidRPr="004B329E">
        <w:rPr>
          <w:rFonts w:ascii="Book Antiqua" w:hAnsi="Book Antiqua"/>
          <w:b/>
          <w:sz w:val="24"/>
          <w:szCs w:val="24"/>
        </w:rPr>
        <w:t>23</w:t>
      </w:r>
      <w:r w:rsidRPr="004B329E">
        <w:rPr>
          <w:rFonts w:ascii="Book Antiqua" w:hAnsi="Book Antiqua"/>
          <w:sz w:val="24"/>
          <w:szCs w:val="24"/>
        </w:rPr>
        <w:t>: 973-980 [PMID: 21890909 DOI: 10.1093/annonc/mdr362]</w:t>
      </w:r>
    </w:p>
    <w:p w14:paraId="50D8CC7B"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10 </w:t>
      </w:r>
      <w:r w:rsidRPr="004B329E">
        <w:rPr>
          <w:rFonts w:ascii="Book Antiqua" w:hAnsi="Book Antiqua"/>
          <w:b/>
          <w:sz w:val="24"/>
          <w:szCs w:val="24"/>
        </w:rPr>
        <w:t>Heffess CS</w:t>
      </w:r>
      <w:r w:rsidRPr="004B329E">
        <w:rPr>
          <w:rFonts w:ascii="Book Antiqua" w:hAnsi="Book Antiqua"/>
          <w:sz w:val="24"/>
          <w:szCs w:val="24"/>
        </w:rPr>
        <w:t xml:space="preserve">, Wenig BM, Thompson LD. Metastatic renal cell carcinoma to the thyroid gland: a clinicopathologic study of 36 cases. </w:t>
      </w:r>
      <w:r w:rsidRPr="004B329E">
        <w:rPr>
          <w:rFonts w:ascii="Book Antiqua" w:hAnsi="Book Antiqua"/>
          <w:i/>
          <w:sz w:val="24"/>
          <w:szCs w:val="24"/>
        </w:rPr>
        <w:t>Cancer</w:t>
      </w:r>
      <w:r w:rsidRPr="004B329E">
        <w:rPr>
          <w:rFonts w:ascii="Book Antiqua" w:hAnsi="Book Antiqua"/>
          <w:sz w:val="24"/>
          <w:szCs w:val="24"/>
        </w:rPr>
        <w:t xml:space="preserve"> 2002; </w:t>
      </w:r>
      <w:r w:rsidRPr="004B329E">
        <w:rPr>
          <w:rFonts w:ascii="Book Antiqua" w:hAnsi="Book Antiqua"/>
          <w:b/>
          <w:sz w:val="24"/>
          <w:szCs w:val="24"/>
        </w:rPr>
        <w:t>95</w:t>
      </w:r>
      <w:r w:rsidRPr="004B329E">
        <w:rPr>
          <w:rFonts w:ascii="Book Antiqua" w:hAnsi="Book Antiqua"/>
          <w:sz w:val="24"/>
          <w:szCs w:val="24"/>
        </w:rPr>
        <w:t>: 1869-1878 [PMID: 12404280 DOI: 10.1002/cncr.10901]</w:t>
      </w:r>
    </w:p>
    <w:p w14:paraId="28296F64"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11 </w:t>
      </w:r>
      <w:r w:rsidRPr="004B329E">
        <w:rPr>
          <w:rFonts w:ascii="Book Antiqua" w:hAnsi="Book Antiqua"/>
          <w:b/>
          <w:sz w:val="24"/>
          <w:szCs w:val="24"/>
        </w:rPr>
        <w:t>Ljungberg B</w:t>
      </w:r>
      <w:r w:rsidRPr="004B329E">
        <w:rPr>
          <w:rFonts w:ascii="Book Antiqua" w:hAnsi="Book Antiqua"/>
          <w:sz w:val="24"/>
          <w:szCs w:val="24"/>
        </w:rPr>
        <w:t xml:space="preserve">, Alamdari FI, Rasmuson T, Roos G. Follow-up guidelines for nonmetastatic renal cell carcinoma based on the occurrence of metastases after radical nephrectomy. </w:t>
      </w:r>
      <w:r w:rsidRPr="004B329E">
        <w:rPr>
          <w:rFonts w:ascii="Book Antiqua" w:hAnsi="Book Antiqua"/>
          <w:i/>
          <w:sz w:val="24"/>
          <w:szCs w:val="24"/>
        </w:rPr>
        <w:t>BJU Int</w:t>
      </w:r>
      <w:r w:rsidRPr="004B329E">
        <w:rPr>
          <w:rFonts w:ascii="Book Antiqua" w:hAnsi="Book Antiqua"/>
          <w:sz w:val="24"/>
          <w:szCs w:val="24"/>
        </w:rPr>
        <w:t xml:space="preserve"> 1999; </w:t>
      </w:r>
      <w:r w:rsidRPr="004B329E">
        <w:rPr>
          <w:rFonts w:ascii="Book Antiqua" w:hAnsi="Book Antiqua"/>
          <w:b/>
          <w:sz w:val="24"/>
          <w:szCs w:val="24"/>
        </w:rPr>
        <w:t>84</w:t>
      </w:r>
      <w:r w:rsidRPr="004B329E">
        <w:rPr>
          <w:rFonts w:ascii="Book Antiqua" w:hAnsi="Book Antiqua"/>
          <w:sz w:val="24"/>
          <w:szCs w:val="24"/>
        </w:rPr>
        <w:t>: 405-411 [PMID: 10468753 DOI: 10.1046/j.1464-410x.1999.00202.x]</w:t>
      </w:r>
    </w:p>
    <w:p w14:paraId="58A30799"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12 </w:t>
      </w:r>
      <w:r w:rsidRPr="004B329E">
        <w:rPr>
          <w:rFonts w:ascii="Book Antiqua" w:hAnsi="Book Antiqua"/>
          <w:b/>
          <w:sz w:val="24"/>
          <w:szCs w:val="24"/>
        </w:rPr>
        <w:t>Cilengir AH</w:t>
      </w:r>
      <w:r w:rsidRPr="004B329E">
        <w:rPr>
          <w:rFonts w:ascii="Book Antiqua" w:hAnsi="Book Antiqua"/>
          <w:sz w:val="24"/>
          <w:szCs w:val="24"/>
        </w:rPr>
        <w:t xml:space="preserve">, Kalayci TO, Duygulu G, Rezanko TA, </w:t>
      </w:r>
      <w:r w:rsidRPr="004B329E">
        <w:rPr>
          <w:rFonts w:ascii="Book Antiqua" w:hAnsi="Book Antiqua" w:cs="Cambria"/>
          <w:sz w:val="24"/>
          <w:szCs w:val="24"/>
        </w:rPr>
        <w:t>İ</w:t>
      </w:r>
      <w:r w:rsidRPr="004B329E">
        <w:rPr>
          <w:rFonts w:ascii="Book Antiqua" w:hAnsi="Book Antiqua"/>
          <w:sz w:val="24"/>
          <w:szCs w:val="24"/>
        </w:rPr>
        <w:t xml:space="preserve">nci MF. Metastasis of Renal Clear Cell Carcinoma to Thyroid Gland Mimicking Adenomatous Goiter. </w:t>
      </w:r>
      <w:r w:rsidRPr="004B329E">
        <w:rPr>
          <w:rFonts w:ascii="Book Antiqua" w:hAnsi="Book Antiqua"/>
          <w:i/>
          <w:sz w:val="24"/>
          <w:szCs w:val="24"/>
        </w:rPr>
        <w:t>Pol J Radiol</w:t>
      </w:r>
      <w:r w:rsidRPr="004B329E">
        <w:rPr>
          <w:rFonts w:ascii="Book Antiqua" w:hAnsi="Book Antiqua"/>
          <w:sz w:val="24"/>
          <w:szCs w:val="24"/>
        </w:rPr>
        <w:t xml:space="preserve"> 2016; </w:t>
      </w:r>
      <w:r w:rsidRPr="004B329E">
        <w:rPr>
          <w:rFonts w:ascii="Book Antiqua" w:hAnsi="Book Antiqua"/>
          <w:b/>
          <w:sz w:val="24"/>
          <w:szCs w:val="24"/>
        </w:rPr>
        <w:t>81</w:t>
      </w:r>
      <w:r w:rsidRPr="004B329E">
        <w:rPr>
          <w:rFonts w:ascii="Book Antiqua" w:hAnsi="Book Antiqua"/>
          <w:sz w:val="24"/>
          <w:szCs w:val="24"/>
        </w:rPr>
        <w:t>: 618-621 [PMID: 28096905 DOI: 10.12659/PJR.899459]</w:t>
      </w:r>
    </w:p>
    <w:p w14:paraId="0167623C"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13 </w:t>
      </w:r>
      <w:r w:rsidRPr="004B329E">
        <w:rPr>
          <w:rFonts w:ascii="Book Antiqua" w:hAnsi="Book Antiqua"/>
          <w:b/>
          <w:sz w:val="24"/>
          <w:szCs w:val="24"/>
        </w:rPr>
        <w:t>Calkovsky V</w:t>
      </w:r>
      <w:r w:rsidRPr="004B329E">
        <w:rPr>
          <w:rFonts w:ascii="Book Antiqua" w:hAnsi="Book Antiqua"/>
          <w:sz w:val="24"/>
          <w:szCs w:val="24"/>
        </w:rPr>
        <w:t xml:space="preserve">, Szepe P, Hajtman A. Solitary intrathyroid metastasis of renal cancer. </w:t>
      </w:r>
      <w:r w:rsidRPr="004B329E">
        <w:rPr>
          <w:rFonts w:ascii="Book Antiqua" w:hAnsi="Book Antiqua"/>
          <w:i/>
          <w:sz w:val="24"/>
          <w:szCs w:val="24"/>
        </w:rPr>
        <w:t>Bratisl Lek Listy</w:t>
      </w:r>
      <w:r w:rsidRPr="004B329E">
        <w:rPr>
          <w:rFonts w:ascii="Book Antiqua" w:hAnsi="Book Antiqua"/>
          <w:sz w:val="24"/>
          <w:szCs w:val="24"/>
        </w:rPr>
        <w:t xml:space="preserve"> 2011; </w:t>
      </w:r>
      <w:r w:rsidRPr="004B329E">
        <w:rPr>
          <w:rFonts w:ascii="Book Antiqua" w:hAnsi="Book Antiqua"/>
          <w:b/>
          <w:sz w:val="24"/>
          <w:szCs w:val="24"/>
        </w:rPr>
        <w:t>112</w:t>
      </w:r>
      <w:r w:rsidRPr="004B329E">
        <w:rPr>
          <w:rFonts w:ascii="Book Antiqua" w:hAnsi="Book Antiqua"/>
          <w:sz w:val="24"/>
          <w:szCs w:val="24"/>
        </w:rPr>
        <w:t>: 395-397 [PMID: 21744735]</w:t>
      </w:r>
    </w:p>
    <w:p w14:paraId="76304F9E"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14 </w:t>
      </w:r>
      <w:r w:rsidRPr="004B329E">
        <w:rPr>
          <w:rFonts w:ascii="Book Antiqua" w:hAnsi="Book Antiqua"/>
          <w:b/>
          <w:sz w:val="24"/>
          <w:szCs w:val="24"/>
        </w:rPr>
        <w:t>Lam JS</w:t>
      </w:r>
      <w:r w:rsidRPr="004B329E">
        <w:rPr>
          <w:rFonts w:ascii="Book Antiqua" w:hAnsi="Book Antiqua"/>
          <w:sz w:val="24"/>
          <w:szCs w:val="24"/>
        </w:rPr>
        <w:t xml:space="preserve">, Leppert JT, Figlin RA, Belldegrun AS. Surveillance following radical or partial nephrectomy for renal cell carcinoma. </w:t>
      </w:r>
      <w:r w:rsidRPr="004B329E">
        <w:rPr>
          <w:rFonts w:ascii="Book Antiqua" w:hAnsi="Book Antiqua"/>
          <w:i/>
          <w:sz w:val="24"/>
          <w:szCs w:val="24"/>
        </w:rPr>
        <w:t>Curr Urol Rep</w:t>
      </w:r>
      <w:r w:rsidRPr="004B329E">
        <w:rPr>
          <w:rFonts w:ascii="Book Antiqua" w:hAnsi="Book Antiqua"/>
          <w:sz w:val="24"/>
          <w:szCs w:val="24"/>
        </w:rPr>
        <w:t xml:space="preserve"> 2005; </w:t>
      </w:r>
      <w:r w:rsidRPr="004B329E">
        <w:rPr>
          <w:rFonts w:ascii="Book Antiqua" w:hAnsi="Book Antiqua"/>
          <w:b/>
          <w:sz w:val="24"/>
          <w:szCs w:val="24"/>
        </w:rPr>
        <w:t>6</w:t>
      </w:r>
      <w:r w:rsidRPr="004B329E">
        <w:rPr>
          <w:rFonts w:ascii="Book Antiqua" w:hAnsi="Book Antiqua"/>
          <w:sz w:val="24"/>
          <w:szCs w:val="24"/>
        </w:rPr>
        <w:t>: 7-18 [PMID: 15610692]</w:t>
      </w:r>
    </w:p>
    <w:p w14:paraId="366B469A"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15 </w:t>
      </w:r>
      <w:r w:rsidRPr="004B329E">
        <w:rPr>
          <w:rFonts w:ascii="Book Antiqua" w:hAnsi="Book Antiqua"/>
          <w:b/>
          <w:sz w:val="24"/>
          <w:szCs w:val="24"/>
        </w:rPr>
        <w:t>Kalra S</w:t>
      </w:r>
      <w:r w:rsidRPr="004B329E">
        <w:rPr>
          <w:rFonts w:ascii="Book Antiqua" w:hAnsi="Book Antiqua"/>
          <w:sz w:val="24"/>
          <w:szCs w:val="24"/>
        </w:rPr>
        <w:t xml:space="preserve">, Atkinson BJ, Matrana MR, Matin SF, Wood CG, Karam JA, Tamboli P, Sircar K, Rao P, Corn PG, Tannir NM, Jonasch E. Prognosis of patients with metastatic renal cell carcinoma and pancreatic metastases. </w:t>
      </w:r>
      <w:r w:rsidRPr="004B329E">
        <w:rPr>
          <w:rFonts w:ascii="Book Antiqua" w:hAnsi="Book Antiqua"/>
          <w:i/>
          <w:sz w:val="24"/>
          <w:szCs w:val="24"/>
        </w:rPr>
        <w:t>BJU Int</w:t>
      </w:r>
      <w:r w:rsidRPr="004B329E">
        <w:rPr>
          <w:rFonts w:ascii="Book Antiqua" w:hAnsi="Book Antiqua"/>
          <w:sz w:val="24"/>
          <w:szCs w:val="24"/>
        </w:rPr>
        <w:t xml:space="preserve"> 2016; </w:t>
      </w:r>
      <w:r w:rsidRPr="004B329E">
        <w:rPr>
          <w:rFonts w:ascii="Book Antiqua" w:hAnsi="Book Antiqua"/>
          <w:b/>
          <w:sz w:val="24"/>
          <w:szCs w:val="24"/>
        </w:rPr>
        <w:t>117</w:t>
      </w:r>
      <w:r w:rsidRPr="004B329E">
        <w:rPr>
          <w:rFonts w:ascii="Book Antiqua" w:hAnsi="Book Antiqua"/>
          <w:sz w:val="24"/>
          <w:szCs w:val="24"/>
        </w:rPr>
        <w:t>: 761-765 [PMID: 26032863 DOI: 10.1111/bju.13185]</w:t>
      </w:r>
    </w:p>
    <w:p w14:paraId="4C805E08"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16 </w:t>
      </w:r>
      <w:r w:rsidRPr="004B329E">
        <w:rPr>
          <w:rFonts w:ascii="Book Antiqua" w:hAnsi="Book Antiqua"/>
          <w:b/>
          <w:sz w:val="24"/>
          <w:szCs w:val="24"/>
        </w:rPr>
        <w:t>Stewart SB</w:t>
      </w:r>
      <w:r w:rsidRPr="004B329E">
        <w:rPr>
          <w:rFonts w:ascii="Book Antiqua" w:hAnsi="Book Antiqua"/>
          <w:sz w:val="24"/>
          <w:szCs w:val="24"/>
        </w:rPr>
        <w:t xml:space="preserve">, Thompson RH, Psutka SP, Cheville JC, Lohse CM, Boorjian SA, Leibovich BC. Evaluation of the National Comprehensive Cancer Network and American Urological Association renal cell carcinoma surveillance guidelines. </w:t>
      </w:r>
      <w:r w:rsidRPr="004B329E">
        <w:rPr>
          <w:rFonts w:ascii="Book Antiqua" w:hAnsi="Book Antiqua"/>
          <w:i/>
          <w:sz w:val="24"/>
          <w:szCs w:val="24"/>
        </w:rPr>
        <w:t>J Clin Oncol</w:t>
      </w:r>
      <w:r w:rsidRPr="004B329E">
        <w:rPr>
          <w:rFonts w:ascii="Book Antiqua" w:hAnsi="Book Antiqua"/>
          <w:sz w:val="24"/>
          <w:szCs w:val="24"/>
        </w:rPr>
        <w:t xml:space="preserve"> 2014; </w:t>
      </w:r>
      <w:r w:rsidRPr="004B329E">
        <w:rPr>
          <w:rFonts w:ascii="Book Antiqua" w:hAnsi="Book Antiqua"/>
          <w:b/>
          <w:sz w:val="24"/>
          <w:szCs w:val="24"/>
        </w:rPr>
        <w:t>32</w:t>
      </w:r>
      <w:r w:rsidRPr="004B329E">
        <w:rPr>
          <w:rFonts w:ascii="Book Antiqua" w:hAnsi="Book Antiqua"/>
          <w:sz w:val="24"/>
          <w:szCs w:val="24"/>
        </w:rPr>
        <w:t>: 4059-4065 [PMID: 25403213 DOI: 10.1200/JCO.2014.56.5416]</w:t>
      </w:r>
    </w:p>
    <w:p w14:paraId="73A43BCF"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17 </w:t>
      </w:r>
      <w:r w:rsidRPr="004B329E">
        <w:rPr>
          <w:rFonts w:ascii="Book Antiqua" w:hAnsi="Book Antiqua"/>
          <w:b/>
          <w:sz w:val="24"/>
          <w:szCs w:val="24"/>
        </w:rPr>
        <w:t>Testini M</w:t>
      </w:r>
      <w:r w:rsidRPr="004B329E">
        <w:rPr>
          <w:rFonts w:ascii="Book Antiqua" w:hAnsi="Book Antiqua"/>
          <w:sz w:val="24"/>
          <w:szCs w:val="24"/>
        </w:rPr>
        <w:t xml:space="preserve">, Lissidini G, Gurrado A, Lastilla G, Ianora AS, Fiorella R. Acute airway failure secondary to thyroid metastasis from renal carcinoma. </w:t>
      </w:r>
      <w:r w:rsidRPr="004B329E">
        <w:rPr>
          <w:rFonts w:ascii="Book Antiqua" w:hAnsi="Book Antiqua"/>
          <w:i/>
          <w:sz w:val="24"/>
          <w:szCs w:val="24"/>
        </w:rPr>
        <w:t>World J Surg Oncol</w:t>
      </w:r>
      <w:r w:rsidRPr="004B329E">
        <w:rPr>
          <w:rFonts w:ascii="Book Antiqua" w:hAnsi="Book Antiqua"/>
          <w:sz w:val="24"/>
          <w:szCs w:val="24"/>
        </w:rPr>
        <w:t xml:space="preserve"> 2008; </w:t>
      </w:r>
      <w:r w:rsidRPr="004B329E">
        <w:rPr>
          <w:rFonts w:ascii="Book Antiqua" w:hAnsi="Book Antiqua"/>
          <w:b/>
          <w:sz w:val="24"/>
          <w:szCs w:val="24"/>
        </w:rPr>
        <w:t>6</w:t>
      </w:r>
      <w:r w:rsidRPr="004B329E">
        <w:rPr>
          <w:rFonts w:ascii="Book Antiqua" w:hAnsi="Book Antiqua"/>
          <w:sz w:val="24"/>
          <w:szCs w:val="24"/>
        </w:rPr>
        <w:t>: 14 [PMID: 18252002 DOI: 10.1186/1477-7819-6-14]</w:t>
      </w:r>
    </w:p>
    <w:p w14:paraId="7E976B68"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18 </w:t>
      </w:r>
      <w:r w:rsidRPr="004B329E">
        <w:rPr>
          <w:rFonts w:ascii="Book Antiqua" w:hAnsi="Book Antiqua"/>
          <w:b/>
          <w:sz w:val="24"/>
          <w:szCs w:val="24"/>
        </w:rPr>
        <w:t>HooKim K</w:t>
      </w:r>
      <w:r w:rsidRPr="004B329E">
        <w:rPr>
          <w:rFonts w:ascii="Book Antiqua" w:hAnsi="Book Antiqua"/>
          <w:sz w:val="24"/>
          <w:szCs w:val="24"/>
        </w:rPr>
        <w:t xml:space="preserve">, Gaitor J, Lin O, Reid MD. Secondary tumors involving the thyroid gland: A multi-institutional analysis of 28 cases diagnosed on fine-needle aspiration. </w:t>
      </w:r>
      <w:r w:rsidRPr="004B329E">
        <w:rPr>
          <w:rFonts w:ascii="Book Antiqua" w:hAnsi="Book Antiqua"/>
          <w:i/>
          <w:sz w:val="24"/>
          <w:szCs w:val="24"/>
        </w:rPr>
        <w:t>Diagn Cytopathol</w:t>
      </w:r>
      <w:r w:rsidRPr="004B329E">
        <w:rPr>
          <w:rFonts w:ascii="Book Antiqua" w:hAnsi="Book Antiqua"/>
          <w:sz w:val="24"/>
          <w:szCs w:val="24"/>
        </w:rPr>
        <w:t xml:space="preserve"> 2015; </w:t>
      </w:r>
      <w:r w:rsidRPr="004B329E">
        <w:rPr>
          <w:rFonts w:ascii="Book Antiqua" w:hAnsi="Book Antiqua"/>
          <w:b/>
          <w:sz w:val="24"/>
          <w:szCs w:val="24"/>
        </w:rPr>
        <w:t>43</w:t>
      </w:r>
      <w:r w:rsidRPr="004B329E">
        <w:rPr>
          <w:rFonts w:ascii="Book Antiqua" w:hAnsi="Book Antiqua"/>
          <w:sz w:val="24"/>
          <w:szCs w:val="24"/>
        </w:rPr>
        <w:t>: 904-911 [PMID: 26302896 DOI: 10.1002/dc.23331]</w:t>
      </w:r>
    </w:p>
    <w:p w14:paraId="120074B0"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19 </w:t>
      </w:r>
      <w:r w:rsidRPr="004B329E">
        <w:rPr>
          <w:rFonts w:ascii="Book Antiqua" w:hAnsi="Book Antiqua"/>
          <w:b/>
          <w:sz w:val="24"/>
          <w:szCs w:val="24"/>
        </w:rPr>
        <w:t>Hegerova L</w:t>
      </w:r>
      <w:r w:rsidRPr="004B329E">
        <w:rPr>
          <w:rFonts w:ascii="Book Antiqua" w:hAnsi="Book Antiqua"/>
          <w:sz w:val="24"/>
          <w:szCs w:val="24"/>
        </w:rPr>
        <w:t xml:space="preserve">, Griebeler ML, Reynolds JP, Henry MR, Gharib H. Metastasis to the thyroid gland: report of a large series from the Mayo Clinic. </w:t>
      </w:r>
      <w:r w:rsidRPr="004B329E">
        <w:rPr>
          <w:rFonts w:ascii="Book Antiqua" w:hAnsi="Book Antiqua"/>
          <w:i/>
          <w:sz w:val="24"/>
          <w:szCs w:val="24"/>
        </w:rPr>
        <w:t>Am J Clin Oncol</w:t>
      </w:r>
      <w:r w:rsidRPr="004B329E">
        <w:rPr>
          <w:rFonts w:ascii="Book Antiqua" w:hAnsi="Book Antiqua"/>
          <w:sz w:val="24"/>
          <w:szCs w:val="24"/>
        </w:rPr>
        <w:t xml:space="preserve"> 2015; </w:t>
      </w:r>
      <w:r w:rsidRPr="004B329E">
        <w:rPr>
          <w:rFonts w:ascii="Book Antiqua" w:hAnsi="Book Antiqua"/>
          <w:b/>
          <w:sz w:val="24"/>
          <w:szCs w:val="24"/>
        </w:rPr>
        <w:t>38</w:t>
      </w:r>
      <w:r w:rsidRPr="004B329E">
        <w:rPr>
          <w:rFonts w:ascii="Book Antiqua" w:hAnsi="Book Antiqua"/>
          <w:sz w:val="24"/>
          <w:szCs w:val="24"/>
        </w:rPr>
        <w:t>: 338-342 [PMID: 23799287 DOI: 10.1097/COC.0b013e31829d1d09]</w:t>
      </w:r>
    </w:p>
    <w:p w14:paraId="368939D0"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20 </w:t>
      </w:r>
      <w:r w:rsidRPr="004B329E">
        <w:rPr>
          <w:rFonts w:ascii="Book Antiqua" w:hAnsi="Book Antiqua"/>
          <w:b/>
          <w:sz w:val="24"/>
          <w:szCs w:val="24"/>
        </w:rPr>
        <w:t>Schöder H</w:t>
      </w:r>
      <w:r w:rsidRPr="004B329E">
        <w:rPr>
          <w:rFonts w:ascii="Book Antiqua" w:hAnsi="Book Antiqua"/>
          <w:sz w:val="24"/>
          <w:szCs w:val="24"/>
        </w:rPr>
        <w:t xml:space="preserve">, Larson SM. Positron emission tomography for prostate, bladder, and renal cancer. </w:t>
      </w:r>
      <w:r w:rsidRPr="004B329E">
        <w:rPr>
          <w:rFonts w:ascii="Book Antiqua" w:hAnsi="Book Antiqua"/>
          <w:i/>
          <w:sz w:val="24"/>
          <w:szCs w:val="24"/>
        </w:rPr>
        <w:t>Semin Nucl Med</w:t>
      </w:r>
      <w:r w:rsidRPr="004B329E">
        <w:rPr>
          <w:rFonts w:ascii="Book Antiqua" w:hAnsi="Book Antiqua"/>
          <w:sz w:val="24"/>
          <w:szCs w:val="24"/>
        </w:rPr>
        <w:t xml:space="preserve"> 2004; </w:t>
      </w:r>
      <w:r w:rsidRPr="004B329E">
        <w:rPr>
          <w:rFonts w:ascii="Book Antiqua" w:hAnsi="Book Antiqua"/>
          <w:b/>
          <w:sz w:val="24"/>
          <w:szCs w:val="24"/>
        </w:rPr>
        <w:t>34</w:t>
      </w:r>
      <w:r w:rsidRPr="004B329E">
        <w:rPr>
          <w:rFonts w:ascii="Book Antiqua" w:hAnsi="Book Antiqua"/>
          <w:sz w:val="24"/>
          <w:szCs w:val="24"/>
        </w:rPr>
        <w:t>: 274-292 [PMID: 15493005]</w:t>
      </w:r>
    </w:p>
    <w:p w14:paraId="497BAB0A"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21 </w:t>
      </w:r>
      <w:r w:rsidRPr="004B329E">
        <w:rPr>
          <w:rFonts w:ascii="Book Antiqua" w:hAnsi="Book Antiqua"/>
          <w:b/>
          <w:sz w:val="24"/>
          <w:szCs w:val="24"/>
        </w:rPr>
        <w:t>Kobayashi K</w:t>
      </w:r>
      <w:r w:rsidRPr="004B329E">
        <w:rPr>
          <w:rFonts w:ascii="Book Antiqua" w:hAnsi="Book Antiqua"/>
          <w:sz w:val="24"/>
          <w:szCs w:val="24"/>
        </w:rPr>
        <w:t xml:space="preserve">, Hirokawa M, Yabuta T, Fukushima M, Masuoka H, Higashiyama T, Kihara M, Ito Y, Miya A, Amino N, Miyauchi A. Metastatic carcinoma to the thyroid gland from renal cell carcinoma: role of ultrasonography in preoperative diagnosis. </w:t>
      </w:r>
      <w:r w:rsidRPr="004B329E">
        <w:rPr>
          <w:rFonts w:ascii="Book Antiqua" w:hAnsi="Book Antiqua"/>
          <w:i/>
          <w:sz w:val="24"/>
          <w:szCs w:val="24"/>
        </w:rPr>
        <w:t>Thyroid Res</w:t>
      </w:r>
      <w:r w:rsidRPr="004B329E">
        <w:rPr>
          <w:rFonts w:ascii="Book Antiqua" w:hAnsi="Book Antiqua"/>
          <w:sz w:val="24"/>
          <w:szCs w:val="24"/>
        </w:rPr>
        <w:t xml:space="preserve"> 2015; </w:t>
      </w:r>
      <w:r w:rsidRPr="004B329E">
        <w:rPr>
          <w:rFonts w:ascii="Book Antiqua" w:hAnsi="Book Antiqua"/>
          <w:b/>
          <w:sz w:val="24"/>
          <w:szCs w:val="24"/>
        </w:rPr>
        <w:t>8</w:t>
      </w:r>
      <w:r w:rsidRPr="004B329E">
        <w:rPr>
          <w:rFonts w:ascii="Book Antiqua" w:hAnsi="Book Antiqua"/>
          <w:sz w:val="24"/>
          <w:szCs w:val="24"/>
        </w:rPr>
        <w:t>: 4 [PMID: 25802554 DOI: 10.1186/s13044-015-0016-4]</w:t>
      </w:r>
    </w:p>
    <w:p w14:paraId="285D8D9A"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22 </w:t>
      </w:r>
      <w:r w:rsidRPr="004B329E">
        <w:rPr>
          <w:rFonts w:ascii="Book Antiqua" w:hAnsi="Book Antiqua"/>
          <w:b/>
          <w:sz w:val="24"/>
          <w:szCs w:val="24"/>
        </w:rPr>
        <w:t>Song OK</w:t>
      </w:r>
      <w:r w:rsidRPr="004B329E">
        <w:rPr>
          <w:rFonts w:ascii="Book Antiqua" w:hAnsi="Book Antiqua"/>
          <w:sz w:val="24"/>
          <w:szCs w:val="24"/>
        </w:rPr>
        <w:t xml:space="preserve">, Koo JS, Kwak JY, Moon HJ, Yoon JH, Kim EK. Metastatic renal cell carcinoma in the thyroid gland: ultrasonographic features and the diagnostic role of core needle biopsy. </w:t>
      </w:r>
      <w:r w:rsidRPr="004B329E">
        <w:rPr>
          <w:rFonts w:ascii="Book Antiqua" w:hAnsi="Book Antiqua"/>
          <w:i/>
          <w:sz w:val="24"/>
          <w:szCs w:val="24"/>
        </w:rPr>
        <w:t>Ultrasonography</w:t>
      </w:r>
      <w:r w:rsidRPr="004B329E">
        <w:rPr>
          <w:rFonts w:ascii="Book Antiqua" w:hAnsi="Book Antiqua"/>
          <w:sz w:val="24"/>
          <w:szCs w:val="24"/>
        </w:rPr>
        <w:t xml:space="preserve"> 2017; </w:t>
      </w:r>
      <w:r w:rsidRPr="004B329E">
        <w:rPr>
          <w:rFonts w:ascii="Book Antiqua" w:hAnsi="Book Antiqua"/>
          <w:b/>
          <w:sz w:val="24"/>
          <w:szCs w:val="24"/>
        </w:rPr>
        <w:t>36</w:t>
      </w:r>
      <w:r w:rsidRPr="004B329E">
        <w:rPr>
          <w:rFonts w:ascii="Book Antiqua" w:hAnsi="Book Antiqua"/>
          <w:sz w:val="24"/>
          <w:szCs w:val="24"/>
        </w:rPr>
        <w:t>: 252-259 [PMID: 27956733 DOI: 10.14366/usg.16037]</w:t>
      </w:r>
    </w:p>
    <w:p w14:paraId="280E2729"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23 </w:t>
      </w:r>
      <w:r w:rsidRPr="004B329E">
        <w:rPr>
          <w:rFonts w:ascii="Book Antiqua" w:hAnsi="Book Antiqua"/>
          <w:b/>
          <w:sz w:val="24"/>
          <w:szCs w:val="24"/>
        </w:rPr>
        <w:t>Machens A</w:t>
      </w:r>
      <w:r w:rsidRPr="004B329E">
        <w:rPr>
          <w:rFonts w:ascii="Book Antiqua" w:hAnsi="Book Antiqua"/>
          <w:sz w:val="24"/>
          <w:szCs w:val="24"/>
        </w:rPr>
        <w:t xml:space="preserve">, Dralle H. Outcome after thyroid surgery for metastasis from renal cell cancer. </w:t>
      </w:r>
      <w:r w:rsidRPr="004B329E">
        <w:rPr>
          <w:rFonts w:ascii="Book Antiqua" w:hAnsi="Book Antiqua"/>
          <w:i/>
          <w:sz w:val="24"/>
          <w:szCs w:val="24"/>
        </w:rPr>
        <w:t>Surgery</w:t>
      </w:r>
      <w:r w:rsidRPr="004B329E">
        <w:rPr>
          <w:rFonts w:ascii="Book Antiqua" w:hAnsi="Book Antiqua"/>
          <w:sz w:val="24"/>
          <w:szCs w:val="24"/>
        </w:rPr>
        <w:t xml:space="preserve"> 2010; </w:t>
      </w:r>
      <w:r w:rsidRPr="004B329E">
        <w:rPr>
          <w:rFonts w:ascii="Book Antiqua" w:hAnsi="Book Antiqua"/>
          <w:b/>
          <w:sz w:val="24"/>
          <w:szCs w:val="24"/>
        </w:rPr>
        <w:t>147</w:t>
      </w:r>
      <w:r w:rsidRPr="004B329E">
        <w:rPr>
          <w:rFonts w:ascii="Book Antiqua" w:hAnsi="Book Antiqua"/>
          <w:sz w:val="24"/>
          <w:szCs w:val="24"/>
        </w:rPr>
        <w:t>: 65-71 [PMID: 19878964 DOI: 10.1016/j.surg.2009.08.015]</w:t>
      </w:r>
    </w:p>
    <w:p w14:paraId="42011E0C"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24 </w:t>
      </w:r>
      <w:r w:rsidRPr="004B329E">
        <w:rPr>
          <w:rFonts w:ascii="Book Antiqua" w:hAnsi="Book Antiqua"/>
          <w:b/>
          <w:sz w:val="24"/>
          <w:szCs w:val="24"/>
        </w:rPr>
        <w:t>Nixon IJ</w:t>
      </w:r>
      <w:r w:rsidRPr="004B329E">
        <w:rPr>
          <w:rFonts w:ascii="Book Antiqua" w:hAnsi="Book Antiqua"/>
          <w:sz w:val="24"/>
          <w:szCs w:val="24"/>
        </w:rPr>
        <w:t xml:space="preserve">, Whitcher M, Glick J, Palmer FL, Shaha AR, Shah JP, Patel SG, Ganly I. Surgical management of metastases to the thyroid gland. </w:t>
      </w:r>
      <w:r w:rsidRPr="004B329E">
        <w:rPr>
          <w:rFonts w:ascii="Book Antiqua" w:hAnsi="Book Antiqua"/>
          <w:i/>
          <w:sz w:val="24"/>
          <w:szCs w:val="24"/>
        </w:rPr>
        <w:t>Ann Surg Oncol</w:t>
      </w:r>
      <w:r w:rsidRPr="004B329E">
        <w:rPr>
          <w:rFonts w:ascii="Book Antiqua" w:hAnsi="Book Antiqua"/>
          <w:sz w:val="24"/>
          <w:szCs w:val="24"/>
        </w:rPr>
        <w:t xml:space="preserve"> 2011; </w:t>
      </w:r>
      <w:r w:rsidRPr="004B329E">
        <w:rPr>
          <w:rFonts w:ascii="Book Antiqua" w:hAnsi="Book Antiqua"/>
          <w:b/>
          <w:sz w:val="24"/>
          <w:szCs w:val="24"/>
        </w:rPr>
        <w:t>18</w:t>
      </w:r>
      <w:r w:rsidRPr="004B329E">
        <w:rPr>
          <w:rFonts w:ascii="Book Antiqua" w:hAnsi="Book Antiqua"/>
          <w:sz w:val="24"/>
          <w:szCs w:val="24"/>
        </w:rPr>
        <w:t>: 800-804 [PMID: 21046263 DOI: 10.1245/s10434-010-1408-2]</w:t>
      </w:r>
    </w:p>
    <w:p w14:paraId="3FEA7725"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25 </w:t>
      </w:r>
      <w:r w:rsidRPr="004B329E">
        <w:rPr>
          <w:rFonts w:ascii="Book Antiqua" w:hAnsi="Book Antiqua"/>
          <w:b/>
          <w:sz w:val="24"/>
          <w:szCs w:val="24"/>
        </w:rPr>
        <w:t>Beutner U</w:t>
      </w:r>
      <w:r w:rsidRPr="004B329E">
        <w:rPr>
          <w:rFonts w:ascii="Book Antiqua" w:hAnsi="Book Antiqua"/>
          <w:sz w:val="24"/>
          <w:szCs w:val="24"/>
        </w:rPr>
        <w:t xml:space="preserve">, Leowardi C, Bork U, Lüthi C, Tarantino I, Pahernik S, Wente MN, Büchler MW, Schmied BM, Müller SA. Survival after renal cell carcinoma metastasis to the thyroid: single center experience and systematic review of the literature. </w:t>
      </w:r>
      <w:r w:rsidRPr="004B329E">
        <w:rPr>
          <w:rFonts w:ascii="Book Antiqua" w:hAnsi="Book Antiqua"/>
          <w:i/>
          <w:sz w:val="24"/>
          <w:szCs w:val="24"/>
        </w:rPr>
        <w:t>Thyroid</w:t>
      </w:r>
      <w:r w:rsidRPr="004B329E">
        <w:rPr>
          <w:rFonts w:ascii="Book Antiqua" w:hAnsi="Book Antiqua"/>
          <w:sz w:val="24"/>
          <w:szCs w:val="24"/>
        </w:rPr>
        <w:t xml:space="preserve"> 2015; </w:t>
      </w:r>
      <w:r w:rsidRPr="004B329E">
        <w:rPr>
          <w:rFonts w:ascii="Book Antiqua" w:hAnsi="Book Antiqua"/>
          <w:b/>
          <w:sz w:val="24"/>
          <w:szCs w:val="24"/>
        </w:rPr>
        <w:t>25</w:t>
      </w:r>
      <w:r w:rsidRPr="004B329E">
        <w:rPr>
          <w:rFonts w:ascii="Book Antiqua" w:hAnsi="Book Antiqua"/>
          <w:sz w:val="24"/>
          <w:szCs w:val="24"/>
        </w:rPr>
        <w:t>: 314-324 [PMID: 25491306 DOI: 10.1089/thy.2014.0498]</w:t>
      </w:r>
    </w:p>
    <w:p w14:paraId="20E9968B"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26 </w:t>
      </w:r>
      <w:r w:rsidRPr="004B329E">
        <w:rPr>
          <w:rFonts w:ascii="Book Antiqua" w:hAnsi="Book Antiqua"/>
          <w:b/>
          <w:sz w:val="24"/>
          <w:szCs w:val="24"/>
        </w:rPr>
        <w:t>Iesalnieks I</w:t>
      </w:r>
      <w:r w:rsidRPr="004B329E">
        <w:rPr>
          <w:rFonts w:ascii="Book Antiqua" w:hAnsi="Book Antiqua"/>
          <w:sz w:val="24"/>
          <w:szCs w:val="24"/>
        </w:rPr>
        <w:t xml:space="preserve">, Trupka A, Raab M, Glockzin G, Woenckhaus M, Schlitt HJ, Agha A. Renal cell carcinoma metastases to the thyroid gland-8 cases reported. </w:t>
      </w:r>
      <w:r w:rsidRPr="004B329E">
        <w:rPr>
          <w:rFonts w:ascii="Book Antiqua" w:hAnsi="Book Antiqua"/>
          <w:i/>
          <w:sz w:val="24"/>
          <w:szCs w:val="24"/>
        </w:rPr>
        <w:t>Thyroid</w:t>
      </w:r>
      <w:r w:rsidRPr="004B329E">
        <w:rPr>
          <w:rFonts w:ascii="Book Antiqua" w:hAnsi="Book Antiqua"/>
          <w:sz w:val="24"/>
          <w:szCs w:val="24"/>
        </w:rPr>
        <w:t xml:space="preserve"> 2007; </w:t>
      </w:r>
      <w:r w:rsidRPr="004B329E">
        <w:rPr>
          <w:rFonts w:ascii="Book Antiqua" w:hAnsi="Book Antiqua"/>
          <w:b/>
          <w:sz w:val="24"/>
          <w:szCs w:val="24"/>
        </w:rPr>
        <w:t>17</w:t>
      </w:r>
      <w:r w:rsidRPr="004B329E">
        <w:rPr>
          <w:rFonts w:ascii="Book Antiqua" w:hAnsi="Book Antiqua"/>
          <w:sz w:val="24"/>
          <w:szCs w:val="24"/>
        </w:rPr>
        <w:t>: 49-52 [PMID: 17274749 DOI: 10.1089/thy.2006.0176]</w:t>
      </w:r>
    </w:p>
    <w:p w14:paraId="3C410CA4"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27 </w:t>
      </w:r>
      <w:r w:rsidRPr="004B329E">
        <w:rPr>
          <w:rFonts w:ascii="Book Antiqua" w:hAnsi="Book Antiqua"/>
          <w:b/>
          <w:sz w:val="24"/>
          <w:szCs w:val="24"/>
        </w:rPr>
        <w:t>Iesalnieks I</w:t>
      </w:r>
      <w:r w:rsidRPr="004B329E">
        <w:rPr>
          <w:rFonts w:ascii="Book Antiqua" w:hAnsi="Book Antiqua"/>
          <w:sz w:val="24"/>
          <w:szCs w:val="24"/>
        </w:rPr>
        <w:t xml:space="preserve">, Winter H, Bareck E, Sotiropoulos GC, Goretzki PE, Klinkhammer-Schalke M, Bröckner S, Trupka A, Anthuber M, Rupprecht H, Raab M, Meyer W, Reichmann F, Kästel M, Mayr M, Braun W, Schlitt HJ, Agha A. Thyroid metastases of renal cell carcinoma: clinical course in 45 patients undergoing surgery. Assessment of factors affecting patients' survival. </w:t>
      </w:r>
      <w:r w:rsidRPr="004B329E">
        <w:rPr>
          <w:rFonts w:ascii="Book Antiqua" w:hAnsi="Book Antiqua"/>
          <w:i/>
          <w:sz w:val="24"/>
          <w:szCs w:val="24"/>
        </w:rPr>
        <w:t>Thyroid</w:t>
      </w:r>
      <w:r w:rsidRPr="004B329E">
        <w:rPr>
          <w:rFonts w:ascii="Book Antiqua" w:hAnsi="Book Antiqua"/>
          <w:sz w:val="24"/>
          <w:szCs w:val="24"/>
        </w:rPr>
        <w:t xml:space="preserve"> 2008; </w:t>
      </w:r>
      <w:r w:rsidRPr="004B329E">
        <w:rPr>
          <w:rFonts w:ascii="Book Antiqua" w:hAnsi="Book Antiqua"/>
          <w:b/>
          <w:sz w:val="24"/>
          <w:szCs w:val="24"/>
        </w:rPr>
        <w:t>18</w:t>
      </w:r>
      <w:r w:rsidRPr="004B329E">
        <w:rPr>
          <w:rFonts w:ascii="Book Antiqua" w:hAnsi="Book Antiqua"/>
          <w:sz w:val="24"/>
          <w:szCs w:val="24"/>
        </w:rPr>
        <w:t>: 615-624 [PMID: 18578610 DOI: 10.1089/thy.2007.0343]</w:t>
      </w:r>
    </w:p>
    <w:p w14:paraId="268EC79F"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28 </w:t>
      </w:r>
      <w:r w:rsidRPr="004B329E">
        <w:rPr>
          <w:rFonts w:ascii="Book Antiqua" w:hAnsi="Book Antiqua"/>
          <w:b/>
          <w:sz w:val="24"/>
          <w:szCs w:val="24"/>
        </w:rPr>
        <w:t>Escudier B</w:t>
      </w:r>
      <w:r w:rsidRPr="004B329E">
        <w:rPr>
          <w:rFonts w:ascii="Book Antiqua" w:hAnsi="Book Antiqua"/>
          <w:sz w:val="24"/>
          <w:szCs w:val="24"/>
        </w:rPr>
        <w:t xml:space="preserve">, Porta C, Schmidinger M, Rioux-Leclercq N, Bex A, Khoo V, Grünwald V, Gillessen S, Horwich A; ESMO Guidelines Committee. Renal cell carcinoma: ESMO Clinical Practice Guidelines for diagnosis, treatment and follow-up†. </w:t>
      </w:r>
      <w:r w:rsidRPr="004B329E">
        <w:rPr>
          <w:rFonts w:ascii="Book Antiqua" w:hAnsi="Book Antiqua"/>
          <w:i/>
          <w:sz w:val="24"/>
          <w:szCs w:val="24"/>
        </w:rPr>
        <w:t>Ann Oncol</w:t>
      </w:r>
      <w:r w:rsidRPr="004B329E">
        <w:rPr>
          <w:rFonts w:ascii="Book Antiqua" w:hAnsi="Book Antiqua"/>
          <w:sz w:val="24"/>
          <w:szCs w:val="24"/>
        </w:rPr>
        <w:t xml:space="preserve"> 2019; </w:t>
      </w:r>
      <w:r w:rsidRPr="004B329E">
        <w:rPr>
          <w:rFonts w:ascii="Book Antiqua" w:hAnsi="Book Antiqua"/>
          <w:b/>
          <w:sz w:val="24"/>
          <w:szCs w:val="24"/>
        </w:rPr>
        <w:t>30</w:t>
      </w:r>
      <w:r w:rsidRPr="004B329E">
        <w:rPr>
          <w:rFonts w:ascii="Book Antiqua" w:hAnsi="Book Antiqua"/>
          <w:sz w:val="24"/>
          <w:szCs w:val="24"/>
        </w:rPr>
        <w:t>: 706-720 [PMID: 30788497 DOI: 10.1093/annonc/mdz056]</w:t>
      </w:r>
    </w:p>
    <w:p w14:paraId="4E8CE2A5"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29 </w:t>
      </w:r>
      <w:r w:rsidRPr="004B329E">
        <w:rPr>
          <w:rFonts w:ascii="Book Antiqua" w:hAnsi="Book Antiqua"/>
          <w:b/>
          <w:sz w:val="24"/>
          <w:szCs w:val="24"/>
        </w:rPr>
        <w:t>Motzer RJ</w:t>
      </w:r>
      <w:r w:rsidRPr="004B329E">
        <w:rPr>
          <w:rFonts w:ascii="Book Antiqua" w:hAnsi="Book Antiqua"/>
          <w:sz w:val="24"/>
          <w:szCs w:val="24"/>
        </w:rPr>
        <w:t xml:space="preserve">, Jonasch E, Agarwal N, Bhayani S, Bro WP, Chang SS, Choueiri TK, Costello BA, Derweesh IH, Fishman M, Gallagher TH, Gore JL, Hancock SL, Harrison MR, Kim W, Kyriakopoulos C, LaGrange C, Lam ET, Lau C, Michaelson MD, Olencki T, Pierorazio PM, Plimack ER, Redman BG, Shuch B, Somer B, Sonpavde G, Sosman J, Dwyer M, Kumar R. Kidney Cancer, Version 2.2017, NCCN Clinical Practice Guidelines in Oncology. </w:t>
      </w:r>
      <w:r w:rsidRPr="004B329E">
        <w:rPr>
          <w:rFonts w:ascii="Book Antiqua" w:hAnsi="Book Antiqua"/>
          <w:i/>
          <w:sz w:val="24"/>
          <w:szCs w:val="24"/>
        </w:rPr>
        <w:t>J Natl Compr Canc Netw</w:t>
      </w:r>
      <w:r w:rsidRPr="004B329E">
        <w:rPr>
          <w:rFonts w:ascii="Book Antiqua" w:hAnsi="Book Antiqua"/>
          <w:sz w:val="24"/>
          <w:szCs w:val="24"/>
        </w:rPr>
        <w:t xml:space="preserve"> 2017; </w:t>
      </w:r>
      <w:r w:rsidRPr="004B329E">
        <w:rPr>
          <w:rFonts w:ascii="Book Antiqua" w:hAnsi="Book Antiqua"/>
          <w:b/>
          <w:sz w:val="24"/>
          <w:szCs w:val="24"/>
        </w:rPr>
        <w:t>15</w:t>
      </w:r>
      <w:r w:rsidRPr="004B329E">
        <w:rPr>
          <w:rFonts w:ascii="Book Antiqua" w:hAnsi="Book Antiqua"/>
          <w:sz w:val="24"/>
          <w:szCs w:val="24"/>
        </w:rPr>
        <w:t>: 804-834 [PMID: 28596261 DOI: 10.6004/jnccn.2017.0100]</w:t>
      </w:r>
    </w:p>
    <w:p w14:paraId="0DDFC383"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30 </w:t>
      </w:r>
      <w:r w:rsidRPr="004B329E">
        <w:rPr>
          <w:rFonts w:ascii="Book Antiqua" w:hAnsi="Book Antiqua"/>
          <w:b/>
          <w:sz w:val="24"/>
          <w:szCs w:val="24"/>
        </w:rPr>
        <w:t>Motzer RJ</w:t>
      </w:r>
      <w:r w:rsidRPr="004B329E">
        <w:rPr>
          <w:rFonts w:ascii="Book Antiqua" w:hAnsi="Book Antiqua"/>
          <w:sz w:val="24"/>
          <w:szCs w:val="24"/>
        </w:rPr>
        <w:t xml:space="preserve">, Penkov K, Haanen J, Rini B, Albiges L, Campbell MT, Venugopal B, Kollmannsberger C, Negrier S, Uemura M, Lee JL, Vasiliev A, Miller WH Jr, Gurney H, Schmidinger M, Larkin J, Atkins MB, Bedke J, Alekseev B, Wang J, Mariani M, Robbins PB, Chudnovsky A, Fowst C, Hariharan S, Huang B, di Pietro A, Choueiri TK. Avelumab plus Axitinib versus Sunitinib for Advanced Renal-Cell Carcinoma. </w:t>
      </w:r>
      <w:r w:rsidRPr="004B329E">
        <w:rPr>
          <w:rFonts w:ascii="Book Antiqua" w:hAnsi="Book Antiqua"/>
          <w:i/>
          <w:sz w:val="24"/>
          <w:szCs w:val="24"/>
        </w:rPr>
        <w:t>N Engl J Med</w:t>
      </w:r>
      <w:r w:rsidRPr="004B329E">
        <w:rPr>
          <w:rFonts w:ascii="Book Antiqua" w:hAnsi="Book Antiqua"/>
          <w:sz w:val="24"/>
          <w:szCs w:val="24"/>
        </w:rPr>
        <w:t xml:space="preserve"> 2019; </w:t>
      </w:r>
      <w:r w:rsidRPr="004B329E">
        <w:rPr>
          <w:rFonts w:ascii="Book Antiqua" w:hAnsi="Book Antiqua"/>
          <w:b/>
          <w:sz w:val="24"/>
          <w:szCs w:val="24"/>
        </w:rPr>
        <w:t>380</w:t>
      </w:r>
      <w:r w:rsidRPr="004B329E">
        <w:rPr>
          <w:rFonts w:ascii="Book Antiqua" w:hAnsi="Book Antiqua"/>
          <w:sz w:val="24"/>
          <w:szCs w:val="24"/>
        </w:rPr>
        <w:t>: 1103-1115 [PMID: 30779531 DOI: 10.1056/NEJMoa1816047]</w:t>
      </w:r>
    </w:p>
    <w:p w14:paraId="5C5C3DD2" w14:textId="77777777" w:rsidR="000675D7" w:rsidRPr="004B329E" w:rsidRDefault="000675D7" w:rsidP="000675D7">
      <w:pPr>
        <w:spacing w:after="0" w:line="360" w:lineRule="auto"/>
        <w:jc w:val="both"/>
        <w:rPr>
          <w:rFonts w:ascii="Book Antiqua" w:hAnsi="Book Antiqua"/>
          <w:sz w:val="24"/>
          <w:szCs w:val="24"/>
        </w:rPr>
      </w:pPr>
      <w:r w:rsidRPr="004B329E">
        <w:rPr>
          <w:rFonts w:ascii="Book Antiqua" w:hAnsi="Book Antiqua"/>
          <w:sz w:val="24"/>
          <w:szCs w:val="24"/>
        </w:rPr>
        <w:t xml:space="preserve">31 </w:t>
      </w:r>
      <w:r w:rsidRPr="004B329E">
        <w:rPr>
          <w:rFonts w:ascii="Book Antiqua" w:hAnsi="Book Antiqua"/>
          <w:b/>
          <w:sz w:val="24"/>
          <w:szCs w:val="24"/>
        </w:rPr>
        <w:t>Motzer RJ</w:t>
      </w:r>
      <w:r w:rsidRPr="004B329E">
        <w:rPr>
          <w:rFonts w:ascii="Book Antiqua" w:hAnsi="Book Antiqua"/>
          <w:sz w:val="24"/>
          <w:szCs w:val="24"/>
        </w:rPr>
        <w:t xml:space="preserve">, Hutson TE, Cella D, Reeves J, Hawkins R, Guo J, Nathan P, Staehler M, de Souza P, Merchan JR, Boleti E, Fife K, Jin J, Jones R, Uemura H, De Giorgi U, Harmenberg U, Wang J, Sternberg CN, Deen K, McCann L, Hackshaw MD, Crescenzo R, Pandite LN, Choueiri TK. Pazopanib versus sunitinib in metastatic renal-cell carcinoma. </w:t>
      </w:r>
      <w:r w:rsidRPr="004B329E">
        <w:rPr>
          <w:rFonts w:ascii="Book Antiqua" w:hAnsi="Book Antiqua"/>
          <w:i/>
          <w:sz w:val="24"/>
          <w:szCs w:val="24"/>
        </w:rPr>
        <w:t>N Engl J Med</w:t>
      </w:r>
      <w:r w:rsidRPr="004B329E">
        <w:rPr>
          <w:rFonts w:ascii="Book Antiqua" w:hAnsi="Book Antiqua"/>
          <w:sz w:val="24"/>
          <w:szCs w:val="24"/>
        </w:rPr>
        <w:t xml:space="preserve"> 2013; </w:t>
      </w:r>
      <w:r w:rsidRPr="004B329E">
        <w:rPr>
          <w:rFonts w:ascii="Book Antiqua" w:hAnsi="Book Antiqua"/>
          <w:b/>
          <w:sz w:val="24"/>
          <w:szCs w:val="24"/>
        </w:rPr>
        <w:t>369</w:t>
      </w:r>
      <w:r w:rsidRPr="004B329E">
        <w:rPr>
          <w:rFonts w:ascii="Book Antiqua" w:hAnsi="Book Antiqua"/>
          <w:sz w:val="24"/>
          <w:szCs w:val="24"/>
        </w:rPr>
        <w:t>: 722-731 [PMID: 23964934 DOI: 10.1056/NEJMoa1303989]</w:t>
      </w:r>
    </w:p>
    <w:p w14:paraId="14C3D8E1" w14:textId="320E6F86" w:rsidR="0035406E" w:rsidRPr="004B329E" w:rsidRDefault="0035406E" w:rsidP="000675D7">
      <w:pPr>
        <w:suppressAutoHyphens/>
        <w:spacing w:after="0" w:line="360" w:lineRule="auto"/>
        <w:jc w:val="both"/>
        <w:rPr>
          <w:rFonts w:ascii="Book Antiqua" w:hAnsi="Book Antiqua" w:cs="Mangal"/>
          <w:b/>
          <w:bCs/>
          <w:sz w:val="24"/>
          <w:szCs w:val="24"/>
          <w:lang w:val="it-IT" w:eastAsia="zh-CN" w:bidi="hi-IN"/>
        </w:rPr>
      </w:pPr>
      <w:bookmarkStart w:id="27" w:name="OLE_LINK480"/>
      <w:bookmarkStart w:id="28" w:name="OLE_LINK502"/>
      <w:bookmarkStart w:id="29" w:name="OLE_LINK2181"/>
      <w:bookmarkStart w:id="30" w:name="OLE_LINK2182"/>
      <w:bookmarkStart w:id="31" w:name="OLE_LINK2183"/>
      <w:bookmarkStart w:id="32" w:name="OLE_LINK1021"/>
      <w:bookmarkStart w:id="33" w:name="OLE_LINK1022"/>
      <w:bookmarkStart w:id="34" w:name="OLE_LINK1023"/>
      <w:bookmarkStart w:id="35" w:name="OLE_LINK1064"/>
      <w:bookmarkStart w:id="36" w:name="OLE_LINK1065"/>
      <w:bookmarkStart w:id="37" w:name="OLE_LINK1156"/>
      <w:bookmarkStart w:id="38" w:name="OLE_LINK1157"/>
      <w:bookmarkStart w:id="39" w:name="OLE_LINK1158"/>
      <w:bookmarkStart w:id="40" w:name="OLE_LINK1159"/>
      <w:bookmarkStart w:id="41" w:name="OLE_LINK1185"/>
      <w:bookmarkStart w:id="42" w:name="OLE_LINK958"/>
      <w:bookmarkStart w:id="43" w:name="OLE_LINK959"/>
      <w:bookmarkStart w:id="44" w:name="OLE_LINK962"/>
      <w:bookmarkStart w:id="45" w:name="OLE_LINK1127"/>
      <w:bookmarkStart w:id="46" w:name="OLE_LINK945"/>
      <w:bookmarkStart w:id="47" w:name="OLE_LINK946"/>
      <w:bookmarkStart w:id="48" w:name="OLE_LINK947"/>
      <w:bookmarkStart w:id="49" w:name="OLE_LINK987"/>
      <w:bookmarkStart w:id="50" w:name="OLE_LINK1035"/>
      <w:bookmarkStart w:id="51" w:name="OLE_LINK1036"/>
      <w:bookmarkStart w:id="52" w:name="OLE_LINK1037"/>
      <w:bookmarkStart w:id="53" w:name="OLE_LINK1038"/>
      <w:bookmarkStart w:id="54" w:name="OLE_LINK1039"/>
      <w:bookmarkStart w:id="55" w:name="OLE_LINK1040"/>
      <w:bookmarkStart w:id="56" w:name="OLE_LINK1041"/>
      <w:bookmarkStart w:id="57" w:name="OLE_LINK1042"/>
      <w:bookmarkStart w:id="58" w:name="OLE_LINK1043"/>
      <w:bookmarkStart w:id="59" w:name="OLE_LINK1044"/>
      <w:bookmarkStart w:id="60" w:name="OLE_LINK1071"/>
      <w:bookmarkStart w:id="61" w:name="OLE_LINK1072"/>
      <w:bookmarkStart w:id="62" w:name="OLE_LINK968"/>
      <w:bookmarkStart w:id="63" w:name="OLE_LINK1260"/>
      <w:bookmarkStart w:id="64" w:name="OLE_LINK1261"/>
      <w:bookmarkStart w:id="65" w:name="OLE_LINK1264"/>
      <w:bookmarkStart w:id="66" w:name="OLE_LINK1265"/>
      <w:bookmarkStart w:id="67" w:name="OLE_LINK1266"/>
      <w:bookmarkStart w:id="68" w:name="OLE_LINK1282"/>
      <w:bookmarkStart w:id="69" w:name="OLE_LINK1800"/>
      <w:bookmarkStart w:id="70" w:name="OLE_LINK1801"/>
      <w:bookmarkStart w:id="71" w:name="OLE_LINK1802"/>
      <w:bookmarkStart w:id="72" w:name="OLE_LINK1803"/>
      <w:bookmarkStart w:id="73" w:name="OLE_LINK1843"/>
      <w:bookmarkStart w:id="74" w:name="OLE_LINK1844"/>
      <w:bookmarkStart w:id="75" w:name="OLE_LINK1845"/>
      <w:bookmarkStart w:id="76" w:name="OLE_LINK1636"/>
      <w:bookmarkStart w:id="77" w:name="OLE_LINK1755"/>
      <w:bookmarkStart w:id="78" w:name="OLE_LINK1806"/>
      <w:bookmarkStart w:id="79" w:name="OLE_LINK1807"/>
      <w:bookmarkStart w:id="80" w:name="OLE_LINK1811"/>
      <w:bookmarkStart w:id="81" w:name="OLE_LINK1812"/>
      <w:bookmarkStart w:id="82" w:name="OLE_LINK1813"/>
      <w:bookmarkStart w:id="83" w:name="OLE_LINK1962"/>
      <w:bookmarkStart w:id="84" w:name="OLE_LINK1963"/>
      <w:bookmarkStart w:id="85" w:name="OLE_LINK1964"/>
      <w:bookmarkStart w:id="86" w:name="OLE_LINK2162"/>
      <w:bookmarkStart w:id="87" w:name="OLE_LINK2198"/>
      <w:bookmarkStart w:id="88" w:name="OLE_LINK2199"/>
      <w:bookmarkStart w:id="89" w:name="OLE_LINK2200"/>
      <w:bookmarkStart w:id="90" w:name="OLE_LINK2090"/>
      <w:bookmarkStart w:id="91" w:name="_Hlk11831022"/>
      <w:bookmarkEnd w:id="26"/>
      <w:r w:rsidRPr="004B329E">
        <w:rPr>
          <w:rFonts w:ascii="Book Antiqua" w:eastAsia="Lucida Sans Unicode" w:hAnsi="Book Antiqua" w:cs="Arial"/>
          <w:b/>
          <w:noProof/>
          <w:sz w:val="24"/>
          <w:szCs w:val="24"/>
          <w:lang w:val="it-IT" w:eastAsia="hi-IN" w:bidi="hi-IN"/>
        </w:rPr>
        <w:t>P-Reviewer</w:t>
      </w:r>
      <w:r w:rsidRPr="004B329E">
        <w:rPr>
          <w:rFonts w:ascii="Book Antiqua" w:hAnsi="Book Antiqua" w:cs="Arial"/>
          <w:b/>
          <w:noProof/>
          <w:sz w:val="24"/>
          <w:szCs w:val="24"/>
          <w:lang w:val="it-IT" w:bidi="hi-IN"/>
        </w:rPr>
        <w:t>:</w:t>
      </w:r>
      <w:r w:rsidRPr="004B329E">
        <w:rPr>
          <w:rFonts w:ascii="Book Antiqua" w:eastAsia="Lucida Sans Unicode" w:hAnsi="Book Antiqua" w:cs="Mangal"/>
          <w:bCs/>
          <w:sz w:val="24"/>
          <w:szCs w:val="24"/>
          <w:lang w:val="it-IT" w:eastAsia="hi-IN" w:bidi="hi-IN"/>
        </w:rPr>
        <w:t xml:space="preserve"> </w:t>
      </w:r>
      <w:r w:rsidR="000675D7" w:rsidRPr="004B329E">
        <w:rPr>
          <w:rFonts w:ascii="Book Antiqua" w:hAnsi="Book Antiqua"/>
          <w:sz w:val="24"/>
          <w:szCs w:val="24"/>
        </w:rPr>
        <w:t xml:space="preserve">Ieni A, </w:t>
      </w:r>
      <w:r w:rsidRPr="004B329E">
        <w:rPr>
          <w:rFonts w:ascii="Book Antiqua" w:hAnsi="Book Antiqua"/>
          <w:sz w:val="24"/>
          <w:szCs w:val="24"/>
        </w:rPr>
        <w:t xml:space="preserve">Mogulkoc R, </w:t>
      </w:r>
      <w:r w:rsidR="000675D7" w:rsidRPr="004B329E">
        <w:rPr>
          <w:rFonts w:ascii="Book Antiqua" w:hAnsi="Book Antiqua"/>
          <w:sz w:val="24"/>
          <w:szCs w:val="24"/>
        </w:rPr>
        <w:t>Schietroma M</w:t>
      </w:r>
      <w:r w:rsidRPr="004B329E">
        <w:rPr>
          <w:rFonts w:ascii="Book Antiqua" w:eastAsia="Lucida Sans Unicode" w:hAnsi="Book Antiqua" w:cs="Mangal"/>
          <w:bCs/>
          <w:sz w:val="24"/>
          <w:szCs w:val="24"/>
          <w:lang w:val="it-IT" w:eastAsia="hi-IN" w:bidi="hi-IN"/>
        </w:rPr>
        <w:t xml:space="preserve"> </w:t>
      </w:r>
      <w:r w:rsidRPr="004B329E">
        <w:rPr>
          <w:rFonts w:ascii="Book Antiqua" w:eastAsia="Lucida Sans Unicode" w:hAnsi="Book Antiqua" w:cs="Mangal"/>
          <w:b/>
          <w:bCs/>
          <w:sz w:val="24"/>
          <w:szCs w:val="24"/>
          <w:lang w:val="it-IT" w:eastAsia="hi-IN" w:bidi="hi-IN"/>
        </w:rPr>
        <w:t>S-Editor</w:t>
      </w:r>
      <w:r w:rsidRPr="004B329E">
        <w:rPr>
          <w:rFonts w:ascii="Book Antiqua" w:hAnsi="Book Antiqua" w:cs="Mangal"/>
          <w:b/>
          <w:bCs/>
          <w:sz w:val="24"/>
          <w:szCs w:val="24"/>
          <w:lang w:val="it-IT" w:bidi="hi-IN"/>
        </w:rPr>
        <w:t>:</w:t>
      </w:r>
      <w:r w:rsidRPr="004B329E">
        <w:rPr>
          <w:rFonts w:ascii="Book Antiqua" w:eastAsia="Lucida Sans Unicode" w:hAnsi="Book Antiqua" w:cs="Mangal"/>
          <w:bCs/>
          <w:sz w:val="24"/>
          <w:szCs w:val="24"/>
          <w:lang w:val="it-IT" w:eastAsia="hi-IN" w:bidi="hi-IN"/>
        </w:rPr>
        <w:t xml:space="preserve"> </w:t>
      </w:r>
      <w:r w:rsidR="000675D7" w:rsidRPr="004B329E">
        <w:rPr>
          <w:rFonts w:ascii="Book Antiqua" w:hAnsi="Book Antiqua" w:cs="Mangal"/>
          <w:bCs/>
          <w:sz w:val="24"/>
          <w:szCs w:val="24"/>
          <w:lang w:val="it-IT" w:bidi="hi-IN"/>
        </w:rPr>
        <w:t>Zhang L</w:t>
      </w:r>
      <w:r w:rsidRPr="004B329E">
        <w:rPr>
          <w:rFonts w:ascii="Book Antiqua" w:eastAsia="Lucida Sans Unicode" w:hAnsi="Book Antiqua" w:cs="Mangal"/>
          <w:b/>
          <w:bCs/>
          <w:sz w:val="24"/>
          <w:szCs w:val="24"/>
          <w:lang w:val="it-IT" w:eastAsia="hi-IN" w:bidi="hi-IN"/>
        </w:rPr>
        <w:t xml:space="preserve"> L-Editor</w:t>
      </w:r>
      <w:r w:rsidRPr="004B329E">
        <w:rPr>
          <w:rFonts w:ascii="Book Antiqua" w:hAnsi="Book Antiqua" w:cs="Mangal"/>
          <w:b/>
          <w:bCs/>
          <w:sz w:val="24"/>
          <w:szCs w:val="24"/>
          <w:lang w:val="it-IT" w:bidi="hi-IN"/>
        </w:rPr>
        <w:t>:</w:t>
      </w:r>
      <w:r w:rsidRPr="004B329E">
        <w:rPr>
          <w:rFonts w:ascii="Book Antiqua" w:eastAsia="Lucida Sans Unicode" w:hAnsi="Book Antiqua" w:cs="Mangal"/>
          <w:b/>
          <w:bCs/>
          <w:sz w:val="24"/>
          <w:szCs w:val="24"/>
          <w:lang w:val="it-IT" w:eastAsia="hi-IN" w:bidi="hi-IN"/>
        </w:rPr>
        <w:t xml:space="preserve"> E-Editor</w:t>
      </w:r>
      <w:r w:rsidRPr="004B329E">
        <w:rPr>
          <w:rFonts w:ascii="Book Antiqua" w:hAnsi="Book Antiqua" w:cs="Mangal"/>
          <w:b/>
          <w:bCs/>
          <w:sz w:val="24"/>
          <w:szCs w:val="24"/>
          <w:lang w:val="it-IT" w:bidi="hi-IN"/>
        </w:rPr>
        <w:t>:</w:t>
      </w:r>
    </w:p>
    <w:p w14:paraId="1B269D94" w14:textId="77777777" w:rsidR="00B03223" w:rsidRPr="004B329E" w:rsidRDefault="00B03223" w:rsidP="000675D7">
      <w:pPr>
        <w:suppressAutoHyphens/>
        <w:spacing w:after="0" w:line="360" w:lineRule="auto"/>
        <w:jc w:val="both"/>
        <w:rPr>
          <w:rFonts w:ascii="Book Antiqua" w:hAnsi="Book Antiqua" w:cs="Mangal"/>
          <w:b/>
          <w:bCs/>
          <w:sz w:val="24"/>
          <w:szCs w:val="24"/>
          <w:lang w:val="it-IT" w:eastAsia="zh-CN" w:bidi="hi-IN"/>
        </w:rPr>
      </w:pPr>
    </w:p>
    <w:p w14:paraId="5CC6AE7D" w14:textId="77777777" w:rsidR="000675D7" w:rsidRPr="004B329E" w:rsidRDefault="0035406E" w:rsidP="000675D7">
      <w:pPr>
        <w:shd w:val="clear" w:color="auto" w:fill="FFFFFF"/>
        <w:spacing w:after="0" w:line="360" w:lineRule="auto"/>
        <w:jc w:val="both"/>
        <w:rPr>
          <w:rFonts w:ascii="Book Antiqua" w:hAnsi="Book Antiqua" w:cs="Helvetica"/>
          <w:b/>
          <w:sz w:val="24"/>
          <w:szCs w:val="24"/>
        </w:rPr>
      </w:pPr>
      <w:r w:rsidRPr="004B329E">
        <w:rPr>
          <w:rFonts w:ascii="Book Antiqua" w:hAnsi="Book Antiqua" w:cs="Helvetica"/>
          <w:b/>
          <w:sz w:val="24"/>
          <w:szCs w:val="24"/>
        </w:rPr>
        <w:t xml:space="preserve">Specialty type: </w:t>
      </w:r>
      <w:r w:rsidR="000675D7" w:rsidRPr="004B329E">
        <w:rPr>
          <w:rFonts w:ascii="Book Antiqua" w:hAnsi="Book Antiqua" w:cs="宋体"/>
          <w:sz w:val="24"/>
          <w:szCs w:val="24"/>
        </w:rPr>
        <w:t>Medicine, Research and Experimental</w:t>
      </w:r>
    </w:p>
    <w:p w14:paraId="70FA944F" w14:textId="44E693F3" w:rsidR="000675D7" w:rsidRPr="004B329E" w:rsidRDefault="0035406E" w:rsidP="000675D7">
      <w:pPr>
        <w:shd w:val="clear" w:color="auto" w:fill="FFFFFF"/>
        <w:spacing w:after="0" w:line="360" w:lineRule="auto"/>
        <w:jc w:val="both"/>
        <w:rPr>
          <w:rFonts w:ascii="Book Antiqua" w:hAnsi="Book Antiqua" w:cs="Helvetica"/>
          <w:bCs/>
          <w:sz w:val="24"/>
          <w:szCs w:val="24"/>
        </w:rPr>
      </w:pPr>
      <w:r w:rsidRPr="004B329E">
        <w:rPr>
          <w:rFonts w:ascii="Book Antiqua" w:hAnsi="Book Antiqua" w:cs="Helvetica"/>
          <w:b/>
          <w:sz w:val="24"/>
          <w:szCs w:val="24"/>
        </w:rPr>
        <w:t>Country of origin:</w:t>
      </w:r>
      <w:r w:rsidR="000675D7" w:rsidRPr="004B329E">
        <w:rPr>
          <w:rFonts w:ascii="Book Antiqua" w:hAnsi="Book Antiqua"/>
          <w:sz w:val="24"/>
          <w:szCs w:val="24"/>
        </w:rPr>
        <w:t xml:space="preserve"> </w:t>
      </w:r>
      <w:r w:rsidR="000675D7" w:rsidRPr="004B329E">
        <w:rPr>
          <w:rFonts w:ascii="Book Antiqua" w:hAnsi="Book Antiqua" w:cs="Helvetica"/>
          <w:bCs/>
          <w:sz w:val="24"/>
          <w:szCs w:val="24"/>
        </w:rPr>
        <w:t>United States</w:t>
      </w:r>
    </w:p>
    <w:p w14:paraId="0D5FB46D" w14:textId="6FDF9F99" w:rsidR="0035406E" w:rsidRPr="004B329E" w:rsidRDefault="0035406E" w:rsidP="000675D7">
      <w:pPr>
        <w:shd w:val="clear" w:color="auto" w:fill="FFFFFF"/>
        <w:spacing w:after="0" w:line="360" w:lineRule="auto"/>
        <w:jc w:val="both"/>
        <w:rPr>
          <w:rFonts w:ascii="Book Antiqua" w:hAnsi="Book Antiqua" w:cs="Helvetica"/>
          <w:b/>
          <w:sz w:val="24"/>
          <w:szCs w:val="24"/>
        </w:rPr>
      </w:pPr>
      <w:r w:rsidRPr="004B329E">
        <w:rPr>
          <w:rFonts w:ascii="Book Antiqua" w:hAnsi="Book Antiqua" w:cs="Helvetica"/>
          <w:b/>
          <w:sz w:val="24"/>
          <w:szCs w:val="24"/>
        </w:rPr>
        <w:t>Peer-review report classification</w:t>
      </w:r>
    </w:p>
    <w:p w14:paraId="2B9970AC" w14:textId="77777777" w:rsidR="0035406E" w:rsidRPr="004B329E" w:rsidRDefault="0035406E" w:rsidP="000675D7">
      <w:pPr>
        <w:shd w:val="clear" w:color="auto" w:fill="FFFFFF"/>
        <w:spacing w:after="0" w:line="360" w:lineRule="auto"/>
        <w:jc w:val="both"/>
        <w:rPr>
          <w:rFonts w:ascii="Book Antiqua" w:hAnsi="Book Antiqua" w:cs="Helvetica"/>
          <w:sz w:val="24"/>
          <w:szCs w:val="24"/>
        </w:rPr>
      </w:pPr>
      <w:r w:rsidRPr="004B329E">
        <w:rPr>
          <w:rFonts w:ascii="Book Antiqua" w:hAnsi="Book Antiqua" w:cs="Helvetica"/>
          <w:sz w:val="24"/>
          <w:szCs w:val="24"/>
        </w:rPr>
        <w:t>Grade A (Excellent): 0</w:t>
      </w:r>
    </w:p>
    <w:p w14:paraId="38843D5E" w14:textId="77777777" w:rsidR="0035406E" w:rsidRPr="004B329E" w:rsidRDefault="0035406E" w:rsidP="000675D7">
      <w:pPr>
        <w:shd w:val="clear" w:color="auto" w:fill="FFFFFF"/>
        <w:spacing w:after="0" w:line="360" w:lineRule="auto"/>
        <w:jc w:val="both"/>
        <w:rPr>
          <w:rFonts w:ascii="Book Antiqua" w:hAnsi="Book Antiqua" w:cs="Helvetica"/>
          <w:sz w:val="24"/>
          <w:szCs w:val="24"/>
        </w:rPr>
      </w:pPr>
      <w:r w:rsidRPr="004B329E">
        <w:rPr>
          <w:rFonts w:ascii="Book Antiqua" w:hAnsi="Book Antiqua" w:cs="Helvetica"/>
          <w:sz w:val="24"/>
          <w:szCs w:val="24"/>
        </w:rPr>
        <w:t>Grade B (Very good): B</w:t>
      </w:r>
    </w:p>
    <w:p w14:paraId="4433128B" w14:textId="57618A33" w:rsidR="0035406E" w:rsidRPr="004B329E" w:rsidRDefault="0035406E" w:rsidP="000675D7">
      <w:pPr>
        <w:shd w:val="clear" w:color="auto" w:fill="FFFFFF"/>
        <w:spacing w:after="0" w:line="360" w:lineRule="auto"/>
        <w:jc w:val="both"/>
        <w:rPr>
          <w:rFonts w:ascii="Book Antiqua" w:hAnsi="Book Antiqua" w:cs="Helvetica"/>
          <w:sz w:val="24"/>
          <w:szCs w:val="24"/>
        </w:rPr>
      </w:pPr>
      <w:r w:rsidRPr="004B329E">
        <w:rPr>
          <w:rFonts w:ascii="Book Antiqua" w:hAnsi="Book Antiqua" w:cs="Helvetica"/>
          <w:sz w:val="24"/>
          <w:szCs w:val="24"/>
        </w:rPr>
        <w:t xml:space="preserve">Grade C (Good): </w:t>
      </w:r>
      <w:r w:rsidR="000675D7" w:rsidRPr="004B329E">
        <w:rPr>
          <w:rFonts w:ascii="Book Antiqua" w:hAnsi="Book Antiqua" w:cs="Helvetica"/>
          <w:sz w:val="24"/>
          <w:szCs w:val="24"/>
        </w:rPr>
        <w:t>C, C</w:t>
      </w:r>
    </w:p>
    <w:p w14:paraId="765B3EB3" w14:textId="77777777" w:rsidR="0035406E" w:rsidRPr="004B329E" w:rsidRDefault="0035406E" w:rsidP="000675D7">
      <w:pPr>
        <w:shd w:val="clear" w:color="auto" w:fill="FFFFFF"/>
        <w:spacing w:after="0" w:line="360" w:lineRule="auto"/>
        <w:jc w:val="both"/>
        <w:rPr>
          <w:rFonts w:ascii="Book Antiqua" w:hAnsi="Book Antiqua" w:cs="Helvetica"/>
          <w:sz w:val="24"/>
          <w:szCs w:val="24"/>
        </w:rPr>
      </w:pPr>
      <w:r w:rsidRPr="004B329E">
        <w:rPr>
          <w:rFonts w:ascii="Book Antiqua" w:hAnsi="Book Antiqua" w:cs="Helvetica"/>
          <w:sz w:val="24"/>
          <w:szCs w:val="24"/>
        </w:rPr>
        <w:t xml:space="preserve">Grade D (Fair): </w:t>
      </w:r>
      <w:bookmarkEnd w:id="27"/>
      <w:bookmarkEnd w:id="28"/>
      <w:r w:rsidRPr="004B329E">
        <w:rPr>
          <w:rFonts w:ascii="Book Antiqua" w:hAnsi="Book Antiqua" w:cs="Helvetica"/>
          <w:sz w:val="24"/>
          <w:szCs w:val="24"/>
        </w:rPr>
        <w:t>0</w:t>
      </w:r>
    </w:p>
    <w:p w14:paraId="258161EC" w14:textId="77777777" w:rsidR="0035406E" w:rsidRPr="004B329E" w:rsidRDefault="0035406E" w:rsidP="000675D7">
      <w:pPr>
        <w:shd w:val="clear" w:color="auto" w:fill="FFFFFF"/>
        <w:spacing w:after="0" w:line="360" w:lineRule="auto"/>
        <w:jc w:val="both"/>
        <w:rPr>
          <w:rFonts w:ascii="Book Antiqua" w:hAnsi="Book Antiqua" w:cs="Helvetica"/>
          <w:sz w:val="24"/>
          <w:szCs w:val="24"/>
        </w:rPr>
      </w:pPr>
      <w:r w:rsidRPr="004B329E">
        <w:rPr>
          <w:rFonts w:ascii="Book Antiqua" w:hAnsi="Book Antiqua" w:cs="Helvetica"/>
          <w:sz w:val="24"/>
          <w:szCs w:val="24"/>
        </w:rPr>
        <w:t>Grade E (Poor): 0</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D73A9E9" w14:textId="77777777" w:rsidR="00AF2AC3" w:rsidRPr="004B329E" w:rsidRDefault="00AF2AC3" w:rsidP="000675D7">
      <w:pPr>
        <w:spacing w:after="0" w:line="360" w:lineRule="auto"/>
        <w:jc w:val="both"/>
        <w:rPr>
          <w:rFonts w:ascii="Book Antiqua" w:hAnsi="Book Antiqua"/>
          <w:sz w:val="24"/>
          <w:szCs w:val="24"/>
        </w:rPr>
      </w:pPr>
    </w:p>
    <w:p w14:paraId="5465129C" w14:textId="3352F0F9" w:rsidR="009014A5" w:rsidRPr="004B329E" w:rsidRDefault="009014A5" w:rsidP="000675D7">
      <w:pPr>
        <w:spacing w:after="0" w:line="360" w:lineRule="auto"/>
        <w:jc w:val="both"/>
        <w:rPr>
          <w:rFonts w:ascii="Book Antiqua" w:hAnsi="Book Antiqua"/>
          <w:sz w:val="24"/>
          <w:szCs w:val="24"/>
        </w:rPr>
      </w:pPr>
      <w:r w:rsidRPr="004B329E">
        <w:rPr>
          <w:rFonts w:ascii="Book Antiqua" w:hAnsi="Book Antiqua"/>
          <w:sz w:val="24"/>
          <w:szCs w:val="24"/>
        </w:rPr>
        <w:br w:type="page"/>
      </w:r>
    </w:p>
    <w:p w14:paraId="39004358" w14:textId="6CB1487B" w:rsidR="00F90162" w:rsidRPr="004B329E" w:rsidRDefault="00E41847" w:rsidP="000675D7">
      <w:pPr>
        <w:autoSpaceDE w:val="0"/>
        <w:autoSpaceDN w:val="0"/>
        <w:adjustRightInd w:val="0"/>
        <w:spacing w:after="0" w:line="360" w:lineRule="auto"/>
        <w:jc w:val="both"/>
        <w:rPr>
          <w:rFonts w:ascii="Book Antiqua" w:hAnsi="Book Antiqua" w:cstheme="minorHAnsi"/>
          <w:b/>
          <w:sz w:val="24"/>
          <w:szCs w:val="24"/>
        </w:rPr>
      </w:pPr>
      <w:r w:rsidRPr="004B329E">
        <w:rPr>
          <w:rFonts w:ascii="Book Antiqua" w:hAnsi="Book Antiqua" w:cstheme="minorHAnsi"/>
          <w:b/>
          <w:sz w:val="24"/>
          <w:szCs w:val="24"/>
        </w:rPr>
        <w:t>Table</w:t>
      </w:r>
      <w:r w:rsidR="009014A5" w:rsidRPr="004B329E">
        <w:rPr>
          <w:rFonts w:ascii="Book Antiqua" w:hAnsi="Book Antiqua" w:cstheme="minorHAnsi"/>
          <w:b/>
          <w:sz w:val="24"/>
          <w:szCs w:val="24"/>
        </w:rPr>
        <w:t xml:space="preserve"> </w:t>
      </w:r>
      <w:r w:rsidRPr="004B329E">
        <w:rPr>
          <w:rFonts w:ascii="Book Antiqua" w:hAnsi="Book Antiqua" w:cstheme="minorHAnsi"/>
          <w:b/>
          <w:sz w:val="24"/>
          <w:szCs w:val="24"/>
        </w:rPr>
        <w:t>1 Characteristics of patients and different variables in the study</w:t>
      </w:r>
    </w:p>
    <w:tbl>
      <w:tblPr>
        <w:tblStyle w:val="a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3780"/>
      </w:tblGrid>
      <w:tr w:rsidR="0010232F" w:rsidRPr="004B329E" w14:paraId="0365CE16" w14:textId="77777777" w:rsidTr="00FD1A59">
        <w:tc>
          <w:tcPr>
            <w:tcW w:w="8568" w:type="dxa"/>
            <w:gridSpan w:val="2"/>
            <w:tcBorders>
              <w:top w:val="single" w:sz="4" w:space="0" w:color="auto"/>
              <w:bottom w:val="single" w:sz="4" w:space="0" w:color="auto"/>
            </w:tcBorders>
            <w:shd w:val="clear" w:color="auto" w:fill="auto"/>
          </w:tcPr>
          <w:p w14:paraId="01A072EE" w14:textId="1DAE5C24" w:rsidR="00E41847" w:rsidRPr="004B329E" w:rsidRDefault="00E41847" w:rsidP="000675D7">
            <w:pPr>
              <w:spacing w:line="360" w:lineRule="auto"/>
              <w:jc w:val="both"/>
              <w:rPr>
                <w:rFonts w:ascii="Book Antiqua" w:hAnsi="Book Antiqua"/>
                <w:b/>
                <w:sz w:val="24"/>
                <w:szCs w:val="24"/>
              </w:rPr>
            </w:pPr>
            <w:r w:rsidRPr="004B329E">
              <w:rPr>
                <w:rFonts w:ascii="Book Antiqua" w:hAnsi="Book Antiqua"/>
                <w:b/>
                <w:sz w:val="24"/>
                <w:szCs w:val="24"/>
              </w:rPr>
              <w:t xml:space="preserve">Characteristics of patients and different variables collected </w:t>
            </w:r>
          </w:p>
        </w:tc>
      </w:tr>
      <w:tr w:rsidR="0010232F" w:rsidRPr="004B329E" w14:paraId="2065B5E3" w14:textId="77777777" w:rsidTr="00FD1A59">
        <w:tc>
          <w:tcPr>
            <w:tcW w:w="4788" w:type="dxa"/>
            <w:tcBorders>
              <w:top w:val="single" w:sz="4" w:space="0" w:color="auto"/>
            </w:tcBorders>
            <w:shd w:val="clear" w:color="auto" w:fill="auto"/>
          </w:tcPr>
          <w:p w14:paraId="739FD4C0" w14:textId="5C09510C"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Age (</w:t>
            </w:r>
            <w:r w:rsidR="00AD0201" w:rsidRPr="004B329E">
              <w:rPr>
                <w:rFonts w:ascii="Book Antiqua" w:hAnsi="Book Antiqua"/>
                <w:sz w:val="24"/>
                <w:szCs w:val="24"/>
              </w:rPr>
              <w:t>yr</w:t>
            </w:r>
            <w:r w:rsidRPr="004B329E">
              <w:rPr>
                <w:rFonts w:ascii="Book Antiqua" w:hAnsi="Book Antiqua"/>
                <w:sz w:val="24"/>
                <w:szCs w:val="24"/>
              </w:rPr>
              <w:t>)</w:t>
            </w:r>
          </w:p>
        </w:tc>
        <w:tc>
          <w:tcPr>
            <w:tcW w:w="3780" w:type="dxa"/>
            <w:tcBorders>
              <w:top w:val="single" w:sz="4" w:space="0" w:color="auto"/>
            </w:tcBorders>
            <w:shd w:val="clear" w:color="auto" w:fill="auto"/>
          </w:tcPr>
          <w:p w14:paraId="55B1C880" w14:textId="0A8B1C8A"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sz w:val="24"/>
                <w:szCs w:val="24"/>
              </w:rPr>
              <w:t xml:space="preserve">mean </w:t>
            </w:r>
            <w:r w:rsidRPr="004B329E">
              <w:rPr>
                <w:rFonts w:ascii="Book Antiqua" w:hAnsi="Book Antiqua" w:cs="Times New Roman"/>
                <w:sz w:val="24"/>
                <w:szCs w:val="24"/>
              </w:rPr>
              <w:t>±</w:t>
            </w:r>
            <w:r w:rsidRPr="004B329E">
              <w:rPr>
                <w:rFonts w:ascii="Book Antiqua" w:hAnsi="Book Antiqua" w:cs="Times New Roman" w:hint="eastAsia"/>
                <w:sz w:val="24"/>
                <w:szCs w:val="24"/>
                <w:lang w:eastAsia="zh-CN"/>
              </w:rPr>
              <w:t xml:space="preserve"> </w:t>
            </w:r>
            <w:r w:rsidRPr="004B329E">
              <w:rPr>
                <w:rFonts w:ascii="Book Antiqua" w:hAnsi="Book Antiqua"/>
                <w:sz w:val="24"/>
                <w:szCs w:val="24"/>
              </w:rPr>
              <w:t>SD</w:t>
            </w:r>
          </w:p>
        </w:tc>
      </w:tr>
      <w:tr w:rsidR="0010232F" w:rsidRPr="004B329E" w14:paraId="49B1D461" w14:textId="77777777" w:rsidTr="00FD1A59">
        <w:tc>
          <w:tcPr>
            <w:tcW w:w="4788" w:type="dxa"/>
            <w:shd w:val="clear" w:color="auto" w:fill="auto"/>
          </w:tcPr>
          <w:p w14:paraId="78FF81B4" w14:textId="67E88871"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Male</w:t>
            </w:r>
          </w:p>
        </w:tc>
        <w:tc>
          <w:tcPr>
            <w:tcW w:w="3780" w:type="dxa"/>
            <w:shd w:val="clear" w:color="auto" w:fill="auto"/>
          </w:tcPr>
          <w:p w14:paraId="7D1FD817" w14:textId="4B804CBD"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sz w:val="24"/>
                <w:szCs w:val="24"/>
              </w:rPr>
              <w:t xml:space="preserve">64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sz w:val="24"/>
                <w:szCs w:val="24"/>
              </w:rPr>
              <w:t>10</w:t>
            </w:r>
          </w:p>
        </w:tc>
      </w:tr>
      <w:tr w:rsidR="0010232F" w:rsidRPr="004B329E" w14:paraId="6BCD3643" w14:textId="77777777" w:rsidTr="00FD1A59">
        <w:tc>
          <w:tcPr>
            <w:tcW w:w="4788" w:type="dxa"/>
            <w:shd w:val="clear" w:color="auto" w:fill="auto"/>
          </w:tcPr>
          <w:p w14:paraId="462D67FA" w14:textId="5EC74A24"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Female</w:t>
            </w:r>
          </w:p>
        </w:tc>
        <w:tc>
          <w:tcPr>
            <w:tcW w:w="3780" w:type="dxa"/>
            <w:shd w:val="clear" w:color="auto" w:fill="auto"/>
          </w:tcPr>
          <w:p w14:paraId="56FABA62" w14:textId="1EB9400E"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sz w:val="24"/>
                <w:szCs w:val="24"/>
              </w:rPr>
              <w:t xml:space="preserve">64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sz w:val="24"/>
                <w:szCs w:val="24"/>
              </w:rPr>
              <w:t>11</w:t>
            </w:r>
          </w:p>
        </w:tc>
      </w:tr>
      <w:tr w:rsidR="0010232F" w:rsidRPr="004B329E" w14:paraId="357A3566" w14:textId="77777777" w:rsidTr="00FD1A59">
        <w:tc>
          <w:tcPr>
            <w:tcW w:w="4788" w:type="dxa"/>
            <w:shd w:val="clear" w:color="auto" w:fill="auto"/>
          </w:tcPr>
          <w:p w14:paraId="3AA7A16D"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Sex</w:t>
            </w:r>
          </w:p>
        </w:tc>
        <w:tc>
          <w:tcPr>
            <w:tcW w:w="3780" w:type="dxa"/>
            <w:shd w:val="clear" w:color="auto" w:fill="auto"/>
          </w:tcPr>
          <w:p w14:paraId="4BE89A74"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Percentage (Number of patients)</w:t>
            </w:r>
          </w:p>
        </w:tc>
      </w:tr>
      <w:tr w:rsidR="0010232F" w:rsidRPr="004B329E" w14:paraId="45E03D94" w14:textId="77777777" w:rsidTr="00FD1A59">
        <w:tc>
          <w:tcPr>
            <w:tcW w:w="4788" w:type="dxa"/>
            <w:shd w:val="clear" w:color="auto" w:fill="auto"/>
          </w:tcPr>
          <w:p w14:paraId="2C5F5B0E" w14:textId="1E7420EB"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Male</w:t>
            </w:r>
          </w:p>
        </w:tc>
        <w:tc>
          <w:tcPr>
            <w:tcW w:w="3780" w:type="dxa"/>
            <w:shd w:val="clear" w:color="auto" w:fill="auto"/>
          </w:tcPr>
          <w:p w14:paraId="6134E91F"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46.3% (68)</w:t>
            </w:r>
          </w:p>
        </w:tc>
      </w:tr>
      <w:tr w:rsidR="0010232F" w:rsidRPr="004B329E" w14:paraId="2A8AC50D" w14:textId="77777777" w:rsidTr="00FD1A59">
        <w:tc>
          <w:tcPr>
            <w:tcW w:w="4788" w:type="dxa"/>
            <w:shd w:val="clear" w:color="auto" w:fill="auto"/>
          </w:tcPr>
          <w:p w14:paraId="46A71F25" w14:textId="681FA90A"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Female</w:t>
            </w:r>
          </w:p>
        </w:tc>
        <w:tc>
          <w:tcPr>
            <w:tcW w:w="3780" w:type="dxa"/>
            <w:shd w:val="clear" w:color="auto" w:fill="auto"/>
          </w:tcPr>
          <w:p w14:paraId="1462BA1E"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52.4% (75)</w:t>
            </w:r>
          </w:p>
        </w:tc>
      </w:tr>
      <w:tr w:rsidR="0010232F" w:rsidRPr="004B329E" w14:paraId="5ACF60E6" w14:textId="77777777" w:rsidTr="00FD1A59">
        <w:tc>
          <w:tcPr>
            <w:tcW w:w="4788" w:type="dxa"/>
            <w:shd w:val="clear" w:color="auto" w:fill="auto"/>
          </w:tcPr>
          <w:p w14:paraId="2848D378" w14:textId="3B003785" w:rsidR="00E41847" w:rsidRPr="004B329E" w:rsidRDefault="00292D93" w:rsidP="000675D7">
            <w:pPr>
              <w:spacing w:line="360" w:lineRule="auto"/>
              <w:jc w:val="both"/>
              <w:rPr>
                <w:rFonts w:ascii="Book Antiqua" w:hAnsi="Book Antiqua"/>
                <w:sz w:val="24"/>
                <w:szCs w:val="24"/>
              </w:rPr>
            </w:pPr>
            <w:r w:rsidRPr="004B329E">
              <w:rPr>
                <w:rFonts w:ascii="Book Antiqua" w:hAnsi="Book Antiqua"/>
                <w:sz w:val="24"/>
                <w:szCs w:val="24"/>
              </w:rPr>
              <w:t xml:space="preserve">Initial CCRCC </w:t>
            </w:r>
            <w:r w:rsidR="00E41847" w:rsidRPr="004B329E">
              <w:rPr>
                <w:rFonts w:ascii="Book Antiqua" w:hAnsi="Book Antiqua"/>
                <w:sz w:val="24"/>
                <w:szCs w:val="24"/>
              </w:rPr>
              <w:t>Stage</w:t>
            </w:r>
          </w:p>
        </w:tc>
        <w:tc>
          <w:tcPr>
            <w:tcW w:w="3780" w:type="dxa"/>
            <w:shd w:val="clear" w:color="auto" w:fill="auto"/>
          </w:tcPr>
          <w:p w14:paraId="0CE57BE9"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91.1% (62)</w:t>
            </w:r>
          </w:p>
        </w:tc>
      </w:tr>
      <w:tr w:rsidR="0010232F" w:rsidRPr="004B329E" w14:paraId="7BB9AABC" w14:textId="77777777" w:rsidTr="00FD1A59">
        <w:tc>
          <w:tcPr>
            <w:tcW w:w="4788" w:type="dxa"/>
            <w:shd w:val="clear" w:color="auto" w:fill="auto"/>
          </w:tcPr>
          <w:p w14:paraId="60C54DCA" w14:textId="21A4E463"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Stage I CCRCC</w:t>
            </w:r>
          </w:p>
        </w:tc>
        <w:tc>
          <w:tcPr>
            <w:tcW w:w="3780" w:type="dxa"/>
            <w:shd w:val="clear" w:color="auto" w:fill="auto"/>
          </w:tcPr>
          <w:p w14:paraId="0C46305A"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30.6% (19)</w:t>
            </w:r>
          </w:p>
        </w:tc>
      </w:tr>
      <w:tr w:rsidR="0010232F" w:rsidRPr="004B329E" w14:paraId="2B3EC8EC" w14:textId="77777777" w:rsidTr="00FD1A59">
        <w:tc>
          <w:tcPr>
            <w:tcW w:w="4788" w:type="dxa"/>
            <w:shd w:val="clear" w:color="auto" w:fill="auto"/>
          </w:tcPr>
          <w:p w14:paraId="1CD7D76C" w14:textId="4DDA7831"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Stage II CCRCC</w:t>
            </w:r>
          </w:p>
        </w:tc>
        <w:tc>
          <w:tcPr>
            <w:tcW w:w="3780" w:type="dxa"/>
            <w:shd w:val="clear" w:color="auto" w:fill="auto"/>
          </w:tcPr>
          <w:p w14:paraId="1F701E15"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29% (18)</w:t>
            </w:r>
          </w:p>
        </w:tc>
      </w:tr>
      <w:tr w:rsidR="0010232F" w:rsidRPr="004B329E" w14:paraId="2B0219B1" w14:textId="77777777" w:rsidTr="00FD1A59">
        <w:tc>
          <w:tcPr>
            <w:tcW w:w="4788" w:type="dxa"/>
            <w:shd w:val="clear" w:color="auto" w:fill="auto"/>
          </w:tcPr>
          <w:p w14:paraId="22AECF8A" w14:textId="5141BB8D"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Stage III CCRCC</w:t>
            </w:r>
          </w:p>
        </w:tc>
        <w:tc>
          <w:tcPr>
            <w:tcW w:w="3780" w:type="dxa"/>
            <w:shd w:val="clear" w:color="auto" w:fill="auto"/>
          </w:tcPr>
          <w:p w14:paraId="275CB7C0" w14:textId="4B4D0B7F"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32.3%</w:t>
            </w:r>
            <w:r w:rsidR="00FD1A59" w:rsidRPr="004B329E">
              <w:rPr>
                <w:rFonts w:ascii="Book Antiqua" w:hAnsi="Book Antiqua"/>
                <w:sz w:val="24"/>
                <w:szCs w:val="24"/>
              </w:rPr>
              <w:t xml:space="preserve"> </w:t>
            </w:r>
            <w:r w:rsidRPr="004B329E">
              <w:rPr>
                <w:rFonts w:ascii="Book Antiqua" w:hAnsi="Book Antiqua"/>
                <w:sz w:val="24"/>
                <w:szCs w:val="24"/>
              </w:rPr>
              <w:t>(20)</w:t>
            </w:r>
          </w:p>
        </w:tc>
      </w:tr>
      <w:tr w:rsidR="0010232F" w:rsidRPr="004B329E" w14:paraId="28DEF61E" w14:textId="77777777" w:rsidTr="00FD1A59">
        <w:tc>
          <w:tcPr>
            <w:tcW w:w="4788" w:type="dxa"/>
            <w:shd w:val="clear" w:color="auto" w:fill="auto"/>
          </w:tcPr>
          <w:p w14:paraId="0AA06615" w14:textId="61C50290"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Stage IV CCRCC</w:t>
            </w:r>
          </w:p>
        </w:tc>
        <w:tc>
          <w:tcPr>
            <w:tcW w:w="3780" w:type="dxa"/>
            <w:shd w:val="clear" w:color="auto" w:fill="auto"/>
          </w:tcPr>
          <w:p w14:paraId="4678F1BF"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8.1% (5)</w:t>
            </w:r>
          </w:p>
        </w:tc>
      </w:tr>
      <w:tr w:rsidR="0010232F" w:rsidRPr="004B329E" w14:paraId="741C4F23" w14:textId="77777777" w:rsidTr="00FD1A59">
        <w:tc>
          <w:tcPr>
            <w:tcW w:w="4788" w:type="dxa"/>
            <w:shd w:val="clear" w:color="auto" w:fill="auto"/>
          </w:tcPr>
          <w:p w14:paraId="0C94AC8D"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Lag time (years) from initial diagnosis of CCRCC</w:t>
            </w:r>
          </w:p>
        </w:tc>
        <w:tc>
          <w:tcPr>
            <w:tcW w:w="3780" w:type="dxa"/>
            <w:shd w:val="clear" w:color="auto" w:fill="auto"/>
          </w:tcPr>
          <w:p w14:paraId="3EAC53EC" w14:textId="241467C4" w:rsidR="00E41847" w:rsidRPr="004B329E" w:rsidRDefault="00AD0201" w:rsidP="00AD0201">
            <w:pPr>
              <w:spacing w:line="360" w:lineRule="auto"/>
              <w:jc w:val="both"/>
              <w:rPr>
                <w:rFonts w:ascii="Book Antiqua" w:hAnsi="Book Antiqua"/>
                <w:sz w:val="24"/>
                <w:szCs w:val="24"/>
                <w:lang w:eastAsia="zh-CN"/>
              </w:rPr>
            </w:pPr>
            <w:r w:rsidRPr="004B329E">
              <w:rPr>
                <w:rFonts w:ascii="Book Antiqua" w:hAnsi="Book Antiqua"/>
                <w:sz w:val="24"/>
                <w:szCs w:val="24"/>
              </w:rPr>
              <w:t xml:space="preserve">8.7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00E41847" w:rsidRPr="004B329E">
              <w:rPr>
                <w:rFonts w:ascii="Book Antiqua" w:hAnsi="Book Antiqua"/>
                <w:sz w:val="24"/>
                <w:szCs w:val="24"/>
              </w:rPr>
              <w:t xml:space="preserve">6.35 </w:t>
            </w:r>
            <w:r w:rsidRPr="004B329E">
              <w:rPr>
                <w:rFonts w:ascii="Book Antiqua" w:hAnsi="Book Antiqua"/>
                <w:sz w:val="24"/>
                <w:szCs w:val="24"/>
              </w:rPr>
              <w:t xml:space="preserve">mean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cs="Times New Roman"/>
                <w:sz w:val="24"/>
                <w:szCs w:val="24"/>
              </w:rPr>
              <w:t>SD</w:t>
            </w:r>
          </w:p>
        </w:tc>
      </w:tr>
      <w:tr w:rsidR="0010232F" w:rsidRPr="004B329E" w14:paraId="745E62C6" w14:textId="77777777" w:rsidTr="00FD1A59">
        <w:tc>
          <w:tcPr>
            <w:tcW w:w="4788" w:type="dxa"/>
            <w:shd w:val="clear" w:color="auto" w:fill="auto"/>
          </w:tcPr>
          <w:p w14:paraId="7D14D9B6"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Size (cm)</w:t>
            </w:r>
          </w:p>
        </w:tc>
        <w:tc>
          <w:tcPr>
            <w:tcW w:w="3780" w:type="dxa"/>
            <w:shd w:val="clear" w:color="auto" w:fill="auto"/>
          </w:tcPr>
          <w:p w14:paraId="23F11FD1" w14:textId="77777777" w:rsidR="00E41847" w:rsidRPr="004B329E" w:rsidRDefault="00E41847" w:rsidP="000675D7">
            <w:pPr>
              <w:spacing w:line="360" w:lineRule="auto"/>
              <w:jc w:val="both"/>
              <w:rPr>
                <w:rFonts w:ascii="Book Antiqua" w:hAnsi="Book Antiqua"/>
                <w:sz w:val="24"/>
                <w:szCs w:val="24"/>
              </w:rPr>
            </w:pPr>
          </w:p>
        </w:tc>
      </w:tr>
      <w:tr w:rsidR="0010232F" w:rsidRPr="004B329E" w14:paraId="4E6E24BA" w14:textId="77777777" w:rsidTr="00FD1A59">
        <w:tc>
          <w:tcPr>
            <w:tcW w:w="4788" w:type="dxa"/>
            <w:shd w:val="clear" w:color="auto" w:fill="auto"/>
          </w:tcPr>
          <w:p w14:paraId="64003B91" w14:textId="5F3E4CF6"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Male</w:t>
            </w:r>
          </w:p>
        </w:tc>
        <w:tc>
          <w:tcPr>
            <w:tcW w:w="3780" w:type="dxa"/>
            <w:shd w:val="clear" w:color="auto" w:fill="auto"/>
          </w:tcPr>
          <w:p w14:paraId="77FA0A68" w14:textId="0150599B"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cs="Times New Roman"/>
                <w:sz w:val="24"/>
                <w:szCs w:val="24"/>
              </w:rPr>
              <w:t xml:space="preserve">4.87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cs="Times New Roman"/>
                <w:sz w:val="24"/>
                <w:szCs w:val="24"/>
              </w:rPr>
              <w:t>2.55</w:t>
            </w:r>
          </w:p>
        </w:tc>
      </w:tr>
      <w:tr w:rsidR="0010232F" w:rsidRPr="004B329E" w14:paraId="7BB58357" w14:textId="77777777" w:rsidTr="00FD1A59">
        <w:tc>
          <w:tcPr>
            <w:tcW w:w="4788" w:type="dxa"/>
            <w:shd w:val="clear" w:color="auto" w:fill="auto"/>
          </w:tcPr>
          <w:p w14:paraId="7283D19A" w14:textId="741B6988"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Female</w:t>
            </w:r>
          </w:p>
        </w:tc>
        <w:tc>
          <w:tcPr>
            <w:tcW w:w="3780" w:type="dxa"/>
            <w:shd w:val="clear" w:color="auto" w:fill="auto"/>
          </w:tcPr>
          <w:p w14:paraId="460CFF93" w14:textId="7023D71D"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sz w:val="24"/>
                <w:szCs w:val="24"/>
              </w:rPr>
              <w:t xml:space="preserve">3.84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sz w:val="24"/>
                <w:szCs w:val="24"/>
              </w:rPr>
              <w:t>1.65</w:t>
            </w:r>
          </w:p>
        </w:tc>
      </w:tr>
      <w:tr w:rsidR="0010232F" w:rsidRPr="004B329E" w14:paraId="4F953E32" w14:textId="77777777" w:rsidTr="00FD1A59">
        <w:tc>
          <w:tcPr>
            <w:tcW w:w="4788" w:type="dxa"/>
            <w:shd w:val="clear" w:color="auto" w:fill="auto"/>
          </w:tcPr>
          <w:p w14:paraId="7D7C91BE" w14:textId="7A7FDA9E"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Symptoms</w:t>
            </w:r>
          </w:p>
        </w:tc>
        <w:tc>
          <w:tcPr>
            <w:tcW w:w="3780" w:type="dxa"/>
            <w:shd w:val="clear" w:color="auto" w:fill="auto"/>
          </w:tcPr>
          <w:p w14:paraId="2EF03104" w14:textId="77777777" w:rsidR="00E41847" w:rsidRPr="004B329E" w:rsidRDefault="00E41847" w:rsidP="000675D7">
            <w:pPr>
              <w:spacing w:line="360" w:lineRule="auto"/>
              <w:jc w:val="both"/>
              <w:rPr>
                <w:rFonts w:ascii="Book Antiqua" w:hAnsi="Book Antiqua"/>
                <w:sz w:val="24"/>
                <w:szCs w:val="24"/>
              </w:rPr>
            </w:pPr>
          </w:p>
        </w:tc>
      </w:tr>
      <w:tr w:rsidR="0010232F" w:rsidRPr="004B329E" w14:paraId="23CA4F64" w14:textId="77777777" w:rsidTr="00FD1A59">
        <w:tc>
          <w:tcPr>
            <w:tcW w:w="4788" w:type="dxa"/>
            <w:shd w:val="clear" w:color="auto" w:fill="auto"/>
          </w:tcPr>
          <w:p w14:paraId="2B7FD28A" w14:textId="5AAC8363"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Asymptomatic</w:t>
            </w:r>
          </w:p>
        </w:tc>
        <w:tc>
          <w:tcPr>
            <w:tcW w:w="3780" w:type="dxa"/>
            <w:shd w:val="clear" w:color="auto" w:fill="auto"/>
          </w:tcPr>
          <w:p w14:paraId="61BCD1D2"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21.8% (32)</w:t>
            </w:r>
          </w:p>
        </w:tc>
      </w:tr>
      <w:tr w:rsidR="0010232F" w:rsidRPr="004B329E" w14:paraId="6A553B3E" w14:textId="77777777" w:rsidTr="00FD1A59">
        <w:tc>
          <w:tcPr>
            <w:tcW w:w="4788" w:type="dxa"/>
            <w:shd w:val="clear" w:color="auto" w:fill="auto"/>
          </w:tcPr>
          <w:p w14:paraId="23546A99" w14:textId="273945E8"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Painless mass</w:t>
            </w:r>
          </w:p>
        </w:tc>
        <w:tc>
          <w:tcPr>
            <w:tcW w:w="3780" w:type="dxa"/>
            <w:shd w:val="clear" w:color="auto" w:fill="auto"/>
          </w:tcPr>
          <w:p w14:paraId="788A3D0E"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32.7% (48)</w:t>
            </w:r>
          </w:p>
        </w:tc>
      </w:tr>
      <w:tr w:rsidR="0010232F" w:rsidRPr="004B329E" w14:paraId="58E04DE0" w14:textId="77777777" w:rsidTr="00FD1A59">
        <w:tc>
          <w:tcPr>
            <w:tcW w:w="4788" w:type="dxa"/>
            <w:shd w:val="clear" w:color="auto" w:fill="auto"/>
          </w:tcPr>
          <w:p w14:paraId="62CEAEC9" w14:textId="5B3BA00F"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Symptomatic</w:t>
            </w:r>
          </w:p>
        </w:tc>
        <w:tc>
          <w:tcPr>
            <w:tcW w:w="3780" w:type="dxa"/>
            <w:shd w:val="clear" w:color="auto" w:fill="auto"/>
          </w:tcPr>
          <w:p w14:paraId="2E143920"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10.9% (16)</w:t>
            </w:r>
          </w:p>
        </w:tc>
      </w:tr>
      <w:tr w:rsidR="0010232F" w:rsidRPr="004B329E" w14:paraId="533C55DC" w14:textId="77777777" w:rsidTr="00FD1A59">
        <w:tc>
          <w:tcPr>
            <w:tcW w:w="4788" w:type="dxa"/>
            <w:shd w:val="clear" w:color="auto" w:fill="auto"/>
          </w:tcPr>
          <w:p w14:paraId="30186EA1" w14:textId="55300CB5"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I</w:t>
            </w:r>
            <w:r w:rsidR="00292D93" w:rsidRPr="004B329E">
              <w:rPr>
                <w:rFonts w:ascii="Book Antiqua" w:hAnsi="Book Antiqua"/>
                <w:sz w:val="24"/>
                <w:szCs w:val="24"/>
              </w:rPr>
              <w:t>nternal Jugular</w:t>
            </w:r>
            <w:r w:rsidRPr="004B329E">
              <w:rPr>
                <w:rFonts w:ascii="Book Antiqua" w:hAnsi="Book Antiqua"/>
                <w:sz w:val="24"/>
                <w:szCs w:val="24"/>
              </w:rPr>
              <w:t xml:space="preserve"> Thrombus</w:t>
            </w:r>
          </w:p>
        </w:tc>
        <w:tc>
          <w:tcPr>
            <w:tcW w:w="3780" w:type="dxa"/>
            <w:shd w:val="clear" w:color="auto" w:fill="auto"/>
          </w:tcPr>
          <w:p w14:paraId="3458F1AD"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6.8% (10)</w:t>
            </w:r>
          </w:p>
        </w:tc>
      </w:tr>
      <w:tr w:rsidR="0010232F" w:rsidRPr="004B329E" w14:paraId="317173EB" w14:textId="77777777" w:rsidTr="00FD1A59">
        <w:tc>
          <w:tcPr>
            <w:tcW w:w="4788" w:type="dxa"/>
            <w:shd w:val="clear" w:color="auto" w:fill="auto"/>
          </w:tcPr>
          <w:p w14:paraId="4CB6B4DC"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Diagnostics</w:t>
            </w:r>
          </w:p>
        </w:tc>
        <w:tc>
          <w:tcPr>
            <w:tcW w:w="3780" w:type="dxa"/>
            <w:shd w:val="clear" w:color="auto" w:fill="auto"/>
          </w:tcPr>
          <w:p w14:paraId="184530E5" w14:textId="77777777" w:rsidR="00E41847" w:rsidRPr="004B329E" w:rsidRDefault="00E41847" w:rsidP="000675D7">
            <w:pPr>
              <w:spacing w:line="360" w:lineRule="auto"/>
              <w:jc w:val="both"/>
              <w:rPr>
                <w:rFonts w:ascii="Book Antiqua" w:hAnsi="Book Antiqua"/>
                <w:sz w:val="24"/>
                <w:szCs w:val="24"/>
              </w:rPr>
            </w:pPr>
          </w:p>
        </w:tc>
      </w:tr>
      <w:tr w:rsidR="0010232F" w:rsidRPr="004B329E" w14:paraId="7C7FF8E9" w14:textId="77777777" w:rsidTr="00FD1A59">
        <w:tc>
          <w:tcPr>
            <w:tcW w:w="4788" w:type="dxa"/>
            <w:shd w:val="clear" w:color="auto" w:fill="auto"/>
          </w:tcPr>
          <w:p w14:paraId="6878D716" w14:textId="197843EE"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US</w:t>
            </w:r>
          </w:p>
        </w:tc>
        <w:tc>
          <w:tcPr>
            <w:tcW w:w="3780" w:type="dxa"/>
            <w:shd w:val="clear" w:color="auto" w:fill="auto"/>
          </w:tcPr>
          <w:p w14:paraId="7EE0433A"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41.2% (35)</w:t>
            </w:r>
          </w:p>
        </w:tc>
      </w:tr>
      <w:tr w:rsidR="0010232F" w:rsidRPr="004B329E" w14:paraId="1D498F0E" w14:textId="77777777" w:rsidTr="00FD1A59">
        <w:tc>
          <w:tcPr>
            <w:tcW w:w="4788" w:type="dxa"/>
            <w:shd w:val="clear" w:color="auto" w:fill="auto"/>
          </w:tcPr>
          <w:p w14:paraId="547CF1C3" w14:textId="35D2CB31"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CT</w:t>
            </w:r>
          </w:p>
        </w:tc>
        <w:tc>
          <w:tcPr>
            <w:tcW w:w="3780" w:type="dxa"/>
            <w:shd w:val="clear" w:color="auto" w:fill="auto"/>
          </w:tcPr>
          <w:p w14:paraId="5853AE10"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20% (17)</w:t>
            </w:r>
          </w:p>
        </w:tc>
      </w:tr>
      <w:tr w:rsidR="0010232F" w:rsidRPr="004B329E" w14:paraId="773A3499" w14:textId="77777777" w:rsidTr="00FD1A59">
        <w:tc>
          <w:tcPr>
            <w:tcW w:w="4788" w:type="dxa"/>
            <w:shd w:val="clear" w:color="auto" w:fill="auto"/>
          </w:tcPr>
          <w:p w14:paraId="2A01CD80" w14:textId="72C9E672"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PET Scan</w:t>
            </w:r>
          </w:p>
        </w:tc>
        <w:tc>
          <w:tcPr>
            <w:tcW w:w="3780" w:type="dxa"/>
            <w:shd w:val="clear" w:color="auto" w:fill="auto"/>
          </w:tcPr>
          <w:p w14:paraId="223570EF"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15.3% (13)</w:t>
            </w:r>
          </w:p>
        </w:tc>
      </w:tr>
      <w:tr w:rsidR="0010232F" w:rsidRPr="004B329E" w14:paraId="67DA69A8" w14:textId="77777777" w:rsidTr="00FD1A59">
        <w:tc>
          <w:tcPr>
            <w:tcW w:w="4788" w:type="dxa"/>
            <w:shd w:val="clear" w:color="auto" w:fill="auto"/>
          </w:tcPr>
          <w:p w14:paraId="0F00BF21" w14:textId="469AA6D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FNA</w:t>
            </w:r>
          </w:p>
        </w:tc>
        <w:tc>
          <w:tcPr>
            <w:tcW w:w="3780" w:type="dxa"/>
            <w:shd w:val="clear" w:color="auto" w:fill="auto"/>
          </w:tcPr>
          <w:p w14:paraId="2AB11E0C" w14:textId="77777777" w:rsidR="00E41847" w:rsidRPr="004B329E" w:rsidRDefault="00E41847" w:rsidP="000675D7">
            <w:pPr>
              <w:spacing w:line="360" w:lineRule="auto"/>
              <w:jc w:val="both"/>
              <w:rPr>
                <w:rFonts w:ascii="Book Antiqua" w:hAnsi="Book Antiqua"/>
                <w:sz w:val="24"/>
                <w:szCs w:val="24"/>
              </w:rPr>
            </w:pPr>
          </w:p>
        </w:tc>
      </w:tr>
      <w:tr w:rsidR="0010232F" w:rsidRPr="004B329E" w14:paraId="1C966320" w14:textId="77777777" w:rsidTr="00FD1A59">
        <w:tc>
          <w:tcPr>
            <w:tcW w:w="4788" w:type="dxa"/>
            <w:shd w:val="clear" w:color="auto" w:fill="auto"/>
          </w:tcPr>
          <w:p w14:paraId="41142DD2" w14:textId="0BE8E75F"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diagnostic</w:t>
            </w:r>
          </w:p>
        </w:tc>
        <w:tc>
          <w:tcPr>
            <w:tcW w:w="3780" w:type="dxa"/>
            <w:shd w:val="clear" w:color="auto" w:fill="auto"/>
          </w:tcPr>
          <w:p w14:paraId="3E2E9852"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29.4% (25)</w:t>
            </w:r>
          </w:p>
        </w:tc>
      </w:tr>
      <w:tr w:rsidR="0010232F" w:rsidRPr="004B329E" w14:paraId="38352206" w14:textId="77777777" w:rsidTr="00FD1A59">
        <w:tc>
          <w:tcPr>
            <w:tcW w:w="4788" w:type="dxa"/>
            <w:shd w:val="clear" w:color="auto" w:fill="auto"/>
          </w:tcPr>
          <w:p w14:paraId="5065743A" w14:textId="0100EDF3"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Non-diagnostic</w:t>
            </w:r>
          </w:p>
        </w:tc>
        <w:tc>
          <w:tcPr>
            <w:tcW w:w="3780" w:type="dxa"/>
            <w:shd w:val="clear" w:color="auto" w:fill="auto"/>
          </w:tcPr>
          <w:p w14:paraId="5F28B859"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47.1% (40)</w:t>
            </w:r>
          </w:p>
        </w:tc>
      </w:tr>
      <w:tr w:rsidR="0010232F" w:rsidRPr="004B329E" w14:paraId="1BB4DA6B" w14:textId="77777777" w:rsidTr="00FD1A59">
        <w:tc>
          <w:tcPr>
            <w:tcW w:w="4788" w:type="dxa"/>
            <w:shd w:val="clear" w:color="auto" w:fill="auto"/>
          </w:tcPr>
          <w:p w14:paraId="69670509"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Surgery</w:t>
            </w:r>
          </w:p>
        </w:tc>
        <w:tc>
          <w:tcPr>
            <w:tcW w:w="3780" w:type="dxa"/>
            <w:shd w:val="clear" w:color="auto" w:fill="auto"/>
          </w:tcPr>
          <w:p w14:paraId="303927B3" w14:textId="77777777" w:rsidR="00E41847" w:rsidRPr="004B329E" w:rsidRDefault="00E41847" w:rsidP="000675D7">
            <w:pPr>
              <w:spacing w:line="360" w:lineRule="auto"/>
              <w:jc w:val="both"/>
              <w:rPr>
                <w:rFonts w:ascii="Book Antiqua" w:hAnsi="Book Antiqua"/>
                <w:sz w:val="24"/>
                <w:szCs w:val="24"/>
              </w:rPr>
            </w:pPr>
          </w:p>
        </w:tc>
      </w:tr>
      <w:tr w:rsidR="0010232F" w:rsidRPr="004B329E" w14:paraId="6D7789D4" w14:textId="77777777" w:rsidTr="00FD1A59">
        <w:tc>
          <w:tcPr>
            <w:tcW w:w="4788" w:type="dxa"/>
            <w:shd w:val="clear" w:color="auto" w:fill="auto"/>
          </w:tcPr>
          <w:p w14:paraId="042BECED" w14:textId="1BB52CDD"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Total thyroidectomy</w:t>
            </w:r>
          </w:p>
        </w:tc>
        <w:tc>
          <w:tcPr>
            <w:tcW w:w="3780" w:type="dxa"/>
            <w:shd w:val="clear" w:color="auto" w:fill="auto"/>
          </w:tcPr>
          <w:p w14:paraId="242D0077"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49.0% (72)</w:t>
            </w:r>
          </w:p>
        </w:tc>
      </w:tr>
      <w:tr w:rsidR="0010232F" w:rsidRPr="004B329E" w14:paraId="36FAE20C" w14:textId="77777777" w:rsidTr="00FD1A59">
        <w:tc>
          <w:tcPr>
            <w:tcW w:w="4788" w:type="dxa"/>
            <w:shd w:val="clear" w:color="auto" w:fill="auto"/>
          </w:tcPr>
          <w:p w14:paraId="1DEF777D" w14:textId="1086ECDC"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Subtotal thyroidectomy</w:t>
            </w:r>
          </w:p>
        </w:tc>
        <w:tc>
          <w:tcPr>
            <w:tcW w:w="3780" w:type="dxa"/>
            <w:shd w:val="clear" w:color="auto" w:fill="auto"/>
          </w:tcPr>
          <w:p w14:paraId="06C7B86D" w14:textId="77777777"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31.3% (46)</w:t>
            </w:r>
          </w:p>
        </w:tc>
      </w:tr>
      <w:tr w:rsidR="0010232F" w:rsidRPr="004B329E" w14:paraId="7A738B9B" w14:textId="77777777" w:rsidTr="00FD1A59">
        <w:tc>
          <w:tcPr>
            <w:tcW w:w="4788" w:type="dxa"/>
            <w:shd w:val="clear" w:color="auto" w:fill="auto"/>
          </w:tcPr>
          <w:p w14:paraId="51BEC5E4" w14:textId="605C84B5" w:rsidR="00E41847" w:rsidRPr="004B329E" w:rsidRDefault="00E41847" w:rsidP="000675D7">
            <w:pPr>
              <w:spacing w:line="360" w:lineRule="auto"/>
              <w:jc w:val="both"/>
              <w:rPr>
                <w:rFonts w:ascii="Book Antiqua" w:hAnsi="Book Antiqua"/>
                <w:sz w:val="24"/>
                <w:szCs w:val="24"/>
              </w:rPr>
            </w:pPr>
            <w:r w:rsidRPr="004B329E">
              <w:rPr>
                <w:rFonts w:ascii="Book Antiqua" w:hAnsi="Book Antiqua"/>
                <w:sz w:val="24"/>
                <w:szCs w:val="24"/>
              </w:rPr>
              <w:t>Follow up period after the surgery (mo)</w:t>
            </w:r>
          </w:p>
        </w:tc>
        <w:tc>
          <w:tcPr>
            <w:tcW w:w="3780" w:type="dxa"/>
            <w:shd w:val="clear" w:color="auto" w:fill="auto"/>
          </w:tcPr>
          <w:p w14:paraId="1EBAAC5F" w14:textId="66C1CF64" w:rsidR="00E41847" w:rsidRPr="004B329E" w:rsidRDefault="00AD0201" w:rsidP="000675D7">
            <w:pPr>
              <w:spacing w:line="360" w:lineRule="auto"/>
              <w:jc w:val="both"/>
              <w:rPr>
                <w:rFonts w:ascii="Book Antiqua" w:hAnsi="Book Antiqua"/>
                <w:sz w:val="24"/>
                <w:szCs w:val="24"/>
                <w:lang w:eastAsia="zh-CN"/>
              </w:rPr>
            </w:pPr>
            <w:r w:rsidRPr="004B329E">
              <w:rPr>
                <w:rFonts w:ascii="Book Antiqua" w:hAnsi="Book Antiqua"/>
                <w:sz w:val="24"/>
                <w:szCs w:val="24"/>
              </w:rPr>
              <w:t xml:space="preserve"> 26.5 </w:t>
            </w:r>
            <w:r w:rsidR="00E41847" w:rsidRPr="004B329E">
              <w:rPr>
                <w:rFonts w:ascii="Book Antiqua" w:hAnsi="Book Antiqua" w:cs="Times New Roman"/>
                <w:sz w:val="24"/>
                <w:szCs w:val="24"/>
              </w:rPr>
              <w:t>±</w:t>
            </w:r>
            <w:r w:rsidR="00FD1A59" w:rsidRPr="004B329E">
              <w:rPr>
                <w:rFonts w:ascii="Book Antiqua" w:hAnsi="Book Antiqua" w:cs="Times New Roman"/>
                <w:sz w:val="24"/>
                <w:szCs w:val="24"/>
              </w:rPr>
              <w:t xml:space="preserve"> </w:t>
            </w:r>
            <w:r w:rsidRPr="004B329E">
              <w:rPr>
                <w:rFonts w:ascii="Book Antiqua" w:hAnsi="Book Antiqua"/>
                <w:sz w:val="24"/>
                <w:szCs w:val="24"/>
              </w:rPr>
              <w:t>24</w:t>
            </w:r>
          </w:p>
        </w:tc>
      </w:tr>
    </w:tbl>
    <w:p w14:paraId="390288B9" w14:textId="16D1F3AD" w:rsidR="00DF6011" w:rsidRPr="004B329E" w:rsidRDefault="00292D93"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Numbers represent mean</w:t>
      </w:r>
      <w:r w:rsidR="00AD0201" w:rsidRPr="004B329E">
        <w:rPr>
          <w:rFonts w:ascii="Book Antiqua" w:hAnsi="Book Antiqua" w:cs="Times New Roman" w:hint="eastAsia"/>
          <w:sz w:val="24"/>
          <w:szCs w:val="24"/>
          <w:lang w:eastAsia="zh-CN"/>
        </w:rPr>
        <w:t xml:space="preserve"> </w:t>
      </w:r>
      <w:r w:rsidR="00AD0201" w:rsidRPr="004B329E">
        <w:rPr>
          <w:rFonts w:ascii="Book Antiqua" w:hAnsi="Book Antiqua" w:cs="Times New Roman"/>
          <w:sz w:val="24"/>
          <w:szCs w:val="24"/>
        </w:rPr>
        <w:t>±</w:t>
      </w:r>
      <w:r w:rsidR="00AD0201" w:rsidRPr="004B329E">
        <w:rPr>
          <w:rFonts w:ascii="Book Antiqua" w:hAnsi="Book Antiqua" w:cs="Times New Roman" w:hint="eastAsia"/>
          <w:sz w:val="24"/>
          <w:szCs w:val="24"/>
          <w:lang w:eastAsia="zh-CN"/>
        </w:rPr>
        <w:t xml:space="preserve"> SD</w:t>
      </w:r>
      <w:r w:rsidRPr="004B329E">
        <w:rPr>
          <w:rFonts w:ascii="Book Antiqua" w:hAnsi="Book Antiqua" w:cs="Times New Roman"/>
          <w:sz w:val="24"/>
          <w:szCs w:val="24"/>
        </w:rPr>
        <w:t xml:space="preserve"> or percentage and number of patients</w:t>
      </w:r>
      <w:r w:rsidR="00FD1A59" w:rsidRPr="004B329E">
        <w:rPr>
          <w:rFonts w:ascii="Book Antiqua" w:hAnsi="Book Antiqua" w:cs="Times New Roman"/>
          <w:sz w:val="24"/>
          <w:szCs w:val="24"/>
        </w:rPr>
        <w:t>.</w:t>
      </w:r>
      <w:r w:rsidR="00AD0201" w:rsidRPr="004B329E">
        <w:rPr>
          <w:rFonts w:ascii="Book Antiqua" w:hAnsi="Book Antiqua" w:cs="Times New Roman" w:hint="eastAsia"/>
          <w:sz w:val="24"/>
          <w:szCs w:val="24"/>
          <w:lang w:eastAsia="zh-CN"/>
        </w:rPr>
        <w:t xml:space="preserve"> </w:t>
      </w:r>
      <w:r w:rsidR="00DF6011" w:rsidRPr="004B329E">
        <w:rPr>
          <w:rFonts w:ascii="Book Antiqua" w:hAnsi="Book Antiqua" w:cs="Times New Roman"/>
          <w:sz w:val="24"/>
          <w:szCs w:val="24"/>
        </w:rPr>
        <w:t>CCRCC: Clear cell renal cell carcinoma</w:t>
      </w:r>
      <w:r w:rsidR="00FD1A59" w:rsidRPr="004B329E">
        <w:rPr>
          <w:rFonts w:ascii="Book Antiqua" w:hAnsi="Book Antiqua" w:cs="Times New Roman"/>
          <w:sz w:val="24"/>
          <w:szCs w:val="24"/>
        </w:rPr>
        <w:t>;</w:t>
      </w:r>
      <w:r w:rsidR="00DF6011" w:rsidRPr="004B329E">
        <w:rPr>
          <w:rFonts w:ascii="Book Antiqua" w:hAnsi="Book Antiqua" w:cs="Times New Roman"/>
          <w:sz w:val="24"/>
          <w:szCs w:val="24"/>
        </w:rPr>
        <w:t xml:space="preserve"> US: Ultrasound</w:t>
      </w:r>
      <w:r w:rsidR="00FD1A59" w:rsidRPr="004B329E">
        <w:rPr>
          <w:rFonts w:ascii="Book Antiqua" w:hAnsi="Book Antiqua" w:cs="Times New Roman"/>
          <w:sz w:val="24"/>
          <w:szCs w:val="24"/>
        </w:rPr>
        <w:t>;</w:t>
      </w:r>
      <w:r w:rsidR="00DF6011" w:rsidRPr="004B329E">
        <w:rPr>
          <w:rFonts w:ascii="Book Antiqua" w:hAnsi="Book Antiqua" w:cs="Times New Roman"/>
          <w:sz w:val="24"/>
          <w:szCs w:val="24"/>
        </w:rPr>
        <w:t xml:space="preserve"> CT: Computed tomography</w:t>
      </w:r>
      <w:r w:rsidR="00FD1A59" w:rsidRPr="004B329E">
        <w:rPr>
          <w:rFonts w:ascii="Book Antiqua" w:hAnsi="Book Antiqua" w:cs="Times New Roman"/>
          <w:sz w:val="24"/>
          <w:szCs w:val="24"/>
        </w:rPr>
        <w:t>;</w:t>
      </w:r>
      <w:r w:rsidR="00DF6011" w:rsidRPr="004B329E">
        <w:rPr>
          <w:rFonts w:ascii="Book Antiqua" w:hAnsi="Book Antiqua" w:cs="Times New Roman"/>
          <w:sz w:val="24"/>
          <w:szCs w:val="24"/>
        </w:rPr>
        <w:t xml:space="preserve"> PET Scan: Positron emission tomography scan</w:t>
      </w:r>
      <w:r w:rsidR="00FD1A59" w:rsidRPr="004B329E">
        <w:rPr>
          <w:rFonts w:ascii="Book Antiqua" w:hAnsi="Book Antiqua" w:cs="Times New Roman"/>
          <w:sz w:val="24"/>
          <w:szCs w:val="24"/>
        </w:rPr>
        <w:t>;</w:t>
      </w:r>
      <w:r w:rsidR="00DF6011" w:rsidRPr="004B329E">
        <w:rPr>
          <w:rFonts w:ascii="Book Antiqua" w:hAnsi="Book Antiqua" w:cs="Times New Roman"/>
          <w:sz w:val="24"/>
          <w:szCs w:val="24"/>
        </w:rPr>
        <w:t xml:space="preserve"> FNA: Fine needle aspiration</w:t>
      </w:r>
      <w:r w:rsidR="00FD1A59" w:rsidRPr="004B329E">
        <w:rPr>
          <w:rFonts w:ascii="Book Antiqua" w:hAnsi="Book Antiqua" w:cs="Times New Roman"/>
          <w:sz w:val="24"/>
          <w:szCs w:val="24"/>
        </w:rPr>
        <w:t>.</w:t>
      </w:r>
    </w:p>
    <w:p w14:paraId="13CB55B9" w14:textId="083A9B64" w:rsidR="00FD1A59" w:rsidRPr="004B329E" w:rsidRDefault="00FD1A59">
      <w:pPr>
        <w:rPr>
          <w:rFonts w:ascii="Book Antiqua" w:hAnsi="Book Antiqua"/>
          <w:b/>
          <w:sz w:val="24"/>
          <w:szCs w:val="24"/>
        </w:rPr>
      </w:pPr>
      <w:r w:rsidRPr="004B329E">
        <w:rPr>
          <w:rFonts w:ascii="Book Antiqua" w:hAnsi="Book Antiqua"/>
          <w:b/>
          <w:sz w:val="24"/>
          <w:szCs w:val="24"/>
        </w:rPr>
        <w:br w:type="page"/>
      </w:r>
    </w:p>
    <w:p w14:paraId="006A3588" w14:textId="2EB92E2F" w:rsidR="00EA738D" w:rsidRPr="004B329E" w:rsidRDefault="00EA738D" w:rsidP="000675D7">
      <w:pPr>
        <w:autoSpaceDE w:val="0"/>
        <w:autoSpaceDN w:val="0"/>
        <w:adjustRightInd w:val="0"/>
        <w:spacing w:after="0" w:line="360" w:lineRule="auto"/>
        <w:jc w:val="both"/>
        <w:rPr>
          <w:rFonts w:ascii="Book Antiqua" w:hAnsi="Book Antiqua" w:cs="Times New Roman"/>
          <w:i/>
          <w:sz w:val="24"/>
          <w:szCs w:val="24"/>
        </w:rPr>
      </w:pPr>
      <w:r w:rsidRPr="004B329E">
        <w:rPr>
          <w:rFonts w:ascii="Book Antiqua" w:hAnsi="Book Antiqua" w:cstheme="minorHAnsi"/>
          <w:b/>
          <w:sz w:val="24"/>
          <w:szCs w:val="24"/>
        </w:rPr>
        <w:t>Table</w:t>
      </w:r>
      <w:r w:rsidR="009014A5" w:rsidRPr="004B329E">
        <w:rPr>
          <w:rFonts w:ascii="Book Antiqua" w:hAnsi="Book Antiqua" w:cstheme="minorHAnsi"/>
          <w:b/>
          <w:sz w:val="24"/>
          <w:szCs w:val="24"/>
        </w:rPr>
        <w:t xml:space="preserve"> </w:t>
      </w:r>
      <w:r w:rsidRPr="004B329E">
        <w:rPr>
          <w:rFonts w:ascii="Book Antiqua" w:hAnsi="Book Antiqua" w:cstheme="minorHAnsi"/>
          <w:b/>
          <w:sz w:val="24"/>
          <w:szCs w:val="24"/>
        </w:rPr>
        <w:t>2</w:t>
      </w:r>
      <w:r w:rsidR="009014A5" w:rsidRPr="004B329E">
        <w:rPr>
          <w:rFonts w:ascii="Book Antiqua" w:hAnsi="Book Antiqua" w:cstheme="minorHAnsi"/>
          <w:b/>
          <w:sz w:val="24"/>
          <w:szCs w:val="24"/>
        </w:rPr>
        <w:t xml:space="preserve"> </w:t>
      </w:r>
      <w:r w:rsidRPr="004B329E">
        <w:rPr>
          <w:rFonts w:ascii="Book Antiqua" w:hAnsi="Book Antiqua" w:cstheme="minorHAnsi"/>
          <w:b/>
          <w:sz w:val="24"/>
          <w:szCs w:val="24"/>
        </w:rPr>
        <w:t>Numbe</w:t>
      </w:r>
      <w:r w:rsidR="00DF6011" w:rsidRPr="004B329E">
        <w:rPr>
          <w:rFonts w:ascii="Book Antiqua" w:hAnsi="Book Antiqua" w:cstheme="minorHAnsi"/>
          <w:b/>
          <w:sz w:val="24"/>
          <w:szCs w:val="24"/>
        </w:rPr>
        <w:t xml:space="preserve">r of metastatic sites from clear cell renal cell carcinoma </w:t>
      </w:r>
      <w:r w:rsidRPr="004B329E">
        <w:rPr>
          <w:rFonts w:ascii="Book Antiqua" w:hAnsi="Book Antiqua" w:cstheme="minorHAnsi"/>
          <w:b/>
          <w:sz w:val="24"/>
          <w:szCs w:val="24"/>
        </w:rPr>
        <w:t>other than the thyroid gland in the studied population</w:t>
      </w:r>
    </w:p>
    <w:tbl>
      <w:tblPr>
        <w:tblW w:w="4906"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253"/>
        <w:gridCol w:w="1269"/>
        <w:gridCol w:w="1384"/>
      </w:tblGrid>
      <w:tr w:rsidR="0010232F" w:rsidRPr="004B329E" w14:paraId="21019DE8" w14:textId="77777777" w:rsidTr="00FD1A59">
        <w:trPr>
          <w:cantSplit/>
          <w:trHeight w:val="272"/>
        </w:trPr>
        <w:tc>
          <w:tcPr>
            <w:tcW w:w="2253" w:type="dxa"/>
            <w:tcBorders>
              <w:top w:val="single" w:sz="4" w:space="0" w:color="auto"/>
              <w:bottom w:val="single" w:sz="4" w:space="0" w:color="auto"/>
            </w:tcBorders>
            <w:shd w:val="clear" w:color="auto" w:fill="FFFFFF"/>
            <w:vAlign w:val="bottom"/>
          </w:tcPr>
          <w:p w14:paraId="5C03473F" w14:textId="77777777" w:rsidR="00EA738D" w:rsidRPr="004B329E" w:rsidRDefault="00EA738D" w:rsidP="000675D7">
            <w:pPr>
              <w:autoSpaceDE w:val="0"/>
              <w:autoSpaceDN w:val="0"/>
              <w:adjustRightInd w:val="0"/>
              <w:spacing w:after="0" w:line="360" w:lineRule="auto"/>
              <w:jc w:val="both"/>
              <w:rPr>
                <w:rFonts w:ascii="Book Antiqua" w:hAnsi="Book Antiqua" w:cs="Times New Roman"/>
                <w:b/>
                <w:bCs/>
                <w:sz w:val="24"/>
                <w:szCs w:val="24"/>
              </w:rPr>
            </w:pPr>
          </w:p>
        </w:tc>
        <w:tc>
          <w:tcPr>
            <w:tcW w:w="1269" w:type="dxa"/>
            <w:tcBorders>
              <w:top w:val="single" w:sz="4" w:space="0" w:color="auto"/>
              <w:bottom w:val="single" w:sz="4" w:space="0" w:color="auto"/>
            </w:tcBorders>
            <w:shd w:val="clear" w:color="auto" w:fill="FFFFFF"/>
            <w:vAlign w:val="bottom"/>
          </w:tcPr>
          <w:p w14:paraId="04D12C65" w14:textId="77777777" w:rsidR="00EA738D" w:rsidRPr="004B329E" w:rsidRDefault="00EA738D" w:rsidP="000675D7">
            <w:pPr>
              <w:autoSpaceDE w:val="0"/>
              <w:autoSpaceDN w:val="0"/>
              <w:adjustRightInd w:val="0"/>
              <w:spacing w:after="0" w:line="360" w:lineRule="auto"/>
              <w:jc w:val="both"/>
              <w:rPr>
                <w:rFonts w:ascii="Book Antiqua" w:hAnsi="Book Antiqua" w:cs="Times New Roman"/>
                <w:b/>
                <w:bCs/>
                <w:sz w:val="24"/>
                <w:szCs w:val="24"/>
              </w:rPr>
            </w:pPr>
            <w:r w:rsidRPr="004B329E">
              <w:rPr>
                <w:rFonts w:ascii="Book Antiqua" w:hAnsi="Book Antiqua" w:cs="Times New Roman"/>
                <w:b/>
                <w:bCs/>
                <w:sz w:val="24"/>
                <w:szCs w:val="24"/>
              </w:rPr>
              <w:t>Number</w:t>
            </w:r>
          </w:p>
        </w:tc>
        <w:tc>
          <w:tcPr>
            <w:tcW w:w="1384" w:type="dxa"/>
            <w:tcBorders>
              <w:top w:val="single" w:sz="4" w:space="0" w:color="auto"/>
              <w:bottom w:val="single" w:sz="4" w:space="0" w:color="auto"/>
            </w:tcBorders>
            <w:shd w:val="clear" w:color="auto" w:fill="FFFFFF"/>
            <w:vAlign w:val="bottom"/>
          </w:tcPr>
          <w:p w14:paraId="67A0DB15" w14:textId="228D66D1" w:rsidR="00EA738D" w:rsidRPr="004B329E" w:rsidRDefault="00EA738D" w:rsidP="00431569">
            <w:pPr>
              <w:autoSpaceDE w:val="0"/>
              <w:autoSpaceDN w:val="0"/>
              <w:adjustRightInd w:val="0"/>
              <w:spacing w:after="0" w:line="360" w:lineRule="auto"/>
              <w:jc w:val="both"/>
              <w:rPr>
                <w:rFonts w:ascii="Book Antiqua" w:hAnsi="Book Antiqua" w:cs="Times New Roman"/>
                <w:b/>
                <w:bCs/>
                <w:sz w:val="24"/>
                <w:szCs w:val="24"/>
              </w:rPr>
            </w:pPr>
            <w:r w:rsidRPr="004B329E">
              <w:rPr>
                <w:rFonts w:ascii="Book Antiqua" w:hAnsi="Book Antiqua" w:cs="Times New Roman"/>
                <w:b/>
                <w:bCs/>
                <w:sz w:val="24"/>
                <w:szCs w:val="24"/>
              </w:rPr>
              <w:t>Percent</w:t>
            </w:r>
          </w:p>
        </w:tc>
      </w:tr>
      <w:tr w:rsidR="0010232F" w:rsidRPr="004B329E" w14:paraId="535934AE" w14:textId="77777777" w:rsidTr="00FD1A59">
        <w:trPr>
          <w:cantSplit/>
          <w:trHeight w:val="272"/>
        </w:trPr>
        <w:tc>
          <w:tcPr>
            <w:tcW w:w="2253" w:type="dxa"/>
            <w:tcBorders>
              <w:top w:val="single" w:sz="4" w:space="0" w:color="auto"/>
            </w:tcBorders>
            <w:shd w:val="clear" w:color="auto" w:fill="FFFFFF"/>
          </w:tcPr>
          <w:p w14:paraId="561388A0"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Pancreas</w:t>
            </w:r>
          </w:p>
        </w:tc>
        <w:tc>
          <w:tcPr>
            <w:tcW w:w="1269" w:type="dxa"/>
            <w:tcBorders>
              <w:top w:val="single" w:sz="4" w:space="0" w:color="auto"/>
            </w:tcBorders>
            <w:shd w:val="clear" w:color="auto" w:fill="FFFFFF"/>
          </w:tcPr>
          <w:p w14:paraId="466D3692"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13</w:t>
            </w:r>
          </w:p>
        </w:tc>
        <w:tc>
          <w:tcPr>
            <w:tcW w:w="1384" w:type="dxa"/>
            <w:tcBorders>
              <w:top w:val="single" w:sz="4" w:space="0" w:color="auto"/>
            </w:tcBorders>
            <w:shd w:val="clear" w:color="auto" w:fill="FFFFFF"/>
          </w:tcPr>
          <w:p w14:paraId="66D34DB6" w14:textId="20284234"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16.3</w:t>
            </w:r>
          </w:p>
        </w:tc>
      </w:tr>
      <w:tr w:rsidR="0010232F" w:rsidRPr="004B329E" w14:paraId="2AB3883F" w14:textId="77777777" w:rsidTr="00FD1A59">
        <w:trPr>
          <w:cantSplit/>
          <w:trHeight w:val="260"/>
        </w:trPr>
        <w:tc>
          <w:tcPr>
            <w:tcW w:w="2253" w:type="dxa"/>
            <w:shd w:val="clear" w:color="auto" w:fill="FFFFFF"/>
          </w:tcPr>
          <w:p w14:paraId="2046D0D4"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Neck</w:t>
            </w:r>
          </w:p>
        </w:tc>
        <w:tc>
          <w:tcPr>
            <w:tcW w:w="1269" w:type="dxa"/>
            <w:shd w:val="clear" w:color="auto" w:fill="FFFFFF"/>
          </w:tcPr>
          <w:p w14:paraId="57C611C8"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14</w:t>
            </w:r>
          </w:p>
        </w:tc>
        <w:tc>
          <w:tcPr>
            <w:tcW w:w="1384" w:type="dxa"/>
            <w:shd w:val="clear" w:color="auto" w:fill="FFFFFF"/>
          </w:tcPr>
          <w:p w14:paraId="64A50B68" w14:textId="438089C0"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17.5</w:t>
            </w:r>
          </w:p>
        </w:tc>
      </w:tr>
      <w:tr w:rsidR="0010232F" w:rsidRPr="004B329E" w14:paraId="14934FB5" w14:textId="77777777" w:rsidTr="00FD1A59">
        <w:trPr>
          <w:cantSplit/>
          <w:trHeight w:val="272"/>
        </w:trPr>
        <w:tc>
          <w:tcPr>
            <w:tcW w:w="2253" w:type="dxa"/>
            <w:shd w:val="clear" w:color="auto" w:fill="FFFFFF"/>
          </w:tcPr>
          <w:p w14:paraId="447EAF34"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Liver</w:t>
            </w:r>
          </w:p>
        </w:tc>
        <w:tc>
          <w:tcPr>
            <w:tcW w:w="1269" w:type="dxa"/>
            <w:shd w:val="clear" w:color="auto" w:fill="FFFFFF"/>
          </w:tcPr>
          <w:p w14:paraId="4B144152"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6</w:t>
            </w:r>
          </w:p>
        </w:tc>
        <w:tc>
          <w:tcPr>
            <w:tcW w:w="1384" w:type="dxa"/>
            <w:shd w:val="clear" w:color="auto" w:fill="FFFFFF"/>
          </w:tcPr>
          <w:p w14:paraId="631AC20D" w14:textId="686CFC43"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7.5</w:t>
            </w:r>
          </w:p>
        </w:tc>
      </w:tr>
      <w:tr w:rsidR="0010232F" w:rsidRPr="004B329E" w14:paraId="709E5D25" w14:textId="77777777" w:rsidTr="00FD1A59">
        <w:trPr>
          <w:cantSplit/>
          <w:trHeight w:val="260"/>
        </w:trPr>
        <w:tc>
          <w:tcPr>
            <w:tcW w:w="2253" w:type="dxa"/>
            <w:shd w:val="clear" w:color="auto" w:fill="FFFFFF"/>
          </w:tcPr>
          <w:p w14:paraId="72658434"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Adrenal</w:t>
            </w:r>
          </w:p>
        </w:tc>
        <w:tc>
          <w:tcPr>
            <w:tcW w:w="1269" w:type="dxa"/>
            <w:shd w:val="clear" w:color="auto" w:fill="FFFFFF"/>
          </w:tcPr>
          <w:p w14:paraId="3B8DBA99"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7</w:t>
            </w:r>
          </w:p>
        </w:tc>
        <w:tc>
          <w:tcPr>
            <w:tcW w:w="1384" w:type="dxa"/>
            <w:shd w:val="clear" w:color="auto" w:fill="FFFFFF"/>
          </w:tcPr>
          <w:p w14:paraId="473C553A" w14:textId="38168695"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8.8</w:t>
            </w:r>
          </w:p>
        </w:tc>
      </w:tr>
      <w:tr w:rsidR="0010232F" w:rsidRPr="004B329E" w14:paraId="6D35D51E" w14:textId="77777777" w:rsidTr="00FD1A59">
        <w:trPr>
          <w:cantSplit/>
          <w:trHeight w:val="260"/>
        </w:trPr>
        <w:tc>
          <w:tcPr>
            <w:tcW w:w="2253" w:type="dxa"/>
            <w:shd w:val="clear" w:color="auto" w:fill="FFFFFF"/>
          </w:tcPr>
          <w:p w14:paraId="066854CC" w14:textId="07BC9CBE" w:rsidR="00EA738D" w:rsidRPr="004B329E" w:rsidRDefault="00DF6011"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Others</w:t>
            </w:r>
            <w:r w:rsidRPr="004B329E">
              <w:rPr>
                <w:rFonts w:ascii="Book Antiqua" w:hAnsi="Book Antiqua" w:cs="Times New Roman"/>
                <w:sz w:val="24"/>
                <w:szCs w:val="24"/>
                <w:vertAlign w:val="superscript"/>
              </w:rPr>
              <w:t>1</w:t>
            </w:r>
          </w:p>
        </w:tc>
        <w:tc>
          <w:tcPr>
            <w:tcW w:w="1269" w:type="dxa"/>
            <w:shd w:val="clear" w:color="auto" w:fill="FFFFFF"/>
          </w:tcPr>
          <w:p w14:paraId="6B89CF6D"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14</w:t>
            </w:r>
          </w:p>
        </w:tc>
        <w:tc>
          <w:tcPr>
            <w:tcW w:w="1384" w:type="dxa"/>
            <w:shd w:val="clear" w:color="auto" w:fill="FFFFFF"/>
          </w:tcPr>
          <w:p w14:paraId="20E78714" w14:textId="5335DFB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17.5</w:t>
            </w:r>
          </w:p>
        </w:tc>
      </w:tr>
      <w:tr w:rsidR="0010232F" w:rsidRPr="004B329E" w14:paraId="3FDEF7E0" w14:textId="77777777" w:rsidTr="00FD1A59">
        <w:trPr>
          <w:cantSplit/>
          <w:trHeight w:val="272"/>
        </w:trPr>
        <w:tc>
          <w:tcPr>
            <w:tcW w:w="2253" w:type="dxa"/>
            <w:shd w:val="clear" w:color="auto" w:fill="FFFFFF"/>
          </w:tcPr>
          <w:p w14:paraId="453DCB58" w14:textId="77777777"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Lung</w:t>
            </w:r>
          </w:p>
        </w:tc>
        <w:tc>
          <w:tcPr>
            <w:tcW w:w="1269" w:type="dxa"/>
            <w:shd w:val="clear" w:color="auto" w:fill="FFFFFF"/>
          </w:tcPr>
          <w:p w14:paraId="6EAEDB16" w14:textId="23A43502"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25</w:t>
            </w:r>
          </w:p>
        </w:tc>
        <w:tc>
          <w:tcPr>
            <w:tcW w:w="1384" w:type="dxa"/>
            <w:shd w:val="clear" w:color="auto" w:fill="FFFFFF"/>
          </w:tcPr>
          <w:p w14:paraId="4517DF51" w14:textId="5DA0F720" w:rsidR="00EA738D" w:rsidRPr="004B329E" w:rsidRDefault="00EA738D" w:rsidP="000675D7">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imes New Roman"/>
                <w:sz w:val="24"/>
                <w:szCs w:val="24"/>
              </w:rPr>
              <w:t>31.3</w:t>
            </w:r>
          </w:p>
        </w:tc>
      </w:tr>
    </w:tbl>
    <w:p w14:paraId="74411908" w14:textId="15313CD3" w:rsidR="00EA738D" w:rsidRPr="004B329E" w:rsidRDefault="00FD1A59" w:rsidP="00024176">
      <w:pPr>
        <w:autoSpaceDE w:val="0"/>
        <w:autoSpaceDN w:val="0"/>
        <w:adjustRightInd w:val="0"/>
        <w:spacing w:after="0" w:line="360" w:lineRule="auto"/>
        <w:jc w:val="both"/>
        <w:rPr>
          <w:rFonts w:ascii="Book Antiqua" w:hAnsi="Book Antiqua" w:cs="Times New Roman"/>
          <w:iCs/>
          <w:sz w:val="24"/>
          <w:szCs w:val="24"/>
        </w:rPr>
      </w:pPr>
      <w:r w:rsidRPr="004B329E">
        <w:rPr>
          <w:rFonts w:ascii="Book Antiqua" w:hAnsi="Book Antiqua" w:cs="Times New Roman"/>
          <w:iCs/>
          <w:sz w:val="24"/>
          <w:szCs w:val="24"/>
        </w:rPr>
        <w:t>Percentages of clear cell renal cell carcinoma metastases in different sites other than the thyroid</w:t>
      </w:r>
      <w:r w:rsidR="00024176" w:rsidRPr="004B329E">
        <w:rPr>
          <w:rFonts w:ascii="Book Antiqua" w:hAnsi="Book Antiqua" w:cs="Times New Roman"/>
          <w:iCs/>
          <w:sz w:val="24"/>
          <w:szCs w:val="24"/>
        </w:rPr>
        <w:t xml:space="preserve">. </w:t>
      </w:r>
      <w:r w:rsidR="00DF6011" w:rsidRPr="004B329E">
        <w:rPr>
          <w:rFonts w:ascii="Book Antiqua" w:hAnsi="Book Antiqua" w:cs="Times New Roman"/>
          <w:iCs/>
          <w:sz w:val="24"/>
          <w:szCs w:val="24"/>
          <w:vertAlign w:val="superscript"/>
        </w:rPr>
        <w:t>1</w:t>
      </w:r>
      <w:r w:rsidR="00EA738D" w:rsidRPr="004B329E">
        <w:rPr>
          <w:rFonts w:ascii="Book Antiqua" w:hAnsi="Book Antiqua" w:cs="Times New Roman"/>
          <w:iCs/>
          <w:sz w:val="24"/>
          <w:szCs w:val="24"/>
        </w:rPr>
        <w:t>including metastases in the bones, lymph nodes, exocrine glands, esophagus, intestine, subcutaneous, skeletal muscles</w:t>
      </w:r>
      <w:r w:rsidR="00024176" w:rsidRPr="004B329E">
        <w:rPr>
          <w:rFonts w:ascii="Book Antiqua" w:hAnsi="Book Antiqua" w:cs="Times New Roman"/>
          <w:iCs/>
          <w:sz w:val="24"/>
          <w:szCs w:val="24"/>
        </w:rPr>
        <w:t>.</w:t>
      </w:r>
    </w:p>
    <w:p w14:paraId="6FEC60A1" w14:textId="6C909018" w:rsidR="00024176" w:rsidRPr="004B329E" w:rsidRDefault="00024176">
      <w:pPr>
        <w:rPr>
          <w:rFonts w:ascii="Book Antiqua" w:hAnsi="Book Antiqua"/>
          <w:b/>
          <w:sz w:val="24"/>
          <w:szCs w:val="24"/>
        </w:rPr>
      </w:pPr>
      <w:r w:rsidRPr="004B329E">
        <w:rPr>
          <w:rFonts w:ascii="Book Antiqua" w:hAnsi="Book Antiqua"/>
          <w:b/>
          <w:sz w:val="24"/>
          <w:szCs w:val="24"/>
        </w:rPr>
        <w:br w:type="page"/>
      </w:r>
    </w:p>
    <w:p w14:paraId="7A7F82A0" w14:textId="050FBC46" w:rsidR="00024176" w:rsidRPr="004B329E" w:rsidRDefault="006618D7" w:rsidP="000675D7">
      <w:pPr>
        <w:spacing w:after="0" w:line="360" w:lineRule="auto"/>
        <w:jc w:val="both"/>
        <w:rPr>
          <w:rFonts w:ascii="Book Antiqua" w:hAnsi="Book Antiqua" w:cstheme="minorHAnsi"/>
          <w:b/>
          <w:sz w:val="24"/>
          <w:szCs w:val="24"/>
          <w:lang w:eastAsia="zh-CN"/>
        </w:rPr>
      </w:pPr>
      <w:r w:rsidRPr="004B329E">
        <w:rPr>
          <w:noProof/>
          <w:lang w:eastAsia="zh-CN"/>
        </w:rPr>
        <w:drawing>
          <wp:inline distT="0" distB="0" distL="0" distR="0" wp14:anchorId="47B67304" wp14:editId="3D673306">
            <wp:extent cx="5486400" cy="52673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5267325"/>
                    </a:xfrm>
                    <a:prstGeom prst="rect">
                      <a:avLst/>
                    </a:prstGeom>
                  </pic:spPr>
                </pic:pic>
              </a:graphicData>
            </a:graphic>
          </wp:inline>
        </w:drawing>
      </w:r>
    </w:p>
    <w:p w14:paraId="3B1D4D77" w14:textId="77777777" w:rsidR="006618D7" w:rsidRPr="004B329E" w:rsidRDefault="006618D7" w:rsidP="000675D7">
      <w:pPr>
        <w:spacing w:after="0" w:line="360" w:lineRule="auto"/>
        <w:jc w:val="both"/>
        <w:rPr>
          <w:rFonts w:ascii="Book Antiqua" w:hAnsi="Book Antiqua" w:cstheme="minorHAnsi"/>
          <w:b/>
          <w:sz w:val="24"/>
          <w:szCs w:val="24"/>
          <w:lang w:eastAsia="zh-CN"/>
        </w:rPr>
      </w:pPr>
    </w:p>
    <w:p w14:paraId="7D237BA6" w14:textId="3F59092B" w:rsidR="00024176" w:rsidRPr="004B329E" w:rsidRDefault="00292D93" w:rsidP="000675D7">
      <w:pPr>
        <w:spacing w:after="0" w:line="360" w:lineRule="auto"/>
        <w:jc w:val="both"/>
        <w:rPr>
          <w:rFonts w:ascii="Book Antiqua" w:hAnsi="Book Antiqua" w:cstheme="minorHAnsi"/>
          <w:b/>
          <w:sz w:val="24"/>
          <w:szCs w:val="24"/>
          <w:lang w:eastAsia="zh-CN"/>
        </w:rPr>
      </w:pPr>
      <w:r w:rsidRPr="004B329E">
        <w:rPr>
          <w:rFonts w:ascii="Book Antiqua" w:hAnsi="Book Antiqua" w:cstheme="minorHAnsi"/>
          <w:b/>
          <w:sz w:val="24"/>
          <w:szCs w:val="24"/>
        </w:rPr>
        <w:t>Figure</w:t>
      </w:r>
      <w:r w:rsidR="009014A5" w:rsidRPr="004B329E">
        <w:rPr>
          <w:rFonts w:ascii="Book Antiqua" w:hAnsi="Book Antiqua" w:cstheme="minorHAnsi"/>
          <w:b/>
          <w:sz w:val="24"/>
          <w:szCs w:val="24"/>
        </w:rPr>
        <w:t xml:space="preserve"> </w:t>
      </w:r>
      <w:r w:rsidRPr="004B329E">
        <w:rPr>
          <w:rFonts w:ascii="Book Antiqua" w:hAnsi="Book Antiqua" w:cstheme="minorHAnsi"/>
          <w:b/>
          <w:sz w:val="24"/>
          <w:szCs w:val="24"/>
        </w:rPr>
        <w:t xml:space="preserve">1 Systematic review design according to </w:t>
      </w:r>
      <w:r w:rsidR="00940CF6" w:rsidRPr="004B329E">
        <w:rPr>
          <w:rFonts w:ascii="Book Antiqua" w:hAnsi="Book Antiqua" w:cstheme="minorHAnsi"/>
          <w:b/>
          <w:sz w:val="24"/>
          <w:szCs w:val="24"/>
        </w:rPr>
        <w:t>preferred reporting items for systematic reviews and meta-analysis</w:t>
      </w:r>
      <w:r w:rsidRPr="004B329E">
        <w:rPr>
          <w:rFonts w:ascii="Book Antiqua" w:hAnsi="Book Antiqua" w:cstheme="minorHAnsi"/>
          <w:b/>
          <w:sz w:val="24"/>
          <w:szCs w:val="24"/>
        </w:rPr>
        <w:t xml:space="preserve"> criteria</w:t>
      </w:r>
      <w:r w:rsidR="00024176" w:rsidRPr="004B329E">
        <w:rPr>
          <w:rFonts w:ascii="Book Antiqua" w:hAnsi="Book Antiqua" w:cstheme="minorHAnsi" w:hint="eastAsia"/>
          <w:b/>
          <w:sz w:val="24"/>
          <w:szCs w:val="24"/>
          <w:lang w:eastAsia="zh-CN"/>
        </w:rPr>
        <w:t>.</w:t>
      </w:r>
    </w:p>
    <w:p w14:paraId="5B403D46" w14:textId="14386AA0" w:rsidR="00024176" w:rsidRPr="004B329E" w:rsidRDefault="00024176">
      <w:pPr>
        <w:rPr>
          <w:rFonts w:ascii="Book Antiqua" w:hAnsi="Book Antiqua"/>
          <w:b/>
          <w:sz w:val="24"/>
          <w:szCs w:val="24"/>
        </w:rPr>
      </w:pPr>
      <w:r w:rsidRPr="004B329E">
        <w:rPr>
          <w:rFonts w:ascii="Book Antiqua" w:hAnsi="Book Antiqua"/>
          <w:b/>
          <w:sz w:val="24"/>
          <w:szCs w:val="24"/>
        </w:rPr>
        <w:br w:type="page"/>
      </w:r>
    </w:p>
    <w:p w14:paraId="535F384B" w14:textId="77777777" w:rsidR="00024176" w:rsidRPr="004B329E" w:rsidRDefault="00024176" w:rsidP="000675D7">
      <w:pPr>
        <w:spacing w:after="0" w:line="360" w:lineRule="auto"/>
        <w:jc w:val="both"/>
        <w:rPr>
          <w:rFonts w:ascii="Book Antiqua" w:hAnsi="Book Antiqua"/>
          <w:b/>
          <w:sz w:val="24"/>
          <w:szCs w:val="24"/>
        </w:rPr>
      </w:pPr>
    </w:p>
    <w:p w14:paraId="02520D95" w14:textId="1FD42BC2" w:rsidR="00024176" w:rsidRPr="004B329E" w:rsidRDefault="00024176" w:rsidP="000675D7">
      <w:pPr>
        <w:spacing w:after="0" w:line="360" w:lineRule="auto"/>
        <w:jc w:val="both"/>
        <w:rPr>
          <w:rFonts w:ascii="Book Antiqua" w:hAnsi="Book Antiqua"/>
          <w:b/>
          <w:sz w:val="24"/>
          <w:szCs w:val="24"/>
        </w:rPr>
      </w:pPr>
      <w:r w:rsidRPr="004B329E">
        <w:rPr>
          <w:rFonts w:ascii="Book Antiqua" w:hAnsi="Book Antiqua"/>
          <w:b/>
          <w:noProof/>
          <w:sz w:val="24"/>
          <w:szCs w:val="24"/>
          <w:lang w:eastAsia="zh-CN"/>
        </w:rPr>
        <w:drawing>
          <wp:inline distT="0" distB="0" distL="0" distR="0" wp14:anchorId="299F6A6D" wp14:editId="62403158">
            <wp:extent cx="5943600" cy="30219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2.png"/>
                    <pic:cNvPicPr/>
                  </pic:nvPicPr>
                  <pic:blipFill>
                    <a:blip r:embed="rId11"/>
                    <a:stretch>
                      <a:fillRect/>
                    </a:stretch>
                  </pic:blipFill>
                  <pic:spPr>
                    <a:xfrm>
                      <a:off x="0" y="0"/>
                      <a:ext cx="5943600" cy="3021965"/>
                    </a:xfrm>
                    <a:prstGeom prst="rect">
                      <a:avLst/>
                    </a:prstGeom>
                  </pic:spPr>
                </pic:pic>
              </a:graphicData>
            </a:graphic>
          </wp:inline>
        </w:drawing>
      </w:r>
    </w:p>
    <w:p w14:paraId="05001006" w14:textId="340015D3" w:rsidR="00FB1471" w:rsidRPr="004B329E" w:rsidRDefault="00FB1471" w:rsidP="000675D7">
      <w:pPr>
        <w:spacing w:after="0" w:line="360" w:lineRule="auto"/>
        <w:jc w:val="both"/>
        <w:rPr>
          <w:rFonts w:ascii="Book Antiqua" w:hAnsi="Book Antiqua"/>
          <w:b/>
          <w:sz w:val="24"/>
          <w:szCs w:val="24"/>
        </w:rPr>
      </w:pPr>
      <w:r w:rsidRPr="004B329E">
        <w:rPr>
          <w:rFonts w:ascii="Book Antiqua" w:hAnsi="Book Antiqua"/>
          <w:b/>
          <w:sz w:val="24"/>
          <w:szCs w:val="24"/>
        </w:rPr>
        <w:t>Figure</w:t>
      </w:r>
      <w:r w:rsidR="00292D93" w:rsidRPr="004B329E">
        <w:rPr>
          <w:rFonts w:ascii="Book Antiqua" w:hAnsi="Book Antiqua"/>
          <w:b/>
          <w:sz w:val="24"/>
          <w:szCs w:val="24"/>
        </w:rPr>
        <w:t xml:space="preserve"> </w:t>
      </w:r>
      <w:r w:rsidRPr="004B329E">
        <w:rPr>
          <w:rFonts w:ascii="Book Antiqua" w:hAnsi="Book Antiqua"/>
          <w:b/>
          <w:sz w:val="24"/>
          <w:szCs w:val="24"/>
        </w:rPr>
        <w:t>2</w:t>
      </w:r>
      <w:r w:rsidR="00476078" w:rsidRPr="004B329E">
        <w:rPr>
          <w:rFonts w:ascii="Book Antiqua" w:hAnsi="Book Antiqua"/>
          <w:b/>
          <w:sz w:val="24"/>
          <w:szCs w:val="24"/>
        </w:rPr>
        <w:t xml:space="preserve"> Age distri</w:t>
      </w:r>
      <w:r w:rsidR="0045382A" w:rsidRPr="004B329E">
        <w:rPr>
          <w:rFonts w:ascii="Book Antiqua" w:hAnsi="Book Antiqua"/>
          <w:b/>
          <w:sz w:val="24"/>
          <w:szCs w:val="24"/>
        </w:rPr>
        <w:t>bution among patients with clear cell renal cell carcinoma</w:t>
      </w:r>
      <w:r w:rsidR="00476078" w:rsidRPr="004B329E">
        <w:rPr>
          <w:rFonts w:ascii="Book Antiqua" w:hAnsi="Book Antiqua"/>
          <w:b/>
          <w:sz w:val="24"/>
          <w:szCs w:val="24"/>
        </w:rPr>
        <w:t xml:space="preserve"> and thyroid metastases</w:t>
      </w:r>
      <w:r w:rsidR="00024176" w:rsidRPr="004B329E">
        <w:rPr>
          <w:rFonts w:ascii="Book Antiqua" w:hAnsi="Book Antiqua"/>
          <w:b/>
          <w:sz w:val="24"/>
          <w:szCs w:val="24"/>
        </w:rPr>
        <w:t>.</w:t>
      </w:r>
    </w:p>
    <w:p w14:paraId="6E737052" w14:textId="26848081" w:rsidR="000A6232" w:rsidRPr="004B329E" w:rsidRDefault="000A6232" w:rsidP="000675D7">
      <w:pPr>
        <w:spacing w:after="0" w:line="360" w:lineRule="auto"/>
        <w:jc w:val="both"/>
        <w:rPr>
          <w:rFonts w:ascii="Book Antiqua" w:hAnsi="Book Antiqua"/>
          <w:sz w:val="24"/>
          <w:szCs w:val="24"/>
        </w:rPr>
      </w:pPr>
    </w:p>
    <w:p w14:paraId="77410189" w14:textId="2164C950" w:rsidR="00024176" w:rsidRPr="004B329E" w:rsidRDefault="00024176">
      <w:pPr>
        <w:rPr>
          <w:rFonts w:ascii="Book Antiqua" w:hAnsi="Book Antiqua" w:cs="Times New Roman"/>
          <w:b/>
          <w:sz w:val="24"/>
          <w:szCs w:val="24"/>
        </w:rPr>
      </w:pPr>
      <w:r w:rsidRPr="004B329E">
        <w:rPr>
          <w:rFonts w:ascii="Book Antiqua" w:hAnsi="Book Antiqua" w:cs="Times New Roman"/>
          <w:b/>
          <w:sz w:val="24"/>
          <w:szCs w:val="24"/>
        </w:rPr>
        <w:br w:type="page"/>
      </w:r>
    </w:p>
    <w:p w14:paraId="328BC054" w14:textId="32CDF0DD" w:rsidR="006B255E" w:rsidRPr="004B329E" w:rsidRDefault="00024176" w:rsidP="000675D7">
      <w:pPr>
        <w:autoSpaceDE w:val="0"/>
        <w:autoSpaceDN w:val="0"/>
        <w:adjustRightInd w:val="0"/>
        <w:spacing w:after="0" w:line="360" w:lineRule="auto"/>
        <w:jc w:val="both"/>
        <w:rPr>
          <w:rFonts w:ascii="Book Antiqua" w:hAnsi="Book Antiqua" w:cs="Times New Roman"/>
          <w:b/>
          <w:sz w:val="24"/>
          <w:szCs w:val="24"/>
        </w:rPr>
      </w:pPr>
      <w:r w:rsidRPr="004B329E">
        <w:rPr>
          <w:rFonts w:ascii="Book Antiqua" w:hAnsi="Book Antiqua" w:cs="Times New Roman"/>
          <w:b/>
          <w:noProof/>
          <w:sz w:val="24"/>
          <w:szCs w:val="24"/>
          <w:lang w:eastAsia="zh-CN"/>
        </w:rPr>
        <w:drawing>
          <wp:inline distT="0" distB="0" distL="0" distR="0" wp14:anchorId="219E09EE" wp14:editId="5964E731">
            <wp:extent cx="5943600" cy="27800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3.png"/>
                    <pic:cNvPicPr/>
                  </pic:nvPicPr>
                  <pic:blipFill>
                    <a:blip r:embed="rId12"/>
                    <a:stretch>
                      <a:fillRect/>
                    </a:stretch>
                  </pic:blipFill>
                  <pic:spPr>
                    <a:xfrm>
                      <a:off x="0" y="0"/>
                      <a:ext cx="5943600" cy="2780030"/>
                    </a:xfrm>
                    <a:prstGeom prst="rect">
                      <a:avLst/>
                    </a:prstGeom>
                  </pic:spPr>
                </pic:pic>
              </a:graphicData>
            </a:graphic>
          </wp:inline>
        </w:drawing>
      </w:r>
    </w:p>
    <w:p w14:paraId="461D12C0" w14:textId="2B12F0AE" w:rsidR="00EA738D" w:rsidRPr="004B329E" w:rsidRDefault="00EA738D" w:rsidP="000675D7">
      <w:pPr>
        <w:spacing w:after="0" w:line="360" w:lineRule="auto"/>
        <w:jc w:val="both"/>
        <w:rPr>
          <w:rFonts w:ascii="Book Antiqua" w:hAnsi="Book Antiqua" w:cstheme="minorHAnsi"/>
          <w:b/>
          <w:sz w:val="24"/>
          <w:szCs w:val="24"/>
        </w:rPr>
      </w:pPr>
      <w:r w:rsidRPr="004B329E">
        <w:rPr>
          <w:rFonts w:ascii="Book Antiqua" w:hAnsi="Book Antiqua" w:cstheme="minorHAnsi"/>
          <w:b/>
          <w:sz w:val="24"/>
          <w:szCs w:val="24"/>
        </w:rPr>
        <w:t>Figure 3</w:t>
      </w:r>
      <w:r w:rsidR="00024176" w:rsidRPr="004B329E">
        <w:rPr>
          <w:rFonts w:ascii="Book Antiqua" w:hAnsi="Book Antiqua" w:cstheme="minorHAnsi"/>
          <w:b/>
          <w:sz w:val="24"/>
          <w:szCs w:val="24"/>
        </w:rPr>
        <w:t xml:space="preserve"> </w:t>
      </w:r>
      <w:r w:rsidRPr="004B329E">
        <w:rPr>
          <w:rFonts w:ascii="Book Antiqua" w:hAnsi="Book Antiqua" w:cstheme="minorHAnsi"/>
          <w:b/>
          <w:sz w:val="24"/>
          <w:szCs w:val="24"/>
        </w:rPr>
        <w:t>Association of thyroid metastatic lesi</w:t>
      </w:r>
      <w:r w:rsidR="0045382A" w:rsidRPr="004B329E">
        <w:rPr>
          <w:rFonts w:ascii="Book Antiqua" w:hAnsi="Book Antiqua" w:cstheme="minorHAnsi"/>
          <w:b/>
          <w:sz w:val="24"/>
          <w:szCs w:val="24"/>
        </w:rPr>
        <w:t>on size with lag time from clear cell renal cell carcinoma</w:t>
      </w:r>
      <w:r w:rsidRPr="004B329E">
        <w:rPr>
          <w:rFonts w:ascii="Book Antiqua" w:hAnsi="Book Antiqua" w:cstheme="minorHAnsi"/>
          <w:b/>
          <w:sz w:val="24"/>
          <w:szCs w:val="24"/>
        </w:rPr>
        <w:t xml:space="preserve"> diagnosis to diagnosis of thyroid metastasis (</w:t>
      </w:r>
      <w:r w:rsidRPr="004B329E">
        <w:rPr>
          <w:rFonts w:ascii="Book Antiqua" w:hAnsi="Book Antiqua" w:cstheme="minorHAnsi"/>
          <w:b/>
          <w:i/>
          <w:iCs/>
          <w:sz w:val="24"/>
          <w:szCs w:val="24"/>
        </w:rPr>
        <w:t>r</w:t>
      </w:r>
      <w:r w:rsidRPr="004B329E">
        <w:rPr>
          <w:rFonts w:ascii="Book Antiqua" w:hAnsi="Book Antiqua" w:cstheme="minorHAnsi"/>
          <w:b/>
          <w:sz w:val="24"/>
          <w:szCs w:val="24"/>
        </w:rPr>
        <w:t xml:space="preserve"> = 0.143, </w:t>
      </w:r>
      <w:r w:rsidRPr="004B329E">
        <w:rPr>
          <w:rFonts w:ascii="Book Antiqua" w:hAnsi="Book Antiqua" w:cstheme="minorHAnsi"/>
          <w:b/>
          <w:i/>
          <w:iCs/>
          <w:caps/>
          <w:sz w:val="24"/>
          <w:szCs w:val="24"/>
        </w:rPr>
        <w:t>p</w:t>
      </w:r>
      <w:r w:rsidR="00024176" w:rsidRPr="004B329E">
        <w:rPr>
          <w:rFonts w:ascii="Book Antiqua" w:hAnsi="Book Antiqua" w:cstheme="minorHAnsi"/>
          <w:b/>
          <w:sz w:val="24"/>
          <w:szCs w:val="24"/>
        </w:rPr>
        <w:t xml:space="preserve"> </w:t>
      </w:r>
      <w:r w:rsidRPr="004B329E">
        <w:rPr>
          <w:rFonts w:ascii="Book Antiqua" w:hAnsi="Book Antiqua" w:cstheme="minorHAnsi"/>
          <w:b/>
          <w:sz w:val="24"/>
          <w:szCs w:val="24"/>
        </w:rPr>
        <w:t>=</w:t>
      </w:r>
      <w:r w:rsidR="00024176" w:rsidRPr="004B329E">
        <w:rPr>
          <w:rFonts w:ascii="Book Antiqua" w:hAnsi="Book Antiqua" w:cstheme="minorHAnsi"/>
          <w:b/>
          <w:sz w:val="24"/>
          <w:szCs w:val="24"/>
        </w:rPr>
        <w:t xml:space="preserve"> </w:t>
      </w:r>
      <w:r w:rsidRPr="004B329E">
        <w:rPr>
          <w:rFonts w:ascii="Book Antiqua" w:hAnsi="Book Antiqua" w:cstheme="minorHAnsi"/>
          <w:b/>
          <w:sz w:val="24"/>
          <w:szCs w:val="24"/>
        </w:rPr>
        <w:t>0.1)</w:t>
      </w:r>
      <w:r w:rsidR="00024176" w:rsidRPr="004B329E">
        <w:rPr>
          <w:rFonts w:ascii="Book Antiqua" w:hAnsi="Book Antiqua" w:cstheme="minorHAnsi"/>
          <w:b/>
          <w:sz w:val="24"/>
          <w:szCs w:val="24"/>
        </w:rPr>
        <w:t>.</w:t>
      </w:r>
    </w:p>
    <w:p w14:paraId="3D7306F3" w14:textId="77777777" w:rsidR="00024176" w:rsidRPr="004B329E" w:rsidRDefault="00024176">
      <w:pPr>
        <w:rPr>
          <w:rFonts w:ascii="Book Antiqua" w:hAnsi="Book Antiqua"/>
          <w:sz w:val="24"/>
          <w:szCs w:val="24"/>
        </w:rPr>
      </w:pPr>
      <w:r w:rsidRPr="004B329E">
        <w:rPr>
          <w:rFonts w:ascii="Book Antiqua" w:hAnsi="Book Antiqua"/>
          <w:sz w:val="24"/>
          <w:szCs w:val="24"/>
        </w:rPr>
        <w:br w:type="page"/>
      </w:r>
    </w:p>
    <w:p w14:paraId="5FD2A9ED" w14:textId="1AADAA9F" w:rsidR="00024176" w:rsidRPr="004B329E" w:rsidRDefault="00024176" w:rsidP="000675D7">
      <w:pPr>
        <w:spacing w:after="0" w:line="360" w:lineRule="auto"/>
        <w:jc w:val="both"/>
        <w:rPr>
          <w:rFonts w:ascii="Book Antiqua" w:hAnsi="Book Antiqua"/>
          <w:b/>
          <w:sz w:val="24"/>
          <w:szCs w:val="24"/>
        </w:rPr>
      </w:pPr>
      <w:r w:rsidRPr="004B329E">
        <w:rPr>
          <w:rFonts w:ascii="Book Antiqua" w:hAnsi="Book Antiqua"/>
          <w:b/>
          <w:noProof/>
          <w:sz w:val="24"/>
          <w:szCs w:val="24"/>
          <w:lang w:eastAsia="zh-CN"/>
        </w:rPr>
        <w:drawing>
          <wp:inline distT="0" distB="0" distL="0" distR="0" wp14:anchorId="13775322" wp14:editId="6C3DB134">
            <wp:extent cx="5943600" cy="2852420"/>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4.png"/>
                    <pic:cNvPicPr/>
                  </pic:nvPicPr>
                  <pic:blipFill>
                    <a:blip r:embed="rId13"/>
                    <a:stretch>
                      <a:fillRect/>
                    </a:stretch>
                  </pic:blipFill>
                  <pic:spPr>
                    <a:xfrm>
                      <a:off x="0" y="0"/>
                      <a:ext cx="5943600" cy="2852420"/>
                    </a:xfrm>
                    <a:prstGeom prst="rect">
                      <a:avLst/>
                    </a:prstGeom>
                  </pic:spPr>
                </pic:pic>
              </a:graphicData>
            </a:graphic>
          </wp:inline>
        </w:drawing>
      </w:r>
    </w:p>
    <w:p w14:paraId="737A2242" w14:textId="341808A5" w:rsidR="002E77A8" w:rsidRPr="004B329E" w:rsidRDefault="00EA738D" w:rsidP="002E77A8">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b/>
          <w:sz w:val="24"/>
          <w:szCs w:val="24"/>
        </w:rPr>
        <w:t xml:space="preserve">Figure 4 </w:t>
      </w:r>
      <w:r w:rsidR="0045382A" w:rsidRPr="004B329E">
        <w:rPr>
          <w:rFonts w:ascii="Book Antiqua" w:hAnsi="Book Antiqua"/>
          <w:b/>
          <w:sz w:val="24"/>
          <w:szCs w:val="24"/>
        </w:rPr>
        <w:t>Mean tumor size in clear cell renal cell carcinoma</w:t>
      </w:r>
      <w:r w:rsidRPr="004B329E">
        <w:rPr>
          <w:rFonts w:ascii="Book Antiqua" w:hAnsi="Book Antiqua"/>
          <w:b/>
          <w:sz w:val="24"/>
          <w:szCs w:val="24"/>
        </w:rPr>
        <w:t xml:space="preserve"> patients with thyroid metastases depending on their presenting symptoms.</w:t>
      </w:r>
      <w:r w:rsidR="002E77A8" w:rsidRPr="004B329E">
        <w:rPr>
          <w:rFonts w:ascii="Book Antiqua" w:hAnsi="Book Antiqua" w:cs="Times New Roman"/>
          <w:sz w:val="24"/>
          <w:szCs w:val="24"/>
        </w:rPr>
        <w:t xml:space="preserve"> </w:t>
      </w:r>
    </w:p>
    <w:p w14:paraId="504C5EA1" w14:textId="65D69C4E" w:rsidR="00EA738D" w:rsidRPr="004B329E" w:rsidRDefault="00EA738D" w:rsidP="000675D7">
      <w:pPr>
        <w:spacing w:after="0" w:line="360" w:lineRule="auto"/>
        <w:jc w:val="both"/>
        <w:rPr>
          <w:rFonts w:ascii="Book Antiqua" w:hAnsi="Book Antiqua"/>
          <w:b/>
          <w:sz w:val="24"/>
          <w:szCs w:val="24"/>
        </w:rPr>
      </w:pPr>
    </w:p>
    <w:p w14:paraId="2A76A8C1" w14:textId="1B4FB69B" w:rsidR="00024176" w:rsidRPr="004B329E" w:rsidRDefault="00024176">
      <w:pPr>
        <w:rPr>
          <w:rFonts w:ascii="Book Antiqua" w:hAnsi="Book Antiqua"/>
          <w:sz w:val="24"/>
          <w:szCs w:val="24"/>
        </w:rPr>
      </w:pPr>
      <w:r w:rsidRPr="004B329E">
        <w:rPr>
          <w:rFonts w:ascii="Book Antiqua" w:hAnsi="Book Antiqua"/>
          <w:sz w:val="24"/>
          <w:szCs w:val="24"/>
        </w:rPr>
        <w:br w:type="page"/>
      </w:r>
    </w:p>
    <w:p w14:paraId="5C1D1D8A" w14:textId="04FEB526" w:rsidR="00EA738D" w:rsidRPr="004B329E" w:rsidRDefault="00024176" w:rsidP="000675D7">
      <w:pPr>
        <w:spacing w:after="0" w:line="360" w:lineRule="auto"/>
        <w:jc w:val="both"/>
        <w:rPr>
          <w:rFonts w:ascii="Book Antiqua" w:hAnsi="Book Antiqua"/>
          <w:sz w:val="24"/>
          <w:szCs w:val="24"/>
        </w:rPr>
      </w:pPr>
      <w:r w:rsidRPr="004B329E">
        <w:rPr>
          <w:rFonts w:ascii="Book Antiqua" w:hAnsi="Book Antiqua"/>
          <w:noProof/>
          <w:sz w:val="24"/>
          <w:szCs w:val="24"/>
          <w:lang w:eastAsia="zh-CN"/>
        </w:rPr>
        <w:drawing>
          <wp:inline distT="0" distB="0" distL="0" distR="0" wp14:anchorId="3A7828AE" wp14:editId="2F50417F">
            <wp:extent cx="5943600" cy="295465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5.png"/>
                    <pic:cNvPicPr/>
                  </pic:nvPicPr>
                  <pic:blipFill>
                    <a:blip r:embed="rId14"/>
                    <a:stretch>
                      <a:fillRect/>
                    </a:stretch>
                  </pic:blipFill>
                  <pic:spPr>
                    <a:xfrm>
                      <a:off x="0" y="0"/>
                      <a:ext cx="5943600" cy="2954655"/>
                    </a:xfrm>
                    <a:prstGeom prst="rect">
                      <a:avLst/>
                    </a:prstGeom>
                  </pic:spPr>
                </pic:pic>
              </a:graphicData>
            </a:graphic>
          </wp:inline>
        </w:drawing>
      </w:r>
    </w:p>
    <w:p w14:paraId="19106CCC" w14:textId="3ACF5F79" w:rsidR="002E77A8" w:rsidRPr="004B329E" w:rsidRDefault="00EA738D" w:rsidP="002E77A8">
      <w:pPr>
        <w:autoSpaceDE w:val="0"/>
        <w:autoSpaceDN w:val="0"/>
        <w:adjustRightInd w:val="0"/>
        <w:spacing w:after="0" w:line="360" w:lineRule="auto"/>
        <w:jc w:val="both"/>
        <w:rPr>
          <w:rFonts w:ascii="Book Antiqua" w:hAnsi="Book Antiqua" w:cs="Times New Roman"/>
          <w:sz w:val="24"/>
          <w:szCs w:val="24"/>
        </w:rPr>
      </w:pPr>
      <w:r w:rsidRPr="004B329E">
        <w:rPr>
          <w:rFonts w:ascii="Book Antiqua" w:hAnsi="Book Antiqua" w:cstheme="minorHAnsi"/>
          <w:b/>
          <w:sz w:val="24"/>
          <w:szCs w:val="24"/>
        </w:rPr>
        <w:t xml:space="preserve">Figure 5 </w:t>
      </w:r>
      <w:r w:rsidRPr="004B329E">
        <w:rPr>
          <w:rFonts w:ascii="Book Antiqua" w:hAnsi="Book Antiqua" w:cstheme="minorHAnsi"/>
          <w:b/>
          <w:iCs/>
          <w:sz w:val="24"/>
          <w:szCs w:val="24"/>
        </w:rPr>
        <w:t>Diagnostic modality used for the diagnosis of thyroid metastasis in the studied population</w:t>
      </w:r>
      <w:r w:rsidR="00024176" w:rsidRPr="004B329E">
        <w:rPr>
          <w:rFonts w:ascii="Book Antiqua" w:hAnsi="Book Antiqua" w:cstheme="minorHAnsi"/>
          <w:b/>
          <w:iCs/>
          <w:sz w:val="24"/>
          <w:szCs w:val="24"/>
        </w:rPr>
        <w:t>.</w:t>
      </w:r>
      <w:r w:rsidR="002E77A8" w:rsidRPr="004B329E">
        <w:rPr>
          <w:rFonts w:ascii="Book Antiqua" w:hAnsi="Book Antiqua" w:cs="Times New Roman"/>
          <w:sz w:val="24"/>
          <w:szCs w:val="24"/>
        </w:rPr>
        <w:t xml:space="preserve"> US: Ultrasound; CT: Computed tomography; PET: Positron emission tomography scan; FNA: Fine needle aspiration.</w:t>
      </w:r>
    </w:p>
    <w:p w14:paraId="11D692F4" w14:textId="4F2A8CB6" w:rsidR="00EA738D" w:rsidRPr="004B329E" w:rsidRDefault="00EA738D" w:rsidP="000675D7">
      <w:pPr>
        <w:spacing w:after="0" w:line="360" w:lineRule="auto"/>
        <w:jc w:val="both"/>
        <w:rPr>
          <w:rFonts w:ascii="Book Antiqua" w:hAnsi="Book Antiqua" w:cstheme="minorHAnsi"/>
          <w:b/>
          <w:iCs/>
          <w:sz w:val="24"/>
          <w:szCs w:val="24"/>
        </w:rPr>
      </w:pPr>
    </w:p>
    <w:p w14:paraId="63BC504B" w14:textId="52A87129" w:rsidR="00024176" w:rsidRPr="004B329E" w:rsidRDefault="00024176">
      <w:pPr>
        <w:rPr>
          <w:rFonts w:ascii="Book Antiqua" w:hAnsi="Book Antiqua"/>
          <w:sz w:val="24"/>
          <w:szCs w:val="24"/>
        </w:rPr>
      </w:pPr>
      <w:r w:rsidRPr="004B329E">
        <w:rPr>
          <w:rFonts w:ascii="Book Antiqua" w:hAnsi="Book Antiqua"/>
          <w:sz w:val="24"/>
          <w:szCs w:val="24"/>
        </w:rPr>
        <w:br w:type="page"/>
      </w:r>
    </w:p>
    <w:p w14:paraId="230A0B10" w14:textId="0D244D05" w:rsidR="00024176" w:rsidRPr="004B329E" w:rsidRDefault="00024176" w:rsidP="000675D7">
      <w:pPr>
        <w:autoSpaceDE w:val="0"/>
        <w:autoSpaceDN w:val="0"/>
        <w:adjustRightInd w:val="0"/>
        <w:spacing w:after="0" w:line="360" w:lineRule="auto"/>
        <w:jc w:val="both"/>
        <w:rPr>
          <w:rFonts w:ascii="Book Antiqua" w:hAnsi="Book Antiqua"/>
          <w:sz w:val="24"/>
          <w:szCs w:val="24"/>
        </w:rPr>
      </w:pPr>
      <w:r w:rsidRPr="004B329E">
        <w:rPr>
          <w:rFonts w:ascii="Book Antiqua" w:hAnsi="Book Antiqua"/>
          <w:noProof/>
          <w:sz w:val="24"/>
          <w:szCs w:val="24"/>
          <w:lang w:eastAsia="zh-CN"/>
        </w:rPr>
        <w:drawing>
          <wp:inline distT="0" distB="0" distL="0" distR="0" wp14:anchorId="44AB82FF" wp14:editId="4744DE81">
            <wp:extent cx="5943600" cy="263271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6.png"/>
                    <pic:cNvPicPr/>
                  </pic:nvPicPr>
                  <pic:blipFill>
                    <a:blip r:embed="rId15"/>
                    <a:stretch>
                      <a:fillRect/>
                    </a:stretch>
                  </pic:blipFill>
                  <pic:spPr>
                    <a:xfrm>
                      <a:off x="0" y="0"/>
                      <a:ext cx="5943600" cy="2632710"/>
                    </a:xfrm>
                    <a:prstGeom prst="rect">
                      <a:avLst/>
                    </a:prstGeom>
                  </pic:spPr>
                </pic:pic>
              </a:graphicData>
            </a:graphic>
          </wp:inline>
        </w:drawing>
      </w:r>
    </w:p>
    <w:p w14:paraId="218DFD6B" w14:textId="1CE394E0" w:rsidR="00A95FB5" w:rsidRPr="004B329E" w:rsidRDefault="00A95FB5" w:rsidP="00024176">
      <w:pPr>
        <w:autoSpaceDE w:val="0"/>
        <w:autoSpaceDN w:val="0"/>
        <w:adjustRightInd w:val="0"/>
        <w:spacing w:after="0" w:line="360" w:lineRule="auto"/>
        <w:jc w:val="both"/>
        <w:rPr>
          <w:rFonts w:ascii="Book Antiqua" w:hAnsi="Book Antiqua" w:cstheme="minorHAnsi"/>
          <w:b/>
          <w:iCs/>
          <w:sz w:val="24"/>
          <w:szCs w:val="24"/>
        </w:rPr>
      </w:pPr>
      <w:r w:rsidRPr="004B329E">
        <w:rPr>
          <w:rFonts w:ascii="Book Antiqua" w:hAnsi="Book Antiqua" w:cstheme="minorHAnsi"/>
          <w:b/>
          <w:sz w:val="24"/>
          <w:szCs w:val="24"/>
        </w:rPr>
        <w:t xml:space="preserve">Figure </w:t>
      </w:r>
      <w:r w:rsidR="007D0AAA" w:rsidRPr="004B329E">
        <w:rPr>
          <w:rFonts w:ascii="Book Antiqua" w:hAnsi="Book Antiqua" w:cstheme="minorHAnsi"/>
          <w:b/>
          <w:sz w:val="24"/>
          <w:szCs w:val="24"/>
        </w:rPr>
        <w:t>6</w:t>
      </w:r>
      <w:r w:rsidRPr="004B329E">
        <w:rPr>
          <w:rFonts w:ascii="Book Antiqua" w:hAnsi="Book Antiqua" w:cstheme="minorHAnsi"/>
          <w:b/>
          <w:sz w:val="24"/>
          <w:szCs w:val="24"/>
        </w:rPr>
        <w:t xml:space="preserve"> </w:t>
      </w:r>
      <w:r w:rsidRPr="004B329E">
        <w:rPr>
          <w:rFonts w:ascii="Book Antiqua" w:hAnsi="Book Antiqua" w:cstheme="minorHAnsi"/>
          <w:b/>
          <w:iCs/>
          <w:sz w:val="24"/>
          <w:szCs w:val="24"/>
        </w:rPr>
        <w:t>Treatment modalities used</w:t>
      </w:r>
      <w:r w:rsidR="0045382A" w:rsidRPr="004B329E">
        <w:rPr>
          <w:rFonts w:ascii="Book Antiqua" w:hAnsi="Book Antiqua" w:cstheme="minorHAnsi"/>
          <w:b/>
          <w:iCs/>
          <w:sz w:val="24"/>
          <w:szCs w:val="24"/>
        </w:rPr>
        <w:t xml:space="preserve"> for thyroid metastases in clear cell renal cell carcinoma</w:t>
      </w:r>
      <w:r w:rsidRPr="004B329E">
        <w:rPr>
          <w:rFonts w:ascii="Book Antiqua" w:hAnsi="Book Antiqua" w:cstheme="minorHAnsi"/>
          <w:b/>
          <w:iCs/>
          <w:sz w:val="24"/>
          <w:szCs w:val="24"/>
        </w:rPr>
        <w:t xml:space="preserve"> patients in the studies population</w:t>
      </w:r>
      <w:r w:rsidR="00024176" w:rsidRPr="004B329E">
        <w:rPr>
          <w:rFonts w:ascii="Book Antiqua" w:hAnsi="Book Antiqua" w:cstheme="minorHAnsi"/>
          <w:b/>
          <w:iCs/>
          <w:sz w:val="24"/>
          <w:szCs w:val="24"/>
        </w:rPr>
        <w:t>.</w:t>
      </w:r>
      <w:r w:rsidR="00024176" w:rsidRPr="004B329E">
        <w:rPr>
          <w:rFonts w:ascii="Book Antiqua" w:hAnsi="Book Antiqua" w:cstheme="minorHAnsi" w:hint="eastAsia"/>
          <w:b/>
          <w:iCs/>
          <w:sz w:val="24"/>
          <w:szCs w:val="24"/>
          <w:lang w:eastAsia="zh-CN"/>
        </w:rPr>
        <w:t xml:space="preserve"> </w:t>
      </w:r>
      <w:r w:rsidRPr="004B329E">
        <w:rPr>
          <w:rFonts w:ascii="Book Antiqua" w:hAnsi="Book Antiqua"/>
          <w:iCs/>
          <w:sz w:val="24"/>
          <w:szCs w:val="24"/>
        </w:rPr>
        <w:t>Systemic therapy included Interferon-a, tyrosine kinase inhibitors, vascular endothelial growth factor inhibitors, alkylating agent (capacitance), interlukin-2, unidentified chemotherapy</w:t>
      </w:r>
      <w:r w:rsidR="00024176" w:rsidRPr="004B329E">
        <w:rPr>
          <w:rFonts w:ascii="Book Antiqua" w:hAnsi="Book Antiqua"/>
          <w:iCs/>
          <w:sz w:val="24"/>
          <w:szCs w:val="24"/>
        </w:rPr>
        <w:t>.</w:t>
      </w:r>
    </w:p>
    <w:p w14:paraId="4DF40EEC" w14:textId="27B404F1" w:rsidR="00024176" w:rsidRPr="004B329E" w:rsidRDefault="00024176">
      <w:pPr>
        <w:rPr>
          <w:rFonts w:ascii="Book Antiqua" w:hAnsi="Book Antiqua"/>
          <w:sz w:val="24"/>
          <w:szCs w:val="24"/>
        </w:rPr>
      </w:pPr>
      <w:r w:rsidRPr="004B329E">
        <w:rPr>
          <w:rFonts w:ascii="Book Antiqua" w:hAnsi="Book Antiqua"/>
          <w:sz w:val="24"/>
          <w:szCs w:val="24"/>
        </w:rPr>
        <w:br w:type="page"/>
      </w:r>
    </w:p>
    <w:p w14:paraId="7C242B46" w14:textId="341A2750" w:rsidR="00216C38" w:rsidRPr="004B329E" w:rsidRDefault="00AC794B" w:rsidP="000675D7">
      <w:pPr>
        <w:spacing w:after="0" w:line="360" w:lineRule="auto"/>
        <w:jc w:val="both"/>
        <w:rPr>
          <w:rFonts w:ascii="Book Antiqua" w:hAnsi="Book Antiqua"/>
          <w:b/>
          <w:sz w:val="24"/>
          <w:szCs w:val="24"/>
        </w:rPr>
      </w:pPr>
      <w:r w:rsidRPr="004B329E">
        <w:rPr>
          <w:rFonts w:ascii="Book Antiqua" w:eastAsia="Arial Unicode MS" w:hAnsi="Book Antiqua" w:cs="Arial Unicode MS"/>
          <w:b/>
          <w:noProof/>
          <w:sz w:val="24"/>
          <w:szCs w:val="24"/>
          <w:lang w:eastAsia="zh-CN"/>
        </w:rPr>
        <mc:AlternateContent>
          <mc:Choice Requires="wps">
            <w:drawing>
              <wp:anchor distT="0" distB="0" distL="114300" distR="114300" simplePos="0" relativeHeight="251507200" behindDoc="0" locked="0" layoutInCell="1" allowOverlap="1" wp14:anchorId="67FB7159" wp14:editId="343852C0">
                <wp:simplePos x="0" y="0"/>
                <wp:positionH relativeFrom="column">
                  <wp:posOffset>2476500</wp:posOffset>
                </wp:positionH>
                <wp:positionV relativeFrom="paragraph">
                  <wp:posOffset>1111250</wp:posOffset>
                </wp:positionV>
                <wp:extent cx="40957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095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0A976" w14:textId="77777777" w:rsidR="00884A76" w:rsidRDefault="00884A7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7FB7159" id="_x0000_t202" coordsize="21600,21600" o:spt="202" path="m,l,21600r21600,l21600,xe">
                <v:stroke joinstyle="miter"/>
                <v:path gradientshapeok="t" o:connecttype="rect"/>
              </v:shapetype>
              <v:shape id="Text Box 7" o:spid="_x0000_s1026" type="#_x0000_t202" style="position:absolute;left:0;text-align:left;margin-left:195pt;margin-top:87.5pt;width:32.25pt;height:24.75pt;z-index:2515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" filled="f" stroked="f" strokeweight=".5pt">
                <v:textbox>
                  <w:txbxContent>
                    <w:p w14:paraId="5380A976" w14:textId="77777777" w:rsidR="00884A76" w:rsidRDefault="00884A76">
                      <w:r>
                        <w:t>B</w:t>
                      </w:r>
                    </w:p>
                  </w:txbxContent>
                </v:textbox>
              </v:shape>
            </w:pict>
          </mc:Fallback>
        </mc:AlternateContent>
      </w:r>
      <w:r w:rsidRPr="004B329E">
        <w:rPr>
          <w:rFonts w:ascii="Book Antiqua" w:eastAsia="Arial Unicode MS" w:hAnsi="Book Antiqua" w:cs="Arial Unicode MS"/>
          <w:b/>
          <w:noProof/>
          <w:sz w:val="24"/>
          <w:szCs w:val="24"/>
          <w:lang w:eastAsia="zh-CN"/>
        </w:rPr>
        <mc:AlternateContent>
          <mc:Choice Requires="wps">
            <w:drawing>
              <wp:anchor distT="0" distB="0" distL="114300" distR="114300" simplePos="0" relativeHeight="251491840" behindDoc="0" locked="0" layoutInCell="1" allowOverlap="1" wp14:anchorId="6FCB6D68" wp14:editId="6A3130EE">
                <wp:simplePos x="0" y="0"/>
                <wp:positionH relativeFrom="column">
                  <wp:posOffset>38100</wp:posOffset>
                </wp:positionH>
                <wp:positionV relativeFrom="paragraph">
                  <wp:posOffset>1111250</wp:posOffset>
                </wp:positionV>
                <wp:extent cx="33337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333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B1C4FF" w14:textId="77777777" w:rsidR="00884A76" w:rsidRDefault="00884A7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CB6D68" id="Text Box 5" o:spid="_x0000_s1027" type="#_x0000_t202" style="position:absolute;left:0;text-align:left;margin-left:3pt;margin-top:87.5pt;width:26.25pt;height:24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" filled="f" stroked="f" strokeweight=".5pt">
                <v:textbox>
                  <w:txbxContent>
                    <w:p w14:paraId="21B1C4FF" w14:textId="77777777" w:rsidR="00884A76" w:rsidRDefault="00884A76">
                      <w:r>
                        <w:t>A</w:t>
                      </w:r>
                    </w:p>
                  </w:txbxContent>
                </v:textbox>
              </v:shape>
            </w:pict>
          </mc:Fallback>
        </mc:AlternateContent>
      </w:r>
      <w:r w:rsidR="00024176" w:rsidRPr="004B329E">
        <w:rPr>
          <w:rFonts w:ascii="Book Antiqua" w:hAnsi="Book Antiqua"/>
          <w:b/>
          <w:noProof/>
          <w:sz w:val="24"/>
          <w:szCs w:val="24"/>
          <w:lang w:eastAsia="zh-CN"/>
        </w:rPr>
        <w:drawing>
          <wp:inline distT="0" distB="0" distL="0" distR="0" wp14:anchorId="6A6302A6" wp14:editId="6B9816D9">
            <wp:extent cx="5943600" cy="1694180"/>
            <wp:effectExtent l="0" t="0" r="0"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7.png"/>
                    <pic:cNvPicPr/>
                  </pic:nvPicPr>
                  <pic:blipFill>
                    <a:blip r:embed="rId16"/>
                    <a:stretch>
                      <a:fillRect/>
                    </a:stretch>
                  </pic:blipFill>
                  <pic:spPr>
                    <a:xfrm>
                      <a:off x="0" y="0"/>
                      <a:ext cx="5943600" cy="1694180"/>
                    </a:xfrm>
                    <a:prstGeom prst="rect">
                      <a:avLst/>
                    </a:prstGeom>
                  </pic:spPr>
                </pic:pic>
              </a:graphicData>
            </a:graphic>
          </wp:inline>
        </w:drawing>
      </w:r>
    </w:p>
    <w:p w14:paraId="2F019461" w14:textId="513A42FB" w:rsidR="00CA2897" w:rsidRPr="004B329E" w:rsidRDefault="00024176" w:rsidP="00D1779C">
      <w:pPr>
        <w:spacing w:after="0" w:line="360" w:lineRule="auto"/>
        <w:jc w:val="both"/>
        <w:rPr>
          <w:rFonts w:ascii="Book Antiqua" w:hAnsi="Book Antiqua"/>
          <w:b/>
          <w:sz w:val="24"/>
          <w:szCs w:val="24"/>
        </w:rPr>
      </w:pPr>
      <w:r w:rsidRPr="004B329E">
        <w:rPr>
          <w:rFonts w:ascii="Book Antiqua" w:hAnsi="Book Antiqua"/>
          <w:b/>
          <w:sz w:val="24"/>
          <w:szCs w:val="24"/>
        </w:rPr>
        <w:t>Figure 7</w:t>
      </w:r>
      <w:r w:rsidRPr="004B329E">
        <w:rPr>
          <w:rFonts w:ascii="Book Antiqua" w:hAnsi="Book Antiqua" w:hint="eastAsia"/>
          <w:b/>
          <w:sz w:val="24"/>
          <w:szCs w:val="24"/>
          <w:lang w:eastAsia="zh-CN"/>
        </w:rPr>
        <w:t xml:space="preserve"> </w:t>
      </w:r>
      <w:r w:rsidR="00D1779C" w:rsidRPr="004B329E">
        <w:rPr>
          <w:rFonts w:ascii="Book Antiqua" w:hAnsi="Book Antiqua"/>
          <w:b/>
          <w:sz w:val="24"/>
          <w:szCs w:val="24"/>
        </w:rPr>
        <w:t xml:space="preserve">Illustrates immunohistochemical stains for </w:t>
      </w:r>
      <w:r w:rsidR="001F0C73" w:rsidRPr="004B329E">
        <w:rPr>
          <w:rFonts w:ascii="Book Antiqua" w:hAnsi="Book Antiqua"/>
          <w:b/>
          <w:sz w:val="24"/>
          <w:szCs w:val="24"/>
        </w:rPr>
        <w:t>thyroid transcription factor-1</w:t>
      </w:r>
      <w:r w:rsidR="00D1779C" w:rsidRPr="004B329E">
        <w:rPr>
          <w:rFonts w:ascii="Book Antiqua" w:hAnsi="Book Antiqua"/>
          <w:b/>
          <w:sz w:val="24"/>
          <w:szCs w:val="24"/>
        </w:rPr>
        <w:t xml:space="preserve"> and </w:t>
      </w:r>
      <w:r w:rsidR="001F0C73" w:rsidRPr="004B329E">
        <w:rPr>
          <w:rFonts w:ascii="Book Antiqua" w:hAnsi="Book Antiqua"/>
          <w:b/>
          <w:sz w:val="24"/>
          <w:szCs w:val="24"/>
        </w:rPr>
        <w:t xml:space="preserve">thyroglobulin </w:t>
      </w:r>
      <w:r w:rsidR="00D1779C" w:rsidRPr="004B329E">
        <w:rPr>
          <w:rFonts w:ascii="Book Antiqua" w:hAnsi="Book Antiqua"/>
          <w:b/>
          <w:sz w:val="24"/>
          <w:szCs w:val="24"/>
        </w:rPr>
        <w:t xml:space="preserve">in a case of </w:t>
      </w:r>
      <w:r w:rsidR="00D1779C" w:rsidRPr="004B329E">
        <w:rPr>
          <w:rFonts w:ascii="Book Antiqua" w:hAnsi="Book Antiqua" w:cs="Calibri-Bold"/>
          <w:b/>
          <w:sz w:val="24"/>
          <w:szCs w:val="24"/>
        </w:rPr>
        <w:t>clear cell renal cell carcinoma</w:t>
      </w:r>
      <w:r w:rsidR="00D1779C" w:rsidRPr="004B329E">
        <w:rPr>
          <w:rFonts w:ascii="Book Antiqua" w:hAnsi="Book Antiqua"/>
          <w:b/>
          <w:sz w:val="24"/>
          <w:szCs w:val="24"/>
        </w:rPr>
        <w:t xml:space="preserve"> with thyroid metastases. </w:t>
      </w:r>
      <w:r w:rsidR="00A76EC4" w:rsidRPr="004B329E">
        <w:rPr>
          <w:rFonts w:ascii="Book Antiqua" w:eastAsia="Arial Unicode MS" w:hAnsi="Book Antiqua" w:cstheme="minorHAnsi"/>
          <w:sz w:val="24"/>
          <w:szCs w:val="24"/>
        </w:rPr>
        <w:t>A</w:t>
      </w:r>
      <w:r w:rsidR="00D1779C" w:rsidRPr="004B329E">
        <w:rPr>
          <w:rFonts w:ascii="Book Antiqua" w:eastAsia="Arial Unicode MS" w:hAnsi="Book Antiqua" w:cstheme="minorHAnsi"/>
          <w:sz w:val="24"/>
          <w:szCs w:val="24"/>
        </w:rPr>
        <w:t>:</w:t>
      </w:r>
      <w:r w:rsidR="00A76EC4" w:rsidRPr="004B329E">
        <w:rPr>
          <w:rFonts w:ascii="Book Antiqua" w:eastAsia="Arial Unicode MS" w:hAnsi="Book Antiqua" w:cstheme="minorHAnsi"/>
          <w:sz w:val="24"/>
          <w:szCs w:val="24"/>
        </w:rPr>
        <w:t xml:space="preserve"> </w:t>
      </w:r>
      <w:r w:rsidR="00AE3E4F" w:rsidRPr="004B329E">
        <w:rPr>
          <w:rFonts w:ascii="Book Antiqua" w:eastAsia="Arial Unicode MS" w:hAnsi="Book Antiqua" w:cstheme="minorHAnsi"/>
          <w:sz w:val="24"/>
          <w:szCs w:val="24"/>
        </w:rPr>
        <w:t>Immunohistochemically stain showing positive thyroglobulin on right side coinciding with normal thyroid architecture and negative on the left</w:t>
      </w:r>
      <w:r w:rsidR="007558CC" w:rsidRPr="004B329E">
        <w:rPr>
          <w:rFonts w:ascii="Book Antiqua" w:eastAsia="Arial Unicode MS" w:hAnsi="Book Antiqua" w:cstheme="minorHAnsi" w:hint="eastAsia"/>
          <w:sz w:val="24"/>
          <w:szCs w:val="24"/>
          <w:lang w:eastAsia="zh-CN"/>
        </w:rPr>
        <w:t>;</w:t>
      </w:r>
      <w:r w:rsidR="00AE3E4F" w:rsidRPr="004B329E">
        <w:rPr>
          <w:rFonts w:ascii="Book Antiqua" w:eastAsia="Arial Unicode MS" w:hAnsi="Book Antiqua" w:cstheme="minorHAnsi"/>
          <w:sz w:val="24"/>
          <w:szCs w:val="24"/>
        </w:rPr>
        <w:t xml:space="preserve"> B</w:t>
      </w:r>
      <w:r w:rsidR="00D1779C" w:rsidRPr="004B329E">
        <w:rPr>
          <w:rFonts w:ascii="Book Antiqua" w:eastAsia="Arial Unicode MS" w:hAnsi="Book Antiqua" w:cstheme="minorHAnsi"/>
          <w:sz w:val="24"/>
          <w:szCs w:val="24"/>
        </w:rPr>
        <w:t>:</w:t>
      </w:r>
      <w:r w:rsidR="00AE3E4F" w:rsidRPr="004B329E">
        <w:rPr>
          <w:rFonts w:ascii="Book Antiqua" w:eastAsia="Arial Unicode MS" w:hAnsi="Book Antiqua" w:cstheme="minorHAnsi"/>
          <w:sz w:val="24"/>
          <w:szCs w:val="24"/>
        </w:rPr>
        <w:t xml:space="preserve"> Immunohistochemically stain for </w:t>
      </w:r>
      <w:r w:rsidR="001F0C73" w:rsidRPr="004B329E">
        <w:rPr>
          <w:rFonts w:ascii="Book Antiqua" w:eastAsia="Arial Unicode MS" w:hAnsi="Book Antiqua" w:cstheme="minorHAnsi"/>
          <w:sz w:val="24"/>
          <w:szCs w:val="24"/>
        </w:rPr>
        <w:t>thyroid transcription factor-1</w:t>
      </w:r>
      <w:r w:rsidR="00AE3E4F" w:rsidRPr="004B329E">
        <w:rPr>
          <w:rFonts w:ascii="Book Antiqua" w:eastAsia="Arial Unicode MS" w:hAnsi="Book Antiqua" w:cstheme="minorHAnsi"/>
          <w:sz w:val="24"/>
          <w:szCs w:val="24"/>
        </w:rPr>
        <w:t xml:space="preserve"> which is positive on the right correlating with normal thyroid architecture and negative on the left where the metastatic renal cell carcinoma is present</w:t>
      </w:r>
      <w:r w:rsidR="0045382A" w:rsidRPr="004B329E">
        <w:rPr>
          <w:rFonts w:ascii="Book Antiqua" w:eastAsia="Arial Unicode MS" w:hAnsi="Book Antiqua" w:cstheme="minorHAnsi"/>
          <w:sz w:val="24"/>
          <w:szCs w:val="24"/>
        </w:rPr>
        <w:t xml:space="preserve"> (Magnification</w:t>
      </w:r>
      <w:r w:rsidR="00D1779C" w:rsidRPr="004B329E">
        <w:rPr>
          <w:rFonts w:ascii="Book Antiqua" w:eastAsia="Arial Unicode MS" w:hAnsi="Book Antiqua" w:cstheme="minorHAnsi"/>
          <w:sz w:val="24"/>
          <w:szCs w:val="24"/>
        </w:rPr>
        <w:t xml:space="preserve"> </w:t>
      </w:r>
      <w:r w:rsidR="0045382A" w:rsidRPr="004B329E">
        <w:rPr>
          <w:rFonts w:ascii="Book Antiqua" w:eastAsia="Arial Unicode MS" w:hAnsi="Book Antiqua" w:cstheme="minorHAnsi"/>
          <w:sz w:val="24"/>
          <w:szCs w:val="24"/>
        </w:rPr>
        <w:t>x</w:t>
      </w:r>
      <w:r w:rsidR="00D1779C" w:rsidRPr="004B329E">
        <w:rPr>
          <w:rFonts w:ascii="Book Antiqua" w:eastAsia="Arial Unicode MS" w:hAnsi="Book Antiqua" w:cstheme="minorHAnsi"/>
          <w:sz w:val="24"/>
          <w:szCs w:val="24"/>
        </w:rPr>
        <w:t xml:space="preserve"> </w:t>
      </w:r>
      <w:r w:rsidR="0045382A" w:rsidRPr="004B329E">
        <w:rPr>
          <w:rFonts w:ascii="Book Antiqua" w:eastAsia="Arial Unicode MS" w:hAnsi="Book Antiqua" w:cstheme="minorHAnsi"/>
          <w:sz w:val="24"/>
          <w:szCs w:val="24"/>
        </w:rPr>
        <w:t>100)</w:t>
      </w:r>
      <w:r w:rsidR="00D1779C" w:rsidRPr="004B329E">
        <w:rPr>
          <w:rFonts w:ascii="Book Antiqua" w:eastAsia="Arial Unicode MS" w:hAnsi="Book Antiqua" w:cstheme="minorHAnsi"/>
          <w:sz w:val="24"/>
          <w:szCs w:val="24"/>
        </w:rPr>
        <w:t>.</w:t>
      </w:r>
    </w:p>
    <w:p w14:paraId="0C8E9670" w14:textId="68E98E92" w:rsidR="00D1779C" w:rsidRPr="004B329E" w:rsidRDefault="00D1779C">
      <w:pPr>
        <w:rPr>
          <w:rFonts w:ascii="Book Antiqua" w:eastAsia="Arial Unicode MS" w:hAnsi="Book Antiqua" w:cstheme="minorHAnsi"/>
          <w:b/>
          <w:sz w:val="24"/>
          <w:szCs w:val="24"/>
        </w:rPr>
      </w:pPr>
      <w:r w:rsidRPr="004B329E">
        <w:rPr>
          <w:rFonts w:ascii="Book Antiqua" w:eastAsia="Arial Unicode MS" w:hAnsi="Book Antiqua" w:cstheme="minorHAnsi"/>
          <w:b/>
          <w:sz w:val="24"/>
          <w:szCs w:val="24"/>
        </w:rPr>
        <w:br w:type="page"/>
      </w:r>
    </w:p>
    <w:p w14:paraId="630F730B" w14:textId="77777777" w:rsidR="002B5373" w:rsidRPr="004B329E" w:rsidRDefault="002B5373" w:rsidP="000675D7">
      <w:pPr>
        <w:spacing w:after="0" w:line="360" w:lineRule="auto"/>
        <w:jc w:val="both"/>
        <w:rPr>
          <w:rFonts w:ascii="Book Antiqua" w:eastAsia="Arial Unicode MS" w:hAnsi="Book Antiqua" w:cstheme="minorHAnsi"/>
          <w:b/>
          <w:sz w:val="24"/>
          <w:szCs w:val="24"/>
        </w:rPr>
      </w:pPr>
    </w:p>
    <w:p w14:paraId="79038A23" w14:textId="77777777" w:rsidR="00CA2897" w:rsidRPr="004B329E" w:rsidRDefault="00CA2897" w:rsidP="000675D7">
      <w:pPr>
        <w:spacing w:after="0" w:line="360" w:lineRule="auto"/>
        <w:jc w:val="both"/>
        <w:rPr>
          <w:rFonts w:ascii="Book Antiqua" w:eastAsia="Arial Unicode MS" w:hAnsi="Book Antiqua" w:cs="Arial Unicode MS"/>
          <w:sz w:val="24"/>
          <w:szCs w:val="24"/>
        </w:rPr>
      </w:pPr>
      <w:r w:rsidRPr="004B329E">
        <w:rPr>
          <w:rFonts w:ascii="Book Antiqua" w:hAnsi="Book Antiqua"/>
          <w:noProof/>
          <w:sz w:val="24"/>
          <w:szCs w:val="24"/>
          <w:lang w:eastAsia="zh-CN"/>
        </w:rPr>
        <w:drawing>
          <wp:inline distT="0" distB="0" distL="0" distR="0" wp14:anchorId="17B1273E" wp14:editId="023B25C8">
            <wp:extent cx="3420533" cy="1924050"/>
            <wp:effectExtent l="19050" t="19050" r="27940" b="19050"/>
            <wp:docPr id="8" name="Picture 8" descr="G:\RCC to Thyro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CC to Thyroid.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1107" cy="1929998"/>
                    </a:xfrm>
                    <a:prstGeom prst="rect">
                      <a:avLst/>
                    </a:prstGeom>
                    <a:ln w="12700" cap="sq">
                      <a:solidFill>
                        <a:schemeClr val="tx1"/>
                      </a:solidFill>
                      <a:prstDash val="solid"/>
                      <a:miter lim="800000"/>
                    </a:ln>
                    <a:effectLst/>
                  </pic:spPr>
                </pic:pic>
              </a:graphicData>
            </a:graphic>
          </wp:inline>
        </w:drawing>
      </w:r>
    </w:p>
    <w:p w14:paraId="3D20E3F2" w14:textId="67C7489A" w:rsidR="00EB28A1" w:rsidRPr="00D1779C" w:rsidRDefault="00D1779C" w:rsidP="00D1779C">
      <w:pPr>
        <w:spacing w:after="0" w:line="360" w:lineRule="auto"/>
        <w:jc w:val="both"/>
        <w:rPr>
          <w:rFonts w:ascii="Book Antiqua" w:hAnsi="Book Antiqua" w:cstheme="minorHAnsi"/>
          <w:b/>
          <w:bCs/>
          <w:sz w:val="24"/>
          <w:szCs w:val="24"/>
        </w:rPr>
      </w:pPr>
      <w:r w:rsidRPr="004B329E">
        <w:rPr>
          <w:rFonts w:ascii="Book Antiqua" w:eastAsia="Arial Unicode MS" w:hAnsi="Book Antiqua" w:cstheme="minorHAnsi"/>
          <w:b/>
          <w:sz w:val="24"/>
          <w:szCs w:val="24"/>
        </w:rPr>
        <w:t>Figure 8</w:t>
      </w:r>
      <w:r w:rsidRPr="004B329E">
        <w:rPr>
          <w:rFonts w:ascii="Book Antiqua" w:hAnsi="Book Antiqua" w:cstheme="minorHAnsi" w:hint="eastAsia"/>
          <w:sz w:val="24"/>
          <w:szCs w:val="24"/>
          <w:lang w:eastAsia="zh-CN"/>
        </w:rPr>
        <w:t xml:space="preserve"> </w:t>
      </w:r>
      <w:r w:rsidRPr="004B329E">
        <w:rPr>
          <w:rFonts w:ascii="Book Antiqua" w:eastAsia="Arial Unicode MS" w:hAnsi="Book Antiqua" w:cstheme="minorHAnsi"/>
          <w:b/>
          <w:bCs/>
          <w:sz w:val="24"/>
          <w:szCs w:val="24"/>
        </w:rPr>
        <w:t xml:space="preserve">Hematoxylin-eosin staining </w:t>
      </w:r>
      <w:r w:rsidR="00CA2897" w:rsidRPr="004B329E">
        <w:rPr>
          <w:rFonts w:ascii="Book Antiqua" w:eastAsia="Arial Unicode MS" w:hAnsi="Book Antiqua" w:cstheme="minorHAnsi"/>
          <w:b/>
          <w:bCs/>
          <w:sz w:val="24"/>
          <w:szCs w:val="24"/>
        </w:rPr>
        <w:t>showing benign thyroid tissue architecture (left) and metastatic renal cell carcinoma (right)</w:t>
      </w:r>
      <w:r w:rsidRPr="004B329E">
        <w:rPr>
          <w:rFonts w:ascii="Book Antiqua" w:eastAsia="Arial Unicode MS" w:hAnsi="Book Antiqua" w:cstheme="minorHAnsi"/>
          <w:b/>
          <w:bCs/>
          <w:sz w:val="24"/>
          <w:szCs w:val="24"/>
        </w:rPr>
        <w:t>, (</w:t>
      </w:r>
      <w:r w:rsidR="00DD2501" w:rsidRPr="004B329E">
        <w:rPr>
          <w:rFonts w:ascii="Book Antiqua" w:eastAsia="Arial Unicode MS" w:hAnsi="Book Antiqua" w:cstheme="minorHAnsi"/>
          <w:b/>
          <w:bCs/>
          <w:sz w:val="24"/>
          <w:szCs w:val="24"/>
        </w:rPr>
        <w:t xml:space="preserve">Magnification </w:t>
      </w:r>
      <w:r w:rsidR="0045382A" w:rsidRPr="004B329E">
        <w:rPr>
          <w:rFonts w:ascii="Book Antiqua" w:eastAsia="Arial Unicode MS" w:hAnsi="Book Antiqua" w:cstheme="minorHAnsi"/>
          <w:b/>
          <w:bCs/>
          <w:sz w:val="24"/>
          <w:szCs w:val="24"/>
        </w:rPr>
        <w:t>x</w:t>
      </w:r>
      <w:r w:rsidRPr="004B329E">
        <w:rPr>
          <w:rFonts w:ascii="Book Antiqua" w:eastAsia="Arial Unicode MS" w:hAnsi="Book Antiqua" w:cstheme="minorHAnsi"/>
          <w:b/>
          <w:bCs/>
          <w:sz w:val="24"/>
          <w:szCs w:val="24"/>
        </w:rPr>
        <w:t xml:space="preserve"> </w:t>
      </w:r>
      <w:r w:rsidR="0045382A" w:rsidRPr="004B329E">
        <w:rPr>
          <w:rFonts w:ascii="Book Antiqua" w:eastAsia="Arial Unicode MS" w:hAnsi="Book Antiqua" w:cstheme="minorHAnsi"/>
          <w:b/>
          <w:bCs/>
          <w:sz w:val="24"/>
          <w:szCs w:val="24"/>
        </w:rPr>
        <w:t>100)</w:t>
      </w:r>
      <w:r w:rsidRPr="004B329E">
        <w:rPr>
          <w:rFonts w:ascii="Book Antiqua" w:eastAsia="Arial Unicode MS" w:hAnsi="Book Antiqua" w:cstheme="minorHAnsi"/>
          <w:b/>
          <w:bCs/>
          <w:sz w:val="24"/>
          <w:szCs w:val="24"/>
        </w:rPr>
        <w:t>.</w:t>
      </w:r>
    </w:p>
    <w:sectPr w:rsidR="00EB28A1" w:rsidRPr="00D1779C" w:rsidSect="005B19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C02A3" w14:textId="77777777" w:rsidR="00162251" w:rsidRDefault="00162251" w:rsidP="009014A5">
      <w:pPr>
        <w:spacing w:after="0" w:line="240" w:lineRule="auto"/>
      </w:pPr>
      <w:r>
        <w:separator/>
      </w:r>
    </w:p>
  </w:endnote>
  <w:endnote w:type="continuationSeparator" w:id="0">
    <w:p w14:paraId="114FF80A" w14:textId="77777777" w:rsidR="00162251" w:rsidRDefault="00162251" w:rsidP="0090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Calibri-Bold">
    <w:panose1 w:val="00000000000000000000"/>
    <w:charset w:val="00"/>
    <w:family w:val="swiss"/>
    <w:notTrueType/>
    <w:pitch w:val="default"/>
    <w:sig w:usb0="00000003" w:usb1="00000000" w:usb2="00000000" w:usb3="00000000" w:csb0="00000001" w:csb1="00000000"/>
  </w:font>
  <w:font w:name="SAS Monospace">
    <w:charset w:val="00"/>
    <w:family w:val="modern"/>
    <w:pitch w:val="fixed"/>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0F7CA" w14:textId="77777777" w:rsidR="00162251" w:rsidRDefault="00162251" w:rsidP="009014A5">
      <w:pPr>
        <w:spacing w:after="0" w:line="240" w:lineRule="auto"/>
      </w:pPr>
      <w:r>
        <w:separator/>
      </w:r>
    </w:p>
  </w:footnote>
  <w:footnote w:type="continuationSeparator" w:id="0">
    <w:p w14:paraId="5979FB2E" w14:textId="77777777" w:rsidR="00162251" w:rsidRDefault="00162251" w:rsidP="009014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18A2"/>
    <w:multiLevelType w:val="hybridMultilevel"/>
    <w:tmpl w:val="ACC8FE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EC7AA8"/>
    <w:multiLevelType w:val="hybridMultilevel"/>
    <w:tmpl w:val="5510D34C"/>
    <w:lvl w:ilvl="0" w:tplc="EF1EF1F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045EF6"/>
    <w:multiLevelType w:val="hybridMultilevel"/>
    <w:tmpl w:val="5322A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7B0234"/>
    <w:multiLevelType w:val="hybridMultilevel"/>
    <w:tmpl w:val="A762F7B0"/>
    <w:lvl w:ilvl="0" w:tplc="38D0EC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DB35C94"/>
    <w:multiLevelType w:val="hybridMultilevel"/>
    <w:tmpl w:val="E3F86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62792B"/>
    <w:multiLevelType w:val="hybridMultilevel"/>
    <w:tmpl w:val="E4647A10"/>
    <w:lvl w:ilvl="0" w:tplc="0A9A2E84">
      <w:start w:val="1"/>
      <w:numFmt w:val="upperLetter"/>
      <w:lvlText w:val="%1."/>
      <w:lvlJc w:val="left"/>
      <w:pPr>
        <w:ind w:left="720" w:hanging="360"/>
      </w:pPr>
      <w:rPr>
        <w:rFonts w:eastAsiaTheme="minorHAnsi"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1C7240"/>
    <w:multiLevelType w:val="hybridMultilevel"/>
    <w:tmpl w:val="0784C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EB4EEC"/>
    <w:multiLevelType w:val="hybridMultilevel"/>
    <w:tmpl w:val="23780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D810EC"/>
    <w:multiLevelType w:val="hybridMultilevel"/>
    <w:tmpl w:val="8C8EA4BC"/>
    <w:lvl w:ilvl="0" w:tplc="217C12FC">
      <w:start w:val="1"/>
      <w:numFmt w:val="upperLetter"/>
      <w:lvlText w:val="%1."/>
      <w:lvlJc w:val="left"/>
      <w:pPr>
        <w:ind w:left="1080" w:hanging="360"/>
      </w:pPr>
      <w:rPr>
        <w:rFonts w:ascii="Arial Unicode MS" w:eastAsia="Arial Unicode MS" w:hAnsi="Arial Unicode MS" w:cs="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73A372D0"/>
    <w:multiLevelType w:val="hybridMultilevel"/>
    <w:tmpl w:val="1520BF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0"/>
  </w:num>
  <w:num w:numId="5">
    <w:abstractNumId w:val="10"/>
  </w:num>
  <w:num w:numId="6">
    <w:abstractNumId w:val="1"/>
  </w:num>
  <w:num w:numId="7">
    <w:abstractNumId w:val="7"/>
  </w:num>
  <w:num w:numId="8">
    <w:abstractNumId w:val="4"/>
  </w:num>
  <w:num w:numId="9">
    <w:abstractNumId w:val="3"/>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C99"/>
    <w:rsid w:val="0000608F"/>
    <w:rsid w:val="00024176"/>
    <w:rsid w:val="00033F9A"/>
    <w:rsid w:val="00065CF1"/>
    <w:rsid w:val="000675D7"/>
    <w:rsid w:val="000976CC"/>
    <w:rsid w:val="000A6232"/>
    <w:rsid w:val="000B79B5"/>
    <w:rsid w:val="000C29DA"/>
    <w:rsid w:val="0010232F"/>
    <w:rsid w:val="00104B3D"/>
    <w:rsid w:val="001050F0"/>
    <w:rsid w:val="0011779F"/>
    <w:rsid w:val="001441DF"/>
    <w:rsid w:val="00155626"/>
    <w:rsid w:val="001570D4"/>
    <w:rsid w:val="00162251"/>
    <w:rsid w:val="00163420"/>
    <w:rsid w:val="001639EB"/>
    <w:rsid w:val="00174FAD"/>
    <w:rsid w:val="001A260A"/>
    <w:rsid w:val="001B05E8"/>
    <w:rsid w:val="001C1FD5"/>
    <w:rsid w:val="001F0C73"/>
    <w:rsid w:val="00210939"/>
    <w:rsid w:val="0021111A"/>
    <w:rsid w:val="00216C38"/>
    <w:rsid w:val="00291A63"/>
    <w:rsid w:val="00292D93"/>
    <w:rsid w:val="00293D5C"/>
    <w:rsid w:val="0029425C"/>
    <w:rsid w:val="002A0DDE"/>
    <w:rsid w:val="002A2F55"/>
    <w:rsid w:val="002B5373"/>
    <w:rsid w:val="002C7368"/>
    <w:rsid w:val="002E5220"/>
    <w:rsid w:val="002E77A8"/>
    <w:rsid w:val="002E79B3"/>
    <w:rsid w:val="002F2B19"/>
    <w:rsid w:val="00343A33"/>
    <w:rsid w:val="003473A1"/>
    <w:rsid w:val="0035406E"/>
    <w:rsid w:val="003A23AF"/>
    <w:rsid w:val="003D697B"/>
    <w:rsid w:val="00431569"/>
    <w:rsid w:val="0045382A"/>
    <w:rsid w:val="004707AF"/>
    <w:rsid w:val="00470C9A"/>
    <w:rsid w:val="00474ADF"/>
    <w:rsid w:val="00474D97"/>
    <w:rsid w:val="00476078"/>
    <w:rsid w:val="00482AA6"/>
    <w:rsid w:val="00484A3E"/>
    <w:rsid w:val="004B329E"/>
    <w:rsid w:val="00521BE4"/>
    <w:rsid w:val="0054180E"/>
    <w:rsid w:val="005531B4"/>
    <w:rsid w:val="005915C7"/>
    <w:rsid w:val="0059481D"/>
    <w:rsid w:val="005B19F8"/>
    <w:rsid w:val="005D1C8D"/>
    <w:rsid w:val="005E0E3C"/>
    <w:rsid w:val="005F5F11"/>
    <w:rsid w:val="006618D7"/>
    <w:rsid w:val="0066520D"/>
    <w:rsid w:val="00680FF1"/>
    <w:rsid w:val="006B255E"/>
    <w:rsid w:val="006B6AE3"/>
    <w:rsid w:val="006D5F02"/>
    <w:rsid w:val="006F5D92"/>
    <w:rsid w:val="006F7C27"/>
    <w:rsid w:val="00703F45"/>
    <w:rsid w:val="00704D4C"/>
    <w:rsid w:val="0072613A"/>
    <w:rsid w:val="0073418A"/>
    <w:rsid w:val="00743D8D"/>
    <w:rsid w:val="007558CC"/>
    <w:rsid w:val="0076180D"/>
    <w:rsid w:val="0076382B"/>
    <w:rsid w:val="0078492A"/>
    <w:rsid w:val="00796B3A"/>
    <w:rsid w:val="007D0AAA"/>
    <w:rsid w:val="007F199C"/>
    <w:rsid w:val="007F6D8B"/>
    <w:rsid w:val="00823302"/>
    <w:rsid w:val="00847346"/>
    <w:rsid w:val="008719DE"/>
    <w:rsid w:val="00884A76"/>
    <w:rsid w:val="008A24EE"/>
    <w:rsid w:val="008A2B82"/>
    <w:rsid w:val="008A6B5A"/>
    <w:rsid w:val="008E6951"/>
    <w:rsid w:val="008F58A9"/>
    <w:rsid w:val="008F7471"/>
    <w:rsid w:val="009014A5"/>
    <w:rsid w:val="009027C2"/>
    <w:rsid w:val="00934B29"/>
    <w:rsid w:val="00940CF6"/>
    <w:rsid w:val="0096114E"/>
    <w:rsid w:val="00990105"/>
    <w:rsid w:val="009A509C"/>
    <w:rsid w:val="009C30F5"/>
    <w:rsid w:val="009C5F60"/>
    <w:rsid w:val="00A43574"/>
    <w:rsid w:val="00A45FAD"/>
    <w:rsid w:val="00A510EC"/>
    <w:rsid w:val="00A6224C"/>
    <w:rsid w:val="00A725CC"/>
    <w:rsid w:val="00A7610F"/>
    <w:rsid w:val="00A76EC4"/>
    <w:rsid w:val="00A8494C"/>
    <w:rsid w:val="00A95FB5"/>
    <w:rsid w:val="00AA589A"/>
    <w:rsid w:val="00AB033C"/>
    <w:rsid w:val="00AB4AEA"/>
    <w:rsid w:val="00AC3086"/>
    <w:rsid w:val="00AC62D3"/>
    <w:rsid w:val="00AC794B"/>
    <w:rsid w:val="00AD0201"/>
    <w:rsid w:val="00AD2AFF"/>
    <w:rsid w:val="00AE3E4F"/>
    <w:rsid w:val="00AF2AC3"/>
    <w:rsid w:val="00B03223"/>
    <w:rsid w:val="00B21F9B"/>
    <w:rsid w:val="00B324D2"/>
    <w:rsid w:val="00B36926"/>
    <w:rsid w:val="00B7276B"/>
    <w:rsid w:val="00B87A73"/>
    <w:rsid w:val="00B92C6C"/>
    <w:rsid w:val="00B97829"/>
    <w:rsid w:val="00BC4131"/>
    <w:rsid w:val="00BE14BC"/>
    <w:rsid w:val="00C04F18"/>
    <w:rsid w:val="00C33C63"/>
    <w:rsid w:val="00C34E92"/>
    <w:rsid w:val="00C4032E"/>
    <w:rsid w:val="00C40C99"/>
    <w:rsid w:val="00C4648D"/>
    <w:rsid w:val="00C556B8"/>
    <w:rsid w:val="00C6422B"/>
    <w:rsid w:val="00CA2897"/>
    <w:rsid w:val="00CA6283"/>
    <w:rsid w:val="00CB3591"/>
    <w:rsid w:val="00CB7FDB"/>
    <w:rsid w:val="00CD7218"/>
    <w:rsid w:val="00D075F4"/>
    <w:rsid w:val="00D1779C"/>
    <w:rsid w:val="00D22545"/>
    <w:rsid w:val="00D263CF"/>
    <w:rsid w:val="00D419BE"/>
    <w:rsid w:val="00D5570A"/>
    <w:rsid w:val="00D5765E"/>
    <w:rsid w:val="00D57D67"/>
    <w:rsid w:val="00D674C1"/>
    <w:rsid w:val="00DC4F48"/>
    <w:rsid w:val="00DD2501"/>
    <w:rsid w:val="00DD45A0"/>
    <w:rsid w:val="00DF6011"/>
    <w:rsid w:val="00E017D3"/>
    <w:rsid w:val="00E02C08"/>
    <w:rsid w:val="00E1221A"/>
    <w:rsid w:val="00E17261"/>
    <w:rsid w:val="00E377F2"/>
    <w:rsid w:val="00E41847"/>
    <w:rsid w:val="00E6412B"/>
    <w:rsid w:val="00E6645B"/>
    <w:rsid w:val="00E72B52"/>
    <w:rsid w:val="00EA738D"/>
    <w:rsid w:val="00EB28A1"/>
    <w:rsid w:val="00EE5764"/>
    <w:rsid w:val="00EE6C42"/>
    <w:rsid w:val="00EF5735"/>
    <w:rsid w:val="00F02CED"/>
    <w:rsid w:val="00F0475D"/>
    <w:rsid w:val="00F23EC0"/>
    <w:rsid w:val="00F354DE"/>
    <w:rsid w:val="00F414A1"/>
    <w:rsid w:val="00F458DE"/>
    <w:rsid w:val="00F60BD9"/>
    <w:rsid w:val="00F66C40"/>
    <w:rsid w:val="00F676F1"/>
    <w:rsid w:val="00F85D19"/>
    <w:rsid w:val="00F90162"/>
    <w:rsid w:val="00F90F3E"/>
    <w:rsid w:val="00FB1471"/>
    <w:rsid w:val="00FD1A59"/>
    <w:rsid w:val="00FF1C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B2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C99"/>
  </w:style>
  <w:style w:type="paragraph" w:styleId="1">
    <w:name w:val="heading 1"/>
    <w:basedOn w:val="a"/>
    <w:next w:val="a"/>
    <w:link w:val="1Char"/>
    <w:uiPriority w:val="9"/>
    <w:qFormat/>
    <w:rsid w:val="00AF2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292D93"/>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2CED"/>
    <w:pPr>
      <w:spacing w:after="160" w:line="259" w:lineRule="auto"/>
      <w:ind w:left="720"/>
      <w:contextualSpacing/>
    </w:pPr>
  </w:style>
  <w:style w:type="paragraph" w:styleId="a4">
    <w:name w:val="Balloon Text"/>
    <w:basedOn w:val="a"/>
    <w:link w:val="Char"/>
    <w:uiPriority w:val="99"/>
    <w:semiHidden/>
    <w:unhideWhenUsed/>
    <w:rsid w:val="000A623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0A6232"/>
    <w:rPr>
      <w:rFonts w:ascii="Tahoma" w:hAnsi="Tahoma" w:cs="Tahoma"/>
      <w:sz w:val="16"/>
      <w:szCs w:val="16"/>
    </w:rPr>
  </w:style>
  <w:style w:type="character" w:styleId="a5">
    <w:name w:val="annotation reference"/>
    <w:basedOn w:val="a0"/>
    <w:uiPriority w:val="99"/>
    <w:unhideWhenUsed/>
    <w:qFormat/>
    <w:rsid w:val="00F60BD9"/>
    <w:rPr>
      <w:sz w:val="16"/>
      <w:szCs w:val="16"/>
    </w:rPr>
  </w:style>
  <w:style w:type="paragraph" w:styleId="a6">
    <w:name w:val="annotation text"/>
    <w:basedOn w:val="a"/>
    <w:link w:val="Char0"/>
    <w:uiPriority w:val="99"/>
    <w:unhideWhenUsed/>
    <w:qFormat/>
    <w:rsid w:val="00F60BD9"/>
    <w:pPr>
      <w:spacing w:line="240" w:lineRule="auto"/>
    </w:pPr>
    <w:rPr>
      <w:sz w:val="20"/>
      <w:szCs w:val="20"/>
    </w:rPr>
  </w:style>
  <w:style w:type="character" w:customStyle="1" w:styleId="Char0">
    <w:name w:val="批注文字 Char"/>
    <w:basedOn w:val="a0"/>
    <w:link w:val="a6"/>
    <w:uiPriority w:val="99"/>
    <w:rsid w:val="00F60BD9"/>
    <w:rPr>
      <w:sz w:val="20"/>
      <w:szCs w:val="20"/>
    </w:rPr>
  </w:style>
  <w:style w:type="paragraph" w:styleId="a7">
    <w:name w:val="annotation subject"/>
    <w:basedOn w:val="a6"/>
    <w:next w:val="a6"/>
    <w:link w:val="Char1"/>
    <w:uiPriority w:val="99"/>
    <w:semiHidden/>
    <w:unhideWhenUsed/>
    <w:rsid w:val="00F60BD9"/>
    <w:rPr>
      <w:b/>
      <w:bCs/>
    </w:rPr>
  </w:style>
  <w:style w:type="character" w:customStyle="1" w:styleId="Char1">
    <w:name w:val="批注主题 Char"/>
    <w:basedOn w:val="Char0"/>
    <w:link w:val="a7"/>
    <w:uiPriority w:val="99"/>
    <w:semiHidden/>
    <w:rsid w:val="00F60BD9"/>
    <w:rPr>
      <w:b/>
      <w:bCs/>
      <w:sz w:val="20"/>
      <w:szCs w:val="20"/>
    </w:rPr>
  </w:style>
  <w:style w:type="character" w:styleId="a8">
    <w:name w:val="Hyperlink"/>
    <w:basedOn w:val="a0"/>
    <w:unhideWhenUsed/>
    <w:qFormat/>
    <w:rsid w:val="00F90162"/>
    <w:rPr>
      <w:color w:val="0000FF"/>
      <w:u w:val="single"/>
    </w:rPr>
  </w:style>
  <w:style w:type="character" w:customStyle="1" w:styleId="cit">
    <w:name w:val="cit"/>
    <w:basedOn w:val="a0"/>
    <w:rsid w:val="00F90162"/>
  </w:style>
  <w:style w:type="character" w:customStyle="1" w:styleId="fm-vol-iss-date">
    <w:name w:val="fm-vol-iss-date"/>
    <w:basedOn w:val="a0"/>
    <w:rsid w:val="00F90162"/>
  </w:style>
  <w:style w:type="character" w:customStyle="1" w:styleId="doi">
    <w:name w:val="doi"/>
    <w:basedOn w:val="a0"/>
    <w:rsid w:val="00F90162"/>
  </w:style>
  <w:style w:type="character" w:customStyle="1" w:styleId="text">
    <w:name w:val="text"/>
    <w:basedOn w:val="a0"/>
    <w:rsid w:val="00F90162"/>
  </w:style>
  <w:style w:type="character" w:customStyle="1" w:styleId="title-text">
    <w:name w:val="title-text"/>
    <w:basedOn w:val="a0"/>
    <w:rsid w:val="00F90162"/>
  </w:style>
  <w:style w:type="character" w:customStyle="1" w:styleId="ref-title">
    <w:name w:val="ref-title"/>
    <w:basedOn w:val="a0"/>
    <w:rsid w:val="00F90162"/>
  </w:style>
  <w:style w:type="character" w:customStyle="1" w:styleId="ref-journal">
    <w:name w:val="ref-journal"/>
    <w:basedOn w:val="a0"/>
    <w:rsid w:val="00F90162"/>
  </w:style>
  <w:style w:type="character" w:customStyle="1" w:styleId="ref-vol">
    <w:name w:val="ref-vol"/>
    <w:basedOn w:val="a0"/>
    <w:rsid w:val="00F90162"/>
  </w:style>
  <w:style w:type="character" w:customStyle="1" w:styleId="highlight">
    <w:name w:val="highlight"/>
    <w:basedOn w:val="a0"/>
    <w:rsid w:val="00F90162"/>
  </w:style>
  <w:style w:type="table" w:styleId="a9">
    <w:name w:val="Table Grid"/>
    <w:basedOn w:val="a1"/>
    <w:uiPriority w:val="59"/>
    <w:rsid w:val="00E4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rsid w:val="00292D93"/>
    <w:rPr>
      <w:rFonts w:ascii="Times New Roman" w:eastAsia="Times New Roman" w:hAnsi="Times New Roman" w:cs="Times New Roman"/>
      <w:b/>
      <w:bCs/>
      <w:color w:val="000000"/>
      <w:kern w:val="28"/>
      <w:sz w:val="24"/>
      <w:szCs w:val="24"/>
      <w:lang w:val="en-CA" w:eastAsia="en-CA"/>
    </w:rPr>
  </w:style>
  <w:style w:type="paragraph" w:styleId="aa">
    <w:name w:val="header"/>
    <w:basedOn w:val="a"/>
    <w:link w:val="Char2"/>
    <w:uiPriority w:val="99"/>
    <w:unhideWhenUsed/>
    <w:rsid w:val="009014A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9014A5"/>
    <w:rPr>
      <w:sz w:val="18"/>
      <w:szCs w:val="18"/>
    </w:rPr>
  </w:style>
  <w:style w:type="paragraph" w:styleId="ab">
    <w:name w:val="footer"/>
    <w:basedOn w:val="a"/>
    <w:link w:val="Char3"/>
    <w:uiPriority w:val="99"/>
    <w:unhideWhenUsed/>
    <w:rsid w:val="009014A5"/>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9014A5"/>
    <w:rPr>
      <w:sz w:val="18"/>
      <w:szCs w:val="18"/>
    </w:rPr>
  </w:style>
  <w:style w:type="paragraph" w:customStyle="1" w:styleId="10">
    <w:name w:val="正文1"/>
    <w:uiPriority w:val="99"/>
    <w:rsid w:val="009014A5"/>
    <w:pPr>
      <w:spacing w:after="0"/>
    </w:pPr>
    <w:rPr>
      <w:rFonts w:ascii="Arial" w:hAnsi="Arial" w:cs="Arial"/>
      <w:color w:val="000000"/>
      <w:szCs w:val="20"/>
      <w:lang w:val="pl-PL" w:eastAsia="pl-PL"/>
    </w:rPr>
  </w:style>
  <w:style w:type="character" w:customStyle="1" w:styleId="11">
    <w:name w:val="批注文字 字符1"/>
    <w:basedOn w:val="a0"/>
    <w:uiPriority w:val="99"/>
    <w:qFormat/>
    <w:rsid w:val="009014A5"/>
    <w:rPr>
      <w:rFonts w:eastAsiaTheme="minorEastAsia"/>
      <w:kern w:val="2"/>
      <w:sz w:val="21"/>
    </w:rPr>
  </w:style>
  <w:style w:type="character" w:customStyle="1" w:styleId="1Char">
    <w:name w:val="标题 1 Char"/>
    <w:basedOn w:val="a0"/>
    <w:link w:val="1"/>
    <w:uiPriority w:val="9"/>
    <w:rsid w:val="00AF2AC3"/>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8473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C99"/>
  </w:style>
  <w:style w:type="paragraph" w:styleId="1">
    <w:name w:val="heading 1"/>
    <w:basedOn w:val="a"/>
    <w:next w:val="a"/>
    <w:link w:val="1Char"/>
    <w:uiPriority w:val="9"/>
    <w:qFormat/>
    <w:rsid w:val="00AF2A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qFormat/>
    <w:rsid w:val="00292D93"/>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2CED"/>
    <w:pPr>
      <w:spacing w:after="160" w:line="259" w:lineRule="auto"/>
      <w:ind w:left="720"/>
      <w:contextualSpacing/>
    </w:pPr>
  </w:style>
  <w:style w:type="paragraph" w:styleId="a4">
    <w:name w:val="Balloon Text"/>
    <w:basedOn w:val="a"/>
    <w:link w:val="Char"/>
    <w:uiPriority w:val="99"/>
    <w:semiHidden/>
    <w:unhideWhenUsed/>
    <w:rsid w:val="000A6232"/>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0A6232"/>
    <w:rPr>
      <w:rFonts w:ascii="Tahoma" w:hAnsi="Tahoma" w:cs="Tahoma"/>
      <w:sz w:val="16"/>
      <w:szCs w:val="16"/>
    </w:rPr>
  </w:style>
  <w:style w:type="character" w:styleId="a5">
    <w:name w:val="annotation reference"/>
    <w:basedOn w:val="a0"/>
    <w:uiPriority w:val="99"/>
    <w:unhideWhenUsed/>
    <w:qFormat/>
    <w:rsid w:val="00F60BD9"/>
    <w:rPr>
      <w:sz w:val="16"/>
      <w:szCs w:val="16"/>
    </w:rPr>
  </w:style>
  <w:style w:type="paragraph" w:styleId="a6">
    <w:name w:val="annotation text"/>
    <w:basedOn w:val="a"/>
    <w:link w:val="Char0"/>
    <w:uiPriority w:val="99"/>
    <w:unhideWhenUsed/>
    <w:qFormat/>
    <w:rsid w:val="00F60BD9"/>
    <w:pPr>
      <w:spacing w:line="240" w:lineRule="auto"/>
    </w:pPr>
    <w:rPr>
      <w:sz w:val="20"/>
      <w:szCs w:val="20"/>
    </w:rPr>
  </w:style>
  <w:style w:type="character" w:customStyle="1" w:styleId="Char0">
    <w:name w:val="批注文字 Char"/>
    <w:basedOn w:val="a0"/>
    <w:link w:val="a6"/>
    <w:uiPriority w:val="99"/>
    <w:rsid w:val="00F60BD9"/>
    <w:rPr>
      <w:sz w:val="20"/>
      <w:szCs w:val="20"/>
    </w:rPr>
  </w:style>
  <w:style w:type="paragraph" w:styleId="a7">
    <w:name w:val="annotation subject"/>
    <w:basedOn w:val="a6"/>
    <w:next w:val="a6"/>
    <w:link w:val="Char1"/>
    <w:uiPriority w:val="99"/>
    <w:semiHidden/>
    <w:unhideWhenUsed/>
    <w:rsid w:val="00F60BD9"/>
    <w:rPr>
      <w:b/>
      <w:bCs/>
    </w:rPr>
  </w:style>
  <w:style w:type="character" w:customStyle="1" w:styleId="Char1">
    <w:name w:val="批注主题 Char"/>
    <w:basedOn w:val="Char0"/>
    <w:link w:val="a7"/>
    <w:uiPriority w:val="99"/>
    <w:semiHidden/>
    <w:rsid w:val="00F60BD9"/>
    <w:rPr>
      <w:b/>
      <w:bCs/>
      <w:sz w:val="20"/>
      <w:szCs w:val="20"/>
    </w:rPr>
  </w:style>
  <w:style w:type="character" w:styleId="a8">
    <w:name w:val="Hyperlink"/>
    <w:basedOn w:val="a0"/>
    <w:unhideWhenUsed/>
    <w:qFormat/>
    <w:rsid w:val="00F90162"/>
    <w:rPr>
      <w:color w:val="0000FF"/>
      <w:u w:val="single"/>
    </w:rPr>
  </w:style>
  <w:style w:type="character" w:customStyle="1" w:styleId="cit">
    <w:name w:val="cit"/>
    <w:basedOn w:val="a0"/>
    <w:rsid w:val="00F90162"/>
  </w:style>
  <w:style w:type="character" w:customStyle="1" w:styleId="fm-vol-iss-date">
    <w:name w:val="fm-vol-iss-date"/>
    <w:basedOn w:val="a0"/>
    <w:rsid w:val="00F90162"/>
  </w:style>
  <w:style w:type="character" w:customStyle="1" w:styleId="doi">
    <w:name w:val="doi"/>
    <w:basedOn w:val="a0"/>
    <w:rsid w:val="00F90162"/>
  </w:style>
  <w:style w:type="character" w:customStyle="1" w:styleId="text">
    <w:name w:val="text"/>
    <w:basedOn w:val="a0"/>
    <w:rsid w:val="00F90162"/>
  </w:style>
  <w:style w:type="character" w:customStyle="1" w:styleId="title-text">
    <w:name w:val="title-text"/>
    <w:basedOn w:val="a0"/>
    <w:rsid w:val="00F90162"/>
  </w:style>
  <w:style w:type="character" w:customStyle="1" w:styleId="ref-title">
    <w:name w:val="ref-title"/>
    <w:basedOn w:val="a0"/>
    <w:rsid w:val="00F90162"/>
  </w:style>
  <w:style w:type="character" w:customStyle="1" w:styleId="ref-journal">
    <w:name w:val="ref-journal"/>
    <w:basedOn w:val="a0"/>
    <w:rsid w:val="00F90162"/>
  </w:style>
  <w:style w:type="character" w:customStyle="1" w:styleId="ref-vol">
    <w:name w:val="ref-vol"/>
    <w:basedOn w:val="a0"/>
    <w:rsid w:val="00F90162"/>
  </w:style>
  <w:style w:type="character" w:customStyle="1" w:styleId="highlight">
    <w:name w:val="highlight"/>
    <w:basedOn w:val="a0"/>
    <w:rsid w:val="00F90162"/>
  </w:style>
  <w:style w:type="table" w:styleId="a9">
    <w:name w:val="Table Grid"/>
    <w:basedOn w:val="a1"/>
    <w:uiPriority w:val="59"/>
    <w:rsid w:val="00E41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rsid w:val="00292D93"/>
    <w:rPr>
      <w:rFonts w:ascii="Times New Roman" w:eastAsia="Times New Roman" w:hAnsi="Times New Roman" w:cs="Times New Roman"/>
      <w:b/>
      <w:bCs/>
      <w:color w:val="000000"/>
      <w:kern w:val="28"/>
      <w:sz w:val="24"/>
      <w:szCs w:val="24"/>
      <w:lang w:val="en-CA" w:eastAsia="en-CA"/>
    </w:rPr>
  </w:style>
  <w:style w:type="paragraph" w:styleId="aa">
    <w:name w:val="header"/>
    <w:basedOn w:val="a"/>
    <w:link w:val="Char2"/>
    <w:uiPriority w:val="99"/>
    <w:unhideWhenUsed/>
    <w:rsid w:val="009014A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2">
    <w:name w:val="页眉 Char"/>
    <w:basedOn w:val="a0"/>
    <w:link w:val="aa"/>
    <w:uiPriority w:val="99"/>
    <w:rsid w:val="009014A5"/>
    <w:rPr>
      <w:sz w:val="18"/>
      <w:szCs w:val="18"/>
    </w:rPr>
  </w:style>
  <w:style w:type="paragraph" w:styleId="ab">
    <w:name w:val="footer"/>
    <w:basedOn w:val="a"/>
    <w:link w:val="Char3"/>
    <w:uiPriority w:val="99"/>
    <w:unhideWhenUsed/>
    <w:rsid w:val="009014A5"/>
    <w:pPr>
      <w:tabs>
        <w:tab w:val="center" w:pos="4153"/>
        <w:tab w:val="right" w:pos="8306"/>
      </w:tabs>
      <w:snapToGrid w:val="0"/>
      <w:spacing w:line="240" w:lineRule="auto"/>
    </w:pPr>
    <w:rPr>
      <w:sz w:val="18"/>
      <w:szCs w:val="18"/>
    </w:rPr>
  </w:style>
  <w:style w:type="character" w:customStyle="1" w:styleId="Char3">
    <w:name w:val="页脚 Char"/>
    <w:basedOn w:val="a0"/>
    <w:link w:val="ab"/>
    <w:uiPriority w:val="99"/>
    <w:rsid w:val="009014A5"/>
    <w:rPr>
      <w:sz w:val="18"/>
      <w:szCs w:val="18"/>
    </w:rPr>
  </w:style>
  <w:style w:type="paragraph" w:customStyle="1" w:styleId="10">
    <w:name w:val="正文1"/>
    <w:uiPriority w:val="99"/>
    <w:rsid w:val="009014A5"/>
    <w:pPr>
      <w:spacing w:after="0"/>
    </w:pPr>
    <w:rPr>
      <w:rFonts w:ascii="Arial" w:hAnsi="Arial" w:cs="Arial"/>
      <w:color w:val="000000"/>
      <w:szCs w:val="20"/>
      <w:lang w:val="pl-PL" w:eastAsia="pl-PL"/>
    </w:rPr>
  </w:style>
  <w:style w:type="character" w:customStyle="1" w:styleId="11">
    <w:name w:val="批注文字 字符1"/>
    <w:basedOn w:val="a0"/>
    <w:uiPriority w:val="99"/>
    <w:qFormat/>
    <w:rsid w:val="009014A5"/>
    <w:rPr>
      <w:rFonts w:eastAsiaTheme="minorEastAsia"/>
      <w:kern w:val="2"/>
      <w:sz w:val="21"/>
    </w:rPr>
  </w:style>
  <w:style w:type="character" w:customStyle="1" w:styleId="1Char">
    <w:name w:val="标题 1 Char"/>
    <w:basedOn w:val="a0"/>
    <w:link w:val="1"/>
    <w:uiPriority w:val="9"/>
    <w:rsid w:val="00AF2AC3"/>
    <w:rPr>
      <w:rFonts w:asciiTheme="majorHAnsi" w:eastAsiaTheme="majorEastAsia" w:hAnsiTheme="majorHAnsi" w:cstheme="majorBidi"/>
      <w:b/>
      <w:bCs/>
      <w:color w:val="365F91" w:themeColor="accent1" w:themeShade="BF"/>
      <w:sz w:val="28"/>
      <w:szCs w:val="28"/>
    </w:rPr>
  </w:style>
  <w:style w:type="character" w:styleId="ac">
    <w:name w:val="line number"/>
    <w:basedOn w:val="a0"/>
    <w:uiPriority w:val="99"/>
    <w:semiHidden/>
    <w:unhideWhenUsed/>
    <w:rsid w:val="00847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85266">
      <w:bodyDiv w:val="1"/>
      <w:marLeft w:val="0"/>
      <w:marRight w:val="0"/>
      <w:marTop w:val="0"/>
      <w:marBottom w:val="0"/>
      <w:divBdr>
        <w:top w:val="none" w:sz="0" w:space="0" w:color="auto"/>
        <w:left w:val="none" w:sz="0" w:space="0" w:color="auto"/>
        <w:bottom w:val="none" w:sz="0" w:space="0" w:color="auto"/>
        <w:right w:val="none" w:sz="0" w:space="0" w:color="auto"/>
      </w:divBdr>
      <w:divsChild>
        <w:div w:id="970594429">
          <w:marLeft w:val="0"/>
          <w:marRight w:val="0"/>
          <w:marTop w:val="0"/>
          <w:marBottom w:val="0"/>
          <w:divBdr>
            <w:top w:val="none" w:sz="0" w:space="0" w:color="auto"/>
            <w:left w:val="none" w:sz="0" w:space="0" w:color="auto"/>
            <w:bottom w:val="none" w:sz="0" w:space="0" w:color="auto"/>
            <w:right w:val="none" w:sz="0" w:space="0" w:color="auto"/>
          </w:divBdr>
          <w:divsChild>
            <w:div w:id="3617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10158">
      <w:bodyDiv w:val="1"/>
      <w:marLeft w:val="0"/>
      <w:marRight w:val="0"/>
      <w:marTop w:val="0"/>
      <w:marBottom w:val="0"/>
      <w:divBdr>
        <w:top w:val="none" w:sz="0" w:space="0" w:color="auto"/>
        <w:left w:val="none" w:sz="0" w:space="0" w:color="auto"/>
        <w:bottom w:val="none" w:sz="0" w:space="0" w:color="auto"/>
        <w:right w:val="none" w:sz="0" w:space="0" w:color="auto"/>
      </w:divBdr>
    </w:div>
    <w:div w:id="1111583297">
      <w:bodyDiv w:val="1"/>
      <w:marLeft w:val="0"/>
      <w:marRight w:val="0"/>
      <w:marTop w:val="0"/>
      <w:marBottom w:val="0"/>
      <w:divBdr>
        <w:top w:val="none" w:sz="0" w:space="0" w:color="auto"/>
        <w:left w:val="none" w:sz="0" w:space="0" w:color="auto"/>
        <w:bottom w:val="none" w:sz="0" w:space="0" w:color="auto"/>
        <w:right w:val="none" w:sz="0" w:space="0" w:color="auto"/>
      </w:divBdr>
    </w:div>
    <w:div w:id="12082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nifshome.centegra.com\pubmed\%3fterm=Beutner%20U%5bAuthor%5d&amp;cauthor=true&amp;cauthor_uid=25491306"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7229E-5B75-4F93-BBB0-09B5FBF48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Pages>
  <Words>6062</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Centegra Health System</Company>
  <LinksUpToDate>false</LinksUpToDate>
  <CharactersWithSpaces>40535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Karam Khaddour</dc:creator>
  <cp:lastModifiedBy>user</cp:lastModifiedBy>
  <cp:revision>13</cp:revision>
  <dcterms:created xsi:type="dcterms:W3CDTF">2019-10-15T03:17:00Z</dcterms:created>
  <dcterms:modified xsi:type="dcterms:W3CDTF">2019-11-06T14:01:00Z</dcterms:modified>
</cp:coreProperties>
</file>