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879A5" w14:textId="3EE55FA0" w:rsidR="00E20D16" w:rsidRPr="00D46A14" w:rsidRDefault="00E20D16" w:rsidP="00D46A14">
      <w:pPr>
        <w:spacing w:after="0" w:line="360" w:lineRule="auto"/>
        <w:ind w:left="0" w:firstLine="0"/>
        <w:rPr>
          <w:rStyle w:val="af3"/>
          <w:rFonts w:ascii="Book Antiqua" w:hAnsi="Book Antiqua"/>
          <w:i w:val="0"/>
          <w:sz w:val="24"/>
          <w:szCs w:val="24"/>
          <w:shd w:val="clear" w:color="auto" w:fill="FFFFFF"/>
        </w:rPr>
      </w:pPr>
      <w:r w:rsidRPr="00D46A14">
        <w:rPr>
          <w:rStyle w:val="fontstyle01"/>
          <w:rFonts w:ascii="Book Antiqua" w:hAnsi="Book Antiqua"/>
          <w:b/>
          <w:sz w:val="24"/>
          <w:szCs w:val="24"/>
        </w:rPr>
        <w:t>Name of Journal</w:t>
      </w:r>
      <w:r w:rsidRPr="00D46A14">
        <w:rPr>
          <w:rStyle w:val="fontstyle01"/>
          <w:rFonts w:ascii="Book Antiqua" w:hAnsi="Book Antiqua"/>
          <w:sz w:val="24"/>
          <w:szCs w:val="24"/>
        </w:rPr>
        <w:t xml:space="preserve">: </w:t>
      </w:r>
      <w:r w:rsidRPr="00D46A14">
        <w:rPr>
          <w:rStyle w:val="af3"/>
          <w:rFonts w:ascii="Book Antiqua" w:hAnsi="Book Antiqua"/>
          <w:sz w:val="24"/>
          <w:szCs w:val="24"/>
          <w:shd w:val="clear" w:color="auto" w:fill="FFFFFF"/>
        </w:rPr>
        <w:t xml:space="preserve">World Journal </w:t>
      </w:r>
      <w:r w:rsidR="008B13BF" w:rsidRPr="00D46A14">
        <w:rPr>
          <w:rStyle w:val="af3"/>
          <w:rFonts w:ascii="Book Antiqua" w:hAnsi="Book Antiqua"/>
          <w:sz w:val="24"/>
          <w:szCs w:val="24"/>
          <w:shd w:val="clear" w:color="auto" w:fill="FFFFFF"/>
        </w:rPr>
        <w:t>of Gastrointestinal Endoscopy</w:t>
      </w:r>
    </w:p>
    <w:p w14:paraId="77AAB7E9" w14:textId="79DC8C16" w:rsidR="00B65FF7" w:rsidRPr="00D46A14" w:rsidRDefault="00B65FF7" w:rsidP="00D46A14">
      <w:pPr>
        <w:spacing w:after="0" w:line="360" w:lineRule="auto"/>
        <w:ind w:hanging="56"/>
        <w:rPr>
          <w:rFonts w:ascii="Book Antiqua" w:eastAsia="宋体" w:hAnsi="Book Antiqua" w:cs="Tahoma"/>
          <w:b/>
          <w:color w:val="0000FF"/>
          <w:sz w:val="24"/>
          <w:szCs w:val="24"/>
          <w:lang w:eastAsia="zh-CN"/>
        </w:rPr>
      </w:pPr>
      <w:r w:rsidRPr="00D46A14">
        <w:rPr>
          <w:rFonts w:ascii="Book Antiqua" w:hAnsi="Book Antiqua" w:cs="Tahoma"/>
          <w:b/>
          <w:sz w:val="24"/>
          <w:szCs w:val="24"/>
        </w:rPr>
        <w:t>Manuscript NO:</w:t>
      </w:r>
      <w:r w:rsidRPr="00D46A14">
        <w:rPr>
          <w:rFonts w:ascii="Book Antiqua" w:hAnsi="Book Antiqua" w:cs="Tahoma"/>
          <w:b/>
          <w:color w:val="0000FF"/>
          <w:sz w:val="24"/>
          <w:szCs w:val="24"/>
        </w:rPr>
        <w:t xml:space="preserve"> </w:t>
      </w:r>
      <w:bookmarkStart w:id="0" w:name="OLE_LINK3"/>
      <w:bookmarkStart w:id="1" w:name="OLE_LINK4"/>
      <w:r w:rsidR="00512119">
        <w:rPr>
          <w:rFonts w:ascii="Book Antiqua" w:eastAsia="宋体" w:hAnsi="Book Antiqua" w:cs="Tahoma" w:hint="eastAsia"/>
          <w:sz w:val="24"/>
          <w:szCs w:val="24"/>
          <w:lang w:eastAsia="zh-CN"/>
        </w:rPr>
        <w:t>48836</w:t>
      </w:r>
    </w:p>
    <w:p w14:paraId="4E582FD5" w14:textId="6B5E6C70" w:rsidR="00B65FF7" w:rsidRPr="00D46A14" w:rsidRDefault="00B65FF7" w:rsidP="00D46A14">
      <w:pPr>
        <w:spacing w:after="0" w:line="360" w:lineRule="auto"/>
        <w:ind w:hanging="56"/>
        <w:rPr>
          <w:rFonts w:ascii="Book Antiqua" w:eastAsia="等线" w:hAnsi="Book Antiqua"/>
          <w:sz w:val="24"/>
          <w:szCs w:val="24"/>
          <w:lang w:eastAsia="zh-CN"/>
        </w:rPr>
      </w:pPr>
      <w:r w:rsidRPr="00D46A14">
        <w:rPr>
          <w:rFonts w:ascii="Book Antiqua" w:hAnsi="Book Antiqua"/>
          <w:b/>
          <w:sz w:val="24"/>
          <w:szCs w:val="24"/>
          <w:shd w:val="clear" w:color="auto" w:fill="FFFFFF"/>
        </w:rPr>
        <w:t>Manuscript Type</w:t>
      </w:r>
      <w:r w:rsidRPr="00D46A14">
        <w:rPr>
          <w:rFonts w:ascii="Book Antiqua" w:hAnsi="Book Antiqua"/>
          <w:b/>
          <w:sz w:val="24"/>
          <w:szCs w:val="24"/>
        </w:rPr>
        <w:t xml:space="preserve">: </w:t>
      </w:r>
      <w:bookmarkEnd w:id="0"/>
      <w:bookmarkEnd w:id="1"/>
      <w:r w:rsidRPr="00D46A14">
        <w:rPr>
          <w:rFonts w:ascii="Book Antiqua" w:hAnsi="Book Antiqua"/>
          <w:sz w:val="24"/>
          <w:szCs w:val="24"/>
        </w:rPr>
        <w:t>META-ANALYSIS</w:t>
      </w:r>
    </w:p>
    <w:p w14:paraId="372D0C14" w14:textId="77777777" w:rsidR="00B65FF7" w:rsidRPr="00D46A14" w:rsidRDefault="00B65FF7" w:rsidP="00D46A14">
      <w:pPr>
        <w:spacing w:after="0" w:line="360" w:lineRule="auto"/>
        <w:ind w:hanging="56"/>
        <w:rPr>
          <w:rFonts w:ascii="Book Antiqua" w:eastAsia="等线" w:hAnsi="Book Antiqua" w:cs="Tahoma"/>
          <w:b/>
          <w:color w:val="0000FF"/>
          <w:sz w:val="24"/>
          <w:szCs w:val="24"/>
          <w:lang w:eastAsia="zh-CN"/>
        </w:rPr>
      </w:pPr>
    </w:p>
    <w:p w14:paraId="2D79D474" w14:textId="0276ABE3" w:rsidR="00F75CFA" w:rsidRPr="00D46A14" w:rsidRDefault="002F0C3F" w:rsidP="00D46A14">
      <w:pPr>
        <w:spacing w:after="0" w:line="360" w:lineRule="auto"/>
        <w:ind w:left="0" w:right="0" w:firstLine="0"/>
        <w:rPr>
          <w:rFonts w:ascii="Book Antiqua" w:hAnsi="Book Antiqua"/>
          <w:b/>
          <w:sz w:val="24"/>
          <w:szCs w:val="24"/>
        </w:rPr>
      </w:pPr>
      <w:r w:rsidRPr="00D46A14">
        <w:rPr>
          <w:rFonts w:ascii="Book Antiqua" w:hAnsi="Book Antiqua"/>
          <w:b/>
          <w:sz w:val="24"/>
          <w:szCs w:val="24"/>
        </w:rPr>
        <w:t>P</w:t>
      </w:r>
      <w:r w:rsidR="00F75CFA" w:rsidRPr="00D46A14">
        <w:rPr>
          <w:rFonts w:ascii="Book Antiqua" w:hAnsi="Book Antiqua"/>
          <w:b/>
          <w:sz w:val="24"/>
          <w:szCs w:val="24"/>
        </w:rPr>
        <w:t xml:space="preserve">ropofol </w:t>
      </w:r>
      <w:r w:rsidR="00B65FF7" w:rsidRPr="00D46A14">
        <w:rPr>
          <w:rFonts w:ascii="Book Antiqua" w:eastAsia="等线" w:hAnsi="Book Antiqua"/>
          <w:b/>
          <w:i/>
          <w:sz w:val="24"/>
          <w:szCs w:val="24"/>
          <w:lang w:eastAsia="zh-CN"/>
        </w:rPr>
        <w:t>vs</w:t>
      </w:r>
      <w:r w:rsidR="00B65FF7" w:rsidRPr="00D46A14">
        <w:rPr>
          <w:rFonts w:ascii="Book Antiqua" w:eastAsia="等线" w:hAnsi="Book Antiqua"/>
          <w:b/>
          <w:sz w:val="24"/>
          <w:szCs w:val="24"/>
          <w:lang w:eastAsia="zh-CN"/>
        </w:rPr>
        <w:t xml:space="preserve"> </w:t>
      </w:r>
      <w:r w:rsidR="00B65FF7" w:rsidRPr="00D46A14">
        <w:rPr>
          <w:rFonts w:ascii="Book Antiqua" w:hAnsi="Book Antiqua"/>
          <w:b/>
          <w:sz w:val="24"/>
          <w:szCs w:val="24"/>
        </w:rPr>
        <w:t>traditional sedatives for sedation in endoscopy</w:t>
      </w:r>
      <w:r w:rsidRPr="00D46A14">
        <w:rPr>
          <w:rFonts w:ascii="Book Antiqua" w:hAnsi="Book Antiqua"/>
          <w:b/>
          <w:sz w:val="24"/>
          <w:szCs w:val="24"/>
        </w:rPr>
        <w:t xml:space="preserve">: A </w:t>
      </w:r>
      <w:r w:rsidR="00B65FF7" w:rsidRPr="00D46A14">
        <w:rPr>
          <w:rFonts w:ascii="Book Antiqua" w:hAnsi="Book Antiqua"/>
          <w:b/>
          <w:sz w:val="24"/>
          <w:szCs w:val="24"/>
        </w:rPr>
        <w:t>systematic review and meta-analysis</w:t>
      </w:r>
    </w:p>
    <w:p w14:paraId="1F6EEEA1" w14:textId="77777777" w:rsidR="00E20D16" w:rsidRPr="00D46A14" w:rsidRDefault="00E20D16" w:rsidP="00D46A14">
      <w:pPr>
        <w:spacing w:after="0" w:line="360" w:lineRule="auto"/>
        <w:ind w:left="0" w:right="0" w:firstLine="0"/>
        <w:rPr>
          <w:rFonts w:ascii="Book Antiqua" w:eastAsia="等线" w:hAnsi="Book Antiqua"/>
          <w:sz w:val="24"/>
          <w:szCs w:val="24"/>
          <w:lang w:eastAsia="zh-CN"/>
        </w:rPr>
      </w:pPr>
    </w:p>
    <w:p w14:paraId="1DACCCAE" w14:textId="151CA01E" w:rsidR="00B65FF7" w:rsidRPr="00D46A14" w:rsidRDefault="00B65FF7" w:rsidP="00D46A14">
      <w:pPr>
        <w:spacing w:after="0" w:line="360" w:lineRule="auto"/>
        <w:ind w:left="0" w:right="0" w:firstLine="0"/>
        <w:rPr>
          <w:rFonts w:ascii="Book Antiqua" w:eastAsia="等线" w:hAnsi="Book Antiqua"/>
          <w:sz w:val="24"/>
          <w:szCs w:val="24"/>
          <w:lang w:eastAsia="zh-CN"/>
        </w:rPr>
      </w:pPr>
      <w:r w:rsidRPr="00D46A14">
        <w:rPr>
          <w:rFonts w:ascii="Book Antiqua" w:hAnsi="Book Antiqua"/>
          <w:sz w:val="24"/>
          <w:szCs w:val="24"/>
          <w:lang w:val="pt-BR"/>
        </w:rPr>
        <w:t>Delgado</w:t>
      </w:r>
      <w:r w:rsidRPr="00D46A14">
        <w:rPr>
          <w:rFonts w:ascii="Book Antiqua" w:eastAsia="等线" w:hAnsi="Book Antiqua"/>
          <w:sz w:val="24"/>
          <w:szCs w:val="24"/>
          <w:lang w:eastAsia="zh-CN"/>
        </w:rPr>
        <w:t xml:space="preserve"> AAA </w:t>
      </w:r>
      <w:r w:rsidRPr="00D46A14">
        <w:rPr>
          <w:rFonts w:ascii="Book Antiqua" w:eastAsia="等线" w:hAnsi="Book Antiqua"/>
          <w:i/>
          <w:sz w:val="24"/>
          <w:szCs w:val="24"/>
          <w:lang w:eastAsia="zh-CN"/>
        </w:rPr>
        <w:t>et al</w:t>
      </w:r>
      <w:r w:rsidRPr="00D46A14">
        <w:rPr>
          <w:rFonts w:ascii="Book Antiqua" w:eastAsia="等线" w:hAnsi="Book Antiqua"/>
          <w:sz w:val="24"/>
          <w:szCs w:val="24"/>
          <w:lang w:eastAsia="zh-CN"/>
        </w:rPr>
        <w:t xml:space="preserve">. Propofol </w:t>
      </w:r>
      <w:r w:rsidRPr="00D46A14">
        <w:rPr>
          <w:rFonts w:ascii="Book Antiqua" w:eastAsia="等线" w:hAnsi="Book Antiqua"/>
          <w:i/>
          <w:sz w:val="24"/>
          <w:szCs w:val="24"/>
          <w:lang w:eastAsia="zh-CN"/>
        </w:rPr>
        <w:t>vs</w:t>
      </w:r>
      <w:r w:rsidRPr="00D46A14">
        <w:rPr>
          <w:rFonts w:ascii="Book Antiqua" w:eastAsia="等线" w:hAnsi="Book Antiqua"/>
          <w:sz w:val="24"/>
          <w:szCs w:val="24"/>
          <w:lang w:eastAsia="zh-CN"/>
        </w:rPr>
        <w:t xml:space="preserve"> </w:t>
      </w:r>
      <w:r w:rsidR="00BD144A" w:rsidRPr="00D46A14">
        <w:rPr>
          <w:rFonts w:ascii="Book Antiqua" w:eastAsia="等线" w:hAnsi="Book Antiqua"/>
          <w:sz w:val="24"/>
          <w:szCs w:val="24"/>
          <w:lang w:eastAsia="zh-CN"/>
        </w:rPr>
        <w:t>traditional sedatives for sedation in endoscopy</w:t>
      </w:r>
    </w:p>
    <w:p w14:paraId="26B842D4" w14:textId="77777777" w:rsidR="00B65FF7" w:rsidRPr="00D46A14" w:rsidRDefault="00B65FF7" w:rsidP="00D46A14">
      <w:pPr>
        <w:spacing w:after="0" w:line="360" w:lineRule="auto"/>
        <w:ind w:left="0" w:right="0" w:firstLine="0"/>
        <w:rPr>
          <w:rFonts w:ascii="Book Antiqua" w:eastAsia="等线" w:hAnsi="Book Antiqua"/>
          <w:sz w:val="24"/>
          <w:szCs w:val="24"/>
          <w:lang w:eastAsia="zh-CN"/>
        </w:rPr>
      </w:pPr>
    </w:p>
    <w:p w14:paraId="14C499A1" w14:textId="123744BE" w:rsidR="00E20D16" w:rsidRPr="00D46A14" w:rsidRDefault="00B65FF7" w:rsidP="00D46A14">
      <w:pPr>
        <w:spacing w:after="0" w:line="360" w:lineRule="auto"/>
        <w:ind w:left="0" w:right="0" w:firstLine="0"/>
        <w:rPr>
          <w:rFonts w:ascii="Book Antiqua" w:eastAsia="等线" w:hAnsi="Book Antiqua"/>
          <w:sz w:val="24"/>
          <w:szCs w:val="24"/>
          <w:lang w:val="pt-BR" w:eastAsia="zh-CN"/>
        </w:rPr>
      </w:pPr>
      <w:r w:rsidRPr="00D46A14">
        <w:rPr>
          <w:rFonts w:ascii="Book Antiqua" w:eastAsia="等线" w:hAnsi="Book Antiqua"/>
          <w:sz w:val="24"/>
          <w:szCs w:val="24"/>
          <w:lang w:val="pt-BR" w:eastAsia="zh-CN"/>
        </w:rPr>
        <w:t>A</w:t>
      </w:r>
      <w:r w:rsidR="00F75CFA" w:rsidRPr="00D46A14">
        <w:rPr>
          <w:rFonts w:ascii="Book Antiqua" w:hAnsi="Book Antiqua"/>
          <w:sz w:val="24"/>
          <w:szCs w:val="24"/>
          <w:lang w:val="pt-BR"/>
        </w:rPr>
        <w:t xml:space="preserve">ureo Augusto de Almeida Delgado, Diogo Turiani Hourneaux de Moura, Igor Braga Ribeiro, </w:t>
      </w:r>
      <w:r w:rsidR="006674D1" w:rsidRPr="00D46A14">
        <w:rPr>
          <w:rFonts w:ascii="Book Antiqua" w:hAnsi="Book Antiqua"/>
          <w:sz w:val="24"/>
          <w:szCs w:val="24"/>
          <w:lang w:val="pt-BR"/>
        </w:rPr>
        <w:t>Ahmad Najdat Bazarbashi</w:t>
      </w:r>
      <w:r w:rsidR="00F75CFA" w:rsidRPr="00D46A14">
        <w:rPr>
          <w:rFonts w:ascii="Book Antiqua" w:hAnsi="Book Antiqua"/>
          <w:sz w:val="24"/>
          <w:szCs w:val="24"/>
          <w:lang w:val="pt-BR"/>
        </w:rPr>
        <w:t xml:space="preserve">, Marcos Eduardo Lera dos Santos, </w:t>
      </w:r>
      <w:r w:rsidR="00CA3E11" w:rsidRPr="00D46A14">
        <w:rPr>
          <w:rFonts w:ascii="Book Antiqua" w:hAnsi="Book Antiqua"/>
          <w:sz w:val="24"/>
          <w:szCs w:val="24"/>
          <w:lang w:val="pt-BR"/>
        </w:rPr>
        <w:t>Wanderley Marques Bernardo, E</w:t>
      </w:r>
      <w:r w:rsidR="00F75CFA" w:rsidRPr="00D46A14">
        <w:rPr>
          <w:rFonts w:ascii="Book Antiqua" w:hAnsi="Book Antiqua"/>
          <w:sz w:val="24"/>
          <w:szCs w:val="24"/>
          <w:lang w:val="pt-BR"/>
        </w:rPr>
        <w:t>duardo Guimarães Hourneaux de Moura</w:t>
      </w:r>
    </w:p>
    <w:p w14:paraId="5067DEEB" w14:textId="77777777" w:rsidR="00F75CFA" w:rsidRPr="00D46A14" w:rsidRDefault="00F75CFA" w:rsidP="00D46A14">
      <w:pPr>
        <w:spacing w:after="0" w:line="360" w:lineRule="auto"/>
        <w:ind w:left="0" w:right="0" w:firstLine="0"/>
        <w:rPr>
          <w:rFonts w:ascii="Book Antiqua" w:hAnsi="Book Antiqua"/>
          <w:b/>
          <w:sz w:val="24"/>
          <w:szCs w:val="24"/>
          <w:lang w:val="pt-BR"/>
        </w:rPr>
      </w:pPr>
    </w:p>
    <w:p w14:paraId="34223E9E" w14:textId="6D1C6634" w:rsidR="00146B93" w:rsidRPr="00D46A14" w:rsidRDefault="00C72A09" w:rsidP="00D46A14">
      <w:pPr>
        <w:spacing w:after="0" w:line="360" w:lineRule="auto"/>
        <w:ind w:firstLine="0"/>
        <w:rPr>
          <w:rFonts w:ascii="Book Antiqua" w:eastAsia="等线" w:hAnsi="Book Antiqua" w:cs="Arial"/>
          <w:noProof/>
          <w:sz w:val="24"/>
          <w:szCs w:val="24"/>
          <w:lang w:val="pt-BR" w:eastAsia="zh-CN"/>
        </w:rPr>
      </w:pPr>
      <w:r w:rsidRPr="00D46A14">
        <w:rPr>
          <w:rFonts w:ascii="Book Antiqua" w:eastAsia="等线" w:hAnsi="Book Antiqua"/>
          <w:b/>
          <w:sz w:val="24"/>
          <w:szCs w:val="24"/>
          <w:lang w:val="pt-BR" w:eastAsia="zh-CN"/>
        </w:rPr>
        <w:t>A</w:t>
      </w:r>
      <w:r w:rsidRPr="00D46A14">
        <w:rPr>
          <w:rFonts w:ascii="Book Antiqua" w:hAnsi="Book Antiqua"/>
          <w:b/>
          <w:sz w:val="24"/>
          <w:szCs w:val="24"/>
          <w:lang w:val="pt-BR"/>
        </w:rPr>
        <w:t>ureo Augusto de Almeida Delgado, Diogo Turiani Hourneaux de Moura, Igor Braga Ribeiro, Marcos Eduardo Lera dos Santos, Wanderley Marques Bernardo, Eduardo Guimarães Hourneaux de Moura</w:t>
      </w:r>
      <w:r w:rsidRPr="00D46A14">
        <w:rPr>
          <w:rFonts w:ascii="Book Antiqua" w:eastAsia="等线" w:hAnsi="Book Antiqua"/>
          <w:b/>
          <w:sz w:val="24"/>
          <w:szCs w:val="24"/>
          <w:lang w:val="pt-BR" w:eastAsia="zh-CN"/>
        </w:rPr>
        <w:t xml:space="preserve">, </w:t>
      </w:r>
      <w:r w:rsidRPr="00D46A14">
        <w:rPr>
          <w:rFonts w:ascii="Book Antiqua" w:hAnsi="Book Antiqua" w:cs="Arial"/>
          <w:noProof/>
          <w:sz w:val="24"/>
          <w:szCs w:val="24"/>
          <w:lang w:val="pt-BR"/>
        </w:rPr>
        <w:t>Gastrointestinal Endoscopy Unit</w:t>
      </w:r>
      <w:r w:rsidRPr="00D46A14">
        <w:rPr>
          <w:rFonts w:ascii="Book Antiqua" w:eastAsia="等线" w:hAnsi="Book Antiqua" w:cs="Arial"/>
          <w:noProof/>
          <w:sz w:val="24"/>
          <w:szCs w:val="24"/>
          <w:lang w:val="pt-BR" w:eastAsia="zh-CN"/>
        </w:rPr>
        <w:t>,</w:t>
      </w:r>
      <w:r w:rsidRPr="00D46A14">
        <w:rPr>
          <w:rFonts w:ascii="Book Antiqua" w:hAnsi="Book Antiqua" w:cs="Arial"/>
          <w:noProof/>
          <w:sz w:val="24"/>
          <w:szCs w:val="24"/>
          <w:lang w:val="pt-BR"/>
        </w:rPr>
        <w:t xml:space="preserve"> </w:t>
      </w:r>
      <w:r w:rsidR="00E20D16" w:rsidRPr="00D46A14">
        <w:rPr>
          <w:rFonts w:ascii="Book Antiqua" w:hAnsi="Book Antiqua" w:cs="Arial"/>
          <w:noProof/>
          <w:sz w:val="24"/>
          <w:szCs w:val="24"/>
          <w:lang w:val="pt-BR"/>
        </w:rPr>
        <w:t>Hospital das Clínicas da Faculdade de Medicina da Universidade de São Paulo</w:t>
      </w:r>
      <w:r w:rsidR="00B31149" w:rsidRPr="00D46A14">
        <w:rPr>
          <w:rFonts w:ascii="Book Antiqua" w:eastAsia="等线" w:hAnsi="Book Antiqua" w:cs="Arial"/>
          <w:noProof/>
          <w:sz w:val="24"/>
          <w:szCs w:val="24"/>
          <w:lang w:val="pt-BR" w:eastAsia="zh-CN"/>
        </w:rPr>
        <w:t>,</w:t>
      </w:r>
      <w:r w:rsidR="00E20D16" w:rsidRPr="00D46A14">
        <w:rPr>
          <w:rFonts w:ascii="Book Antiqua" w:hAnsi="Book Antiqua" w:cs="Arial"/>
          <w:noProof/>
          <w:sz w:val="24"/>
          <w:szCs w:val="24"/>
          <w:lang w:val="pt-BR"/>
        </w:rPr>
        <w:t xml:space="preserve"> </w:t>
      </w:r>
      <w:r w:rsidR="00B31149" w:rsidRPr="00D46A14">
        <w:rPr>
          <w:rFonts w:ascii="Book Antiqua" w:hAnsi="Book Antiqua"/>
          <w:sz w:val="24"/>
          <w:szCs w:val="24"/>
        </w:rPr>
        <w:t>Sao Paulo 05403000</w:t>
      </w:r>
      <w:r w:rsidR="00B31149" w:rsidRPr="00D46A14">
        <w:rPr>
          <w:rFonts w:ascii="Book Antiqua" w:eastAsia="等线" w:hAnsi="Book Antiqua"/>
          <w:sz w:val="24"/>
          <w:szCs w:val="24"/>
          <w:lang w:eastAsia="zh-CN"/>
        </w:rPr>
        <w:t xml:space="preserve">, </w:t>
      </w:r>
      <w:r w:rsidR="00B31149" w:rsidRPr="00D46A14">
        <w:rPr>
          <w:rFonts w:ascii="Book Antiqua" w:hAnsi="Book Antiqua"/>
          <w:sz w:val="24"/>
          <w:szCs w:val="24"/>
        </w:rPr>
        <w:t>Brazil</w:t>
      </w:r>
    </w:p>
    <w:p w14:paraId="25CA5060" w14:textId="77777777" w:rsidR="00C72A09" w:rsidRPr="00D46A14" w:rsidRDefault="00C72A09" w:rsidP="00D46A14">
      <w:pPr>
        <w:spacing w:after="0" w:line="360" w:lineRule="auto"/>
        <w:ind w:left="0" w:right="0" w:firstLine="0"/>
        <w:rPr>
          <w:rFonts w:ascii="Book Antiqua" w:eastAsia="等线" w:hAnsi="Book Antiqua" w:cs="Arial"/>
          <w:iCs/>
          <w:sz w:val="24"/>
          <w:szCs w:val="24"/>
          <w:lang w:val="pt-BR" w:eastAsia="zh-CN"/>
        </w:rPr>
      </w:pPr>
    </w:p>
    <w:p w14:paraId="7673F5E0" w14:textId="11FD565C" w:rsidR="00146B93" w:rsidRPr="00D46A14" w:rsidRDefault="00C72A09" w:rsidP="00D46A14">
      <w:pPr>
        <w:spacing w:after="0" w:line="360" w:lineRule="auto"/>
        <w:ind w:left="0" w:firstLine="0"/>
        <w:rPr>
          <w:rFonts w:ascii="Book Antiqua" w:eastAsia="等线" w:hAnsi="Book Antiqua" w:cs="Arial"/>
          <w:noProof/>
          <w:sz w:val="24"/>
          <w:szCs w:val="24"/>
          <w:lang w:eastAsia="zh-CN"/>
        </w:rPr>
      </w:pPr>
      <w:r w:rsidRPr="00D46A14">
        <w:rPr>
          <w:rFonts w:ascii="Book Antiqua" w:hAnsi="Book Antiqua"/>
          <w:b/>
          <w:sz w:val="24"/>
          <w:szCs w:val="24"/>
          <w:lang w:val="pt-BR"/>
        </w:rPr>
        <w:t>Diogo Turiani Hourneaux de Moura, Ahmad Najdat Bazarbashi,</w:t>
      </w:r>
      <w:r w:rsidR="00B31149" w:rsidRPr="00D46A14">
        <w:rPr>
          <w:rFonts w:ascii="Book Antiqua" w:eastAsia="等线" w:hAnsi="Book Antiqua"/>
          <w:b/>
          <w:sz w:val="24"/>
          <w:szCs w:val="24"/>
          <w:lang w:val="pt-BR" w:eastAsia="zh-CN"/>
        </w:rPr>
        <w:t xml:space="preserve"> </w:t>
      </w:r>
      <w:r w:rsidR="00B31149" w:rsidRPr="00D46A14">
        <w:rPr>
          <w:rFonts w:ascii="Book Antiqua" w:hAnsi="Book Antiqua" w:cs="Arial"/>
          <w:iCs/>
          <w:sz w:val="24"/>
          <w:szCs w:val="24"/>
        </w:rPr>
        <w:t>Division of Gastroenterology, Hepatology and Endoscopy</w:t>
      </w:r>
      <w:r w:rsidR="00B31149" w:rsidRPr="00D46A14">
        <w:rPr>
          <w:rFonts w:ascii="Book Antiqua" w:eastAsia="等线" w:hAnsi="Book Antiqua" w:cs="Arial"/>
          <w:iCs/>
          <w:sz w:val="24"/>
          <w:szCs w:val="24"/>
          <w:lang w:eastAsia="zh-CN"/>
        </w:rPr>
        <w:t xml:space="preserve">, </w:t>
      </w:r>
      <w:r w:rsidR="00146B93" w:rsidRPr="00D46A14">
        <w:rPr>
          <w:rFonts w:ascii="Book Antiqua" w:hAnsi="Book Antiqua" w:cs="Arial"/>
          <w:iCs/>
          <w:sz w:val="24"/>
          <w:szCs w:val="24"/>
        </w:rPr>
        <w:t xml:space="preserve">Brigham and Women’s Hospital, Harvard Medical School, Boston, </w:t>
      </w:r>
      <w:r w:rsidR="00B31149" w:rsidRPr="00D46A14">
        <w:rPr>
          <w:rFonts w:ascii="Book Antiqua" w:eastAsia="等线" w:hAnsi="Book Antiqua" w:cs="Arial"/>
          <w:iCs/>
          <w:sz w:val="24"/>
          <w:szCs w:val="24"/>
          <w:lang w:eastAsia="zh-CN"/>
        </w:rPr>
        <w:t>MA</w:t>
      </w:r>
      <w:r w:rsidR="00B31149" w:rsidRPr="00D46A14">
        <w:rPr>
          <w:rFonts w:ascii="Book Antiqua" w:hAnsi="Book Antiqua"/>
          <w:sz w:val="24"/>
          <w:szCs w:val="24"/>
        </w:rPr>
        <w:t xml:space="preserve"> 02115</w:t>
      </w:r>
      <w:r w:rsidR="00146B93" w:rsidRPr="00D46A14">
        <w:rPr>
          <w:rFonts w:ascii="Book Antiqua" w:hAnsi="Book Antiqua" w:cs="Arial"/>
          <w:iCs/>
          <w:sz w:val="24"/>
          <w:szCs w:val="24"/>
        </w:rPr>
        <w:t xml:space="preserve">, </w:t>
      </w:r>
      <w:r w:rsidR="00B31149" w:rsidRPr="00D46A14">
        <w:rPr>
          <w:rFonts w:ascii="Book Antiqua" w:eastAsia="等线" w:hAnsi="Book Antiqua" w:cs="Arial"/>
          <w:iCs/>
          <w:sz w:val="24"/>
          <w:szCs w:val="24"/>
          <w:lang w:eastAsia="zh-CN"/>
        </w:rPr>
        <w:t>United States</w:t>
      </w:r>
    </w:p>
    <w:p w14:paraId="338FFE54" w14:textId="77777777" w:rsidR="00146B93" w:rsidRPr="00D46A14" w:rsidRDefault="00146B93" w:rsidP="00D46A14">
      <w:pPr>
        <w:spacing w:after="0" w:line="360" w:lineRule="auto"/>
        <w:ind w:right="0"/>
        <w:rPr>
          <w:rFonts w:ascii="Book Antiqua" w:hAnsi="Book Antiqua" w:cs="Arial"/>
          <w:noProof/>
          <w:sz w:val="24"/>
          <w:szCs w:val="24"/>
        </w:rPr>
      </w:pPr>
    </w:p>
    <w:p w14:paraId="1E485AAE" w14:textId="3EE6C936" w:rsidR="004034D8" w:rsidRPr="00D46A14" w:rsidRDefault="00E20D16" w:rsidP="00D46A14">
      <w:pPr>
        <w:spacing w:after="0" w:line="360" w:lineRule="auto"/>
        <w:ind w:left="0" w:right="0" w:firstLine="0"/>
        <w:rPr>
          <w:rFonts w:ascii="Book Antiqua" w:eastAsia="等线" w:hAnsi="Book Antiqua"/>
          <w:color w:val="auto"/>
          <w:sz w:val="24"/>
          <w:szCs w:val="24"/>
          <w:lang w:val="pt-BR" w:eastAsia="zh-CN"/>
        </w:rPr>
      </w:pPr>
      <w:r w:rsidRPr="00D46A14">
        <w:rPr>
          <w:rStyle w:val="fontstyle01"/>
          <w:rFonts w:ascii="Book Antiqua" w:hAnsi="Book Antiqua"/>
          <w:b/>
          <w:sz w:val="24"/>
          <w:szCs w:val="24"/>
          <w:lang w:val="pt-BR"/>
        </w:rPr>
        <w:t>ORCID number</w:t>
      </w:r>
      <w:r w:rsidRPr="00D46A14">
        <w:rPr>
          <w:rStyle w:val="fontstyle01"/>
          <w:rFonts w:ascii="Book Antiqua" w:hAnsi="Book Antiqua"/>
          <w:sz w:val="24"/>
          <w:szCs w:val="24"/>
          <w:lang w:val="pt-BR"/>
        </w:rPr>
        <w:t xml:space="preserve">: </w:t>
      </w:r>
      <w:r w:rsidR="004034D8" w:rsidRPr="00D46A14">
        <w:rPr>
          <w:rFonts w:ascii="Book Antiqua" w:eastAsia="等线" w:hAnsi="Book Antiqua"/>
          <w:sz w:val="24"/>
          <w:szCs w:val="24"/>
          <w:lang w:val="pt-BR" w:eastAsia="zh-CN"/>
        </w:rPr>
        <w:t>A</w:t>
      </w:r>
      <w:r w:rsidR="003A5ABC" w:rsidRPr="00D46A14">
        <w:rPr>
          <w:rFonts w:ascii="Book Antiqua" w:hAnsi="Book Antiqua"/>
          <w:sz w:val="24"/>
          <w:szCs w:val="24"/>
          <w:lang w:val="pt-BR"/>
        </w:rPr>
        <w:t>ureo Augusto de Almeida Delgado</w:t>
      </w:r>
      <w:r w:rsidR="003A5ABC" w:rsidRPr="00D46A14">
        <w:rPr>
          <w:rFonts w:ascii="Book Antiqua" w:hAnsi="Book Antiqua" w:cstheme="minorHAnsi"/>
          <w:color w:val="000000" w:themeColor="text1"/>
          <w:sz w:val="24"/>
          <w:szCs w:val="24"/>
          <w:lang w:val="pt-BR"/>
        </w:rPr>
        <w:t xml:space="preserve"> </w:t>
      </w:r>
      <w:r w:rsidRPr="00D46A14">
        <w:rPr>
          <w:rFonts w:ascii="Book Antiqua" w:hAnsi="Book Antiqua" w:cstheme="minorHAnsi"/>
          <w:color w:val="000000" w:themeColor="text1"/>
          <w:sz w:val="24"/>
          <w:szCs w:val="24"/>
          <w:lang w:val="pt-BR"/>
        </w:rPr>
        <w:t>(</w:t>
      </w:r>
      <w:r w:rsidR="000B783D" w:rsidRPr="00D46A14">
        <w:rPr>
          <w:rFonts w:ascii="Book Antiqua" w:hAnsi="Book Antiqua" w:cstheme="minorHAnsi"/>
          <w:color w:val="000000" w:themeColor="text1"/>
          <w:sz w:val="24"/>
          <w:szCs w:val="24"/>
          <w:lang w:val="pt-BR"/>
        </w:rPr>
        <w:t>0000-0003-1183-9840</w:t>
      </w:r>
      <w:r w:rsidRPr="00D46A14">
        <w:rPr>
          <w:rFonts w:ascii="Book Antiqua" w:hAnsi="Book Antiqua" w:cstheme="minorHAnsi"/>
          <w:color w:val="000000" w:themeColor="text1"/>
          <w:sz w:val="24"/>
          <w:szCs w:val="24"/>
          <w:lang w:val="pt-BR"/>
        </w:rPr>
        <w:t xml:space="preserve">); </w:t>
      </w:r>
      <w:r w:rsidR="003A5ABC" w:rsidRPr="00D46A14">
        <w:rPr>
          <w:rFonts w:ascii="Book Antiqua" w:hAnsi="Book Antiqua" w:cstheme="minorHAnsi"/>
          <w:sz w:val="24"/>
          <w:szCs w:val="24"/>
          <w:lang w:val="pt-BR"/>
        </w:rPr>
        <w:t>Diogo Turiani Hourneaux de Moura (</w:t>
      </w:r>
      <w:r w:rsidR="003A5ABC" w:rsidRPr="00D46A14">
        <w:rPr>
          <w:rFonts w:ascii="Book Antiqua" w:hAnsi="Book Antiqua" w:cs="Arial"/>
          <w:sz w:val="24"/>
          <w:szCs w:val="24"/>
          <w:lang w:val="pt-BR"/>
        </w:rPr>
        <w:t>0000-0002-7446-0355</w:t>
      </w:r>
      <w:r w:rsidR="003A5ABC" w:rsidRPr="00D46A14">
        <w:rPr>
          <w:rFonts w:ascii="Book Antiqua" w:hAnsi="Book Antiqua" w:cstheme="minorHAnsi"/>
          <w:color w:val="000000" w:themeColor="text1"/>
          <w:sz w:val="24"/>
          <w:szCs w:val="24"/>
          <w:lang w:val="pt-BR"/>
        </w:rPr>
        <w:t xml:space="preserve">); </w:t>
      </w:r>
      <w:r w:rsidRPr="00D46A14">
        <w:rPr>
          <w:rFonts w:ascii="Book Antiqua" w:hAnsi="Book Antiqua" w:cstheme="minorHAnsi"/>
          <w:color w:val="000000" w:themeColor="text1"/>
          <w:sz w:val="24"/>
          <w:szCs w:val="24"/>
          <w:lang w:val="pt-BR"/>
        </w:rPr>
        <w:t>Igor Braga Ribeiro (0000-0003-1844</w:t>
      </w:r>
      <w:r w:rsidR="00FC401F" w:rsidRPr="00D46A14">
        <w:rPr>
          <w:rFonts w:ascii="Book Antiqua" w:hAnsi="Book Antiqua" w:cstheme="minorHAnsi"/>
          <w:color w:val="000000" w:themeColor="text1"/>
          <w:sz w:val="24"/>
          <w:szCs w:val="24"/>
          <w:lang w:val="pt-BR"/>
        </w:rPr>
        <w:t xml:space="preserve"> -</w:t>
      </w:r>
      <w:r w:rsidRPr="00D46A14">
        <w:rPr>
          <w:rFonts w:ascii="Book Antiqua" w:hAnsi="Book Antiqua" w:cstheme="minorHAnsi"/>
          <w:color w:val="000000" w:themeColor="text1"/>
          <w:sz w:val="24"/>
          <w:szCs w:val="24"/>
          <w:lang w:val="pt-BR"/>
        </w:rPr>
        <w:t xml:space="preserve">8973); </w:t>
      </w:r>
      <w:r w:rsidR="00D11D94" w:rsidRPr="00D46A14">
        <w:rPr>
          <w:rFonts w:ascii="Book Antiqua" w:hAnsi="Book Antiqua"/>
          <w:sz w:val="24"/>
          <w:szCs w:val="24"/>
          <w:lang w:val="pt-BR"/>
        </w:rPr>
        <w:t xml:space="preserve">Ahmad Najdat Bazarbashi </w:t>
      </w:r>
      <w:r w:rsidR="00D76984" w:rsidRPr="00D46A14">
        <w:rPr>
          <w:rFonts w:ascii="Book Antiqua" w:hAnsi="Book Antiqua" w:cstheme="minorHAnsi"/>
          <w:color w:val="000000" w:themeColor="text1"/>
          <w:sz w:val="24"/>
          <w:szCs w:val="24"/>
          <w:lang w:val="pt-BR"/>
        </w:rPr>
        <w:t>(</w:t>
      </w:r>
      <w:r w:rsidR="00FF38FB" w:rsidRPr="00D46A14">
        <w:rPr>
          <w:rFonts w:ascii="Book Antiqua" w:hAnsi="Book Antiqua"/>
          <w:color w:val="000000" w:themeColor="text1"/>
          <w:sz w:val="24"/>
          <w:szCs w:val="24"/>
          <w:shd w:val="clear" w:color="auto" w:fill="FFFFFF"/>
          <w:lang w:val="pt-BR" w:eastAsia="en-US"/>
        </w:rPr>
        <w:t>0000-0002-5830-9938</w:t>
      </w:r>
      <w:r w:rsidR="00D76984" w:rsidRPr="00D46A14">
        <w:rPr>
          <w:rFonts w:ascii="Book Antiqua" w:hAnsi="Book Antiqua"/>
          <w:color w:val="auto"/>
          <w:sz w:val="24"/>
          <w:szCs w:val="24"/>
          <w:lang w:val="pt-BR" w:eastAsia="en-US"/>
        </w:rPr>
        <w:t xml:space="preserve">); </w:t>
      </w:r>
      <w:r w:rsidR="003A5ABC" w:rsidRPr="00D46A14">
        <w:rPr>
          <w:rFonts w:ascii="Book Antiqua" w:hAnsi="Book Antiqua"/>
          <w:sz w:val="24"/>
          <w:szCs w:val="24"/>
          <w:lang w:val="pt-BR"/>
        </w:rPr>
        <w:t>Marcos Eduardo Lera dos Santos (</w:t>
      </w:r>
      <w:r w:rsidR="000B783D" w:rsidRPr="00D46A14">
        <w:rPr>
          <w:rFonts w:ascii="Book Antiqua" w:hAnsi="Book Antiqua"/>
          <w:sz w:val="24"/>
          <w:szCs w:val="24"/>
          <w:lang w:val="pt-BR"/>
        </w:rPr>
        <w:t>0000-0001-9759-3807</w:t>
      </w:r>
      <w:r w:rsidR="003A5ABC" w:rsidRPr="00D46A14">
        <w:rPr>
          <w:rFonts w:ascii="Book Antiqua" w:hAnsi="Book Antiqua"/>
          <w:sz w:val="24"/>
          <w:szCs w:val="24"/>
          <w:lang w:val="pt-BR"/>
        </w:rPr>
        <w:t>)</w:t>
      </w:r>
      <w:r w:rsidR="00CA3E11" w:rsidRPr="00D46A14">
        <w:rPr>
          <w:rFonts w:ascii="Book Antiqua" w:hAnsi="Book Antiqua"/>
          <w:sz w:val="24"/>
          <w:szCs w:val="24"/>
          <w:lang w:val="pt-BR"/>
        </w:rPr>
        <w:t xml:space="preserve">; </w:t>
      </w:r>
      <w:r w:rsidR="00CA3E11" w:rsidRPr="00D46A14">
        <w:rPr>
          <w:rFonts w:ascii="Book Antiqua" w:hAnsi="Book Antiqua" w:cstheme="minorHAnsi"/>
          <w:color w:val="000000" w:themeColor="text1"/>
          <w:sz w:val="24"/>
          <w:szCs w:val="24"/>
          <w:lang w:val="pt-BR"/>
        </w:rPr>
        <w:t>Wanderley Marques Bernardo (</w:t>
      </w:r>
      <w:r w:rsidR="00CA3E11" w:rsidRPr="00D46A14">
        <w:rPr>
          <w:rFonts w:ascii="Book Antiqua" w:hAnsi="Book Antiqua" w:cs="Arial"/>
          <w:sz w:val="24"/>
          <w:szCs w:val="24"/>
          <w:lang w:val="pt-BR"/>
        </w:rPr>
        <w:t>0000-0002-8597-5207</w:t>
      </w:r>
      <w:r w:rsidR="00CA3E11" w:rsidRPr="00D46A14">
        <w:rPr>
          <w:rFonts w:ascii="Book Antiqua" w:hAnsi="Book Antiqua" w:cstheme="minorHAnsi"/>
          <w:color w:val="000000" w:themeColor="text1"/>
          <w:sz w:val="24"/>
          <w:szCs w:val="24"/>
          <w:lang w:val="pt-BR"/>
        </w:rPr>
        <w:t>);</w:t>
      </w:r>
      <w:r w:rsidR="003A5ABC" w:rsidRPr="00D46A14">
        <w:rPr>
          <w:rFonts w:ascii="Book Antiqua" w:hAnsi="Book Antiqua" w:cstheme="minorHAnsi"/>
          <w:color w:val="000000" w:themeColor="text1"/>
          <w:sz w:val="24"/>
          <w:szCs w:val="24"/>
          <w:lang w:val="pt-BR"/>
        </w:rPr>
        <w:t xml:space="preserve"> </w:t>
      </w:r>
      <w:r w:rsidRPr="00D46A14">
        <w:rPr>
          <w:rFonts w:ascii="Book Antiqua" w:hAnsi="Book Antiqua" w:cstheme="minorHAnsi"/>
          <w:color w:val="000000" w:themeColor="text1"/>
          <w:sz w:val="24"/>
          <w:szCs w:val="24"/>
          <w:lang w:val="pt-BR"/>
        </w:rPr>
        <w:t>Eduardo Guimarães Hourneaux de Moura (</w:t>
      </w:r>
      <w:r w:rsidRPr="00D46A14">
        <w:rPr>
          <w:rFonts w:ascii="Book Antiqua" w:hAnsi="Book Antiqua" w:cs="Arial"/>
          <w:sz w:val="24"/>
          <w:szCs w:val="24"/>
          <w:lang w:val="pt-BR"/>
        </w:rPr>
        <w:t>0000-0002-8023-3722)</w:t>
      </w:r>
      <w:r w:rsidR="004034D8" w:rsidRPr="00D46A14">
        <w:rPr>
          <w:rFonts w:ascii="Book Antiqua" w:eastAsia="等线" w:hAnsi="Book Antiqua" w:cs="Arial"/>
          <w:sz w:val="24"/>
          <w:szCs w:val="24"/>
          <w:lang w:val="pt-BR" w:eastAsia="zh-CN"/>
        </w:rPr>
        <w:t>.</w:t>
      </w:r>
    </w:p>
    <w:p w14:paraId="53EBF1D8" w14:textId="77777777" w:rsidR="00524AF5" w:rsidRPr="00D46A14" w:rsidRDefault="00524AF5" w:rsidP="00D46A14">
      <w:pPr>
        <w:spacing w:after="0" w:line="360" w:lineRule="auto"/>
        <w:ind w:left="0" w:right="0" w:firstLine="0"/>
        <w:rPr>
          <w:rFonts w:ascii="Book Antiqua" w:eastAsia="等线" w:hAnsi="Book Antiqua"/>
          <w:color w:val="auto"/>
          <w:sz w:val="24"/>
          <w:szCs w:val="24"/>
          <w:lang w:val="pt-BR" w:eastAsia="zh-CN"/>
        </w:rPr>
      </w:pPr>
    </w:p>
    <w:p w14:paraId="63FF724B" w14:textId="2E86A2C7" w:rsidR="00E20D16" w:rsidRPr="00D46A14" w:rsidRDefault="00E20D16" w:rsidP="00D46A14">
      <w:pPr>
        <w:spacing w:after="0" w:line="360" w:lineRule="auto"/>
        <w:ind w:left="0" w:right="0" w:firstLine="0"/>
        <w:rPr>
          <w:rStyle w:val="fontstyle31"/>
          <w:rFonts w:eastAsia="等线"/>
          <w:color w:val="auto"/>
          <w:lang w:val="pt-BR" w:eastAsia="zh-CN"/>
        </w:rPr>
      </w:pPr>
      <w:r w:rsidRPr="00D46A14">
        <w:rPr>
          <w:rFonts w:ascii="Book Antiqua" w:hAnsi="Book Antiqua" w:cs="Arial"/>
          <w:b/>
          <w:sz w:val="24"/>
          <w:szCs w:val="24"/>
        </w:rPr>
        <w:lastRenderedPageBreak/>
        <w:t>Author contributions</w:t>
      </w:r>
      <w:r w:rsidRPr="00D46A14">
        <w:rPr>
          <w:rFonts w:ascii="Book Antiqua" w:hAnsi="Book Antiqua" w:cs="Arial"/>
          <w:color w:val="494A4C"/>
          <w:sz w:val="24"/>
          <w:szCs w:val="24"/>
        </w:rPr>
        <w:t xml:space="preserve">: </w:t>
      </w:r>
      <w:r w:rsidR="003A5ABC" w:rsidRPr="00D46A14">
        <w:rPr>
          <w:rStyle w:val="fontstyle31"/>
        </w:rPr>
        <w:t>Delgado</w:t>
      </w:r>
      <w:r w:rsidRPr="00D46A14">
        <w:rPr>
          <w:rStyle w:val="fontstyle31"/>
        </w:rPr>
        <w:t xml:space="preserve"> </w:t>
      </w:r>
      <w:r w:rsidR="004034D8" w:rsidRPr="00D46A14">
        <w:rPr>
          <w:rStyle w:val="fontstyle31"/>
        </w:rPr>
        <w:t>AAA</w:t>
      </w:r>
      <w:r w:rsidRPr="00D46A14">
        <w:rPr>
          <w:rStyle w:val="fontstyle31"/>
        </w:rPr>
        <w:t xml:space="preserve"> </w:t>
      </w:r>
      <w:r w:rsidR="004034D8" w:rsidRPr="00D46A14">
        <w:rPr>
          <w:rStyle w:val="fontstyle31"/>
          <w:rFonts w:eastAsia="等线"/>
          <w:lang w:eastAsia="zh-CN"/>
        </w:rPr>
        <w:t xml:space="preserve">contributed to the </w:t>
      </w:r>
      <w:r w:rsidRPr="00D46A14">
        <w:rPr>
          <w:rStyle w:val="fontstyle31"/>
        </w:rPr>
        <w:t xml:space="preserve">acquisition of data, analysis, interpretation of data, drafting the article, revising the article, final approval; </w:t>
      </w:r>
      <w:r w:rsidR="004034D8" w:rsidRPr="00D46A14">
        <w:rPr>
          <w:rStyle w:val="fontstyle31"/>
        </w:rPr>
        <w:t>de Moura</w:t>
      </w:r>
      <w:r w:rsidR="004034D8" w:rsidRPr="00D46A14">
        <w:rPr>
          <w:rStyle w:val="fontstyle31"/>
          <w:rFonts w:eastAsia="等线"/>
          <w:lang w:eastAsia="zh-CN"/>
        </w:rPr>
        <w:t xml:space="preserve"> </w:t>
      </w:r>
      <w:r w:rsidR="00584286" w:rsidRPr="00D46A14">
        <w:rPr>
          <w:rStyle w:val="fontstyle31"/>
        </w:rPr>
        <w:t xml:space="preserve">DTH </w:t>
      </w:r>
      <w:r w:rsidR="004034D8" w:rsidRPr="00D46A14">
        <w:rPr>
          <w:rStyle w:val="fontstyle31"/>
          <w:rFonts w:eastAsia="等线"/>
          <w:lang w:eastAsia="zh-CN"/>
        </w:rPr>
        <w:t>contributed to the</w:t>
      </w:r>
      <w:r w:rsidR="004034D8" w:rsidRPr="00D46A14">
        <w:rPr>
          <w:rStyle w:val="fontstyle31"/>
        </w:rPr>
        <w:t xml:space="preserve"> </w:t>
      </w:r>
      <w:r w:rsidR="00584286" w:rsidRPr="00D46A14">
        <w:rPr>
          <w:rStyle w:val="fontstyle31"/>
        </w:rPr>
        <w:t xml:space="preserve">analysis and interpretation of data, revising the article; </w:t>
      </w:r>
      <w:r w:rsidR="004034D8" w:rsidRPr="00D46A14">
        <w:rPr>
          <w:rStyle w:val="fontstyle31"/>
        </w:rPr>
        <w:t>Ribeiro</w:t>
      </w:r>
      <w:r w:rsidR="00584286" w:rsidRPr="00D46A14">
        <w:rPr>
          <w:rStyle w:val="fontstyle31"/>
        </w:rPr>
        <w:t xml:space="preserve"> IB </w:t>
      </w:r>
      <w:r w:rsidR="004034D8" w:rsidRPr="00D46A14">
        <w:rPr>
          <w:rStyle w:val="fontstyle31"/>
          <w:rFonts w:eastAsia="等线"/>
          <w:lang w:eastAsia="zh-CN"/>
        </w:rPr>
        <w:t>contributed to the</w:t>
      </w:r>
      <w:r w:rsidR="004034D8" w:rsidRPr="00D46A14">
        <w:rPr>
          <w:rStyle w:val="fontstyle31"/>
        </w:rPr>
        <w:t xml:space="preserve"> </w:t>
      </w:r>
      <w:r w:rsidR="00584286" w:rsidRPr="00D46A14">
        <w:rPr>
          <w:rStyle w:val="fontstyle31"/>
        </w:rPr>
        <w:t xml:space="preserve">acquisition of data, drafting the article, revising the article, final approval; </w:t>
      </w:r>
      <w:r w:rsidR="004034D8" w:rsidRPr="00D46A14">
        <w:rPr>
          <w:rStyle w:val="fontstyle31"/>
        </w:rPr>
        <w:t>Bernardo</w:t>
      </w:r>
      <w:r w:rsidRPr="00D46A14">
        <w:rPr>
          <w:rStyle w:val="fontstyle31"/>
        </w:rPr>
        <w:t xml:space="preserve"> WM</w:t>
      </w:r>
      <w:r w:rsidR="004034D8" w:rsidRPr="00D46A14">
        <w:rPr>
          <w:rStyle w:val="fontstyle31"/>
          <w:rFonts w:eastAsia="等线"/>
          <w:lang w:eastAsia="zh-CN"/>
        </w:rPr>
        <w:t xml:space="preserve"> contributed to the</w:t>
      </w:r>
      <w:r w:rsidRPr="00D46A14">
        <w:rPr>
          <w:rStyle w:val="fontstyle31"/>
        </w:rPr>
        <w:t xml:space="preserve"> analysis and interpretation of data, drafting the article, final approval; </w:t>
      </w:r>
      <w:r w:rsidR="006340FF" w:rsidRPr="00D46A14">
        <w:rPr>
          <w:rFonts w:ascii="Book Antiqua" w:hAnsi="Book Antiqua"/>
          <w:sz w:val="24"/>
          <w:szCs w:val="24"/>
        </w:rPr>
        <w:t>Bazarbashi</w:t>
      </w:r>
      <w:r w:rsidR="00D11D94" w:rsidRPr="00D46A14">
        <w:rPr>
          <w:rFonts w:ascii="Book Antiqua" w:hAnsi="Book Antiqua"/>
          <w:sz w:val="24"/>
          <w:szCs w:val="24"/>
        </w:rPr>
        <w:t xml:space="preserve"> AN</w:t>
      </w:r>
      <w:r w:rsidR="004034D8" w:rsidRPr="00D46A14">
        <w:rPr>
          <w:rStyle w:val="fontstyle31"/>
          <w:rFonts w:eastAsia="等线"/>
          <w:lang w:eastAsia="zh-CN"/>
        </w:rPr>
        <w:t xml:space="preserve"> contributed to the</w:t>
      </w:r>
      <w:r w:rsidR="00FD168C" w:rsidRPr="00D46A14">
        <w:rPr>
          <w:rStyle w:val="fontstyle31"/>
        </w:rPr>
        <w:t xml:space="preserve"> revising, editing and drafting article,</w:t>
      </w:r>
      <w:r w:rsidRPr="00D46A14">
        <w:rPr>
          <w:rStyle w:val="fontstyle31"/>
        </w:rPr>
        <w:t xml:space="preserve"> </w:t>
      </w:r>
      <w:r w:rsidR="006340FF" w:rsidRPr="00D46A14">
        <w:rPr>
          <w:rStyle w:val="fontstyle31"/>
        </w:rPr>
        <w:t>final approval</w:t>
      </w:r>
      <w:r w:rsidR="006340FF" w:rsidRPr="00D46A14">
        <w:rPr>
          <w:rStyle w:val="fontstyle31"/>
          <w:rFonts w:eastAsia="等线"/>
          <w:lang w:eastAsia="zh-CN"/>
        </w:rPr>
        <w:t>;</w:t>
      </w:r>
      <w:r w:rsidRPr="00D46A14">
        <w:rPr>
          <w:rStyle w:val="fontstyle31"/>
        </w:rPr>
        <w:t xml:space="preserve"> </w:t>
      </w:r>
      <w:r w:rsidR="003A5ABC" w:rsidRPr="00D46A14">
        <w:rPr>
          <w:rStyle w:val="fontstyle31"/>
        </w:rPr>
        <w:t>dos Santos</w:t>
      </w:r>
      <w:r w:rsidR="006340FF" w:rsidRPr="00D46A14">
        <w:rPr>
          <w:rStyle w:val="fontstyle31"/>
          <w:rFonts w:eastAsia="等线"/>
          <w:lang w:eastAsia="zh-CN"/>
        </w:rPr>
        <w:t xml:space="preserve"> MEL and </w:t>
      </w:r>
      <w:r w:rsidRPr="00D46A14">
        <w:rPr>
          <w:rStyle w:val="fontstyle31"/>
        </w:rPr>
        <w:t xml:space="preserve">de Moura EGH </w:t>
      </w:r>
      <w:r w:rsidR="004034D8" w:rsidRPr="00D46A14">
        <w:rPr>
          <w:rStyle w:val="fontstyle31"/>
          <w:rFonts w:eastAsia="等线"/>
          <w:lang w:eastAsia="zh-CN"/>
        </w:rPr>
        <w:t>contributed to the</w:t>
      </w:r>
      <w:r w:rsidR="004034D8" w:rsidRPr="00D46A14">
        <w:rPr>
          <w:rStyle w:val="fontstyle31"/>
        </w:rPr>
        <w:t xml:space="preserve"> </w:t>
      </w:r>
      <w:r w:rsidRPr="00D46A14">
        <w:rPr>
          <w:rStyle w:val="fontstyle31"/>
        </w:rPr>
        <w:t xml:space="preserve">analysis and interpretation of data, drafting the article, revising the article, final approval; </w:t>
      </w:r>
    </w:p>
    <w:p w14:paraId="15B2917C" w14:textId="77777777" w:rsidR="00524AF5" w:rsidRPr="00D46A14" w:rsidRDefault="00524AF5" w:rsidP="00D46A14">
      <w:pPr>
        <w:spacing w:after="0" w:line="360" w:lineRule="auto"/>
        <w:ind w:left="0" w:firstLine="0"/>
        <w:rPr>
          <w:rFonts w:ascii="Book Antiqua" w:eastAsia="等线" w:hAnsi="Book Antiqua"/>
          <w:bCs/>
          <w:sz w:val="24"/>
          <w:szCs w:val="24"/>
          <w:lang w:val="pt-BR" w:eastAsia="zh-CN"/>
        </w:rPr>
      </w:pPr>
    </w:p>
    <w:p w14:paraId="48394AE3" w14:textId="1DA9C9E1" w:rsidR="00E20D16" w:rsidRPr="00D46A14" w:rsidRDefault="00E20D16" w:rsidP="00D46A14">
      <w:pPr>
        <w:spacing w:after="0" w:line="360" w:lineRule="auto"/>
        <w:ind w:left="0" w:firstLine="0"/>
        <w:rPr>
          <w:rStyle w:val="fontstyle31"/>
        </w:rPr>
      </w:pPr>
      <w:r w:rsidRPr="00D46A14">
        <w:rPr>
          <w:rStyle w:val="fontstyle01"/>
          <w:rFonts w:ascii="Book Antiqua" w:hAnsi="Book Antiqua"/>
          <w:b/>
          <w:sz w:val="24"/>
          <w:szCs w:val="24"/>
        </w:rPr>
        <w:t xml:space="preserve">Conflict-of-interest statement: </w:t>
      </w:r>
      <w:r w:rsidRPr="00D46A14">
        <w:rPr>
          <w:rStyle w:val="fontstyle31"/>
        </w:rPr>
        <w:t>The authors deny any conflict of interest.</w:t>
      </w:r>
    </w:p>
    <w:p w14:paraId="58FAB1B1" w14:textId="77777777" w:rsidR="00E20D16" w:rsidRPr="00D46A14" w:rsidRDefault="00E20D16" w:rsidP="00D46A14">
      <w:pPr>
        <w:spacing w:after="0" w:line="360" w:lineRule="auto"/>
        <w:ind w:left="0" w:right="0" w:firstLine="0"/>
        <w:rPr>
          <w:rFonts w:ascii="Book Antiqua" w:hAnsi="Book Antiqua"/>
          <w:b/>
          <w:sz w:val="24"/>
          <w:szCs w:val="24"/>
        </w:rPr>
      </w:pPr>
    </w:p>
    <w:p w14:paraId="247FBB3A" w14:textId="065D951F" w:rsidR="00E20D16" w:rsidRPr="00D46A14" w:rsidRDefault="00E20D16" w:rsidP="00D46A14">
      <w:pPr>
        <w:spacing w:after="0" w:line="360" w:lineRule="auto"/>
        <w:ind w:left="0" w:firstLine="0"/>
        <w:rPr>
          <w:rStyle w:val="fontstyle01"/>
          <w:rFonts w:ascii="Book Antiqua" w:eastAsia="等线" w:hAnsi="Book Antiqua"/>
          <w:sz w:val="24"/>
          <w:szCs w:val="24"/>
          <w:lang w:eastAsia="zh-CN"/>
        </w:rPr>
      </w:pPr>
      <w:r w:rsidRPr="00D46A14">
        <w:rPr>
          <w:rStyle w:val="fontstyle01"/>
          <w:rFonts w:ascii="Book Antiqua" w:hAnsi="Book Antiqua"/>
          <w:b/>
          <w:sz w:val="24"/>
          <w:szCs w:val="24"/>
        </w:rPr>
        <w:t>PRISMA 2009 Checklist statement</w:t>
      </w:r>
      <w:r w:rsidRPr="00D46A14">
        <w:rPr>
          <w:rStyle w:val="fontstyle01"/>
          <w:rFonts w:ascii="Book Antiqua" w:hAnsi="Book Antiqua"/>
          <w:sz w:val="24"/>
          <w:szCs w:val="24"/>
        </w:rPr>
        <w:t xml:space="preserve">: </w:t>
      </w:r>
      <w:r w:rsidR="00524AF5" w:rsidRPr="00D46A14">
        <w:rPr>
          <w:rStyle w:val="fontstyle01"/>
          <w:rFonts w:ascii="Book Antiqua" w:eastAsia="等线" w:hAnsi="Book Antiqua"/>
          <w:sz w:val="24"/>
          <w:szCs w:val="24"/>
          <w:lang w:eastAsia="zh-CN"/>
        </w:rPr>
        <w:t xml:space="preserve">The authors revised the manuscript according to the </w:t>
      </w:r>
      <w:r w:rsidR="00524AF5" w:rsidRPr="00D46A14">
        <w:rPr>
          <w:rStyle w:val="fontstyle01"/>
          <w:rFonts w:ascii="Book Antiqua" w:hAnsi="Book Antiqua"/>
          <w:sz w:val="24"/>
          <w:szCs w:val="24"/>
        </w:rPr>
        <w:t>PRISMA 2009 Checklist</w:t>
      </w:r>
      <w:r w:rsidR="00524AF5" w:rsidRPr="00D46A14">
        <w:rPr>
          <w:rStyle w:val="fontstyle01"/>
          <w:rFonts w:ascii="Book Antiqua" w:eastAsia="等线" w:hAnsi="Book Antiqua"/>
          <w:sz w:val="24"/>
          <w:szCs w:val="24"/>
          <w:lang w:eastAsia="zh-CN"/>
        </w:rPr>
        <w:t>.</w:t>
      </w:r>
    </w:p>
    <w:p w14:paraId="6730D0AB" w14:textId="77777777" w:rsidR="00FD168C" w:rsidRPr="00D46A14" w:rsidRDefault="00FD168C" w:rsidP="00D46A14">
      <w:pPr>
        <w:spacing w:after="0" w:line="360" w:lineRule="auto"/>
        <w:ind w:left="0" w:firstLine="0"/>
        <w:rPr>
          <w:rFonts w:ascii="Book Antiqua" w:hAnsi="Book Antiqua"/>
          <w:b/>
          <w:color w:val="auto"/>
          <w:sz w:val="24"/>
          <w:szCs w:val="24"/>
        </w:rPr>
      </w:pPr>
    </w:p>
    <w:p w14:paraId="32E19C28" w14:textId="77777777" w:rsidR="00524AF5" w:rsidRPr="00D46A14" w:rsidRDefault="00524AF5" w:rsidP="00D46A14">
      <w:pPr>
        <w:spacing w:after="0" w:line="360" w:lineRule="auto"/>
        <w:ind w:firstLine="0"/>
        <w:rPr>
          <w:rFonts w:ascii="Book Antiqua" w:hAnsi="Book Antiqua"/>
          <w:b/>
          <w:sz w:val="24"/>
          <w:szCs w:val="24"/>
        </w:rPr>
      </w:pPr>
      <w:r w:rsidRPr="00D46A14">
        <w:rPr>
          <w:rFonts w:ascii="Book Antiqua" w:hAnsi="Book Antiqua"/>
          <w:b/>
          <w:sz w:val="24"/>
          <w:szCs w:val="24"/>
        </w:rPr>
        <w:t xml:space="preserve">Open-Access: </w:t>
      </w:r>
      <w:r w:rsidRPr="00D46A14">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F6A5CC" w14:textId="77777777" w:rsidR="00C80F48" w:rsidRPr="00D46A14" w:rsidRDefault="00C80F48" w:rsidP="00D46A14">
      <w:pPr>
        <w:spacing w:after="0" w:line="360" w:lineRule="auto"/>
        <w:ind w:left="0" w:firstLine="0"/>
        <w:rPr>
          <w:rFonts w:ascii="Book Antiqua" w:eastAsia="等线" w:hAnsi="Book Antiqua"/>
          <w:b/>
          <w:sz w:val="24"/>
          <w:szCs w:val="24"/>
          <w:lang w:eastAsia="zh-CN"/>
        </w:rPr>
      </w:pPr>
    </w:p>
    <w:p w14:paraId="3ADFAC03" w14:textId="01D1B19D" w:rsidR="00524AF5" w:rsidRPr="00D46A14" w:rsidRDefault="00524AF5" w:rsidP="00D46A14">
      <w:pPr>
        <w:spacing w:after="0" w:line="360" w:lineRule="auto"/>
        <w:ind w:left="0" w:firstLine="0"/>
        <w:rPr>
          <w:rFonts w:ascii="Book Antiqua" w:eastAsia="等线" w:hAnsi="Book Antiqua"/>
          <w:b/>
          <w:sz w:val="24"/>
          <w:szCs w:val="24"/>
          <w:lang w:eastAsia="zh-CN"/>
        </w:rPr>
      </w:pPr>
      <w:r w:rsidRPr="00D46A14">
        <w:rPr>
          <w:rFonts w:ascii="Book Antiqua" w:hAnsi="Book Antiqua"/>
          <w:b/>
          <w:sz w:val="24"/>
          <w:szCs w:val="24"/>
        </w:rPr>
        <w:t>Manuscript source:</w:t>
      </w:r>
      <w:r w:rsidRPr="00D46A14">
        <w:rPr>
          <w:rFonts w:ascii="Book Antiqua" w:hAnsi="Book Antiqua"/>
          <w:sz w:val="24"/>
          <w:szCs w:val="24"/>
        </w:rPr>
        <w:t xml:space="preserve"> Unsolicited manuscript</w:t>
      </w:r>
    </w:p>
    <w:p w14:paraId="7F711644" w14:textId="77777777" w:rsidR="00524AF5" w:rsidRPr="00D46A14" w:rsidRDefault="00524AF5" w:rsidP="00D46A14">
      <w:pPr>
        <w:spacing w:after="0" w:line="360" w:lineRule="auto"/>
        <w:ind w:left="0" w:firstLine="0"/>
        <w:rPr>
          <w:rFonts w:ascii="Book Antiqua" w:eastAsia="等线" w:hAnsi="Book Antiqua"/>
          <w:b/>
          <w:sz w:val="24"/>
          <w:szCs w:val="24"/>
          <w:lang w:eastAsia="zh-CN"/>
        </w:rPr>
      </w:pPr>
    </w:p>
    <w:p w14:paraId="1CA6A36D" w14:textId="4CF5021C" w:rsidR="00E20D16" w:rsidRPr="00D46A14" w:rsidRDefault="00524AF5" w:rsidP="00D46A14">
      <w:pPr>
        <w:spacing w:after="0" w:line="360" w:lineRule="auto"/>
        <w:ind w:left="0" w:right="0" w:firstLine="0"/>
        <w:rPr>
          <w:rFonts w:ascii="Book Antiqua" w:eastAsia="等线" w:hAnsi="Book Antiqua"/>
          <w:b/>
          <w:color w:val="auto"/>
          <w:sz w:val="24"/>
          <w:szCs w:val="24"/>
          <w:lang w:val="pt-BR" w:eastAsia="zh-CN"/>
        </w:rPr>
      </w:pPr>
      <w:bookmarkStart w:id="2" w:name="OLE_LINK535"/>
      <w:bookmarkStart w:id="3" w:name="OLE_LINK536"/>
      <w:r w:rsidRPr="00D46A14">
        <w:rPr>
          <w:rFonts w:ascii="Book Antiqua" w:hAnsi="Book Antiqua"/>
          <w:b/>
          <w:sz w:val="24"/>
          <w:szCs w:val="24"/>
        </w:rPr>
        <w:t>Corresponding author:</w:t>
      </w:r>
      <w:bookmarkEnd w:id="2"/>
      <w:bookmarkEnd w:id="3"/>
      <w:r w:rsidRPr="00D46A14">
        <w:rPr>
          <w:rFonts w:ascii="Book Antiqua" w:eastAsia="宋体" w:hAnsi="Book Antiqua"/>
          <w:b/>
          <w:sz w:val="24"/>
          <w:szCs w:val="24"/>
          <w:lang w:eastAsia="zh-CN"/>
        </w:rPr>
        <w:t xml:space="preserve"> </w:t>
      </w:r>
      <w:r w:rsidRPr="00D46A14">
        <w:rPr>
          <w:rFonts w:ascii="Book Antiqua" w:hAnsi="Book Antiqua"/>
          <w:b/>
          <w:color w:val="auto"/>
          <w:sz w:val="24"/>
          <w:szCs w:val="24"/>
          <w:lang w:val="pt-BR"/>
        </w:rPr>
        <w:t>Igor Braga Ribeiro, MD</w:t>
      </w:r>
      <w:r w:rsidRPr="00D46A14">
        <w:rPr>
          <w:rFonts w:ascii="Book Antiqua" w:eastAsia="等线" w:hAnsi="Book Antiqua"/>
          <w:b/>
          <w:color w:val="auto"/>
          <w:sz w:val="24"/>
          <w:szCs w:val="24"/>
          <w:lang w:val="pt-BR" w:eastAsia="zh-CN"/>
        </w:rPr>
        <w:t>,</w:t>
      </w:r>
      <w:r w:rsidRPr="00D46A14">
        <w:rPr>
          <w:rFonts w:ascii="Book Antiqua" w:hAnsi="Book Antiqua"/>
          <w:b/>
          <w:sz w:val="24"/>
          <w:szCs w:val="24"/>
        </w:rPr>
        <w:t xml:space="preserve"> </w:t>
      </w:r>
      <w:r w:rsidRPr="00D46A14">
        <w:rPr>
          <w:rFonts w:ascii="Book Antiqua" w:eastAsia="等线" w:hAnsi="Book Antiqua"/>
          <w:b/>
          <w:color w:val="auto"/>
          <w:sz w:val="24"/>
          <w:szCs w:val="24"/>
          <w:lang w:val="pt-BR" w:eastAsia="zh-CN"/>
        </w:rPr>
        <w:t xml:space="preserve">Academic Fellow, Research Fellow, Surgeon, </w:t>
      </w:r>
      <w:r w:rsidRPr="00D46A14">
        <w:rPr>
          <w:rFonts w:ascii="Book Antiqua" w:eastAsia="等线" w:hAnsi="Book Antiqua"/>
          <w:color w:val="auto"/>
          <w:sz w:val="24"/>
          <w:szCs w:val="24"/>
          <w:lang w:val="pt-BR" w:eastAsia="zh-CN"/>
        </w:rPr>
        <w:t>Gastrointestinal Endoscopy Unit, Hospital das Clínicas da Faculdade de Medicina da Universidade de São Paulo,</w:t>
      </w:r>
      <w:r w:rsidRPr="00D46A14">
        <w:rPr>
          <w:rFonts w:ascii="Book Antiqua" w:eastAsia="等线" w:hAnsi="Book Antiqua"/>
          <w:b/>
          <w:color w:val="auto"/>
          <w:sz w:val="24"/>
          <w:szCs w:val="24"/>
          <w:lang w:val="pt-BR" w:eastAsia="zh-CN"/>
        </w:rPr>
        <w:t xml:space="preserve"> </w:t>
      </w:r>
      <w:r w:rsidR="00E20D16" w:rsidRPr="00D46A14">
        <w:rPr>
          <w:rFonts w:ascii="Book Antiqua" w:hAnsi="Book Antiqua"/>
          <w:color w:val="auto"/>
          <w:sz w:val="24"/>
          <w:szCs w:val="24"/>
          <w:lang w:val="pt-BR"/>
        </w:rPr>
        <w:t>Av. Dr Enéas de Carvalho Aguiar, 225, 6</w:t>
      </w:r>
      <w:r w:rsidR="00E20D16" w:rsidRPr="00D46A14">
        <w:rPr>
          <w:rFonts w:ascii="Book Antiqua" w:hAnsi="Book Antiqua"/>
          <w:color w:val="auto"/>
          <w:sz w:val="24"/>
          <w:szCs w:val="24"/>
          <w:vertAlign w:val="superscript"/>
          <w:lang w:val="pt-BR"/>
        </w:rPr>
        <w:t>o</w:t>
      </w:r>
      <w:r w:rsidR="00E20D16" w:rsidRPr="00D46A14">
        <w:rPr>
          <w:rFonts w:ascii="Book Antiqua" w:hAnsi="Book Antiqua"/>
          <w:color w:val="auto"/>
          <w:sz w:val="24"/>
          <w:szCs w:val="24"/>
          <w:lang w:val="pt-BR"/>
        </w:rPr>
        <w:t xml:space="preserve"> andar, bloco 3, Cerqueira Cesar</w:t>
      </w:r>
      <w:r w:rsidRPr="00D46A14">
        <w:rPr>
          <w:rFonts w:ascii="Book Antiqua" w:eastAsia="等线" w:hAnsi="Book Antiqua"/>
          <w:color w:val="auto"/>
          <w:sz w:val="24"/>
          <w:szCs w:val="24"/>
          <w:lang w:val="pt-BR" w:eastAsia="zh-CN"/>
        </w:rPr>
        <w:t>,</w:t>
      </w:r>
      <w:r w:rsidRPr="00D46A14">
        <w:rPr>
          <w:rFonts w:ascii="Book Antiqua" w:hAnsi="Book Antiqua"/>
          <w:color w:val="auto"/>
          <w:sz w:val="24"/>
          <w:szCs w:val="24"/>
          <w:lang w:val="pt-BR"/>
        </w:rPr>
        <w:t xml:space="preserve"> </w:t>
      </w:r>
      <w:r w:rsidR="00E20D16" w:rsidRPr="00D46A14">
        <w:rPr>
          <w:rFonts w:ascii="Book Antiqua" w:hAnsi="Book Antiqua"/>
          <w:color w:val="auto"/>
          <w:sz w:val="24"/>
          <w:szCs w:val="24"/>
          <w:lang w:val="pt-BR"/>
        </w:rPr>
        <w:t>São Paulo</w:t>
      </w:r>
      <w:r w:rsidRPr="00D46A14">
        <w:rPr>
          <w:rFonts w:ascii="Book Antiqua" w:hAnsi="Book Antiqua"/>
          <w:color w:val="auto"/>
          <w:sz w:val="24"/>
          <w:szCs w:val="24"/>
          <w:lang w:val="pt-BR"/>
        </w:rPr>
        <w:t xml:space="preserve"> 05403-010,</w:t>
      </w:r>
      <w:r w:rsidRPr="00D46A14">
        <w:rPr>
          <w:rFonts w:ascii="Book Antiqua" w:eastAsia="等线" w:hAnsi="Book Antiqua"/>
          <w:color w:val="auto"/>
          <w:sz w:val="24"/>
          <w:szCs w:val="24"/>
          <w:lang w:val="pt-BR" w:eastAsia="zh-CN"/>
        </w:rPr>
        <w:t xml:space="preserve"> </w:t>
      </w:r>
      <w:r w:rsidRPr="00D46A14">
        <w:rPr>
          <w:rFonts w:ascii="Book Antiqua" w:hAnsi="Book Antiqua"/>
          <w:sz w:val="24"/>
          <w:szCs w:val="24"/>
        </w:rPr>
        <w:t>Brazil</w:t>
      </w:r>
      <w:r w:rsidRPr="00D46A14">
        <w:rPr>
          <w:rFonts w:ascii="Book Antiqua" w:eastAsia="等线" w:hAnsi="Book Antiqua"/>
          <w:sz w:val="24"/>
          <w:szCs w:val="24"/>
          <w:lang w:eastAsia="zh-CN"/>
        </w:rPr>
        <w:t>.</w:t>
      </w:r>
      <w:r w:rsidRPr="00D46A14">
        <w:rPr>
          <w:rFonts w:ascii="Book Antiqua" w:hAnsi="Book Antiqua"/>
          <w:sz w:val="24"/>
          <w:szCs w:val="24"/>
        </w:rPr>
        <w:t xml:space="preserve"> </w:t>
      </w:r>
      <w:hyperlink r:id="rId8" w:history="1">
        <w:r w:rsidRPr="00D46A14">
          <w:rPr>
            <w:rFonts w:ascii="Book Antiqua" w:hAnsi="Book Antiqua"/>
            <w:color w:val="0563C1"/>
            <w:sz w:val="24"/>
            <w:szCs w:val="24"/>
            <w:u w:val="single"/>
          </w:rPr>
          <w:t>igorbraga1@gmail.com</w:t>
        </w:r>
      </w:hyperlink>
    </w:p>
    <w:p w14:paraId="3E0FD405" w14:textId="2C82C5E2" w:rsidR="00F7669C" w:rsidRPr="00D46A14" w:rsidRDefault="00F7669C" w:rsidP="00D46A14">
      <w:pPr>
        <w:spacing w:after="0" w:line="360" w:lineRule="auto"/>
        <w:ind w:left="0" w:right="0" w:firstLine="0"/>
        <w:rPr>
          <w:rFonts w:ascii="Book Antiqua" w:eastAsia="等线" w:hAnsi="Book Antiqua"/>
          <w:color w:val="auto"/>
          <w:sz w:val="24"/>
          <w:szCs w:val="24"/>
          <w:lang w:eastAsia="zh-CN"/>
        </w:rPr>
      </w:pPr>
      <w:r w:rsidRPr="00D46A14">
        <w:rPr>
          <w:rFonts w:ascii="Book Antiqua" w:hAnsi="Book Antiqua"/>
          <w:b/>
          <w:sz w:val="24"/>
          <w:szCs w:val="24"/>
        </w:rPr>
        <w:t>Telephone</w:t>
      </w:r>
      <w:r w:rsidRPr="00D46A14">
        <w:rPr>
          <w:rFonts w:ascii="Book Antiqua" w:hAnsi="Book Antiqua"/>
          <w:sz w:val="24"/>
          <w:szCs w:val="24"/>
        </w:rPr>
        <w:t>:</w:t>
      </w:r>
      <w:r w:rsidRPr="00D46A14">
        <w:rPr>
          <w:rFonts w:ascii="Book Antiqua" w:eastAsia="等线" w:hAnsi="Book Antiqua"/>
          <w:sz w:val="24"/>
          <w:szCs w:val="24"/>
          <w:lang w:eastAsia="zh-CN"/>
        </w:rPr>
        <w:t xml:space="preserve"> </w:t>
      </w:r>
      <w:r w:rsidR="00E20D16" w:rsidRPr="00D46A14">
        <w:rPr>
          <w:rFonts w:ascii="Book Antiqua" w:hAnsi="Book Antiqua"/>
          <w:color w:val="auto"/>
          <w:sz w:val="24"/>
          <w:szCs w:val="24"/>
        </w:rPr>
        <w:t>+55</w:t>
      </w:r>
      <w:r w:rsidRPr="00D46A14">
        <w:rPr>
          <w:rFonts w:ascii="Book Antiqua" w:eastAsia="等线" w:hAnsi="Book Antiqua"/>
          <w:color w:val="auto"/>
          <w:sz w:val="24"/>
          <w:szCs w:val="24"/>
          <w:lang w:eastAsia="zh-CN"/>
        </w:rPr>
        <w:t>-</w:t>
      </w:r>
      <w:r w:rsidR="00E20D16" w:rsidRPr="00D46A14">
        <w:rPr>
          <w:rFonts w:ascii="Book Antiqua" w:hAnsi="Book Antiqua"/>
          <w:color w:val="auto"/>
          <w:sz w:val="24"/>
          <w:szCs w:val="24"/>
        </w:rPr>
        <w:t>9</w:t>
      </w:r>
      <w:r w:rsidRPr="00D46A14">
        <w:rPr>
          <w:rFonts w:ascii="Book Antiqua" w:eastAsia="等线" w:hAnsi="Book Antiqua"/>
          <w:color w:val="auto"/>
          <w:sz w:val="24"/>
          <w:szCs w:val="24"/>
          <w:lang w:eastAsia="zh-CN"/>
        </w:rPr>
        <w:t>-</w:t>
      </w:r>
      <w:r w:rsidR="00E20D16" w:rsidRPr="00D46A14">
        <w:rPr>
          <w:rFonts w:ascii="Book Antiqua" w:hAnsi="Book Antiqua"/>
          <w:color w:val="auto"/>
          <w:sz w:val="24"/>
          <w:szCs w:val="24"/>
        </w:rPr>
        <w:t xml:space="preserve">2981377788 </w:t>
      </w:r>
    </w:p>
    <w:p w14:paraId="6846D1BE" w14:textId="50FA4701" w:rsidR="00E20D16" w:rsidRPr="00D46A14" w:rsidRDefault="00F7669C" w:rsidP="00D46A14">
      <w:pPr>
        <w:spacing w:after="0" w:line="360" w:lineRule="auto"/>
        <w:ind w:left="0" w:right="0" w:firstLine="0"/>
        <w:rPr>
          <w:rFonts w:ascii="Book Antiqua" w:hAnsi="Book Antiqua"/>
          <w:color w:val="auto"/>
          <w:sz w:val="24"/>
          <w:szCs w:val="24"/>
        </w:rPr>
      </w:pPr>
      <w:r w:rsidRPr="00D46A14">
        <w:rPr>
          <w:rFonts w:ascii="Book Antiqua" w:hAnsi="Book Antiqua"/>
          <w:b/>
          <w:sz w:val="24"/>
          <w:szCs w:val="24"/>
        </w:rPr>
        <w:lastRenderedPageBreak/>
        <w:t>Fax</w:t>
      </w:r>
      <w:r w:rsidRPr="00D46A14">
        <w:rPr>
          <w:rFonts w:ascii="Book Antiqua" w:eastAsia="宋体" w:hAnsi="Book Antiqua"/>
          <w:sz w:val="24"/>
          <w:szCs w:val="24"/>
          <w:lang w:eastAsia="zh-CN"/>
        </w:rPr>
        <w:t>:</w:t>
      </w:r>
      <w:r w:rsidRPr="00D46A14">
        <w:rPr>
          <w:rFonts w:ascii="Book Antiqua" w:hAnsi="Book Antiqua"/>
          <w:sz w:val="24"/>
          <w:szCs w:val="24"/>
        </w:rPr>
        <w:t xml:space="preserve"> </w:t>
      </w:r>
      <w:r w:rsidR="00E20D16" w:rsidRPr="00D46A14">
        <w:rPr>
          <w:rFonts w:ascii="Book Antiqua" w:hAnsi="Book Antiqua"/>
          <w:color w:val="auto"/>
          <w:sz w:val="24"/>
          <w:szCs w:val="24"/>
        </w:rPr>
        <w:t>+55</w:t>
      </w:r>
      <w:r w:rsidRPr="00D46A14">
        <w:rPr>
          <w:rFonts w:ascii="Book Antiqua" w:eastAsia="等线" w:hAnsi="Book Antiqua"/>
          <w:color w:val="auto"/>
          <w:sz w:val="24"/>
          <w:szCs w:val="24"/>
          <w:lang w:eastAsia="zh-CN"/>
        </w:rPr>
        <w:t>-</w:t>
      </w:r>
      <w:r w:rsidRPr="00D46A14">
        <w:rPr>
          <w:rFonts w:ascii="Book Antiqua" w:hAnsi="Book Antiqua"/>
          <w:color w:val="auto"/>
          <w:sz w:val="24"/>
          <w:szCs w:val="24"/>
        </w:rPr>
        <w:t>1</w:t>
      </w:r>
      <w:r w:rsidRPr="00D46A14">
        <w:rPr>
          <w:rFonts w:ascii="Book Antiqua" w:eastAsia="等线" w:hAnsi="Book Antiqua"/>
          <w:color w:val="auto"/>
          <w:sz w:val="24"/>
          <w:szCs w:val="24"/>
          <w:lang w:eastAsia="zh-CN"/>
        </w:rPr>
        <w:t>-</w:t>
      </w:r>
      <w:r w:rsidRPr="00D46A14">
        <w:rPr>
          <w:rFonts w:ascii="Book Antiqua" w:hAnsi="Book Antiqua"/>
          <w:color w:val="auto"/>
          <w:sz w:val="24"/>
          <w:szCs w:val="24"/>
        </w:rPr>
        <w:t>12661</w:t>
      </w:r>
      <w:r w:rsidR="00E20D16" w:rsidRPr="00D46A14">
        <w:rPr>
          <w:rFonts w:ascii="Book Antiqua" w:hAnsi="Book Antiqua"/>
          <w:color w:val="auto"/>
          <w:sz w:val="24"/>
          <w:szCs w:val="24"/>
        </w:rPr>
        <w:t>6467</w:t>
      </w:r>
    </w:p>
    <w:p w14:paraId="0E802362" w14:textId="7977A720" w:rsidR="00E20D16" w:rsidRPr="00D46A14" w:rsidRDefault="00E20D16" w:rsidP="00D46A14">
      <w:pPr>
        <w:spacing w:after="0" w:line="360" w:lineRule="auto"/>
        <w:ind w:left="0" w:right="0" w:firstLine="0"/>
        <w:rPr>
          <w:rFonts w:ascii="Book Antiqua" w:hAnsi="Book Antiqua"/>
          <w:b/>
          <w:sz w:val="24"/>
          <w:szCs w:val="24"/>
        </w:rPr>
      </w:pPr>
    </w:p>
    <w:p w14:paraId="56E8B750" w14:textId="7B38F50A"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 xml:space="preserve">Received: </w:t>
      </w:r>
      <w:r w:rsidR="00C80F48" w:rsidRPr="00D46A14">
        <w:rPr>
          <w:rFonts w:ascii="Book Antiqua" w:eastAsia="等线" w:hAnsi="Book Antiqua"/>
          <w:sz w:val="24"/>
          <w:szCs w:val="24"/>
          <w:lang w:eastAsia="zh-CN"/>
        </w:rPr>
        <w:t>May 6, 2019</w:t>
      </w:r>
    </w:p>
    <w:p w14:paraId="38CD4FCE" w14:textId="2DC60CC0"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 xml:space="preserve">Peer-review started: </w:t>
      </w:r>
      <w:r w:rsidR="00C80F48" w:rsidRPr="00D46A14">
        <w:rPr>
          <w:rFonts w:ascii="Book Antiqua" w:eastAsia="等线" w:hAnsi="Book Antiqua"/>
          <w:sz w:val="24"/>
          <w:szCs w:val="24"/>
          <w:lang w:eastAsia="zh-CN"/>
        </w:rPr>
        <w:t>May 8, 2019</w:t>
      </w:r>
    </w:p>
    <w:p w14:paraId="377B6036" w14:textId="28AE4BA5" w:rsidR="00F7669C" w:rsidRPr="00D46A14" w:rsidRDefault="00F7669C" w:rsidP="00D46A14">
      <w:pPr>
        <w:spacing w:after="0" w:line="360" w:lineRule="auto"/>
        <w:ind w:left="0" w:firstLine="0"/>
        <w:rPr>
          <w:rFonts w:ascii="Book Antiqua" w:eastAsia="等线" w:hAnsi="Book Antiqua"/>
          <w:b/>
          <w:sz w:val="24"/>
          <w:szCs w:val="24"/>
          <w:lang w:eastAsia="zh-CN"/>
        </w:rPr>
      </w:pPr>
      <w:r w:rsidRPr="00D46A14">
        <w:rPr>
          <w:rFonts w:ascii="Book Antiqua" w:hAnsi="Book Antiqua"/>
          <w:b/>
          <w:sz w:val="24"/>
          <w:szCs w:val="24"/>
        </w:rPr>
        <w:t xml:space="preserve">First decision: </w:t>
      </w:r>
      <w:r w:rsidR="00C80F48" w:rsidRPr="00D46A14">
        <w:rPr>
          <w:rFonts w:ascii="Book Antiqua" w:eastAsia="等线" w:hAnsi="Book Antiqua"/>
          <w:sz w:val="24"/>
          <w:szCs w:val="24"/>
          <w:lang w:eastAsia="zh-CN"/>
        </w:rPr>
        <w:t>August 2, 2019</w:t>
      </w:r>
    </w:p>
    <w:p w14:paraId="1326D14F" w14:textId="381CA8CD"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 xml:space="preserve">Revised: </w:t>
      </w:r>
      <w:r w:rsidR="00C80F48" w:rsidRPr="00D46A14">
        <w:rPr>
          <w:rFonts w:ascii="Book Antiqua" w:eastAsia="等线" w:hAnsi="Book Antiqua"/>
          <w:sz w:val="24"/>
          <w:szCs w:val="24"/>
          <w:lang w:eastAsia="zh-CN"/>
        </w:rPr>
        <w:t>August 17, 2019</w:t>
      </w:r>
    </w:p>
    <w:p w14:paraId="5338876F" w14:textId="5026A016"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 xml:space="preserve">Accepted: </w:t>
      </w:r>
      <w:r w:rsidR="00FE3D06" w:rsidRPr="00FE3D06">
        <w:rPr>
          <w:rFonts w:ascii="Book Antiqua" w:hAnsi="Book Antiqua"/>
          <w:sz w:val="24"/>
          <w:szCs w:val="24"/>
        </w:rPr>
        <w:t>September 11, 2019</w:t>
      </w:r>
    </w:p>
    <w:p w14:paraId="3AB08EF5" w14:textId="77777777"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Article in press:</w:t>
      </w:r>
    </w:p>
    <w:p w14:paraId="22691A7B" w14:textId="77777777"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Published online:</w:t>
      </w:r>
    </w:p>
    <w:p w14:paraId="0C6B9241" w14:textId="77777777" w:rsidR="00C80F48" w:rsidRPr="00D46A14" w:rsidRDefault="00C80F48" w:rsidP="00D46A14">
      <w:pPr>
        <w:spacing w:after="0" w:line="360" w:lineRule="auto"/>
        <w:ind w:left="0" w:right="0" w:firstLine="0"/>
        <w:rPr>
          <w:rFonts w:ascii="Book Antiqua" w:hAnsi="Book Antiqua"/>
          <w:b/>
          <w:sz w:val="24"/>
          <w:szCs w:val="24"/>
        </w:rPr>
      </w:pPr>
      <w:r w:rsidRPr="00D46A14">
        <w:rPr>
          <w:rFonts w:ascii="Book Antiqua" w:hAnsi="Book Antiqua"/>
          <w:b/>
          <w:sz w:val="24"/>
          <w:szCs w:val="24"/>
        </w:rPr>
        <w:br w:type="page"/>
      </w:r>
    </w:p>
    <w:p w14:paraId="55670F18" w14:textId="7199B647" w:rsidR="0065424B" w:rsidRPr="00D46A14" w:rsidRDefault="00C80F48" w:rsidP="00D46A14">
      <w:pPr>
        <w:spacing w:after="0" w:line="360" w:lineRule="auto"/>
        <w:ind w:left="0" w:right="0" w:firstLine="0"/>
        <w:rPr>
          <w:rFonts w:ascii="Book Antiqua" w:hAnsi="Book Antiqua"/>
          <w:b/>
          <w:sz w:val="24"/>
          <w:szCs w:val="24"/>
        </w:rPr>
      </w:pPr>
      <w:r w:rsidRPr="00D46A14">
        <w:rPr>
          <w:rFonts w:ascii="Book Antiqua" w:hAnsi="Book Antiqua"/>
          <w:b/>
          <w:sz w:val="24"/>
          <w:szCs w:val="24"/>
        </w:rPr>
        <w:lastRenderedPageBreak/>
        <w:t>Abstract</w:t>
      </w:r>
    </w:p>
    <w:p w14:paraId="3F258BE2" w14:textId="77777777" w:rsidR="00C80F48" w:rsidRPr="00D46A14" w:rsidRDefault="00C80F48" w:rsidP="00D46A14">
      <w:pPr>
        <w:spacing w:after="0" w:line="360" w:lineRule="auto"/>
        <w:ind w:left="0" w:firstLine="0"/>
        <w:rPr>
          <w:rFonts w:ascii="Book Antiqua" w:eastAsia="等线" w:hAnsi="Book Antiqua"/>
          <w:b/>
          <w:i/>
          <w:sz w:val="24"/>
          <w:szCs w:val="24"/>
          <w:lang w:eastAsia="zh-CN"/>
        </w:rPr>
      </w:pPr>
      <w:r w:rsidRPr="00D46A14">
        <w:rPr>
          <w:rFonts w:ascii="Book Antiqua" w:hAnsi="Book Antiqua"/>
          <w:b/>
          <w:i/>
          <w:sz w:val="24"/>
          <w:szCs w:val="24"/>
        </w:rPr>
        <w:t>BACKGROUND</w:t>
      </w:r>
    </w:p>
    <w:p w14:paraId="41AC0093" w14:textId="1E743B97" w:rsidR="00FD168C" w:rsidRPr="00D46A14" w:rsidRDefault="00FD168C" w:rsidP="00D46A14">
      <w:pPr>
        <w:spacing w:after="0" w:line="360" w:lineRule="auto"/>
        <w:ind w:left="0" w:firstLine="0"/>
        <w:rPr>
          <w:rFonts w:ascii="Book Antiqua" w:eastAsia="等线" w:hAnsi="Book Antiqua"/>
          <w:b/>
          <w:sz w:val="24"/>
          <w:szCs w:val="24"/>
          <w:lang w:eastAsia="zh-CN"/>
        </w:rPr>
      </w:pPr>
      <w:r w:rsidRPr="00D46A14">
        <w:rPr>
          <w:rFonts w:ascii="Book Antiqua" w:hAnsi="Book Antiqua"/>
          <w:sz w:val="24"/>
          <w:szCs w:val="24"/>
        </w:rPr>
        <w:t xml:space="preserve">Propofol is commonly used for sedation during endoscopic procedures. Data suggests its </w:t>
      </w:r>
      <w:r w:rsidR="007568BE" w:rsidRPr="00D46A14">
        <w:rPr>
          <w:rFonts w:ascii="Book Antiqua" w:hAnsi="Book Antiqua"/>
          <w:sz w:val="24"/>
          <w:szCs w:val="24"/>
        </w:rPr>
        <w:t>superiority</w:t>
      </w:r>
      <w:r w:rsidRPr="00D46A14">
        <w:rPr>
          <w:rFonts w:ascii="Book Antiqua" w:hAnsi="Book Antiqua"/>
          <w:sz w:val="24"/>
          <w:szCs w:val="24"/>
        </w:rPr>
        <w:t xml:space="preserve"> to traditional sedatives used in endoscopy including benzodiazepines and opioids with more rapid onset of action and improved post-procedure recovery times for patients. However, Propofol requires administration by trained healthcare providers, has a narrow therapeutic index, lacks an antidote and increases risks of cardio-pulmonary complications.</w:t>
      </w:r>
      <w:r w:rsidRPr="00D46A14">
        <w:rPr>
          <w:rFonts w:ascii="Book Antiqua" w:hAnsi="Book Antiqua"/>
          <w:b/>
          <w:sz w:val="24"/>
          <w:szCs w:val="24"/>
        </w:rPr>
        <w:t xml:space="preserve"> </w:t>
      </w:r>
    </w:p>
    <w:p w14:paraId="6C1EC534" w14:textId="77777777" w:rsidR="00C80F48" w:rsidRPr="00D46A14" w:rsidRDefault="00C80F48" w:rsidP="00D46A14">
      <w:pPr>
        <w:spacing w:after="0" w:line="360" w:lineRule="auto"/>
        <w:ind w:left="0" w:firstLine="0"/>
        <w:rPr>
          <w:rFonts w:ascii="Book Antiqua" w:eastAsia="等线" w:hAnsi="Book Antiqua"/>
          <w:b/>
          <w:sz w:val="24"/>
          <w:szCs w:val="24"/>
          <w:lang w:eastAsia="zh-CN"/>
        </w:rPr>
      </w:pPr>
    </w:p>
    <w:p w14:paraId="67274C14" w14:textId="77777777" w:rsidR="00C80F48" w:rsidRPr="00D46A14" w:rsidRDefault="004B4EF7" w:rsidP="00D46A14">
      <w:pPr>
        <w:spacing w:after="0" w:line="360" w:lineRule="auto"/>
        <w:ind w:left="0" w:firstLine="0"/>
        <w:rPr>
          <w:rFonts w:ascii="Book Antiqua" w:eastAsia="等线" w:hAnsi="Book Antiqua"/>
          <w:b/>
          <w:i/>
          <w:sz w:val="24"/>
          <w:szCs w:val="24"/>
          <w:lang w:eastAsia="zh-CN"/>
        </w:rPr>
      </w:pPr>
      <w:r w:rsidRPr="00D46A14">
        <w:rPr>
          <w:rFonts w:ascii="Book Antiqua" w:hAnsi="Book Antiqua"/>
          <w:b/>
          <w:i/>
          <w:sz w:val="24"/>
          <w:szCs w:val="24"/>
        </w:rPr>
        <w:t>A</w:t>
      </w:r>
      <w:r w:rsidR="00517F21" w:rsidRPr="00D46A14">
        <w:rPr>
          <w:rFonts w:ascii="Book Antiqua" w:hAnsi="Book Antiqua"/>
          <w:b/>
          <w:i/>
          <w:sz w:val="24"/>
          <w:szCs w:val="24"/>
        </w:rPr>
        <w:t>IM</w:t>
      </w:r>
    </w:p>
    <w:p w14:paraId="580D6EEB" w14:textId="699E7973" w:rsidR="00C3036F" w:rsidRPr="00D46A14" w:rsidRDefault="00FD168C" w:rsidP="00D46A14">
      <w:pPr>
        <w:spacing w:after="0" w:line="360" w:lineRule="auto"/>
        <w:ind w:left="0" w:firstLine="0"/>
        <w:rPr>
          <w:rFonts w:ascii="Book Antiqua" w:eastAsia="等线" w:hAnsi="Book Antiqua"/>
          <w:sz w:val="24"/>
          <w:szCs w:val="24"/>
          <w:lang w:eastAsia="zh-CN"/>
        </w:rPr>
      </w:pPr>
      <w:r w:rsidRPr="00D46A14">
        <w:rPr>
          <w:rFonts w:ascii="Book Antiqua" w:hAnsi="Book Antiqua"/>
          <w:sz w:val="24"/>
          <w:szCs w:val="24"/>
        </w:rPr>
        <w:t>To compare,</w:t>
      </w:r>
      <w:r w:rsidR="00576C87" w:rsidRPr="00D46A14">
        <w:rPr>
          <w:rFonts w:ascii="Book Antiqua" w:hAnsi="Book Antiqua"/>
          <w:sz w:val="24"/>
          <w:szCs w:val="24"/>
        </w:rPr>
        <w:t xml:space="preserve"> </w:t>
      </w:r>
      <w:r w:rsidR="00261D8B" w:rsidRPr="00D46A14">
        <w:rPr>
          <w:rFonts w:ascii="Book Antiqua" w:hAnsi="Book Antiqua"/>
          <w:sz w:val="24"/>
          <w:szCs w:val="24"/>
        </w:rPr>
        <w:t>through</w:t>
      </w:r>
      <w:r w:rsidR="00576C87" w:rsidRPr="00D46A14">
        <w:rPr>
          <w:rFonts w:ascii="Book Antiqua" w:hAnsi="Book Antiqua"/>
          <w:sz w:val="24"/>
          <w:szCs w:val="24"/>
        </w:rPr>
        <w:t xml:space="preserve"> </w:t>
      </w:r>
      <w:r w:rsidR="00A839ED" w:rsidRPr="00D46A14">
        <w:rPr>
          <w:rFonts w:ascii="Book Antiqua" w:hAnsi="Book Antiqua"/>
          <w:sz w:val="24"/>
          <w:szCs w:val="24"/>
        </w:rPr>
        <w:t xml:space="preserve">a systematic review of the literature and </w:t>
      </w:r>
      <w:r w:rsidR="00576C87" w:rsidRPr="00D46A14">
        <w:rPr>
          <w:rFonts w:ascii="Book Antiqua" w:hAnsi="Book Antiqua"/>
          <w:sz w:val="24"/>
          <w:szCs w:val="24"/>
        </w:rPr>
        <w:t>meta-analysis,</w:t>
      </w:r>
      <w:r w:rsidR="00261D8B" w:rsidRPr="00D46A14">
        <w:rPr>
          <w:rFonts w:ascii="Book Antiqua" w:hAnsi="Book Antiqua"/>
          <w:sz w:val="24"/>
          <w:szCs w:val="24"/>
        </w:rPr>
        <w:t xml:space="preserve"> </w:t>
      </w:r>
      <w:r w:rsidR="00C3036F" w:rsidRPr="00D46A14">
        <w:rPr>
          <w:rFonts w:ascii="Book Antiqua" w:hAnsi="Book Antiqua"/>
          <w:sz w:val="24"/>
          <w:szCs w:val="24"/>
        </w:rPr>
        <w:t>sedation with propofol to traditional sedatives with or without propofol during endoscopic procedures.</w:t>
      </w:r>
    </w:p>
    <w:p w14:paraId="73804251" w14:textId="77777777" w:rsidR="00C80F48" w:rsidRPr="00D46A14" w:rsidRDefault="00C80F48" w:rsidP="00D46A14">
      <w:pPr>
        <w:spacing w:after="0" w:line="360" w:lineRule="auto"/>
        <w:ind w:left="0" w:firstLine="0"/>
        <w:rPr>
          <w:rFonts w:ascii="Book Antiqua" w:eastAsia="等线" w:hAnsi="Book Antiqua"/>
          <w:sz w:val="24"/>
          <w:szCs w:val="24"/>
          <w:lang w:eastAsia="zh-CN"/>
        </w:rPr>
      </w:pPr>
    </w:p>
    <w:p w14:paraId="3A4DC8F7" w14:textId="77777777" w:rsidR="00C80F48" w:rsidRPr="00D46A14" w:rsidRDefault="00CE0D78" w:rsidP="00D46A14">
      <w:pPr>
        <w:spacing w:after="0" w:line="360" w:lineRule="auto"/>
        <w:ind w:left="0" w:firstLine="0"/>
        <w:rPr>
          <w:rFonts w:ascii="Book Antiqua" w:eastAsia="等线" w:hAnsi="Book Antiqua"/>
          <w:b/>
          <w:i/>
          <w:sz w:val="24"/>
          <w:szCs w:val="24"/>
          <w:lang w:eastAsia="zh-CN"/>
        </w:rPr>
      </w:pPr>
      <w:r w:rsidRPr="00D46A14">
        <w:rPr>
          <w:rFonts w:ascii="Book Antiqua" w:hAnsi="Book Antiqua"/>
          <w:b/>
          <w:i/>
          <w:sz w:val="24"/>
          <w:szCs w:val="24"/>
        </w:rPr>
        <w:t>M</w:t>
      </w:r>
      <w:r w:rsidR="00AE0C61" w:rsidRPr="00D46A14">
        <w:rPr>
          <w:rFonts w:ascii="Book Antiqua" w:hAnsi="Book Antiqua"/>
          <w:b/>
          <w:i/>
          <w:sz w:val="24"/>
          <w:szCs w:val="24"/>
        </w:rPr>
        <w:t>ETHODS</w:t>
      </w:r>
    </w:p>
    <w:p w14:paraId="5F351EE9" w14:textId="6A753E4C" w:rsidR="00CE0D78" w:rsidRPr="00D46A14" w:rsidRDefault="008B13BF" w:rsidP="00D46A14">
      <w:pPr>
        <w:spacing w:after="0" w:line="360" w:lineRule="auto"/>
        <w:ind w:left="0" w:firstLine="0"/>
        <w:rPr>
          <w:rFonts w:ascii="Book Antiqua" w:eastAsia="等线" w:hAnsi="Book Antiqua"/>
          <w:sz w:val="24"/>
          <w:szCs w:val="24"/>
          <w:lang w:eastAsia="zh-CN"/>
        </w:rPr>
      </w:pPr>
      <w:r w:rsidRPr="00D46A14">
        <w:rPr>
          <w:rFonts w:ascii="Book Antiqua" w:hAnsi="Book Antiqua"/>
          <w:sz w:val="24"/>
          <w:szCs w:val="24"/>
        </w:rPr>
        <w:t xml:space="preserve">A literature search was performed using MEDLINE, </w:t>
      </w:r>
      <w:r w:rsidR="00C80F48" w:rsidRPr="00D46A14">
        <w:rPr>
          <w:rFonts w:ascii="Book Antiqua" w:hAnsi="Book Antiqua"/>
          <w:sz w:val="24"/>
          <w:szCs w:val="24"/>
        </w:rPr>
        <w:t>Scopus</w:t>
      </w:r>
      <w:r w:rsidRPr="00D46A14">
        <w:rPr>
          <w:rFonts w:ascii="Book Antiqua" w:hAnsi="Book Antiqua"/>
          <w:sz w:val="24"/>
          <w:szCs w:val="24"/>
        </w:rPr>
        <w:t>, EMBASE, the Cochrane Library, Scopus, LILACS, BVS, Cochrane Central Register of Controlled Trials, and The Cumulative Index to Nursing and Allied Health Literature databases. The last search in the literature was performed on March, 2019 with no restriction regarding the idiom or the year of publication.</w:t>
      </w:r>
      <w:r w:rsidRPr="00D46A14">
        <w:rPr>
          <w:rFonts w:ascii="Book Antiqua" w:hAnsi="Book Antiqua"/>
          <w:b/>
          <w:sz w:val="24"/>
          <w:szCs w:val="24"/>
        </w:rPr>
        <w:t xml:space="preserve"> </w:t>
      </w:r>
      <w:r w:rsidR="00346D56" w:rsidRPr="00D46A14">
        <w:rPr>
          <w:rFonts w:ascii="Book Antiqua" w:hAnsi="Book Antiqua"/>
          <w:sz w:val="24"/>
          <w:szCs w:val="24"/>
        </w:rPr>
        <w:t>Only randomized clinical trials with full texts published were included.</w:t>
      </w:r>
      <w:r w:rsidR="00A60213" w:rsidRPr="00D46A14">
        <w:rPr>
          <w:rFonts w:ascii="Book Antiqua" w:hAnsi="Book Antiqua"/>
          <w:sz w:val="24"/>
          <w:szCs w:val="24"/>
        </w:rPr>
        <w:t xml:space="preserve"> We divided sedation the</w:t>
      </w:r>
      <w:r w:rsidR="00C80F48" w:rsidRPr="00D46A14">
        <w:rPr>
          <w:rFonts w:ascii="Book Antiqua" w:hAnsi="Book Antiqua"/>
          <w:sz w:val="24"/>
          <w:szCs w:val="24"/>
        </w:rPr>
        <w:t>rapies to the following groups</w:t>
      </w:r>
      <w:r w:rsidR="00C80F48" w:rsidRPr="00D46A14">
        <w:rPr>
          <w:rFonts w:ascii="Book Antiqua" w:eastAsia="等线" w:hAnsi="Book Antiqua"/>
          <w:sz w:val="24"/>
          <w:szCs w:val="24"/>
          <w:lang w:eastAsia="zh-CN"/>
        </w:rPr>
        <w:t>:</w:t>
      </w:r>
      <w:r w:rsidR="00C80F48" w:rsidRPr="00D46A14">
        <w:rPr>
          <w:rFonts w:ascii="Book Antiqua" w:hAnsi="Book Antiqua"/>
          <w:sz w:val="24"/>
          <w:szCs w:val="24"/>
        </w:rPr>
        <w:t xml:space="preserve"> </w:t>
      </w:r>
      <w:r w:rsidR="00C80F48" w:rsidRPr="00D46A14">
        <w:rPr>
          <w:rFonts w:ascii="Book Antiqua" w:eastAsia="等线" w:hAnsi="Book Antiqua"/>
          <w:sz w:val="24"/>
          <w:szCs w:val="24"/>
          <w:lang w:eastAsia="zh-CN"/>
        </w:rPr>
        <w:t>(1</w:t>
      </w:r>
      <w:r w:rsidR="00A60213" w:rsidRPr="00D46A14">
        <w:rPr>
          <w:rFonts w:ascii="Book Antiqua" w:hAnsi="Book Antiqua"/>
          <w:sz w:val="24"/>
          <w:szCs w:val="24"/>
        </w:rPr>
        <w:t>) Propofol versus benzodiazepines and</w:t>
      </w:r>
      <w:r w:rsidR="004B7262" w:rsidRPr="00D46A14">
        <w:rPr>
          <w:rFonts w:ascii="Book Antiqua" w:hAnsi="Book Antiqua"/>
          <w:sz w:val="24"/>
          <w:szCs w:val="24"/>
        </w:rPr>
        <w:t>/or</w:t>
      </w:r>
      <w:r w:rsidR="00A60213" w:rsidRPr="00D46A14">
        <w:rPr>
          <w:rFonts w:ascii="Book Antiqua" w:hAnsi="Book Antiqua"/>
          <w:sz w:val="24"/>
          <w:szCs w:val="24"/>
        </w:rPr>
        <w:t xml:space="preserve"> opiate sedatives</w:t>
      </w:r>
      <w:r w:rsidR="00C80F48" w:rsidRPr="00D46A14">
        <w:rPr>
          <w:rFonts w:ascii="Book Antiqua" w:eastAsia="等线" w:hAnsi="Book Antiqua"/>
          <w:sz w:val="24"/>
          <w:szCs w:val="24"/>
          <w:lang w:eastAsia="zh-CN"/>
        </w:rPr>
        <w:t>;</w:t>
      </w:r>
      <w:r w:rsidR="00A60213" w:rsidRPr="00D46A14">
        <w:rPr>
          <w:rFonts w:ascii="Book Antiqua" w:hAnsi="Book Antiqua"/>
          <w:sz w:val="24"/>
          <w:szCs w:val="24"/>
        </w:rPr>
        <w:t xml:space="preserve"> </w:t>
      </w:r>
      <w:r w:rsidR="00C80F48" w:rsidRPr="00D46A14">
        <w:rPr>
          <w:rFonts w:ascii="Book Antiqua" w:eastAsia="等线" w:hAnsi="Book Antiqua"/>
          <w:sz w:val="24"/>
          <w:szCs w:val="24"/>
          <w:lang w:eastAsia="zh-CN"/>
        </w:rPr>
        <w:t>(2</w:t>
      </w:r>
      <w:r w:rsidR="00A60213" w:rsidRPr="00D46A14">
        <w:rPr>
          <w:rFonts w:ascii="Book Antiqua" w:hAnsi="Book Antiqua"/>
          <w:sz w:val="24"/>
          <w:szCs w:val="24"/>
        </w:rPr>
        <w:t>) Propofol versus Propofol with benzodiazepine and/or opioids</w:t>
      </w:r>
      <w:r w:rsidR="00C80F48" w:rsidRPr="00D46A14">
        <w:rPr>
          <w:rFonts w:ascii="Book Antiqua" w:eastAsia="等线" w:hAnsi="Book Antiqua"/>
          <w:sz w:val="24"/>
          <w:szCs w:val="24"/>
          <w:lang w:eastAsia="zh-CN"/>
        </w:rPr>
        <w:t>;</w:t>
      </w:r>
      <w:r w:rsidR="00A60213" w:rsidRPr="00D46A14">
        <w:rPr>
          <w:rFonts w:ascii="Book Antiqua" w:hAnsi="Book Antiqua"/>
          <w:sz w:val="24"/>
          <w:szCs w:val="24"/>
        </w:rPr>
        <w:t xml:space="preserve"> and </w:t>
      </w:r>
      <w:r w:rsidR="00C80F48" w:rsidRPr="00D46A14">
        <w:rPr>
          <w:rFonts w:ascii="Book Antiqua" w:eastAsia="等线" w:hAnsi="Book Antiqua"/>
          <w:sz w:val="24"/>
          <w:szCs w:val="24"/>
          <w:lang w:eastAsia="zh-CN"/>
        </w:rPr>
        <w:t>(3</w:t>
      </w:r>
      <w:r w:rsidR="00A60213" w:rsidRPr="00D46A14">
        <w:rPr>
          <w:rFonts w:ascii="Book Antiqua" w:hAnsi="Book Antiqua"/>
          <w:sz w:val="24"/>
          <w:szCs w:val="24"/>
        </w:rPr>
        <w:t xml:space="preserve">) Propofol with adjunctive benzodiazepine and opioid versus benzodiazepine </w:t>
      </w:r>
      <w:r w:rsidR="00A37F00" w:rsidRPr="00D46A14">
        <w:rPr>
          <w:rFonts w:ascii="Book Antiqua" w:hAnsi="Book Antiqua"/>
          <w:sz w:val="24"/>
          <w:szCs w:val="24"/>
        </w:rPr>
        <w:t xml:space="preserve">and </w:t>
      </w:r>
      <w:r w:rsidR="00A60213" w:rsidRPr="00D46A14">
        <w:rPr>
          <w:rFonts w:ascii="Book Antiqua" w:hAnsi="Book Antiqua"/>
          <w:sz w:val="24"/>
          <w:szCs w:val="24"/>
        </w:rPr>
        <w:t xml:space="preserve">opioid. </w:t>
      </w:r>
      <w:r w:rsidR="00C3036F" w:rsidRPr="00D46A14">
        <w:rPr>
          <w:rFonts w:ascii="Book Antiqua" w:hAnsi="Book Antiqua"/>
          <w:sz w:val="24"/>
          <w:szCs w:val="24"/>
        </w:rPr>
        <w:t xml:space="preserve">The following outcomes were addressed: adverse events, patient satisfaction with type of sedation, </w:t>
      </w:r>
      <w:r w:rsidR="003B7835" w:rsidRPr="00D46A14">
        <w:rPr>
          <w:rFonts w:ascii="Book Antiqua" w:hAnsi="Book Antiqua"/>
          <w:sz w:val="24"/>
          <w:szCs w:val="24"/>
        </w:rPr>
        <w:t>endoscopists</w:t>
      </w:r>
      <w:r w:rsidR="00C3036F" w:rsidRPr="00D46A14">
        <w:rPr>
          <w:rFonts w:ascii="Book Antiqua" w:hAnsi="Book Antiqua"/>
          <w:sz w:val="24"/>
          <w:szCs w:val="24"/>
        </w:rPr>
        <w:t xml:space="preserve"> satisfaction with sedation administered, dose of propofol administered and time to recovery post procedure. </w:t>
      </w:r>
      <w:r w:rsidR="00346D56" w:rsidRPr="00D46A14">
        <w:rPr>
          <w:rFonts w:ascii="Book Antiqua" w:hAnsi="Book Antiqua"/>
          <w:sz w:val="24"/>
          <w:szCs w:val="24"/>
        </w:rPr>
        <w:t>Meta-analysis</w:t>
      </w:r>
      <w:r w:rsidR="00C3036F" w:rsidRPr="00D46A14">
        <w:rPr>
          <w:rFonts w:ascii="Book Antiqua" w:hAnsi="Book Antiqua"/>
          <w:sz w:val="24"/>
          <w:szCs w:val="24"/>
        </w:rPr>
        <w:t xml:space="preserve"> was performed using Rev</w:t>
      </w:r>
      <w:r w:rsidR="00346D56" w:rsidRPr="00D46A14">
        <w:rPr>
          <w:rFonts w:ascii="Book Antiqua" w:hAnsi="Book Antiqua"/>
          <w:sz w:val="24"/>
          <w:szCs w:val="24"/>
        </w:rPr>
        <w:t>M</w:t>
      </w:r>
      <w:r w:rsidR="00C3036F" w:rsidRPr="00D46A14">
        <w:rPr>
          <w:rFonts w:ascii="Book Antiqua" w:hAnsi="Book Antiqua"/>
          <w:sz w:val="24"/>
          <w:szCs w:val="24"/>
        </w:rPr>
        <w:t>an5 software version 5.39.</w:t>
      </w:r>
    </w:p>
    <w:p w14:paraId="40798BE6" w14:textId="77777777" w:rsidR="00C80F48" w:rsidRPr="00D46A14" w:rsidRDefault="00C80F48" w:rsidP="00D46A14">
      <w:pPr>
        <w:spacing w:after="0" w:line="360" w:lineRule="auto"/>
        <w:ind w:left="0" w:firstLine="0"/>
        <w:rPr>
          <w:rFonts w:ascii="Book Antiqua" w:eastAsia="等线" w:hAnsi="Book Antiqua"/>
          <w:sz w:val="24"/>
          <w:szCs w:val="24"/>
          <w:lang w:eastAsia="zh-CN"/>
        </w:rPr>
      </w:pPr>
    </w:p>
    <w:p w14:paraId="3E5F4FFE" w14:textId="77777777" w:rsidR="00C80F48" w:rsidRPr="00D46A14" w:rsidRDefault="00CE0D78" w:rsidP="00D46A14">
      <w:pPr>
        <w:spacing w:after="0" w:line="360" w:lineRule="auto"/>
        <w:ind w:left="0" w:right="97" w:firstLine="0"/>
        <w:rPr>
          <w:rFonts w:ascii="Book Antiqua" w:eastAsia="等线" w:hAnsi="Book Antiqua"/>
          <w:b/>
          <w:i/>
          <w:sz w:val="24"/>
          <w:szCs w:val="24"/>
          <w:lang w:eastAsia="zh-CN"/>
        </w:rPr>
      </w:pPr>
      <w:r w:rsidRPr="00D46A14">
        <w:rPr>
          <w:rFonts w:ascii="Book Antiqua" w:hAnsi="Book Antiqua"/>
          <w:b/>
          <w:i/>
          <w:sz w:val="24"/>
          <w:szCs w:val="24"/>
        </w:rPr>
        <w:t>R</w:t>
      </w:r>
      <w:r w:rsidR="00AE0C61" w:rsidRPr="00D46A14">
        <w:rPr>
          <w:rFonts w:ascii="Book Antiqua" w:hAnsi="Book Antiqua"/>
          <w:b/>
          <w:i/>
          <w:sz w:val="24"/>
          <w:szCs w:val="24"/>
        </w:rPr>
        <w:t>ESULTS</w:t>
      </w:r>
    </w:p>
    <w:p w14:paraId="44B04550" w14:textId="67AD047D" w:rsidR="00535496" w:rsidRPr="00D46A14" w:rsidRDefault="00A60213" w:rsidP="00D46A14">
      <w:pPr>
        <w:spacing w:after="0" w:line="360" w:lineRule="auto"/>
        <w:ind w:left="0" w:right="97" w:firstLine="0"/>
        <w:rPr>
          <w:rFonts w:ascii="Book Antiqua" w:eastAsia="等线" w:hAnsi="Book Antiqua"/>
          <w:sz w:val="24"/>
          <w:szCs w:val="24"/>
          <w:lang w:eastAsia="zh-CN"/>
        </w:rPr>
      </w:pPr>
      <w:r w:rsidRPr="00D46A14">
        <w:rPr>
          <w:rFonts w:ascii="Book Antiqua" w:hAnsi="Book Antiqua"/>
          <w:sz w:val="24"/>
          <w:szCs w:val="24"/>
        </w:rPr>
        <w:lastRenderedPageBreak/>
        <w:t>A total of</w:t>
      </w:r>
      <w:r w:rsidR="00F474F7" w:rsidRPr="00D46A14">
        <w:rPr>
          <w:rFonts w:ascii="Book Antiqua" w:hAnsi="Book Antiqua"/>
          <w:sz w:val="24"/>
          <w:szCs w:val="24"/>
        </w:rPr>
        <w:t xml:space="preserve"> 23 clinical trials were included</w:t>
      </w:r>
      <w:r w:rsidRPr="00D46A14">
        <w:rPr>
          <w:rFonts w:ascii="Book Antiqua" w:hAnsi="Book Antiqua"/>
          <w:sz w:val="24"/>
          <w:szCs w:val="24"/>
        </w:rPr>
        <w:t xml:space="preserve"> (</w:t>
      </w:r>
      <w:r w:rsidRPr="00D46A14">
        <w:rPr>
          <w:rFonts w:ascii="Book Antiqua" w:hAnsi="Book Antiqua"/>
          <w:i/>
          <w:sz w:val="24"/>
          <w:szCs w:val="24"/>
        </w:rPr>
        <w:t>n</w:t>
      </w:r>
      <w:r w:rsidR="00C80F48" w:rsidRPr="00D46A14">
        <w:rPr>
          <w:rFonts w:ascii="Book Antiqua" w:eastAsia="等线" w:hAnsi="Book Antiqua"/>
          <w:sz w:val="24"/>
          <w:szCs w:val="24"/>
          <w:lang w:eastAsia="zh-CN"/>
        </w:rPr>
        <w:t xml:space="preserve"> </w:t>
      </w:r>
      <w:r w:rsidRPr="00D46A14">
        <w:rPr>
          <w:rFonts w:ascii="Book Antiqua" w:hAnsi="Book Antiqua"/>
          <w:sz w:val="24"/>
          <w:szCs w:val="24"/>
        </w:rPr>
        <w:t>=</w:t>
      </w:r>
      <w:r w:rsidR="00C80F48" w:rsidRPr="00D46A14">
        <w:rPr>
          <w:rFonts w:ascii="Book Antiqua" w:eastAsia="等线" w:hAnsi="Book Antiqua"/>
          <w:sz w:val="24"/>
          <w:szCs w:val="24"/>
          <w:lang w:eastAsia="zh-CN"/>
        </w:rPr>
        <w:t xml:space="preserve"> </w:t>
      </w:r>
      <w:r w:rsidRPr="00D46A14">
        <w:rPr>
          <w:rFonts w:ascii="Book Antiqua" w:hAnsi="Book Antiqua"/>
          <w:sz w:val="24"/>
          <w:szCs w:val="24"/>
        </w:rPr>
        <w:t>3854) from the initial search of 6</w:t>
      </w:r>
      <w:r w:rsidR="00234BCC" w:rsidRPr="00D46A14">
        <w:rPr>
          <w:rFonts w:ascii="Book Antiqua" w:hAnsi="Book Antiqua"/>
          <w:sz w:val="24"/>
          <w:szCs w:val="24"/>
        </w:rPr>
        <w:t xml:space="preserve">410 </w:t>
      </w:r>
      <w:r w:rsidRPr="00D46A14">
        <w:rPr>
          <w:rFonts w:ascii="Book Antiqua" w:hAnsi="Book Antiqua"/>
          <w:sz w:val="24"/>
          <w:szCs w:val="24"/>
        </w:rPr>
        <w:t>articles. For Group I</w:t>
      </w:r>
      <w:r w:rsidR="00C80F48" w:rsidRPr="00D46A14">
        <w:rPr>
          <w:rFonts w:ascii="Book Antiqua" w:hAnsi="Book Antiqua"/>
          <w:sz w:val="24"/>
          <w:szCs w:val="24"/>
        </w:rPr>
        <w:t xml:space="preserve"> </w:t>
      </w:r>
      <w:r w:rsidR="00C80F48" w:rsidRPr="00D46A14">
        <w:rPr>
          <w:rFonts w:ascii="Book Antiqua" w:eastAsia="等线" w:hAnsi="Book Antiqua"/>
          <w:sz w:val="24"/>
          <w:szCs w:val="24"/>
          <w:lang w:eastAsia="zh-CN"/>
        </w:rPr>
        <w:t>(</w:t>
      </w:r>
      <w:r w:rsidR="00774508" w:rsidRPr="00D46A14">
        <w:rPr>
          <w:rFonts w:ascii="Book Antiqua" w:hAnsi="Book Antiqua"/>
          <w:sz w:val="24"/>
          <w:szCs w:val="24"/>
        </w:rPr>
        <w:t xml:space="preserve">Propofol </w:t>
      </w:r>
      <w:r w:rsidR="004B7262" w:rsidRPr="00D46A14">
        <w:rPr>
          <w:rFonts w:ascii="Book Antiqua" w:hAnsi="Book Antiqua"/>
          <w:i/>
          <w:sz w:val="24"/>
          <w:szCs w:val="24"/>
        </w:rPr>
        <w:t>vs</w:t>
      </w:r>
      <w:r w:rsidR="004B7262" w:rsidRPr="00D46A14">
        <w:rPr>
          <w:rFonts w:ascii="Book Antiqua" w:hAnsi="Book Antiqua"/>
          <w:sz w:val="24"/>
          <w:szCs w:val="24"/>
        </w:rPr>
        <w:t xml:space="preserve"> </w:t>
      </w:r>
      <w:r w:rsidR="004B5B0A" w:rsidRPr="00D46A14">
        <w:rPr>
          <w:rFonts w:ascii="Book Antiqua" w:hAnsi="Book Antiqua"/>
          <w:sz w:val="24"/>
          <w:szCs w:val="24"/>
        </w:rPr>
        <w:t xml:space="preserve">benzodiazepine </w:t>
      </w:r>
      <w:r w:rsidR="004B7262" w:rsidRPr="00D46A14">
        <w:rPr>
          <w:rFonts w:ascii="Book Antiqua" w:hAnsi="Book Antiqua"/>
          <w:sz w:val="24"/>
          <w:szCs w:val="24"/>
        </w:rPr>
        <w:t xml:space="preserve">and/or </w:t>
      </w:r>
      <w:r w:rsidR="004B5B0A" w:rsidRPr="00D46A14">
        <w:rPr>
          <w:rFonts w:ascii="Book Antiqua" w:hAnsi="Book Antiqua"/>
          <w:sz w:val="24"/>
          <w:szCs w:val="24"/>
        </w:rPr>
        <w:t>opioids</w:t>
      </w:r>
      <w:r w:rsidR="00C80F48" w:rsidRPr="00D46A14">
        <w:rPr>
          <w:rFonts w:ascii="Book Antiqua" w:eastAsia="等线" w:hAnsi="Book Antiqua"/>
          <w:sz w:val="24"/>
          <w:szCs w:val="24"/>
          <w:lang w:eastAsia="zh-CN"/>
        </w:rPr>
        <w:t>)</w:t>
      </w:r>
      <w:r w:rsidR="00774508" w:rsidRPr="00D46A14">
        <w:rPr>
          <w:rFonts w:ascii="Book Antiqua" w:hAnsi="Book Antiqua"/>
          <w:sz w:val="24"/>
          <w:szCs w:val="24"/>
        </w:rPr>
        <w:t xml:space="preserve">: </w:t>
      </w:r>
      <w:r w:rsidRPr="00D46A14">
        <w:rPr>
          <w:rFonts w:ascii="Book Antiqua" w:hAnsi="Book Antiqua"/>
          <w:sz w:val="24"/>
          <w:szCs w:val="24"/>
        </w:rPr>
        <w:t>The incidence of b</w:t>
      </w:r>
      <w:r w:rsidR="00535496" w:rsidRPr="00D46A14">
        <w:rPr>
          <w:rFonts w:ascii="Book Antiqua" w:hAnsi="Book Antiqua"/>
          <w:sz w:val="24"/>
          <w:szCs w:val="24"/>
        </w:rPr>
        <w:t xml:space="preserve">radycardia </w:t>
      </w:r>
      <w:r w:rsidRPr="00D46A14">
        <w:rPr>
          <w:rFonts w:ascii="Book Antiqua" w:hAnsi="Book Antiqua"/>
          <w:sz w:val="24"/>
          <w:szCs w:val="24"/>
        </w:rPr>
        <w:t xml:space="preserve">was not statistically different </w:t>
      </w:r>
      <w:r w:rsidR="00535496" w:rsidRPr="00D46A14">
        <w:rPr>
          <w:rFonts w:ascii="Book Antiqua" w:hAnsi="Book Antiqua"/>
          <w:sz w:val="24"/>
          <w:szCs w:val="24"/>
        </w:rPr>
        <w:t xml:space="preserve">between </w:t>
      </w:r>
      <w:r w:rsidRPr="00D46A14">
        <w:rPr>
          <w:rFonts w:ascii="Book Antiqua" w:hAnsi="Book Antiqua"/>
          <w:sz w:val="24"/>
          <w:szCs w:val="24"/>
        </w:rPr>
        <w:t>both sedation arms</w:t>
      </w:r>
      <w:r w:rsidR="00535496" w:rsidRPr="00D46A14">
        <w:rPr>
          <w:rFonts w:ascii="Book Antiqua" w:hAnsi="Book Antiqua"/>
          <w:sz w:val="24"/>
          <w:szCs w:val="24"/>
        </w:rPr>
        <w:t xml:space="preserve"> (RD: -0.01, 95% CI: −0.03–+0.01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22%). In 10 studies</w:t>
      </w:r>
      <w:r w:rsidRPr="00D46A14">
        <w:rPr>
          <w:rFonts w:ascii="Book Antiqua" w:hAnsi="Book Antiqua"/>
          <w:sz w:val="24"/>
          <w:szCs w:val="24"/>
        </w:rPr>
        <w:t>, the incidence of</w:t>
      </w:r>
      <w:r w:rsidR="00535496" w:rsidRPr="00D46A14">
        <w:rPr>
          <w:rFonts w:ascii="Book Antiqua" w:hAnsi="Book Antiqua"/>
          <w:sz w:val="24"/>
          <w:szCs w:val="24"/>
        </w:rPr>
        <w:t xml:space="preserve"> hypotension </w:t>
      </w:r>
      <w:r w:rsidRPr="00D46A14">
        <w:rPr>
          <w:rFonts w:ascii="Book Antiqua" w:hAnsi="Book Antiqua"/>
          <w:sz w:val="24"/>
          <w:szCs w:val="24"/>
        </w:rPr>
        <w:t>was</w:t>
      </w:r>
      <w:r w:rsidR="00535496" w:rsidRPr="00D46A14">
        <w:rPr>
          <w:rFonts w:ascii="Book Antiqua" w:hAnsi="Book Antiqua"/>
          <w:sz w:val="24"/>
          <w:szCs w:val="24"/>
        </w:rPr>
        <w:t xml:space="preserve"> </w:t>
      </w:r>
      <w:r w:rsidR="00774508" w:rsidRPr="00D46A14">
        <w:rPr>
          <w:rFonts w:ascii="Book Antiqua" w:hAnsi="Book Antiqua"/>
          <w:sz w:val="24"/>
          <w:szCs w:val="24"/>
        </w:rPr>
        <w:t xml:space="preserve">not </w:t>
      </w:r>
      <w:r w:rsidR="00535496" w:rsidRPr="00D46A14">
        <w:rPr>
          <w:rFonts w:ascii="Book Antiqua" w:hAnsi="Book Antiqua"/>
          <w:sz w:val="24"/>
          <w:szCs w:val="24"/>
        </w:rPr>
        <w:t xml:space="preserve">statistically difference between </w:t>
      </w:r>
      <w:r w:rsidRPr="00D46A14">
        <w:rPr>
          <w:rFonts w:ascii="Book Antiqua" w:hAnsi="Book Antiqua"/>
          <w:sz w:val="24"/>
          <w:szCs w:val="24"/>
        </w:rPr>
        <w:t>sedation arm</w:t>
      </w:r>
      <w:r w:rsidR="00113862" w:rsidRPr="00D46A14">
        <w:rPr>
          <w:rFonts w:ascii="Book Antiqua" w:hAnsi="Book Antiqua"/>
          <w:sz w:val="24"/>
          <w:szCs w:val="24"/>
        </w:rPr>
        <w:t>s</w:t>
      </w:r>
      <w:r w:rsidRPr="00D46A14">
        <w:rPr>
          <w:rFonts w:ascii="Book Antiqua" w:hAnsi="Book Antiqua"/>
          <w:sz w:val="24"/>
          <w:szCs w:val="24"/>
        </w:rPr>
        <w:t xml:space="preserve"> </w:t>
      </w:r>
      <w:r w:rsidR="00535496" w:rsidRPr="00D46A14">
        <w:rPr>
          <w:rFonts w:ascii="Book Antiqua" w:hAnsi="Book Antiqua"/>
          <w:sz w:val="24"/>
          <w:szCs w:val="24"/>
        </w:rPr>
        <w:t xml:space="preserve">(RD: 0.01, 95% CI: −0.02–+0.04,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xml:space="preserve">: 0%). </w:t>
      </w:r>
      <w:r w:rsidR="00774508" w:rsidRPr="00D46A14">
        <w:rPr>
          <w:rFonts w:ascii="Book Antiqua" w:hAnsi="Book Antiqua"/>
          <w:sz w:val="24"/>
          <w:szCs w:val="24"/>
        </w:rPr>
        <w:t>Oxygen d</w:t>
      </w:r>
      <w:r w:rsidR="00535496" w:rsidRPr="00D46A14">
        <w:rPr>
          <w:rFonts w:ascii="Book Antiqua" w:hAnsi="Book Antiqua"/>
          <w:sz w:val="24"/>
          <w:szCs w:val="24"/>
        </w:rPr>
        <w:t xml:space="preserve">esaturation was higher in the propofol group but </w:t>
      </w:r>
      <w:r w:rsidR="00113862" w:rsidRPr="00D46A14">
        <w:rPr>
          <w:rFonts w:ascii="Book Antiqua" w:hAnsi="Book Antiqua"/>
          <w:sz w:val="24"/>
          <w:szCs w:val="24"/>
        </w:rPr>
        <w:t>not statistically</w:t>
      </w:r>
      <w:r w:rsidR="00535496" w:rsidRPr="00D46A14">
        <w:rPr>
          <w:rFonts w:ascii="Book Antiqua" w:hAnsi="Book Antiqua"/>
          <w:sz w:val="24"/>
          <w:szCs w:val="24"/>
        </w:rPr>
        <w:t xml:space="preserve"> differen</w:t>
      </w:r>
      <w:r w:rsidR="00113862" w:rsidRPr="00D46A14">
        <w:rPr>
          <w:rFonts w:ascii="Book Antiqua" w:hAnsi="Book Antiqua"/>
          <w:sz w:val="24"/>
          <w:szCs w:val="24"/>
        </w:rPr>
        <w:t>t</w:t>
      </w:r>
      <w:r w:rsidR="00535496" w:rsidRPr="00D46A14">
        <w:rPr>
          <w:rFonts w:ascii="Book Antiqua" w:hAnsi="Book Antiqua"/>
          <w:sz w:val="24"/>
          <w:szCs w:val="24"/>
        </w:rPr>
        <w:t xml:space="preserve"> between groups (RD: −0.03, 95% CI: −0.06–+0.00,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25%). Patient</w:t>
      </w:r>
      <w:r w:rsidRPr="00D46A14">
        <w:rPr>
          <w:rFonts w:ascii="Book Antiqua" w:hAnsi="Book Antiqua"/>
          <w:sz w:val="24"/>
          <w:szCs w:val="24"/>
        </w:rPr>
        <w:t xml:space="preserve">s were more satisfied with their sedation </w:t>
      </w:r>
      <w:r w:rsidR="00535496" w:rsidRPr="00D46A14">
        <w:rPr>
          <w:rFonts w:ascii="Book Antiqua" w:hAnsi="Book Antiqua"/>
          <w:sz w:val="24"/>
          <w:szCs w:val="24"/>
        </w:rPr>
        <w:t xml:space="preserve">in the benzodiazepine + opioid group </w:t>
      </w:r>
      <w:r w:rsidR="00774508" w:rsidRPr="00D46A14">
        <w:rPr>
          <w:rFonts w:ascii="Book Antiqua" w:hAnsi="Book Antiqua"/>
          <w:sz w:val="24"/>
          <w:szCs w:val="24"/>
        </w:rPr>
        <w:t xml:space="preserve">compared to those with monotherapy propofol sedation </w:t>
      </w:r>
      <w:r w:rsidR="004B5B0A" w:rsidRPr="00D46A14">
        <w:rPr>
          <w:rFonts w:ascii="Book Antiqua" w:hAnsi="Book Antiqua"/>
          <w:sz w:val="24"/>
          <w:szCs w:val="24"/>
        </w:rPr>
        <w:t>(MD: +0.89, 95%</w:t>
      </w:r>
      <w:r w:rsidR="00535496" w:rsidRPr="00D46A14">
        <w:rPr>
          <w:rFonts w:ascii="Book Antiqua" w:hAnsi="Book Antiqua"/>
          <w:sz w:val="24"/>
          <w:szCs w:val="24"/>
        </w:rPr>
        <w:t xml:space="preserve">CI: +0.62–+1.17,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39%)</w:t>
      </w:r>
      <w:r w:rsidR="000F537B" w:rsidRPr="00D46A14">
        <w:rPr>
          <w:rFonts w:ascii="Book Antiqua" w:hAnsi="Book Antiqua"/>
          <w:sz w:val="24"/>
          <w:szCs w:val="24"/>
        </w:rPr>
        <w:t>.</w:t>
      </w:r>
      <w:r w:rsidR="00535496" w:rsidRPr="00D46A14">
        <w:rPr>
          <w:rFonts w:ascii="Book Antiqua" w:hAnsi="Book Antiqua"/>
          <w:sz w:val="24"/>
          <w:szCs w:val="24"/>
        </w:rPr>
        <w:t xml:space="preserve"> </w:t>
      </w:r>
      <w:r w:rsidR="009918A0" w:rsidRPr="00D46A14">
        <w:rPr>
          <w:rFonts w:ascii="Book Antiqua" w:hAnsi="Book Antiqua"/>
          <w:sz w:val="24"/>
          <w:szCs w:val="24"/>
        </w:rPr>
        <w:t>The recovery time after the procedure showed high heterogeneity even after outlier</w:t>
      </w:r>
      <w:r w:rsidR="00113862" w:rsidRPr="00D46A14">
        <w:rPr>
          <w:rFonts w:ascii="Book Antiqua" w:hAnsi="Book Antiqua"/>
          <w:sz w:val="24"/>
          <w:szCs w:val="24"/>
        </w:rPr>
        <w:t xml:space="preserve"> withdrawal</w:t>
      </w:r>
      <w:r w:rsidR="009918A0" w:rsidRPr="00D46A14">
        <w:rPr>
          <w:rFonts w:ascii="Book Antiqua" w:hAnsi="Book Antiqua"/>
          <w:sz w:val="24"/>
          <w:szCs w:val="24"/>
        </w:rPr>
        <w:t>, there was no statistical difference betw</w:t>
      </w:r>
      <w:r w:rsidR="004B5B0A" w:rsidRPr="00D46A14">
        <w:rPr>
          <w:rFonts w:ascii="Book Antiqua" w:hAnsi="Book Antiqua"/>
          <w:sz w:val="24"/>
          <w:szCs w:val="24"/>
        </w:rPr>
        <w:t>een both arms (MD: -15.15, 95%</w:t>
      </w:r>
      <w:r w:rsidR="009918A0" w:rsidRPr="00D46A14">
        <w:rPr>
          <w:rFonts w:ascii="Book Antiqua" w:hAnsi="Book Antiqua"/>
          <w:sz w:val="24"/>
          <w:szCs w:val="24"/>
        </w:rPr>
        <w:t xml:space="preserve">CI: −31.85–+1.56, </w:t>
      </w:r>
      <w:r w:rsidR="009918A0" w:rsidRPr="00D46A14">
        <w:rPr>
          <w:rFonts w:ascii="Book Antiqua" w:hAnsi="Book Antiqua"/>
          <w:i/>
          <w:sz w:val="24"/>
          <w:szCs w:val="24"/>
        </w:rPr>
        <w:t>I</w:t>
      </w:r>
      <w:r w:rsidR="009918A0" w:rsidRPr="00D46A14">
        <w:rPr>
          <w:rFonts w:ascii="Book Antiqua" w:hAnsi="Book Antiqua"/>
          <w:sz w:val="24"/>
          <w:szCs w:val="24"/>
          <w:vertAlign w:val="superscript"/>
        </w:rPr>
        <w:t>2</w:t>
      </w:r>
      <w:r w:rsidR="009918A0" w:rsidRPr="00D46A14">
        <w:rPr>
          <w:rFonts w:ascii="Book Antiqua" w:hAnsi="Book Antiqua"/>
          <w:sz w:val="24"/>
          <w:szCs w:val="24"/>
        </w:rPr>
        <w:t>: 99%).</w:t>
      </w:r>
      <w:r w:rsidR="004B5B0A" w:rsidRPr="00D46A14">
        <w:rPr>
          <w:rFonts w:ascii="Book Antiqua" w:eastAsia="等线" w:hAnsi="Book Antiqua"/>
          <w:sz w:val="24"/>
          <w:szCs w:val="24"/>
          <w:lang w:eastAsia="zh-CN"/>
        </w:rPr>
        <w:t xml:space="preserve"> </w:t>
      </w:r>
      <w:r w:rsidR="00774508" w:rsidRPr="00D46A14">
        <w:rPr>
          <w:rFonts w:ascii="Book Antiqua" w:hAnsi="Book Antiqua"/>
          <w:sz w:val="24"/>
          <w:szCs w:val="24"/>
        </w:rPr>
        <w:t xml:space="preserve">For Group </w:t>
      </w:r>
      <w:r w:rsidR="00535496" w:rsidRPr="00D46A14">
        <w:rPr>
          <w:rFonts w:ascii="Book Antiqua" w:hAnsi="Book Antiqua"/>
          <w:sz w:val="24"/>
          <w:szCs w:val="24"/>
        </w:rPr>
        <w:t xml:space="preserve">II </w:t>
      </w:r>
      <w:r w:rsidR="004B5B0A" w:rsidRPr="00D46A14">
        <w:rPr>
          <w:rFonts w:ascii="Book Antiqua" w:eastAsia="等线" w:hAnsi="Book Antiqua"/>
          <w:sz w:val="24"/>
          <w:szCs w:val="24"/>
          <w:lang w:eastAsia="zh-CN"/>
        </w:rPr>
        <w:t>(</w:t>
      </w:r>
      <w:r w:rsidR="00774508" w:rsidRPr="00D46A14">
        <w:rPr>
          <w:rFonts w:ascii="Book Antiqua" w:hAnsi="Book Antiqua"/>
          <w:sz w:val="24"/>
          <w:szCs w:val="24"/>
        </w:rPr>
        <w:t xml:space="preserve">Propofol </w:t>
      </w:r>
      <w:r w:rsidR="004B5B0A" w:rsidRPr="00D46A14">
        <w:rPr>
          <w:rFonts w:ascii="Book Antiqua" w:eastAsia="等线" w:hAnsi="Book Antiqua"/>
          <w:i/>
          <w:sz w:val="24"/>
          <w:szCs w:val="24"/>
          <w:lang w:eastAsia="zh-CN"/>
        </w:rPr>
        <w:t>vs</w:t>
      </w:r>
      <w:r w:rsidR="00774508" w:rsidRPr="00D46A14">
        <w:rPr>
          <w:rFonts w:ascii="Book Antiqua" w:hAnsi="Book Antiqua"/>
          <w:sz w:val="24"/>
          <w:szCs w:val="24"/>
        </w:rPr>
        <w:t xml:space="preserve"> </w:t>
      </w:r>
      <w:r w:rsidR="004B5B0A" w:rsidRPr="00D46A14">
        <w:rPr>
          <w:rFonts w:ascii="Book Antiqua" w:hAnsi="Book Antiqua"/>
          <w:sz w:val="24"/>
          <w:szCs w:val="24"/>
        </w:rPr>
        <w:t xml:space="preserve">propofol </w:t>
      </w:r>
      <w:r w:rsidR="00774508" w:rsidRPr="00D46A14">
        <w:rPr>
          <w:rFonts w:ascii="Book Antiqua" w:hAnsi="Book Antiqua"/>
          <w:sz w:val="24"/>
          <w:szCs w:val="24"/>
        </w:rPr>
        <w:t>with benzodiazepine and/or opioids</w:t>
      </w:r>
      <w:r w:rsidR="004B5B0A" w:rsidRPr="00D46A14">
        <w:rPr>
          <w:rFonts w:ascii="Book Antiqua" w:eastAsia="等线" w:hAnsi="Book Antiqua"/>
          <w:sz w:val="24"/>
          <w:szCs w:val="24"/>
          <w:lang w:eastAsia="zh-CN"/>
        </w:rPr>
        <w:t>)</w:t>
      </w:r>
      <w:r w:rsidR="00774508" w:rsidRPr="00D46A14">
        <w:rPr>
          <w:rFonts w:ascii="Book Antiqua" w:hAnsi="Book Antiqua"/>
          <w:sz w:val="24"/>
          <w:szCs w:val="24"/>
        </w:rPr>
        <w:t xml:space="preserve">: </w:t>
      </w:r>
      <w:r w:rsidR="00535496" w:rsidRPr="00D46A14">
        <w:rPr>
          <w:rFonts w:ascii="Book Antiqua" w:hAnsi="Book Antiqua"/>
          <w:sz w:val="24"/>
          <w:szCs w:val="24"/>
        </w:rPr>
        <w:t xml:space="preserve">Bradycardia had a tendency </w:t>
      </w:r>
      <w:r w:rsidR="00113862" w:rsidRPr="00D46A14">
        <w:rPr>
          <w:rFonts w:ascii="Book Antiqua" w:hAnsi="Book Antiqua"/>
          <w:sz w:val="24"/>
          <w:szCs w:val="24"/>
        </w:rPr>
        <w:t xml:space="preserve">to occur </w:t>
      </w:r>
      <w:r w:rsidR="00535496" w:rsidRPr="00D46A14">
        <w:rPr>
          <w:rFonts w:ascii="Book Antiqua" w:hAnsi="Book Antiqua"/>
          <w:sz w:val="24"/>
          <w:szCs w:val="24"/>
        </w:rPr>
        <w:t>in the Propofol group with benzodiazepine and/or op</w:t>
      </w:r>
      <w:r w:rsidR="004B5B0A" w:rsidRPr="00D46A14">
        <w:rPr>
          <w:rFonts w:ascii="Book Antiqua" w:hAnsi="Book Antiqua"/>
          <w:sz w:val="24"/>
          <w:szCs w:val="24"/>
        </w:rPr>
        <w:t>ioid-associated (RD: -0.08, 95%</w:t>
      </w:r>
      <w:r w:rsidR="00535496" w:rsidRPr="00D46A14">
        <w:rPr>
          <w:rFonts w:ascii="Book Antiqua" w:hAnsi="Book Antiqua"/>
          <w:sz w:val="24"/>
          <w:szCs w:val="24"/>
        </w:rPr>
        <w:t>CI: −0.13–−0.02</w:t>
      </w:r>
      <w:r w:rsidR="004B5B0A" w:rsidRPr="00D46A14">
        <w:rPr>
          <w:rFonts w:ascii="Book Antiqua" w:eastAsia="等线" w:hAnsi="Book Antiqua"/>
          <w:sz w:val="24"/>
          <w:szCs w:val="24"/>
          <w:lang w:eastAsia="zh-CN"/>
        </w:rPr>
        <w:t>,</w:t>
      </w:r>
      <w:r w:rsidR="00535496" w:rsidRPr="00D46A14">
        <w:rPr>
          <w:rFonts w:ascii="Book Antiqua" w:hAnsi="Book Antiqua"/>
          <w:sz w:val="24"/>
          <w:szCs w:val="24"/>
        </w:rPr>
        <w:t xml:space="preserve">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59%)</w:t>
      </w:r>
      <w:r w:rsidR="000F537B" w:rsidRPr="00D46A14">
        <w:rPr>
          <w:rFonts w:ascii="Book Antiqua" w:hAnsi="Book Antiqua"/>
          <w:sz w:val="24"/>
          <w:szCs w:val="24"/>
        </w:rPr>
        <w:t xml:space="preserve">. </w:t>
      </w:r>
      <w:r w:rsidR="00A37F00" w:rsidRPr="00D46A14">
        <w:rPr>
          <w:rFonts w:ascii="Book Antiqua" w:hAnsi="Book Antiqua"/>
          <w:sz w:val="24"/>
          <w:szCs w:val="24"/>
        </w:rPr>
        <w:t>There was no</w:t>
      </w:r>
      <w:r w:rsidR="00535496" w:rsidRPr="00D46A14">
        <w:rPr>
          <w:rFonts w:ascii="Book Antiqua" w:hAnsi="Book Antiqua"/>
          <w:sz w:val="24"/>
          <w:szCs w:val="24"/>
        </w:rPr>
        <w:t xml:space="preserve"> statistical difference</w:t>
      </w:r>
      <w:r w:rsidR="00A37F00" w:rsidRPr="00D46A14">
        <w:rPr>
          <w:rFonts w:ascii="Book Antiqua" w:hAnsi="Book Antiqua"/>
          <w:sz w:val="24"/>
          <w:szCs w:val="24"/>
        </w:rPr>
        <w:t xml:space="preserve"> in the incidence of bradycardia</w:t>
      </w:r>
      <w:r w:rsidR="004B5B0A" w:rsidRPr="00D46A14">
        <w:rPr>
          <w:rFonts w:ascii="Book Antiqua" w:hAnsi="Book Antiqua"/>
          <w:sz w:val="24"/>
          <w:szCs w:val="24"/>
        </w:rPr>
        <w:t xml:space="preserve"> (RD: -0.00, 95%</w:t>
      </w:r>
      <w:r w:rsidR="00535496" w:rsidRPr="00D46A14">
        <w:rPr>
          <w:rFonts w:ascii="Book Antiqua" w:hAnsi="Book Antiqua"/>
          <w:sz w:val="24"/>
          <w:szCs w:val="24"/>
        </w:rPr>
        <w:t xml:space="preserve">CI: −0.08–+0.08,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85%)</w:t>
      </w:r>
      <w:r w:rsidR="00A37F00" w:rsidRPr="00D46A14">
        <w:rPr>
          <w:rFonts w:ascii="Book Antiqua" w:hAnsi="Book Antiqua"/>
          <w:sz w:val="24"/>
          <w:szCs w:val="24"/>
        </w:rPr>
        <w:t>, d</w:t>
      </w:r>
      <w:r w:rsidR="004B5B0A" w:rsidRPr="00D46A14">
        <w:rPr>
          <w:rFonts w:ascii="Book Antiqua" w:hAnsi="Book Antiqua"/>
          <w:sz w:val="24"/>
          <w:szCs w:val="24"/>
        </w:rPr>
        <w:t>esaturation (RD: −0.00, 95%</w:t>
      </w:r>
      <w:r w:rsidR="00535496" w:rsidRPr="00D46A14">
        <w:rPr>
          <w:rFonts w:ascii="Book Antiqua" w:hAnsi="Book Antiqua"/>
          <w:sz w:val="24"/>
          <w:szCs w:val="24"/>
        </w:rPr>
        <w:t xml:space="preserve">CI: −0.03–+0.02,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44%)</w:t>
      </w:r>
      <w:r w:rsidR="00A37F00" w:rsidRPr="00D46A14">
        <w:rPr>
          <w:rFonts w:ascii="Book Antiqua" w:hAnsi="Book Antiqua"/>
          <w:sz w:val="24"/>
          <w:szCs w:val="24"/>
        </w:rPr>
        <w:t xml:space="preserve"> or</w:t>
      </w:r>
      <w:r w:rsidR="004B5B0A" w:rsidRPr="00D46A14">
        <w:rPr>
          <w:rFonts w:ascii="Book Antiqua" w:hAnsi="Book Antiqua"/>
          <w:sz w:val="24"/>
          <w:szCs w:val="24"/>
        </w:rPr>
        <w:t xml:space="preserve"> recovery time (MD: -2.04, 95%</w:t>
      </w:r>
      <w:r w:rsidR="00535496" w:rsidRPr="00D46A14">
        <w:rPr>
          <w:rFonts w:ascii="Book Antiqua" w:hAnsi="Book Antiqua"/>
          <w:sz w:val="24"/>
          <w:szCs w:val="24"/>
        </w:rPr>
        <w:t xml:space="preserve">CI: −6.96–+2.88,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97%)</w:t>
      </w:r>
      <w:r w:rsidR="00A37F00" w:rsidRPr="00D46A14">
        <w:rPr>
          <w:rFonts w:ascii="Book Antiqua" w:hAnsi="Book Antiqua"/>
          <w:sz w:val="24"/>
          <w:szCs w:val="24"/>
        </w:rPr>
        <w:t xml:space="preserve"> between sedation arms</w:t>
      </w:r>
      <w:r w:rsidR="00535496" w:rsidRPr="00D46A14">
        <w:rPr>
          <w:rFonts w:ascii="Book Antiqua" w:hAnsi="Book Antiqua"/>
          <w:sz w:val="24"/>
          <w:szCs w:val="24"/>
        </w:rPr>
        <w:t xml:space="preserve">. The total dose of propofol </w:t>
      </w:r>
      <w:r w:rsidR="00113862" w:rsidRPr="00D46A14">
        <w:rPr>
          <w:rFonts w:ascii="Book Antiqua" w:hAnsi="Book Antiqua"/>
          <w:sz w:val="24"/>
          <w:szCs w:val="24"/>
        </w:rPr>
        <w:t xml:space="preserve">was </w:t>
      </w:r>
      <w:r w:rsidR="00535496" w:rsidRPr="00D46A14">
        <w:rPr>
          <w:rFonts w:ascii="Book Antiqua" w:hAnsi="Book Antiqua"/>
          <w:sz w:val="24"/>
          <w:szCs w:val="24"/>
        </w:rPr>
        <w:t>higher in the propofol group with benzodiazepine and/or opiates but with high hetero</w:t>
      </w:r>
      <w:r w:rsidR="004B5B0A" w:rsidRPr="00D46A14">
        <w:rPr>
          <w:rFonts w:ascii="Book Antiqua" w:hAnsi="Book Antiqua"/>
          <w:sz w:val="24"/>
          <w:szCs w:val="24"/>
        </w:rPr>
        <w:t>geneity. (MD: 70.36, 95%</w:t>
      </w:r>
      <w:r w:rsidR="00535496" w:rsidRPr="00D46A14">
        <w:rPr>
          <w:rFonts w:ascii="Book Antiqua" w:hAnsi="Book Antiqua"/>
          <w:sz w:val="24"/>
          <w:szCs w:val="24"/>
        </w:rPr>
        <w:t xml:space="preserve">CI: +53.11–+87.60,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61%).</w:t>
      </w:r>
      <w:r w:rsidR="000F537B" w:rsidRPr="00D46A14">
        <w:rPr>
          <w:rFonts w:ascii="Book Antiqua" w:hAnsi="Book Antiqua"/>
          <w:sz w:val="24"/>
          <w:szCs w:val="24"/>
        </w:rPr>
        <w:t xml:space="preserve"> </w:t>
      </w:r>
      <w:r w:rsidR="00A37F00" w:rsidRPr="00D46A14">
        <w:rPr>
          <w:rFonts w:ascii="Book Antiqua" w:hAnsi="Book Antiqua"/>
          <w:sz w:val="24"/>
          <w:szCs w:val="24"/>
        </w:rPr>
        <w:t xml:space="preserve">For Group </w:t>
      </w:r>
      <w:r w:rsidR="00535496" w:rsidRPr="00D46A14">
        <w:rPr>
          <w:rFonts w:ascii="Book Antiqua" w:hAnsi="Book Antiqua"/>
          <w:sz w:val="24"/>
          <w:szCs w:val="24"/>
        </w:rPr>
        <w:t xml:space="preserve">III </w:t>
      </w:r>
      <w:r w:rsidR="004B5B0A" w:rsidRPr="00D46A14">
        <w:rPr>
          <w:rFonts w:ascii="Book Antiqua" w:eastAsia="等线" w:hAnsi="Book Antiqua"/>
          <w:sz w:val="24"/>
          <w:szCs w:val="24"/>
          <w:lang w:eastAsia="zh-CN"/>
        </w:rPr>
        <w:t>(</w:t>
      </w:r>
      <w:r w:rsidR="00A37F00" w:rsidRPr="00D46A14">
        <w:rPr>
          <w:rFonts w:ascii="Book Antiqua" w:hAnsi="Book Antiqua"/>
          <w:sz w:val="24"/>
          <w:szCs w:val="24"/>
        </w:rPr>
        <w:t xml:space="preserve">Propofol with benzodiazepine and opioid </w:t>
      </w:r>
      <w:r w:rsidR="004B5B0A" w:rsidRPr="00D46A14">
        <w:rPr>
          <w:rFonts w:ascii="Book Antiqua" w:eastAsia="等线" w:hAnsi="Book Antiqua"/>
          <w:i/>
          <w:sz w:val="24"/>
          <w:szCs w:val="24"/>
          <w:lang w:eastAsia="zh-CN"/>
        </w:rPr>
        <w:t>vs</w:t>
      </w:r>
      <w:r w:rsidR="00A37F00" w:rsidRPr="00D46A14">
        <w:rPr>
          <w:rFonts w:ascii="Book Antiqua" w:hAnsi="Book Antiqua"/>
          <w:sz w:val="24"/>
          <w:szCs w:val="24"/>
        </w:rPr>
        <w:t xml:space="preserve"> benzodiazepine and opioid</w:t>
      </w:r>
      <w:r w:rsidR="004B5B0A" w:rsidRPr="00D46A14">
        <w:rPr>
          <w:rFonts w:ascii="Book Antiqua" w:eastAsia="等线" w:hAnsi="Book Antiqua"/>
          <w:sz w:val="24"/>
          <w:szCs w:val="24"/>
          <w:lang w:eastAsia="zh-CN"/>
        </w:rPr>
        <w:t>)</w:t>
      </w:r>
      <w:r w:rsidR="000F537B" w:rsidRPr="00D46A14">
        <w:rPr>
          <w:rFonts w:ascii="Book Antiqua" w:hAnsi="Book Antiqua"/>
          <w:sz w:val="24"/>
          <w:szCs w:val="24"/>
        </w:rPr>
        <w:t xml:space="preserve">: </w:t>
      </w:r>
      <w:r w:rsidR="00535496" w:rsidRPr="00D46A14">
        <w:rPr>
          <w:rFonts w:ascii="Book Antiqua" w:hAnsi="Book Antiqua"/>
          <w:sz w:val="24"/>
          <w:szCs w:val="24"/>
        </w:rPr>
        <w:t>Bradycardia</w:t>
      </w:r>
      <w:r w:rsidR="00010D36" w:rsidRPr="00D46A14">
        <w:rPr>
          <w:rFonts w:ascii="Book Antiqua" w:hAnsi="Book Antiqua"/>
          <w:sz w:val="24"/>
          <w:szCs w:val="24"/>
        </w:rPr>
        <w:t xml:space="preserve"> and hypotension</w:t>
      </w:r>
      <w:r w:rsidR="00535496" w:rsidRPr="00D46A14">
        <w:rPr>
          <w:rFonts w:ascii="Book Antiqua" w:hAnsi="Book Antiqua"/>
          <w:sz w:val="24"/>
          <w:szCs w:val="24"/>
        </w:rPr>
        <w:t xml:space="preserve"> was not statistically significant</w:t>
      </w:r>
      <w:r w:rsidR="004B5B0A" w:rsidRPr="00D46A14">
        <w:rPr>
          <w:rFonts w:ascii="Book Antiqua" w:hAnsi="Book Antiqua"/>
          <w:sz w:val="24"/>
          <w:szCs w:val="24"/>
        </w:rPr>
        <w:t xml:space="preserve"> between groups (RD: -0.00, 95%</w:t>
      </w:r>
      <w:r w:rsidR="00535496" w:rsidRPr="00D46A14">
        <w:rPr>
          <w:rFonts w:ascii="Book Antiqua" w:hAnsi="Book Antiqua"/>
          <w:sz w:val="24"/>
          <w:szCs w:val="24"/>
        </w:rPr>
        <w:t>CI: −0.002–+0.02</w:t>
      </w:r>
      <w:r w:rsidR="004B5B0A" w:rsidRPr="00D46A14">
        <w:rPr>
          <w:rFonts w:ascii="Book Antiqua" w:eastAsia="等线" w:hAnsi="Book Antiqua"/>
          <w:sz w:val="24"/>
          <w:szCs w:val="24"/>
          <w:lang w:eastAsia="zh-CN"/>
        </w:rPr>
        <w:t>,</w:t>
      </w:r>
      <w:r w:rsidR="00535496" w:rsidRPr="00D46A14">
        <w:rPr>
          <w:rFonts w:ascii="Book Antiqua" w:hAnsi="Book Antiqua"/>
          <w:sz w:val="24"/>
          <w:szCs w:val="24"/>
        </w:rPr>
        <w:t xml:space="preserve">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3%</w:t>
      </w:r>
      <w:r w:rsidR="004B5B0A" w:rsidRPr="00D46A14">
        <w:rPr>
          <w:rFonts w:ascii="Book Antiqua" w:eastAsia="等线" w:hAnsi="Book Antiqua"/>
          <w:sz w:val="24"/>
          <w:szCs w:val="24"/>
          <w:lang w:eastAsia="zh-CN"/>
        </w:rPr>
        <w:t xml:space="preserve">; </w:t>
      </w:r>
      <w:r w:rsidR="004B5B0A" w:rsidRPr="00D46A14">
        <w:rPr>
          <w:rFonts w:ascii="Book Antiqua" w:hAnsi="Book Antiqua"/>
          <w:sz w:val="24"/>
          <w:szCs w:val="24"/>
        </w:rPr>
        <w:t>RD: 0.04, 95%</w:t>
      </w:r>
      <w:r w:rsidR="00535496" w:rsidRPr="00D46A14">
        <w:rPr>
          <w:rFonts w:ascii="Book Antiqua" w:hAnsi="Book Antiqua"/>
          <w:sz w:val="24"/>
          <w:szCs w:val="24"/>
        </w:rPr>
        <w:t xml:space="preserve">CI: −0.05–+0.13,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77%</w:t>
      </w:r>
      <w:r w:rsidR="003B661E" w:rsidRPr="00D46A14">
        <w:rPr>
          <w:rFonts w:ascii="Book Antiqua" w:hAnsi="Book Antiqua"/>
          <w:sz w:val="24"/>
          <w:szCs w:val="24"/>
        </w:rPr>
        <w:t>)</w:t>
      </w:r>
      <w:r w:rsidR="00535496" w:rsidRPr="00D46A14">
        <w:rPr>
          <w:rFonts w:ascii="Book Antiqua" w:hAnsi="Book Antiqua"/>
          <w:sz w:val="24"/>
          <w:szCs w:val="24"/>
        </w:rPr>
        <w:t xml:space="preserve">. Desaturation was evaluated in </w:t>
      </w:r>
      <w:r w:rsidR="00010D36" w:rsidRPr="00D46A14">
        <w:rPr>
          <w:rFonts w:ascii="Book Antiqua" w:hAnsi="Book Antiqua"/>
          <w:sz w:val="24"/>
          <w:szCs w:val="24"/>
        </w:rPr>
        <w:t>two</w:t>
      </w:r>
      <w:r w:rsidR="00535496" w:rsidRPr="00D46A14">
        <w:rPr>
          <w:rFonts w:ascii="Book Antiqua" w:hAnsi="Book Antiqua"/>
          <w:sz w:val="24"/>
          <w:szCs w:val="24"/>
        </w:rPr>
        <w:t xml:space="preserve"> articles </w:t>
      </w:r>
      <w:r w:rsidR="00010D36" w:rsidRPr="00D46A14">
        <w:rPr>
          <w:rFonts w:ascii="Book Antiqua" w:hAnsi="Book Antiqua"/>
          <w:sz w:val="24"/>
          <w:szCs w:val="24"/>
        </w:rPr>
        <w:t xml:space="preserve">and was higher in the </w:t>
      </w:r>
      <w:r w:rsidR="004B5B0A" w:rsidRPr="00D46A14">
        <w:rPr>
          <w:rFonts w:ascii="Book Antiqua" w:hAnsi="Book Antiqua"/>
          <w:sz w:val="24"/>
          <w:szCs w:val="24"/>
        </w:rPr>
        <w:t xml:space="preserve">propofol </w:t>
      </w:r>
      <w:r w:rsidR="00334EC5" w:rsidRPr="00D46A14">
        <w:rPr>
          <w:rFonts w:ascii="Book Antiqua" w:hAnsi="Book Antiqua"/>
          <w:sz w:val="24"/>
          <w:szCs w:val="24"/>
        </w:rPr>
        <w:t xml:space="preserve">+ </w:t>
      </w:r>
      <w:r w:rsidR="004B5B0A" w:rsidRPr="00D46A14">
        <w:rPr>
          <w:rFonts w:ascii="Book Antiqua" w:hAnsi="Book Antiqua"/>
          <w:sz w:val="24"/>
          <w:szCs w:val="24"/>
        </w:rPr>
        <w:t xml:space="preserve">benzodiazepine </w:t>
      </w:r>
      <w:r w:rsidR="00334EC5" w:rsidRPr="00D46A14">
        <w:rPr>
          <w:rFonts w:ascii="Book Antiqua" w:hAnsi="Book Antiqua"/>
          <w:sz w:val="24"/>
          <w:szCs w:val="24"/>
        </w:rPr>
        <w:t xml:space="preserve">+ </w:t>
      </w:r>
      <w:r w:rsidR="004B5B0A" w:rsidRPr="00D46A14">
        <w:rPr>
          <w:rFonts w:ascii="Book Antiqua" w:hAnsi="Book Antiqua"/>
          <w:sz w:val="24"/>
          <w:szCs w:val="24"/>
        </w:rPr>
        <w:t xml:space="preserve">opioid </w:t>
      </w:r>
      <w:r w:rsidR="00535496" w:rsidRPr="00D46A14">
        <w:rPr>
          <w:rFonts w:ascii="Book Antiqua" w:hAnsi="Book Antiqua"/>
          <w:sz w:val="24"/>
          <w:szCs w:val="24"/>
        </w:rPr>
        <w:t>group, but with hi</w:t>
      </w:r>
      <w:r w:rsidR="004B5B0A" w:rsidRPr="00D46A14">
        <w:rPr>
          <w:rFonts w:ascii="Book Antiqua" w:hAnsi="Book Antiqua"/>
          <w:sz w:val="24"/>
          <w:szCs w:val="24"/>
        </w:rPr>
        <w:t>gh heterogeneity (RD: 0.15, 95%</w:t>
      </w:r>
      <w:r w:rsidR="00535496" w:rsidRPr="00D46A14">
        <w:rPr>
          <w:rFonts w:ascii="Book Antiqua" w:hAnsi="Book Antiqua"/>
          <w:sz w:val="24"/>
          <w:szCs w:val="24"/>
        </w:rPr>
        <w:t xml:space="preserve">CI: 0.08–+0.22,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xml:space="preserve">: 95%). </w:t>
      </w:r>
    </w:p>
    <w:p w14:paraId="5E78655E" w14:textId="77777777" w:rsidR="004B5B0A" w:rsidRPr="00D46A14" w:rsidRDefault="004B5B0A" w:rsidP="00D46A14">
      <w:pPr>
        <w:spacing w:after="0" w:line="360" w:lineRule="auto"/>
        <w:ind w:left="0" w:right="97" w:firstLine="0"/>
        <w:rPr>
          <w:rFonts w:ascii="Book Antiqua" w:eastAsia="等线" w:hAnsi="Book Antiqua"/>
          <w:sz w:val="24"/>
          <w:szCs w:val="24"/>
          <w:lang w:eastAsia="zh-CN"/>
        </w:rPr>
      </w:pPr>
    </w:p>
    <w:p w14:paraId="74B4359A" w14:textId="77777777" w:rsidR="004B5B0A" w:rsidRPr="00D46A14" w:rsidRDefault="00CE0D78" w:rsidP="00D46A14">
      <w:pPr>
        <w:spacing w:after="0" w:line="360" w:lineRule="auto"/>
        <w:ind w:left="0" w:right="0" w:firstLine="0"/>
        <w:rPr>
          <w:rFonts w:ascii="Book Antiqua" w:eastAsia="等线" w:hAnsi="Book Antiqua"/>
          <w:b/>
          <w:i/>
          <w:sz w:val="24"/>
          <w:szCs w:val="24"/>
          <w:lang w:eastAsia="zh-CN"/>
        </w:rPr>
      </w:pPr>
      <w:r w:rsidRPr="00D46A14">
        <w:rPr>
          <w:rFonts w:ascii="Book Antiqua" w:hAnsi="Book Antiqua"/>
          <w:b/>
          <w:i/>
          <w:sz w:val="24"/>
          <w:szCs w:val="24"/>
        </w:rPr>
        <w:t>C</w:t>
      </w:r>
      <w:r w:rsidR="00AE0C61" w:rsidRPr="00D46A14">
        <w:rPr>
          <w:rFonts w:ascii="Book Antiqua" w:hAnsi="Book Antiqua"/>
          <w:b/>
          <w:i/>
          <w:sz w:val="24"/>
          <w:szCs w:val="24"/>
        </w:rPr>
        <w:t>ONCLUSION</w:t>
      </w:r>
    </w:p>
    <w:p w14:paraId="18D82FDB" w14:textId="77777777" w:rsidR="004B5B0A" w:rsidRPr="00D46A14" w:rsidRDefault="00F85227" w:rsidP="00D46A14">
      <w:pPr>
        <w:spacing w:after="0" w:line="360" w:lineRule="auto"/>
        <w:ind w:left="0" w:right="0" w:firstLine="0"/>
        <w:rPr>
          <w:rFonts w:ascii="Book Antiqua" w:eastAsia="等线" w:hAnsi="Book Antiqua"/>
          <w:sz w:val="24"/>
          <w:szCs w:val="24"/>
          <w:lang w:eastAsia="zh-CN"/>
        </w:rPr>
      </w:pPr>
      <w:r w:rsidRPr="00D46A14">
        <w:rPr>
          <w:rFonts w:ascii="Book Antiqua" w:hAnsi="Book Antiqua"/>
          <w:sz w:val="24"/>
          <w:szCs w:val="24"/>
        </w:rPr>
        <w:t xml:space="preserve">This </w:t>
      </w:r>
      <w:r w:rsidR="00191211" w:rsidRPr="00D46A14">
        <w:rPr>
          <w:rFonts w:ascii="Book Antiqua" w:hAnsi="Book Antiqua"/>
          <w:sz w:val="24"/>
          <w:szCs w:val="24"/>
        </w:rPr>
        <w:t>meta-analysis</w:t>
      </w:r>
      <w:r w:rsidRPr="00D46A14">
        <w:rPr>
          <w:rFonts w:ascii="Book Antiqua" w:hAnsi="Book Antiqua"/>
          <w:sz w:val="24"/>
          <w:szCs w:val="24"/>
        </w:rPr>
        <w:t xml:space="preserve"> suggests that the use of propofol alone or in combination with traditional adjunctive sedatives is safe and does not result in an increase in negative outcomes in patients undergoing endoscopic procedures.</w:t>
      </w:r>
    </w:p>
    <w:p w14:paraId="6D90F73A" w14:textId="77777777" w:rsidR="004B5B0A" w:rsidRPr="00D46A14" w:rsidRDefault="004B5B0A" w:rsidP="00D46A14">
      <w:pPr>
        <w:spacing w:after="0" w:line="360" w:lineRule="auto"/>
        <w:ind w:left="0" w:right="0" w:firstLine="0"/>
        <w:rPr>
          <w:rFonts w:ascii="Book Antiqua" w:eastAsia="等线" w:hAnsi="Book Antiqua"/>
          <w:sz w:val="24"/>
          <w:szCs w:val="24"/>
          <w:lang w:eastAsia="zh-CN"/>
        </w:rPr>
      </w:pPr>
    </w:p>
    <w:p w14:paraId="5EA5F477" w14:textId="3AA09E29" w:rsidR="006E4D2A" w:rsidRPr="00D46A14" w:rsidRDefault="004B5B0A" w:rsidP="00D46A14">
      <w:pPr>
        <w:spacing w:after="0" w:line="360" w:lineRule="auto"/>
        <w:ind w:left="0" w:right="0" w:firstLine="0"/>
        <w:rPr>
          <w:rFonts w:ascii="Book Antiqua" w:eastAsia="等线" w:hAnsi="Book Antiqua"/>
          <w:sz w:val="24"/>
          <w:szCs w:val="24"/>
          <w:lang w:eastAsia="zh-CN"/>
        </w:rPr>
      </w:pPr>
      <w:r w:rsidRPr="00D46A14">
        <w:rPr>
          <w:rFonts w:ascii="Book Antiqua" w:hAnsi="Book Antiqua"/>
          <w:b/>
          <w:sz w:val="24"/>
          <w:szCs w:val="24"/>
        </w:rPr>
        <w:t>Key</w:t>
      </w:r>
      <w:r w:rsidRPr="00D46A14">
        <w:rPr>
          <w:rFonts w:ascii="Book Antiqua" w:eastAsia="等线" w:hAnsi="Book Antiqua"/>
          <w:b/>
          <w:sz w:val="24"/>
          <w:szCs w:val="24"/>
          <w:lang w:eastAsia="zh-CN"/>
        </w:rPr>
        <w:t xml:space="preserve"> </w:t>
      </w:r>
      <w:r w:rsidR="0065424B" w:rsidRPr="00D46A14">
        <w:rPr>
          <w:rFonts w:ascii="Book Antiqua" w:hAnsi="Book Antiqua"/>
          <w:b/>
          <w:sz w:val="24"/>
          <w:szCs w:val="24"/>
        </w:rPr>
        <w:t>words:</w:t>
      </w:r>
      <w:r w:rsidR="0065424B" w:rsidRPr="00D46A14">
        <w:rPr>
          <w:rFonts w:ascii="Book Antiqua" w:hAnsi="Book Antiqua"/>
          <w:sz w:val="24"/>
          <w:szCs w:val="24"/>
        </w:rPr>
        <w:t xml:space="preserve"> </w:t>
      </w:r>
      <w:r w:rsidRPr="00D46A14">
        <w:rPr>
          <w:rFonts w:ascii="Book Antiqua" w:hAnsi="Book Antiqua"/>
          <w:sz w:val="24"/>
          <w:szCs w:val="24"/>
        </w:rPr>
        <w:t>Sedation</w:t>
      </w:r>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r w:rsidRPr="00D46A14">
        <w:rPr>
          <w:rFonts w:ascii="Book Antiqua" w:hAnsi="Book Antiqua"/>
          <w:sz w:val="24"/>
          <w:szCs w:val="24"/>
        </w:rPr>
        <w:t xml:space="preserve">Digestive </w:t>
      </w:r>
      <w:r w:rsidR="00F205DB" w:rsidRPr="00D46A14">
        <w:rPr>
          <w:rFonts w:ascii="Book Antiqua" w:hAnsi="Book Antiqua"/>
          <w:sz w:val="24"/>
          <w:szCs w:val="24"/>
        </w:rPr>
        <w:t>endoscopy</w:t>
      </w:r>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r w:rsidRPr="00D46A14">
        <w:rPr>
          <w:rFonts w:ascii="Book Antiqua" w:hAnsi="Book Antiqua"/>
          <w:sz w:val="24"/>
          <w:szCs w:val="24"/>
        </w:rPr>
        <w:t>Propofol</w:t>
      </w:r>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r w:rsidRPr="00D46A14">
        <w:rPr>
          <w:rFonts w:ascii="Book Antiqua" w:hAnsi="Book Antiqua"/>
          <w:sz w:val="24"/>
          <w:szCs w:val="24"/>
        </w:rPr>
        <w:t>Benzodiazepines</w:t>
      </w:r>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r w:rsidRPr="00D46A14">
        <w:rPr>
          <w:rFonts w:ascii="Book Antiqua" w:hAnsi="Book Antiqua"/>
          <w:sz w:val="24"/>
          <w:szCs w:val="24"/>
        </w:rPr>
        <w:t>Opioids</w:t>
      </w:r>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r w:rsidRPr="00D46A14">
        <w:rPr>
          <w:rFonts w:ascii="Book Antiqua" w:hAnsi="Book Antiqua"/>
          <w:sz w:val="24"/>
          <w:szCs w:val="24"/>
        </w:rPr>
        <w:t>Adverse events</w:t>
      </w:r>
    </w:p>
    <w:p w14:paraId="44201436" w14:textId="77777777" w:rsidR="004B5B0A" w:rsidRPr="00D46A14" w:rsidRDefault="004B5B0A" w:rsidP="00D46A14">
      <w:pPr>
        <w:spacing w:after="0" w:line="360" w:lineRule="auto"/>
        <w:ind w:firstLine="0"/>
        <w:rPr>
          <w:rFonts w:ascii="Book Antiqua" w:eastAsia="等线" w:hAnsi="Book Antiqua"/>
          <w:sz w:val="24"/>
          <w:szCs w:val="24"/>
          <w:lang w:eastAsia="zh-CN"/>
        </w:rPr>
      </w:pPr>
      <w:bookmarkStart w:id="4" w:name="OLE_LINK55"/>
      <w:bookmarkStart w:id="5" w:name="OLE_LINK56"/>
      <w:bookmarkStart w:id="6" w:name="OLE_LINK105"/>
      <w:bookmarkStart w:id="7" w:name="OLE_LINK116"/>
      <w:bookmarkStart w:id="8" w:name="OLE_LINK89"/>
    </w:p>
    <w:p w14:paraId="0B465F09" w14:textId="7B7F275C" w:rsidR="004B5B0A" w:rsidRPr="00D46A14" w:rsidRDefault="004B5B0A" w:rsidP="00D46A14">
      <w:pPr>
        <w:spacing w:after="0" w:line="360" w:lineRule="auto"/>
        <w:ind w:firstLine="0"/>
        <w:rPr>
          <w:rFonts w:ascii="Book Antiqua" w:hAnsi="Book Antiqua" w:cs="Arial"/>
          <w:sz w:val="24"/>
          <w:szCs w:val="24"/>
        </w:rPr>
      </w:pPr>
      <w:r w:rsidRPr="00D46A14">
        <w:rPr>
          <w:rFonts w:ascii="Book Antiqua" w:hAnsi="Book Antiqua"/>
          <w:b/>
          <w:sz w:val="24"/>
          <w:szCs w:val="24"/>
        </w:rPr>
        <w:t>©</w:t>
      </w:r>
      <w:bookmarkEnd w:id="4"/>
      <w:bookmarkEnd w:id="5"/>
      <w:r w:rsidRPr="00D46A14">
        <w:rPr>
          <w:rFonts w:ascii="Book Antiqua" w:hAnsi="Book Antiqua"/>
          <w:b/>
          <w:sz w:val="24"/>
          <w:szCs w:val="24"/>
        </w:rPr>
        <w:t xml:space="preserve"> </w:t>
      </w:r>
      <w:r w:rsidRPr="00D46A14">
        <w:rPr>
          <w:rFonts w:ascii="Book Antiqua" w:hAnsi="Book Antiqua" w:cs="Arial"/>
          <w:b/>
          <w:sz w:val="24"/>
          <w:szCs w:val="24"/>
        </w:rPr>
        <w:t xml:space="preserve">The Author(s) </w:t>
      </w:r>
      <w:r w:rsidRPr="00D46A14">
        <w:rPr>
          <w:rFonts w:ascii="Book Antiqua" w:eastAsia="宋体" w:hAnsi="Book Antiqua" w:cs="Arial"/>
          <w:b/>
          <w:sz w:val="24"/>
          <w:szCs w:val="24"/>
          <w:lang w:eastAsia="zh-CN"/>
        </w:rPr>
        <w:t>2019</w:t>
      </w:r>
      <w:r w:rsidRPr="00D46A14">
        <w:rPr>
          <w:rFonts w:ascii="Book Antiqua" w:hAnsi="Book Antiqua" w:cs="Arial"/>
          <w:b/>
          <w:sz w:val="24"/>
          <w:szCs w:val="24"/>
        </w:rPr>
        <w:t xml:space="preserve">. </w:t>
      </w:r>
      <w:r w:rsidRPr="00D46A14">
        <w:rPr>
          <w:rFonts w:ascii="Book Antiqua" w:hAnsi="Book Antiqua" w:cs="Arial"/>
          <w:sz w:val="24"/>
          <w:szCs w:val="24"/>
        </w:rPr>
        <w:t>Published by Baishideng Publishing Group Inc. All rights reserved.</w:t>
      </w:r>
    </w:p>
    <w:bookmarkEnd w:id="6"/>
    <w:bookmarkEnd w:id="7"/>
    <w:bookmarkEnd w:id="8"/>
    <w:p w14:paraId="6D695FFB" w14:textId="77777777" w:rsidR="004B5B0A" w:rsidRPr="00D46A14" w:rsidRDefault="004B5B0A" w:rsidP="00D46A14">
      <w:pPr>
        <w:spacing w:after="0" w:line="360" w:lineRule="auto"/>
        <w:ind w:left="0" w:right="0" w:firstLine="0"/>
        <w:rPr>
          <w:rFonts w:ascii="Book Antiqua" w:eastAsia="等线" w:hAnsi="Book Antiqua"/>
          <w:sz w:val="24"/>
          <w:szCs w:val="24"/>
          <w:lang w:eastAsia="zh-CN"/>
        </w:rPr>
      </w:pPr>
    </w:p>
    <w:p w14:paraId="79ABB8E6" w14:textId="5815F812" w:rsidR="00153F09" w:rsidRPr="00D46A14" w:rsidRDefault="006E4D2A" w:rsidP="00D46A14">
      <w:pPr>
        <w:spacing w:after="0" w:line="360" w:lineRule="auto"/>
        <w:ind w:left="0" w:right="97" w:firstLine="0"/>
        <w:rPr>
          <w:rFonts w:ascii="Book Antiqua" w:eastAsia="等线" w:hAnsi="Book Antiqua"/>
          <w:sz w:val="24"/>
          <w:szCs w:val="24"/>
          <w:lang w:eastAsia="zh-CN"/>
        </w:rPr>
      </w:pPr>
      <w:r w:rsidRPr="00D46A14">
        <w:rPr>
          <w:rFonts w:ascii="Book Antiqua" w:hAnsi="Book Antiqua"/>
          <w:b/>
          <w:sz w:val="24"/>
          <w:szCs w:val="24"/>
        </w:rPr>
        <w:t>Core tip:</w:t>
      </w:r>
      <w:r w:rsidR="003B4ECC" w:rsidRPr="00D46A14">
        <w:rPr>
          <w:rFonts w:ascii="Book Antiqua" w:hAnsi="Book Antiqua"/>
          <w:b/>
          <w:sz w:val="24"/>
          <w:szCs w:val="24"/>
        </w:rPr>
        <w:t xml:space="preserve"> </w:t>
      </w:r>
      <w:r w:rsidR="00153F09" w:rsidRPr="00D46A14">
        <w:rPr>
          <w:rFonts w:ascii="Book Antiqua" w:hAnsi="Book Antiqua"/>
          <w:sz w:val="24"/>
          <w:szCs w:val="24"/>
        </w:rPr>
        <w:t>Propofol is commonly used for sedation during endoscopic procedures with increasing data suggesting its superiority to other sedatives</w:t>
      </w:r>
      <w:r w:rsidR="002F0C3F" w:rsidRPr="00D46A14">
        <w:rPr>
          <w:rFonts w:ascii="Book Antiqua" w:hAnsi="Book Antiqua"/>
          <w:sz w:val="24"/>
          <w:szCs w:val="24"/>
        </w:rPr>
        <w:t xml:space="preserve">, however with </w:t>
      </w:r>
      <w:r w:rsidR="00FB5FFF" w:rsidRPr="00D46A14">
        <w:rPr>
          <w:rFonts w:ascii="Book Antiqua" w:hAnsi="Book Antiqua"/>
          <w:sz w:val="24"/>
          <w:szCs w:val="24"/>
        </w:rPr>
        <w:t xml:space="preserve">reported </w:t>
      </w:r>
      <w:r w:rsidR="002F0C3F" w:rsidRPr="00D46A14">
        <w:rPr>
          <w:rFonts w:ascii="Book Antiqua" w:hAnsi="Book Antiqua"/>
          <w:sz w:val="24"/>
          <w:szCs w:val="24"/>
        </w:rPr>
        <w:t xml:space="preserve">concerns about possible adverse events. </w:t>
      </w:r>
      <w:r w:rsidR="002F0C3F" w:rsidRPr="00D46A14">
        <w:rPr>
          <w:rFonts w:ascii="Book Antiqua" w:hAnsi="Book Antiqua"/>
          <w:color w:val="333333"/>
          <w:sz w:val="24"/>
          <w:szCs w:val="24"/>
          <w:shd w:val="clear" w:color="auto" w:fill="FFFFFF"/>
          <w:lang w:eastAsia="en-US"/>
        </w:rPr>
        <w:t xml:space="preserve">This </w:t>
      </w:r>
      <w:r w:rsidR="000B783D" w:rsidRPr="00D46A14">
        <w:rPr>
          <w:rFonts w:ascii="Book Antiqua" w:hAnsi="Book Antiqua"/>
          <w:color w:val="333333"/>
          <w:sz w:val="24"/>
          <w:szCs w:val="24"/>
          <w:shd w:val="clear" w:color="auto" w:fill="FFFFFF"/>
          <w:lang w:eastAsia="en-US"/>
        </w:rPr>
        <w:t>systematic</w:t>
      </w:r>
      <w:r w:rsidR="002F0C3F" w:rsidRPr="00D46A14">
        <w:rPr>
          <w:rFonts w:ascii="Book Antiqua" w:hAnsi="Book Antiqua"/>
          <w:color w:val="333333"/>
          <w:sz w:val="24"/>
          <w:szCs w:val="24"/>
          <w:shd w:val="clear" w:color="auto" w:fill="FFFFFF"/>
          <w:lang w:eastAsia="en-US"/>
        </w:rPr>
        <w:t xml:space="preserve"> review and </w:t>
      </w:r>
      <w:r w:rsidR="00191211" w:rsidRPr="00D46A14">
        <w:rPr>
          <w:rFonts w:ascii="Book Antiqua" w:hAnsi="Book Antiqua"/>
          <w:color w:val="333333"/>
          <w:sz w:val="24"/>
          <w:szCs w:val="24"/>
          <w:shd w:val="clear" w:color="auto" w:fill="FFFFFF"/>
          <w:lang w:eastAsia="en-US"/>
        </w:rPr>
        <w:t>meta-analysis</w:t>
      </w:r>
      <w:r w:rsidR="002F0C3F" w:rsidRPr="00D46A14">
        <w:rPr>
          <w:rFonts w:ascii="Book Antiqua" w:hAnsi="Book Antiqua"/>
          <w:color w:val="333333"/>
          <w:sz w:val="24"/>
          <w:szCs w:val="24"/>
          <w:shd w:val="clear" w:color="auto" w:fill="FFFFFF"/>
          <w:lang w:eastAsia="en-US"/>
        </w:rPr>
        <w:t xml:space="preserve"> discusses different variants of propofol-based sedation and how they compare to alternative sedatives such as those utilizing benzodiazepines and opioids. </w:t>
      </w:r>
      <w:r w:rsidR="002F0C3F" w:rsidRPr="00D46A14">
        <w:rPr>
          <w:rFonts w:ascii="Book Antiqua" w:hAnsi="Book Antiqua"/>
          <w:sz w:val="24"/>
          <w:szCs w:val="24"/>
        </w:rPr>
        <w:t>We demonstrate that the use of propofol, alone or in</w:t>
      </w:r>
      <w:r w:rsidR="00DE63AD" w:rsidRPr="00D46A14">
        <w:rPr>
          <w:rFonts w:ascii="Book Antiqua" w:hAnsi="Book Antiqua"/>
          <w:sz w:val="24"/>
          <w:szCs w:val="24"/>
        </w:rPr>
        <w:t xml:space="preserve"> conjunction</w:t>
      </w:r>
      <w:r w:rsidR="002F0C3F" w:rsidRPr="00D46A14">
        <w:rPr>
          <w:rFonts w:ascii="Book Antiqua" w:hAnsi="Book Antiqua"/>
          <w:sz w:val="24"/>
          <w:szCs w:val="24"/>
        </w:rPr>
        <w:t xml:space="preserve"> with </w:t>
      </w:r>
      <w:r w:rsidR="00DE63AD" w:rsidRPr="00D46A14">
        <w:rPr>
          <w:rFonts w:ascii="Book Antiqua" w:hAnsi="Book Antiqua"/>
          <w:sz w:val="24"/>
          <w:szCs w:val="24"/>
        </w:rPr>
        <w:t>alternative</w:t>
      </w:r>
      <w:r w:rsidR="002F0C3F" w:rsidRPr="00D46A14">
        <w:rPr>
          <w:rFonts w:ascii="Book Antiqua" w:hAnsi="Book Antiqua"/>
          <w:sz w:val="24"/>
          <w:szCs w:val="24"/>
        </w:rPr>
        <w:t xml:space="preserve"> sedatives, is safe and carries no particular negative outcomes when compared to the widely available combination of </w:t>
      </w:r>
      <w:r w:rsidR="00FB5FFF" w:rsidRPr="00D46A14">
        <w:rPr>
          <w:rFonts w:ascii="Book Antiqua" w:hAnsi="Book Antiqua"/>
          <w:sz w:val="24"/>
          <w:szCs w:val="24"/>
        </w:rPr>
        <w:t xml:space="preserve">alternative </w:t>
      </w:r>
      <w:r w:rsidR="002F0C3F" w:rsidRPr="00D46A14">
        <w:rPr>
          <w:rFonts w:ascii="Book Antiqua" w:hAnsi="Book Antiqua"/>
          <w:sz w:val="24"/>
          <w:szCs w:val="24"/>
        </w:rPr>
        <w:t xml:space="preserve">sedatives using in endoscopy. </w:t>
      </w:r>
    </w:p>
    <w:p w14:paraId="5DDAA9EC" w14:textId="77777777" w:rsidR="004B5B0A" w:rsidRPr="00D46A14" w:rsidRDefault="004B5B0A" w:rsidP="00D46A14">
      <w:pPr>
        <w:spacing w:after="0" w:line="360" w:lineRule="auto"/>
        <w:ind w:left="0" w:right="97" w:firstLine="0"/>
        <w:rPr>
          <w:rFonts w:ascii="Book Antiqua" w:eastAsia="等线" w:hAnsi="Book Antiqua"/>
          <w:sz w:val="24"/>
          <w:szCs w:val="24"/>
          <w:lang w:eastAsia="zh-CN"/>
        </w:rPr>
      </w:pPr>
    </w:p>
    <w:p w14:paraId="731EB338" w14:textId="2B8D8CAE" w:rsidR="0012177E" w:rsidRPr="00D46A14" w:rsidRDefault="00F653E3" w:rsidP="00D46A14">
      <w:pPr>
        <w:spacing w:after="0" w:line="360" w:lineRule="auto"/>
        <w:ind w:left="0" w:right="0" w:firstLine="0"/>
        <w:rPr>
          <w:rFonts w:ascii="Book Antiqua" w:hAnsi="Book Antiqua"/>
          <w:sz w:val="24"/>
          <w:szCs w:val="24"/>
        </w:rPr>
      </w:pPr>
      <w:r w:rsidRPr="00D46A14">
        <w:rPr>
          <w:rFonts w:ascii="Book Antiqua" w:hAnsi="Book Antiqua"/>
          <w:sz w:val="24"/>
          <w:szCs w:val="24"/>
          <w:lang w:val="pt-BR"/>
        </w:rPr>
        <w:t>Delgado</w:t>
      </w:r>
      <w:r w:rsidRPr="00D46A14">
        <w:rPr>
          <w:rFonts w:ascii="Book Antiqua" w:eastAsia="等线" w:hAnsi="Book Antiqua"/>
          <w:sz w:val="24"/>
          <w:szCs w:val="24"/>
          <w:lang w:val="pt-BR" w:eastAsia="zh-CN"/>
        </w:rPr>
        <w:t xml:space="preserve"> AAA</w:t>
      </w:r>
      <w:r w:rsidRPr="00D46A14">
        <w:rPr>
          <w:rFonts w:ascii="Book Antiqua" w:hAnsi="Book Antiqua"/>
          <w:sz w:val="24"/>
          <w:szCs w:val="24"/>
          <w:lang w:val="pt-BR"/>
        </w:rPr>
        <w:t>, de Moura</w:t>
      </w:r>
      <w:r w:rsidRPr="00D46A14">
        <w:rPr>
          <w:rFonts w:ascii="Book Antiqua" w:eastAsia="等线" w:hAnsi="Book Antiqua"/>
          <w:sz w:val="24"/>
          <w:szCs w:val="24"/>
          <w:lang w:val="pt-BR" w:eastAsia="zh-CN"/>
        </w:rPr>
        <w:t xml:space="preserve"> DTH</w:t>
      </w:r>
      <w:r w:rsidRPr="00D46A14">
        <w:rPr>
          <w:rFonts w:ascii="Book Antiqua" w:hAnsi="Book Antiqua"/>
          <w:sz w:val="24"/>
          <w:szCs w:val="24"/>
          <w:lang w:val="pt-BR"/>
        </w:rPr>
        <w:t>, Ribeiro</w:t>
      </w:r>
      <w:r w:rsidRPr="00D46A14">
        <w:rPr>
          <w:rFonts w:ascii="Book Antiqua" w:eastAsia="等线" w:hAnsi="Book Antiqua"/>
          <w:sz w:val="24"/>
          <w:szCs w:val="24"/>
          <w:lang w:val="pt-BR" w:eastAsia="zh-CN"/>
        </w:rPr>
        <w:t xml:space="preserve"> IB</w:t>
      </w:r>
      <w:r w:rsidRPr="00D46A14">
        <w:rPr>
          <w:rFonts w:ascii="Book Antiqua" w:hAnsi="Book Antiqua"/>
          <w:sz w:val="24"/>
          <w:szCs w:val="24"/>
          <w:lang w:val="pt-BR"/>
        </w:rPr>
        <w:t>, Bazarbashi</w:t>
      </w:r>
      <w:r w:rsidRPr="00D46A14">
        <w:rPr>
          <w:rFonts w:ascii="Book Antiqua" w:eastAsia="等线" w:hAnsi="Book Antiqua"/>
          <w:sz w:val="24"/>
          <w:szCs w:val="24"/>
          <w:lang w:val="pt-BR" w:eastAsia="zh-CN"/>
        </w:rPr>
        <w:t xml:space="preserve"> AN</w:t>
      </w:r>
      <w:r w:rsidRPr="00D46A14">
        <w:rPr>
          <w:rFonts w:ascii="Book Antiqua" w:hAnsi="Book Antiqua"/>
          <w:sz w:val="24"/>
          <w:szCs w:val="24"/>
          <w:lang w:val="pt-BR"/>
        </w:rPr>
        <w:t>, dos Santos</w:t>
      </w:r>
      <w:r w:rsidRPr="00D46A14">
        <w:rPr>
          <w:rFonts w:ascii="Book Antiqua" w:eastAsia="等线" w:hAnsi="Book Antiqua"/>
          <w:sz w:val="24"/>
          <w:szCs w:val="24"/>
          <w:lang w:val="pt-BR" w:eastAsia="zh-CN"/>
        </w:rPr>
        <w:t xml:space="preserve"> MEL</w:t>
      </w:r>
      <w:r w:rsidRPr="00D46A14">
        <w:rPr>
          <w:rFonts w:ascii="Book Antiqua" w:hAnsi="Book Antiqua"/>
          <w:sz w:val="24"/>
          <w:szCs w:val="24"/>
          <w:lang w:val="pt-BR"/>
        </w:rPr>
        <w:t>, Bernardo</w:t>
      </w:r>
      <w:r w:rsidRPr="00D46A14">
        <w:rPr>
          <w:rFonts w:ascii="Book Antiqua" w:eastAsia="等线" w:hAnsi="Book Antiqua"/>
          <w:sz w:val="24"/>
          <w:szCs w:val="24"/>
          <w:lang w:val="pt-BR" w:eastAsia="zh-CN"/>
        </w:rPr>
        <w:t xml:space="preserve"> WM</w:t>
      </w:r>
      <w:r w:rsidRPr="00D46A14">
        <w:rPr>
          <w:rFonts w:ascii="Book Antiqua" w:hAnsi="Book Antiqua"/>
          <w:sz w:val="24"/>
          <w:szCs w:val="24"/>
          <w:lang w:val="pt-BR"/>
        </w:rPr>
        <w:t>, de Moura</w:t>
      </w:r>
      <w:r w:rsidRPr="00D46A14">
        <w:rPr>
          <w:rFonts w:ascii="Book Antiqua" w:eastAsia="等线" w:hAnsi="Book Antiqua"/>
          <w:sz w:val="24"/>
          <w:szCs w:val="24"/>
          <w:lang w:val="pt-BR" w:eastAsia="zh-CN"/>
        </w:rPr>
        <w:t xml:space="preserve"> EGH. </w:t>
      </w:r>
      <w:r w:rsidRPr="00D46A14">
        <w:rPr>
          <w:rFonts w:ascii="Book Antiqua" w:hAnsi="Book Antiqua"/>
          <w:sz w:val="24"/>
          <w:szCs w:val="24"/>
        </w:rPr>
        <w:t xml:space="preserve">Propofol </w:t>
      </w:r>
      <w:r w:rsidRPr="00D46A14">
        <w:rPr>
          <w:rFonts w:ascii="Book Antiqua" w:eastAsia="等线" w:hAnsi="Book Antiqua"/>
          <w:i/>
          <w:sz w:val="24"/>
          <w:szCs w:val="24"/>
          <w:lang w:eastAsia="zh-CN"/>
        </w:rPr>
        <w:t>vs</w:t>
      </w:r>
      <w:r w:rsidRPr="00D46A14">
        <w:rPr>
          <w:rFonts w:ascii="Book Antiqua" w:eastAsia="等线" w:hAnsi="Book Antiqua"/>
          <w:sz w:val="24"/>
          <w:szCs w:val="24"/>
          <w:lang w:eastAsia="zh-CN"/>
        </w:rPr>
        <w:t xml:space="preserve"> </w:t>
      </w:r>
      <w:r w:rsidRPr="00D46A14">
        <w:rPr>
          <w:rFonts w:ascii="Book Antiqua" w:hAnsi="Book Antiqua"/>
          <w:sz w:val="24"/>
          <w:szCs w:val="24"/>
        </w:rPr>
        <w:t>traditional sedatives for sedation in endoscopy: A systematic review and meta-analysis</w:t>
      </w:r>
      <w:r w:rsidRPr="00D46A14">
        <w:rPr>
          <w:rFonts w:ascii="Book Antiqua" w:eastAsia="等线" w:hAnsi="Book Antiqua"/>
          <w:sz w:val="24"/>
          <w:szCs w:val="24"/>
          <w:lang w:eastAsia="zh-CN"/>
        </w:rPr>
        <w:t xml:space="preserve">. </w:t>
      </w:r>
      <w:r w:rsidR="0012177E" w:rsidRPr="00D46A14">
        <w:rPr>
          <w:rStyle w:val="publisherid"/>
          <w:rFonts w:ascii="Book Antiqua" w:hAnsi="Book Antiqua"/>
          <w:i/>
          <w:sz w:val="24"/>
          <w:szCs w:val="24"/>
        </w:rPr>
        <w:t>World J Gastrointest Endosc</w:t>
      </w:r>
      <w:r w:rsidR="0012177E" w:rsidRPr="00D46A14">
        <w:rPr>
          <w:rStyle w:val="publisherid"/>
          <w:rFonts w:ascii="Book Antiqua" w:hAnsi="Book Antiqua"/>
          <w:sz w:val="24"/>
          <w:szCs w:val="24"/>
        </w:rPr>
        <w:t xml:space="preserve"> </w:t>
      </w:r>
      <w:r w:rsidR="0012177E" w:rsidRPr="00D46A14">
        <w:rPr>
          <w:rFonts w:ascii="Book Antiqua" w:hAnsi="Book Antiqua"/>
          <w:sz w:val="24"/>
          <w:szCs w:val="24"/>
        </w:rPr>
        <w:t>2019; In press</w:t>
      </w:r>
    </w:p>
    <w:p w14:paraId="60C9A3FA" w14:textId="77777777" w:rsidR="00F653E3" w:rsidRPr="00D46A14" w:rsidRDefault="00F653E3" w:rsidP="00D46A14">
      <w:pPr>
        <w:spacing w:after="0" w:line="360" w:lineRule="auto"/>
        <w:ind w:left="0" w:right="0" w:firstLine="0"/>
        <w:rPr>
          <w:rFonts w:ascii="Book Antiqua" w:hAnsi="Book Antiqua"/>
          <w:sz w:val="24"/>
          <w:szCs w:val="24"/>
        </w:rPr>
      </w:pPr>
      <w:r w:rsidRPr="00D46A14">
        <w:rPr>
          <w:rFonts w:ascii="Book Antiqua" w:hAnsi="Book Antiqua"/>
          <w:sz w:val="24"/>
          <w:szCs w:val="24"/>
        </w:rPr>
        <w:br w:type="page"/>
      </w:r>
    </w:p>
    <w:p w14:paraId="42E0A12E" w14:textId="705AA71B" w:rsidR="007C3221" w:rsidRPr="00D46A14" w:rsidRDefault="007C3221" w:rsidP="00D46A14">
      <w:pPr>
        <w:spacing w:after="0" w:line="360" w:lineRule="auto"/>
        <w:ind w:left="0" w:right="0" w:firstLine="0"/>
        <w:rPr>
          <w:rFonts w:ascii="Book Antiqua" w:hAnsi="Book Antiqua"/>
          <w:b/>
          <w:sz w:val="24"/>
          <w:szCs w:val="24"/>
        </w:rPr>
      </w:pPr>
      <w:r w:rsidRPr="00D46A14">
        <w:rPr>
          <w:rFonts w:ascii="Book Antiqua" w:hAnsi="Book Antiqua"/>
          <w:b/>
          <w:sz w:val="24"/>
          <w:szCs w:val="24"/>
        </w:rPr>
        <w:lastRenderedPageBreak/>
        <w:t>INTRODUCTION</w:t>
      </w:r>
    </w:p>
    <w:p w14:paraId="5D7F7657" w14:textId="309B43B6" w:rsidR="00F524CD" w:rsidRPr="00D46A14" w:rsidRDefault="00F524CD" w:rsidP="00D46A14">
      <w:pPr>
        <w:spacing w:after="0" w:line="360" w:lineRule="auto"/>
        <w:ind w:left="0" w:firstLine="0"/>
        <w:rPr>
          <w:rFonts w:ascii="Book Antiqua" w:hAnsi="Book Antiqua"/>
          <w:sz w:val="24"/>
          <w:szCs w:val="24"/>
        </w:rPr>
      </w:pPr>
      <w:r w:rsidRPr="00D46A14">
        <w:rPr>
          <w:rFonts w:ascii="Book Antiqua" w:hAnsi="Book Antiqua"/>
          <w:sz w:val="24"/>
          <w:szCs w:val="24"/>
        </w:rPr>
        <w:t>In recent years, the use of propofol for sedation during endoscopy has been shown to be safe and effective</w:t>
      </w:r>
      <w:r w:rsidR="00FB5FFF" w:rsidRPr="00D46A14">
        <w:rPr>
          <w:rFonts w:ascii="Book Antiqua" w:hAnsi="Book Antiqua"/>
          <w:sz w:val="24"/>
          <w:szCs w:val="24"/>
        </w:rPr>
        <w:t xml:space="preserve">. Propofol is associated </w:t>
      </w:r>
      <w:r w:rsidRPr="00D46A14">
        <w:rPr>
          <w:rFonts w:ascii="Book Antiqua" w:hAnsi="Book Antiqua"/>
          <w:sz w:val="24"/>
          <w:szCs w:val="24"/>
        </w:rPr>
        <w:t>with rapid onset of action and a short time to recovery of patient's cognitive functions post procedure</w:t>
      </w:r>
      <w:r w:rsidR="0042117D"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{"citationItems":[{"id":"ITEM-1","itemData":{"DOI":"10.1002/14651858.CD006268.pub2","ISSN":"1469-493X","PMID":"18843709","abstract":"BACKGROUND Propofol is increasingly used for sedation during colonoscopy, with many recent reports of randomized controlled trials (RCTs) and large non-randomized case series. OBJECTIVES The primary objective was to identify, analyze and summarize RCTs comparing the relative effectiveness, patient acceptance and safety of propofol for colonoscopy, to traditional sedatives (narcotics and/or benzodiazepines).The secondary objective was to synthesize the studies comparing propofol administration by anesthesiologists to that by non-anesthesiologists for sedation during colonoscopy. SEARCH STRATEGY We searched Medline, Cancerlit, EMBASE, CINAHL, LILACS, Biological Abstracts, Web of Science and the Cochrane Controlled Trials Registry database between January 1980 and June 2007; and conference proceeding abstracts for DDW, EUGW and ACG between 1990 and June 2007. There were no language restrictions. SELECTION CRITERIA Randomized controlled trials comparing use of propofol and traditional agents or administration of propofol by anesthesiologists to that by non-anesthesiologists for sedation during colonoscopy. DATA COLLECTION AND ANALYSIS Two reviewers independently extracted the data. The data were pooled using the Cochrane Collaborations' methodology and statistical software RevMan 4.2.10. MAIN RESULTS Twenty studies met the inclusion criteria for the primary objective. Most studies included only healthy out-patients. Recovery and discharge times were shorter with use of propofol. There was higher patient satisfaction with use of propofol (OR for dissatisfaction 0.35, 95% CI 0.23, 0.53). There was no difference in procedure time, cecal intubation rate or complications. There was no difference in pain control with non- patient controlled sedation (PCS) use of propofol as compared to the traditional agents (OR 0.90; 95% CI 0.58, 1.39). Although there was higher patient satisfaction (OR for dissatisfaction 0.42, 95% CI 0.20, 0.89), the pain control was inferior with use of PCS use of propofol as compared to the use of traditional agents (OR 3.09; 95% CI 2.15, 4.46).There was only one study comparing administration of propofol by anesthesiologists to that by non-anesthesiologists for sedation during colonoscopy, with no difference in procedure time or patient satisfaction. AUTHORS' CONCLUSIONS Propofol for sedation during colonoscopy for generally healthy individuals can lead to faster recovery and discharge times, increased patient satisfaction without an increa…","author":[{"dropping-particle":"","family":"Singh","given":"Harminder","non-dropping-particle":"","parse-names":false,"suffix":""},{"dropping-particle":"","family":"Poluha","given":"William","non-dropping-particle":"","parse-names":false,"suffix":""},{"dropping-particle":"","family":"Cheung","given":"Mary","non-dropping-particle":"","parse-names":false,"suffix":""},{"dropping-particle":"","family":"Choptain","given":"Nicole","non-dropping-particle":"","parse-names":false,"suffix":""},{"dropping-particle":"","family":"Baron","given":"Ken I","non-dropping-particle":"","parse-names":false,"suffix":""},{"dropping-particle":"","family":"Taback","given":"Shayne P","non-dropping-particle":"","parse-names":false,"suffix":""}],"container-title":"The Cochrane database of systematic reviews","id":"ITEM-1","issue":"4","issued":{"date-parts":[["2008","10","8"]]},"page":"CD006268","title":"Propofol for sedation during colonoscopy.","type":"article-journal"},"uris":["http://www.mendeley.com/documents/?uuid=6201fe38-1400-47e2-88e2-c54f26e64a5a"]},{"id":"ITEM-2","itemData":{"ISSN":"1542-3565","PMID":"16271333","abstract":"BACKGROUND &amp; AIMS Even though propofol has better recovery profile than traditional agents, its use is limited because of the perception of increased complication rates. Because an adequately powered trial comparing risk of propofol with traditional agents is lacking, we performed a meta-analysis of the current literature. METHODS We searched Medline (1966-October 2004), EMBASE (1980-October 2004), and Cochrane controlled trials registry. The following 4 cardiopulmonary complications were assessed: hypoxia, hypotension, arrhythmias, and apnea. Procedures were divided into 3 groups: esophagogastroduodenoscopy group, colonoscopy group, and endoscopic retrograde cholangiopancreatography/endoscopic ultrasonography group. Pooled odds ratios for complications were calculated for all the procedures combined and then separately for the 3 groups. Random effects models were used for 2-proportion comparisons. RESULTS Of the 90 citations identified, 12 original studies qualified for this meta-analysis and included 1161 patients. Of these, 634 received propofol, and 527 received midazolam, meperidine, and/or fentanyl. Most of the included studies were randomized trials of moderate quality and nonsignificant heterogeneity (Cochran Q = 4.81, P = .90). Compared with traditional sedative agents, the pooled odds ratio with the use of propofol for developing hypoxia or hypotension for all the procedures combined was 0.74 (95% confidence interval [CI], 0.44-1.24); for EGD, 0.85 (95% CI, 0.33-2.17); for colonoscopy, 0.4 (95% CI, 0.2-0.79); and for ERCP/EUS, 1.07 (95% CI, 0.38-3.01). CONCLUSIONS Propofol sedation during colonoscopy appears to have lower odds of cardiopulmonary complications compared with traditional agents, but for other procedures, the risk of complications is similar.","author":[{"dropping-particle":"","family":"Qadeer","given":"Mohammed A","non-dropping-particle":"","parse-names":false,"suffix":""},{"dropping-particle":"","family":"Vargo","given":"John J","non-dropping-particle":"","parse-names":false,"suffix":""},{"dropping-particle":"","family":"Khandwala","given":"Farah","non-dropping-particle":"","parse-names":false,"suffix":""},{"dropping-particle":"","family":"Lopez","given":"Rocio","non-dropping-particle":"","parse-names":false,"suffix":""},{"dropping-particle":"","family":"Zuccaro","given":"Gregory","non-dropping-particle":"","parse-names":false,"suffix":""}],"container-title":"Clinical gastroenterology and hepatology : the official clinical practice journal of the American Gastroenterological Association","id":"ITEM-2","issue":"11","issued":{"date-parts":[["2005","11"]]},"page":"1049-56","title":"Propofol versus traditional sedative agents for gastrointestinal endoscopy: a meta-analysis.","type":"article-journal","volume":"3"},"uris":["http://www.mendeley.com/documents/?uuid=081b1ebc-ef5d-42cd-8b48-4a41c8220667"]},{"id":"ITEM-3","itemData":{"DOI":"10.3748/wjg.v17.i30.3538","ISSN":"2219-2840","PMID":"21941422","abstract":"AIM To investigate the efficacy and safety of propofol sedation for endoscopic retrograde cholangiopancreatography (ERCP). METHODS Databases including PubMed, Embase, and the Cochrane Central Register of Controlled Trials updated as of October 2010 were searched. Main outcome measures were ERCP procedure duration, recovery time, incidence of hypotension and hypoxia. RESULTS Six trials with a total of 663 patients were included. The pooled mean difference in ERCP procedure duration between the propofol and traditional sedative agents was -8.05 (95% CI: -16.74 to 0.63), with no significant difference between the groups. The pooled mean difference in the recovery time was -18.69 (95% CI: -25.44 to -11.93), which showed a significant reduction with use of propofol sedation. Compared with traditional sedative agents, the pooled OR with propofol sedation for ERCP causing hypotension or hypoxia was 1.69 (95% CI: 0.82-3.50) and 0.90 (95% CI: 0.55-1.49), respectively, which indicated no significant difference between the groups. CONCLUSION Propofol sedation during ERCP leads to shorter recovery time without an increase of cardiopulmonary side effects. Propofol sedation can provide adequate sedation during ERCP.","author":[{"dropping-particle":"","family":"Bo","given":"Lu-Long","non-dropping-particle":"","parse-names":false,"suffix":""},{"dropping-particle":"","family":"Bai","given":"Yu","non-dropping-particle":"","parse-names":false,"suffix":""},{"dropping-particle":"","family":"Bian","given":"Jin-Jun","non-dropping-particle":"","parse-names":false,"suffix":""},{"dropping-particle":"","family":"Wen","given":"Ping-Shan","non-dropping-particle":"","parse-names":false,"suffix":""},{"dropping-particle":"","family":"Li","given":"Jin-Bao","non-dropping-particle":"","parse-names":false,"suffix":""},{"dropping-particle":"","family":"Deng","given":"Xiao-Ming","non-dropping-particle":"","parse-names":false,"suffix":""}],"container-title":"World journal of gastroenterology","id":"ITEM-3","issue":"30","issued":{"date-parts":[["2011","8","14"]]},"page":"3538-43","title":"Propofol vs traditional sedative agents for endoscopic retrograde cholangiopancreatography: a meta-analysis.","type":"article-journal","volume":"17"},"uris":["http://www.mendeley.com/documents/?uuid=2bad6d0b-1fb7-46af-8993-398c3d6feb2f"]},{"id":"ITEM-4","itemData":{"DOI":"10.1055/a-0591-2883","ISSN":"2364-3722","PMID":"29756013","abstract":"Background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 Methods A literature search was performed according to the PRISMA method using online databases with no restriction regarding idiom or year of publication. Data were extracted by two authors according to a predefined data extraction form. Primary outcomes were: mean survival, 30-day adverse events, 30-day mortality and length of hospital stay. Stoma formation, length of stay on intensive care unit (ICU), technical success and clinical success were recorded for secondary outcomes. Technical success (TS) was defined as successful stent placement across the stricture and its deployment. Clinical success (CS) was defined as adequate bowel decompression within 48 h of stent insertion without need for re-intervention. Results We analyzed data from four RCT studies totaling 125 patients. The 30-day mortality was 6.3 % for SEMS-treated patients and 6.4 % for ES-treated patients, with no difference between groups (RD: - 0.00, 95 % CI [-0.10, 0.10], I 2 : 0 %). Mean survival was 279 days for SEMS and 244 days for ES, with no significant difference between groups (RD: 20.14, 95 % CI: [-42.92, 83.21], I 2 : 44 %). Clinical success was 96 % in the ES group and 86.1 % in the SEMS group (RD: - 0.13, 95 % CI [-0.23, - 0.02], I 2 : 51 %). Permanent stoma rate was 84 % in the ES group and 14.3 % in the SEMS group (RR: 0.19, 95 % CI: [0.11, 0.33], I 2 : 28 %). Length of hospital stay was shorter in SEMS group (RD: - 5.16, 95 % CI: [-6.71, - 3.61], I 2 : 56 %). There was no significant difference between groups regarding adverse events (RD 0.18, 95 % CI: [-0.19, 0.54;]) neither regarding ICU stay. (RD: - 0.01, 95 % CI: [-0.08, 0.05], I 2 : 7 %). The most common stent-related complication was perforation (42.8 % of all AE). Conclusion Mortality, mean survival, length of stay in the ICU and early complications of both methods were similar. SEMS may be an alternative to surgery with the advantage of early hospital discharge and lower risk of permanent stoma.","author":[{"dropping-particle":"","family":"Ribeiro","given":"Igor Braga","non-dropping-particle":"","parse-names":false,"suffix":""},{"dropping-particle":"","family":"Bernardo","given":"Wanderley Marques","non-dropping-particle":"","parse-names":false,"suffix":""},{"dropping-particle":"","family":"Martins","given":"Bruno da Costa","non-dropping-particle":"","parse-names":false,"suffix":""},{"dropping-particle":"","family":"Moura","given":"Diogo Touriani Hourneau","non-dropping-particle":"de","parse-names":false,"suffix":""},{"dropping-particle":"","family":"Baba","given":"Elisa Ryoka","non-dropping-particle":"","parse-names":false,"suffix":""},{"dropping-particle":"","family":"Josino","given":"Iatagan Rocha","non-dropping-particle":"","parse-names":false,"suffix":""},{"dropping-particle":"","family":"Miyahima","given":"Nelson Tomio","non-dropping-particle":"","parse-names":false,"suffix":""},{"dropping-particle":"","family":"Coronel Cordero","given":"Martin Andrés","non-dropping-particle":"","parse-names":false,"suffix":""},{"dropping-particle":"","family":"Visconti","given":"Thiago Arantes de Carvalho","non-dropping-particle":"","parse-names":false,"suffix":""},{"dropping-particle":"","family":"Ide","given":"Edson","non-dropping-particle":"","parse-names":false,"suffix":""},{"dropping-particle":"","family":"Sakai","given":"Paulo","non-dropping-particle":"","parse-names":false,"suffix":""},{"dropping-particle":"","family":"Moura","given":"Eduardo Guimarães Hourneau","non-dropping-particle":"de","parse-names":false,"suffix":""}],"container-title":"Endoscopy international open","id":"ITEM-4","issue":"5","issued":{"date-parts":[["2018","5"]]},"page":"E558-E567","title":"Colonic stent versus emergency surgery as treatment of malignant colonic obstruction in the palliative setting: a systematic review and meta-analysis.","type":"article-journal","volume":"6"},"uris":["http://www.mendeley.com/documents/?uuid=e4d43297-5b64-48ad-aa55-10a6e5eb69f6"]}],"mendeley":{"formattedCitation":"&lt;sup&gt;[1–4]&lt;/sup&gt;","plainTextFormattedCitation":"[1–4]","previouslyFormattedCitation":"&lt;sup&gt;[1–4]&lt;/sup&gt;"},"properties":{"noteIndex":0},"schema":"https://github.com/citation-style-language/schema/raw/master/csl-citation.json"}</w:instrText>
      </w:r>
      <w:r w:rsidR="0042117D"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[1–4]</w:t>
      </w:r>
      <w:r w:rsidR="0042117D" w:rsidRPr="00D46A14">
        <w:rPr>
          <w:rFonts w:ascii="Book Antiqua" w:hAnsi="Book Antiqua"/>
          <w:sz w:val="24"/>
          <w:szCs w:val="24"/>
        </w:rPr>
        <w:fldChar w:fldCharType="end"/>
      </w:r>
      <w:r w:rsidRPr="00D46A14">
        <w:rPr>
          <w:rFonts w:ascii="Book Antiqua" w:hAnsi="Book Antiqua"/>
          <w:sz w:val="24"/>
          <w:szCs w:val="24"/>
        </w:rPr>
        <w:t>. Propofol may be administered alone or in combination with other sedative agents, such as benzodiazepines or opioids</w:t>
      </w:r>
      <w:r w:rsidR="0042117D" w:rsidRPr="00D46A14">
        <w:rPr>
          <w:rFonts w:ascii="Book Antiqua" w:hAnsi="Book Antiqua"/>
          <w:sz w:val="24"/>
          <w:szCs w:val="24"/>
        </w:rPr>
        <w:fldChar w:fldCharType="begin" w:fldLock="1"/>
      </w:r>
      <w:r w:rsidR="00D63E08" w:rsidRPr="00D46A14">
        <w:rPr>
          <w:rFonts w:ascii="Book Antiqua" w:hAnsi="Book Antiqua"/>
          <w:sz w:val="24"/>
          <w:szCs w:val="24"/>
        </w:rPr>
        <w:instrText>ADDIN CSL_CITATION {"citationItems":[{"id":"ITEM-1","itemData":{"DOI":"10.1097/MCG.0b013e3181862a8c","ISSN":"1539-2031","PMID":"19169146","abstract":"BACKGROUND Despite the increasing popularity of propofol for sedation in colonoscopy, the optimal regimen is still controversial. Both propofol alone and propofol in combination with meperidine are frequently used during colonoscopy, but the impact of adding meperidine has not been evaluated. This study aimed to investigate if adding meperidine to propofol offers any advantage in terms of patient tolerance, recovery time, and postcolonoscopy discomforts. METHOD Consecutive patients admitted to the physical checkup department of our hospital were randomized to receive either meperidine plus propofol (combination group, n=100) or propofol alone (propofol group, n=100) for sedated colonoscopy. The patients' tolerance and postcolonoscopy discomforts (pain, bloating, dizziness, and nausea/vomiting) were assessed with a 0-10 visual analog scale. The recovery times were assessed with 5-minute and 10-minute Aldrete scores. RESULTS The dose of propofol was less in the combination group than the propofol group (129.80+/-37.93 mg vs. 147.90+/-47.85, mean+/-SD, P=0.003). The endoscopists, anesthetists, and nurses all rated patients' tolerance in favor of the combination group than the propofol group (mean+/-SD, endoscopists, 9.17+/-1.23 vs. 8.49+/-1.60, P=0.001; anesthetists, 9.21+/-1.08 vs. 8.63+/-1.37, P=0.001; nurses, 9.18+/-1.34 vs. 8.71+/-1.47, P=0.019, respectively). Patients in the combination group recovered earlier than the placebo group (5-min Aldrete scores: 9.48+/-1.09 vs. 9.05+/-1.32, mean+/-SD, P=0.013; short intervals to speak: 4.29+/-4.05 min vs. 6.30+/-5.22 min, P=0.003; and departure: 18.62+/-5.28 min vs. 20.28+/-5.68 min, P=0.034). There was also less abdominal bloating in the combination group after colonoscopy (1.23+/-1.79 vs. 2.19+/-2.12, mean+/-SD, P=0.004). Incidences of hypoxemia, hypotension, and overall satisfaction scores were comparable between the 2 groups. CONCLUSIONS For sedated colonoscopy, propofol in combination with meperidine is better than propofol alone in improving patients' tolerance and recovery.","author":[{"dropping-particle":"","family":"Hsieh","given":"Yu-Hsi","non-dropping-particle":"","parse-names":false,"suffix":""},{"dropping-particle":"","family":"Chou","given":"An-Liang","non-dropping-particle":"","parse-names":false,"suffix":""},{"dropping-particle":"","family":"Lai","given":"Yu-Yung","non-dropping-particle":"","parse-names":false,"suffix":""},{"dropping-particle":"","family":"Chen","given":"Bing-Shuo","non-dropping-particle":"","parse-names":false,"suffix":""},{"dropping-particle":"","family":"Sia","given":"Swee-Leong","non-dropping-particle":"","parse-names":false,"suffix":""},{"dropping-particle":"","family":"Chen","given":"I-Cheng","non-dropping-particle":"","parse-names":false,"suffix":""},{"dropping-particle":"","family":"Chang","given":"Yin-Lung","non-dropping-particle":"","parse-names":false,"suffix":""},{"dropping-particle":"","family":"Lin","given":"Hwai-Jeng","non-dropping-particle":"","parse-names":false,"suffix":""}],"container-title":"Journal of clinical gastroenterology","id":"ITEM-1","issue":"8","issued":{"date-parts":[["2009","9"]]},"page":"753-7","title":"Propofol alone versus propofol in combination with meperidine for sedation during colonoscopy.","type":"article-journal","volume":"43"},"uris":["http://www.mendeley.com/documents/?uuid=7ae9a636-c125-4491-80c8-5930ebc282d9"]},{"id":"ITEM-2","itemData":{"DOI":"10.1213/ane.0b013e3181a6ad31","ISSN":"1526-7598","PMID":"19617584","abstract":"BACKGROUND The sedative drug combination that produces minimal cognitive impairment and optimal operating conditions during colonoscopy has not been determined. We sought to determine if the use of propofol alone results in less cognitive impairment at discharge than the use of propofol plus midazolam and/or fentanyl in patients presenting for elective outpatient colonoscopy. METHODS Two hundred adult patients presenting for elective outpatient colonoscopy were randomized to receive propofol alone or propofol plus midazolam, and/or fentanyl for IV sedation. Baseline cognitive function was measured using the computerized CogState test battery (Cogstate, Melbourne, Australia) before sedation. During the procedure, sedative drug doses, depth of sedation (via the bispectral index and observer's assessment of alertness/sedation score), complications, and treatability were recorded. Patients were interviewed about recall immediately after emerging from sedation, and cognitive testing was repeated at hospital discharge. Recovery times, quality of recovery, and satisfaction with care were also recorded. RESULTS In the propofol plus adjuvants group, 84 patients received fentanyl 50 microg (25-100) (median [range]) and 57 patients received midazolam 2 mg (0.5-10). Patients' cognitive function at discharge was worse than their performance at baseline. However, the changes in cognitive function between discharge and baseline were not significantly different between the two groups. At discharge, 18.5% of patients were cognitively impaired to an extent equivalent to a blood-alcohol concentration of 0.05%. Sedation with propofol plus midazolam and/or fentanyl produced better operating conditions than sedation with propofol alone and was associated with shorter procedure times. Recovery times, recall, dreaming, quality of recovery, and patient satisfaction with care were similar between the groups. Administration of &gt;2 mg of midazolam was a predictor of impaired cognitive function at discharge. CONCLUSIONS Significant cognitive impairment was common at discharge from elective outpatient colonoscopy. However, the addition of midazolam and/or fentanyl to propofol sedation did not result in more cognitive impairment than the use of propofol alone. Furthermore, the use of adjuvants improved the ease of colonoscopy without increasing the rate of complications or prolonging early recovery times..","author":[{"dropping-particle":"","family":"Padmanabhan","given":"Usha","non-dropping-particle":"","parse-names":false,"suffix":""},{"dropping-particle":"","family":"Leslie","given":"Kate","non-dropping-particle":"","parse-names":false,"suffix":""},{"dropping-particle":"","family":"Eer","given":"Audrey Singyi","non-dropping-particle":"","parse-names":false,"suffix":""},{"dropping-particle":"","family":"Maruff","given":"Paul","non-dropping-particle":"","parse-names":false,"suffix":""},{"dropping-particle":"","family":"Silbert","given":"Brendan S","non-dropping-particle":"","parse-names":false,"suffix":""}],"container-title":"Anesthesia and analgesia","id":"ITEM-2","issue":"5","issued":{"date-parts":[["2009","11"]]},"page":"1448-55","title":"Early cognitive impairment after sedation for colonoscopy: the effect of adding midazolam and/or fentanyl to propofol.","type":"article-journal","volume":"109"},"uris":["http://www.mendeley.com/documents/?uuid=7eff5b69-7286-4001-8b75-8737e8d38723"]},{"id":"ITEM-3","itemData":{"DOI":"10.1097/SLE.0000000000000532","ISSN":"1534-4908","PMID":"29738382","abstract":"INTRODUCTION Midazolam and propofol are both used for sedation in gastrointestinal endoscopy. We conducted a systematic review and meta-analysis to compare the efficacy and safety of midazolam and propofol in gastrointestinal endoscopy. MATERIALS AND METHODS PubMed, EMbase, Web of science, EBSCO, and Cochrane library databases were systematically searched. Randomized controlled trials assessing the effect of midazolam versus propofol on sedation in gastrointestinal endoscopy are included. Two investigators have independently searched for articles, extracted data, and assessed the quality of included studies. This meta-analysis was performed using the random-effect model. RESULTS Five randomized controlled trials involving 552 patients were included in the meta-analysis. Overall, compared with midazolam sedation during gastrointestinal endoscopy, propofol sedation results in higher endoscopist satisfaction scores during gastrointestinal endoscopy than midazolam [standard mean difference (Std. MD)=-0.71; 95% confidence interval (CI)=-1.05 to -0.37; P&lt;0.0001), but the comparison shows no remarkable influence on patient satisfaction scores between midazolam and propofol (Std. MD=-0.34; 95% CI=-0.88 to 0.20; P=0.21), procedure time (Std. MD=0.14; 95% CI=-0.13 to 0.42; P=0.31), hypoxia [risk ratio (RR)=0.86; 95% CI=0.53-1.38; P=0.53), and bradycardia (RR=1.05; 95% CI=0.54-2.06; P=0.89). In addition, propofol shows higher incidence of hypotension than midazolam (RR=0.58; 95% CI=0.34-0.99; P=0.04). CONCLUSIONS When compared with midazolam sedation for gastrointestinal endoscopy, propofol sedation results in higher endoscopist satisfaction scores, but may increase the incidence of hypotension.","author":[{"dropping-particle":"","family":"Zhang","given":"Rongzan","non-dropping-particle":"","parse-names":false,"suffix":""},{"dropping-particle":"","family":"Lu","given":"Quan","non-dropping-particle":"","parse-names":false,"suffix":""},{"dropping-particle":"","family":"Wu","given":"Younong","non-dropping-particle":"","parse-names":false,"suffix":""}],"container-title":"Surgical laparoscopy, endoscopy &amp; percutaneous techniques","id":"ITEM-3","issue":"3","issued":{"date-parts":[["2018","6"]]},"page":"153-158","title":"The Comparison of Midazolam and Propofol in Gastrointestinal Endoscopy: A Systematic Review and Meta-analysis.","type":"article-journal","volume":"28"},"uris":["http://www.mendeley.com/documents/?uuid=c44d094a-d546-4c6f-bca1-f9356c61686e"]}],"mendeley":{"formattedCitation":"&lt;sup&gt;[5–7]&lt;/sup&gt;","plainTextFormattedCitation":"[5–7]","previouslyFormattedCitation":"&lt;sup&gt;[5–7]&lt;/sup&gt;"},"properties":{"noteIndex":0},"schema":"https://github.com/citation-style-language/schema/raw/master/csl-citation.json"}</w:instrText>
      </w:r>
      <w:r w:rsidR="0042117D"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[5–7]</w:t>
      </w:r>
      <w:r w:rsidR="0042117D" w:rsidRPr="00D46A14">
        <w:rPr>
          <w:rFonts w:ascii="Book Antiqua" w:hAnsi="Book Antiqua"/>
          <w:sz w:val="24"/>
          <w:szCs w:val="24"/>
        </w:rPr>
        <w:fldChar w:fldCharType="end"/>
      </w:r>
      <w:r w:rsidRPr="00D46A14">
        <w:rPr>
          <w:rFonts w:ascii="Book Antiqua" w:hAnsi="Book Antiqua"/>
          <w:sz w:val="24"/>
          <w:szCs w:val="24"/>
        </w:rPr>
        <w:t>.</w:t>
      </w:r>
    </w:p>
    <w:p w14:paraId="7DEBDDB0" w14:textId="1A5C925F" w:rsidR="00F524CD" w:rsidRPr="00D46A14" w:rsidRDefault="00F524CD"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Sedation using propofol alone can be associated with risks and complications since it requires administration of larger doses to achieve an adequate level of sedation, which in turn can lead to dose-dependent adverse events</w:t>
      </w:r>
      <w:r w:rsidR="0042117D" w:rsidRPr="00D46A14">
        <w:rPr>
          <w:rFonts w:ascii="Book Antiqua" w:hAnsi="Book Antiqua"/>
          <w:sz w:val="24"/>
          <w:szCs w:val="24"/>
        </w:rPr>
        <w:fldChar w:fldCharType="begin" w:fldLock="1"/>
      </w:r>
      <w:r w:rsidR="00D63E08" w:rsidRPr="00D46A14">
        <w:rPr>
          <w:rFonts w:ascii="Book Antiqua" w:hAnsi="Book Antiqua"/>
          <w:sz w:val="24"/>
          <w:szCs w:val="24"/>
        </w:rPr>
        <w:instrText>ADDIN CSL_CITATION {"citationItems":[{"id":"ITEM-1","itemData":{"DOI":"10.1097/MCG.0b013e3181862a8c","ISSN":"1539-2031","PMID":"19169146","abstract":"BACKGROUND Despite the increasing popularity of propofol for sedation in colonoscopy, the optimal regimen is still controversial. Both propofol alone and propofol in combination with meperidine are frequently used during colonoscopy, but the impact of adding meperidine has not been evaluated. This study aimed to investigate if adding meperidine to propofol offers any advantage in terms of patient tolerance, recovery time, and postcolonoscopy discomforts. METHOD Consecutive patients admitted to the physical checkup department of our hospital were randomized to receive either meperidine plus propofol (combination group, n=100) or propofol alone (propofol group, n=100) for sedated colonoscopy. The patients' tolerance and postcolonoscopy discomforts (pain, bloating, dizziness, and nausea/vomiting) were assessed with a 0-10 visual analog scale. The recovery times were assessed with 5-minute and 10-minute Aldrete scores. RESULTS The dose of propofol was less in the combination group than the propofol group (129.80+/-37.93 mg vs. 147.90+/-47.85, mean+/-SD, P=0.003). The endoscopists, anesthetists, and nurses all rated patients' tolerance in favor of the combination group than the propofol group (mean+/-SD, endoscopists, 9.17+/-1.23 vs. 8.49+/-1.60, P=0.001; anesthetists, 9.21+/-1.08 vs. 8.63+/-1.37, P=0.001; nurses, 9.18+/-1.34 vs. 8.71+/-1.47, P=0.019, respectively). Patients in the combination group recovered earlier than the placebo group (5-min Aldrete scores: 9.48+/-1.09 vs. 9.05+/-1.32, mean+/-SD, P=0.013; short intervals to speak: 4.29+/-4.05 min vs. 6.30+/-5.22 min, P=0.003; and departure: 18.62+/-5.28 min vs. 20.28+/-5.68 min, P=0.034). There was also less abdominal bloating in the combination group after colonoscopy (1.23+/-1.79 vs. 2.19+/-2.12, mean+/-SD, P=0.004). Incidences of hypoxemia, hypotension, and overall satisfaction scores were comparable between the 2 groups. CONCLUSIONS For sedated colonoscopy, propofol in combination with meperidine is better than propofol alone in improving patients' tolerance and recovery.","author":[{"dropping-particle":"","family":"Hsieh","given":"Yu-Hsi","non-dropping-particle":"","parse-names":false,"suffix":""},{"dropping-particle":"","family":"Chou","given":"An-Liang","non-dropping-particle":"","parse-names":false,"suffix":""},{"dropping-particle":"","family":"Lai","given":"Yu-Yung","non-dropping-particle":"","parse-names":false,"suffix":""},{"dropping-particle":"","family":"Chen","given":"Bing-Shuo","non-dropping-particle":"","parse-names":false,"suffix":""},{"dropping-particle":"","family":"Sia","given":"Swee-Leong","non-dropping-particle":"","parse-names":false,"suffix":""},{"dropping-particle":"","family":"Chen","given":"I-Cheng","non-dropping-particle":"","parse-names":false,"suffix":""},{"dropping-particle":"","family":"Chang","given":"Yin-Lung","non-dropping-particle":"","parse-names":false,"suffix":""},{"dropping-particle":"","family":"Lin","given":"Hwai-Jeng","non-dropping-particle":"","parse-names":false,"suffix":""}],"container-title":"Journal of clinical gastroenterology","id":"ITEM-1","issue":"8","issued":{"date-parts":[["2009","9"]]},"page":"753-7","title":"Propofol alone versus propofol in combination with meperidine for sedation during colonoscopy.","type":"article-journal","volume":"43"},"uris":["http://www.mendeley.com/documents/?uuid=7ae9a636-c125-4491-80c8-5930ebc282d9"]},{"id":"ITEM-2","itemData":{"DOI":"10.1055/s-2007-995346","ISSN":"1438-8812","PMID":"18058653","abstract":"BACKGROUND AND STUDY AIMS The primary objective of the present study was to compare the dosage of intravenous propofol required in patients being sedated with propofol alone (group P) with the dosage of propofol required in patients who also received an oral dose of midazolam (group M + P) for endoscopic retrograde cholangiopancreatography (ERCP) procedures. The secondary objectives were to compare the two groups with regard to patient anxiety levels before the procedure, patient satisfaction, the recovery time, and the adverse events related to sedation. PATIENTS AND METHODS A total of 91 consecutive patients undergoing ERCP were randomly assigned to one of the two medication regimens. Patients in group P (n = 45) received only intravenous propofol, titrated to achieve deep sedation. Patients in group M + P (n = 46) received 7.5 mg of midazolam orally 30 minutes before being given intravenous propofol, which was similarly titrated to achieve deep sedation. RESULTS Patients receiving propofol alone required higher doses of propofol compared with those receiving synergistic sedation (512 +/- 238 mg vs. 330 +/- 223 mg respectively, P &lt; 0.001). The patients' anxiety levels before the procedure were lower in group M + P patients than in group P patients (P &lt; 0.001). The mean percentage decline in oxygen saturation during the procedure was significantly greater in group P patients than it was in group M + P patients. A significant drop in the oxygen saturation (to &lt; 90 %) occurred in 11 group P patients and in three group M + P patients (P = 0.02). CONCLUSIONS Our data suggest that synergistic sedation with an oral dose of midazolam combined with intravenous propofol can provide a significant benefit, with a reduction in the dosage of propofol required and in patient anxiety levels before ERCP.","author":[{"dropping-particle":"","family":"Paspatis","given":"G A","non-dropping-particle":"","parse-names":false,"suffix":""},{"dropping-particle":"","family":"Manolaraki","given":"M M","non-dropping-particle":"","parse-names":false,"suffix":""},{"dropping-particle":"","family":"Vardas","given":"E","non-dropping-particle":"","parse-names":false,"suffix":""},{"dropping-particle":"","family":"Theodoropoulou","given":"A","non-dropping-particle":"","parse-names":false,"suffix":""},{"dropping-particle":"","family":"Chlouverakis","given":"G","non-dropping-particle":"","parse-names":false,"suffix":""}],"container-title":"Endoscopy","id":"ITEM-2","issue":"4","issued":{"date-parts":[["2008","4"]]},"page":"308-13","title":"Deep sedation for endoscopic retrograde cholangiopancreatography: intravenous propofol alone versus intravenous propofol with oral midazolam premedication.","type":"article-journal","volume":"40"},"uris":["http://www.mendeley.com/documents/?uuid=7dc5a584-86e7-480b-9d0e-11ac8a9fb95a"]}],"mendeley":{"formattedCitation":"&lt;sup&gt;[5,8]&lt;/sup&gt;","plainTextFormattedCitation":"[5,8]","previouslyFormattedCitation":"&lt;sup&gt;[5,8]&lt;/sup&gt;"},"properties":{"noteIndex":0},"schema":"https://github.com/citation-style-language/schema/raw/master/csl-citation.json"}</w:instrText>
      </w:r>
      <w:r w:rsidR="0042117D"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[5,8]</w:t>
      </w:r>
      <w:r w:rsidR="0042117D" w:rsidRPr="00D46A14">
        <w:rPr>
          <w:rFonts w:ascii="Book Antiqua" w:hAnsi="Book Antiqua"/>
          <w:sz w:val="24"/>
          <w:szCs w:val="24"/>
        </w:rPr>
        <w:fldChar w:fldCharType="end"/>
      </w:r>
      <w:r w:rsidRPr="00D46A14">
        <w:rPr>
          <w:rFonts w:ascii="Book Antiqua" w:hAnsi="Book Antiqua"/>
          <w:sz w:val="24"/>
          <w:szCs w:val="24"/>
        </w:rPr>
        <w:t xml:space="preserve">. Additionally, the isolated use of this drug has disadvantages related to its pharmacokinetic properties. Propofol can induce deep sedation, has no antidote for reversibility, has a narrow therapeutic index and causes adverse events including </w:t>
      </w:r>
      <w:r w:rsidR="003B7835" w:rsidRPr="00D46A14">
        <w:rPr>
          <w:rFonts w:ascii="Book Antiqua" w:hAnsi="Book Antiqua"/>
          <w:sz w:val="24"/>
          <w:szCs w:val="24"/>
        </w:rPr>
        <w:t>cardiopulmonary</w:t>
      </w:r>
      <w:r w:rsidRPr="00D46A14">
        <w:rPr>
          <w:rFonts w:ascii="Book Antiqua" w:hAnsi="Book Antiqua"/>
          <w:sz w:val="24"/>
          <w:szCs w:val="24"/>
        </w:rPr>
        <w:t xml:space="preserve"> compromise requiring </w:t>
      </w:r>
      <w:r w:rsidR="00A96C68" w:rsidRPr="00D46A14">
        <w:rPr>
          <w:rFonts w:ascii="Book Antiqua" w:hAnsi="Book Antiqua"/>
          <w:sz w:val="24"/>
          <w:szCs w:val="24"/>
        </w:rPr>
        <w:t>resuscitation</w:t>
      </w:r>
      <w:r w:rsidR="0042117D" w:rsidRPr="00D46A14">
        <w:rPr>
          <w:rFonts w:ascii="Book Antiqua" w:hAnsi="Book Antiqua"/>
          <w:sz w:val="24"/>
          <w:szCs w:val="24"/>
        </w:rPr>
        <w:fldChar w:fldCharType="begin" w:fldLock="1"/>
      </w:r>
      <w:r w:rsidR="00D63E08" w:rsidRPr="00D46A14">
        <w:rPr>
          <w:rFonts w:ascii="Book Antiqua" w:hAnsi="Book Antiqua"/>
          <w:sz w:val="24"/>
          <w:szCs w:val="24"/>
        </w:rPr>
        <w:instrText>ADDIN CSL_CITATION {"citationItems":[{"id":"ITEM-1","itemData":{"DOI":"10.1053/j.gastro.2007.06.002","ISSN":"0016-5085","PMID":"17681185","author":[{"dropping-particle":"","family":"Cohen","given":"Lawrence B","non-dropping-particle":"","parse-names":false,"suffix":""},{"dropping-particle":"","family":"Delegge","given":"Mark H","non-dropping-particle":"","parse-names":false,"suffix":""},{"dropping-particle":"","family":"Aisenberg","given":"James","non-dropping-particle":"","parse-names":false,"suffix":""},{"dropping-particle":"V","family":"Brill","given":"Joel","non-dropping-particle":"","parse-names":false,"suffix":""},{"dropping-particle":"","family":"Inadomi","given":"John M","non-dropping-particle":"","parse-names":false,"suffix":""},{"dropping-particle":"","family":"Kochman","given":"Michael L","non-dropping-particle":"","parse-names":false,"suffix":""},{"dropping-particle":"","family":"Piorkowski","given":"Joseph D","non-dropping-particle":"","parse-names":false,"suffix":""},{"dropping-particle":"","family":"AGA Institute","given":"","non-dropping-particle":"","parse-names":false,"suffix":""}],"container-title":"Gastroenterology","id":"ITEM-1","issue":"2","issued":{"date-parts":[["2007","8"]]},"page":"675-701","title":"AGA Institute review of endoscopic sedation.","type":"article-journal","volume":"133"},"uris":["http://www.mendeley.com/documents/?uuid=1ea322e1-3145-42e8-a0e8-db86a0b713a5"]},{"id":"ITEM-2","itemData":{"DOI":"10.1016/j.cgh.2009.07.008","ISSN":"1542-7714","PMID":"19607937","abstract":"BACKGROUND &amp; AIMS Propofol is an effective sedative in advanced endoscopy. However, the incidence of sedation-related complications is unclear. We sought to define the frequency of sedation-related adverse events, particularly the rate of airway modifications (AMs), with propofol use during advanced endoscopy. We also evaluated independent predictors of AMs. METHODS Patients undergoing sedation with propofol for advanced endoscopic procedures, including endoscopic retrograde cholangiopancreatography, endoscopic ultrasound, and small-bowel enteroscopy, were studied prospectively. Sedative dosing was determined by a certified registered nurse anesthetist with the goal of achieving deep sedation. Sedation-related complications included AMs, hypoxemia (pulse oximetry [SpO(2)] &lt; 90%), hypotension requiring vasopressors, and early procedure termination. AMs were defined as chin lift, modified face mask ventilation, and nasal airway. We performed a regression analysis to compare characteristics of patients requiring AMs (AM+) with those who did not (AM-). RESULTS A total of 799 patients were enrolled over 7 months. Procedures included endoscopic ultrasound (423), endoscopic retrograde cholangiopancreatography (336), and small-bowel enteroscopy (40). A total of 87.2% of patients showed no response to endoscopic intubation. Hypoxemia occurred in 12.8%, hypotension in 0.5%, and premature termination in 0.6% of the patients. No patients required bag-mask ventilation or endotracheal intubation. There were 154 AMs performed in 115 (14.4%) patients, including chin lift (12.1%), modified face mask ventilation (3.6%), and nasal airway (3.5%). Body mass index, male sex, and American Society of Anesthesiologists class of 3 or higher were independent predictors of AMs. CONCLUSIONS Propofol can be used safely for advanced endoscopic procedures when administered by a trained professional. Independent predictors of AMs included male sex, American Society of Anesthesiologists class of 3 or higher, and increased body mass index.","author":[{"dropping-particle":"","family":"Coté","given":"Gregory A","non-dropping-particle":"","parse-names":false,"suffix":""},{"dropping-particle":"","family":"Hovis","given":"Robert M","non-dropping-particle":"","parse-names":false,"suffix":""},{"dropping-particle":"","family":"Ansstas","given":"Michael A","non-dropping-particle":"","parse-names":false,"suffix":""},{"dropping-particle":"","family":"Waldbaum","given":"Lawrence","non-dropping-particle":"","parse-names":false,"suffix":""},{"dropping-particle":"","family":"Azar","given":"Riad R","non-dropping-particle":"","parse-names":false,"suffix":""},{"dropping-particle":"","family":"Early","given":"Dayna S","non-dropping-particle":"","parse-names":false,"suffix":""},{"dropping-particle":"","family":"Edmundowicz","given":"Steven A","non-dropping-particle":"","parse-names":false,"suffix":""},{"dropping-particle":"","family":"Mullady","given":"Daniel K","non-dropping-particle":"","parse-names":false,"suffix":""},{"dropping-particle":"","family":"Jonnalagadda","given":"Sreenivasa S","non-dropping-particle":"","parse-names":false,"suffix":""}],"container-title":"Clinical gastroenterology and hepatology : the official clinical practice journal of the American Gastroenterological Association","id":"ITEM-2","issue":"2","issued":{"date-parts":[["2010","2"]]},"page":"137-42","title":"Incidence of sedation-related complications with propofol use during advanced endoscopic procedures.","type":"article-journal","volume":"8"},"uris":["http://www.mendeley.com/documents/?uuid=d868e37c-cb97-497a-91d3-24224b84aa5a"]}],"mendeley":{"formattedCitation":"&lt;sup&gt;[9,10]&lt;/sup&gt;","plainTextFormattedCitation":"[9,10]","previouslyFormattedCitation":"&lt;sup&gt;[9,10]&lt;/sup&gt;"},"properties":{"noteIndex":0},"schema":"https://github.com/citation-style-language/schema/raw/master/csl-citation.json"}</w:instrText>
      </w:r>
      <w:r w:rsidR="0042117D"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[9,10]</w:t>
      </w:r>
      <w:r w:rsidR="0042117D" w:rsidRPr="00D46A14">
        <w:rPr>
          <w:rFonts w:ascii="Book Antiqua" w:hAnsi="Book Antiqua"/>
          <w:sz w:val="24"/>
          <w:szCs w:val="24"/>
        </w:rPr>
        <w:fldChar w:fldCharType="end"/>
      </w:r>
      <w:r w:rsidRPr="00D46A14">
        <w:rPr>
          <w:rFonts w:ascii="Book Antiqua" w:hAnsi="Book Antiqua"/>
          <w:sz w:val="24"/>
          <w:szCs w:val="24"/>
        </w:rPr>
        <w:t>.</w:t>
      </w:r>
    </w:p>
    <w:p w14:paraId="5CA4B354" w14:textId="53083E6A" w:rsidR="00F524CD" w:rsidRPr="00D46A14" w:rsidRDefault="00F524CD"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However, previous studies have shown that the use of propofol as an adjunct to traditional sedatives such as benzodiazepines and opioids with moderate patient sedation is associated with lower risk of complications, improved patient cooperation and satisfaction, and shorter time to recovery post procedure</w:t>
      </w:r>
      <w:r w:rsidR="00A96C68"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{"citationItems":[{"id":"ITEM-1","itemData":{"DOI":"10.1097/MCG.0b013e3181862a8c","ISSN":"1539-2031","PMID":"19169146","abstract":"BACKGROUND Despite the increasing popularity of propofol for sedation in colonoscopy, the optimal regimen is still controversial. Both propofol alone and propofol in combination with meperidine are frequently used during colonoscopy, but the impact of adding meperidine has not been evaluated. This study aimed to investigate if adding meperidine to propofol offers any advantage in terms of patient tolerance, recovery time, and postcolonoscopy discomforts. METHOD Consecutive patients admitted to the physical checkup department of our hospital were randomized to receive either meperidine plus propofol (combination group, n=100) or propofol alone (propofol group, n=100) for sedated colonoscopy. The patients' tolerance and postcolonoscopy discomforts (pain, bloating, dizziness, and nausea/vomiting) were assessed with a 0-10 visual analog scale. The recovery times were assessed with 5-minute and 10-minute Aldrete scores. RESULTS The dose of propofol was less in the combination group than the propofol group (129.80+/-37.93 mg vs. 147.90+/-47.85, mean+/-SD, P=0.003). The endoscopists, anesthetists, and nurses all rated patients' tolerance in favor of the combination group than the propofol group (mean+/-SD, endoscopists, 9.17+/-1.23 vs. 8.49+/-1.60, P=0.001; anesthetists, 9.21+/-1.08 vs. 8.63+/-1.37, P=0.001; nurses, 9.18+/-1.34 vs. 8.71+/-1.47, P=0.019, respectively). Patients in the combination group recovered earlier than the placebo group (5-min Aldrete scores: 9.48+/-1.09 vs. 9.05+/-1.32, mean+/-SD, P=0.013; short intervals to speak: 4.29+/-4.05 min vs. 6.30+/-5.22 min, P=0.003; and departure: 18.62+/-5.28 min vs. 20.28+/-5.68 min, P=0.034). There was also less abdominal bloating in the combination group after colonoscopy (1.23+/-1.79 vs. 2.19+/-2.12, mean+/-SD, P=0.004). Incidences of hypoxemia, hypotension, and overall satisfaction scores were comparable between the 2 groups. CONCLUSIONS For sedated colonoscopy, propofol in combination with meperidine is better than propofol alone in improving patients' tolerance and recovery.","author":[{"dropping-particle":"","family":"Hsieh","given":"Yu-Hsi","non-dropping-particle":"","parse-names":false,"suffix":""},{"dropping-particle":"","family":"Chou","given":"An-Liang","non-dropping-particle":"","parse-names":false,"suffix":""},{"dropping-particle":"","family":"Lai","given":"Yu-Yung","non-dropping-particle":"","parse-names":false,"suffix":""},{"dropping-particle":"","family":"Chen","given":"Bing-Shuo","non-dropping-particle":"","parse-names":false,"suffix":""},{"dropping-particle":"","family":"Sia","given":"Swee-Leong","non-dropping-particle":"","parse-names":false,"suffix":""},{"dropping-particle":"","family":"Chen","given":"I-Cheng","non-dropping-particle":"","parse-names":false,"suffix":""},{"dropping-particle":"","family":"Chang","given":"Yin-Lung","non-dropping-particle":"","parse-names":false,"suffix":""},{"dropping-particle":"","family":"Lin","given":"Hwai-Jeng","non-dropping-particle":"","parse-names":false,"suffix":""}],"container-title":"Journal of clinical gastroenterology","id":"ITEM-1","issue":"8","issued":{"date-parts":[["2009","9"]]},"page":"753-7","title":"Propofol alone versus propofol in combination with meperidine for sedation during colonoscopy.","type":"article-journal","volume":"43"},"uris":["http://www.mendeley.com/documents/?uuid=7ae9a636-c125-4491-80c8-5930ebc282d9"]},{"id":"ITEM-2","itemData":{"DOI":"10.1016/S0016-5107(02)70108-9","ISSN":"00165107","author":[{"dropping-particle":"","family":"Lee","given":"Danny W.H.","non-dropping-particle":"","parse-names":false,"suffix":""},{"dropping-particle":"","family":"Chan","given":"Angus C.W.","non-dropping-particle":"","parse-names":false,"suffix":""},{"dropping-particle":"","family":"Sze","given":"Tak-Suen","non-dropping-particle":"","parse-names":false,"suffix":""},{"dropping-particle":"","family":"Ko","given":"Chi-Wah","non-dropping-particle":"","parse-names":false,"suffix":""},{"dropping-particle":"","family":"Poon","given":"Chi-Ming","non-dropping-particle":"","parse-names":false,"suffix":""},{"dropping-particle":"","family":"Chan","given":"Kang-Chung","non-dropping-particle":"","parse-names":false,"suffix":""},{"dropping-particle":"","family":"Sin","given":"Kwok-sang","non-dropping-particle":"","parse-names":false,"suffix":""},{"dropping-particle":"","family":"Chung","given":"S.C.Sydney","non-dropping-particle":"","parse-names":false,"suffix":""}],"container-title":"Gastrointestinal Endoscopy","id":"ITEM-2","issue":"5","issued":{"date-parts":[["2002","11"]]},"page":"629-632","title":"Patient-controlled sedation versus intravenous sedation for colonoscopy in elderly patients: A prospective randomized controlled trial","type":"article-journal","volume":"56"},"uris":["http://www.mendeley.com/documents/?uuid=0df8b480-9a14-45b4-88c5-4e1edcebf718"]}],"mendeley":{"formattedCitation":"&lt;sup&gt;[5,11]&lt;/sup&gt;","plainTextFormattedCitation":"[5,11]","previouslyFormattedCitation":"&lt;sup&gt;[5,11]&lt;/sup&gt;"},"properties":{"noteIndex":0},"schema":"https://github.com/citation-style-language/schema/raw/master/csl-citation.json"}</w:instrText>
      </w:r>
      <w:r w:rsidR="00A96C68"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[5,11]</w:t>
      </w:r>
      <w:r w:rsidR="00A96C68" w:rsidRPr="00D46A14">
        <w:rPr>
          <w:rFonts w:ascii="Book Antiqua" w:hAnsi="Book Antiqua"/>
          <w:sz w:val="24"/>
          <w:szCs w:val="24"/>
        </w:rPr>
        <w:fldChar w:fldCharType="end"/>
      </w:r>
      <w:r w:rsidRPr="00D46A14">
        <w:rPr>
          <w:rFonts w:ascii="Book Antiqua" w:hAnsi="Book Antiqua"/>
          <w:sz w:val="24"/>
          <w:szCs w:val="24"/>
        </w:rPr>
        <w:t>.</w:t>
      </w:r>
    </w:p>
    <w:p w14:paraId="35808A3D" w14:textId="5D6A2937" w:rsidR="00F524CD" w:rsidRPr="00D46A14" w:rsidRDefault="00F524CD"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Several studies have compared the use of propofol alone versus its use with adjunctive sedatives</w:t>
      </w:r>
      <w:r w:rsidR="0090631E"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{"citationItems":[{"id":"ITEM-1","itemData":{"DOI":"10.1097/MCG.0b013e3181862a8c","ISSN":"1539-2031","PMID":"19169146","abstract":"BACKGROUND Despite the increasing popularity of propofol for sedation in colonoscopy, the optimal regimen is still controversial. Both propofol alone and propofol in combination with meperidine are frequently used during colonoscopy, but the impact of adding meperidine has not been evaluated. This study aimed to investigate if adding meperidine to propofol offers any advantage in terms of patient tolerance, recovery time, and postcolonoscopy discomforts. METHOD Consecutive patients admitted to the physical checkup department of our hospital were randomized to receive either meperidine plus propofol (combination group, n=100) or propofol alone (propofol group, n=100) for sedated colonoscopy. The patients' tolerance and postcolonoscopy discomforts (pain, bloating, dizziness, and nausea/vomiting) were assessed with a 0-10 visual analog scale. The recovery times were assessed with 5-minute and 10-minute Aldrete scores. RESULTS The dose of propofol was less in the combination group than the propofol group (129.80+/-37.93 mg vs. 147.90+/-47.85, mean+/-SD, P=0.003). The endoscopists, anesthetists, and nurses all rated patients' tolerance in favor of the combination group than the propofol group (mean+/-SD, endoscopists, 9.17+/-1.23 vs. 8.49+/-1.60, P=0.001; anesthetists, 9.21+/-1.08 vs. 8.63+/-1.37, P=0.001; nurses, 9.18+/-1.34 vs. 8.71+/-1.47, P=0.019, respectively). Patients in the combination group recovered earlier than the placebo group (5-min Aldrete scores: 9.48+/-1.09 vs. 9.05+/-1.32, mean+/-SD, P=0.013; short intervals to speak: 4.29+/-4.05 min vs. 6.30+/-5.22 min, P=0.003; and departure: 18.62+/-5.28 min vs. 20.28+/-5.68 min, P=0.034). There was also less abdominal bloating in the combination group after colonoscopy (1.23+/-1.79 vs. 2.19+/-2.12, mean+/-SD, P=0.004). Incidences of hypoxemia, hypotension, and overall satisfaction scores were comparable between the 2 groups. CONCLUSIONS For sedated colonoscopy, propofol in combination with meperidine is better than propofol alone in improving patients' tolerance and recovery.","author":[{"dropping-particle":"","family":"Hsieh","given":"Yu-Hsi","non-dropping-particle":"","parse-names":false,"suffix":""},{"dropping-particle":"","family":"Chou","given":"An-Liang","non-dropping-particle":"","parse-names":false,"suffix":""},{"dropping-particle":"","family":"Lai","given":"Yu-Yung","non-dropping-particle":"","parse-names":false,"suffix":""},{"dropping-particle":"","family":"Chen","given":"Bing-Shuo","non-dropping-particle":"","parse-names":false,"suffix":""},{"dropping-particle":"","family":"Sia","given":"Swee-Leong","non-dropping-particle":"","parse-names":false,"suffix":""},{"dropping-particle":"","family":"Chen","given":"I-Cheng","non-dropping-particle":"","parse-names":false,"suffix":""},{"dropping-particle":"","family":"Chang","given":"Yin-Lung","non-dropping-particle":"","parse-names":false,"suffix":""},{"dropping-particle":"","family":"Lin","given":"Hwai-Jeng","non-dropping-particle":"","parse-names":false,"suffix":""}],"container-title":"Journal of clinical gastroenterology","id":"ITEM-1","issue":"8","issued":{"date-parts":[["2009","9"]]},"page":"753-7","title":"Propofol alone versus propofol in combination with meperidine for sedation during colonoscopy.","type":"article-journal","volume":"43"},"uris":["http://www.mendeley.com/documents/?uuid=7ae9a636-c125-4491-80c8-5930ebc282d9"]},{"id":"ITEM-2","itemData":{"DOI":"10.1213/ane.0b013e3181a6ad31","ISSN":"1526-7598","PMID":"19617584","abstract":"BACKGROUND The sedative drug combination that produces minimal cognitive impairment and optimal operating conditions during colonoscopy has not been determined. We sought to determine if the use of propofol alone results in less cognitive impairment at discharge than the use of propofol plus midazolam and/or fentanyl in patients presenting for elective outpatient colonoscopy. METHODS Two hundred adult patients presenting for elective outpatient colonoscopy were randomized to receive propofol alone or propofol plus midazolam, and/or fentanyl for IV sedation. Baseline cognitive function was measured using the computerized CogState test battery (Cogstate, Melbourne, Australia) before sedation. During the procedure, sedative drug doses, depth of sedation (via the bispectral index and observer's assessment of alertness/sedation score), complications, and treatability were recorded. Patients were interviewed about recall immediately after emerging from sedation, and cognitive testing was repeated at hospital discharge. Recovery times, quality of recovery, and satisfaction with care were also recorded. RESULTS In the propofol plus adjuvants group, 84 patients received fentanyl 50 microg (25-100) (median [range]) and 57 patients received midazolam 2 mg (0.5-10). Patients' cognitive function at discharge was worse than their performance at baseline. However, the changes in cognitive function between discharge and baseline were not significantly different between the two groups. At discharge, 18.5% of patients were cognitively impaired to an extent equivalent to a blood-alcohol concentration of 0.05%. Sedation with propofol plus midazolam and/or fentanyl produced better operating conditions than sedation with propofol alone and was associated with shorter procedure times. Recovery times, recall, dreaming, quality of recovery, and patient satisfaction with care were similar between the groups. Administration of &gt;2 mg of midazolam was a predictor of impaired cognitive function at discharge. CONCLUSIONS Significant cognitive impairment was common at discharge from elective outpatient colonoscopy. However, the addition of midazolam and/or fentanyl to propofol sedation did not result in more cognitive impairment than the use of propofol alone. Furthermore, the use of adjuvants improved the ease of colonoscopy without increasing the rate of complications or prolonging early recovery times..","author":[{"dropping-particle":"","family":"Padmanabhan","given":"Usha","non-dropping-particle":"","parse-names":false,"suffix":""},{"dropping-particle":"","family":"Leslie","given":"Kate","non-dropping-particle":"","parse-names":false,"suffix":""},{"dropping-particle":"","family":"Eer","given":"Audrey Singyi","non-dropping-particle":"","parse-names":false,"suffix":""},{"dropping-particle":"","family":"Maruff","given":"Paul","non-dropping-particle":"","parse-names":false,"suffix":""},{"dropping-particle":"","family":"Silbert","given":"Brendan S","non-dropping-particle":"","parse-names":false,"suffix":""}],"container-title":"Anesthesia and analgesia","id":"ITEM-2","issue":"5","issued":{"date-parts":[["2009","11"]]},"page":"1448-55","title":"Early cognitive impairment after sedation for colonoscopy: the effect of adding midazolam and/or fentanyl to propofol.","type":"article-journal","volume":"109"},"uris":["http://www.mendeley.com/documents/?uuid=7eff5b69-7286-4001-8b75-8737e8d38723"]},{"id":"ITEM-3","itemData":{"DOI":"10.1055/s-2007-995346","ISSN":"1438-8812","PMID":"18058653","abstract":"BACKGROUND AND STUDY AIMS The primary objective of the present study was to compare the dosage of intravenous propofol required in patients being sedated with propofol alone (group P) with the dosage of propofol required in patients who also received an oral dose of midazolam (group M + P) for endoscopic retrograde cholangiopancreatography (ERCP) procedures. The secondary objectives were to compare the two groups with regard to patient anxiety levels before the procedure, patient satisfaction, the recovery time, and the adverse events related to sedation. PATIENTS AND METHODS A total of 91 consecutive patients undergoing ERCP were randomly assigned to one of the two medication regimens. Patients in group P (n = 45) received only intravenous propofol, titrated to achieve deep sedation. Patients in group M + P (n = 46) received 7.5 mg of midazolam orally 30 minutes before being given intravenous propofol, which was similarly titrated to achieve deep sedation. RESULTS Patients receiving propofol alone required higher doses of propofol compared with those receiving synergistic sedation (512 +/- 238 mg vs. 330 +/- 223 mg respectively, P &lt; 0.001). The patients' anxiety levels before the procedure were lower in group M + P patients than in group P patients (P &lt; 0.001). The mean percentage decline in oxygen saturation during the procedure was significantly greater in group P patients than it was in group M + P patients. A significant drop in the oxygen saturation (to &lt; 90 %) occurred in 11 group P patients and in three group M + P patients (P = 0.02). CONCLUSIONS Our data suggest that synergistic sedation with an oral dose of midazolam combined with intravenous propofol can provide a significant benefit, with a reduction in the dosage of propofol required and in patient anxiety levels before ERCP.","author":[{"dropping-particle":"","family":"Paspatis","given":"G A","non-dropping-particle":"","parse-names":false,"suffix":""},{"dropping-particle":"","family":"Manolaraki","given":"M M","non-dropping-particle":"","parse-names":false,"suffix":""},{"dropping-particle":"","family":"Vardas","given":"E","non-dropping-particle":"","parse-names":false,"suffix":""},{"dropping-particle":"","family":"Theodoropoulou","given":"A","non-dropping-particle":"","parse-names":false,"suffix":""},{"dropping-particle":"","family":"Chlouverakis","given":"G","non-dropping-particle":"","parse-names":false,"suffix":""}],"container-title":"Endoscopy","id":"ITEM-3","issue":"4","issued":{"date-parts":[["2008","4"]]},"page":"308-13","title":"Deep sedation for endoscopic retrograde cholangiopancreatography: intravenous propofol alone versus intravenous propofol with oral midazolam premedication.","type":"article-journal","volume":"40"},"uris":["http://www.mendeley.com/documents/?uuid=7dc5a584-86e7-480b-9d0e-11ac8a9fb95a"]},{"id":"ITEM-4","itemData":{"DOI":"10.1017/S0265021505001432","ISSN":"0265-0215","author":[{"dropping-particle":"","family":"Disma","given":"N.","non-dropping-particle":"","parse-names":false,"suffix":""},{"dropping-particle":"","family":"Astuto","given":"M.","non-dropping-particle":"","parse-names":false,"suffix":""},{"dropping-particle":"","family":"Rizzo","given":"G.","non-dropping-particle":"","parse-names":false,"suffix":""},{"dropping-particle":"","family":"Rosano","given":"G.","non-dropping-particle":"","parse-names":false,"suffix":""},{"dropping-particle":"","family":"Naso","given":"P.","non-dropping-particle":"","parse-names":false,"suffix":""},{"dropping-particle":"","family":"Aprile","given":"G.","non-dropping-particle":"","parse-names":false,"suffix":""},{"dropping-particle":"","family":"Bonanno","given":"G.","non-dropping-particle":"","parse-names":false,"suffix":""},{"dropping-particle":"","family":"Russo","given":"A.","non-dropping-particle":"","parse-names":false,"suffix":""}],"container-title":"European Journal of Anaesthesiology","id":"ITEM-4","issue":"11","issued":{"date-parts":[["2005","11"]]},"page":"848-852","title":"Propofol sedation with fentanyl or midazolam during oesophagogastroduodenoscopy in children","type":"article-journal","volume":"22"},"uris":["http://www.mendeley.com/documents/?uuid=24cb6af6-50ff-4dbb-86de-f9a542e81c79"]},{"id":"ITEM-5","itemData":{"DOI":"10.1016/j.gie.2011.07.072","ISSN":"1097-6779","PMID":"22000794","abstract":"BACKGROUND In patients undergoing routine upper EGD, propofol is increasingly used without pharyngeal anesthesia because of its excellent sedative properties. It is unclear whether this practice is non-inferior in regard to ease of endoscopic intubation and patient comfort. OBJECTIVE To assess the relevance of local pharyngeal anesthesia regarding the ease of EGD performance in patients sedated with propofol as monotherapy. DESIGN Randomized, double-blind, placebo-controlled, non-inferiority trial. SETTING One community hospital and one university hospital in Switzerland. PATIENTS We enrolled 300 consecutive adult patients undergoing elective EGD. INTERVENTION Pharyngeal anesthesia with 4 squirts of lidocaine spray versus placebo spray immediately before propofol sedation. MAIN OUTCOME MEASUREMENTS Number of gag reflexes (primary endpoint), number of intubation attempts, and degree of salivation during intubation (secondary endpoints) assessed by the endoscopists and staff. RESULTS In the lidocaine group, 122 patients (82%) had no gag events, and 25 patients had a total of 39 gag events, whereas in the placebo group 104 patients (71%) had no gag events, and 43 patients had a total of 111 gag events. The rate ratio of gagging with quasi-likelihood estimation of placebo compared with lidocaine was 2.85 (95% confidence interval [CI], 1.42-6.19; P = .005). In adjusted logistic regression analysis, the odds ratio for gagging for placebo pharyngeal anesthesia compared with lidocaine was 1.9 (95% CI, 1.03-3.54). The number of intubation attempts and the degree of salivation were similar in both groups. Two patients in the placebo group experienced oxygen desaturation and needed short-term mask ventilation. LIMITATIONS The level of sedation and possible long-term side effects of pharyngeal anesthesia were not assessed. CONCLUSION Topical pharyngeal anesthesia reduces the gag reflex in patients sedated with propofol even though it does not seem to have an influence on the ease of the procedure and on patient or endoscopist satisfaction in adequately sedated patients.","author":[{"dropping-particle":"","family":"Heuss","given":"Ludwig T","non-dropping-particle":"","parse-names":false,"suffix":""},{"dropping-particle":"","family":"Hanhart","given":"Andreas","non-dropping-particle":"","parse-names":false,"suffix":""},{"dropping-particle":"","family":"Dell-Kuster","given":"Salome","non-dropping-particle":"","parse-names":false,"suffix":""},{"dropping-particle":"","family":"Zdrnja","given":"Karolina","non-dropping-particle":"","parse-names":false,"suffix":""},{"dropping-particle":"","family":"Ortmann","given":"Michael","non-dropping-particle":"","parse-names":false,"suffix":""},{"dropping-particle":"","family":"Beglinger","given":"Christoph","non-dropping-particle":"","parse-names":false,"suffix":""},{"dropping-particle":"","family":"Bucher","given":"Heiner C","non-dropping-particle":"","parse-names":false,"suffix":""},{"dropping-particle":"","family":"Degen","given":"Lukas","non-dropping-particle":"","parse-names":false,"suffix":""}],"container-title":"Gastrointestinal endoscopy","id":"ITEM-5","issue":"6","issued":{"date-parts":[["2011","12"]]},"page":"1207-14","title":"Propofol sedation alone or in combination with pharyngeal lidocaine anesthesia for routine upper GI endoscopy: a randomized, double-blind, placebo-controlled, non-inferiority trial.","type":"article-journal","volume":"74"},"uris":["http://www.mendeley.com/documents/?uuid=6ea95650-2df3-4c6e-81c1-68b64a90b967"]},{"id":"ITEM-6","itemData":{"DOI":"10.1213/ane.0b013e318198f6dc","ISSN":"1526-7598","PMID":"19224790","abstract":"BACKGROUND The combination of propofol-remifentanil for procedural deep sedation in spontaneously breathing patients is characterized by the frequent incidence of side effects, especially respiratory depression. These side effects may be due to either the drug combination or the drug delivery technique. Target-controlled infusion (TCI) might optimize drug delivery. In this prospective, randomized, double-blind study in patients undergoing elective colonoscopy, we thus tried to answer two questions: first, if adding remifentanil to propofol surpasses the disadvantages of the combination of these two products, and second, if administration of remifentanil via TCI decreases the incidence of side effects, compared to manually controlled administration. METHODS Patients undergoing elective colonoscopy were randomly assigned to receive remifentanil via manually controlled continuous infusion (MCI) (0.125 microg x kg(-1) x min(-1) for 2 min followed by a continuous infusion of 0.05 microg x kg(-1) x min(-1)), TCI remifentanil (1 ng/mL), or placebo (normal saline either as TCI or manual infusion of equivalent rate). All patients received TCI propofol, adjusted to a target concentration level that provided deep sedation in which patients were not responsive to verbal commands, but maintained spontaneous ventilation without assistance. RESULTS Significantly more patients in the placebo group showed movement, cough and hiccup, which transiently interfered with the examination. There were no clinically significant differences in hemodynamic or recovery variables among all groups. Remifentanil administered via TCI resulted in a decrease in propofol requirements. The incidence of hypopnea and apnea was less frequent when remifentanil was administered via TCI compared to MCI (TCI n = 7, MCI n = 16, P &lt; 0.05). CONCLUSION The combination of remifentanil and propofol for deep sedation in spontaneously breathing patients, offered better conditions for colonoscopy than propofol used as a single drug. Remifentanil administered via TCI resulted in a decrease in propofol dosing and in a lower incidence in apnea and respiratory depression (TCI n = 7, MCI n = 16, P &lt; 0.05), compared to manually controlled administration of remifentanil.","author":[{"dropping-particle":"","family":"Moerman","given":"Annelies T","non-dropping-particle":"","parse-names":false,"suffix":""},{"dropping-particle":"","family":"Herregods","given":"Luc L","non-dropping-particle":"","parse-names":false,"suffix":""},{"dropping-particle":"","family":"Vos","given":"Martine M","non-dropping-particle":"De","parse-names":false,"suffix":""},{"dropping-particle":"","family":"Mortier","given":"Eric P","non-dropping-particle":"","parse-names":false,"suffix":""},{"dropping-particle":"","family":"Struys","given":"Michel M R F","non-dropping-particle":"","parse-names":false,"suffix":""}],"container-title":"Anesthesia and analgesia","id":"ITEM-6","issue":"3","issued":{"date-parts":[["2009","3"]]},"page":"828-34","title":"Manual versus target-controlled infusion remifentanil administration in spontaneously breathing patients.","type":"article-journal","volume":"108"},"uris":["http://www.mendeley.com/documents/?uuid=752a14f1-59de-49a0-bde4-b55fac03b0ca"]},{"id":"ITEM-7","itemData":{"DOI":"10.1016/j.jclinane.2003.08.005","ISSN":"09528180","author":[{"dropping-particle":"","family":"Moerman","given":"Annelies T","non-dropping-particle":"","parse-names":false,"suffix":""},{"dropping-particle":"","family":"Struys","given":"Michel M.R.F","non-dropping-particle":"","parse-names":false,"suffix":""},{"dropping-particle":"","family":"Vereecke","given":"Hugo E","non-dropping-particle":"","parse-names":false,"suffix":""},{"dropping-particle":"","family":"Herregods","given":"Luc L","non-dropping-particle":"","parse-names":false,"suffix":""},{"dropping-particle":"","family":"Vos","given":"Martine M","non-dropping-particle":"De","parse-names":false,"suffix":""},{"dropping-particle":"","family":"Mortier","given":"Eric P","non-dropping-particle":"","parse-names":false,"suffix":""}],"container-title":"Journal of Clinical Anesthesia","id":"ITEM-7","issue":"4","issued":{"date-parts":[["2004","6"]]},"page":"237-243","title":"Remifentanil used to supplement propofol does not improve quality of sedation during spontaneous respiration","type":"article-journal","volume":"16"},"uris":["http://www.mendeley.com/documents/?uuid=f0e5c6f2-3349-45c7-8218-53585d37e24c"]},{"id":"ITEM-8","itemData":{"DOI":"10.1055/s-2007-966725","ISSN":"0013-726X","author":[{"dropping-particle":"","family":"Ong","given":"W.","non-dropping-particle":"","parse-names":false,"suffix":""},{"dropping-particle":"","family":"Santosh","given":"D.","non-dropping-particle":"","parse-names":false,"suffix":""},{"dropping-particle":"","family":"Lakhtakia","given":"S.","non-dropping-particle":"","parse-names":false,"suffix":""},{"dropping-particle":"","family":"Nageshwar Reddy","given":"D.","non-dropping-particle":"","parse-names":false,"suffix":""}],"container-title":"Endoscopy","id":"ITEM-8","issue":"09","issued":{"date-parts":[["2007","8","17"]]},"page":"807-812","title":"A randomized controlled trial on use of propofol alone versus propofol with midazolam, ketamine, and pentazocine “sedato-analgesic cocktail” for sedation during ERCP","type":"article-journal","volume":"39"},"uris":["http://www.mendeley.com/documents/?uuid=20c81996-937c-41c9-b183-913d1e3f1764"]},{"id":"ITEM-9","itemData":{"DOI":"10.1097/01.mpg.0000228099.04702.39","ISSN":"0277-2116","PMID":"16877984","abstract":"OBJECTIVES The primary objective of the present study was to compare the required dose of intravenous (IV) propofol between group A (synergistic sedation with an oral dose of midazolam combined with IV propofol) and group B (IV propofol alone), in diagnostic upper gastrointestinal endoscopy (UGIE) in pediatric patients. The secondary objective was to compare the safety, the efficacy, the ease of IV line placement and the ease of separation from parents between the 2 groups. METHODS Fifty-four consecutive children (aged 3 y or older) who underwent UGIE were randomly assigned to 1 of the 2 medication regimens. Patients in group A (n = 26, mean age: 8.1 y) received midazolam (0.5 mg/kg) orally. Thirty minutes after the midazolam dose was given, repeated IV doses of propofol 0.5 mg/kg were administered titrated to achieve the level of deep sedation. Patients in group B (n = 28, mean age: 9 y) received IV propofol alone with the same methodology and sedation end point. RESULTS The mean dose (1.8 +/- 0.7 mg/kg) of propofol administered in group A patients was remarkably lower compared with that (2.9 +/- 0.9 mg/kg) of group B. Multivariate stepwise logistic regression analysis revealed that among sex, age, ASA grade and the type of sedation, the synergistic sedation was the only factor associated with the ease of IV line placement (chi(2) = 16.3, P &lt; 0.001) and the ease of separation from parents (chi(2) = 41.6, P &lt; 0.001). Additional multivariate stepwise logistic regression analysis revealed that among sex, age, ASA grade and the type of sedation, synergistic sedation was the only factor associated with a higher level of patient comfort (chi(2) = 35.5, P &lt; 0.001). The recovery time was significantly shorter in group B patients (7.7 +/- 3.6 min) compared with that of group A (25.9 +/- 4.1 minutes) (P &lt; 0.01). The 2 regimens were equally safe. CONCLUSIONS Our data suggest that synergistic sedation with an oral dose of midazolam combined with propofol may benefit the children who undergo UGIE with regard to lower mean dose of propofol used, easier IV line placement, easier separation from the parents, less pain induced by the IV line placement and greater patient comfort.","author":[{"dropping-particle":"","family":"Paspatis","given":"Gregorios A","non-dropping-particle":"","parse-names":false,"suffix":""},{"dropping-particle":"","family":"Charoniti","given":"Ioanna","non-dropping-particle":"","parse-names":false,"suffix":""},{"dropping-particle":"","family":"Manolaraki","given":"Maria","non-dropping-particle":"","parse-names":false,"suffix":""},{"dropping-particle":"","family":"Vardas","given":"Emmanouil","non-dropping-particle":"","parse-names":false,"suffix":""},{"dropping-particle":"","family":"Papanikolaou","given":"Nikolaos","non-dropping-particle":"","parse-names":false,"suffix":""},{"dropping-particle":"","family":"Anastasiadou","given":"Almout","non-dropping-particle":"","parse-names":false,"suffix":""},{"dropping-particle":"","family":"Gritzali","given":"Aliki","non-dropping-particle":"","parse-names":false,"suffix":""}],"container-title":"Journal of pediatric gastroenterology and nutrition","id":"ITEM-9","issue":"2","issued":{"date-parts":[["2006","8"]]},"page":"195-9","title":"Synergistic sedation with oral midazolam as a premedication and intravenous propofol versus intravenous propofol alone in upper gastrointestinal endoscopies in children: a prospective, randomized study.","type":"article-journal","volume":"43"},"uris":["http://www.mendeley.com/documents/?uuid=e30be4d3-bbb5-4de9-b025-f62f9e0d39c8"]},{"id":"ITEM-10","itemData":{"ISSN":"0269-2813","PMID":"10971238","abstract":"AIM Adequate patient sedation is mandatory for most interventional endoscopic procedures. Recent anaesthesiologic studies indicates that propofol and midazolam act synergistically in combination and therefore may be superior to sedation with propofol alone in terms of sedation efficacy, recovery and costs (due to a presumed lower total dose of propofol needed). METHODS A total of 239 consecutive patients undergoing therapeutic EGD or ERCP (EGD/ERCP-ratio, 1:1) randomly received either propofol alone (n=120, group A, loading dose 40-60 mg intravenously, followed by repeated doses of 20 mg) or propofol plus midazolam (n=119, group B, initial midazolam dose of 2. 5-3.5 mg intravenously, followed by repeated doses of 20 mg of propofol) for sedation. Vital signs (heart rate, blood pressure, oxygen saturation, electrocardiogram) were continuously monitored. Procedure-related parameters, the recovery time and quality (post-anaesthesia recovery score) as well as the patient's co-operation and tolerance to the procedure (visual analogue scale) were prospectively assessed. RESULTS Patients of group A and B were well matched with respect to demographic and clinical data, endoscopic findings, and the type of associated procedures. In group A, a mean dose of 0.25 +/- 0.13 mg.min/kg propofol was used compared to 0.20 +/- 0.09 mg.min/kg of propofol in group B (P &lt; 0.01, plus additional 2.9 +/- 0.5 mg of midazolam). Clinically relevant changes in vital signs were observed at comparable frequencies with a lowering of the systolic blood pressure &lt; 90 mmHg in six out of 119 patients in group B and one out of 120 patients in group A (P=0.07). The sedation efficacy was rated similarly in both groups, whereas the mean recovery time (group A, 19 +/- 7 min vs. group B, 25 +/- 8 min, P &lt; 0.05) as well as the recovery score (post-anaesthesia recovery score group A, 8.0 +/- 1.1 vs. post-anaesthesia recovery score group B, 7.3 +/- 1.2, P &lt; 0.001) were significantly better with propofol alone than with propofol plus midazolam. CONCLUSION During therapeutic endoscopy, sedation with propofol and midazolam requires a lower total dose of propofol, but otherwise has no superior sedation efficacy and is associated with a slower post-procedure recovery than sedation with propofol alone.","author":[{"dropping-particle":"","family":"Seifert","given":"H","non-dropping-particle":"","parse-names":false,"suffix":""},{"dropping-particle":"","family":"Schmitt","given":"T H","non-dropping-particle":"","parse-names":false,"suffix":""},{"dropping-particle":"","family":"Gültekin","given":"T","non-dropping-particle":"","parse-names":false,"suffix":""},{"dropping-particle":"","family":"Caspary","given":"W F","non-dropping-particle":"","parse-names":false,"suffix":""},{"dropping-particle":"","family":"Wehrmann","given":"T","non-dropping-particle":"","parse-names":false,"suffix":""}],"container-title":"Alimentary pharmacology &amp; therapeutics","id":"ITEM-10","issue":"9","issued":{"date-parts":[["2000","9"]]},"page":"1207-14","title":"Sedation with propofol plus midazolam versus propofol alone for interventional endoscopic procedures: a prospective, randomized study.","type":"article-journal","volume":"14"},"uris":["http://www.mendeley.com/documents/?uuid=481e0c3b-ba85-4660-9f17-2aea9fbaf0be"]},{"id":"ITEM-11","itemData":{"DOI":"10.1111/j.1572-0241.2006.00760.x","ISSN":"0002-9270","PMID":"17032185","abstract":"BACKGROUND Propofol by nonanesthesiologists is controversial because the drug is commonly used to produce deep sedation or general anesthesia. Propofol in combination with opioids and/or benzodiazepines can be titrated to moderate sedation, which might be safer. AIM To compare recovery time, patient satisfaction, and other end points with propofol alone titrated to deep sedation versus propofol combination therapy with opioids and/or benzodiazepines. METHOD A randomized controlled clinical trial of propofol alone titrated to deep sedation versus fentanyl plus propofol versus midazolam plus propofol versus fentanyl plus midazolam plus propofol in 200 outpatients undergoing colonoscopy. Each combination regimen was titrated to moderate sedation. RESULTS Patients receiving propofol alone received higher doses of propofol and had deeper sedation scores compared with combination therapy (both p &lt; 0.001). Patients receiving combination regimens were discharged more quickly (median 13.0-14.7 versus 18.1 min) than those receiving propofol alone (p &lt; 0.01). There were no differences in vital signs or oxygen saturations among the study arms. There were no significant differences in pain or satisfaction among the study arms in the recovery area. At a follow-up phone call, patients receiving fentanyl and propofol remembered more of the procedure than those in the other regimens (p &lt; 0.005) and remembered more pain than those receiving propofol alone (p &lt; 0.02). CONCLUSIONS Propofol in combination with fentanyl and/or midazolam can be titrated to moderate levels of sedation without substantial loss of satisfaction and with shorter recovery times compared with propofol titrated to deep sedation throughout the procedure.","author":[{"dropping-particle":"","family":"VanNatta","given":"Megan E","non-dropping-particle":"","parse-names":false,"suffix":""},{"dropping-particle":"","family":"Rex","given":"Douglas K","non-dropping-particle":"","parse-names":false,"suffix":""}],"container-title":"The American journal of gastroenterology","id":"ITEM-11","issue":"10","issued":{"date-parts":[["2006","10"]]},"page":"2209-17","title":"Propofol alone titrated to deep sedation versus propofol in combination with opioids and/or benzodiazepines and titrated to moderate sedation for colonoscopy.","type":"article-journal","volume":"101"},"uris":["http://www.mendeley.com/documents/?uuid=6743418f-eff0-4e5f-ab2d-30bc4395eb8d"]}],"mendeley":{"formattedCitation":"&lt;sup&gt;[5,6,8,12–19]&lt;/sup&gt;","plainTextFormattedCitation":"[5,6,8,12–19]","previouslyFormattedCitation":"&lt;sup&gt;[5,6,8,12–19]&lt;/sup&gt;"},"properties":{"noteIndex":0},"schema":"https://github.com/citation-style-language/schema/raw/master/csl-citation.json"}</w:instrText>
      </w:r>
      <w:r w:rsidR="0090631E"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[5,6,8,12–19]</w:t>
      </w:r>
      <w:r w:rsidR="0090631E" w:rsidRPr="00D46A14">
        <w:rPr>
          <w:rFonts w:ascii="Book Antiqua" w:hAnsi="Book Antiqua"/>
          <w:sz w:val="24"/>
          <w:szCs w:val="24"/>
        </w:rPr>
        <w:fldChar w:fldCharType="end"/>
      </w:r>
      <w:r w:rsidRPr="00D46A14">
        <w:rPr>
          <w:rFonts w:ascii="Book Antiqua" w:hAnsi="Book Antiqua"/>
          <w:sz w:val="24"/>
          <w:szCs w:val="24"/>
        </w:rPr>
        <w:t>. However, these studies included insufficient numbers of patients to produce significant and conclusive results regarding the differences between</w:t>
      </w:r>
      <w:r w:rsidR="00FB5FFF" w:rsidRPr="00D46A14">
        <w:rPr>
          <w:rFonts w:ascii="Book Antiqua" w:hAnsi="Book Antiqua"/>
          <w:sz w:val="24"/>
          <w:szCs w:val="24"/>
        </w:rPr>
        <w:t xml:space="preserve"> propofol and alternative sedation</w:t>
      </w:r>
      <w:r w:rsidRPr="00D46A14">
        <w:rPr>
          <w:rFonts w:ascii="Book Antiqua" w:hAnsi="Book Antiqua"/>
          <w:sz w:val="24"/>
          <w:szCs w:val="24"/>
        </w:rPr>
        <w:t>.</w:t>
      </w:r>
      <w:r w:rsidR="009F2187" w:rsidRPr="00D46A14">
        <w:rPr>
          <w:rFonts w:ascii="Book Antiqua" w:hAnsi="Book Antiqua"/>
          <w:sz w:val="24"/>
          <w:szCs w:val="24"/>
        </w:rPr>
        <w:t xml:space="preserve"> </w:t>
      </w:r>
      <w:r w:rsidR="00FB5FFF" w:rsidRPr="00D46A14">
        <w:rPr>
          <w:rFonts w:ascii="Book Antiqua" w:hAnsi="Book Antiqua"/>
          <w:sz w:val="24"/>
          <w:szCs w:val="24"/>
        </w:rPr>
        <w:t>In this study, w</w:t>
      </w:r>
      <w:r w:rsidR="009F2187" w:rsidRPr="00D46A14">
        <w:rPr>
          <w:rFonts w:ascii="Book Antiqua" w:hAnsi="Book Antiqua"/>
          <w:sz w:val="24"/>
          <w:szCs w:val="24"/>
        </w:rPr>
        <w:t xml:space="preserve">e perform a systematic review and meta-analysis comparing sedation with propofol to traditional sedatives </w:t>
      </w:r>
      <w:r w:rsidR="00FB5FFF" w:rsidRPr="00D46A14">
        <w:rPr>
          <w:rFonts w:ascii="Book Antiqua" w:hAnsi="Book Antiqua"/>
          <w:sz w:val="24"/>
          <w:szCs w:val="24"/>
        </w:rPr>
        <w:t>(</w:t>
      </w:r>
      <w:r w:rsidR="009F2187" w:rsidRPr="00D46A14">
        <w:rPr>
          <w:rFonts w:ascii="Book Antiqua" w:hAnsi="Book Antiqua"/>
          <w:sz w:val="24"/>
          <w:szCs w:val="24"/>
        </w:rPr>
        <w:t>with or without propofol</w:t>
      </w:r>
      <w:r w:rsidR="00FB5FFF" w:rsidRPr="00D46A14">
        <w:rPr>
          <w:rFonts w:ascii="Book Antiqua" w:hAnsi="Book Antiqua"/>
          <w:sz w:val="24"/>
          <w:szCs w:val="24"/>
        </w:rPr>
        <w:t>)</w:t>
      </w:r>
      <w:r w:rsidR="009F2187" w:rsidRPr="00D46A14">
        <w:rPr>
          <w:rFonts w:ascii="Book Antiqua" w:hAnsi="Book Antiqua"/>
          <w:sz w:val="24"/>
          <w:szCs w:val="24"/>
        </w:rPr>
        <w:t xml:space="preserve"> during endoscopic procedures.</w:t>
      </w:r>
    </w:p>
    <w:p w14:paraId="4EE69517" w14:textId="77777777" w:rsidR="008B1B95" w:rsidRPr="00D46A14" w:rsidRDefault="008B1B95" w:rsidP="00D46A14">
      <w:pPr>
        <w:spacing w:after="0" w:line="360" w:lineRule="auto"/>
        <w:ind w:left="0" w:right="1632" w:firstLine="0"/>
        <w:rPr>
          <w:rFonts w:ascii="Book Antiqua" w:hAnsi="Book Antiqua"/>
          <w:sz w:val="24"/>
          <w:szCs w:val="24"/>
        </w:rPr>
      </w:pPr>
    </w:p>
    <w:p w14:paraId="14E03CFA" w14:textId="77777777" w:rsidR="00F653E3" w:rsidRPr="00D46A14" w:rsidRDefault="00F653E3" w:rsidP="00D46A14">
      <w:pPr>
        <w:adjustRightInd w:val="0"/>
        <w:snapToGrid w:val="0"/>
        <w:spacing w:after="0" w:line="360" w:lineRule="auto"/>
        <w:ind w:left="0" w:firstLine="0"/>
        <w:rPr>
          <w:rFonts w:ascii="Book Antiqua" w:eastAsia="等线" w:hAnsi="Book Antiqua"/>
          <w:b/>
          <w:sz w:val="24"/>
          <w:szCs w:val="24"/>
          <w:lang w:eastAsia="zh-CN"/>
        </w:rPr>
      </w:pPr>
      <w:r w:rsidRPr="00D46A14">
        <w:rPr>
          <w:rFonts w:ascii="Book Antiqua" w:hAnsi="Book Antiqua"/>
          <w:b/>
          <w:sz w:val="24"/>
          <w:szCs w:val="24"/>
        </w:rPr>
        <w:t>MATERIALS AND METHODS</w:t>
      </w:r>
    </w:p>
    <w:p w14:paraId="49A80FB2" w14:textId="7990056E" w:rsidR="00454CF1" w:rsidRPr="00D46A14" w:rsidRDefault="007C3221" w:rsidP="00D46A14">
      <w:pPr>
        <w:adjustRightInd w:val="0"/>
        <w:snapToGrid w:val="0"/>
        <w:spacing w:after="0" w:line="360" w:lineRule="auto"/>
        <w:ind w:left="0" w:firstLine="0"/>
        <w:rPr>
          <w:rFonts w:ascii="Book Antiqua" w:hAnsi="Book Antiqua"/>
          <w:b/>
          <w:i/>
          <w:sz w:val="24"/>
          <w:szCs w:val="24"/>
        </w:rPr>
      </w:pPr>
      <w:r w:rsidRPr="00D46A14">
        <w:rPr>
          <w:rFonts w:ascii="Book Antiqua" w:hAnsi="Book Antiqua"/>
          <w:b/>
          <w:i/>
          <w:sz w:val="24"/>
          <w:szCs w:val="24"/>
        </w:rPr>
        <w:t>Protocol and registration</w:t>
      </w:r>
    </w:p>
    <w:p w14:paraId="27A6553D" w14:textId="77777777" w:rsidR="00F653E3" w:rsidRPr="00D46A14" w:rsidRDefault="008B13BF" w:rsidP="00D46A14">
      <w:pPr>
        <w:spacing w:after="0" w:line="360" w:lineRule="auto"/>
        <w:ind w:left="0" w:right="81" w:firstLine="0"/>
        <w:rPr>
          <w:rFonts w:ascii="Book Antiqua" w:eastAsia="等线" w:hAnsi="Book Antiqua"/>
          <w:sz w:val="24"/>
          <w:szCs w:val="24"/>
          <w:lang w:eastAsia="zh-CN"/>
        </w:rPr>
      </w:pPr>
      <w:r w:rsidRPr="00D46A14">
        <w:rPr>
          <w:rFonts w:ascii="Book Antiqua" w:hAnsi="Book Antiqua"/>
          <w:sz w:val="24"/>
          <w:szCs w:val="24"/>
        </w:rPr>
        <w:t xml:space="preserve">A protocol was established and documented prior to initiating the study to specify eligibility criteria and analytical methods for the studies included in this systematic review and meta-analysis </w:t>
      </w:r>
      <w:r w:rsidR="00055336" w:rsidRPr="00D46A14">
        <w:rPr>
          <w:rFonts w:ascii="Book Antiqua" w:hAnsi="Book Antiqua"/>
          <w:sz w:val="24"/>
          <w:szCs w:val="24"/>
        </w:rPr>
        <w:t>in keeping with</w:t>
      </w:r>
      <w:r w:rsidR="007C3221" w:rsidRPr="00D46A14">
        <w:rPr>
          <w:rFonts w:ascii="Book Antiqua" w:hAnsi="Book Antiqua"/>
          <w:sz w:val="24"/>
          <w:szCs w:val="24"/>
        </w:rPr>
        <w:t xml:space="preserve"> Preferred Reporting Items </w:t>
      </w:r>
      <w:r w:rsidR="007C3221" w:rsidRPr="00D46A14">
        <w:rPr>
          <w:rFonts w:ascii="Book Antiqua" w:hAnsi="Book Antiqua"/>
          <w:sz w:val="24"/>
          <w:szCs w:val="24"/>
        </w:rPr>
        <w:lastRenderedPageBreak/>
        <w:t>for Systematic Reviews and Meta</w:t>
      </w:r>
      <w:r w:rsidR="00C178B6" w:rsidRPr="00D46A14">
        <w:rPr>
          <w:rFonts w:ascii="Book Antiqua" w:hAnsi="Book Antiqua"/>
          <w:sz w:val="24"/>
          <w:szCs w:val="24"/>
        </w:rPr>
        <w:t>-</w:t>
      </w:r>
      <w:r w:rsidR="007C3221" w:rsidRPr="00D46A14">
        <w:rPr>
          <w:rFonts w:ascii="Book Antiqua" w:hAnsi="Book Antiqua"/>
          <w:sz w:val="24"/>
          <w:szCs w:val="24"/>
        </w:rPr>
        <w:t xml:space="preserve">Analyses (PRISMA) </w:t>
      </w:r>
      <w:r w:rsidR="00FE4EDB" w:rsidRPr="00D46A14">
        <w:rPr>
          <w:rFonts w:ascii="Book Antiqua" w:hAnsi="Book Antiqua"/>
          <w:sz w:val="24"/>
          <w:szCs w:val="24"/>
        </w:rPr>
        <w:t xml:space="preserve">guidelines. This study was </w:t>
      </w:r>
      <w:r w:rsidR="007C3221" w:rsidRPr="00D46A14">
        <w:rPr>
          <w:rFonts w:ascii="Book Antiqua" w:hAnsi="Book Antiqua"/>
          <w:sz w:val="24"/>
          <w:szCs w:val="24"/>
        </w:rPr>
        <w:t xml:space="preserve">documented in a protocol registered in International Prospective Register of Systematic Reviews (PROSPERO) database (CRD </w:t>
      </w:r>
      <w:r w:rsidR="0026132B" w:rsidRPr="00D46A14">
        <w:rPr>
          <w:rFonts w:ascii="Book Antiqua" w:hAnsi="Book Antiqua"/>
          <w:sz w:val="24"/>
          <w:szCs w:val="24"/>
        </w:rPr>
        <w:t>42017057305</w:t>
      </w:r>
      <w:r w:rsidR="007C3221" w:rsidRPr="00D46A14">
        <w:rPr>
          <w:rFonts w:ascii="Book Antiqua" w:hAnsi="Book Antiqua"/>
          <w:sz w:val="24"/>
          <w:szCs w:val="24"/>
        </w:rPr>
        <w:t>)</w:t>
      </w:r>
      <w:r w:rsidR="000B7430" w:rsidRPr="00D46A14">
        <w:rPr>
          <w:rFonts w:ascii="Book Antiqua" w:hAnsi="Book Antiqua"/>
          <w:sz w:val="24"/>
          <w:szCs w:val="24"/>
          <w:vertAlign w:val="superscript"/>
        </w:rPr>
        <w:fldChar w:fldCharType="begin" w:fldLock="1"/>
      </w:r>
      <w:r w:rsidR="00D63E08" w:rsidRPr="00D46A14">
        <w:rPr>
          <w:rFonts w:ascii="Book Antiqua" w:hAnsi="Book Antiqua"/>
          <w:sz w:val="24"/>
          <w:szCs w:val="24"/>
          <w:vertAlign w:val="superscript"/>
        </w:rPr>
        <w:instrText>ADDIN CSL_CITATION {"citationItems":[{"id":"ITEM-1","itemData":{"ISSN":"1756-1833","PMID":"19622552","abstract":"Systematic reviews and meta-analyses are essential to summarise evidence relating to efficacy and safety of healthcare interventions accurately and reliably. The clarity and transparency of these reports, however, are not optimal. Poor reporting of systematic reviews diminishes their value to clinicians, policy makers, and other users. Since the development of the QUOROM (quality of reporting of meta-analysis) statement-a reporting guideline published in 1999-there have been several conceptual, methodological, and practical advances regarding the conduct and reporting of systematic reviews and meta-analyses. Also, reviews of published systematic reviews have found that key information about these studies is often poorly reported. Realising these issues, an international group that included experienced authors and methodologists developed PRISMA (preferred reporting items for systematic reviews and meta-analyses) as an evolution of the original QUOROM guideline for systematic reviews and meta-analyses of evaluations of health care interventions. The PRISMA statement consists of a 27-item checklist and a four-phase flow diagram. The checklist includes items deemed essential for transparent reporting of a systematic review. In this explanation and elaboration document, we explain the meaning and rationale for each checklist item. For each item, we include an example of good reporting and, where possible, references to relevant empirical studies and methodological literature. The PRISMA statement, this document, and the associated website (www.prisma-statement.org/) should be helpful resources to improve reporting of systematic reviews and meta-analyses.","author":[{"dropping-particle":"","family":"Liberati","given":"Alessandro","non-dropping-particle":"","parse-names":false,"suffix":""},{"dropping-particle":"","family":"Altman","given":"Douglas G","non-dropping-particle":"","parse-names":false,"suffix":""},{"dropping-particle":"","family":"Tetzlaff","given":"Jennifer","non-dropping-particle":"","parse-names":false,"suffix":""},{"dropping-particle":"","family":"Mulrow","given":"Cynthia","non-dropping-particle":"","parse-names":false,"suffix":""},{"dropping-particle":"","family":"Gøtzsche","given":"Peter C","non-dropping-particle":"","parse-names":false,"suffix":""},{"dropping-particle":"","family":"Ioannidis","given":"John P A","non-dropping-particle":"","parse-names":false,"suffix":""},{"dropping-particle":"","family":"Clarke","given":"Mike","non-dropping-particle":"","parse-names":false,"suffix":""},{"dropping-particle":"","family":"Devereaux","given":"P J","non-dropping-particle":"","parse-names":false,"suffix":""},{"dropping-particle":"","family":"Kleijnen","given":"Jos","non-dropping-particle":"","parse-names":false,"suffix":""},{"dropping-particle":"","family":"Moher","given":"David","non-dropping-particle":"","parse-names":false,"suffix":""}],"container-title":"BMJ (Clinical research ed.)","id":"ITEM-1","issued":{"date-parts":[["2009"]]},"page":"b2700","title":"The PRISMA statement for reporting systematic reviews and meta-analyses of studies that evaluate healthcare interventions: explanation and elaboration.","type":"article-journal","volume":"339"},"uris":["http://www.mendeley.com/documents/?uuid=6df4d68c-f019-4280-a0eb-fdf6fc8df770"]}],"mendeley":{"formattedCitation":"&lt;sup&gt;[20]&lt;/sup&gt;","plainTextFormattedCitation":"[20]","previouslyFormattedCitation":"&lt;sup&gt;[20]&lt;/sup&gt;"},"properties":{"noteIndex":0},"schema":"https://github.com/citation-style-language/schema/raw/master/csl-citation.json"}</w:instrText>
      </w:r>
      <w:r w:rsidR="000B7430" w:rsidRPr="00D46A14">
        <w:rPr>
          <w:rFonts w:ascii="Book Antiqua" w:hAnsi="Book Antiqua"/>
          <w:sz w:val="24"/>
          <w:szCs w:val="24"/>
          <w:vertAlign w:val="superscript"/>
        </w:rPr>
        <w:fldChar w:fldCharType="separate"/>
      </w:r>
      <w:r w:rsidR="002A4C73" w:rsidRPr="00D46A14">
        <w:rPr>
          <w:rFonts w:ascii="Book Antiqua" w:hAnsi="Book Antiqua"/>
          <w:noProof/>
          <w:sz w:val="24"/>
          <w:szCs w:val="24"/>
          <w:vertAlign w:val="superscript"/>
        </w:rPr>
        <w:t>[20]</w:t>
      </w:r>
      <w:r w:rsidR="000B7430" w:rsidRPr="00D46A14">
        <w:rPr>
          <w:rFonts w:ascii="Book Antiqua" w:hAnsi="Book Antiqua"/>
          <w:sz w:val="24"/>
          <w:szCs w:val="24"/>
          <w:vertAlign w:val="superscript"/>
        </w:rPr>
        <w:fldChar w:fldCharType="end"/>
      </w:r>
      <w:r w:rsidR="007C3221" w:rsidRPr="00D46A14">
        <w:rPr>
          <w:rFonts w:ascii="Book Antiqua" w:hAnsi="Book Antiqua"/>
          <w:sz w:val="24"/>
          <w:szCs w:val="24"/>
        </w:rPr>
        <w:t>.</w:t>
      </w:r>
    </w:p>
    <w:p w14:paraId="0C465523" w14:textId="77777777" w:rsidR="00F653E3" w:rsidRPr="00D46A14" w:rsidRDefault="00F653E3" w:rsidP="00D46A14">
      <w:pPr>
        <w:spacing w:after="0" w:line="360" w:lineRule="auto"/>
        <w:ind w:left="0" w:right="81" w:firstLine="0"/>
        <w:rPr>
          <w:rFonts w:ascii="Book Antiqua" w:eastAsia="等线" w:hAnsi="Book Antiqua"/>
          <w:sz w:val="24"/>
          <w:szCs w:val="24"/>
          <w:lang w:eastAsia="zh-CN"/>
        </w:rPr>
      </w:pPr>
    </w:p>
    <w:p w14:paraId="756C6A4A" w14:textId="3320CC31" w:rsidR="00454CF1" w:rsidRPr="00D46A14" w:rsidRDefault="007C3221"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Eligibility criteria</w:t>
      </w:r>
    </w:p>
    <w:p w14:paraId="75FC6149" w14:textId="77777777" w:rsidR="00F653E3" w:rsidRPr="00D46A14" w:rsidRDefault="007C3221" w:rsidP="00D46A14">
      <w:pPr>
        <w:spacing w:after="0" w:line="360" w:lineRule="auto"/>
        <w:ind w:left="0" w:right="81" w:firstLine="0"/>
        <w:rPr>
          <w:rFonts w:ascii="Book Antiqua" w:eastAsia="等线" w:hAnsi="Book Antiqua"/>
          <w:sz w:val="24"/>
          <w:szCs w:val="24"/>
          <w:lang w:eastAsia="zh-CN"/>
        </w:rPr>
      </w:pPr>
      <w:r w:rsidRPr="00D46A14">
        <w:rPr>
          <w:rFonts w:ascii="Book Antiqua" w:hAnsi="Book Antiqua"/>
          <w:sz w:val="24"/>
          <w:szCs w:val="24"/>
        </w:rPr>
        <w:t>Eligibility cri</w:t>
      </w:r>
      <w:r w:rsidR="00901A39" w:rsidRPr="00D46A14">
        <w:rPr>
          <w:rFonts w:ascii="Book Antiqua" w:hAnsi="Book Antiqua"/>
          <w:sz w:val="24"/>
          <w:szCs w:val="24"/>
        </w:rPr>
        <w:t xml:space="preserve">teria </w:t>
      </w:r>
      <w:r w:rsidR="005D054F" w:rsidRPr="00D46A14">
        <w:rPr>
          <w:rFonts w:ascii="Book Antiqua" w:hAnsi="Book Antiqua"/>
          <w:sz w:val="24"/>
          <w:szCs w:val="24"/>
        </w:rPr>
        <w:t>were</w:t>
      </w:r>
      <w:r w:rsidR="00901A39" w:rsidRPr="00D46A14">
        <w:rPr>
          <w:rFonts w:ascii="Book Antiqua" w:hAnsi="Book Antiqua"/>
          <w:sz w:val="24"/>
          <w:szCs w:val="24"/>
        </w:rPr>
        <w:t xml:space="preserve"> based </w:t>
      </w:r>
      <w:r w:rsidR="005D054F" w:rsidRPr="00D46A14">
        <w:rPr>
          <w:rFonts w:ascii="Book Antiqua" w:hAnsi="Book Antiqua"/>
          <w:sz w:val="24"/>
          <w:szCs w:val="24"/>
        </w:rPr>
        <w:t>o</w:t>
      </w:r>
      <w:r w:rsidR="00901A39" w:rsidRPr="00D46A14">
        <w:rPr>
          <w:rFonts w:ascii="Book Antiqua" w:hAnsi="Book Antiqua"/>
          <w:sz w:val="24"/>
          <w:szCs w:val="24"/>
        </w:rPr>
        <w:t>n population, intervention, comparison</w:t>
      </w:r>
      <w:r w:rsidRPr="00D46A14">
        <w:rPr>
          <w:rFonts w:ascii="Book Antiqua" w:hAnsi="Book Antiqua"/>
          <w:sz w:val="24"/>
          <w:szCs w:val="24"/>
        </w:rPr>
        <w:t>, outc</w:t>
      </w:r>
      <w:r w:rsidR="00F653E3" w:rsidRPr="00D46A14">
        <w:rPr>
          <w:rFonts w:ascii="Book Antiqua" w:hAnsi="Book Antiqua"/>
          <w:sz w:val="24"/>
          <w:szCs w:val="24"/>
        </w:rPr>
        <w:t>omes and study design</w:t>
      </w:r>
      <w:r w:rsidR="00901A39" w:rsidRPr="00D46A14">
        <w:rPr>
          <w:rFonts w:ascii="Book Antiqua" w:hAnsi="Book Antiqua"/>
          <w:sz w:val="24"/>
          <w:szCs w:val="24"/>
        </w:rPr>
        <w:t xml:space="preserve"> strategy.</w:t>
      </w:r>
      <w:r w:rsidRPr="00D46A14">
        <w:rPr>
          <w:rFonts w:ascii="Book Antiqua" w:hAnsi="Book Antiqua"/>
          <w:sz w:val="24"/>
          <w:szCs w:val="24"/>
        </w:rPr>
        <w:t xml:space="preserve"> </w:t>
      </w:r>
      <w:r w:rsidR="003B6F82" w:rsidRPr="00D46A14">
        <w:rPr>
          <w:rFonts w:ascii="Book Antiqua" w:hAnsi="Book Antiqua"/>
          <w:sz w:val="24"/>
          <w:szCs w:val="24"/>
        </w:rPr>
        <w:t>Only randomized clinical trials</w:t>
      </w:r>
      <w:r w:rsidR="008B13BF" w:rsidRPr="00D46A14">
        <w:rPr>
          <w:rFonts w:ascii="Book Antiqua" w:hAnsi="Book Antiqua"/>
          <w:sz w:val="24"/>
          <w:szCs w:val="24"/>
        </w:rPr>
        <w:t xml:space="preserve"> </w:t>
      </w:r>
      <w:r w:rsidR="003B6F82" w:rsidRPr="00D46A14">
        <w:rPr>
          <w:rFonts w:ascii="Book Antiqua" w:hAnsi="Book Antiqua"/>
          <w:sz w:val="24"/>
          <w:szCs w:val="24"/>
        </w:rPr>
        <w:t>with full texts published were included</w:t>
      </w:r>
      <w:r w:rsidR="008B13BF" w:rsidRPr="00D46A14">
        <w:rPr>
          <w:rFonts w:ascii="Book Antiqua" w:hAnsi="Book Antiqua"/>
          <w:sz w:val="24"/>
          <w:szCs w:val="24"/>
        </w:rPr>
        <w:t>.</w:t>
      </w:r>
    </w:p>
    <w:p w14:paraId="53012941" w14:textId="77777777" w:rsidR="00F653E3" w:rsidRPr="00D46A14" w:rsidRDefault="00F653E3" w:rsidP="00D46A14">
      <w:pPr>
        <w:spacing w:after="0" w:line="360" w:lineRule="auto"/>
        <w:ind w:left="0" w:right="81" w:firstLine="0"/>
        <w:rPr>
          <w:rFonts w:ascii="Book Antiqua" w:eastAsia="等线" w:hAnsi="Book Antiqua"/>
          <w:sz w:val="24"/>
          <w:szCs w:val="24"/>
          <w:lang w:eastAsia="zh-CN"/>
        </w:rPr>
      </w:pPr>
    </w:p>
    <w:p w14:paraId="3B2F3C7B" w14:textId="6E2D1811" w:rsidR="00454CF1" w:rsidRPr="00D46A14" w:rsidRDefault="005D054F"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 xml:space="preserve">Search </w:t>
      </w:r>
      <w:r w:rsidR="00E07A22" w:rsidRPr="00D46A14">
        <w:rPr>
          <w:rFonts w:ascii="Book Antiqua" w:hAnsi="Book Antiqua"/>
          <w:b/>
          <w:i/>
          <w:sz w:val="24"/>
          <w:szCs w:val="24"/>
        </w:rPr>
        <w:t>strategy</w:t>
      </w:r>
      <w:r w:rsidR="00BE511C" w:rsidRPr="00D46A14">
        <w:rPr>
          <w:rFonts w:ascii="Book Antiqua" w:hAnsi="Book Antiqua"/>
          <w:b/>
          <w:i/>
          <w:sz w:val="24"/>
          <w:szCs w:val="24"/>
        </w:rPr>
        <w:t xml:space="preserve">, </w:t>
      </w:r>
      <w:r w:rsidR="007C3221" w:rsidRPr="00D46A14">
        <w:rPr>
          <w:rFonts w:ascii="Book Antiqua" w:hAnsi="Book Antiqua"/>
          <w:b/>
          <w:i/>
          <w:sz w:val="24"/>
          <w:szCs w:val="24"/>
        </w:rPr>
        <w:t>study selection</w:t>
      </w:r>
      <w:r w:rsidR="00BE511C" w:rsidRPr="00D46A14">
        <w:rPr>
          <w:rFonts w:ascii="Book Antiqua" w:hAnsi="Book Antiqua"/>
          <w:b/>
          <w:i/>
          <w:sz w:val="24"/>
          <w:szCs w:val="24"/>
        </w:rPr>
        <w:t xml:space="preserve"> and data </w:t>
      </w:r>
      <w:r w:rsidR="00421ACE" w:rsidRPr="00D46A14">
        <w:rPr>
          <w:rFonts w:ascii="Book Antiqua" w:hAnsi="Book Antiqua"/>
          <w:b/>
          <w:i/>
          <w:sz w:val="24"/>
          <w:szCs w:val="24"/>
        </w:rPr>
        <w:t>collection process</w:t>
      </w:r>
    </w:p>
    <w:p w14:paraId="4AF7F743" w14:textId="5A520CB2" w:rsidR="0026132B" w:rsidRPr="00D46A14" w:rsidRDefault="00F67A47" w:rsidP="00D46A14">
      <w:pPr>
        <w:spacing w:after="0" w:line="360" w:lineRule="auto"/>
        <w:ind w:left="0" w:right="81" w:firstLine="0"/>
        <w:rPr>
          <w:rFonts w:ascii="Book Antiqua" w:hAnsi="Book Antiqua"/>
          <w:sz w:val="24"/>
          <w:szCs w:val="24"/>
        </w:rPr>
      </w:pPr>
      <w:r w:rsidRPr="00D46A14">
        <w:rPr>
          <w:rFonts w:ascii="Book Antiqua" w:hAnsi="Book Antiqua"/>
          <w:sz w:val="24"/>
          <w:szCs w:val="24"/>
        </w:rPr>
        <w:t xml:space="preserve">A literature search was performed using MEDLINE, </w:t>
      </w:r>
      <w:r w:rsidR="00F653E3" w:rsidRPr="00D46A14">
        <w:rPr>
          <w:rFonts w:ascii="Book Antiqua" w:hAnsi="Book Antiqua"/>
          <w:sz w:val="24"/>
          <w:szCs w:val="24"/>
        </w:rPr>
        <w:t>Scopus</w:t>
      </w:r>
      <w:r w:rsidRPr="00D46A14">
        <w:rPr>
          <w:rFonts w:ascii="Book Antiqua" w:hAnsi="Book Antiqua"/>
          <w:sz w:val="24"/>
          <w:szCs w:val="24"/>
        </w:rPr>
        <w:t>, EMBASE, the Cochrane Library, Scopus, LILACS, BVS, Cochrane Central Register of Controlled Trials, and The Cumulative Index to Nursing and Allied Health Literature databases. The last search in the literature was performed on March, 2019 with no restriction regarding the idiom or the year of publication</w:t>
      </w:r>
      <w:r w:rsidR="007C3221" w:rsidRPr="00D46A14">
        <w:rPr>
          <w:rFonts w:ascii="Book Antiqua" w:hAnsi="Book Antiqua"/>
          <w:sz w:val="24"/>
          <w:szCs w:val="24"/>
        </w:rPr>
        <w:t xml:space="preserve">. </w:t>
      </w:r>
      <w:r w:rsidR="0026132B" w:rsidRPr="00D46A14">
        <w:rPr>
          <w:rFonts w:ascii="Book Antiqua" w:hAnsi="Book Antiqua"/>
          <w:sz w:val="24"/>
          <w:szCs w:val="24"/>
        </w:rPr>
        <w:t xml:space="preserve">The titles and abstracts of all potentially relevant studies were screened for eligibility. Duplicates were removed. If necessary, </w:t>
      </w:r>
      <w:r w:rsidR="004B7262" w:rsidRPr="00D46A14">
        <w:rPr>
          <w:rFonts w:ascii="Book Antiqua" w:hAnsi="Book Antiqua"/>
          <w:sz w:val="24"/>
          <w:szCs w:val="24"/>
        </w:rPr>
        <w:t>we accessed</w:t>
      </w:r>
      <w:r w:rsidR="0026132B" w:rsidRPr="00D46A14">
        <w:rPr>
          <w:rFonts w:ascii="Book Antiqua" w:hAnsi="Book Antiqua"/>
          <w:sz w:val="24"/>
          <w:szCs w:val="24"/>
        </w:rPr>
        <w:t xml:space="preserve"> complementary</w:t>
      </w:r>
      <w:r w:rsidR="004B7262" w:rsidRPr="00D46A14">
        <w:rPr>
          <w:rFonts w:ascii="Book Antiqua" w:hAnsi="Book Antiqua"/>
          <w:sz w:val="24"/>
          <w:szCs w:val="24"/>
        </w:rPr>
        <w:t xml:space="preserve"> and supplemental</w:t>
      </w:r>
      <w:r w:rsidR="0026132B" w:rsidRPr="00D46A14">
        <w:rPr>
          <w:rFonts w:ascii="Book Antiqua" w:hAnsi="Book Antiqua"/>
          <w:sz w:val="24"/>
          <w:szCs w:val="24"/>
        </w:rPr>
        <w:t xml:space="preserve"> information in the research protocols of the studies available on the online registration platforms (for example, Clinical Trials or PROSPERO). The reference lists of studies of interest were then manually reviewed for additional articles by cross checking bibliographies. Two reviewers (</w:t>
      </w:r>
      <w:r w:rsidR="00F653E3" w:rsidRPr="00D46A14">
        <w:rPr>
          <w:rFonts w:ascii="Book Antiqua" w:hAnsi="Book Antiqua"/>
          <w:sz w:val="24"/>
          <w:szCs w:val="24"/>
        </w:rPr>
        <w:t>Delgado AAA</w:t>
      </w:r>
      <w:r w:rsidR="00F653E3" w:rsidRPr="00D46A14">
        <w:rPr>
          <w:rFonts w:ascii="Book Antiqua" w:eastAsia="等线" w:hAnsi="Book Antiqua"/>
          <w:sz w:val="24"/>
          <w:szCs w:val="24"/>
          <w:lang w:eastAsia="zh-CN"/>
        </w:rPr>
        <w:t xml:space="preserve"> </w:t>
      </w:r>
      <w:r w:rsidR="0026132B" w:rsidRPr="00D46A14">
        <w:rPr>
          <w:rFonts w:ascii="Book Antiqua" w:hAnsi="Book Antiqua"/>
          <w:sz w:val="24"/>
          <w:szCs w:val="24"/>
        </w:rPr>
        <w:t xml:space="preserve">and </w:t>
      </w:r>
      <w:r w:rsidR="00F653E3" w:rsidRPr="00D46A14">
        <w:rPr>
          <w:rFonts w:ascii="Book Antiqua" w:hAnsi="Book Antiqua"/>
          <w:sz w:val="24"/>
          <w:szCs w:val="24"/>
        </w:rPr>
        <w:t>Ribeiro IB</w:t>
      </w:r>
      <w:r w:rsidR="0026132B" w:rsidRPr="00D46A14">
        <w:rPr>
          <w:rFonts w:ascii="Book Antiqua" w:hAnsi="Book Antiqua"/>
          <w:sz w:val="24"/>
          <w:szCs w:val="24"/>
        </w:rPr>
        <w:t>) independently screened the titles and abstracts of all the articles according to predefined inclusion and exclusion criteria as described below. Any differences were resolved by mutual agreement and in consultation with the third reviewer (</w:t>
      </w:r>
      <w:r w:rsidR="00F653E3" w:rsidRPr="00D46A14">
        <w:rPr>
          <w:rFonts w:ascii="Book Antiqua" w:hAnsi="Book Antiqua"/>
          <w:sz w:val="24"/>
          <w:szCs w:val="24"/>
        </w:rPr>
        <w:t>de Moura DTH</w:t>
      </w:r>
      <w:r w:rsidR="0026132B" w:rsidRPr="00D46A14">
        <w:rPr>
          <w:rFonts w:ascii="Book Antiqua" w:hAnsi="Book Antiqua"/>
          <w:sz w:val="24"/>
          <w:szCs w:val="24"/>
        </w:rPr>
        <w:t xml:space="preserve">). For the systematic review, we included </w:t>
      </w:r>
      <w:r w:rsidR="0099191A" w:rsidRPr="00D46A14">
        <w:rPr>
          <w:rFonts w:ascii="Book Antiqua" w:hAnsi="Book Antiqua"/>
          <w:sz w:val="24"/>
          <w:szCs w:val="24"/>
        </w:rPr>
        <w:t>studies that</w:t>
      </w:r>
      <w:r w:rsidR="0026132B" w:rsidRPr="00D46A14">
        <w:rPr>
          <w:rFonts w:ascii="Book Antiqua" w:hAnsi="Book Antiqua"/>
          <w:sz w:val="24"/>
          <w:szCs w:val="24"/>
        </w:rPr>
        <w:t xml:space="preserve"> met all the eligibility criteria, and for the meta-analysis, those that allowed the extraction of data from text, tables or graphs. Selection process is summarized in </w:t>
      </w:r>
      <w:r w:rsidR="00F653E3" w:rsidRPr="00D46A14">
        <w:rPr>
          <w:rFonts w:ascii="Book Antiqua" w:hAnsi="Book Antiqua"/>
          <w:sz w:val="24"/>
          <w:szCs w:val="24"/>
        </w:rPr>
        <w:t xml:space="preserve">Figure </w:t>
      </w:r>
      <w:r w:rsidR="0026132B" w:rsidRPr="00D46A14">
        <w:rPr>
          <w:rFonts w:ascii="Book Antiqua" w:hAnsi="Book Antiqua"/>
          <w:sz w:val="24"/>
          <w:szCs w:val="24"/>
        </w:rPr>
        <w:t>1.</w:t>
      </w:r>
    </w:p>
    <w:p w14:paraId="1C9A8411" w14:textId="385A1380" w:rsidR="00D41F43" w:rsidRPr="00D46A14" w:rsidRDefault="00D41F43" w:rsidP="00D46A14">
      <w:pPr>
        <w:spacing w:after="0" w:line="360" w:lineRule="auto"/>
        <w:ind w:left="0" w:right="38" w:firstLine="0"/>
        <w:rPr>
          <w:rFonts w:ascii="Book Antiqua" w:hAnsi="Book Antiqua"/>
          <w:b/>
          <w:sz w:val="24"/>
          <w:szCs w:val="24"/>
        </w:rPr>
      </w:pPr>
    </w:p>
    <w:p w14:paraId="225C31E7" w14:textId="18034CEF" w:rsidR="00421ACE" w:rsidRPr="00D46A14" w:rsidRDefault="004B7262" w:rsidP="00D46A14">
      <w:pPr>
        <w:spacing w:after="0" w:line="360" w:lineRule="auto"/>
        <w:ind w:left="0" w:right="81" w:firstLine="0"/>
        <w:rPr>
          <w:rFonts w:ascii="Book Antiqua" w:eastAsia="等线" w:hAnsi="Book Antiqua"/>
          <w:b/>
          <w:i/>
          <w:sz w:val="24"/>
          <w:szCs w:val="24"/>
          <w:lang w:eastAsia="zh-CN"/>
        </w:rPr>
      </w:pPr>
      <w:r w:rsidRPr="00D46A14">
        <w:rPr>
          <w:rFonts w:ascii="Book Antiqua" w:hAnsi="Book Antiqua"/>
          <w:b/>
          <w:i/>
          <w:sz w:val="24"/>
          <w:szCs w:val="24"/>
        </w:rPr>
        <w:t xml:space="preserve">Inclusion </w:t>
      </w:r>
      <w:r w:rsidR="00F653E3" w:rsidRPr="00D46A14">
        <w:rPr>
          <w:rFonts w:ascii="Book Antiqua" w:hAnsi="Book Antiqua"/>
          <w:b/>
          <w:i/>
          <w:sz w:val="24"/>
          <w:szCs w:val="24"/>
        </w:rPr>
        <w:t>criteria</w:t>
      </w:r>
    </w:p>
    <w:p w14:paraId="6582FB2C" w14:textId="110925B7" w:rsidR="00421ACE" w:rsidRPr="00D46A14" w:rsidRDefault="00F653E3" w:rsidP="00D46A14">
      <w:pPr>
        <w:spacing w:after="0" w:line="360" w:lineRule="auto"/>
        <w:ind w:left="0" w:right="81" w:firstLine="0"/>
        <w:rPr>
          <w:rFonts w:ascii="Book Antiqua" w:hAnsi="Book Antiqua"/>
          <w:sz w:val="24"/>
          <w:szCs w:val="24"/>
        </w:rPr>
      </w:pPr>
      <w:r w:rsidRPr="00D46A14">
        <w:rPr>
          <w:rFonts w:ascii="Book Antiqua" w:eastAsia="等线" w:hAnsi="Book Antiqua"/>
          <w:sz w:val="24"/>
          <w:szCs w:val="24"/>
          <w:lang w:eastAsia="zh-CN"/>
        </w:rPr>
        <w:lastRenderedPageBreak/>
        <w:t xml:space="preserve">(1) </w:t>
      </w:r>
      <w:r w:rsidR="00421ACE" w:rsidRPr="00D46A14">
        <w:rPr>
          <w:rFonts w:ascii="Book Antiqua" w:hAnsi="Book Antiqua"/>
          <w:sz w:val="24"/>
          <w:szCs w:val="24"/>
        </w:rPr>
        <w:t>Adults (over 18 years of age);</w:t>
      </w:r>
      <w:r w:rsidRPr="00D46A14">
        <w:rPr>
          <w:rFonts w:ascii="Book Antiqua" w:eastAsia="等线" w:hAnsi="Book Antiqua"/>
          <w:sz w:val="24"/>
          <w:szCs w:val="24"/>
          <w:lang w:eastAsia="zh-CN"/>
        </w:rPr>
        <w:t xml:space="preserve"> (2) </w:t>
      </w:r>
      <w:r w:rsidR="004B7262" w:rsidRPr="00D46A14">
        <w:rPr>
          <w:rFonts w:ascii="Book Antiqua" w:hAnsi="Book Antiqua"/>
          <w:sz w:val="24"/>
          <w:szCs w:val="24"/>
        </w:rPr>
        <w:t>U</w:t>
      </w:r>
      <w:r w:rsidR="00421ACE" w:rsidRPr="00D46A14">
        <w:rPr>
          <w:rFonts w:ascii="Book Antiqua" w:hAnsi="Book Antiqua"/>
          <w:sz w:val="24"/>
          <w:szCs w:val="24"/>
        </w:rPr>
        <w:t xml:space="preserve">ndergoing endoscopic examination of the gastrointestinal tract (including </w:t>
      </w:r>
      <w:r w:rsidRPr="00D46A14">
        <w:rPr>
          <w:rFonts w:ascii="Book Antiqua" w:hAnsi="Book Antiqua"/>
          <w:sz w:val="24"/>
          <w:szCs w:val="24"/>
        </w:rPr>
        <w:t xml:space="preserve">esophagogastroduodenoscopy. </w:t>
      </w:r>
      <w:r w:rsidR="00421ACE" w:rsidRPr="00D46A14">
        <w:rPr>
          <w:rFonts w:ascii="Book Antiqua" w:hAnsi="Book Antiqua"/>
          <w:sz w:val="24"/>
          <w:szCs w:val="24"/>
        </w:rPr>
        <w:t xml:space="preserve">and </w:t>
      </w:r>
      <w:r w:rsidRPr="00D46A14">
        <w:rPr>
          <w:rFonts w:ascii="Book Antiqua" w:hAnsi="Book Antiqua"/>
          <w:sz w:val="24"/>
          <w:szCs w:val="24"/>
        </w:rPr>
        <w:t>colonoscopy</w:t>
      </w:r>
      <w:r w:rsidR="00421ACE" w:rsidRPr="00D46A14">
        <w:rPr>
          <w:rFonts w:ascii="Book Antiqua" w:hAnsi="Book Antiqua"/>
          <w:sz w:val="24"/>
          <w:szCs w:val="24"/>
        </w:rPr>
        <w:t>);</w:t>
      </w:r>
      <w:r w:rsidRPr="00D46A14">
        <w:rPr>
          <w:rFonts w:ascii="Book Antiqua" w:eastAsia="等线" w:hAnsi="Book Antiqua"/>
          <w:sz w:val="24"/>
          <w:szCs w:val="24"/>
          <w:lang w:eastAsia="zh-CN"/>
        </w:rPr>
        <w:t xml:space="preserve"> and (3) </w:t>
      </w:r>
      <w:r w:rsidR="00421ACE" w:rsidRPr="00D46A14">
        <w:rPr>
          <w:rFonts w:ascii="Book Antiqua" w:hAnsi="Book Antiqua"/>
          <w:sz w:val="24"/>
          <w:szCs w:val="24"/>
        </w:rPr>
        <w:t>Outpatient and elective procedures.</w:t>
      </w:r>
    </w:p>
    <w:p w14:paraId="6CA5F3C7" w14:textId="77777777" w:rsidR="00421ACE" w:rsidRPr="00D46A14" w:rsidRDefault="00421ACE" w:rsidP="00D46A14">
      <w:pPr>
        <w:spacing w:after="0" w:line="360" w:lineRule="auto"/>
        <w:ind w:left="0" w:right="81" w:firstLine="708"/>
        <w:rPr>
          <w:rFonts w:ascii="Book Antiqua" w:hAnsi="Book Antiqua"/>
          <w:sz w:val="24"/>
          <w:szCs w:val="24"/>
        </w:rPr>
      </w:pPr>
    </w:p>
    <w:p w14:paraId="73B8C19E" w14:textId="23F21925" w:rsidR="00421ACE" w:rsidRPr="00D46A14" w:rsidRDefault="00421ACE" w:rsidP="00D46A14">
      <w:pPr>
        <w:spacing w:after="0" w:line="360" w:lineRule="auto"/>
        <w:ind w:left="0" w:right="81" w:firstLine="0"/>
        <w:rPr>
          <w:rFonts w:ascii="Book Antiqua" w:hAnsi="Book Antiqua"/>
          <w:b/>
          <w:i/>
          <w:sz w:val="24"/>
          <w:szCs w:val="24"/>
        </w:rPr>
      </w:pPr>
      <w:r w:rsidRPr="00D46A14">
        <w:rPr>
          <w:rFonts w:ascii="Book Antiqua" w:hAnsi="Book Antiqua"/>
          <w:b/>
          <w:i/>
          <w:sz w:val="24"/>
          <w:szCs w:val="24"/>
        </w:rPr>
        <w:t xml:space="preserve">Exclusion </w:t>
      </w:r>
      <w:r w:rsidR="00794FAA" w:rsidRPr="00D46A14">
        <w:rPr>
          <w:rFonts w:ascii="Book Antiqua" w:hAnsi="Book Antiqua"/>
          <w:b/>
          <w:i/>
          <w:sz w:val="24"/>
          <w:szCs w:val="24"/>
        </w:rPr>
        <w:t>criteria</w:t>
      </w:r>
    </w:p>
    <w:p w14:paraId="4FBEEFFB" w14:textId="13FFFD36" w:rsidR="00421ACE" w:rsidRPr="00D46A14" w:rsidRDefault="00421ACE" w:rsidP="00D46A14">
      <w:pPr>
        <w:spacing w:after="0" w:line="360" w:lineRule="auto"/>
        <w:ind w:left="0" w:right="81" w:firstLine="0"/>
        <w:rPr>
          <w:rFonts w:ascii="Book Antiqua" w:hAnsi="Book Antiqua"/>
          <w:sz w:val="24"/>
          <w:szCs w:val="24"/>
        </w:rPr>
      </w:pPr>
      <w:r w:rsidRPr="00D46A14">
        <w:rPr>
          <w:rFonts w:ascii="Book Antiqua" w:hAnsi="Book Antiqua"/>
          <w:sz w:val="24"/>
          <w:szCs w:val="24"/>
        </w:rPr>
        <w:t>Studies meeting any of the following criteria w</w:t>
      </w:r>
      <w:r w:rsidR="004B7262" w:rsidRPr="00D46A14">
        <w:rPr>
          <w:rFonts w:ascii="Book Antiqua" w:hAnsi="Book Antiqua"/>
          <w:sz w:val="24"/>
          <w:szCs w:val="24"/>
        </w:rPr>
        <w:t>ere</w:t>
      </w:r>
      <w:r w:rsidRPr="00D46A14">
        <w:rPr>
          <w:rFonts w:ascii="Book Antiqua" w:hAnsi="Book Antiqua"/>
          <w:sz w:val="24"/>
          <w:szCs w:val="24"/>
        </w:rPr>
        <w:t xml:space="preserve"> excluded:</w:t>
      </w:r>
      <w:r w:rsidR="00794FAA" w:rsidRPr="00D46A14">
        <w:rPr>
          <w:rFonts w:ascii="Book Antiqua" w:eastAsia="等线" w:hAnsi="Book Antiqua"/>
          <w:sz w:val="24"/>
          <w:szCs w:val="24"/>
          <w:lang w:eastAsia="zh-CN"/>
        </w:rPr>
        <w:t xml:space="preserve"> (1) </w:t>
      </w:r>
      <w:r w:rsidRPr="00D46A14">
        <w:rPr>
          <w:rFonts w:ascii="Book Antiqua" w:hAnsi="Book Antiqua"/>
          <w:sz w:val="24"/>
          <w:szCs w:val="24"/>
        </w:rPr>
        <w:t>Types of participants</w:t>
      </w:r>
      <w:r w:rsidR="00794FAA" w:rsidRPr="00D46A14">
        <w:rPr>
          <w:rFonts w:ascii="Book Antiqua" w:eastAsia="等线" w:hAnsi="Book Antiqua"/>
          <w:sz w:val="24"/>
          <w:szCs w:val="24"/>
          <w:lang w:eastAsia="zh-CN"/>
        </w:rPr>
        <w:t>: (a)</w:t>
      </w:r>
      <w:r w:rsidRPr="00D46A14">
        <w:rPr>
          <w:rFonts w:ascii="Book Antiqua" w:hAnsi="Book Antiqua"/>
          <w:sz w:val="24"/>
          <w:szCs w:val="24"/>
        </w:rPr>
        <w:t xml:space="preserve"> </w:t>
      </w:r>
      <w:r w:rsidR="0099191A" w:rsidRPr="00D46A14">
        <w:rPr>
          <w:rFonts w:ascii="Book Antiqua" w:hAnsi="Book Antiqua"/>
          <w:sz w:val="24"/>
          <w:szCs w:val="24"/>
        </w:rPr>
        <w:t>U</w:t>
      </w:r>
      <w:r w:rsidRPr="00D46A14">
        <w:rPr>
          <w:rFonts w:ascii="Book Antiqua" w:hAnsi="Book Antiqua"/>
          <w:sz w:val="24"/>
          <w:szCs w:val="24"/>
        </w:rPr>
        <w:t>nder the age of 18</w:t>
      </w:r>
      <w:r w:rsidR="00794FAA" w:rsidRPr="00D46A14">
        <w:rPr>
          <w:rFonts w:ascii="Book Antiqua" w:eastAsia="等线" w:hAnsi="Book Antiqua"/>
          <w:sz w:val="24"/>
          <w:szCs w:val="24"/>
          <w:lang w:eastAsia="zh-CN"/>
        </w:rPr>
        <w:t xml:space="preserve"> years; and (b)</w:t>
      </w:r>
      <w:r w:rsidRPr="00D46A14">
        <w:rPr>
          <w:rFonts w:ascii="Book Antiqua" w:hAnsi="Book Antiqua"/>
          <w:sz w:val="24"/>
          <w:szCs w:val="24"/>
        </w:rPr>
        <w:t xml:space="preserve"> Group of patients with specific comorbidities (obesity, pregnant and lactating women, cardiovascular diseases, pulmonary diseases, ascites, renal failure</w:t>
      </w:r>
      <w:r w:rsidR="00DE63AD" w:rsidRPr="00D46A14">
        <w:rPr>
          <w:rFonts w:ascii="Book Antiqua" w:hAnsi="Book Antiqua"/>
          <w:sz w:val="24"/>
          <w:szCs w:val="24"/>
        </w:rPr>
        <w:t xml:space="preserve"> and</w:t>
      </w:r>
      <w:r w:rsidR="00794FAA" w:rsidRPr="00D46A14">
        <w:rPr>
          <w:rFonts w:ascii="Book Antiqua" w:hAnsi="Book Antiqua"/>
          <w:sz w:val="24"/>
          <w:szCs w:val="24"/>
        </w:rPr>
        <w:t xml:space="preserve"> abdominal surgeries)</w:t>
      </w:r>
      <w:r w:rsidR="00794FAA" w:rsidRPr="00D46A14">
        <w:rPr>
          <w:rFonts w:ascii="Book Antiqua" w:eastAsia="等线" w:hAnsi="Book Antiqua"/>
          <w:sz w:val="24"/>
          <w:szCs w:val="24"/>
          <w:lang w:eastAsia="zh-CN"/>
        </w:rPr>
        <w:t xml:space="preserve">; (2) </w:t>
      </w:r>
      <w:r w:rsidRPr="00D46A14">
        <w:rPr>
          <w:rFonts w:ascii="Book Antiqua" w:hAnsi="Book Antiqua"/>
          <w:sz w:val="24"/>
          <w:szCs w:val="24"/>
        </w:rPr>
        <w:t>Types of intervention and outcomes</w:t>
      </w:r>
      <w:r w:rsidR="00794FAA" w:rsidRPr="00D46A14">
        <w:rPr>
          <w:rFonts w:ascii="Book Antiqua" w:eastAsia="等线" w:hAnsi="Book Antiqua"/>
          <w:sz w:val="24"/>
          <w:szCs w:val="24"/>
          <w:lang w:eastAsia="zh-CN"/>
        </w:rPr>
        <w:t xml:space="preserve">: (a) </w:t>
      </w:r>
      <w:r w:rsidR="004B7262" w:rsidRPr="00D46A14">
        <w:rPr>
          <w:rFonts w:ascii="Book Antiqua" w:hAnsi="Book Antiqua"/>
          <w:sz w:val="24"/>
          <w:szCs w:val="24"/>
        </w:rPr>
        <w:t>Studies not using</w:t>
      </w:r>
      <w:r w:rsidRPr="00D46A14">
        <w:rPr>
          <w:rFonts w:ascii="Book Antiqua" w:hAnsi="Book Antiqua"/>
          <w:sz w:val="24"/>
          <w:szCs w:val="24"/>
        </w:rPr>
        <w:t xml:space="preserve"> </w:t>
      </w:r>
      <w:r w:rsidR="007A1AAF" w:rsidRPr="00D46A14">
        <w:rPr>
          <w:rFonts w:ascii="Book Antiqua" w:hAnsi="Book Antiqua"/>
          <w:sz w:val="24"/>
          <w:szCs w:val="24"/>
        </w:rPr>
        <w:t xml:space="preserve">propofol </w:t>
      </w:r>
      <w:r w:rsidRPr="00D46A14">
        <w:rPr>
          <w:rFonts w:ascii="Book Antiqua" w:hAnsi="Book Antiqua"/>
          <w:sz w:val="24"/>
          <w:szCs w:val="24"/>
        </w:rPr>
        <w:t>in one of the treatment arms;</w:t>
      </w:r>
      <w:r w:rsidR="00794FAA" w:rsidRPr="00D46A14">
        <w:rPr>
          <w:rFonts w:ascii="Book Antiqua" w:eastAsia="等线" w:hAnsi="Book Antiqua"/>
          <w:sz w:val="24"/>
          <w:szCs w:val="24"/>
          <w:lang w:eastAsia="zh-CN"/>
        </w:rPr>
        <w:t xml:space="preserve"> (b)</w:t>
      </w:r>
      <w:r w:rsidRPr="00D46A14">
        <w:rPr>
          <w:rFonts w:ascii="Book Antiqua" w:hAnsi="Book Antiqua"/>
          <w:sz w:val="24"/>
          <w:szCs w:val="24"/>
        </w:rPr>
        <w:t xml:space="preserve"> </w:t>
      </w:r>
      <w:r w:rsidR="004B7262" w:rsidRPr="00D46A14">
        <w:rPr>
          <w:rFonts w:ascii="Book Antiqua" w:hAnsi="Book Antiqua"/>
          <w:sz w:val="24"/>
          <w:szCs w:val="24"/>
        </w:rPr>
        <w:t>Studies that did not evaluate the</w:t>
      </w:r>
      <w:r w:rsidRPr="00D46A14">
        <w:rPr>
          <w:rFonts w:ascii="Book Antiqua" w:hAnsi="Book Antiqua"/>
          <w:sz w:val="24"/>
          <w:szCs w:val="24"/>
        </w:rPr>
        <w:t xml:space="preserve"> outcomes of interest;</w:t>
      </w:r>
      <w:r w:rsidR="00794FAA" w:rsidRPr="00D46A14">
        <w:rPr>
          <w:rFonts w:ascii="Book Antiqua" w:eastAsia="等线" w:hAnsi="Book Antiqua"/>
          <w:sz w:val="24"/>
          <w:szCs w:val="24"/>
          <w:lang w:eastAsia="zh-CN"/>
        </w:rPr>
        <w:t xml:space="preserve"> and (c)</w:t>
      </w:r>
      <w:r w:rsidRPr="00D46A14">
        <w:rPr>
          <w:rFonts w:ascii="Book Antiqua" w:hAnsi="Book Antiqua"/>
          <w:sz w:val="24"/>
          <w:szCs w:val="24"/>
        </w:rPr>
        <w:t xml:space="preserve"> </w:t>
      </w:r>
      <w:r w:rsidR="004B7262" w:rsidRPr="00D46A14">
        <w:rPr>
          <w:rFonts w:ascii="Book Antiqua" w:hAnsi="Book Antiqua"/>
          <w:sz w:val="24"/>
          <w:szCs w:val="24"/>
        </w:rPr>
        <w:t xml:space="preserve">Studies without </w:t>
      </w:r>
      <w:r w:rsidR="00794FAA" w:rsidRPr="00D46A14">
        <w:rPr>
          <w:rFonts w:ascii="Book Antiqua" w:hAnsi="Book Antiqua"/>
          <w:sz w:val="24"/>
          <w:szCs w:val="24"/>
        </w:rPr>
        <w:t>extractable data</w:t>
      </w:r>
      <w:r w:rsidR="00794FAA" w:rsidRPr="00D46A14">
        <w:rPr>
          <w:rFonts w:ascii="Book Antiqua" w:eastAsia="等线" w:hAnsi="Book Antiqua"/>
          <w:sz w:val="24"/>
          <w:szCs w:val="24"/>
          <w:lang w:eastAsia="zh-CN"/>
        </w:rPr>
        <w:t xml:space="preserve">; and (3) </w:t>
      </w:r>
      <w:r w:rsidRPr="00D46A14">
        <w:rPr>
          <w:rFonts w:ascii="Book Antiqua" w:hAnsi="Book Antiqua"/>
          <w:sz w:val="24"/>
          <w:szCs w:val="24"/>
        </w:rPr>
        <w:t>Intervention and control</w:t>
      </w:r>
      <w:r w:rsidR="00794FAA" w:rsidRPr="00D46A14">
        <w:rPr>
          <w:rFonts w:ascii="Book Antiqua" w:eastAsia="等线" w:hAnsi="Book Antiqua"/>
          <w:sz w:val="24"/>
          <w:szCs w:val="24"/>
          <w:lang w:eastAsia="zh-CN"/>
        </w:rPr>
        <w:t xml:space="preserve">: (a) </w:t>
      </w:r>
      <w:r w:rsidRPr="00D46A14">
        <w:rPr>
          <w:rFonts w:ascii="Book Antiqua" w:hAnsi="Book Antiqua"/>
          <w:sz w:val="24"/>
          <w:szCs w:val="24"/>
        </w:rPr>
        <w:t>Patients receiving propofol alone or in combination with traditional combined sedative agents (benzodiazepines and opioids);</w:t>
      </w:r>
      <w:r w:rsidR="00794FAA" w:rsidRPr="00D46A14">
        <w:rPr>
          <w:rFonts w:ascii="Book Antiqua" w:eastAsia="等线" w:hAnsi="Book Antiqua"/>
          <w:sz w:val="24"/>
          <w:szCs w:val="24"/>
          <w:lang w:eastAsia="zh-CN"/>
        </w:rPr>
        <w:t xml:space="preserve"> and (b) </w:t>
      </w:r>
      <w:r w:rsidRPr="00D46A14">
        <w:rPr>
          <w:rFonts w:ascii="Book Antiqua" w:hAnsi="Book Antiqua"/>
          <w:sz w:val="24"/>
          <w:szCs w:val="24"/>
        </w:rPr>
        <w:t xml:space="preserve">Traditional combined sedatives (benzodiazepines and opioids) with </w:t>
      </w:r>
      <w:r w:rsidR="0099191A" w:rsidRPr="00D46A14">
        <w:rPr>
          <w:rFonts w:ascii="Book Antiqua" w:hAnsi="Book Antiqua"/>
          <w:sz w:val="24"/>
          <w:szCs w:val="24"/>
        </w:rPr>
        <w:t xml:space="preserve">or </w:t>
      </w:r>
      <w:r w:rsidRPr="00D46A14">
        <w:rPr>
          <w:rFonts w:ascii="Book Antiqua" w:hAnsi="Book Antiqua"/>
          <w:sz w:val="24"/>
          <w:szCs w:val="24"/>
        </w:rPr>
        <w:t>without concurrent propofol use.</w:t>
      </w:r>
    </w:p>
    <w:p w14:paraId="72AAED3D" w14:textId="77777777" w:rsidR="00421ACE" w:rsidRPr="00D46A14" w:rsidRDefault="00421ACE" w:rsidP="00D46A14">
      <w:pPr>
        <w:spacing w:after="0" w:line="360" w:lineRule="auto"/>
        <w:ind w:left="0" w:right="38" w:firstLine="0"/>
        <w:rPr>
          <w:rFonts w:ascii="Book Antiqua" w:hAnsi="Book Antiqua"/>
          <w:b/>
          <w:sz w:val="24"/>
          <w:szCs w:val="24"/>
        </w:rPr>
      </w:pPr>
    </w:p>
    <w:p w14:paraId="6EC935F9" w14:textId="77777777" w:rsidR="00454CF1" w:rsidRPr="00D46A14" w:rsidRDefault="007C3221" w:rsidP="00D46A14">
      <w:pPr>
        <w:spacing w:after="0" w:line="360" w:lineRule="auto"/>
        <w:ind w:left="0" w:right="38" w:firstLine="0"/>
        <w:rPr>
          <w:rFonts w:ascii="Book Antiqua" w:hAnsi="Book Antiqua"/>
          <w:b/>
          <w:i/>
          <w:sz w:val="24"/>
          <w:szCs w:val="24"/>
        </w:rPr>
      </w:pPr>
      <w:r w:rsidRPr="00D46A14">
        <w:rPr>
          <w:rFonts w:ascii="Book Antiqua" w:hAnsi="Book Antiqua"/>
          <w:b/>
          <w:i/>
          <w:sz w:val="24"/>
          <w:szCs w:val="24"/>
        </w:rPr>
        <w:t>Data items</w:t>
      </w:r>
    </w:p>
    <w:p w14:paraId="4728A09D" w14:textId="4027169D" w:rsidR="009150E0" w:rsidRPr="00D46A14" w:rsidRDefault="00E41DA2" w:rsidP="00D46A14">
      <w:pPr>
        <w:spacing w:after="0" w:line="360" w:lineRule="auto"/>
        <w:ind w:left="0" w:right="81" w:firstLine="0"/>
        <w:rPr>
          <w:rFonts w:ascii="Book Antiqua" w:hAnsi="Book Antiqua"/>
          <w:sz w:val="24"/>
          <w:szCs w:val="24"/>
        </w:rPr>
      </w:pPr>
      <w:r w:rsidRPr="00D46A14">
        <w:rPr>
          <w:rFonts w:ascii="Book Antiqua" w:hAnsi="Book Antiqua"/>
          <w:sz w:val="24"/>
          <w:szCs w:val="24"/>
        </w:rPr>
        <w:t>T</w:t>
      </w:r>
      <w:r w:rsidR="00FE7059" w:rsidRPr="00D46A14">
        <w:rPr>
          <w:rFonts w:ascii="Book Antiqua" w:hAnsi="Book Antiqua"/>
          <w:sz w:val="24"/>
          <w:szCs w:val="24"/>
        </w:rPr>
        <w:t xml:space="preserve">he following data </w:t>
      </w:r>
      <w:r w:rsidR="00C05FCF" w:rsidRPr="00D46A14">
        <w:rPr>
          <w:rFonts w:ascii="Book Antiqua" w:hAnsi="Book Antiqua"/>
          <w:sz w:val="24"/>
          <w:szCs w:val="24"/>
        </w:rPr>
        <w:t xml:space="preserve">were </w:t>
      </w:r>
      <w:r w:rsidR="00FE7059" w:rsidRPr="00D46A14">
        <w:rPr>
          <w:rFonts w:ascii="Book Antiqua" w:hAnsi="Book Antiqua"/>
          <w:sz w:val="24"/>
          <w:szCs w:val="24"/>
        </w:rPr>
        <w:t>collected</w:t>
      </w:r>
      <w:r w:rsidRPr="00D46A14">
        <w:rPr>
          <w:rFonts w:ascii="Book Antiqua" w:hAnsi="Book Antiqua"/>
          <w:sz w:val="24"/>
          <w:szCs w:val="24"/>
        </w:rPr>
        <w:t xml:space="preserve"> for each trial</w:t>
      </w:r>
      <w:r w:rsidR="007C3221" w:rsidRPr="00D46A14">
        <w:rPr>
          <w:rFonts w:ascii="Book Antiqua" w:hAnsi="Book Antiqua"/>
          <w:sz w:val="24"/>
          <w:szCs w:val="24"/>
        </w:rPr>
        <w:t>: (1)</w:t>
      </w:r>
      <w:r w:rsidR="0099191A" w:rsidRPr="00D46A14">
        <w:rPr>
          <w:rFonts w:ascii="Book Antiqua" w:hAnsi="Book Antiqua"/>
          <w:sz w:val="24"/>
          <w:szCs w:val="24"/>
        </w:rPr>
        <w:t xml:space="preserve"> patient characteristics</w:t>
      </w:r>
      <w:r w:rsidR="007C3221" w:rsidRPr="00D46A14">
        <w:rPr>
          <w:rFonts w:ascii="Book Antiqua" w:hAnsi="Book Antiqua"/>
          <w:sz w:val="24"/>
          <w:szCs w:val="24"/>
        </w:rPr>
        <w:t xml:space="preserve">; (2) </w:t>
      </w:r>
      <w:r w:rsidR="004B7262" w:rsidRPr="00D46A14">
        <w:rPr>
          <w:rFonts w:ascii="Book Antiqua" w:hAnsi="Book Antiqua"/>
          <w:sz w:val="24"/>
          <w:szCs w:val="24"/>
        </w:rPr>
        <w:t>c</w:t>
      </w:r>
      <w:r w:rsidR="009150E0" w:rsidRPr="00D46A14">
        <w:rPr>
          <w:rFonts w:ascii="Book Antiqua" w:hAnsi="Book Antiqua"/>
          <w:sz w:val="24"/>
          <w:szCs w:val="24"/>
        </w:rPr>
        <w:t xml:space="preserve">haracteristics of intervention and comparison: type of medication, doses, form of application; </w:t>
      </w:r>
      <w:r w:rsidR="00567D81" w:rsidRPr="00D46A14">
        <w:rPr>
          <w:rFonts w:ascii="Book Antiqua" w:eastAsia="等线" w:hAnsi="Book Antiqua"/>
          <w:sz w:val="24"/>
          <w:szCs w:val="24"/>
          <w:lang w:eastAsia="zh-CN"/>
        </w:rPr>
        <w:t xml:space="preserve">and </w:t>
      </w:r>
      <w:r w:rsidR="009150E0" w:rsidRPr="00D46A14">
        <w:rPr>
          <w:rFonts w:ascii="Book Antiqua" w:hAnsi="Book Antiqua"/>
          <w:sz w:val="24"/>
          <w:szCs w:val="24"/>
        </w:rPr>
        <w:t>(3)</w:t>
      </w:r>
      <w:r w:rsidR="004B7262" w:rsidRPr="00D46A14">
        <w:rPr>
          <w:rFonts w:ascii="Book Antiqua" w:hAnsi="Book Antiqua"/>
          <w:sz w:val="24"/>
          <w:szCs w:val="24"/>
        </w:rPr>
        <w:t xml:space="preserve"> </w:t>
      </w:r>
      <w:r w:rsidR="009150E0" w:rsidRPr="00D46A14">
        <w:rPr>
          <w:rFonts w:ascii="Book Antiqua" w:hAnsi="Book Antiqua"/>
          <w:sz w:val="24"/>
          <w:szCs w:val="24"/>
        </w:rPr>
        <w:t>outcomes as previously described.</w:t>
      </w:r>
    </w:p>
    <w:p w14:paraId="1BA37CD2" w14:textId="4339720C" w:rsidR="00567D81" w:rsidRPr="00D46A14" w:rsidRDefault="009150E0" w:rsidP="00D46A14">
      <w:pPr>
        <w:spacing w:after="0" w:line="360" w:lineRule="auto"/>
        <w:ind w:left="0" w:right="81" w:firstLineChars="100" w:firstLine="240"/>
        <w:rPr>
          <w:rFonts w:ascii="Book Antiqua" w:eastAsia="等线" w:hAnsi="Book Antiqua"/>
          <w:sz w:val="24"/>
          <w:szCs w:val="24"/>
          <w:lang w:eastAsia="zh-CN"/>
        </w:rPr>
      </w:pPr>
      <w:r w:rsidRPr="00D46A14">
        <w:rPr>
          <w:rFonts w:ascii="Book Antiqua" w:hAnsi="Book Antiqua"/>
          <w:sz w:val="24"/>
          <w:szCs w:val="24"/>
        </w:rPr>
        <w:t xml:space="preserve">To simplify our analysis and data representation, we chose to subdivide the included studies into different </w:t>
      </w:r>
      <w:r w:rsidR="004B7262" w:rsidRPr="00D46A14">
        <w:rPr>
          <w:rFonts w:ascii="Book Antiqua" w:hAnsi="Book Antiqua"/>
          <w:sz w:val="24"/>
          <w:szCs w:val="24"/>
        </w:rPr>
        <w:t xml:space="preserve">groups </w:t>
      </w:r>
      <w:r w:rsidRPr="00D46A14">
        <w:rPr>
          <w:rFonts w:ascii="Book Antiqua" w:hAnsi="Book Antiqua"/>
          <w:sz w:val="24"/>
          <w:szCs w:val="24"/>
        </w:rPr>
        <w:t xml:space="preserve">according to the sedation regimens </w:t>
      </w:r>
      <w:r w:rsidR="0099191A" w:rsidRPr="00D46A14">
        <w:rPr>
          <w:rFonts w:ascii="Book Antiqua" w:hAnsi="Book Antiqua"/>
          <w:sz w:val="24"/>
          <w:szCs w:val="24"/>
        </w:rPr>
        <w:t xml:space="preserve">administered </w:t>
      </w:r>
      <w:r w:rsidRPr="00D46A14">
        <w:rPr>
          <w:rFonts w:ascii="Book Antiqua" w:hAnsi="Book Antiqua"/>
          <w:sz w:val="24"/>
          <w:szCs w:val="24"/>
        </w:rPr>
        <w:t>to the intervention and control groups (</w:t>
      </w:r>
      <w:r w:rsidR="00BF0F41" w:rsidRPr="00D46A14">
        <w:rPr>
          <w:rFonts w:ascii="Book Antiqua" w:hAnsi="Book Antiqua"/>
          <w:sz w:val="24"/>
          <w:szCs w:val="24"/>
        </w:rPr>
        <w:t xml:space="preserve">Table </w:t>
      </w:r>
      <w:r w:rsidRPr="00D46A14">
        <w:rPr>
          <w:rFonts w:ascii="Book Antiqua" w:hAnsi="Book Antiqua"/>
          <w:sz w:val="24"/>
          <w:szCs w:val="24"/>
        </w:rPr>
        <w:t>1), as follows:</w:t>
      </w:r>
      <w:r w:rsidR="00567D81" w:rsidRPr="00D46A14">
        <w:rPr>
          <w:rFonts w:ascii="Book Antiqua" w:eastAsia="等线" w:hAnsi="Book Antiqua"/>
          <w:sz w:val="24"/>
          <w:szCs w:val="24"/>
          <w:lang w:eastAsia="zh-CN"/>
        </w:rPr>
        <w:t xml:space="preserve"> (1) </w:t>
      </w:r>
      <w:r w:rsidR="004B7262" w:rsidRPr="00D46A14">
        <w:rPr>
          <w:rFonts w:ascii="Book Antiqua" w:hAnsi="Book Antiqua"/>
          <w:sz w:val="24"/>
          <w:szCs w:val="24"/>
        </w:rPr>
        <w:t xml:space="preserve">Group </w:t>
      </w:r>
      <w:r w:rsidRPr="00D46A14">
        <w:rPr>
          <w:rFonts w:ascii="Book Antiqua" w:hAnsi="Book Antiqua"/>
          <w:sz w:val="24"/>
          <w:szCs w:val="24"/>
        </w:rPr>
        <w:t xml:space="preserve">I - </w:t>
      </w:r>
      <w:r w:rsidR="00567D81" w:rsidRPr="00D46A14">
        <w:rPr>
          <w:rFonts w:ascii="Book Antiqua" w:hAnsi="Book Antiqua"/>
          <w:sz w:val="24"/>
          <w:szCs w:val="24"/>
        </w:rPr>
        <w:t xml:space="preserve">propofol </w:t>
      </w:r>
      <w:r w:rsidR="00567D81" w:rsidRPr="00D46A14">
        <w:rPr>
          <w:rFonts w:ascii="Book Antiqua" w:eastAsia="等线" w:hAnsi="Book Antiqua"/>
          <w:i/>
          <w:sz w:val="24"/>
          <w:szCs w:val="24"/>
          <w:lang w:eastAsia="zh-CN"/>
        </w:rPr>
        <w:t>vs</w:t>
      </w:r>
      <w:r w:rsidRPr="00D46A14">
        <w:rPr>
          <w:rFonts w:ascii="Book Antiqua" w:hAnsi="Book Antiqua"/>
          <w:sz w:val="24"/>
          <w:szCs w:val="24"/>
        </w:rPr>
        <w:t xml:space="preserve"> </w:t>
      </w:r>
      <w:r w:rsidR="00567D81" w:rsidRPr="00D46A14">
        <w:rPr>
          <w:rFonts w:ascii="Book Antiqua" w:hAnsi="Book Antiqua"/>
          <w:sz w:val="24"/>
          <w:szCs w:val="24"/>
        </w:rPr>
        <w:t xml:space="preserve">benzodiazepine </w:t>
      </w:r>
      <w:r w:rsidRPr="00D46A14">
        <w:rPr>
          <w:rFonts w:ascii="Book Antiqua" w:hAnsi="Book Antiqua"/>
          <w:sz w:val="24"/>
          <w:szCs w:val="24"/>
        </w:rPr>
        <w:t>and opioid;</w:t>
      </w:r>
      <w:r w:rsidR="00567D81" w:rsidRPr="00D46A14">
        <w:rPr>
          <w:rFonts w:ascii="Book Antiqua" w:eastAsia="等线" w:hAnsi="Book Antiqua"/>
          <w:sz w:val="24"/>
          <w:szCs w:val="24"/>
          <w:lang w:eastAsia="zh-CN"/>
        </w:rPr>
        <w:t xml:space="preserve"> (2) </w:t>
      </w:r>
      <w:r w:rsidR="004B7262" w:rsidRPr="00D46A14">
        <w:rPr>
          <w:rFonts w:ascii="Book Antiqua" w:hAnsi="Book Antiqua"/>
          <w:sz w:val="24"/>
          <w:szCs w:val="24"/>
        </w:rPr>
        <w:t xml:space="preserve">Group </w:t>
      </w:r>
      <w:r w:rsidRPr="00D46A14">
        <w:rPr>
          <w:rFonts w:ascii="Book Antiqua" w:hAnsi="Book Antiqua"/>
          <w:sz w:val="24"/>
          <w:szCs w:val="24"/>
        </w:rPr>
        <w:t xml:space="preserve">II - </w:t>
      </w:r>
      <w:r w:rsidR="00567D81" w:rsidRPr="00D46A14">
        <w:rPr>
          <w:rFonts w:ascii="Book Antiqua" w:hAnsi="Book Antiqua"/>
          <w:sz w:val="24"/>
          <w:szCs w:val="24"/>
        </w:rPr>
        <w:t xml:space="preserve">propofol </w:t>
      </w:r>
      <w:r w:rsidR="00567D81" w:rsidRPr="00D46A14">
        <w:rPr>
          <w:rFonts w:ascii="Book Antiqua" w:eastAsia="等线" w:hAnsi="Book Antiqua"/>
          <w:i/>
          <w:sz w:val="24"/>
          <w:szCs w:val="24"/>
          <w:lang w:eastAsia="zh-CN"/>
        </w:rPr>
        <w:t>vs</w:t>
      </w:r>
      <w:r w:rsidR="00567D81" w:rsidRPr="00D46A14">
        <w:rPr>
          <w:rFonts w:ascii="Book Antiqua" w:hAnsi="Book Antiqua"/>
          <w:sz w:val="24"/>
          <w:szCs w:val="24"/>
        </w:rPr>
        <w:t xml:space="preserve"> propofol</w:t>
      </w:r>
      <w:r w:rsidRPr="00D46A14">
        <w:rPr>
          <w:rFonts w:ascii="Book Antiqua" w:hAnsi="Book Antiqua"/>
          <w:sz w:val="24"/>
          <w:szCs w:val="24"/>
        </w:rPr>
        <w:t>, benzodiazepine and/or opioid;</w:t>
      </w:r>
      <w:r w:rsidR="00567D81" w:rsidRPr="00D46A14">
        <w:rPr>
          <w:rFonts w:ascii="Book Antiqua" w:eastAsia="等线" w:hAnsi="Book Antiqua"/>
          <w:sz w:val="24"/>
          <w:szCs w:val="24"/>
          <w:lang w:eastAsia="zh-CN"/>
        </w:rPr>
        <w:t xml:space="preserve"> and (3) </w:t>
      </w:r>
      <w:r w:rsidR="004B7262" w:rsidRPr="00D46A14">
        <w:rPr>
          <w:rFonts w:ascii="Book Antiqua" w:hAnsi="Book Antiqua"/>
          <w:sz w:val="24"/>
          <w:szCs w:val="24"/>
        </w:rPr>
        <w:t xml:space="preserve">Group </w:t>
      </w:r>
      <w:r w:rsidRPr="00D46A14">
        <w:rPr>
          <w:rFonts w:ascii="Book Antiqua" w:hAnsi="Book Antiqua"/>
          <w:sz w:val="24"/>
          <w:szCs w:val="24"/>
        </w:rPr>
        <w:t>III</w:t>
      </w:r>
      <w:r w:rsidR="00690A0C" w:rsidRPr="00D46A14">
        <w:rPr>
          <w:rFonts w:ascii="Book Antiqua" w:hAnsi="Book Antiqua"/>
          <w:sz w:val="24"/>
          <w:szCs w:val="24"/>
        </w:rPr>
        <w:t xml:space="preserve"> </w:t>
      </w:r>
      <w:r w:rsidRPr="00D46A14">
        <w:rPr>
          <w:rFonts w:ascii="Book Antiqua" w:hAnsi="Book Antiqua"/>
          <w:sz w:val="24"/>
          <w:szCs w:val="24"/>
        </w:rPr>
        <w:t>–</w:t>
      </w:r>
      <w:r w:rsidR="00690A0C" w:rsidRPr="00D46A14">
        <w:rPr>
          <w:rFonts w:ascii="Book Antiqua" w:hAnsi="Book Antiqua"/>
          <w:sz w:val="24"/>
          <w:szCs w:val="24"/>
        </w:rPr>
        <w:t xml:space="preserve"> </w:t>
      </w:r>
      <w:r w:rsidR="00567D81" w:rsidRPr="00D46A14">
        <w:rPr>
          <w:rFonts w:ascii="Book Antiqua" w:hAnsi="Book Antiqua"/>
          <w:sz w:val="24"/>
          <w:szCs w:val="24"/>
        </w:rPr>
        <w:t>propofol</w:t>
      </w:r>
      <w:r w:rsidRPr="00D46A14">
        <w:rPr>
          <w:rFonts w:ascii="Book Antiqua" w:hAnsi="Book Antiqua"/>
          <w:sz w:val="24"/>
          <w:szCs w:val="24"/>
        </w:rPr>
        <w:t xml:space="preserve">, benzodiazepine and opioid </w:t>
      </w:r>
      <w:r w:rsidR="00567D81" w:rsidRPr="00D46A14">
        <w:rPr>
          <w:rFonts w:ascii="Book Antiqua" w:eastAsia="等线" w:hAnsi="Book Antiqua"/>
          <w:i/>
          <w:sz w:val="24"/>
          <w:szCs w:val="24"/>
          <w:lang w:eastAsia="zh-CN"/>
        </w:rPr>
        <w:t>vs</w:t>
      </w:r>
      <w:r w:rsidR="00567D81" w:rsidRPr="00D46A14">
        <w:rPr>
          <w:rFonts w:ascii="Book Antiqua" w:hAnsi="Book Antiqua"/>
          <w:sz w:val="24"/>
          <w:szCs w:val="24"/>
        </w:rPr>
        <w:t xml:space="preserve"> benzodiazepine and opioid.</w:t>
      </w:r>
    </w:p>
    <w:p w14:paraId="74F88F6C" w14:textId="77777777" w:rsidR="00567D81" w:rsidRPr="00D46A14" w:rsidRDefault="00567D81" w:rsidP="00D46A14">
      <w:pPr>
        <w:spacing w:after="0" w:line="360" w:lineRule="auto"/>
        <w:ind w:left="0" w:right="81" w:firstLine="0"/>
        <w:rPr>
          <w:rFonts w:ascii="Book Antiqua" w:eastAsia="等线" w:hAnsi="Book Antiqua"/>
          <w:sz w:val="24"/>
          <w:szCs w:val="24"/>
          <w:lang w:eastAsia="zh-CN"/>
        </w:rPr>
      </w:pPr>
    </w:p>
    <w:p w14:paraId="3280295E" w14:textId="69F8483F" w:rsidR="00454CF1" w:rsidRPr="00D46A14" w:rsidRDefault="007C3221"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Risk of bias in individual studies</w:t>
      </w:r>
    </w:p>
    <w:p w14:paraId="4FB85F1C" w14:textId="0274D83A" w:rsidR="00567D81" w:rsidRPr="00D46A14" w:rsidRDefault="007C3221" w:rsidP="00D46A14">
      <w:pPr>
        <w:spacing w:after="0" w:line="360" w:lineRule="auto"/>
        <w:ind w:left="0" w:right="81" w:firstLine="0"/>
        <w:rPr>
          <w:rFonts w:ascii="Book Antiqua" w:eastAsia="等线" w:hAnsi="Book Antiqua"/>
          <w:sz w:val="24"/>
          <w:szCs w:val="24"/>
          <w:lang w:eastAsia="zh-CN"/>
        </w:rPr>
      </w:pPr>
      <w:r w:rsidRPr="00D46A14">
        <w:rPr>
          <w:rFonts w:ascii="Book Antiqua" w:hAnsi="Book Antiqua"/>
          <w:sz w:val="24"/>
          <w:szCs w:val="24"/>
        </w:rPr>
        <w:t xml:space="preserve">As treatment effect size may differ due to </w:t>
      </w:r>
      <w:r w:rsidR="008B13BF" w:rsidRPr="00D46A14">
        <w:rPr>
          <w:rFonts w:ascii="Book Antiqua" w:hAnsi="Book Antiqua"/>
          <w:sz w:val="24"/>
          <w:szCs w:val="24"/>
        </w:rPr>
        <w:t xml:space="preserve">detection, performance, </w:t>
      </w:r>
      <w:r w:rsidRPr="00D46A14">
        <w:rPr>
          <w:rFonts w:ascii="Book Antiqua" w:hAnsi="Book Antiqua"/>
          <w:sz w:val="24"/>
          <w:szCs w:val="24"/>
        </w:rPr>
        <w:t>selection, and bias,</w:t>
      </w:r>
      <w:r w:rsidR="00C74299" w:rsidRPr="00D46A14">
        <w:rPr>
          <w:rFonts w:ascii="Book Antiqua" w:hAnsi="Book Antiqua"/>
          <w:sz w:val="24"/>
          <w:szCs w:val="24"/>
        </w:rPr>
        <w:t xml:space="preserve"> the methodological evaluation of the studies was performed. </w:t>
      </w:r>
      <w:r w:rsidR="008B13BF" w:rsidRPr="00D46A14">
        <w:rPr>
          <w:rFonts w:ascii="Book Antiqua" w:hAnsi="Book Antiqua"/>
          <w:sz w:val="24"/>
          <w:szCs w:val="24"/>
        </w:rPr>
        <w:t xml:space="preserve">The adequacy of blinding, </w:t>
      </w:r>
      <w:r w:rsidRPr="00D46A14">
        <w:rPr>
          <w:rFonts w:ascii="Book Antiqua" w:hAnsi="Book Antiqua"/>
          <w:sz w:val="24"/>
          <w:szCs w:val="24"/>
        </w:rPr>
        <w:t xml:space="preserve">randomization, description of withdrawals and dropouts </w:t>
      </w:r>
      <w:r w:rsidR="008B13BF" w:rsidRPr="00D46A14">
        <w:rPr>
          <w:rFonts w:ascii="Book Antiqua" w:hAnsi="Book Antiqua"/>
          <w:sz w:val="24"/>
          <w:szCs w:val="24"/>
        </w:rPr>
        <w:t xml:space="preserve">were </w:t>
      </w:r>
      <w:r w:rsidR="008B13BF" w:rsidRPr="00D46A14">
        <w:rPr>
          <w:rFonts w:ascii="Book Antiqua" w:hAnsi="Book Antiqua"/>
          <w:sz w:val="24"/>
          <w:szCs w:val="24"/>
        </w:rPr>
        <w:lastRenderedPageBreak/>
        <w:t xml:space="preserve">determined by two authors working independently, </w:t>
      </w:r>
      <w:r w:rsidRPr="00D46A14">
        <w:rPr>
          <w:rFonts w:ascii="Book Antiqua" w:hAnsi="Book Antiqua"/>
          <w:sz w:val="24"/>
          <w:szCs w:val="24"/>
        </w:rPr>
        <w:t>using</w:t>
      </w:r>
      <w:r w:rsidR="00E70DE7" w:rsidRPr="00D46A14">
        <w:rPr>
          <w:rFonts w:ascii="Book Antiqua" w:hAnsi="Book Antiqua"/>
          <w:sz w:val="24"/>
          <w:szCs w:val="24"/>
        </w:rPr>
        <w:t xml:space="preserve"> the</w:t>
      </w:r>
      <w:r w:rsidRPr="00D46A14">
        <w:rPr>
          <w:rFonts w:ascii="Book Antiqua" w:hAnsi="Book Antiqua"/>
          <w:sz w:val="24"/>
          <w:szCs w:val="24"/>
        </w:rPr>
        <w:t xml:space="preserve"> Jadad </w:t>
      </w:r>
      <w:r w:rsidR="00C74299" w:rsidRPr="00D46A14">
        <w:rPr>
          <w:rFonts w:ascii="Book Antiqua" w:hAnsi="Book Antiqua"/>
          <w:noProof/>
          <w:sz w:val="24"/>
          <w:szCs w:val="24"/>
        </w:rPr>
        <w:t>scale</w:t>
      </w:r>
      <w:r w:rsidR="000B7430" w:rsidRPr="00D46A14">
        <w:rPr>
          <w:rFonts w:ascii="Book Antiqua" w:hAnsi="Book Antiqua"/>
          <w:sz w:val="24"/>
          <w:szCs w:val="24"/>
          <w:vertAlign w:val="superscript"/>
        </w:rPr>
        <w:fldChar w:fldCharType="begin" w:fldLock="1"/>
      </w:r>
      <w:r w:rsidR="008B13BF" w:rsidRPr="00D46A14">
        <w:rPr>
          <w:rFonts w:ascii="Book Antiqua" w:hAnsi="Book Antiqua"/>
          <w:sz w:val="24"/>
          <w:szCs w:val="24"/>
          <w:vertAlign w:val="superscript"/>
        </w:rPr>
        <w:instrText>ADDIN CSL_CITATION {"citationItems":[{"id":"ITEM-1","itemData":{"DOI":"10.1016/0197-2456(95)00134-4","ISBN":"0197-2456","ISSN":"0197-2456","PMID":"8721797","abstract":"It has been suggested that the quality of clinical trials should be assessed by blinded raters to limit the risk of introducing bias into meta-analyses and systematic reviews, and into the peer-review process. There is very little evidence in the literature to substantiate this. This study describes the development of an instrument to assess the quality of reports of randomized clinical trials (RCTs) in pain research and its use to determine the effect of rater blinding on the assessments of quality. A multidisciplinary panel of six judges produced an initial version of the instrument. Fourteen raters from three different backgrounds assessed the quality of 36 research reports in pain research, selected from three different samples. Seven were allocated randomly to perform the assessments under blind conditions. The final version of the instrument included three items. These items were scored consistently by all the raters regardless of background and could discriminate between reports from the different samples. Blind assessments produced significantly lower and more consistent scores than open assessments. The implications of this finding for systematic reviews, meta-analytic research and the peer-review process are discussed.","author":[{"dropping-particle":"","family":"Jadad","given":"Alejandro R.","non-dropping-particle":"","parse-names":false,"suffix":""},{"dropping-particle":"","family":"Moore","given":"R.Andrew A","non-dropping-particle":"","parse-names":false,"suffix":""},{"dropping-particle":"","family":"Carroll","given":"Dawn","non-dropping-particle":"","parse-names":false,"suffix":""},{"dropping-particle":"","family":"Jenkinson","given":"Crispin","non-dropping-particle":"","parse-names":false,"suffix":""},{"dropping-particle":"","family":"Reynolds","given":"D.John J M.","non-dropping-particle":"","parse-names":false,"suffix":""},{"dropping-particle":"","family":"Gavaghan","given":"David J.","non-dropping-particle":"","parse-names":false,"suffix":""},{"dropping-particle":"","family":"McQuay","given":"Henry J.","non-dropping-particle":"","parse-names":false,"suffix":""}],"container-title":"Controlled clinical trials","id":"ITEM-1","issue":"1","issued":{"date-parts":[["1996","2"]]},"page":"1-12","title":"Assessing the quality of reports of randomized clinical trials: is blinding necessary?","type":"article-journal","volume":"17"},"uris":["http://www.mendeley.com/documents/?uuid=fead84d9-8a14-4054-8ea6-f9ce6c9facd0"]}],"mendeley":{"formattedCitation":"&lt;sup&gt;[21]&lt;/sup&gt;","plainTextFormattedCitation":"[21]","previouslyFormattedCitation":"&lt;sup&gt;[21]&lt;/sup&gt;"},"properties":{"noteIndex":0},"schema":"https://github.com/citation-style-language/schema/raw/master/csl-citation.json"}</w:instrText>
      </w:r>
      <w:r w:rsidR="000B7430" w:rsidRPr="00D46A14">
        <w:rPr>
          <w:rFonts w:ascii="Book Antiqua" w:hAnsi="Book Antiqua"/>
          <w:sz w:val="24"/>
          <w:szCs w:val="24"/>
          <w:vertAlign w:val="superscript"/>
        </w:rPr>
        <w:fldChar w:fldCharType="separate"/>
      </w:r>
      <w:r w:rsidR="002A4C73" w:rsidRPr="00D46A14">
        <w:rPr>
          <w:rFonts w:ascii="Book Antiqua" w:hAnsi="Book Antiqua"/>
          <w:noProof/>
          <w:sz w:val="24"/>
          <w:szCs w:val="24"/>
          <w:vertAlign w:val="superscript"/>
        </w:rPr>
        <w:t>[21]</w:t>
      </w:r>
      <w:r w:rsidR="000B7430" w:rsidRPr="00D46A14">
        <w:rPr>
          <w:rFonts w:ascii="Book Antiqua" w:hAnsi="Book Antiqua"/>
          <w:sz w:val="24"/>
          <w:szCs w:val="24"/>
          <w:vertAlign w:val="superscript"/>
        </w:rPr>
        <w:fldChar w:fldCharType="end"/>
      </w:r>
      <w:r w:rsidR="00C74299" w:rsidRPr="00D46A14">
        <w:rPr>
          <w:rFonts w:ascii="Book Antiqua" w:hAnsi="Book Antiqua"/>
          <w:noProof/>
          <w:sz w:val="24"/>
          <w:szCs w:val="24"/>
        </w:rPr>
        <w:t xml:space="preserve"> for the evaluation of </w:t>
      </w:r>
      <w:r w:rsidR="00C82A2A" w:rsidRPr="00D46A14">
        <w:rPr>
          <w:rFonts w:ascii="Book Antiqua" w:hAnsi="Book Antiqua"/>
          <w:noProof/>
          <w:sz w:val="24"/>
          <w:szCs w:val="24"/>
        </w:rPr>
        <w:t>randomized clinical trials</w:t>
      </w:r>
      <w:r w:rsidR="00C74299" w:rsidRPr="00D46A14">
        <w:rPr>
          <w:rFonts w:ascii="Book Antiqua" w:hAnsi="Book Antiqua"/>
          <w:noProof/>
          <w:sz w:val="24"/>
          <w:szCs w:val="24"/>
        </w:rPr>
        <w:t>.</w:t>
      </w:r>
    </w:p>
    <w:p w14:paraId="127E4EA4" w14:textId="77777777" w:rsidR="00567D81" w:rsidRPr="00D46A14" w:rsidRDefault="00567D81" w:rsidP="00D46A14">
      <w:pPr>
        <w:spacing w:after="0" w:line="360" w:lineRule="auto"/>
        <w:ind w:left="0" w:right="81" w:firstLine="0"/>
        <w:rPr>
          <w:rFonts w:ascii="Book Antiqua" w:eastAsia="等线" w:hAnsi="Book Antiqua"/>
          <w:sz w:val="24"/>
          <w:szCs w:val="24"/>
          <w:lang w:eastAsia="zh-CN"/>
        </w:rPr>
      </w:pPr>
    </w:p>
    <w:p w14:paraId="2F741435" w14:textId="6F25A6D6" w:rsidR="00AC1B96" w:rsidRPr="00D46A14" w:rsidRDefault="00AC1B96"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Statistical analysis</w:t>
      </w:r>
    </w:p>
    <w:p w14:paraId="7CFDEC9C" w14:textId="484413F6" w:rsidR="001228B4" w:rsidRPr="00D46A14" w:rsidRDefault="003C3711" w:rsidP="00D46A14">
      <w:pPr>
        <w:spacing w:after="0" w:line="360" w:lineRule="auto"/>
        <w:ind w:right="74" w:firstLine="0"/>
        <w:rPr>
          <w:rFonts w:ascii="Book Antiqua" w:hAnsi="Book Antiqua"/>
          <w:sz w:val="24"/>
          <w:szCs w:val="24"/>
        </w:rPr>
      </w:pPr>
      <w:r w:rsidRPr="00D46A14">
        <w:rPr>
          <w:rFonts w:ascii="Book Antiqua" w:hAnsi="Book Antiqua"/>
          <w:sz w:val="24"/>
          <w:szCs w:val="24"/>
        </w:rPr>
        <w:t>This m</w:t>
      </w:r>
      <w:r w:rsidR="00AC1B96" w:rsidRPr="00D46A14">
        <w:rPr>
          <w:rFonts w:ascii="Book Antiqua" w:hAnsi="Book Antiqua"/>
          <w:sz w:val="24"/>
          <w:szCs w:val="24"/>
        </w:rPr>
        <w:t>eta-analysis was performed using intention-to-treat data</w:t>
      </w:r>
      <w:r w:rsidR="00B56F80" w:rsidRPr="00D46A14">
        <w:rPr>
          <w:rFonts w:ascii="Book Antiqua" w:hAnsi="Book Antiqua"/>
          <w:sz w:val="24"/>
          <w:szCs w:val="24"/>
        </w:rPr>
        <w:t xml:space="preserve"> when possible</w:t>
      </w:r>
      <w:r w:rsidR="00AC1B96" w:rsidRPr="00D46A14">
        <w:rPr>
          <w:rFonts w:ascii="Book Antiqua" w:hAnsi="Book Antiqua"/>
          <w:sz w:val="24"/>
          <w:szCs w:val="24"/>
        </w:rPr>
        <w:t>. For all outcomes, absolute or mean risk difference was</w:t>
      </w:r>
      <w:r w:rsidR="00B56F80" w:rsidRPr="00D46A14">
        <w:rPr>
          <w:rFonts w:ascii="Book Antiqua" w:hAnsi="Book Antiqua"/>
          <w:sz w:val="24"/>
          <w:szCs w:val="24"/>
        </w:rPr>
        <w:t xml:space="preserve"> </w:t>
      </w:r>
      <w:r w:rsidR="00DD5E3C" w:rsidRPr="00D46A14">
        <w:rPr>
          <w:rFonts w:ascii="Book Antiqua" w:hAnsi="Book Antiqua"/>
          <w:sz w:val="24"/>
          <w:szCs w:val="24"/>
        </w:rPr>
        <w:t>calculated.</w:t>
      </w:r>
      <w:r w:rsidR="00AC1B96" w:rsidRPr="00D46A14">
        <w:rPr>
          <w:rFonts w:ascii="Book Antiqua" w:hAnsi="Book Antiqua"/>
          <w:sz w:val="24"/>
          <w:szCs w:val="24"/>
        </w:rPr>
        <w:t xml:space="preserve"> We considered statistically significant difference</w:t>
      </w:r>
      <w:r w:rsidRPr="00D46A14">
        <w:rPr>
          <w:rFonts w:ascii="Book Antiqua" w:hAnsi="Book Antiqua"/>
          <w:sz w:val="24"/>
          <w:szCs w:val="24"/>
        </w:rPr>
        <w:t xml:space="preserve">s </w:t>
      </w:r>
      <w:r w:rsidR="00AC1B96" w:rsidRPr="00D46A14">
        <w:rPr>
          <w:rFonts w:ascii="Book Antiqua" w:hAnsi="Book Antiqua"/>
          <w:sz w:val="24"/>
          <w:szCs w:val="24"/>
        </w:rPr>
        <w:t>with 95%</w:t>
      </w:r>
      <w:r w:rsidR="00567D81" w:rsidRPr="00D46A14">
        <w:rPr>
          <w:rFonts w:ascii="Book Antiqua" w:hAnsi="Book Antiqua"/>
          <w:sz w:val="24"/>
          <w:szCs w:val="24"/>
        </w:rPr>
        <w:t>CI</w:t>
      </w:r>
      <w:r w:rsidR="00AC1B96" w:rsidRPr="00D46A14">
        <w:rPr>
          <w:rFonts w:ascii="Book Antiqua" w:hAnsi="Book Antiqua"/>
          <w:sz w:val="24"/>
          <w:szCs w:val="24"/>
        </w:rPr>
        <w:t xml:space="preserve">, </w:t>
      </w:r>
      <w:r w:rsidR="00567D81" w:rsidRPr="00D46A14">
        <w:rPr>
          <w:rFonts w:ascii="Book Antiqua" w:hAnsi="Book Antiqua"/>
          <w:i/>
          <w:sz w:val="24"/>
          <w:szCs w:val="24"/>
        </w:rPr>
        <w:t>P</w:t>
      </w:r>
      <w:r w:rsidR="00567D81" w:rsidRPr="00D46A14">
        <w:rPr>
          <w:rFonts w:ascii="Book Antiqua" w:hAnsi="Book Antiqua"/>
          <w:sz w:val="24"/>
          <w:szCs w:val="24"/>
        </w:rPr>
        <w:t xml:space="preserve"> </w:t>
      </w:r>
      <w:r w:rsidR="00AC1B96" w:rsidRPr="00D46A14">
        <w:rPr>
          <w:rFonts w:ascii="Book Antiqua" w:hAnsi="Book Antiqua"/>
          <w:sz w:val="24"/>
          <w:szCs w:val="24"/>
        </w:rPr>
        <w:t>&lt;</w:t>
      </w:r>
      <w:r w:rsidR="00567D81" w:rsidRPr="00D46A14">
        <w:rPr>
          <w:rFonts w:ascii="Book Antiqua" w:eastAsia="等线" w:hAnsi="Book Antiqua"/>
          <w:sz w:val="24"/>
          <w:szCs w:val="24"/>
          <w:lang w:eastAsia="zh-CN"/>
        </w:rPr>
        <w:t xml:space="preserve"> </w:t>
      </w:r>
      <w:r w:rsidR="00AC1B96" w:rsidRPr="00D46A14">
        <w:rPr>
          <w:rFonts w:ascii="Book Antiqua" w:hAnsi="Book Antiqua"/>
          <w:sz w:val="24"/>
          <w:szCs w:val="24"/>
        </w:rPr>
        <w:t>0.05</w:t>
      </w:r>
      <w:r w:rsidRPr="00D46A14">
        <w:rPr>
          <w:rFonts w:ascii="Book Antiqua" w:hAnsi="Book Antiqua"/>
          <w:sz w:val="24"/>
          <w:szCs w:val="24"/>
        </w:rPr>
        <w:t>, using the</w:t>
      </w:r>
      <w:r w:rsidR="00AC1B96" w:rsidRPr="00D46A14">
        <w:rPr>
          <w:rFonts w:ascii="Book Antiqua" w:hAnsi="Book Antiqua"/>
          <w:sz w:val="24"/>
          <w:szCs w:val="24"/>
        </w:rPr>
        <w:t xml:space="preserve"> Mantel Hantzel tests (categorical variables) or inverse variance (continuous variables).</w:t>
      </w:r>
    </w:p>
    <w:p w14:paraId="523545FE" w14:textId="25A1AFD5" w:rsidR="00AC1B96" w:rsidRPr="00D46A14" w:rsidRDefault="00AC1B96" w:rsidP="00D46A14">
      <w:pPr>
        <w:spacing w:after="0" w:line="360" w:lineRule="auto"/>
        <w:ind w:right="74" w:firstLineChars="200" w:firstLine="480"/>
        <w:rPr>
          <w:rFonts w:ascii="Book Antiqua" w:hAnsi="Book Antiqua"/>
          <w:sz w:val="24"/>
          <w:szCs w:val="24"/>
        </w:rPr>
      </w:pPr>
      <w:r w:rsidRPr="00D46A14">
        <w:rPr>
          <w:rFonts w:ascii="Book Antiqua" w:hAnsi="Book Antiqua"/>
          <w:sz w:val="24"/>
          <w:szCs w:val="24"/>
        </w:rPr>
        <w:t>The effects of the treatment were expressed graphically through forest</w:t>
      </w:r>
      <w:r w:rsidR="003C3711" w:rsidRPr="00D46A14">
        <w:rPr>
          <w:rFonts w:ascii="Book Antiqua" w:hAnsi="Book Antiqua"/>
          <w:sz w:val="24"/>
          <w:szCs w:val="24"/>
        </w:rPr>
        <w:t xml:space="preserve"> </w:t>
      </w:r>
      <w:r w:rsidRPr="00D46A14">
        <w:rPr>
          <w:rFonts w:ascii="Book Antiqua" w:hAnsi="Book Antiqua"/>
          <w:sz w:val="24"/>
          <w:szCs w:val="24"/>
        </w:rPr>
        <w:t xml:space="preserve">plots and the heterogeneity of the studies were evaluated by the method proposed by Higgins et al, denominated </w:t>
      </w:r>
      <w:r w:rsidRPr="00D46A14">
        <w:rPr>
          <w:rFonts w:ascii="Book Antiqua" w:hAnsi="Book Antiqua"/>
          <w:i/>
          <w:sz w:val="24"/>
          <w:szCs w:val="24"/>
        </w:rPr>
        <w:t>I</w:t>
      </w:r>
      <w:r w:rsidRPr="00D46A14">
        <w:rPr>
          <w:rFonts w:ascii="Book Antiqua" w:hAnsi="Book Antiqua"/>
          <w:sz w:val="24"/>
          <w:szCs w:val="24"/>
          <w:vertAlign w:val="superscript"/>
        </w:rPr>
        <w:t>2</w:t>
      </w:r>
      <w:r w:rsidRPr="00D46A14">
        <w:rPr>
          <w:rFonts w:ascii="Book Antiqua" w:hAnsi="Book Antiqua"/>
          <w:sz w:val="24"/>
          <w:szCs w:val="24"/>
        </w:rPr>
        <w:t xml:space="preserve">, seeking values lower than 50%, using </w:t>
      </w:r>
      <w:r w:rsidR="00683B8C" w:rsidRPr="00D46A14">
        <w:rPr>
          <w:rFonts w:ascii="Book Antiqua" w:hAnsi="Book Antiqua"/>
          <w:sz w:val="24"/>
          <w:szCs w:val="24"/>
        </w:rPr>
        <w:t xml:space="preserve">the </w:t>
      </w:r>
      <w:r w:rsidRPr="00D46A14">
        <w:rPr>
          <w:rFonts w:ascii="Book Antiqua" w:hAnsi="Book Antiqua"/>
          <w:sz w:val="24"/>
          <w:szCs w:val="24"/>
        </w:rPr>
        <w:t>fixed effect</w:t>
      </w:r>
      <w:r w:rsidR="00683B8C" w:rsidRPr="00D46A14">
        <w:rPr>
          <w:rFonts w:ascii="Book Antiqua" w:hAnsi="Book Antiqua"/>
          <w:sz w:val="24"/>
          <w:szCs w:val="24"/>
        </w:rPr>
        <w:t xml:space="preserve"> model</w:t>
      </w:r>
      <w:r w:rsidRPr="00D46A14">
        <w:rPr>
          <w:rFonts w:ascii="Book Antiqua" w:hAnsi="Book Antiqua"/>
          <w:sz w:val="24"/>
          <w:szCs w:val="24"/>
        </w:rPr>
        <w:t>.</w:t>
      </w:r>
      <w:r w:rsidR="00683B8C" w:rsidRPr="00D46A14">
        <w:rPr>
          <w:rFonts w:ascii="Book Antiqua" w:hAnsi="Book Antiqua"/>
          <w:sz w:val="24"/>
          <w:szCs w:val="24"/>
        </w:rPr>
        <w:t xml:space="preserve"> Risk of bias amongst studies was assessed using funnel plot analysis. </w:t>
      </w:r>
    </w:p>
    <w:p w14:paraId="0A6361F2" w14:textId="02A838E6" w:rsidR="00567D81" w:rsidRPr="00D46A14" w:rsidRDefault="00AC1B96" w:rsidP="00D46A14">
      <w:pPr>
        <w:spacing w:after="0" w:line="360" w:lineRule="auto"/>
        <w:ind w:left="0" w:right="81" w:firstLineChars="200" w:firstLine="480"/>
        <w:rPr>
          <w:rFonts w:ascii="Book Antiqua" w:eastAsia="等线" w:hAnsi="Book Antiqua"/>
          <w:sz w:val="24"/>
          <w:szCs w:val="24"/>
          <w:lang w:eastAsia="zh-CN"/>
        </w:rPr>
      </w:pPr>
      <w:r w:rsidRPr="00D46A14">
        <w:rPr>
          <w:rFonts w:ascii="Book Antiqua" w:hAnsi="Book Antiqua"/>
          <w:sz w:val="24"/>
          <w:szCs w:val="24"/>
        </w:rPr>
        <w:t>For treatment effects in which there is strong heterogeneity (</w:t>
      </w:r>
      <w:r w:rsidRPr="00D46A14">
        <w:rPr>
          <w:rFonts w:ascii="Book Antiqua" w:hAnsi="Book Antiqua"/>
          <w:i/>
          <w:sz w:val="24"/>
          <w:szCs w:val="24"/>
        </w:rPr>
        <w:t>I</w:t>
      </w:r>
      <w:r w:rsidRPr="00D46A14">
        <w:rPr>
          <w:rFonts w:ascii="Book Antiqua" w:hAnsi="Book Antiqua"/>
          <w:sz w:val="24"/>
          <w:szCs w:val="24"/>
          <w:vertAlign w:val="superscript"/>
        </w:rPr>
        <w:t>2</w:t>
      </w:r>
      <w:r w:rsidRPr="00D46A14">
        <w:rPr>
          <w:rFonts w:ascii="Book Antiqua" w:hAnsi="Book Antiqua"/>
          <w:sz w:val="24"/>
          <w:szCs w:val="24"/>
        </w:rPr>
        <w:t xml:space="preserve"> - 50%) test with fixed effect, we exclude studies that were outside the limits of the funnel plot and the heterogeneity was reevaluated. If there was a reduction in heterogeneity (</w:t>
      </w:r>
      <w:r w:rsidRPr="00D46A14">
        <w:rPr>
          <w:rFonts w:ascii="Book Antiqua" w:hAnsi="Book Antiqua"/>
          <w:i/>
          <w:sz w:val="24"/>
          <w:szCs w:val="24"/>
        </w:rPr>
        <w:t>I</w:t>
      </w:r>
      <w:r w:rsidRPr="00D46A14">
        <w:rPr>
          <w:rFonts w:ascii="Book Antiqua" w:hAnsi="Book Antiqua"/>
          <w:sz w:val="24"/>
          <w:szCs w:val="24"/>
          <w:vertAlign w:val="superscript"/>
        </w:rPr>
        <w:t>2</w:t>
      </w:r>
      <w:r w:rsidRPr="00D46A14">
        <w:rPr>
          <w:rFonts w:ascii="Book Antiqua" w:hAnsi="Book Antiqua"/>
          <w:sz w:val="24"/>
          <w:szCs w:val="24"/>
        </w:rPr>
        <w:t xml:space="preserve"> &lt;</w:t>
      </w:r>
      <w:r w:rsidR="00567D81" w:rsidRPr="00D46A14">
        <w:rPr>
          <w:rFonts w:ascii="Book Antiqua" w:eastAsia="等线" w:hAnsi="Book Antiqua"/>
          <w:sz w:val="24"/>
          <w:szCs w:val="24"/>
          <w:lang w:eastAsia="zh-CN"/>
        </w:rPr>
        <w:t xml:space="preserve"> </w:t>
      </w:r>
      <w:r w:rsidRPr="00D46A14">
        <w:rPr>
          <w:rFonts w:ascii="Book Antiqua" w:hAnsi="Book Antiqua"/>
          <w:sz w:val="24"/>
          <w:szCs w:val="24"/>
        </w:rPr>
        <w:t>50%), the excluded study was considered an outlier, that is, responsible for the high heterogeneity due to a publication bias and, consequently, it was not part of the final meta-analysis. If an outlier was not identified and the heterogeneity remained high, the Higgins et al test was randomly selected</w:t>
      </w:r>
      <w:r w:rsidR="001228B4" w:rsidRPr="00D46A14">
        <w:rPr>
          <w:rFonts w:ascii="Book Antiqua" w:hAnsi="Book Antiqua"/>
          <w:sz w:val="24"/>
          <w:szCs w:val="24"/>
        </w:rPr>
        <w:t>. Review Manager 5 (RevMan 5) version 5.39 (by the Cochrane Collaboration, 2015) was the software chosen to run the meta-analysis</w:t>
      </w:r>
      <w:r w:rsidR="001228B4" w:rsidRPr="00D46A14">
        <w:rPr>
          <w:rFonts w:ascii="Book Antiqua" w:hAnsi="Book Antiqua"/>
          <w:noProof/>
          <w:sz w:val="24"/>
          <w:szCs w:val="24"/>
          <w:lang w:eastAsia="zh-CN"/>
        </w:rPr>
        <w:drawing>
          <wp:inline distT="0" distB="0" distL="0" distR="0" wp14:anchorId="28EF90B2" wp14:editId="098EBB3C">
            <wp:extent cx="24242" cy="28282"/>
            <wp:effectExtent l="0" t="0" r="0" b="0"/>
            <wp:docPr id="44" name="Picture 11265"/>
            <wp:cNvGraphicFramePr/>
            <a:graphic xmlns:a="http://schemas.openxmlformats.org/drawingml/2006/main">
              <a:graphicData uri="http://schemas.openxmlformats.org/drawingml/2006/picture">
                <pic:pic xmlns:pic="http://schemas.openxmlformats.org/drawingml/2006/picture">
                  <pic:nvPicPr>
                    <pic:cNvPr id="11265" name="Picture 11265"/>
                    <pic:cNvPicPr/>
                  </pic:nvPicPr>
                  <pic:blipFill>
                    <a:blip r:embed="rId9"/>
                    <a:stretch>
                      <a:fillRect/>
                    </a:stretch>
                  </pic:blipFill>
                  <pic:spPr>
                    <a:xfrm>
                      <a:off x="0" y="0"/>
                      <a:ext cx="24242" cy="28282"/>
                    </a:xfrm>
                    <a:prstGeom prst="rect">
                      <a:avLst/>
                    </a:prstGeom>
                  </pic:spPr>
                </pic:pic>
              </a:graphicData>
            </a:graphic>
          </wp:inline>
        </w:drawing>
      </w:r>
    </w:p>
    <w:p w14:paraId="2747A596" w14:textId="77777777" w:rsidR="00567D81" w:rsidRPr="00D46A14" w:rsidRDefault="00567D81" w:rsidP="00D46A14">
      <w:pPr>
        <w:spacing w:after="0" w:line="360" w:lineRule="auto"/>
        <w:ind w:left="0" w:right="81" w:firstLine="0"/>
        <w:rPr>
          <w:rFonts w:ascii="Book Antiqua" w:eastAsia="等线" w:hAnsi="Book Antiqua"/>
          <w:sz w:val="24"/>
          <w:szCs w:val="24"/>
          <w:lang w:eastAsia="zh-CN"/>
        </w:rPr>
      </w:pPr>
    </w:p>
    <w:p w14:paraId="03D0000E" w14:textId="21B13B96" w:rsidR="00454CF1" w:rsidRPr="00D46A14" w:rsidRDefault="007C3221"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Risk of bias across studies</w:t>
      </w:r>
    </w:p>
    <w:p w14:paraId="08E513C5" w14:textId="77777777" w:rsidR="00567D81" w:rsidRPr="00D46A14" w:rsidRDefault="007C3221" w:rsidP="00D46A14">
      <w:pPr>
        <w:spacing w:after="0" w:line="360" w:lineRule="auto"/>
        <w:ind w:left="0" w:right="81" w:firstLine="0"/>
        <w:rPr>
          <w:rFonts w:ascii="Book Antiqua" w:eastAsia="等线" w:hAnsi="Book Antiqua"/>
          <w:sz w:val="24"/>
          <w:szCs w:val="24"/>
          <w:lang w:eastAsia="zh-CN"/>
        </w:rPr>
      </w:pPr>
      <w:r w:rsidRPr="00D46A14">
        <w:rPr>
          <w:rFonts w:ascii="Book Antiqua" w:hAnsi="Book Antiqua"/>
          <w:sz w:val="24"/>
          <w:szCs w:val="24"/>
        </w:rPr>
        <w:t xml:space="preserve">Reporting bias across studies </w:t>
      </w:r>
      <w:r w:rsidR="0068327B" w:rsidRPr="00D46A14">
        <w:rPr>
          <w:rFonts w:ascii="Book Antiqua" w:hAnsi="Book Antiqua"/>
          <w:sz w:val="24"/>
          <w:szCs w:val="24"/>
        </w:rPr>
        <w:t>was</w:t>
      </w:r>
      <w:r w:rsidRPr="00D46A14">
        <w:rPr>
          <w:rFonts w:ascii="Book Antiqua" w:hAnsi="Book Antiqua"/>
          <w:sz w:val="24"/>
          <w:szCs w:val="24"/>
        </w:rPr>
        <w:t xml:space="preserve"> evaluated by funnel plot</w:t>
      </w:r>
      <w:r w:rsidR="005C1764" w:rsidRPr="00D46A14">
        <w:rPr>
          <w:rFonts w:ascii="Book Antiqua" w:hAnsi="Book Antiqua"/>
          <w:sz w:val="24"/>
          <w:szCs w:val="24"/>
        </w:rPr>
        <w:t xml:space="preserve"> graphical analysis</w:t>
      </w:r>
      <w:r w:rsidRPr="00D46A14">
        <w:rPr>
          <w:rFonts w:ascii="Book Antiqua" w:hAnsi="Book Antiqua"/>
          <w:sz w:val="24"/>
          <w:szCs w:val="24"/>
        </w:rPr>
        <w:t>. For each trial</w:t>
      </w:r>
      <w:r w:rsidR="007C2992" w:rsidRPr="00D46A14">
        <w:rPr>
          <w:rFonts w:ascii="Book Antiqua" w:hAnsi="Book Antiqua"/>
          <w:sz w:val="24"/>
          <w:szCs w:val="24"/>
        </w:rPr>
        <w:t>,</w:t>
      </w:r>
      <w:r w:rsidRPr="00D46A14">
        <w:rPr>
          <w:rFonts w:ascii="Book Antiqua" w:hAnsi="Book Antiqua"/>
          <w:sz w:val="24"/>
          <w:szCs w:val="24"/>
        </w:rPr>
        <w:t xml:space="preserve"> the treatment effect was plotted against the measure of study precision and by Egger's test</w:t>
      </w:r>
      <w:r w:rsidR="000B7430" w:rsidRPr="00D46A14">
        <w:rPr>
          <w:rFonts w:ascii="Book Antiqua" w:hAnsi="Book Antiqua"/>
          <w:sz w:val="24"/>
          <w:szCs w:val="24"/>
          <w:vertAlign w:val="superscript"/>
        </w:rPr>
        <w:fldChar w:fldCharType="begin" w:fldLock="1"/>
      </w:r>
      <w:r w:rsidR="00D63E08" w:rsidRPr="00D46A14">
        <w:rPr>
          <w:rFonts w:ascii="Book Antiqua" w:hAnsi="Book Antiqua"/>
          <w:sz w:val="24"/>
          <w:szCs w:val="24"/>
          <w:vertAlign w:val="superscript"/>
        </w:rPr>
        <w:instrText>ADDIN CSL_CITATION {"citationItems":[{"id":"ITEM-1","itemData":{"DOI":"10.1136/bmj.316.7129.469","ISBN":"0959-8138 (Print)\\n0959-535X (Linking)","ISSN":"0959-8138","PMID":"9310563","abstract":"OBJECTIVE: Funnel plots (plots of effect estimates against sample size) may be useful to detect bias in meta-analyses that were later contradicted by large trials. We examined whether a simple test of asymmetry of funnel plots predicts discordance of results when meta-analyses are compared to large trials, and we assessed the prevalence of bias in published meta-analyses. DESIGN: Medline search to identify pairs consisting of a meta-analysis and a single large trial (concordance of results was assumed if effects were in the same direction and the meta-analytic estimate was within 30% of the trial); analysis of funnel plots from 37 meta-analyses identified from a hand search of four leading general medicine journals 1993-6 and 38 meta-analyses from the second 1996 issue of the Cochrane Database of Systematic Reviews. MAIN OUTCOME MEASURE: Degree of funnel plot asymmetry as measured by the intercept from regression of standard normal deviates against precision. RESULTS: In the eight pairs of meta-analysis and large trial that were identified (five from cardiovascular medicine, one from diabetic medicine, one from geriatric medicine, one from perinatal medicine) there were four concordant and four discordant pairs. In all cases discordance was due to meta-analyses showing larger effects. Funnel plot asymmetry was present in three out of four discordant pairs but in none of concordant pairs. In 14 (38%) journal meta-analyses and 5 (13%) Cochrane reviews, funnel plot asymmetry indicated that there was bias. CONCLUSIONS: A simple analysis of funnel plots provides a useful test for the likely presence of bias in meta-analyses, but as the capacity to detect bias will be limited when meta-analyses are based on a limited number of small trials the results from such analyses should be treated with considerable caution.","author":[{"dropping-particle":"","family":"Egger","given":"Matthias","non-dropping-particle":"","parse-names":false,"suffix":""},{"dropping-particle":"","family":"Davey Smith","given":"George","non-dropping-particle":"","parse-names":false,"suffix":""},{"dropping-particle":"","family":"Schneider","given":"Martin","non-dropping-particle":"","parse-names":false,"suffix":""},{"dropping-particle":"","family":"Minder","given":"Christoph","non-dropping-particle":"","parse-names":false,"suffix":""}],"container-title":"British Medical Journal","id":"ITEM-1","issued":{"date-parts":[["1997"]]},"title":"Bias in meta-analysis detected by a simple, graphical test","type":"article-journal"},"uris":["http://www.mendeley.com/documents/?uuid=6fb7a018-f8d3-4dc3-bc98-29a9d7201d95"]}],"mendeley":{"formattedCitation":"&lt;sup&gt;[22]&lt;/sup&gt;","plainTextFormattedCitation":"[22]","previouslyFormattedCitation":"&lt;sup&gt;[22]&lt;/sup&gt;"},"properties":{"noteIndex":0},"schema":"https://github.com/citation-style-language/schema/raw/master/csl-citation.json"}</w:instrText>
      </w:r>
      <w:r w:rsidR="000B7430" w:rsidRPr="00D46A14">
        <w:rPr>
          <w:rFonts w:ascii="Book Antiqua" w:hAnsi="Book Antiqua"/>
          <w:sz w:val="24"/>
          <w:szCs w:val="24"/>
          <w:vertAlign w:val="superscript"/>
        </w:rPr>
        <w:fldChar w:fldCharType="separate"/>
      </w:r>
      <w:r w:rsidR="002A4C73" w:rsidRPr="00D46A14">
        <w:rPr>
          <w:rFonts w:ascii="Book Antiqua" w:hAnsi="Book Antiqua"/>
          <w:noProof/>
          <w:sz w:val="24"/>
          <w:szCs w:val="24"/>
          <w:vertAlign w:val="superscript"/>
        </w:rPr>
        <w:t>[22]</w:t>
      </w:r>
      <w:r w:rsidR="000B7430" w:rsidRPr="00D46A14">
        <w:rPr>
          <w:rFonts w:ascii="Book Antiqua" w:hAnsi="Book Antiqua"/>
          <w:sz w:val="24"/>
          <w:szCs w:val="24"/>
          <w:vertAlign w:val="superscript"/>
        </w:rPr>
        <w:fldChar w:fldCharType="end"/>
      </w:r>
      <w:r w:rsidRPr="00D46A14">
        <w:rPr>
          <w:rFonts w:ascii="Book Antiqua" w:hAnsi="Book Antiqua"/>
          <w:sz w:val="24"/>
          <w:szCs w:val="24"/>
        </w:rPr>
        <w:t xml:space="preserve">. </w:t>
      </w:r>
      <w:r w:rsidR="00E429E6" w:rsidRPr="00D46A14">
        <w:rPr>
          <w:rFonts w:ascii="Book Antiqua" w:hAnsi="Book Antiqua"/>
          <w:sz w:val="24"/>
          <w:szCs w:val="24"/>
        </w:rPr>
        <w:t>A</w:t>
      </w:r>
      <w:r w:rsidRPr="00D46A14">
        <w:rPr>
          <w:rFonts w:ascii="Book Antiqua" w:hAnsi="Book Antiqua"/>
          <w:sz w:val="24"/>
          <w:szCs w:val="24"/>
        </w:rPr>
        <w:t xml:space="preserve">symmetrical funnel plot suggests the presence of </w:t>
      </w:r>
      <w:r w:rsidR="007C2992" w:rsidRPr="00D46A14">
        <w:rPr>
          <w:rFonts w:ascii="Book Antiqua" w:hAnsi="Book Antiqua"/>
          <w:sz w:val="24"/>
          <w:szCs w:val="24"/>
        </w:rPr>
        <w:t>reporting</w:t>
      </w:r>
      <w:r w:rsidRPr="00D46A14">
        <w:rPr>
          <w:rFonts w:ascii="Book Antiqua" w:hAnsi="Book Antiqua"/>
          <w:sz w:val="24"/>
          <w:szCs w:val="24"/>
        </w:rPr>
        <w:t xml:space="preserve"> bias</w:t>
      </w:r>
      <w:r w:rsidR="00254983" w:rsidRPr="00D46A14">
        <w:rPr>
          <w:rFonts w:ascii="Book Antiqua" w:hAnsi="Book Antiqua"/>
          <w:sz w:val="24"/>
          <w:szCs w:val="24"/>
        </w:rPr>
        <w:t xml:space="preserve">, </w:t>
      </w:r>
      <w:r w:rsidRPr="00D46A14">
        <w:rPr>
          <w:rFonts w:ascii="Book Antiqua" w:hAnsi="Book Antiqua"/>
          <w:sz w:val="24"/>
          <w:szCs w:val="24"/>
        </w:rPr>
        <w:t>methodological bias or true heterogeneity between smaller and larger studies.</w:t>
      </w:r>
    </w:p>
    <w:p w14:paraId="03E09128" w14:textId="77777777" w:rsidR="00567D81" w:rsidRPr="00D46A14" w:rsidRDefault="00567D81" w:rsidP="00D46A14">
      <w:pPr>
        <w:spacing w:after="0" w:line="360" w:lineRule="auto"/>
        <w:ind w:left="0" w:right="81" w:firstLine="0"/>
        <w:rPr>
          <w:rFonts w:ascii="Book Antiqua" w:eastAsia="等线" w:hAnsi="Book Antiqua"/>
          <w:sz w:val="24"/>
          <w:szCs w:val="24"/>
          <w:lang w:eastAsia="zh-CN"/>
        </w:rPr>
      </w:pPr>
    </w:p>
    <w:p w14:paraId="0069EC07" w14:textId="57341398" w:rsidR="00454CF1" w:rsidRPr="00D46A14" w:rsidRDefault="007C3221"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lastRenderedPageBreak/>
        <w:t>Additional analysis</w:t>
      </w:r>
    </w:p>
    <w:p w14:paraId="27AD1262" w14:textId="77777777" w:rsidR="00567D81" w:rsidRPr="00D46A14" w:rsidRDefault="007C3221" w:rsidP="00D46A14">
      <w:pPr>
        <w:spacing w:after="0" w:line="360" w:lineRule="auto"/>
        <w:ind w:firstLine="0"/>
        <w:rPr>
          <w:rFonts w:ascii="Book Antiqua" w:eastAsia="等线" w:hAnsi="Book Antiqua"/>
          <w:sz w:val="24"/>
          <w:szCs w:val="24"/>
          <w:lang w:eastAsia="zh-CN"/>
        </w:rPr>
      </w:pPr>
      <w:r w:rsidRPr="00D46A14">
        <w:rPr>
          <w:rFonts w:ascii="Book Antiqua" w:hAnsi="Book Antiqua"/>
          <w:sz w:val="24"/>
          <w:szCs w:val="24"/>
        </w:rPr>
        <w:t>In the presence of an asymmetrical funnel plot or high heterogeneity</w:t>
      </w:r>
      <w:r w:rsidR="007C2992" w:rsidRPr="00D46A14">
        <w:rPr>
          <w:rFonts w:ascii="Book Antiqua" w:hAnsi="Book Antiqua"/>
          <w:sz w:val="24"/>
          <w:szCs w:val="24"/>
        </w:rPr>
        <w:t>,</w:t>
      </w:r>
      <w:r w:rsidRPr="00D46A14">
        <w:rPr>
          <w:rFonts w:ascii="Book Antiqua" w:hAnsi="Book Antiqua"/>
          <w:sz w:val="24"/>
          <w:szCs w:val="24"/>
        </w:rPr>
        <w:t xml:space="preserve"> (</w:t>
      </w:r>
      <w:r w:rsidR="00E20358" w:rsidRPr="00D46A14">
        <w:rPr>
          <w:rFonts w:ascii="Book Antiqua" w:hAnsi="Book Antiqua"/>
          <w:i/>
          <w:sz w:val="24"/>
          <w:szCs w:val="24"/>
        </w:rPr>
        <w:t>I</w:t>
      </w:r>
      <w:r w:rsidRPr="00D46A14">
        <w:rPr>
          <w:rFonts w:ascii="Book Antiqua" w:hAnsi="Book Antiqua"/>
          <w:sz w:val="24"/>
          <w:szCs w:val="24"/>
          <w:vertAlign w:val="superscript"/>
        </w:rPr>
        <w:t>2</w:t>
      </w:r>
      <w:r w:rsidR="00567D81" w:rsidRPr="00D46A14">
        <w:rPr>
          <w:rFonts w:ascii="Book Antiqua" w:eastAsia="等线" w:hAnsi="Book Antiqua"/>
          <w:sz w:val="24"/>
          <w:szCs w:val="24"/>
          <w:vertAlign w:val="superscript"/>
          <w:lang w:eastAsia="zh-CN"/>
        </w:rPr>
        <w:t xml:space="preserve"> </w:t>
      </w:r>
      <w:r w:rsidR="00E20358" w:rsidRPr="00D46A14">
        <w:rPr>
          <w:rFonts w:ascii="Book Antiqua" w:hAnsi="Book Antiqua"/>
          <w:sz w:val="24"/>
          <w:szCs w:val="24"/>
        </w:rPr>
        <w:t xml:space="preserve">≥ </w:t>
      </w:r>
      <w:r w:rsidRPr="00D46A14">
        <w:rPr>
          <w:rFonts w:ascii="Book Antiqua" w:hAnsi="Book Antiqua"/>
          <w:sz w:val="24"/>
          <w:szCs w:val="24"/>
        </w:rPr>
        <w:t xml:space="preserve">50%) </w:t>
      </w:r>
      <w:r w:rsidR="00E70DE7" w:rsidRPr="00D46A14">
        <w:rPr>
          <w:rFonts w:ascii="Book Antiqua" w:hAnsi="Book Antiqua"/>
          <w:sz w:val="24"/>
          <w:szCs w:val="24"/>
        </w:rPr>
        <w:t xml:space="preserve">a </w:t>
      </w:r>
      <w:r w:rsidRPr="00D46A14">
        <w:rPr>
          <w:rFonts w:ascii="Book Antiqua" w:hAnsi="Book Antiqua"/>
          <w:sz w:val="24"/>
          <w:szCs w:val="24"/>
        </w:rPr>
        <w:t xml:space="preserve">sensitivity analysis was conducted to explore how the results of </w:t>
      </w:r>
      <w:r w:rsidR="00E70DE7" w:rsidRPr="00D46A14">
        <w:rPr>
          <w:rFonts w:ascii="Book Antiqua" w:hAnsi="Book Antiqua"/>
          <w:sz w:val="24"/>
          <w:szCs w:val="24"/>
        </w:rPr>
        <w:t xml:space="preserve">the </w:t>
      </w:r>
      <w:r w:rsidRPr="00D46A14">
        <w:rPr>
          <w:rFonts w:ascii="Book Antiqua" w:hAnsi="Book Antiqua"/>
          <w:sz w:val="24"/>
          <w:szCs w:val="24"/>
        </w:rPr>
        <w:t>meta</w:t>
      </w:r>
      <w:r w:rsidR="006F4AB3" w:rsidRPr="00D46A14">
        <w:rPr>
          <w:rFonts w:ascii="Book Antiqua" w:hAnsi="Book Antiqua"/>
          <w:sz w:val="24"/>
          <w:szCs w:val="24"/>
        </w:rPr>
        <w:t>-</w:t>
      </w:r>
      <w:r w:rsidRPr="00D46A14">
        <w:rPr>
          <w:rFonts w:ascii="Book Antiqua" w:hAnsi="Book Antiqua"/>
          <w:sz w:val="24"/>
          <w:szCs w:val="24"/>
        </w:rPr>
        <w:t xml:space="preserve">analysis </w:t>
      </w:r>
      <w:r w:rsidR="005C1764" w:rsidRPr="00D46A14">
        <w:rPr>
          <w:rFonts w:ascii="Book Antiqua" w:hAnsi="Book Antiqua"/>
          <w:sz w:val="24"/>
          <w:szCs w:val="24"/>
        </w:rPr>
        <w:t xml:space="preserve">could </w:t>
      </w:r>
      <w:r w:rsidRPr="00D46A14">
        <w:rPr>
          <w:rFonts w:ascii="Book Antiqua" w:hAnsi="Book Antiqua"/>
          <w:sz w:val="24"/>
          <w:szCs w:val="24"/>
        </w:rPr>
        <w:t>change under different assumptions</w:t>
      </w:r>
      <w:r w:rsidR="000B7430" w:rsidRPr="00D46A14">
        <w:rPr>
          <w:rFonts w:ascii="Book Antiqua" w:hAnsi="Book Antiqua"/>
          <w:sz w:val="24"/>
          <w:szCs w:val="24"/>
          <w:vertAlign w:val="superscript"/>
        </w:rPr>
        <w:fldChar w:fldCharType="begin" w:fldLock="1"/>
      </w:r>
      <w:r w:rsidR="00D63E08" w:rsidRPr="00D46A14">
        <w:rPr>
          <w:rFonts w:ascii="Book Antiqua" w:hAnsi="Book Antiqua"/>
          <w:sz w:val="24"/>
          <w:szCs w:val="24"/>
          <w:vertAlign w:val="superscript"/>
        </w:rPr>
        <w:instrText>ADDIN CSL_CITATION {"citationItems":[{"id":"ITEM-1","itemData":{"DOI":"10.1093/biostatistics/1.3.247","ISBN":"1465-4644 (Print)\\n1465-4644 (Linking)","ISSN":"14654644","PMID":"12933507","abstract":"Publication bias is a major problem, perhaps the major problem, in meta-analysis (or systematic reviews). Small studies are more likely to be published if their results are 'significant' than if their results are negative or inconclusive, and so the studies available for review are biased in favour of those with positive outcomes. Correcting for this bias is not possible without making untestable assumptions. In this paper, a sensitivity analysis is suggested which is based on fitting a model to the funnel plot. Some examples are discussed.","author":[{"dropping-particle":"","family":"Copas","given":"J.","non-dropping-particle":"","parse-names":false,"suffix":""}],"container-title":"Biostatistics","id":"ITEM-1","issue":"3","issued":{"date-parts":[["2000"]]},"page":"247-262","title":"Meta-analysis, funnel plots and sensitivity analysis","type":"article-journal","volume":"1"},"uris":["http://www.mendeley.com/documents/?uuid=0bd7800a-eaea-4c34-bb54-7b0d8cc85408"]}],"mendeley":{"formattedCitation":"&lt;sup&gt;[23]&lt;/sup&gt;","plainTextFormattedCitation":"[23]","previouslyFormattedCitation":"&lt;sup&gt;[23]&lt;/sup&gt;"},"properties":{"noteIndex":0},"schema":"https://github.com/citation-style-language/schema/raw/master/csl-citation.json"}</w:instrText>
      </w:r>
      <w:r w:rsidR="000B7430" w:rsidRPr="00D46A14">
        <w:rPr>
          <w:rFonts w:ascii="Book Antiqua" w:hAnsi="Book Antiqua"/>
          <w:sz w:val="24"/>
          <w:szCs w:val="24"/>
          <w:vertAlign w:val="superscript"/>
        </w:rPr>
        <w:fldChar w:fldCharType="separate"/>
      </w:r>
      <w:r w:rsidR="002A4C73" w:rsidRPr="00D46A14">
        <w:rPr>
          <w:rFonts w:ascii="Book Antiqua" w:hAnsi="Book Antiqua"/>
          <w:noProof/>
          <w:sz w:val="24"/>
          <w:szCs w:val="24"/>
          <w:vertAlign w:val="superscript"/>
        </w:rPr>
        <w:t>[23]</w:t>
      </w:r>
      <w:r w:rsidR="000B7430" w:rsidRPr="00D46A14">
        <w:rPr>
          <w:rFonts w:ascii="Book Antiqua" w:hAnsi="Book Antiqua"/>
          <w:sz w:val="24"/>
          <w:szCs w:val="24"/>
          <w:vertAlign w:val="superscript"/>
        </w:rPr>
        <w:fldChar w:fldCharType="end"/>
      </w:r>
      <w:r w:rsidRPr="00D46A14">
        <w:rPr>
          <w:rFonts w:ascii="Book Antiqua" w:hAnsi="Book Antiqua"/>
          <w:sz w:val="24"/>
          <w:szCs w:val="24"/>
        </w:rPr>
        <w:t>. Heterogeneity and funnel plot</w:t>
      </w:r>
      <w:r w:rsidR="005C1764" w:rsidRPr="00D46A14">
        <w:rPr>
          <w:rFonts w:ascii="Book Antiqua" w:hAnsi="Book Antiqua"/>
          <w:sz w:val="24"/>
          <w:szCs w:val="24"/>
        </w:rPr>
        <w:t xml:space="preserve"> analysis</w:t>
      </w:r>
      <w:r w:rsidRPr="00D46A14">
        <w:rPr>
          <w:rFonts w:ascii="Book Antiqua" w:hAnsi="Book Antiqua"/>
          <w:sz w:val="24"/>
          <w:szCs w:val="24"/>
        </w:rPr>
        <w:t xml:space="preserve"> before and after </w:t>
      </w:r>
      <w:r w:rsidR="00A1723C" w:rsidRPr="00D46A14">
        <w:rPr>
          <w:rFonts w:ascii="Book Antiqua" w:hAnsi="Book Antiqua"/>
          <w:sz w:val="24"/>
          <w:szCs w:val="24"/>
        </w:rPr>
        <w:t>the removal of</w:t>
      </w:r>
      <w:r w:rsidRPr="00D46A14">
        <w:rPr>
          <w:rFonts w:ascii="Book Antiqua" w:hAnsi="Book Antiqua"/>
          <w:sz w:val="24"/>
          <w:szCs w:val="24"/>
        </w:rPr>
        <w:t xml:space="preserve"> each study </w:t>
      </w:r>
      <w:r w:rsidR="00294411" w:rsidRPr="00D46A14">
        <w:rPr>
          <w:rFonts w:ascii="Book Antiqua" w:hAnsi="Book Antiqua"/>
          <w:sz w:val="24"/>
          <w:szCs w:val="24"/>
        </w:rPr>
        <w:t>from</w:t>
      </w:r>
      <w:r w:rsidR="00A1723C" w:rsidRPr="00D46A14">
        <w:rPr>
          <w:rFonts w:ascii="Book Antiqua" w:hAnsi="Book Antiqua"/>
          <w:sz w:val="24"/>
          <w:szCs w:val="24"/>
        </w:rPr>
        <w:t xml:space="preserve"> the</w:t>
      </w:r>
      <w:r w:rsidRPr="00D46A14">
        <w:rPr>
          <w:rFonts w:ascii="Book Antiqua" w:hAnsi="Book Antiqua"/>
          <w:sz w:val="24"/>
          <w:szCs w:val="24"/>
        </w:rPr>
        <w:t xml:space="preserve"> meta-analysis were assessed to identify the stud</w:t>
      </w:r>
      <w:r w:rsidR="005C1764" w:rsidRPr="00D46A14">
        <w:rPr>
          <w:rFonts w:ascii="Book Antiqua" w:hAnsi="Book Antiqua"/>
          <w:sz w:val="24"/>
          <w:szCs w:val="24"/>
        </w:rPr>
        <w:t>ies</w:t>
      </w:r>
      <w:r w:rsidRPr="00D46A14">
        <w:rPr>
          <w:rFonts w:ascii="Book Antiqua" w:hAnsi="Book Antiqua"/>
          <w:sz w:val="24"/>
          <w:szCs w:val="24"/>
        </w:rPr>
        <w:t xml:space="preserve"> </w:t>
      </w:r>
      <w:r w:rsidR="00A1723C" w:rsidRPr="00D46A14">
        <w:rPr>
          <w:rFonts w:ascii="Book Antiqua" w:hAnsi="Book Antiqua"/>
          <w:sz w:val="24"/>
          <w:szCs w:val="24"/>
        </w:rPr>
        <w:t>accounting</w:t>
      </w:r>
      <w:r w:rsidR="00E20358" w:rsidRPr="00D46A14">
        <w:rPr>
          <w:rFonts w:ascii="Book Antiqua" w:hAnsi="Book Antiqua"/>
          <w:sz w:val="24"/>
          <w:szCs w:val="24"/>
        </w:rPr>
        <w:t xml:space="preserve"> for inconsistency among</w:t>
      </w:r>
      <w:r w:rsidRPr="00D46A14">
        <w:rPr>
          <w:rFonts w:ascii="Book Antiqua" w:hAnsi="Book Antiqua"/>
          <w:sz w:val="24"/>
          <w:szCs w:val="24"/>
        </w:rPr>
        <w:t xml:space="preserve"> trials</w:t>
      </w:r>
      <w:r w:rsidR="00254983" w:rsidRPr="00D46A14">
        <w:rPr>
          <w:rFonts w:ascii="Book Antiqua" w:hAnsi="Book Antiqua"/>
          <w:sz w:val="24"/>
          <w:szCs w:val="24"/>
        </w:rPr>
        <w:t xml:space="preserve">. </w:t>
      </w:r>
      <w:r w:rsidRPr="00D46A14">
        <w:rPr>
          <w:rFonts w:ascii="Book Antiqua" w:hAnsi="Book Antiqua"/>
          <w:sz w:val="24"/>
          <w:szCs w:val="24"/>
        </w:rPr>
        <w:t>If het</w:t>
      </w:r>
      <w:r w:rsidR="00E20358" w:rsidRPr="00D46A14">
        <w:rPr>
          <w:rFonts w:ascii="Book Antiqua" w:hAnsi="Book Antiqua"/>
          <w:sz w:val="24"/>
          <w:szCs w:val="24"/>
        </w:rPr>
        <w:t xml:space="preserve">erogeneity </w:t>
      </w:r>
      <w:r w:rsidR="00A1723C" w:rsidRPr="00D46A14">
        <w:rPr>
          <w:rFonts w:ascii="Book Antiqua" w:hAnsi="Book Antiqua"/>
          <w:sz w:val="24"/>
          <w:szCs w:val="24"/>
        </w:rPr>
        <w:t xml:space="preserve">was </w:t>
      </w:r>
      <w:r w:rsidR="00E20358" w:rsidRPr="00D46A14">
        <w:rPr>
          <w:rFonts w:ascii="Book Antiqua" w:hAnsi="Book Antiqua"/>
          <w:sz w:val="24"/>
          <w:szCs w:val="24"/>
        </w:rPr>
        <w:t>reduced to below 50%</w:t>
      </w:r>
      <w:r w:rsidR="00294411" w:rsidRPr="00D46A14">
        <w:rPr>
          <w:rFonts w:ascii="Book Antiqua" w:hAnsi="Book Antiqua"/>
          <w:sz w:val="24"/>
          <w:szCs w:val="24"/>
        </w:rPr>
        <w:t xml:space="preserve"> after the removal of the outlier, </w:t>
      </w:r>
      <w:r w:rsidRPr="00D46A14">
        <w:rPr>
          <w:rFonts w:ascii="Book Antiqua" w:hAnsi="Book Antiqua"/>
          <w:sz w:val="24"/>
          <w:szCs w:val="24"/>
        </w:rPr>
        <w:t>the corrected intervention effect estimate</w:t>
      </w:r>
      <w:r w:rsidR="00294411" w:rsidRPr="00D46A14">
        <w:rPr>
          <w:rFonts w:ascii="Book Antiqua" w:hAnsi="Book Antiqua"/>
          <w:sz w:val="24"/>
          <w:szCs w:val="24"/>
        </w:rPr>
        <w:t xml:space="preserve"> was applied</w:t>
      </w:r>
      <w:r w:rsidRPr="00D46A14">
        <w:rPr>
          <w:rFonts w:ascii="Book Antiqua" w:hAnsi="Book Antiqua"/>
          <w:sz w:val="24"/>
          <w:szCs w:val="24"/>
        </w:rPr>
        <w:t xml:space="preserve"> and </w:t>
      </w:r>
      <w:r w:rsidR="005C1764" w:rsidRPr="00D46A14">
        <w:rPr>
          <w:rFonts w:ascii="Book Antiqua" w:hAnsi="Book Antiqua"/>
          <w:sz w:val="24"/>
          <w:szCs w:val="24"/>
        </w:rPr>
        <w:t>the results were interpreted with caution</w:t>
      </w:r>
      <w:r w:rsidRPr="00D46A14">
        <w:rPr>
          <w:rFonts w:ascii="Book Antiqua" w:hAnsi="Book Antiqua"/>
          <w:sz w:val="24"/>
          <w:szCs w:val="24"/>
        </w:rPr>
        <w:t xml:space="preserve">. If inconsistency did not decrease, it was </w:t>
      </w:r>
      <w:r w:rsidR="005A4170" w:rsidRPr="00D46A14">
        <w:rPr>
          <w:rFonts w:ascii="Book Antiqua" w:hAnsi="Book Antiqua"/>
          <w:sz w:val="24"/>
          <w:szCs w:val="24"/>
        </w:rPr>
        <w:t>considered</w:t>
      </w:r>
      <w:r w:rsidRPr="00D46A14">
        <w:rPr>
          <w:rFonts w:ascii="Book Antiqua" w:hAnsi="Book Antiqua"/>
          <w:sz w:val="24"/>
          <w:szCs w:val="24"/>
        </w:rPr>
        <w:t xml:space="preserve"> true heterogeneity.</w:t>
      </w:r>
    </w:p>
    <w:p w14:paraId="631AE4D2" w14:textId="77777777" w:rsidR="00567D81" w:rsidRPr="00D46A14" w:rsidRDefault="00567D81" w:rsidP="00D46A14">
      <w:pPr>
        <w:spacing w:after="0" w:line="360" w:lineRule="auto"/>
        <w:ind w:firstLine="0"/>
        <w:rPr>
          <w:rFonts w:ascii="Book Antiqua" w:eastAsia="等线" w:hAnsi="Book Antiqua"/>
          <w:sz w:val="24"/>
          <w:szCs w:val="24"/>
          <w:lang w:eastAsia="zh-CN"/>
        </w:rPr>
      </w:pPr>
    </w:p>
    <w:p w14:paraId="55B1672F" w14:textId="77777777" w:rsidR="00567D81" w:rsidRPr="00D46A14" w:rsidRDefault="007C3221" w:rsidP="00D46A14">
      <w:pPr>
        <w:spacing w:after="0" w:line="360" w:lineRule="auto"/>
        <w:ind w:firstLine="0"/>
        <w:rPr>
          <w:rFonts w:ascii="Book Antiqua" w:eastAsia="等线" w:hAnsi="Book Antiqua"/>
          <w:b/>
          <w:sz w:val="24"/>
          <w:szCs w:val="24"/>
          <w:u w:color="000000"/>
          <w:lang w:eastAsia="zh-CN"/>
        </w:rPr>
      </w:pPr>
      <w:r w:rsidRPr="00D46A14">
        <w:rPr>
          <w:rFonts w:ascii="Book Antiqua" w:hAnsi="Book Antiqua"/>
          <w:b/>
          <w:sz w:val="24"/>
          <w:szCs w:val="24"/>
          <w:u w:color="000000"/>
        </w:rPr>
        <w:t>RESULTS</w:t>
      </w:r>
    </w:p>
    <w:p w14:paraId="2167DB88" w14:textId="77777777" w:rsidR="00567D81" w:rsidRPr="00D46A14" w:rsidRDefault="00F44447" w:rsidP="00D46A14">
      <w:pPr>
        <w:spacing w:after="0" w:line="360" w:lineRule="auto"/>
        <w:ind w:firstLine="0"/>
        <w:rPr>
          <w:rFonts w:ascii="Book Antiqua" w:eastAsia="等线" w:hAnsi="Book Antiqua"/>
          <w:b/>
          <w:sz w:val="24"/>
          <w:szCs w:val="24"/>
          <w:lang w:eastAsia="zh-CN"/>
        </w:rPr>
      </w:pPr>
      <w:r w:rsidRPr="00D46A14">
        <w:rPr>
          <w:rFonts w:ascii="Book Antiqua" w:hAnsi="Book Antiqua"/>
          <w:b/>
          <w:sz w:val="24"/>
          <w:szCs w:val="24"/>
        </w:rPr>
        <w:t>Search</w:t>
      </w:r>
      <w:r w:rsidR="007C3221" w:rsidRPr="00D46A14">
        <w:rPr>
          <w:rFonts w:ascii="Book Antiqua" w:hAnsi="Book Antiqua"/>
          <w:b/>
          <w:sz w:val="24"/>
          <w:szCs w:val="24"/>
        </w:rPr>
        <w:t xml:space="preserve"> and study selection</w:t>
      </w:r>
    </w:p>
    <w:p w14:paraId="25637009" w14:textId="38294E7B" w:rsidR="00567D81" w:rsidRPr="00D46A14" w:rsidRDefault="00023F72" w:rsidP="00D46A14">
      <w:pPr>
        <w:spacing w:after="0" w:line="360" w:lineRule="auto"/>
        <w:ind w:firstLine="0"/>
        <w:rPr>
          <w:rFonts w:ascii="Book Antiqua" w:eastAsia="等线" w:hAnsi="Book Antiqua"/>
          <w:sz w:val="24"/>
          <w:szCs w:val="24"/>
          <w:lang w:eastAsia="zh-CN"/>
        </w:rPr>
      </w:pPr>
      <w:r w:rsidRPr="00D46A14">
        <w:rPr>
          <w:rFonts w:ascii="Book Antiqua" w:hAnsi="Book Antiqua"/>
          <w:sz w:val="24"/>
          <w:szCs w:val="24"/>
        </w:rPr>
        <w:t>Among the 6</w:t>
      </w:r>
      <w:r w:rsidR="00234BCC" w:rsidRPr="00D46A14">
        <w:rPr>
          <w:rFonts w:ascii="Book Antiqua" w:hAnsi="Book Antiqua"/>
          <w:sz w:val="24"/>
          <w:szCs w:val="24"/>
        </w:rPr>
        <w:t>410</w:t>
      </w:r>
      <w:r w:rsidR="005C1764" w:rsidRPr="00D46A14">
        <w:rPr>
          <w:rFonts w:ascii="Book Antiqua" w:hAnsi="Book Antiqua"/>
          <w:sz w:val="24"/>
          <w:szCs w:val="24"/>
        </w:rPr>
        <w:t xml:space="preserve"> </w:t>
      </w:r>
      <w:r w:rsidRPr="00D46A14">
        <w:rPr>
          <w:rFonts w:ascii="Book Antiqua" w:hAnsi="Book Antiqua"/>
          <w:sz w:val="24"/>
          <w:szCs w:val="24"/>
        </w:rPr>
        <w:t>articles screened from our initial search strategy, 23 randomized controlled stud</w:t>
      </w:r>
      <w:r w:rsidR="005C1764" w:rsidRPr="00D46A14">
        <w:rPr>
          <w:rFonts w:ascii="Book Antiqua" w:hAnsi="Book Antiqua"/>
          <w:sz w:val="24"/>
          <w:szCs w:val="24"/>
        </w:rPr>
        <w:t xml:space="preserve">ies </w:t>
      </w:r>
      <w:r w:rsidRPr="00D46A14">
        <w:rPr>
          <w:rFonts w:ascii="Book Antiqua" w:hAnsi="Book Antiqua"/>
          <w:sz w:val="24"/>
          <w:szCs w:val="24"/>
        </w:rPr>
        <w:t xml:space="preserve">were </w:t>
      </w:r>
      <w:r w:rsidR="005C1764" w:rsidRPr="00D46A14">
        <w:rPr>
          <w:rFonts w:ascii="Book Antiqua" w:hAnsi="Book Antiqua"/>
          <w:sz w:val="24"/>
          <w:szCs w:val="24"/>
        </w:rPr>
        <w:t>selected, incl</w:t>
      </w:r>
      <w:r w:rsidR="00567D81" w:rsidRPr="00D46A14">
        <w:rPr>
          <w:rFonts w:ascii="Book Antiqua" w:hAnsi="Book Antiqua"/>
          <w:sz w:val="24"/>
          <w:szCs w:val="24"/>
        </w:rPr>
        <w:t>uding a total of 3854 patients</w:t>
      </w:r>
      <w:r w:rsidR="00387E37"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{"citationItems":[{"id":"ITEM-1","itemData":{"ISSN":"0016-5085","PMID":"12105827","abstract":"BACKGROUND &amp; AIMS Propofol is increasingly used for gastrointestinal endoscopy because of its rapid recovery profile. There has been no prospective, randomized comparison of gastroenterologist-administered propofol to meperidine and midazolam for endoscopic retrograde cholangiopancreatography and endoscopic ultrasonography. Additionally, its cost-effectiveness has not been studied. METHODS Seventy-five randomized patients received either gastroenterologist-administered propofol (n = 38) or meperidine/midazolam (n = 37) for endoscopic retrograde cholangiopancreatography and endoscopic ultrasonography. Monitoring with capnography allowed for rapid titration of propofol at the earliest signs of respiratory depression. Visual analogue scales measured tolerance and satisfaction. A cost-effectiveness analysis was performed by using return to baseline for both activity and food intake 24 hours after the procedure as the effectiveness measure. RESULTS The groups had similar physiological outcomes and satisfaction. Patients receiving propofol had shorter recovery times (P &lt; 0.001) and a higher recovery of both baseline activity level and dietary intake 24 hours after the procedure (P = 0.028). With incremental cost-effectiveness analysis, gastroenterologist-administered propofol cost an additional $403.00 per additional patient at 100% of baseline for both activity level and food intake when compared with standard sedation and analgesia. Sensitivity analysis indicated that the only model in which propofol administration would become the dominant strategy was with its administration by a registered nurse. CONCLUSIONS Gastroenterologist-administered propofol using monitoring with capnography is similar to meperidine/midazolam for both physiological outcomes and patient/endoscopist satisfaction. Propofol leads to significantly improved recovery of baseline activity and food intake 24 hours after the procedure. Our model suggests that propofol would be more cost-effective than meperidine and midazolam for endoscopic retrograde cholangiopancreatography and endoscopic ultrasonography if registered nurse administration were possible.","author":[{"dropping-particle":"","family":"Vargo","given":"John J","non-dropping-particle":"","parse-names":false,"suffix":""},{"dropping-particle":"","family":"Zuccaro","given":"Gregory","non-dropping-particle":"","parse-names":false,"suffix":""},{"dropping-particle":"","family":"Dumot","given":"John A","non-dropping-particle":"","parse-names":false,"suffix":""},{"dropping-particle":"","family":"Shermock","given":"Kenneth M","non-dropping-particle":"","parse-names":false,"suffix":""},{"dropping-particle":"","family":"Morrow","given":"J Brad","non-dropping-particle":"","parse-names":false,"suffix":""},{"dropping-particle":"","family":"Conwell","given":"Darwin L","non-dropping-particle":"","parse-names":false,"suffix":""},{"dropping-particle":"","family":"Trolli","given":"Patricia A","non-dropping-particle":"","parse-names":false,"suffix":""},{"dropping-particle":"","family":"Maurer","given":"Walter G","non-dropping-particle":"","parse-names":false,"suffix":""}],"container-title":"Gastroenterology","id":"ITEM-1","issue":"1","issued":{"date-parts":[["2002","7"]]},"page":"8-16","title":"Gastroenterologist-administered propofol versus meperidine and midazolam for advanced upper endoscopy: a prospective, randomized trial.","type":"article-journal","volume":"123"},"uris":["http://www.mendeley.com/documents/?uuid=c340214c-818b-4f54-978d-5f7e544104bd"]},{"id":"ITEM-2","itemData":{"ISSN":"0016-5107","PMID":"12024134","abstract":"BACKGROUND Propofol is under evaluation as a sedative for endoscopic procedures. METHODS Eighty outpatients (ASA Class I or II) undergoing colonoscopy were randomized to receive either propofol or midazolam plus meperidine, administered by a nurse and supervised by an endoscopist. Endpoints were patient satisfaction, procedure and recovery times, neuropsychological function, and complications. RESULTS The mean dose of propofol administered was 218 mg; mean doses of midazolam and meperidine were, respectively, 4.7 mg and 89.7 mg. Mean time to sedation was faster in the propofol patients (2.1 min vs. 7.0 min; p &lt; 0.0001), and depth of sedation was greater (p &lt; 0.0001). On average, after the procedure, the propofol patients could stand at the bedside sooner (14.2 vs. 30.2 min), reached full recovery faster (14.4 vs. 33.0 min), and were discharged sooner (40.5 vs. 71.1 min) (all p &lt; 0.0001). Patients who received propofol also expressed greater overall mean satisfaction on a 10-point visual analog scale (9.3 vs. 8.6; p &lt; 0.05). At discharge, the propofol group had better scores on tests reflective of learning, memory, working memory span, and mental speed. Four patients in the midazolam/meperidine group developed minor complications (1 hypotension and bradycardia, 2 hypotension alone, and 1 tachycardia) and 1 patient in the propofol group had oxygen desaturation develop during an episode of epistaxis. CONCLUSION For outpatient colonoscopy, propofol administered by nurses and supervised by endoscopists has several advantages over midazolam plus meperidine and deserves additional investigation.","author":[{"dropping-particle":"","family":"Sipe","given":"Brian W","non-dropping-particle":"","parse-names":false,"suffix":""},{"dropping-particle":"","family":"Rex","given":"Douglas K","non-dropping-particle":"","parse-names":false,"suffix":""},{"dropping-particle":"","family":"Latinovich","given":"Danielle","non-dropping-particle":"","parse-names":false,"suffix":""},{"dropping-particle":"","family":"Overley","given":"Chris","non-dropping-particle":"","parse-names":false,"suffix":""},{"dropping-particle":"","family":"Kinser","given":"Karen","non-dropping-particle":"","parse-names":false,"suffix":""},{"dropping-particle":"","family":"Bratcher","given":"Lisa","non-dropping-particle":"","parse-names":false,"suffix":""},{"dropping-particle":"","family":"Kareken","given":"David","non-dropping-particle":"","parse-names":false,"suffix":""}],"container-title":"Gastrointestinal endoscopy","id":"ITEM-2","issue":"7","issued":{"date-parts":[["2002","6"]]},"page":"815-25","title":"Propofol versus midazolam/meperidine for outpatient colonoscopy: administration by nurses supervised by endoscopists.","type":"article-journal","volume":"55"},"uris":["http://www.mendeley.com/documents/?uuid=383eb004-3049-49a2-80f8-1bef0837eb9b"]},{"id":"ITEM-3","itemData":{"ISSN":"1542-3565","PMID":"15017641","abstract":"BACKGROUND &amp; AIMS Propofol is under evaluation as a sedative for endoscopic procedures. We compared nurse-administered propofol to midazolam plus fentanyl for outpatient colonoscopy. METHODS One hundred outpatients undergoing colonoscopy were randomized to receive propofol or midazolam plus fentanyl, administered by a registered nurse and supervised only by an endoscopist. Endpoints were patient satisfaction, procedure and recovery times, neuropsychologic function, and complications. RESULTS The mean dose of propofol administered was 277 mg; mean doses of midazolam and fentanyl were 7.2 mg and 117 microg, respectively. Mean time to sedation was faster with propofol (2.1 vs. 6.1 min; P&lt;0.0001), and depth of sedation was greater (P&lt;0.0001). Patients receiving propofol reached full recovery sooner (16.5 vs. 27.5 min; P=0.0001) and were discharged sooner (36.5 vs. 46.1 min; P=0.01). After recovery, the propofol group scored better on tests reflective of learning, memory, working memory span, and mental speed. Six minor complications occurred in the propofol group: 4 episodes of hypotension, 1 episode of bradycardia, and 1 rash. Five complications occurred with the use of midazolam and fentanyl: one episode of oxygen desaturation requiring mask ventilation and 4 episodes of hypotension. Patients in the propofol vs. midazolam and fentanyl groups reported similar degrees of overall satisfaction using a 10-cm visual analog scale (9.3 vs. 9.4, P&gt;0.5). CONCLUSIONS Nurse-administered propofol resulted in several advantages for outpatient colonoscopy compared with midazolam plus fentanyl, but did not improve patient satisfaction.","author":[{"dropping-particle":"","family":"Ulmer","given":"Brian J","non-dropping-particle":"","parse-names":false,"suffix":""},{"dropping-particle":"","family":"Hansen","given":"Jonathan J","non-dropping-particle":"","parse-names":false,"suffix":""},{"dropping-particle":"","family":"Overley","given":"Christine A","non-dropping-particle":"","parse-names":false,"suffix":""},{"dropping-particle":"","family":"Symms","given":"Michelle R","non-dropping-particle":"","parse-names":false,"suffix":""},{"dropping-particle":"","family":"Chadalawada","given":"Vidyasree","non-dropping-particle":"","parse-names":false,"suffix":""},{"dropping-particle":"","family":"Liangpunsakul","given":"Suthat","non-dropping-particle":"","parse-names":false,"suffix":""},{"dropping-particle":"","family":"Strahl","given":"Eloise","non-dropping-particle":"","parse-names":false,"suffix":""},{"dropping-particle":"","family":"Mendel","given":"April M","non-dropping-particle":"","parse-names":false,"suffix":""},{"dropping-particle":"","family":"Rex","given":"Douglas K","non-dropping-particle":"","parse-names":false,"suffix":""}],"container-title":"Clinical gastroenterology and hepatology : the official clinical practice journal of the American Gastroenterological Association","id":"ITEM-3","issue":"6","issued":{"date-parts":[["2003","11"]]},"page":"425-32","title":"Propofol versus midazolam/fentanyl for outpatient colonoscopy: administration by nurses supervised by endoscopists.","type":"article-journal","volume":"1"},"uris":["http://www.mendeley.com/documents/?uuid=c710fede-d934-4729-a178-1d30f3f50d3b"]},{"id":"ITEM-4","itemData":{"DOI":"10.1111/j.1572-0241.2005.41672.x","ISSN":"0002-9270","PMID":"16128939","abstract":"OBJECTIVES Adequate patient sedation is mandatory for diagnostic and therapeutic endoscopic retrograde cholangiopancreatography (ERCP). In this respect it is known that the short-acting anesthetic propofol offers certain potential advantages for sedation during ERCP, but there are no controlled studies concerning the feasibility and safety of propofol sedation in elderly, high-risk patients. METHODS One hundred and fifty consecutive patients aged &gt;or=80 yr with high comorbidity (ASA score &gt;or=III: 91 %), randomly received midazolam plus meperidine (n = 75) or propofol alone (n = 75) for sedation during ERCP. Vital signs were continuously monitored and procedure-related parameters, recovery time, and quality as well as patients' cooperation and tolerance of the procedure were assessed. RESULTS Clinically relevant changes in vital signs were observed at comparable frequencies with a temporary oxygen desaturation (&lt;90%) occurring in eight patients in the propofol-group and seven patients receiving midazolam/meperidine (n.s.). Hypotension was documented in two patients in the propofol group and one patient receiving midazolam/meperidine. Propofol provided a significantly better patient cooperation than midazolam/meperidine (p &lt; 0.01), but the procedure tolerability was rated nearly the same by both groups. Mean recovery time was significantly shorter in the propofol group (22 +/- 7 min vs 31 +/- 8 min for midazolam/meperidine (p &lt; 0.01)) while the recovery score was significantly higher under propofol (8.3 +/- 1.2 vs 6.1 +/- 1.1(p &lt; 0.01)). During recovery a significant lower number of desaturation events (&lt;90%) were observed in the propofol group (12%) than in the midazolam/meperidine group (26%, p &lt; 0.01). CONCLUSION Under careful monitoring the use of propofol for sedation during ERCP is superior to midazolam/meperidine even in high-risk octogenarians.","author":[{"dropping-particle":"","family":"Riphaus","given":"Andrea","non-dropping-particle":"","parse-names":false,"suffix":""},{"dropping-particle":"","family":"Stergiou","given":"Nikos","non-dropping-particle":"","parse-names":false,"suffix":""},{"dropping-particle":"","family":"Wehrmann","given":"Till","non-dropping-particle":"","parse-names":false,"suffix":""}],"container-title":"The American journal of gastroenterology","id":"ITEM-4","issue":"9","issued":{"date-parts":[["2005","9"]]},"page":"1957-63","title":"Sedation with propofol for routine ERCP in high-risk octogenarians: a randomized, controlled study.","type":"article-journal","volume":"100"},"uris":["http://www.mendeley.com/documents/?uuid=4b6bf2a8-80fc-46bc-accb-319f3438845e"]},{"id":"ITEM-5","itemData":{"DOI":"10.1016/j.dld.2006.09.004","ISSN":"1590-8658","PMID":"17049322","abstract":"BACKGROUND It has been speculated that midazolam may be effective in reducing the required dose of propofol during sedation. AIM To evaluate the sparing effect of midazolam during target-controlled propofol infusion. METHODS Two hundred-seventy patients undergoing upper endoscopic ultrasound were randomised to receive sedation with propofol plus placebo (group A) or plus midazolam (group B). Outcome parameters were the procedure duration, the discharge time and the satisfaction of patients, operator and nurse about the quality of sedation. RESULTS The mean propofol dose administered was 364+/-207 mg in group A and 394+/-204 mg in group B. Mean procedure duration (group A: 32+/-17 min, group B: 35+/-22 min) and discharge time (group A: 39+/-30 min, group B: 38+/-24 min) were similar in both groups. No severe complications were observed. The quality of sedation was judged satisfactory for all patients by both the endoscopist and the nurse assistant without any difference between the two groups. No patient remembered the procedure or reported it as unpleasant. CONCLUSIONS Target-controlled propofol infusion provides safe and effective sedation; premedication with low dose of midazolam does not reduce the total amount of propofol administered. Further studies are needed to compare propofol alone with propofol co-administered with opioid.","author":[{"dropping-particle":"","family":"Fanti","given":"L","non-dropping-particle":"","parse-names":false,"suffix":""},{"dropping-particle":"","family":"Agostoni","given":"M","non-dropping-particle":"","parse-names":false,"suffix":""},{"dropping-particle":"","family":"Arcidiacono","given":"P G","non-dropping-particle":"","parse-names":false,"suffix":""},{"dropping-particle":"","family":"Albertin","given":"A","non-dropping-particle":"","parse-names":false,"suffix":""},{"dropping-particle":"","family":"Strini","given":"G","non-dropping-particle":"","parse-names":false,"suffix":""},{"dropping-particle":"","family":"Carrara","given":"S","non-dropping-particle":"","parse-names":false,"suffix":""},{"dropping-particle":"","family":"Guslandi","given":"M","non-dropping-particle":"","parse-names":false,"suffix":""},{"dropping-particle":"","family":"Torri","given":"G","non-dropping-particle":"","parse-names":false,"suffix":""},{"dropping-particle":"","family":"Testoni","given":"P A","non-dropping-particle":"","parse-names":false,"suffix":""}],"container-title":"Digestive and liver disease : official journal of the Italian Society of Gastroenterology and the Italian Association for the Study of the Liver","id":"ITEM-5","issue":"1","issued":{"date-parts":[["2007","1"]]},"page":"81-6","title":"Target-controlled infusion during monitored anesthesia care in patients undergoing EUS: propofol alone versus midazolam plus propofol. A prospective double-blind randomised controlled trial.","type":"article-journal","volume":"39"},"uris":["http://www.mendeley.com/documents/?uuid=8bb13b54-b25d-4c81-a5b8-779bea5c6104"]},{"id":"ITEM-6","itemData":{"ISSN":"1841-8724","PMID":"18836622","abstract":"BACKGROUND AND AIM ERCP generally requires longer time than standard endoscopy. Only few studies have shown benefit of intermittent propofol over conventional sedation. This study was conducted to compare satisfaction, recovery score, and recovery/safety profiles for ERCP sedation between continuous infusion of propofol and conventional sedation. PATIENTS AND METHODS One hundred thirty-four patients with ASA I-III underwent ERCP and were randomly assigned into two groups (n=67 each). Patients underwent propofol sedation or meperidine/midazolam sedation. Supplemental oxygen was offered only when oxygen saturation was lower than 90 %. Oxygen saturation, blood pressure, heart rate, recovery score, times for recovery and satisfaction score after procedure were recorded and analyzed. RESULTS Average amount of meperidine, midazolam and propofol per each patient were 61.54 (+/- 27.29), 7.80 (+/- 3.73), 299.90 (+/- 146.15) mg, respectively. Time to regain full consciousness in the propofol arm was significantly shorter than in the conventional arm (17.24 +/- 5.99 versus 34.25 +/- 16.06 min, p&lt;0.001). The rates of desaturation, bradycardia and hypotension in both arms were low and comparable. Propofol provided higher level of recovery scores at 15, 30, 45 and 60 min after the procedure (p &lt; 0.001). CONCLUSION Continuous infusion of propofol for ERCP by direction of gastroenterologist yields no difference in the completion rate and adverse profiles when compared with conventional technique but it provides a better recovery profile. The maintainance of appropriate level of sedation by well trained personnel is the key to achieve this success.","author":[{"dropping-particle":"","family":"Kongkam","given":"Pradermchai","non-dropping-particle":"","parse-names":false,"suffix":""},{"dropping-particle":"","family":"Rerknimitr","given":"Rungsun","non-dropping-particle":"","parse-names":false,"suffix":""},{"dropping-particle":"","family":"Punyathavorn","given":"Sahadol","non-dropping-particle":"","parse-names":false,"suffix":""},{"dropping-particle":"","family":"Sitthi-Amorn","given":"Chitr","non-dropping-particle":"","parse-names":false,"suffix":""},{"dropping-particle":"","family":"Ponauthai","given":"Yuwadee","non-dropping-particle":"","parse-names":false,"suffix":""},{"dropping-particle":"","family":"Prempracha","given":"Narongrit","non-dropping-particle":"","parse-names":false,"suffix":""},{"dropping-particle":"","family":"Kullavanijaya","given":"Pinit","non-dropping-particle":"","parse-names":false,"suffix":""}],"container-title":"Journal of gastrointestinal and liver diseases : JGLD","id":"ITEM-6","issue":"3","issued":{"date-parts":[["2008","9"]]},"page":"291-7","title":"Propofol infusion versus intermittent meperidine and midazolam injection for conscious sedation in ERCP.","type":"article-journal","volume":"17"},"uris":["http://www.mendeley.com/documents/?uuid=7d527544-2ed3-4897-9f03-697ec020aefb"]},{"id":"ITEM-7","itemData":{"DOI":"10.1016/j.gie.2008.02.092","ISSN":"1097-6779","PMID":"18561925","abstract":"BACKGROUND The utility of nurse-administered propofol sedation (NAPS) compared with midazolam and meperidine (M/M) for EUS is not known. OBJECTIVE To compare recovery times, costs, safety, health personnel, and patient satisfaction of NAPS and M/M for EUS. DESIGN Prospective, randomized, single-blinded trial. SETTING Tertiary-referral hospital in Indianapolis, Indiana. PATIENTS Outpatients referred for EUS. INTERVENTIONS Sedation with M/M or NAPS. The patient and recovery nurse were blinded; however, the sedating nurse, endoscopist, and recording research nurse were unblinded to the sedatives used. A capnography, in addition to standard monitoring, was used. A questionnaire and visual analog scale assessed patient, endoscopist, and sedating nurse satisfaction. MAIN OUTCOME MEASUREMENTS Recovery times, costs, safety, health personnel, and patient satisfaction in both groups. RESULTS Eighty consecutive patients were randomized to NAPS (n = 40) or M/M (n = 40). More patients in the propofol group were current tobacco users; patient demographics, procedures performed, mean procedure length, and the overall frequency of adverse events were otherwise similar. Compared with M/M, NAPS was associated with a faster induction of sedation (2.3 vs 5.7 minutes, respectively; P = .001) and full recovery time (29 vs 49 minutes, respectively; P = .001), higher postprocedure patient satisfaction, and quicker anticipated return to baseline function. At discharge, total costs (recovery plus medications) were similar between the propofol ($406) and M/M groups ($399; P = .79). LIMITATION Low-risk patient population. CONCLUSIONS Compared with M/M, NAPS for an EUS offered a faster sedation induction and full recovery time, higher postprocedure patient satisfaction, and a quicker anticipated return to baseline function. Total costs were similar between the groups.","author":[{"dropping-particle":"","family":"Dewitt","given":"John","non-dropping-particle":"","parse-names":false,"suffix":""},{"dropping-particle":"","family":"McGreevy","given":"Kathleen","non-dropping-particle":"","parse-names":false,"suffix":""},{"dropping-particle":"","family":"Sherman","given":"Stuart","non-dropping-particle":"","parse-names":false,"suffix":""},{"dropping-particle":"","family":"Imperiale","given":"Thomas F","non-dropping-particle":"","parse-names":false,"suffix":""}],"container-title":"Gastrointestinal endoscopy","id":"ITEM-7","issue":"3","issued":{"date-parts":[["2008","9"]]},"page":"499-509","title":"Nurse-administered propofol sedation compared with midazolam and meperidine for EUS: a prospective, randomized trial.","type":"article-journal","volume":"68"},"uris":["http://www.mendeley.com/documents/?uuid=0b69d5f5-90b6-4270-b011-5273c6b6be16"]},{"id":"ITEM-8","itemData":{"DOI":"10.1055/s-0028-1119671","ISSN":"1438-8812","PMID":"19340730","abstract":"BACKGROUND AND STUDY AIMS Sedation with the short-acting anesthetic agent propofol has shown several advantages, particularly in interventional endoscopy. So far, however, there are no valid data on the safety of nurse-administered propofol sedation (NAPS) during interventional endoscopy in elderly high-risk patients. PATIENTS AND METHODS A total of 150 patients aged &gt; 80 years with high comorbidity were randomized to receive midazolam plus meperidine (n = 75) or propofol alone (n = 76) for sedation during endoscopic retrograde cholangiopancreatography (ERCP), endoscopic ultrasound (EUS), or double-balloon endoscopy (DBE). Sedation was supervised by a trained nurse and a trained physician both of whom were not involved in the endoscopic procedure. Vital signs were continuously monitored as well as patient cooperation and tolerance. Mortality and morbidity at 30 days was analyzed. RESULTS The overall cardiopulmonary complication rate was 16 % in the midazolam group and 23.7 % in the propofol group ( P &gt; 0.05). The mean decline in oxygen saturation (initial vs. lowest O (2) saturation) and the mean decline of blood pressure (initial vs. lowest blood pressure) were significantly greater with propofol (7 % +/- 3 % vs. 4 % +/- 2 % [ P &lt; 0.05] and 10 % +/- 2 % vs. 8 % +/- 2 %, respectively [ P &lt; 0.05]). No procedure had to be interrupted due to serious adverse events. Patient cooperation was statistically significantly better in the propofol group (7 +/- 2 vs. 5 +/- 2 points). Patients sedated with propofol showed a significantly lower oxygen saturation rate during recovery time (8 % vs. 28 %; P &lt; or = 0.01). CONCLUSION NAPS during interventional endoscopy is as safe as midazolam/pethidine sedation even in high-risk patients aged &gt; 80 years.","author":[{"dropping-particle":"","family":"Schilling","given":"D","non-dropping-particle":"","parse-names":false,"suffix":""},{"dropping-particle":"","family":"Rosenbaum","given":"A","non-dropping-particle":"","parse-names":false,"suffix":""},{"dropping-particle":"","family":"Schweizer","given":"S","non-dropping-particle":"","parse-names":false,"suffix":""},{"dropping-particle":"","family":"Richter","given":"H","non-dropping-particle":"","parse-names":false,"suffix":""},{"dropping-particle":"","family":"Rumstadt","given":"B","non-dropping-particle":"","parse-names":false,"suffix":""}],"container-title":"Endoscopy","id":"ITEM-8","issue":"4","issued":{"date-parts":[["2009","4"]]},"page":"295-8","title":"Sedation with propofol for interventional endoscopy by trained nurses in high-risk octogenarians: a prospective, randomized, controlled study.","type":"article-journal","volume":"41"},"uris":["http://www.mendeley.com/documents/?uuid=97d807a1-77eb-4cad-a324-1172a3507c76"]},{"id":"ITEM-9","itemData":{"DOI":"10.1016/j.gie.2010.09.035","ISSN":"1097-6779","PMID":"21168838","abstract":"BACKGROUND There are few controlled studies on balanced propofol sedation (BPS) for therapeutic endoscopy. OBJECTIVE To compare the safety and efficacy of BPS (propofol in combination with midazolam and meperidine) with conventional sedation (midazolam and meperidine) in patients undergoing therapeutic endoscopic procedures. DESIGN Prospective, randomized, single-blinded study. SETTING Tertiary-care referral center. PATIENTS This study involved 222 consecutive patients undergoing therapeutic EGD or ERCP from July 2009 to March 2010. INTERVENTION Conventional sedation or BPS by trained registered nurses under endoscopist supervision. MAIN OUTCOME MEASUREMENTS Rates of sedation-related cardiopulmonary complications and interruption of the procedures, procedure-related times, and assessments of health care providers (endoscopists and sedation nurses) and patients. RESULTS There were no significant differences between the BPS and conventional groups in the rates of cardiopulmonary complications (8.8% [9/102] vs 5.8% [6/104], respectively) and transient interruption of procedures (2.9% [3/102] vs 0% [0/104], respectively). No patient required assisted ventilation or premature termination of a procedure. BPS provided significantly higher health care provider satisfaction (mean±SD 10-cm visual analog scale [VAS] score) compared with conventional sedation (endoscopists: 7.57±2.61 vs 6.55±2.99, respectively; P=.011; sedation nurses: 7.86±2.31 vs 6.67±2.90, respectively; P=.001). Patient cooperation was significantly better in the BPS group (VAS; endoscopists: 7.24±2.97 vs 6.27±3.09, P=.024; sedation nurses: 7.75±2.30 vs 6.54±2.99, P=.001). LIMITATIONS Single-center and single-blinded study. CONCLUSION Compared with conventional sedation, BPS provides higher health care provider satisfaction, better patient cooperation, and similar adverse event profiles in patients undergoing therapeutic endoscopic procedures.","author":[{"dropping-particle":"","family":"Lee","given":"Chang Kyun","non-dropping-particle":"","parse-names":false,"suffix":""},{"dropping-particle":"","family":"Lee","given":"Suck-Ho","non-dropping-particle":"","parse-names":false,"suffix":""},{"dropping-particle":"","family":"Chung","given":"Il-Kwun","non-dropping-particle":"","parse-names":false,"suffix":""},{"dropping-particle":"","family":"Lee","given":"Tae Hoon","non-dropping-particle":"","parse-names":false,"suffix":""},{"dropping-particle":"","family":"Park","given":"Sang-Heum","non-dropping-particle":"","parse-names":false,"suffix":""},{"dropping-particle":"","family":"Kim","given":"Eun-Ok","non-dropping-particle":"","parse-names":false,"suffix":""},{"dropping-particle":"","family":"Lee","given":"Sae Hwan","non-dropping-particle":"","parse-names":false,"suffix":""},{"dropping-particle":"","family":"Kim","given":"Hong-Soo","non-dropping-particle":"","parse-names":false,"suffix":""},{"dropping-particle":"","family":"Kim","given":"Sun-Joo","non-dropping-particle":"","parse-names":false,"suffix":""}],"container-title":"Gastrointestinal endoscopy","id":"ITEM-9","issue":"2","issued":{"date-parts":[["2011","2"]]},"page":"206-14","title":"Balanced propofol sedation for therapeutic GI endoscopic procedures: a prospective, randomized study.","type":"article-journal","volume":"73"},"uris":["http://www.mendeley.com/documents/?uuid=31fa4bf6-38f0-45d2-a8ed-54cea253472b"]},{"id":"ITEM-10","itemData":{"ISSN":"0300-9033","PMID":"22232999","abstract":"INTRODUCTION Medications to relief pain are more common in the everyday use during the colonoscopy practice, although schemes of medications vary. OBJECTIVE To evaluate the efficacy and the safety of propofol versus midazolam and petidhine in colonoscopy. METHOD A randomized and simple-blind controlled clinical trial was carried out. We included 512 patients who underwent a colonoscopy during the period from February 2008 to January 2009. using propofol in one group and midazolam plus petidhine in another. RESULTS Cecal intubation was achieved in 247 patients (96.5%) with propofol and in 256 patients (100%) with midazolam plus petidhine. There were no significant differences between both methods regarding to the explored colon distance. Fifty-five patients (21.5%) had complications in the group receiving midazolam plus petidhine and 3 (1.2%) in the group receiving propofol. Complications were mild in both groups. Propofol reduced the relative risk of complications in 94.6% and absolute risk in 20.3%. Patients referred the same satisfaction degree with both methods. CONCLUSIONS The use of propofol and midazolam plus petidhine is equally efficacious in the performance of the colonoscopy, while propofol is safer than midazolam plus propofol as a method of deep sedation.","author":[{"dropping-particle":"","family":"Pascual","given":"Miguel González-Carbajal","non-dropping-particle":"","parse-names":false,"suffix":""},{"dropping-particle":"","family":"Zayas Berbes","given":"Mónica","non-dropping-particle":"","parse-names":false,"suffix":""},{"dropping-particle":"","family":"Sáez Baños","given":"Milagros","non-dropping-particle":"","parse-names":false,"suffix":""},{"dropping-particle":"","family":"Abreu Vázquez","given":"María del Rosario","non-dropping-particle":"","parse-names":false,"suffix":""},{"dropping-particle":"","family":"Martínez Leyva","given":"Ludmila","non-dropping-particle":"","parse-names":false,"suffix":""}],"container-title":"Acta gastroenterologica Latinoamericana","id":"ITEM-10","issue":"3","issued":{"date-parts":[["2011","9"]]},"page":"214-20","title":"Propofol versus midazolam and pethidine in the colonoscopy realization","type":"article-journal","volume":"41"},"uris":["http://www.mendeley.com/documents/?uuid=0a87b690-c5a7-46ed-bd12-ab1c50c3952e"]},{"id":"ITEM-11","itemData":{"DOI":"10.1055/s-0031-1291421","ISSN":"1438-8812","PMID":"22068700","abstract":"BACKGROUND AND STUDY AIMS Balanced propofol sedation (BPS) combines propofol with opiates and benzodiazepines and targets at moderate sedation. Data comparing outcomes of BPS and standard sedation with opiates and benzodiazepines during elective esophagogastroduodenoscopy (EGD) are sparse. The primary end point of this study was to compare, in the recovery area, patient satisfaction with EGD following BPS versus standard sedation. PATIENTS AND METHODS Prospective, single-blinded randomized trial in 110 outpatients undergoing elective EGD and randomized 1:1 to BPS or standard sedation. Upon full recovery, the primary outcome of patient satisfaction was assessed using a 100-mm visual analogue scale (VAS) (1 = not at all satisfied, 100 = completely satisfied). Sedation recovery times and recall of pain and gagging (1 = none, 100 = severe) were also evaluated using a VAS. RESULTS The BPS and standard sedation groups were similar regarding American Society of Anesthesiologists (ASA), Mallampati class, age, sex, and body mass index (BMI). Compared with the standard sedation arm, the BPS group exhibited higher median procedural satisfaction (99 vs. 85, P &lt; 0.001), and lower median scores for recall of pain (P &lt; 0.001) and gagging (P &lt; 0.001). BPS resulted in a shorter median recovery time (min) (11 vs. 23, P &lt; 0.001). On multivariable regression analysis, predictors of patient satisfaction included use of propofol, increased age, and higher fentanyl dosage. CONCLUSIONS BPS targeted to moderate sedation by adequately trained endoscopists results in superior patient satisfaction and shorter recovery times than standard sedation alone during EGD.","author":[{"dropping-particle":"","family":"Levitzky","given":"B E","non-dropping-particle":"","parse-names":false,"suffix":""},{"dropping-particle":"","family":"Lopez","given":"R","non-dropping-particle":"","parse-names":false,"suffix":""},{"dropping-particle":"","family":"Dumot","given":"J A","non-dropping-particle":"","parse-names":false,"suffix":""},{"dropping-particle":"","family":"Vargo","given":"J J","non-dropping-particle":"","parse-names":false,"suffix":""}],"container-title":"Endoscopy","id":"ITEM-11","issue":"1","issued":{"date-parts":[["2012","1"]]},"page":"13-20","title":"Moderate sedation for elective upper endoscopy with balanced propofol versus fentanyl and midazolam alone: a randomized clinical trial.","type":"article-journal","volume":"44"},"uris":["http://www.mendeley.com/documents/?uuid=8608b52d-a56c-4dfd-8780-32445f0899fd"]},{"id":"ITEM-12","itemData":{"DOI":"10.3748/wjg.v18.i15.1814","ISSN":"2219-2840","PMID":"22553407","abstract":"AIM To compare the endomicroscopic image quality of integrated confocal laser endomicroscopy (iCLE) and sedation efficacy of propofol vs midazolam plus fentanyl (M/F). METHODS Consecutive outpatients undergoing iCLE were prospectively recruited and randomized to the propofol group (P group) or M/F group. The patient, performing endoscopist and endoscopic assistant were blinded to the randomization. The quality of endomicroscopic images and anesthetic efficacy outcomes were blindly evaluated after iCLE examination. RESULTS There were significantly more good quality endomicroscopic images in the propofol group than in the M/F group (72.75% vs 52.89%, P &lt; 0.001). The diagnostic accuracy for upper gastrointestinal mucosal lesions using confocal laser endomicroscopy favors the P group, although this did not reach statistical significance. Adverse events and patient assessment were not significantly different for M/F vs propofol except for more frequent intraprocedural recall with M/F. Procedure duration and sedation times were significantly longer in the M/F group, while the scores of endoscopist, anesthetist and assistant assessment were all significantly better in the P group. CONCLUSION Sedation with propofol might increase the proportion of good quality endomicroscopic images, and may result in improved procedural efficacy and diagnostic accuracy during iCLE examination.","author":[{"dropping-particle":"","family":"Zuo","given":"Xiu-Li","non-dropping-particle":"","parse-names":false,"suffix":""},{"dropping-particle":"","family":"Li","given":"Zhen","non-dropping-particle":"","parse-names":false,"suffix":""},{"dropping-particle":"","family":"Liu","given":"Xiao-Ping","non-dropping-particle":"","parse-names":false,"suffix":""},{"dropping-particle":"","family":"Li","given":"Chang-Qing","non-dropping-particle":"","parse-names":false,"suffix":""},{"dropping-particle":"","family":"Ji","given":"Rui","non-dropping-particle":"","parse-names":false,"suffix":""},{"dropping-particle":"","family":"Wang","given":"Peng","non-dropping-particle":"","parse-names":false,"suffix":""},{"dropping-particle":"","family":"Zhou","given":"Cheng-Jun","non-dropping-particle":"","parse-names":false,"suffix":""},{"dropping-particle":"","family":"Liu","given":"Han","non-dropping-particle":"","parse-names":false,"suffix":""},{"dropping-particle":"","family":"Li","given":"Yan-Qing","non-dropping-particle":"","parse-names":false,"suffix":""}],"container-title":"World journal of gastroenterology","id":"ITEM-12","issue":"15","issued":{"date-parts":[["2012","4","21"]]},"page":"1814-21","title":"Propofol vs midazolam plus fentanyl for upper gastrointestinal endomicroscopy: a randomized trial.","type":"article-journal","volume":"18"},"uris":["http://www.mendeley.com/documents/?uuid=22c7d44d-1793-4eb4-b91b-70f146bc971b"]},{"id":"ITEM-13","itemData":{"DOI":"10.1007/s10620-012-2234-0","ISSN":"1573-2568","PMID":"22615018","abstract":"BACKGROUND Prolonged or complex endoscopic procedures are frequently performed under deep sedation. However, no studies of therapeutic ERCP have yet compared the use of balanced propofol sedation (BPS) to propofol alone, titrated to moderate levels of sedation. AIM This prospective, randomized, double-blind study was planned to compare the sedation efficacy and safety of BPS (propofol in combination with midazolam and fentanyl) and propofol monosedation in therapeutic ERCP and EUS. METHODS BPS, or propofol monosedation titrated to a moderate level of sedation, was performed by trained registered nurses under endoscopist supervision. The main outcome measurements included sedation efficacy focusing on recovery time, sedation safety, endoscopic procedure outcomes, and complications. RESULTS There were no significant differences in sedation efficacy, safety, procedure outcomes, and complications, with the exception of recovery time. Mean recovery time (standard deviation) was 18.37 (7.86) min in BPS and 13.4 (6.24) min in propofol monosedation (P &lt; 0.001). In a safety analysis, cardiopulmonary complication rates related to BPS and propofol monosedation were 7.8 % (8/102) and 9.6 % (10/104), respectively (P = 0.652). No patient required assisted ventilation or permanent termination of a procedure in either group. Technical success of the endoscopic procedures was 96.3 and 97.2 %, respectively (P = 0.701). Endoscopic procedure-related complications and outcomes did not differ depending on sedation procedure. CONCLUSIONS Propofol monosedation by trained, registered sedation nurses under supervision resulted in a more rapid recovery time than BPS. There were no differences in the sedation safety, endoscopic procedure outcomes, and complications between BPS and propofol monosedation.","author":[{"dropping-particle":"","family":"Lee","given":"Tae Hoon","non-dropping-particle":"","parse-names":false,"suffix":""},{"dropping-particle":"","family":"Lee","given":"Chang Kyun","non-dropping-particle":"","parse-names":false,"suffix":""},{"dropping-particle":"","family":"Park","given":"Sang-Heum","non-dropping-particle":"","parse-names":false,"suffix":""},{"dropping-particle":"","family":"Lee","given":"Suck-Ho","non-dropping-particle":"","parse-names":false,"suffix":""},{"dropping-particle":"","family":"Chung","given":"Il-Kwun","non-dropping-particle":"","parse-names":false,"suffix":""},{"dropping-particle":"","family":"Choi","given":"Hyun Jong","non-dropping-particle":"","parse-names":false,"suffix":""},{"dropping-particle":"","family":"Cha","given":"Sang Woo","non-dropping-particle":"","parse-names":false,"suffix":""},{"dropping-particle":"","family":"Moon","given":"Jong Ho","non-dropping-particle":"","parse-names":false,"suffix":""},{"dropping-particle":"","family":"Cho","given":"Young Deok","non-dropping-particle":"","parse-names":false,"suffix":""},{"dropping-particle":"","family":"Hwangbo","given":"Young","non-dropping-particle":"","parse-names":false,"suffix":""},{"dropping-particle":"","family":"Kim","given":"Sun-Joo","non-dropping-particle":"","parse-names":false,"suffix":""}],"container-title":"Digestive diseases and sciences","id":"ITEM-13","issue":"8","issued":{"date-parts":[["2012","8"]]},"page":"2113-21","title":"Balanced propofol sedation versus propofol monosedation in therapeutic pancreaticobiliary endoscopic procedures.","type":"article-journal","volume":"57"},"uris":["http://www.mendeley.com/documents/?uuid=e80f17f9-f3af-4507-a51d-eb5bb4ad1c00"]},{"id":"ITEM-14","itemData":{"DOI":"10.1186/1471-2253-12-20","ISSN":"1471-2253","PMID":"22873637","abstract":"BACKGROUND ERCP practically requires moderate to deep sedation controlled by a combination of benzodiazepine and opiod. Propofol as a sole agent may cause oversedation. A combination (cocktail) of infused propofol, meperidine, and midazolam can reduce the dosage of propofol and we hypothesized that it might decrease the risk of oversedation. We prospectively compare the efficacy, recovery time, patient satisfactory, and side effects between cocktail and conventional sedations in patients undergoing ERCP. METHODS ERCP patients were randomized into 2 groups; the cocktail group (n = 103) and the controls (n = 102). For induction, a combination of 25 mg of meperidine and 2.5 mg of midazolam were administered in both groups. In the cocktail group, a bolus dose of propofol 1 mg/kg was administered and continuously infused. In the controls, 25 mg of meperidine or 2.5 mg/kg of midazolam were titrated to maintain the level of sedation. RESULTS In the cocktail group, the average administration rate of propofol was 6.2 mg/kg/hr. In the control group; average weight base dosage of meperidine and midazolam were 1.03 mg/kg and 0.12 mg/kg, respectively. Recovery times and patients' satisfaction scores in the cocktail and control groups were 9.67 minutes and 12.89 minutes (P = 0.045), 93.1and 87.6 (P &lt;0.001), respectively. Desaturation rates in the cocktail and conventional groups were 58.3% and 31.4% (P &lt;0.001), respectively. All desaturations were corrected with temporary oxygen supplementation without the need for scope removal. CONCLUSIONS Cocktail sedation containing propofol provides faster recovery time and better patients' satisfaction for patients undergoing ERCP. However, mild degree of desaturation may still develop. TRIAL REGISTRATION ClinicalTrials.gov, NCT01540084.","author":[{"dropping-particle":"","family":"Angsuwatcharakon","given":"Phonthep","non-dropping-particle":"","parse-names":false,"suffix":""},{"dropping-particle":"","family":"Rerknimitr","given":"Rungsun","non-dropping-particle":"","parse-names":false,"suffix":""},{"dropping-particle":"","family":"Ridtitid","given":"Wiriyaporn","non-dropping-particle":"","parse-names":false,"suffix":""},{"dropping-particle":"","family":"Kongkam","given":"Pradermchai","non-dropping-particle":"","parse-names":false,"suffix":""},{"dropping-particle":"","family":"Poonyathawon","given":"Sahadol","non-dropping-particle":"","parse-names":false,"suffix":""},{"dropping-particle":"","family":"Ponauthai","given":"Yuwadee","non-dropping-particle":"","parse-names":false,"suffix":""},{"dropping-particle":"","family":"Sumdin","given":"Sakolkan","non-dropping-particle":"","parse-names":false,"suffix":""},{"dropping-particle":"","family":"Kullavanijaya","given":"Pinit","non-dropping-particle":"","parse-names":false,"suffix":""}],"container-title":"BMC anesthesiology","id":"ITEM-14","issued":{"date-parts":[["2012","8","9"]]},"page":"20","title":"Cocktail sedation containing propofol versus conventional sedation for ERCP: a prospective, randomized controlled study.","type":"article-journal","volume":"12"},"uris":["http://www.mendeley.com/documents/?uuid=7bdf05be-9f69-4a40-8e62-faf1e2b67661"]},{"id":"ITEM-15","itemData":{"DOI":"10.5009/gnl.2012.6.4.464","ISSN":"2005-1212","PMID":"23170151","abstract":"BACKGROUND/AIMS Endoscopic submucosal dissection (ESD) is accepted as a treatment for gastric neoplasms and usually requires deep sedation. The aim of this study was to evaluate the safety and efficacy profiles of deep sedation induced by continuous propofol infusion with or without midazolam during ESD. METHODS A total of 135 patients scheduled for ESDs between December 2008 and June 2010 were included in this prospective study and were randomly assigned to one of two groups: the propofol group or the combination group (propofol plus midazolam). RESULTS The propofol group reported only one case of severe hypoxemia with no need of mask ventilation or intubation. Additionally, 18 cases of mild hypotension were observed in the propofol group, and 11 cases were observed in the combination group. The combination group had a lower mean total propofol dose (378 mg vs 466 mg, p&lt;0.012), a longer mean recovery time (10.5 minutes vs 7.9 minutes, p=0.027), and a lower frequency of overall adverse events (32.8% vs 17.6%, p=0.042). CONCLUSIONS Deep sedation induced by continuous propofol infusion was shown to be safe during ESD. The combination of continuous propofol infusion and intermittent midazolam injection can decrease the total dose and infusion rate of propofol and the overall occurrence of adverse events.","author":[{"dropping-particle":"","family":"Chun","given":"Seung Yeon","non-dropping-particle":"","parse-names":false,"suffix":""},{"dropping-particle":"","family":"Kim","given":"Kyoung Oh","non-dropping-particle":"","parse-names":false,"suffix":""},{"dropping-particle":"","family":"Park","given":"Dong Seon","non-dropping-particle":"","parse-names":false,"suffix":""},{"dropping-particle":"","family":"Kim","given":"Seong Yeol","non-dropping-particle":"","parse-names":false,"suffix":""},{"dropping-particle":"","family":"Park","given":"Ji Won","non-dropping-particle":"","parse-names":false,"suffix":""},{"dropping-particle":"","family":"Baek","given":"Il Hyun","non-dropping-particle":"","parse-names":false,"suffix":""},{"dropping-particle":"","family":"Kim","given":"Jong Hyeok","non-dropping-particle":"","parse-names":false,"suffix":""},{"dropping-particle":"","family":"Park","given":"Choong Kee","non-dropping-particle":"","parse-names":false,"suffix":""}],"container-title":"Gut and liver","id":"ITEM-15","issue":"4","issued":{"date-parts":[["2012","10"]]},"page":"464-70","title":"Safety and efficacy of deep sedation with propofol alone or combined with midazolam administrated by nonanesthesiologist for gastric endoscopic submucosal dissection.","type":"article-journal","volume":"6"},"uris":["http://www.mendeley.com/documents/?uuid=d1c68a35-b76f-41e5-b685-8bfa51a96ab9"]},{"id":"ITEM-16","itemData":{"DOI":"10.1111/1751-2980.12101","ISSN":"1751-2980","PMID":"24106806","abstract":"OBJECTIVE To investigate whether target-controlled infusion (TCI) with propofol, a method that has theoretically better control of drug concentration, produces less cardiovascular and respiratory suppression than an intermittent bolus of a sedative cocktail regimen in deep sedation for gastrointestinal endoscopy. METHODS In total 100 participants who had undergone esophagoduodenoscopy (EGD) and 120 who had undergone colonoscopy were prospectively and randomly enrolled to receive TCI with propofol or intermittent bolus of cocktail regimen containing midazolam, alfentanil and propofol until they were unresponsive to verbal commands. The target concentration was adjusted and the bolus of the cocktail regimen was added based on their responses. The nadir values of heart rate, blood pressure and oxygen saturation during and after the procedure were recorded. RESULTS The nadir systolic blood pressure during the endoscopy in the cocktail regimen group was significantly lower than that in the TCI with propofol group. In the cocktail regimen group, the incidence of hypotension during colonoscopy and that of bradycardia during EGD were higher than those in the TCI with propofol group. No participants in the TCI with propofol group experienced hypoxia during endoscopy. In the cocktail regimen group, six participants who had undergone EGD and six who had undergone colonoscopy showed transient hypoxic episodes during or after endoscopy. CONCLUSION TCI with propofol produced less cardiovascular and respiratory suppression than intermittent bolus of a sedative cocktail regimen in deep sedation for gastrointestinal endoscopy.","author":[{"dropping-particle":"","family":"Chan","given":"Wei-Hung","non-dropping-particle":"","parse-names":false,"suffix":""},{"dropping-particle":"","family":"Chang","given":"Shih-Lun","non-dropping-particle":"","parse-names":false,"suffix":""},{"dropping-particle":"","family":"Lin","given":"Ching-Shuan","non-dropping-particle":"","parse-names":false,"suffix":""},{"dropping-particle":"","family":"Chen","given":"Mei-Jyh","non-dropping-particle":"","parse-names":false,"suffix":""},{"dropping-particle":"","family":"Fan","given":"Shou-Zen","non-dropping-particle":"","parse-names":false,"suffix":""}],"container-title":"Journal of digestive diseases","id":"ITEM-16","issue":"1","issued":{"date-parts":[["2014","1"]]},"page":"18-26","title":"Target-controlled infusion of propofol versus intermittent bolus of a sedative cocktail regimen in deep sedation for gastrointestinal endoscopy: comparison of cardiovascular and respiratory parameters.","type":"article-journal","volume":"15"},"uris":["http://www.mendeley.com/documents/?uuid=80edd978-9398-4cc8-8efb-8bc57a860883"]},{"id":"ITEM-17","itemData":{"DOI":"10.5812/ircmj.19329","ISSN":"2074-1804","PMID":"25763217","abstract":"BACKGROUND Different levels of pharmacological sedation ranging from minimal to general anesthesia are often used to increase patient tolerance for a successful colonoscopy. However, sedation increases the risk of respiratory depression and cardiovascular complications during colonoscopy. OBJECTIVES We aimed to compare the propofol and midazolam/meperidine sedation methods for colonoscopy procedures with respect to cardiopulmonary safety, procedure-related times, and patient satisfaction. PATIENTS AND METHODS This was a prospective, randomized, double-blinded study, in which 124 consecutive patients undergoing elective outpatient diagnostic colonoscopies were divided into propofol and midazolam/meperidine sedation groups (n: 62, m/f ratio: 26/36, mean age: 46 ± 15 for the propofol group; n: 62, m/f ratio: 28/34, mean age: 49 ± 15 for the midazolam/meperidine group) by computer-generated randomization. The frequency of cardiopulmonary events (hypotension, bradycardia, hypoxemia), procedure-related times (duration of colonoscopy, time to cecal intubation, time to ileal intubation, awakening time, and time to hospital discharge) and patients' evaluation results (pain assessment, quality of sedation, and recollection of procedure) were compared between the groups. RESULTS There were no statistically significant differences between the two groups with respect to demographic and clinical characteristics of the patients, the frequency of hypotension, hypoxemia or bradycardia, cecal and ileal intubation times, and the duration of colonoscopy. The logistic regression analysis indicated that the development of cardiopulmonary events was not associated with the sedative agent used or the characteristics of the patients. The time required for the patient to be fully awake and the time to hospital discharge was significantly longer in the propofol group (11 ± 8 and 37 ± 11 minutes, respectively) than the midazolam/meperidine group (8 ± 6 and 29 ± 12 minutes, respectively) (P = 0.009 and P &lt; 0.001, respectively). The patient satisfaction rates were not significantly different between the groups; however, patients in the propofol group experienced more pain than patients in the midazolam/meperidine group (VAS score: 0.31 ± 0.76 vs. 0 ± 0; P = 0.002). CONCLUSIONS Midazolam/meperidine and propofol sedation for colonoscopy have similar cardiopulmonary safety profiles and patient satisfaction levels. Midazolam/meperidine can be preferred to propofol sedation due to a shor…","author":[{"dropping-particle":"","family":"Gurbulak","given":"Bunyamin","non-dropping-particle":"","parse-names":false,"suffix":""},{"dropping-particle":"","family":"Uzman","given":"Sinan","non-dropping-particle":"","parse-names":false,"suffix":""},{"dropping-particle":"","family":"Kabul Gurbulak","given":"Esin","non-dropping-particle":"","parse-names":false,"suffix":""},{"dropping-particle":"","family":"Gul","given":"Yasar Gokhan","non-dropping-particle":"","parse-names":false,"suffix":""},{"dropping-particle":"","family":"Toptas","given":"Mehmet","non-dropping-particle":"","parse-names":false,"suffix":""},{"dropping-particle":"","family":"Baltali","given":"Sevim","non-dropping-particle":"","parse-names":false,"suffix":""},{"dropping-particle":"","family":"Anil Savas","given":"Osman","non-dropping-particle":"","parse-names":false,"suffix":""}],"container-title":"Iranian Red Crescent medical journal","id":"ITEM-17","issue":"11","issued":{"date-parts":[["2014","11"]]},"page":"e19329","title":"Cardiopulmonary safety of propofol versus midazolam/meperidine sedation for colonoscopy: a prospective, randomized, double-blinded study.","type":"article-journal","volume":"16"},"uris":["http://www.mendeley.com/documents/?uuid=ad78eb03-805e-4c29-abf7-0b47abdfcea9"]},{"id":"ITEM-18","itemData":{"DOI":"10.1155/2015/465465","ISSN":"2314-6141","PMID":"26576424","abstract":"INTRODUCTION Using single anesthetic agent in endoscopic retrograde cholangiopancreatography (ERCP) may lead to inadequate analgesia and sedation. To achieve the adequate analgesia and sedation the single anesthetic agent doses must be increased which causes undesirable side effects. For avoiding high doses of single anesthetic agent nowadays combination with sedative agents is mostly a choice for analgesia and sedation for ERCP. AIM The aim of this study is to investigate the effects of propofol alone, propofol + remifentanil, and propofol + fentanyl combinations on the total dose of propofol to be administered during ERCP and on the pain scores after the process. MATERIALS AND METHOD This randomized study was performed with 90 patients (ASA I-II-III) ranging between 18 and 70 years of age who underwent sedation/analgesia for elective ERCP. The patients were administered only propofol (1.5 mg/kg) in Group Ι, remifentanil (0.05 μg/kg) + propofol (1.5 mg/kg) combination in Group II, and fentanyl (1 μg/kg) + propofol (1.5 mg/kg) combination in Group III. All the patients' sedation levels were assessed with the Ramsey Sedation Scale (RSS). Their recovery was assessed with the Aldrete and Numerical Rating Scale Score (NRS) at 10 min intervals. RESULTS The total doses of propofol administered to the patients in the three groups in this study were as follows: 375 mg in Group I, 150 mg in Group II, and 245 mg in Group III. CONCLUSION It was observed that, in the patients undergoing ERCP, administration of propofol in combination with an opioid provided effective and reliable sedation, reduced the total dose of propofol, increased the practitioner satisfaction, decreased the pain level, and provided hemodynamic stability compared to the administration of propofol alone.","author":[{"dropping-particle":"","family":"Haytural","given":"Candan","non-dropping-particle":"","parse-names":false,"suffix":""},{"dropping-particle":"","family":"Aydınlı","given":"Bahar","non-dropping-particle":"","parse-names":false,"suffix":""},{"dropping-particle":"","family":"Demir","given":"Berna","non-dropping-particle":"","parse-names":false,"suffix":""},{"dropping-particle":"","family":"Bozkurt","given":"Elif","non-dropping-particle":"","parse-names":false,"suffix":""},{"dropping-particle":"","family":"Parlak","given":"Erkan","non-dropping-particle":"","parse-names":false,"suffix":""},{"dropping-particle":"","family":"Dişibeyaz","given":"Selçuk","non-dropping-particle":"","parse-names":false,"suffix":""},{"dropping-particle":"","family":"Saraç","given":"Ahmet","non-dropping-particle":"","parse-names":false,"suffix":""},{"dropping-particle":"","family":"Özgök","given":"Ayşegül","non-dropping-particle":"","parse-names":false,"suffix":""},{"dropping-particle":"","family":"Kazancı","given":"Dilek","non-dropping-particle":"","parse-names":false,"suffix":""}],"container-title":"BioMed research international","id":"ITEM-18","issued":{"date-parts":[["2015"]]},"page":"465465","title":"Comparison of Propofol, Propofol-Remifentanil, and Propofol-Fentanyl Administrations with Each Other Used for the Sedation of Patients to Undergo ERCP.","type":"article-journal","volume":"2015"},"uris":["http://www.mendeley.com/documents/?uuid=6d000a65-6cb9-4672-b043-7f58368b2b10"]},{"id":"ITEM-19","itemData":{"DOI":"10.1016/j.kjms.2015.09.004","ISSN":"2410-8650","PMID":"26678938","abstract":"Gastrointestinal (GI) endoscopy is the major technique for diagnosis of GI disease and treatment. Various sedation and analgesia regimens such as midazolam, fentanyl, and propofol can be used during GI endoscopy. The purpose of the study was to compare propofol alone and propofol combination with midazolam and fentanyl in moderate sedation for GI endoscopy. One hundred patients undergoing GI endoscopy were enrolled in this study. All patients received a propofol target-controlled infusion (TCI) to maintain sedation during the procedure. Patients were randomly allocated into either Group P (propofol TCI alone) or Group C (combination of propofol TCI plus midazolam and fentanyl). Dermographic data, anesthetic parameters (sedation regimen, blood pressure, heart rate, and oxygen saturation), procedure parameters (procedure time, colonoscopy, or panendoscopy), propofol consumption, and adverse events (hypoxia, hypotension, and bradycardia) were all recorded. Postprocedural records included recovery time, postoperative adverse events (nausea, vomiting, dizziness, recall, and pain) and satisfaction. The average propofol consumption was 251 ± 83 mg in Group P and 159 ± 73 mg in Group C (p &lt; 0.001). The incidence of transient hypotension was higher in Group P (p = 0.009). The recovery time and discharge time were both shorter in Group C (p &lt; 0.001 and p = 0.006 respectively). Overall, postprocedural adverse events were similar in both groups. The postanesthetic satisfaction was comparable in both groups. TCI of propofol combined with midazolam and fentanyl achieved sedation with fewer hypotension episodes and shorter recovery and discharge time than propofol TCI alone in patients undergoing GI endoscopy.","author":[{"dropping-particle":"","family":"Hsu","given":"Chiung-Dan","non-dropping-particle":"","parse-names":false,"suffix":""},{"dropping-particle":"","family":"Huang","given":"Jui-Mei","non-dropping-particle":"","parse-names":false,"suffix":""},{"dropping-particle":"","family":"Chuang","given":"Ya-Ping","non-dropping-particle":"","parse-names":false,"suffix":""},{"dropping-particle":"","family":"Wei","given":"Hua-Yi","non-dropping-particle":"","parse-names":false,"suffix":""},{"dropping-particle":"","family":"Su","given":"Yu-Chung","non-dropping-particle":"","parse-names":false,"suffix":""},{"dropping-particle":"","family":"Wu","given":"Jeng-Yih","non-dropping-particle":"","parse-names":false,"suffix":""},{"dropping-particle":"","family":"Wang","given":"Wen-Ming","non-dropping-particle":"","parse-names":false,"suffix":""},{"dropping-particle":"","family":"Hsu","given":"Hung-Te","non-dropping-particle":"","parse-names":false,"suffix":""},{"dropping-particle":"","family":"Huang","given":"Hui-Fang","non-dropping-particle":"","parse-names":false,"suffix":""},{"dropping-particle":"","family":"Lu","given":"I-Cheng","non-dropping-particle":"","parse-names":false,"suffix":""},{"dropping-particle":"","family":"Lu","given":"David Vi","non-dropping-particle":"","parse-names":false,"suffix":""}],"container-title":"The Kaohsiung journal of medical sciences","id":"ITEM-19","issue":"11","issued":{"date-parts":[["2015","11"]]},"page":"580-4","title":"Propofol target-controlled infusion for sedated gastrointestinal endoscopy: A comparison of propofol alone versus propofol-fentanyl-midazolam.","type":"article-journal","volume":"31"},"uris":["http://www.mendeley.com/documents/?uuid=8b815fb8-255c-421a-85e3-69bb2fe9fe6a"]},{"id":"ITEM-20","itemData":{"DOI":"10.1097/DCR.0000000000000512","ISSN":"1530-0358","PMID":"26651114","abstract":"BACKGROUND Common sedation options for colonoscopy include propofol alone or a combination of midazolam and fentanyl. The former usually requires the presence of an anesthesia caregiver. The strategy that optimizes patient satisfaction has not yet been determined. OBJECTIVE This study was designed to assess whether patient satisfaction at the time of colonoscopy is equivalent for propofol compared with midazolam and fentanyl. DESIGN In this prospective, single-center, parallel group, single-blind, randomized, equivalence trial (NCT-01488045), 262 patients blinded to treatment received propofol (n = 126) or midazolam plus fentanyl (n = 136) at the time of colonoscopy. A patient satisfaction survey was administered in the recovery room and 1 to 5 days postprocedure. The endoscopist completed a survey immediately postprocedure. SETTINGS This study was conducted at a tertiary academic hospital with a dedicated colon and rectal surgery division. PATIENTS Patients over the age of 18 years who were undergoing elective colonoscopy were included in this study. MAIN OUTCOME MEASURES The primary outcome was patient satisfaction with the colonoscopy. Secondary outcomes included physician and patient perception of patient pain, physician perception of patient tolerance of and difficulty of procedure, procedure duration, percentage of patients with cecal intubation, recovery time, and adverse events. RESULTS Patient overall satisfaction scores in the recovery room after using the combination of midazolam and fentanyl (n = 136) during colonoscopy were not equivalent to patient satisfaction scores after using propofol (n = 126) alone (mean = 83.9 and 98.0 visual analog scale points) because the 90% CI (-18.5 to -9.6) for the mean treatment difference (-14.1) was completely outside the prespecified range of equivalence (±5 visual analog scale points). Patient pain as reported by the patient and as perceived by the physician and difficulty of the procedure were significantly worse for the midazolam/fentanyl group (n = 136) compared with the propofol group (n = 126). Time in the colonoscopy suite was significantly shorter for the propofol group, but the difference was small (4 minutes). There were no significant differences in percentage with cecal intubation, recovery time, or adverse events. LIMITATIONS This is a single-institution, single-endoscopist study and is limited by the inability to perform blinding of the endoscopist. CONCLUSIONS The use of propofol for consci…","author":[{"dropping-particle":"","family":"Schroeder","given":"Caleb","non-dropping-particle":"","parse-names":false,"suffix":""},{"dropping-particle":"","family":"Kaoutzanis","given":"Christodoulos","non-dropping-particle":"","parse-names":false,"suffix":""},{"dropping-particle":"","family":"Tocco-Bradley","given":"Rosalie","non-dropping-particle":"","parse-names":false,"suffix":""},{"dropping-particle":"","family":"Obear","given":"Janet","non-dropping-particle":"","parse-names":false,"suffix":""},{"dropping-particle":"","family":"Welch","given":"Kathleen B","non-dropping-particle":"","parse-names":false,"suffix":""},{"dropping-particle":"","family":"Winter","given":"Suzanne","non-dropping-particle":"","parse-names":false,"suffix":""},{"dropping-particle":"","family":"Cleary","given":"Robert K","non-dropping-particle":"","parse-names":false,"suffix":""}],"container-title":"Diseases of the colon and rectum","id":"ITEM-20","issue":"1","issued":{"date-parts":[["2016","1"]]},"page":"62-69","title":"Patients Prefer Propofol to Midazolam Plus Fentanyl for Sedation for Colonoscopy: Results of a Single-Center Randomized Equivalence Trial.","type":"article-journal","volume":"59"},"uris":["http://www.mendeley.com/documents/?uuid=c21efbc9-a1fe-416a-bd41-73b248d5221f"]},{"id":"ITEM-21","itemData":{"DOI":"10.1186/s12871-016-0189-y","ISSN":"1471-2253","PMID":"27106691","abstract":"BACKGROUND Propofol and fentanyl are the most widely administered anesthesia maintaining drugs during colonoscopy. In this study, we determined the median effective concentration (EC50) of propofol required for colonoscopy in elderly patients, and the purpose of this study was to describe the pharmacodynamic interaction between fentanyl and propofol when used in combination for colonoscopy in elderly patients. METHODS Ninety elderly patients scheduled for colonoscopy were allocated into three groups in a randomized, double-blinded manner as below, F0.5 group (0.5 μg.kg(-1) fentanyl), F1.0 group (1.0 μg.kg(-1) fentanyl) and saline control group. Anaesthesia was achieved by target-controlled infusion of propofol (Marsh model, with an initial plasma concentration of 2.0 μg.ml(-1)) and fentanyl. Colonoscopy was started 3 min after the injection of fentanyl. The EC50 of propofol for colonoscopy with different doses of fentanyl was measured by using an up-and-down sequential method with an adjacent concentration gradient at 0.5 μg.ml(-1) to inhibit purposeful movements. Anaesthesia associated adverse events and recovery characters were also recorded. RESULTS The EC50 of propofol for colonoscopy in elderly patients were 2.75 μg.ml(-1) (95% CI, 2.50-3.02 μg.ml(-1)) in F0.5 group, 2.05 μg.ml(-1) (95% CI, 1.98-2.13 μg.ml(-1)) in F1.0 group and 3.08 μg.ml(-1) (95% CI, 2.78-3.42 μg.ml(-1)) in control group respectively (P &lt; 0.05). Patients in the F1.0 group had a significantly longer awake time and length of hospital stay than those in control group (P &lt; 0.05). CONCLUSION Increasing doses of fentanyl up to 1.0 μg.kg(-1) reduces the propofol EC50 required for elderly patients undergoing colonoscopy, and there was no significant difference in anaesthesia associated adverse events but prolonged awake and discharge time. TRIAL REGISTRATION Chinese Clinical Trial Registry ChiCTR15006368. Date of registration: May 3, 2015.","author":[{"dropping-particle":"","family":"Li","given":"Shiyang","non-dropping-particle":"","parse-names":false,"suffix":""},{"dropping-particle":"","family":"Yu","given":"Fang","non-dropping-particle":"","parse-names":false,"suffix":""},{"dropping-particle":"","family":"Zhu","given":"Huichen","non-dropping-particle":"","parse-names":false,"suffix":""},{"dropping-particle":"","family":"Yang","given":"Yuting","non-dropping-particle":"","parse-names":false,"suffix":""},{"dropping-particle":"","family":"Yang","given":"Liqun","non-dropping-particle":"","parse-names":false,"suffix":""},{"dropping-particle":"","family":"Lian","given":"Jianfeng","non-dropping-particle":"","parse-names":false,"suffix":""}],"container-title":"BMC anesthesiology","id":"ITEM-21","issued":{"date-parts":[["2016","4","21"]]},"page":"24","title":"The median effective concentration (EC50) of propofol with different doses of fentanyl during colonoscopy in elderly patients.","type":"article-journal","volume":"16"},"uris":["http://www.mendeley.com/documents/?uuid=2a0bdc72-1cdb-4335-bf84-52eac04b3f26"]},{"id":"ITEM-22","itemData":{"ISSN":"0269-2813","PMID":"10971238","abstract":"AIM Adequate patient sedation is mandatory for most interventional endoscopic procedures. Recent anaesthesiologic studies indicates that propofol and midazolam act synergistically in combination and therefore may be superior to sedation with propofol alone in terms of sedation efficacy, recovery and costs (due to a presumed lower total dose of propofol needed). METHODS A total of 239 consecutive patients undergoing therapeutic EGD or ERCP (EGD/ERCP-ratio, 1:1) randomly received either propofol alone (n=120, group A, loading dose 40-60 mg intravenously, followed by repeated doses of 20 mg) or propofol plus midazolam (n=119, group B, initial midazolam dose of 2. 5-3.5 mg intravenously, followed by repeated doses of 20 mg of propofol) for sedation. Vital signs (heart rate, blood pressure, oxygen saturation, electrocardiogram) were continuously monitored. Procedure-related parameters, the recovery time and quality (post-anaesthesia recovery score) as well as the patient's co-operation and tolerance to the procedure (visual analogue scale) were prospectively assessed. RESULTS Patients of group A and B were well matched with respect to demographic and clinical data, endoscopic findings, and the type of associated procedures. In group A, a mean dose of 0.25 +/- 0.13 mg.min/kg propofol was used compared to 0.20 +/- 0.09 mg.min/kg of propofol in group B (P &lt; 0.01, plus additional 2.9 +/- 0.5 mg of midazolam). Clinically relevant changes in vital signs were observed at comparable frequencies with a lowering of the systolic blood pressure &lt; 90 mmHg in six out of 119 patients in group B and one out of 120 patients in group A (P=0.07). The sedation efficacy was rated similarly in both groups, whereas the mean recovery time (group A, 19 +/- 7 min vs. group B, 25 +/- 8 min, P &lt; 0.05) as well as the recovery score (post-anaesthesia recovery score group A, 8.0 +/- 1.1 vs. post-anaesthesia recovery score group B, 7.3 +/- 1.2, P &lt; 0.001) were significantly better with propofol alone than with propofol plus midazolam. CONCLUSION During therapeutic endoscopy, sedation with propofol and midazolam requires a lower total dose of propofol, but otherwise has no superior sedation efficacy and is associated with a slower post-procedure recovery than sedation with propofol alone.","author":[{"dropping-particle":"","family":"Seifert","given":"H","non-dropping-particle":"","parse-names":false,"suffix":""},{"dropping-particle":"","family":"Schmitt","given":"T H","non-dropping-particle":"","parse-names":false,"suffix":""},{"dropping-particle":"","family":"Gültekin","given":"T","non-dropping-particle":"","parse-names":false,"suffix":""},{"dropping-particle":"","family":"Caspary","given":"W F","non-dropping-particle":"","parse-names":false,"suffix":""},{"dropping-particle":"","family":"Wehrmann","given":"T","non-dropping-particle":"","parse-names":false,"suffix":""}],"container-title":"Alimentary pharmacology &amp; therapeutics","id":"ITEM-22","issue":"9","issued":{"date-parts":[["2000","9"]]},"page":"1207-14","title":"Sedation with propofol plus midazolam versus propofol alone for interventional endoscopic procedures: a prospective, randomized study.","type":"article-journal","volume":"14"},"uris":["http://www.mendeley.com/documents/?uuid=481e0c3b-ba85-4660-9f17-2aea9fbaf0be"]},{"id":"ITEM-23","itemData":{"DOI":"10.1111/j.1572-0241.2006.00760.x","ISSN":"0002-9270","PMID":"17032185","abstract":"BACKGROUND Propofol by nonanesthesiologists is controversial because the drug is commonly used to produce deep sedation or general anesthesia. Propofol in combination with opioids and/or benzodiazepines can be titrated to moderate sedation, which might be safer. AIM To compare recovery time, patient satisfaction, and other end points with propofol alone titrated to deep sedation versus propofol combination therapy with opioids and/or benzodiazepines. METHOD A randomized controlled clinical trial of propofol alone titrated to deep sedation versus fentanyl plus propofol versus midazolam plus propofol versus fentanyl plus midazolam plus propofol in 200 outpatients undergoing colonoscopy. Each combination regimen was titrated to moderate sedation. RESULTS Patients receiving propofol alone received higher doses of propofol and had deeper sedation scores compared with combination therapy (both p &lt; 0.001). Patients receiving combination regimens were discharged more quickly (median 13.0-14.7 versus 18.1 min) than those receiving propofol alone (p &lt; 0.01). There were no differences in vital signs or oxygen saturations among the study arms. There were no significant differences in pain or satisfaction among the study arms in the recovery area. At a follow-up phone call, patients receiving fentanyl and propofol remembered more of the procedure than those in the other regimens (p &lt; 0.005) and remembered more pain than those receiving propofol alone (p &lt; 0.02). CONCLUSIONS Propofol in combination with fentanyl and/or midazolam can be titrated to moderate levels of sedation without substantial loss of satisfaction and with shorter recovery times compared with propofol titrated to deep sedation throughout the procedure.","author":[{"dropping-particle":"","family":"VanNatta","given":"Megan E","non-dropping-particle":"","parse-names":false,"suffix":""},{"dropping-particle":"","family":"Rex","given":"Douglas K","non-dropping-particle":"","parse-names":false,"suffix":""}],"container-title":"The American journal of gastroenterology","id":"ITEM-23","issue":"10","issued":{"date-parts":[["2006","10"]]},"page":"2209-17","title":"Propofol alone titrated to deep sedation versus propofol in combination with opioids and/or benzodiazepines and titrated to moderate sedation for colonoscopy.","type":"article-journal","volume":"101"},"uris":["http://www.mendeley.com/documents/?uuid=6743418f-eff0-4e5f-ab2d-30bc4395eb8d"]}],"mendeley":{"formattedCitation":"&lt;sup&gt;[12,19,24–44]&lt;/sup&gt;","plainTextFormattedCitation":"[12,19,24–44]","previouslyFormattedCitation":"&lt;sup&gt;[12,19,24–44]&lt;/sup&gt;"},"properties":{"noteIndex":0},"schema":"https://github.com/citation-style-language/schema/raw/master/csl-citation.json"}</w:instrText>
      </w:r>
      <w:r w:rsidR="00387E37"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[12,19,24–44]</w:t>
      </w:r>
      <w:r w:rsidR="00387E37" w:rsidRPr="00D46A14">
        <w:rPr>
          <w:rFonts w:ascii="Book Antiqua" w:hAnsi="Book Antiqua"/>
          <w:sz w:val="24"/>
          <w:szCs w:val="24"/>
        </w:rPr>
        <w:fldChar w:fldCharType="end"/>
      </w:r>
      <w:r w:rsidRPr="00D46A14">
        <w:rPr>
          <w:rFonts w:ascii="Book Antiqua" w:hAnsi="Book Antiqua"/>
          <w:sz w:val="24"/>
          <w:szCs w:val="24"/>
        </w:rPr>
        <w:t>. Figure 1 summarizes the selection process of the studies.</w:t>
      </w:r>
    </w:p>
    <w:p w14:paraId="5005A68E" w14:textId="77777777" w:rsidR="00567D81" w:rsidRPr="00D46A14" w:rsidRDefault="005C1764" w:rsidP="00D46A14">
      <w:pPr>
        <w:spacing w:after="0" w:line="360" w:lineRule="auto"/>
        <w:ind w:firstLineChars="200" w:firstLine="480"/>
        <w:rPr>
          <w:rFonts w:ascii="Book Antiqua" w:eastAsia="等线" w:hAnsi="Book Antiqua"/>
          <w:sz w:val="24"/>
          <w:szCs w:val="24"/>
          <w:lang w:eastAsia="zh-CN"/>
        </w:rPr>
      </w:pPr>
      <w:r w:rsidRPr="00D46A14">
        <w:rPr>
          <w:rFonts w:ascii="Book Antiqua" w:hAnsi="Book Antiqua"/>
          <w:sz w:val="24"/>
          <w:szCs w:val="24"/>
        </w:rPr>
        <w:t>Of the</w:t>
      </w:r>
      <w:r w:rsidR="00023F72" w:rsidRPr="00D46A14">
        <w:rPr>
          <w:rFonts w:ascii="Book Antiqua" w:hAnsi="Book Antiqua"/>
          <w:sz w:val="24"/>
          <w:szCs w:val="24"/>
        </w:rPr>
        <w:t xml:space="preserve"> 3854 </w:t>
      </w:r>
      <w:r w:rsidRPr="00D46A14">
        <w:rPr>
          <w:rFonts w:ascii="Book Antiqua" w:hAnsi="Book Antiqua"/>
          <w:sz w:val="24"/>
          <w:szCs w:val="24"/>
        </w:rPr>
        <w:t xml:space="preserve">patients included, </w:t>
      </w:r>
      <w:r w:rsidR="00023F72" w:rsidRPr="00D46A14">
        <w:rPr>
          <w:rFonts w:ascii="Book Antiqua" w:hAnsi="Book Antiqua"/>
          <w:sz w:val="24"/>
          <w:szCs w:val="24"/>
        </w:rPr>
        <w:t xml:space="preserve">1574 received propofol </w:t>
      </w:r>
      <w:r w:rsidR="00894216" w:rsidRPr="00D46A14">
        <w:rPr>
          <w:rFonts w:ascii="Book Antiqua" w:hAnsi="Book Antiqua"/>
          <w:sz w:val="24"/>
          <w:szCs w:val="24"/>
        </w:rPr>
        <w:t xml:space="preserve">as the sole sedative </w:t>
      </w:r>
      <w:r w:rsidR="00023F72" w:rsidRPr="00D46A14">
        <w:rPr>
          <w:rFonts w:ascii="Book Antiqua" w:hAnsi="Book Antiqua"/>
          <w:sz w:val="24"/>
          <w:szCs w:val="24"/>
        </w:rPr>
        <w:t xml:space="preserve">while 2280 received midazolam, meperidine, fentanyl, remifentanil, alfentanil in combination with </w:t>
      </w:r>
      <w:r w:rsidR="00567D81" w:rsidRPr="00D46A14">
        <w:rPr>
          <w:rFonts w:ascii="Book Antiqua" w:hAnsi="Book Antiqua"/>
          <w:sz w:val="24"/>
          <w:szCs w:val="24"/>
        </w:rPr>
        <w:t xml:space="preserve">propofol </w:t>
      </w:r>
      <w:r w:rsidR="00023F72" w:rsidRPr="00D46A14">
        <w:rPr>
          <w:rFonts w:ascii="Book Antiqua" w:hAnsi="Book Antiqua"/>
          <w:sz w:val="24"/>
          <w:szCs w:val="24"/>
        </w:rPr>
        <w:t>(Table 1).</w:t>
      </w:r>
      <w:r w:rsidR="00567D81" w:rsidRPr="00D46A14">
        <w:rPr>
          <w:rFonts w:ascii="Book Antiqua" w:eastAsia="等线" w:hAnsi="Book Antiqua"/>
          <w:sz w:val="24"/>
          <w:szCs w:val="24"/>
          <w:lang w:eastAsia="zh-CN"/>
        </w:rPr>
        <w:t xml:space="preserve"> </w:t>
      </w:r>
      <w:r w:rsidR="00023F72" w:rsidRPr="00D46A14">
        <w:rPr>
          <w:rFonts w:ascii="Book Antiqua" w:hAnsi="Book Antiqua"/>
          <w:sz w:val="24"/>
          <w:szCs w:val="24"/>
        </w:rPr>
        <w:t xml:space="preserve">There was wide geographical representation of studies included, encompassing a wide diversity of endoscopic procedures. The </w:t>
      </w:r>
      <w:r w:rsidR="00567D81" w:rsidRPr="00D46A14">
        <w:rPr>
          <w:rFonts w:ascii="Book Antiqua" w:hAnsi="Book Antiqua"/>
          <w:sz w:val="24"/>
          <w:szCs w:val="24"/>
        </w:rPr>
        <w:t xml:space="preserve">Jadad </w:t>
      </w:r>
      <w:r w:rsidR="00023F72" w:rsidRPr="00D46A14">
        <w:rPr>
          <w:rFonts w:ascii="Book Antiqua" w:hAnsi="Book Antiqua"/>
          <w:sz w:val="24"/>
          <w:szCs w:val="24"/>
        </w:rPr>
        <w:t>score was greater than 3 in 91.3% of the studies included in the meta-analysis, suggesting adequate methodological quality of these studies. All studies are available online, in full text format.</w:t>
      </w:r>
    </w:p>
    <w:p w14:paraId="5FCB6CC3" w14:textId="77777777" w:rsidR="00567D81" w:rsidRPr="00D46A14" w:rsidRDefault="00567D81" w:rsidP="00D46A14">
      <w:pPr>
        <w:spacing w:after="0" w:line="360" w:lineRule="auto"/>
        <w:ind w:left="0" w:firstLine="0"/>
        <w:rPr>
          <w:rFonts w:ascii="Book Antiqua" w:eastAsia="等线" w:hAnsi="Book Antiqua"/>
          <w:sz w:val="24"/>
          <w:szCs w:val="24"/>
          <w:lang w:eastAsia="zh-CN"/>
        </w:rPr>
      </w:pPr>
    </w:p>
    <w:p w14:paraId="3391C3BC" w14:textId="77777777" w:rsidR="00567D81" w:rsidRPr="00D46A14" w:rsidRDefault="00023F72" w:rsidP="00D46A14">
      <w:pPr>
        <w:spacing w:after="0" w:line="360" w:lineRule="auto"/>
        <w:ind w:left="0" w:firstLine="0"/>
        <w:rPr>
          <w:rFonts w:ascii="Book Antiqua" w:eastAsia="等线" w:hAnsi="Book Antiqua"/>
          <w:i/>
          <w:sz w:val="24"/>
          <w:szCs w:val="24"/>
          <w:lang w:eastAsia="zh-CN"/>
        </w:rPr>
      </w:pPr>
      <w:r w:rsidRPr="00D46A14">
        <w:rPr>
          <w:rFonts w:ascii="Book Antiqua" w:hAnsi="Book Antiqua"/>
          <w:b/>
          <w:i/>
          <w:sz w:val="24"/>
          <w:szCs w:val="24"/>
        </w:rPr>
        <w:t>Results by groups</w:t>
      </w:r>
    </w:p>
    <w:p w14:paraId="1906832A" w14:textId="24FEBD9D" w:rsidR="00023F72" w:rsidRPr="00D46A14" w:rsidRDefault="00894216" w:rsidP="00D46A14">
      <w:pPr>
        <w:spacing w:after="0" w:line="360" w:lineRule="auto"/>
        <w:ind w:left="0" w:firstLine="0"/>
        <w:rPr>
          <w:rFonts w:ascii="Book Antiqua" w:eastAsia="Calibri" w:hAnsi="Book Antiqua"/>
          <w:sz w:val="24"/>
          <w:szCs w:val="24"/>
        </w:rPr>
      </w:pPr>
      <w:r w:rsidRPr="00D46A14">
        <w:rPr>
          <w:rFonts w:ascii="Book Antiqua" w:eastAsia="Calibri" w:hAnsi="Book Antiqua"/>
          <w:b/>
          <w:sz w:val="24"/>
          <w:szCs w:val="24"/>
        </w:rPr>
        <w:t xml:space="preserve">Group </w:t>
      </w:r>
      <w:r w:rsidR="00023F72" w:rsidRPr="00D46A14">
        <w:rPr>
          <w:rFonts w:ascii="Book Antiqua" w:eastAsia="Calibri" w:hAnsi="Book Antiqua"/>
          <w:b/>
          <w:sz w:val="24"/>
          <w:szCs w:val="24"/>
        </w:rPr>
        <w:t>I</w:t>
      </w:r>
      <w:r w:rsidR="00567D81" w:rsidRPr="00D46A14">
        <w:rPr>
          <w:rFonts w:ascii="Book Antiqua" w:eastAsia="等线" w:hAnsi="Book Antiqua"/>
          <w:b/>
          <w:sz w:val="24"/>
          <w:szCs w:val="24"/>
          <w:lang w:eastAsia="zh-CN"/>
        </w:rPr>
        <w:t xml:space="preserve">: </w:t>
      </w:r>
      <w:r w:rsidR="007A1A2C" w:rsidRPr="00D46A14">
        <w:rPr>
          <w:rFonts w:ascii="Book Antiqua" w:eastAsia="Calibri" w:hAnsi="Book Antiqua"/>
          <w:sz w:val="24"/>
          <w:szCs w:val="24"/>
        </w:rPr>
        <w:t>In 11 studies</w:t>
      </w:r>
      <w:r w:rsidRPr="00D46A14">
        <w:rPr>
          <w:rFonts w:ascii="Book Antiqua" w:eastAsia="Calibri" w:hAnsi="Book Antiqua"/>
          <w:sz w:val="24"/>
          <w:szCs w:val="24"/>
        </w:rPr>
        <w:t xml:space="preserve"> evaluating the incidence of bradycardia, there were no observed differences between both treatment arms</w:t>
      </w:r>
      <w:r w:rsidR="00567D81" w:rsidRPr="00D46A14">
        <w:rPr>
          <w:rFonts w:ascii="Book Antiqua" w:eastAsia="Calibri" w:hAnsi="Book Antiqua"/>
          <w:sz w:val="24"/>
          <w:szCs w:val="24"/>
        </w:rPr>
        <w:t xml:space="preserve"> (RD: -0.01, 95%</w:t>
      </w:r>
      <w:r w:rsidR="00023F72" w:rsidRPr="00D46A14">
        <w:rPr>
          <w:rFonts w:ascii="Book Antiqua" w:eastAsia="Calibri" w:hAnsi="Book Antiqua"/>
          <w:sz w:val="24"/>
          <w:szCs w:val="24"/>
        </w:rPr>
        <w:t xml:space="preserve">CI: −0.03–+0.01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00567D81" w:rsidRPr="00D46A14">
        <w:rPr>
          <w:rFonts w:ascii="Book Antiqua" w:eastAsia="Calibri" w:hAnsi="Book Antiqua"/>
          <w:sz w:val="24"/>
          <w:szCs w:val="24"/>
        </w:rPr>
        <w:t>: 22%</w:t>
      </w:r>
      <w:r w:rsidR="00567D81" w:rsidRPr="00D46A14">
        <w:rPr>
          <w:rFonts w:ascii="Book Antiqua" w:eastAsia="等线" w:hAnsi="Book Antiqua"/>
          <w:sz w:val="24"/>
          <w:szCs w:val="24"/>
          <w:lang w:eastAsia="zh-CN"/>
        </w:rPr>
        <w:t xml:space="preserve">, </w:t>
      </w:r>
      <w:r w:rsidR="00567D81" w:rsidRPr="00D46A14">
        <w:rPr>
          <w:rFonts w:ascii="Book Antiqua" w:eastAsia="Calibri" w:hAnsi="Book Antiqua"/>
          <w:sz w:val="24"/>
          <w:szCs w:val="24"/>
        </w:rPr>
        <w:t>Figure 2</w:t>
      </w:r>
      <w:r w:rsidR="007E55C1">
        <w:rPr>
          <w:rFonts w:ascii="Book Antiqua" w:eastAsia="等线" w:hAnsi="Book Antiqua" w:hint="eastAsia"/>
          <w:sz w:val="24"/>
          <w:szCs w:val="24"/>
          <w:lang w:eastAsia="zh-CN"/>
        </w:rPr>
        <w:t>A</w:t>
      </w:r>
      <w:r w:rsidR="00567D81" w:rsidRPr="00D46A14">
        <w:rPr>
          <w:rFonts w:ascii="Book Antiqua" w:eastAsia="Calibri" w:hAnsi="Book Antiqua"/>
          <w:sz w:val="24"/>
          <w:szCs w:val="24"/>
        </w:rPr>
        <w:t>).</w:t>
      </w:r>
      <w:r w:rsidR="00567D81"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In 10 studies assessing hypotension</w:t>
      </w:r>
      <w:r w:rsidRPr="00D46A14">
        <w:rPr>
          <w:rFonts w:ascii="Book Antiqua" w:eastAsia="Calibri" w:hAnsi="Book Antiqua"/>
          <w:sz w:val="24"/>
          <w:szCs w:val="24"/>
        </w:rPr>
        <w:t xml:space="preserve">, no difference existed between both arms </w:t>
      </w:r>
      <w:r w:rsidR="00567D81" w:rsidRPr="00D46A14">
        <w:rPr>
          <w:rFonts w:ascii="Book Antiqua" w:eastAsia="Calibri" w:hAnsi="Book Antiqua"/>
          <w:sz w:val="24"/>
          <w:szCs w:val="24"/>
        </w:rPr>
        <w:t>(RD: 0.01, 95%</w:t>
      </w:r>
      <w:r w:rsidR="00023F72" w:rsidRPr="00D46A14">
        <w:rPr>
          <w:rFonts w:ascii="Book Antiqua" w:eastAsia="Calibri" w:hAnsi="Book Antiqua"/>
          <w:sz w:val="24"/>
          <w:szCs w:val="24"/>
        </w:rPr>
        <w:t xml:space="preserve">CI: −0.02–+0.04, </w:t>
      </w:r>
      <w:r w:rsidR="00023F72" w:rsidRPr="00D46A14">
        <w:rPr>
          <w:rFonts w:ascii="Book Antiqua" w:eastAsia="Calibri" w:hAnsi="Book Antiqua"/>
          <w:i/>
          <w:sz w:val="24"/>
          <w:szCs w:val="24"/>
        </w:rPr>
        <w:t>I</w:t>
      </w:r>
      <w:r w:rsidR="001E48D6" w:rsidRPr="00D46A14">
        <w:rPr>
          <w:rFonts w:ascii="Book Antiqua" w:eastAsia="Calibri" w:hAnsi="Book Antiqua"/>
          <w:sz w:val="24"/>
          <w:szCs w:val="24"/>
          <w:vertAlign w:val="superscript"/>
        </w:rPr>
        <w:t>2</w:t>
      </w:r>
      <w:r w:rsidR="00567D81" w:rsidRPr="00D46A14">
        <w:rPr>
          <w:rFonts w:ascii="Book Antiqua" w:eastAsia="Calibri" w:hAnsi="Book Antiqua"/>
          <w:sz w:val="24"/>
          <w:szCs w:val="24"/>
        </w:rPr>
        <w:t>: 0%</w:t>
      </w:r>
      <w:r w:rsidR="00567D81"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7E55C1">
        <w:rPr>
          <w:rFonts w:ascii="Book Antiqua" w:eastAsia="等线" w:hAnsi="Book Antiqua" w:hint="eastAsia"/>
          <w:sz w:val="24"/>
          <w:szCs w:val="24"/>
          <w:lang w:eastAsia="zh-CN"/>
        </w:rPr>
        <w:t>2B</w:t>
      </w:r>
      <w:r w:rsidR="00023F72" w:rsidRPr="00D46A14">
        <w:rPr>
          <w:rFonts w:ascii="Book Antiqua" w:eastAsia="Calibri" w:hAnsi="Book Antiqua"/>
          <w:sz w:val="24"/>
          <w:szCs w:val="24"/>
        </w:rPr>
        <w:t xml:space="preserve">). </w:t>
      </w:r>
      <w:r w:rsidRPr="00D46A14">
        <w:rPr>
          <w:rFonts w:ascii="Book Antiqua" w:eastAsia="Calibri" w:hAnsi="Book Antiqua"/>
          <w:sz w:val="24"/>
          <w:szCs w:val="24"/>
        </w:rPr>
        <w:t>The incidence of d</w:t>
      </w:r>
      <w:r w:rsidR="00023F72" w:rsidRPr="00D46A14">
        <w:rPr>
          <w:rFonts w:ascii="Book Antiqua" w:eastAsia="Calibri" w:hAnsi="Book Antiqua"/>
          <w:sz w:val="24"/>
          <w:szCs w:val="24"/>
        </w:rPr>
        <w:t xml:space="preserve">esaturation was higher in the propofol group </w:t>
      </w:r>
      <w:r w:rsidRPr="00D46A14">
        <w:rPr>
          <w:rFonts w:ascii="Book Antiqua" w:eastAsia="Calibri" w:hAnsi="Book Antiqua"/>
          <w:sz w:val="24"/>
          <w:szCs w:val="24"/>
        </w:rPr>
        <w:t>however this did not reach statistical significance</w:t>
      </w:r>
      <w:r w:rsidR="00567D81" w:rsidRPr="00D46A14">
        <w:rPr>
          <w:rFonts w:ascii="Book Antiqua" w:eastAsia="Calibri" w:hAnsi="Book Antiqua"/>
          <w:sz w:val="24"/>
          <w:szCs w:val="24"/>
        </w:rPr>
        <w:t xml:space="preserve"> (RD: −0.03, 95%</w:t>
      </w:r>
      <w:r w:rsidR="00023F72" w:rsidRPr="00D46A14">
        <w:rPr>
          <w:rFonts w:ascii="Book Antiqua" w:eastAsia="Calibri" w:hAnsi="Book Antiqua"/>
          <w:sz w:val="24"/>
          <w:szCs w:val="24"/>
        </w:rPr>
        <w:t xml:space="preserve">CI: −0.06–+0.00, </w:t>
      </w:r>
      <w:r w:rsidR="00023F72" w:rsidRPr="00D46A14">
        <w:rPr>
          <w:rFonts w:ascii="Book Antiqua" w:eastAsia="Calibri" w:hAnsi="Book Antiqua"/>
          <w:i/>
          <w:sz w:val="24"/>
          <w:szCs w:val="24"/>
        </w:rPr>
        <w:t>I</w:t>
      </w:r>
      <w:r w:rsidR="001E48D6" w:rsidRPr="00D46A14">
        <w:rPr>
          <w:rFonts w:ascii="Book Antiqua" w:eastAsia="Calibri" w:hAnsi="Book Antiqua"/>
          <w:sz w:val="24"/>
          <w:szCs w:val="24"/>
          <w:vertAlign w:val="superscript"/>
        </w:rPr>
        <w:t>2</w:t>
      </w:r>
      <w:r w:rsidR="00567D81" w:rsidRPr="00D46A14">
        <w:rPr>
          <w:rFonts w:ascii="Book Antiqua" w:eastAsia="Calibri" w:hAnsi="Book Antiqua"/>
          <w:sz w:val="24"/>
          <w:szCs w:val="24"/>
        </w:rPr>
        <w:t>: 25%</w:t>
      </w:r>
      <w:r w:rsidR="00567D81"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7E55C1">
        <w:rPr>
          <w:rFonts w:ascii="Book Antiqua" w:eastAsia="等线" w:hAnsi="Book Antiqua" w:hint="eastAsia"/>
          <w:sz w:val="24"/>
          <w:szCs w:val="24"/>
          <w:lang w:eastAsia="zh-CN"/>
        </w:rPr>
        <w:t>2C</w:t>
      </w:r>
      <w:r w:rsidR="00023F72" w:rsidRPr="00D46A14">
        <w:rPr>
          <w:rFonts w:ascii="Book Antiqua" w:eastAsia="Calibri" w:hAnsi="Book Antiqua"/>
          <w:sz w:val="24"/>
          <w:szCs w:val="24"/>
        </w:rPr>
        <w:t xml:space="preserve">). </w:t>
      </w:r>
      <w:r w:rsidR="00023F72" w:rsidRPr="00D46A14">
        <w:rPr>
          <w:rFonts w:ascii="Book Antiqua" w:eastAsia="Calibri" w:hAnsi="Book Antiqua"/>
          <w:sz w:val="24"/>
          <w:szCs w:val="24"/>
        </w:rPr>
        <w:lastRenderedPageBreak/>
        <w:t xml:space="preserve">Patient satisfaction with the visual analog scale was available in 6 of the included studies with a </w:t>
      </w:r>
      <w:r w:rsidRPr="00D46A14">
        <w:rPr>
          <w:rFonts w:ascii="Book Antiqua" w:eastAsia="Calibri" w:hAnsi="Book Antiqua"/>
          <w:sz w:val="24"/>
          <w:szCs w:val="24"/>
        </w:rPr>
        <w:t>trend towards</w:t>
      </w:r>
      <w:r w:rsidR="00023F72" w:rsidRPr="00D46A14">
        <w:rPr>
          <w:rFonts w:ascii="Book Antiqua" w:eastAsia="Calibri" w:hAnsi="Book Antiqua"/>
          <w:sz w:val="24"/>
          <w:szCs w:val="24"/>
        </w:rPr>
        <w:t xml:space="preserve"> greater satisfaction in the benzodiazepine </w:t>
      </w:r>
      <w:r w:rsidRPr="00D46A14">
        <w:rPr>
          <w:rFonts w:ascii="Book Antiqua" w:eastAsia="Calibri" w:hAnsi="Book Antiqua"/>
          <w:sz w:val="24"/>
          <w:szCs w:val="24"/>
        </w:rPr>
        <w:t xml:space="preserve">and/or </w:t>
      </w:r>
      <w:r w:rsidR="00567D81" w:rsidRPr="00D46A14">
        <w:rPr>
          <w:rFonts w:ascii="Book Antiqua" w:eastAsia="Calibri" w:hAnsi="Book Antiqua"/>
          <w:sz w:val="24"/>
          <w:szCs w:val="24"/>
        </w:rPr>
        <w:t>opioid group (MD: +0.89, 95%</w:t>
      </w:r>
      <w:r w:rsidR="00023F72" w:rsidRPr="00D46A14">
        <w:rPr>
          <w:rFonts w:ascii="Book Antiqua" w:eastAsia="Calibri" w:hAnsi="Book Antiqua"/>
          <w:sz w:val="24"/>
          <w:szCs w:val="24"/>
        </w:rPr>
        <w:t xml:space="preserve">CI: +0.62–+1.17, </w:t>
      </w:r>
      <w:r w:rsidR="00023F72" w:rsidRPr="00D46A14">
        <w:rPr>
          <w:rFonts w:ascii="Book Antiqua" w:eastAsia="Calibri" w:hAnsi="Book Antiqua"/>
          <w:i/>
          <w:sz w:val="24"/>
          <w:szCs w:val="24"/>
        </w:rPr>
        <w:t>I</w:t>
      </w:r>
      <w:r w:rsidR="001E48D6" w:rsidRPr="00D46A14">
        <w:rPr>
          <w:rFonts w:ascii="Book Antiqua" w:eastAsia="Calibri" w:hAnsi="Book Antiqua"/>
          <w:sz w:val="24"/>
          <w:szCs w:val="24"/>
          <w:vertAlign w:val="superscript"/>
        </w:rPr>
        <w:t>2</w:t>
      </w:r>
      <w:r w:rsidR="00567D81" w:rsidRPr="00D46A14">
        <w:rPr>
          <w:rFonts w:ascii="Book Antiqua" w:eastAsia="Calibri" w:hAnsi="Book Antiqua"/>
          <w:sz w:val="24"/>
          <w:szCs w:val="24"/>
        </w:rPr>
        <w:t>: 39%</w:t>
      </w:r>
      <w:r w:rsidR="00567D81"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7E55C1">
        <w:rPr>
          <w:rFonts w:ascii="Book Antiqua" w:eastAsia="等线" w:hAnsi="Book Antiqua" w:hint="eastAsia"/>
          <w:sz w:val="24"/>
          <w:szCs w:val="24"/>
          <w:lang w:eastAsia="zh-CN"/>
        </w:rPr>
        <w:t>2D</w:t>
      </w:r>
      <w:r w:rsidR="00023F72" w:rsidRPr="00D46A14">
        <w:rPr>
          <w:rFonts w:ascii="Book Antiqua" w:eastAsia="Calibri" w:hAnsi="Book Antiqua"/>
          <w:sz w:val="24"/>
          <w:szCs w:val="24"/>
        </w:rPr>
        <w:t xml:space="preserve">). </w:t>
      </w:r>
      <w:r w:rsidRPr="00D46A14">
        <w:rPr>
          <w:rFonts w:ascii="Book Antiqua" w:eastAsia="Calibri" w:hAnsi="Book Antiqua"/>
          <w:sz w:val="24"/>
          <w:szCs w:val="24"/>
        </w:rPr>
        <w:t xml:space="preserve">Endoscopist satisfaction </w:t>
      </w:r>
      <w:r w:rsidR="00023F72" w:rsidRPr="00D46A14">
        <w:rPr>
          <w:rFonts w:ascii="Book Antiqua" w:eastAsia="Calibri" w:hAnsi="Book Antiqua"/>
          <w:sz w:val="24"/>
          <w:szCs w:val="24"/>
        </w:rPr>
        <w:t xml:space="preserve">with sedation was evaluated in only 2 studies </w:t>
      </w:r>
      <w:r w:rsidRPr="00D46A14">
        <w:rPr>
          <w:rFonts w:ascii="Book Antiqua" w:eastAsia="Calibri" w:hAnsi="Book Antiqua"/>
          <w:sz w:val="24"/>
          <w:szCs w:val="24"/>
        </w:rPr>
        <w:t>without differences observed between both arms</w:t>
      </w:r>
      <w:r w:rsidR="00567D81" w:rsidRPr="00D46A14">
        <w:rPr>
          <w:rFonts w:ascii="Book Antiqua" w:eastAsia="Calibri" w:hAnsi="Book Antiqua"/>
          <w:sz w:val="24"/>
          <w:szCs w:val="24"/>
        </w:rPr>
        <w:t xml:space="preserve"> (MD: −0.02, 95%</w:t>
      </w:r>
      <w:r w:rsidR="00023F72" w:rsidRPr="00D46A14">
        <w:rPr>
          <w:rFonts w:ascii="Book Antiqua" w:eastAsia="Calibri" w:hAnsi="Book Antiqua"/>
          <w:sz w:val="24"/>
          <w:szCs w:val="24"/>
        </w:rPr>
        <w:t xml:space="preserve">CI: −0.20–+0.16, </w:t>
      </w:r>
      <w:r w:rsidR="00023F72" w:rsidRPr="00D46A14">
        <w:rPr>
          <w:rFonts w:ascii="Book Antiqua" w:eastAsia="Calibri" w:hAnsi="Book Antiqua"/>
          <w:i/>
          <w:sz w:val="24"/>
          <w:szCs w:val="24"/>
        </w:rPr>
        <w:t>I</w:t>
      </w:r>
      <w:r w:rsidR="001E48D6" w:rsidRPr="00D46A14">
        <w:rPr>
          <w:rFonts w:ascii="Book Antiqua" w:eastAsia="Calibri" w:hAnsi="Book Antiqua"/>
          <w:sz w:val="24"/>
          <w:szCs w:val="24"/>
          <w:vertAlign w:val="superscript"/>
        </w:rPr>
        <w:t>2</w:t>
      </w:r>
      <w:r w:rsidR="00567D81" w:rsidRPr="00D46A14">
        <w:rPr>
          <w:rFonts w:ascii="Book Antiqua" w:eastAsia="Calibri" w:hAnsi="Book Antiqua"/>
          <w:sz w:val="24"/>
          <w:szCs w:val="24"/>
        </w:rPr>
        <w:t>: 0%</w:t>
      </w:r>
      <w:r w:rsidR="00567D81"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7E55C1">
        <w:rPr>
          <w:rFonts w:ascii="Book Antiqua" w:eastAsia="等线" w:hAnsi="Book Antiqua" w:hint="eastAsia"/>
          <w:sz w:val="24"/>
          <w:szCs w:val="24"/>
          <w:lang w:eastAsia="zh-CN"/>
        </w:rPr>
        <w:t>2E</w:t>
      </w:r>
      <w:r w:rsidR="00023F72" w:rsidRPr="00D46A14">
        <w:rPr>
          <w:rFonts w:ascii="Book Antiqua" w:eastAsia="Calibri" w:hAnsi="Book Antiqua"/>
          <w:sz w:val="24"/>
          <w:szCs w:val="24"/>
        </w:rPr>
        <w:t>).</w:t>
      </w:r>
      <w:r w:rsidR="00E42916" w:rsidRPr="00D46A14">
        <w:rPr>
          <w:rFonts w:ascii="Book Antiqua" w:eastAsia="Calibri" w:hAnsi="Book Antiqua"/>
          <w:sz w:val="24"/>
          <w:szCs w:val="24"/>
        </w:rPr>
        <w:t xml:space="preserve"> </w:t>
      </w:r>
      <w:r w:rsidRPr="00D46A14">
        <w:rPr>
          <w:rFonts w:ascii="Book Antiqua" w:eastAsia="Calibri" w:hAnsi="Book Antiqua"/>
          <w:sz w:val="24"/>
          <w:szCs w:val="24"/>
        </w:rPr>
        <w:t>R</w:t>
      </w:r>
      <w:r w:rsidR="00023F72" w:rsidRPr="00D46A14">
        <w:rPr>
          <w:rFonts w:ascii="Book Antiqua" w:eastAsia="Calibri" w:hAnsi="Book Antiqua"/>
          <w:sz w:val="24"/>
          <w:szCs w:val="24"/>
        </w:rPr>
        <w:t xml:space="preserve">ecovery time after the procedure was evaluated in 7 studies and </w:t>
      </w:r>
      <w:r w:rsidR="00C33A06" w:rsidRPr="00D46A14">
        <w:rPr>
          <w:rFonts w:ascii="Book Antiqua" w:eastAsia="Calibri" w:hAnsi="Book Antiqua"/>
          <w:sz w:val="24"/>
          <w:szCs w:val="24"/>
        </w:rPr>
        <w:t>revealed</w:t>
      </w:r>
      <w:r w:rsidR="00023F72" w:rsidRPr="00D46A14">
        <w:rPr>
          <w:rFonts w:ascii="Book Antiqua" w:eastAsia="Calibri" w:hAnsi="Book Antiqua"/>
          <w:sz w:val="24"/>
          <w:szCs w:val="24"/>
        </w:rPr>
        <w:t xml:space="preserve"> high heterogeneity</w:t>
      </w:r>
      <w:r w:rsidRPr="00D46A14">
        <w:rPr>
          <w:rFonts w:ascii="Book Antiqua" w:eastAsia="Calibri" w:hAnsi="Book Antiqua"/>
          <w:sz w:val="24"/>
          <w:szCs w:val="24"/>
        </w:rPr>
        <w:t>.</w:t>
      </w:r>
      <w:r w:rsidR="00023F72" w:rsidRPr="00D46A14">
        <w:rPr>
          <w:rFonts w:ascii="Book Antiqua" w:eastAsia="Calibri" w:hAnsi="Book Antiqua"/>
          <w:sz w:val="24"/>
          <w:szCs w:val="24"/>
        </w:rPr>
        <w:t xml:space="preserve"> </w:t>
      </w:r>
      <w:r w:rsidRPr="00D46A14">
        <w:rPr>
          <w:rFonts w:ascii="Book Antiqua" w:eastAsia="Calibri" w:hAnsi="Book Antiqua"/>
          <w:sz w:val="24"/>
          <w:szCs w:val="24"/>
        </w:rPr>
        <w:t>E</w:t>
      </w:r>
      <w:r w:rsidR="00023F72" w:rsidRPr="00D46A14">
        <w:rPr>
          <w:rFonts w:ascii="Book Antiqua" w:eastAsia="Calibri" w:hAnsi="Book Antiqua"/>
          <w:sz w:val="24"/>
          <w:szCs w:val="24"/>
        </w:rPr>
        <w:t xml:space="preserve">ven </w:t>
      </w:r>
      <w:r w:rsidRPr="00D46A14">
        <w:rPr>
          <w:rFonts w:ascii="Book Antiqua" w:eastAsia="Calibri" w:hAnsi="Book Antiqua"/>
          <w:sz w:val="24"/>
          <w:szCs w:val="24"/>
        </w:rPr>
        <w:t xml:space="preserve">after </w:t>
      </w:r>
      <w:r w:rsidR="00023F72" w:rsidRPr="00D46A14">
        <w:rPr>
          <w:rFonts w:ascii="Book Antiqua" w:eastAsia="Calibri" w:hAnsi="Book Antiqua"/>
          <w:sz w:val="24"/>
          <w:szCs w:val="24"/>
        </w:rPr>
        <w:t>withdrawal of the outlier</w:t>
      </w:r>
      <w:r w:rsidRPr="00D46A14">
        <w:rPr>
          <w:rFonts w:ascii="Book Antiqua" w:eastAsia="Calibri" w:hAnsi="Book Antiqua"/>
          <w:sz w:val="24"/>
          <w:szCs w:val="24"/>
        </w:rPr>
        <w:t>, there was no</w:t>
      </w:r>
      <w:r w:rsidR="00EF7416" w:rsidRPr="00D46A14">
        <w:rPr>
          <w:rFonts w:ascii="Book Antiqua" w:eastAsia="Calibri" w:hAnsi="Book Antiqua"/>
          <w:sz w:val="24"/>
          <w:szCs w:val="24"/>
        </w:rPr>
        <w:t xml:space="preserve"> </w:t>
      </w:r>
      <w:r w:rsidR="00023F72" w:rsidRPr="00D46A14">
        <w:rPr>
          <w:rFonts w:ascii="Book Antiqua" w:eastAsia="Calibri" w:hAnsi="Book Antiqua"/>
          <w:sz w:val="24"/>
          <w:szCs w:val="24"/>
        </w:rPr>
        <w:t>statistical difference</w:t>
      </w:r>
      <w:r w:rsidR="00C33A06" w:rsidRPr="00D46A14">
        <w:rPr>
          <w:rFonts w:ascii="Book Antiqua" w:eastAsia="Calibri" w:hAnsi="Book Antiqua"/>
          <w:sz w:val="24"/>
          <w:szCs w:val="24"/>
        </w:rPr>
        <w:t xml:space="preserve"> in recovery time</w:t>
      </w:r>
      <w:r w:rsidR="00023F72" w:rsidRPr="00D46A14">
        <w:rPr>
          <w:rFonts w:ascii="Book Antiqua" w:eastAsia="Calibri" w:hAnsi="Book Antiqua"/>
          <w:sz w:val="24"/>
          <w:szCs w:val="24"/>
        </w:rPr>
        <w:t xml:space="preserve"> between </w:t>
      </w:r>
      <w:r w:rsidRPr="00D46A14">
        <w:rPr>
          <w:rFonts w:ascii="Book Antiqua" w:eastAsia="Calibri" w:hAnsi="Book Antiqua"/>
          <w:sz w:val="24"/>
          <w:szCs w:val="24"/>
        </w:rPr>
        <w:t xml:space="preserve">both arms </w:t>
      </w:r>
      <w:r w:rsidR="00567D81" w:rsidRPr="00D46A14">
        <w:rPr>
          <w:rFonts w:ascii="Book Antiqua" w:eastAsia="Calibri" w:hAnsi="Book Antiqua"/>
          <w:sz w:val="24"/>
          <w:szCs w:val="24"/>
        </w:rPr>
        <w:t>(MD: -15.15, 95%</w:t>
      </w:r>
      <w:r w:rsidR="00023F72" w:rsidRPr="00D46A14">
        <w:rPr>
          <w:rFonts w:ascii="Book Antiqua" w:eastAsia="Calibri" w:hAnsi="Book Antiqua"/>
          <w:sz w:val="24"/>
          <w:szCs w:val="24"/>
        </w:rPr>
        <w:t>CI: −31.85–+1.56, I</w:t>
      </w:r>
      <w:r w:rsidR="001E48D6" w:rsidRPr="00D46A14">
        <w:rPr>
          <w:rFonts w:ascii="Book Antiqua" w:eastAsia="Calibri" w:hAnsi="Book Antiqua"/>
          <w:sz w:val="24"/>
          <w:szCs w:val="24"/>
          <w:vertAlign w:val="superscript"/>
        </w:rPr>
        <w:t>2</w:t>
      </w:r>
      <w:r w:rsidR="00023F72" w:rsidRPr="00D46A14">
        <w:rPr>
          <w:rFonts w:ascii="Book Antiqua" w:eastAsia="Calibri" w:hAnsi="Book Antiqua"/>
          <w:sz w:val="24"/>
          <w:szCs w:val="24"/>
        </w:rPr>
        <w:t>: 99%</w:t>
      </w:r>
      <w:r w:rsidR="00567D81"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7E55C1">
        <w:rPr>
          <w:rFonts w:ascii="Book Antiqua" w:eastAsia="等线" w:hAnsi="Book Antiqua" w:hint="eastAsia"/>
          <w:sz w:val="24"/>
          <w:szCs w:val="24"/>
          <w:lang w:eastAsia="zh-CN"/>
        </w:rPr>
        <w:t>2F</w:t>
      </w:r>
      <w:r w:rsidR="00023F72" w:rsidRPr="00D46A14">
        <w:rPr>
          <w:rFonts w:ascii="Book Antiqua" w:eastAsia="Calibri" w:hAnsi="Book Antiqua"/>
          <w:sz w:val="24"/>
          <w:szCs w:val="24"/>
        </w:rPr>
        <w:t>).</w:t>
      </w:r>
    </w:p>
    <w:p w14:paraId="29E2A47F" w14:textId="77777777" w:rsidR="00023F72" w:rsidRPr="00D46A14" w:rsidRDefault="00023F72" w:rsidP="00D46A14">
      <w:pPr>
        <w:spacing w:after="0" w:line="360" w:lineRule="auto"/>
        <w:rPr>
          <w:rFonts w:ascii="Book Antiqua" w:eastAsia="Calibri" w:hAnsi="Book Antiqua"/>
          <w:sz w:val="24"/>
          <w:szCs w:val="24"/>
        </w:rPr>
      </w:pPr>
    </w:p>
    <w:p w14:paraId="3BC386D1" w14:textId="55566BBE" w:rsidR="00023F72" w:rsidRPr="00D46A14" w:rsidRDefault="00567D81" w:rsidP="00D46A14">
      <w:pPr>
        <w:spacing w:after="0" w:line="360" w:lineRule="auto"/>
        <w:ind w:firstLine="0"/>
        <w:rPr>
          <w:rFonts w:ascii="Book Antiqua" w:eastAsia="Calibri" w:hAnsi="Book Antiqua"/>
          <w:sz w:val="24"/>
          <w:szCs w:val="24"/>
        </w:rPr>
      </w:pPr>
      <w:r w:rsidRPr="00D46A14">
        <w:rPr>
          <w:rFonts w:ascii="Book Antiqua" w:eastAsia="Calibri" w:hAnsi="Book Antiqua"/>
          <w:b/>
          <w:sz w:val="24"/>
          <w:szCs w:val="24"/>
        </w:rPr>
        <w:t xml:space="preserve">Group </w:t>
      </w:r>
      <w:r w:rsidR="00023F72" w:rsidRPr="00D46A14">
        <w:rPr>
          <w:rFonts w:ascii="Book Antiqua" w:eastAsia="Calibri" w:hAnsi="Book Antiqua"/>
          <w:b/>
          <w:sz w:val="24"/>
          <w:szCs w:val="24"/>
        </w:rPr>
        <w:t>II</w:t>
      </w:r>
      <w:r w:rsidRPr="00D46A14">
        <w:rPr>
          <w:rFonts w:ascii="Book Antiqua" w:eastAsia="等线" w:hAnsi="Book Antiqua"/>
          <w:b/>
          <w:sz w:val="24"/>
          <w:szCs w:val="24"/>
          <w:lang w:eastAsia="zh-CN"/>
        </w:rPr>
        <w:t xml:space="preserve">: </w:t>
      </w:r>
      <w:r w:rsidR="00023F72" w:rsidRPr="00D46A14">
        <w:rPr>
          <w:rFonts w:ascii="Book Antiqua" w:eastAsia="Calibri" w:hAnsi="Book Antiqua"/>
          <w:sz w:val="24"/>
          <w:szCs w:val="24"/>
        </w:rPr>
        <w:t xml:space="preserve">Bradycardia was assessed in 5 of the included studies and had a greater </w:t>
      </w:r>
      <w:r w:rsidR="00894216" w:rsidRPr="00D46A14">
        <w:rPr>
          <w:rFonts w:ascii="Book Antiqua" w:eastAsia="Calibri" w:hAnsi="Book Antiqua"/>
          <w:sz w:val="24"/>
          <w:szCs w:val="24"/>
        </w:rPr>
        <w:t xml:space="preserve">trend of </w:t>
      </w:r>
      <w:r w:rsidR="0016738F" w:rsidRPr="00D46A14">
        <w:rPr>
          <w:rFonts w:ascii="Book Antiqua" w:eastAsia="Calibri" w:hAnsi="Book Antiqua"/>
          <w:sz w:val="24"/>
          <w:szCs w:val="24"/>
        </w:rPr>
        <w:t>occurrence</w:t>
      </w:r>
      <w:r w:rsidR="00894216" w:rsidRPr="00D46A14">
        <w:rPr>
          <w:rFonts w:ascii="Book Antiqua" w:eastAsia="Calibri" w:hAnsi="Book Antiqua"/>
          <w:sz w:val="24"/>
          <w:szCs w:val="24"/>
        </w:rPr>
        <w:t xml:space="preserve"> </w:t>
      </w:r>
      <w:r w:rsidR="00023F72" w:rsidRPr="00D46A14">
        <w:rPr>
          <w:rFonts w:ascii="Book Antiqua" w:eastAsia="Calibri" w:hAnsi="Book Antiqua"/>
          <w:sz w:val="24"/>
          <w:szCs w:val="24"/>
        </w:rPr>
        <w:t xml:space="preserve">in the Propofol </w:t>
      </w:r>
      <w:r w:rsidR="00894216" w:rsidRPr="00D46A14">
        <w:rPr>
          <w:rFonts w:ascii="Book Antiqua" w:eastAsia="Calibri" w:hAnsi="Book Antiqua"/>
          <w:sz w:val="24"/>
          <w:szCs w:val="24"/>
        </w:rPr>
        <w:t xml:space="preserve">arm </w:t>
      </w:r>
      <w:r w:rsidR="00023F72" w:rsidRPr="00D46A14">
        <w:rPr>
          <w:rFonts w:ascii="Book Antiqua" w:eastAsia="Calibri" w:hAnsi="Book Antiqua"/>
          <w:sz w:val="24"/>
          <w:szCs w:val="24"/>
        </w:rPr>
        <w:t xml:space="preserve">with benzodiazepine and/or opioid-associated </w:t>
      </w:r>
      <w:r w:rsidR="00894216" w:rsidRPr="00D46A14">
        <w:rPr>
          <w:rFonts w:ascii="Book Antiqua" w:eastAsia="Calibri" w:hAnsi="Book Antiqua"/>
          <w:sz w:val="24"/>
          <w:szCs w:val="24"/>
        </w:rPr>
        <w:t xml:space="preserve">compared to the propofol </w:t>
      </w:r>
      <w:r w:rsidR="00C33A06" w:rsidRPr="00D46A14">
        <w:rPr>
          <w:rFonts w:ascii="Book Antiqua" w:eastAsia="Calibri" w:hAnsi="Book Antiqua"/>
          <w:sz w:val="24"/>
          <w:szCs w:val="24"/>
        </w:rPr>
        <w:t xml:space="preserve">alone </w:t>
      </w:r>
      <w:r w:rsidR="00894216" w:rsidRPr="00D46A14">
        <w:rPr>
          <w:rFonts w:ascii="Book Antiqua" w:eastAsia="Calibri" w:hAnsi="Book Antiqua"/>
          <w:sz w:val="24"/>
          <w:szCs w:val="24"/>
        </w:rPr>
        <w:t xml:space="preserve">arm </w:t>
      </w:r>
      <w:r w:rsidRPr="00D46A14">
        <w:rPr>
          <w:rFonts w:ascii="Book Antiqua" w:eastAsia="Calibri" w:hAnsi="Book Antiqua"/>
          <w:sz w:val="24"/>
          <w:szCs w:val="24"/>
        </w:rPr>
        <w:t>(RD: -0.08, 95%</w:t>
      </w:r>
      <w:r w:rsidR="00023F72" w:rsidRPr="00D46A14">
        <w:rPr>
          <w:rFonts w:ascii="Book Antiqua" w:eastAsia="Calibri" w:hAnsi="Book Antiqua"/>
          <w:sz w:val="24"/>
          <w:szCs w:val="24"/>
        </w:rPr>
        <w:t xml:space="preserve">CI: −0.13–−0.02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Pr="00D46A14">
        <w:rPr>
          <w:rFonts w:ascii="Book Antiqua" w:eastAsia="Calibri" w:hAnsi="Book Antiqua"/>
          <w:sz w:val="24"/>
          <w:szCs w:val="24"/>
        </w:rPr>
        <w:t>: 59%</w:t>
      </w:r>
      <w:r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FA11C6">
        <w:rPr>
          <w:rFonts w:ascii="Book Antiqua" w:eastAsia="等线" w:hAnsi="Book Antiqua" w:hint="eastAsia"/>
          <w:sz w:val="24"/>
          <w:szCs w:val="24"/>
          <w:lang w:eastAsia="zh-CN"/>
        </w:rPr>
        <w:t>3A</w:t>
      </w:r>
      <w:r w:rsidR="00023F72" w:rsidRPr="00D46A14">
        <w:rPr>
          <w:rFonts w:ascii="Book Antiqua" w:eastAsia="Calibri" w:hAnsi="Book Antiqua"/>
          <w:sz w:val="24"/>
          <w:szCs w:val="24"/>
        </w:rPr>
        <w:t>). In 6 studies assessing hypotension</w:t>
      </w:r>
      <w:r w:rsidR="00894216" w:rsidRPr="00D46A14">
        <w:rPr>
          <w:rFonts w:ascii="Book Antiqua" w:eastAsia="Calibri" w:hAnsi="Book Antiqua"/>
          <w:sz w:val="24"/>
          <w:szCs w:val="24"/>
        </w:rPr>
        <w:t xml:space="preserve">, there was no </w:t>
      </w:r>
      <w:r w:rsidR="00023F72" w:rsidRPr="00D46A14">
        <w:rPr>
          <w:rFonts w:ascii="Book Antiqua" w:eastAsia="Calibri" w:hAnsi="Book Antiqua"/>
          <w:sz w:val="24"/>
          <w:szCs w:val="24"/>
        </w:rPr>
        <w:t>difference between the</w:t>
      </w:r>
      <w:r w:rsidR="00894216" w:rsidRPr="00D46A14">
        <w:rPr>
          <w:rFonts w:ascii="Book Antiqua" w:eastAsia="Calibri" w:hAnsi="Book Antiqua"/>
          <w:sz w:val="24"/>
          <w:szCs w:val="24"/>
        </w:rPr>
        <w:t xml:space="preserve"> both arms</w:t>
      </w:r>
      <w:r w:rsidRPr="00D46A14">
        <w:rPr>
          <w:rFonts w:ascii="Book Antiqua" w:eastAsia="Calibri" w:hAnsi="Book Antiqua"/>
          <w:sz w:val="24"/>
          <w:szCs w:val="24"/>
        </w:rPr>
        <w:t xml:space="preserve"> (RD: -0.00, 95%</w:t>
      </w:r>
      <w:r w:rsidR="00023F72" w:rsidRPr="00D46A14">
        <w:rPr>
          <w:rFonts w:ascii="Book Antiqua" w:eastAsia="Calibri" w:hAnsi="Book Antiqua"/>
          <w:sz w:val="24"/>
          <w:szCs w:val="24"/>
        </w:rPr>
        <w:t xml:space="preserve">CI: −0.08–+0.08,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Pr="00D46A14">
        <w:rPr>
          <w:rFonts w:ascii="Book Antiqua" w:eastAsia="Calibri" w:hAnsi="Book Antiqua"/>
          <w:sz w:val="24"/>
          <w:szCs w:val="24"/>
        </w:rPr>
        <w:t>: 85%</w:t>
      </w:r>
      <w:r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FA11C6">
        <w:rPr>
          <w:rFonts w:ascii="Book Antiqua" w:eastAsia="等线" w:hAnsi="Book Antiqua" w:hint="eastAsia"/>
          <w:sz w:val="24"/>
          <w:szCs w:val="24"/>
          <w:lang w:eastAsia="zh-CN"/>
        </w:rPr>
        <w:t>3B</w:t>
      </w:r>
      <w:r w:rsidR="00023F72" w:rsidRPr="00D46A14">
        <w:rPr>
          <w:rFonts w:ascii="Book Antiqua" w:eastAsia="Calibri" w:hAnsi="Book Antiqua"/>
          <w:sz w:val="24"/>
          <w:szCs w:val="24"/>
        </w:rPr>
        <w:t xml:space="preserve">). Desaturation was evaluated in 7 </w:t>
      </w:r>
      <w:r w:rsidR="00894216" w:rsidRPr="00D46A14">
        <w:rPr>
          <w:rFonts w:ascii="Book Antiqua" w:eastAsia="Calibri" w:hAnsi="Book Antiqua"/>
          <w:sz w:val="24"/>
          <w:szCs w:val="24"/>
        </w:rPr>
        <w:t>studies without significant difference</w:t>
      </w:r>
      <w:r w:rsidRPr="00D46A14">
        <w:rPr>
          <w:rFonts w:ascii="Book Antiqua" w:eastAsia="Calibri" w:hAnsi="Book Antiqua"/>
          <w:sz w:val="24"/>
          <w:szCs w:val="24"/>
        </w:rPr>
        <w:t xml:space="preserve"> (RD: −0.00, 95%</w:t>
      </w:r>
      <w:r w:rsidR="00023F72" w:rsidRPr="00D46A14">
        <w:rPr>
          <w:rFonts w:ascii="Book Antiqua" w:eastAsia="Calibri" w:hAnsi="Book Antiqua"/>
          <w:sz w:val="24"/>
          <w:szCs w:val="24"/>
        </w:rPr>
        <w:t xml:space="preserve">CI: −0.03–+0.02,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Pr="00D46A14">
        <w:rPr>
          <w:rFonts w:ascii="Book Antiqua" w:eastAsia="Calibri" w:hAnsi="Book Antiqua"/>
          <w:sz w:val="24"/>
          <w:szCs w:val="24"/>
        </w:rPr>
        <w:t>: 44%</w:t>
      </w:r>
      <w:r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4C1BD6">
        <w:rPr>
          <w:rFonts w:ascii="Book Antiqua" w:eastAsia="等线" w:hAnsi="Book Antiqua" w:hint="eastAsia"/>
          <w:sz w:val="24"/>
          <w:szCs w:val="24"/>
          <w:lang w:eastAsia="zh-CN"/>
        </w:rPr>
        <w:t>3C</w:t>
      </w:r>
      <w:r w:rsidR="00023F72" w:rsidRPr="00D46A14">
        <w:rPr>
          <w:rFonts w:ascii="Book Antiqua" w:eastAsia="Calibri" w:hAnsi="Book Antiqua"/>
          <w:sz w:val="24"/>
          <w:szCs w:val="24"/>
        </w:rPr>
        <w:t xml:space="preserve">). Patient satisfaction with the visual analog scale was available in 2 of the included studies and was </w:t>
      </w:r>
      <w:r w:rsidR="00894216" w:rsidRPr="00D46A14">
        <w:rPr>
          <w:rFonts w:ascii="Book Antiqua" w:eastAsia="Calibri" w:hAnsi="Book Antiqua"/>
          <w:sz w:val="24"/>
          <w:szCs w:val="24"/>
        </w:rPr>
        <w:t xml:space="preserve">different between both arms </w:t>
      </w:r>
      <w:r w:rsidRPr="00D46A14">
        <w:rPr>
          <w:rFonts w:ascii="Book Antiqua" w:eastAsia="Calibri" w:hAnsi="Book Antiqua"/>
          <w:sz w:val="24"/>
          <w:szCs w:val="24"/>
        </w:rPr>
        <w:t>(MD: -0.62, 95%</w:t>
      </w:r>
      <w:r w:rsidR="00023F72" w:rsidRPr="00D46A14">
        <w:rPr>
          <w:rFonts w:ascii="Book Antiqua" w:eastAsia="Calibri" w:hAnsi="Book Antiqua"/>
          <w:sz w:val="24"/>
          <w:szCs w:val="24"/>
        </w:rPr>
        <w:t xml:space="preserve">CI: -1.38–+0.13,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Pr="00D46A14">
        <w:rPr>
          <w:rFonts w:ascii="Book Antiqua" w:eastAsia="Calibri" w:hAnsi="Book Antiqua"/>
          <w:sz w:val="24"/>
          <w:szCs w:val="24"/>
        </w:rPr>
        <w:t>: 89%</w:t>
      </w:r>
      <w:r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FA11C6">
        <w:rPr>
          <w:rFonts w:ascii="Book Antiqua" w:eastAsia="等线" w:hAnsi="Book Antiqua" w:hint="eastAsia"/>
          <w:sz w:val="24"/>
          <w:szCs w:val="24"/>
          <w:lang w:eastAsia="zh-CN"/>
        </w:rPr>
        <w:t>3</w:t>
      </w:r>
      <w:r w:rsidR="004C1BD6">
        <w:rPr>
          <w:rFonts w:ascii="Book Antiqua" w:eastAsia="等线" w:hAnsi="Book Antiqua" w:hint="eastAsia"/>
          <w:sz w:val="24"/>
          <w:szCs w:val="24"/>
          <w:lang w:eastAsia="zh-CN"/>
        </w:rPr>
        <w:t>D</w:t>
      </w:r>
      <w:r w:rsidR="00023F72" w:rsidRPr="00D46A14">
        <w:rPr>
          <w:rFonts w:ascii="Book Antiqua" w:eastAsia="Calibri" w:hAnsi="Book Antiqua"/>
          <w:sz w:val="24"/>
          <w:szCs w:val="24"/>
        </w:rPr>
        <w:t xml:space="preserve">). The recovery time after the procedure was evaluated in 7 studies and the result showed high heterogeneity </w:t>
      </w:r>
      <w:r w:rsidR="00894216" w:rsidRPr="00D46A14">
        <w:rPr>
          <w:rFonts w:ascii="Book Antiqua" w:eastAsia="Calibri" w:hAnsi="Book Antiqua"/>
          <w:sz w:val="24"/>
          <w:szCs w:val="24"/>
        </w:rPr>
        <w:t>without</w:t>
      </w:r>
      <w:r w:rsidR="00023F72" w:rsidRPr="00D46A14">
        <w:rPr>
          <w:rFonts w:ascii="Book Antiqua" w:eastAsia="Calibri" w:hAnsi="Book Antiqua"/>
          <w:sz w:val="24"/>
          <w:szCs w:val="24"/>
        </w:rPr>
        <w:t xml:space="preserve"> statistical difference bet</w:t>
      </w:r>
      <w:r w:rsidRPr="00D46A14">
        <w:rPr>
          <w:rFonts w:ascii="Book Antiqua" w:eastAsia="Calibri" w:hAnsi="Book Antiqua"/>
          <w:sz w:val="24"/>
          <w:szCs w:val="24"/>
        </w:rPr>
        <w:t>ween the groups (MD: -2.04, 95%</w:t>
      </w:r>
      <w:r w:rsidR="00023F72" w:rsidRPr="00D46A14">
        <w:rPr>
          <w:rFonts w:ascii="Book Antiqua" w:eastAsia="Calibri" w:hAnsi="Book Antiqua"/>
          <w:sz w:val="24"/>
          <w:szCs w:val="24"/>
        </w:rPr>
        <w:t xml:space="preserve">CI: −6.96–+2.88,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Pr="00D46A14">
        <w:rPr>
          <w:rFonts w:ascii="Book Antiqua" w:eastAsia="Calibri" w:hAnsi="Book Antiqua"/>
          <w:sz w:val="24"/>
          <w:szCs w:val="24"/>
        </w:rPr>
        <w:t>: 97%</w:t>
      </w:r>
      <w:r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FA11C6">
        <w:rPr>
          <w:rFonts w:ascii="Book Antiqua" w:eastAsia="等线" w:hAnsi="Book Antiqua" w:hint="eastAsia"/>
          <w:sz w:val="24"/>
          <w:szCs w:val="24"/>
          <w:lang w:eastAsia="zh-CN"/>
        </w:rPr>
        <w:t>3</w:t>
      </w:r>
      <w:r w:rsidR="004C1BD6">
        <w:rPr>
          <w:rFonts w:ascii="Book Antiqua" w:eastAsia="等线" w:hAnsi="Book Antiqua" w:hint="eastAsia"/>
          <w:sz w:val="24"/>
          <w:szCs w:val="24"/>
          <w:lang w:eastAsia="zh-CN"/>
        </w:rPr>
        <w:t>E</w:t>
      </w:r>
      <w:r w:rsidR="00023F72" w:rsidRPr="00D46A14">
        <w:rPr>
          <w:rFonts w:ascii="Book Antiqua" w:eastAsia="Calibri" w:hAnsi="Book Antiqua"/>
          <w:sz w:val="24"/>
          <w:szCs w:val="24"/>
        </w:rPr>
        <w:t xml:space="preserve">). The total dose of propofol was evaluated in 5 articles </w:t>
      </w:r>
      <w:r w:rsidR="0016738F" w:rsidRPr="00D46A14">
        <w:rPr>
          <w:rFonts w:ascii="Book Antiqua" w:eastAsia="Calibri" w:hAnsi="Book Antiqua"/>
          <w:sz w:val="24"/>
          <w:szCs w:val="24"/>
        </w:rPr>
        <w:t>and was noted to be higher in</w:t>
      </w:r>
      <w:r w:rsidR="00023F72" w:rsidRPr="00D46A14">
        <w:rPr>
          <w:rFonts w:ascii="Book Antiqua" w:eastAsia="Calibri" w:hAnsi="Book Antiqua"/>
          <w:sz w:val="24"/>
          <w:szCs w:val="24"/>
        </w:rPr>
        <w:t xml:space="preserve"> the propofol with benzodiazepine and/or opiates</w:t>
      </w:r>
      <w:r w:rsidR="0016738F" w:rsidRPr="00D46A14">
        <w:rPr>
          <w:rFonts w:ascii="Book Antiqua" w:eastAsia="Calibri" w:hAnsi="Book Antiqua"/>
          <w:sz w:val="24"/>
          <w:szCs w:val="24"/>
        </w:rPr>
        <w:t xml:space="preserve"> arm</w:t>
      </w:r>
      <w:r w:rsidR="00023F72" w:rsidRPr="00D46A14">
        <w:rPr>
          <w:rFonts w:ascii="Book Antiqua" w:eastAsia="Calibri" w:hAnsi="Book Antiqua"/>
          <w:sz w:val="24"/>
          <w:szCs w:val="24"/>
        </w:rPr>
        <w:t xml:space="preserve"> but with high heterogeneity. The funnel-plot test did not demon</w:t>
      </w:r>
      <w:r w:rsidRPr="00D46A14">
        <w:rPr>
          <w:rFonts w:ascii="Book Antiqua" w:eastAsia="Calibri" w:hAnsi="Book Antiqua"/>
          <w:sz w:val="24"/>
          <w:szCs w:val="24"/>
        </w:rPr>
        <w:t>strate outliers (MD: 70.36, 95%</w:t>
      </w:r>
      <w:r w:rsidR="00023F72" w:rsidRPr="00D46A14">
        <w:rPr>
          <w:rFonts w:ascii="Book Antiqua" w:eastAsia="Calibri" w:hAnsi="Book Antiqua"/>
          <w:sz w:val="24"/>
          <w:szCs w:val="24"/>
        </w:rPr>
        <w:t xml:space="preserve">CI: +53.11–+87.60,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Pr="00D46A14">
        <w:rPr>
          <w:rFonts w:ascii="Book Antiqua" w:eastAsia="Calibri" w:hAnsi="Book Antiqua"/>
          <w:sz w:val="24"/>
          <w:szCs w:val="24"/>
        </w:rPr>
        <w:t>: 61%</w:t>
      </w:r>
      <w:r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FA11C6">
        <w:rPr>
          <w:rFonts w:ascii="Book Antiqua" w:eastAsia="等线" w:hAnsi="Book Antiqua" w:hint="eastAsia"/>
          <w:sz w:val="24"/>
          <w:szCs w:val="24"/>
          <w:lang w:eastAsia="zh-CN"/>
        </w:rPr>
        <w:t>3</w:t>
      </w:r>
      <w:r w:rsidR="004C1BD6">
        <w:rPr>
          <w:rFonts w:ascii="Book Antiqua" w:eastAsia="等线" w:hAnsi="Book Antiqua" w:hint="eastAsia"/>
          <w:sz w:val="24"/>
          <w:szCs w:val="24"/>
          <w:lang w:eastAsia="zh-CN"/>
        </w:rPr>
        <w:t>F</w:t>
      </w:r>
      <w:r w:rsidR="00023F72" w:rsidRPr="00D46A14">
        <w:rPr>
          <w:rFonts w:ascii="Book Antiqua" w:eastAsia="Calibri" w:hAnsi="Book Antiqua"/>
          <w:sz w:val="24"/>
          <w:szCs w:val="24"/>
        </w:rPr>
        <w:t>).</w:t>
      </w:r>
    </w:p>
    <w:p w14:paraId="0544D6FD" w14:textId="77777777" w:rsidR="00E42916" w:rsidRPr="00D46A14" w:rsidRDefault="00E42916" w:rsidP="00D46A14">
      <w:pPr>
        <w:spacing w:after="0" w:line="360" w:lineRule="auto"/>
        <w:ind w:left="0" w:firstLine="0"/>
        <w:rPr>
          <w:rFonts w:ascii="Book Antiqua" w:eastAsia="Calibri" w:hAnsi="Book Antiqua"/>
          <w:sz w:val="24"/>
          <w:szCs w:val="24"/>
        </w:rPr>
      </w:pPr>
    </w:p>
    <w:p w14:paraId="28C2F2DA" w14:textId="4F6C9D85" w:rsidR="00567D81" w:rsidRPr="00D46A14" w:rsidRDefault="00567D81" w:rsidP="00D46A14">
      <w:pPr>
        <w:spacing w:after="0" w:line="360" w:lineRule="auto"/>
        <w:ind w:left="0" w:firstLine="0"/>
        <w:rPr>
          <w:rFonts w:ascii="Book Antiqua" w:eastAsia="等线" w:hAnsi="Book Antiqua"/>
          <w:sz w:val="24"/>
          <w:szCs w:val="24"/>
          <w:lang w:eastAsia="zh-CN"/>
        </w:rPr>
      </w:pPr>
      <w:r w:rsidRPr="00D46A14">
        <w:rPr>
          <w:rFonts w:ascii="Book Antiqua" w:eastAsia="等线" w:hAnsi="Book Antiqua"/>
          <w:b/>
          <w:sz w:val="24"/>
          <w:szCs w:val="24"/>
          <w:lang w:eastAsia="zh-CN"/>
        </w:rPr>
        <w:t xml:space="preserve">Group </w:t>
      </w:r>
      <w:r w:rsidR="00023F72" w:rsidRPr="00D46A14">
        <w:rPr>
          <w:rFonts w:ascii="Book Antiqua" w:eastAsia="Calibri" w:hAnsi="Book Antiqua"/>
          <w:b/>
          <w:sz w:val="24"/>
          <w:szCs w:val="24"/>
        </w:rPr>
        <w:t>III</w:t>
      </w:r>
      <w:r w:rsidRPr="00D46A14">
        <w:rPr>
          <w:rFonts w:ascii="Book Antiqua" w:eastAsia="等线" w:hAnsi="Book Antiqua"/>
          <w:b/>
          <w:sz w:val="24"/>
          <w:szCs w:val="24"/>
          <w:lang w:eastAsia="zh-CN"/>
        </w:rPr>
        <w:t xml:space="preserve">: </w:t>
      </w:r>
      <w:r w:rsidR="004F1789" w:rsidRPr="00D46A14">
        <w:rPr>
          <w:rFonts w:ascii="Book Antiqua" w:eastAsia="Calibri" w:hAnsi="Book Antiqua"/>
          <w:sz w:val="24"/>
          <w:szCs w:val="24"/>
        </w:rPr>
        <w:t xml:space="preserve">Two studies examined </w:t>
      </w:r>
      <w:r w:rsidR="004540A1" w:rsidRPr="00D46A14">
        <w:rPr>
          <w:rFonts w:ascii="Book Antiqua" w:eastAsia="Calibri" w:hAnsi="Book Antiqua"/>
          <w:sz w:val="24"/>
          <w:szCs w:val="24"/>
        </w:rPr>
        <w:t xml:space="preserve">the </w:t>
      </w:r>
      <w:r w:rsidR="004F1789" w:rsidRPr="00D46A14">
        <w:rPr>
          <w:rFonts w:ascii="Book Antiqua" w:eastAsia="Calibri" w:hAnsi="Book Antiqua"/>
          <w:sz w:val="24"/>
          <w:szCs w:val="24"/>
        </w:rPr>
        <w:t>incidence of bradycardia which was not</w:t>
      </w:r>
      <w:r w:rsidR="00023F72" w:rsidRPr="00D46A14">
        <w:rPr>
          <w:rFonts w:ascii="Book Antiqua" w:eastAsia="Calibri" w:hAnsi="Book Antiqua"/>
          <w:sz w:val="24"/>
          <w:szCs w:val="24"/>
        </w:rPr>
        <w:t xml:space="preserve"> </w:t>
      </w:r>
      <w:r w:rsidR="004F1789" w:rsidRPr="00D46A14">
        <w:rPr>
          <w:rFonts w:ascii="Book Antiqua" w:eastAsia="Calibri" w:hAnsi="Book Antiqua"/>
          <w:sz w:val="24"/>
          <w:szCs w:val="24"/>
        </w:rPr>
        <w:t>different</w:t>
      </w:r>
      <w:r w:rsidR="00023F72" w:rsidRPr="00D46A14">
        <w:rPr>
          <w:rFonts w:ascii="Book Antiqua" w:eastAsia="Calibri" w:hAnsi="Book Antiqua"/>
          <w:sz w:val="24"/>
          <w:szCs w:val="24"/>
        </w:rPr>
        <w:t xml:space="preserve"> between </w:t>
      </w:r>
      <w:r w:rsidR="004F1789" w:rsidRPr="00D46A14">
        <w:rPr>
          <w:rFonts w:ascii="Book Antiqua" w:eastAsia="Calibri" w:hAnsi="Book Antiqua"/>
          <w:sz w:val="24"/>
          <w:szCs w:val="24"/>
        </w:rPr>
        <w:t xml:space="preserve">sedation arms </w:t>
      </w:r>
      <w:r w:rsidRPr="00D46A14">
        <w:rPr>
          <w:rFonts w:ascii="Book Antiqua" w:eastAsia="Calibri" w:hAnsi="Book Antiqua"/>
          <w:sz w:val="24"/>
          <w:szCs w:val="24"/>
        </w:rPr>
        <w:t>(RD: -0.00, 95%</w:t>
      </w:r>
      <w:r w:rsidR="00023F72" w:rsidRPr="00D46A14">
        <w:rPr>
          <w:rFonts w:ascii="Book Antiqua" w:eastAsia="Calibri" w:hAnsi="Book Antiqua"/>
          <w:sz w:val="24"/>
          <w:szCs w:val="24"/>
        </w:rPr>
        <w:t xml:space="preserve">CI: −0.002–+0.02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00023F72" w:rsidRPr="00D46A14">
        <w:rPr>
          <w:rFonts w:ascii="Book Antiqua" w:eastAsia="Calibri" w:hAnsi="Book Antiqua"/>
          <w:sz w:val="24"/>
          <w:szCs w:val="24"/>
        </w:rPr>
        <w:t>: 3%</w:t>
      </w:r>
      <w:r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212084">
        <w:rPr>
          <w:rFonts w:ascii="Book Antiqua" w:eastAsia="等线" w:hAnsi="Book Antiqua" w:hint="eastAsia"/>
          <w:sz w:val="24"/>
          <w:szCs w:val="24"/>
          <w:lang w:eastAsia="zh-CN"/>
        </w:rPr>
        <w:t>4A</w:t>
      </w:r>
      <w:r w:rsidR="00023F72" w:rsidRPr="00D46A14">
        <w:rPr>
          <w:rFonts w:ascii="Book Antiqua" w:eastAsia="Calibri" w:hAnsi="Book Antiqua"/>
          <w:sz w:val="24"/>
          <w:szCs w:val="24"/>
        </w:rPr>
        <w:t xml:space="preserve">). </w:t>
      </w:r>
      <w:r w:rsidR="004F1789" w:rsidRPr="00D46A14">
        <w:rPr>
          <w:rFonts w:ascii="Book Antiqua" w:eastAsia="Calibri" w:hAnsi="Book Antiqua"/>
          <w:sz w:val="24"/>
          <w:szCs w:val="24"/>
        </w:rPr>
        <w:t xml:space="preserve">Additionally, two studies examining the incidence of hypotension showed no </w:t>
      </w:r>
      <w:r w:rsidR="00023F72" w:rsidRPr="00D46A14">
        <w:rPr>
          <w:rFonts w:ascii="Book Antiqua" w:eastAsia="Calibri" w:hAnsi="Book Antiqua"/>
          <w:sz w:val="24"/>
          <w:szCs w:val="24"/>
        </w:rPr>
        <w:t>statistically significant difference</w:t>
      </w:r>
      <w:r w:rsidR="004F1789" w:rsidRPr="00D46A14">
        <w:rPr>
          <w:rFonts w:ascii="Book Antiqua" w:eastAsia="Calibri" w:hAnsi="Book Antiqua"/>
          <w:sz w:val="24"/>
          <w:szCs w:val="24"/>
        </w:rPr>
        <w:t>s</w:t>
      </w:r>
      <w:r w:rsidR="00023F72" w:rsidRPr="00D46A14">
        <w:rPr>
          <w:rFonts w:ascii="Book Antiqua" w:eastAsia="Calibri" w:hAnsi="Book Antiqua"/>
          <w:sz w:val="24"/>
          <w:szCs w:val="24"/>
        </w:rPr>
        <w:t xml:space="preserve"> between </w:t>
      </w:r>
      <w:r w:rsidR="004F1789" w:rsidRPr="00D46A14">
        <w:rPr>
          <w:rFonts w:ascii="Book Antiqua" w:eastAsia="Calibri" w:hAnsi="Book Antiqua"/>
          <w:sz w:val="24"/>
          <w:szCs w:val="24"/>
        </w:rPr>
        <w:t xml:space="preserve">sedation arms </w:t>
      </w:r>
      <w:r w:rsidR="00023F72" w:rsidRPr="00D46A14">
        <w:rPr>
          <w:rFonts w:ascii="Book Antiqua" w:eastAsia="Calibri" w:hAnsi="Book Antiqua"/>
          <w:sz w:val="24"/>
          <w:szCs w:val="24"/>
        </w:rPr>
        <w:t xml:space="preserve">(RD: 0.04, 95% CI: </w:t>
      </w:r>
      <w:r w:rsidR="00023F72" w:rsidRPr="00D46A14">
        <w:rPr>
          <w:rFonts w:ascii="Book Antiqua" w:eastAsia="Calibri" w:hAnsi="Book Antiqua"/>
          <w:sz w:val="24"/>
          <w:szCs w:val="24"/>
        </w:rPr>
        <w:lastRenderedPageBreak/>
        <w:t xml:space="preserve">−0.05–+0.13,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Pr="00D46A14">
        <w:rPr>
          <w:rFonts w:ascii="Book Antiqua" w:eastAsia="Calibri" w:hAnsi="Book Antiqua"/>
          <w:sz w:val="24"/>
          <w:szCs w:val="24"/>
        </w:rPr>
        <w:t>: 77%</w:t>
      </w:r>
      <w:r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212084">
        <w:rPr>
          <w:rFonts w:ascii="Book Antiqua" w:eastAsia="等线" w:hAnsi="Book Antiqua" w:hint="eastAsia"/>
          <w:sz w:val="24"/>
          <w:szCs w:val="24"/>
          <w:lang w:eastAsia="zh-CN"/>
        </w:rPr>
        <w:t>4B</w:t>
      </w:r>
      <w:r w:rsidR="00023F72" w:rsidRPr="00D46A14">
        <w:rPr>
          <w:rFonts w:ascii="Book Antiqua" w:eastAsia="Calibri" w:hAnsi="Book Antiqua"/>
          <w:sz w:val="24"/>
          <w:szCs w:val="24"/>
        </w:rPr>
        <w:t>). Desaturation</w:t>
      </w:r>
      <w:r w:rsidR="004F1789" w:rsidRPr="00D46A14">
        <w:rPr>
          <w:rFonts w:ascii="Book Antiqua" w:eastAsia="Calibri" w:hAnsi="Book Antiqua"/>
          <w:sz w:val="24"/>
          <w:szCs w:val="24"/>
        </w:rPr>
        <w:t>, however,</w:t>
      </w:r>
      <w:r w:rsidR="00023F72" w:rsidRPr="00D46A14">
        <w:rPr>
          <w:rFonts w:ascii="Book Antiqua" w:eastAsia="Calibri" w:hAnsi="Book Antiqua"/>
          <w:sz w:val="24"/>
          <w:szCs w:val="24"/>
        </w:rPr>
        <w:t xml:space="preserve"> evaluated in </w:t>
      </w:r>
      <w:r w:rsidR="004F1789" w:rsidRPr="00D46A14">
        <w:rPr>
          <w:rFonts w:ascii="Book Antiqua" w:eastAsia="Calibri" w:hAnsi="Book Antiqua"/>
          <w:sz w:val="24"/>
          <w:szCs w:val="24"/>
        </w:rPr>
        <w:t>two studies was more commonly seen with</w:t>
      </w:r>
      <w:r w:rsidR="00023F72" w:rsidRPr="00D46A14">
        <w:rPr>
          <w:rFonts w:ascii="Book Antiqua" w:eastAsia="Calibri" w:hAnsi="Book Antiqua"/>
          <w:sz w:val="24"/>
          <w:szCs w:val="24"/>
        </w:rPr>
        <w:t xml:space="preserve"> </w:t>
      </w:r>
      <w:r w:rsidRPr="00D46A14">
        <w:rPr>
          <w:rFonts w:ascii="Book Antiqua" w:eastAsia="Calibri" w:hAnsi="Book Antiqua"/>
          <w:sz w:val="24"/>
          <w:szCs w:val="24"/>
        </w:rPr>
        <w:t xml:space="preserve">propofol + benzodiazepine + opioid </w:t>
      </w:r>
      <w:r w:rsidR="004F1789" w:rsidRPr="00D46A14">
        <w:rPr>
          <w:rFonts w:ascii="Book Antiqua" w:eastAsia="Calibri" w:hAnsi="Book Antiqua"/>
          <w:sz w:val="24"/>
          <w:szCs w:val="24"/>
        </w:rPr>
        <w:t xml:space="preserve">arm </w:t>
      </w:r>
      <w:r w:rsidR="00023F72" w:rsidRPr="00D46A14">
        <w:rPr>
          <w:rFonts w:ascii="Book Antiqua" w:eastAsia="Calibri" w:hAnsi="Book Antiqua"/>
          <w:sz w:val="24"/>
          <w:szCs w:val="24"/>
        </w:rPr>
        <w:t>but with hi</w:t>
      </w:r>
      <w:r w:rsidRPr="00D46A14">
        <w:rPr>
          <w:rFonts w:ascii="Book Antiqua" w:eastAsia="Calibri" w:hAnsi="Book Antiqua"/>
          <w:sz w:val="24"/>
          <w:szCs w:val="24"/>
        </w:rPr>
        <w:t>gh heterogeneity (RD: 0.15, 95%</w:t>
      </w:r>
      <w:r w:rsidR="00023F72" w:rsidRPr="00D46A14">
        <w:rPr>
          <w:rFonts w:ascii="Book Antiqua" w:eastAsia="Calibri" w:hAnsi="Book Antiqua"/>
          <w:sz w:val="24"/>
          <w:szCs w:val="24"/>
        </w:rPr>
        <w:t xml:space="preserve">CI: 0.08–+0.22, </w:t>
      </w:r>
      <w:r w:rsidR="00023F72" w:rsidRPr="00D46A14">
        <w:rPr>
          <w:rFonts w:ascii="Book Antiqua" w:eastAsia="Calibri" w:hAnsi="Book Antiqua"/>
          <w:i/>
          <w:sz w:val="24"/>
          <w:szCs w:val="24"/>
        </w:rPr>
        <w:t>I</w:t>
      </w:r>
      <w:r w:rsidR="00023F72" w:rsidRPr="00D46A14">
        <w:rPr>
          <w:rFonts w:ascii="Book Antiqua" w:eastAsia="Calibri" w:hAnsi="Book Antiqua"/>
          <w:sz w:val="24"/>
          <w:szCs w:val="24"/>
          <w:vertAlign w:val="superscript"/>
        </w:rPr>
        <w:t>2</w:t>
      </w:r>
      <w:r w:rsidRPr="00D46A14">
        <w:rPr>
          <w:rFonts w:ascii="Book Antiqua" w:eastAsia="Calibri" w:hAnsi="Book Antiqua"/>
          <w:sz w:val="24"/>
          <w:szCs w:val="24"/>
        </w:rPr>
        <w:t>: 95%</w:t>
      </w:r>
      <w:r w:rsidRPr="00D46A14">
        <w:rPr>
          <w:rFonts w:ascii="Book Antiqua" w:eastAsia="等线" w:hAnsi="Book Antiqua"/>
          <w:sz w:val="24"/>
          <w:szCs w:val="24"/>
          <w:lang w:eastAsia="zh-CN"/>
        </w:rPr>
        <w:t xml:space="preserve">, </w:t>
      </w:r>
      <w:r w:rsidR="00023F72" w:rsidRPr="00D46A14">
        <w:rPr>
          <w:rFonts w:ascii="Book Antiqua" w:eastAsia="Calibri" w:hAnsi="Book Antiqua"/>
          <w:sz w:val="24"/>
          <w:szCs w:val="24"/>
        </w:rPr>
        <w:t xml:space="preserve">Figure </w:t>
      </w:r>
      <w:r w:rsidR="00212084">
        <w:rPr>
          <w:rFonts w:ascii="Book Antiqua" w:eastAsia="等线" w:hAnsi="Book Antiqua" w:hint="eastAsia"/>
          <w:sz w:val="24"/>
          <w:szCs w:val="24"/>
          <w:lang w:eastAsia="zh-CN"/>
        </w:rPr>
        <w:t>4C</w:t>
      </w:r>
      <w:r w:rsidR="00023F72" w:rsidRPr="00D46A14">
        <w:rPr>
          <w:rFonts w:ascii="Book Antiqua" w:eastAsia="Calibri" w:hAnsi="Book Antiqua"/>
          <w:sz w:val="24"/>
          <w:szCs w:val="24"/>
        </w:rPr>
        <w:t>).</w:t>
      </w:r>
    </w:p>
    <w:p w14:paraId="349FE584" w14:textId="77777777" w:rsidR="00567D81" w:rsidRPr="00D46A14" w:rsidRDefault="00567D81" w:rsidP="00D46A14">
      <w:pPr>
        <w:spacing w:after="0" w:line="360" w:lineRule="auto"/>
        <w:ind w:left="0" w:firstLine="0"/>
        <w:rPr>
          <w:rFonts w:ascii="Book Antiqua" w:eastAsia="等线" w:hAnsi="Book Antiqua"/>
          <w:sz w:val="24"/>
          <w:szCs w:val="24"/>
          <w:lang w:eastAsia="zh-CN"/>
        </w:rPr>
      </w:pPr>
    </w:p>
    <w:p w14:paraId="08487AB7" w14:textId="59EB581B" w:rsidR="00E42916" w:rsidRPr="00D46A14" w:rsidRDefault="00BE0F32" w:rsidP="00D46A14">
      <w:pPr>
        <w:spacing w:after="0" w:line="360" w:lineRule="auto"/>
        <w:ind w:left="0" w:firstLine="0"/>
        <w:rPr>
          <w:rFonts w:ascii="Book Antiqua" w:eastAsia="Calibri" w:hAnsi="Book Antiqua"/>
          <w:b/>
          <w:i/>
          <w:sz w:val="24"/>
          <w:szCs w:val="24"/>
        </w:rPr>
      </w:pPr>
      <w:r w:rsidRPr="00D46A14">
        <w:rPr>
          <w:rFonts w:ascii="Book Antiqua" w:eastAsia="Calibri" w:hAnsi="Book Antiqua"/>
          <w:b/>
          <w:sz w:val="24"/>
          <w:szCs w:val="24"/>
          <w:u w:color="000000"/>
        </w:rPr>
        <w:t>DISCUSSION</w:t>
      </w:r>
    </w:p>
    <w:p w14:paraId="4AD2111A" w14:textId="4B40A7C4" w:rsidR="00322F8A" w:rsidRPr="00D46A14" w:rsidRDefault="008C62EB"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The use of propofol </w:t>
      </w:r>
      <w:r w:rsidR="004F1789" w:rsidRPr="00D46A14">
        <w:rPr>
          <w:rFonts w:ascii="Book Antiqua" w:hAnsi="Book Antiqua"/>
          <w:sz w:val="24"/>
          <w:szCs w:val="24"/>
        </w:rPr>
        <w:t>i</w:t>
      </w:r>
      <w:r w:rsidRPr="00D46A14">
        <w:rPr>
          <w:rFonts w:ascii="Book Antiqua" w:hAnsi="Book Antiqua"/>
          <w:sz w:val="24"/>
          <w:szCs w:val="24"/>
        </w:rPr>
        <w:t>n endoscopy is increasingly common</w:t>
      </w:r>
      <w:r w:rsidR="00637349"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{"citationItems":[{"id":"ITEM-1","itemData":{"DOI":"10.1503/cjs.008117","ISSN":"1488-2310","PMID":"30067180","abstract":"BACKGROUND With a growing demand for endoscopic services, the role of anesthesiologists in endoscopy units must be reassessed. The aim of this study was to compare patient outcomes in non-anesthesiologist-administered propofol (NAAP) versus anesthesiologist-administered propofol (AAP) during routine endoscopy. METHODS We systematically searched MEDLINE, CINAHL, Embase, Web of Science, CENTRAL and the grey literature for studies comparing NAAP and AAP. Primary outcomes included endoscopy- and sedation-related complications. Secondary outcomes included measures of endoscopy quality and of patient and endoscopist satisfaction. We reported treatment effects using random-effects models. RESULTS Of 602 articles identified, 5 met the inclusion criteria. Most studies included only patients with an American Society of Anesthesiologists (ASA) classification of I or II. Non-anesthesiologist-administered propofol did not result in increased rates of airway intervention (odds ratio [OR] 1.07, 95% confidence interval [CI] 0.29 to 3.95; 3443 patients) or hypotension (OR 1.47, 95% CI 0.40 to 5.41; 17 978 patients) but did result in higher rates of bradycardia (OR 3.68, 95% CI 1.65 to 8.17; 17 978 patients). Nonanesthesiologists administered lower propofol dosages than anesthesiologists (mean difference -61.79, 95% CI -114.46 to -9.12; 3443 patients), and their patients more commonly experienced awareness with recall (OR 19.99, 95% CI 7.88 to 50.76; 2090 patients). However, NAAP neither compromised patient willingness to repeat the procedure (OR 0.42, 95% CI 0.10 to 1.83; 2367 patients) nor lengthened total procedure time (mean difference -0.08, 95% CI -3.51 to 3.34; 2367 patients). CONCLUSION Endoscopists may safely administer propofol without compromising procedural quality in patients classified as ASA I or II undergoing routine endoscopy. The results of this meta-analysis are limited by a lack of available high-quality studies. Further, large-scale studies are needed for definitive conclusions. CONTEXTE Étant donné que les services endoscopiques sont de plus en plus demandés, le rôle des anesthésiologistes dans les unités d'endoscopie doit être réévalué. Le but de cette étude était de comparer les résultats cliniques chez les patients selon que le propofol était administré par des non-anesthésiologistes (NAAP, pour non-anesthesiologist-administered propofol) ou par des anesthésiologistes (AAP, pour anesthesiologist-administered propofol). MÉTHODES Nous avons procédé…","author":[{"dropping-particle":"","family":"Daza","given":"Julian F","non-dropping-particle":"","parse-names":false,"suffix":""},{"dropping-particle":"","family":"Tan","given":"Carolyn M","non-dropping-particle":"","parse-names":false,"suffix":""},{"dropping-particle":"","family":"Fielding","given":"Ryan J","non-dropping-particle":"","parse-names":false,"suffix":""},{"dropping-particle":"","family":"Brown","given":"Allison","non-dropping-particle":"","parse-names":false,"suffix":""},{"dropping-particle":"","family":"Farrokhyar","given":"Forough","non-dropping-particle":"","parse-names":false,"suffix":""},{"dropping-particle":"","family":"Yang","given":"Ilun","non-dropping-particle":"","parse-names":false,"suffix":""}],"container-title":"Canadian journal of surgery. Journal canadien de chirurgie","id":"ITEM-1","issue":"4","issued":{"date-parts":[["2018","6","1"]]},"page":"8117","title":"Propofol administration by endoscopists versus anesthesiologists in gastrointestinal endoscopy: a systematic review and meta-analysis of patient safety outcomes.","type":"article-journal","volume":"61"},"uris":["http://www.mendeley.com/documents/?uuid=2ead63b5-36b3-4e5f-b0a5-66b7f17d7751"]},{"id":"ITEM-2","itemData":{"DOI":"10.1155/2018/6501215","ISSN":"1687-6121","PMID":"30210535","abstract":"Background The majority of children who undergo gastrointestinal (GI) endoscopy require anesthesia or procedural sedation for comfort, cooperation, and procedure efficiency. The safety profile of propofol is not well established in children but has been studied in the literature. Objective The aim of this study is to evaluate and compare the safety of propofol-only sedation for GI endoscopy procedures to other anesthetic regimes in the pediatric population. Methods A search was conducted in the MEDLINE, Embase, and Cochrane Library databases. Randomized clinical trials and prospective cohorts were included in the study. Results No significant difference was noted in total complications between the two cohorts with a pooled OR of 1.31 (95% CI: 0.57-3.04, chi2 = 0.053, I2 = 54.31%). The pooled rate of complications in the studies was 23.4% for those receiving propofol only and 18.2% for those receiving other anesthetic regimens. Sensitivity analysis was performed removing a study with a very different control comparison compared to the rest of the studies included. Once excluded, there was minimal heterogeneity in the remaining studies and a significant difference in overall complications was detected, with more complications seen in the propofol-only group compared to the other anesthetic groups (OR 1.87, 95% CI 1.09-3.20). Conclusion Significantly higher incidence of cardiorespiratory complications was noted in the propofol-only versus other anesthetic regimens in pediatric patients undergoing GI endoscopy in this meta-analysis. However, the overall quality of the evidence is very low. How to Apply This Knowledge for Routine Clinical Practice Clinicians providing sedation to a pediatric population for GI endoscopy should consider there may be increased risks when using a propofol-only regimen, but further study is needed.","author":[{"dropping-particle":"","family":"Narula","given":"Neeraj","non-dropping-particle":"","parse-names":false,"suffix":""},{"dropping-particle":"","family":"Masood","given":"Sameer","non-dropping-particle":"","parse-names":false,"suffix":""},{"dropping-particle":"","family":"Shojaee","given":"Samira","non-dropping-particle":"","parse-names":false,"suffix":""},{"dropping-particle":"","family":"McGuinness","given":"Brandon","non-dropping-particle":"","parse-names":false,"suffix":""},{"dropping-particle":"","family":"Sabeti","given":"Saama","non-dropping-particle":"","parse-names":false,"suffix":""},{"dropping-particle":"","family":"Buchan","given":"Arianne","non-dropping-particle":"","parse-names":false,"suffix":""}],"container-title":"Gastroenterology research and practice","id":"ITEM-2","issued":{"date-parts":[["2018"]]},"page":"6501215","title":"Safety of Propofol versus Nonpropofol-Based Sedation in Children Undergoing Gastrointestinal Endoscopy: A Systematic Review and Meta-Analysis.","type":"article-journal","volume":"2018"},"uris":["http://www.mendeley.com/documents/?uuid=75695912-445c-4516-ac7b-779f7283ed9b"]},{"id":"ITEM-3","itemData":{"DOI":"10.4253/wjge.v11.i3.193","ISSN":"1948-5190","author":[{"dropping-particle":"","family":"Ribeiro","given":"Igor Braga","non-dropping-particle":"","parse-names":false,"suffix":""},{"dropping-particle":"de","family":"Moura","given":"Diogo Turiani Hourneaux","non-dropping-particle":"","parse-names":false,"suffix":""},{"dropping-particle":"","family":"Thompson","given":"Christopher C","non-dropping-particle":"","parse-names":false,"suffix":""},{"dropping-particle":"de","family":"Moura","given":"Eduardo Guimarães Hourneaux","non-dropping-particle":"","parse-names":false,"suffix":""}],"container-title":"World Journal of Gastrointestinal Endoscopy","id":"ITEM-3","issue":"3","issued":{"date-parts":[["2019","3","16"]]},"page":"193-208","title":"Acute abdominal obstruction: Colon stent or emergency surgery? An evidence-based review","type":"article-journal","volume":"11"},"uris":["http://www.mendeley.com/documents/?uuid=70e8fcca-594d-4e00-8d30-1b76fe7d5680"]}],"mendeley":{"formattedCitation":"&lt;sup&gt;[45–47]&lt;/sup&gt;","plainTextFormattedCitation":"[45–47]","previouslyFormattedCitation":"&lt;sup&gt;[45–47]&lt;/sup&gt;"},"properties":{"noteIndex":0},"schema":"https://github.com/citation-style-language/schema/raw/master/csl-citation.json"}</w:instrText>
      </w:r>
      <w:r w:rsidR="00637349" w:rsidRPr="00D46A14">
        <w:rPr>
          <w:rFonts w:ascii="Book Antiqua" w:hAnsi="Book Antiqua"/>
          <w:sz w:val="24"/>
          <w:szCs w:val="24"/>
        </w:rPr>
        <w:fldChar w:fldCharType="separate"/>
      </w:r>
      <w:r w:rsidR="00460F7B" w:rsidRPr="00D46A14">
        <w:rPr>
          <w:rFonts w:ascii="Book Antiqua" w:hAnsi="Book Antiqua"/>
          <w:noProof/>
          <w:sz w:val="24"/>
          <w:szCs w:val="24"/>
          <w:vertAlign w:val="superscript"/>
        </w:rPr>
        <w:t>[45–47]</w:t>
      </w:r>
      <w:r w:rsidR="00637349" w:rsidRPr="00D46A14">
        <w:rPr>
          <w:rFonts w:ascii="Book Antiqua" w:hAnsi="Book Antiqua"/>
          <w:sz w:val="24"/>
          <w:szCs w:val="24"/>
        </w:rPr>
        <w:fldChar w:fldCharType="end"/>
      </w:r>
      <w:r w:rsidR="004540A1" w:rsidRPr="00D46A14">
        <w:rPr>
          <w:rFonts w:ascii="Book Antiqua" w:hAnsi="Book Antiqua"/>
          <w:sz w:val="24"/>
          <w:szCs w:val="24"/>
        </w:rPr>
        <w:t xml:space="preserve"> for</w:t>
      </w:r>
      <w:r w:rsidR="00D63E08" w:rsidRPr="00D46A14">
        <w:rPr>
          <w:rFonts w:ascii="Book Antiqua" w:hAnsi="Book Antiqua"/>
          <w:sz w:val="24"/>
          <w:szCs w:val="24"/>
        </w:rPr>
        <w:t xml:space="preserve"> both diagnostic and advanced </w:t>
      </w:r>
      <w:r w:rsidR="004540A1" w:rsidRPr="00D46A14">
        <w:rPr>
          <w:rFonts w:ascii="Book Antiqua" w:hAnsi="Book Antiqua"/>
          <w:sz w:val="24"/>
          <w:szCs w:val="24"/>
        </w:rPr>
        <w:t xml:space="preserve">therapeutic </w:t>
      </w:r>
      <w:r w:rsidR="00D63E08" w:rsidRPr="00D46A14">
        <w:rPr>
          <w:rFonts w:ascii="Book Antiqua" w:hAnsi="Book Antiqua"/>
          <w:sz w:val="24"/>
          <w:szCs w:val="24"/>
        </w:rPr>
        <w:t>procedures</w:t>
      </w:r>
      <w:r w:rsidR="00D63E08"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{"citationItems":[{"id":"ITEM-1","itemData":{"DOI":"10.5217/ir.2017.15.4.456","ISSN":"1598-9100","PMID":"29142513","abstract":"Most gastrointestinal endoscopic procedures are now performed with sedation. Moderate sedation using benzodiazepines and opioids continue to be widely used, but propofol sedation is becoming more popular because its unique pharmacokinetic properties make endoscopy almost painless, with a very predictable and rapid recovery process. There is controversy as to whether propofol should be administered only by anesthesia professionals (monitored anesthesia care) or whether properly trained non-anesthesia personnel can use propofol safely via the modalities of nurse-administered propofol sedation, computer-assisted propofol sedation or nurse-administered continuous propofol sedation. The deployment of non-anesthesia administered propofol sedation for low-risk procedures allows for optimal allocation of scarce anesthesia resources, which can be more appropriately used for more complex cases. This can address some of the current shortages in anesthesia provider supply, and can potentially reduce overall health care costs without sacrificing sedation quality. This review will discuss efficacy, safety, efficiency, cost and satisfaction issues with various modes of sedation for non-advanced, non-emergent endoscopic procedures, mainly esophagogastroduodenoscopy and colonoscopy.","author":[{"dropping-particle":"","family":"Lin","given":"Otto S","non-dropping-particle":"","parse-names":false,"suffix":""}],"container-title":"Intestinal research","id":"ITEM-1","issue":"4","issued":{"date-parts":[["2017","10"]]},"page":"456-466","title":"Sedation for routine gastrointestinal endoscopic procedures: a review on efficacy, safety, efficiency, cost and satisfaction.","type":"article-journal","volume":"15"},"uris":["http://www.mendeley.com/documents/?uuid=f823cc06-ee52-4fc9-a634-fc603b699f55"]},{"id":"ITEM-2","itemData":{"DOI":"10.1007/s11695-018-3470-y","ISBN":"1169501834","ISSN":"1708-0428","PMID":"30120640","abstract":"BACKGROUND Obesity is a disease that is highly prevalent in Brazil, and the associated comorbidities represent a major global public health challenge. Botulinum toxin type A (BTX-A) is a potent neurotoxin and inhibitor of gastric smooth muscle activity. In theory, BTX-A administration should promote early satiety and weight loss because it delays gastric emptying by inhibiting acetylcholine-mediated peristalsis, which is primarily responsible for gastric motility. Because results in the literature are discrepant, the efficacy of intragastric injections of BTX-A as a primary treatment for obesity remains unknown. The objective of this prospective, double-blind, single-center randomized study was to evaluate the effects of endoscopic ultrasound-guided intragastric BTX-A injections, as a bridge to bariatric surgery, in super-obese patients. METHODS Thirty-two super-obese patients were randomized to one of two groups: BTX-A, in which 200 units of BTX-A were injected into the gastric antrum and body; and control, in which the same injections were performed with 0.9% saline. Weight, body mass index (BMI), and loss of excess weight were measured monthly over a 6-month period. Gastric emptying scintigraphy was performed before and after the procedure. RESULTS The patients in both groups showed significant weight loss over the course of the study (p &lt; 0.001). There were no statistically significant differences between the groups regarding weight loss, excess weight, total loss of excess weight, total weight loss, or change in BMI. CONCLUSIONS Intragastric injection of BTX-A does not appear to be an effective method of achieving preoperative weight loss in super-obese patients.","author":[{"dropping-particle":"","family":"Moura","given":"Eduardo Guimarães Hourneaux","non-dropping-particle":"de","parse-names":false,"suffix":""},{"dropping-particle":"","family":"Ribeiro","given":"Igor Braga","non-dropping-particle":"","parse-names":false,"suffix":""},{"dropping-particle":"","family":"Frazão","given":"Mariana Souza Varela","non-dropping-particle":"","parse-names":false,"suffix":""},{"dropping-particle":"","family":"Mestieri","given":"Luiz Henrique Mazzonetto","non-dropping-particle":"","parse-names":false,"suffix":""},{"dropping-particle":"","family":"Moura","given":"Diogo Turiani Hourneaux","non-dropping-particle":"de","parse-names":false,"suffix":""},{"dropping-particle":"","family":"Dal Bó","given":"Creusa Maria Roveri","non-dropping-particle":"","parse-names":false,"suffix":""},{"dropping-particle":"","family":"Brunaldi","given":"Vitor Ottoboni","non-dropping-particle":"","parse-names":false,"suffix":""},{"dropping-particle":"","family":"Moura","given":"Eduardo Turiani Hourneaux","non-dropping-particle":"de","parse-names":false,"suffix":""},{"dropping-particle":"","family":"Nunes","given":"Gabriel Cairo","non-dropping-particle":"","parse-names":false,"suffix":""},{"dropping-particle":"","family":"Bustamante","given":"Fábio Alberto Castillo","non-dropping-particle":"","parse-names":false,"suffix":""},{"dropping-particle":"","family":"Passos Galvão Neto","given":"Manoel","non-dropping-particle":"Dos","parse-names":false,"suffix":""},{"dropping-particle":"","family":"Matuguma","given":"Sergio Eiji","non-dropping-particle":"","parse-names":false,"suffix":""},{"dropping-particle":"","family":"Bernardo","given":"Wanderley Marques","non-dropping-particle":"","parse-names":false,"suffix":""},{"dropping-particle":"","family":"Santo","given":"Marco Aurélio","non-dropping-particle":"","parse-names":false,"suffix":""}],"container-title":"Obesity surgery","id":"ITEM-2","issue":"1","issued":{"date-parts":[["2019","1","17"]]},"page":"32-39","publisher":"Obesity Surgery","title":"EUS-Guided Intragastric Injection of Botulinum Toxin A in the Preoperative Treatment of Super-Obese Patients: a Randomized Clinical Trial.","type":"article-journal","volume":"29"},"uris":["http://www.mendeley.com/documents/?uuid=70d025a6-26e7-43ac-bfef-4fcd4d85e6ae"]},{"id":"ITEM-3","itemData":{"DOI":"10.1155/2018/5874870","ISSN":"1687-6121","abstract":"Background. The use of bougies and balloons to dilate benign esophageal strictures (BES) is a consolidated procedure. However, the amount of evidence available in scientific literature supporting which is the best technique is very low, despite the great prevalence and importance of such pathology. This systematic review with meta-analysis aims at comparing both techniques, providing good quality of evidence. Methods. We searched for randomized clinical trials (RCTs) published from insertion to November 2017, using MEDLINE, EMBASE, Cochrane Central Register of Controlled Trials, LILACS, and grey literature. After the data extraction, a meta-analysis was performed. The main outcomes were symptomatic relief and recurrence rate. The secondary outcomes were bleeding, perforation, and postprocedure pain. Results. We included 5 randomized clinical trials (RCTs), totalizing 461 patients. Among them, 151 were treated with bougie dilation and 225 underwent balloon dilation. Regarding symptomatic relief, recurrence, bleeding, and perforation rates, there were no differences between the methods. Concerning postprocedure pain, patients submitted to balloon dilation had less intense pain (RD 0.27, 95% IC −0.42 to −0.07, P = 0.007 ). Conclusion. We conclude that there is no difference between bougie and balloon dilation of BESs regarding symptomatic relief, recurrence rate at 12 months, bleeding, and perforation. Patients undergoing balloon dilation present less severe postprocedure pain.","author":[{"dropping-particle":"","family":"Josino","given":"Iatagan R.","non-dropping-particle":"","parse-names":false,"suffix":""},{"dropping-particle":"","family":"Madruga-Neto","given":"Antônio C.","non-dropping-particle":"","parse-names":false,"suffix":""},{"dropping-particle":"","family":"Ribeiro","given":"Igor B.","non-dropping-particle":"","parse-names":false,"suffix":""},{"dropping-particle":"","family":"Guedes","given":"Hugo G","non-dropping-particle":"","parse-names":false,"suffix":""},{"dropping-particle":"","family":"Brunaldi","given":"Vitor O.","non-dropping-particle":"","parse-names":false,"suffix":""},{"dropping-particle":"","family":"Moura","given":"Diogo T. H.","non-dropping-particle":"de","parse-names":false,"suffix":""},{"dropping-particle":"","family":"Bernardo","given":"Wanderley M.","non-dropping-particle":"","parse-names":false,"suffix":""},{"dropping-particle":"","family":"Moura","given":"Eduardo G. H.","non-dropping-particle":"de","parse-names":false,"suffix":""}],"container-title":"Gastroenterology Research and Practice","id":"ITEM-3","issued":{"date-parts":[["2018","7","15"]]},"page":"1-9","title":"Endoscopic Dilation with Bougies versus Balloon Dilation in Esophageal Benign Strictures: Systematic Review and Meta-Analysis","type":"article-journal","volume":"2018"},"uris":["http://www.mendeley.com/documents/?uuid=9e74883d-889e-4f86-9c7a-fd85c7d0dc43"]},{"id":"ITEM-4","itemData":{"DOI":"10.1186/s13256-018-1585-3","ISBN":"1325601815853","ISSN":"1752-1947","PMID":"29695287","abstract":"BACKGROUND Solid pseudopapillary tumor of the pancreas, otherwise known as solid and cystic tumor or Frantz tumor, is an unusual form of pancreatic carcinoma, with unknown etiopathogenesis, that accounts for 0.2 to 2.7% of all pancreatic tumors. It is defined as an exocrine pancreatic neoplasia that mainly affects women between the second and third decade of life, and its management is not well defined. Endoscopic ultrasound offers a key anatomical advantage in accessing the pancreas and endoscopic ultrasound fine-needle aspiration has become the gold standard method for the diagnosis of pancreatic lesions. CASE PRESENTATION Case 1: A 31-year-old white Hispanic woman presented with epigastric pain for 5 months. An abdominal ultrasound revealed a single 2 cm nodule in the uncinate process of her pancreas. Endoscopic ultrasound showed a regular, well-defined solid lesion with alternating cystic areas at the uncinate process of her pancreas, measuring 1.7 × 1.4 cm; endoscopic ultrasound fine-needle aspiration was then performed with cytopathological analysis compatible with solid pseudopapillary tumor. Body computed tomography confirmed the absence of metastases and she underwent conventional duodenopancreatectomy. However, she died 4 days after surgery due to postoperative surgical complications. Case 2: A 35-year-old Hispanic woman presented with left upper quadrant abdominal pain for 3 months, associated with a palpable mass at this region. A computed tomography scan showed a solitary nodule in the pancreatic body. Endoscopic ultrasound showed a regular, well-defined, homogeneous lesion with small anechoic (cystic) areas, measuring 2 × 2 cm, in between the pancreatic body and neck. Endoscopic ultrasound fine-needle aspiration was performed and cytopathological analysis was suggestive of a pseudopapillary solid tumor. She underwent a body-tail laparoscopic pancreatectomy with splenectomy. Nine months after the diagnosis, she remains asymptomatic, continuing regular follow-up in the oncology out-patient clinic. CONCLUSIONS Solid pseudopapillary tumor is a rare pancreatic malignancy. Endoscopic ultrasound fine-needle aspiration is the gold standard method to characterize and diagnose this type of pancreatic lesion, making this an invaluable tool to help guide clinical management and improve the preoperative diagnostic yield.","author":[{"dropping-particle":"","family":"Moura","given":"Diogo Turiani Hourneaux","non-dropping-particle":"De","parse-names":false,"suffix":""},{"dropping-particle":"","family":"Coronel","given":"Martin","non-dropping-particle":"","parse-names":false,"suffix":""},{"dropping-particle":"","family":"Ribeiro","given":"Igor Braga","non-dropping-particle":"","parse-names":false,"suffix":""},{"dropping-particle":"","family":"Farias","given":"Galileu Ferreira Ayala","non-dropping-particle":"","parse-names":false,"suffix":""},{"dropping-particle":"","family":"Choez","given":"Maria Auxiliadora","non-dropping-particle":"","parse-names":false,"suffix":""},{"dropping-particle":"","family":"Rocha","given":"Rodrigo","non-dropping-particle":"","parse-names":false,"suffix":""},{"dropping-particle":"","family":"Toscano","given":"Marcello Pecoraro","non-dropping-particle":"","parse-names":false,"suffix":""},{"dropping-particle":"","family":"Moura","given":"Eduardo Guimarães Hourneaux","non-dropping-particle":"De","parse-names":false,"suffix":""}],"container-title":"Journal of medical case reports","id":"ITEM-4","issue":"1","issued":{"date-parts":[["2018","4","26"]]},"page":"107","publisher":"Journal of Medical Case Reports","title":"The importance of endoscopic ultrasound fine-needle aspiration in the diagnosis of solid pseudopapillary tumor of the pancreas: two case reports.","type":"article-journal","volume":"12"},"uris":["http://www.mendeley.com/documents/?uuid=6de3ec60-2eea-4995-8849-e899d019c98f"]},{"id":"ITEM-5","itemData":{"DOI":"10.4253/wjge.v11.i3.193","ISSN":"1948-5190","author":[{"dropping-particle":"","family":"Ribeiro","given":"Igor Braga","non-dropping-particle":"","parse-names":false,"suffix":""},{"dropping-particle":"de","family":"Moura","given":"Diogo Turiani Hourneaux","non-dropping-particle":"","parse-names":false,"suffix":""},{"dropping-particle":"","family":"Thompson","given":"Christopher C","non-dropping-particle":"","parse-names":false,"suffix":""},{"dropping-particle":"de","family":"Moura","given":"Eduardo Guimarães Hourneaux","non-dropping-particle":"","parse-names":false,"suffix":""}],"container-title":"World Journal of Gastrointestinal Endoscopy","id":"ITEM-5","issue":"3","issued":{"date-parts":[["2019","3","16"]]},"page":"193-208","title":"Acute abdominal obstruction: Colon stent or emergency surgery? An evidence-based review","type":"article-journal","volume":"11"},"uris":["http://www.mendeley.com/documents/?uuid=70e8fcca-594d-4e00-8d30-1b76fe7d5680"]},{"id":"ITEM-6","itemData":{"DOI":"10.1055/a-0665-4142","ISSN":"1438-8812","PMID":"30107634","author":[{"dropping-particle":"","family":"Ribeiro","given":"Igor Braga","non-dropping-particle":"","parse-names":false,"suffix":""},{"dropping-particle":"","family":"Rezende","given":"Daniel Tavares","non-dropping-particle":"","parse-names":false,"suffix":""},{"dropping-particle":"","family":"Madruga Neto","given":"Antonio Coutinho","non-dropping-particle":"","parse-names":false,"suffix":""},{"dropping-particle":"","family":"Ide","given":"Edson","non-dropping-particle":"","parse-names":false,"suffix":""},{"dropping-particle":"","family":"Furuya","given":"Carlos Kiyoshi","non-dropping-particle":"","parse-names":false,"suffix":""},{"dropping-particle":"","family":"Moura","given":"Diogo Turiani Hourneaux","non-dropping-particle":"De","parse-names":false,"suffix":""},{"dropping-particle":"","family":"Moura","given":"Eduardo Guimarães Hourneaux","non-dropping-particle":"De","parse-names":false,"suffix":""}],"container-title":"Endoscopy","id":"ITEM-6","issue":"11","issued":{"date-parts":[["2018","8","14"]]},"page":"E316-E317","title":"Endoscopic dual therapy for giant peptic ulcer hemorrhage.","type":"article-journal","volume":"50"},"uris":["http://www.mendeley.com/documents/?uuid=2eeed3e1-fc8e-4ea2-906f-ed220a4d1ef8"]},{"id":"ITEM-7","itemData":{"DOI":"10.1177/2050640618767594","ISSN":"2050-6406","PMID":"30023057","abstract":"Most gastrointestinal endoscopic procedures are now performed with sedation. Moderate sedation using benzodiazepines and opioids continues to be widely used, but propofol sedation is becoming more popular because its unique pharmacokinetic properties make endoscopy almost painless, with a very predictable and rapid recovery process. There is controversy as to whether propofol should be administered only by anesthesia professionals. According to published values, endoscopist-directed propofol has a lower mortality rate than endoscopist-delivered benzodiazepines and opioids, and a comparable rate to general anesthesia by anesthesiologists. Rapid recovery has a major impact on patient satisfaction, post-procedure education and the general flow of the endoscopy unit. According to estimates, the absolute economic benefit of endoscopist-directed propofol implementation in a screening setting is probably substantial, with 10-year savings of $3.2 billion in the USA. Guidelines concerning the use of propofol emphasize the need for adequate training and certification in sedation by non-anesthetists.","author":[{"dropping-particle":"","family":"Nishizawa","given":"Toshihiro","non-dropping-particle":"","parse-names":false,"suffix":""},{"dropping-particle":"","family":"Suzuki","given":"Hidekazu","non-dropping-particle":"","parse-names":false,"suffix":""}],"container-title":"United European gastroenterology journal","id":"ITEM-7","issue":"6","issued":{"date-parts":[["2018","7"]]},"page":"801-805","title":"Propofol for gastrointestinal endoscopy.","type":"article-journal","volume":"6"},"uris":["http://www.mendeley.com/documents/?uuid=1a44344c-f00b-4d50-a328-8a644279b00d"]},{"id":"ITEM-8","itemData":{"DOI":"10.1111/den.12219","ISSN":"09155635","author":[{"dropping-particle":"","family":"Sethi","given":"Saurabh","non-dropping-particle":"","parse-names":false,"suffix":""},{"dropping-particle":"","family":"Wadhwa","given":"Vaibhav","non-dropping-particle":"","parse-names":false,"suffix":""},{"dropping-particle":"","family":"Thaker","given":"Adarsh","non-dropping-particle":"","parse-names":false,"suffix":""},{"dropping-particle":"","family":"Chuttani","given":"Ram","non-dropping-particle":"","parse-names":false,"suffix":""},{"dropping-particle":"","family":"Pleskow","given":"Douglas K.","non-dropping-particle":"","parse-names":false,"suffix":""},{"dropping-particle":"","family":"Barnett","given":"Sheila R.","non-dropping-particle":"","parse-names":false,"suffix":""},{"dropping-particle":"","family":"Leffler","given":"Daniel A.","non-dropping-particle":"","parse-names":false,"suffix":""},{"dropping-particle":"","family":"Berzin","given":"Tyler M.","non-dropping-particle":"","parse-names":false,"suffix":""},{"dropping-particle":"","family":"Sethi","given":"Nidhi","non-dropping-particle":"","parse-names":false,"suffix":""},{"dropping-particle":"","family":"Sawhney","given":"Mandeep S.","non-dropping-particle":"","parse-names":false,"suffix":""}],"container-title":"Digestive Endoscopy","id":"ITEM-8","issue":"4","issued":{"date-parts":[["2014","7"]]},"page":"515-524","title":"Propofol versus traditional sedative agents for advanced endoscopic procedures: A meta-analysis","type":"article-journal","volume":"26"},"uris":["http://www.mendeley.com/documents/?uuid=64c5a71e-c128-453a-9981-989999901b7b"]},{"id":"ITEM-9","itemData":{"DOI":"10.1055/a-0854-3739","ISSN":"2364-3722","PMID":"31041365","abstract":"Background and study aims Ambient air is the most commonly used gas for insufflation in endoscopic procedures worldwide. However, prolonged absorption of air during endoscopic examinations may cause pain and abdominal distension. Carbon dioxide insufflation (CO 2 i) has been increasingly used as an alternative to ambient air insufflation (AAi) in many endoscopic procedures due to its fast diffusion properties and less abdominal distention and pain. For endoscopic retrograde cholangiopancreatography (ERCP), use of CO 2 for insufflation is adequate because this procedure is complex and prolonged. Some randomized controlled trials (RCTs) have evaluated the efficacy and safety of CO 2 as an insufflation method during ERCP but presented conflicting results. This systematic review and meta-analysis with only RCTs evaluated the efficacy and safety of CO 2 i versus AAi during ERCP. Methods A literature search was performed using online databases with no restriction regarding idiom or year of publication. Data were extracted by two authors according to a predefined data extraction form. Outcomes evaluated were abdominal pain and distension, complications, procedure duration, and CO 2 levels. Results Eight studies (919 patients) were included. Significant results favoring CO 2 i were less abdominal distension after 1 h (MD: -1.41 [-1.81; -1.0], 95 % CI, I² = 15 %, P &lt; 0.00001) and less abdominal pain after 1 h (MD: -23.80 [-27.50; -20.10], 95 %CI, I² = 9 %, P &lt; 0.00001) and after 6 h (MD: -7.00 [-8.66; -5.33]; 95 % CI, I² = 0 %, P &lt; 0.00001). Conclusion Use of CO 2 i instead of AAi during ERCP is safe and associated with less abdominal distension and pain after the procedure.","author":[{"dropping-particle":"","family":"Passos","given":"Marina Lordello","non-dropping-particle":"","parse-names":false,"suffix":""},{"dropping-particle":"","family":"Ribeiro","given":"Igor Braga","non-dropping-particle":"","parse-names":false,"suffix":""},{"dropping-particle":"","family":"Moura","given":"Diogo Turiani Hourneaux","non-dropping-particle":"de","parse-names":false,"suffix":""},{"dropping-particle":"","family":"Korkischko","given":"Nádia","non-dropping-particle":"","parse-names":false,"suffix":""},{"dropping-particle":"","family":"Silva","given":"Gustavo Luis Rodela","non-dropping-particle":"","parse-names":false,"suffix":""},{"dropping-particle":"","family":"Franzini","given":"Tomazo Prince","non-dropping-particle":"","parse-names":false,"suffix":""},{"dropping-particle":"","family":"Bernando","given":"Wanderley Marques","non-dropping-particle":"","parse-names":false,"suffix":""},{"dropping-particle":"","family":"Moura","given":"Eduardo Guimarães Horneaux","non-dropping-particle":"de","parse-names":false,"suffix":""}],"container-title":"Endoscopy international open","id":"ITEM-9","issue":"4","issued":{"date-parts":[["2019","4"]]},"page":"E487-E497","title":"Efficacy and safety of carbon dioxide insufflation versus air insufflation during endoscopic retrograde cholangiopancreatography in randomized controlled trials: a systematic review and meta-analysis.","type":"article-journal","volume":"7"},"uris":["http://www.mendeley.com/documents/?uuid=f30897e2-e84d-4970-8618-0929f9719254"]},{"id":"ITEM-10","itemData":{"DOI":"10.1590/S0004-2803.201900000-08","ISSN":"1678-4219","PMID":"30970140","abstract":"BACKGROUND One of the most feared complications with the use of cyanoacrylate for treatment of gastric varices is the occurrence of potentially life-threatening systemic embolism. Thus, endoscopists are turning towards new techniques, including endoscopic coiling, as a potentially safer and more effective treatment option. However, no studies have been performed comparing the two techniques. OBJECTIVE This study aims to compare the safety and efficacy of endoscopic ultrasound guided coil and cyanoacrylate injection versus the conventional technique of injection of cyanoacrylate alone. DESIGN A pilot randomized controlled trial. METHODS Patients randomized into group I were treated with coil and cyanoacrylate, and those in group II with cyanoacrylate alone. Flow within the varix was evaluated immediately after the treatment session and one month following initial treatment. If thrombosis was confirmed, additional follow-up was performed 4 and 10 months following initial treatment. All patients underwent a thoracic computerized tomography scan after the procedure. RESULTS A total of 32 patients, 16 in each group, were followed for an average of 9.9 months (range 1-26 months). Immediately after the procedure, 6 (37.5%) group-I patients and 8 (50%) group-II patients presented total flow reduction in the treated vessel (P=0.476). After 30 days, 11 (73.3%) group-I patients and 12 (75%) group-II patients were found to have varix thrombosis. In both groups, the majority of patients required only one single session for varix obliteration (73.3% in group I versus 80% in group II). Asymptomatic pulmonary embolism occurred in 4 (25%) group-I patients and 8 (50%) group-II patients (P=0.144). No significant difference between the groups was observed. CONCLUSION There is no statistical difference between endoscopic ultrasound guided coils plus cyanoacrylate versus conventional cyanoacrylate technique in relation to the incidence of embolism. However, a greater tendency towards embolism was observed in the group treated using the conventional technique. Both techniques have similar efficacy in the obliteration of varices. Given the small sample size of our pilot data, our results are insufficient to prove the clinical benefit of the combined technique, and do not yet justify its use, especially in light of higher cost. Further studies with larger sample size are warranted.","author":[{"dropping-particle":"","family":"Lôbo","given":"Maíra Ribeiro de Almeida","non-dropping-particle":"","parse-names":false,"suffix":""},{"dropping-particle":"","family":"Chaves","given":"Dalton Marques","non-dropping-particle":"","parse-names":false,"suffix":""},{"dropping-particle":"","family":"Moura","given":"Diogo Turiani Hourneaux","non-dropping-particle":"DE","parse-names":false,"suffix":""},{"dropping-particle":"","family":"Ribeiro","given":"Igor Braga","non-dropping-particle":"","parse-names":false,"suffix":""},{"dropping-particle":"","family":"Ikari","given":"Eduardo","non-dropping-particle":"","parse-names":false,"suffix":""},{"dropping-particle":"","family":"Moura","given":"Eduardo Guimarães Hourneaux","non-dropping-particle":"DE","parse-names":false,"suffix":""}],"container-title":"Arquivos de gastroenterologia","id":"ITEM-10","issued":{"date-parts":[["2019","4","4"]]},"title":"SAFETY AND EFFICACY OF EUS-GUIDED COIL PLUS CYANOACRYLATE VERSUS CONVENTIONAL CYANOACRYLATE TECHNIQUE IN THE TREATMENT OF GASTRIC VARICES: A RANDOMIZED CONTROLLED TRIAL.","type":"article-journal"},"uris":["http://www.mendeley.com/documents/?uuid=e3917c34-866e-486a-9a42-8e298e771833"]},{"id":"ITEM-11","itemData":{"DOI":"10.1055/a-0862-0215","ISSN":"2364-3722","PMID":"30957004","abstract":"Background and study aims Endoscopic retrograde cholangiopancreatography (ERCP) is the primary therapeutic procedure for treatment of diseases that affect the biliary tree and pancreatic duct. While the therapeutic success rate of ERCP is high, the procedure can cause complications, such as acute pancreatitis (PEP), bleeding, and perforation. This meta-analysis aimed to assess the efficacy of nonsteroidal anti-inflammatory drugs (NSAIDs) in preventing PEP following (ERCP). Materials and methods We searched databases, such as MEDLINE, Embase, and Cochrane Central Library. Only randomized controlled trials (RCTs) that compared the efficacy of NSAIDs and placebo for the prevention of PEP were included. Outcomes assessed included incidence of PEP, severity of pancreatitis, route of administration, and type of NSAIDs. Results Twenty-one RCTs were considered eligible with a total of 6854 patients analyzed. Overall, 3427 patients used NSAIDs before ERCP and 3427 did not use the drugs (control group). In the end, 250 cases of acute pancreatitis post-ERCP were diagnosed in the NSAIDs group and 407 cases in the placebo group. Risk for PEP was lower in the NSAID group (risk difference (RD): -0.05; 95 % confidence interval (CI): -0.07 to - 0.03; number need to treat (NNT), 20; P &lt; 0.05). Use of NSAIDs effectively prevented mild pancreatitis compared with use of placebo (2.5 % vs. 4.1 %; 95 % CI, -0.05 to - 0.01; NNT, 33; P &lt; 0.05), but the information on moderate and severe PEP could not be completely elucidated. Only rectal administration reduced incidence of PEP (6.8 % vs. 13 %; 95 % CI, -0.10 to - 0.04; NNT, 20; P &lt; 0.05). Furthermore, only diclofenac or indomethacin use was effective in preventing PEP. Conclusions Rectal administration of diclofenac and indomethacin significantly reduced risk of developing mild PEP. Further RCTs are needed to compare efficacy between NSAID administration pathways in prevention of PEP after ERCP.","author":[{"dropping-particle":"","family":"Serrano","given":"Juan Pablo Román","non-dropping-particle":"","parse-names":false,"suffix":""},{"dropping-particle":"","family":"Moura","given":"Diogo Turiani Hourneaux","non-dropping-particle":"de","parse-names":false,"suffix":""},{"dropping-particle":"","family":"Bernardo","given":"Wanderley Marques","non-dropping-particle":"","parse-names":false,"suffix":""},{"dropping-particle":"","family":"Ribeiro","given":"Igor Braga","non-dropping-particle":"","parse-names":false,"suffix":""},{"dropping-particle":"","family":"Franzini","given":"Tomazo Prince","non-dropping-particle":"","parse-names":false,"suffix":""},{"dropping-particle":"","family":"Moura","given":"Eduardo Turiani Hourneaux","non-dropping-particle":"de","parse-names":false,"suffix":""},{"dropping-particle":"","family":"Brunaldi","given":"Vitor Ottoboni","non-dropping-particle":"","parse-names":false,"suffix":""},{"dropping-particle":"","family":"Salesse","given":"Marianne Torrezan","non-dropping-particle":"","parse-names":false,"suffix":""},{"dropping-particle":"","family":"Sakai","given":"Paulo","non-dropping-particle":"","parse-names":false,"suffix":""},{"dropping-particle":"","family":"Moura","given":"Eduardo Guimarães Hourneaux","non-dropping-particle":"De","parse-names":false,"suffix":""}],"container-title":"Endoscopy international open","id":"ITEM-11","issue":"4","issued":{"date-parts":[["2019","4"]]},"page":"E477-E486","title":"Nonsteroidal anti-inflammatory drugs versus placebo for post-endoscopic retrograde cholangiopancreatography pancreatitis: a systematic review and meta-analysis.","type":"article-journal","volume":"7"},"uris":["http://www.mendeley.com/documents/?uuid=4ac46b64-bce9-4615-ba76-7f61661460f6"]}],"mendeley":{"formattedCitation":"&lt;sup&gt;[47,48,57,49–56]&lt;/sup&gt;","plainTextFormattedCitation":"[47,48,57,49–56]","previouslyFormattedCitation":"&lt;sup&gt;[47–56]&lt;/sup&gt;"},"properties":{"noteIndex":0},"schema":"https://github.com/citation-style-language/schema/raw/master/csl-citation.json"}</w:instrText>
      </w:r>
      <w:r w:rsidR="00D63E08"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[47,48,57,49–56]</w:t>
      </w:r>
      <w:r w:rsidR="00D63E08" w:rsidRPr="00D46A14">
        <w:rPr>
          <w:rFonts w:ascii="Book Antiqua" w:hAnsi="Book Antiqua"/>
          <w:sz w:val="24"/>
          <w:szCs w:val="24"/>
        </w:rPr>
        <w:fldChar w:fldCharType="end"/>
      </w:r>
      <w:r w:rsidR="004F1789" w:rsidRPr="00D46A14">
        <w:rPr>
          <w:rFonts w:ascii="Book Antiqua" w:hAnsi="Book Antiqua"/>
          <w:sz w:val="24"/>
          <w:szCs w:val="24"/>
        </w:rPr>
        <w:t>.</w:t>
      </w:r>
      <w:r w:rsidR="00D63E08" w:rsidRPr="00D46A14">
        <w:rPr>
          <w:rFonts w:ascii="Book Antiqua" w:hAnsi="Book Antiqua"/>
          <w:sz w:val="24"/>
          <w:szCs w:val="24"/>
        </w:rPr>
        <w:t xml:space="preserve"> </w:t>
      </w:r>
      <w:r w:rsidR="004F1789" w:rsidRPr="00D46A14">
        <w:rPr>
          <w:rFonts w:ascii="Book Antiqua" w:hAnsi="Book Antiqua"/>
          <w:sz w:val="24"/>
          <w:szCs w:val="24"/>
        </w:rPr>
        <w:t xml:space="preserve">Propofol has proven to be safe </w:t>
      </w:r>
      <w:r w:rsidRPr="00D46A14">
        <w:rPr>
          <w:rFonts w:ascii="Book Antiqua" w:hAnsi="Book Antiqua"/>
          <w:sz w:val="24"/>
          <w:szCs w:val="24"/>
        </w:rPr>
        <w:t xml:space="preserve">and affordable, </w:t>
      </w:r>
      <w:r w:rsidR="004F1789" w:rsidRPr="00D46A14">
        <w:rPr>
          <w:rFonts w:ascii="Book Antiqua" w:hAnsi="Book Antiqua"/>
          <w:sz w:val="24"/>
          <w:szCs w:val="24"/>
        </w:rPr>
        <w:t>yielding satisfactory and efficient sedation for patients undergoing endoscopy</w:t>
      </w:r>
      <w:r w:rsidR="00564749"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{"citationItems":[{"id":"ITEM-1","itemData":{"DOI":"10.12998/wjcc.v6.i16.1146","ISSN":"2307-8960","PMID":"30613673","abstract":"AIM To compare the results of midazolam-ketamine-propofol sedation performed by an endoscopy nurse and anaesthetist during colonoscopy in terms of patient satisfaction and safety. METHODS American Statistical Association (ASA) I-II 60 patients who underwent colonoscopy under sedation were randomly divided into two groups: sedation under the supervision of an anaesthetist (SSA) and sedation under the supervision of an endoscopy nurse (SSEN). Both groups were initially administered 1 mg midazolam, 50 mg ketamine and 30-50 mg propofol. Continuation of sedation was performed by the anaesthetist in the SSA group and the nurse with a patient-controlled analgesia (PCA) pump in the SSEN group. The total propofol consumption, procedure duration, recovery times, pain using the visual analogue scale (VAS) and satisfaction score of the patients, and side effects were recorded. In addition, the patients were asked whether they remembered the procedure and whether they would prefer the same method in the case of re-endoscopy. RESULTS Total propofol consumption in the SSEN group was significantly higher (P &lt; 0.05) than that in the SSA group. When the groups were compared in terms of VAS score, recovery time, patient satisfaction, recall of the procedure, re-preference for the same method in case of re-endoscopy, and side effects, there were no significant differences (P &gt; 0.05) between the two groups. No long-term required intervention side effects were observed in either group. CONCLUSION Colonoscopy sedation in ASA I-II patients can be safely performed by an endoscopy nurse using PCA pump with the incidence of side effects and patient satisfaction levels similar to sedation under anaesthetist supervision.","author":[{"dropping-particle":"","family":"Kayaaltı","given":"Selda","non-dropping-particle":"","parse-names":false,"suffix":""},{"dropping-particle":"","family":"Kayaaltı","given":"Ömer","non-dropping-particle":"","parse-names":false,"suffix":""}],"container-title":"World journal of clinical cases","id":"ITEM-1","issue":"16","issued":{"date-parts":[["2018","12","26"]]},"page":"1146-1154","title":"Safety of applying midazolam-ketamine-propofol sedation combination under the supervision of endoscopy nurse with patient-controlled analgesia pump in colonoscopy.","type":"article-journal","volume":"6"},"uris":["http://www.mendeley.com/documents/?uuid=2677709c-5497-4870-a807-9b496f1f9fd1"]}],"mendeley":{"formattedCitation":"&lt;sup&gt;[58]&lt;/sup&gt;","plainTextFormattedCitation":"[58]","previouslyFormattedCitation":"&lt;sup&gt;[57]&lt;/sup&gt;"},"properties":{"noteIndex":0},"schema":"https://github.com/citation-style-language/schema/raw/master/csl-citation.json"}</w:instrText>
      </w:r>
      <w:r w:rsidR="00564749"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[58]</w:t>
      </w:r>
      <w:r w:rsidR="00564749" w:rsidRPr="00D46A14">
        <w:rPr>
          <w:rFonts w:ascii="Book Antiqua" w:hAnsi="Book Antiqua"/>
          <w:sz w:val="24"/>
          <w:szCs w:val="24"/>
        </w:rPr>
        <w:fldChar w:fldCharType="end"/>
      </w:r>
      <w:r w:rsidRPr="00D46A14">
        <w:rPr>
          <w:rFonts w:ascii="Book Antiqua" w:hAnsi="Book Antiqua"/>
          <w:sz w:val="24"/>
          <w:szCs w:val="24"/>
        </w:rPr>
        <w:t>. Propofol can be used as a single agent</w:t>
      </w:r>
      <w:r w:rsidR="004F1789" w:rsidRPr="00D46A14">
        <w:rPr>
          <w:rFonts w:ascii="Book Antiqua" w:hAnsi="Book Antiqua"/>
          <w:sz w:val="24"/>
          <w:szCs w:val="24"/>
        </w:rPr>
        <w:t xml:space="preserve"> for anesthesia induction and </w:t>
      </w:r>
      <w:r w:rsidR="00322F8A" w:rsidRPr="00D46A14">
        <w:rPr>
          <w:rFonts w:ascii="Book Antiqua" w:hAnsi="Book Antiqua"/>
          <w:sz w:val="24"/>
          <w:szCs w:val="24"/>
        </w:rPr>
        <w:t>maintenance</w:t>
      </w:r>
      <w:r w:rsidRPr="00D46A14">
        <w:rPr>
          <w:rFonts w:ascii="Book Antiqua" w:hAnsi="Book Antiqua"/>
          <w:sz w:val="24"/>
          <w:szCs w:val="24"/>
        </w:rPr>
        <w:t xml:space="preserve">, </w:t>
      </w:r>
      <w:r w:rsidR="00322F8A" w:rsidRPr="00D46A14">
        <w:rPr>
          <w:rFonts w:ascii="Book Antiqua" w:hAnsi="Book Antiqua"/>
          <w:sz w:val="24"/>
          <w:szCs w:val="24"/>
        </w:rPr>
        <w:t>lead</w:t>
      </w:r>
      <w:r w:rsidR="004540A1" w:rsidRPr="00D46A14">
        <w:rPr>
          <w:rFonts w:ascii="Book Antiqua" w:hAnsi="Book Antiqua"/>
          <w:sz w:val="24"/>
          <w:szCs w:val="24"/>
        </w:rPr>
        <w:t>s to</w:t>
      </w:r>
      <w:r w:rsidR="00E50823" w:rsidRPr="00D46A14">
        <w:rPr>
          <w:rFonts w:ascii="Book Antiqua" w:hAnsi="Book Antiqua"/>
          <w:sz w:val="24"/>
          <w:szCs w:val="24"/>
        </w:rPr>
        <w:t xml:space="preserve"> </w:t>
      </w:r>
      <w:r w:rsidRPr="00D46A14">
        <w:rPr>
          <w:rFonts w:ascii="Book Antiqua" w:hAnsi="Book Antiqua"/>
          <w:sz w:val="24"/>
          <w:szCs w:val="24"/>
        </w:rPr>
        <w:t>rapid induction of anesthesia</w:t>
      </w:r>
      <w:r w:rsidR="00322F8A" w:rsidRPr="00D46A14">
        <w:rPr>
          <w:rFonts w:ascii="Book Antiqua" w:hAnsi="Book Antiqua"/>
          <w:sz w:val="24"/>
          <w:szCs w:val="24"/>
        </w:rPr>
        <w:t xml:space="preserve">, carries </w:t>
      </w:r>
      <w:r w:rsidR="00E50823" w:rsidRPr="00D46A14">
        <w:rPr>
          <w:rFonts w:ascii="Book Antiqua" w:hAnsi="Book Antiqua"/>
          <w:sz w:val="24"/>
          <w:szCs w:val="24"/>
        </w:rPr>
        <w:t xml:space="preserve">a </w:t>
      </w:r>
      <w:r w:rsidR="00322F8A" w:rsidRPr="00D46A14">
        <w:rPr>
          <w:rFonts w:ascii="Book Antiqua" w:hAnsi="Book Antiqua"/>
          <w:sz w:val="24"/>
          <w:szCs w:val="24"/>
        </w:rPr>
        <w:t xml:space="preserve">low </w:t>
      </w:r>
      <w:r w:rsidR="00EB2968" w:rsidRPr="00D46A14">
        <w:rPr>
          <w:rFonts w:ascii="Book Antiqua" w:hAnsi="Book Antiqua"/>
          <w:sz w:val="24"/>
          <w:szCs w:val="24"/>
        </w:rPr>
        <w:t>half-life</w:t>
      </w:r>
      <w:r w:rsidR="00322F8A" w:rsidRPr="00D46A14">
        <w:rPr>
          <w:rFonts w:ascii="Book Antiqua" w:hAnsi="Book Antiqua"/>
          <w:sz w:val="24"/>
          <w:szCs w:val="24"/>
        </w:rPr>
        <w:t xml:space="preserve"> and</w:t>
      </w:r>
      <w:r w:rsidR="00E50823" w:rsidRPr="00D46A14">
        <w:rPr>
          <w:rFonts w:ascii="Book Antiqua" w:hAnsi="Book Antiqua"/>
          <w:sz w:val="24"/>
          <w:szCs w:val="24"/>
        </w:rPr>
        <w:t xml:space="preserve"> is associated with fast recovery from anesthesia</w:t>
      </w:r>
      <w:r w:rsidR="00637349"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{"citationItems":[{"id":"ITEM-1","itemData":{"DOI":"10.1503/cjs.008117","ISSN":"1488-2310","PMID":"30067180","abstract":"BACKGROUND With a growing demand for endoscopic services, the role of anesthesiologists in endoscopy units must be reassessed. The aim of this study was to compare patient outcomes in non-anesthesiologist-administered propofol (NAAP) versus anesthesiologist-administered propofol (AAP) during routine endoscopy. METHODS We systematically searched MEDLINE, CINAHL, Embase, Web of Science, CENTRAL and the grey literature for studies comparing NAAP and AAP. Primary outcomes included endoscopy- and sedation-related complications. Secondary outcomes included measures of endoscopy quality and of patient and endoscopist satisfaction. We reported treatment effects using random-effects models. RESULTS Of 602 articles identified, 5 met the inclusion criteria. Most studies included only patients with an American Society of Anesthesiologists (ASA) classification of I or II. Non-anesthesiologist-administered propofol did not result in increased rates of airway intervention (odds ratio [OR] 1.07, 95% confidence interval [CI] 0.29 to 3.95; 3443 patients) or hypotension (OR 1.47, 95% CI 0.40 to 5.41; 17 978 patients) but did result in higher rates of bradycardia (OR 3.68, 95% CI 1.65 to 8.17; 17 978 patients). Nonanesthesiologists administered lower propofol dosages than anesthesiologists (mean difference -61.79, 95% CI -114.46 to -9.12; 3443 patients), and their patients more commonly experienced awareness with recall (OR 19.99, 95% CI 7.88 to 50.76; 2090 patients). However, NAAP neither compromised patient willingness to repeat the procedure (OR 0.42, 95% CI 0.10 to 1.83; 2367 patients) nor lengthened total procedure time (mean difference -0.08, 95% CI -3.51 to 3.34; 2367 patients). CONCLUSION Endoscopists may safely administer propofol without compromising procedural quality in patients classified as ASA I or II undergoing routine endoscopy. The results of this meta-analysis are limited by a lack of available high-quality studies. Further, large-scale studies are needed for definitive conclusions. CONTEXTE Étant donné que les services endoscopiques sont de plus en plus demandés, le rôle des anesthésiologistes dans les unités d'endoscopie doit être réévalué. Le but de cette étude était de comparer les résultats cliniques chez les patients selon que le propofol était administré par des non-anesthésiologistes (NAAP, pour non-anesthesiologist-administered propofol) ou par des anesthésiologistes (AAP, pour anesthesiologist-administered propofol). MÉTHODES Nous avons procédé…","author":[{"dropping-particle":"","family":"Daza","given":"Julian F","non-dropping-particle":"","parse-names":false,"suffix":""},{"dropping-particle":"","family":"Tan","given":"Carolyn M","non-dropping-particle":"","parse-names":false,"suffix":""},{"dropping-particle":"","family":"Fielding","given":"Ryan J","non-dropping-particle":"","parse-names":false,"suffix":""},{"dropping-particle":"","family":"Brown","given":"Allison","non-dropping-particle":"","parse-names":false,"suffix":""},{"dropping-particle":"","family":"Farrokhyar","given":"Forough","non-dropping-particle":"","parse-names":false,"suffix":""},{"dropping-particle":"","family":"Yang","given":"Ilun","non-dropping-particle":"","parse-names":false,"suffix":""}],"container-title":"Canadian journal of surgery. Journal canadien de chirurgie","id":"ITEM-1","issue":"4","issued":{"date-parts":[["2018","6","1"]]},"page":"8117","title":"Propofol administration by endoscopists versus anesthesiologists in gastrointestinal endoscopy: a systematic review and meta-analysis of patient safety outcomes.","type":"article-journal","volume":"61"},"uris":["http://www.mendeley.com/documents/?uuid=2ead63b5-36b3-4e5f-b0a5-66b7f17d7751"]}],"mendeley":{"formattedCitation":"&lt;sup&gt;[45]&lt;/sup&gt;","plainTextFormattedCitation":"[45]","previouslyFormattedCitation":"&lt;sup&gt;[45]&lt;/sup&gt;"},"properties":{"noteIndex":0},"schema":"https://github.com/citation-style-language/schema/raw/master/csl-citation.json"}</w:instrText>
      </w:r>
      <w:r w:rsidR="00637349"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[45]</w:t>
      </w:r>
      <w:r w:rsidR="00637349" w:rsidRPr="00D46A14">
        <w:rPr>
          <w:rFonts w:ascii="Book Antiqua" w:hAnsi="Book Antiqua"/>
          <w:sz w:val="24"/>
          <w:szCs w:val="24"/>
        </w:rPr>
        <w:fldChar w:fldCharType="end"/>
      </w:r>
      <w:r w:rsidRPr="00D46A14">
        <w:rPr>
          <w:rFonts w:ascii="Book Antiqua" w:hAnsi="Book Antiqua"/>
          <w:sz w:val="24"/>
          <w:szCs w:val="24"/>
        </w:rPr>
        <w:t>. However,</w:t>
      </w:r>
      <w:r w:rsidR="00322F8A" w:rsidRPr="00D46A14">
        <w:rPr>
          <w:rFonts w:ascii="Book Antiqua" w:hAnsi="Book Antiqua"/>
          <w:sz w:val="24"/>
          <w:szCs w:val="24"/>
        </w:rPr>
        <w:t xml:space="preserve"> Propofol can be associated with dose-dependent complications, including the risk of major </w:t>
      </w:r>
      <w:r w:rsidRPr="00D46A14">
        <w:rPr>
          <w:rFonts w:ascii="Book Antiqua" w:hAnsi="Book Antiqua"/>
          <w:sz w:val="24"/>
          <w:szCs w:val="24"/>
        </w:rPr>
        <w:t xml:space="preserve">respiratory depression and several cardiovascular </w:t>
      </w:r>
      <w:r w:rsidR="00322F8A" w:rsidRPr="00D46A14">
        <w:rPr>
          <w:rFonts w:ascii="Book Antiqua" w:hAnsi="Book Antiqua"/>
          <w:sz w:val="24"/>
          <w:szCs w:val="24"/>
        </w:rPr>
        <w:t>adverse events</w:t>
      </w:r>
      <w:r w:rsidR="00637349"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{"citationItems":[{"id":"ITEM-1","itemData":{"DOI":"10.1177/2050640618767594","ISSN":"2050-6406","PMID":"30023057","abstract":"Most gastrointestinal endoscopic procedures are now performed with sedation. Moderate sedation using benzodiazepines and opioids continues to be widely used, but propofol sedation is becoming more popular because its unique pharmacokinetic properties make endoscopy almost painless, with a very predictable and rapid recovery process. There is controversy as to whether propofol should be administered only by anesthesia professionals. According to published values, endoscopist-directed propofol has a lower mortality rate than endoscopist-delivered benzodiazepines and opioids, and a comparable rate to general anesthesia by anesthesiologists. Rapid recovery has a major impact on patient satisfaction, post-procedure education and the general flow of the endoscopy unit. According to estimates, the absolute economic benefit of endoscopist-directed propofol implementation in a screening setting is probably substantial, with 10-year savings of $3.2 billion in the USA. Guidelines concerning the use of propofol emphasize the need for adequate training and certification in sedation by non-anesthetists.","author":[{"dropping-particle":"","family":"Nishizawa","given":"Toshihiro","non-dropping-particle":"","parse-names":false,"suffix":""},{"dropping-particle":"","family":"Suzuki","given":"Hidekazu","non-dropping-particle":"","parse-names":false,"suffix":""}],"container-title":"United European gastroenterology journal","id":"ITEM-1","issue":"6","issued":{"date-parts":[["2018","7"]]},"page":"801-805","title":"Propofol for gastrointestinal endoscopy.","type":"article-journal","volume":"6"},"uris":["http://www.mendeley.com/documents/?uuid=1a44344c-f00b-4d50-a328-8a644279b00d"]},{"id":"ITEM-2","itemData":{"DOI":"10.1016/j.biopha.2018.06.158","ISSN":"1950-6007","PMID":"29990851","abstract":"This study aims to determine the pharmacodynamics (PD) effect (measured by cardiovascular depression) of propofol during anesthesia induction period on morbidly obese (MO) patients. Four hemodynamics indexes [i.e., three indexes about blood pressure and cardiac output (CO)] representing cardiovascular function were measured. Pharmacokinetic/pharmacodynamic (PK/PD) modeling was performed by population analysis to obtain PD parameters. Two propofol dosing scalars, namely, dosing based on total body weight (TBW) or lean body weight (LBW), were used for MO subjects. The PD data were well described by a PK/PD model. Blood pressure and CO were rapidly decreased within one minute after intravenous injection of propofol (2 mg/kg). TBW group showed significantly lower blood pressure and CO values at and 1 min after propofol administration compared with the control group, whereas the control and LBW groups had similar PD profiles. In addition, the propofol EC50 value was significantly decreased in MO patients, whereas all other PD parameters were similar between control and MO subjects. This change indicated that propofol potency and/or sensitivity was increased in MO subjects. For MO patients, dosing of propofol based on LBW rather than TBW would be a safer choice due to a less cardiovascular depression effect.","author":[{"dropping-particle":"","family":"Wu","given":"Zhufeng","non-dropping-particle":"","parse-names":false,"suffix":""},{"dropping-particle":"","family":"Li","given":"Jiayang","non-dropping-particle":"","parse-names":false,"suffix":""},{"dropping-particle":"","family":"Wang","given":"Cunchuan","non-dropping-particle":"","parse-names":false,"suffix":""},{"dropping-particle":"","family":"Yang","given":"Jingge","non-dropping-particle":"","parse-names":false,"suffix":""},{"dropping-particle":"","family":"Chen","given":"Xiaomei","non-dropping-particle":"","parse-names":false,"suffix":""},{"dropping-particle":"","family":"Yang","given":"Wah","non-dropping-particle":"","parse-names":false,"suffix":""},{"dropping-particle":"","family":"Xiong","given":"Zhiling","non-dropping-particle":"","parse-names":false,"suffix":""},{"dropping-particle":"","family":"Peng","given":"Xuemei","non-dropping-particle":"","parse-names":false,"suffix":""}],"container-title":"Biomedicine &amp; pharmacotherapy = Biomedecine &amp; pharmacotherapie","id":"ITEM-2","issued":{"date-parts":[["2018","10"]]},"page":"618-623","title":"Characterization of cardiovascular depression effect for propofol during anesthesia induction period on morbidly obese patients.","type":"article-journal","volume":"106"},"uris":["http://www.mendeley.com/documents/?uuid=19063678-c63f-4e05-bb33-cddb60b1e368"]}],"mendeley":{"formattedCitation":"&lt;sup&gt;[53,59]&lt;/sup&gt;","plainTextFormattedCitation":"[53,59]","previouslyFormattedCitation":"&lt;sup&gt;[53,58]&lt;/sup&gt;"},"properties":{"noteIndex":0},"schema":"https://github.com/citation-style-language/schema/raw/master/csl-citation.json"}</w:instrText>
      </w:r>
      <w:r w:rsidR="00637349"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[53,59]</w:t>
      </w:r>
      <w:r w:rsidR="00637349" w:rsidRPr="00D46A14">
        <w:rPr>
          <w:rFonts w:ascii="Book Antiqua" w:hAnsi="Book Antiqua"/>
          <w:sz w:val="24"/>
          <w:szCs w:val="24"/>
        </w:rPr>
        <w:fldChar w:fldCharType="end"/>
      </w:r>
      <w:r w:rsidR="00322F8A" w:rsidRPr="00D46A14">
        <w:rPr>
          <w:rFonts w:ascii="Book Antiqua" w:hAnsi="Book Antiqua"/>
          <w:sz w:val="24"/>
          <w:szCs w:val="24"/>
        </w:rPr>
        <w:t>.</w:t>
      </w:r>
    </w:p>
    <w:p w14:paraId="7F0A816B" w14:textId="736639DB" w:rsidR="008C62EB" w:rsidRPr="00D46A14" w:rsidRDefault="00322F8A" w:rsidP="00D46A14">
      <w:pPr>
        <w:spacing w:after="0" w:line="360" w:lineRule="auto"/>
        <w:ind w:left="0" w:firstLineChars="100" w:firstLine="240"/>
        <w:rPr>
          <w:rFonts w:ascii="Book Antiqua" w:hAnsi="Book Antiqua"/>
          <w:sz w:val="24"/>
          <w:szCs w:val="24"/>
        </w:rPr>
      </w:pPr>
      <w:r w:rsidRPr="00D46A14">
        <w:rPr>
          <w:rFonts w:ascii="Book Antiqua" w:hAnsi="Book Antiqua"/>
          <w:sz w:val="24"/>
          <w:szCs w:val="24"/>
        </w:rPr>
        <w:t>Our study adds to the plethora of literature describing the use of propofol for endoscopy sedation, but also highlights how it compares to numerous alternative and adjunctive sedatives.</w:t>
      </w:r>
    </w:p>
    <w:p w14:paraId="5113F3EF" w14:textId="0A70F26F" w:rsidR="008C62EB" w:rsidRPr="00D46A14" w:rsidRDefault="008C62EB"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After analyzing 23 clinical trials</w:t>
      </w:r>
      <w:r w:rsidR="006511EA"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{"citationItems":[{"id":"ITEM-1","itemData":{"ISSN":"0016-5085","PMID":"12105827","abstract":"BACKGROUND &amp; AIMS Propofol is increasingly used for gastrointestinal endoscopy because of its rapid recovery profile. There has been no prospective, randomized comparison of gastroenterologist-administered propofol to meperidine and midazolam for endoscopic retrograde cholangiopancreatography and endoscopic ultrasonography. Additionally, its cost-effectiveness has not been studied. METHODS Seventy-five randomized patients received either gastroenterologist-administered propofol (n = 38) or meperidine/midazolam (n = 37) for endoscopic retrograde cholangiopancreatography and endoscopic ultrasonography. Monitoring with capnography allowed for rapid titration of propofol at the earliest signs of respiratory depression. Visual analogue scales measured tolerance and satisfaction. A cost-effectiveness analysis was performed by using return to baseline for both activity and food intake 24 hours after the procedure as the effectiveness measure. RESULTS The groups had similar physiological outcomes and satisfaction. Patients receiving propofol had shorter recovery times (P &lt; 0.001) and a higher recovery of both baseline activity level and dietary intake 24 hours after the procedure (P = 0.028). With incremental cost-effectiveness analysis, gastroenterologist-administered propofol cost an additional $403.00 per additional patient at 100% of baseline for both activity level and food intake when compared with standard sedation and analgesia. Sensitivity analysis indicated that the only model in which propofol administration would become the dominant strategy was with its administration by a registered nurse. CONCLUSIONS Gastroenterologist-administered propofol using monitoring with capnography is similar to meperidine/midazolam for both physiological outcomes and patient/endoscopist satisfaction. Propofol leads to significantly improved recovery of baseline activity and food intake 24 hours after the procedure. Our model suggests that propofol would be more cost-effective than meperidine and midazolam for endoscopic retrograde cholangiopancreatography and endoscopic ultrasonography if registered nurse administration were possible.","author":[{"dropping-particle":"","family":"Vargo","given":"John J","non-dropping-particle":"","parse-names":false,"suffix":""},{"dropping-particle":"","family":"Zuccaro","given":"Gregory","non-dropping-particle":"","parse-names":false,"suffix":""},{"dropping-particle":"","family":"Dumot","given":"John A","non-dropping-particle":"","parse-names":false,"suffix":""},{"dropping-particle":"","family":"Shermock","given":"Kenneth M","non-dropping-particle":"","parse-names":false,"suffix":""},{"dropping-particle":"","family":"Morrow","given":"J Brad","non-dropping-particle":"","parse-names":false,"suffix":""},{"dropping-particle":"","family":"Conwell","given":"Darwin L","non-dropping-particle":"","parse-names":false,"suffix":""},{"dropping-particle":"","family":"Trolli","given":"Patricia A","non-dropping-particle":"","parse-names":false,"suffix":""},{"dropping-particle":"","family":"Maurer","given":"Walter G","non-dropping-particle":"","parse-names":false,"suffix":""}],"container-title":"Gastroenterology","id":"ITEM-1","issue":"1","issued":{"date-parts":[["2002","7"]]},"page":"8-16","title":"Gastroenterologist-administered propofol versus meperidine and midazolam for advanced upper endoscopy: a prospective, randomized trial.","type":"article-journal","volume":"123"},"uris":["http://www.mendeley.com/documents/?uuid=c340214c-818b-4f54-978d-5f7e544104bd"]},{"id":"ITEM-2","itemData":{"ISSN":"0016-5107","PMID":"12024134","abstract":"BACKGROUND Propofol is under evaluation as a sedative for endoscopic procedures. METHODS Eighty outpatients (ASA Class I or II) undergoing colonoscopy were randomized to receive either propofol or midazolam plus meperidine, administered by a nurse and supervised by an endoscopist. Endpoints were patient satisfaction, procedure and recovery times, neuropsychological function, and complications. RESULTS The mean dose of propofol administered was 218 mg; mean doses of midazolam and meperidine were, respectively, 4.7 mg and 89.7 mg. Mean time to sedation was faster in the propofol patients (2.1 min vs. 7.0 min; p &lt; 0.0001), and depth of sedation was greater (p &lt; 0.0001). On average, after the procedure, the propofol patients could stand at the bedside sooner (14.2 vs. 30.2 min), reached full recovery faster (14.4 vs. 33.0 min), and were discharged sooner (40.5 vs. 71.1 min) (all p &lt; 0.0001). Patients who received propofol also expressed greater overall mean satisfaction on a 10-point visual analog scale (9.3 vs. 8.6; p &lt; 0.05). At discharge, the propofol group had better scores on tests reflective of learning, memory, working memory span, and mental speed. Four patients in the midazolam/meperidine group developed minor complications (1 hypotension and bradycardia, 2 hypotension alone, and 1 tachycardia) and 1 patient in the propofol group had oxygen desaturation develop during an episode of epistaxis. CONCLUSION For outpatient colonoscopy, propofol administered by nurses and supervised by endoscopists has several advantages over midazolam plus meperidine and deserves additional investigation.","author":[{"dropping-particle":"","family":"Sipe","given":"Brian W","non-dropping-particle":"","parse-names":false,"suffix":""},{"dropping-particle":"","family":"Rex","given":"Douglas K","non-dropping-particle":"","parse-names":false,"suffix":""},{"dropping-particle":"","family":"Latinovich","given":"Danielle","non-dropping-particle":"","parse-names":false,"suffix":""},{"dropping-particle":"","family":"Overley","given":"Chris","non-dropping-particle":"","parse-names":false,"suffix":""},{"dropping-particle":"","family":"Kinser","given":"Karen","non-dropping-particle":"","parse-names":false,"suffix":""},{"dropping-particle":"","family":"Bratcher","given":"Lisa","non-dropping-particle":"","parse-names":false,"suffix":""},{"dropping-particle":"","family":"Kareken","given":"David","non-dropping-particle":"","parse-names":false,"suffix":""}],"container-title":"Gastrointestinal endoscopy","id":"ITEM-2","issue":"7","issued":{"date-parts":[["2002","6"]]},"page":"815-25","title":"Propofol versus midazolam/meperidine for outpatient colonoscopy: administration by nurses supervised by endoscopists.","type":"article-journal","volume":"55"},"uris":["http://www.mendeley.com/documents/?uuid=383eb004-3049-49a2-80f8-1bef0837eb9b"]},{"id":"ITEM-3","itemData":{"ISSN":"1542-3565","PMID":"15017641","abstract":"BACKGROUND &amp; AIMS Propofol is under evaluation as a sedative for endoscopic procedures. We compared nurse-administered propofol to midazolam plus fentanyl for outpatient colonoscopy. METHODS One hundred outpatients undergoing colonoscopy were randomized to receive propofol or midazolam plus fentanyl, administered by a registered nurse and supervised only by an endoscopist. Endpoints were patient satisfaction, procedure and recovery times, neuropsychologic function, and complications. RESULTS The mean dose of propofol administered was 277 mg; mean doses of midazolam and fentanyl were 7.2 mg and 117 microg, respectively. Mean time to sedation was faster with propofol (2.1 vs. 6.1 min; P&lt;0.0001), and depth of sedation was greater (P&lt;0.0001). Patients receiving propofol reached full recovery sooner (16.5 vs. 27.5 min; P=0.0001) and were discharged sooner (36.5 vs. 46.1 min; P=0.01). After recovery, the propofol group scored better on tests reflective of learning, memory, working memory span, and mental speed. Six minor complications occurred in the propofol group: 4 episodes of hypotension, 1 episode of bradycardia, and 1 rash. Five complications occurred with the use of midazolam and fentanyl: one episode of oxygen desaturation requiring mask ventilation and 4 episodes of hypotension. Patients in the propofol vs. midazolam and fentanyl groups reported similar degrees of overall satisfaction using a 10-cm visual analog scale (9.3 vs. 9.4, P&gt;0.5). CONCLUSIONS Nurse-administered propofol resulted in several advantages for outpatient colonoscopy compared with midazolam plus fentanyl, but did not improve patient satisfaction.","author":[{"dropping-particle":"","family":"Ulmer","given":"Brian J","non-dropping-particle":"","parse-names":false,"suffix":""},{"dropping-particle":"","family":"Hansen","given":"Jonathan J","non-dropping-particle":"","parse-names":false,"suffix":""},{"dropping-particle":"","family":"Overley","given":"Christine A","non-dropping-particle":"","parse-names":false,"suffix":""},{"dropping-particle":"","family":"Symms","given":"Michelle R","non-dropping-particle":"","parse-names":false,"suffix":""},{"dropping-particle":"","family":"Chadalawada","given":"Vidyasree","non-dropping-particle":"","parse-names":false,"suffix":""},{"dropping-particle":"","family":"Liangpunsakul","given":"Suthat","non-dropping-particle":"","parse-names":false,"suffix":""},{"dropping-particle":"","family":"Strahl","given":"Eloise","non-dropping-particle":"","parse-names":false,"suffix":""},{"dropping-particle":"","family":"Mendel","given":"April M","non-dropping-particle":"","parse-names":false,"suffix":""},{"dropping-particle":"","family":"Rex","given":"Douglas K","non-dropping-particle":"","parse-names":false,"suffix":""}],"container-title":"Clinical gastroenterology and hepatology : the official clinical practice journal of the American Gastroenterological Association","id":"ITEM-3","issue":"6","issued":{"date-parts":[["2003","11"]]},"page":"425-32","title":"Propofol versus midazolam/fentanyl for outpatient colonoscopy: administration by nurses supervised by endoscopists.","type":"article-journal","volume":"1"},"uris":["http://www.mendeley.com/documents/?uuid=c710fede-d934-4729-a178-1d30f3f50d3b"]},{"id":"ITEM-4","itemData":{"DOI":"10.1111/j.1572-0241.2005.41672.x","ISSN":"0002-9270","PMID":"16128939","abstract":"OBJECTIVES Adequate patient sedation is mandatory for diagnostic and therapeutic endoscopic retrograde cholangiopancreatography (ERCP). In this respect it is known that the short-acting anesthetic propofol offers certain potential advantages for sedation during ERCP, but there are no controlled studies concerning the feasibility and safety of propofol sedation in elderly, high-risk patients. METHODS One hundred and fifty consecutive patients aged &gt;or=80 yr with high comorbidity (ASA score &gt;or=III: 91 %), randomly received midazolam plus meperidine (n = 75) or propofol alone (n = 75) for sedation during ERCP. Vital signs were continuously monitored and procedure-related parameters, recovery time, and quality as well as patients' cooperation and tolerance of the procedure were assessed. RESULTS Clinically relevant changes in vital signs were observed at comparable frequencies with a temporary oxygen desaturation (&lt;90%) occurring in eight patients in the propofol-group and seven patients receiving midazolam/meperidine (n.s.). Hypotension was documented in two patients in the propofol group and one patient receiving midazolam/meperidine. Propofol provided a significantly better patient cooperation than midazolam/meperidine (p &lt; 0.01), but the procedure tolerability was rated nearly the same by both groups. Mean recovery time was significantly shorter in the propofol group (22 +/- 7 min vs 31 +/- 8 min for midazolam/meperidine (p &lt; 0.01)) while the recovery score was significantly higher under propofol (8.3 +/- 1.2 vs 6.1 +/- 1.1(p &lt; 0.01)). During recovery a significant lower number of desaturation events (&lt;90%) were observed in the propofol group (12%) than in the midazolam/meperidine group (26%, p &lt; 0.01). CONCLUSION Under careful monitoring the use of propofol for sedation during ERCP is superior to midazolam/meperidine even in high-risk octogenarians.","author":[{"dropping-particle":"","family":"Riphaus","given":"Andrea","non-dropping-particle":"","parse-names":false,"suffix":""},{"dropping-particle":"","family":"Stergiou","given":"Nikos","non-dropping-particle":"","parse-names":false,"suffix":""},{"dropping-particle":"","family":"Wehrmann","given":"Till","non-dropping-particle":"","parse-names":false,"suffix":""}],"container-title":"The American journal of gastroenterology","id":"ITEM-4","issue":"9","issued":{"date-parts":[["2005","9"]]},"page":"1957-63","title":"Sedation with propofol for routine ERCP in high-risk octogenarians: a randomized, controlled study.","type":"article-journal","volume":"100"},"uris":["http://www.mendeley.com/documents/?uuid=4b6bf2a8-80fc-46bc-accb-319f3438845e"]},{"id":"ITEM-5","itemData":{"ISSN":"1841-8724","PMID":"18836622","abstract":"BACKGROUND AND AIM ERCP generally requires longer time than standard endoscopy. Only few studies have shown benefit of intermittent propofol over conventional sedation. This study was conducted to compare satisfaction, recovery score, and recovery/safety profiles for ERCP sedation between continuous infusion of propofol and conventional sedation. PATIENTS AND METHODS One hundred thirty-four patients with ASA I-III underwent ERCP and were randomly assigned into two groups (n=67 each). Patients underwent propofol sedation or meperidine/midazolam sedation. Supplemental oxygen was offered only when oxygen saturation was lower than 90 %. Oxygen saturation, blood pressure, heart rate, recovery score, times for recovery and satisfaction score after procedure were recorded and analyzed. RESULTS Average amount of meperidine, midazolam and propofol per each patient were 61.54 (+/- 27.29), 7.80 (+/- 3.73), 299.90 (+/- 146.15) mg, respectively. Time to regain full consciousness in the propofol arm was significantly shorter than in the conventional arm (17.24 +/- 5.99 versus 34.25 +/- 16.06 min, p&lt;0.001). The rates of desaturation, bradycardia and hypotension in both arms were low and comparable. Propofol provided higher level of recovery scores at 15, 30, 45 and 60 min after the procedure (p &lt; 0.001). CONCLUSION Continuous infusion of propofol for ERCP by direction of gastroenterologist yields no difference in the completion rate and adverse profiles when compared with conventional technique but it provides a better recovery profile. The maintainance of appropriate level of sedation by well trained personnel is the key to achieve this success.","author":[{"dropping-particle":"","family":"Kongkam","given":"Pradermchai","non-dropping-particle":"","parse-names":false,"suffix":""},{"dropping-particle":"","family":"Rerknimitr","given":"Rungsun","non-dropping-particle":"","parse-names":false,"suffix":""},{"dropping-particle":"","family":"Punyathavorn","given":"Sahadol","non-dropping-particle":"","parse-names":false,"suffix":""},{"dropping-particle":"","family":"Sitthi-Amorn","given":"Chitr","non-dropping-particle":"","parse-names":false,"suffix":""},{"dropping-particle":"","family":"Ponauthai","given":"Yuwadee","non-dropping-particle":"","parse-names":false,"suffix":""},{"dropping-particle":"","family":"Prempracha","given":"Narongrit","non-dropping-particle":"","parse-names":false,"suffix":""},{"dropping-particle":"","family":"Kullavanijaya","given":"Pinit","non-dropping-particle":"","parse-names":false,"suffix":""}],"container-title":"Journal of gastrointestinal and liver diseases : JGLD","id":"ITEM-5","issue":"3","issued":{"date-parts":[["2008","9"]]},"page":"291-7","title":"Propofol infusion versus intermittent meperidine and midazolam injection for conscious sedation in ERCP.","type":"article-journal","volume":"17"},"uris":["http://www.mendeley.com/documents/?uuid=7d527544-2ed3-4897-9f03-697ec020aefb"]},{"id":"ITEM-6","itemData":{"DOI":"10.1016/j.gie.2008.02.092","ISSN":"1097-6779","PMID":"18561925","abstract":"BACKGROUND The utility of nurse-administered propofol sedation (NAPS) compared with midazolam and meperidine (M/M) for EUS is not known. OBJECTIVE To compare recovery times, costs, safety, health personnel, and patient satisfaction of NAPS and M/M for EUS. DESIGN Prospective, randomized, single-blinded trial. SETTING Tertiary-referral hospital in Indianapolis, Indiana. PATIENTS Outpatients referred for EUS. INTERVENTIONS Sedation with M/M or NAPS. The patient and recovery nurse were blinded; however, the sedating nurse, endoscopist, and recording research nurse were unblinded to the sedatives used. A capnography, in addition to standard monitoring, was used. A questionnaire and visual analog scale assessed patient, endoscopist, and sedating nurse satisfaction. MAIN OUTCOME MEASUREMENTS Recovery times, costs, safety, health personnel, and patient satisfaction in both groups. RESULTS Eighty consecutive patients were randomized to NAPS (n = 40) or M/M (n = 40). More patients in the propofol group were current tobacco users; patient demographics, procedures performed, mean procedure length, and the overall frequency of adverse events were otherwise similar. Compared with M/M, NAPS was associated with a faster induction of sedation (2.3 vs 5.7 minutes, respectively; P = .001) and full recovery time (29 vs 49 minutes, respectively; P = .001), higher postprocedure patient satisfaction, and quicker anticipated return to baseline function. At discharge, total costs (recovery plus medications) were similar between the propofol ($406) and M/M groups ($399; P = .79). LIMITATION Low-risk patient population. CONCLUSIONS Compared with M/M, NAPS for an EUS offered a faster sedation induction and full recovery time, higher postprocedure patient satisfaction, and a quicker anticipated return to baseline function. Total costs were similar between the groups.","author":[{"dropping-particle":"","family":"Dewitt","given":"John","non-dropping-particle":"","parse-names":false,"suffix":""},{"dropping-particle":"","family":"McGreevy","given":"Kathleen","non-dropping-particle":"","parse-names":false,"suffix":""},{"dropping-particle":"","family":"Sherman","given":"Stuart","non-dropping-particle":"","parse-names":false,"suffix":""},{"dropping-particle":"","family":"Imperiale","given":"Thomas F","non-dropping-particle":"","parse-names":false,"suffix":""}],"container-title":"Gastrointestinal endoscopy","id":"ITEM-6","issue":"3","issued":{"date-parts":[["2008","9"]]},"page":"499-509","title":"Nurse-administered propofol sedation compared with midazolam and meperidine for EUS: a prospective, randomized trial.","type":"article-journal","volume":"68"},"uris":["http://www.mendeley.com/documents/?uuid=0b69d5f5-90b6-4270-b011-5273c6b6be16"]},{"id":"ITEM-7","itemData":{"DOI":"10.1055/s-0028-1119671","ISSN":"1438-8812","PMID":"19340730","abstract":"BACKGROUND AND STUDY AIMS Sedation with the short-acting anesthetic agent propofol has shown several advantages, particularly in interventional endoscopy. So far, however, there are no valid data on the safety of nurse-administered propofol sedation (NAPS) during interventional endoscopy in elderly high-risk patients. PATIENTS AND METHODS A total of 150 patients aged &gt; 80 years with high comorbidity were randomized to receive midazolam plus meperidine (n = 75) or propofol alone (n = 76) for sedation during endoscopic retrograde cholangiopancreatography (ERCP), endoscopic ultrasound (EUS), or double-balloon endoscopy (DBE). Sedation was supervised by a trained nurse and a trained physician both of whom were not involved in the endoscopic procedure. Vital signs were continuously monitored as well as patient cooperation and tolerance. Mortality and morbidity at 30 days was analyzed. RESULTS The overall cardiopulmonary complication rate was 16 % in the midazolam group and 23.7 % in the propofol group ( P &gt; 0.05). The mean decline in oxygen saturation (initial vs. lowest O (2) saturation) and the mean decline of blood pressure (initial vs. lowest blood pressure) were significantly greater with propofol (7 % +/- 3 % vs. 4 % +/- 2 % [ P &lt; 0.05] and 10 % +/- 2 % vs. 8 % +/- 2 %, respectively [ P &lt; 0.05]). No procedure had to be interrupted due to serious adverse events. Patient cooperation was statistically significantly better in the propofol group (7 +/- 2 vs. 5 +/- 2 points). Patients sedated with propofol showed a significantly lower oxygen saturation rate during recovery time (8 % vs. 28 %; P &lt; or = 0.01). CONCLUSION NAPS during interventional endoscopy is as safe as midazolam/pethidine sedation even in high-risk patients aged &gt; 80 years.","author":[{"dropping-particle":"","family":"Schilling","given":"D","non-dropping-particle":"","parse-names":false,"suffix":""},{"dropping-particle":"","family":"Rosenbaum","given":"A","non-dropping-particle":"","parse-names":false,"suffix":""},{"dropping-particle":"","family":"Schweizer","given":"S","non-dropping-particle":"","parse-names":false,"suffix":""},{"dropping-particle":"","family":"Richter","given":"H","non-dropping-particle":"","parse-names":false,"suffix":""},{"dropping-particle":"","family":"Rumstadt","given":"B","non-dropping-particle":"","parse-names":false,"suffix":""}],"container-title":"Endoscopy","id":"ITEM-7","issue":"4","issued":{"date-parts":[["2009","4"]]},"page":"295-8","title":"Sedation with propofol for interventional endoscopy by trained nurses in high-risk octogenarians: a prospective, randomized, controlled study.","type":"article-journal","volume":"41"},"uris":["http://www.mendeley.com/documents/?uuid=97d807a1-77eb-4cad-a324-1172a3507c76"]},{"id":"ITEM-8","itemData":{"DOI":"10.1016/j.gie.2010.09.035","ISSN":"1097-6779","PMID":"21168838","abstract":"BACKGROUND There are few controlled studies on balanced propofol sedation (BPS) for therapeutic endoscopy. OBJECTIVE To compare the safety and efficacy of BPS (propofol in combination with midazolam and meperidine) with conventional sedation (midazolam and meperidine) in patients undergoing therapeutic endoscopic procedures. DESIGN Prospective, randomized, single-blinded study. SETTING Tertiary-care referral center. PATIENTS This study involved 222 consecutive patients undergoing therapeutic EGD or ERCP from July 2009 to March 2010. INTERVENTION Conventional sedation or BPS by trained registered nurses under endoscopist supervision. MAIN OUTCOME MEASUREMENTS Rates of sedation-related cardiopulmonary complications and interruption of the procedures, procedure-related times, and assessments of health care providers (endoscopists and sedation nurses) and patients. RESULTS There were no significant differences between the BPS and conventional groups in the rates of cardiopulmonary complications (8.8% [9/102] vs 5.8% [6/104], respectively) and transient interruption of procedures (2.9% [3/102] vs 0% [0/104], respectively). No patient required assisted ventilation or premature termination of a procedure. BPS provided significantly higher health care provider satisfaction (mean±SD 10-cm visual analog scale [VAS] score) compared with conventional sedation (endoscopists: 7.57±2.61 vs 6.55±2.99, respectively; P=.011; sedation nurses: 7.86±2.31 vs 6.67±2.90, respectively; P=.001). Patient cooperation was significantly better in the BPS group (VAS; endoscopists: 7.24±2.97 vs 6.27±3.09, P=.024; sedation nurses: 7.75±2.30 vs 6.54±2.99, P=.001). LIMITATIONS Single-center and single-blinded study. CONCLUSION Compared with conventional sedation, BPS provides higher health care provider satisfaction, better patient cooperation, and similar adverse event profiles in patients undergoing therapeutic endoscopic procedures.","author":[{"dropping-particle":"","family":"Lee","given":"Chang Kyun","non-dropping-particle":"","parse-names":false,"suffix":""},{"dropping-particle":"","family":"Lee","given":"Suck-Ho","non-dropping-particle":"","parse-names":false,"suffix":""},{"dropping-particle":"","family":"Chung","given":"Il-Kwun","non-dropping-particle":"","parse-names":false,"suffix":""},{"dropping-particle":"","family":"Lee","given":"Tae Hoon","non-dropping-particle":"","parse-names":false,"suffix":""},{"dropping-particle":"","family":"Park","given":"Sang-Heum","non-dropping-particle":"","parse-names":false,"suffix":""},{"dropping-particle":"","family":"Kim","given":"Eun-Ok","non-dropping-particle":"","parse-names":false,"suffix":""},{"dropping-particle":"","family":"Lee","given":"Sae Hwan","non-dropping-particle":"","parse-names":false,"suffix":""},{"dropping-particle":"","family":"Kim","given":"Hong-Soo","non-dropping-particle":"","parse-names":false,"suffix":""},{"dropping-particle":"","family":"Kim","given":"Sun-Joo","non-dropping-particle":"","parse-names":false,"suffix":""}],"container-title":"Gastrointestinal endoscopy","id":"ITEM-8","issue":"2","issued":{"date-parts":[["2011","2"]]},"page":"206-14","title":"Balanced propofol sedation for therapeutic GI endoscopic procedures: a prospective, randomized study.","type":"article-journal","volume":"73"},"uris":["http://www.mendeley.com/documents/?uuid=31fa4bf6-38f0-45d2-a8ed-54cea253472b"]},{"id":"ITEM-9","itemData":{"ISSN":"0300-9033","PMID":"22232999","abstract":"INTRODUCTION Medications to relief pain are more common in the everyday use during the colonoscopy practice, although schemes of medications vary. OBJECTIVE To evaluate the efficacy and the safety of propofol versus midazolam and petidhine in colonoscopy. METHOD A randomized and simple-blind controlled clinical trial was carried out. We included 512 patients who underwent a colonoscopy during the period from February 2008 to January 2009. using propofol in one group and midazolam plus petidhine in another. RESULTS Cecal intubation was achieved in 247 patients (96.5%) with propofol and in 256 patients (100%) with midazolam plus petidhine. There were no significant differences between both methods regarding to the explored colon distance. Fifty-five patients (21.5%) had complications in the group receiving midazolam plus petidhine and 3 (1.2%) in the group receiving propofol. Complications were mild in both groups. Propofol reduced the relative risk of complications in 94.6% and absolute risk in 20.3%. Patients referred the same satisfaction degree with both methods. CONCLUSIONS The use of propofol and midazolam plus petidhine is equally efficacious in the performance of the colonoscopy, while propofol is safer than midazolam plus propofol as a method of deep sedation.","author":[{"dropping-particle":"","family":"Pascual","given":"Miguel González-Carbajal","non-dropping-particle":"","parse-names":false,"suffix":""},{"dropping-particle":"","family":"Zayas Berbes","given":"Mónica","non-dropping-particle":"","parse-names":false,"suffix":""},{"dropping-particle":"","family":"Sáez Baños","given":"Milagros","non-dropping-particle":"","parse-names":false,"suffix":""},{"dropping-particle":"","family":"Abreu Vázquez","given":"María del Rosario","non-dropping-particle":"","parse-names":false,"suffix":""},{"dropping-particle":"","family":"Martínez Leyva","given":"Ludmila","non-dropping-particle":"","parse-names":false,"suffix":""}],"container-title":"Acta gastroenterologica Latinoamericana","id":"ITEM-9","issue":"3","issued":{"date-parts":[["2011","9"]]},"page":"214-20","title":"Propofol versus midazolam and pethidine in the colonoscopy realization","type":"article-journal","volume":"41"},"uris":["http://www.mendeley.com/documents/?uuid=0a87b690-c5a7-46ed-bd12-ab1c50c3952e"]},{"id":"ITEM-10","itemData":{"DOI":"10.1055/s-0031-1291421","ISSN":"1438-8812","PMID":"22068700","abstract":"BACKGROUND AND STUDY AIMS Balanced propofol sedation (BPS) combines propofol with opiates and benzodiazepines and targets at moderate sedation. Data comparing outcomes of BPS and standard sedation with opiates and benzodiazepines during elective esophagogastroduodenoscopy (EGD) are sparse. The primary end point of this study was to compare, in the recovery area, patient satisfaction with EGD following BPS versus standard sedation. PATIENTS AND METHODS Prospective, single-blinded randomized trial in 110 outpatients undergoing elective EGD and randomized 1:1 to BPS or standard sedation. Upon full recovery, the primary outcome of patient satisfaction was assessed using a 100-mm visual analogue scale (VAS) (1 = not at all satisfied, 100 = completely satisfied). Sedation recovery times and recall of pain and gagging (1 = none, 100 = severe) were also evaluated using a VAS. RESULTS The BPS and standard sedation groups were similar regarding American Society of Anesthesiologists (ASA), Mallampati class, age, sex, and body mass index (BMI). Compared with the standard sedation arm, the BPS group exhibited higher median procedural satisfaction (99 vs. 85, P &lt; 0.001), and lower median scores for recall of pain (P &lt; 0.001) and gagging (P &lt; 0.001). BPS resulted in a shorter median recovery time (min) (11 vs. 23, P &lt; 0.001). On multivariable regression analysis, predictors of patient satisfaction included use of propofol, increased age, and higher fentanyl dosage. CONCLUSIONS BPS targeted to moderate sedation by adequately trained endoscopists results in superior patient satisfaction and shorter recovery times than standard sedation alone during EGD.","author":[{"dropping-particle":"","family":"Levitzky","given":"B E","non-dropping-particle":"","parse-names":false,"suffix":""},{"dropping-particle":"","family":"Lopez","given":"R","non-dropping-particle":"","parse-names":false,"suffix":""},{"dropping-particle":"","family":"Dumot","given":"J A","non-dropping-particle":"","parse-names":false,"suffix":""},{"dropping-particle":"","family":"Vargo","given":"J J","non-dropping-particle":"","parse-names":false,"suffix":""}],"container-title":"Endoscopy","id":"ITEM-10","issue":"1","issued":{"date-parts":[["2012","1"]]},"page":"13-20","title":"Moderate sedation for elective upper endoscopy with balanced propofol versus fentanyl and midazolam alone: a randomized clinical trial.","type":"article-journal","volume":"44"},"uris":["http://www.mendeley.com/documents/?uuid=8608b52d-a56c-4dfd-8780-32445f0899fd"]},{"id":"ITEM-11","itemData":{"DOI":"10.3748/wjg.v18.i15.1814","ISSN":"2219-2840","PMID":"22553407","abstract":"AIM To compare the endomicroscopic image quality of integrated confocal laser endomicroscopy (iCLE) and sedation efficacy of propofol vs midazolam plus fentanyl (M/F). METHODS Consecutive outpatients undergoing iCLE were prospectively recruited and randomized to the propofol group (P group) or M/F group. The patient, performing endoscopist and endoscopic assistant were blinded to the randomization. The quality of endomicroscopic images and anesthetic efficacy outcomes were blindly evaluated after iCLE examination. RESULTS There were significantly more good quality endomicroscopic images in the propofol group than in the M/F group (72.75% vs 52.89%, P &lt; 0.001). The diagnostic accuracy for upper gastrointestinal mucosal lesions using confocal laser endomicroscopy favors the P group, although this did not reach statistical significance. Adverse events and patient assessment were not significantly different for M/F vs propofol except for more frequent intraprocedural recall with M/F. Procedure duration and sedation times were significantly longer in the M/F group, while the scores of endoscopist, anesthetist and assistant assessment were all significantly better in the P group. CONCLUSION Sedation with propofol might increase the proportion of good quality endomicroscopic images, and may result in improved procedural efficacy and diagnostic accuracy during iCLE examination.","author":[{"dropping-particle":"","family":"Zuo","given":"Xiu-Li","non-dropping-particle":"","parse-names":false,"suffix":""},{"dropping-particle":"","family":"Li","given":"Zhen","non-dropping-particle":"","parse-names":false,"suffix":""},{"dropping-particle":"","family":"Liu","given":"Xiao-Ping","non-dropping-particle":"","parse-names":false,"suffix":""},{"dropping-particle":"","family":"Li","given":"Chang-Qing","non-dropping-particle":"","parse-names":false,"suffix":""},{"dropping-particle":"","family":"Ji","given":"Rui","non-dropping-particle":"","parse-names":false,"suffix":""},{"dropping-particle":"","family":"Wang","given":"Peng","non-dropping-particle":"","parse-names":false,"suffix":""},{"dropping-particle":"","family":"Zhou","given":"Cheng-Jun","non-dropping-particle":"","parse-names":false,"suffix":""},{"dropping-particle":"","family":"Liu","given":"Han","non-dropping-particle":"","parse-names":false,"suffix":""},{"dropping-particle":"","family":"Li","given":"Yan-Qing","non-dropping-particle":"","parse-names":false,"suffix":""}],"container-title":"World journal of gastroenterology","id":"ITEM-11","issue":"15","issued":{"date-parts":[["2012","4","21"]]},"page":"1814-21","title":"Propofol vs midazolam plus fentanyl for upper gastrointestinal endomicroscopy: a randomized trial.","type":"article-journal","volume":"18"},"uris":["http://www.mendeley.com/documents/?uuid=22c7d44d-1793-4eb4-b91b-70f146bc971b"]},{"id":"ITEM-12","itemData":{"DOI":"10.1007/s10620-012-2234-0","ISSN":"1573-2568","PMID":"22615018","abstract":"BACKGROUND Prolonged or complex endoscopic procedures are frequently performed under deep sedation. However, no studies of therapeutic ERCP have yet compared the use of balanced propofol sedation (BPS) to propofol alone, titrated to moderate levels of sedation. AIM This prospective, randomized, double-blind study was planned to compare the sedation efficacy and safety of BPS (propofol in combination with midazolam and fentanyl) and propofol monosedation in therapeutic ERCP and EUS. METHODS BPS, or propofol monosedation titrated to a moderate level of sedation, was performed by trained registered nurses under endoscopist supervision. The main outcome measurements included sedation efficacy focusing on recovery time, sedation safety, endoscopic procedure outcomes, and complications. RESULTS There were no significant differences in sedation efficacy, safety, procedure outcomes, and complications, with the exception of recovery time. Mean recovery time (standard deviation) was 18.37 (7.86) min in BPS and 13.4 (6.24) min in propofol monosedation (P &lt; 0.001). In a safety analysis, cardiopulmonary complication rates related to BPS and propofol monosedation were 7.8 % (8/102) and 9.6 % (10/104), respectively (P = 0.652). No patient required assisted ventilation or permanent termination of a procedure in either group. Technical success of the endoscopic procedures was 96.3 and 97.2 %, respectively (P = 0.701). Endoscopic procedure-related complications and outcomes did not differ depending on sedation procedure. CONCLUSIONS Propofol monosedation by trained, registered sedation nurses under supervision resulted in a more rapid recovery time than BPS. There were no differences in the sedation safety, endoscopic procedure outcomes, and complications between BPS and propofol monosedation.","author":[{"dropping-particle":"","family":"Lee","given":"Tae Hoon","non-dropping-particle":"","parse-names":false,"suffix":""},{"dropping-particle":"","family":"Lee","given":"Chang Kyun","non-dropping-particle":"","parse-names":false,"suffix":""},{"dropping-particle":"","family":"Park","given":"Sang-Heum","non-dropping-particle":"","parse-names":false,"suffix":""},{"dropping-particle":"","family":"Lee","given":"Suck-Ho","non-dropping-particle":"","parse-names":false,"suffix":""},{"dropping-particle":"","family":"Chung","given":"Il-Kwun","non-dropping-particle":"","parse-names":false,"suffix":""},{"dropping-particle":"","family":"Choi","given":"Hyun Jong","non-dropping-particle":"","parse-names":false,"suffix":""},{"dropping-particle":"","family":"Cha","given":"Sang Woo","non-dropping-particle":"","parse-names":false,"suffix":""},{"dropping-particle":"","family":"Moon","given":"Jong Ho","non-dropping-particle":"","parse-names":false,"suffix":""},{"dropping-particle":"","family":"Cho","given":"Young Deok","non-dropping-particle":"","parse-names":false,"suffix":""},{"dropping-particle":"","family":"Hwangbo","given":"Young","non-dropping-particle":"","parse-names":false,"suffix":""},{"dropping-particle":"","family":"Kim","given":"Sun-Joo","non-dropping-particle":"","parse-names":false,"suffix":""}],"container-title":"Digestive diseases and sciences","id":"ITEM-12","issue":"8","issued":{"date-parts":[["2012","8"]]},"page":"2113-21","title":"Balanced propofol sedation versus propofol monosedation in therapeutic pancreaticobiliary endoscopic procedures.","type":"article-journal","volume":"57"},"uris":["http://www.mendeley.com/documents/?uuid=e80f17f9-f3af-4507-a51d-eb5bb4ad1c00"]},{"id":"ITEM-13","itemData":{"DOI":"10.1186/1471-2253-12-20","ISSN":"1471-2253","PMID":"22873637","abstract":"BACKGROUND ERCP practically requires moderate to deep sedation controlled by a combination of benzodiazepine and opiod. Propofol as a sole agent may cause oversedation. A combination (cocktail) of infused propofol, meperidine, and midazolam can reduce the dosage of propofol and we hypothesized that it might decrease the risk of oversedation. We prospectively compare the efficacy, recovery time, patient satisfactory, and side effects between cocktail and conventional sedations in patients undergoing ERCP. METHODS ERCP patients were randomized into 2 groups; the cocktail group (n = 103) and the controls (n = 102). For induction, a combination of 25 mg of meperidine and 2.5 mg of midazolam were administered in both groups. In the cocktail group, a bolus dose of propofol 1 mg/kg was administered and continuously infused. In the controls, 25 mg of meperidine or 2.5 mg/kg of midazolam were titrated to maintain the level of sedation. RESULTS In the cocktail group, the average administration rate of propofol was 6.2 mg/kg/hr. In the control group; average weight base dosage of meperidine and midazolam were 1.03 mg/kg and 0.12 mg/kg, respectively. Recovery times and patients' satisfaction scores in the cocktail and control groups were 9.67 minutes and 12.89 minutes (P = 0.045), 93.1and 87.6 (P &lt;0.001), respectively. Desaturation rates in the cocktail and conventional groups were 58.3% and 31.4% (P &lt;0.001), respectively. All desaturations were corrected with temporary oxygen supplementation without the need for scope removal. CONCLUSIONS Cocktail sedation containing propofol provides faster recovery time and better patients' satisfaction for patients undergoing ERCP. However, mild degree of desaturation may still develop. TRIAL REGISTRATION ClinicalTrials.gov, NCT01540084.","author":[{"dropping-particle":"","family":"Angsuwatcharakon","given":"Phonthep","non-dropping-particle":"","parse-names":false,"suffix":""},{"dropping-particle":"","family":"Rerknimitr","given":"Rungsun","non-dropping-particle":"","parse-names":false,"suffix":""},{"dropping-particle":"","family":"Ridtitid","given":"Wiriyaporn","non-dropping-particle":"","parse-names":false,"suffix":""},{"dropping-particle":"","family":"Kongkam","given":"Pradermchai","non-dropping-particle":"","parse-names":false,"suffix":""},{"dropping-particle":"","family":"Poonyathawon","given":"Sahadol","non-dropping-particle":"","parse-names":false,"suffix":""},{"dropping-particle":"","family":"Ponauthai","given":"Yuwadee","non-dropping-particle":"","parse-names":false,"suffix":""},{"dropping-particle":"","family":"Sumdin","given":"Sakolkan","non-dropping-particle":"","parse-names":false,"suffix":""},{"dropping-particle":"","family":"Kullavanijaya","given":"Pinit","non-dropping-particle":"","parse-names":false,"suffix":""}],"container-title":"BMC anesthesiology","id":"ITEM-13","issued":{"date-parts":[["2012","8","9"]]},"page":"20","title":"Cocktail sedation containing propofol versus conventional sedation for ERCP: a prospective, randomized controlled study.","type":"article-journal","volume":"12"},"uris":["http://www.mendeley.com/documents/?uuid=7bdf05be-9f69-4a40-8e62-faf1e2b67661"]},{"id":"ITEM-14","itemData":{"DOI":"10.5009/gnl.2012.6.4.464","ISSN":"2005-1212","PMID":"23170151","abstract":"BACKGROUND/AIMS Endoscopic submucosal dissection (ESD) is accepted as a treatment for gastric neoplasms and usually requires deep sedation. The aim of this study was to evaluate the safety and efficacy profiles of deep sedation induced by continuous propofol infusion with or without midazolam during ESD. METHODS A total of 135 patients scheduled for ESDs between December 2008 and June 2010 were included in this prospective study and were randomly assigned to one of two groups: the propofol group or the combination group (propofol plus midazolam). RESULTS The propofol group reported only one case of severe hypoxemia with no need of mask ventilation or intubation. Additionally, 18 cases of mild hypotension were observed in the propofol group, and 11 cases were observed in the combination group. The combination group had a lower mean total propofol dose (378 mg vs 466 mg, p&lt;0.012), a longer mean recovery time (10.5 minutes vs 7.9 minutes, p=0.027), and a lower frequency of overall adverse events (32.8% vs 17.6%, p=0.042). CONCLUSIONS Deep sedation induced by continuous propofol infusion was shown to be safe during ESD. The combination of continuous propofol infusion and intermittent midazolam injection can decrease the total dose and infusion rate of propofol and the overall occurrence of adverse events.","author":[{"dropping-particle":"","family":"Chun","given":"Seung Yeon","non-dropping-particle":"","parse-names":false,"suffix":""},{"dropping-particle":"","family":"Kim","given":"Kyoung Oh","non-dropping-particle":"","parse-names":false,"suffix":""},{"dropping-particle":"","family":"Park","given":"Dong Seon","non-dropping-particle":"","parse-names":false,"suffix":""},{"dropping-particle":"","family":"Kim","given":"Seong Yeol","non-dropping-particle":"","parse-names":false,"suffix":""},{"dropping-particle":"","family":"Park","given":"Ji Won","non-dropping-particle":"","parse-names":false,"suffix":""},{"dropping-particle":"","family":"Baek","given":"Il Hyun","non-dropping-particle":"","parse-names":false,"suffix":""},{"dropping-particle":"","family":"Kim","given":"Jong Hyeok","non-dropping-particle":"","parse-names":false,"suffix":""},{"dropping-particle":"","family":"Park","given":"Choong Kee","non-dropping-particle":"","parse-names":false,"suffix":""}],"container-title":"Gut and liver","id":"ITEM-14","issue":"4","issued":{"date-parts":[["2012","10"]]},"page":"464-70","title":"Safety and efficacy of deep sedation with propofol alone or combined with midazolam administrated by nonanesthesiologist for gastric endoscopic submucosal dissection.","type":"article-journal","volume":"6"},"uris":["http://www.mendeley.com/documents/?uuid=d1c68a35-b76f-41e5-b685-8bfa51a96ab9"]},{"id":"ITEM-15","itemData":{"DOI":"10.1111/1751-2980.12101","ISSN":"1751-2980","PMID":"24106806","abstract":"OBJECTIVE To investigate whether target-controlled infusion (TCI) with propofol, a method that has theoretically better control of drug concentration, produces less cardiovascular and respiratory suppression than an intermittent bolus of a sedative cocktail regimen in deep sedation for gastrointestinal endoscopy. METHODS In total 100 participants who had undergone esophagoduodenoscopy (EGD) and 120 who had undergone colonoscopy were prospectively and randomly enrolled to receive TCI with propofol or intermittent bolus of cocktail regimen containing midazolam, alfentanil and propofol until they were unresponsive to verbal commands. The target concentration was adjusted and the bolus of the cocktail regimen was added based on their responses. The nadir values of heart rate, blood pressure and oxygen saturation during and after the procedure were recorded. RESULTS The nadir systolic blood pressure during the endoscopy in the cocktail regimen group was significantly lower than that in the TCI with propofol group. In the cocktail regimen group, the incidence of hypotension during colonoscopy and that of bradycardia during EGD were higher than those in the TCI with propofol group. No participants in the TCI with propofol group experienced hypoxia during endoscopy. In the cocktail regimen group, six participants who had undergone EGD and six who had undergone colonoscopy showed transient hypoxic episodes during or after endoscopy. CONCLUSION TCI with propofol produced less cardiovascular and respiratory suppression than intermittent bolus of a sedative cocktail regimen in deep sedation for gastrointestinal endoscopy.","author":[{"dropping-particle":"","family":"Chan","given":"Wei-Hung","non-dropping-particle":"","parse-names":false,"suffix":""},{"dropping-particle":"","family":"Chang","given":"Shih-Lun","non-dropping-particle":"","parse-names":false,"suffix":""},{"dropping-particle":"","family":"Lin","given":"Ching-Shuan","non-dropping-particle":"","parse-names":false,"suffix":""},{"dropping-particle":"","family":"Chen","given":"Mei-Jyh","non-dropping-particle":"","parse-names":false,"suffix":""},{"dropping-particle":"","family":"Fan","given":"Shou-Zen","non-dropping-particle":"","parse-names":false,"suffix":""}],"container-title":"Journal of digestive diseases","id":"ITEM-15","issue":"1","issued":{"date-parts":[["2014","1"]]},"page":"18-26","title":"Target-controlled infusion of propofol versus intermittent bolus of a sedative cocktail regimen in deep sedation for gastrointestinal endoscopy: comparison of cardiovascular and respiratory parameters.","type":"article-journal","volume":"15"},"uris":["http://www.mendeley.com/documents/?uuid=80edd978-9398-4cc8-8efb-8bc57a860883"]},{"id":"ITEM-16","itemData":{"DOI":"10.5812/ircmj.19329","ISSN":"2074-1804","PMID":"25763217","abstract":"BACKGROUND Different levels of pharmacological sedation ranging from minimal to general anesthesia are often used to increase patient tolerance for a successful colonoscopy. However, sedation increases the risk of respiratory depression and cardiovascular complications during colonoscopy. OBJECTIVES We aimed to compare the propofol and midazolam/meperidine sedation methods for colonoscopy procedures with respect to cardiopulmonary safety, procedure-related times, and patient satisfaction. PATIENTS AND METHODS This was a prospective, randomized, double-blinded study, in which 124 consecutive patients undergoing elective outpatient diagnostic colonoscopies were divided into propofol and midazolam/meperidine sedation groups (n: 62, m/f ratio: 26/36, mean age: 46 ± 15 for the propofol group; n: 62, m/f ratio: 28/34, mean age: 49 ± 15 for the midazolam/meperidine group) by computer-generated randomization. The frequency of cardiopulmonary events (hypotension, bradycardia, hypoxemia), procedure-related times (duration of colonoscopy, time to cecal intubation, time to ileal intubation, awakening time, and time to hospital discharge) and patients' evaluation results (pain assessment, quality of sedation, and recollection of procedure) were compared between the groups. RESULTS There were no statistically significant differences between the two groups with respect to demographic and clinical characteristics of the patients, the frequency of hypotension, hypoxemia or bradycardia, cecal and ileal intubation times, and the duration of colonoscopy. The logistic regression analysis indicated that the development of cardiopulmonary events was not associated with the sedative agent used or the characteristics of the patients. The time required for the patient to be fully awake and the time to hospital discharge was significantly longer in the propofol group (11 ± 8 and 37 ± 11 minutes, respectively) than the midazolam/meperidine group (8 ± 6 and 29 ± 12 minutes, respectively) (P = 0.009 and P &lt; 0.001, respectively). The patient satisfaction rates were not significantly different between the groups; however, patients in the propofol group experienced more pain than patients in the midazolam/meperidine group (VAS score: 0.31 ± 0.76 vs. 0 ± 0; P = 0.002). CONCLUSIONS Midazolam/meperidine and propofol sedation for colonoscopy have similar cardiopulmonary safety profiles and patient satisfaction levels. Midazolam/meperidine can be preferred to propofol sedation due to a shor…","author":[{"dropping-particle":"","family":"Gurbulak","given":"Bunyamin","non-dropping-particle":"","parse-names":false,"suffix":""},{"dropping-particle":"","family":"Uzman","given":"Sinan","non-dropping-particle":"","parse-names":false,"suffix":""},{"dropping-particle":"","family":"Kabul Gurbulak","given":"Esin","non-dropping-particle":"","parse-names":false,"suffix":""},{"dropping-particle":"","family":"Gul","given":"Yasar Gokhan","non-dropping-particle":"","parse-names":false,"suffix":""},{"dropping-particle":"","family":"Toptas","given":"Mehmet","non-dropping-particle":"","parse-names":false,"suffix":""},{"dropping-particle":"","family":"Baltali","given":"Sevim","non-dropping-particle":"","parse-names":false,"suffix":""},{"dropping-particle":"","family":"Anil Savas","given":"Osman","non-dropping-particle":"","parse-names":false,"suffix":""}],"container-title":"Iranian Red Crescent medical journal","id":"ITEM-16","issue":"11","issued":{"date-parts":[["2014","11"]]},"page":"e19329","title":"Cardiopulmonary safety of propofol versus midazolam/meperidine sedation for colonoscopy: a prospective, randomized, double-blinded study.","type":"article-journal","volume":"16"},"uris":["http://www.mendeley.com/documents/?uuid=ad78eb03-805e-4c29-abf7-0b47abdfcea9"]},{"id":"ITEM-17","itemData":{"DOI":"10.1155/2015/465465","ISSN":"2314-6141","PMID":"26576424","abstract":"INTRODUCTION Using single anesthetic agent in endoscopic retrograde cholangiopancreatography (ERCP) may lead to inadequate analgesia and sedation. To achieve the adequate analgesia and sedation the single anesthetic agent doses must be increased which causes undesirable side effects. For avoiding high doses of single anesthetic agent nowadays combination with sedative agents is mostly a choice for analgesia and sedation for ERCP. AIM The aim of this study is to investigate the effects of propofol alone, propofol + remifentanil, and propofol + fentanyl combinations on the total dose of propofol to be administered during ERCP and on the pain scores after the process. MATERIALS AND METHOD This randomized study was performed with 90 patients (ASA I-II-III) ranging between 18 and 70 years of age who underwent sedation/analgesia for elective ERCP. The patients were administered only propofol (1.5 mg/kg) in Group Ι, remifentanil (0.05 μg/kg) + propofol (1.5 mg/kg) combination in Group II, and fentanyl (1 μg/kg) + propofol (1.5 mg/kg) combination in Group III. All the patients' sedation levels were assessed with the Ramsey Sedation Scale (RSS). Their recovery was assessed with the Aldrete and Numerical Rating Scale Score (NRS) at 10 min intervals. RESULTS The total doses of propofol administered to the patients in the three groups in this study were as follows: 375 mg in Group I, 150 mg in Group II, and 245 mg in Group III. CONCLUSION It was observed that, in the patients undergoing ERCP, administration of propofol in combination with an opioid provided effective and reliable sedation, reduced the total dose of propofol, increased the practitioner satisfaction, decreased the pain level, and provided hemodynamic stability compared to the administration of propofol alone.","author":[{"dropping-particle":"","family":"Haytural","given":"Candan","non-dropping-particle":"","parse-names":false,"suffix":""},{"dropping-particle":"","family":"Aydınlı","given":"Bahar","non-dropping-particle":"","parse-names":false,"suffix":""},{"dropping-particle":"","family":"Demir","given":"Berna","non-dropping-particle":"","parse-names":false,"suffix":""},{"dropping-particle":"","family":"Bozkurt","given":"Elif","non-dropping-particle":"","parse-names":false,"suffix":""},{"dropping-particle":"","family":"Parlak","given":"Erkan","non-dropping-particle":"","parse-names":false,"suffix":""},{"dropping-particle":"","family":"Dişibeyaz","given":"Selçuk","non-dropping-particle":"","parse-names":false,"suffix":""},{"dropping-particle":"","family":"Saraç","given":"Ahmet","non-dropping-particle":"","parse-names":false,"suffix":""},{"dropping-particle":"","family":"Özgök","given":"Ayşegül","non-dropping-particle":"","parse-names":false,"suffix":""},{"dropping-particle":"","family":"Kazancı","given":"Dilek","non-dropping-particle":"","parse-names":false,"suffix":""}],"container-title":"BioMed research international","id":"ITEM-17","issued":{"date-parts":[["2015"]]},"page":"465465","title":"Comparison of Propofol, Propofol-Remifentanil, and Propofol-Fentanyl Administrations with Each Other Used for the Sedation of Patients to Undergo ERCP.","type":"article-journal","volume":"2015"},"uris":["http://www.mendeley.com/documents/?uuid=6d000a65-6cb9-4672-b043-7f58368b2b10"]},{"id":"ITEM-18","itemData":{"DOI":"10.1016/j.kjms.2015.09.004","ISSN":"2410-8650","PMID":"26678938","abstract":"Gastrointestinal (GI) endoscopy is the major technique for diagnosis of GI disease and treatment. Various sedation and analgesia regimens such as midazolam, fentanyl, and propofol can be used during GI endoscopy. The purpose of the study was to compare propofol alone and propofol combination with midazolam and fentanyl in moderate sedation for GI endoscopy. One hundred patients undergoing GI endoscopy were enrolled in this study. All patients received a propofol target-controlled infusion (TCI) to maintain sedation during the procedure. Patients were randomly allocated into either Group P (propofol TCI alone) or Group C (combination of propofol TCI plus midazolam and fentanyl). Dermographic data, anesthetic parameters (sedation regimen, blood pressure, heart rate, and oxygen saturation), procedure parameters (procedure time, colonoscopy, or panendoscopy), propofol consumption, and adverse events (hypoxia, hypotension, and bradycardia) were all recorded. Postprocedural records included recovery time, postoperative adverse events (nausea, vomiting, dizziness, recall, and pain) and satisfaction. The average propofol consumption was 251 ± 83 mg in Group P and 159 ± 73 mg in Group C (p &lt; 0.001). The incidence of transient hypotension was higher in Group P (p = 0.009). The recovery time and discharge time were both shorter in Group C (p &lt; 0.001 and p = 0.006 respectively). Overall, postprocedural adverse events were similar in both groups. The postanesthetic satisfaction was comparable in both groups. TCI of propofol combined with midazolam and fentanyl achieved sedation with fewer hypotension episodes and shorter recovery and discharge time than propofol TCI alone in patients undergoing GI endoscopy.","author":[{"dropping-particle":"","family":"Hsu","given":"Chiung-Dan","non-dropping-particle":"","parse-names":false,"suffix":""},{"dropping-particle":"","family":"Huang","given":"Jui-Mei","non-dropping-particle":"","parse-names":false,"suffix":""},{"dropping-particle":"","family":"Chuang","given":"Ya-Ping","non-dropping-particle":"","parse-names":false,"suffix":""},{"dropping-particle":"","family":"Wei","given":"Hua-Yi","non-dropping-particle":"","parse-names":false,"suffix":""},{"dropping-particle":"","family":"Su","given":"Yu-Chung","non-dropping-particle":"","parse-names":false,"suffix":""},{"dropping-particle":"","family":"Wu","given":"Jeng-Yih","non-dropping-particle":"","parse-names":false,"suffix":""},{"dropping-particle":"","family":"Wang","given":"Wen-Ming","non-dropping-particle":"","parse-names":false,"suffix":""},{"dropping-particle":"","family":"Hsu","given":"Hung-Te","non-dropping-particle":"","parse-names":false,"suffix":""},{"dropping-particle":"","family":"Huang","given":"Hui-Fang","non-dropping-particle":"","parse-names":false,"suffix":""},{"dropping-particle":"","family":"Lu","given":"I-Cheng","non-dropping-particle":"","parse-names":false,"suffix":""},{"dropping-particle":"","family":"Lu","given":"David Vi","non-dropping-particle":"","parse-names":false,"suffix":""}],"container-title":"The Kaohsiung journal of medical sciences","id":"ITEM-18","issue":"11","issued":{"date-parts":[["2015","11"]]},"page":"580-4","title":"Propofol target-controlled infusion for sedated gastrointestinal endoscopy: A comparison of propofol alone versus propofol-fentanyl-midazolam.","type":"article-journal","volume":"31"},"uris":["http://www.mendeley.com/documents/?uuid=8b815fb8-255c-421a-85e3-69bb2fe9fe6a"]},{"id":"ITEM-19","itemData":{"DOI":"10.1097/DCR.0000000000000512","ISSN":"1530-0358","PMID":"26651114","abstract":"BACKGROUND Common sedation options for colonoscopy include propofol alone or a combination of midazolam and fentanyl. The former usually requires the presence of an anesthesia caregiver. The strategy that optimizes patient satisfaction has not yet been determined. OBJECTIVE This study was designed to assess whether patient satisfaction at the time of colonoscopy is equivalent for propofol compared with midazolam and fentanyl. DESIGN In this prospective, single-center, parallel group, single-blind, randomized, equivalence trial (NCT-01488045), 262 patients blinded to treatment received propofol (n = 126) or midazolam plus fentanyl (n = 136) at the time of colonoscopy. A patient satisfaction survey was administered in the recovery room and 1 to 5 days postprocedure. The endoscopist completed a survey immediately postprocedure. SETTINGS This study was conducted at a tertiary academic hospital with a dedicated colon and rectal surgery division. PATIENTS Patients over the age of 18 years who were undergoing elective colonoscopy were included in this study. MAIN OUTCOME MEASURES The primary outcome was patient satisfaction with the colonoscopy. Secondary outcomes included physician and patient perception of patient pain, physician perception of patient tolerance of and difficulty of procedure, procedure duration, percentage of patients with cecal intubation, recovery time, and adverse events. RESULTS Patient overall satisfaction scores in the recovery room after using the combination of midazolam and fentanyl (n = 136) during colonoscopy were not equivalent to patient satisfaction scores after using propofol (n = 126) alone (mean = 83.9 and 98.0 visual analog scale points) because the 90% CI (-18.5 to -9.6) for the mean treatment difference (-14.1) was completely outside the prespecified range of equivalence (±5 visual analog scale points). Patient pain as reported by the patient and as perceived by the physician and difficulty of the procedure were significantly worse for the midazolam/fentanyl group (n = 136) compared with the propofol group (n = 126). Time in the colonoscopy suite was significantly shorter for the propofol group, but the difference was small (4 minutes). There were no significant differences in percentage with cecal intubation, recovery time, or adverse events. LIMITATIONS This is a single-institution, single-endoscopist study and is limited by the inability to perform blinding of the endoscopist. CONCLUSIONS The use of propofol for consci…","author":[{"dropping-particle":"","family":"Schroeder","given":"Caleb","non-dropping-particle":"","parse-names":false,"suffix":""},{"dropping-particle":"","family":"Kaoutzanis","given":"Christodoulos","non-dropping-particle":"","parse-names":false,"suffix":""},{"dropping-particle":"","family":"Tocco-Bradley","given":"Rosalie","non-dropping-particle":"","parse-names":false,"suffix":""},{"dropping-particle":"","family":"Obear","given":"Janet","non-dropping-particle":"","parse-names":false,"suffix":""},{"dropping-particle":"","family":"Welch","given":"Kathleen B","non-dropping-particle":"","parse-names":false,"suffix":""},{"dropping-particle":"","family":"Winter","given":"Suzanne","non-dropping-particle":"","parse-names":false,"suffix":""},{"dropping-particle":"","family":"Cleary","given":"Robert K","non-dropping-particle":"","parse-names":false,"suffix":""}],"container-title":"Diseases of the colon and rectum","id":"ITEM-19","issue":"1","issued":{"date-parts":[["2016","1"]]},"page":"62-69","title":"Patients Prefer Propofol to Midazolam Plus Fentanyl for Sedation for Colonoscopy: Results of a Single-Center Randomized Equivalence Trial.","type":"article-journal","volume":"59"},"uris":["http://www.mendeley.com/documents/?uuid=c21efbc9-a1fe-416a-bd41-73b248d5221f"]},{"id":"ITEM-20","itemData":{"DOI":"10.1186/s12871-016-0189-y","ISSN":"1471-2253","PMID":"27106691","abstract":"BACKGROUND Propofol and fentanyl are the most widely administered anesthesia maintaining drugs during colonoscopy. In this study, we determined the median effective concentration (EC50) of propofol required for colonoscopy in elderly patients, and the purpose of this study was to describe the pharmacodynamic interaction between fentanyl and propofol when used in combination for colonoscopy in elderly patients. METHODS Ninety elderly patients scheduled for colonoscopy were allocated into three groups in a randomized, double-blinded manner as below, F0.5 group (0.5 μg.kg(-1) fentanyl), F1.0 group (1.0 μg.kg(-1) fentanyl) and saline control group. Anaesthesia was achieved by target-controlled infusion of propofol (Marsh model, with an initial plasma concentration of 2.0 μg.ml(-1)) and fentanyl. Colonoscopy was started 3 min after the injection of fentanyl. The EC50 of propofol for colonoscopy with different doses of fentanyl was measured by using an up-and-down sequential method with an adjacent concentration gradient at 0.5 μg.ml(-1) to inhibit purposeful movements. Anaesthesia associated adverse events and recovery characters were also recorded. RESULTS The EC50 of propofol for colonoscopy in elderly patients were 2.75 μg.ml(-1) (95% CI, 2.50-3.02 μg.ml(-1)) in F0.5 group, 2.05 μg.ml(-1) (95% CI, 1.98-2.13 μg.ml(-1)) in F1.0 group and 3.08 μg.ml(-1) (95% CI, 2.78-3.42 μg.ml(-1)) in control group respectively (P &lt; 0.05). Patients in the F1.0 group had a significantly longer awake time and length of hospital stay than those in control group (P &lt; 0.05). CONCLUSION Increasing doses of fentanyl up to 1.0 μg.kg(-1) reduces the propofol EC50 required for elderly patients undergoing colonoscopy, and there was no significant difference in anaesthesia associated adverse events but prolonged awake and discharge time. TRIAL REGISTRATION Chinese Clinical Trial Registry ChiCTR15006368. Date of registration: May 3, 2015.","author":[{"dropping-particle":"","family":"Li","given":"Shiyang","non-dropping-particle":"","parse-names":false,"suffix":""},{"dropping-particle":"","family":"Yu","given":"Fang","non-dropping-particle":"","parse-names":false,"suffix":""},{"dropping-particle":"","family":"Zhu","given":"Huichen","non-dropping-particle":"","parse-names":false,"suffix":""},{"dropping-particle":"","family":"Yang","given":"Yuting","non-dropping-particle":"","parse-names":false,"suffix":""},{"dropping-particle":"","family":"Yang","given":"Liqun","non-dropping-particle":"","parse-names":false,"suffix":""},{"dropping-particle":"","family":"Lian","given":"Jianfeng","non-dropping-particle":"","parse-names":false,"suffix":""}],"container-title":"BMC anesthesiology","id":"ITEM-20","issued":{"date-parts":[["2016","4","21"]]},"page":"24","title":"The median effective concentration (EC50) of propofol with different doses of fentanyl during colonoscopy in elderly patients.","type":"article-journal","volume":"16"},"uris":["http://www.mendeley.com/documents/?uuid=2a0bdc72-1cdb-4335-bf84-52eac04b3f26"]},{"id":"ITEM-21","itemData":{"ISSN":"0269-2813","PMID":"10971238","abstract":"AIM Adequate patient sedation is mandatory for most interventional endoscopic procedures. Recent anaesthesiologic studies indicates that propofol and midazolam act synergistically in combination and therefore may be superior to sedation with propofol alone in terms of sedation efficacy, recovery and costs (due to a presumed lower total dose of propofol needed). METHODS A total of 239 consecutive patients undergoing therapeutic EGD or ERCP (EGD/ERCP-ratio, 1:1) randomly received either propofol alone (n=120, group A, loading dose 40-60 mg intravenously, followed by repeated doses of 20 mg) or propofol plus midazolam (n=119, group B, initial midazolam dose of 2. 5-3.5 mg intravenously, followed by repeated doses of 20 mg of propofol) for sedation. Vital signs (heart rate, blood pressure, oxygen saturation, electrocardiogram) were continuously monitored. Procedure-related parameters, the recovery time and quality (post-anaesthesia recovery score) as well as the patient's co-operation and tolerance to the procedure (visual analogue scale) were prospectively assessed. RESULTS Patients of group A and B were well matched with respect to demographic and clinical data, endoscopic findings, and the type of associated procedures. In group A, a mean dose of 0.25 +/- 0.13 mg.min/kg propofol was used compared to 0.20 +/- 0.09 mg.min/kg of propofol in group B (P &lt; 0.01, plus additional 2.9 +/- 0.5 mg of midazolam). Clinically relevant changes in vital signs were observed at comparable frequencies with a lowering of the systolic blood pressure &lt; 90 mmHg in six out of 119 patients in group B and one out of 120 patients in group A (P=0.07). The sedation efficacy was rated similarly in both groups, whereas the mean recovery time (group A, 19 +/- 7 min vs. group B, 25 +/- 8 min, P &lt; 0.05) as well as the recovery score (post-anaesthesia recovery score group A, 8.0 +/- 1.1 vs. post-anaesthesia recovery score group B, 7.3 +/- 1.2, P &lt; 0.001) were significantly better with propofol alone than with propofol plus midazolam. CONCLUSION During therapeutic endoscopy, sedation with propofol and midazolam requires a lower total dose of propofol, but otherwise has no superior sedation efficacy and is associated with a slower post-procedure recovery than sedation with propofol alone.","author":[{"dropping-particle":"","family":"Seifert","given":"H","non-dropping-particle":"","parse-names":false,"suffix":""},{"dropping-particle":"","family":"Schmitt","given":"T H","non-dropping-particle":"","parse-names":false,"suffix":""},{"dropping-particle":"","family":"Gültekin","given":"T","non-dropping-particle":"","parse-names":false,"suffix":""},{"dropping-particle":"","family":"Caspary","given":"W F","non-dropping-particle":"","parse-names":false,"suffix":""},{"dropping-particle":"","family":"Wehrmann","given":"T","non-dropping-particle":"","parse-names":false,"suffix":""}],"container-title":"Alimentary pharmacology &amp; therapeutics","id":"ITEM-21","issue":"9","issued":{"date-parts":[["2000","9"]]},"page":"1207-14","title":"Sedation with propofol plus midazolam versus propofol alone for interventional endoscopic procedures: a prospective, randomized study.","type":"article-journal","volume":"14"},"uris":["http://www.mendeley.com/documents/?uuid=481e0c3b-ba85-4660-9f17-2aea9fbaf0be"]},{"id":"ITEM-22","itemData":{"DOI":"10.1111/j.1572-0241.2006.00760.x","ISSN":"0002-9270","PMID":"17032185","abstract":"BACKGROUND Propofol by nonanesthesiologists is controversial because the drug is commonly used to produce deep sedation or general anesthesia. Propofol in combination with opioids and/or benzodiazepines can be titrated to moderate sedation, which might be safer. AIM To compare recovery time, patient satisfaction, and other end points with propofol alone titrated to deep sedation versus propofol combination therapy with opioids and/or benzodiazepines. METHOD A randomized controlled clinical trial of propofol alone titrated to deep sedation versus fentanyl plus propofol versus midazolam plus propofol versus fentanyl plus midazolam plus propofol in 200 outpatients undergoing colonoscopy. Each combination regimen was titrated to moderate sedation. RESULTS Patients receiving propofol alone received higher doses of propofol and had deeper sedation scores compared with combination therapy (both p &lt; 0.001). Patients receiving combination regimens were discharged more quickly (median 13.0-14.7 versus 18.1 min) than those receiving propofol alone (p &lt; 0.01). There were no differences in vital signs or oxygen saturations among the study arms. There were no significant differences in pain or satisfaction among the study arms in the recovery area. At a follow-up phone call, patients receiving fentanyl and propofol remembered more of the procedure than those in the other regimens (p &lt; 0.005) and remembered more pain than those receiving propofol alone (p &lt; 0.02). CONCLUSIONS Propofol in combination with fentanyl and/or midazolam can be titrated to moderate levels of sedation without substantial loss of satisfaction and with shorter recovery times compared with propofol titrated to deep sedation throughout the procedure.","author":[{"dropping-particle":"","family":"VanNatta","given":"Megan E","non-dropping-particle":"","parse-names":false,"suffix":""},{"dropping-particle":"","family":"Rex","given":"Douglas K","non-dropping-particle":"","parse-names":false,"suffix":""}],"container-title":"The American journal of gastroenterology","id":"ITEM-22","issue":"10","issued":{"date-parts":[["2006","10"]]},"page":"2209-17","title":"Propofol alone titrated to deep sedation versus propofol in combination with opioids and/or benzodiazepines and titrated to moderate sedation for colonoscopy.","type":"article-journal","volume":"101"},"uris":["http://www.mendeley.com/documents/?uuid=6743418f-eff0-4e5f-ab2d-30bc4395eb8d"]},{"id":"ITEM-23","itemData":{"DOI":"10.1016/j.dld.2006.09.004","ISSN":"1590-8658","PMID":"17049322","abstract":"BACKGROUND It has been speculated that midazolam may be effective in reducing the required dose of propofol during sedation. AIM To evaluate the sparing effect of midazolam during target-controlled propofol infusion. METHODS Two hundred-seventy patients undergoing upper endoscopic ultrasound were randomised to receive sedation with propofol plus placebo (group A) or plus midazolam (group B). Outcome parameters were the procedure duration, the discharge time and the satisfaction of patients, operator and nurse about the quality of sedation. RESULTS The mean propofol dose administered was 364+/-207 mg in group A and 394+/-204 mg in group B. Mean procedure duration (group A: 32+/-17 min, group B: 35+/-22 min) and discharge time (group A: 39+/-30 min, group B: 38+/-24 min) were similar in both groups. No severe complications were observed. The quality of sedation was judged satisfactory for all patients by both the endoscopist and the nurse assistant without any difference between the two groups. No patient remembered the procedure or reported it as unpleasant. CONCLUSIONS Target-controlled propofol infusion provides safe and effective sedation; premedication with low dose of midazolam does not reduce the total amount of propofol administered. Further studies are needed to compare propofol alone with propofol co-administered with opioid.","author":[{"dropping-particle":"","family":"Fanti","given":"L","non-dropping-particle":"","parse-names":false,"suffix":""},{"dropping-particle":"","family":"Agostoni","given":"M","non-dropping-particle":"","parse-names":false,"suffix":""},{"dropping-particle":"","family":"Arcidiacono","given":"P G","non-dropping-particle":"","parse-names":false,"suffix":""},{"dropping-particle":"","family":"Albertin","given":"A","non-dropping-particle":"","parse-names":false,"suffix":""},{"dropping-particle":"","family":"Strini","given":"G","non-dropping-particle":"","parse-names":false,"suffix":""},{"dropping-particle":"","family":"Carrara","given":"S","non-dropping-particle":"","parse-names":false,"suffix":""},{"dropping-particle":"","family":"Guslandi","given":"M","non-dropping-particle":"","parse-names":false,"suffix":""},{"dropping-particle":"","family":"Torri","given":"G","non-dropping-particle":"","parse-names":false,"suffix":""},{"dropping-particle":"","family":"Testoni","given":"P A","non-dropping-particle":"","parse-names":false,"suffix":""}],"container-title":"Digestive and liver disease : official journal of the Italian Society of Gastroenterology and the Italian Association for the Study of the Liver","id":"ITEM-23","issue":"1","issued":{"date-parts":[["2007","1"]]},"page":"81-6","title":"Target-controlled infusion during monitored anesthesia care in patients undergoing EUS: propofol alone versus midazolam plus propofol. A prospective double-blind randomised controlled trial.","type":"article-journal","volume":"39"},"uris":["http://www.mendeley.com/documents/?uuid=8bb13b54-b25d-4c81-a5b8-779bea5c6104"]}],"mendeley":{"formattedCitation":"&lt;sup&gt;[12,19,24–44]&lt;/sup&gt;","plainTextFormattedCitation":"[12,19,24–44]","previouslyFormattedCitation":"&lt;sup&gt;[12,19,24–44]&lt;/sup&gt;"},"properties":{"noteIndex":0},"schema":"https://github.com/citation-style-language/schema/raw/master/csl-citation.json"}</w:instrText>
      </w:r>
      <w:r w:rsidR="006511EA"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[12,19,24–44]</w:t>
      </w:r>
      <w:r w:rsidR="006511EA" w:rsidRPr="00D46A14">
        <w:rPr>
          <w:rFonts w:ascii="Book Antiqua" w:hAnsi="Book Antiqua"/>
          <w:sz w:val="24"/>
          <w:szCs w:val="24"/>
        </w:rPr>
        <w:fldChar w:fldCharType="end"/>
      </w:r>
      <w:r w:rsidRPr="00D46A14">
        <w:rPr>
          <w:rFonts w:ascii="Book Antiqua" w:hAnsi="Book Antiqua"/>
          <w:sz w:val="24"/>
          <w:szCs w:val="24"/>
        </w:rPr>
        <w:t>,</w:t>
      </w:r>
      <w:r w:rsidR="00125520" w:rsidRPr="00D46A14">
        <w:rPr>
          <w:rFonts w:ascii="Book Antiqua" w:hAnsi="Book Antiqua"/>
          <w:sz w:val="24"/>
          <w:szCs w:val="24"/>
        </w:rPr>
        <w:t xml:space="preserve"> many</w:t>
      </w:r>
      <w:r w:rsidRPr="00D46A14">
        <w:rPr>
          <w:rFonts w:ascii="Book Antiqua" w:hAnsi="Book Antiqua"/>
          <w:sz w:val="24"/>
          <w:szCs w:val="24"/>
        </w:rPr>
        <w:t xml:space="preserve"> of good quality and adequate methodological design, including a total of 3854 patients</w:t>
      </w:r>
      <w:r w:rsidR="004540A1" w:rsidRPr="00D46A14">
        <w:rPr>
          <w:rFonts w:ascii="Book Antiqua" w:hAnsi="Book Antiqua"/>
          <w:sz w:val="24"/>
          <w:szCs w:val="24"/>
        </w:rPr>
        <w:t>,</w:t>
      </w:r>
      <w:r w:rsidR="00125520" w:rsidRPr="00D46A14">
        <w:rPr>
          <w:rFonts w:ascii="Book Antiqua" w:hAnsi="Book Antiqua"/>
          <w:sz w:val="24"/>
          <w:szCs w:val="24"/>
        </w:rPr>
        <w:t xml:space="preserve"> </w:t>
      </w:r>
      <w:r w:rsidR="004540A1" w:rsidRPr="00D46A14">
        <w:rPr>
          <w:rFonts w:ascii="Book Antiqua" w:hAnsi="Book Antiqua"/>
          <w:sz w:val="24"/>
          <w:szCs w:val="24"/>
        </w:rPr>
        <w:t>w</w:t>
      </w:r>
      <w:r w:rsidR="00125520" w:rsidRPr="00D46A14">
        <w:rPr>
          <w:rFonts w:ascii="Book Antiqua" w:hAnsi="Book Antiqua"/>
          <w:sz w:val="24"/>
          <w:szCs w:val="24"/>
        </w:rPr>
        <w:t>e not</w:t>
      </w:r>
      <w:r w:rsidR="004540A1" w:rsidRPr="00D46A14">
        <w:rPr>
          <w:rFonts w:ascii="Book Antiqua" w:hAnsi="Book Antiqua"/>
          <w:sz w:val="24"/>
          <w:szCs w:val="24"/>
        </w:rPr>
        <w:t>e</w:t>
      </w:r>
      <w:r w:rsidR="00125520" w:rsidRPr="00D46A14">
        <w:rPr>
          <w:rFonts w:ascii="Book Antiqua" w:hAnsi="Book Antiqua"/>
          <w:sz w:val="24"/>
          <w:szCs w:val="24"/>
        </w:rPr>
        <w:t xml:space="preserve"> no significant differences in many outcomes measures between the sedation arms involving propofol alone or in combination with alternative sedatives. </w:t>
      </w:r>
    </w:p>
    <w:p w14:paraId="058200A7" w14:textId="2A1132D7" w:rsidR="008C62EB" w:rsidRPr="00D46A14" w:rsidRDefault="008C62EB"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In contrast to the last meta-analysis published</w:t>
      </w:r>
      <w:r w:rsidR="00FD7697"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10.1111/den.12219","ISSN":"09155635","author":[{"dropping-particle":"","family":"Sethi","given":"Saurabh","non-dropping-particle":"","parse-names":false,"suffix":""},{"dropping-particle":"","family":"Wadhwa","given":"Vaibhav","non-dropping-particle":"","parse-names":false,"suffix":""},{"dropping-particle":"","family":"Thaker","given":"Adarsh","non-dropping-particle":"","parse-names":false,"suffix":""},{"dropping-particle":"","family":"Chuttani","given":"Ram","non-dropping-particle":"","parse-names":false,"suffix":""},{"dropping-particle":"","family":"Pleskow","given":"Douglas K.","non-dropping-particle":"","parse-names":false,"suffix":""},{"dropping-particle":"","family":"Barnett","given":"Sheila R.","non-dropping-particle":"","parse-names":false,"suffix":""},{"dropping-particle":"","family":"Leffler","given":"Daniel A.","non-dropping-particle":"","parse-names":false,"suffix":""},{"dropping-particle":"","family":"Berzin","given":"Tyler M.","non-dropping-particle":"","parse-names":false,"suffix":""},{"dropping-particle":"","family":"Sethi","given":"Nidhi","non-dropping-particle":"","parse-names":false,"suffix":""},{"dropping-particle":"","family":"Sawhney","given":"Mandeep S.","non-dropping-particle":"","parse-names":false,"suffix":""}],"container-title":"Digestive Endoscopy","id":"ITEM-1","issue":"4","issued":{"date-parts":[["2014","7"]]},"page":"515-524","title":"Propofol versus traditional sedative agents for advanced endoscopic procedures: A meta-analysis","type":"article-journal","volume":"26"},"uris":["http://www.mendeley.com/documents/?uuid=64c5a71e-c128-453a-9981-989999901b7b"]}],"mendeley":{"formattedCitation":"&lt;sup&gt;[54]&lt;/sup&gt;","plainTextFormattedCitation":"[54]","previouslyFormattedCitation":"&lt;sup&gt;[54]&lt;/sup&gt;"},"properties":{"noteIndex":0},"schema":"https://github.com/citation-style-language/schema/raw/master/csl-citation.json"}</w:instrText>
      </w:r>
      <w:r w:rsidR="00FD7697" w:rsidRPr="00D46A14">
        <w:rPr>
          <w:rFonts w:ascii="Book Antiqua" w:hAnsi="Book Antiqua"/>
          <w:sz w:val="24"/>
          <w:szCs w:val="24"/>
        </w:rPr>
        <w:fldChar w:fldCharType="separate"/>
      </w:r>
      <w:r w:rsidR="00752388" w:rsidRPr="00D46A14">
        <w:rPr>
          <w:rFonts w:ascii="Book Antiqua" w:hAnsi="Book Antiqua"/>
          <w:noProof/>
          <w:sz w:val="24"/>
          <w:szCs w:val="24"/>
          <w:vertAlign w:val="superscript"/>
        </w:rPr>
        <w:t>[54]</w:t>
      </w:r>
      <w:r w:rsidR="00FD7697" w:rsidRPr="00D46A14">
        <w:rPr>
          <w:rFonts w:ascii="Book Antiqua" w:hAnsi="Book Antiqua"/>
          <w:sz w:val="24"/>
          <w:szCs w:val="24"/>
        </w:rPr>
        <w:fldChar w:fldCharType="end"/>
      </w:r>
      <w:r w:rsidRPr="00D46A14">
        <w:rPr>
          <w:rFonts w:ascii="Book Antiqua" w:hAnsi="Book Antiqua"/>
          <w:sz w:val="24"/>
          <w:szCs w:val="24"/>
        </w:rPr>
        <w:t>, our study demonstrate</w:t>
      </w:r>
      <w:r w:rsidR="00A115D1" w:rsidRPr="00D46A14">
        <w:rPr>
          <w:rFonts w:ascii="Book Antiqua" w:hAnsi="Book Antiqua"/>
          <w:sz w:val="24"/>
          <w:szCs w:val="24"/>
        </w:rPr>
        <w:t xml:space="preserve">s </w:t>
      </w:r>
      <w:r w:rsidRPr="00D46A14">
        <w:rPr>
          <w:rFonts w:ascii="Book Antiqua" w:hAnsi="Book Antiqua"/>
          <w:sz w:val="24"/>
          <w:szCs w:val="24"/>
        </w:rPr>
        <w:t xml:space="preserve">no statistical difference in </w:t>
      </w:r>
      <w:r w:rsidR="00125520" w:rsidRPr="00D46A14">
        <w:rPr>
          <w:rFonts w:ascii="Book Antiqua" w:hAnsi="Book Antiqua"/>
          <w:sz w:val="24"/>
          <w:szCs w:val="24"/>
        </w:rPr>
        <w:t xml:space="preserve">outcome measures with regards to </w:t>
      </w:r>
      <w:r w:rsidRPr="00D46A14">
        <w:rPr>
          <w:rFonts w:ascii="Book Antiqua" w:hAnsi="Book Antiqua"/>
          <w:sz w:val="24"/>
          <w:szCs w:val="24"/>
        </w:rPr>
        <w:t xml:space="preserve">hypotension, </w:t>
      </w:r>
      <w:r w:rsidR="00CD5E8F" w:rsidRPr="00D46A14">
        <w:rPr>
          <w:rFonts w:ascii="Book Antiqua" w:hAnsi="Book Antiqua"/>
          <w:sz w:val="24"/>
          <w:szCs w:val="24"/>
        </w:rPr>
        <w:t xml:space="preserve">oxygen </w:t>
      </w:r>
      <w:r w:rsidRPr="00D46A14">
        <w:rPr>
          <w:rFonts w:ascii="Book Antiqua" w:hAnsi="Book Antiqua"/>
          <w:sz w:val="24"/>
          <w:szCs w:val="24"/>
        </w:rPr>
        <w:t xml:space="preserve">desaturation and post-procedure anesthetic recovery when using propofol alone or in combination with benzodiazepines and/or opioids. </w:t>
      </w:r>
    </w:p>
    <w:p w14:paraId="675FBE90" w14:textId="70D82384" w:rsidR="008C62EB" w:rsidRPr="00D46A14" w:rsidRDefault="00CD5E8F" w:rsidP="00D46A14">
      <w:pPr>
        <w:spacing w:after="0" w:line="360" w:lineRule="auto"/>
        <w:ind w:left="0" w:firstLineChars="100" w:firstLine="240"/>
        <w:rPr>
          <w:rFonts w:ascii="Book Antiqua" w:hAnsi="Book Antiqua"/>
          <w:sz w:val="24"/>
          <w:szCs w:val="24"/>
        </w:rPr>
      </w:pPr>
      <w:r w:rsidRPr="00D46A14">
        <w:rPr>
          <w:rFonts w:ascii="Book Antiqua" w:hAnsi="Book Antiqua"/>
          <w:sz w:val="24"/>
          <w:szCs w:val="24"/>
        </w:rPr>
        <w:t>There was a trend towards increased incidence of bradycardia in patients in the propofol with benzodiazepine and opioid sedation arm compared to those on propofol alone. Incidence of bradycardia did not differ between other arms in the different treatment groups. No differences existed in recovery time between all sedation arms in all treatment groups as</w:t>
      </w:r>
      <w:r w:rsidR="008C62EB" w:rsidRPr="00D46A14">
        <w:rPr>
          <w:rFonts w:ascii="Book Antiqua" w:hAnsi="Book Antiqua"/>
          <w:sz w:val="24"/>
          <w:szCs w:val="24"/>
        </w:rPr>
        <w:t xml:space="preserve"> reported in the meta-analysis by Wang</w:t>
      </w:r>
      <w:r w:rsidR="008C62EB" w:rsidRPr="00D46A14">
        <w:rPr>
          <w:rFonts w:ascii="Book Antiqua" w:hAnsi="Book Antiqua"/>
          <w:i/>
          <w:sz w:val="24"/>
          <w:szCs w:val="24"/>
        </w:rPr>
        <w:t xml:space="preserve"> et al</w:t>
      </w:r>
      <w:r w:rsidR="001F74E5"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{"citationItems":[{"id":"ITEM-1","itemData":{"DOI":"10.1371/journal.pone.0053311","ISSN":"1932-6203","PMID":"23308191","abstract":"OBJECTIVES To assess the efficacy and safety of propofol sedation for gastrointestinal endoscopy, we conducted a meta-analysis of randomized controlled trials (RCTs) comparing propofol with traditional sedative agents. METHODS RCTs comparing the effects of propofol and traditional sedative agents during gastrointestinal endoscopy were found on MEDLINE, the Cochrane Central Register of Controlled Trials, and EMBASE. Cardiopulmonary complications (i.e., hypoxia, hypotension, arrhythmia, and apnea) and sedation profiles were assessed. RESULTS Twenty-two original RCTs investigating a total of 1,798 patients, of whom 912 received propofol only and 886 received traditional sedative agents only, met the inclusion criteria. Propofol use was associated with shorter recovery (13 studies, 1,165 patients; WMD -19.75; 95% CI -27.65, 11.86) and discharge times (seven studies, 471 patients; WMD -29.48; 95% CI -44.13, -14.83), higher post-anesthesia recovery scores (four studies, 503 patients; WMD 2.03; 95% CI 1.59, 2.46), better sedation (nine studies, 592 patients; OR 4.78; 95% CI 2.56, 8.93), and greater patient cooperation (six studies, 709 patients; WMD 1.27; 95% CI 0.53, 2.02), as well as more local pain on injection (six studies, 547 patients; OR 10.19; 95% CI 3.93, 26.39). Effects of propofol on cardiopulmonary complications, procedure duration, amnesia, pain during endoscopy, and patient satisfaction were not found to be significantly different from those of traditional sedative agents. CONCLUSIONS Propofol is safe and effective for gastrointestinal endoscopy procedures and is associated with shorter recovery and discharge periods, higher post-anesthesia recovery scores, better sedation, and greater patient cooperation than traditional sedation, without an increase in cardiopulmonary complications. Care should be taken when extrapolating our results to specific practice settings and high-risk patient subgroups.","author":[{"dropping-particle":"","family":"Wang","given":"Daorong","non-dropping-particle":"","parse-names":false,"suffix":""},{"dropping-particle":"","family":"Chen","given":"Chaowu","non-dropping-particle":"","parse-names":false,"suffix":""},{"dropping-particle":"","family":"Chen","given":"Jie","non-dropping-particle":"","parse-names":false,"suffix":""},{"dropping-particle":"","family":"Xu","given":"Yaxiang","non-dropping-particle":"","parse-names":false,"suffix":""},{"dropping-particle":"","family":"Wang","given":"Lu","non-dropping-particle":"","parse-names":false,"suffix":""},{"dropping-particle":"","family":"Zhu","given":"Zhen","non-dropping-particle":"","parse-names":false,"suffix":""},{"dropping-particle":"","family":"Deng","given":"Denghao","non-dropping-particle":"","parse-names":false,"suffix":""},{"dropping-particle":"","family":"Chen","given":"Juan","non-dropping-particle":"","parse-names":false,"suffix":""},{"dropping-particle":"","family":"Long","given":"Aihua","non-dropping-particle":"","parse-names":false,"suffix":""},{"dropping-particle":"","family":"Tang","given":"Dong","non-dropping-particle":"","parse-names":false,"suffix":""},{"dropping-particle":"","family":"Liu","given":"Jun","non-dropping-particle":"","parse-names":false,"suffix":""}],"container-title":"PloS one","id":"ITEM-1","issue":"1","issued":{"date-parts":[["2013"]]},"page":"e53311","title":"The use of propofol as a sedative agent in gastrointestinal endoscopy: a meta-analysis.","type":"article-journal","volume":"8"},"uris":["http://www.mendeley.com/documents/?uuid=aa26ebd9-03bd-404f-a9bf-4d6d41fcddab"]}],"mendeley":{"formattedCitation":"&lt;sup&gt;[60]&lt;/sup&gt;","plainTextFormattedCitation":"[60]","previouslyFormattedCitation":"&lt;sup&gt;[59]&lt;/sup&gt;"},"properties":{"noteIndex":0},"schema":"https://github.com/citation-style-language/schema/raw/master/csl-citation.json"}</w:instrText>
      </w:r>
      <w:r w:rsidR="001F74E5"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w:t>
      </w:r>
      <w:bookmarkStart w:id="9" w:name="_GoBack"/>
      <w:r w:rsidR="008B13BF" w:rsidRPr="00D46A14">
        <w:rPr>
          <w:rFonts w:ascii="Book Antiqua" w:hAnsi="Book Antiqua"/>
          <w:noProof/>
          <w:sz w:val="24"/>
          <w:szCs w:val="24"/>
          <w:vertAlign w:val="superscript"/>
        </w:rPr>
        <w:t>60]</w:t>
      </w:r>
      <w:bookmarkEnd w:id="9"/>
      <w:r w:rsidR="001F74E5" w:rsidRPr="00D46A14">
        <w:rPr>
          <w:rFonts w:ascii="Book Antiqua" w:hAnsi="Book Antiqua"/>
          <w:sz w:val="24"/>
          <w:szCs w:val="24"/>
        </w:rPr>
        <w:fldChar w:fldCharType="end"/>
      </w:r>
      <w:r w:rsidR="001F74E5" w:rsidRPr="00D46A14">
        <w:rPr>
          <w:rFonts w:ascii="Book Antiqua" w:hAnsi="Book Antiqua"/>
          <w:sz w:val="24"/>
          <w:szCs w:val="24"/>
        </w:rPr>
        <w:t>.</w:t>
      </w:r>
    </w:p>
    <w:p w14:paraId="5F1E877B" w14:textId="22073BEC" w:rsidR="008C62EB" w:rsidRPr="00D46A14" w:rsidRDefault="008C62EB"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lastRenderedPageBreak/>
        <w:t>Previous meta-analyses</w:t>
      </w:r>
      <w:r w:rsidR="006511EA"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{"citationItems":[{"id":"ITEM-1","itemData":{"ISSN":"1542-3565","PMID":"16271333","abstract":"BACKGROUND &amp; AIMS Even though propofol has better recovery profile than traditional agents, its use is limited because of the perception of increased complication rates. Because an adequately powered trial comparing risk of propofol with traditional agents is lacking, we performed a meta-analysis of the current literature. METHODS We searched Medline (1966-October 2004), EMBASE (1980-October 2004), and Cochrane controlled trials registry. The following 4 cardiopulmonary complications were assessed: hypoxia, hypotension, arrhythmias, and apnea. Procedures were divided into 3 groups: esophagogastroduodenoscopy group, colonoscopy group, and endoscopic retrograde cholangiopancreatography/endoscopic ultrasonography group. Pooled odds ratios for complications were calculated for all the procedures combined and then separately for the 3 groups. Random effects models were used for 2-proportion comparisons. RESULTS Of the 90 citations identified, 12 original studies qualified for this meta-analysis and included 1161 patients. Of these, 634 received propofol, and 527 received midazolam, meperidine, and/or fentanyl. Most of the included studies were randomized trials of moderate quality and nonsignificant heterogeneity (Cochran Q = 4.81, P = .90). Compared with traditional sedative agents, the pooled odds ratio with the use of propofol for developing hypoxia or hypotension for all the procedures combined was 0.74 (95% confidence interval [CI], 0.44-1.24); for EGD, 0.85 (95% CI, 0.33-2.17); for colonoscopy, 0.4 (95% CI, 0.2-0.79); and for ERCP/EUS, 1.07 (95% CI, 0.38-3.01). CONCLUSIONS Propofol sedation during colonoscopy appears to have lower odds of cardiopulmonary complications compared with traditional agents, but for other procedures, the risk of complications is similar.","author":[{"dropping-particle":"","family":"Qadeer","given":"Mohammed A","non-dropping-particle":"","parse-names":false,"suffix":""},{"dropping-particle":"","family":"Vargo","given":"John J","non-dropping-particle":"","parse-names":false,"suffix":""},{"dropping-particle":"","family":"Khandwala","given":"Farah","non-dropping-particle":"","parse-names":false,"suffix":""},{"dropping-particle":"","family":"Lopez","given":"Rocio","non-dropping-particle":"","parse-names":false,"suffix":""},{"dropping-particle":"","family":"Zuccaro","given":"Gregory","non-dropping-particle":"","parse-names":false,"suffix":""}],"container-title":"Clinical gastroenterology and hepatology : the official clinical practice journal of the American Gastroenterological Association","id":"ITEM-1","issue":"11","issued":{"date-parts":[["2005","11"]]},"page":"1049-56","title":"Propofol versus traditional sedative agents for gastrointestinal endoscopy: a meta-analysis.","type":"article-journal","volume":"3"},"uris":["http://www.mendeley.com/documents/?uuid=081b1ebc-ef5d-42cd-8b48-4a41c8220667"]},{"id":"ITEM-2","itemData":{"DOI":"10.1371/journal.pone.0053311","ISSN":"1932-6203","PMID":"23308191","abstract":"OBJECTIVES To assess the efficacy and safety of propofol sedation for gastrointestinal endoscopy, we conducted a meta-analysis of randomized controlled trials (RCTs) comparing propofol with traditional sedative agents. METHODS RCTs comparing the effects of propofol and traditional sedative agents during gastrointestinal endoscopy were found on MEDLINE, the Cochrane Central Register of Controlled Trials, and EMBASE. Cardiopulmonary complications (i.e., hypoxia, hypotension, arrhythmia, and apnea) and sedation profiles were assessed. RESULTS Twenty-two original RCTs investigating a total of 1,798 patients, of whom 912 received propofol only and 886 received traditional sedative agents only, met the inclusion criteria. Propofol use was associated with shorter recovery (13 studies, 1,165 patients; WMD -19.75; 95% CI -27.65, 11.86) and discharge times (seven studies, 471 patients; WMD -29.48; 95% CI -44.13, -14.83), higher post-anesthesia recovery scores (four studies, 503 patients; WMD 2.03; 95% CI 1.59, 2.46), better sedation (nine studies, 592 patients; OR 4.78; 95% CI 2.56, 8.93), and greater patient cooperation (six studies, 709 patients; WMD 1.27; 95% CI 0.53, 2.02), as well as more local pain on injection (six studies, 547 patients; OR 10.19; 95% CI 3.93, 26.39). Effects of propofol on cardiopulmonary complications, procedure duration, amnesia, pain during endoscopy, and patient satisfaction were not found to be significantly different from those of traditional sedative agents. CONCLUSIONS Propofol is safe and effective for gastrointestinal endoscopy procedures and is associated with shorter recovery and discharge periods, higher post-anesthesia recovery scores, better sedation, and greater patient cooperation than traditional sedation, without an increase in cardiopulmonary complications. Care should be taken when extrapolating our results to specific practice settings and high-risk patient subgroups.","author":[{"dropping-particle":"","family":"Wang","given":"Daorong","non-dropping-particle":"","parse-names":false,"suffix":""},{"dropping-particle":"","family":"Chen","given":"Chaowu","non-dropping-particle":"","parse-names":false,"suffix":""},{"dropping-particle":"","family":"Chen","given":"Jie","non-dropping-particle":"","parse-names":false,"suffix":""},{"dropping-particle":"","family":"Xu","given":"Yaxiang","non-dropping-particle":"","parse-names":false,"suffix":""},{"dropping-particle":"","family":"Wang","given":"Lu","non-dropping-particle":"","parse-names":false,"suffix":""},{"dropping-particle":"","family":"Zhu","given":"Zhen","non-dropping-particle":"","parse-names":false,"suffix":""},{"dropping-particle":"","family":"Deng","given":"Denghao","non-dropping-particle":"","parse-names":false,"suffix":""},{"dropping-particle":"","family":"Chen","given":"Juan","non-dropping-particle":"","parse-names":false,"suffix":""},{"dropping-particle":"","family":"Long","given":"Aihua","non-dropping-particle":"","parse-names":false,"suffix":""},{"dropping-particle":"","family":"Tang","given":"Dong","non-dropping-particle":"","parse-names":false,"suffix":""},{"dropping-particle":"","family":"Liu","given":"Jun","non-dropping-particle":"","parse-names":false,"suffix":""}],"container-title":"PloS one","id":"ITEM-2","issue":"1","issued":{"date-parts":[["2013"]]},"page":"e53311","title":"The use of propofol as a sedative agent in gastrointestinal endoscopy: a meta-analysis.","type":"article-journal","volume":"8"},"uris":["http://www.mendeley.com/documents/?uuid=aa26ebd9-03bd-404f-a9bf-4d6d41fcddab"]},{"id":"ITEM-3","itemData":{"DOI":"10.3748/wjg.v17.i30.3538","ISSN":"2219-2840","PMID":"21941422","abstract":"AIM To investigate the efficacy and safety of propofol sedation for endoscopic retrograde cholangiopancreatography (ERCP). METHODS Databases including PubMed, Embase, and the Cochrane Central Register of Controlled Trials updated as of October 2010 were searched. Main outcome measures were ERCP procedure duration, recovery time, incidence of hypotension and hypoxia. RESULTS Six trials with a total of 663 patients were included. The pooled mean difference in ERCP procedure duration between the propofol and traditional sedative agents was -8.05 (95% CI: -16.74 to 0.63), with no significant difference between the groups. The pooled mean difference in the recovery time was -18.69 (95% CI: -25.44 to -11.93), which showed a significant reduction with use of propofol sedation. Compared with traditional sedative agents, the pooled OR with propofol sedation for ERCP causing hypotension or hypoxia was 1.69 (95% CI: 0.82-3.50) and 0.90 (95% CI: 0.55-1.49), respectively, which indicated no significant difference between the groups. CONCLUSION Propofol sedation during ERCP leads to shorter recovery time without an increase of cardiopulmonary side effects. Propofol sedation can provide adequate sedation during ERCP.","author":[{"dropping-particle":"","family":"Bo","given":"Lu-Long","non-dropping-particle":"","parse-names":false,"suffix":""},{"dropping-particle":"","family":"Bai","given":"Yu","non-dropping-particle":"","parse-names":false,"suffix":""},{"dropping-particle":"","family":"Bian","given":"Jin-Jun","non-dropping-particle":"","parse-names":false,"suffix":""},{"dropping-particle":"","family":"Wen","given":"Ping-Shan","non-dropping-particle":"","parse-names":false,"suffix":""},{"dropping-particle":"","family":"Li","given":"Jin-Bao","non-dropping-particle":"","parse-names":false,"suffix":""},{"dropping-particle":"","family":"Deng","given":"Xiao-Ming","non-dropping-particle":"","parse-names":false,"suffix":""}],"container-title":"World journal of gastroenterology","id":"ITEM-3","issue":"30","issued":{"date-parts":[["2011","8","14"]]},"page":"3538-43","title":"Propofol vs traditional sedative agents for endoscopic retrograde cholangiopancreatography: a meta-analysis.","type":"article-journal","volume":"17"},"uris":["http://www.mendeley.com/documents/?uuid=2bad6d0b-1fb7-46af-8993-398c3d6feb2f"]}],"mendeley":{"formattedCitation":"&lt;sup&gt;[2,3,60]&lt;/sup&gt;","plainTextFormattedCitation":"[2,3,60]","previouslyFormattedCitation":"&lt;sup&gt;[2,3,59]&lt;/sup&gt;"},"properties":{"noteIndex":0},"schema":"https://github.com/citation-style-language/schema/raw/master/csl-citation.json"}</w:instrText>
      </w:r>
      <w:r w:rsidR="006511EA"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[2,3,60]</w:t>
      </w:r>
      <w:r w:rsidR="006511EA" w:rsidRPr="00D46A14">
        <w:rPr>
          <w:rFonts w:ascii="Book Antiqua" w:hAnsi="Book Antiqua"/>
          <w:sz w:val="24"/>
          <w:szCs w:val="24"/>
        </w:rPr>
        <w:fldChar w:fldCharType="end"/>
      </w:r>
      <w:r w:rsidR="006511EA" w:rsidRPr="00D46A14">
        <w:rPr>
          <w:rFonts w:ascii="Book Antiqua" w:hAnsi="Book Antiqua"/>
          <w:sz w:val="24"/>
          <w:szCs w:val="24"/>
        </w:rPr>
        <w:t xml:space="preserve"> </w:t>
      </w:r>
      <w:r w:rsidRPr="00D46A14">
        <w:rPr>
          <w:rFonts w:ascii="Book Antiqua" w:hAnsi="Book Antiqua"/>
          <w:sz w:val="24"/>
          <w:szCs w:val="24"/>
        </w:rPr>
        <w:t xml:space="preserve">also demonstrated significantly fewer adverse effects </w:t>
      </w:r>
      <w:r w:rsidR="00CD5E8F" w:rsidRPr="00D46A14">
        <w:rPr>
          <w:rFonts w:ascii="Book Antiqua" w:hAnsi="Book Antiqua"/>
          <w:sz w:val="24"/>
          <w:szCs w:val="24"/>
        </w:rPr>
        <w:t>with</w:t>
      </w:r>
      <w:r w:rsidRPr="00D46A14">
        <w:rPr>
          <w:rFonts w:ascii="Book Antiqua" w:hAnsi="Book Antiqua"/>
          <w:sz w:val="24"/>
          <w:szCs w:val="24"/>
        </w:rPr>
        <w:t xml:space="preserve"> propofol sedation</w:t>
      </w:r>
      <w:r w:rsidR="006511EA" w:rsidRPr="00D46A14">
        <w:rPr>
          <w:rFonts w:ascii="Book Antiqua" w:hAnsi="Book Antiqua"/>
          <w:sz w:val="24"/>
          <w:szCs w:val="24"/>
        </w:rPr>
        <w:t xml:space="preserve">. </w:t>
      </w:r>
      <w:r w:rsidR="00CD5E8F" w:rsidRPr="00D46A14">
        <w:rPr>
          <w:rFonts w:ascii="Book Antiqua" w:hAnsi="Book Antiqua"/>
          <w:sz w:val="24"/>
          <w:szCs w:val="24"/>
        </w:rPr>
        <w:t>In our study, we</w:t>
      </w:r>
      <w:r w:rsidRPr="00D46A14">
        <w:rPr>
          <w:rFonts w:ascii="Book Antiqua" w:hAnsi="Book Antiqua"/>
          <w:sz w:val="24"/>
          <w:szCs w:val="24"/>
        </w:rPr>
        <w:t xml:space="preserve"> observed that propofol used alone or in conjunction with other sedatives including opioids and benzodiazepines is safe and did not result in increased adverse events in patients undergoing endoscopic procedures as demonstrated by Sethi</w:t>
      </w:r>
      <w:r w:rsidR="00283C29" w:rsidRPr="00D46A14">
        <w:rPr>
          <w:rFonts w:ascii="Book Antiqua" w:hAnsi="Book Antiqua"/>
          <w:i/>
          <w:sz w:val="24"/>
          <w:szCs w:val="24"/>
        </w:rPr>
        <w:t xml:space="preserve"> e</w:t>
      </w:r>
      <w:r w:rsidR="00CD5E8F" w:rsidRPr="00D46A14">
        <w:rPr>
          <w:rFonts w:ascii="Book Antiqua" w:hAnsi="Book Antiqua"/>
          <w:i/>
          <w:sz w:val="24"/>
          <w:szCs w:val="24"/>
        </w:rPr>
        <w:t>t al</w:t>
      </w:r>
      <w:r w:rsidR="00FD7697"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10.1111/den.12219","ISSN":"09155635","author":[{"dropping-particle":"","family":"Sethi","given":"Saurabh","non-dropping-particle":"","parse-names":false,"suffix":""},{"dropping-particle":"","family":"Wadhwa","given":"Vaibhav","non-dropping-particle":"","parse-names":false,"suffix":""},{"dropping-particle":"","family":"Thaker","given":"Adarsh","non-dropping-particle":"","parse-names":false,"suffix":""},{"dropping-particle":"","family":"Chuttani","given":"Ram","non-dropping-particle":"","parse-names":false,"suffix":""},{"dropping-particle":"","family":"Pleskow","given":"Douglas K.","non-dropping-particle":"","parse-names":false,"suffix":""},{"dropping-particle":"","family":"Barnett","given":"Sheila R.","non-dropping-particle":"","parse-names":false,"suffix":""},{"dropping-particle":"","family":"Leffler","given":"Daniel A.","non-dropping-particle":"","parse-names":false,"suffix":""},{"dropping-particle":"","family":"Berzin","given":"Tyler M.","non-dropping-particle":"","parse-names":false,"suffix":""},{"dropping-particle":"","family":"Sethi","given":"Nidhi","non-dropping-particle":"","parse-names":false,"suffix":""},{"dropping-particle":"","family":"Sawhney","given":"Mandeep S.","non-dropping-particle":"","parse-names":false,"suffix":""}],"container-title":"Digestive Endoscopy","id":"ITEM-1","issue":"4","issued":{"date-parts":[["2014","7"]]},"page":"515-524","title":"Propofol versus traditional sedative agents for advanced endoscopic procedures: A meta-analysis","type":"article-journal","volume":"26"},"uris":["http://www.mendeley.com/documents/?uuid=64c5a71e-c128-453a-9981-989999901b7b"]}],"mendeley":{"formattedCitation":"&lt;sup&gt;[54]&lt;/sup&gt;","plainTextFormattedCitation":"[54]","previouslyFormattedCitation":"&lt;sup&gt;[54]&lt;/sup&gt;"},"properties":{"noteIndex":0},"schema":"https://github.com/citation-style-language/schema/raw/master/csl-citation.json"}</w:instrText>
      </w:r>
      <w:r w:rsidR="00FD7697" w:rsidRPr="00D46A14">
        <w:rPr>
          <w:rFonts w:ascii="Book Antiqua" w:hAnsi="Book Antiqua"/>
          <w:sz w:val="24"/>
          <w:szCs w:val="24"/>
        </w:rPr>
        <w:fldChar w:fldCharType="separate"/>
      </w:r>
      <w:r w:rsidR="00752388" w:rsidRPr="00D46A14">
        <w:rPr>
          <w:rFonts w:ascii="Book Antiqua" w:hAnsi="Book Antiqua"/>
          <w:noProof/>
          <w:sz w:val="24"/>
          <w:szCs w:val="24"/>
          <w:vertAlign w:val="superscript"/>
        </w:rPr>
        <w:t>[54]</w:t>
      </w:r>
      <w:r w:rsidR="00FD7697" w:rsidRPr="00D46A14">
        <w:rPr>
          <w:rFonts w:ascii="Book Antiqua" w:hAnsi="Book Antiqua"/>
          <w:sz w:val="24"/>
          <w:szCs w:val="24"/>
        </w:rPr>
        <w:fldChar w:fldCharType="end"/>
      </w:r>
      <w:r w:rsidR="00FD7697" w:rsidRPr="00D46A14">
        <w:rPr>
          <w:rFonts w:ascii="Book Antiqua" w:hAnsi="Book Antiqua"/>
          <w:sz w:val="24"/>
          <w:szCs w:val="24"/>
        </w:rPr>
        <w:t xml:space="preserve"> </w:t>
      </w:r>
      <w:r w:rsidR="00283C29" w:rsidRPr="00D46A14">
        <w:rPr>
          <w:rFonts w:ascii="Book Antiqua" w:hAnsi="Book Antiqua"/>
          <w:sz w:val="24"/>
          <w:szCs w:val="24"/>
        </w:rPr>
        <w:t>which also included sedation for</w:t>
      </w:r>
      <w:r w:rsidRPr="00D46A14">
        <w:rPr>
          <w:rFonts w:ascii="Book Antiqua" w:hAnsi="Book Antiqua"/>
          <w:sz w:val="24"/>
          <w:szCs w:val="24"/>
        </w:rPr>
        <w:t xml:space="preserve"> advanced endoscopic procedures such as </w:t>
      </w:r>
      <w:r w:rsidR="00567D81" w:rsidRPr="00D46A14">
        <w:rPr>
          <w:rFonts w:ascii="Book Antiqua" w:hAnsi="Book Antiqua"/>
          <w:sz w:val="24"/>
          <w:szCs w:val="24"/>
        </w:rPr>
        <w:t>endoscopic ultrasound</w:t>
      </w:r>
      <w:r w:rsidRPr="00D46A14">
        <w:rPr>
          <w:rFonts w:ascii="Book Antiqua" w:hAnsi="Book Antiqua"/>
          <w:sz w:val="24"/>
          <w:szCs w:val="24"/>
        </w:rPr>
        <w:t xml:space="preserve">, </w:t>
      </w:r>
      <w:r w:rsidR="00567D81" w:rsidRPr="00D46A14">
        <w:rPr>
          <w:rFonts w:ascii="Book Antiqua" w:hAnsi="Book Antiqua"/>
          <w:sz w:val="24"/>
          <w:szCs w:val="24"/>
        </w:rPr>
        <w:t>endoscopic retrograde cholangiopancreatography</w:t>
      </w:r>
      <w:r w:rsidRPr="00D46A14">
        <w:rPr>
          <w:rFonts w:ascii="Book Antiqua" w:hAnsi="Book Antiqua"/>
          <w:sz w:val="24"/>
          <w:szCs w:val="24"/>
        </w:rPr>
        <w:t>, and double-balloon enteroscopy.</w:t>
      </w:r>
    </w:p>
    <w:p w14:paraId="31406C7A" w14:textId="18FCF9B5" w:rsidR="008C62EB" w:rsidRPr="00D46A14" w:rsidRDefault="008C62EB"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 xml:space="preserve">Due to the properties of </w:t>
      </w:r>
      <w:r w:rsidR="00567D81" w:rsidRPr="00D46A14">
        <w:rPr>
          <w:rFonts w:ascii="Book Antiqua" w:hAnsi="Book Antiqua"/>
          <w:sz w:val="24"/>
          <w:szCs w:val="24"/>
        </w:rPr>
        <w:t>propofol</w:t>
      </w:r>
      <w:r w:rsidRPr="00D46A14">
        <w:rPr>
          <w:rFonts w:ascii="Book Antiqua" w:hAnsi="Book Antiqua"/>
          <w:sz w:val="24"/>
          <w:szCs w:val="24"/>
        </w:rPr>
        <w:t>, its doses are very volatile</w:t>
      </w:r>
      <w:r w:rsidR="00460F7B"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{"citationItems":[{"id":"ITEM-1","itemData":{"DOI":"10.1016/j.biopha.2018.06.158","ISSN":"1950-6007","PMID":"29990851","abstract":"This study aims to determine the pharmacodynamics (PD) effect (measured by cardiovascular depression) of propofol during anesthesia induction period on morbidly obese (MO) patients. Four hemodynamics indexes [i.e., three indexes about blood pressure and cardiac output (CO)] representing cardiovascular function were measured. Pharmacokinetic/pharmacodynamic (PK/PD) modeling was performed by population analysis to obtain PD parameters. Two propofol dosing scalars, namely, dosing based on total body weight (TBW) or lean body weight (LBW), were used for MO subjects. The PD data were well described by a PK/PD model. Blood pressure and CO were rapidly decreased within one minute after intravenous injection of propofol (2 mg/kg). TBW group showed significantly lower blood pressure and CO values at and 1 min after propofol administration compared with the control group, whereas the control and LBW groups had similar PD profiles. In addition, the propofol EC50 value was significantly decreased in MO patients, whereas all other PD parameters were similar between control and MO subjects. This change indicated that propofol potency and/or sensitivity was increased in MO subjects. For MO patients, dosing of propofol based on LBW rather than TBW would be a safer choice due to a less cardiovascular depression effect.","author":[{"dropping-particle":"","family":"Wu","given":"Zhufeng","non-dropping-particle":"","parse-names":false,"suffix":""},{"dropping-particle":"","family":"Li","given":"Jiayang","non-dropping-particle":"","parse-names":false,"suffix":""},{"dropping-particle":"","family":"Wang","given":"Cunchuan","non-dropping-particle":"","parse-names":false,"suffix":""},{"dropping-particle":"","family":"Yang","given":"Jingge","non-dropping-particle":"","parse-names":false,"suffix":""},{"dropping-particle":"","family":"Chen","given":"Xiaomei","non-dropping-particle":"","parse-names":false,"suffix":""},{"dropping-particle":"","family":"Yang","given":"Wah","non-dropping-particle":"","parse-names":false,"suffix":""},{"dropping-particle":"","family":"Xiong","given":"Zhiling","non-dropping-particle":"","parse-names":false,"suffix":""},{"dropping-particle":"","family":"Peng","given":"Xuemei","non-dropping-particle":"","parse-names":false,"suffix":""}],"container-title":"Biomedicine &amp; pharmacotherapy = Biomedecine &amp; pharmacotherapie","id":"ITEM-1","issued":{"date-parts":[["2018","10"]]},"page":"618-623","title":"Characterization of cardiovascular depression effect for propofol during anesthesia induction period on morbidly obese patients.","type":"article-journal","volume":"106"},"uris":["http://www.mendeley.com/documents/?uuid=19063678-c63f-4e05-bb33-cddb60b1e368"]},{"id":"ITEM-2","itemData":{"DOI":"10.1053/j.gastro.2007.06.002","ISSN":"0016-5085","PMID":"17681185","author":[{"dropping-particle":"","family":"Cohen","given":"Lawrence B","non-dropping-particle":"","parse-names":false,"suffix":""},{"dropping-particle":"","family":"Delegge","given":"Mark H","non-dropping-particle":"","parse-names":false,"suffix":""},{"dropping-particle":"","family":"Aisenberg","given":"James","non-dropping-particle":"","parse-names":false,"suffix":""},{"dropping-particle":"V","family":"Brill","given":"Joel","non-dropping-particle":"","parse-names":false,"suffix":""},{"dropping-particle":"","family":"Inadomi","given":"John M","non-dropping-particle":"","parse-names":false,"suffix":""},{"dropping-particle":"","family":"Kochman","given":"Michael L","non-dropping-particle":"","parse-names":false,"suffix":""},{"dropping-particle":"","family":"Piorkowski","given":"Joseph D","non-dropping-particle":"","parse-names":false,"suffix":""},{"dropping-particle":"","family":"AGA Institute","given":"","non-dropping-particle":"","parse-names":false,"suffix":""}],"container-title":"Gastroenterology","id":"ITEM-2","issue":"2","issued":{"date-parts":[["2007","8"]]},"page":"675-701","title":"AGA Institute review of endoscopic sedation.","type":"article-journal","volume":"133"},"uris":["http://www.mendeley.com/documents/?uuid=1ea322e1-3145-42e8-a0e8-db86a0b713a5"]}],"mendeley":{"formattedCitation":"&lt;sup&gt;[9,59]&lt;/sup&gt;","plainTextFormattedCitation":"[9,59]","previouslyFormattedCitation":"&lt;sup&gt;[9,58]&lt;/sup&gt;"},"properties":{"noteIndex":0},"schema":"https://github.com/citation-style-language/schema/raw/master/csl-citation.json"}</w:instrText>
      </w:r>
      <w:r w:rsidR="00460F7B"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[9,59]</w:t>
      </w:r>
      <w:r w:rsidR="00460F7B" w:rsidRPr="00D46A14">
        <w:rPr>
          <w:rFonts w:ascii="Book Antiqua" w:hAnsi="Book Antiqua"/>
          <w:sz w:val="24"/>
          <w:szCs w:val="24"/>
        </w:rPr>
        <w:fldChar w:fldCharType="end"/>
      </w:r>
      <w:r w:rsidRPr="00D46A14">
        <w:rPr>
          <w:rFonts w:ascii="Book Antiqua" w:hAnsi="Book Antiqua"/>
          <w:sz w:val="24"/>
          <w:szCs w:val="24"/>
        </w:rPr>
        <w:t>. High</w:t>
      </w:r>
      <w:r w:rsidR="00283C29" w:rsidRPr="00D46A14">
        <w:rPr>
          <w:rFonts w:ascii="Book Antiqua" w:hAnsi="Book Antiqua"/>
          <w:sz w:val="24"/>
          <w:szCs w:val="24"/>
        </w:rPr>
        <w:t>er</w:t>
      </w:r>
      <w:r w:rsidRPr="00D46A14">
        <w:rPr>
          <w:rFonts w:ascii="Book Antiqua" w:hAnsi="Book Antiqua"/>
          <w:sz w:val="24"/>
          <w:szCs w:val="24"/>
        </w:rPr>
        <w:t xml:space="preserve"> doses are associated with </w:t>
      </w:r>
      <w:r w:rsidR="00283C29" w:rsidRPr="00D46A14">
        <w:rPr>
          <w:rFonts w:ascii="Book Antiqua" w:hAnsi="Book Antiqua"/>
          <w:sz w:val="24"/>
          <w:szCs w:val="24"/>
        </w:rPr>
        <w:t xml:space="preserve">elevated </w:t>
      </w:r>
      <w:r w:rsidRPr="00D46A14">
        <w:rPr>
          <w:rFonts w:ascii="Book Antiqua" w:hAnsi="Book Antiqua"/>
          <w:sz w:val="24"/>
          <w:szCs w:val="24"/>
        </w:rPr>
        <w:t xml:space="preserve">cardiovascular risk and low doses are associated with several complications, especially in therapeutic procedures that cause pain. Propofol has a limited analgesic effect and higher doses are often required, </w:t>
      </w:r>
      <w:r w:rsidR="00283C29" w:rsidRPr="00D46A14">
        <w:rPr>
          <w:rFonts w:ascii="Book Antiqua" w:hAnsi="Book Antiqua"/>
          <w:sz w:val="24"/>
          <w:szCs w:val="24"/>
        </w:rPr>
        <w:t>when</w:t>
      </w:r>
      <w:r w:rsidRPr="00D46A14">
        <w:rPr>
          <w:rFonts w:ascii="Book Antiqua" w:hAnsi="Book Antiqua"/>
          <w:sz w:val="24"/>
          <w:szCs w:val="24"/>
        </w:rPr>
        <w:t xml:space="preserve"> used as single agent for </w:t>
      </w:r>
      <w:r w:rsidR="00283C29" w:rsidRPr="00D46A14">
        <w:rPr>
          <w:rFonts w:ascii="Book Antiqua" w:hAnsi="Book Antiqua"/>
          <w:sz w:val="24"/>
          <w:szCs w:val="24"/>
        </w:rPr>
        <w:t xml:space="preserve">sedation in </w:t>
      </w:r>
      <w:r w:rsidRPr="00D46A14">
        <w:rPr>
          <w:rFonts w:ascii="Book Antiqua" w:hAnsi="Book Antiqua"/>
          <w:sz w:val="24"/>
          <w:szCs w:val="24"/>
        </w:rPr>
        <w:t xml:space="preserve">endoscopy. Several studies </w:t>
      </w:r>
      <w:r w:rsidR="00283C29" w:rsidRPr="00D46A14">
        <w:rPr>
          <w:rFonts w:ascii="Book Antiqua" w:hAnsi="Book Antiqua"/>
          <w:sz w:val="24"/>
          <w:szCs w:val="24"/>
        </w:rPr>
        <w:t xml:space="preserve">have </w:t>
      </w:r>
      <w:r w:rsidRPr="00D46A14">
        <w:rPr>
          <w:rFonts w:ascii="Book Antiqua" w:hAnsi="Book Antiqua"/>
          <w:sz w:val="24"/>
          <w:szCs w:val="24"/>
        </w:rPr>
        <w:t>reported that the combination of propofol with other sedative agents is a reasonable option to obtain the adequate depth of sedation, avoiding high dose-related side effects of propofol</w:t>
      </w:r>
      <w:r w:rsidR="00283C29" w:rsidRPr="00D46A14">
        <w:rPr>
          <w:rFonts w:ascii="Book Antiqua" w:hAnsi="Book Antiqua"/>
          <w:sz w:val="24"/>
          <w:szCs w:val="24"/>
        </w:rPr>
        <w:t xml:space="preserve">, allow for </w:t>
      </w:r>
      <w:r w:rsidR="0057473A" w:rsidRPr="00D46A14">
        <w:rPr>
          <w:rFonts w:ascii="Book Antiqua" w:hAnsi="Book Antiqua"/>
          <w:sz w:val="24"/>
          <w:szCs w:val="24"/>
        </w:rPr>
        <w:t xml:space="preserve">improve patient tolerance, </w:t>
      </w:r>
      <w:r w:rsidRPr="00D46A14">
        <w:rPr>
          <w:rFonts w:ascii="Book Antiqua" w:hAnsi="Book Antiqua"/>
          <w:sz w:val="24"/>
          <w:szCs w:val="24"/>
        </w:rPr>
        <w:t xml:space="preserve">prolong recovery time, and </w:t>
      </w:r>
      <w:r w:rsidR="0057473A" w:rsidRPr="00D46A14">
        <w:rPr>
          <w:rFonts w:ascii="Book Antiqua" w:hAnsi="Book Antiqua"/>
          <w:sz w:val="24"/>
          <w:szCs w:val="24"/>
        </w:rPr>
        <w:t>control of pain</w:t>
      </w:r>
      <w:r w:rsidR="0057473A"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{"citationItems":[{"id":"ITEM-1","itemData":{"DOI":"10.1097/MCG.0b013e3181862a8c","ISSN":"1539-2031","PMID":"19169146","abstract":"BACKGROUND Despite the increasing popularity of propofol for sedation in colonoscopy, the optimal regimen is still controversial. Both propofol alone and propofol in combination with meperidine are frequently used during colonoscopy, but the impact of adding meperidine has not been evaluated. This study aimed to investigate if adding meperidine to propofol offers any advantage in terms of patient tolerance, recovery time, and postcolonoscopy discomforts. METHOD Consecutive patients admitted to the physical checkup department of our hospital were randomized to receive either meperidine plus propofol (combination group, n=100) or propofol alone (propofol group, n=100) for sedated colonoscopy. The patients' tolerance and postcolonoscopy discomforts (pain, bloating, dizziness, and nausea/vomiting) were assessed with a 0-10 visual analog scale. The recovery times were assessed with 5-minute and 10-minute Aldrete scores. RESULTS The dose of propofol was less in the combination group than the propofol group (129.80+/-37.93 mg vs. 147.90+/-47.85, mean+/-SD, P=0.003). The endoscopists, anesthetists, and nurses all rated patients' tolerance in favor of the combination group than the propofol group (mean+/-SD, endoscopists, 9.17+/-1.23 vs. 8.49+/-1.60, P=0.001; anesthetists, 9.21+/-1.08 vs. 8.63+/-1.37, P=0.001; nurses, 9.18+/-1.34 vs. 8.71+/-1.47, P=0.019, respectively). Patients in the combination group recovered earlier than the placebo group (5-min Aldrete scores: 9.48+/-1.09 vs. 9.05+/-1.32, mean+/-SD, P=0.013; short intervals to speak: 4.29+/-4.05 min vs. 6.30+/-5.22 min, P=0.003; and departure: 18.62+/-5.28 min vs. 20.28+/-5.68 min, P=0.034). There was also less abdominal bloating in the combination group after colonoscopy (1.23+/-1.79 vs. 2.19+/-2.12, mean+/-SD, P=0.004). Incidences of hypoxemia, hypotension, and overall satisfaction scores were comparable between the 2 groups. CONCLUSIONS For sedated colonoscopy, propofol in combination with meperidine is better than propofol alone in improving patients' tolerance and recovery.","author":[{"dropping-particle":"","family":"Hsieh","given":"Yu-Hsi","non-dropping-particle":"","parse-names":false,"suffix":""},{"dropping-particle":"","family":"Chou","given":"An-Liang","non-dropping-particle":"","parse-names":false,"suffix":""},{"dropping-particle":"","family":"Lai","given":"Yu-Yung","non-dropping-particle":"","parse-names":false,"suffix":""},{"dropping-particle":"","family":"Chen","given":"Bing-Shuo","non-dropping-particle":"","parse-names":false,"suffix":""},{"dropping-particle":"","family":"Sia","given":"Swee-Leong","non-dropping-particle":"","parse-names":false,"suffix":""},{"dropping-particle":"","family":"Chen","given":"I-Cheng","non-dropping-particle":"","parse-names":false,"suffix":""},{"dropping-particle":"","family":"Chang","given":"Yin-Lung","non-dropping-particle":"","parse-names":false,"suffix":""},{"dropping-particle":"","family":"Lin","given":"Hwai-Jeng","non-dropping-particle":"","parse-names":false,"suffix":""}],"container-title":"Journal of clinical gastroenterology","id":"ITEM-1","issue":"8","issued":{"date-parts":[["2009","9"]]},"page":"753-7","title":"Propofol alone versus propofol in combination with meperidine for sedation during colonoscopy.","type":"article-journal","volume":"43"},"uris":["http://www.mendeley.com/documents/?uuid=7ae9a636-c125-4491-80c8-5930ebc282d9"]},{"id":"ITEM-2","itemData":{"DOI":"10.1017/S0265021505001432","ISSN":"0265-0215","author":[{"dropping-particle":"","family":"Disma","given":"N.","non-dropping-particle":"","parse-names":false,"suffix":""},{"dropping-particle":"","family":"Astuto","given":"M.","non-dropping-particle":"","parse-names":false,"suffix":""},{"dropping-particle":"","family":"Rizzo","given":"G.","non-dropping-particle":"","parse-names":false,"suffix":""},{"dropping-particle":"","family":"Rosano","given":"G.","non-dropping-particle":"","parse-names":false,"suffix":""},{"dropping-particle":"","family":"Naso","given":"P.","non-dropping-particle":"","parse-names":false,"suffix":""},{"dropping-particle":"","family":"Aprile","given":"G.","non-dropping-particle":"","parse-names":false,"suffix":""},{"dropping-particle":"","family":"Bonanno","given":"G.","non-dropping-particle":"","parse-names":false,"suffix":""},{"dropping-particle":"","family":"Russo","given":"A.","non-dropping-particle":"","parse-names":false,"suffix":""}],"container-title":"European Journal of Anaesthesiology","id":"ITEM-2","issue":"11","issued":{"date-parts":[["2005","11"]]},"page":"848-852","title":"Propofol sedation with fentanyl or midazolam during oesophagogastroduodenoscopy in children","type":"article-journal","volume":"22"},"uris":["http://www.mendeley.com/documents/?uuid=24cb6af6-50ff-4dbb-86de-f9a542e81c79"]},{"id":"ITEM-3","itemData":{"DOI":"10.1213/ane.0b013e318198f6dc","ISSN":"1526-7598","PMID":"19224790","abstract":"BACKGROUND The combination of propofol-remifentanil for procedural deep sedation in spontaneously breathing patients is characterized by the frequent incidence of side effects, especially respiratory depression. These side effects may be due to either the drug combination or the drug delivery technique. Target-controlled infusion (TCI) might optimize drug delivery. In this prospective, randomized, double-blind study in patients undergoing elective colonoscopy, we thus tried to answer two questions: first, if adding remifentanil to propofol surpasses the disadvantages of the combination of these two products, and second, if administration of remifentanil via TCI decreases the incidence of side effects, compared to manually controlled administration. METHODS Patients undergoing elective colonoscopy were randomly assigned to receive remifentanil via manually controlled continuous infusion (MCI) (0.125 microg x kg(-1) x min(-1) for 2 min followed by a continuous infusion of 0.05 microg x kg(-1) x min(-1)), TCI remifentanil (1 ng/mL), or placebo (normal saline either as TCI or manual infusion of equivalent rate). All patients received TCI propofol, adjusted to a target concentration level that provided deep sedation in which patients were not responsive to verbal commands, but maintained spontaneous ventilation without assistance. RESULTS Significantly more patients in the placebo group showed movement, cough and hiccup, which transiently interfered with the examination. There were no clinically significant differences in hemodynamic or recovery variables among all groups. Remifentanil administered via TCI resulted in a decrease in propofol requirements. The incidence of hypopnea and apnea was less frequent when remifentanil was administered via TCI compared to MCI (TCI n = 7, MCI n = 16, P &lt; 0.05). CONCLUSION The combination of remifentanil and propofol for deep sedation in spontaneously breathing patients, offered better conditions for colonoscopy than propofol used as a single drug. Remifentanil administered via TCI resulted in a decrease in propofol dosing and in a lower incidence in apnea and respiratory depression (TCI n = 7, MCI n = 16, P &lt; 0.05), compared to manually controlled administration of remifentanil.","author":[{"dropping-particle":"","family":"Moerman","given":"Annelies T","non-dropping-particle":"","parse-names":false,"suffix":""},{"dropping-particle":"","family":"Herregods","given":"Luc L","non-dropping-particle":"","parse-names":false,"suffix":""},{"dropping-particle":"","family":"Vos","given":"Martine M","non-dropping-particle":"De","parse-names":false,"suffix":""},{"dropping-particle":"","family":"Mortier","given":"Eric P","non-dropping-particle":"","parse-names":false,"suffix":""},{"dropping-particle":"","family":"Struys","given":"Michel M R F","non-dropping-particle":"","parse-names":false,"suffix":""}],"container-title":"Anesthesia and analgesia","id":"ITEM-3","issue":"3","issued":{"date-parts":[["2009","3"]]},"page":"828-34","title":"Manual versus target-controlled infusion remifentanil administration in spontaneously breathing patients.","type":"article-journal","volume":"108"},"uris":["http://www.mendeley.com/documents/?uuid=752a14f1-59de-49a0-bde4-b55fac03b0ca"]},{"id":"ITEM-4","itemData":{"DOI":"10.1055/s-2007-966725","ISSN":"0013-726X","author":[{"dropping-particle":"","family":"Ong","given":"W.","non-dropping-particle":"","parse-names":false,"suffix":""},{"dropping-particle":"","family":"Santosh","given":"D.","non-dropping-particle":"","parse-names":false,"suffix":""},{"dropping-particle":"","family":"Lakhtakia","given":"S.","non-dropping-particle":"","parse-names":false,"suffix":""},{"dropping-particle":"","family":"Nageshwar Reddy","given":"D.","non-dropping-particle":"","parse-names":false,"suffix":""}],"container-title":"Endoscopy","id":"ITEM-4","issue":"09","issued":{"date-parts":[["2007","8","17"]]},"page":"807-812","title":"A randomized controlled trial on use of propofol alone versus propofol with midazolam, ketamine, and pentazocine “sedato-analgesic cocktail” for sedation during ERCP","type":"article-journal","volume":"39"},"uris":["http://www.mendeley.com/documents/?uuid=20c81996-937c-41c9-b183-913d1e3f1764"]}],"mendeley":{"formattedCitation":"&lt;sup&gt;[5,13,15,17]&lt;/sup&gt;","plainTextFormattedCitation":"[5,13,15,17]","previouslyFormattedCitation":"&lt;sup&gt;[5,13,15,17]&lt;/sup&gt;"},"properties":{"noteIndex":0},"schema":"https://github.com/citation-style-language/schema/raw/master/csl-citation.json"}</w:instrText>
      </w:r>
      <w:r w:rsidR="0057473A"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[5,13,15,17]</w:t>
      </w:r>
      <w:r w:rsidR="0057473A" w:rsidRPr="00D46A14">
        <w:rPr>
          <w:rFonts w:ascii="Book Antiqua" w:hAnsi="Book Antiqua"/>
          <w:sz w:val="24"/>
          <w:szCs w:val="24"/>
        </w:rPr>
        <w:fldChar w:fldCharType="end"/>
      </w:r>
      <w:r w:rsidRPr="00D46A14">
        <w:rPr>
          <w:rFonts w:ascii="Book Antiqua" w:hAnsi="Book Antiqua"/>
          <w:sz w:val="24"/>
          <w:szCs w:val="24"/>
        </w:rPr>
        <w:t>. However, our study did not demonstrate an advantage</w:t>
      </w:r>
      <w:r w:rsidR="00283C29" w:rsidRPr="00D46A14">
        <w:rPr>
          <w:rFonts w:ascii="Book Antiqua" w:hAnsi="Book Antiqua"/>
          <w:sz w:val="24"/>
          <w:szCs w:val="24"/>
        </w:rPr>
        <w:t xml:space="preserve"> to propofol alone</w:t>
      </w:r>
      <w:r w:rsidRPr="00D46A14">
        <w:rPr>
          <w:rFonts w:ascii="Book Antiqua" w:hAnsi="Book Antiqua"/>
          <w:sz w:val="24"/>
          <w:szCs w:val="24"/>
        </w:rPr>
        <w:t xml:space="preserve"> with</w:t>
      </w:r>
      <w:r w:rsidR="00283C29" w:rsidRPr="00D46A14">
        <w:rPr>
          <w:rFonts w:ascii="Book Antiqua" w:hAnsi="Book Antiqua"/>
          <w:sz w:val="24"/>
          <w:szCs w:val="24"/>
        </w:rPr>
        <w:t xml:space="preserve">out </w:t>
      </w:r>
      <w:r w:rsidRPr="00D46A14">
        <w:rPr>
          <w:rFonts w:ascii="Book Antiqua" w:hAnsi="Book Antiqua"/>
          <w:sz w:val="24"/>
          <w:szCs w:val="24"/>
        </w:rPr>
        <w:t xml:space="preserve">significant statistical </w:t>
      </w:r>
      <w:r w:rsidR="00283C29" w:rsidRPr="00D46A14">
        <w:rPr>
          <w:rFonts w:ascii="Book Antiqua" w:hAnsi="Book Antiqua"/>
          <w:sz w:val="24"/>
          <w:szCs w:val="24"/>
        </w:rPr>
        <w:t xml:space="preserve">differences when comparing propofol to </w:t>
      </w:r>
      <w:r w:rsidR="00AE1567" w:rsidRPr="00D46A14">
        <w:rPr>
          <w:rFonts w:ascii="Book Antiqua" w:hAnsi="Book Antiqua"/>
          <w:sz w:val="24"/>
          <w:szCs w:val="24"/>
        </w:rPr>
        <w:t>alternative</w:t>
      </w:r>
      <w:r w:rsidR="00283C29" w:rsidRPr="00D46A14">
        <w:rPr>
          <w:rFonts w:ascii="Book Antiqua" w:hAnsi="Book Antiqua"/>
          <w:sz w:val="24"/>
          <w:szCs w:val="24"/>
        </w:rPr>
        <w:t xml:space="preserve"> agents (with and without propofol)</w:t>
      </w:r>
      <w:r w:rsidR="008120BA" w:rsidRPr="00D46A14">
        <w:rPr>
          <w:rFonts w:ascii="Book Antiqua" w:hAnsi="Book Antiqua"/>
          <w:sz w:val="24"/>
          <w:szCs w:val="24"/>
        </w:rPr>
        <w:t>.</w:t>
      </w:r>
    </w:p>
    <w:p w14:paraId="0F8E424A" w14:textId="2F1FD63E" w:rsidR="008C62EB" w:rsidRPr="00D46A14" w:rsidRDefault="008C62EB" w:rsidP="00D46A14">
      <w:pPr>
        <w:spacing w:after="0" w:line="360" w:lineRule="auto"/>
        <w:ind w:firstLineChars="100" w:firstLine="240"/>
        <w:rPr>
          <w:rFonts w:ascii="Book Antiqua" w:eastAsia="Calibri" w:hAnsi="Book Antiqua"/>
          <w:sz w:val="24"/>
          <w:szCs w:val="24"/>
        </w:rPr>
      </w:pPr>
      <w:r w:rsidRPr="00D46A14">
        <w:rPr>
          <w:rFonts w:ascii="Book Antiqua" w:eastAsia="Calibri" w:hAnsi="Book Antiqua"/>
          <w:sz w:val="24"/>
          <w:szCs w:val="24"/>
        </w:rPr>
        <w:t xml:space="preserve">In our meta-analysis, patient satisfaction with the </w:t>
      </w:r>
      <w:r w:rsidR="00283C29" w:rsidRPr="00D46A14">
        <w:rPr>
          <w:rFonts w:ascii="Book Antiqua" w:eastAsia="Calibri" w:hAnsi="Book Antiqua"/>
          <w:sz w:val="24"/>
          <w:szCs w:val="24"/>
        </w:rPr>
        <w:t xml:space="preserve">use of a </w:t>
      </w:r>
      <w:r w:rsidRPr="00D46A14">
        <w:rPr>
          <w:rFonts w:ascii="Book Antiqua" w:eastAsia="Calibri" w:hAnsi="Book Antiqua"/>
          <w:sz w:val="24"/>
          <w:szCs w:val="24"/>
        </w:rPr>
        <w:t xml:space="preserve">visual analog scale </w:t>
      </w:r>
      <w:r w:rsidR="00283C29" w:rsidRPr="00D46A14">
        <w:rPr>
          <w:rFonts w:ascii="Book Antiqua" w:eastAsia="Calibri" w:hAnsi="Book Antiqua"/>
          <w:sz w:val="24"/>
          <w:szCs w:val="24"/>
        </w:rPr>
        <w:t xml:space="preserve">lead to a trend towards </w:t>
      </w:r>
      <w:r w:rsidRPr="00D46A14">
        <w:rPr>
          <w:rFonts w:ascii="Book Antiqua" w:eastAsia="Calibri" w:hAnsi="Book Antiqua"/>
          <w:sz w:val="24"/>
          <w:szCs w:val="24"/>
        </w:rPr>
        <w:t>greater satisfaction</w:t>
      </w:r>
      <w:r w:rsidR="00283C29" w:rsidRPr="00D46A14">
        <w:rPr>
          <w:rFonts w:ascii="Book Antiqua" w:eastAsia="Calibri" w:hAnsi="Book Antiqua"/>
          <w:sz w:val="24"/>
          <w:szCs w:val="24"/>
        </w:rPr>
        <w:t xml:space="preserve"> for patients undergoing sedation with</w:t>
      </w:r>
      <w:r w:rsidRPr="00D46A14">
        <w:rPr>
          <w:rFonts w:ascii="Book Antiqua" w:eastAsia="Calibri" w:hAnsi="Book Antiqua"/>
          <w:sz w:val="24"/>
          <w:szCs w:val="24"/>
        </w:rPr>
        <w:t xml:space="preserve"> benzodiazepine </w:t>
      </w:r>
      <w:r w:rsidR="00283C29" w:rsidRPr="00D46A14">
        <w:rPr>
          <w:rFonts w:ascii="Book Antiqua" w:eastAsia="Calibri" w:hAnsi="Book Antiqua"/>
          <w:sz w:val="24"/>
          <w:szCs w:val="24"/>
        </w:rPr>
        <w:t>and</w:t>
      </w:r>
      <w:r w:rsidRPr="00D46A14">
        <w:rPr>
          <w:rFonts w:ascii="Book Antiqua" w:eastAsia="Calibri" w:hAnsi="Book Antiqua"/>
          <w:sz w:val="24"/>
          <w:szCs w:val="24"/>
        </w:rPr>
        <w:t xml:space="preserve"> opioid</w:t>
      </w:r>
      <w:r w:rsidR="00283C29" w:rsidRPr="00D46A14">
        <w:rPr>
          <w:rFonts w:ascii="Book Antiqua" w:eastAsia="Calibri" w:hAnsi="Book Antiqua"/>
          <w:sz w:val="24"/>
          <w:szCs w:val="24"/>
        </w:rPr>
        <w:t xml:space="preserve">s when compared to propofol use. </w:t>
      </w:r>
      <w:r w:rsidRPr="00D46A14">
        <w:rPr>
          <w:rFonts w:ascii="Book Antiqua" w:eastAsia="Calibri" w:hAnsi="Book Antiqua"/>
          <w:sz w:val="24"/>
          <w:szCs w:val="24"/>
        </w:rPr>
        <w:t>The satisfaction of the endoscopists was evaluated in a few studies</w:t>
      </w:r>
      <w:r w:rsidR="00283C29" w:rsidRPr="00D46A14">
        <w:rPr>
          <w:rFonts w:ascii="Book Antiqua" w:eastAsia="Calibri" w:hAnsi="Book Antiqua"/>
          <w:sz w:val="24"/>
          <w:szCs w:val="24"/>
        </w:rPr>
        <w:t xml:space="preserve"> included in this </w:t>
      </w:r>
      <w:r w:rsidR="00191211" w:rsidRPr="00D46A14">
        <w:rPr>
          <w:rFonts w:ascii="Book Antiqua" w:eastAsia="Calibri" w:hAnsi="Book Antiqua"/>
          <w:sz w:val="24"/>
          <w:szCs w:val="24"/>
        </w:rPr>
        <w:t>meta-analysis</w:t>
      </w:r>
      <w:r w:rsidR="00283C29" w:rsidRPr="00D46A14">
        <w:rPr>
          <w:rFonts w:ascii="Book Antiqua" w:eastAsia="Calibri" w:hAnsi="Book Antiqua"/>
          <w:sz w:val="24"/>
          <w:szCs w:val="24"/>
        </w:rPr>
        <w:t xml:space="preserve"> however did not reveal significant differences in </w:t>
      </w:r>
      <w:r w:rsidR="00AE1567" w:rsidRPr="00D46A14">
        <w:rPr>
          <w:rFonts w:ascii="Book Antiqua" w:eastAsia="Calibri" w:hAnsi="Book Antiqua"/>
          <w:sz w:val="24"/>
          <w:szCs w:val="24"/>
        </w:rPr>
        <w:t>endoscopists</w:t>
      </w:r>
      <w:r w:rsidR="00283C29" w:rsidRPr="00D46A14">
        <w:rPr>
          <w:rFonts w:ascii="Book Antiqua" w:eastAsia="Calibri" w:hAnsi="Book Antiqua"/>
          <w:sz w:val="24"/>
          <w:szCs w:val="24"/>
        </w:rPr>
        <w:t xml:space="preserve"> satisfaction</w:t>
      </w:r>
      <w:r w:rsidR="008120BA" w:rsidRPr="00D46A14">
        <w:rPr>
          <w:rFonts w:ascii="Book Antiqua" w:eastAsia="Calibri" w:hAnsi="Book Antiqua"/>
          <w:sz w:val="24"/>
          <w:szCs w:val="24"/>
        </w:rPr>
        <w:t>.</w:t>
      </w:r>
    </w:p>
    <w:p w14:paraId="5F91CCAD" w14:textId="645B93E6" w:rsidR="008C62EB" w:rsidRPr="00D46A14" w:rsidRDefault="008C62EB"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 xml:space="preserve">There are several limitations to our analysis. Similar to prior publications and </w:t>
      </w:r>
      <w:r w:rsidR="00191211" w:rsidRPr="00D46A14">
        <w:rPr>
          <w:rFonts w:ascii="Book Antiqua" w:hAnsi="Book Antiqua"/>
          <w:sz w:val="24"/>
          <w:szCs w:val="24"/>
        </w:rPr>
        <w:t>meta-analysis</w:t>
      </w:r>
      <w:r w:rsidRPr="00D46A14">
        <w:rPr>
          <w:rFonts w:ascii="Book Antiqua" w:hAnsi="Book Antiqua"/>
          <w:sz w:val="24"/>
          <w:szCs w:val="24"/>
        </w:rPr>
        <w:t xml:space="preserve"> evaluating sedation in endoscopy, we observe high heterogeneity between the several studies aggregated in the meta-analysis, which must be taken into account in the interpretation of its results.</w:t>
      </w:r>
    </w:p>
    <w:p w14:paraId="4F315E6A" w14:textId="1328A837" w:rsidR="00DC7A81" w:rsidRPr="00D46A14" w:rsidRDefault="002E62C5"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lastRenderedPageBreak/>
        <w:t>There are several reasons for</w:t>
      </w:r>
      <w:r w:rsidR="008C62EB" w:rsidRPr="00D46A14">
        <w:rPr>
          <w:rFonts w:ascii="Book Antiqua" w:hAnsi="Book Antiqua"/>
          <w:sz w:val="24"/>
          <w:szCs w:val="24"/>
        </w:rPr>
        <w:t xml:space="preserve"> heterogeneity present in the published literature</w:t>
      </w:r>
      <w:r w:rsidRPr="00D46A14">
        <w:rPr>
          <w:rFonts w:ascii="Book Antiqua" w:hAnsi="Book Antiqua"/>
          <w:sz w:val="24"/>
          <w:szCs w:val="24"/>
        </w:rPr>
        <w:t xml:space="preserve"> for studies included</w:t>
      </w:r>
      <w:r w:rsidR="008C62EB" w:rsidRPr="00D46A14">
        <w:rPr>
          <w:rFonts w:ascii="Book Antiqua" w:hAnsi="Book Antiqua"/>
          <w:sz w:val="24"/>
          <w:szCs w:val="24"/>
        </w:rPr>
        <w:t>. One reason may be due to intrinsic differences in populations examined with each study, specifically age, weight, body mass which may alter the amount of sedation required and tolerability. Additionally, the education level for various populations included may influence patient satisfaction levels.</w:t>
      </w:r>
      <w:r w:rsidR="00283C29" w:rsidRPr="00D46A14">
        <w:rPr>
          <w:rFonts w:ascii="Book Antiqua" w:hAnsi="Book Antiqua"/>
          <w:sz w:val="24"/>
          <w:szCs w:val="24"/>
        </w:rPr>
        <w:t xml:space="preserve"> </w:t>
      </w:r>
      <w:r w:rsidR="008C62EB" w:rsidRPr="00D46A14">
        <w:rPr>
          <w:rFonts w:ascii="Book Antiqua" w:hAnsi="Book Antiqua"/>
          <w:sz w:val="24"/>
          <w:szCs w:val="24"/>
        </w:rPr>
        <w:t>Another reason for heterogeneity is lack of uniformity between the comparisons made, the individual administering sedation (anesthesiologist, non-anesthetist physicians, certified registered nurse anesthetists), acceptable and max doses of sedatives, means of sedative administration (intermittent bolus vs continuous infusion) and criteria for re</w:t>
      </w:r>
      <w:r w:rsidR="00283C29" w:rsidRPr="00D46A14">
        <w:rPr>
          <w:rFonts w:ascii="Book Antiqua" w:hAnsi="Book Antiqua"/>
          <w:sz w:val="24"/>
          <w:szCs w:val="24"/>
        </w:rPr>
        <w:t>-</w:t>
      </w:r>
      <w:r w:rsidR="008C62EB" w:rsidRPr="00D46A14">
        <w:rPr>
          <w:rFonts w:ascii="Book Antiqua" w:hAnsi="Book Antiqua"/>
          <w:sz w:val="24"/>
          <w:szCs w:val="24"/>
        </w:rPr>
        <w:t xml:space="preserve">administration of sedative if more is required. With regards to the procedures performed, diagnostic and therapeutic interventions can have differences in total procedure times, which </w:t>
      </w:r>
      <w:r w:rsidR="00283C29" w:rsidRPr="00D46A14">
        <w:rPr>
          <w:rFonts w:ascii="Book Antiqua" w:hAnsi="Book Antiqua"/>
          <w:sz w:val="24"/>
          <w:szCs w:val="24"/>
        </w:rPr>
        <w:t xml:space="preserve">in turn </w:t>
      </w:r>
      <w:r w:rsidR="008C62EB" w:rsidRPr="00D46A14">
        <w:rPr>
          <w:rFonts w:ascii="Book Antiqua" w:hAnsi="Book Antiqua"/>
          <w:sz w:val="24"/>
          <w:szCs w:val="24"/>
        </w:rPr>
        <w:t>can influence the type of sedation, doses required, level of sedation and maintenance of sedation. This can certainly influence heterogeneity.</w:t>
      </w:r>
    </w:p>
    <w:p w14:paraId="33FFF082" w14:textId="5EA632D3" w:rsidR="00DC7A81" w:rsidRPr="00D46A14" w:rsidRDefault="00DC7A81"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Finally, while it is important to highlight the clinical aspects of sedation use, it is imperative to understand that cost plays a significant role in the choice of sedation. While not assessed in this study, we believe cost effec</w:t>
      </w:r>
      <w:r w:rsidR="00567D81" w:rsidRPr="00D46A14">
        <w:rPr>
          <w:rFonts w:ascii="Book Antiqua" w:hAnsi="Book Antiqua"/>
          <w:sz w:val="24"/>
          <w:szCs w:val="24"/>
        </w:rPr>
        <w:t xml:space="preserve">tiveness should be highlighted </w:t>
      </w:r>
      <w:r w:rsidRPr="00D46A14">
        <w:rPr>
          <w:rFonts w:ascii="Book Antiqua" w:hAnsi="Book Antiqua"/>
          <w:sz w:val="24"/>
          <w:szCs w:val="24"/>
        </w:rPr>
        <w:t xml:space="preserve">in future sedation </w:t>
      </w:r>
      <w:r w:rsidR="00191211" w:rsidRPr="00D46A14">
        <w:rPr>
          <w:rFonts w:ascii="Book Antiqua" w:hAnsi="Book Antiqua"/>
          <w:sz w:val="24"/>
          <w:szCs w:val="24"/>
        </w:rPr>
        <w:t>meta-analysis</w:t>
      </w:r>
      <w:r w:rsidRPr="00D46A14">
        <w:rPr>
          <w:rFonts w:ascii="Book Antiqua" w:hAnsi="Book Antiqua"/>
          <w:sz w:val="24"/>
          <w:szCs w:val="24"/>
        </w:rPr>
        <w:t xml:space="preserve">. </w:t>
      </w:r>
    </w:p>
    <w:p w14:paraId="33D98428" w14:textId="523759AF" w:rsidR="00D475A3" w:rsidRPr="00D46A14" w:rsidRDefault="00567D81" w:rsidP="00D46A14">
      <w:pPr>
        <w:spacing w:after="0" w:line="360" w:lineRule="auto"/>
        <w:ind w:left="0" w:right="63" w:firstLineChars="100" w:firstLine="240"/>
        <w:rPr>
          <w:rFonts w:ascii="Book Antiqua" w:eastAsia="Calibri" w:hAnsi="Book Antiqua" w:cs="Arial"/>
          <w:color w:val="auto"/>
          <w:sz w:val="24"/>
          <w:szCs w:val="24"/>
          <w:lang w:eastAsia="en-US"/>
        </w:rPr>
      </w:pPr>
      <w:r w:rsidRPr="00D46A14">
        <w:rPr>
          <w:rFonts w:ascii="Book Antiqua" w:eastAsia="等线" w:hAnsi="Book Antiqua"/>
          <w:sz w:val="24"/>
          <w:szCs w:val="24"/>
          <w:lang w:eastAsia="zh-CN"/>
        </w:rPr>
        <w:t xml:space="preserve">In </w:t>
      </w:r>
      <w:r w:rsidRPr="00D46A14">
        <w:rPr>
          <w:rFonts w:ascii="Book Antiqua" w:hAnsi="Book Antiqua"/>
          <w:sz w:val="24"/>
          <w:szCs w:val="24"/>
        </w:rPr>
        <w:t>conclusion</w:t>
      </w:r>
      <w:r w:rsidRPr="00D46A14">
        <w:rPr>
          <w:rFonts w:ascii="Book Antiqua" w:eastAsia="等线" w:hAnsi="Book Antiqua"/>
          <w:sz w:val="24"/>
          <w:szCs w:val="24"/>
          <w:lang w:eastAsia="zh-CN"/>
        </w:rPr>
        <w:t xml:space="preserve">, </w:t>
      </w:r>
      <w:r w:rsidRPr="00D46A14">
        <w:rPr>
          <w:rFonts w:ascii="Book Antiqua" w:eastAsia="Calibri" w:hAnsi="Book Antiqua" w:cs="Arial"/>
          <w:color w:val="auto"/>
          <w:sz w:val="24"/>
          <w:szCs w:val="24"/>
          <w:lang w:eastAsia="en-US"/>
        </w:rPr>
        <w:t xml:space="preserve">this </w:t>
      </w:r>
      <w:r w:rsidR="00191211" w:rsidRPr="00D46A14">
        <w:rPr>
          <w:rFonts w:ascii="Book Antiqua" w:eastAsia="Calibri" w:hAnsi="Book Antiqua" w:cs="Arial"/>
          <w:color w:val="auto"/>
          <w:sz w:val="24"/>
          <w:szCs w:val="24"/>
          <w:lang w:eastAsia="en-US"/>
        </w:rPr>
        <w:t>meta-analysis</w:t>
      </w:r>
      <w:r w:rsidR="00C379A6" w:rsidRPr="00D46A14">
        <w:rPr>
          <w:rFonts w:ascii="Book Antiqua" w:eastAsia="Calibri" w:hAnsi="Book Antiqua" w:cs="Arial"/>
          <w:color w:val="auto"/>
          <w:sz w:val="24"/>
          <w:szCs w:val="24"/>
          <w:lang w:eastAsia="en-US"/>
        </w:rPr>
        <w:t xml:space="preserve"> suggests that the use of propofol alone or in combination with traditional adjunctive sedatives is safe and does not result in an increase in negative outcomes. </w:t>
      </w:r>
    </w:p>
    <w:p w14:paraId="05686860" w14:textId="1178F0F0" w:rsidR="00D475A3" w:rsidRPr="00D46A14" w:rsidRDefault="00D475A3" w:rsidP="00D46A14">
      <w:pPr>
        <w:spacing w:after="0" w:line="360" w:lineRule="auto"/>
        <w:ind w:left="0" w:right="0" w:firstLine="0"/>
        <w:rPr>
          <w:rFonts w:ascii="Book Antiqua" w:eastAsia="Calibri" w:hAnsi="Book Antiqua" w:cs="Arial"/>
          <w:color w:val="auto"/>
          <w:sz w:val="24"/>
          <w:szCs w:val="24"/>
          <w:lang w:eastAsia="en-US"/>
        </w:rPr>
      </w:pPr>
    </w:p>
    <w:p w14:paraId="33F608C2" w14:textId="77777777" w:rsidR="00D475A3" w:rsidRPr="00D46A14" w:rsidRDefault="00556D41" w:rsidP="00D46A14">
      <w:pPr>
        <w:adjustRightInd w:val="0"/>
        <w:snapToGrid w:val="0"/>
        <w:spacing w:after="0" w:line="360" w:lineRule="auto"/>
        <w:ind w:left="0" w:firstLine="0"/>
        <w:rPr>
          <w:rFonts w:ascii="Book Antiqua" w:hAnsi="Book Antiqua"/>
          <w:b/>
          <w:sz w:val="24"/>
          <w:szCs w:val="24"/>
        </w:rPr>
      </w:pPr>
      <w:r w:rsidRPr="00D46A14">
        <w:rPr>
          <w:rFonts w:ascii="Book Antiqua" w:hAnsi="Book Antiqua"/>
          <w:b/>
          <w:sz w:val="24"/>
          <w:szCs w:val="24"/>
        </w:rPr>
        <w:t xml:space="preserve">ARTICLE HIGHLIGHTS </w:t>
      </w:r>
    </w:p>
    <w:p w14:paraId="3E97415A" w14:textId="63A7B5CB" w:rsidR="00556D41" w:rsidRPr="00D46A14" w:rsidRDefault="00556D41" w:rsidP="00D46A14">
      <w:pPr>
        <w:adjustRightInd w:val="0"/>
        <w:snapToGrid w:val="0"/>
        <w:spacing w:after="0" w:line="360" w:lineRule="auto"/>
        <w:ind w:left="0" w:firstLine="0"/>
        <w:rPr>
          <w:rFonts w:ascii="Book Antiqua" w:hAnsi="Book Antiqua"/>
          <w:b/>
          <w:sz w:val="24"/>
          <w:szCs w:val="24"/>
        </w:rPr>
      </w:pPr>
      <w:r w:rsidRPr="00D46A14">
        <w:rPr>
          <w:rFonts w:ascii="Book Antiqua" w:hAnsi="Book Antiqua"/>
          <w:b/>
          <w:i/>
          <w:sz w:val="24"/>
          <w:szCs w:val="24"/>
        </w:rPr>
        <w:t>Research background</w:t>
      </w:r>
    </w:p>
    <w:p w14:paraId="28ABFDAC" w14:textId="12DF4FBE" w:rsidR="00556D41" w:rsidRPr="00D46A14" w:rsidRDefault="00335C4B" w:rsidP="00D46A14">
      <w:pPr>
        <w:adjustRightInd w:val="0"/>
        <w:snapToGrid w:val="0"/>
        <w:spacing w:after="0" w:line="360" w:lineRule="auto"/>
        <w:ind w:left="0" w:firstLine="0"/>
        <w:rPr>
          <w:rFonts w:ascii="Book Antiqua" w:hAnsi="Book Antiqua"/>
          <w:sz w:val="24"/>
          <w:szCs w:val="24"/>
        </w:rPr>
      </w:pPr>
      <w:r w:rsidRPr="00D46A14">
        <w:rPr>
          <w:rFonts w:ascii="Book Antiqua" w:hAnsi="Book Antiqua"/>
          <w:sz w:val="24"/>
          <w:szCs w:val="24"/>
        </w:rPr>
        <w:t>Endoscopy has transformed over the past several decades to encompass significant advances and procedural innovation, with the hope to provide better care for ill patients. However, with technical advances and innovation comes increasingly prolonged and complex</w:t>
      </w:r>
      <w:r w:rsidR="00D475A3" w:rsidRPr="00D46A14">
        <w:rPr>
          <w:rFonts w:ascii="Book Antiqua" w:hAnsi="Book Antiqua"/>
          <w:sz w:val="24"/>
          <w:szCs w:val="24"/>
        </w:rPr>
        <w:t xml:space="preserve"> procedures</w:t>
      </w:r>
      <w:r w:rsidRPr="00D46A14">
        <w:rPr>
          <w:rFonts w:ascii="Book Antiqua" w:hAnsi="Book Antiqua"/>
          <w:sz w:val="24"/>
          <w:szCs w:val="24"/>
        </w:rPr>
        <w:t xml:space="preserve">. This change in the endoscopic platform, alongside the higher acuity of patients, has demanded a change in the approach for procedural sedation to ensure safe interventions. </w:t>
      </w:r>
    </w:p>
    <w:p w14:paraId="2FEE661A" w14:textId="77777777" w:rsidR="00E81AA7" w:rsidRPr="00D46A14" w:rsidRDefault="00E81AA7" w:rsidP="00D46A14">
      <w:pPr>
        <w:adjustRightInd w:val="0"/>
        <w:snapToGrid w:val="0"/>
        <w:spacing w:after="0" w:line="360" w:lineRule="auto"/>
        <w:ind w:left="0" w:firstLine="0"/>
        <w:rPr>
          <w:rFonts w:ascii="Book Antiqua" w:eastAsia="等线" w:hAnsi="Book Antiqua"/>
          <w:b/>
          <w:i/>
          <w:sz w:val="24"/>
          <w:szCs w:val="24"/>
          <w:lang w:eastAsia="zh-CN"/>
        </w:rPr>
      </w:pPr>
    </w:p>
    <w:p w14:paraId="692F6D26" w14:textId="77777777" w:rsidR="00556D41" w:rsidRPr="00D46A14" w:rsidRDefault="00556D41" w:rsidP="00D46A14">
      <w:pPr>
        <w:adjustRightInd w:val="0"/>
        <w:snapToGrid w:val="0"/>
        <w:spacing w:after="0" w:line="360" w:lineRule="auto"/>
        <w:ind w:left="0" w:firstLine="0"/>
        <w:rPr>
          <w:rFonts w:ascii="Book Antiqua" w:hAnsi="Book Antiqua"/>
          <w:b/>
          <w:i/>
          <w:sz w:val="24"/>
          <w:szCs w:val="24"/>
        </w:rPr>
      </w:pPr>
      <w:r w:rsidRPr="00D46A14">
        <w:rPr>
          <w:rFonts w:ascii="Book Antiqua" w:hAnsi="Book Antiqua"/>
          <w:b/>
          <w:i/>
          <w:sz w:val="24"/>
          <w:szCs w:val="24"/>
        </w:rPr>
        <w:t>Research motivation</w:t>
      </w:r>
    </w:p>
    <w:p w14:paraId="210B1F28" w14:textId="53ABE7E7" w:rsidR="00556D41" w:rsidRPr="00D46A14" w:rsidRDefault="00D81B35" w:rsidP="00D46A14">
      <w:pPr>
        <w:adjustRightInd w:val="0"/>
        <w:snapToGrid w:val="0"/>
        <w:spacing w:after="0" w:line="360" w:lineRule="auto"/>
        <w:ind w:left="0" w:firstLine="0"/>
        <w:rPr>
          <w:rFonts w:ascii="Book Antiqua" w:hAnsi="Book Antiqua"/>
          <w:sz w:val="24"/>
          <w:szCs w:val="24"/>
        </w:rPr>
      </w:pPr>
      <w:r w:rsidRPr="00D46A14">
        <w:rPr>
          <w:rFonts w:ascii="Book Antiqua" w:hAnsi="Book Antiqua"/>
          <w:sz w:val="24"/>
          <w:szCs w:val="24"/>
        </w:rPr>
        <w:t xml:space="preserve">The change in the sedation landscape for endoscopy over the past several decades necessitates a better understanding of sedation types and how they compare to each other for the modern practicing endocsopist. </w:t>
      </w:r>
    </w:p>
    <w:p w14:paraId="67CFC677" w14:textId="77777777" w:rsidR="00E81AA7" w:rsidRPr="00D46A14" w:rsidRDefault="00E81AA7" w:rsidP="00D46A14">
      <w:pPr>
        <w:adjustRightInd w:val="0"/>
        <w:snapToGrid w:val="0"/>
        <w:spacing w:after="0" w:line="360" w:lineRule="auto"/>
        <w:ind w:left="0" w:firstLine="0"/>
        <w:rPr>
          <w:rFonts w:ascii="Book Antiqua" w:eastAsia="等线" w:hAnsi="Book Antiqua"/>
          <w:b/>
          <w:i/>
          <w:sz w:val="24"/>
          <w:szCs w:val="24"/>
          <w:lang w:eastAsia="zh-CN"/>
        </w:rPr>
      </w:pPr>
    </w:p>
    <w:p w14:paraId="42B6F5FB" w14:textId="77777777" w:rsidR="00556D41" w:rsidRPr="00D46A14" w:rsidRDefault="00556D41" w:rsidP="00D46A14">
      <w:pPr>
        <w:adjustRightInd w:val="0"/>
        <w:snapToGrid w:val="0"/>
        <w:spacing w:after="0" w:line="360" w:lineRule="auto"/>
        <w:ind w:left="0" w:firstLine="0"/>
        <w:rPr>
          <w:rFonts w:ascii="Book Antiqua" w:hAnsi="Book Antiqua"/>
          <w:b/>
          <w:i/>
          <w:sz w:val="24"/>
          <w:szCs w:val="24"/>
        </w:rPr>
      </w:pPr>
      <w:r w:rsidRPr="00D46A14">
        <w:rPr>
          <w:rFonts w:ascii="Book Antiqua" w:hAnsi="Book Antiqua"/>
          <w:b/>
          <w:i/>
          <w:sz w:val="24"/>
          <w:szCs w:val="24"/>
        </w:rPr>
        <w:t xml:space="preserve">Research objectives </w:t>
      </w:r>
    </w:p>
    <w:p w14:paraId="5A1E1E2A" w14:textId="46B955AA" w:rsidR="00D475A3" w:rsidRPr="00D46A14" w:rsidRDefault="00D475A3" w:rsidP="00D46A14">
      <w:pPr>
        <w:adjustRightInd w:val="0"/>
        <w:snapToGrid w:val="0"/>
        <w:spacing w:after="0" w:line="360" w:lineRule="auto"/>
        <w:ind w:left="0" w:firstLine="0"/>
        <w:rPr>
          <w:rFonts w:ascii="Book Antiqua" w:hAnsi="Book Antiqua"/>
          <w:sz w:val="24"/>
          <w:szCs w:val="24"/>
        </w:rPr>
      </w:pPr>
      <w:r w:rsidRPr="00D46A14">
        <w:rPr>
          <w:rFonts w:ascii="Book Antiqua" w:hAnsi="Book Antiqua"/>
          <w:sz w:val="24"/>
          <w:szCs w:val="24"/>
        </w:rPr>
        <w:t>We aimed to compare sedation with propofol</w:t>
      </w:r>
      <w:r w:rsidR="00D81B35" w:rsidRPr="00D46A14">
        <w:rPr>
          <w:rFonts w:ascii="Book Antiqua" w:hAnsi="Book Antiqua"/>
          <w:sz w:val="24"/>
          <w:szCs w:val="24"/>
        </w:rPr>
        <w:t xml:space="preserve">, alone or in combination with adjunctive sedations, to traditional sedation in endoscopy through a </w:t>
      </w:r>
      <w:r w:rsidRPr="00D46A14">
        <w:rPr>
          <w:rFonts w:ascii="Book Antiqua" w:hAnsi="Book Antiqua"/>
          <w:sz w:val="24"/>
          <w:szCs w:val="24"/>
        </w:rPr>
        <w:t>s</w:t>
      </w:r>
      <w:r w:rsidR="00D81B35" w:rsidRPr="00D46A14">
        <w:rPr>
          <w:rFonts w:ascii="Book Antiqua" w:hAnsi="Book Antiqua"/>
          <w:sz w:val="24"/>
          <w:szCs w:val="24"/>
        </w:rPr>
        <w:t>yst</w:t>
      </w:r>
      <w:r w:rsidRPr="00D46A14">
        <w:rPr>
          <w:rFonts w:ascii="Book Antiqua" w:hAnsi="Book Antiqua"/>
          <w:sz w:val="24"/>
          <w:szCs w:val="24"/>
        </w:rPr>
        <w:t xml:space="preserve">ematic review of the literature </w:t>
      </w:r>
      <w:r w:rsidR="00801C2D" w:rsidRPr="00D46A14">
        <w:rPr>
          <w:rFonts w:ascii="Book Antiqua" w:hAnsi="Book Antiqua"/>
          <w:sz w:val="24"/>
          <w:szCs w:val="24"/>
        </w:rPr>
        <w:t>and</w:t>
      </w:r>
      <w:r w:rsidRPr="00D46A14">
        <w:rPr>
          <w:rFonts w:ascii="Book Antiqua" w:hAnsi="Book Antiqua"/>
          <w:sz w:val="24"/>
          <w:szCs w:val="24"/>
        </w:rPr>
        <w:t xml:space="preserve"> meta-analysis.</w:t>
      </w:r>
    </w:p>
    <w:p w14:paraId="4F183AAA" w14:textId="6F8F78C7" w:rsidR="00600B82" w:rsidRPr="00D46A14" w:rsidRDefault="00600B82" w:rsidP="00D46A14">
      <w:pPr>
        <w:adjustRightInd w:val="0"/>
        <w:snapToGrid w:val="0"/>
        <w:spacing w:after="0" w:line="360" w:lineRule="auto"/>
        <w:rPr>
          <w:rFonts w:ascii="Book Antiqua" w:hAnsi="Book Antiqua"/>
          <w:sz w:val="24"/>
          <w:szCs w:val="24"/>
        </w:rPr>
      </w:pPr>
    </w:p>
    <w:p w14:paraId="098B794E" w14:textId="77777777" w:rsidR="00600B82" w:rsidRPr="00D46A14" w:rsidRDefault="00556D41" w:rsidP="00D46A14">
      <w:pPr>
        <w:adjustRightInd w:val="0"/>
        <w:snapToGrid w:val="0"/>
        <w:spacing w:after="0" w:line="360" w:lineRule="auto"/>
        <w:ind w:left="0" w:firstLine="0"/>
        <w:rPr>
          <w:rFonts w:ascii="Book Antiqua" w:hAnsi="Book Antiqua"/>
          <w:b/>
          <w:i/>
          <w:sz w:val="24"/>
          <w:szCs w:val="24"/>
        </w:rPr>
      </w:pPr>
      <w:r w:rsidRPr="00D46A14">
        <w:rPr>
          <w:rFonts w:ascii="Book Antiqua" w:hAnsi="Book Antiqua"/>
          <w:b/>
          <w:i/>
          <w:sz w:val="24"/>
          <w:szCs w:val="24"/>
        </w:rPr>
        <w:t>Research methods</w:t>
      </w:r>
    </w:p>
    <w:p w14:paraId="3542CE1B" w14:textId="6CA89043" w:rsidR="00556D41" w:rsidRPr="00D46A14" w:rsidRDefault="00D475A3" w:rsidP="00D46A14">
      <w:pPr>
        <w:adjustRightInd w:val="0"/>
        <w:snapToGrid w:val="0"/>
        <w:spacing w:after="0" w:line="360" w:lineRule="auto"/>
        <w:ind w:left="0" w:firstLine="0"/>
        <w:rPr>
          <w:rFonts w:ascii="Book Antiqua" w:hAnsi="Book Antiqua"/>
          <w:b/>
          <w:i/>
          <w:sz w:val="24"/>
          <w:szCs w:val="24"/>
        </w:rPr>
      </w:pPr>
      <w:r w:rsidRPr="00D46A14">
        <w:rPr>
          <w:rFonts w:ascii="Book Antiqua" w:hAnsi="Book Antiqua"/>
          <w:sz w:val="24"/>
          <w:szCs w:val="24"/>
        </w:rPr>
        <w:t xml:space="preserve">This systematic review was conducted according to the </w:t>
      </w:r>
      <w:r w:rsidR="00E81AA7" w:rsidRPr="00D46A14">
        <w:rPr>
          <w:rFonts w:ascii="Book Antiqua" w:hAnsi="Book Antiqua"/>
          <w:sz w:val="24"/>
          <w:szCs w:val="24"/>
        </w:rPr>
        <w:t xml:space="preserve">Preferred Reporting Items for Systematic Reviews and Meta-Analyses </w:t>
      </w:r>
      <w:r w:rsidR="00D81B35" w:rsidRPr="00D46A14">
        <w:rPr>
          <w:rFonts w:ascii="Book Antiqua" w:hAnsi="Book Antiqua"/>
          <w:sz w:val="24"/>
          <w:szCs w:val="24"/>
        </w:rPr>
        <w:t>guidelines</w:t>
      </w:r>
      <w:r w:rsidR="00E81AA7" w:rsidRPr="00D46A14">
        <w:rPr>
          <w:rFonts w:ascii="Book Antiqua" w:eastAsia="等线" w:hAnsi="Book Antiqua"/>
          <w:sz w:val="24"/>
          <w:szCs w:val="24"/>
          <w:lang w:eastAsia="zh-CN"/>
        </w:rPr>
        <w:t xml:space="preserve"> </w:t>
      </w:r>
      <w:r w:rsidRPr="00D46A14">
        <w:rPr>
          <w:rFonts w:ascii="Book Antiqua" w:hAnsi="Book Antiqua"/>
          <w:sz w:val="24"/>
          <w:szCs w:val="24"/>
        </w:rPr>
        <w:t xml:space="preserve">and registered </w:t>
      </w:r>
      <w:r w:rsidR="00D81B35" w:rsidRPr="00D46A14">
        <w:rPr>
          <w:rFonts w:ascii="Book Antiqua" w:hAnsi="Book Antiqua"/>
          <w:sz w:val="24"/>
          <w:szCs w:val="24"/>
        </w:rPr>
        <w:t>in</w:t>
      </w:r>
      <w:r w:rsidRPr="00D46A14">
        <w:rPr>
          <w:rFonts w:ascii="Book Antiqua" w:hAnsi="Book Antiqua"/>
          <w:sz w:val="24"/>
          <w:szCs w:val="24"/>
        </w:rPr>
        <w:t xml:space="preserve"> </w:t>
      </w:r>
      <w:r w:rsidR="00E81AA7" w:rsidRPr="00D46A14">
        <w:rPr>
          <w:rFonts w:ascii="Book Antiqua" w:hAnsi="Book Antiqua"/>
          <w:sz w:val="24"/>
          <w:szCs w:val="24"/>
        </w:rPr>
        <w:t xml:space="preserve">International Prospective Register of Systematic Reviews </w:t>
      </w:r>
      <w:r w:rsidRPr="00D46A14">
        <w:rPr>
          <w:rFonts w:ascii="Book Antiqua" w:hAnsi="Book Antiqua"/>
          <w:sz w:val="24"/>
          <w:szCs w:val="24"/>
        </w:rPr>
        <w:t xml:space="preserve">international database. The search was performed in the electronic databases </w:t>
      </w:r>
      <w:r w:rsidR="00E81AA7" w:rsidRPr="00D46A14">
        <w:rPr>
          <w:rFonts w:ascii="Book Antiqua" w:hAnsi="Book Antiqua"/>
          <w:sz w:val="24"/>
          <w:szCs w:val="24"/>
        </w:rPr>
        <w:t xml:space="preserve">MEDLINE </w:t>
      </w:r>
      <w:r w:rsidRPr="00D46A14">
        <w:rPr>
          <w:rFonts w:ascii="Book Antiqua" w:hAnsi="Book Antiqua"/>
          <w:sz w:val="24"/>
          <w:szCs w:val="24"/>
        </w:rPr>
        <w:t>(</w:t>
      </w:r>
      <w:r w:rsidRPr="00D46A14">
        <w:rPr>
          <w:rFonts w:ascii="Book Antiqua" w:hAnsi="Book Antiqua"/>
          <w:i/>
          <w:sz w:val="24"/>
          <w:szCs w:val="24"/>
        </w:rPr>
        <w:t>via</w:t>
      </w:r>
      <w:r w:rsidRPr="00D46A14">
        <w:rPr>
          <w:rFonts w:ascii="Book Antiqua" w:hAnsi="Book Antiqua"/>
          <w:sz w:val="24"/>
          <w:szCs w:val="24"/>
        </w:rPr>
        <w:t xml:space="preserve"> PubMed), LILACS (</w:t>
      </w:r>
      <w:r w:rsidRPr="00D46A14">
        <w:rPr>
          <w:rFonts w:ascii="Book Antiqua" w:hAnsi="Book Antiqua"/>
          <w:i/>
          <w:sz w:val="24"/>
          <w:szCs w:val="24"/>
        </w:rPr>
        <w:t>via</w:t>
      </w:r>
      <w:r w:rsidRPr="00D46A14">
        <w:rPr>
          <w:rFonts w:ascii="Book Antiqua" w:hAnsi="Book Antiqua"/>
          <w:sz w:val="24"/>
          <w:szCs w:val="24"/>
        </w:rPr>
        <w:t xml:space="preserve"> BVS) and Cochrane/</w:t>
      </w:r>
      <w:r w:rsidR="00E81AA7" w:rsidRPr="00D46A14">
        <w:rPr>
          <w:rFonts w:ascii="Book Antiqua" w:hAnsi="Book Antiqua"/>
          <w:sz w:val="24"/>
          <w:szCs w:val="24"/>
        </w:rPr>
        <w:t>Central Register of Controlled Trials</w:t>
      </w:r>
      <w:r w:rsidRPr="00D46A14">
        <w:rPr>
          <w:rFonts w:ascii="Book Antiqua" w:hAnsi="Book Antiqua"/>
          <w:sz w:val="24"/>
          <w:szCs w:val="24"/>
        </w:rPr>
        <w:t xml:space="preserve">. The quality of the selected papers was evaluated by Jadad score and all articles used </w:t>
      </w:r>
      <w:r w:rsidR="00C86407" w:rsidRPr="00D46A14">
        <w:rPr>
          <w:rFonts w:ascii="Book Antiqua" w:hAnsi="Book Antiqua"/>
          <w:sz w:val="24"/>
          <w:szCs w:val="24"/>
        </w:rPr>
        <w:t>were selected by consensus of</w:t>
      </w:r>
      <w:r w:rsidRPr="00D46A14">
        <w:rPr>
          <w:rFonts w:ascii="Book Antiqua" w:hAnsi="Book Antiqua"/>
          <w:sz w:val="24"/>
          <w:szCs w:val="24"/>
        </w:rPr>
        <w:t xml:space="preserve"> three authors</w:t>
      </w:r>
      <w:r w:rsidR="00C86407" w:rsidRPr="00D46A14">
        <w:rPr>
          <w:rFonts w:ascii="Book Antiqua" w:hAnsi="Book Antiqua"/>
          <w:sz w:val="24"/>
          <w:szCs w:val="24"/>
        </w:rPr>
        <w:t>.</w:t>
      </w:r>
      <w:r w:rsidRPr="00D46A14">
        <w:rPr>
          <w:rFonts w:ascii="Book Antiqua" w:hAnsi="Book Antiqua"/>
          <w:sz w:val="24"/>
          <w:szCs w:val="24"/>
        </w:rPr>
        <w:t xml:space="preserve"> </w:t>
      </w:r>
    </w:p>
    <w:p w14:paraId="28FDA6F6" w14:textId="77777777" w:rsidR="00E81AA7" w:rsidRPr="00D46A14" w:rsidRDefault="00E81AA7" w:rsidP="00D46A14">
      <w:pPr>
        <w:adjustRightInd w:val="0"/>
        <w:snapToGrid w:val="0"/>
        <w:spacing w:after="0" w:line="360" w:lineRule="auto"/>
        <w:ind w:left="0" w:firstLine="0"/>
        <w:rPr>
          <w:rFonts w:ascii="Book Antiqua" w:eastAsia="等线" w:hAnsi="Book Antiqua"/>
          <w:b/>
          <w:i/>
          <w:sz w:val="24"/>
          <w:szCs w:val="24"/>
          <w:lang w:eastAsia="zh-CN"/>
        </w:rPr>
      </w:pPr>
    </w:p>
    <w:p w14:paraId="5EE99F8C" w14:textId="77777777" w:rsidR="00556D41" w:rsidRPr="00D46A14" w:rsidRDefault="00556D41" w:rsidP="00D46A14">
      <w:pPr>
        <w:adjustRightInd w:val="0"/>
        <w:snapToGrid w:val="0"/>
        <w:spacing w:after="0" w:line="360" w:lineRule="auto"/>
        <w:ind w:left="0" w:firstLine="0"/>
        <w:rPr>
          <w:rFonts w:ascii="Book Antiqua" w:hAnsi="Book Antiqua"/>
          <w:b/>
          <w:i/>
          <w:sz w:val="24"/>
          <w:szCs w:val="24"/>
        </w:rPr>
      </w:pPr>
      <w:r w:rsidRPr="00D46A14">
        <w:rPr>
          <w:rFonts w:ascii="Book Antiqua" w:hAnsi="Book Antiqua"/>
          <w:b/>
          <w:i/>
          <w:sz w:val="24"/>
          <w:szCs w:val="24"/>
        </w:rPr>
        <w:t>Research results</w:t>
      </w:r>
    </w:p>
    <w:p w14:paraId="20975337" w14:textId="069D54A1" w:rsidR="00556D41" w:rsidRPr="00D46A14" w:rsidRDefault="00D475A3" w:rsidP="00D46A14">
      <w:pPr>
        <w:adjustRightInd w:val="0"/>
        <w:snapToGrid w:val="0"/>
        <w:spacing w:after="0" w:line="360" w:lineRule="auto"/>
        <w:ind w:left="0" w:firstLine="0"/>
        <w:rPr>
          <w:rFonts w:ascii="Book Antiqua" w:hAnsi="Book Antiqua"/>
          <w:sz w:val="24"/>
          <w:szCs w:val="24"/>
        </w:rPr>
      </w:pPr>
      <w:r w:rsidRPr="00D46A14">
        <w:rPr>
          <w:rFonts w:ascii="Book Antiqua" w:hAnsi="Book Antiqua"/>
          <w:sz w:val="24"/>
          <w:szCs w:val="24"/>
        </w:rPr>
        <w:t>A total of 23 clinical trials (</w:t>
      </w:r>
      <w:r w:rsidRPr="00D46A14">
        <w:rPr>
          <w:rFonts w:ascii="Book Antiqua" w:hAnsi="Book Antiqua"/>
          <w:i/>
          <w:sz w:val="24"/>
          <w:szCs w:val="24"/>
        </w:rPr>
        <w:t>n</w:t>
      </w:r>
      <w:r w:rsidR="00E81AA7" w:rsidRPr="00D46A14">
        <w:rPr>
          <w:rFonts w:ascii="Book Antiqua" w:eastAsia="等线" w:hAnsi="Book Antiqua"/>
          <w:sz w:val="24"/>
          <w:szCs w:val="24"/>
          <w:lang w:eastAsia="zh-CN"/>
        </w:rPr>
        <w:t xml:space="preserve"> </w:t>
      </w:r>
      <w:r w:rsidRPr="00D46A14">
        <w:rPr>
          <w:rFonts w:ascii="Book Antiqua" w:hAnsi="Book Antiqua"/>
          <w:sz w:val="24"/>
          <w:szCs w:val="24"/>
        </w:rPr>
        <w:t>=</w:t>
      </w:r>
      <w:r w:rsidR="00E81AA7" w:rsidRPr="00D46A14">
        <w:rPr>
          <w:rFonts w:ascii="Book Antiqua" w:eastAsia="等线" w:hAnsi="Book Antiqua"/>
          <w:sz w:val="24"/>
          <w:szCs w:val="24"/>
          <w:lang w:eastAsia="zh-CN"/>
        </w:rPr>
        <w:t xml:space="preserve"> </w:t>
      </w:r>
      <w:r w:rsidRPr="00D46A14">
        <w:rPr>
          <w:rFonts w:ascii="Book Antiqua" w:hAnsi="Book Antiqua"/>
          <w:sz w:val="24"/>
          <w:szCs w:val="24"/>
        </w:rPr>
        <w:t xml:space="preserve">3854), from </w:t>
      </w:r>
      <w:r w:rsidR="00C86407" w:rsidRPr="00D46A14">
        <w:rPr>
          <w:rFonts w:ascii="Book Antiqua" w:hAnsi="Book Antiqua"/>
          <w:sz w:val="24"/>
          <w:szCs w:val="24"/>
        </w:rPr>
        <w:t xml:space="preserve">an </w:t>
      </w:r>
      <w:r w:rsidRPr="00D46A14">
        <w:rPr>
          <w:rFonts w:ascii="Book Antiqua" w:hAnsi="Book Antiqua"/>
          <w:sz w:val="24"/>
          <w:szCs w:val="24"/>
        </w:rPr>
        <w:t>initial search of 6410 articles, were included.</w:t>
      </w:r>
      <w:r w:rsidR="00E81AA7" w:rsidRPr="00D46A14">
        <w:rPr>
          <w:rFonts w:ascii="Book Antiqua" w:eastAsia="等线" w:hAnsi="Book Antiqua"/>
          <w:sz w:val="24"/>
          <w:szCs w:val="24"/>
          <w:lang w:eastAsia="zh-CN"/>
        </w:rPr>
        <w:t xml:space="preserve"> </w:t>
      </w:r>
      <w:r w:rsidR="00E81AA7" w:rsidRPr="00D46A14">
        <w:rPr>
          <w:rFonts w:ascii="Book Antiqua" w:hAnsi="Book Antiqua"/>
          <w:sz w:val="24"/>
          <w:szCs w:val="24"/>
        </w:rPr>
        <w:t xml:space="preserve">For Group I </w:t>
      </w:r>
      <w:r w:rsidR="00E81AA7" w:rsidRPr="00D46A14">
        <w:rPr>
          <w:rFonts w:ascii="Book Antiqua" w:eastAsia="等线" w:hAnsi="Book Antiqua"/>
          <w:sz w:val="24"/>
          <w:szCs w:val="24"/>
          <w:lang w:eastAsia="zh-CN"/>
        </w:rPr>
        <w:t>(</w:t>
      </w:r>
      <w:r w:rsidRPr="00D46A14">
        <w:rPr>
          <w:rFonts w:ascii="Book Antiqua" w:hAnsi="Book Antiqua"/>
          <w:sz w:val="24"/>
          <w:szCs w:val="24"/>
        </w:rPr>
        <w:t xml:space="preserve">Propofol </w:t>
      </w:r>
      <w:r w:rsidRPr="00D46A14">
        <w:rPr>
          <w:rFonts w:ascii="Book Antiqua" w:hAnsi="Book Antiqua"/>
          <w:i/>
          <w:sz w:val="24"/>
          <w:szCs w:val="24"/>
        </w:rPr>
        <w:t>vs</w:t>
      </w:r>
      <w:r w:rsidRPr="00D46A14">
        <w:rPr>
          <w:rFonts w:ascii="Book Antiqua" w:hAnsi="Book Antiqua"/>
          <w:sz w:val="24"/>
          <w:szCs w:val="24"/>
        </w:rPr>
        <w:t xml:space="preserve"> </w:t>
      </w:r>
      <w:r w:rsidR="00E81AA7" w:rsidRPr="00D46A14">
        <w:rPr>
          <w:rFonts w:ascii="Book Antiqua" w:hAnsi="Book Antiqua"/>
          <w:sz w:val="24"/>
          <w:szCs w:val="24"/>
        </w:rPr>
        <w:t xml:space="preserve">benzodiazepine </w:t>
      </w:r>
      <w:r w:rsidRPr="00D46A14">
        <w:rPr>
          <w:rFonts w:ascii="Book Antiqua" w:hAnsi="Book Antiqua"/>
          <w:sz w:val="24"/>
          <w:szCs w:val="24"/>
        </w:rPr>
        <w:t xml:space="preserve">and/or </w:t>
      </w:r>
      <w:r w:rsidR="00E81AA7" w:rsidRPr="00D46A14">
        <w:rPr>
          <w:rFonts w:ascii="Book Antiqua" w:hAnsi="Book Antiqua"/>
          <w:sz w:val="24"/>
          <w:szCs w:val="24"/>
        </w:rPr>
        <w:t>opioids</w:t>
      </w:r>
      <w:r w:rsidR="00E81AA7" w:rsidRPr="00D46A14">
        <w:rPr>
          <w:rFonts w:ascii="Book Antiqua" w:eastAsia="等线" w:hAnsi="Book Antiqua"/>
          <w:sz w:val="24"/>
          <w:szCs w:val="24"/>
          <w:lang w:eastAsia="zh-CN"/>
        </w:rPr>
        <w:t>)</w:t>
      </w:r>
      <w:r w:rsidR="00222C26">
        <w:rPr>
          <w:rFonts w:ascii="Book Antiqua" w:hAnsi="Book Antiqua"/>
          <w:sz w:val="24"/>
          <w:szCs w:val="24"/>
        </w:rPr>
        <w:t>: </w:t>
      </w:r>
      <w:r w:rsidRPr="00D46A14">
        <w:rPr>
          <w:rFonts w:ascii="Book Antiqua" w:hAnsi="Book Antiqua"/>
          <w:sz w:val="24"/>
          <w:szCs w:val="24"/>
        </w:rPr>
        <w:t>The incidence of bradycardia, hypotension, oxygen desaturation</w:t>
      </w:r>
      <w:r w:rsidR="00C86407" w:rsidRPr="00D46A14">
        <w:rPr>
          <w:rFonts w:ascii="Book Antiqua" w:hAnsi="Book Antiqua"/>
          <w:sz w:val="24"/>
          <w:szCs w:val="24"/>
        </w:rPr>
        <w:t xml:space="preserve"> and</w:t>
      </w:r>
      <w:r w:rsidRPr="00D46A14">
        <w:rPr>
          <w:rFonts w:ascii="Book Antiqua" w:hAnsi="Book Antiqua"/>
          <w:sz w:val="24"/>
          <w:szCs w:val="24"/>
        </w:rPr>
        <w:t xml:space="preserve"> </w:t>
      </w:r>
      <w:r w:rsidR="00C86407" w:rsidRPr="00D46A14">
        <w:rPr>
          <w:rFonts w:ascii="Book Antiqua" w:hAnsi="Book Antiqua"/>
          <w:sz w:val="24"/>
          <w:szCs w:val="24"/>
        </w:rPr>
        <w:t xml:space="preserve">post procedure </w:t>
      </w:r>
      <w:r w:rsidRPr="00D46A14">
        <w:rPr>
          <w:rFonts w:ascii="Book Antiqua" w:hAnsi="Book Antiqua"/>
          <w:sz w:val="24"/>
          <w:szCs w:val="24"/>
        </w:rPr>
        <w:t xml:space="preserve">recovery time was not statistically different between both arms. For </w:t>
      </w:r>
      <w:r w:rsidR="00E81AA7" w:rsidRPr="00D46A14">
        <w:rPr>
          <w:rFonts w:ascii="Book Antiqua" w:hAnsi="Book Antiqua"/>
          <w:sz w:val="24"/>
          <w:szCs w:val="24"/>
        </w:rPr>
        <w:t xml:space="preserve">Group II </w:t>
      </w:r>
      <w:r w:rsidR="00E81AA7" w:rsidRPr="00D46A14">
        <w:rPr>
          <w:rFonts w:ascii="Book Antiqua" w:eastAsia="等线" w:hAnsi="Book Antiqua"/>
          <w:sz w:val="24"/>
          <w:szCs w:val="24"/>
          <w:lang w:eastAsia="zh-CN"/>
        </w:rPr>
        <w:t>(</w:t>
      </w:r>
      <w:r w:rsidRPr="00D46A14">
        <w:rPr>
          <w:rFonts w:ascii="Book Antiqua" w:hAnsi="Book Antiqua"/>
          <w:sz w:val="24"/>
          <w:szCs w:val="24"/>
        </w:rPr>
        <w:t xml:space="preserve">Propofol </w:t>
      </w:r>
      <w:r w:rsidR="00E81AA7" w:rsidRPr="00D46A14">
        <w:rPr>
          <w:rFonts w:ascii="Book Antiqua" w:eastAsia="等线" w:hAnsi="Book Antiqua"/>
          <w:i/>
          <w:sz w:val="24"/>
          <w:szCs w:val="24"/>
          <w:lang w:eastAsia="zh-CN"/>
        </w:rPr>
        <w:t>vs</w:t>
      </w:r>
      <w:r w:rsidRPr="00D46A14">
        <w:rPr>
          <w:rFonts w:ascii="Book Antiqua" w:hAnsi="Book Antiqua"/>
          <w:sz w:val="24"/>
          <w:szCs w:val="24"/>
        </w:rPr>
        <w:t xml:space="preserve"> </w:t>
      </w:r>
      <w:r w:rsidR="00E81AA7" w:rsidRPr="00D46A14">
        <w:rPr>
          <w:rFonts w:ascii="Book Antiqua" w:hAnsi="Book Antiqua"/>
          <w:sz w:val="24"/>
          <w:szCs w:val="24"/>
        </w:rPr>
        <w:t xml:space="preserve">propofol </w:t>
      </w:r>
      <w:r w:rsidRPr="00D46A14">
        <w:rPr>
          <w:rFonts w:ascii="Book Antiqua" w:hAnsi="Book Antiqua"/>
          <w:sz w:val="24"/>
          <w:szCs w:val="24"/>
        </w:rPr>
        <w:t>wit</w:t>
      </w:r>
      <w:r w:rsidR="00E81AA7" w:rsidRPr="00D46A14">
        <w:rPr>
          <w:rFonts w:ascii="Book Antiqua" w:hAnsi="Book Antiqua"/>
          <w:sz w:val="24"/>
          <w:szCs w:val="24"/>
        </w:rPr>
        <w:t>h benzodiazepine and/or opioids</w:t>
      </w:r>
      <w:r w:rsidR="00E81AA7" w:rsidRPr="00D46A14">
        <w:rPr>
          <w:rFonts w:ascii="Book Antiqua" w:eastAsia="等线" w:hAnsi="Book Antiqua"/>
          <w:sz w:val="24"/>
          <w:szCs w:val="24"/>
          <w:lang w:eastAsia="zh-CN"/>
        </w:rPr>
        <w:t>)</w:t>
      </w:r>
      <w:r w:rsidRPr="00D46A14">
        <w:rPr>
          <w:rFonts w:ascii="Book Antiqua" w:hAnsi="Book Antiqua"/>
          <w:sz w:val="24"/>
          <w:szCs w:val="24"/>
        </w:rPr>
        <w:t xml:space="preserve">: Bradycardia tended </w:t>
      </w:r>
      <w:r w:rsidR="00C86407" w:rsidRPr="00D46A14">
        <w:rPr>
          <w:rFonts w:ascii="Book Antiqua" w:hAnsi="Book Antiqua"/>
          <w:sz w:val="24"/>
          <w:szCs w:val="24"/>
        </w:rPr>
        <w:t xml:space="preserve">to occur in the </w:t>
      </w:r>
      <w:r w:rsidR="00E81AA7" w:rsidRPr="00D46A14">
        <w:rPr>
          <w:rFonts w:ascii="Book Antiqua" w:hAnsi="Book Antiqua"/>
          <w:sz w:val="24"/>
          <w:szCs w:val="24"/>
        </w:rPr>
        <w:t xml:space="preserve">propofol </w:t>
      </w:r>
      <w:r w:rsidRPr="00D46A14">
        <w:rPr>
          <w:rFonts w:ascii="Book Antiqua" w:hAnsi="Book Antiqua"/>
          <w:sz w:val="24"/>
          <w:szCs w:val="24"/>
        </w:rPr>
        <w:t>group with benzodiazepine and/or opioid-associated</w:t>
      </w:r>
      <w:r w:rsidR="00C86407" w:rsidRPr="00D46A14">
        <w:rPr>
          <w:rFonts w:ascii="Book Antiqua" w:hAnsi="Book Antiqua"/>
          <w:sz w:val="24"/>
          <w:szCs w:val="24"/>
        </w:rPr>
        <w:t xml:space="preserve"> but there was </w:t>
      </w:r>
      <w:r w:rsidRPr="00D46A14">
        <w:rPr>
          <w:rFonts w:ascii="Book Antiqua" w:hAnsi="Book Antiqua"/>
          <w:sz w:val="24"/>
          <w:szCs w:val="24"/>
        </w:rPr>
        <w:t>no statistical difference in the incidence of bradycardia, desaturation or recovery time between sedation arms. </w:t>
      </w:r>
      <w:r w:rsidR="00E81AA7" w:rsidRPr="00D46A14">
        <w:rPr>
          <w:rFonts w:ascii="Book Antiqua" w:hAnsi="Book Antiqua"/>
          <w:sz w:val="24"/>
          <w:szCs w:val="24"/>
        </w:rPr>
        <w:t xml:space="preserve">For Group III </w:t>
      </w:r>
      <w:r w:rsidR="00E81AA7" w:rsidRPr="00D46A14">
        <w:rPr>
          <w:rFonts w:ascii="Book Antiqua" w:eastAsia="等线" w:hAnsi="Book Antiqua"/>
          <w:sz w:val="24"/>
          <w:szCs w:val="24"/>
          <w:lang w:eastAsia="zh-CN"/>
        </w:rPr>
        <w:t>(</w:t>
      </w:r>
      <w:r w:rsidRPr="00D46A14">
        <w:rPr>
          <w:rFonts w:ascii="Book Antiqua" w:hAnsi="Book Antiqua"/>
          <w:sz w:val="24"/>
          <w:szCs w:val="24"/>
        </w:rPr>
        <w:t xml:space="preserve">Propofol with benzodiazepine and opioid </w:t>
      </w:r>
      <w:r w:rsidR="00E81AA7" w:rsidRPr="00D46A14">
        <w:rPr>
          <w:rFonts w:ascii="Book Antiqua" w:eastAsia="等线" w:hAnsi="Book Antiqua"/>
          <w:i/>
          <w:sz w:val="24"/>
          <w:szCs w:val="24"/>
          <w:lang w:eastAsia="zh-CN"/>
        </w:rPr>
        <w:t>vs</w:t>
      </w:r>
      <w:r w:rsidR="00E81AA7" w:rsidRPr="00D46A14">
        <w:rPr>
          <w:rFonts w:ascii="Book Antiqua" w:hAnsi="Book Antiqua"/>
          <w:sz w:val="24"/>
          <w:szCs w:val="24"/>
        </w:rPr>
        <w:t xml:space="preserve"> benzodiazepine and opioid</w:t>
      </w:r>
      <w:r w:rsidR="00E81AA7" w:rsidRPr="00D46A14">
        <w:rPr>
          <w:rFonts w:ascii="Book Antiqua" w:eastAsia="等线" w:hAnsi="Book Antiqua"/>
          <w:sz w:val="24"/>
          <w:szCs w:val="24"/>
          <w:lang w:eastAsia="zh-CN"/>
        </w:rPr>
        <w:t>)</w:t>
      </w:r>
      <w:r w:rsidRPr="00D46A14">
        <w:rPr>
          <w:rFonts w:ascii="Book Antiqua" w:hAnsi="Book Antiqua"/>
          <w:sz w:val="24"/>
          <w:szCs w:val="24"/>
        </w:rPr>
        <w:t>: Bradycardia, desaturation and, hypotension was not statistically significant between groups.</w:t>
      </w:r>
    </w:p>
    <w:p w14:paraId="40CAB350" w14:textId="77777777" w:rsidR="00600B82" w:rsidRPr="00D46A14" w:rsidRDefault="00600B82" w:rsidP="00D46A14">
      <w:pPr>
        <w:adjustRightInd w:val="0"/>
        <w:snapToGrid w:val="0"/>
        <w:spacing w:after="0" w:line="360" w:lineRule="auto"/>
        <w:rPr>
          <w:rFonts w:ascii="Book Antiqua" w:hAnsi="Book Antiqua"/>
          <w:b/>
          <w:i/>
          <w:sz w:val="24"/>
          <w:szCs w:val="24"/>
        </w:rPr>
      </w:pPr>
    </w:p>
    <w:p w14:paraId="686019CE" w14:textId="5BFE2B29" w:rsidR="00556D41" w:rsidRPr="00D46A14" w:rsidRDefault="00556D41" w:rsidP="00D46A14">
      <w:pPr>
        <w:adjustRightInd w:val="0"/>
        <w:snapToGrid w:val="0"/>
        <w:spacing w:after="0" w:line="360" w:lineRule="auto"/>
        <w:ind w:left="0" w:firstLine="0"/>
        <w:rPr>
          <w:rFonts w:ascii="Book Antiqua" w:hAnsi="Book Antiqua"/>
          <w:b/>
          <w:i/>
          <w:sz w:val="24"/>
          <w:szCs w:val="24"/>
        </w:rPr>
      </w:pPr>
      <w:r w:rsidRPr="00D46A14">
        <w:rPr>
          <w:rFonts w:ascii="Book Antiqua" w:hAnsi="Book Antiqua"/>
          <w:b/>
          <w:i/>
          <w:sz w:val="24"/>
          <w:szCs w:val="24"/>
        </w:rPr>
        <w:t>Research conclusions</w:t>
      </w:r>
    </w:p>
    <w:p w14:paraId="6336CA57" w14:textId="68666055" w:rsidR="00556D41" w:rsidRPr="00D46A14" w:rsidRDefault="00D475A3" w:rsidP="00D46A14">
      <w:pPr>
        <w:adjustRightInd w:val="0"/>
        <w:snapToGrid w:val="0"/>
        <w:spacing w:after="0" w:line="360" w:lineRule="auto"/>
        <w:ind w:left="0" w:firstLine="0"/>
        <w:rPr>
          <w:rFonts w:ascii="Book Antiqua" w:hAnsi="Book Antiqua"/>
          <w:sz w:val="24"/>
          <w:szCs w:val="24"/>
        </w:rPr>
      </w:pPr>
      <w:r w:rsidRPr="00D46A14">
        <w:rPr>
          <w:rFonts w:ascii="Book Antiqua" w:hAnsi="Book Antiqua"/>
          <w:sz w:val="24"/>
          <w:szCs w:val="24"/>
        </w:rPr>
        <w:t>Our findings suggest that the use of propofol alone or in combination with traditional adjunctive sedatives is safe and does not result in an increase in negative outcomes in patients undergoing endoscopic procedures.</w:t>
      </w:r>
    </w:p>
    <w:p w14:paraId="4C357DA3" w14:textId="77777777" w:rsidR="00E81AA7" w:rsidRPr="00D46A14" w:rsidRDefault="00E81AA7" w:rsidP="00D46A14">
      <w:pPr>
        <w:adjustRightInd w:val="0"/>
        <w:snapToGrid w:val="0"/>
        <w:spacing w:after="0" w:line="360" w:lineRule="auto"/>
        <w:ind w:left="0" w:firstLine="0"/>
        <w:rPr>
          <w:rFonts w:ascii="Book Antiqua" w:eastAsia="等线" w:hAnsi="Book Antiqua"/>
          <w:b/>
          <w:i/>
          <w:sz w:val="24"/>
          <w:szCs w:val="24"/>
          <w:lang w:eastAsia="zh-CN"/>
        </w:rPr>
      </w:pPr>
    </w:p>
    <w:p w14:paraId="47FD4D76" w14:textId="77777777" w:rsidR="00556D41" w:rsidRPr="00D46A14" w:rsidRDefault="00556D41" w:rsidP="00D46A14">
      <w:pPr>
        <w:adjustRightInd w:val="0"/>
        <w:snapToGrid w:val="0"/>
        <w:spacing w:after="0" w:line="360" w:lineRule="auto"/>
        <w:ind w:left="0" w:firstLine="0"/>
        <w:rPr>
          <w:rFonts w:ascii="Book Antiqua" w:hAnsi="Book Antiqua"/>
          <w:b/>
          <w:i/>
          <w:sz w:val="24"/>
          <w:szCs w:val="24"/>
        </w:rPr>
      </w:pPr>
      <w:r w:rsidRPr="00D46A14">
        <w:rPr>
          <w:rFonts w:ascii="Book Antiqua" w:hAnsi="Book Antiqua"/>
          <w:b/>
          <w:i/>
          <w:sz w:val="24"/>
          <w:szCs w:val="24"/>
        </w:rPr>
        <w:t>Research perspectives</w:t>
      </w:r>
    </w:p>
    <w:p w14:paraId="536402C6" w14:textId="01CB2AF2" w:rsidR="00EA25A6" w:rsidRPr="00D46A14" w:rsidRDefault="00C86407" w:rsidP="00D46A14">
      <w:pPr>
        <w:adjustRightInd w:val="0"/>
        <w:snapToGrid w:val="0"/>
        <w:spacing w:after="0" w:line="360" w:lineRule="auto"/>
        <w:ind w:left="0" w:firstLine="0"/>
        <w:rPr>
          <w:rFonts w:ascii="Book Antiqua" w:hAnsi="Book Antiqua"/>
          <w:b/>
          <w:sz w:val="24"/>
          <w:szCs w:val="24"/>
        </w:rPr>
      </w:pPr>
      <w:r w:rsidRPr="00D46A14">
        <w:rPr>
          <w:rFonts w:ascii="Book Antiqua" w:hAnsi="Book Antiqua"/>
          <w:sz w:val="24"/>
          <w:szCs w:val="24"/>
        </w:rPr>
        <w:t xml:space="preserve">Future studies should consider methods for standardization of sedation use to allow for less heterogeneity amongst studies and to improve analysis in future metanalyses to come. </w:t>
      </w:r>
      <w:r w:rsidR="00DC7A81" w:rsidRPr="00D46A14">
        <w:rPr>
          <w:rFonts w:ascii="Book Antiqua" w:hAnsi="Book Antiqua"/>
          <w:sz w:val="24"/>
          <w:szCs w:val="24"/>
        </w:rPr>
        <w:t xml:space="preserve">Future studies should also highlight cost effectiveness of various sedations used. </w:t>
      </w:r>
    </w:p>
    <w:p w14:paraId="12BF2CA6" w14:textId="4B209AB8" w:rsidR="008F203E" w:rsidRPr="00D46A14" w:rsidRDefault="008F203E" w:rsidP="00D46A14">
      <w:pPr>
        <w:spacing w:after="0" w:line="360" w:lineRule="auto"/>
        <w:ind w:left="0" w:right="0" w:firstLine="0"/>
        <w:rPr>
          <w:rFonts w:ascii="Book Antiqua" w:hAnsi="Book Antiqua"/>
          <w:b/>
          <w:sz w:val="24"/>
          <w:szCs w:val="24"/>
        </w:rPr>
      </w:pPr>
    </w:p>
    <w:p w14:paraId="3CDC6A72" w14:textId="169418F3" w:rsidR="008F203E" w:rsidRPr="00D46A14" w:rsidRDefault="00E81AA7" w:rsidP="00D46A14">
      <w:pPr>
        <w:spacing w:after="0" w:line="360" w:lineRule="auto"/>
        <w:ind w:left="0" w:right="0" w:firstLine="0"/>
        <w:rPr>
          <w:rFonts w:ascii="Book Antiqua" w:eastAsia="等线" w:hAnsi="Book Antiqua"/>
          <w:b/>
          <w:sz w:val="24"/>
          <w:szCs w:val="24"/>
          <w:lang w:eastAsia="zh-CN"/>
        </w:rPr>
      </w:pPr>
      <w:r w:rsidRPr="00D46A14">
        <w:rPr>
          <w:rFonts w:ascii="Book Antiqua" w:hAnsi="Book Antiqua"/>
          <w:b/>
          <w:sz w:val="24"/>
          <w:szCs w:val="24"/>
        </w:rPr>
        <w:t>REFERENCES</w:t>
      </w:r>
    </w:p>
    <w:p w14:paraId="6915D9BE" w14:textId="507CA9CD"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 </w:t>
      </w:r>
      <w:r w:rsidRPr="00D46A14">
        <w:rPr>
          <w:rFonts w:ascii="Book Antiqua" w:hAnsi="Book Antiqua"/>
          <w:b/>
          <w:sz w:val="24"/>
          <w:szCs w:val="24"/>
        </w:rPr>
        <w:t>Singh H</w:t>
      </w:r>
      <w:r w:rsidRPr="00D46A14">
        <w:rPr>
          <w:rFonts w:ascii="Book Antiqua" w:hAnsi="Book Antiqua"/>
          <w:sz w:val="24"/>
          <w:szCs w:val="24"/>
        </w:rPr>
        <w:t xml:space="preserve">, Poluha W, Cheung M, Choptain N, Baron KI, Taback SP. Propofol for sedation during colonoscopy. </w:t>
      </w:r>
      <w:r w:rsidRPr="00D46A14">
        <w:rPr>
          <w:rFonts w:ascii="Book Antiqua" w:hAnsi="Book Antiqua"/>
          <w:i/>
          <w:sz w:val="24"/>
          <w:szCs w:val="24"/>
        </w:rPr>
        <w:t>Cochrane Database Syst Rev</w:t>
      </w:r>
      <w:r>
        <w:rPr>
          <w:rFonts w:ascii="Book Antiqua" w:hAnsi="Book Antiqua"/>
          <w:sz w:val="24"/>
          <w:szCs w:val="24"/>
        </w:rPr>
        <w:t xml:space="preserve"> 2008</w:t>
      </w:r>
      <w:r w:rsidRPr="00D46A14">
        <w:rPr>
          <w:rFonts w:ascii="Book Antiqua" w:hAnsi="Book Antiqua"/>
          <w:sz w:val="24"/>
          <w:szCs w:val="24"/>
        </w:rPr>
        <w:t>: CD006268 [PMID: 18843709 DOI: 10.1002/14651858.CD006268.pub2]</w:t>
      </w:r>
    </w:p>
    <w:p w14:paraId="064F4DDB" w14:textId="1E11FD11"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 </w:t>
      </w:r>
      <w:r w:rsidRPr="00D46A14">
        <w:rPr>
          <w:rFonts w:ascii="Book Antiqua" w:hAnsi="Book Antiqua"/>
          <w:b/>
          <w:sz w:val="24"/>
          <w:szCs w:val="24"/>
        </w:rPr>
        <w:t>Qadeer MA</w:t>
      </w:r>
      <w:r w:rsidRPr="00D46A14">
        <w:rPr>
          <w:rFonts w:ascii="Book Antiqua" w:hAnsi="Book Antiqua"/>
          <w:sz w:val="24"/>
          <w:szCs w:val="24"/>
        </w:rPr>
        <w:t xml:space="preserve">, Vargo JJ, Khandwala F, Lopez R, Zuccaro G. Propofol versus traditional sedative agents for gastrointestinal endoscopy: a meta-analysis. </w:t>
      </w:r>
      <w:r w:rsidRPr="00D46A14">
        <w:rPr>
          <w:rFonts w:ascii="Book Antiqua" w:hAnsi="Book Antiqua"/>
          <w:i/>
          <w:sz w:val="24"/>
          <w:szCs w:val="24"/>
        </w:rPr>
        <w:t>Clin Gastroenterol Hepatol</w:t>
      </w:r>
      <w:r w:rsidRPr="00D46A14">
        <w:rPr>
          <w:rFonts w:ascii="Book Antiqua" w:hAnsi="Book Antiqua"/>
          <w:sz w:val="24"/>
          <w:szCs w:val="24"/>
        </w:rPr>
        <w:t xml:space="preserve"> 2005; </w:t>
      </w:r>
      <w:r w:rsidRPr="00D46A14">
        <w:rPr>
          <w:rFonts w:ascii="Book Antiqua" w:hAnsi="Book Antiqua"/>
          <w:b/>
          <w:sz w:val="24"/>
          <w:szCs w:val="24"/>
        </w:rPr>
        <w:t>3</w:t>
      </w:r>
      <w:r w:rsidRPr="00D46A14">
        <w:rPr>
          <w:rFonts w:ascii="Book Antiqua" w:hAnsi="Book Antiqua"/>
          <w:sz w:val="24"/>
          <w:szCs w:val="24"/>
        </w:rPr>
        <w:t>: 1049-1056 [PMID: 16271333</w:t>
      </w:r>
      <w:r w:rsidR="00681A25">
        <w:rPr>
          <w:rFonts w:ascii="Book Antiqua" w:eastAsia="等线" w:hAnsi="Book Antiqua" w:hint="eastAsia"/>
          <w:sz w:val="24"/>
          <w:szCs w:val="24"/>
          <w:lang w:eastAsia="zh-CN"/>
        </w:rPr>
        <w:t xml:space="preserve"> DOI: </w:t>
      </w:r>
      <w:r w:rsidR="00681A25" w:rsidRPr="00681A25">
        <w:rPr>
          <w:rFonts w:ascii="Book Antiqua" w:eastAsia="等线" w:hAnsi="Book Antiqua"/>
          <w:sz w:val="24"/>
          <w:szCs w:val="24"/>
          <w:lang w:eastAsia="zh-CN"/>
        </w:rPr>
        <w:t>10.1016/S1542-3565(05)00742-1</w:t>
      </w:r>
      <w:r w:rsidRPr="00D46A14">
        <w:rPr>
          <w:rFonts w:ascii="Book Antiqua" w:hAnsi="Book Antiqua"/>
          <w:sz w:val="24"/>
          <w:szCs w:val="24"/>
        </w:rPr>
        <w:t>]</w:t>
      </w:r>
    </w:p>
    <w:p w14:paraId="2B6A7964"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 </w:t>
      </w:r>
      <w:r w:rsidRPr="00D46A14">
        <w:rPr>
          <w:rFonts w:ascii="Book Antiqua" w:hAnsi="Book Antiqua"/>
          <w:b/>
          <w:sz w:val="24"/>
          <w:szCs w:val="24"/>
        </w:rPr>
        <w:t>Bo LL</w:t>
      </w:r>
      <w:r w:rsidRPr="00D46A14">
        <w:rPr>
          <w:rFonts w:ascii="Book Antiqua" w:hAnsi="Book Antiqua"/>
          <w:sz w:val="24"/>
          <w:szCs w:val="24"/>
        </w:rPr>
        <w:t xml:space="preserve">, Bai Y, Bian JJ, Wen PS, Li JB, Deng XM. Propofol vs traditional sedative agents for endoscopic retrograde cholangiopancreatography: a meta-analysis. </w:t>
      </w:r>
      <w:r w:rsidRPr="00D46A14">
        <w:rPr>
          <w:rFonts w:ascii="Book Antiqua" w:hAnsi="Book Antiqua"/>
          <w:i/>
          <w:sz w:val="24"/>
          <w:szCs w:val="24"/>
        </w:rPr>
        <w:t>World J Gastroenterol</w:t>
      </w:r>
      <w:r w:rsidRPr="00D46A14">
        <w:rPr>
          <w:rFonts w:ascii="Book Antiqua" w:hAnsi="Book Antiqua"/>
          <w:sz w:val="24"/>
          <w:szCs w:val="24"/>
        </w:rPr>
        <w:t xml:space="preserve"> 2011; </w:t>
      </w:r>
      <w:r w:rsidRPr="00D46A14">
        <w:rPr>
          <w:rFonts w:ascii="Book Antiqua" w:hAnsi="Book Antiqua"/>
          <w:b/>
          <w:sz w:val="24"/>
          <w:szCs w:val="24"/>
        </w:rPr>
        <w:t>17</w:t>
      </w:r>
      <w:r w:rsidRPr="00D46A14">
        <w:rPr>
          <w:rFonts w:ascii="Book Antiqua" w:hAnsi="Book Antiqua"/>
          <w:sz w:val="24"/>
          <w:szCs w:val="24"/>
        </w:rPr>
        <w:t>: 3538-3543 [PMID: 21941422 DOI: 10.3748/wjg.v17.i30.3538]</w:t>
      </w:r>
    </w:p>
    <w:p w14:paraId="2EBFB8F6"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 </w:t>
      </w:r>
      <w:r w:rsidRPr="00D46A14">
        <w:rPr>
          <w:rFonts w:ascii="Book Antiqua" w:hAnsi="Book Antiqua"/>
          <w:b/>
          <w:sz w:val="24"/>
          <w:szCs w:val="24"/>
        </w:rPr>
        <w:t>Ribeiro IB</w:t>
      </w:r>
      <w:r w:rsidRPr="00D46A14">
        <w:rPr>
          <w:rFonts w:ascii="Book Antiqua" w:hAnsi="Book Antiqua"/>
          <w:sz w:val="24"/>
          <w:szCs w:val="24"/>
        </w:rPr>
        <w:t xml:space="preserve">, Bernardo WM, Martins BDC, de Moura DTH, Baba ER, Josino IR, Miyahima NT, Coronel Cordero MA, Visconti TAC, Ide E, Sakai P, de Moura EGH. Colonic stent versus emergency surgery as treatment of malignant colonic obstruction in the palliative setting: a systematic review and meta-analysis. </w:t>
      </w:r>
      <w:r w:rsidRPr="00D46A14">
        <w:rPr>
          <w:rFonts w:ascii="Book Antiqua" w:hAnsi="Book Antiqua"/>
          <w:i/>
          <w:sz w:val="24"/>
          <w:szCs w:val="24"/>
        </w:rPr>
        <w:t>Endosc Int Open</w:t>
      </w:r>
      <w:r w:rsidRPr="00D46A14">
        <w:rPr>
          <w:rFonts w:ascii="Book Antiqua" w:hAnsi="Book Antiqua"/>
          <w:sz w:val="24"/>
          <w:szCs w:val="24"/>
        </w:rPr>
        <w:t xml:space="preserve"> 2018; </w:t>
      </w:r>
      <w:r w:rsidRPr="00D46A14">
        <w:rPr>
          <w:rFonts w:ascii="Book Antiqua" w:hAnsi="Book Antiqua"/>
          <w:b/>
          <w:sz w:val="24"/>
          <w:szCs w:val="24"/>
        </w:rPr>
        <w:t>6</w:t>
      </w:r>
      <w:r w:rsidRPr="00D46A14">
        <w:rPr>
          <w:rFonts w:ascii="Book Antiqua" w:hAnsi="Book Antiqua"/>
          <w:sz w:val="24"/>
          <w:szCs w:val="24"/>
        </w:rPr>
        <w:t>: E558-E567 [PMID: 29756013 DOI: 10.1055/a-0591-2883]</w:t>
      </w:r>
    </w:p>
    <w:p w14:paraId="0C2781B9"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 </w:t>
      </w:r>
      <w:r w:rsidRPr="00D46A14">
        <w:rPr>
          <w:rFonts w:ascii="Book Antiqua" w:hAnsi="Book Antiqua"/>
          <w:b/>
          <w:sz w:val="24"/>
          <w:szCs w:val="24"/>
        </w:rPr>
        <w:t>Hsieh YH</w:t>
      </w:r>
      <w:r w:rsidRPr="00D46A14">
        <w:rPr>
          <w:rFonts w:ascii="Book Antiqua" w:hAnsi="Book Antiqua"/>
          <w:sz w:val="24"/>
          <w:szCs w:val="24"/>
        </w:rPr>
        <w:t xml:space="preserve">, Chou AL, Lai YY, Chen BS, Sia SL, Chen IC, Chang YL, Lin HJ. Propofol alone versus propofol in combination with meperidine for sedation </w:t>
      </w:r>
      <w:r w:rsidRPr="00D46A14">
        <w:rPr>
          <w:rFonts w:ascii="Book Antiqua" w:hAnsi="Book Antiqua"/>
          <w:sz w:val="24"/>
          <w:szCs w:val="24"/>
        </w:rPr>
        <w:lastRenderedPageBreak/>
        <w:t xml:space="preserve">during colonoscopy. </w:t>
      </w:r>
      <w:r w:rsidRPr="00D46A14">
        <w:rPr>
          <w:rFonts w:ascii="Book Antiqua" w:hAnsi="Book Antiqua"/>
          <w:i/>
          <w:sz w:val="24"/>
          <w:szCs w:val="24"/>
        </w:rPr>
        <w:t>J Clin Gastroenterol</w:t>
      </w:r>
      <w:r w:rsidRPr="00D46A14">
        <w:rPr>
          <w:rFonts w:ascii="Book Antiqua" w:hAnsi="Book Antiqua"/>
          <w:sz w:val="24"/>
          <w:szCs w:val="24"/>
        </w:rPr>
        <w:t xml:space="preserve"> 2009; </w:t>
      </w:r>
      <w:r w:rsidRPr="00D46A14">
        <w:rPr>
          <w:rFonts w:ascii="Book Antiqua" w:hAnsi="Book Antiqua"/>
          <w:b/>
          <w:sz w:val="24"/>
          <w:szCs w:val="24"/>
        </w:rPr>
        <w:t>43</w:t>
      </w:r>
      <w:r w:rsidRPr="00D46A14">
        <w:rPr>
          <w:rFonts w:ascii="Book Antiqua" w:hAnsi="Book Antiqua"/>
          <w:sz w:val="24"/>
          <w:szCs w:val="24"/>
        </w:rPr>
        <w:t>: 753-757 [PMID: 19169146 DOI: 10.1097/MCG.0b013e3181862a8c]</w:t>
      </w:r>
    </w:p>
    <w:p w14:paraId="62A84D34"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6 </w:t>
      </w:r>
      <w:r w:rsidRPr="00D46A14">
        <w:rPr>
          <w:rFonts w:ascii="Book Antiqua" w:hAnsi="Book Antiqua"/>
          <w:b/>
          <w:sz w:val="24"/>
          <w:szCs w:val="24"/>
        </w:rPr>
        <w:t>Padmanabhan U</w:t>
      </w:r>
      <w:r w:rsidRPr="00D46A14">
        <w:rPr>
          <w:rFonts w:ascii="Book Antiqua" w:hAnsi="Book Antiqua"/>
          <w:sz w:val="24"/>
          <w:szCs w:val="24"/>
        </w:rPr>
        <w:t xml:space="preserve">, Leslie K, Eer AS, Maruff P, Silbert BS. Early cognitive impairment after sedation for colonoscopy: the effect of adding midazolam and/or fentanyl to propofol. </w:t>
      </w:r>
      <w:r w:rsidRPr="00D46A14">
        <w:rPr>
          <w:rFonts w:ascii="Book Antiqua" w:hAnsi="Book Antiqua"/>
          <w:i/>
          <w:sz w:val="24"/>
          <w:szCs w:val="24"/>
        </w:rPr>
        <w:t>Anesth Analg</w:t>
      </w:r>
      <w:r w:rsidRPr="00D46A14">
        <w:rPr>
          <w:rFonts w:ascii="Book Antiqua" w:hAnsi="Book Antiqua"/>
          <w:sz w:val="24"/>
          <w:szCs w:val="24"/>
        </w:rPr>
        <w:t xml:space="preserve"> 2009; </w:t>
      </w:r>
      <w:r w:rsidRPr="00D46A14">
        <w:rPr>
          <w:rFonts w:ascii="Book Antiqua" w:hAnsi="Book Antiqua"/>
          <w:b/>
          <w:sz w:val="24"/>
          <w:szCs w:val="24"/>
        </w:rPr>
        <w:t>109</w:t>
      </w:r>
      <w:r w:rsidRPr="00D46A14">
        <w:rPr>
          <w:rFonts w:ascii="Book Antiqua" w:hAnsi="Book Antiqua"/>
          <w:sz w:val="24"/>
          <w:szCs w:val="24"/>
        </w:rPr>
        <w:t>: 1448-1455 [PMID: 19617584 DOI: 10.1213/ane.0b013e3181a6ad31]</w:t>
      </w:r>
    </w:p>
    <w:p w14:paraId="6DA6AA2A"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7 </w:t>
      </w:r>
      <w:r w:rsidRPr="00D46A14">
        <w:rPr>
          <w:rFonts w:ascii="Book Antiqua" w:hAnsi="Book Antiqua"/>
          <w:b/>
          <w:sz w:val="24"/>
          <w:szCs w:val="24"/>
        </w:rPr>
        <w:t>Zhang R</w:t>
      </w:r>
      <w:r w:rsidRPr="00D46A14">
        <w:rPr>
          <w:rFonts w:ascii="Book Antiqua" w:hAnsi="Book Antiqua"/>
          <w:sz w:val="24"/>
          <w:szCs w:val="24"/>
        </w:rPr>
        <w:t xml:space="preserve">, Lu Q, Wu Y. The Comparison of Midazolam and Propofol in Gastrointestinal Endoscopy: A Systematic Review and Meta-analysis. </w:t>
      </w:r>
      <w:r w:rsidRPr="00D46A14">
        <w:rPr>
          <w:rFonts w:ascii="Book Antiqua" w:hAnsi="Book Antiqua"/>
          <w:i/>
          <w:sz w:val="24"/>
          <w:szCs w:val="24"/>
        </w:rPr>
        <w:t>Surg Laparosc Endosc Percutan Tech</w:t>
      </w:r>
      <w:r w:rsidRPr="00D46A14">
        <w:rPr>
          <w:rFonts w:ascii="Book Antiqua" w:hAnsi="Book Antiqua"/>
          <w:sz w:val="24"/>
          <w:szCs w:val="24"/>
        </w:rPr>
        <w:t xml:space="preserve"> 2018; </w:t>
      </w:r>
      <w:r w:rsidRPr="00D46A14">
        <w:rPr>
          <w:rFonts w:ascii="Book Antiqua" w:hAnsi="Book Antiqua"/>
          <w:b/>
          <w:sz w:val="24"/>
          <w:szCs w:val="24"/>
        </w:rPr>
        <w:t>28</w:t>
      </w:r>
      <w:r w:rsidRPr="00D46A14">
        <w:rPr>
          <w:rFonts w:ascii="Book Antiqua" w:hAnsi="Book Antiqua"/>
          <w:sz w:val="24"/>
          <w:szCs w:val="24"/>
        </w:rPr>
        <w:t>: 153-158 [PMID: 29738382 DOI: 10.1097/SLE.0000000000000532]</w:t>
      </w:r>
    </w:p>
    <w:p w14:paraId="2DDB0B24"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8 </w:t>
      </w:r>
      <w:r w:rsidRPr="00D46A14">
        <w:rPr>
          <w:rFonts w:ascii="Book Antiqua" w:hAnsi="Book Antiqua"/>
          <w:b/>
          <w:sz w:val="24"/>
          <w:szCs w:val="24"/>
        </w:rPr>
        <w:t>Paspatis GA</w:t>
      </w:r>
      <w:r w:rsidRPr="00D46A14">
        <w:rPr>
          <w:rFonts w:ascii="Book Antiqua" w:hAnsi="Book Antiqua"/>
          <w:sz w:val="24"/>
          <w:szCs w:val="24"/>
        </w:rPr>
        <w:t xml:space="preserve">, Manolaraki MM, Vardas E, Theodoropoulou A, Chlouverakis G. Deep sedation for endoscopic retrograde cholangiopancreatography: intravenous propofol alone versus intravenous propofol with oral midazolam premedication. </w:t>
      </w:r>
      <w:r w:rsidRPr="00D46A14">
        <w:rPr>
          <w:rFonts w:ascii="Book Antiqua" w:hAnsi="Book Antiqua"/>
          <w:i/>
          <w:sz w:val="24"/>
          <w:szCs w:val="24"/>
        </w:rPr>
        <w:t>Endoscopy</w:t>
      </w:r>
      <w:r w:rsidRPr="00D46A14">
        <w:rPr>
          <w:rFonts w:ascii="Book Antiqua" w:hAnsi="Book Antiqua"/>
          <w:sz w:val="24"/>
          <w:szCs w:val="24"/>
        </w:rPr>
        <w:t xml:space="preserve"> 2008; </w:t>
      </w:r>
      <w:r w:rsidRPr="00D46A14">
        <w:rPr>
          <w:rFonts w:ascii="Book Antiqua" w:hAnsi="Book Antiqua"/>
          <w:b/>
          <w:sz w:val="24"/>
          <w:szCs w:val="24"/>
        </w:rPr>
        <w:t>40</w:t>
      </w:r>
      <w:r w:rsidRPr="00D46A14">
        <w:rPr>
          <w:rFonts w:ascii="Book Antiqua" w:hAnsi="Book Antiqua"/>
          <w:sz w:val="24"/>
          <w:szCs w:val="24"/>
        </w:rPr>
        <w:t>: 308-313 [PMID: 18058653 DOI: 10.1055/s-2007-995346]</w:t>
      </w:r>
    </w:p>
    <w:p w14:paraId="47471D8C"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9 </w:t>
      </w:r>
      <w:r w:rsidRPr="00D46A14">
        <w:rPr>
          <w:rFonts w:ascii="Book Antiqua" w:hAnsi="Book Antiqua"/>
          <w:b/>
          <w:sz w:val="24"/>
          <w:szCs w:val="24"/>
        </w:rPr>
        <w:t>Cohen LB</w:t>
      </w:r>
      <w:r w:rsidRPr="00D46A14">
        <w:rPr>
          <w:rFonts w:ascii="Book Antiqua" w:hAnsi="Book Antiqua"/>
          <w:sz w:val="24"/>
          <w:szCs w:val="24"/>
        </w:rPr>
        <w:t xml:space="preserve">, Delegge MH, Aisenberg J, Brill JV, Inadomi JM, Kochman ML, Piorkowski JD Jr; AGA Institute. AGA Institute review of endoscopic sedation. </w:t>
      </w:r>
      <w:r w:rsidRPr="00D46A14">
        <w:rPr>
          <w:rFonts w:ascii="Book Antiqua" w:hAnsi="Book Antiqua"/>
          <w:i/>
          <w:sz w:val="24"/>
          <w:szCs w:val="24"/>
        </w:rPr>
        <w:t>Gastroenterology</w:t>
      </w:r>
      <w:r w:rsidRPr="00D46A14">
        <w:rPr>
          <w:rFonts w:ascii="Book Antiqua" w:hAnsi="Book Antiqua"/>
          <w:sz w:val="24"/>
          <w:szCs w:val="24"/>
        </w:rPr>
        <w:t xml:space="preserve"> 2007; </w:t>
      </w:r>
      <w:r w:rsidRPr="00D46A14">
        <w:rPr>
          <w:rFonts w:ascii="Book Antiqua" w:hAnsi="Book Antiqua"/>
          <w:b/>
          <w:sz w:val="24"/>
          <w:szCs w:val="24"/>
        </w:rPr>
        <w:t>133</w:t>
      </w:r>
      <w:r w:rsidRPr="00D46A14">
        <w:rPr>
          <w:rFonts w:ascii="Book Antiqua" w:hAnsi="Book Antiqua"/>
          <w:sz w:val="24"/>
          <w:szCs w:val="24"/>
        </w:rPr>
        <w:t>: 675-701 [PMID: 17681185 DOI: 10.1053/j.gastro.2007.06.002]</w:t>
      </w:r>
    </w:p>
    <w:p w14:paraId="0E4569EA"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10 </w:t>
      </w:r>
      <w:r w:rsidRPr="00D46A14">
        <w:rPr>
          <w:rFonts w:ascii="Book Antiqua" w:hAnsi="Book Antiqua"/>
          <w:b/>
          <w:sz w:val="24"/>
          <w:szCs w:val="24"/>
        </w:rPr>
        <w:t>Coté GA</w:t>
      </w:r>
      <w:r w:rsidRPr="00D46A14">
        <w:rPr>
          <w:rFonts w:ascii="Book Antiqua" w:hAnsi="Book Antiqua"/>
          <w:sz w:val="24"/>
          <w:szCs w:val="24"/>
        </w:rPr>
        <w:t xml:space="preserve">, Hovis RM, Ansstas MA, Waldbaum L, Azar RR, Early DS, Edmundowicz SA, Mullady DK, Jonnalagadda SS. Incidence of sedation-related complications with propofol use during advanced endoscopic procedures. </w:t>
      </w:r>
      <w:r w:rsidRPr="00D46A14">
        <w:rPr>
          <w:rFonts w:ascii="Book Antiqua" w:hAnsi="Book Antiqua"/>
          <w:i/>
          <w:sz w:val="24"/>
          <w:szCs w:val="24"/>
        </w:rPr>
        <w:t>Clin Gastroenterol Hepatol</w:t>
      </w:r>
      <w:r w:rsidRPr="00D46A14">
        <w:rPr>
          <w:rFonts w:ascii="Book Antiqua" w:hAnsi="Book Antiqua"/>
          <w:sz w:val="24"/>
          <w:szCs w:val="24"/>
        </w:rPr>
        <w:t xml:space="preserve"> 2010; </w:t>
      </w:r>
      <w:r w:rsidRPr="00D46A14">
        <w:rPr>
          <w:rFonts w:ascii="Book Antiqua" w:hAnsi="Book Antiqua"/>
          <w:b/>
          <w:sz w:val="24"/>
          <w:szCs w:val="24"/>
        </w:rPr>
        <w:t>8</w:t>
      </w:r>
      <w:r w:rsidRPr="00D46A14">
        <w:rPr>
          <w:rFonts w:ascii="Book Antiqua" w:hAnsi="Book Antiqua"/>
          <w:sz w:val="24"/>
          <w:szCs w:val="24"/>
        </w:rPr>
        <w:t>: 137-142 [PMID: 19607937 DOI: 10.1016/j.cgh.2009.07.008]</w:t>
      </w:r>
    </w:p>
    <w:p w14:paraId="17FCF89F"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11 </w:t>
      </w:r>
      <w:r w:rsidRPr="00D46A14">
        <w:rPr>
          <w:rFonts w:ascii="Book Antiqua" w:hAnsi="Book Antiqua"/>
          <w:b/>
          <w:sz w:val="24"/>
          <w:szCs w:val="24"/>
        </w:rPr>
        <w:t>Lee DW</w:t>
      </w:r>
      <w:r w:rsidRPr="00D46A14">
        <w:rPr>
          <w:rFonts w:ascii="Book Antiqua" w:hAnsi="Book Antiqua"/>
          <w:sz w:val="24"/>
          <w:szCs w:val="24"/>
        </w:rPr>
        <w:t xml:space="preserve">, Chan AC, Sze TS, Ko CW, Poon CM, Chan KC, Sin KS, Chung SC. Patient-controlled sedation versus intravenous sedation for colonoscopy in elderly patients: a prospective randomized controlled trial. </w:t>
      </w:r>
      <w:r w:rsidRPr="00D46A14">
        <w:rPr>
          <w:rFonts w:ascii="Book Antiqua" w:hAnsi="Book Antiqua"/>
          <w:i/>
          <w:sz w:val="24"/>
          <w:szCs w:val="24"/>
        </w:rPr>
        <w:t>Gastrointest Endosc</w:t>
      </w:r>
      <w:r w:rsidRPr="00D46A14">
        <w:rPr>
          <w:rFonts w:ascii="Book Antiqua" w:hAnsi="Book Antiqua"/>
          <w:sz w:val="24"/>
          <w:szCs w:val="24"/>
        </w:rPr>
        <w:t xml:space="preserve"> 2002; </w:t>
      </w:r>
      <w:r w:rsidRPr="00D46A14">
        <w:rPr>
          <w:rFonts w:ascii="Book Antiqua" w:hAnsi="Book Antiqua"/>
          <w:b/>
          <w:sz w:val="24"/>
          <w:szCs w:val="24"/>
        </w:rPr>
        <w:t>56</w:t>
      </w:r>
      <w:r w:rsidRPr="00D46A14">
        <w:rPr>
          <w:rFonts w:ascii="Book Antiqua" w:hAnsi="Book Antiqua"/>
          <w:sz w:val="24"/>
          <w:szCs w:val="24"/>
        </w:rPr>
        <w:t>: 629-632 [PMID: 12397267 DOI: 10.1067/mge.2002.128919]</w:t>
      </w:r>
    </w:p>
    <w:p w14:paraId="5EDAB198"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12 </w:t>
      </w:r>
      <w:r w:rsidRPr="00D46A14">
        <w:rPr>
          <w:rFonts w:ascii="Book Antiqua" w:hAnsi="Book Antiqua"/>
          <w:b/>
          <w:sz w:val="24"/>
          <w:szCs w:val="24"/>
        </w:rPr>
        <w:t>VanNatta ME</w:t>
      </w:r>
      <w:r w:rsidRPr="00D46A14">
        <w:rPr>
          <w:rFonts w:ascii="Book Antiqua" w:hAnsi="Book Antiqua"/>
          <w:sz w:val="24"/>
          <w:szCs w:val="24"/>
        </w:rPr>
        <w:t xml:space="preserve">, Rex DK. Propofol alone titrated to deep sedation versus propofol in combination with opioids and/or benzodiazepines and titrated to </w:t>
      </w:r>
      <w:r w:rsidRPr="00D46A14">
        <w:rPr>
          <w:rFonts w:ascii="Book Antiqua" w:hAnsi="Book Antiqua"/>
          <w:sz w:val="24"/>
          <w:szCs w:val="24"/>
        </w:rPr>
        <w:lastRenderedPageBreak/>
        <w:t xml:space="preserve">moderate sedation for colonoscopy. </w:t>
      </w:r>
      <w:r w:rsidRPr="00D46A14">
        <w:rPr>
          <w:rFonts w:ascii="Book Antiqua" w:hAnsi="Book Antiqua"/>
          <w:i/>
          <w:sz w:val="24"/>
          <w:szCs w:val="24"/>
        </w:rPr>
        <w:t>Am J Gastroenterol</w:t>
      </w:r>
      <w:r w:rsidRPr="00D46A14">
        <w:rPr>
          <w:rFonts w:ascii="Book Antiqua" w:hAnsi="Book Antiqua"/>
          <w:sz w:val="24"/>
          <w:szCs w:val="24"/>
        </w:rPr>
        <w:t xml:space="preserve"> 2006; </w:t>
      </w:r>
      <w:r w:rsidRPr="00D46A14">
        <w:rPr>
          <w:rFonts w:ascii="Book Antiqua" w:hAnsi="Book Antiqua"/>
          <w:b/>
          <w:sz w:val="24"/>
          <w:szCs w:val="24"/>
        </w:rPr>
        <w:t>101</w:t>
      </w:r>
      <w:r w:rsidRPr="00D46A14">
        <w:rPr>
          <w:rFonts w:ascii="Book Antiqua" w:hAnsi="Book Antiqua"/>
          <w:sz w:val="24"/>
          <w:szCs w:val="24"/>
        </w:rPr>
        <w:t>: 2209-2217 [PMID: 17032185 DOI: 10.1111/j.1572-0241.2006.00760.x]</w:t>
      </w:r>
    </w:p>
    <w:p w14:paraId="06DBF927"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13 </w:t>
      </w:r>
      <w:r w:rsidRPr="00D46A14">
        <w:rPr>
          <w:rFonts w:ascii="Book Antiqua" w:hAnsi="Book Antiqua"/>
          <w:b/>
          <w:sz w:val="24"/>
          <w:szCs w:val="24"/>
        </w:rPr>
        <w:t>Disma N</w:t>
      </w:r>
      <w:r w:rsidRPr="00D46A14">
        <w:rPr>
          <w:rFonts w:ascii="Book Antiqua" w:hAnsi="Book Antiqua"/>
          <w:sz w:val="24"/>
          <w:szCs w:val="24"/>
        </w:rPr>
        <w:t xml:space="preserve">, Astuto M, Rizzo G, Rosano G, Naso P, Aprile G, Bonanno G, Russo A. Propofol sedation with fentanyl or midazolam during oesophagogastroduodenoscopy in children. </w:t>
      </w:r>
      <w:r w:rsidRPr="00D46A14">
        <w:rPr>
          <w:rFonts w:ascii="Book Antiqua" w:hAnsi="Book Antiqua"/>
          <w:i/>
          <w:sz w:val="24"/>
          <w:szCs w:val="24"/>
        </w:rPr>
        <w:t>Eur J Anaesthesiol</w:t>
      </w:r>
      <w:r w:rsidRPr="00D46A14">
        <w:rPr>
          <w:rFonts w:ascii="Book Antiqua" w:hAnsi="Book Antiqua"/>
          <w:sz w:val="24"/>
          <w:szCs w:val="24"/>
        </w:rPr>
        <w:t xml:space="preserve"> 2005; </w:t>
      </w:r>
      <w:r w:rsidRPr="00D46A14">
        <w:rPr>
          <w:rFonts w:ascii="Book Antiqua" w:hAnsi="Book Antiqua"/>
          <w:b/>
          <w:sz w:val="24"/>
          <w:szCs w:val="24"/>
        </w:rPr>
        <w:t>22</w:t>
      </w:r>
      <w:r w:rsidRPr="00D46A14">
        <w:rPr>
          <w:rFonts w:ascii="Book Antiqua" w:hAnsi="Book Antiqua"/>
          <w:sz w:val="24"/>
          <w:szCs w:val="24"/>
        </w:rPr>
        <w:t>: 848-852 [PMID: 16225720 DOI: 10.1017/S0265021505001432]</w:t>
      </w:r>
    </w:p>
    <w:p w14:paraId="3FF1F3FB"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14 </w:t>
      </w:r>
      <w:r w:rsidRPr="00D46A14">
        <w:rPr>
          <w:rFonts w:ascii="Book Antiqua" w:hAnsi="Book Antiqua"/>
          <w:b/>
          <w:sz w:val="24"/>
          <w:szCs w:val="24"/>
        </w:rPr>
        <w:t>Heuss LT</w:t>
      </w:r>
      <w:r w:rsidRPr="00D46A14">
        <w:rPr>
          <w:rFonts w:ascii="Book Antiqua" w:hAnsi="Book Antiqua"/>
          <w:sz w:val="24"/>
          <w:szCs w:val="24"/>
        </w:rPr>
        <w:t xml:space="preserve">, Hanhart A, Dell-Kuster S, Zdrnja K, Ortmann M, Beglinger C, Bucher HC, Degen L. Propofol sedation alone or in combination with pharyngeal lidocaine anesthesia for routine upper GI endoscopy: a randomized, double-blind, placebo-controlled, non-inferiority trial. </w:t>
      </w:r>
      <w:r w:rsidRPr="00D46A14">
        <w:rPr>
          <w:rFonts w:ascii="Book Antiqua" w:hAnsi="Book Antiqua"/>
          <w:i/>
          <w:sz w:val="24"/>
          <w:szCs w:val="24"/>
        </w:rPr>
        <w:t>Gastrointest Endosc</w:t>
      </w:r>
      <w:r w:rsidRPr="00D46A14">
        <w:rPr>
          <w:rFonts w:ascii="Book Antiqua" w:hAnsi="Book Antiqua"/>
          <w:sz w:val="24"/>
          <w:szCs w:val="24"/>
        </w:rPr>
        <w:t xml:space="preserve"> 2011; </w:t>
      </w:r>
      <w:r w:rsidRPr="00D46A14">
        <w:rPr>
          <w:rFonts w:ascii="Book Antiqua" w:hAnsi="Book Antiqua"/>
          <w:b/>
          <w:sz w:val="24"/>
          <w:szCs w:val="24"/>
        </w:rPr>
        <w:t>74</w:t>
      </w:r>
      <w:r w:rsidRPr="00D46A14">
        <w:rPr>
          <w:rFonts w:ascii="Book Antiqua" w:hAnsi="Book Antiqua"/>
          <w:sz w:val="24"/>
          <w:szCs w:val="24"/>
        </w:rPr>
        <w:t>: 1207-1214 [PMID: 22000794 DOI: 10.1016/j.gie.2011.07.072]</w:t>
      </w:r>
    </w:p>
    <w:p w14:paraId="4029C178"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15 </w:t>
      </w:r>
      <w:r w:rsidRPr="00D46A14">
        <w:rPr>
          <w:rFonts w:ascii="Book Antiqua" w:hAnsi="Book Antiqua"/>
          <w:b/>
          <w:sz w:val="24"/>
          <w:szCs w:val="24"/>
        </w:rPr>
        <w:t>Moerman AT</w:t>
      </w:r>
      <w:r w:rsidRPr="00D46A14">
        <w:rPr>
          <w:rFonts w:ascii="Book Antiqua" w:hAnsi="Book Antiqua"/>
          <w:sz w:val="24"/>
          <w:szCs w:val="24"/>
        </w:rPr>
        <w:t xml:space="preserve">, Herregods LL, De Vos MM, Mortier EP, Struys MM. Manual versus target-controlled infusion remifentanil administration in spontaneously breathing patients. </w:t>
      </w:r>
      <w:r w:rsidRPr="00D46A14">
        <w:rPr>
          <w:rFonts w:ascii="Book Antiqua" w:hAnsi="Book Antiqua"/>
          <w:i/>
          <w:sz w:val="24"/>
          <w:szCs w:val="24"/>
        </w:rPr>
        <w:t>Anesth Analg</w:t>
      </w:r>
      <w:r w:rsidRPr="00D46A14">
        <w:rPr>
          <w:rFonts w:ascii="Book Antiqua" w:hAnsi="Book Antiqua"/>
          <w:sz w:val="24"/>
          <w:szCs w:val="24"/>
        </w:rPr>
        <w:t xml:space="preserve"> 2009; </w:t>
      </w:r>
      <w:r w:rsidRPr="00D46A14">
        <w:rPr>
          <w:rFonts w:ascii="Book Antiqua" w:hAnsi="Book Antiqua"/>
          <w:b/>
          <w:sz w:val="24"/>
          <w:szCs w:val="24"/>
        </w:rPr>
        <w:t>108</w:t>
      </w:r>
      <w:r w:rsidRPr="00D46A14">
        <w:rPr>
          <w:rFonts w:ascii="Book Antiqua" w:hAnsi="Book Antiqua"/>
          <w:sz w:val="24"/>
          <w:szCs w:val="24"/>
        </w:rPr>
        <w:t>: 828-834 [PMID: 19224790 DOI: 10.1213/ane.0b013e318198f6dc]</w:t>
      </w:r>
    </w:p>
    <w:p w14:paraId="1CEFF7E8"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16 </w:t>
      </w:r>
      <w:r w:rsidRPr="00D46A14">
        <w:rPr>
          <w:rFonts w:ascii="Book Antiqua" w:hAnsi="Book Antiqua"/>
          <w:b/>
          <w:sz w:val="24"/>
          <w:szCs w:val="24"/>
        </w:rPr>
        <w:t>Moerman AT</w:t>
      </w:r>
      <w:r w:rsidRPr="00D46A14">
        <w:rPr>
          <w:rFonts w:ascii="Book Antiqua" w:hAnsi="Book Antiqua"/>
          <w:sz w:val="24"/>
          <w:szCs w:val="24"/>
        </w:rPr>
        <w:t xml:space="preserve">, Struys MM, Vereecke HE, Herregods LL, De Vos MM, Mortier EP. Remifentanil used to supplement propofol does not improve quality of sedation during spontaneous respiration. </w:t>
      </w:r>
      <w:r w:rsidRPr="00D46A14">
        <w:rPr>
          <w:rFonts w:ascii="Book Antiqua" w:hAnsi="Book Antiqua"/>
          <w:i/>
          <w:sz w:val="24"/>
          <w:szCs w:val="24"/>
        </w:rPr>
        <w:t>J Clin Anesth</w:t>
      </w:r>
      <w:r w:rsidRPr="00D46A14">
        <w:rPr>
          <w:rFonts w:ascii="Book Antiqua" w:hAnsi="Book Antiqua"/>
          <w:sz w:val="24"/>
          <w:szCs w:val="24"/>
        </w:rPr>
        <w:t xml:space="preserve"> 2004; </w:t>
      </w:r>
      <w:r w:rsidRPr="00D46A14">
        <w:rPr>
          <w:rFonts w:ascii="Book Antiqua" w:hAnsi="Book Antiqua"/>
          <w:b/>
          <w:sz w:val="24"/>
          <w:szCs w:val="24"/>
        </w:rPr>
        <w:t>16</w:t>
      </w:r>
      <w:r w:rsidRPr="00D46A14">
        <w:rPr>
          <w:rFonts w:ascii="Book Antiqua" w:hAnsi="Book Antiqua"/>
          <w:sz w:val="24"/>
          <w:szCs w:val="24"/>
        </w:rPr>
        <w:t>: 237-243 [PMID: 15261312 DOI: 10.1016/j.jclinane.2003.08.005]</w:t>
      </w:r>
    </w:p>
    <w:p w14:paraId="3D06348E"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17 </w:t>
      </w:r>
      <w:r w:rsidRPr="00D46A14">
        <w:rPr>
          <w:rFonts w:ascii="Book Antiqua" w:hAnsi="Book Antiqua"/>
          <w:b/>
          <w:sz w:val="24"/>
          <w:szCs w:val="24"/>
        </w:rPr>
        <w:t>Ong WC</w:t>
      </w:r>
      <w:r w:rsidRPr="00D46A14">
        <w:rPr>
          <w:rFonts w:ascii="Book Antiqua" w:hAnsi="Book Antiqua"/>
          <w:sz w:val="24"/>
          <w:szCs w:val="24"/>
        </w:rPr>
        <w:t xml:space="preserve">, Santosh D, Lakhtakia S, Reddy DN. A randomized controlled trial on use of propofol alone versus propofol with midazolam, ketamine, and pentazocine "sedato-analgesic cocktail" for sedation during ERCP. </w:t>
      </w:r>
      <w:r w:rsidRPr="00D46A14">
        <w:rPr>
          <w:rFonts w:ascii="Book Antiqua" w:hAnsi="Book Antiqua"/>
          <w:i/>
          <w:sz w:val="24"/>
          <w:szCs w:val="24"/>
        </w:rPr>
        <w:t>Endoscopy</w:t>
      </w:r>
      <w:r w:rsidRPr="00D46A14">
        <w:rPr>
          <w:rFonts w:ascii="Book Antiqua" w:hAnsi="Book Antiqua"/>
          <w:sz w:val="24"/>
          <w:szCs w:val="24"/>
        </w:rPr>
        <w:t xml:space="preserve"> 2007; </w:t>
      </w:r>
      <w:r w:rsidRPr="00D46A14">
        <w:rPr>
          <w:rFonts w:ascii="Book Antiqua" w:hAnsi="Book Antiqua"/>
          <w:b/>
          <w:sz w:val="24"/>
          <w:szCs w:val="24"/>
        </w:rPr>
        <w:t>39</w:t>
      </w:r>
      <w:r w:rsidRPr="00D46A14">
        <w:rPr>
          <w:rFonts w:ascii="Book Antiqua" w:hAnsi="Book Antiqua"/>
          <w:sz w:val="24"/>
          <w:szCs w:val="24"/>
        </w:rPr>
        <w:t>: 807-812 [PMID: 17703390 DOI: 10.1055/s-2007-966725]</w:t>
      </w:r>
    </w:p>
    <w:p w14:paraId="321B0B0C"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18 </w:t>
      </w:r>
      <w:r w:rsidRPr="00D46A14">
        <w:rPr>
          <w:rFonts w:ascii="Book Antiqua" w:hAnsi="Book Antiqua"/>
          <w:b/>
          <w:sz w:val="24"/>
          <w:szCs w:val="24"/>
        </w:rPr>
        <w:t>Paspatis GA</w:t>
      </w:r>
      <w:r w:rsidRPr="00D46A14">
        <w:rPr>
          <w:rFonts w:ascii="Book Antiqua" w:hAnsi="Book Antiqua"/>
          <w:sz w:val="24"/>
          <w:szCs w:val="24"/>
        </w:rPr>
        <w:t xml:space="preserve">, Charoniti I, Manolaraki M, Vardas E, Papanikolaou N, Anastasiadou A, Gritzali A. Synergistic sedation with oral midazolam as a premedication and intravenous propofol versus intravenous propofol alone in upper gastrointestinal endoscopies in children: a prospective, randomized study. </w:t>
      </w:r>
      <w:r w:rsidRPr="00D46A14">
        <w:rPr>
          <w:rFonts w:ascii="Book Antiqua" w:hAnsi="Book Antiqua"/>
          <w:i/>
          <w:sz w:val="24"/>
          <w:szCs w:val="24"/>
        </w:rPr>
        <w:t>J Pediatr Gastroenterol Nutr</w:t>
      </w:r>
      <w:r w:rsidRPr="00D46A14">
        <w:rPr>
          <w:rFonts w:ascii="Book Antiqua" w:hAnsi="Book Antiqua"/>
          <w:sz w:val="24"/>
          <w:szCs w:val="24"/>
        </w:rPr>
        <w:t xml:space="preserve"> 2006; </w:t>
      </w:r>
      <w:r w:rsidRPr="00D46A14">
        <w:rPr>
          <w:rFonts w:ascii="Book Antiqua" w:hAnsi="Book Antiqua"/>
          <w:b/>
          <w:sz w:val="24"/>
          <w:szCs w:val="24"/>
        </w:rPr>
        <w:t>43</w:t>
      </w:r>
      <w:r w:rsidRPr="00D46A14">
        <w:rPr>
          <w:rFonts w:ascii="Book Antiqua" w:hAnsi="Book Antiqua"/>
          <w:sz w:val="24"/>
          <w:szCs w:val="24"/>
        </w:rPr>
        <w:t>: 195-199 [PMID: 16877984 DOI: 10.1097/01.mpg.0000228099.04702.39]</w:t>
      </w:r>
    </w:p>
    <w:p w14:paraId="52838E92"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19 </w:t>
      </w:r>
      <w:r w:rsidRPr="00D46A14">
        <w:rPr>
          <w:rFonts w:ascii="Book Antiqua" w:hAnsi="Book Antiqua"/>
          <w:b/>
          <w:sz w:val="24"/>
          <w:szCs w:val="24"/>
        </w:rPr>
        <w:t>Seifert H</w:t>
      </w:r>
      <w:r w:rsidRPr="00D46A14">
        <w:rPr>
          <w:rFonts w:ascii="Book Antiqua" w:hAnsi="Book Antiqua"/>
          <w:sz w:val="24"/>
          <w:szCs w:val="24"/>
        </w:rPr>
        <w:t xml:space="preserve">, Schmitt TH, Gültekin T, Caspary WF, Wehrmann T. Sedation with propofol plus midazolam versus propofol alone for interventional endoscopic </w:t>
      </w:r>
      <w:r w:rsidRPr="00D46A14">
        <w:rPr>
          <w:rFonts w:ascii="Book Antiqua" w:hAnsi="Book Antiqua"/>
          <w:sz w:val="24"/>
          <w:szCs w:val="24"/>
        </w:rPr>
        <w:lastRenderedPageBreak/>
        <w:t xml:space="preserve">procedures: a prospective, randomized study. </w:t>
      </w:r>
      <w:r w:rsidRPr="00D46A14">
        <w:rPr>
          <w:rFonts w:ascii="Book Antiqua" w:hAnsi="Book Antiqua"/>
          <w:i/>
          <w:sz w:val="24"/>
          <w:szCs w:val="24"/>
        </w:rPr>
        <w:t>Aliment Pharmacol Ther</w:t>
      </w:r>
      <w:r w:rsidRPr="00D46A14">
        <w:rPr>
          <w:rFonts w:ascii="Book Antiqua" w:hAnsi="Book Antiqua"/>
          <w:sz w:val="24"/>
          <w:szCs w:val="24"/>
        </w:rPr>
        <w:t xml:space="preserve"> 2000; </w:t>
      </w:r>
      <w:r w:rsidRPr="00D46A14">
        <w:rPr>
          <w:rFonts w:ascii="Book Antiqua" w:hAnsi="Book Antiqua"/>
          <w:b/>
          <w:sz w:val="24"/>
          <w:szCs w:val="24"/>
        </w:rPr>
        <w:t>14</w:t>
      </w:r>
      <w:r w:rsidRPr="00D46A14">
        <w:rPr>
          <w:rFonts w:ascii="Book Antiqua" w:hAnsi="Book Antiqua"/>
          <w:sz w:val="24"/>
          <w:szCs w:val="24"/>
        </w:rPr>
        <w:t>: 1207-1214 [PMID: 10971238 DOI: 10.1046/j.1365-2036.2000.00787.x]</w:t>
      </w:r>
    </w:p>
    <w:p w14:paraId="1C014E42" w14:textId="499D905D"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20 </w:t>
      </w:r>
      <w:r w:rsidRPr="00D46A14">
        <w:rPr>
          <w:rFonts w:ascii="Book Antiqua" w:hAnsi="Book Antiqua"/>
          <w:b/>
          <w:sz w:val="24"/>
          <w:szCs w:val="24"/>
        </w:rPr>
        <w:t>Liberati A</w:t>
      </w:r>
      <w:r w:rsidRPr="00D46A14">
        <w:rPr>
          <w:rFonts w:ascii="Book Antiqua" w:hAnsi="Book Antiqua"/>
          <w:sz w:val="24"/>
          <w:szCs w:val="24"/>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sidRPr="00D46A14">
        <w:rPr>
          <w:rFonts w:ascii="Book Antiqua" w:hAnsi="Book Antiqua"/>
          <w:i/>
          <w:sz w:val="24"/>
          <w:szCs w:val="24"/>
        </w:rPr>
        <w:t>BMJ</w:t>
      </w:r>
      <w:r w:rsidRPr="00D46A14">
        <w:rPr>
          <w:rFonts w:ascii="Book Antiqua" w:hAnsi="Book Antiqua"/>
          <w:sz w:val="24"/>
          <w:szCs w:val="24"/>
        </w:rPr>
        <w:t xml:space="preserve"> 2009; </w:t>
      </w:r>
      <w:r w:rsidRPr="00D46A14">
        <w:rPr>
          <w:rFonts w:ascii="Book Antiqua" w:hAnsi="Book Antiqua"/>
          <w:b/>
          <w:sz w:val="24"/>
          <w:szCs w:val="24"/>
        </w:rPr>
        <w:t>339</w:t>
      </w:r>
      <w:r w:rsidRPr="00D46A14">
        <w:rPr>
          <w:rFonts w:ascii="Book Antiqua" w:hAnsi="Book Antiqua"/>
          <w:sz w:val="24"/>
          <w:szCs w:val="24"/>
        </w:rPr>
        <w:t>: b2700 [PMID: 19622552</w:t>
      </w:r>
      <w:r w:rsidR="00681A25">
        <w:rPr>
          <w:rFonts w:ascii="Book Antiqua" w:eastAsia="等线" w:hAnsi="Book Antiqua" w:hint="eastAsia"/>
          <w:sz w:val="24"/>
          <w:szCs w:val="24"/>
          <w:lang w:eastAsia="zh-CN"/>
        </w:rPr>
        <w:t xml:space="preserve"> DOI: </w:t>
      </w:r>
      <w:r w:rsidR="00681A25" w:rsidRPr="00681A25">
        <w:rPr>
          <w:rFonts w:ascii="Book Antiqua" w:eastAsia="等线" w:hAnsi="Book Antiqua"/>
          <w:sz w:val="24"/>
          <w:szCs w:val="24"/>
          <w:lang w:eastAsia="zh-CN"/>
        </w:rPr>
        <w:t>10.1136/bmj.b2700</w:t>
      </w:r>
      <w:r w:rsidRPr="00D46A14">
        <w:rPr>
          <w:rFonts w:ascii="Book Antiqua" w:hAnsi="Book Antiqua"/>
          <w:sz w:val="24"/>
          <w:szCs w:val="24"/>
        </w:rPr>
        <w:t>]</w:t>
      </w:r>
    </w:p>
    <w:p w14:paraId="7923FDEF"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21 </w:t>
      </w:r>
      <w:r w:rsidRPr="00D46A14">
        <w:rPr>
          <w:rFonts w:ascii="Book Antiqua" w:hAnsi="Book Antiqua"/>
          <w:b/>
          <w:sz w:val="24"/>
          <w:szCs w:val="24"/>
        </w:rPr>
        <w:t>Jadad AR</w:t>
      </w:r>
      <w:r w:rsidRPr="00D46A14">
        <w:rPr>
          <w:rFonts w:ascii="Book Antiqua" w:hAnsi="Book Antiqua"/>
          <w:sz w:val="24"/>
          <w:szCs w:val="24"/>
        </w:rPr>
        <w:t xml:space="preserve">, Moore RA, Carroll D, Jenkinson C, Reynolds DJ, Gavaghan DJ, McQuay HJ. Assessing the quality of reports of randomized clinical trials: is blinding necessary? </w:t>
      </w:r>
      <w:r w:rsidRPr="00D46A14">
        <w:rPr>
          <w:rFonts w:ascii="Book Antiqua" w:hAnsi="Book Antiqua"/>
          <w:i/>
          <w:sz w:val="24"/>
          <w:szCs w:val="24"/>
        </w:rPr>
        <w:t>Control Clin Trials</w:t>
      </w:r>
      <w:r w:rsidRPr="00D46A14">
        <w:rPr>
          <w:rFonts w:ascii="Book Antiqua" w:hAnsi="Book Antiqua"/>
          <w:sz w:val="24"/>
          <w:szCs w:val="24"/>
        </w:rPr>
        <w:t xml:space="preserve"> 1996; </w:t>
      </w:r>
      <w:r w:rsidRPr="00D46A14">
        <w:rPr>
          <w:rFonts w:ascii="Book Antiqua" w:hAnsi="Book Antiqua"/>
          <w:b/>
          <w:sz w:val="24"/>
          <w:szCs w:val="24"/>
        </w:rPr>
        <w:t>17</w:t>
      </w:r>
      <w:r w:rsidRPr="00D46A14">
        <w:rPr>
          <w:rFonts w:ascii="Book Antiqua" w:hAnsi="Book Antiqua"/>
          <w:sz w:val="24"/>
          <w:szCs w:val="24"/>
        </w:rPr>
        <w:t>: 1-12 [PMID: 8721797 DOI: 10.1016/0197-2456(95)00134-4]</w:t>
      </w:r>
    </w:p>
    <w:p w14:paraId="74D1B05C"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22 </w:t>
      </w:r>
      <w:r w:rsidRPr="00D46A14">
        <w:rPr>
          <w:rFonts w:ascii="Book Antiqua" w:hAnsi="Book Antiqua"/>
          <w:b/>
          <w:sz w:val="24"/>
          <w:szCs w:val="24"/>
        </w:rPr>
        <w:t>Egger M</w:t>
      </w:r>
      <w:r w:rsidRPr="00D46A14">
        <w:rPr>
          <w:rFonts w:ascii="Book Antiqua" w:hAnsi="Book Antiqua"/>
          <w:sz w:val="24"/>
          <w:szCs w:val="24"/>
        </w:rPr>
        <w:t xml:space="preserve">, Davey Smith G, Schneider M, Minder C. Bias in meta-analysis detected by a simple, graphical test. </w:t>
      </w:r>
      <w:r w:rsidRPr="00D46A14">
        <w:rPr>
          <w:rFonts w:ascii="Book Antiqua" w:hAnsi="Book Antiqua"/>
          <w:i/>
          <w:sz w:val="24"/>
          <w:szCs w:val="24"/>
        </w:rPr>
        <w:t>BMJ</w:t>
      </w:r>
      <w:r w:rsidRPr="00D46A14">
        <w:rPr>
          <w:rFonts w:ascii="Book Antiqua" w:hAnsi="Book Antiqua"/>
          <w:sz w:val="24"/>
          <w:szCs w:val="24"/>
        </w:rPr>
        <w:t xml:space="preserve"> 1997; </w:t>
      </w:r>
      <w:r w:rsidRPr="00D46A14">
        <w:rPr>
          <w:rFonts w:ascii="Book Antiqua" w:hAnsi="Book Antiqua"/>
          <w:b/>
          <w:sz w:val="24"/>
          <w:szCs w:val="24"/>
        </w:rPr>
        <w:t>315</w:t>
      </w:r>
      <w:r w:rsidRPr="00D46A14">
        <w:rPr>
          <w:rFonts w:ascii="Book Antiqua" w:hAnsi="Book Antiqua"/>
          <w:sz w:val="24"/>
          <w:szCs w:val="24"/>
        </w:rPr>
        <w:t>: 629-634 [PMID: 9310563 DOI: 10.1136/bmj.316.7129.469]</w:t>
      </w:r>
    </w:p>
    <w:p w14:paraId="2B67A0E6"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23 </w:t>
      </w:r>
      <w:r w:rsidRPr="00D46A14">
        <w:rPr>
          <w:rFonts w:ascii="Book Antiqua" w:hAnsi="Book Antiqua"/>
          <w:b/>
          <w:sz w:val="24"/>
          <w:szCs w:val="24"/>
        </w:rPr>
        <w:t>Copas J</w:t>
      </w:r>
      <w:r w:rsidRPr="00D46A14">
        <w:rPr>
          <w:rFonts w:ascii="Book Antiqua" w:hAnsi="Book Antiqua"/>
          <w:sz w:val="24"/>
          <w:szCs w:val="24"/>
        </w:rPr>
        <w:t xml:space="preserve">, Shi JQ. Meta-analysis, funnel plots and sensitivity analysis. </w:t>
      </w:r>
      <w:r w:rsidRPr="00D46A14">
        <w:rPr>
          <w:rFonts w:ascii="Book Antiqua" w:hAnsi="Book Antiqua"/>
          <w:i/>
          <w:sz w:val="24"/>
          <w:szCs w:val="24"/>
        </w:rPr>
        <w:t>Biostatistics</w:t>
      </w:r>
      <w:r w:rsidRPr="00D46A14">
        <w:rPr>
          <w:rFonts w:ascii="Book Antiqua" w:hAnsi="Book Antiqua"/>
          <w:sz w:val="24"/>
          <w:szCs w:val="24"/>
        </w:rPr>
        <w:t xml:space="preserve"> 2000; </w:t>
      </w:r>
      <w:r w:rsidRPr="00D46A14">
        <w:rPr>
          <w:rFonts w:ascii="Book Antiqua" w:hAnsi="Book Antiqua"/>
          <w:b/>
          <w:sz w:val="24"/>
          <w:szCs w:val="24"/>
        </w:rPr>
        <w:t>1</w:t>
      </w:r>
      <w:r w:rsidRPr="00D46A14">
        <w:rPr>
          <w:rFonts w:ascii="Book Antiqua" w:hAnsi="Book Antiqua"/>
          <w:sz w:val="24"/>
          <w:szCs w:val="24"/>
        </w:rPr>
        <w:t>: 247-262 [PMID: 12933507 DOI: 10.1093/biostatistics/1.3.247]</w:t>
      </w:r>
    </w:p>
    <w:p w14:paraId="41946B8D"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24 </w:t>
      </w:r>
      <w:r w:rsidRPr="00D46A14">
        <w:rPr>
          <w:rFonts w:ascii="Book Antiqua" w:hAnsi="Book Antiqua"/>
          <w:b/>
          <w:sz w:val="24"/>
          <w:szCs w:val="24"/>
        </w:rPr>
        <w:t>Lee CK</w:t>
      </w:r>
      <w:r w:rsidRPr="00D46A14">
        <w:rPr>
          <w:rFonts w:ascii="Book Antiqua" w:hAnsi="Book Antiqua"/>
          <w:sz w:val="24"/>
          <w:szCs w:val="24"/>
        </w:rPr>
        <w:t xml:space="preserve">, Lee SH, Chung IK, Lee TH, Park SH, Kim EO, Lee SH, Kim HS, Kim SJ. Balanced propofol sedation for therapeutic GI endoscopic procedures: a prospective, randomized study. </w:t>
      </w:r>
      <w:r w:rsidRPr="00D46A14">
        <w:rPr>
          <w:rFonts w:ascii="Book Antiqua" w:hAnsi="Book Antiqua"/>
          <w:i/>
          <w:sz w:val="24"/>
          <w:szCs w:val="24"/>
        </w:rPr>
        <w:t>Gastrointest Endosc</w:t>
      </w:r>
      <w:r w:rsidRPr="00D46A14">
        <w:rPr>
          <w:rFonts w:ascii="Book Antiqua" w:hAnsi="Book Antiqua"/>
          <w:sz w:val="24"/>
          <w:szCs w:val="24"/>
        </w:rPr>
        <w:t xml:space="preserve"> 2011; </w:t>
      </w:r>
      <w:r w:rsidRPr="00D46A14">
        <w:rPr>
          <w:rFonts w:ascii="Book Antiqua" w:hAnsi="Book Antiqua"/>
          <w:b/>
          <w:sz w:val="24"/>
          <w:szCs w:val="24"/>
        </w:rPr>
        <w:t>73</w:t>
      </w:r>
      <w:r w:rsidRPr="00D46A14">
        <w:rPr>
          <w:rFonts w:ascii="Book Antiqua" w:hAnsi="Book Antiqua"/>
          <w:sz w:val="24"/>
          <w:szCs w:val="24"/>
        </w:rPr>
        <w:t>: 206-214 [PMID: 21168838 DOI: 10.1016/j.gie.2010.09.035]</w:t>
      </w:r>
    </w:p>
    <w:p w14:paraId="75EECB73"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25 </w:t>
      </w:r>
      <w:r w:rsidRPr="00D46A14">
        <w:rPr>
          <w:rFonts w:ascii="Book Antiqua" w:hAnsi="Book Antiqua"/>
          <w:b/>
          <w:sz w:val="24"/>
          <w:szCs w:val="24"/>
        </w:rPr>
        <w:t>Pascual MG</w:t>
      </w:r>
      <w:r w:rsidRPr="00D46A14">
        <w:rPr>
          <w:rFonts w:ascii="Book Antiqua" w:hAnsi="Book Antiqua"/>
          <w:sz w:val="24"/>
          <w:szCs w:val="24"/>
        </w:rPr>
        <w:t xml:space="preserve">, Zayas Berbes M, Sáez Baños M, Abreu Vázquez Mdel R, Martínez Leyva L. [Propofol versus midazolam and pethidine in the colonoscopy realization]. </w:t>
      </w:r>
      <w:r w:rsidRPr="00D46A14">
        <w:rPr>
          <w:rFonts w:ascii="Book Antiqua" w:hAnsi="Book Antiqua"/>
          <w:i/>
          <w:sz w:val="24"/>
          <w:szCs w:val="24"/>
        </w:rPr>
        <w:t>Acta Gastroenterol Latinoam</w:t>
      </w:r>
      <w:r w:rsidRPr="00D46A14">
        <w:rPr>
          <w:rFonts w:ascii="Book Antiqua" w:hAnsi="Book Antiqua"/>
          <w:sz w:val="24"/>
          <w:szCs w:val="24"/>
        </w:rPr>
        <w:t xml:space="preserve"> 2011; </w:t>
      </w:r>
      <w:r w:rsidRPr="00D46A14">
        <w:rPr>
          <w:rFonts w:ascii="Book Antiqua" w:hAnsi="Book Antiqua"/>
          <w:b/>
          <w:sz w:val="24"/>
          <w:szCs w:val="24"/>
        </w:rPr>
        <w:t>41</w:t>
      </w:r>
      <w:r w:rsidRPr="00D46A14">
        <w:rPr>
          <w:rFonts w:ascii="Book Antiqua" w:hAnsi="Book Antiqua"/>
          <w:sz w:val="24"/>
          <w:szCs w:val="24"/>
        </w:rPr>
        <w:t>: 214-220 [PMID: 22232999]</w:t>
      </w:r>
    </w:p>
    <w:p w14:paraId="64FFE2B3"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26 </w:t>
      </w:r>
      <w:r w:rsidRPr="00D46A14">
        <w:rPr>
          <w:rFonts w:ascii="Book Antiqua" w:hAnsi="Book Antiqua"/>
          <w:b/>
          <w:sz w:val="24"/>
          <w:szCs w:val="24"/>
        </w:rPr>
        <w:t>Levitzky BE</w:t>
      </w:r>
      <w:r w:rsidRPr="00D46A14">
        <w:rPr>
          <w:rFonts w:ascii="Book Antiqua" w:hAnsi="Book Antiqua"/>
          <w:sz w:val="24"/>
          <w:szCs w:val="24"/>
        </w:rPr>
        <w:t xml:space="preserve">, Lopez R, Dumot JA, Vargo JJ. Moderate sedation for elective upper endoscopy with balanced propofol versus fentanyl and midazolam alone: a randomized clinical trial. </w:t>
      </w:r>
      <w:r w:rsidRPr="00D46A14">
        <w:rPr>
          <w:rFonts w:ascii="Book Antiqua" w:hAnsi="Book Antiqua"/>
          <w:i/>
          <w:sz w:val="24"/>
          <w:szCs w:val="24"/>
        </w:rPr>
        <w:t>Endoscopy</w:t>
      </w:r>
      <w:r w:rsidRPr="00D46A14">
        <w:rPr>
          <w:rFonts w:ascii="Book Antiqua" w:hAnsi="Book Antiqua"/>
          <w:sz w:val="24"/>
          <w:szCs w:val="24"/>
        </w:rPr>
        <w:t xml:space="preserve"> 2012; </w:t>
      </w:r>
      <w:r w:rsidRPr="00D46A14">
        <w:rPr>
          <w:rFonts w:ascii="Book Antiqua" w:hAnsi="Book Antiqua"/>
          <w:b/>
          <w:sz w:val="24"/>
          <w:szCs w:val="24"/>
        </w:rPr>
        <w:t>44</w:t>
      </w:r>
      <w:r w:rsidRPr="00D46A14">
        <w:rPr>
          <w:rFonts w:ascii="Book Antiqua" w:hAnsi="Book Antiqua"/>
          <w:sz w:val="24"/>
          <w:szCs w:val="24"/>
        </w:rPr>
        <w:t>: 13-20 [PMID: 22068700 DOI: 10.1055/s-0031-1291421]</w:t>
      </w:r>
    </w:p>
    <w:p w14:paraId="47A8EAD5"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27 </w:t>
      </w:r>
      <w:r w:rsidRPr="00D46A14">
        <w:rPr>
          <w:rFonts w:ascii="Book Antiqua" w:hAnsi="Book Antiqua"/>
          <w:b/>
          <w:sz w:val="24"/>
          <w:szCs w:val="24"/>
        </w:rPr>
        <w:t>Zuo XL</w:t>
      </w:r>
      <w:r w:rsidRPr="00D46A14">
        <w:rPr>
          <w:rFonts w:ascii="Book Antiqua" w:hAnsi="Book Antiqua"/>
          <w:sz w:val="24"/>
          <w:szCs w:val="24"/>
        </w:rPr>
        <w:t xml:space="preserve">, Li Z, Liu XP, Li CQ, Ji R, Wang P, Zhou CJ, Liu H, Li YQ. Propofol vs midazolam plus fentanyl for upper gastrointestinal endomicroscopy: a </w:t>
      </w:r>
      <w:r w:rsidRPr="00D46A14">
        <w:rPr>
          <w:rFonts w:ascii="Book Antiqua" w:hAnsi="Book Antiqua"/>
          <w:sz w:val="24"/>
          <w:szCs w:val="24"/>
        </w:rPr>
        <w:lastRenderedPageBreak/>
        <w:t xml:space="preserve">randomized trial. </w:t>
      </w:r>
      <w:r w:rsidRPr="00D46A14">
        <w:rPr>
          <w:rFonts w:ascii="Book Antiqua" w:hAnsi="Book Antiqua"/>
          <w:i/>
          <w:sz w:val="24"/>
          <w:szCs w:val="24"/>
        </w:rPr>
        <w:t>World J Gastroenterol</w:t>
      </w:r>
      <w:r w:rsidRPr="00D46A14">
        <w:rPr>
          <w:rFonts w:ascii="Book Antiqua" w:hAnsi="Book Antiqua"/>
          <w:sz w:val="24"/>
          <w:szCs w:val="24"/>
        </w:rPr>
        <w:t xml:space="preserve"> 2012; </w:t>
      </w:r>
      <w:r w:rsidRPr="00D46A14">
        <w:rPr>
          <w:rFonts w:ascii="Book Antiqua" w:hAnsi="Book Antiqua"/>
          <w:b/>
          <w:sz w:val="24"/>
          <w:szCs w:val="24"/>
        </w:rPr>
        <w:t>18</w:t>
      </w:r>
      <w:r w:rsidRPr="00D46A14">
        <w:rPr>
          <w:rFonts w:ascii="Book Antiqua" w:hAnsi="Book Antiqua"/>
          <w:sz w:val="24"/>
          <w:szCs w:val="24"/>
        </w:rPr>
        <w:t>: 1814-1821 [PMID: 22553407 DOI: 10.3748/wjg.v18.i15.1814]</w:t>
      </w:r>
    </w:p>
    <w:p w14:paraId="3645C63F"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28 </w:t>
      </w:r>
      <w:r w:rsidRPr="00D46A14">
        <w:rPr>
          <w:rFonts w:ascii="Book Antiqua" w:hAnsi="Book Antiqua"/>
          <w:b/>
          <w:sz w:val="24"/>
          <w:szCs w:val="24"/>
        </w:rPr>
        <w:t>Lee TH</w:t>
      </w:r>
      <w:r w:rsidRPr="00D46A14">
        <w:rPr>
          <w:rFonts w:ascii="Book Antiqua" w:hAnsi="Book Antiqua"/>
          <w:sz w:val="24"/>
          <w:szCs w:val="24"/>
        </w:rPr>
        <w:t xml:space="preserve">, Lee CK, Park SH, Lee SH, Chung IK, Choi HJ, Cha SW, Moon JH, Cho YD, Hwangbo Y, Kim SJ. Balanced propofol sedation versus propofol monosedation in therapeutic pancreaticobiliary endoscopic procedures. </w:t>
      </w:r>
      <w:r w:rsidRPr="00D46A14">
        <w:rPr>
          <w:rFonts w:ascii="Book Antiqua" w:hAnsi="Book Antiqua"/>
          <w:i/>
          <w:sz w:val="24"/>
          <w:szCs w:val="24"/>
        </w:rPr>
        <w:t>Dig Dis Sci</w:t>
      </w:r>
      <w:r w:rsidRPr="00D46A14">
        <w:rPr>
          <w:rFonts w:ascii="Book Antiqua" w:hAnsi="Book Antiqua"/>
          <w:sz w:val="24"/>
          <w:szCs w:val="24"/>
        </w:rPr>
        <w:t xml:space="preserve"> 2012; </w:t>
      </w:r>
      <w:r w:rsidRPr="00D46A14">
        <w:rPr>
          <w:rFonts w:ascii="Book Antiqua" w:hAnsi="Book Antiqua"/>
          <w:b/>
          <w:sz w:val="24"/>
          <w:szCs w:val="24"/>
        </w:rPr>
        <w:t>57</w:t>
      </w:r>
      <w:r w:rsidRPr="00D46A14">
        <w:rPr>
          <w:rFonts w:ascii="Book Antiqua" w:hAnsi="Book Antiqua"/>
          <w:sz w:val="24"/>
          <w:szCs w:val="24"/>
        </w:rPr>
        <w:t>: 2113-2121 [PMID: 22615018 DOI: 10.1007/s10620-012-2234-0]</w:t>
      </w:r>
    </w:p>
    <w:p w14:paraId="2DD322B3"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29 </w:t>
      </w:r>
      <w:r w:rsidRPr="00D46A14">
        <w:rPr>
          <w:rFonts w:ascii="Book Antiqua" w:hAnsi="Book Antiqua"/>
          <w:b/>
          <w:sz w:val="24"/>
          <w:szCs w:val="24"/>
        </w:rPr>
        <w:t>Angsuwatcharakon P</w:t>
      </w:r>
      <w:r w:rsidRPr="00D46A14">
        <w:rPr>
          <w:rFonts w:ascii="Book Antiqua" w:hAnsi="Book Antiqua"/>
          <w:sz w:val="24"/>
          <w:szCs w:val="24"/>
        </w:rPr>
        <w:t xml:space="preserve">, Rerknimitr R, Ridtitid W, Kongkam P, Poonyathawon S, Ponauthai Y, Sumdin S, Kullavanijaya P. Cocktail sedation containing propofol versus conventional sedation for ERCP: a prospective, randomized controlled study. </w:t>
      </w:r>
      <w:r w:rsidRPr="00D46A14">
        <w:rPr>
          <w:rFonts w:ascii="Book Antiqua" w:hAnsi="Book Antiqua"/>
          <w:i/>
          <w:sz w:val="24"/>
          <w:szCs w:val="24"/>
        </w:rPr>
        <w:t>BMC Anesthesiol</w:t>
      </w:r>
      <w:r w:rsidRPr="00D46A14">
        <w:rPr>
          <w:rFonts w:ascii="Book Antiqua" w:hAnsi="Book Antiqua"/>
          <w:sz w:val="24"/>
          <w:szCs w:val="24"/>
        </w:rPr>
        <w:t xml:space="preserve"> 2012; </w:t>
      </w:r>
      <w:r w:rsidRPr="00D46A14">
        <w:rPr>
          <w:rFonts w:ascii="Book Antiqua" w:hAnsi="Book Antiqua"/>
          <w:b/>
          <w:sz w:val="24"/>
          <w:szCs w:val="24"/>
        </w:rPr>
        <w:t>12</w:t>
      </w:r>
      <w:r w:rsidRPr="00D46A14">
        <w:rPr>
          <w:rFonts w:ascii="Book Antiqua" w:hAnsi="Book Antiqua"/>
          <w:sz w:val="24"/>
          <w:szCs w:val="24"/>
        </w:rPr>
        <w:t>: 20 [PMID: 22873637 DOI: 10.1186/1471-2253-12-20]</w:t>
      </w:r>
    </w:p>
    <w:p w14:paraId="17E6EF44"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30 </w:t>
      </w:r>
      <w:r w:rsidRPr="00D46A14">
        <w:rPr>
          <w:rFonts w:ascii="Book Antiqua" w:hAnsi="Book Antiqua"/>
          <w:b/>
          <w:sz w:val="24"/>
          <w:szCs w:val="24"/>
        </w:rPr>
        <w:t>Chun SY</w:t>
      </w:r>
      <w:r w:rsidRPr="00D46A14">
        <w:rPr>
          <w:rFonts w:ascii="Book Antiqua" w:hAnsi="Book Antiqua"/>
          <w:sz w:val="24"/>
          <w:szCs w:val="24"/>
        </w:rPr>
        <w:t xml:space="preserve">, Kim KO, Park DS, Kim SY, Park JW, Baek IH, Kim JH, Park CK. Safety and efficacy of deep sedation with propofol alone or combined with midazolam administrated by nonanesthesiologist for gastric endoscopic submucosal dissection. </w:t>
      </w:r>
      <w:r w:rsidRPr="00D46A14">
        <w:rPr>
          <w:rFonts w:ascii="Book Antiqua" w:hAnsi="Book Antiqua"/>
          <w:i/>
          <w:sz w:val="24"/>
          <w:szCs w:val="24"/>
        </w:rPr>
        <w:t>Gut Liver</w:t>
      </w:r>
      <w:r w:rsidRPr="00D46A14">
        <w:rPr>
          <w:rFonts w:ascii="Book Antiqua" w:hAnsi="Book Antiqua"/>
          <w:sz w:val="24"/>
          <w:szCs w:val="24"/>
        </w:rPr>
        <w:t xml:space="preserve"> 2012; </w:t>
      </w:r>
      <w:r w:rsidRPr="00D46A14">
        <w:rPr>
          <w:rFonts w:ascii="Book Antiqua" w:hAnsi="Book Antiqua"/>
          <w:b/>
          <w:sz w:val="24"/>
          <w:szCs w:val="24"/>
        </w:rPr>
        <w:t>6</w:t>
      </w:r>
      <w:r w:rsidRPr="00D46A14">
        <w:rPr>
          <w:rFonts w:ascii="Book Antiqua" w:hAnsi="Book Antiqua"/>
          <w:sz w:val="24"/>
          <w:szCs w:val="24"/>
        </w:rPr>
        <w:t>: 464-470 [PMID: 23170151 DOI: 10.5009/gnl.2012.6.4.464]</w:t>
      </w:r>
    </w:p>
    <w:p w14:paraId="1175CD10"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31 </w:t>
      </w:r>
      <w:r w:rsidRPr="00D46A14">
        <w:rPr>
          <w:rFonts w:ascii="Book Antiqua" w:hAnsi="Book Antiqua"/>
          <w:b/>
          <w:sz w:val="24"/>
          <w:szCs w:val="24"/>
        </w:rPr>
        <w:t>Chan WH</w:t>
      </w:r>
      <w:r w:rsidRPr="00D46A14">
        <w:rPr>
          <w:rFonts w:ascii="Book Antiqua" w:hAnsi="Book Antiqua"/>
          <w:sz w:val="24"/>
          <w:szCs w:val="24"/>
        </w:rPr>
        <w:t xml:space="preserve">, Chang SL, Lin CS, Chen MJ, Fan SZ. Target-controlled infusion of propofol versus intermittent bolus of a sedative cocktail regimen in deep sedation for gastrointestinal endoscopy: comparison of cardiovascular and respiratory parameters. </w:t>
      </w:r>
      <w:r w:rsidRPr="00D46A14">
        <w:rPr>
          <w:rFonts w:ascii="Book Antiqua" w:hAnsi="Book Antiqua"/>
          <w:i/>
          <w:sz w:val="24"/>
          <w:szCs w:val="24"/>
        </w:rPr>
        <w:t>J Dig Dis</w:t>
      </w:r>
      <w:r w:rsidRPr="00D46A14">
        <w:rPr>
          <w:rFonts w:ascii="Book Antiqua" w:hAnsi="Book Antiqua"/>
          <w:sz w:val="24"/>
          <w:szCs w:val="24"/>
        </w:rPr>
        <w:t xml:space="preserve"> 2014; </w:t>
      </w:r>
      <w:r w:rsidRPr="00D46A14">
        <w:rPr>
          <w:rFonts w:ascii="Book Antiqua" w:hAnsi="Book Antiqua"/>
          <w:b/>
          <w:sz w:val="24"/>
          <w:szCs w:val="24"/>
        </w:rPr>
        <w:t>15</w:t>
      </w:r>
      <w:r w:rsidRPr="00D46A14">
        <w:rPr>
          <w:rFonts w:ascii="Book Antiqua" w:hAnsi="Book Antiqua"/>
          <w:sz w:val="24"/>
          <w:szCs w:val="24"/>
        </w:rPr>
        <w:t>: 18-26 [PMID: 24106806 DOI: 10.1111/1751-2980.12101]</w:t>
      </w:r>
    </w:p>
    <w:p w14:paraId="6F488B9E"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32 </w:t>
      </w:r>
      <w:r w:rsidRPr="00D46A14">
        <w:rPr>
          <w:rFonts w:ascii="Book Antiqua" w:hAnsi="Book Antiqua"/>
          <w:b/>
          <w:sz w:val="24"/>
          <w:szCs w:val="24"/>
        </w:rPr>
        <w:t>Gurbulak B</w:t>
      </w:r>
      <w:r w:rsidRPr="00D46A14">
        <w:rPr>
          <w:rFonts w:ascii="Book Antiqua" w:hAnsi="Book Antiqua"/>
          <w:sz w:val="24"/>
          <w:szCs w:val="24"/>
        </w:rPr>
        <w:t xml:space="preserve">, Uzman S, Kabul Gurbulak E, Gul YG, Toptas M, Baltali S, Anil Savas O. Cardiopulmonary safety of propofol versus midazolam/meperidine sedation for colonoscopy: a prospective, randomized, double-blinded study. </w:t>
      </w:r>
      <w:r w:rsidRPr="00D46A14">
        <w:rPr>
          <w:rFonts w:ascii="Book Antiqua" w:hAnsi="Book Antiqua"/>
          <w:i/>
          <w:sz w:val="24"/>
          <w:szCs w:val="24"/>
        </w:rPr>
        <w:t>Iran Red Crescent Med J</w:t>
      </w:r>
      <w:r w:rsidRPr="00D46A14">
        <w:rPr>
          <w:rFonts w:ascii="Book Antiqua" w:hAnsi="Book Antiqua"/>
          <w:sz w:val="24"/>
          <w:szCs w:val="24"/>
        </w:rPr>
        <w:t xml:space="preserve"> 2014; </w:t>
      </w:r>
      <w:r w:rsidRPr="00D46A14">
        <w:rPr>
          <w:rFonts w:ascii="Book Antiqua" w:hAnsi="Book Antiqua"/>
          <w:b/>
          <w:sz w:val="24"/>
          <w:szCs w:val="24"/>
        </w:rPr>
        <w:t>16</w:t>
      </w:r>
      <w:r w:rsidRPr="00D46A14">
        <w:rPr>
          <w:rFonts w:ascii="Book Antiqua" w:hAnsi="Book Antiqua"/>
          <w:sz w:val="24"/>
          <w:szCs w:val="24"/>
        </w:rPr>
        <w:t>: e19329 [PMID: 25763217 DOI: 10.5812/ircmj.19329]</w:t>
      </w:r>
    </w:p>
    <w:p w14:paraId="4D211E10"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33 </w:t>
      </w:r>
      <w:r w:rsidRPr="00D46A14">
        <w:rPr>
          <w:rFonts w:ascii="Book Antiqua" w:hAnsi="Book Antiqua"/>
          <w:b/>
          <w:sz w:val="24"/>
          <w:szCs w:val="24"/>
        </w:rPr>
        <w:t>Haytural C</w:t>
      </w:r>
      <w:r w:rsidRPr="00D46A14">
        <w:rPr>
          <w:rFonts w:ascii="Book Antiqua" w:hAnsi="Book Antiqua"/>
          <w:sz w:val="24"/>
          <w:szCs w:val="24"/>
        </w:rPr>
        <w:t xml:space="preserve">, Aydınlı B, Demir B, Bozkurt E, Parlak E, Dişibeyaz S, Saraç A, Özgök A, Kazancı D. Comparison of Propofol, Propofol-Remifentanil, and Propofol-Fentanyl Administrations with Each Other Used for the Sedation of Patients to Undergo ERCP. </w:t>
      </w:r>
      <w:r w:rsidRPr="00D46A14">
        <w:rPr>
          <w:rFonts w:ascii="Book Antiqua" w:hAnsi="Book Antiqua"/>
          <w:i/>
          <w:sz w:val="24"/>
          <w:szCs w:val="24"/>
        </w:rPr>
        <w:t>Biomed Res Int</w:t>
      </w:r>
      <w:r w:rsidRPr="00D46A14">
        <w:rPr>
          <w:rFonts w:ascii="Book Antiqua" w:hAnsi="Book Antiqua"/>
          <w:sz w:val="24"/>
          <w:szCs w:val="24"/>
        </w:rPr>
        <w:t xml:space="preserve"> 2015; </w:t>
      </w:r>
      <w:r w:rsidRPr="00D46A14">
        <w:rPr>
          <w:rFonts w:ascii="Book Antiqua" w:hAnsi="Book Antiqua"/>
          <w:b/>
          <w:sz w:val="24"/>
          <w:szCs w:val="24"/>
        </w:rPr>
        <w:t>2015</w:t>
      </w:r>
      <w:r w:rsidRPr="00D46A14">
        <w:rPr>
          <w:rFonts w:ascii="Book Antiqua" w:hAnsi="Book Antiqua"/>
          <w:sz w:val="24"/>
          <w:szCs w:val="24"/>
        </w:rPr>
        <w:t>: 465465 [PMID: 26576424 DOI: 10.1155/2015/465465]</w:t>
      </w:r>
    </w:p>
    <w:p w14:paraId="0A8B3AC9" w14:textId="78074100"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lastRenderedPageBreak/>
        <w:t xml:space="preserve">34 </w:t>
      </w:r>
      <w:r w:rsidRPr="00D46A14">
        <w:rPr>
          <w:rFonts w:ascii="Book Antiqua" w:hAnsi="Book Antiqua"/>
          <w:b/>
          <w:sz w:val="24"/>
          <w:szCs w:val="24"/>
        </w:rPr>
        <w:t>Vargo JJ</w:t>
      </w:r>
      <w:r w:rsidRPr="00D46A14">
        <w:rPr>
          <w:rFonts w:ascii="Book Antiqua" w:hAnsi="Book Antiqua"/>
          <w:sz w:val="24"/>
          <w:szCs w:val="24"/>
        </w:rPr>
        <w:t xml:space="preserve">, Zuccaro G Jr, Dumot JA, Shermock KM, Morrow JB, Conwell DL, Trolli PA, Maurer WG. Gastroenterologist-administered propofol versus meperidine and midazolam for advanced upper endoscopy: a prospective, randomized trial. </w:t>
      </w:r>
      <w:r w:rsidRPr="00D46A14">
        <w:rPr>
          <w:rFonts w:ascii="Book Antiqua" w:hAnsi="Book Antiqua"/>
          <w:i/>
          <w:sz w:val="24"/>
          <w:szCs w:val="24"/>
        </w:rPr>
        <w:t>Gastroenterology</w:t>
      </w:r>
      <w:r w:rsidRPr="00D46A14">
        <w:rPr>
          <w:rFonts w:ascii="Book Antiqua" w:hAnsi="Book Antiqua"/>
          <w:sz w:val="24"/>
          <w:szCs w:val="24"/>
        </w:rPr>
        <w:t xml:space="preserve"> 2002; </w:t>
      </w:r>
      <w:r w:rsidRPr="00D46A14">
        <w:rPr>
          <w:rFonts w:ascii="Book Antiqua" w:hAnsi="Book Antiqua"/>
          <w:b/>
          <w:sz w:val="24"/>
          <w:szCs w:val="24"/>
        </w:rPr>
        <w:t>123</w:t>
      </w:r>
      <w:r w:rsidRPr="00D46A14">
        <w:rPr>
          <w:rFonts w:ascii="Book Antiqua" w:hAnsi="Book Antiqua"/>
          <w:sz w:val="24"/>
          <w:szCs w:val="24"/>
        </w:rPr>
        <w:t>: 8-16 [PMID: 12105827</w:t>
      </w:r>
      <w:r w:rsidR="00681A25">
        <w:rPr>
          <w:rFonts w:ascii="Book Antiqua" w:eastAsia="等线" w:hAnsi="Book Antiqua" w:hint="eastAsia"/>
          <w:sz w:val="24"/>
          <w:szCs w:val="24"/>
          <w:lang w:eastAsia="zh-CN"/>
        </w:rPr>
        <w:t xml:space="preserve"> DOI: </w:t>
      </w:r>
      <w:r w:rsidR="00681A25" w:rsidRPr="00681A25">
        <w:rPr>
          <w:rFonts w:ascii="Book Antiqua" w:eastAsia="等线" w:hAnsi="Book Antiqua"/>
          <w:sz w:val="24"/>
          <w:szCs w:val="24"/>
          <w:lang w:eastAsia="zh-CN"/>
        </w:rPr>
        <w:t>10.1053/gast.2002.34232</w:t>
      </w:r>
      <w:r w:rsidRPr="00D46A14">
        <w:rPr>
          <w:rFonts w:ascii="Book Antiqua" w:hAnsi="Book Antiqua"/>
          <w:sz w:val="24"/>
          <w:szCs w:val="24"/>
        </w:rPr>
        <w:t>]</w:t>
      </w:r>
    </w:p>
    <w:p w14:paraId="1A5AE4DF"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35 </w:t>
      </w:r>
      <w:r w:rsidRPr="00D46A14">
        <w:rPr>
          <w:rFonts w:ascii="Book Antiqua" w:hAnsi="Book Antiqua"/>
          <w:b/>
          <w:sz w:val="24"/>
          <w:szCs w:val="24"/>
        </w:rPr>
        <w:t>Hsu CD</w:t>
      </w:r>
      <w:r w:rsidRPr="00D46A14">
        <w:rPr>
          <w:rFonts w:ascii="Book Antiqua" w:hAnsi="Book Antiqua"/>
          <w:sz w:val="24"/>
          <w:szCs w:val="24"/>
        </w:rPr>
        <w:t xml:space="preserve">, Huang JM, Chuang YP, Wei HY, Su YC, Wu JY, Wang WM, Hsu HT, Huang HF, Lu IC, Lu DV. Propofol target-controlled infusion for sedated gastrointestinal endoscopy: A comparison of propofol alone versus propofol-fentanyl-midazolam. </w:t>
      </w:r>
      <w:r w:rsidRPr="00D46A14">
        <w:rPr>
          <w:rFonts w:ascii="Book Antiqua" w:hAnsi="Book Antiqua"/>
          <w:i/>
          <w:sz w:val="24"/>
          <w:szCs w:val="24"/>
        </w:rPr>
        <w:t>Kaohsiung J Med Sci</w:t>
      </w:r>
      <w:r w:rsidRPr="00D46A14">
        <w:rPr>
          <w:rFonts w:ascii="Book Antiqua" w:hAnsi="Book Antiqua"/>
          <w:sz w:val="24"/>
          <w:szCs w:val="24"/>
        </w:rPr>
        <w:t xml:space="preserve"> 2015; </w:t>
      </w:r>
      <w:r w:rsidRPr="00D46A14">
        <w:rPr>
          <w:rFonts w:ascii="Book Antiqua" w:hAnsi="Book Antiqua"/>
          <w:b/>
          <w:sz w:val="24"/>
          <w:szCs w:val="24"/>
        </w:rPr>
        <w:t>31</w:t>
      </w:r>
      <w:r w:rsidRPr="00D46A14">
        <w:rPr>
          <w:rFonts w:ascii="Book Antiqua" w:hAnsi="Book Antiqua"/>
          <w:sz w:val="24"/>
          <w:szCs w:val="24"/>
        </w:rPr>
        <w:t>: 580-584 [PMID: 26678938 DOI: 10.1016/j.kjms.2015.09.004]</w:t>
      </w:r>
    </w:p>
    <w:p w14:paraId="2C0B0D2A"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36 </w:t>
      </w:r>
      <w:r w:rsidRPr="00D46A14">
        <w:rPr>
          <w:rFonts w:ascii="Book Antiqua" w:hAnsi="Book Antiqua"/>
          <w:b/>
          <w:sz w:val="24"/>
          <w:szCs w:val="24"/>
        </w:rPr>
        <w:t>Schroeder C</w:t>
      </w:r>
      <w:r w:rsidRPr="00D46A14">
        <w:rPr>
          <w:rFonts w:ascii="Book Antiqua" w:hAnsi="Book Antiqua"/>
          <w:sz w:val="24"/>
          <w:szCs w:val="24"/>
        </w:rPr>
        <w:t xml:space="preserve">, Kaoutzanis C, Tocco-Bradley R, Obear J, Welch KB, Winter S, Cleary RK. Patients Prefer Propofol to Midazolam Plus Fentanyl for Sedation for Colonoscopy: Results of a Single-Center Randomized Equivalence Trial. </w:t>
      </w:r>
      <w:r w:rsidRPr="00D46A14">
        <w:rPr>
          <w:rFonts w:ascii="Book Antiqua" w:hAnsi="Book Antiqua"/>
          <w:i/>
          <w:sz w:val="24"/>
          <w:szCs w:val="24"/>
        </w:rPr>
        <w:t>Dis Colon Rectum</w:t>
      </w:r>
      <w:r w:rsidRPr="00D46A14">
        <w:rPr>
          <w:rFonts w:ascii="Book Antiqua" w:hAnsi="Book Antiqua"/>
          <w:sz w:val="24"/>
          <w:szCs w:val="24"/>
        </w:rPr>
        <w:t xml:space="preserve"> 2016; </w:t>
      </w:r>
      <w:r w:rsidRPr="00D46A14">
        <w:rPr>
          <w:rFonts w:ascii="Book Antiqua" w:hAnsi="Book Antiqua"/>
          <w:b/>
          <w:sz w:val="24"/>
          <w:szCs w:val="24"/>
        </w:rPr>
        <w:t>59</w:t>
      </w:r>
      <w:r w:rsidRPr="00D46A14">
        <w:rPr>
          <w:rFonts w:ascii="Book Antiqua" w:hAnsi="Book Antiqua"/>
          <w:sz w:val="24"/>
          <w:szCs w:val="24"/>
        </w:rPr>
        <w:t>: 62-69 [PMID: 26651114 DOI: 10.1097/DCR.0000000000000512]</w:t>
      </w:r>
    </w:p>
    <w:p w14:paraId="3F04C90B"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37 </w:t>
      </w:r>
      <w:r w:rsidRPr="00D46A14">
        <w:rPr>
          <w:rFonts w:ascii="Book Antiqua" w:hAnsi="Book Antiqua"/>
          <w:b/>
          <w:sz w:val="24"/>
          <w:szCs w:val="24"/>
        </w:rPr>
        <w:t>Li S</w:t>
      </w:r>
      <w:r w:rsidRPr="00D46A14">
        <w:rPr>
          <w:rFonts w:ascii="Book Antiqua" w:hAnsi="Book Antiqua"/>
          <w:sz w:val="24"/>
          <w:szCs w:val="24"/>
        </w:rPr>
        <w:t xml:space="preserve">, Yu F, Zhu H, Yang Y, Yang L, Lian J. The median effective concentration (EC50) of propofol with different doses of fentanyl during colonoscopy in elderly patients. </w:t>
      </w:r>
      <w:r w:rsidRPr="00D46A14">
        <w:rPr>
          <w:rFonts w:ascii="Book Antiqua" w:hAnsi="Book Antiqua"/>
          <w:i/>
          <w:sz w:val="24"/>
          <w:szCs w:val="24"/>
        </w:rPr>
        <w:t>BMC Anesthesiol</w:t>
      </w:r>
      <w:r w:rsidRPr="00D46A14">
        <w:rPr>
          <w:rFonts w:ascii="Book Antiqua" w:hAnsi="Book Antiqua"/>
          <w:sz w:val="24"/>
          <w:szCs w:val="24"/>
        </w:rPr>
        <w:t xml:space="preserve"> 2016; </w:t>
      </w:r>
      <w:r w:rsidRPr="00D46A14">
        <w:rPr>
          <w:rFonts w:ascii="Book Antiqua" w:hAnsi="Book Antiqua"/>
          <w:b/>
          <w:sz w:val="24"/>
          <w:szCs w:val="24"/>
        </w:rPr>
        <w:t>16</w:t>
      </w:r>
      <w:r w:rsidRPr="00D46A14">
        <w:rPr>
          <w:rFonts w:ascii="Book Antiqua" w:hAnsi="Book Antiqua"/>
          <w:sz w:val="24"/>
          <w:szCs w:val="24"/>
        </w:rPr>
        <w:t>: 24 [PMID: 27106691 DOI: 10.1186/s12871-016-0189-y]</w:t>
      </w:r>
    </w:p>
    <w:p w14:paraId="35A17B18" w14:textId="4F01BCE5"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38 </w:t>
      </w:r>
      <w:r w:rsidRPr="00D46A14">
        <w:rPr>
          <w:rFonts w:ascii="Book Antiqua" w:hAnsi="Book Antiqua"/>
          <w:b/>
          <w:sz w:val="24"/>
          <w:szCs w:val="24"/>
        </w:rPr>
        <w:t>Sipe BW</w:t>
      </w:r>
      <w:r w:rsidRPr="00D46A14">
        <w:rPr>
          <w:rFonts w:ascii="Book Antiqua" w:hAnsi="Book Antiqua"/>
          <w:sz w:val="24"/>
          <w:szCs w:val="24"/>
        </w:rPr>
        <w:t xml:space="preserve">, Rex DK, Latinovich D, Overley C, Kinser K, Bratcher L, Kareken D. Propofol versus midazolam/meperidine for outpatient colonoscopy: administration by nurses supervised by endoscopists. </w:t>
      </w:r>
      <w:r w:rsidRPr="00D46A14">
        <w:rPr>
          <w:rFonts w:ascii="Book Antiqua" w:hAnsi="Book Antiqua"/>
          <w:i/>
          <w:sz w:val="24"/>
          <w:szCs w:val="24"/>
        </w:rPr>
        <w:t>Gastrointest Endosc</w:t>
      </w:r>
      <w:r w:rsidRPr="00D46A14">
        <w:rPr>
          <w:rFonts w:ascii="Book Antiqua" w:hAnsi="Book Antiqua"/>
          <w:sz w:val="24"/>
          <w:szCs w:val="24"/>
        </w:rPr>
        <w:t xml:space="preserve"> 2002; </w:t>
      </w:r>
      <w:r w:rsidRPr="00D46A14">
        <w:rPr>
          <w:rFonts w:ascii="Book Antiqua" w:hAnsi="Book Antiqua"/>
          <w:b/>
          <w:sz w:val="24"/>
          <w:szCs w:val="24"/>
        </w:rPr>
        <w:t>55</w:t>
      </w:r>
      <w:r w:rsidRPr="00D46A14">
        <w:rPr>
          <w:rFonts w:ascii="Book Antiqua" w:hAnsi="Book Antiqua"/>
          <w:sz w:val="24"/>
          <w:szCs w:val="24"/>
        </w:rPr>
        <w:t>: 815-825 [PMID: 12024134</w:t>
      </w:r>
      <w:r w:rsidR="00681A25">
        <w:rPr>
          <w:rFonts w:ascii="Book Antiqua" w:eastAsia="等线" w:hAnsi="Book Antiqua" w:hint="eastAsia"/>
          <w:sz w:val="24"/>
          <w:szCs w:val="24"/>
          <w:lang w:eastAsia="zh-CN"/>
        </w:rPr>
        <w:t xml:space="preserve"> DOI: </w:t>
      </w:r>
      <w:r w:rsidR="00681A25" w:rsidRPr="00681A25">
        <w:rPr>
          <w:rFonts w:ascii="Book Antiqua" w:eastAsia="等线" w:hAnsi="Book Antiqua"/>
          <w:sz w:val="24"/>
          <w:szCs w:val="24"/>
          <w:lang w:eastAsia="zh-CN"/>
        </w:rPr>
        <w:t>10.1067/mge.2002.124636</w:t>
      </w:r>
      <w:r w:rsidRPr="00D46A14">
        <w:rPr>
          <w:rFonts w:ascii="Book Antiqua" w:hAnsi="Book Antiqua"/>
          <w:sz w:val="24"/>
          <w:szCs w:val="24"/>
        </w:rPr>
        <w:t>]</w:t>
      </w:r>
    </w:p>
    <w:p w14:paraId="0EFC283B" w14:textId="2991B39E"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39 </w:t>
      </w:r>
      <w:r w:rsidRPr="00D46A14">
        <w:rPr>
          <w:rFonts w:ascii="Book Antiqua" w:hAnsi="Book Antiqua"/>
          <w:b/>
          <w:sz w:val="24"/>
          <w:szCs w:val="24"/>
        </w:rPr>
        <w:t>Ulmer BJ</w:t>
      </w:r>
      <w:r w:rsidRPr="00D46A14">
        <w:rPr>
          <w:rFonts w:ascii="Book Antiqua" w:hAnsi="Book Antiqua"/>
          <w:sz w:val="24"/>
          <w:szCs w:val="24"/>
        </w:rPr>
        <w:t xml:space="preserve">, Hansen JJ, Overley CA, Symms MR, Chadalawada V, Liangpunsakul S, Strahl E, Mendel AM, Rex DK. Propofol versus midazolam/fentanyl for outpatient colonoscopy: administration by nurses supervised by endoscopists. </w:t>
      </w:r>
      <w:r w:rsidRPr="00D46A14">
        <w:rPr>
          <w:rFonts w:ascii="Book Antiqua" w:hAnsi="Book Antiqua"/>
          <w:i/>
          <w:sz w:val="24"/>
          <w:szCs w:val="24"/>
        </w:rPr>
        <w:t>Clin Gastroenterol Hepatol</w:t>
      </w:r>
      <w:r w:rsidRPr="00D46A14">
        <w:rPr>
          <w:rFonts w:ascii="Book Antiqua" w:hAnsi="Book Antiqua"/>
          <w:sz w:val="24"/>
          <w:szCs w:val="24"/>
        </w:rPr>
        <w:t xml:space="preserve"> 2003; </w:t>
      </w:r>
      <w:r w:rsidRPr="00D46A14">
        <w:rPr>
          <w:rFonts w:ascii="Book Antiqua" w:hAnsi="Book Antiqua"/>
          <w:b/>
          <w:sz w:val="24"/>
          <w:szCs w:val="24"/>
        </w:rPr>
        <w:t>1</w:t>
      </w:r>
      <w:r w:rsidRPr="00D46A14">
        <w:rPr>
          <w:rFonts w:ascii="Book Antiqua" w:hAnsi="Book Antiqua"/>
          <w:sz w:val="24"/>
          <w:szCs w:val="24"/>
        </w:rPr>
        <w:t>: 425-432 [PMID: 15017641</w:t>
      </w:r>
      <w:r w:rsidR="00681A25">
        <w:rPr>
          <w:rFonts w:ascii="Book Antiqua" w:eastAsia="等线" w:hAnsi="Book Antiqua" w:hint="eastAsia"/>
          <w:sz w:val="24"/>
          <w:szCs w:val="24"/>
          <w:lang w:eastAsia="zh-CN"/>
        </w:rPr>
        <w:t xml:space="preserve"> DOI: </w:t>
      </w:r>
      <w:r w:rsidR="00681A25" w:rsidRPr="00681A25">
        <w:rPr>
          <w:rFonts w:ascii="Book Antiqua" w:eastAsia="等线" w:hAnsi="Book Antiqua"/>
          <w:sz w:val="24"/>
          <w:szCs w:val="24"/>
          <w:lang w:eastAsia="zh-CN"/>
        </w:rPr>
        <w:t>10.1016/S1542-3565(03)00226-X</w:t>
      </w:r>
      <w:r w:rsidRPr="00D46A14">
        <w:rPr>
          <w:rFonts w:ascii="Book Antiqua" w:hAnsi="Book Antiqua"/>
          <w:sz w:val="24"/>
          <w:szCs w:val="24"/>
        </w:rPr>
        <w:t>]</w:t>
      </w:r>
    </w:p>
    <w:p w14:paraId="7AA0111C"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40 </w:t>
      </w:r>
      <w:r w:rsidRPr="00D46A14">
        <w:rPr>
          <w:rFonts w:ascii="Book Antiqua" w:hAnsi="Book Antiqua"/>
          <w:b/>
          <w:sz w:val="24"/>
          <w:szCs w:val="24"/>
        </w:rPr>
        <w:t>Riphaus A</w:t>
      </w:r>
      <w:r w:rsidRPr="00D46A14">
        <w:rPr>
          <w:rFonts w:ascii="Book Antiqua" w:hAnsi="Book Antiqua"/>
          <w:sz w:val="24"/>
          <w:szCs w:val="24"/>
        </w:rPr>
        <w:t xml:space="preserve">, Stergiou N, Wehrmann T. Sedation with propofol for routine ERCP in high-risk octogenarians: a randomized, controlled study. </w:t>
      </w:r>
      <w:r w:rsidRPr="00D46A14">
        <w:rPr>
          <w:rFonts w:ascii="Book Antiqua" w:hAnsi="Book Antiqua"/>
          <w:i/>
          <w:sz w:val="24"/>
          <w:szCs w:val="24"/>
        </w:rPr>
        <w:t xml:space="preserve">Am J </w:t>
      </w:r>
      <w:r w:rsidRPr="00D46A14">
        <w:rPr>
          <w:rFonts w:ascii="Book Antiqua" w:hAnsi="Book Antiqua"/>
          <w:i/>
          <w:sz w:val="24"/>
          <w:szCs w:val="24"/>
        </w:rPr>
        <w:lastRenderedPageBreak/>
        <w:t>Gastroenterol</w:t>
      </w:r>
      <w:r w:rsidRPr="00D46A14">
        <w:rPr>
          <w:rFonts w:ascii="Book Antiqua" w:hAnsi="Book Antiqua"/>
          <w:sz w:val="24"/>
          <w:szCs w:val="24"/>
        </w:rPr>
        <w:t xml:space="preserve"> 2005; </w:t>
      </w:r>
      <w:r w:rsidRPr="00D46A14">
        <w:rPr>
          <w:rFonts w:ascii="Book Antiqua" w:hAnsi="Book Antiqua"/>
          <w:b/>
          <w:sz w:val="24"/>
          <w:szCs w:val="24"/>
        </w:rPr>
        <w:t>100</w:t>
      </w:r>
      <w:r w:rsidRPr="00D46A14">
        <w:rPr>
          <w:rFonts w:ascii="Book Antiqua" w:hAnsi="Book Antiqua"/>
          <w:sz w:val="24"/>
          <w:szCs w:val="24"/>
        </w:rPr>
        <w:t>: 1957-1963 [PMID: 16128939 DOI: 10.1111/j.1572-0241.2005.41672.x]</w:t>
      </w:r>
    </w:p>
    <w:p w14:paraId="69BD496B"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41 </w:t>
      </w:r>
      <w:r w:rsidRPr="00D46A14">
        <w:rPr>
          <w:rFonts w:ascii="Book Antiqua" w:hAnsi="Book Antiqua"/>
          <w:b/>
          <w:sz w:val="24"/>
          <w:szCs w:val="24"/>
        </w:rPr>
        <w:t>Fanti L</w:t>
      </w:r>
      <w:r w:rsidRPr="00D46A14">
        <w:rPr>
          <w:rFonts w:ascii="Book Antiqua" w:hAnsi="Book Antiqua"/>
          <w:sz w:val="24"/>
          <w:szCs w:val="24"/>
        </w:rPr>
        <w:t xml:space="preserve">, Agostoni M, Arcidiacono PG, Albertin A, Strini G, Carrara S, Guslandi M, Torri G, Testoni PA. Target-controlled infusion during monitored anesthesia care in patients undergoing EUS: propofol alone versus midazolam plus propofol. A prospective double-blind randomised controlled trial. </w:t>
      </w:r>
      <w:r w:rsidRPr="00D46A14">
        <w:rPr>
          <w:rFonts w:ascii="Book Antiqua" w:hAnsi="Book Antiqua"/>
          <w:i/>
          <w:sz w:val="24"/>
          <w:szCs w:val="24"/>
        </w:rPr>
        <w:t>Dig Liver Dis</w:t>
      </w:r>
      <w:r w:rsidRPr="00D46A14">
        <w:rPr>
          <w:rFonts w:ascii="Book Antiqua" w:hAnsi="Book Antiqua"/>
          <w:sz w:val="24"/>
          <w:szCs w:val="24"/>
        </w:rPr>
        <w:t xml:space="preserve"> 2007; </w:t>
      </w:r>
      <w:r w:rsidRPr="00D46A14">
        <w:rPr>
          <w:rFonts w:ascii="Book Antiqua" w:hAnsi="Book Antiqua"/>
          <w:b/>
          <w:sz w:val="24"/>
          <w:szCs w:val="24"/>
        </w:rPr>
        <w:t>39</w:t>
      </w:r>
      <w:r w:rsidRPr="00D46A14">
        <w:rPr>
          <w:rFonts w:ascii="Book Antiqua" w:hAnsi="Book Antiqua"/>
          <w:sz w:val="24"/>
          <w:szCs w:val="24"/>
        </w:rPr>
        <w:t>: 81-86 [PMID: 17049322 DOI: 10.1016/j.dld.2006.09.004]</w:t>
      </w:r>
    </w:p>
    <w:p w14:paraId="1DB67D71"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42 </w:t>
      </w:r>
      <w:r w:rsidRPr="00D46A14">
        <w:rPr>
          <w:rFonts w:ascii="Book Antiqua" w:hAnsi="Book Antiqua"/>
          <w:b/>
          <w:sz w:val="24"/>
          <w:szCs w:val="24"/>
        </w:rPr>
        <w:t>Kongkam P</w:t>
      </w:r>
      <w:r w:rsidRPr="00D46A14">
        <w:rPr>
          <w:rFonts w:ascii="Book Antiqua" w:hAnsi="Book Antiqua"/>
          <w:sz w:val="24"/>
          <w:szCs w:val="24"/>
        </w:rPr>
        <w:t xml:space="preserve">, Rerknimitr R, Punyathavorn S, Sitthi-Amorn C, Ponauthai Y, Prempracha N, Kullavanijaya P. Propofol infusion versus intermittent meperidine and midazolam injection for conscious sedation in ERCP. </w:t>
      </w:r>
      <w:r w:rsidRPr="00D46A14">
        <w:rPr>
          <w:rFonts w:ascii="Book Antiqua" w:hAnsi="Book Antiqua"/>
          <w:i/>
          <w:sz w:val="24"/>
          <w:szCs w:val="24"/>
        </w:rPr>
        <w:t>J Gastrointestin Liver Dis</w:t>
      </w:r>
      <w:r w:rsidRPr="00D46A14">
        <w:rPr>
          <w:rFonts w:ascii="Book Antiqua" w:hAnsi="Book Antiqua"/>
          <w:sz w:val="24"/>
          <w:szCs w:val="24"/>
        </w:rPr>
        <w:t xml:space="preserve"> 2008; </w:t>
      </w:r>
      <w:r w:rsidRPr="00D46A14">
        <w:rPr>
          <w:rFonts w:ascii="Book Antiqua" w:hAnsi="Book Antiqua"/>
          <w:b/>
          <w:sz w:val="24"/>
          <w:szCs w:val="24"/>
        </w:rPr>
        <w:t>17</w:t>
      </w:r>
      <w:r w:rsidRPr="00D46A14">
        <w:rPr>
          <w:rFonts w:ascii="Book Antiqua" w:hAnsi="Book Antiqua"/>
          <w:sz w:val="24"/>
          <w:szCs w:val="24"/>
        </w:rPr>
        <w:t>: 291-297 [PMID: 18836622]</w:t>
      </w:r>
    </w:p>
    <w:p w14:paraId="7CF71D48"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43 </w:t>
      </w:r>
      <w:r w:rsidRPr="00D46A14">
        <w:rPr>
          <w:rFonts w:ascii="Book Antiqua" w:hAnsi="Book Antiqua"/>
          <w:b/>
          <w:sz w:val="24"/>
          <w:szCs w:val="24"/>
        </w:rPr>
        <w:t>Dewitt J</w:t>
      </w:r>
      <w:r w:rsidRPr="00D46A14">
        <w:rPr>
          <w:rFonts w:ascii="Book Antiqua" w:hAnsi="Book Antiqua"/>
          <w:sz w:val="24"/>
          <w:szCs w:val="24"/>
        </w:rPr>
        <w:t xml:space="preserve">, McGreevy K, Sherman S, Imperiale TF. Nurse-administered propofol sedation compared with midazolam and meperidine for EUS: a prospective, randomized trial. </w:t>
      </w:r>
      <w:r w:rsidRPr="00D46A14">
        <w:rPr>
          <w:rFonts w:ascii="Book Antiqua" w:hAnsi="Book Antiqua"/>
          <w:i/>
          <w:sz w:val="24"/>
          <w:szCs w:val="24"/>
        </w:rPr>
        <w:t>Gastrointest Endosc</w:t>
      </w:r>
      <w:r w:rsidRPr="00D46A14">
        <w:rPr>
          <w:rFonts w:ascii="Book Antiqua" w:hAnsi="Book Antiqua"/>
          <w:sz w:val="24"/>
          <w:szCs w:val="24"/>
        </w:rPr>
        <w:t xml:space="preserve"> 2008; </w:t>
      </w:r>
      <w:r w:rsidRPr="00D46A14">
        <w:rPr>
          <w:rFonts w:ascii="Book Antiqua" w:hAnsi="Book Antiqua"/>
          <w:b/>
          <w:sz w:val="24"/>
          <w:szCs w:val="24"/>
        </w:rPr>
        <w:t>68</w:t>
      </w:r>
      <w:r w:rsidRPr="00D46A14">
        <w:rPr>
          <w:rFonts w:ascii="Book Antiqua" w:hAnsi="Book Antiqua"/>
          <w:sz w:val="24"/>
          <w:szCs w:val="24"/>
        </w:rPr>
        <w:t>: 499-509 [PMID: 18561925 DOI: 10.1016/j.gie.2008.02.092]</w:t>
      </w:r>
    </w:p>
    <w:p w14:paraId="2F2B4D11"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44 </w:t>
      </w:r>
      <w:r w:rsidRPr="00D46A14">
        <w:rPr>
          <w:rFonts w:ascii="Book Antiqua" w:hAnsi="Book Antiqua"/>
          <w:b/>
          <w:sz w:val="24"/>
          <w:szCs w:val="24"/>
        </w:rPr>
        <w:t>Schilling D</w:t>
      </w:r>
      <w:r w:rsidRPr="00D46A14">
        <w:rPr>
          <w:rFonts w:ascii="Book Antiqua" w:hAnsi="Book Antiqua"/>
          <w:sz w:val="24"/>
          <w:szCs w:val="24"/>
        </w:rPr>
        <w:t xml:space="preserve">, Rosenbaum A, Schweizer S, Richter H, Rumstadt B. Sedation with propofol for interventional endoscopy by trained nurses in high-risk octogenarians: a prospective, randomized, controlled study. </w:t>
      </w:r>
      <w:r w:rsidRPr="00D46A14">
        <w:rPr>
          <w:rFonts w:ascii="Book Antiqua" w:hAnsi="Book Antiqua"/>
          <w:i/>
          <w:sz w:val="24"/>
          <w:szCs w:val="24"/>
        </w:rPr>
        <w:t>Endoscopy</w:t>
      </w:r>
      <w:r w:rsidRPr="00D46A14">
        <w:rPr>
          <w:rFonts w:ascii="Book Antiqua" w:hAnsi="Book Antiqua"/>
          <w:sz w:val="24"/>
          <w:szCs w:val="24"/>
        </w:rPr>
        <w:t xml:space="preserve"> 2009; </w:t>
      </w:r>
      <w:r w:rsidRPr="00D46A14">
        <w:rPr>
          <w:rFonts w:ascii="Book Antiqua" w:hAnsi="Book Antiqua"/>
          <w:b/>
          <w:sz w:val="24"/>
          <w:szCs w:val="24"/>
        </w:rPr>
        <w:t>41</w:t>
      </w:r>
      <w:r w:rsidRPr="00D46A14">
        <w:rPr>
          <w:rFonts w:ascii="Book Antiqua" w:hAnsi="Book Antiqua"/>
          <w:sz w:val="24"/>
          <w:szCs w:val="24"/>
        </w:rPr>
        <w:t>: 295-298 [PMID: 19340730 DOI: 10.1055/s-0028-1119671]</w:t>
      </w:r>
    </w:p>
    <w:p w14:paraId="2B384D09"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45 </w:t>
      </w:r>
      <w:r w:rsidRPr="00D46A14">
        <w:rPr>
          <w:rFonts w:ascii="Book Antiqua" w:hAnsi="Book Antiqua"/>
          <w:b/>
          <w:sz w:val="24"/>
          <w:szCs w:val="24"/>
        </w:rPr>
        <w:t>Daza JF</w:t>
      </w:r>
      <w:r w:rsidRPr="00D46A14">
        <w:rPr>
          <w:rFonts w:ascii="Book Antiqua" w:hAnsi="Book Antiqua"/>
          <w:sz w:val="24"/>
          <w:szCs w:val="24"/>
        </w:rPr>
        <w:t xml:space="preserve">, Tan CM, Fielding RJ, Brown A, Farrokhyar F, Yang I. Propofol administration by endoscopists versus anesthesiologists in gastrointestinal endoscopy: a systematic review and meta-analysis of patient safety outcomes. </w:t>
      </w:r>
      <w:r w:rsidRPr="00D46A14">
        <w:rPr>
          <w:rFonts w:ascii="Book Antiqua" w:hAnsi="Book Antiqua"/>
          <w:i/>
          <w:sz w:val="24"/>
          <w:szCs w:val="24"/>
        </w:rPr>
        <w:t>Can J Surg</w:t>
      </w:r>
      <w:r w:rsidRPr="00D46A14">
        <w:rPr>
          <w:rFonts w:ascii="Book Antiqua" w:hAnsi="Book Antiqua"/>
          <w:sz w:val="24"/>
          <w:szCs w:val="24"/>
        </w:rPr>
        <w:t xml:space="preserve"> 2018; </w:t>
      </w:r>
      <w:r w:rsidRPr="00D46A14">
        <w:rPr>
          <w:rFonts w:ascii="Book Antiqua" w:hAnsi="Book Antiqua"/>
          <w:b/>
          <w:sz w:val="24"/>
          <w:szCs w:val="24"/>
        </w:rPr>
        <w:t>61</w:t>
      </w:r>
      <w:r w:rsidRPr="00D46A14">
        <w:rPr>
          <w:rFonts w:ascii="Book Antiqua" w:hAnsi="Book Antiqua"/>
          <w:sz w:val="24"/>
          <w:szCs w:val="24"/>
        </w:rPr>
        <w:t>: 226-236 [PMID: 30067180 DOI: 10.1503/cjs.008117]</w:t>
      </w:r>
    </w:p>
    <w:p w14:paraId="29F00D2A"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46 </w:t>
      </w:r>
      <w:r w:rsidRPr="00D46A14">
        <w:rPr>
          <w:rFonts w:ascii="Book Antiqua" w:hAnsi="Book Antiqua"/>
          <w:b/>
          <w:sz w:val="24"/>
          <w:szCs w:val="24"/>
        </w:rPr>
        <w:t>Narula N</w:t>
      </w:r>
      <w:r w:rsidRPr="00D46A14">
        <w:rPr>
          <w:rFonts w:ascii="Book Antiqua" w:hAnsi="Book Antiqua"/>
          <w:sz w:val="24"/>
          <w:szCs w:val="24"/>
        </w:rPr>
        <w:t xml:space="preserve">, Masood S, Shojaee S, McGuinness B, Sabeti S, Buchan A. Safety of Propofol versus Nonpropofol-Based Sedation in Children Undergoing Gastrointestinal Endoscopy: A Systematic Review and Meta-Analysis. </w:t>
      </w:r>
      <w:r w:rsidRPr="00D46A14">
        <w:rPr>
          <w:rFonts w:ascii="Book Antiqua" w:hAnsi="Book Antiqua"/>
          <w:i/>
          <w:sz w:val="24"/>
          <w:szCs w:val="24"/>
        </w:rPr>
        <w:t>Gastroenterol Res Pract</w:t>
      </w:r>
      <w:r w:rsidRPr="00D46A14">
        <w:rPr>
          <w:rFonts w:ascii="Book Antiqua" w:hAnsi="Book Antiqua"/>
          <w:sz w:val="24"/>
          <w:szCs w:val="24"/>
        </w:rPr>
        <w:t xml:space="preserve"> 2018; </w:t>
      </w:r>
      <w:r w:rsidRPr="00D46A14">
        <w:rPr>
          <w:rFonts w:ascii="Book Antiqua" w:hAnsi="Book Antiqua"/>
          <w:b/>
          <w:sz w:val="24"/>
          <w:szCs w:val="24"/>
        </w:rPr>
        <w:t>2018</w:t>
      </w:r>
      <w:r w:rsidRPr="00D46A14">
        <w:rPr>
          <w:rFonts w:ascii="Book Antiqua" w:hAnsi="Book Antiqua"/>
          <w:sz w:val="24"/>
          <w:szCs w:val="24"/>
        </w:rPr>
        <w:t>: 6501215 [PMID: 30210535 DOI: 10.1155/2018/6501215]</w:t>
      </w:r>
    </w:p>
    <w:p w14:paraId="7935D541"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47 </w:t>
      </w:r>
      <w:r w:rsidRPr="00D46A14">
        <w:rPr>
          <w:rFonts w:ascii="Book Antiqua" w:hAnsi="Book Antiqua"/>
          <w:b/>
          <w:sz w:val="24"/>
          <w:szCs w:val="24"/>
        </w:rPr>
        <w:t>Ribeiro IB</w:t>
      </w:r>
      <w:r w:rsidRPr="00D46A14">
        <w:rPr>
          <w:rFonts w:ascii="Book Antiqua" w:hAnsi="Book Antiqua"/>
          <w:sz w:val="24"/>
          <w:szCs w:val="24"/>
        </w:rPr>
        <w:t xml:space="preserve">, de Moura DTH, Thompson CC, de Moura EGH. Acute abdominal obstruction: Colon stent or emergency surgery? An evidence-based review. </w:t>
      </w:r>
      <w:r w:rsidRPr="00D46A14">
        <w:rPr>
          <w:rFonts w:ascii="Book Antiqua" w:hAnsi="Book Antiqua"/>
          <w:i/>
          <w:sz w:val="24"/>
          <w:szCs w:val="24"/>
        </w:rPr>
        <w:lastRenderedPageBreak/>
        <w:t>World J Gastrointest Endosc</w:t>
      </w:r>
      <w:r w:rsidRPr="00D46A14">
        <w:rPr>
          <w:rFonts w:ascii="Book Antiqua" w:hAnsi="Book Antiqua"/>
          <w:sz w:val="24"/>
          <w:szCs w:val="24"/>
        </w:rPr>
        <w:t xml:space="preserve"> 2019; </w:t>
      </w:r>
      <w:r w:rsidRPr="00D46A14">
        <w:rPr>
          <w:rFonts w:ascii="Book Antiqua" w:hAnsi="Book Antiqua"/>
          <w:b/>
          <w:sz w:val="24"/>
          <w:szCs w:val="24"/>
        </w:rPr>
        <w:t>11</w:t>
      </w:r>
      <w:r w:rsidRPr="00D46A14">
        <w:rPr>
          <w:rFonts w:ascii="Book Antiqua" w:hAnsi="Book Antiqua"/>
          <w:sz w:val="24"/>
          <w:szCs w:val="24"/>
        </w:rPr>
        <w:t>: 193-208 [PMID: 30918585 DOI: 10.4253/wjge.v11.i3.193]</w:t>
      </w:r>
    </w:p>
    <w:p w14:paraId="21430604"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48 </w:t>
      </w:r>
      <w:r w:rsidRPr="00D46A14">
        <w:rPr>
          <w:rFonts w:ascii="Book Antiqua" w:hAnsi="Book Antiqua"/>
          <w:b/>
          <w:sz w:val="24"/>
          <w:szCs w:val="24"/>
        </w:rPr>
        <w:t>Lin OS</w:t>
      </w:r>
      <w:r w:rsidRPr="00D46A14">
        <w:rPr>
          <w:rFonts w:ascii="Book Antiqua" w:hAnsi="Book Antiqua"/>
          <w:sz w:val="24"/>
          <w:szCs w:val="24"/>
        </w:rPr>
        <w:t xml:space="preserve">. Sedation for routine gastrointestinal endoscopic procedures: a review on efficacy, safety, efficiency, cost and satisfaction. </w:t>
      </w:r>
      <w:r w:rsidRPr="00D46A14">
        <w:rPr>
          <w:rFonts w:ascii="Book Antiqua" w:hAnsi="Book Antiqua"/>
          <w:i/>
          <w:sz w:val="24"/>
          <w:szCs w:val="24"/>
        </w:rPr>
        <w:t>Intest Res</w:t>
      </w:r>
      <w:r w:rsidRPr="00D46A14">
        <w:rPr>
          <w:rFonts w:ascii="Book Antiqua" w:hAnsi="Book Antiqua"/>
          <w:sz w:val="24"/>
          <w:szCs w:val="24"/>
        </w:rPr>
        <w:t xml:space="preserve"> 2017; </w:t>
      </w:r>
      <w:r w:rsidRPr="00D46A14">
        <w:rPr>
          <w:rFonts w:ascii="Book Antiqua" w:hAnsi="Book Antiqua"/>
          <w:b/>
          <w:sz w:val="24"/>
          <w:szCs w:val="24"/>
        </w:rPr>
        <w:t>15</w:t>
      </w:r>
      <w:r w:rsidRPr="00D46A14">
        <w:rPr>
          <w:rFonts w:ascii="Book Antiqua" w:hAnsi="Book Antiqua"/>
          <w:sz w:val="24"/>
          <w:szCs w:val="24"/>
        </w:rPr>
        <w:t>: 456-466 [PMID: 29142513 DOI: 10.5217/ir.2017.15.4.456]</w:t>
      </w:r>
    </w:p>
    <w:p w14:paraId="234A9468"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49 </w:t>
      </w:r>
      <w:r w:rsidRPr="00D46A14">
        <w:rPr>
          <w:rFonts w:ascii="Book Antiqua" w:hAnsi="Book Antiqua"/>
          <w:b/>
          <w:sz w:val="24"/>
          <w:szCs w:val="24"/>
        </w:rPr>
        <w:t>de Moura EGH</w:t>
      </w:r>
      <w:r w:rsidRPr="00D46A14">
        <w:rPr>
          <w:rFonts w:ascii="Book Antiqua" w:hAnsi="Book Antiqua"/>
          <w:sz w:val="24"/>
          <w:szCs w:val="24"/>
        </w:rPr>
        <w:t xml:space="preserve">, Ribeiro IB, Frazão MSV, Mestieri LHM, de Moura DTH, Dal Bó CMR, Brunaldi VO, de Moura ETH, Nunes GC, Bustamante FAC, Dos Passos Galvão Neto M, Matuguma SE, Bernardo WM, Santo MA. EUS-Guided Intragastric Injection of Botulinum Toxin A in the Preoperative Treatment of Super-Obese Patients: a Randomized Clinical Trial. </w:t>
      </w:r>
      <w:r w:rsidRPr="00D46A14">
        <w:rPr>
          <w:rFonts w:ascii="Book Antiqua" w:hAnsi="Book Antiqua"/>
          <w:i/>
          <w:sz w:val="24"/>
          <w:szCs w:val="24"/>
        </w:rPr>
        <w:t>Obes Surg</w:t>
      </w:r>
      <w:r w:rsidRPr="00D46A14">
        <w:rPr>
          <w:rFonts w:ascii="Book Antiqua" w:hAnsi="Book Antiqua"/>
          <w:sz w:val="24"/>
          <w:szCs w:val="24"/>
        </w:rPr>
        <w:t xml:space="preserve"> 2019; </w:t>
      </w:r>
      <w:r w:rsidRPr="00D46A14">
        <w:rPr>
          <w:rFonts w:ascii="Book Antiqua" w:hAnsi="Book Antiqua"/>
          <w:b/>
          <w:sz w:val="24"/>
          <w:szCs w:val="24"/>
        </w:rPr>
        <w:t>29</w:t>
      </w:r>
      <w:r w:rsidRPr="00D46A14">
        <w:rPr>
          <w:rFonts w:ascii="Book Antiqua" w:hAnsi="Book Antiqua"/>
          <w:sz w:val="24"/>
          <w:szCs w:val="24"/>
        </w:rPr>
        <w:t>: 32-39 [PMID: 30120640 DOI: 10.1007/s11695-018-3470-y]</w:t>
      </w:r>
    </w:p>
    <w:p w14:paraId="7F2C2229"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50 </w:t>
      </w:r>
      <w:r w:rsidRPr="00D46A14">
        <w:rPr>
          <w:rFonts w:ascii="Book Antiqua" w:hAnsi="Book Antiqua"/>
          <w:b/>
          <w:sz w:val="24"/>
          <w:szCs w:val="24"/>
        </w:rPr>
        <w:t>Josino IR</w:t>
      </w:r>
      <w:r w:rsidRPr="00D46A14">
        <w:rPr>
          <w:rFonts w:ascii="Book Antiqua" w:hAnsi="Book Antiqua"/>
          <w:sz w:val="24"/>
          <w:szCs w:val="24"/>
        </w:rPr>
        <w:t xml:space="preserve">, Madruga-Neto AC, Ribeiro IB, Guedes HG, Brunaldi VO, de Moura DTH, Bernardo WM, de Moura EGH. Endoscopic Dilation with Bougies versus Balloon Dilation in Esophageal Benign Strictures: Systematic Review and Meta-Analysis. </w:t>
      </w:r>
      <w:r w:rsidRPr="00D46A14">
        <w:rPr>
          <w:rFonts w:ascii="Book Antiqua" w:hAnsi="Book Antiqua"/>
          <w:i/>
          <w:sz w:val="24"/>
          <w:szCs w:val="24"/>
        </w:rPr>
        <w:t>Gastroenterol Res Pract</w:t>
      </w:r>
      <w:r w:rsidRPr="00D46A14">
        <w:rPr>
          <w:rFonts w:ascii="Book Antiqua" w:hAnsi="Book Antiqua"/>
          <w:sz w:val="24"/>
          <w:szCs w:val="24"/>
        </w:rPr>
        <w:t xml:space="preserve"> 2018; </w:t>
      </w:r>
      <w:r w:rsidRPr="00D46A14">
        <w:rPr>
          <w:rFonts w:ascii="Book Antiqua" w:hAnsi="Book Antiqua"/>
          <w:b/>
          <w:sz w:val="24"/>
          <w:szCs w:val="24"/>
        </w:rPr>
        <w:t>2018</w:t>
      </w:r>
      <w:r w:rsidRPr="00D46A14">
        <w:rPr>
          <w:rFonts w:ascii="Book Antiqua" w:hAnsi="Book Antiqua"/>
          <w:sz w:val="24"/>
          <w:szCs w:val="24"/>
        </w:rPr>
        <w:t>: 5874870 [PMID: 30116265 DOI: 10.1155/2018/5874870]</w:t>
      </w:r>
    </w:p>
    <w:p w14:paraId="5B276A91"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51 </w:t>
      </w:r>
      <w:r w:rsidRPr="00D46A14">
        <w:rPr>
          <w:rFonts w:ascii="Book Antiqua" w:hAnsi="Book Antiqua"/>
          <w:b/>
          <w:sz w:val="24"/>
          <w:szCs w:val="24"/>
        </w:rPr>
        <w:t>De Moura DTH</w:t>
      </w:r>
      <w:r w:rsidRPr="00D46A14">
        <w:rPr>
          <w:rFonts w:ascii="Book Antiqua" w:hAnsi="Book Antiqua"/>
          <w:sz w:val="24"/>
          <w:szCs w:val="24"/>
        </w:rPr>
        <w:t xml:space="preserve">, Coronel M, Ribeiro IB, Farias GFA, Choez MA, Rocha R, Toscano MP, De Moura EGH. The importance of endoscopic ultrasound fine-needle aspiration in the diagnosis of solid pseudopapillary tumor of the pancreas: two case reports. </w:t>
      </w:r>
      <w:r w:rsidRPr="00D46A14">
        <w:rPr>
          <w:rFonts w:ascii="Book Antiqua" w:hAnsi="Book Antiqua"/>
          <w:i/>
          <w:sz w:val="24"/>
          <w:szCs w:val="24"/>
        </w:rPr>
        <w:t>J Med Case Rep</w:t>
      </w:r>
      <w:r w:rsidRPr="00D46A14">
        <w:rPr>
          <w:rFonts w:ascii="Book Antiqua" w:hAnsi="Book Antiqua"/>
          <w:sz w:val="24"/>
          <w:szCs w:val="24"/>
        </w:rPr>
        <w:t xml:space="preserve"> 2018; </w:t>
      </w:r>
      <w:r w:rsidRPr="00D46A14">
        <w:rPr>
          <w:rFonts w:ascii="Book Antiqua" w:hAnsi="Book Antiqua"/>
          <w:b/>
          <w:sz w:val="24"/>
          <w:szCs w:val="24"/>
        </w:rPr>
        <w:t>12</w:t>
      </w:r>
      <w:r w:rsidRPr="00D46A14">
        <w:rPr>
          <w:rFonts w:ascii="Book Antiqua" w:hAnsi="Book Antiqua"/>
          <w:sz w:val="24"/>
          <w:szCs w:val="24"/>
        </w:rPr>
        <w:t>: 107 [PMID: 29695287 DOI: 10.1186/s13256-018-1585-3]</w:t>
      </w:r>
    </w:p>
    <w:p w14:paraId="12301744"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52 </w:t>
      </w:r>
      <w:r w:rsidRPr="00D46A14">
        <w:rPr>
          <w:rFonts w:ascii="Book Antiqua" w:hAnsi="Book Antiqua"/>
          <w:b/>
          <w:sz w:val="24"/>
          <w:szCs w:val="24"/>
        </w:rPr>
        <w:t>Ribeiro IB</w:t>
      </w:r>
      <w:r w:rsidRPr="00D46A14">
        <w:rPr>
          <w:rFonts w:ascii="Book Antiqua" w:hAnsi="Book Antiqua"/>
          <w:sz w:val="24"/>
          <w:szCs w:val="24"/>
        </w:rPr>
        <w:t xml:space="preserve">, Rezende DT, Madruga Neto AC, Ide E, Furuya CK, De Moura DTH, De Moura EGH. Endoscopic dual therapy for giant peptic ulcer hemorrhage. </w:t>
      </w:r>
      <w:r w:rsidRPr="00D46A14">
        <w:rPr>
          <w:rFonts w:ascii="Book Antiqua" w:hAnsi="Book Antiqua"/>
          <w:i/>
          <w:sz w:val="24"/>
          <w:szCs w:val="24"/>
        </w:rPr>
        <w:t>Endoscopy</w:t>
      </w:r>
      <w:r w:rsidRPr="00D46A14">
        <w:rPr>
          <w:rFonts w:ascii="Book Antiqua" w:hAnsi="Book Antiqua"/>
          <w:sz w:val="24"/>
          <w:szCs w:val="24"/>
        </w:rPr>
        <w:t xml:space="preserve"> 2018; </w:t>
      </w:r>
      <w:r w:rsidRPr="00D46A14">
        <w:rPr>
          <w:rFonts w:ascii="Book Antiqua" w:hAnsi="Book Antiqua"/>
          <w:b/>
          <w:sz w:val="24"/>
          <w:szCs w:val="24"/>
        </w:rPr>
        <w:t>50</w:t>
      </w:r>
      <w:r w:rsidRPr="00D46A14">
        <w:rPr>
          <w:rFonts w:ascii="Book Antiqua" w:hAnsi="Book Antiqua"/>
          <w:sz w:val="24"/>
          <w:szCs w:val="24"/>
        </w:rPr>
        <w:t>: E316-E317 [PMID: 30107634 DOI: 10.1055/a-0665-4142]</w:t>
      </w:r>
    </w:p>
    <w:p w14:paraId="59F95655"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53 </w:t>
      </w:r>
      <w:r w:rsidRPr="00D46A14">
        <w:rPr>
          <w:rFonts w:ascii="Book Antiqua" w:hAnsi="Book Antiqua"/>
          <w:b/>
          <w:sz w:val="24"/>
          <w:szCs w:val="24"/>
        </w:rPr>
        <w:t>Nishizawa T</w:t>
      </w:r>
      <w:r w:rsidRPr="00D46A14">
        <w:rPr>
          <w:rFonts w:ascii="Book Antiqua" w:hAnsi="Book Antiqua"/>
          <w:sz w:val="24"/>
          <w:szCs w:val="24"/>
        </w:rPr>
        <w:t xml:space="preserve">, Suzuki H. Propofol for gastrointestinal endoscopy. </w:t>
      </w:r>
      <w:r w:rsidRPr="00D46A14">
        <w:rPr>
          <w:rFonts w:ascii="Book Antiqua" w:hAnsi="Book Antiqua"/>
          <w:i/>
          <w:sz w:val="24"/>
          <w:szCs w:val="24"/>
        </w:rPr>
        <w:t>United European Gastroenterol J</w:t>
      </w:r>
      <w:r w:rsidRPr="00D46A14">
        <w:rPr>
          <w:rFonts w:ascii="Book Antiqua" w:hAnsi="Book Antiqua"/>
          <w:sz w:val="24"/>
          <w:szCs w:val="24"/>
        </w:rPr>
        <w:t xml:space="preserve"> 2018; </w:t>
      </w:r>
      <w:r w:rsidRPr="00D46A14">
        <w:rPr>
          <w:rFonts w:ascii="Book Antiqua" w:hAnsi="Book Antiqua"/>
          <w:b/>
          <w:sz w:val="24"/>
          <w:szCs w:val="24"/>
        </w:rPr>
        <w:t>6</w:t>
      </w:r>
      <w:r w:rsidRPr="00D46A14">
        <w:rPr>
          <w:rFonts w:ascii="Book Antiqua" w:hAnsi="Book Antiqua"/>
          <w:sz w:val="24"/>
          <w:szCs w:val="24"/>
        </w:rPr>
        <w:t>: 801-805 [PMID: 30023057 DOI: 10.1177/2050640618767594]</w:t>
      </w:r>
    </w:p>
    <w:p w14:paraId="4D71D16C"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54 </w:t>
      </w:r>
      <w:r w:rsidRPr="00D46A14">
        <w:rPr>
          <w:rFonts w:ascii="Book Antiqua" w:hAnsi="Book Antiqua"/>
          <w:b/>
          <w:sz w:val="24"/>
          <w:szCs w:val="24"/>
        </w:rPr>
        <w:t>Sethi S</w:t>
      </w:r>
      <w:r w:rsidRPr="00D46A14">
        <w:rPr>
          <w:rFonts w:ascii="Book Antiqua" w:hAnsi="Book Antiqua"/>
          <w:sz w:val="24"/>
          <w:szCs w:val="24"/>
        </w:rPr>
        <w:t xml:space="preserve">, Wadhwa V, Thaker A, Chuttani R, Pleskow DK, Barnett SR, Leffler DA, Berzin TM, Sethi N, Sawhney MS. Propofol versus traditional sedative </w:t>
      </w:r>
      <w:r w:rsidRPr="00D46A14">
        <w:rPr>
          <w:rFonts w:ascii="Book Antiqua" w:hAnsi="Book Antiqua"/>
          <w:sz w:val="24"/>
          <w:szCs w:val="24"/>
        </w:rPr>
        <w:lastRenderedPageBreak/>
        <w:t xml:space="preserve">agents for advanced endoscopic procedures: a meta-analysis. </w:t>
      </w:r>
      <w:r w:rsidRPr="00D46A14">
        <w:rPr>
          <w:rFonts w:ascii="Book Antiqua" w:hAnsi="Book Antiqua"/>
          <w:i/>
          <w:sz w:val="24"/>
          <w:szCs w:val="24"/>
        </w:rPr>
        <w:t>Dig Endosc</w:t>
      </w:r>
      <w:r w:rsidRPr="00D46A14">
        <w:rPr>
          <w:rFonts w:ascii="Book Antiqua" w:hAnsi="Book Antiqua"/>
          <w:sz w:val="24"/>
          <w:szCs w:val="24"/>
        </w:rPr>
        <w:t xml:space="preserve"> 2014; </w:t>
      </w:r>
      <w:r w:rsidRPr="00D46A14">
        <w:rPr>
          <w:rFonts w:ascii="Book Antiqua" w:hAnsi="Book Antiqua"/>
          <w:b/>
          <w:sz w:val="24"/>
          <w:szCs w:val="24"/>
        </w:rPr>
        <w:t>26</w:t>
      </w:r>
      <w:r w:rsidRPr="00D46A14">
        <w:rPr>
          <w:rFonts w:ascii="Book Antiqua" w:hAnsi="Book Antiqua"/>
          <w:sz w:val="24"/>
          <w:szCs w:val="24"/>
        </w:rPr>
        <w:t>: 515-524 [PMID: 24354404 DOI: 10.1111/den.12219]</w:t>
      </w:r>
    </w:p>
    <w:p w14:paraId="227BEE35"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55 </w:t>
      </w:r>
      <w:r w:rsidRPr="00D46A14">
        <w:rPr>
          <w:rFonts w:ascii="Book Antiqua" w:hAnsi="Book Antiqua"/>
          <w:b/>
          <w:sz w:val="24"/>
          <w:szCs w:val="24"/>
        </w:rPr>
        <w:t>Passos ML</w:t>
      </w:r>
      <w:r w:rsidRPr="00D46A14">
        <w:rPr>
          <w:rFonts w:ascii="Book Antiqua" w:hAnsi="Book Antiqua"/>
          <w:sz w:val="24"/>
          <w:szCs w:val="24"/>
        </w:rPr>
        <w:t xml:space="preserve">, Ribeiro IB, de Moura DTH, Korkischko N, Silva GLR, Franzini TP, Bernando WM, de Moura EGH. Efficacy and safety of carbon dioxide insufflation versus air insufflation during endoscopic retrograde cholangiopancreatography in randomized controlled trials: a systematic review and meta-analysis. </w:t>
      </w:r>
      <w:r w:rsidRPr="00D46A14">
        <w:rPr>
          <w:rFonts w:ascii="Book Antiqua" w:hAnsi="Book Antiqua"/>
          <w:i/>
          <w:sz w:val="24"/>
          <w:szCs w:val="24"/>
        </w:rPr>
        <w:t>Endosc Int Open</w:t>
      </w:r>
      <w:r w:rsidRPr="00D46A14">
        <w:rPr>
          <w:rFonts w:ascii="Book Antiqua" w:hAnsi="Book Antiqua"/>
          <w:sz w:val="24"/>
          <w:szCs w:val="24"/>
        </w:rPr>
        <w:t xml:space="preserve"> 2019; </w:t>
      </w:r>
      <w:r w:rsidRPr="00D46A14">
        <w:rPr>
          <w:rFonts w:ascii="Book Antiqua" w:hAnsi="Book Antiqua"/>
          <w:b/>
          <w:sz w:val="24"/>
          <w:szCs w:val="24"/>
        </w:rPr>
        <w:t>7</w:t>
      </w:r>
      <w:r w:rsidRPr="00D46A14">
        <w:rPr>
          <w:rFonts w:ascii="Book Antiqua" w:hAnsi="Book Antiqua"/>
          <w:sz w:val="24"/>
          <w:szCs w:val="24"/>
        </w:rPr>
        <w:t>: E487-E497 [PMID: 31041365 DOI: 10.1055/a-0854-3739]</w:t>
      </w:r>
    </w:p>
    <w:p w14:paraId="076E3628" w14:textId="4CEB2F4B"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56 </w:t>
      </w:r>
      <w:r w:rsidRPr="00D46A14">
        <w:rPr>
          <w:rFonts w:ascii="Book Antiqua" w:hAnsi="Book Antiqua"/>
          <w:b/>
          <w:sz w:val="24"/>
          <w:szCs w:val="24"/>
        </w:rPr>
        <w:t>Lôbo MRA</w:t>
      </w:r>
      <w:r w:rsidRPr="00D46A14">
        <w:rPr>
          <w:rFonts w:ascii="Book Antiqua" w:hAnsi="Book Antiqua"/>
          <w:sz w:val="24"/>
          <w:szCs w:val="24"/>
        </w:rPr>
        <w:t xml:space="preserve">, Chaves DM, DE Moura DTH, Ribeiro IB, Ikari E, DE Moura EGH. Safety and efficacy of EUS-guided coil plus cyanoacrylate versus conventional cyanoacrylate technique in the treatment of gastric varices: a randomized controlled trial. </w:t>
      </w:r>
      <w:r w:rsidRPr="00D46A14">
        <w:rPr>
          <w:rFonts w:ascii="Book Antiqua" w:hAnsi="Book Antiqua"/>
          <w:i/>
          <w:sz w:val="24"/>
          <w:szCs w:val="24"/>
        </w:rPr>
        <w:t>Arq Gastroenterol</w:t>
      </w:r>
      <w:r>
        <w:rPr>
          <w:rFonts w:ascii="Book Antiqua" w:hAnsi="Book Antiqua"/>
          <w:sz w:val="24"/>
          <w:szCs w:val="24"/>
        </w:rPr>
        <w:t xml:space="preserve"> 2019</w:t>
      </w:r>
      <w:r w:rsidRPr="00D46A14">
        <w:rPr>
          <w:rFonts w:ascii="Book Antiqua" w:hAnsi="Book Antiqua"/>
          <w:sz w:val="24"/>
          <w:szCs w:val="24"/>
        </w:rPr>
        <w:t>: S0004-28032019005002102</w:t>
      </w:r>
      <w:r>
        <w:rPr>
          <w:rFonts w:ascii="Book Antiqua" w:eastAsia="等线" w:hAnsi="Book Antiqua" w:hint="eastAsia"/>
          <w:sz w:val="24"/>
          <w:szCs w:val="24"/>
          <w:lang w:eastAsia="zh-CN"/>
        </w:rPr>
        <w:t xml:space="preserve"> </w:t>
      </w:r>
      <w:r w:rsidRPr="00D46A14">
        <w:rPr>
          <w:rFonts w:ascii="Book Antiqua" w:hAnsi="Book Antiqua"/>
          <w:sz w:val="24"/>
          <w:szCs w:val="24"/>
        </w:rPr>
        <w:t>[PMID: 30970140 DOI: 10.1590/S0004-2803.201900000-08]</w:t>
      </w:r>
    </w:p>
    <w:p w14:paraId="2A205A46"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57 </w:t>
      </w:r>
      <w:r w:rsidRPr="00D46A14">
        <w:rPr>
          <w:rFonts w:ascii="Book Antiqua" w:hAnsi="Book Antiqua"/>
          <w:b/>
          <w:sz w:val="24"/>
          <w:szCs w:val="24"/>
        </w:rPr>
        <w:t>Serrano JPR</w:t>
      </w:r>
      <w:r w:rsidRPr="00D46A14">
        <w:rPr>
          <w:rFonts w:ascii="Book Antiqua" w:hAnsi="Book Antiqua"/>
          <w:sz w:val="24"/>
          <w:szCs w:val="24"/>
        </w:rPr>
        <w:t xml:space="preserve">, de Moura DTH, Bernardo WM, Ribeiro IB, Franzini TP, de Moura ETH, Brunaldi VO, Salesse MT, Sakai P, De Moura EGH. Nonsteroidal anti-inflammatory drugs versus placebo for post-endoscopic retrograde cholangiopancreatography pancreatitis: a systematic review and meta-analysis. </w:t>
      </w:r>
      <w:r w:rsidRPr="00D46A14">
        <w:rPr>
          <w:rFonts w:ascii="Book Antiqua" w:hAnsi="Book Antiqua"/>
          <w:i/>
          <w:sz w:val="24"/>
          <w:szCs w:val="24"/>
        </w:rPr>
        <w:t>Endosc Int Open</w:t>
      </w:r>
      <w:r w:rsidRPr="00D46A14">
        <w:rPr>
          <w:rFonts w:ascii="Book Antiqua" w:hAnsi="Book Antiqua"/>
          <w:sz w:val="24"/>
          <w:szCs w:val="24"/>
        </w:rPr>
        <w:t xml:space="preserve"> 2019; </w:t>
      </w:r>
      <w:r w:rsidRPr="00D46A14">
        <w:rPr>
          <w:rFonts w:ascii="Book Antiqua" w:hAnsi="Book Antiqua"/>
          <w:b/>
          <w:sz w:val="24"/>
          <w:szCs w:val="24"/>
        </w:rPr>
        <w:t>7</w:t>
      </w:r>
      <w:r w:rsidRPr="00D46A14">
        <w:rPr>
          <w:rFonts w:ascii="Book Antiqua" w:hAnsi="Book Antiqua"/>
          <w:sz w:val="24"/>
          <w:szCs w:val="24"/>
        </w:rPr>
        <w:t>: E477-E486 [PMID: 30957004 DOI: 10.1055/a-0862-0215]</w:t>
      </w:r>
    </w:p>
    <w:p w14:paraId="3633FCAF"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58 </w:t>
      </w:r>
      <w:r w:rsidRPr="00D46A14">
        <w:rPr>
          <w:rFonts w:ascii="Book Antiqua" w:hAnsi="Book Antiqua"/>
          <w:b/>
          <w:sz w:val="24"/>
          <w:szCs w:val="24"/>
        </w:rPr>
        <w:t>Kayaaltı S</w:t>
      </w:r>
      <w:r w:rsidRPr="00D46A14">
        <w:rPr>
          <w:rFonts w:ascii="Book Antiqua" w:hAnsi="Book Antiqua"/>
          <w:sz w:val="24"/>
          <w:szCs w:val="24"/>
        </w:rPr>
        <w:t xml:space="preserve">, Kayaaltı Ö. Safety of applying midazolam-ketamine-propofol sedation combination under the supervision of endoscopy nurse with patient-controlled analgesia pump in colonoscopy. </w:t>
      </w:r>
      <w:r w:rsidRPr="00D46A14">
        <w:rPr>
          <w:rFonts w:ascii="Book Antiqua" w:hAnsi="Book Antiqua"/>
          <w:i/>
          <w:sz w:val="24"/>
          <w:szCs w:val="24"/>
        </w:rPr>
        <w:t>World J Clin Cases</w:t>
      </w:r>
      <w:r w:rsidRPr="00D46A14">
        <w:rPr>
          <w:rFonts w:ascii="Book Antiqua" w:hAnsi="Book Antiqua"/>
          <w:sz w:val="24"/>
          <w:szCs w:val="24"/>
        </w:rPr>
        <w:t xml:space="preserve"> 2018; </w:t>
      </w:r>
      <w:r w:rsidRPr="00D46A14">
        <w:rPr>
          <w:rFonts w:ascii="Book Antiqua" w:hAnsi="Book Antiqua"/>
          <w:b/>
          <w:sz w:val="24"/>
          <w:szCs w:val="24"/>
        </w:rPr>
        <w:t>6</w:t>
      </w:r>
      <w:r w:rsidRPr="00D46A14">
        <w:rPr>
          <w:rFonts w:ascii="Book Antiqua" w:hAnsi="Book Antiqua"/>
          <w:sz w:val="24"/>
          <w:szCs w:val="24"/>
        </w:rPr>
        <w:t>: 1146-1154 [PMID: 30613673 DOI: 10.12998/wjcc.v6.i16.1146]</w:t>
      </w:r>
    </w:p>
    <w:p w14:paraId="03718378"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59 </w:t>
      </w:r>
      <w:r w:rsidRPr="00D46A14">
        <w:rPr>
          <w:rFonts w:ascii="Book Antiqua" w:hAnsi="Book Antiqua"/>
          <w:b/>
          <w:sz w:val="24"/>
          <w:szCs w:val="24"/>
        </w:rPr>
        <w:t>Wu Z</w:t>
      </w:r>
      <w:r w:rsidRPr="00D46A14">
        <w:rPr>
          <w:rFonts w:ascii="Book Antiqua" w:hAnsi="Book Antiqua"/>
          <w:sz w:val="24"/>
          <w:szCs w:val="24"/>
        </w:rPr>
        <w:t xml:space="preserve">, Li J, Wang C, Yang J, Chen X, Yang W, Xiong Z, Peng X. Characterization of cardiovascular depression effect for propofol during anesthesia induction period on morbidly obese patients. </w:t>
      </w:r>
      <w:r w:rsidRPr="00D46A14">
        <w:rPr>
          <w:rFonts w:ascii="Book Antiqua" w:hAnsi="Book Antiqua"/>
          <w:i/>
          <w:sz w:val="24"/>
          <w:szCs w:val="24"/>
        </w:rPr>
        <w:t>Biomed Pharmacother</w:t>
      </w:r>
      <w:r w:rsidRPr="00D46A14">
        <w:rPr>
          <w:rFonts w:ascii="Book Antiqua" w:hAnsi="Book Antiqua"/>
          <w:sz w:val="24"/>
          <w:szCs w:val="24"/>
        </w:rPr>
        <w:t xml:space="preserve"> 2018; </w:t>
      </w:r>
      <w:r w:rsidRPr="00D46A14">
        <w:rPr>
          <w:rFonts w:ascii="Book Antiqua" w:hAnsi="Book Antiqua"/>
          <w:b/>
          <w:sz w:val="24"/>
          <w:szCs w:val="24"/>
        </w:rPr>
        <w:t>106</w:t>
      </w:r>
      <w:r w:rsidRPr="00D46A14">
        <w:rPr>
          <w:rFonts w:ascii="Book Antiqua" w:hAnsi="Book Antiqua"/>
          <w:sz w:val="24"/>
          <w:szCs w:val="24"/>
        </w:rPr>
        <w:t>: 618-623 [PMID: 29990851 DOI: 10.1016/j.biopha.2018.06.158]</w:t>
      </w:r>
    </w:p>
    <w:p w14:paraId="34CD476B"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60 </w:t>
      </w:r>
      <w:r w:rsidRPr="00D46A14">
        <w:rPr>
          <w:rFonts w:ascii="Book Antiqua" w:hAnsi="Book Antiqua"/>
          <w:b/>
          <w:sz w:val="24"/>
          <w:szCs w:val="24"/>
        </w:rPr>
        <w:t>Wang D</w:t>
      </w:r>
      <w:r w:rsidRPr="00D46A14">
        <w:rPr>
          <w:rFonts w:ascii="Book Antiqua" w:hAnsi="Book Antiqua"/>
          <w:sz w:val="24"/>
          <w:szCs w:val="24"/>
        </w:rPr>
        <w:t xml:space="preserve">, Chen C, Chen J, Xu Y, Wang L, Zhu Z, Deng D, Chen J, Long A, Tang D, Liu J. The use of propofol as a sedative agent in gastrointestinal endoscopy: a meta-analysis. </w:t>
      </w:r>
      <w:r w:rsidRPr="00D46A14">
        <w:rPr>
          <w:rFonts w:ascii="Book Antiqua" w:hAnsi="Book Antiqua"/>
          <w:i/>
          <w:sz w:val="24"/>
          <w:szCs w:val="24"/>
        </w:rPr>
        <w:t>PLoS One</w:t>
      </w:r>
      <w:r w:rsidRPr="00D46A14">
        <w:rPr>
          <w:rFonts w:ascii="Book Antiqua" w:hAnsi="Book Antiqua"/>
          <w:sz w:val="24"/>
          <w:szCs w:val="24"/>
        </w:rPr>
        <w:t xml:space="preserve"> 2013; </w:t>
      </w:r>
      <w:r w:rsidRPr="00D46A14">
        <w:rPr>
          <w:rFonts w:ascii="Book Antiqua" w:hAnsi="Book Antiqua"/>
          <w:b/>
          <w:sz w:val="24"/>
          <w:szCs w:val="24"/>
        </w:rPr>
        <w:t>8</w:t>
      </w:r>
      <w:r w:rsidRPr="00D46A14">
        <w:rPr>
          <w:rFonts w:ascii="Book Antiqua" w:hAnsi="Book Antiqua"/>
          <w:sz w:val="24"/>
          <w:szCs w:val="24"/>
        </w:rPr>
        <w:t>: e53311 [PMID: 23308191 DOI: 10.1371/journal.pone.0053311]</w:t>
      </w:r>
    </w:p>
    <w:p w14:paraId="35ABFED1" w14:textId="6DFC8EF9" w:rsidR="00791D29" w:rsidRPr="00D46A14" w:rsidRDefault="00791D29" w:rsidP="00D46A14">
      <w:pPr>
        <w:spacing w:after="0" w:line="360" w:lineRule="auto"/>
        <w:ind w:left="0" w:right="0" w:firstLine="0"/>
        <w:rPr>
          <w:rFonts w:ascii="Book Antiqua" w:eastAsia="等线" w:hAnsi="Book Antiqua"/>
          <w:b/>
          <w:sz w:val="24"/>
          <w:szCs w:val="24"/>
          <w:lang w:eastAsia="zh-CN"/>
        </w:rPr>
      </w:pPr>
    </w:p>
    <w:p w14:paraId="39D1937A" w14:textId="2E7E6B92" w:rsidR="00186B39" w:rsidRPr="00D46A14" w:rsidRDefault="00186B39" w:rsidP="00D46A14">
      <w:pPr>
        <w:spacing w:after="0" w:line="360" w:lineRule="auto"/>
        <w:ind w:hanging="56"/>
        <w:rPr>
          <w:rFonts w:ascii="Book Antiqua" w:hAnsi="Book Antiqua"/>
          <w:b/>
          <w:sz w:val="24"/>
          <w:szCs w:val="24"/>
        </w:rPr>
      </w:pPr>
      <w:r w:rsidRPr="00D46A14">
        <w:rPr>
          <w:rFonts w:ascii="Book Antiqua" w:hAnsi="Book Antiqua"/>
          <w:b/>
          <w:sz w:val="24"/>
          <w:szCs w:val="24"/>
        </w:rPr>
        <w:lastRenderedPageBreak/>
        <w:t xml:space="preserve">P-Reviewer: </w:t>
      </w:r>
      <w:r w:rsidRPr="00D46A14">
        <w:rPr>
          <w:rFonts w:ascii="Book Antiqua" w:hAnsi="Book Antiqua"/>
          <w:sz w:val="24"/>
          <w:szCs w:val="24"/>
        </w:rPr>
        <w:t>Lin</w:t>
      </w:r>
      <w:r w:rsidRPr="00D46A14">
        <w:rPr>
          <w:rFonts w:ascii="Book Antiqua" w:eastAsia="等线" w:hAnsi="Book Antiqua"/>
          <w:sz w:val="24"/>
          <w:szCs w:val="24"/>
          <w:lang w:eastAsia="zh-CN"/>
        </w:rPr>
        <w:t xml:space="preserve"> OST,</w:t>
      </w:r>
      <w:r w:rsidRPr="00D46A14">
        <w:rPr>
          <w:rFonts w:ascii="Book Antiqua" w:hAnsi="Book Antiqua"/>
          <w:sz w:val="24"/>
          <w:szCs w:val="24"/>
        </w:rPr>
        <w:t xml:space="preserve"> Maltz</w:t>
      </w:r>
      <w:r w:rsidRPr="00D46A14">
        <w:rPr>
          <w:rFonts w:ascii="Book Antiqua" w:eastAsia="等线" w:hAnsi="Book Antiqua"/>
          <w:sz w:val="24"/>
          <w:szCs w:val="24"/>
          <w:lang w:eastAsia="zh-CN"/>
        </w:rPr>
        <w:t xml:space="preserve"> C </w:t>
      </w:r>
      <w:r w:rsidRPr="00D46A14">
        <w:rPr>
          <w:rFonts w:ascii="Book Antiqua" w:hAnsi="Book Antiqua"/>
          <w:b/>
          <w:sz w:val="24"/>
          <w:szCs w:val="24"/>
        </w:rPr>
        <w:t xml:space="preserve">S-Editor: </w:t>
      </w:r>
      <w:r w:rsidRPr="00D46A14">
        <w:rPr>
          <w:rFonts w:ascii="Book Antiqua" w:hAnsi="Book Antiqua"/>
          <w:sz w:val="24"/>
          <w:szCs w:val="24"/>
        </w:rPr>
        <w:t>Wang JL</w:t>
      </w:r>
      <w:r w:rsidRPr="00D46A14">
        <w:rPr>
          <w:rFonts w:ascii="Book Antiqua" w:hAnsi="Book Antiqua"/>
          <w:b/>
          <w:sz w:val="24"/>
          <w:szCs w:val="24"/>
        </w:rPr>
        <w:t xml:space="preserve"> L-Editor: E-Editor:</w:t>
      </w:r>
    </w:p>
    <w:p w14:paraId="3813789A" w14:textId="77777777" w:rsidR="00186B39" w:rsidRPr="00D46A14" w:rsidRDefault="00186B39" w:rsidP="00D46A14">
      <w:pPr>
        <w:pStyle w:val="af8"/>
        <w:spacing w:line="360" w:lineRule="auto"/>
        <w:ind w:hanging="56"/>
        <w:rPr>
          <w:rFonts w:ascii="Book Antiqua" w:hAnsi="Book Antiqua"/>
          <w:b/>
          <w:color w:val="000000"/>
          <w:sz w:val="24"/>
          <w:szCs w:val="24"/>
        </w:rPr>
      </w:pPr>
      <w:r w:rsidRPr="00D46A14">
        <w:rPr>
          <w:rFonts w:ascii="Book Antiqua" w:hAnsi="Book Antiqua"/>
          <w:b/>
          <w:color w:val="000000"/>
          <w:sz w:val="24"/>
          <w:szCs w:val="24"/>
        </w:rPr>
        <w:t xml:space="preserve"> </w:t>
      </w:r>
    </w:p>
    <w:p w14:paraId="5E067825" w14:textId="77777777" w:rsidR="00186B39" w:rsidRPr="00D46A14" w:rsidRDefault="00186B39" w:rsidP="00D46A14">
      <w:pPr>
        <w:snapToGrid w:val="0"/>
        <w:spacing w:after="0" w:line="360" w:lineRule="auto"/>
        <w:ind w:hanging="56"/>
        <w:rPr>
          <w:rFonts w:ascii="Book Antiqua" w:hAnsi="Book Antiqua" w:cs="Helvetica"/>
          <w:b/>
          <w:sz w:val="24"/>
          <w:szCs w:val="24"/>
        </w:rPr>
      </w:pPr>
      <w:r w:rsidRPr="00D46A14">
        <w:rPr>
          <w:rFonts w:ascii="Book Antiqua" w:hAnsi="Book Antiqua" w:cs="Helvetica"/>
          <w:b/>
          <w:sz w:val="24"/>
          <w:szCs w:val="24"/>
        </w:rPr>
        <w:t xml:space="preserve">Specialty type: </w:t>
      </w:r>
      <w:r w:rsidRPr="00D46A14">
        <w:rPr>
          <w:rFonts w:ascii="Book Antiqua" w:eastAsia="微软雅黑" w:hAnsi="Book Antiqua"/>
          <w:sz w:val="24"/>
          <w:szCs w:val="24"/>
        </w:rPr>
        <w:t>Gastroenterology and hepatology</w:t>
      </w:r>
    </w:p>
    <w:p w14:paraId="393C193B" w14:textId="51AFDB87" w:rsidR="00186B39" w:rsidRPr="00D46A14" w:rsidRDefault="00186B39" w:rsidP="00D46A14">
      <w:pPr>
        <w:snapToGrid w:val="0"/>
        <w:spacing w:after="0" w:line="360" w:lineRule="auto"/>
        <w:ind w:hanging="56"/>
        <w:rPr>
          <w:rFonts w:ascii="Book Antiqua" w:eastAsia="等线" w:hAnsi="Book Antiqua" w:cs="Helvetica"/>
          <w:b/>
          <w:sz w:val="24"/>
          <w:szCs w:val="24"/>
          <w:lang w:eastAsia="zh-CN"/>
        </w:rPr>
      </w:pPr>
      <w:r w:rsidRPr="00D46A14">
        <w:rPr>
          <w:rFonts w:ascii="Book Antiqua" w:hAnsi="Book Antiqua" w:cs="Helvetica"/>
          <w:b/>
          <w:sz w:val="24"/>
          <w:szCs w:val="24"/>
        </w:rPr>
        <w:t xml:space="preserve">Country of origin: </w:t>
      </w:r>
      <w:r w:rsidRPr="00D46A14">
        <w:rPr>
          <w:rFonts w:ascii="Book Antiqua" w:eastAsia="等线" w:hAnsi="Book Antiqua"/>
          <w:sz w:val="24"/>
          <w:szCs w:val="24"/>
          <w:lang w:eastAsia="zh-CN"/>
        </w:rPr>
        <w:t>Brazil</w:t>
      </w:r>
    </w:p>
    <w:p w14:paraId="51A0B497" w14:textId="77777777" w:rsidR="00186B39" w:rsidRPr="00D46A14" w:rsidRDefault="00186B39" w:rsidP="00D46A14">
      <w:pPr>
        <w:snapToGrid w:val="0"/>
        <w:spacing w:after="0" w:line="360" w:lineRule="auto"/>
        <w:ind w:hanging="56"/>
        <w:rPr>
          <w:rFonts w:ascii="Book Antiqua" w:hAnsi="Book Antiqua" w:cs="Helvetica"/>
          <w:b/>
          <w:sz w:val="24"/>
          <w:szCs w:val="24"/>
        </w:rPr>
      </w:pPr>
      <w:r w:rsidRPr="00D46A14">
        <w:rPr>
          <w:rFonts w:ascii="Book Antiqua" w:hAnsi="Book Antiqua" w:cs="Helvetica"/>
          <w:b/>
          <w:sz w:val="24"/>
          <w:szCs w:val="24"/>
        </w:rPr>
        <w:t>Peer-review report classification</w:t>
      </w:r>
    </w:p>
    <w:p w14:paraId="1D3CDBA0" w14:textId="44BE170E" w:rsidR="00186B39" w:rsidRPr="00D46A14" w:rsidRDefault="00186B39" w:rsidP="00D46A14">
      <w:pPr>
        <w:snapToGrid w:val="0"/>
        <w:spacing w:after="0" w:line="360" w:lineRule="auto"/>
        <w:ind w:hanging="56"/>
        <w:rPr>
          <w:rFonts w:ascii="Book Antiqua" w:eastAsia="等线" w:hAnsi="Book Antiqua" w:cs="Helvetica"/>
          <w:sz w:val="24"/>
          <w:szCs w:val="24"/>
          <w:lang w:eastAsia="zh-CN"/>
        </w:rPr>
      </w:pPr>
      <w:r w:rsidRPr="00D46A14">
        <w:rPr>
          <w:rFonts w:ascii="Book Antiqua" w:hAnsi="Book Antiqua" w:cs="Helvetica"/>
          <w:sz w:val="24"/>
          <w:szCs w:val="24"/>
        </w:rPr>
        <w:t xml:space="preserve">Grade A (Excellent): </w:t>
      </w:r>
      <w:r w:rsidRPr="00D46A14">
        <w:rPr>
          <w:rFonts w:ascii="Book Antiqua" w:eastAsia="等线" w:hAnsi="Book Antiqua" w:cs="Helvetica"/>
          <w:sz w:val="24"/>
          <w:szCs w:val="24"/>
          <w:lang w:eastAsia="zh-CN"/>
        </w:rPr>
        <w:t>0</w:t>
      </w:r>
    </w:p>
    <w:p w14:paraId="42C249A3" w14:textId="72EC5F8A" w:rsidR="00186B39" w:rsidRPr="00D46A14" w:rsidRDefault="00186B39" w:rsidP="00D46A14">
      <w:pPr>
        <w:snapToGrid w:val="0"/>
        <w:spacing w:after="0" w:line="360" w:lineRule="auto"/>
        <w:ind w:hanging="56"/>
        <w:rPr>
          <w:rFonts w:ascii="Book Antiqua" w:eastAsia="等线" w:hAnsi="Book Antiqua" w:cs="Helvetica"/>
          <w:sz w:val="24"/>
          <w:szCs w:val="24"/>
          <w:lang w:eastAsia="zh-CN"/>
        </w:rPr>
      </w:pPr>
      <w:r w:rsidRPr="00D46A14">
        <w:rPr>
          <w:rFonts w:ascii="Book Antiqua" w:hAnsi="Book Antiqua" w:cs="Helvetica"/>
          <w:sz w:val="24"/>
          <w:szCs w:val="24"/>
        </w:rPr>
        <w:t xml:space="preserve">Grade B (Very good): </w:t>
      </w:r>
      <w:r w:rsidRPr="00D46A14">
        <w:rPr>
          <w:rFonts w:ascii="Book Antiqua" w:eastAsia="等线" w:hAnsi="Book Antiqua" w:cs="Helvetica"/>
          <w:sz w:val="24"/>
          <w:szCs w:val="24"/>
          <w:lang w:eastAsia="zh-CN"/>
        </w:rPr>
        <w:t>B, B</w:t>
      </w:r>
    </w:p>
    <w:p w14:paraId="328FDB1E" w14:textId="67F95F85" w:rsidR="00186B39" w:rsidRPr="00D46A14" w:rsidRDefault="00186B39" w:rsidP="00D46A14">
      <w:pPr>
        <w:snapToGrid w:val="0"/>
        <w:spacing w:after="0" w:line="360" w:lineRule="auto"/>
        <w:ind w:hanging="56"/>
        <w:rPr>
          <w:rFonts w:ascii="Book Antiqua" w:eastAsia="等线" w:hAnsi="Book Antiqua" w:cs="Helvetica"/>
          <w:sz w:val="24"/>
          <w:szCs w:val="24"/>
          <w:lang w:eastAsia="zh-CN"/>
        </w:rPr>
      </w:pPr>
      <w:r w:rsidRPr="00D46A14">
        <w:rPr>
          <w:rFonts w:ascii="Book Antiqua" w:hAnsi="Book Antiqua" w:cs="Helvetica"/>
          <w:sz w:val="24"/>
          <w:szCs w:val="24"/>
        </w:rPr>
        <w:t xml:space="preserve">Grade C (Good): </w:t>
      </w:r>
      <w:r w:rsidRPr="00D46A14">
        <w:rPr>
          <w:rFonts w:ascii="Book Antiqua" w:eastAsia="等线" w:hAnsi="Book Antiqua" w:cs="Helvetica"/>
          <w:sz w:val="24"/>
          <w:szCs w:val="24"/>
          <w:lang w:eastAsia="zh-CN"/>
        </w:rPr>
        <w:t>0</w:t>
      </w:r>
    </w:p>
    <w:p w14:paraId="53D5CCC3" w14:textId="4DF06402" w:rsidR="00186B39" w:rsidRPr="00D46A14" w:rsidRDefault="00186B39" w:rsidP="00D46A14">
      <w:pPr>
        <w:snapToGrid w:val="0"/>
        <w:spacing w:after="0" w:line="360" w:lineRule="auto"/>
        <w:ind w:hanging="56"/>
        <w:rPr>
          <w:rFonts w:ascii="Book Antiqua" w:eastAsia="等线" w:hAnsi="Book Antiqua" w:cs="Helvetica"/>
          <w:sz w:val="24"/>
          <w:szCs w:val="24"/>
          <w:lang w:eastAsia="zh-CN"/>
        </w:rPr>
      </w:pPr>
      <w:r w:rsidRPr="00D46A14">
        <w:rPr>
          <w:rFonts w:ascii="Book Antiqua" w:hAnsi="Book Antiqua" w:cs="Helvetica"/>
          <w:sz w:val="24"/>
          <w:szCs w:val="24"/>
        </w:rPr>
        <w:t xml:space="preserve">Grade D (Fair): </w:t>
      </w:r>
      <w:r w:rsidRPr="00D46A14">
        <w:rPr>
          <w:rFonts w:ascii="Book Antiqua" w:eastAsia="等线" w:hAnsi="Book Antiqua" w:cs="Helvetica"/>
          <w:sz w:val="24"/>
          <w:szCs w:val="24"/>
          <w:lang w:eastAsia="zh-CN"/>
        </w:rPr>
        <w:t>0</w:t>
      </w:r>
    </w:p>
    <w:p w14:paraId="4C1D3DE4" w14:textId="77777777" w:rsidR="00186B39" w:rsidRPr="00D46A14" w:rsidRDefault="00186B39" w:rsidP="00D46A14">
      <w:pPr>
        <w:snapToGrid w:val="0"/>
        <w:spacing w:after="0" w:line="360" w:lineRule="auto"/>
        <w:ind w:hanging="56"/>
        <w:rPr>
          <w:rFonts w:ascii="Book Antiqua" w:hAnsi="Book Antiqua" w:cs="Helvetica"/>
          <w:sz w:val="24"/>
          <w:szCs w:val="24"/>
        </w:rPr>
      </w:pPr>
      <w:r w:rsidRPr="00D46A14">
        <w:rPr>
          <w:rFonts w:ascii="Book Antiqua" w:hAnsi="Book Antiqua" w:cs="Helvetica"/>
          <w:sz w:val="24"/>
          <w:szCs w:val="24"/>
        </w:rPr>
        <w:t>Grade E (Poor): 0</w:t>
      </w:r>
    </w:p>
    <w:p w14:paraId="28E0F488" w14:textId="77777777" w:rsidR="00186B39" w:rsidRPr="00D46A14" w:rsidRDefault="00186B39" w:rsidP="00D46A14">
      <w:pPr>
        <w:spacing w:after="0" w:line="360" w:lineRule="auto"/>
        <w:ind w:left="0" w:right="0" w:firstLine="0"/>
        <w:rPr>
          <w:rFonts w:ascii="Book Antiqua" w:eastAsia="等线" w:hAnsi="Book Antiqua"/>
          <w:b/>
          <w:sz w:val="24"/>
          <w:szCs w:val="24"/>
          <w:lang w:eastAsia="zh-CN"/>
        </w:rPr>
        <w:sectPr w:rsidR="00186B39" w:rsidRPr="00D46A14" w:rsidSect="008109CC">
          <w:footerReference w:type="even" r:id="rId10"/>
          <w:footerReference w:type="default" r:id="rId11"/>
          <w:pgSz w:w="11906" w:h="16838"/>
          <w:pgMar w:top="1417" w:right="1701" w:bottom="1417" w:left="1701" w:header="708" w:footer="708" w:gutter="0"/>
          <w:cols w:space="708"/>
          <w:titlePg/>
          <w:docGrid w:linePitch="360"/>
        </w:sectPr>
      </w:pPr>
    </w:p>
    <w:p w14:paraId="476B9186" w14:textId="11B61A26" w:rsidR="00752388" w:rsidRPr="00681A25" w:rsidRDefault="00274E5A" w:rsidP="00681A25">
      <w:pPr>
        <w:widowControl w:val="0"/>
        <w:autoSpaceDE w:val="0"/>
        <w:autoSpaceDN w:val="0"/>
        <w:adjustRightInd w:val="0"/>
        <w:spacing w:after="0" w:line="360" w:lineRule="auto"/>
        <w:ind w:left="640" w:hanging="640"/>
        <w:rPr>
          <w:rFonts w:ascii="Book Antiqua" w:eastAsia="等线" w:hAnsi="Book Antiqua"/>
          <w:b/>
          <w:sz w:val="24"/>
          <w:szCs w:val="24"/>
          <w:lang w:eastAsia="zh-CN"/>
        </w:rPr>
      </w:pPr>
      <w:r w:rsidRPr="00274E5A">
        <w:rPr>
          <w:rFonts w:ascii="Book Antiqua" w:hAnsi="Book Antiqua"/>
          <w:b/>
          <w:sz w:val="24"/>
          <w:szCs w:val="24"/>
        </w:rPr>
        <w:lastRenderedPageBreak/>
        <w:t xml:space="preserve">Table 1 </w:t>
      </w:r>
      <w:r w:rsidR="00752388" w:rsidRPr="00274E5A">
        <w:rPr>
          <w:rFonts w:ascii="Book Antiqua" w:hAnsi="Book Antiqua"/>
          <w:b/>
          <w:sz w:val="24"/>
          <w:szCs w:val="24"/>
        </w:rPr>
        <w:t>Characteristics of the studies included in the meta-analysis</w:t>
      </w:r>
    </w:p>
    <w:tbl>
      <w:tblPr>
        <w:tblW w:w="5333" w:type="pct"/>
        <w:tblInd w:w="-318" w:type="dxa"/>
        <w:tblBorders>
          <w:top w:val="single" w:sz="4" w:space="0" w:color="auto"/>
          <w:bottom w:val="single" w:sz="4" w:space="0" w:color="auto"/>
        </w:tblBorders>
        <w:tblLayout w:type="fixed"/>
        <w:tblLook w:val="04A0" w:firstRow="1" w:lastRow="0" w:firstColumn="1" w:lastColumn="0" w:noHBand="0" w:noVBand="1"/>
      </w:tblPr>
      <w:tblGrid>
        <w:gridCol w:w="1262"/>
        <w:gridCol w:w="975"/>
        <w:gridCol w:w="1255"/>
        <w:gridCol w:w="977"/>
        <w:gridCol w:w="1120"/>
        <w:gridCol w:w="1670"/>
        <w:gridCol w:w="1261"/>
        <w:gridCol w:w="2094"/>
        <w:gridCol w:w="1252"/>
        <w:gridCol w:w="2094"/>
        <w:gridCol w:w="977"/>
      </w:tblGrid>
      <w:tr w:rsidR="005053BA" w:rsidRPr="00681A25" w14:paraId="5069BC40" w14:textId="77777777" w:rsidTr="00BF0F41">
        <w:trPr>
          <w:trHeight w:val="285"/>
        </w:trPr>
        <w:tc>
          <w:tcPr>
            <w:tcW w:w="422" w:type="pct"/>
            <w:tcBorders>
              <w:top w:val="single" w:sz="4" w:space="0" w:color="auto"/>
              <w:bottom w:val="single" w:sz="4" w:space="0" w:color="auto"/>
            </w:tcBorders>
            <w:shd w:val="clear" w:color="auto" w:fill="auto"/>
            <w:noWrap/>
            <w:vAlign w:val="center"/>
            <w:hideMark/>
          </w:tcPr>
          <w:p w14:paraId="7DA61921"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Author</w:t>
            </w:r>
          </w:p>
        </w:tc>
        <w:tc>
          <w:tcPr>
            <w:tcW w:w="326" w:type="pct"/>
            <w:tcBorders>
              <w:top w:val="single" w:sz="4" w:space="0" w:color="auto"/>
              <w:bottom w:val="single" w:sz="4" w:space="0" w:color="auto"/>
            </w:tcBorders>
            <w:vAlign w:val="center"/>
          </w:tcPr>
          <w:p w14:paraId="25468873" w14:textId="6B85C978" w:rsidR="00B2053F" w:rsidRPr="00681A25" w:rsidRDefault="00B2053F" w:rsidP="005053BA">
            <w:pPr>
              <w:spacing w:after="0" w:line="360" w:lineRule="auto"/>
              <w:ind w:left="0" w:right="0" w:firstLine="0"/>
              <w:rPr>
                <w:rFonts w:ascii="Book Antiqua" w:eastAsia="等线" w:hAnsi="Book Antiqua" w:cs="宋体"/>
                <w:b/>
                <w:sz w:val="24"/>
                <w:szCs w:val="24"/>
                <w:lang w:eastAsia="zh-CN"/>
              </w:rPr>
            </w:pPr>
            <w:r>
              <w:rPr>
                <w:rFonts w:ascii="Book Antiqua" w:eastAsia="等线" w:hAnsi="Book Antiqua" w:cs="宋体" w:hint="eastAsia"/>
                <w:b/>
                <w:sz w:val="24"/>
                <w:szCs w:val="24"/>
                <w:lang w:eastAsia="zh-CN"/>
              </w:rPr>
              <w:t>Ref</w:t>
            </w:r>
            <w:r w:rsidR="005053BA">
              <w:rPr>
                <w:rFonts w:ascii="Book Antiqua" w:eastAsia="等线" w:hAnsi="Book Antiqua" w:cs="宋体" w:hint="eastAsia"/>
                <w:b/>
                <w:sz w:val="24"/>
                <w:szCs w:val="24"/>
                <w:lang w:eastAsia="zh-CN"/>
              </w:rPr>
              <w:t>.</w:t>
            </w:r>
          </w:p>
        </w:tc>
        <w:tc>
          <w:tcPr>
            <w:tcW w:w="420" w:type="pct"/>
            <w:tcBorders>
              <w:top w:val="single" w:sz="4" w:space="0" w:color="auto"/>
              <w:bottom w:val="single" w:sz="4" w:space="0" w:color="auto"/>
            </w:tcBorders>
            <w:shd w:val="clear" w:color="auto" w:fill="auto"/>
            <w:noWrap/>
            <w:vAlign w:val="center"/>
            <w:hideMark/>
          </w:tcPr>
          <w:p w14:paraId="681EF55B" w14:textId="4B9EC709"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Country</w:t>
            </w:r>
          </w:p>
        </w:tc>
        <w:tc>
          <w:tcPr>
            <w:tcW w:w="327" w:type="pct"/>
            <w:tcBorders>
              <w:top w:val="single" w:sz="4" w:space="0" w:color="auto"/>
              <w:bottom w:val="single" w:sz="4" w:space="0" w:color="auto"/>
            </w:tcBorders>
            <w:shd w:val="clear" w:color="auto" w:fill="auto"/>
            <w:noWrap/>
            <w:vAlign w:val="center"/>
            <w:hideMark/>
          </w:tcPr>
          <w:p w14:paraId="06B79355"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Year</w:t>
            </w:r>
          </w:p>
        </w:tc>
        <w:tc>
          <w:tcPr>
            <w:tcW w:w="375" w:type="pct"/>
            <w:tcBorders>
              <w:top w:val="single" w:sz="4" w:space="0" w:color="auto"/>
              <w:bottom w:val="single" w:sz="4" w:space="0" w:color="auto"/>
            </w:tcBorders>
            <w:shd w:val="clear" w:color="auto" w:fill="auto"/>
            <w:noWrap/>
            <w:vAlign w:val="center"/>
            <w:hideMark/>
          </w:tcPr>
          <w:p w14:paraId="4B9BCD3D" w14:textId="03E8E532"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Patients (</w:t>
            </w:r>
            <w:r w:rsidRPr="00681A25">
              <w:rPr>
                <w:rFonts w:ascii="Book Antiqua" w:eastAsia="等线" w:hAnsi="Book Antiqua" w:cs="宋体"/>
                <w:b/>
                <w:i/>
                <w:sz w:val="24"/>
                <w:szCs w:val="24"/>
                <w:lang w:eastAsia="zh-CN"/>
              </w:rPr>
              <w:t>n</w:t>
            </w:r>
            <w:r>
              <w:rPr>
                <w:rFonts w:ascii="Book Antiqua" w:eastAsia="等线" w:hAnsi="Book Antiqua" w:cs="宋体" w:hint="eastAsia"/>
                <w:b/>
                <w:i/>
                <w:sz w:val="24"/>
                <w:szCs w:val="24"/>
                <w:lang w:eastAsia="zh-CN"/>
              </w:rPr>
              <w:t xml:space="preserve"> =</w:t>
            </w:r>
            <w:r>
              <w:rPr>
                <w:rFonts w:ascii="Book Antiqua" w:eastAsia="等线" w:hAnsi="Book Antiqua" w:cs="宋体" w:hint="eastAsia"/>
                <w:b/>
                <w:sz w:val="24"/>
                <w:szCs w:val="24"/>
                <w:lang w:eastAsia="zh-CN"/>
              </w:rPr>
              <w:t xml:space="preserve"> 3854)</w:t>
            </w:r>
          </w:p>
        </w:tc>
        <w:tc>
          <w:tcPr>
            <w:tcW w:w="559" w:type="pct"/>
            <w:tcBorders>
              <w:top w:val="single" w:sz="4" w:space="0" w:color="auto"/>
              <w:bottom w:val="single" w:sz="4" w:space="0" w:color="auto"/>
            </w:tcBorders>
            <w:shd w:val="clear" w:color="auto" w:fill="auto"/>
            <w:noWrap/>
            <w:vAlign w:val="center"/>
            <w:hideMark/>
          </w:tcPr>
          <w:p w14:paraId="331D8131"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Intervention</w:t>
            </w:r>
          </w:p>
        </w:tc>
        <w:tc>
          <w:tcPr>
            <w:tcW w:w="422" w:type="pct"/>
            <w:tcBorders>
              <w:top w:val="single" w:sz="4" w:space="0" w:color="auto"/>
              <w:bottom w:val="single" w:sz="4" w:space="0" w:color="auto"/>
            </w:tcBorders>
            <w:shd w:val="clear" w:color="auto" w:fill="auto"/>
            <w:noWrap/>
            <w:vAlign w:val="center"/>
            <w:hideMark/>
          </w:tcPr>
          <w:p w14:paraId="0DF1FB16" w14:textId="3E43DFC6"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Intervention (</w:t>
            </w:r>
            <w:r w:rsidRPr="00681A25">
              <w:rPr>
                <w:rFonts w:ascii="Book Antiqua" w:eastAsia="等线" w:hAnsi="Book Antiqua" w:cs="宋体"/>
                <w:b/>
                <w:i/>
                <w:sz w:val="24"/>
                <w:szCs w:val="24"/>
                <w:lang w:eastAsia="zh-CN"/>
              </w:rPr>
              <w:t>n</w:t>
            </w:r>
            <w:r>
              <w:rPr>
                <w:rFonts w:ascii="Book Antiqua" w:eastAsia="等线" w:hAnsi="Book Antiqua" w:cs="宋体" w:hint="eastAsia"/>
                <w:b/>
                <w:i/>
                <w:sz w:val="24"/>
                <w:szCs w:val="24"/>
                <w:lang w:eastAsia="zh-CN"/>
              </w:rPr>
              <w:t xml:space="preserve"> = </w:t>
            </w:r>
            <w:r>
              <w:rPr>
                <w:rFonts w:ascii="Book Antiqua" w:eastAsia="等线" w:hAnsi="Book Antiqua" w:cs="宋体" w:hint="eastAsia"/>
                <w:b/>
                <w:sz w:val="24"/>
                <w:szCs w:val="24"/>
                <w:lang w:eastAsia="zh-CN"/>
              </w:rPr>
              <w:t>1834)</w:t>
            </w:r>
          </w:p>
        </w:tc>
        <w:tc>
          <w:tcPr>
            <w:tcW w:w="701" w:type="pct"/>
            <w:tcBorders>
              <w:top w:val="single" w:sz="4" w:space="0" w:color="auto"/>
              <w:bottom w:val="single" w:sz="4" w:space="0" w:color="auto"/>
            </w:tcBorders>
            <w:shd w:val="clear" w:color="auto" w:fill="auto"/>
            <w:noWrap/>
            <w:vAlign w:val="center"/>
            <w:hideMark/>
          </w:tcPr>
          <w:p w14:paraId="173A3D02"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Control</w:t>
            </w:r>
          </w:p>
        </w:tc>
        <w:tc>
          <w:tcPr>
            <w:tcW w:w="419" w:type="pct"/>
            <w:tcBorders>
              <w:top w:val="single" w:sz="4" w:space="0" w:color="auto"/>
              <w:bottom w:val="single" w:sz="4" w:space="0" w:color="auto"/>
            </w:tcBorders>
            <w:shd w:val="clear" w:color="auto" w:fill="auto"/>
            <w:noWrap/>
            <w:vAlign w:val="center"/>
            <w:hideMark/>
          </w:tcPr>
          <w:p w14:paraId="30432A2D" w14:textId="0623740E"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Control (</w:t>
            </w:r>
            <w:r w:rsidRPr="00681A25">
              <w:rPr>
                <w:rFonts w:ascii="Book Antiqua" w:eastAsia="等线" w:hAnsi="Book Antiqua" w:cs="宋体"/>
                <w:b/>
                <w:i/>
                <w:sz w:val="24"/>
                <w:szCs w:val="24"/>
                <w:lang w:eastAsia="zh-CN"/>
              </w:rPr>
              <w:t>n</w:t>
            </w:r>
            <w:r>
              <w:rPr>
                <w:rFonts w:ascii="Book Antiqua" w:eastAsia="等线" w:hAnsi="Book Antiqua" w:cs="宋体" w:hint="eastAsia"/>
                <w:b/>
                <w:i/>
                <w:sz w:val="24"/>
                <w:szCs w:val="24"/>
                <w:lang w:eastAsia="zh-CN"/>
              </w:rPr>
              <w:t xml:space="preserve"> = </w:t>
            </w:r>
            <w:r>
              <w:rPr>
                <w:rFonts w:ascii="Book Antiqua" w:eastAsia="等线" w:hAnsi="Book Antiqua" w:cs="宋体" w:hint="eastAsia"/>
                <w:b/>
                <w:sz w:val="24"/>
                <w:szCs w:val="24"/>
                <w:lang w:eastAsia="zh-CN"/>
              </w:rPr>
              <w:t>2004)</w:t>
            </w:r>
          </w:p>
        </w:tc>
        <w:tc>
          <w:tcPr>
            <w:tcW w:w="701" w:type="pct"/>
            <w:tcBorders>
              <w:top w:val="single" w:sz="4" w:space="0" w:color="auto"/>
              <w:bottom w:val="single" w:sz="4" w:space="0" w:color="auto"/>
            </w:tcBorders>
            <w:shd w:val="clear" w:color="auto" w:fill="auto"/>
            <w:noWrap/>
            <w:vAlign w:val="center"/>
            <w:hideMark/>
          </w:tcPr>
          <w:p w14:paraId="1BB5DFE2"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Procedure</w:t>
            </w:r>
          </w:p>
        </w:tc>
        <w:tc>
          <w:tcPr>
            <w:tcW w:w="327" w:type="pct"/>
            <w:tcBorders>
              <w:top w:val="single" w:sz="4" w:space="0" w:color="auto"/>
              <w:bottom w:val="single" w:sz="4" w:space="0" w:color="auto"/>
            </w:tcBorders>
            <w:shd w:val="clear" w:color="auto" w:fill="auto"/>
            <w:noWrap/>
            <w:vAlign w:val="center"/>
            <w:hideMark/>
          </w:tcPr>
          <w:p w14:paraId="2B5AAB48"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Jadad</w:t>
            </w:r>
          </w:p>
        </w:tc>
      </w:tr>
      <w:tr w:rsidR="005053BA" w:rsidRPr="00681A25" w14:paraId="6575E8A6" w14:textId="77777777" w:rsidTr="00BF0F41">
        <w:trPr>
          <w:trHeight w:val="285"/>
        </w:trPr>
        <w:tc>
          <w:tcPr>
            <w:tcW w:w="422" w:type="pct"/>
            <w:tcBorders>
              <w:top w:val="single" w:sz="4" w:space="0" w:color="auto"/>
            </w:tcBorders>
            <w:shd w:val="clear" w:color="auto" w:fill="auto"/>
            <w:noWrap/>
            <w:vAlign w:val="center"/>
            <w:hideMark/>
          </w:tcPr>
          <w:p w14:paraId="0367CDF4" w14:textId="1FA550F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Seifert</w:t>
            </w:r>
          </w:p>
        </w:tc>
        <w:tc>
          <w:tcPr>
            <w:tcW w:w="326" w:type="pct"/>
            <w:tcBorders>
              <w:top w:val="single" w:sz="4" w:space="0" w:color="auto"/>
            </w:tcBorders>
          </w:tcPr>
          <w:p w14:paraId="3A2151C5" w14:textId="3EBAE188"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[19]</w:t>
            </w:r>
          </w:p>
        </w:tc>
        <w:tc>
          <w:tcPr>
            <w:tcW w:w="420" w:type="pct"/>
            <w:tcBorders>
              <w:top w:val="single" w:sz="4" w:space="0" w:color="auto"/>
            </w:tcBorders>
            <w:shd w:val="clear" w:color="auto" w:fill="auto"/>
            <w:noWrap/>
            <w:vAlign w:val="center"/>
            <w:hideMark/>
          </w:tcPr>
          <w:p w14:paraId="4054AFEE" w14:textId="1DED7800"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Germany</w:t>
            </w:r>
          </w:p>
        </w:tc>
        <w:tc>
          <w:tcPr>
            <w:tcW w:w="327" w:type="pct"/>
            <w:tcBorders>
              <w:top w:val="single" w:sz="4" w:space="0" w:color="auto"/>
            </w:tcBorders>
            <w:shd w:val="clear" w:color="auto" w:fill="auto"/>
            <w:noWrap/>
            <w:vAlign w:val="center"/>
            <w:hideMark/>
          </w:tcPr>
          <w:p w14:paraId="0BEE1056"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2000</w:t>
            </w:r>
          </w:p>
        </w:tc>
        <w:tc>
          <w:tcPr>
            <w:tcW w:w="375" w:type="pct"/>
            <w:tcBorders>
              <w:top w:val="single" w:sz="4" w:space="0" w:color="auto"/>
            </w:tcBorders>
            <w:shd w:val="clear" w:color="auto" w:fill="auto"/>
            <w:noWrap/>
            <w:vAlign w:val="center"/>
            <w:hideMark/>
          </w:tcPr>
          <w:p w14:paraId="46F562A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239</w:t>
            </w:r>
          </w:p>
        </w:tc>
        <w:tc>
          <w:tcPr>
            <w:tcW w:w="559" w:type="pct"/>
            <w:tcBorders>
              <w:top w:val="single" w:sz="4" w:space="0" w:color="auto"/>
            </w:tcBorders>
            <w:shd w:val="clear" w:color="auto" w:fill="auto"/>
            <w:noWrap/>
            <w:vAlign w:val="center"/>
            <w:hideMark/>
          </w:tcPr>
          <w:p w14:paraId="4ED73980" w14:textId="6805BFB3"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tcBorders>
              <w:top w:val="single" w:sz="4" w:space="0" w:color="auto"/>
            </w:tcBorders>
            <w:shd w:val="clear" w:color="auto" w:fill="auto"/>
            <w:noWrap/>
            <w:vAlign w:val="center"/>
            <w:hideMark/>
          </w:tcPr>
          <w:p w14:paraId="31C5B53F"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120</w:t>
            </w:r>
          </w:p>
        </w:tc>
        <w:tc>
          <w:tcPr>
            <w:tcW w:w="701" w:type="pct"/>
            <w:tcBorders>
              <w:top w:val="single" w:sz="4" w:space="0" w:color="auto"/>
            </w:tcBorders>
            <w:shd w:val="clear" w:color="auto" w:fill="auto"/>
            <w:noWrap/>
            <w:vAlign w:val="center"/>
            <w:hideMark/>
          </w:tcPr>
          <w:p w14:paraId="08C71240" w14:textId="44F9D4A9"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MDZ</w:t>
            </w:r>
          </w:p>
        </w:tc>
        <w:tc>
          <w:tcPr>
            <w:tcW w:w="419" w:type="pct"/>
            <w:tcBorders>
              <w:top w:val="single" w:sz="4" w:space="0" w:color="auto"/>
            </w:tcBorders>
            <w:shd w:val="clear" w:color="auto" w:fill="auto"/>
            <w:noWrap/>
            <w:vAlign w:val="center"/>
            <w:hideMark/>
          </w:tcPr>
          <w:p w14:paraId="5813C4F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119</w:t>
            </w:r>
          </w:p>
        </w:tc>
        <w:tc>
          <w:tcPr>
            <w:tcW w:w="701" w:type="pct"/>
            <w:tcBorders>
              <w:top w:val="single" w:sz="4" w:space="0" w:color="auto"/>
            </w:tcBorders>
            <w:shd w:val="clear" w:color="auto" w:fill="auto"/>
            <w:noWrap/>
            <w:vAlign w:val="center"/>
            <w:hideMark/>
          </w:tcPr>
          <w:p w14:paraId="09791067"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Endoscopy/ERCP</w:t>
            </w:r>
          </w:p>
        </w:tc>
        <w:tc>
          <w:tcPr>
            <w:tcW w:w="327" w:type="pct"/>
            <w:tcBorders>
              <w:top w:val="single" w:sz="4" w:space="0" w:color="auto"/>
            </w:tcBorders>
            <w:shd w:val="clear" w:color="auto" w:fill="auto"/>
            <w:noWrap/>
            <w:vAlign w:val="center"/>
            <w:hideMark/>
          </w:tcPr>
          <w:p w14:paraId="047707E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7F004FDF" w14:textId="77777777" w:rsidTr="00BF0F41">
        <w:trPr>
          <w:trHeight w:val="285"/>
        </w:trPr>
        <w:tc>
          <w:tcPr>
            <w:tcW w:w="422" w:type="pct"/>
            <w:shd w:val="clear" w:color="auto" w:fill="auto"/>
            <w:noWrap/>
            <w:vAlign w:val="center"/>
            <w:hideMark/>
          </w:tcPr>
          <w:p w14:paraId="776B250F" w14:textId="2404CFB9"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Sipe</w:t>
            </w:r>
          </w:p>
        </w:tc>
        <w:tc>
          <w:tcPr>
            <w:tcW w:w="326" w:type="pct"/>
          </w:tcPr>
          <w:p w14:paraId="6FD2A07A" w14:textId="495AC0D7"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[38]</w:t>
            </w:r>
          </w:p>
        </w:tc>
        <w:tc>
          <w:tcPr>
            <w:tcW w:w="420" w:type="pct"/>
            <w:shd w:val="clear" w:color="auto" w:fill="auto"/>
            <w:noWrap/>
            <w:vAlign w:val="center"/>
            <w:hideMark/>
          </w:tcPr>
          <w:p w14:paraId="64799AD8" w14:textId="2B4ACE21"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USA</w:t>
            </w:r>
          </w:p>
        </w:tc>
        <w:tc>
          <w:tcPr>
            <w:tcW w:w="327" w:type="pct"/>
            <w:shd w:val="clear" w:color="auto" w:fill="auto"/>
            <w:noWrap/>
            <w:vAlign w:val="center"/>
            <w:hideMark/>
          </w:tcPr>
          <w:p w14:paraId="28364DF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2002</w:t>
            </w:r>
          </w:p>
        </w:tc>
        <w:tc>
          <w:tcPr>
            <w:tcW w:w="375" w:type="pct"/>
            <w:shd w:val="clear" w:color="auto" w:fill="auto"/>
            <w:noWrap/>
            <w:vAlign w:val="center"/>
            <w:hideMark/>
          </w:tcPr>
          <w:p w14:paraId="465A2CD0"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80</w:t>
            </w:r>
          </w:p>
        </w:tc>
        <w:tc>
          <w:tcPr>
            <w:tcW w:w="559" w:type="pct"/>
            <w:shd w:val="clear" w:color="auto" w:fill="auto"/>
            <w:noWrap/>
            <w:hideMark/>
          </w:tcPr>
          <w:p w14:paraId="0C75FBDC" w14:textId="4CEFFA2A"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754E5C">
              <w:rPr>
                <w:rFonts w:ascii="Book Antiqua" w:eastAsia="等线" w:hAnsi="Book Antiqua" w:cs="宋体"/>
                <w:sz w:val="24"/>
                <w:szCs w:val="24"/>
                <w:lang w:eastAsia="zh-CN"/>
              </w:rPr>
              <w:t xml:space="preserve">PROP </w:t>
            </w:r>
          </w:p>
        </w:tc>
        <w:tc>
          <w:tcPr>
            <w:tcW w:w="422" w:type="pct"/>
            <w:shd w:val="clear" w:color="auto" w:fill="auto"/>
            <w:noWrap/>
            <w:vAlign w:val="center"/>
            <w:hideMark/>
          </w:tcPr>
          <w:p w14:paraId="254BE7A9"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40</w:t>
            </w:r>
          </w:p>
        </w:tc>
        <w:tc>
          <w:tcPr>
            <w:tcW w:w="701" w:type="pct"/>
            <w:shd w:val="clear" w:color="auto" w:fill="auto"/>
            <w:noWrap/>
            <w:vAlign w:val="center"/>
            <w:hideMark/>
          </w:tcPr>
          <w:p w14:paraId="6C0315D5"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4D698B9B"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40</w:t>
            </w:r>
          </w:p>
        </w:tc>
        <w:tc>
          <w:tcPr>
            <w:tcW w:w="701" w:type="pct"/>
            <w:shd w:val="clear" w:color="auto" w:fill="auto"/>
            <w:noWrap/>
            <w:vAlign w:val="center"/>
            <w:hideMark/>
          </w:tcPr>
          <w:p w14:paraId="651DA37B"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Colonoscopy</w:t>
            </w:r>
          </w:p>
        </w:tc>
        <w:tc>
          <w:tcPr>
            <w:tcW w:w="327" w:type="pct"/>
            <w:shd w:val="clear" w:color="auto" w:fill="auto"/>
            <w:noWrap/>
            <w:vAlign w:val="center"/>
            <w:hideMark/>
          </w:tcPr>
          <w:p w14:paraId="3D158E49"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w:t>
            </w:r>
          </w:p>
        </w:tc>
      </w:tr>
      <w:tr w:rsidR="005053BA" w:rsidRPr="00681A25" w14:paraId="0B277F68" w14:textId="77777777" w:rsidTr="00BF0F41">
        <w:trPr>
          <w:trHeight w:val="285"/>
        </w:trPr>
        <w:tc>
          <w:tcPr>
            <w:tcW w:w="422" w:type="pct"/>
            <w:shd w:val="clear" w:color="auto" w:fill="auto"/>
            <w:noWrap/>
            <w:vAlign w:val="center"/>
            <w:hideMark/>
          </w:tcPr>
          <w:p w14:paraId="4A05178C" w14:textId="3EAB8BE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Vargo</w:t>
            </w:r>
          </w:p>
        </w:tc>
        <w:tc>
          <w:tcPr>
            <w:tcW w:w="326" w:type="pct"/>
          </w:tcPr>
          <w:p w14:paraId="43E7AE4C" w14:textId="3BF68400"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[34]</w:t>
            </w:r>
          </w:p>
        </w:tc>
        <w:tc>
          <w:tcPr>
            <w:tcW w:w="420" w:type="pct"/>
            <w:shd w:val="clear" w:color="auto" w:fill="auto"/>
            <w:noWrap/>
            <w:vAlign w:val="center"/>
            <w:hideMark/>
          </w:tcPr>
          <w:p w14:paraId="4065212A" w14:textId="7E635603"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USA</w:t>
            </w:r>
          </w:p>
        </w:tc>
        <w:tc>
          <w:tcPr>
            <w:tcW w:w="327" w:type="pct"/>
            <w:shd w:val="clear" w:color="auto" w:fill="auto"/>
            <w:noWrap/>
            <w:vAlign w:val="center"/>
            <w:hideMark/>
          </w:tcPr>
          <w:p w14:paraId="02B610CB"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2002</w:t>
            </w:r>
          </w:p>
        </w:tc>
        <w:tc>
          <w:tcPr>
            <w:tcW w:w="375" w:type="pct"/>
            <w:shd w:val="clear" w:color="auto" w:fill="auto"/>
            <w:noWrap/>
            <w:vAlign w:val="center"/>
            <w:hideMark/>
          </w:tcPr>
          <w:p w14:paraId="1DAEE8A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75</w:t>
            </w:r>
          </w:p>
        </w:tc>
        <w:tc>
          <w:tcPr>
            <w:tcW w:w="559" w:type="pct"/>
            <w:shd w:val="clear" w:color="auto" w:fill="auto"/>
            <w:noWrap/>
            <w:hideMark/>
          </w:tcPr>
          <w:p w14:paraId="5A1F3AC3" w14:textId="62B6E94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754E5C">
              <w:rPr>
                <w:rFonts w:ascii="Book Antiqua" w:eastAsia="等线" w:hAnsi="Book Antiqua" w:cs="宋体"/>
                <w:sz w:val="24"/>
                <w:szCs w:val="24"/>
                <w:lang w:eastAsia="zh-CN"/>
              </w:rPr>
              <w:t xml:space="preserve">PROP </w:t>
            </w:r>
          </w:p>
        </w:tc>
        <w:tc>
          <w:tcPr>
            <w:tcW w:w="422" w:type="pct"/>
            <w:shd w:val="clear" w:color="auto" w:fill="auto"/>
            <w:noWrap/>
            <w:vAlign w:val="center"/>
            <w:hideMark/>
          </w:tcPr>
          <w:p w14:paraId="7B1E2640"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38</w:t>
            </w:r>
          </w:p>
        </w:tc>
        <w:tc>
          <w:tcPr>
            <w:tcW w:w="701" w:type="pct"/>
            <w:shd w:val="clear" w:color="auto" w:fill="auto"/>
            <w:noWrap/>
            <w:vAlign w:val="center"/>
            <w:hideMark/>
          </w:tcPr>
          <w:p w14:paraId="4EAE562B"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112C7F46"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37</w:t>
            </w:r>
          </w:p>
        </w:tc>
        <w:tc>
          <w:tcPr>
            <w:tcW w:w="701" w:type="pct"/>
            <w:shd w:val="clear" w:color="auto" w:fill="auto"/>
            <w:noWrap/>
            <w:vAlign w:val="center"/>
            <w:hideMark/>
          </w:tcPr>
          <w:p w14:paraId="731B5720"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ERCP/EUS</w:t>
            </w:r>
          </w:p>
        </w:tc>
        <w:tc>
          <w:tcPr>
            <w:tcW w:w="327" w:type="pct"/>
            <w:shd w:val="clear" w:color="auto" w:fill="auto"/>
            <w:noWrap/>
            <w:vAlign w:val="center"/>
            <w:hideMark/>
          </w:tcPr>
          <w:p w14:paraId="7AEA5764"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w:t>
            </w:r>
          </w:p>
        </w:tc>
      </w:tr>
      <w:tr w:rsidR="005053BA" w:rsidRPr="00681A25" w14:paraId="7B59330D" w14:textId="77777777" w:rsidTr="00BF0F41">
        <w:trPr>
          <w:trHeight w:val="285"/>
        </w:trPr>
        <w:tc>
          <w:tcPr>
            <w:tcW w:w="422" w:type="pct"/>
            <w:shd w:val="clear" w:color="auto" w:fill="auto"/>
            <w:noWrap/>
            <w:vAlign w:val="center"/>
            <w:hideMark/>
          </w:tcPr>
          <w:p w14:paraId="054F77CD" w14:textId="2DB0B5A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Ulmer</w:t>
            </w:r>
          </w:p>
        </w:tc>
        <w:tc>
          <w:tcPr>
            <w:tcW w:w="326" w:type="pct"/>
          </w:tcPr>
          <w:p w14:paraId="379A7401" w14:textId="5B75D29C"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[39]</w:t>
            </w:r>
          </w:p>
        </w:tc>
        <w:tc>
          <w:tcPr>
            <w:tcW w:w="420" w:type="pct"/>
            <w:shd w:val="clear" w:color="auto" w:fill="auto"/>
            <w:noWrap/>
            <w:vAlign w:val="center"/>
            <w:hideMark/>
          </w:tcPr>
          <w:p w14:paraId="54B39DBB" w14:textId="2A16612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USA</w:t>
            </w:r>
          </w:p>
        </w:tc>
        <w:tc>
          <w:tcPr>
            <w:tcW w:w="327" w:type="pct"/>
            <w:shd w:val="clear" w:color="auto" w:fill="auto"/>
            <w:noWrap/>
            <w:vAlign w:val="center"/>
            <w:hideMark/>
          </w:tcPr>
          <w:p w14:paraId="09B6F9D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2003</w:t>
            </w:r>
          </w:p>
        </w:tc>
        <w:tc>
          <w:tcPr>
            <w:tcW w:w="375" w:type="pct"/>
            <w:shd w:val="clear" w:color="auto" w:fill="auto"/>
            <w:noWrap/>
            <w:vAlign w:val="center"/>
            <w:hideMark/>
          </w:tcPr>
          <w:p w14:paraId="4B9C281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100</w:t>
            </w:r>
          </w:p>
        </w:tc>
        <w:tc>
          <w:tcPr>
            <w:tcW w:w="559" w:type="pct"/>
            <w:shd w:val="clear" w:color="auto" w:fill="auto"/>
            <w:noWrap/>
            <w:hideMark/>
          </w:tcPr>
          <w:p w14:paraId="40BBCD68" w14:textId="6E4E8AF0"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754E5C">
              <w:rPr>
                <w:rFonts w:ascii="Book Antiqua" w:eastAsia="等线" w:hAnsi="Book Antiqua" w:cs="宋体"/>
                <w:sz w:val="24"/>
                <w:szCs w:val="24"/>
                <w:lang w:eastAsia="zh-CN"/>
              </w:rPr>
              <w:t xml:space="preserve">PROP </w:t>
            </w:r>
          </w:p>
        </w:tc>
        <w:tc>
          <w:tcPr>
            <w:tcW w:w="422" w:type="pct"/>
            <w:shd w:val="clear" w:color="auto" w:fill="auto"/>
            <w:noWrap/>
            <w:vAlign w:val="center"/>
            <w:hideMark/>
          </w:tcPr>
          <w:p w14:paraId="7FC3E5B2"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50</w:t>
            </w:r>
          </w:p>
        </w:tc>
        <w:tc>
          <w:tcPr>
            <w:tcW w:w="701" w:type="pct"/>
            <w:shd w:val="clear" w:color="auto" w:fill="auto"/>
            <w:noWrap/>
            <w:vAlign w:val="center"/>
            <w:hideMark/>
          </w:tcPr>
          <w:p w14:paraId="194FD27B"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FTN</w:t>
            </w:r>
          </w:p>
        </w:tc>
        <w:tc>
          <w:tcPr>
            <w:tcW w:w="419" w:type="pct"/>
            <w:shd w:val="clear" w:color="auto" w:fill="auto"/>
            <w:noWrap/>
            <w:vAlign w:val="center"/>
            <w:hideMark/>
          </w:tcPr>
          <w:p w14:paraId="264A730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50</w:t>
            </w:r>
          </w:p>
        </w:tc>
        <w:tc>
          <w:tcPr>
            <w:tcW w:w="701" w:type="pct"/>
            <w:shd w:val="clear" w:color="auto" w:fill="auto"/>
            <w:noWrap/>
            <w:vAlign w:val="center"/>
            <w:hideMark/>
          </w:tcPr>
          <w:p w14:paraId="112CA6A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Colonoscopy</w:t>
            </w:r>
          </w:p>
        </w:tc>
        <w:tc>
          <w:tcPr>
            <w:tcW w:w="327" w:type="pct"/>
            <w:shd w:val="clear" w:color="auto" w:fill="auto"/>
            <w:noWrap/>
            <w:vAlign w:val="center"/>
            <w:hideMark/>
          </w:tcPr>
          <w:p w14:paraId="7902CC0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w:t>
            </w:r>
          </w:p>
        </w:tc>
      </w:tr>
      <w:tr w:rsidR="005053BA" w:rsidRPr="00681A25" w14:paraId="68A5778B" w14:textId="77777777" w:rsidTr="00BF0F41">
        <w:trPr>
          <w:trHeight w:val="285"/>
        </w:trPr>
        <w:tc>
          <w:tcPr>
            <w:tcW w:w="422" w:type="pct"/>
            <w:shd w:val="clear" w:color="auto" w:fill="auto"/>
            <w:noWrap/>
            <w:vAlign w:val="center"/>
            <w:hideMark/>
          </w:tcPr>
          <w:p w14:paraId="2808811F" w14:textId="0E640256"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Riphaus</w:t>
            </w:r>
          </w:p>
        </w:tc>
        <w:tc>
          <w:tcPr>
            <w:tcW w:w="326" w:type="pct"/>
          </w:tcPr>
          <w:p w14:paraId="19DBE360" w14:textId="0E3AB82C"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[40]</w:t>
            </w:r>
          </w:p>
        </w:tc>
        <w:tc>
          <w:tcPr>
            <w:tcW w:w="420" w:type="pct"/>
            <w:shd w:val="clear" w:color="auto" w:fill="auto"/>
            <w:noWrap/>
            <w:vAlign w:val="center"/>
            <w:hideMark/>
          </w:tcPr>
          <w:p w14:paraId="694E3E6D" w14:textId="3B612BD8"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Germany</w:t>
            </w:r>
          </w:p>
        </w:tc>
        <w:tc>
          <w:tcPr>
            <w:tcW w:w="327" w:type="pct"/>
            <w:shd w:val="clear" w:color="auto" w:fill="auto"/>
            <w:noWrap/>
            <w:vAlign w:val="center"/>
            <w:hideMark/>
          </w:tcPr>
          <w:p w14:paraId="79BDD654"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2005</w:t>
            </w:r>
          </w:p>
        </w:tc>
        <w:tc>
          <w:tcPr>
            <w:tcW w:w="375" w:type="pct"/>
            <w:shd w:val="clear" w:color="auto" w:fill="auto"/>
            <w:noWrap/>
            <w:vAlign w:val="center"/>
            <w:hideMark/>
          </w:tcPr>
          <w:p w14:paraId="02D44297"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150</w:t>
            </w:r>
          </w:p>
        </w:tc>
        <w:tc>
          <w:tcPr>
            <w:tcW w:w="559" w:type="pct"/>
            <w:shd w:val="clear" w:color="auto" w:fill="auto"/>
            <w:noWrap/>
            <w:hideMark/>
          </w:tcPr>
          <w:p w14:paraId="240B47E4" w14:textId="4D780A5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754E5C">
              <w:rPr>
                <w:rFonts w:ascii="Book Antiqua" w:eastAsia="等线" w:hAnsi="Book Antiqua" w:cs="宋体"/>
                <w:sz w:val="24"/>
                <w:szCs w:val="24"/>
                <w:lang w:eastAsia="zh-CN"/>
              </w:rPr>
              <w:t xml:space="preserve">PROP </w:t>
            </w:r>
          </w:p>
        </w:tc>
        <w:tc>
          <w:tcPr>
            <w:tcW w:w="422" w:type="pct"/>
            <w:shd w:val="clear" w:color="auto" w:fill="auto"/>
            <w:noWrap/>
            <w:vAlign w:val="center"/>
            <w:hideMark/>
          </w:tcPr>
          <w:p w14:paraId="5FD1AFA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75</w:t>
            </w:r>
          </w:p>
        </w:tc>
        <w:tc>
          <w:tcPr>
            <w:tcW w:w="701" w:type="pct"/>
            <w:shd w:val="clear" w:color="auto" w:fill="auto"/>
            <w:noWrap/>
            <w:vAlign w:val="center"/>
            <w:hideMark/>
          </w:tcPr>
          <w:p w14:paraId="0A4D5306"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5376B21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75</w:t>
            </w:r>
          </w:p>
        </w:tc>
        <w:tc>
          <w:tcPr>
            <w:tcW w:w="701" w:type="pct"/>
            <w:shd w:val="clear" w:color="auto" w:fill="auto"/>
            <w:noWrap/>
            <w:vAlign w:val="center"/>
            <w:hideMark/>
          </w:tcPr>
          <w:p w14:paraId="0B9C17C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ERCP</w:t>
            </w:r>
          </w:p>
        </w:tc>
        <w:tc>
          <w:tcPr>
            <w:tcW w:w="327" w:type="pct"/>
            <w:shd w:val="clear" w:color="auto" w:fill="auto"/>
            <w:noWrap/>
            <w:vAlign w:val="center"/>
            <w:hideMark/>
          </w:tcPr>
          <w:p w14:paraId="7E4999F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4C910E86" w14:textId="77777777" w:rsidTr="00BF0F41">
        <w:trPr>
          <w:trHeight w:val="285"/>
        </w:trPr>
        <w:tc>
          <w:tcPr>
            <w:tcW w:w="422" w:type="pct"/>
            <w:shd w:val="clear" w:color="auto" w:fill="auto"/>
            <w:noWrap/>
            <w:vAlign w:val="center"/>
            <w:hideMark/>
          </w:tcPr>
          <w:p w14:paraId="2EE7FA45" w14:textId="76CA6F2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VanNatta</w:t>
            </w:r>
          </w:p>
        </w:tc>
        <w:tc>
          <w:tcPr>
            <w:tcW w:w="326" w:type="pct"/>
          </w:tcPr>
          <w:p w14:paraId="7A9F854B" w14:textId="11779FC1"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[12]</w:t>
            </w:r>
          </w:p>
        </w:tc>
        <w:tc>
          <w:tcPr>
            <w:tcW w:w="420" w:type="pct"/>
            <w:shd w:val="clear" w:color="auto" w:fill="auto"/>
            <w:noWrap/>
            <w:vAlign w:val="center"/>
            <w:hideMark/>
          </w:tcPr>
          <w:p w14:paraId="1478FCB0" w14:textId="23AE8E8D"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USA</w:t>
            </w:r>
          </w:p>
        </w:tc>
        <w:tc>
          <w:tcPr>
            <w:tcW w:w="327" w:type="pct"/>
            <w:shd w:val="clear" w:color="auto" w:fill="auto"/>
            <w:noWrap/>
            <w:vAlign w:val="center"/>
            <w:hideMark/>
          </w:tcPr>
          <w:p w14:paraId="0082BAB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2006</w:t>
            </w:r>
          </w:p>
        </w:tc>
        <w:tc>
          <w:tcPr>
            <w:tcW w:w="375" w:type="pct"/>
            <w:shd w:val="clear" w:color="auto" w:fill="auto"/>
            <w:noWrap/>
            <w:vAlign w:val="center"/>
            <w:hideMark/>
          </w:tcPr>
          <w:p w14:paraId="3240C81B"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w:t>
            </w:r>
          </w:p>
        </w:tc>
        <w:tc>
          <w:tcPr>
            <w:tcW w:w="559" w:type="pct"/>
            <w:shd w:val="clear" w:color="auto" w:fill="auto"/>
            <w:noWrap/>
            <w:hideMark/>
          </w:tcPr>
          <w:p w14:paraId="7A49894D" w14:textId="627AFEFE"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754E5C">
              <w:rPr>
                <w:rFonts w:ascii="Book Antiqua" w:eastAsia="等线" w:hAnsi="Book Antiqua" w:cs="宋体"/>
                <w:sz w:val="24"/>
                <w:szCs w:val="24"/>
                <w:lang w:eastAsia="zh-CN"/>
              </w:rPr>
              <w:t xml:space="preserve">PROP </w:t>
            </w:r>
          </w:p>
        </w:tc>
        <w:tc>
          <w:tcPr>
            <w:tcW w:w="422" w:type="pct"/>
            <w:shd w:val="clear" w:color="auto" w:fill="auto"/>
            <w:noWrap/>
            <w:vAlign w:val="center"/>
            <w:hideMark/>
          </w:tcPr>
          <w:p w14:paraId="72253DF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50</w:t>
            </w:r>
          </w:p>
        </w:tc>
        <w:tc>
          <w:tcPr>
            <w:tcW w:w="701" w:type="pct"/>
            <w:shd w:val="clear" w:color="auto" w:fill="auto"/>
            <w:noWrap/>
            <w:vAlign w:val="center"/>
            <w:hideMark/>
          </w:tcPr>
          <w:p w14:paraId="19C790BD" w14:textId="52C4100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FTN + PROP/MDZ + PROP/MDZ + FTN + PROP</w:t>
            </w:r>
          </w:p>
        </w:tc>
        <w:tc>
          <w:tcPr>
            <w:tcW w:w="419" w:type="pct"/>
            <w:shd w:val="clear" w:color="auto" w:fill="auto"/>
            <w:noWrap/>
            <w:vAlign w:val="center"/>
            <w:hideMark/>
          </w:tcPr>
          <w:p w14:paraId="18087250"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150</w:t>
            </w:r>
          </w:p>
        </w:tc>
        <w:tc>
          <w:tcPr>
            <w:tcW w:w="701" w:type="pct"/>
            <w:shd w:val="clear" w:color="auto" w:fill="auto"/>
            <w:noWrap/>
            <w:vAlign w:val="center"/>
            <w:hideMark/>
          </w:tcPr>
          <w:p w14:paraId="17161DC3"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Colonoscopy</w:t>
            </w:r>
          </w:p>
        </w:tc>
        <w:tc>
          <w:tcPr>
            <w:tcW w:w="327" w:type="pct"/>
            <w:shd w:val="clear" w:color="auto" w:fill="auto"/>
            <w:noWrap/>
            <w:vAlign w:val="center"/>
            <w:hideMark/>
          </w:tcPr>
          <w:p w14:paraId="46808C3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3</w:t>
            </w:r>
          </w:p>
        </w:tc>
      </w:tr>
      <w:tr w:rsidR="005053BA" w:rsidRPr="00681A25" w14:paraId="12D399EC" w14:textId="77777777" w:rsidTr="00BF0F41">
        <w:trPr>
          <w:trHeight w:val="285"/>
        </w:trPr>
        <w:tc>
          <w:tcPr>
            <w:tcW w:w="422" w:type="pct"/>
            <w:shd w:val="clear" w:color="auto" w:fill="auto"/>
            <w:noWrap/>
            <w:vAlign w:val="center"/>
            <w:hideMark/>
          </w:tcPr>
          <w:p w14:paraId="73E70903" w14:textId="47E781AC"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Fanti</w:t>
            </w:r>
          </w:p>
        </w:tc>
        <w:tc>
          <w:tcPr>
            <w:tcW w:w="326" w:type="pct"/>
          </w:tcPr>
          <w:p w14:paraId="54F751AD" w14:textId="4D6775FC"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[41]</w:t>
            </w:r>
          </w:p>
        </w:tc>
        <w:tc>
          <w:tcPr>
            <w:tcW w:w="420" w:type="pct"/>
            <w:shd w:val="clear" w:color="auto" w:fill="auto"/>
            <w:noWrap/>
            <w:vAlign w:val="center"/>
            <w:hideMark/>
          </w:tcPr>
          <w:p w14:paraId="0151AC3C" w14:textId="54C998CA"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Italy</w:t>
            </w:r>
          </w:p>
        </w:tc>
        <w:tc>
          <w:tcPr>
            <w:tcW w:w="327" w:type="pct"/>
            <w:shd w:val="clear" w:color="auto" w:fill="auto"/>
            <w:noWrap/>
            <w:vAlign w:val="center"/>
            <w:hideMark/>
          </w:tcPr>
          <w:p w14:paraId="35491BB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2007</w:t>
            </w:r>
          </w:p>
        </w:tc>
        <w:tc>
          <w:tcPr>
            <w:tcW w:w="375" w:type="pct"/>
            <w:shd w:val="clear" w:color="auto" w:fill="auto"/>
            <w:noWrap/>
            <w:vAlign w:val="center"/>
            <w:hideMark/>
          </w:tcPr>
          <w:p w14:paraId="50BA065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270</w:t>
            </w:r>
          </w:p>
        </w:tc>
        <w:tc>
          <w:tcPr>
            <w:tcW w:w="559" w:type="pct"/>
            <w:shd w:val="clear" w:color="auto" w:fill="auto"/>
            <w:noWrap/>
            <w:hideMark/>
          </w:tcPr>
          <w:p w14:paraId="0B9307ED" w14:textId="325D00E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754E5C">
              <w:rPr>
                <w:rFonts w:ascii="Book Antiqua" w:eastAsia="等线" w:hAnsi="Book Antiqua" w:cs="宋体"/>
                <w:sz w:val="24"/>
                <w:szCs w:val="24"/>
                <w:lang w:eastAsia="zh-CN"/>
              </w:rPr>
              <w:t xml:space="preserve">PROP </w:t>
            </w:r>
          </w:p>
        </w:tc>
        <w:tc>
          <w:tcPr>
            <w:tcW w:w="422" w:type="pct"/>
            <w:shd w:val="clear" w:color="auto" w:fill="auto"/>
            <w:noWrap/>
            <w:vAlign w:val="center"/>
            <w:hideMark/>
          </w:tcPr>
          <w:p w14:paraId="22A3BAB5"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135</w:t>
            </w:r>
          </w:p>
        </w:tc>
        <w:tc>
          <w:tcPr>
            <w:tcW w:w="701" w:type="pct"/>
            <w:shd w:val="clear" w:color="auto" w:fill="auto"/>
            <w:noWrap/>
            <w:vAlign w:val="center"/>
            <w:hideMark/>
          </w:tcPr>
          <w:p w14:paraId="7E3E80A6" w14:textId="0F69028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MDZ</w:t>
            </w:r>
          </w:p>
        </w:tc>
        <w:tc>
          <w:tcPr>
            <w:tcW w:w="419" w:type="pct"/>
            <w:shd w:val="clear" w:color="auto" w:fill="auto"/>
            <w:noWrap/>
            <w:vAlign w:val="center"/>
            <w:hideMark/>
          </w:tcPr>
          <w:p w14:paraId="3EDA6AC6"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135</w:t>
            </w:r>
          </w:p>
        </w:tc>
        <w:tc>
          <w:tcPr>
            <w:tcW w:w="701" w:type="pct"/>
            <w:shd w:val="clear" w:color="auto" w:fill="auto"/>
            <w:noWrap/>
            <w:vAlign w:val="center"/>
            <w:hideMark/>
          </w:tcPr>
          <w:p w14:paraId="5C3EFB2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EUS</w:t>
            </w:r>
          </w:p>
        </w:tc>
        <w:tc>
          <w:tcPr>
            <w:tcW w:w="327" w:type="pct"/>
            <w:shd w:val="clear" w:color="auto" w:fill="auto"/>
            <w:noWrap/>
            <w:vAlign w:val="center"/>
            <w:hideMark/>
          </w:tcPr>
          <w:p w14:paraId="7736F7F6"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26717760" w14:textId="77777777" w:rsidTr="00BF0F41">
        <w:trPr>
          <w:trHeight w:val="285"/>
        </w:trPr>
        <w:tc>
          <w:tcPr>
            <w:tcW w:w="422" w:type="pct"/>
            <w:shd w:val="clear" w:color="auto" w:fill="auto"/>
            <w:noWrap/>
            <w:vAlign w:val="center"/>
            <w:hideMark/>
          </w:tcPr>
          <w:p w14:paraId="5AC4A875" w14:textId="53DFCA9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Dewitt</w:t>
            </w:r>
          </w:p>
        </w:tc>
        <w:tc>
          <w:tcPr>
            <w:tcW w:w="326" w:type="pct"/>
          </w:tcPr>
          <w:p w14:paraId="779981B7" w14:textId="5AC885D0"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[43]</w:t>
            </w:r>
          </w:p>
        </w:tc>
        <w:tc>
          <w:tcPr>
            <w:tcW w:w="420" w:type="pct"/>
            <w:shd w:val="clear" w:color="auto" w:fill="auto"/>
            <w:noWrap/>
            <w:vAlign w:val="center"/>
            <w:hideMark/>
          </w:tcPr>
          <w:p w14:paraId="457F7369" w14:textId="2F0540F3"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USA</w:t>
            </w:r>
          </w:p>
        </w:tc>
        <w:tc>
          <w:tcPr>
            <w:tcW w:w="327" w:type="pct"/>
            <w:shd w:val="clear" w:color="auto" w:fill="auto"/>
            <w:noWrap/>
            <w:vAlign w:val="center"/>
            <w:hideMark/>
          </w:tcPr>
          <w:p w14:paraId="457B53F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2008</w:t>
            </w:r>
          </w:p>
        </w:tc>
        <w:tc>
          <w:tcPr>
            <w:tcW w:w="375" w:type="pct"/>
            <w:shd w:val="clear" w:color="auto" w:fill="auto"/>
            <w:noWrap/>
            <w:vAlign w:val="center"/>
            <w:hideMark/>
          </w:tcPr>
          <w:p w14:paraId="275210B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80</w:t>
            </w:r>
          </w:p>
        </w:tc>
        <w:tc>
          <w:tcPr>
            <w:tcW w:w="559" w:type="pct"/>
            <w:shd w:val="clear" w:color="auto" w:fill="auto"/>
            <w:noWrap/>
            <w:hideMark/>
          </w:tcPr>
          <w:p w14:paraId="1258F7DB" w14:textId="4EA39DFE"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754E5C">
              <w:rPr>
                <w:rFonts w:ascii="Book Antiqua" w:eastAsia="等线" w:hAnsi="Book Antiqua" w:cs="宋体"/>
                <w:sz w:val="24"/>
                <w:szCs w:val="24"/>
                <w:lang w:eastAsia="zh-CN"/>
              </w:rPr>
              <w:t xml:space="preserve">PROP </w:t>
            </w:r>
          </w:p>
        </w:tc>
        <w:tc>
          <w:tcPr>
            <w:tcW w:w="422" w:type="pct"/>
            <w:shd w:val="clear" w:color="auto" w:fill="auto"/>
            <w:noWrap/>
            <w:vAlign w:val="center"/>
            <w:hideMark/>
          </w:tcPr>
          <w:p w14:paraId="7A295430"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40</w:t>
            </w:r>
          </w:p>
        </w:tc>
        <w:tc>
          <w:tcPr>
            <w:tcW w:w="701" w:type="pct"/>
            <w:shd w:val="clear" w:color="auto" w:fill="auto"/>
            <w:noWrap/>
            <w:vAlign w:val="center"/>
            <w:hideMark/>
          </w:tcPr>
          <w:p w14:paraId="1E8FA82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0832BD9B"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40</w:t>
            </w:r>
          </w:p>
        </w:tc>
        <w:tc>
          <w:tcPr>
            <w:tcW w:w="701" w:type="pct"/>
            <w:shd w:val="clear" w:color="auto" w:fill="auto"/>
            <w:noWrap/>
            <w:vAlign w:val="center"/>
            <w:hideMark/>
          </w:tcPr>
          <w:p w14:paraId="1DA0AA3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EUS</w:t>
            </w:r>
          </w:p>
        </w:tc>
        <w:tc>
          <w:tcPr>
            <w:tcW w:w="327" w:type="pct"/>
            <w:shd w:val="clear" w:color="auto" w:fill="auto"/>
            <w:noWrap/>
            <w:vAlign w:val="center"/>
            <w:hideMark/>
          </w:tcPr>
          <w:p w14:paraId="37ADED32"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33C2BBAB" w14:textId="77777777" w:rsidTr="00BF0F41">
        <w:trPr>
          <w:trHeight w:val="285"/>
        </w:trPr>
        <w:tc>
          <w:tcPr>
            <w:tcW w:w="422" w:type="pct"/>
            <w:shd w:val="clear" w:color="auto" w:fill="auto"/>
            <w:noWrap/>
            <w:vAlign w:val="center"/>
            <w:hideMark/>
          </w:tcPr>
          <w:p w14:paraId="69FD5A0A" w14:textId="1A3CCA25"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Kongkam</w:t>
            </w:r>
          </w:p>
        </w:tc>
        <w:tc>
          <w:tcPr>
            <w:tcW w:w="326" w:type="pct"/>
          </w:tcPr>
          <w:p w14:paraId="737C31ED" w14:textId="4C8D2404"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[42]</w:t>
            </w:r>
          </w:p>
        </w:tc>
        <w:tc>
          <w:tcPr>
            <w:tcW w:w="420" w:type="pct"/>
            <w:shd w:val="clear" w:color="auto" w:fill="auto"/>
            <w:noWrap/>
            <w:vAlign w:val="center"/>
            <w:hideMark/>
          </w:tcPr>
          <w:p w14:paraId="37742C5E" w14:textId="571248B5"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Thailand</w:t>
            </w:r>
          </w:p>
        </w:tc>
        <w:tc>
          <w:tcPr>
            <w:tcW w:w="327" w:type="pct"/>
            <w:shd w:val="clear" w:color="auto" w:fill="auto"/>
            <w:noWrap/>
            <w:vAlign w:val="center"/>
            <w:hideMark/>
          </w:tcPr>
          <w:p w14:paraId="7ED6D9D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2008</w:t>
            </w:r>
          </w:p>
        </w:tc>
        <w:tc>
          <w:tcPr>
            <w:tcW w:w="375" w:type="pct"/>
            <w:shd w:val="clear" w:color="auto" w:fill="auto"/>
            <w:noWrap/>
            <w:vAlign w:val="center"/>
            <w:hideMark/>
          </w:tcPr>
          <w:p w14:paraId="137079E2"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134</w:t>
            </w:r>
          </w:p>
        </w:tc>
        <w:tc>
          <w:tcPr>
            <w:tcW w:w="559" w:type="pct"/>
            <w:shd w:val="clear" w:color="auto" w:fill="auto"/>
            <w:noWrap/>
            <w:hideMark/>
          </w:tcPr>
          <w:p w14:paraId="5D0085FA" w14:textId="377A9368"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754E5C">
              <w:rPr>
                <w:rFonts w:ascii="Book Antiqua" w:eastAsia="等线" w:hAnsi="Book Antiqua" w:cs="宋体"/>
                <w:sz w:val="24"/>
                <w:szCs w:val="24"/>
                <w:lang w:eastAsia="zh-CN"/>
              </w:rPr>
              <w:t xml:space="preserve">PROP </w:t>
            </w:r>
          </w:p>
        </w:tc>
        <w:tc>
          <w:tcPr>
            <w:tcW w:w="422" w:type="pct"/>
            <w:shd w:val="clear" w:color="auto" w:fill="auto"/>
            <w:noWrap/>
            <w:vAlign w:val="center"/>
            <w:hideMark/>
          </w:tcPr>
          <w:p w14:paraId="7820AE7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67</w:t>
            </w:r>
          </w:p>
        </w:tc>
        <w:tc>
          <w:tcPr>
            <w:tcW w:w="701" w:type="pct"/>
            <w:shd w:val="clear" w:color="auto" w:fill="auto"/>
            <w:noWrap/>
            <w:vAlign w:val="center"/>
            <w:hideMark/>
          </w:tcPr>
          <w:p w14:paraId="18D22BF4"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51ECFAF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67</w:t>
            </w:r>
          </w:p>
        </w:tc>
        <w:tc>
          <w:tcPr>
            <w:tcW w:w="701" w:type="pct"/>
            <w:shd w:val="clear" w:color="auto" w:fill="auto"/>
            <w:noWrap/>
            <w:vAlign w:val="center"/>
            <w:hideMark/>
          </w:tcPr>
          <w:p w14:paraId="0B63DE73"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ERCP</w:t>
            </w:r>
          </w:p>
        </w:tc>
        <w:tc>
          <w:tcPr>
            <w:tcW w:w="327" w:type="pct"/>
            <w:shd w:val="clear" w:color="auto" w:fill="auto"/>
            <w:noWrap/>
            <w:vAlign w:val="center"/>
            <w:hideMark/>
          </w:tcPr>
          <w:p w14:paraId="11598EA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w:t>
            </w:r>
          </w:p>
        </w:tc>
      </w:tr>
      <w:tr w:rsidR="005053BA" w:rsidRPr="00681A25" w14:paraId="473869FA" w14:textId="77777777" w:rsidTr="00BF0F41">
        <w:trPr>
          <w:trHeight w:val="285"/>
        </w:trPr>
        <w:tc>
          <w:tcPr>
            <w:tcW w:w="422" w:type="pct"/>
            <w:shd w:val="clear" w:color="auto" w:fill="auto"/>
            <w:noWrap/>
            <w:vAlign w:val="center"/>
            <w:hideMark/>
          </w:tcPr>
          <w:p w14:paraId="50A65388" w14:textId="57F23CC1"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Schilling</w:t>
            </w:r>
          </w:p>
        </w:tc>
        <w:tc>
          <w:tcPr>
            <w:tcW w:w="326" w:type="pct"/>
          </w:tcPr>
          <w:p w14:paraId="17765163" w14:textId="2B89F16E"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[44]</w:t>
            </w:r>
          </w:p>
        </w:tc>
        <w:tc>
          <w:tcPr>
            <w:tcW w:w="420" w:type="pct"/>
            <w:shd w:val="clear" w:color="auto" w:fill="auto"/>
            <w:noWrap/>
            <w:vAlign w:val="center"/>
            <w:hideMark/>
          </w:tcPr>
          <w:p w14:paraId="17DF5C07" w14:textId="7E9439B2"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Germany</w:t>
            </w:r>
          </w:p>
        </w:tc>
        <w:tc>
          <w:tcPr>
            <w:tcW w:w="327" w:type="pct"/>
            <w:shd w:val="clear" w:color="auto" w:fill="auto"/>
            <w:noWrap/>
            <w:vAlign w:val="center"/>
            <w:hideMark/>
          </w:tcPr>
          <w:p w14:paraId="6EDA474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2009</w:t>
            </w:r>
          </w:p>
        </w:tc>
        <w:tc>
          <w:tcPr>
            <w:tcW w:w="375" w:type="pct"/>
            <w:shd w:val="clear" w:color="auto" w:fill="auto"/>
            <w:noWrap/>
            <w:vAlign w:val="center"/>
            <w:hideMark/>
          </w:tcPr>
          <w:p w14:paraId="46EDDE6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150</w:t>
            </w:r>
          </w:p>
        </w:tc>
        <w:tc>
          <w:tcPr>
            <w:tcW w:w="559" w:type="pct"/>
            <w:shd w:val="clear" w:color="auto" w:fill="auto"/>
            <w:noWrap/>
            <w:hideMark/>
          </w:tcPr>
          <w:p w14:paraId="2E7A5E01" w14:textId="66A92F9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754E5C">
              <w:rPr>
                <w:rFonts w:ascii="Book Antiqua" w:eastAsia="等线" w:hAnsi="Book Antiqua" w:cs="宋体"/>
                <w:sz w:val="24"/>
                <w:szCs w:val="24"/>
                <w:lang w:eastAsia="zh-CN"/>
              </w:rPr>
              <w:t xml:space="preserve">PROP </w:t>
            </w:r>
          </w:p>
        </w:tc>
        <w:tc>
          <w:tcPr>
            <w:tcW w:w="422" w:type="pct"/>
            <w:shd w:val="clear" w:color="auto" w:fill="auto"/>
            <w:noWrap/>
            <w:vAlign w:val="center"/>
            <w:hideMark/>
          </w:tcPr>
          <w:p w14:paraId="27750982"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75</w:t>
            </w:r>
          </w:p>
        </w:tc>
        <w:tc>
          <w:tcPr>
            <w:tcW w:w="701" w:type="pct"/>
            <w:shd w:val="clear" w:color="auto" w:fill="auto"/>
            <w:noWrap/>
            <w:vAlign w:val="center"/>
            <w:hideMark/>
          </w:tcPr>
          <w:p w14:paraId="4FFA7C1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57778394"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75</w:t>
            </w:r>
          </w:p>
        </w:tc>
        <w:tc>
          <w:tcPr>
            <w:tcW w:w="701" w:type="pct"/>
            <w:shd w:val="clear" w:color="auto" w:fill="auto"/>
            <w:noWrap/>
            <w:vAlign w:val="center"/>
            <w:hideMark/>
          </w:tcPr>
          <w:p w14:paraId="1EFF9CF5"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ERCP/EUS/Enteroscopy</w:t>
            </w:r>
          </w:p>
        </w:tc>
        <w:tc>
          <w:tcPr>
            <w:tcW w:w="327" w:type="pct"/>
            <w:shd w:val="clear" w:color="auto" w:fill="auto"/>
            <w:noWrap/>
            <w:vAlign w:val="center"/>
            <w:hideMark/>
          </w:tcPr>
          <w:p w14:paraId="4F3534D3"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4D090051" w14:textId="77777777" w:rsidTr="00BF0F41">
        <w:trPr>
          <w:trHeight w:val="285"/>
        </w:trPr>
        <w:tc>
          <w:tcPr>
            <w:tcW w:w="422" w:type="pct"/>
            <w:shd w:val="clear" w:color="auto" w:fill="auto"/>
            <w:noWrap/>
            <w:vAlign w:val="center"/>
            <w:hideMark/>
          </w:tcPr>
          <w:p w14:paraId="5A46882A" w14:textId="5899BB74"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lastRenderedPageBreak/>
              <w:t>Pascual</w:t>
            </w:r>
          </w:p>
        </w:tc>
        <w:tc>
          <w:tcPr>
            <w:tcW w:w="326" w:type="pct"/>
          </w:tcPr>
          <w:p w14:paraId="3E2A2A1B" w14:textId="2F5CF876"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[25]</w:t>
            </w:r>
          </w:p>
        </w:tc>
        <w:tc>
          <w:tcPr>
            <w:tcW w:w="420" w:type="pct"/>
            <w:shd w:val="clear" w:color="auto" w:fill="auto"/>
            <w:noWrap/>
            <w:vAlign w:val="center"/>
            <w:hideMark/>
          </w:tcPr>
          <w:p w14:paraId="5EE2A61F" w14:textId="311CEFD9"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Cuba</w:t>
            </w:r>
          </w:p>
        </w:tc>
        <w:tc>
          <w:tcPr>
            <w:tcW w:w="327" w:type="pct"/>
            <w:shd w:val="clear" w:color="auto" w:fill="auto"/>
            <w:noWrap/>
            <w:vAlign w:val="center"/>
            <w:hideMark/>
          </w:tcPr>
          <w:p w14:paraId="380BDE8F"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2011</w:t>
            </w:r>
          </w:p>
        </w:tc>
        <w:tc>
          <w:tcPr>
            <w:tcW w:w="375" w:type="pct"/>
            <w:shd w:val="clear" w:color="auto" w:fill="auto"/>
            <w:noWrap/>
            <w:vAlign w:val="center"/>
            <w:hideMark/>
          </w:tcPr>
          <w:p w14:paraId="3A65F1F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512</w:t>
            </w:r>
          </w:p>
        </w:tc>
        <w:tc>
          <w:tcPr>
            <w:tcW w:w="559" w:type="pct"/>
            <w:shd w:val="clear" w:color="auto" w:fill="auto"/>
            <w:noWrap/>
            <w:vAlign w:val="center"/>
            <w:hideMark/>
          </w:tcPr>
          <w:p w14:paraId="740128CF" w14:textId="1528F8EE"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6B878C5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256</w:t>
            </w:r>
          </w:p>
        </w:tc>
        <w:tc>
          <w:tcPr>
            <w:tcW w:w="701" w:type="pct"/>
            <w:shd w:val="clear" w:color="auto" w:fill="auto"/>
            <w:noWrap/>
            <w:vAlign w:val="center"/>
            <w:hideMark/>
          </w:tcPr>
          <w:p w14:paraId="4A203BF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51A9B33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256</w:t>
            </w:r>
          </w:p>
        </w:tc>
        <w:tc>
          <w:tcPr>
            <w:tcW w:w="701" w:type="pct"/>
            <w:shd w:val="clear" w:color="auto" w:fill="auto"/>
            <w:noWrap/>
            <w:vAlign w:val="center"/>
            <w:hideMark/>
          </w:tcPr>
          <w:p w14:paraId="764D5D8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Colonoscopy</w:t>
            </w:r>
          </w:p>
        </w:tc>
        <w:tc>
          <w:tcPr>
            <w:tcW w:w="327" w:type="pct"/>
            <w:shd w:val="clear" w:color="auto" w:fill="auto"/>
            <w:noWrap/>
            <w:vAlign w:val="center"/>
            <w:hideMark/>
          </w:tcPr>
          <w:p w14:paraId="110A23B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w:t>
            </w:r>
          </w:p>
        </w:tc>
      </w:tr>
      <w:tr w:rsidR="005053BA" w:rsidRPr="00681A25" w14:paraId="26BF00B1" w14:textId="77777777" w:rsidTr="00BF0F41">
        <w:trPr>
          <w:trHeight w:val="285"/>
        </w:trPr>
        <w:tc>
          <w:tcPr>
            <w:tcW w:w="422" w:type="pct"/>
            <w:shd w:val="clear" w:color="auto" w:fill="auto"/>
            <w:noWrap/>
            <w:vAlign w:val="center"/>
            <w:hideMark/>
          </w:tcPr>
          <w:p w14:paraId="6D5DFF49" w14:textId="06316DA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Lee</w:t>
            </w:r>
          </w:p>
        </w:tc>
        <w:tc>
          <w:tcPr>
            <w:tcW w:w="326" w:type="pct"/>
          </w:tcPr>
          <w:p w14:paraId="352DC1F7" w14:textId="063EB70E"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[24]</w:t>
            </w:r>
          </w:p>
        </w:tc>
        <w:tc>
          <w:tcPr>
            <w:tcW w:w="420" w:type="pct"/>
            <w:shd w:val="clear" w:color="auto" w:fill="auto"/>
            <w:noWrap/>
            <w:vAlign w:val="center"/>
            <w:hideMark/>
          </w:tcPr>
          <w:p w14:paraId="4A1787E2" w14:textId="729E123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Korea</w:t>
            </w:r>
          </w:p>
        </w:tc>
        <w:tc>
          <w:tcPr>
            <w:tcW w:w="327" w:type="pct"/>
            <w:shd w:val="clear" w:color="auto" w:fill="auto"/>
            <w:noWrap/>
            <w:vAlign w:val="center"/>
            <w:hideMark/>
          </w:tcPr>
          <w:p w14:paraId="03C4C664"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2011</w:t>
            </w:r>
          </w:p>
        </w:tc>
        <w:tc>
          <w:tcPr>
            <w:tcW w:w="375" w:type="pct"/>
            <w:shd w:val="clear" w:color="auto" w:fill="auto"/>
            <w:noWrap/>
            <w:vAlign w:val="center"/>
            <w:hideMark/>
          </w:tcPr>
          <w:p w14:paraId="2EFBA346"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222</w:t>
            </w:r>
          </w:p>
        </w:tc>
        <w:tc>
          <w:tcPr>
            <w:tcW w:w="559" w:type="pct"/>
            <w:shd w:val="clear" w:color="auto" w:fill="auto"/>
            <w:noWrap/>
            <w:vAlign w:val="center"/>
            <w:hideMark/>
          </w:tcPr>
          <w:p w14:paraId="06B39012" w14:textId="0D2F713C"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MDZ + MEP</w:t>
            </w:r>
          </w:p>
        </w:tc>
        <w:tc>
          <w:tcPr>
            <w:tcW w:w="422" w:type="pct"/>
            <w:shd w:val="clear" w:color="auto" w:fill="auto"/>
            <w:noWrap/>
            <w:vAlign w:val="center"/>
            <w:hideMark/>
          </w:tcPr>
          <w:p w14:paraId="31AABBA3"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102</w:t>
            </w:r>
          </w:p>
        </w:tc>
        <w:tc>
          <w:tcPr>
            <w:tcW w:w="701" w:type="pct"/>
            <w:shd w:val="clear" w:color="auto" w:fill="auto"/>
            <w:noWrap/>
            <w:vAlign w:val="center"/>
            <w:hideMark/>
          </w:tcPr>
          <w:p w14:paraId="7DED1F6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0CDB6FD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104</w:t>
            </w:r>
          </w:p>
        </w:tc>
        <w:tc>
          <w:tcPr>
            <w:tcW w:w="701" w:type="pct"/>
            <w:shd w:val="clear" w:color="auto" w:fill="auto"/>
            <w:noWrap/>
            <w:vAlign w:val="center"/>
            <w:hideMark/>
          </w:tcPr>
          <w:p w14:paraId="595D68E2"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Endoscopy/ERCP</w:t>
            </w:r>
          </w:p>
        </w:tc>
        <w:tc>
          <w:tcPr>
            <w:tcW w:w="327" w:type="pct"/>
            <w:shd w:val="clear" w:color="auto" w:fill="auto"/>
            <w:noWrap/>
            <w:vAlign w:val="center"/>
            <w:hideMark/>
          </w:tcPr>
          <w:p w14:paraId="6F8D9CA3"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1661C720" w14:textId="77777777" w:rsidTr="00BF0F41">
        <w:trPr>
          <w:trHeight w:val="285"/>
        </w:trPr>
        <w:tc>
          <w:tcPr>
            <w:tcW w:w="422" w:type="pct"/>
            <w:shd w:val="clear" w:color="auto" w:fill="auto"/>
            <w:noWrap/>
            <w:vAlign w:val="center"/>
            <w:hideMark/>
          </w:tcPr>
          <w:p w14:paraId="088A5A4D" w14:textId="6A470DC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Chun</w:t>
            </w:r>
          </w:p>
        </w:tc>
        <w:tc>
          <w:tcPr>
            <w:tcW w:w="326" w:type="pct"/>
          </w:tcPr>
          <w:p w14:paraId="68CE17D9" w14:textId="47B34779"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[30]</w:t>
            </w:r>
          </w:p>
        </w:tc>
        <w:tc>
          <w:tcPr>
            <w:tcW w:w="420" w:type="pct"/>
            <w:shd w:val="clear" w:color="auto" w:fill="auto"/>
            <w:noWrap/>
            <w:vAlign w:val="center"/>
            <w:hideMark/>
          </w:tcPr>
          <w:p w14:paraId="3EB6E0D6" w14:textId="3776EF7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Korea</w:t>
            </w:r>
          </w:p>
        </w:tc>
        <w:tc>
          <w:tcPr>
            <w:tcW w:w="327" w:type="pct"/>
            <w:shd w:val="clear" w:color="auto" w:fill="auto"/>
            <w:noWrap/>
            <w:vAlign w:val="center"/>
            <w:hideMark/>
          </w:tcPr>
          <w:p w14:paraId="08DC59A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2012</w:t>
            </w:r>
          </w:p>
        </w:tc>
        <w:tc>
          <w:tcPr>
            <w:tcW w:w="375" w:type="pct"/>
            <w:shd w:val="clear" w:color="auto" w:fill="auto"/>
            <w:noWrap/>
            <w:vAlign w:val="center"/>
            <w:hideMark/>
          </w:tcPr>
          <w:p w14:paraId="0868CC7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135</w:t>
            </w:r>
          </w:p>
        </w:tc>
        <w:tc>
          <w:tcPr>
            <w:tcW w:w="559" w:type="pct"/>
            <w:shd w:val="clear" w:color="auto" w:fill="auto"/>
            <w:noWrap/>
            <w:vAlign w:val="center"/>
            <w:hideMark/>
          </w:tcPr>
          <w:p w14:paraId="3779A94F" w14:textId="5A8F2DB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516103A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67</w:t>
            </w:r>
          </w:p>
        </w:tc>
        <w:tc>
          <w:tcPr>
            <w:tcW w:w="701" w:type="pct"/>
            <w:shd w:val="clear" w:color="auto" w:fill="auto"/>
            <w:noWrap/>
            <w:vAlign w:val="center"/>
            <w:hideMark/>
          </w:tcPr>
          <w:p w14:paraId="11D51FB7" w14:textId="3FE1390C"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MDZ</w:t>
            </w:r>
          </w:p>
        </w:tc>
        <w:tc>
          <w:tcPr>
            <w:tcW w:w="419" w:type="pct"/>
            <w:shd w:val="clear" w:color="auto" w:fill="auto"/>
            <w:noWrap/>
            <w:vAlign w:val="center"/>
            <w:hideMark/>
          </w:tcPr>
          <w:p w14:paraId="382E7C5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68</w:t>
            </w:r>
          </w:p>
        </w:tc>
        <w:tc>
          <w:tcPr>
            <w:tcW w:w="701" w:type="pct"/>
            <w:shd w:val="clear" w:color="auto" w:fill="auto"/>
            <w:noWrap/>
            <w:vAlign w:val="center"/>
            <w:hideMark/>
          </w:tcPr>
          <w:p w14:paraId="6A6596D5"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Stomach ESD</w:t>
            </w:r>
          </w:p>
        </w:tc>
        <w:tc>
          <w:tcPr>
            <w:tcW w:w="327" w:type="pct"/>
            <w:shd w:val="clear" w:color="auto" w:fill="auto"/>
            <w:noWrap/>
            <w:vAlign w:val="center"/>
            <w:hideMark/>
          </w:tcPr>
          <w:p w14:paraId="5658592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3</w:t>
            </w:r>
          </w:p>
        </w:tc>
      </w:tr>
      <w:tr w:rsidR="005053BA" w:rsidRPr="00681A25" w14:paraId="20320E46" w14:textId="77777777" w:rsidTr="00BF0F41">
        <w:trPr>
          <w:trHeight w:val="285"/>
        </w:trPr>
        <w:tc>
          <w:tcPr>
            <w:tcW w:w="422" w:type="pct"/>
            <w:shd w:val="clear" w:color="auto" w:fill="auto"/>
            <w:noWrap/>
            <w:vAlign w:val="center"/>
            <w:hideMark/>
          </w:tcPr>
          <w:p w14:paraId="4020DDCF" w14:textId="1ADB96D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Angsuwatcharakon</w:t>
            </w:r>
          </w:p>
        </w:tc>
        <w:tc>
          <w:tcPr>
            <w:tcW w:w="326" w:type="pct"/>
          </w:tcPr>
          <w:p w14:paraId="5579D271" w14:textId="4F768450"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[29]</w:t>
            </w:r>
          </w:p>
        </w:tc>
        <w:tc>
          <w:tcPr>
            <w:tcW w:w="420" w:type="pct"/>
            <w:shd w:val="clear" w:color="auto" w:fill="auto"/>
            <w:noWrap/>
            <w:vAlign w:val="center"/>
            <w:hideMark/>
          </w:tcPr>
          <w:p w14:paraId="47EA171B" w14:textId="4575DBB0"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Thailand</w:t>
            </w:r>
          </w:p>
        </w:tc>
        <w:tc>
          <w:tcPr>
            <w:tcW w:w="327" w:type="pct"/>
            <w:shd w:val="clear" w:color="auto" w:fill="auto"/>
            <w:noWrap/>
            <w:vAlign w:val="center"/>
            <w:hideMark/>
          </w:tcPr>
          <w:p w14:paraId="7A853687"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2012</w:t>
            </w:r>
          </w:p>
        </w:tc>
        <w:tc>
          <w:tcPr>
            <w:tcW w:w="375" w:type="pct"/>
            <w:shd w:val="clear" w:color="auto" w:fill="auto"/>
            <w:noWrap/>
            <w:vAlign w:val="center"/>
            <w:hideMark/>
          </w:tcPr>
          <w:p w14:paraId="6389E36F"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205</w:t>
            </w:r>
          </w:p>
        </w:tc>
        <w:tc>
          <w:tcPr>
            <w:tcW w:w="559" w:type="pct"/>
            <w:shd w:val="clear" w:color="auto" w:fill="auto"/>
            <w:noWrap/>
            <w:vAlign w:val="center"/>
            <w:hideMark/>
          </w:tcPr>
          <w:p w14:paraId="3BE7060C" w14:textId="6AFD5E65"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MDZ + MEP</w:t>
            </w:r>
          </w:p>
        </w:tc>
        <w:tc>
          <w:tcPr>
            <w:tcW w:w="422" w:type="pct"/>
            <w:shd w:val="clear" w:color="auto" w:fill="auto"/>
            <w:noWrap/>
            <w:vAlign w:val="center"/>
            <w:hideMark/>
          </w:tcPr>
          <w:p w14:paraId="28DFC357"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103</w:t>
            </w:r>
          </w:p>
        </w:tc>
        <w:tc>
          <w:tcPr>
            <w:tcW w:w="701" w:type="pct"/>
            <w:shd w:val="clear" w:color="auto" w:fill="auto"/>
            <w:noWrap/>
            <w:vAlign w:val="center"/>
            <w:hideMark/>
          </w:tcPr>
          <w:p w14:paraId="2B55B74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1265BE85"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102</w:t>
            </w:r>
          </w:p>
        </w:tc>
        <w:tc>
          <w:tcPr>
            <w:tcW w:w="701" w:type="pct"/>
            <w:shd w:val="clear" w:color="auto" w:fill="auto"/>
            <w:noWrap/>
            <w:vAlign w:val="center"/>
            <w:hideMark/>
          </w:tcPr>
          <w:p w14:paraId="644ABAF9"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ERCP</w:t>
            </w:r>
          </w:p>
        </w:tc>
        <w:tc>
          <w:tcPr>
            <w:tcW w:w="327" w:type="pct"/>
            <w:shd w:val="clear" w:color="auto" w:fill="auto"/>
            <w:noWrap/>
            <w:vAlign w:val="center"/>
            <w:hideMark/>
          </w:tcPr>
          <w:p w14:paraId="21F3C750"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3</w:t>
            </w:r>
          </w:p>
        </w:tc>
      </w:tr>
      <w:tr w:rsidR="005053BA" w:rsidRPr="00681A25" w14:paraId="4EFAB59D" w14:textId="77777777" w:rsidTr="00BF0F41">
        <w:trPr>
          <w:trHeight w:val="285"/>
        </w:trPr>
        <w:tc>
          <w:tcPr>
            <w:tcW w:w="422" w:type="pct"/>
            <w:shd w:val="clear" w:color="auto" w:fill="auto"/>
            <w:noWrap/>
            <w:vAlign w:val="center"/>
            <w:hideMark/>
          </w:tcPr>
          <w:p w14:paraId="3B5A4E79" w14:textId="720532D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Lee</w:t>
            </w:r>
          </w:p>
        </w:tc>
        <w:tc>
          <w:tcPr>
            <w:tcW w:w="326" w:type="pct"/>
          </w:tcPr>
          <w:p w14:paraId="1CA27805" w14:textId="17353D7D"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[28]</w:t>
            </w:r>
          </w:p>
        </w:tc>
        <w:tc>
          <w:tcPr>
            <w:tcW w:w="420" w:type="pct"/>
            <w:shd w:val="clear" w:color="auto" w:fill="auto"/>
            <w:noWrap/>
            <w:vAlign w:val="center"/>
            <w:hideMark/>
          </w:tcPr>
          <w:p w14:paraId="128156E5" w14:textId="31650E51" w:rsidR="00B2053F" w:rsidRPr="00681A25" w:rsidRDefault="00D521DC"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Korea</w:t>
            </w:r>
          </w:p>
        </w:tc>
        <w:tc>
          <w:tcPr>
            <w:tcW w:w="327" w:type="pct"/>
            <w:shd w:val="clear" w:color="auto" w:fill="auto"/>
            <w:noWrap/>
            <w:vAlign w:val="center"/>
            <w:hideMark/>
          </w:tcPr>
          <w:p w14:paraId="06EF47F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2012</w:t>
            </w:r>
          </w:p>
        </w:tc>
        <w:tc>
          <w:tcPr>
            <w:tcW w:w="375" w:type="pct"/>
            <w:shd w:val="clear" w:color="auto" w:fill="auto"/>
            <w:noWrap/>
            <w:vAlign w:val="center"/>
            <w:hideMark/>
          </w:tcPr>
          <w:p w14:paraId="24A9829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206</w:t>
            </w:r>
          </w:p>
        </w:tc>
        <w:tc>
          <w:tcPr>
            <w:tcW w:w="559" w:type="pct"/>
            <w:shd w:val="clear" w:color="auto" w:fill="auto"/>
            <w:noWrap/>
            <w:vAlign w:val="center"/>
            <w:hideMark/>
          </w:tcPr>
          <w:p w14:paraId="16048260" w14:textId="4EB7B9C1"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460A5F56"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104</w:t>
            </w:r>
          </w:p>
        </w:tc>
        <w:tc>
          <w:tcPr>
            <w:tcW w:w="701" w:type="pct"/>
            <w:shd w:val="clear" w:color="auto" w:fill="auto"/>
            <w:noWrap/>
            <w:vAlign w:val="center"/>
            <w:hideMark/>
          </w:tcPr>
          <w:p w14:paraId="16F84481" w14:textId="232E278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MDZ + FTN</w:t>
            </w:r>
          </w:p>
        </w:tc>
        <w:tc>
          <w:tcPr>
            <w:tcW w:w="419" w:type="pct"/>
            <w:shd w:val="clear" w:color="auto" w:fill="auto"/>
            <w:noWrap/>
            <w:vAlign w:val="center"/>
            <w:hideMark/>
          </w:tcPr>
          <w:p w14:paraId="4D68CFA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102</w:t>
            </w:r>
          </w:p>
        </w:tc>
        <w:tc>
          <w:tcPr>
            <w:tcW w:w="701" w:type="pct"/>
            <w:shd w:val="clear" w:color="auto" w:fill="auto"/>
            <w:noWrap/>
            <w:vAlign w:val="center"/>
            <w:hideMark/>
          </w:tcPr>
          <w:p w14:paraId="48F3C5E9"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ERCP/EUS</w:t>
            </w:r>
          </w:p>
        </w:tc>
        <w:tc>
          <w:tcPr>
            <w:tcW w:w="327" w:type="pct"/>
            <w:shd w:val="clear" w:color="auto" w:fill="auto"/>
            <w:noWrap/>
            <w:vAlign w:val="center"/>
            <w:hideMark/>
          </w:tcPr>
          <w:p w14:paraId="4AFC5FF9"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015AE56D" w14:textId="77777777" w:rsidTr="00BF0F41">
        <w:trPr>
          <w:trHeight w:val="285"/>
        </w:trPr>
        <w:tc>
          <w:tcPr>
            <w:tcW w:w="422" w:type="pct"/>
            <w:shd w:val="clear" w:color="auto" w:fill="auto"/>
            <w:noWrap/>
            <w:vAlign w:val="center"/>
            <w:hideMark/>
          </w:tcPr>
          <w:p w14:paraId="03161FEE" w14:textId="07DAFBDA"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Zuo</w:t>
            </w:r>
          </w:p>
        </w:tc>
        <w:tc>
          <w:tcPr>
            <w:tcW w:w="326" w:type="pct"/>
          </w:tcPr>
          <w:p w14:paraId="63F5D0C3" w14:textId="2F2C661D" w:rsidR="00B2053F" w:rsidRPr="00681A25" w:rsidRDefault="005D69F2"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[27]</w:t>
            </w:r>
          </w:p>
        </w:tc>
        <w:tc>
          <w:tcPr>
            <w:tcW w:w="420" w:type="pct"/>
            <w:shd w:val="clear" w:color="auto" w:fill="auto"/>
            <w:noWrap/>
            <w:vAlign w:val="center"/>
            <w:hideMark/>
          </w:tcPr>
          <w:p w14:paraId="02D3A36A" w14:textId="1FE309A5"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China</w:t>
            </w:r>
          </w:p>
        </w:tc>
        <w:tc>
          <w:tcPr>
            <w:tcW w:w="327" w:type="pct"/>
            <w:shd w:val="clear" w:color="auto" w:fill="auto"/>
            <w:noWrap/>
            <w:vAlign w:val="center"/>
            <w:hideMark/>
          </w:tcPr>
          <w:p w14:paraId="0C30C499"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2012</w:t>
            </w:r>
          </w:p>
        </w:tc>
        <w:tc>
          <w:tcPr>
            <w:tcW w:w="375" w:type="pct"/>
            <w:shd w:val="clear" w:color="auto" w:fill="auto"/>
            <w:noWrap/>
            <w:vAlign w:val="center"/>
            <w:hideMark/>
          </w:tcPr>
          <w:p w14:paraId="45F2D6B4"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100</w:t>
            </w:r>
          </w:p>
        </w:tc>
        <w:tc>
          <w:tcPr>
            <w:tcW w:w="559" w:type="pct"/>
            <w:shd w:val="clear" w:color="auto" w:fill="auto"/>
            <w:noWrap/>
            <w:vAlign w:val="center"/>
            <w:hideMark/>
          </w:tcPr>
          <w:p w14:paraId="1023814B" w14:textId="25C49090"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3D23C99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49</w:t>
            </w:r>
          </w:p>
        </w:tc>
        <w:tc>
          <w:tcPr>
            <w:tcW w:w="701" w:type="pct"/>
            <w:shd w:val="clear" w:color="auto" w:fill="auto"/>
            <w:noWrap/>
            <w:vAlign w:val="center"/>
            <w:hideMark/>
          </w:tcPr>
          <w:p w14:paraId="20F9EAF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FTN</w:t>
            </w:r>
          </w:p>
        </w:tc>
        <w:tc>
          <w:tcPr>
            <w:tcW w:w="419" w:type="pct"/>
            <w:shd w:val="clear" w:color="auto" w:fill="auto"/>
            <w:noWrap/>
            <w:vAlign w:val="center"/>
            <w:hideMark/>
          </w:tcPr>
          <w:p w14:paraId="2EB8E825"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51</w:t>
            </w:r>
          </w:p>
        </w:tc>
        <w:tc>
          <w:tcPr>
            <w:tcW w:w="701" w:type="pct"/>
            <w:shd w:val="clear" w:color="auto" w:fill="auto"/>
            <w:noWrap/>
            <w:vAlign w:val="center"/>
            <w:hideMark/>
          </w:tcPr>
          <w:p w14:paraId="06AE8D1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Endomicroscopy</w:t>
            </w:r>
          </w:p>
        </w:tc>
        <w:tc>
          <w:tcPr>
            <w:tcW w:w="327" w:type="pct"/>
            <w:shd w:val="clear" w:color="auto" w:fill="auto"/>
            <w:noWrap/>
            <w:vAlign w:val="center"/>
            <w:hideMark/>
          </w:tcPr>
          <w:p w14:paraId="71666C6F"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168C0765" w14:textId="77777777" w:rsidTr="00BF0F41">
        <w:trPr>
          <w:trHeight w:val="285"/>
        </w:trPr>
        <w:tc>
          <w:tcPr>
            <w:tcW w:w="422" w:type="pct"/>
            <w:shd w:val="clear" w:color="auto" w:fill="auto"/>
            <w:noWrap/>
            <w:vAlign w:val="center"/>
            <w:hideMark/>
          </w:tcPr>
          <w:p w14:paraId="172026E5" w14:textId="542C9620"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Levitzky</w:t>
            </w:r>
          </w:p>
        </w:tc>
        <w:tc>
          <w:tcPr>
            <w:tcW w:w="326" w:type="pct"/>
          </w:tcPr>
          <w:p w14:paraId="60B1279A" w14:textId="659CAE42" w:rsidR="00B2053F" w:rsidRPr="00681A25" w:rsidRDefault="005D69F2"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[26]</w:t>
            </w:r>
          </w:p>
        </w:tc>
        <w:tc>
          <w:tcPr>
            <w:tcW w:w="420" w:type="pct"/>
            <w:shd w:val="clear" w:color="auto" w:fill="auto"/>
            <w:noWrap/>
            <w:vAlign w:val="center"/>
            <w:hideMark/>
          </w:tcPr>
          <w:p w14:paraId="4780DDAF" w14:textId="6856B02A"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USA</w:t>
            </w:r>
          </w:p>
        </w:tc>
        <w:tc>
          <w:tcPr>
            <w:tcW w:w="327" w:type="pct"/>
            <w:shd w:val="clear" w:color="auto" w:fill="auto"/>
            <w:noWrap/>
            <w:vAlign w:val="center"/>
            <w:hideMark/>
          </w:tcPr>
          <w:p w14:paraId="35C55449"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2012</w:t>
            </w:r>
          </w:p>
        </w:tc>
        <w:tc>
          <w:tcPr>
            <w:tcW w:w="375" w:type="pct"/>
            <w:shd w:val="clear" w:color="auto" w:fill="auto"/>
            <w:noWrap/>
            <w:vAlign w:val="center"/>
            <w:hideMark/>
          </w:tcPr>
          <w:p w14:paraId="6E3F3E3F"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110</w:t>
            </w:r>
          </w:p>
        </w:tc>
        <w:tc>
          <w:tcPr>
            <w:tcW w:w="559" w:type="pct"/>
            <w:shd w:val="clear" w:color="auto" w:fill="auto"/>
            <w:noWrap/>
            <w:vAlign w:val="center"/>
            <w:hideMark/>
          </w:tcPr>
          <w:p w14:paraId="0B43ECE7" w14:textId="47D5B81E"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MDZ + FTN</w:t>
            </w:r>
          </w:p>
        </w:tc>
        <w:tc>
          <w:tcPr>
            <w:tcW w:w="422" w:type="pct"/>
            <w:shd w:val="clear" w:color="auto" w:fill="auto"/>
            <w:noWrap/>
            <w:vAlign w:val="center"/>
            <w:hideMark/>
          </w:tcPr>
          <w:p w14:paraId="47E410B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55</w:t>
            </w:r>
          </w:p>
        </w:tc>
        <w:tc>
          <w:tcPr>
            <w:tcW w:w="701" w:type="pct"/>
            <w:shd w:val="clear" w:color="auto" w:fill="auto"/>
            <w:noWrap/>
            <w:vAlign w:val="center"/>
            <w:hideMark/>
          </w:tcPr>
          <w:p w14:paraId="136127A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FTN</w:t>
            </w:r>
          </w:p>
        </w:tc>
        <w:tc>
          <w:tcPr>
            <w:tcW w:w="419" w:type="pct"/>
            <w:shd w:val="clear" w:color="auto" w:fill="auto"/>
            <w:noWrap/>
            <w:vAlign w:val="center"/>
            <w:hideMark/>
          </w:tcPr>
          <w:p w14:paraId="113BD55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55</w:t>
            </w:r>
          </w:p>
        </w:tc>
        <w:tc>
          <w:tcPr>
            <w:tcW w:w="701" w:type="pct"/>
            <w:shd w:val="clear" w:color="auto" w:fill="auto"/>
            <w:noWrap/>
            <w:vAlign w:val="center"/>
            <w:hideMark/>
          </w:tcPr>
          <w:p w14:paraId="3F752F7F"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Endoscopy</w:t>
            </w:r>
          </w:p>
        </w:tc>
        <w:tc>
          <w:tcPr>
            <w:tcW w:w="327" w:type="pct"/>
            <w:shd w:val="clear" w:color="auto" w:fill="auto"/>
            <w:noWrap/>
            <w:vAlign w:val="center"/>
            <w:hideMark/>
          </w:tcPr>
          <w:p w14:paraId="0DABE565"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3</w:t>
            </w:r>
          </w:p>
        </w:tc>
      </w:tr>
      <w:tr w:rsidR="005053BA" w:rsidRPr="00681A25" w14:paraId="62B2546C" w14:textId="77777777" w:rsidTr="00BF0F41">
        <w:trPr>
          <w:trHeight w:val="285"/>
        </w:trPr>
        <w:tc>
          <w:tcPr>
            <w:tcW w:w="422" w:type="pct"/>
            <w:shd w:val="clear" w:color="auto" w:fill="auto"/>
            <w:noWrap/>
            <w:vAlign w:val="center"/>
            <w:hideMark/>
          </w:tcPr>
          <w:p w14:paraId="15046DE8" w14:textId="7DDEBA34"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Gurbulak</w:t>
            </w:r>
          </w:p>
        </w:tc>
        <w:tc>
          <w:tcPr>
            <w:tcW w:w="326" w:type="pct"/>
          </w:tcPr>
          <w:p w14:paraId="1E08BD80" w14:textId="7AAF14DA" w:rsidR="00B2053F" w:rsidRPr="00681A25" w:rsidRDefault="005D69F2"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[32]</w:t>
            </w:r>
          </w:p>
        </w:tc>
        <w:tc>
          <w:tcPr>
            <w:tcW w:w="420" w:type="pct"/>
            <w:shd w:val="clear" w:color="auto" w:fill="auto"/>
            <w:noWrap/>
            <w:vAlign w:val="center"/>
            <w:hideMark/>
          </w:tcPr>
          <w:p w14:paraId="65F92A4E" w14:textId="074931D0"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Turkey</w:t>
            </w:r>
          </w:p>
        </w:tc>
        <w:tc>
          <w:tcPr>
            <w:tcW w:w="327" w:type="pct"/>
            <w:shd w:val="clear" w:color="auto" w:fill="auto"/>
            <w:noWrap/>
            <w:vAlign w:val="center"/>
            <w:hideMark/>
          </w:tcPr>
          <w:p w14:paraId="22D8E80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2014</w:t>
            </w:r>
          </w:p>
        </w:tc>
        <w:tc>
          <w:tcPr>
            <w:tcW w:w="375" w:type="pct"/>
            <w:shd w:val="clear" w:color="auto" w:fill="auto"/>
            <w:noWrap/>
            <w:vAlign w:val="center"/>
            <w:hideMark/>
          </w:tcPr>
          <w:p w14:paraId="764AFBE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124</w:t>
            </w:r>
          </w:p>
        </w:tc>
        <w:tc>
          <w:tcPr>
            <w:tcW w:w="559" w:type="pct"/>
            <w:shd w:val="clear" w:color="auto" w:fill="auto"/>
            <w:noWrap/>
            <w:vAlign w:val="center"/>
            <w:hideMark/>
          </w:tcPr>
          <w:p w14:paraId="35AEF489" w14:textId="7A6268D8"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13E7EBF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62</w:t>
            </w:r>
          </w:p>
        </w:tc>
        <w:tc>
          <w:tcPr>
            <w:tcW w:w="701" w:type="pct"/>
            <w:shd w:val="clear" w:color="auto" w:fill="auto"/>
            <w:noWrap/>
            <w:vAlign w:val="center"/>
            <w:hideMark/>
          </w:tcPr>
          <w:p w14:paraId="4354EF93"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MEP</w:t>
            </w:r>
          </w:p>
        </w:tc>
        <w:tc>
          <w:tcPr>
            <w:tcW w:w="419" w:type="pct"/>
            <w:shd w:val="clear" w:color="auto" w:fill="auto"/>
            <w:noWrap/>
            <w:vAlign w:val="center"/>
            <w:hideMark/>
          </w:tcPr>
          <w:p w14:paraId="2C77A9C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62</w:t>
            </w:r>
          </w:p>
        </w:tc>
        <w:tc>
          <w:tcPr>
            <w:tcW w:w="701" w:type="pct"/>
            <w:shd w:val="clear" w:color="auto" w:fill="auto"/>
            <w:noWrap/>
            <w:vAlign w:val="center"/>
            <w:hideMark/>
          </w:tcPr>
          <w:p w14:paraId="05B8124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Colonoscopy</w:t>
            </w:r>
          </w:p>
        </w:tc>
        <w:tc>
          <w:tcPr>
            <w:tcW w:w="327" w:type="pct"/>
            <w:shd w:val="clear" w:color="auto" w:fill="auto"/>
            <w:noWrap/>
            <w:vAlign w:val="center"/>
            <w:hideMark/>
          </w:tcPr>
          <w:p w14:paraId="01A2EED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46AB84B0" w14:textId="77777777" w:rsidTr="00BF0F41">
        <w:trPr>
          <w:trHeight w:val="285"/>
        </w:trPr>
        <w:tc>
          <w:tcPr>
            <w:tcW w:w="422" w:type="pct"/>
            <w:shd w:val="clear" w:color="auto" w:fill="auto"/>
            <w:noWrap/>
            <w:vAlign w:val="center"/>
            <w:hideMark/>
          </w:tcPr>
          <w:p w14:paraId="6E5D9FA7" w14:textId="12E65CF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Chan</w:t>
            </w:r>
          </w:p>
        </w:tc>
        <w:tc>
          <w:tcPr>
            <w:tcW w:w="326" w:type="pct"/>
          </w:tcPr>
          <w:p w14:paraId="3D336340" w14:textId="68B9FB3C" w:rsidR="00B2053F" w:rsidRPr="00681A25" w:rsidRDefault="005D69F2"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[31]</w:t>
            </w:r>
          </w:p>
        </w:tc>
        <w:tc>
          <w:tcPr>
            <w:tcW w:w="420" w:type="pct"/>
            <w:shd w:val="clear" w:color="auto" w:fill="auto"/>
            <w:noWrap/>
            <w:vAlign w:val="center"/>
            <w:hideMark/>
          </w:tcPr>
          <w:p w14:paraId="18C2CEF8" w14:textId="505A8F2C"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Taiwan</w:t>
            </w:r>
          </w:p>
        </w:tc>
        <w:tc>
          <w:tcPr>
            <w:tcW w:w="327" w:type="pct"/>
            <w:shd w:val="clear" w:color="auto" w:fill="auto"/>
            <w:noWrap/>
            <w:vAlign w:val="center"/>
            <w:hideMark/>
          </w:tcPr>
          <w:p w14:paraId="048AB8F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2014</w:t>
            </w:r>
          </w:p>
        </w:tc>
        <w:tc>
          <w:tcPr>
            <w:tcW w:w="375" w:type="pct"/>
            <w:shd w:val="clear" w:color="auto" w:fill="auto"/>
            <w:noWrap/>
            <w:vAlign w:val="center"/>
            <w:hideMark/>
          </w:tcPr>
          <w:p w14:paraId="58E6B066"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220</w:t>
            </w:r>
          </w:p>
        </w:tc>
        <w:tc>
          <w:tcPr>
            <w:tcW w:w="559" w:type="pct"/>
            <w:shd w:val="clear" w:color="auto" w:fill="auto"/>
            <w:noWrap/>
            <w:vAlign w:val="center"/>
            <w:hideMark/>
          </w:tcPr>
          <w:p w14:paraId="250A1CA3" w14:textId="0E5C1251"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0FF95C0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110</w:t>
            </w:r>
          </w:p>
        </w:tc>
        <w:tc>
          <w:tcPr>
            <w:tcW w:w="701" w:type="pct"/>
            <w:shd w:val="clear" w:color="auto" w:fill="auto"/>
            <w:noWrap/>
            <w:vAlign w:val="center"/>
            <w:hideMark/>
          </w:tcPr>
          <w:p w14:paraId="6C4D3975" w14:textId="27538A95"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MDZ + AFTN</w:t>
            </w:r>
          </w:p>
        </w:tc>
        <w:tc>
          <w:tcPr>
            <w:tcW w:w="419" w:type="pct"/>
            <w:shd w:val="clear" w:color="auto" w:fill="auto"/>
            <w:noWrap/>
            <w:vAlign w:val="center"/>
            <w:hideMark/>
          </w:tcPr>
          <w:p w14:paraId="69A23C6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110</w:t>
            </w:r>
          </w:p>
        </w:tc>
        <w:tc>
          <w:tcPr>
            <w:tcW w:w="701" w:type="pct"/>
            <w:shd w:val="clear" w:color="auto" w:fill="auto"/>
            <w:noWrap/>
            <w:vAlign w:val="center"/>
            <w:hideMark/>
          </w:tcPr>
          <w:p w14:paraId="0FF53CA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Endoscopy + colonoscopy</w:t>
            </w:r>
          </w:p>
        </w:tc>
        <w:tc>
          <w:tcPr>
            <w:tcW w:w="327" w:type="pct"/>
            <w:shd w:val="clear" w:color="auto" w:fill="auto"/>
            <w:noWrap/>
            <w:vAlign w:val="center"/>
            <w:hideMark/>
          </w:tcPr>
          <w:p w14:paraId="4E2398D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w:t>
            </w:r>
          </w:p>
        </w:tc>
      </w:tr>
      <w:tr w:rsidR="005053BA" w:rsidRPr="00681A25" w14:paraId="299E432D" w14:textId="77777777" w:rsidTr="00BF0F41">
        <w:trPr>
          <w:trHeight w:val="285"/>
        </w:trPr>
        <w:tc>
          <w:tcPr>
            <w:tcW w:w="422" w:type="pct"/>
            <w:shd w:val="clear" w:color="auto" w:fill="auto"/>
            <w:noWrap/>
            <w:vAlign w:val="center"/>
            <w:hideMark/>
          </w:tcPr>
          <w:p w14:paraId="3D0E3532" w14:textId="6CD8BA3D"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Hsu</w:t>
            </w:r>
          </w:p>
        </w:tc>
        <w:tc>
          <w:tcPr>
            <w:tcW w:w="326" w:type="pct"/>
          </w:tcPr>
          <w:p w14:paraId="2144CDD7" w14:textId="35D71ECF" w:rsidR="00B2053F" w:rsidRPr="00681A25" w:rsidRDefault="005D69F2"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[35]</w:t>
            </w:r>
          </w:p>
        </w:tc>
        <w:tc>
          <w:tcPr>
            <w:tcW w:w="420" w:type="pct"/>
            <w:shd w:val="clear" w:color="auto" w:fill="auto"/>
            <w:noWrap/>
            <w:vAlign w:val="center"/>
            <w:hideMark/>
          </w:tcPr>
          <w:p w14:paraId="651B9029" w14:textId="77736709"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Taiwan</w:t>
            </w:r>
          </w:p>
        </w:tc>
        <w:tc>
          <w:tcPr>
            <w:tcW w:w="327" w:type="pct"/>
            <w:shd w:val="clear" w:color="auto" w:fill="auto"/>
            <w:noWrap/>
            <w:vAlign w:val="center"/>
            <w:hideMark/>
          </w:tcPr>
          <w:p w14:paraId="6D765C4B"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2015</w:t>
            </w:r>
          </w:p>
        </w:tc>
        <w:tc>
          <w:tcPr>
            <w:tcW w:w="375" w:type="pct"/>
            <w:shd w:val="clear" w:color="auto" w:fill="auto"/>
            <w:noWrap/>
            <w:vAlign w:val="center"/>
            <w:hideMark/>
          </w:tcPr>
          <w:p w14:paraId="70BF9C8F"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100</w:t>
            </w:r>
          </w:p>
        </w:tc>
        <w:tc>
          <w:tcPr>
            <w:tcW w:w="559" w:type="pct"/>
            <w:shd w:val="clear" w:color="auto" w:fill="auto"/>
            <w:noWrap/>
            <w:vAlign w:val="center"/>
            <w:hideMark/>
          </w:tcPr>
          <w:p w14:paraId="01E608C6" w14:textId="54280613"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70EB39E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50</w:t>
            </w:r>
          </w:p>
        </w:tc>
        <w:tc>
          <w:tcPr>
            <w:tcW w:w="701" w:type="pct"/>
            <w:shd w:val="clear" w:color="auto" w:fill="auto"/>
            <w:noWrap/>
            <w:vAlign w:val="center"/>
            <w:hideMark/>
          </w:tcPr>
          <w:p w14:paraId="0B19C9BD" w14:textId="6B14BE5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MDZ +FTN</w:t>
            </w:r>
          </w:p>
        </w:tc>
        <w:tc>
          <w:tcPr>
            <w:tcW w:w="419" w:type="pct"/>
            <w:shd w:val="clear" w:color="auto" w:fill="auto"/>
            <w:noWrap/>
            <w:vAlign w:val="center"/>
            <w:hideMark/>
          </w:tcPr>
          <w:p w14:paraId="775D0823"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50</w:t>
            </w:r>
          </w:p>
        </w:tc>
        <w:tc>
          <w:tcPr>
            <w:tcW w:w="701" w:type="pct"/>
            <w:shd w:val="clear" w:color="auto" w:fill="auto"/>
            <w:noWrap/>
            <w:vAlign w:val="center"/>
            <w:hideMark/>
          </w:tcPr>
          <w:p w14:paraId="470E148F"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Endoscopy + colonoscopy</w:t>
            </w:r>
          </w:p>
        </w:tc>
        <w:tc>
          <w:tcPr>
            <w:tcW w:w="327" w:type="pct"/>
            <w:shd w:val="clear" w:color="auto" w:fill="auto"/>
            <w:noWrap/>
            <w:vAlign w:val="center"/>
            <w:hideMark/>
          </w:tcPr>
          <w:p w14:paraId="023796BB"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w:t>
            </w:r>
          </w:p>
        </w:tc>
      </w:tr>
      <w:tr w:rsidR="005053BA" w:rsidRPr="00681A25" w14:paraId="1DBFCF2F" w14:textId="77777777" w:rsidTr="00BF0F41">
        <w:trPr>
          <w:trHeight w:val="285"/>
        </w:trPr>
        <w:tc>
          <w:tcPr>
            <w:tcW w:w="422" w:type="pct"/>
            <w:shd w:val="clear" w:color="auto" w:fill="auto"/>
            <w:noWrap/>
            <w:vAlign w:val="center"/>
            <w:hideMark/>
          </w:tcPr>
          <w:p w14:paraId="3783D484" w14:textId="7714154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lastRenderedPageBreak/>
              <w:t>Haytural</w:t>
            </w:r>
          </w:p>
        </w:tc>
        <w:tc>
          <w:tcPr>
            <w:tcW w:w="326" w:type="pct"/>
          </w:tcPr>
          <w:p w14:paraId="0588D937" w14:textId="00A9CA15" w:rsidR="00B2053F" w:rsidRPr="00681A25" w:rsidRDefault="005D69F2"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[33]</w:t>
            </w:r>
          </w:p>
        </w:tc>
        <w:tc>
          <w:tcPr>
            <w:tcW w:w="420" w:type="pct"/>
            <w:shd w:val="clear" w:color="auto" w:fill="auto"/>
            <w:noWrap/>
            <w:vAlign w:val="center"/>
            <w:hideMark/>
          </w:tcPr>
          <w:p w14:paraId="577C9B27" w14:textId="67997776"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Turkey</w:t>
            </w:r>
          </w:p>
        </w:tc>
        <w:tc>
          <w:tcPr>
            <w:tcW w:w="327" w:type="pct"/>
            <w:shd w:val="clear" w:color="auto" w:fill="auto"/>
            <w:noWrap/>
            <w:vAlign w:val="center"/>
            <w:hideMark/>
          </w:tcPr>
          <w:p w14:paraId="625900C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2015</w:t>
            </w:r>
          </w:p>
        </w:tc>
        <w:tc>
          <w:tcPr>
            <w:tcW w:w="375" w:type="pct"/>
            <w:shd w:val="clear" w:color="auto" w:fill="auto"/>
            <w:noWrap/>
            <w:vAlign w:val="center"/>
            <w:hideMark/>
          </w:tcPr>
          <w:p w14:paraId="0B7FDBC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90</w:t>
            </w:r>
          </w:p>
        </w:tc>
        <w:tc>
          <w:tcPr>
            <w:tcW w:w="559" w:type="pct"/>
            <w:shd w:val="clear" w:color="auto" w:fill="auto"/>
            <w:noWrap/>
            <w:vAlign w:val="center"/>
            <w:hideMark/>
          </w:tcPr>
          <w:p w14:paraId="431F93C6" w14:textId="610F0912"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2D74E00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30</w:t>
            </w:r>
          </w:p>
        </w:tc>
        <w:tc>
          <w:tcPr>
            <w:tcW w:w="701" w:type="pct"/>
            <w:shd w:val="clear" w:color="auto" w:fill="auto"/>
            <w:noWrap/>
            <w:vAlign w:val="center"/>
            <w:hideMark/>
          </w:tcPr>
          <w:p w14:paraId="77C36938" w14:textId="74E8D935"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FTN/PROP + RFTN</w:t>
            </w:r>
          </w:p>
        </w:tc>
        <w:tc>
          <w:tcPr>
            <w:tcW w:w="419" w:type="pct"/>
            <w:shd w:val="clear" w:color="auto" w:fill="auto"/>
            <w:noWrap/>
            <w:vAlign w:val="center"/>
            <w:hideMark/>
          </w:tcPr>
          <w:p w14:paraId="1EA89324"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60</w:t>
            </w:r>
          </w:p>
        </w:tc>
        <w:tc>
          <w:tcPr>
            <w:tcW w:w="701" w:type="pct"/>
            <w:shd w:val="clear" w:color="auto" w:fill="auto"/>
            <w:noWrap/>
            <w:vAlign w:val="center"/>
            <w:hideMark/>
          </w:tcPr>
          <w:p w14:paraId="4421810D"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ERCP</w:t>
            </w:r>
          </w:p>
        </w:tc>
        <w:tc>
          <w:tcPr>
            <w:tcW w:w="327" w:type="pct"/>
            <w:shd w:val="clear" w:color="auto" w:fill="auto"/>
            <w:noWrap/>
            <w:vAlign w:val="center"/>
            <w:hideMark/>
          </w:tcPr>
          <w:p w14:paraId="5460B9A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w:t>
            </w:r>
          </w:p>
        </w:tc>
      </w:tr>
      <w:tr w:rsidR="005053BA" w:rsidRPr="00681A25" w14:paraId="30D325B0" w14:textId="77777777" w:rsidTr="00BF0F41">
        <w:trPr>
          <w:trHeight w:val="285"/>
        </w:trPr>
        <w:tc>
          <w:tcPr>
            <w:tcW w:w="422" w:type="pct"/>
            <w:shd w:val="clear" w:color="auto" w:fill="auto"/>
            <w:noWrap/>
            <w:vAlign w:val="center"/>
            <w:hideMark/>
          </w:tcPr>
          <w:p w14:paraId="627BED6D" w14:textId="2110812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Li</w:t>
            </w:r>
          </w:p>
        </w:tc>
        <w:tc>
          <w:tcPr>
            <w:tcW w:w="326" w:type="pct"/>
          </w:tcPr>
          <w:p w14:paraId="54AE8D9B" w14:textId="14099C30" w:rsidR="00B2053F" w:rsidRPr="00681A25" w:rsidRDefault="005D69F2"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[37]</w:t>
            </w:r>
          </w:p>
        </w:tc>
        <w:tc>
          <w:tcPr>
            <w:tcW w:w="420" w:type="pct"/>
            <w:shd w:val="clear" w:color="auto" w:fill="auto"/>
            <w:noWrap/>
            <w:vAlign w:val="center"/>
            <w:hideMark/>
          </w:tcPr>
          <w:p w14:paraId="47506702" w14:textId="6E01C34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China</w:t>
            </w:r>
          </w:p>
        </w:tc>
        <w:tc>
          <w:tcPr>
            <w:tcW w:w="327" w:type="pct"/>
            <w:shd w:val="clear" w:color="auto" w:fill="auto"/>
            <w:noWrap/>
            <w:vAlign w:val="center"/>
            <w:hideMark/>
          </w:tcPr>
          <w:p w14:paraId="728C8D97"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2016</w:t>
            </w:r>
          </w:p>
        </w:tc>
        <w:tc>
          <w:tcPr>
            <w:tcW w:w="375" w:type="pct"/>
            <w:shd w:val="clear" w:color="auto" w:fill="auto"/>
            <w:noWrap/>
            <w:vAlign w:val="center"/>
            <w:hideMark/>
          </w:tcPr>
          <w:p w14:paraId="1520E034"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90</w:t>
            </w:r>
          </w:p>
        </w:tc>
        <w:tc>
          <w:tcPr>
            <w:tcW w:w="559" w:type="pct"/>
            <w:shd w:val="clear" w:color="auto" w:fill="auto"/>
            <w:noWrap/>
            <w:vAlign w:val="center"/>
            <w:hideMark/>
          </w:tcPr>
          <w:p w14:paraId="2945F898" w14:textId="44528408"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7C5EA08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30</w:t>
            </w:r>
          </w:p>
        </w:tc>
        <w:tc>
          <w:tcPr>
            <w:tcW w:w="701" w:type="pct"/>
            <w:shd w:val="clear" w:color="auto" w:fill="auto"/>
            <w:noWrap/>
            <w:vAlign w:val="center"/>
            <w:hideMark/>
          </w:tcPr>
          <w:p w14:paraId="55425069" w14:textId="1A9F8B0F"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 + FTN</w:t>
            </w:r>
          </w:p>
        </w:tc>
        <w:tc>
          <w:tcPr>
            <w:tcW w:w="419" w:type="pct"/>
            <w:shd w:val="clear" w:color="auto" w:fill="auto"/>
            <w:noWrap/>
            <w:vAlign w:val="center"/>
            <w:hideMark/>
          </w:tcPr>
          <w:p w14:paraId="6C13AA7A"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60</w:t>
            </w:r>
          </w:p>
        </w:tc>
        <w:tc>
          <w:tcPr>
            <w:tcW w:w="701" w:type="pct"/>
            <w:shd w:val="clear" w:color="auto" w:fill="auto"/>
            <w:noWrap/>
            <w:vAlign w:val="center"/>
            <w:hideMark/>
          </w:tcPr>
          <w:p w14:paraId="497FFE75"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Colonoscopy</w:t>
            </w:r>
          </w:p>
        </w:tc>
        <w:tc>
          <w:tcPr>
            <w:tcW w:w="327" w:type="pct"/>
            <w:shd w:val="clear" w:color="auto" w:fill="auto"/>
            <w:noWrap/>
            <w:vAlign w:val="center"/>
            <w:hideMark/>
          </w:tcPr>
          <w:p w14:paraId="4E51BD2C"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3</w:t>
            </w:r>
          </w:p>
        </w:tc>
      </w:tr>
      <w:tr w:rsidR="005053BA" w:rsidRPr="00681A25" w14:paraId="59865BCC" w14:textId="77777777" w:rsidTr="00BF0F41">
        <w:trPr>
          <w:trHeight w:val="285"/>
        </w:trPr>
        <w:tc>
          <w:tcPr>
            <w:tcW w:w="422" w:type="pct"/>
            <w:shd w:val="clear" w:color="auto" w:fill="auto"/>
            <w:noWrap/>
            <w:vAlign w:val="center"/>
            <w:hideMark/>
          </w:tcPr>
          <w:p w14:paraId="2F59AF93" w14:textId="168DE9EB"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Schroeder</w:t>
            </w:r>
          </w:p>
        </w:tc>
        <w:tc>
          <w:tcPr>
            <w:tcW w:w="326" w:type="pct"/>
          </w:tcPr>
          <w:p w14:paraId="632B5B5E" w14:textId="76A774D1" w:rsidR="00B2053F" w:rsidRPr="00681A25" w:rsidRDefault="005D69F2" w:rsidP="00681A25">
            <w:pPr>
              <w:spacing w:after="0" w:line="360" w:lineRule="auto"/>
              <w:ind w:left="0" w:right="0" w:firstLine="0"/>
              <w:rPr>
                <w:rFonts w:ascii="Book Antiqua" w:eastAsia="等线" w:hAnsi="Book Antiqua" w:cs="宋体"/>
                <w:sz w:val="24"/>
                <w:szCs w:val="24"/>
                <w:lang w:eastAsia="zh-CN"/>
              </w:rPr>
            </w:pPr>
            <w:r>
              <w:rPr>
                <w:rFonts w:ascii="Book Antiqua" w:eastAsia="等线" w:hAnsi="Book Antiqua" w:cs="宋体" w:hint="eastAsia"/>
                <w:sz w:val="24"/>
                <w:szCs w:val="24"/>
                <w:lang w:eastAsia="zh-CN"/>
              </w:rPr>
              <w:t>[36]</w:t>
            </w:r>
          </w:p>
        </w:tc>
        <w:tc>
          <w:tcPr>
            <w:tcW w:w="420" w:type="pct"/>
            <w:shd w:val="clear" w:color="auto" w:fill="auto"/>
            <w:noWrap/>
            <w:vAlign w:val="center"/>
            <w:hideMark/>
          </w:tcPr>
          <w:p w14:paraId="1EB15DB1" w14:textId="477B6054"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USA</w:t>
            </w:r>
          </w:p>
        </w:tc>
        <w:tc>
          <w:tcPr>
            <w:tcW w:w="327" w:type="pct"/>
            <w:shd w:val="clear" w:color="auto" w:fill="auto"/>
            <w:noWrap/>
            <w:vAlign w:val="center"/>
            <w:hideMark/>
          </w:tcPr>
          <w:p w14:paraId="15640720"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2016</w:t>
            </w:r>
          </w:p>
        </w:tc>
        <w:tc>
          <w:tcPr>
            <w:tcW w:w="375" w:type="pct"/>
            <w:shd w:val="clear" w:color="auto" w:fill="auto"/>
            <w:noWrap/>
            <w:vAlign w:val="center"/>
            <w:hideMark/>
          </w:tcPr>
          <w:p w14:paraId="39721677"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262</w:t>
            </w:r>
          </w:p>
        </w:tc>
        <w:tc>
          <w:tcPr>
            <w:tcW w:w="559" w:type="pct"/>
            <w:shd w:val="clear" w:color="auto" w:fill="auto"/>
            <w:noWrap/>
            <w:vAlign w:val="center"/>
            <w:hideMark/>
          </w:tcPr>
          <w:p w14:paraId="68D4A3C7" w14:textId="0FF08095"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PROP</w:t>
            </w:r>
          </w:p>
        </w:tc>
        <w:tc>
          <w:tcPr>
            <w:tcW w:w="422" w:type="pct"/>
            <w:shd w:val="clear" w:color="auto" w:fill="auto"/>
            <w:noWrap/>
            <w:vAlign w:val="center"/>
            <w:hideMark/>
          </w:tcPr>
          <w:p w14:paraId="409BED3F"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126</w:t>
            </w:r>
          </w:p>
        </w:tc>
        <w:tc>
          <w:tcPr>
            <w:tcW w:w="701" w:type="pct"/>
            <w:shd w:val="clear" w:color="auto" w:fill="auto"/>
            <w:noWrap/>
            <w:vAlign w:val="center"/>
            <w:hideMark/>
          </w:tcPr>
          <w:p w14:paraId="38E96F91"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MDZ + FTN</w:t>
            </w:r>
          </w:p>
        </w:tc>
        <w:tc>
          <w:tcPr>
            <w:tcW w:w="419" w:type="pct"/>
            <w:shd w:val="clear" w:color="auto" w:fill="auto"/>
            <w:noWrap/>
            <w:vAlign w:val="center"/>
            <w:hideMark/>
          </w:tcPr>
          <w:p w14:paraId="6E69D3CE"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136</w:t>
            </w:r>
          </w:p>
        </w:tc>
        <w:tc>
          <w:tcPr>
            <w:tcW w:w="701" w:type="pct"/>
            <w:shd w:val="clear" w:color="auto" w:fill="auto"/>
            <w:noWrap/>
            <w:vAlign w:val="center"/>
            <w:hideMark/>
          </w:tcPr>
          <w:p w14:paraId="6CEF86A3"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Colonoscopy</w:t>
            </w:r>
          </w:p>
        </w:tc>
        <w:tc>
          <w:tcPr>
            <w:tcW w:w="327" w:type="pct"/>
            <w:shd w:val="clear" w:color="auto" w:fill="auto"/>
            <w:noWrap/>
            <w:vAlign w:val="center"/>
            <w:hideMark/>
          </w:tcPr>
          <w:p w14:paraId="3C0CFE58" w14:textId="77777777" w:rsidR="00B2053F" w:rsidRPr="00681A25" w:rsidRDefault="00B2053F" w:rsidP="00681A25">
            <w:pPr>
              <w:spacing w:after="0" w:line="360" w:lineRule="auto"/>
              <w:ind w:left="0" w:right="0" w:firstLine="0"/>
              <w:rPr>
                <w:rFonts w:ascii="Book Antiqua" w:eastAsia="等线" w:hAnsi="Book Antiqua" w:cs="宋体"/>
                <w:sz w:val="24"/>
                <w:szCs w:val="24"/>
                <w:lang w:eastAsia="zh-CN"/>
              </w:rPr>
            </w:pPr>
            <w:r w:rsidRPr="00681A25">
              <w:rPr>
                <w:rFonts w:ascii="Book Antiqua" w:eastAsia="等线" w:hAnsi="Book Antiqua" w:cs="宋体"/>
                <w:sz w:val="24"/>
                <w:szCs w:val="24"/>
                <w:lang w:eastAsia="zh-CN"/>
              </w:rPr>
              <w:t>4</w:t>
            </w:r>
          </w:p>
        </w:tc>
      </w:tr>
    </w:tbl>
    <w:p w14:paraId="4CB7BD43" w14:textId="5D9766D2" w:rsidR="00681A25" w:rsidRDefault="00681A25" w:rsidP="00D46A14">
      <w:pPr>
        <w:spacing w:after="0" w:line="360" w:lineRule="auto"/>
        <w:ind w:left="0" w:right="0" w:firstLine="0"/>
        <w:rPr>
          <w:rFonts w:ascii="Book Antiqua" w:eastAsia="等线" w:hAnsi="Book Antiqua"/>
          <w:sz w:val="24"/>
          <w:szCs w:val="24"/>
          <w:lang w:eastAsia="zh-CN"/>
        </w:rPr>
      </w:pPr>
      <w:r>
        <w:rPr>
          <w:rFonts w:ascii="Book Antiqua" w:eastAsia="等线" w:hAnsi="Book Antiqua"/>
          <w:sz w:val="24"/>
          <w:szCs w:val="24"/>
        </w:rPr>
        <w:t>MDZ:</w:t>
      </w:r>
      <w:r>
        <w:rPr>
          <w:rFonts w:ascii="Book Antiqua" w:eastAsia="等线" w:hAnsi="Book Antiqua" w:hint="eastAsia"/>
          <w:sz w:val="24"/>
          <w:szCs w:val="24"/>
          <w:lang w:eastAsia="zh-CN"/>
        </w:rPr>
        <w:t xml:space="preserve"> </w:t>
      </w:r>
      <w:r>
        <w:rPr>
          <w:rFonts w:ascii="Book Antiqua" w:eastAsia="等线" w:hAnsi="Book Antiqua"/>
          <w:sz w:val="24"/>
          <w:szCs w:val="24"/>
        </w:rPr>
        <w:t>Midazolam</w:t>
      </w:r>
      <w:r w:rsidRPr="00681A25">
        <w:rPr>
          <w:rFonts w:ascii="Book Antiqua" w:eastAsia="等线" w:hAnsi="Book Antiqua"/>
          <w:sz w:val="24"/>
          <w:szCs w:val="24"/>
        </w:rPr>
        <w:t>; FTN: Fentanyl; PROP: Propofol; MEP: Meperidi</w:t>
      </w:r>
      <w:r>
        <w:rPr>
          <w:rFonts w:ascii="Book Antiqua" w:eastAsia="等线" w:hAnsi="Book Antiqua"/>
          <w:sz w:val="24"/>
          <w:szCs w:val="24"/>
        </w:rPr>
        <w:t>ne; RFTN:  Remifentanil; AFTN:</w:t>
      </w:r>
      <w:r>
        <w:rPr>
          <w:rFonts w:ascii="Book Antiqua" w:eastAsia="等线" w:hAnsi="Book Antiqua" w:hint="eastAsia"/>
          <w:sz w:val="24"/>
          <w:szCs w:val="24"/>
          <w:lang w:eastAsia="zh-CN"/>
        </w:rPr>
        <w:t xml:space="preserve"> </w:t>
      </w:r>
      <w:r w:rsidRPr="00681A25">
        <w:rPr>
          <w:rFonts w:ascii="Book Antiqua" w:eastAsia="等线" w:hAnsi="Book Antiqua"/>
          <w:sz w:val="24"/>
          <w:szCs w:val="24"/>
        </w:rPr>
        <w:t>Alfentanil</w:t>
      </w:r>
      <w:r>
        <w:rPr>
          <w:rFonts w:ascii="Book Antiqua" w:eastAsia="等线" w:hAnsi="Book Antiqua" w:hint="eastAsia"/>
          <w:sz w:val="24"/>
          <w:szCs w:val="24"/>
          <w:lang w:eastAsia="zh-CN"/>
        </w:rPr>
        <w:t>.</w:t>
      </w:r>
    </w:p>
    <w:p w14:paraId="145062AE" w14:textId="77777777" w:rsidR="00681A25" w:rsidRPr="00681A25" w:rsidRDefault="00681A25" w:rsidP="00D46A14">
      <w:pPr>
        <w:spacing w:after="0" w:line="360" w:lineRule="auto"/>
        <w:ind w:left="0" w:right="0" w:firstLine="0"/>
        <w:rPr>
          <w:rFonts w:ascii="Book Antiqua" w:eastAsia="等线" w:hAnsi="Book Antiqua"/>
          <w:sz w:val="24"/>
          <w:szCs w:val="24"/>
          <w:lang w:eastAsia="zh-CN"/>
        </w:rPr>
        <w:sectPr w:rsidR="00681A25" w:rsidRPr="00681A25" w:rsidSect="00752388">
          <w:pgSz w:w="16838" w:h="11906" w:orient="landscape"/>
          <w:pgMar w:top="1701" w:right="1417" w:bottom="1701" w:left="1417" w:header="708" w:footer="708" w:gutter="0"/>
          <w:cols w:space="708"/>
          <w:docGrid w:linePitch="360"/>
        </w:sectPr>
      </w:pPr>
    </w:p>
    <w:p w14:paraId="3937C04E" w14:textId="77777777" w:rsidR="00681A25" w:rsidRDefault="00681A25" w:rsidP="00D46A14">
      <w:pPr>
        <w:spacing w:after="0" w:line="360" w:lineRule="auto"/>
        <w:ind w:left="0" w:right="0" w:firstLine="0"/>
        <w:rPr>
          <w:rFonts w:ascii="Book Antiqua" w:eastAsia="等线" w:hAnsi="Book Antiqua"/>
          <w:b/>
          <w:sz w:val="24"/>
          <w:szCs w:val="24"/>
          <w:lang w:eastAsia="zh-CN"/>
        </w:rPr>
      </w:pPr>
    </w:p>
    <w:p w14:paraId="2A6A2F64" w14:textId="77777777" w:rsidR="00791D29" w:rsidRPr="00D46A14" w:rsidRDefault="00791D29" w:rsidP="00D46A14">
      <w:pPr>
        <w:widowControl w:val="0"/>
        <w:autoSpaceDE w:val="0"/>
        <w:autoSpaceDN w:val="0"/>
        <w:adjustRightInd w:val="0"/>
        <w:spacing w:after="0" w:line="360" w:lineRule="auto"/>
        <w:ind w:left="640" w:hanging="640"/>
        <w:rPr>
          <w:rFonts w:ascii="Book Antiqua" w:eastAsia="等线" w:hAnsi="Book Antiqua"/>
          <w:b/>
          <w:sz w:val="24"/>
          <w:szCs w:val="24"/>
          <w:lang w:eastAsia="zh-CN"/>
        </w:rPr>
      </w:pPr>
    </w:p>
    <w:p w14:paraId="30EC2D59" w14:textId="718558BE" w:rsidR="00556D41" w:rsidRPr="00D46A14" w:rsidRDefault="00274E5A" w:rsidP="00D46A14">
      <w:pPr>
        <w:widowControl w:val="0"/>
        <w:autoSpaceDE w:val="0"/>
        <w:autoSpaceDN w:val="0"/>
        <w:adjustRightInd w:val="0"/>
        <w:spacing w:after="0" w:line="360" w:lineRule="auto"/>
        <w:ind w:left="640" w:hanging="640"/>
        <w:rPr>
          <w:rFonts w:ascii="Book Antiqua" w:eastAsia="等线" w:hAnsi="Book Antiqua"/>
          <w:b/>
          <w:sz w:val="24"/>
          <w:szCs w:val="24"/>
          <w:lang w:eastAsia="zh-CN"/>
        </w:rPr>
        <w:sectPr w:rsidR="00556D41" w:rsidRPr="00D46A14" w:rsidSect="0016364C">
          <w:pgSz w:w="11906" w:h="16838"/>
          <w:pgMar w:top="1417" w:right="1133" w:bottom="1417" w:left="1275" w:header="708" w:footer="708" w:gutter="0"/>
          <w:cols w:space="708"/>
          <w:docGrid w:linePitch="360"/>
        </w:sectPr>
      </w:pPr>
      <w:r>
        <w:rPr>
          <w:noProof/>
          <w:lang w:eastAsia="zh-CN"/>
        </w:rPr>
        <w:drawing>
          <wp:inline distT="0" distB="0" distL="0" distR="0" wp14:anchorId="23AA7859" wp14:editId="5DD7A374">
            <wp:extent cx="5486400" cy="34632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463290"/>
                    </a:xfrm>
                    <a:prstGeom prst="rect">
                      <a:avLst/>
                    </a:prstGeom>
                  </pic:spPr>
                </pic:pic>
              </a:graphicData>
            </a:graphic>
          </wp:inline>
        </w:drawing>
      </w:r>
    </w:p>
    <w:p w14:paraId="7655C228" w14:textId="15AB2631" w:rsidR="0016364C" w:rsidRPr="00D46A14" w:rsidRDefault="0016364C" w:rsidP="00D46A14">
      <w:pPr>
        <w:widowControl w:val="0"/>
        <w:autoSpaceDE w:val="0"/>
        <w:autoSpaceDN w:val="0"/>
        <w:adjustRightInd w:val="0"/>
        <w:spacing w:after="0" w:line="360" w:lineRule="auto"/>
        <w:ind w:left="640" w:hanging="640"/>
        <w:rPr>
          <w:rFonts w:ascii="Book Antiqua" w:hAnsi="Book Antiqua"/>
          <w:b/>
          <w:sz w:val="24"/>
          <w:szCs w:val="24"/>
        </w:rPr>
      </w:pPr>
    </w:p>
    <w:p w14:paraId="30386C8D" w14:textId="0A24A895" w:rsidR="0016364C" w:rsidRPr="00274E5A" w:rsidRDefault="00274E5A" w:rsidP="00274E5A">
      <w:pPr>
        <w:widowControl w:val="0"/>
        <w:autoSpaceDE w:val="0"/>
        <w:autoSpaceDN w:val="0"/>
        <w:adjustRightInd w:val="0"/>
        <w:spacing w:after="0" w:line="360" w:lineRule="auto"/>
        <w:ind w:left="0" w:firstLine="0"/>
        <w:rPr>
          <w:rFonts w:ascii="Book Antiqua" w:eastAsia="等线" w:hAnsi="Book Antiqua"/>
          <w:b/>
          <w:sz w:val="24"/>
          <w:szCs w:val="24"/>
          <w:lang w:eastAsia="zh-CN"/>
        </w:rPr>
      </w:pPr>
      <w:r>
        <w:rPr>
          <w:rFonts w:ascii="Book Antiqua" w:hAnsi="Book Antiqua"/>
          <w:b/>
          <w:sz w:val="24"/>
          <w:szCs w:val="24"/>
        </w:rPr>
        <w:t>Figure 1</w:t>
      </w:r>
      <w:r w:rsidR="0016364C" w:rsidRPr="00D46A14">
        <w:rPr>
          <w:rFonts w:ascii="Book Antiqua" w:hAnsi="Book Antiqua"/>
          <w:b/>
          <w:sz w:val="24"/>
          <w:szCs w:val="24"/>
        </w:rPr>
        <w:t xml:space="preserve"> Flow diagram of included and excluded clinical trials</w:t>
      </w:r>
      <w:r>
        <w:rPr>
          <w:rFonts w:ascii="等线" w:eastAsia="等线" w:hAnsi="等线" w:hint="eastAsia"/>
          <w:b/>
          <w:sz w:val="24"/>
          <w:szCs w:val="24"/>
          <w:lang w:eastAsia="zh-CN"/>
        </w:rPr>
        <w:t>.</w:t>
      </w:r>
    </w:p>
    <w:p w14:paraId="1FC318F0" w14:textId="14E935E7" w:rsidR="000C4901" w:rsidRPr="00D46A14" w:rsidRDefault="000C4901" w:rsidP="00D46A14">
      <w:pPr>
        <w:spacing w:after="0" w:line="360" w:lineRule="auto"/>
        <w:ind w:left="0" w:right="0" w:firstLine="0"/>
        <w:rPr>
          <w:rFonts w:ascii="Book Antiqua" w:hAnsi="Book Antiqua"/>
          <w:b/>
          <w:sz w:val="24"/>
          <w:szCs w:val="24"/>
        </w:rPr>
      </w:pPr>
      <w:r w:rsidRPr="00D46A14">
        <w:rPr>
          <w:rFonts w:ascii="Book Antiqua" w:hAnsi="Book Antiqua"/>
          <w:b/>
          <w:sz w:val="24"/>
          <w:szCs w:val="24"/>
        </w:rPr>
        <w:br w:type="page"/>
      </w:r>
    </w:p>
    <w:p w14:paraId="00A6B4C2" w14:textId="77777777" w:rsidR="0066363E" w:rsidRDefault="0066363E" w:rsidP="00D46A14">
      <w:pPr>
        <w:spacing w:after="0" w:line="360" w:lineRule="auto"/>
        <w:ind w:firstLine="0"/>
        <w:rPr>
          <w:rFonts w:ascii="Book Antiqua" w:eastAsia="等线" w:hAnsi="Book Antiqua"/>
          <w:sz w:val="24"/>
          <w:szCs w:val="24"/>
          <w:lang w:eastAsia="zh-CN"/>
        </w:rPr>
      </w:pPr>
      <w:r>
        <w:rPr>
          <w:rFonts w:ascii="Book Antiqua" w:eastAsia="等线" w:hAnsi="Book Antiqua"/>
          <w:sz w:val="24"/>
          <w:szCs w:val="24"/>
          <w:lang w:eastAsia="zh-CN"/>
        </w:rPr>
        <w:lastRenderedPageBreak/>
        <w:t>A</w:t>
      </w:r>
    </w:p>
    <w:p w14:paraId="16DAAF39" w14:textId="64E3958C" w:rsidR="0016364C" w:rsidRPr="00D46A14" w:rsidRDefault="00255E99" w:rsidP="00D46A14">
      <w:pPr>
        <w:spacing w:after="0" w:line="360" w:lineRule="auto"/>
        <w:ind w:firstLine="0"/>
        <w:rPr>
          <w:rFonts w:ascii="Book Antiqua" w:hAnsi="Book Antiqua"/>
          <w:sz w:val="24"/>
          <w:szCs w:val="24"/>
        </w:rPr>
      </w:pPr>
      <w:r w:rsidRPr="0016364C">
        <w:rPr>
          <w:rFonts w:ascii="Book Antiqua" w:hAnsi="Book Antiqua"/>
          <w:noProof/>
          <w:sz w:val="24"/>
          <w:szCs w:val="24"/>
          <w:lang w:eastAsia="zh-CN"/>
        </w:rPr>
        <w:drawing>
          <wp:inline distT="0" distB="0" distL="0" distR="0" wp14:anchorId="09ECFACC" wp14:editId="271D611A">
            <wp:extent cx="4454769" cy="3563815"/>
            <wp:effectExtent l="0" t="0" r="3175" b="0"/>
            <wp:docPr id="3" name="Imagem 3"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o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8375" cy="3566699"/>
                    </a:xfrm>
                    <a:prstGeom prst="rect">
                      <a:avLst/>
                    </a:prstGeom>
                    <a:noFill/>
                    <a:ln>
                      <a:noFill/>
                    </a:ln>
                  </pic:spPr>
                </pic:pic>
              </a:graphicData>
            </a:graphic>
          </wp:inline>
        </w:drawing>
      </w:r>
    </w:p>
    <w:p w14:paraId="5E80C917" w14:textId="45117253" w:rsidR="0016364C" w:rsidRPr="00D46A14" w:rsidRDefault="0016364C" w:rsidP="00D46A14">
      <w:pPr>
        <w:spacing w:after="0" w:line="360" w:lineRule="auto"/>
        <w:ind w:firstLine="0"/>
        <w:rPr>
          <w:rFonts w:ascii="Book Antiqua" w:hAnsi="Book Antiqua"/>
          <w:b/>
          <w:sz w:val="24"/>
          <w:szCs w:val="24"/>
        </w:rPr>
      </w:pPr>
    </w:p>
    <w:p w14:paraId="39D5BFD4" w14:textId="4E0B13CC" w:rsidR="0066363E" w:rsidRDefault="0066363E" w:rsidP="0066363E">
      <w:pPr>
        <w:spacing w:after="0" w:line="360" w:lineRule="auto"/>
        <w:ind w:hanging="56"/>
        <w:rPr>
          <w:rFonts w:ascii="Book Antiqua" w:eastAsia="等线" w:hAnsi="Book Antiqua"/>
          <w:sz w:val="24"/>
          <w:szCs w:val="24"/>
          <w:lang w:eastAsia="zh-CN"/>
        </w:rPr>
      </w:pPr>
      <w:r>
        <w:rPr>
          <w:rFonts w:ascii="Book Antiqua" w:eastAsia="等线" w:hAnsi="Book Antiqua"/>
          <w:sz w:val="24"/>
          <w:szCs w:val="24"/>
          <w:lang w:eastAsia="zh-CN"/>
        </w:rPr>
        <w:t>B</w:t>
      </w:r>
    </w:p>
    <w:p w14:paraId="0BA9339F" w14:textId="2D29F87B" w:rsidR="0016364C" w:rsidRPr="0066363E" w:rsidRDefault="00255E99" w:rsidP="0066363E">
      <w:pPr>
        <w:spacing w:after="0" w:line="360" w:lineRule="auto"/>
        <w:ind w:hanging="56"/>
        <w:rPr>
          <w:rFonts w:ascii="Book Antiqua" w:eastAsia="等线" w:hAnsi="Book Antiqua"/>
          <w:sz w:val="24"/>
          <w:szCs w:val="24"/>
          <w:lang w:eastAsia="zh-CN"/>
        </w:rPr>
      </w:pPr>
      <w:r w:rsidRPr="0016364C">
        <w:rPr>
          <w:rFonts w:ascii="Book Antiqua" w:hAnsi="Book Antiqua"/>
          <w:noProof/>
          <w:sz w:val="24"/>
          <w:szCs w:val="24"/>
          <w:lang w:eastAsia="zh-CN"/>
        </w:rPr>
        <w:drawing>
          <wp:inline distT="0" distB="0" distL="0" distR="0" wp14:anchorId="3E2E573B" wp14:editId="3C58422E">
            <wp:extent cx="4220308" cy="3417420"/>
            <wp:effectExtent l="0" t="0" r="8890" b="0"/>
            <wp:docPr id="4" name="Imagem 4"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co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8353" cy="3415837"/>
                    </a:xfrm>
                    <a:prstGeom prst="rect">
                      <a:avLst/>
                    </a:prstGeom>
                    <a:noFill/>
                    <a:ln>
                      <a:noFill/>
                    </a:ln>
                  </pic:spPr>
                </pic:pic>
              </a:graphicData>
            </a:graphic>
          </wp:inline>
        </w:drawing>
      </w:r>
    </w:p>
    <w:p w14:paraId="35F35008" w14:textId="77777777" w:rsidR="0066363E" w:rsidRPr="00D46A14" w:rsidRDefault="0066363E" w:rsidP="0066363E">
      <w:pPr>
        <w:spacing w:after="0" w:line="360" w:lineRule="auto"/>
        <w:ind w:firstLine="0"/>
        <w:rPr>
          <w:rFonts w:ascii="Book Antiqua" w:hAnsi="Book Antiqua"/>
          <w:b/>
          <w:sz w:val="24"/>
          <w:szCs w:val="24"/>
        </w:rPr>
      </w:pPr>
    </w:p>
    <w:p w14:paraId="02C3858D" w14:textId="21E71A89" w:rsidR="0016364C" w:rsidRDefault="0016364C" w:rsidP="00D46A14">
      <w:pPr>
        <w:spacing w:after="0" w:line="360" w:lineRule="auto"/>
        <w:rPr>
          <w:rFonts w:ascii="Book Antiqua" w:eastAsia="等线" w:hAnsi="Book Antiqua"/>
          <w:b/>
          <w:sz w:val="24"/>
          <w:szCs w:val="24"/>
          <w:lang w:eastAsia="zh-CN"/>
        </w:rPr>
      </w:pPr>
    </w:p>
    <w:p w14:paraId="615FEB52" w14:textId="77777777" w:rsidR="00255E99" w:rsidRPr="00255E99" w:rsidRDefault="00255E99" w:rsidP="00D46A14">
      <w:pPr>
        <w:spacing w:after="0" w:line="360" w:lineRule="auto"/>
        <w:rPr>
          <w:rFonts w:ascii="Book Antiqua" w:eastAsia="等线" w:hAnsi="Book Antiqua"/>
          <w:b/>
          <w:sz w:val="24"/>
          <w:szCs w:val="24"/>
          <w:lang w:eastAsia="zh-CN"/>
        </w:rPr>
      </w:pPr>
    </w:p>
    <w:p w14:paraId="0D40DC9A" w14:textId="2EE34F24" w:rsidR="0016364C" w:rsidRPr="00255E99" w:rsidRDefault="00255E99" w:rsidP="00255E99">
      <w:pPr>
        <w:spacing w:after="0" w:line="360" w:lineRule="auto"/>
        <w:ind w:left="0" w:firstLine="0"/>
        <w:rPr>
          <w:rFonts w:ascii="Book Antiqua" w:eastAsia="等线" w:hAnsi="Book Antiqua"/>
          <w:sz w:val="24"/>
          <w:szCs w:val="24"/>
          <w:lang w:eastAsia="zh-CN"/>
        </w:rPr>
      </w:pPr>
      <w:r>
        <w:rPr>
          <w:rFonts w:ascii="Book Antiqua" w:eastAsia="等线" w:hAnsi="Book Antiqua"/>
          <w:sz w:val="24"/>
          <w:szCs w:val="24"/>
          <w:lang w:eastAsia="zh-CN"/>
        </w:rPr>
        <w:lastRenderedPageBreak/>
        <w:t>C</w:t>
      </w:r>
    </w:p>
    <w:p w14:paraId="0C5BBDB1" w14:textId="1DB74D4D" w:rsidR="0016364C" w:rsidRDefault="00255E99" w:rsidP="00D46A14">
      <w:pPr>
        <w:spacing w:after="0" w:line="360" w:lineRule="auto"/>
        <w:ind w:hanging="56"/>
        <w:rPr>
          <w:rFonts w:ascii="Book Antiqua" w:eastAsia="等线" w:hAnsi="Book Antiqua"/>
          <w:sz w:val="24"/>
          <w:szCs w:val="24"/>
          <w:lang w:eastAsia="zh-CN"/>
        </w:rPr>
      </w:pPr>
      <w:r w:rsidRPr="0016364C">
        <w:rPr>
          <w:rFonts w:ascii="Book Antiqua" w:hAnsi="Book Antiqua"/>
          <w:noProof/>
          <w:sz w:val="24"/>
          <w:szCs w:val="24"/>
          <w:lang w:eastAsia="zh-CN"/>
        </w:rPr>
        <w:drawing>
          <wp:inline distT="0" distB="0" distL="0" distR="0" wp14:anchorId="1C1D4C41" wp14:editId="7D40366B">
            <wp:extent cx="4321908" cy="3806876"/>
            <wp:effectExtent l="0" t="0" r="2540" b="3175"/>
            <wp:docPr id="5" name="Imagem 5"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co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5218" cy="3809791"/>
                    </a:xfrm>
                    <a:prstGeom prst="rect">
                      <a:avLst/>
                    </a:prstGeom>
                    <a:noFill/>
                    <a:ln>
                      <a:noFill/>
                    </a:ln>
                  </pic:spPr>
                </pic:pic>
              </a:graphicData>
            </a:graphic>
          </wp:inline>
        </w:drawing>
      </w:r>
    </w:p>
    <w:p w14:paraId="33EE807E" w14:textId="77777777" w:rsidR="00255E99" w:rsidRPr="00255E99" w:rsidRDefault="00255E99" w:rsidP="00D46A14">
      <w:pPr>
        <w:spacing w:after="0" w:line="360" w:lineRule="auto"/>
        <w:ind w:hanging="56"/>
        <w:rPr>
          <w:rFonts w:ascii="Book Antiqua" w:eastAsia="等线" w:hAnsi="Book Antiqua"/>
          <w:sz w:val="24"/>
          <w:szCs w:val="24"/>
          <w:lang w:eastAsia="zh-CN"/>
        </w:rPr>
      </w:pPr>
    </w:p>
    <w:p w14:paraId="6C2865C6" w14:textId="36A0050C" w:rsidR="0016364C" w:rsidRPr="00255E99" w:rsidRDefault="00255E99" w:rsidP="00D46A14">
      <w:pPr>
        <w:spacing w:after="0" w:line="360" w:lineRule="auto"/>
        <w:ind w:firstLine="0"/>
        <w:rPr>
          <w:rFonts w:ascii="Book Antiqua" w:eastAsia="等线" w:hAnsi="Book Antiqua"/>
          <w:sz w:val="24"/>
          <w:szCs w:val="24"/>
          <w:lang w:eastAsia="zh-CN"/>
        </w:rPr>
      </w:pPr>
      <w:r w:rsidRPr="00255E99">
        <w:rPr>
          <w:rFonts w:ascii="Book Antiqua" w:eastAsia="等线" w:hAnsi="Book Antiqua" w:hint="eastAsia"/>
          <w:sz w:val="24"/>
          <w:szCs w:val="24"/>
          <w:lang w:eastAsia="zh-CN"/>
        </w:rPr>
        <w:t>D</w:t>
      </w:r>
    </w:p>
    <w:p w14:paraId="6BF57F6B" w14:textId="404F26BE" w:rsidR="0016364C" w:rsidRPr="00D46A14" w:rsidRDefault="00255E99" w:rsidP="00D46A14">
      <w:pPr>
        <w:spacing w:after="0" w:line="360" w:lineRule="auto"/>
        <w:ind w:hanging="56"/>
        <w:rPr>
          <w:rFonts w:ascii="Book Antiqua" w:hAnsi="Book Antiqua"/>
          <w:sz w:val="24"/>
          <w:szCs w:val="24"/>
        </w:rPr>
      </w:pPr>
      <w:r w:rsidRPr="0016364C">
        <w:rPr>
          <w:rFonts w:ascii="Book Antiqua" w:hAnsi="Book Antiqua"/>
          <w:noProof/>
          <w:sz w:val="24"/>
          <w:szCs w:val="24"/>
          <w:lang w:eastAsia="zh-CN"/>
        </w:rPr>
        <w:drawing>
          <wp:inline distT="0" distB="0" distL="0" distR="0" wp14:anchorId="378E237C" wp14:editId="5D538D39">
            <wp:extent cx="4140176" cy="3540370"/>
            <wp:effectExtent l="0" t="0" r="0" b="3175"/>
            <wp:docPr id="6" name="Imagem 6"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ico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7967" cy="3538481"/>
                    </a:xfrm>
                    <a:prstGeom prst="rect">
                      <a:avLst/>
                    </a:prstGeom>
                    <a:noFill/>
                    <a:ln>
                      <a:noFill/>
                    </a:ln>
                  </pic:spPr>
                </pic:pic>
              </a:graphicData>
            </a:graphic>
          </wp:inline>
        </w:drawing>
      </w:r>
    </w:p>
    <w:p w14:paraId="125B26CA" w14:textId="77777777" w:rsidR="0016364C" w:rsidRPr="00D46A14" w:rsidRDefault="0016364C" w:rsidP="00D46A14">
      <w:pPr>
        <w:spacing w:after="0" w:line="360" w:lineRule="auto"/>
        <w:ind w:firstLine="0"/>
        <w:rPr>
          <w:rFonts w:ascii="Book Antiqua" w:hAnsi="Book Antiqua"/>
          <w:b/>
          <w:sz w:val="24"/>
          <w:szCs w:val="24"/>
        </w:rPr>
      </w:pPr>
    </w:p>
    <w:p w14:paraId="44262E2C" w14:textId="2BD98358" w:rsidR="0016364C" w:rsidRPr="00255E99" w:rsidRDefault="0016364C" w:rsidP="00D46A14">
      <w:pPr>
        <w:spacing w:after="0" w:line="360" w:lineRule="auto"/>
        <w:ind w:firstLine="0"/>
        <w:rPr>
          <w:rFonts w:ascii="Book Antiqua" w:hAnsi="Book Antiqua"/>
          <w:b/>
          <w:sz w:val="24"/>
          <w:szCs w:val="24"/>
        </w:rPr>
      </w:pPr>
    </w:p>
    <w:p w14:paraId="51C13110" w14:textId="3818B182" w:rsidR="0016364C" w:rsidRPr="00255E99" w:rsidRDefault="00255E99" w:rsidP="00255E99">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lastRenderedPageBreak/>
        <w:t>E</w:t>
      </w:r>
    </w:p>
    <w:p w14:paraId="354B6339" w14:textId="7D4AD5F5" w:rsidR="0016364C" w:rsidRDefault="00255E99" w:rsidP="00255E99">
      <w:pPr>
        <w:spacing w:after="0" w:line="360" w:lineRule="auto"/>
        <w:ind w:left="0" w:firstLine="0"/>
        <w:rPr>
          <w:rFonts w:ascii="Book Antiqua" w:eastAsia="等线" w:hAnsi="Book Antiqua"/>
          <w:sz w:val="24"/>
          <w:szCs w:val="24"/>
          <w:lang w:eastAsia="zh-CN"/>
        </w:rPr>
      </w:pPr>
      <w:r w:rsidRPr="0016364C">
        <w:rPr>
          <w:rFonts w:ascii="Book Antiqua" w:hAnsi="Book Antiqua"/>
          <w:noProof/>
          <w:sz w:val="24"/>
          <w:szCs w:val="24"/>
          <w:lang w:eastAsia="zh-CN"/>
        </w:rPr>
        <w:drawing>
          <wp:inline distT="0" distB="0" distL="0" distR="0" wp14:anchorId="3AFF20E6" wp14:editId="5CD6A8D6">
            <wp:extent cx="4767385" cy="3176359"/>
            <wp:effectExtent l="0" t="0" r="0" b="5080"/>
            <wp:docPr id="7" name="Imagem 7"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co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7969" cy="3176748"/>
                    </a:xfrm>
                    <a:prstGeom prst="rect">
                      <a:avLst/>
                    </a:prstGeom>
                    <a:noFill/>
                    <a:ln>
                      <a:noFill/>
                    </a:ln>
                  </pic:spPr>
                </pic:pic>
              </a:graphicData>
            </a:graphic>
          </wp:inline>
        </w:drawing>
      </w:r>
    </w:p>
    <w:p w14:paraId="3B81610C" w14:textId="2FBFBE74" w:rsidR="00255E99" w:rsidRPr="00255E99" w:rsidRDefault="00255E99" w:rsidP="00255E99">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t>F</w:t>
      </w:r>
    </w:p>
    <w:p w14:paraId="7DF751F6"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4D811319" wp14:editId="269F8A8E">
            <wp:extent cx="4587631" cy="3913131"/>
            <wp:effectExtent l="0" t="0" r="3810" b="0"/>
            <wp:docPr id="8" name="Imagem 8"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co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2345" cy="3917152"/>
                    </a:xfrm>
                    <a:prstGeom prst="rect">
                      <a:avLst/>
                    </a:prstGeom>
                    <a:noFill/>
                    <a:ln>
                      <a:noFill/>
                    </a:ln>
                  </pic:spPr>
                </pic:pic>
              </a:graphicData>
            </a:graphic>
          </wp:inline>
        </w:drawing>
      </w:r>
    </w:p>
    <w:p w14:paraId="6F17FEAD" w14:textId="685EBFEE" w:rsidR="00255E99" w:rsidRPr="00255E99" w:rsidRDefault="00255E99" w:rsidP="00255E99">
      <w:pPr>
        <w:spacing w:after="0" w:line="360" w:lineRule="auto"/>
        <w:ind w:left="0" w:firstLine="0"/>
        <w:rPr>
          <w:rFonts w:ascii="Book Antiqua" w:eastAsia="等线" w:hAnsi="Book Antiqua"/>
          <w:sz w:val="24"/>
          <w:szCs w:val="24"/>
          <w:lang w:eastAsia="zh-CN"/>
        </w:rPr>
      </w:pPr>
      <w:r w:rsidRPr="00255E99">
        <w:rPr>
          <w:rFonts w:ascii="Book Antiqua" w:eastAsia="等线" w:hAnsi="Book Antiqua" w:hint="eastAsia"/>
          <w:b/>
          <w:sz w:val="24"/>
          <w:szCs w:val="24"/>
          <w:lang w:eastAsia="zh-CN"/>
        </w:rPr>
        <w:t>Figure 2</w:t>
      </w:r>
      <w:r w:rsidRPr="00255E99">
        <w:rPr>
          <w:rFonts w:ascii="Book Antiqua" w:hAnsi="Book Antiqua"/>
          <w:b/>
          <w:sz w:val="24"/>
          <w:szCs w:val="24"/>
        </w:rPr>
        <w:t xml:space="preserve"> Propofol </w:t>
      </w:r>
      <w:r w:rsidRPr="00255E99">
        <w:rPr>
          <w:rFonts w:ascii="Book Antiqua" w:eastAsia="等线" w:hAnsi="Book Antiqua" w:hint="eastAsia"/>
          <w:b/>
          <w:i/>
          <w:sz w:val="24"/>
          <w:szCs w:val="24"/>
          <w:lang w:eastAsia="zh-CN"/>
        </w:rPr>
        <w:t>vs</w:t>
      </w:r>
      <w:r w:rsidRPr="00255E99">
        <w:rPr>
          <w:rFonts w:ascii="Book Antiqua" w:hAnsi="Book Antiqua"/>
          <w:b/>
          <w:sz w:val="24"/>
          <w:szCs w:val="24"/>
        </w:rPr>
        <w:t xml:space="preserve"> benzodiazepine associated with opioid</w:t>
      </w:r>
      <w:r w:rsidRPr="00255E99">
        <w:rPr>
          <w:rFonts w:ascii="Book Antiqua" w:eastAsia="等线" w:hAnsi="Book Antiqua" w:hint="eastAsia"/>
          <w:b/>
          <w:sz w:val="24"/>
          <w:szCs w:val="24"/>
          <w:lang w:eastAsia="zh-CN"/>
        </w:rPr>
        <w:t xml:space="preserve"> </w:t>
      </w:r>
      <w:r w:rsidRPr="00255E99">
        <w:rPr>
          <w:rFonts w:ascii="等线" w:eastAsia="等线" w:hAnsi="等线" w:hint="eastAsia"/>
          <w:b/>
          <w:sz w:val="24"/>
          <w:szCs w:val="24"/>
          <w:lang w:eastAsia="zh-CN"/>
        </w:rPr>
        <w:t>-</w:t>
      </w:r>
      <w:r w:rsidRPr="00255E99">
        <w:rPr>
          <w:rFonts w:ascii="Book Antiqua" w:eastAsia="等线" w:hAnsi="Book Antiqua" w:hint="eastAsia"/>
          <w:b/>
          <w:sz w:val="24"/>
          <w:szCs w:val="24"/>
          <w:lang w:eastAsia="zh-CN"/>
        </w:rPr>
        <w:t xml:space="preserve"> </w:t>
      </w:r>
      <w:r w:rsidRPr="00255E99">
        <w:rPr>
          <w:rFonts w:ascii="Book Antiqua" w:hAnsi="Book Antiqua"/>
          <w:b/>
          <w:sz w:val="24"/>
          <w:szCs w:val="24"/>
        </w:rPr>
        <w:t>Forest plot of the meta-analysis</w:t>
      </w:r>
      <w:r w:rsidRPr="00255E99">
        <w:rPr>
          <w:rFonts w:ascii="Book Antiqua" w:eastAsia="等线" w:hAnsi="Book Antiqua" w:hint="eastAsia"/>
          <w:b/>
          <w:sz w:val="24"/>
          <w:szCs w:val="24"/>
          <w:lang w:eastAsia="zh-CN"/>
        </w:rPr>
        <w:t>.</w:t>
      </w:r>
      <w:r>
        <w:rPr>
          <w:rFonts w:ascii="Book Antiqua" w:eastAsia="等线" w:hAnsi="Book Antiqua" w:hint="eastAsia"/>
          <w:b/>
          <w:sz w:val="24"/>
          <w:szCs w:val="24"/>
          <w:lang w:eastAsia="zh-CN"/>
        </w:rPr>
        <w:t xml:space="preserve"> </w:t>
      </w:r>
      <w:r w:rsidRPr="00255E99">
        <w:rPr>
          <w:rFonts w:ascii="Book Antiqua" w:eastAsia="等线" w:hAnsi="Book Antiqua" w:hint="eastAsia"/>
          <w:sz w:val="24"/>
          <w:szCs w:val="24"/>
          <w:lang w:eastAsia="zh-CN"/>
        </w:rPr>
        <w:t>A:</w:t>
      </w:r>
      <w:r w:rsidRPr="0066363E">
        <w:rPr>
          <w:rFonts w:ascii="Book Antiqua" w:hAnsi="Book Antiqua"/>
          <w:sz w:val="24"/>
          <w:szCs w:val="24"/>
        </w:rPr>
        <w:t xml:space="preserve"> Comparing the occurrence of bradycardia between the propofol group and the benzodiazepine + opioid group (BZ + OP).  Outcome: Bradycardia (defined </w:t>
      </w:r>
      <w:r>
        <w:rPr>
          <w:rFonts w:ascii="Book Antiqua" w:hAnsi="Book Antiqua"/>
          <w:sz w:val="24"/>
          <w:szCs w:val="24"/>
        </w:rPr>
        <w:t xml:space="preserve">as heart </w:t>
      </w:r>
      <w:r>
        <w:rPr>
          <w:rFonts w:ascii="Book Antiqua" w:hAnsi="Book Antiqua"/>
          <w:sz w:val="24"/>
          <w:szCs w:val="24"/>
        </w:rPr>
        <w:lastRenderedPageBreak/>
        <w:t>rate less than 50 bpm)</w:t>
      </w:r>
      <w:r>
        <w:rPr>
          <w:rFonts w:ascii="Book Antiqua" w:eastAsia="等线" w:hAnsi="Book Antiqua" w:hint="eastAsia"/>
          <w:sz w:val="24"/>
          <w:szCs w:val="24"/>
          <w:lang w:eastAsia="zh-CN"/>
        </w:rPr>
        <w:t xml:space="preserve">; </w:t>
      </w:r>
      <w:r w:rsidRPr="0066363E">
        <w:rPr>
          <w:rFonts w:ascii="Book Antiqua" w:eastAsia="等线" w:hAnsi="Book Antiqua" w:hint="eastAsia"/>
          <w:sz w:val="24"/>
          <w:szCs w:val="24"/>
          <w:lang w:eastAsia="zh-CN"/>
        </w:rPr>
        <w:t xml:space="preserve">B: </w:t>
      </w:r>
      <w:r w:rsidRPr="0066363E">
        <w:rPr>
          <w:rFonts w:ascii="Book Antiqua" w:hAnsi="Book Antiqua"/>
          <w:sz w:val="24"/>
          <w:szCs w:val="24"/>
        </w:rPr>
        <w:t>Comparing the occurrence of oxygen desaturation between the propofol group and</w:t>
      </w:r>
      <w:r>
        <w:rPr>
          <w:rFonts w:ascii="Book Antiqua" w:eastAsia="等线" w:hAnsi="Book Antiqua" w:hint="eastAsia"/>
          <w:sz w:val="24"/>
          <w:szCs w:val="24"/>
          <w:lang w:eastAsia="zh-CN"/>
        </w:rPr>
        <w:t xml:space="preserve"> </w:t>
      </w:r>
      <w:r>
        <w:rPr>
          <w:rFonts w:ascii="Book Antiqua" w:hAnsi="Book Antiqua"/>
          <w:sz w:val="24"/>
          <w:szCs w:val="24"/>
        </w:rPr>
        <w:t>BZ + OP</w:t>
      </w:r>
      <w:r>
        <w:rPr>
          <w:rFonts w:ascii="Book Antiqua" w:eastAsia="等线" w:hAnsi="Book Antiqua" w:hint="eastAsia"/>
          <w:sz w:val="24"/>
          <w:szCs w:val="24"/>
          <w:lang w:eastAsia="zh-CN"/>
        </w:rPr>
        <w:t>.</w:t>
      </w:r>
      <w:r w:rsidRPr="00255E99">
        <w:rPr>
          <w:rFonts w:ascii="Book Antiqua" w:hAnsi="Book Antiqua"/>
          <w:sz w:val="24"/>
          <w:szCs w:val="24"/>
        </w:rPr>
        <w:t xml:space="preserve"> </w:t>
      </w:r>
      <w:r w:rsidRPr="0016364C">
        <w:rPr>
          <w:rFonts w:ascii="Book Antiqua" w:hAnsi="Book Antiqua"/>
          <w:sz w:val="24"/>
          <w:szCs w:val="24"/>
        </w:rPr>
        <w:t>Outcome: Hypotension (Defined as systolic blood pressure &lt;</w:t>
      </w:r>
      <w:r>
        <w:rPr>
          <w:rFonts w:ascii="Book Antiqua" w:eastAsia="等线" w:hAnsi="Book Antiqua" w:hint="eastAsia"/>
          <w:sz w:val="24"/>
          <w:szCs w:val="24"/>
          <w:lang w:eastAsia="zh-CN"/>
        </w:rPr>
        <w:t xml:space="preserve"> </w:t>
      </w:r>
      <w:r w:rsidRPr="0016364C">
        <w:rPr>
          <w:rFonts w:ascii="Book Antiqua" w:hAnsi="Book Antiqua"/>
          <w:sz w:val="24"/>
          <w:szCs w:val="24"/>
        </w:rPr>
        <w:t>90 mmHg)</w:t>
      </w:r>
      <w:r>
        <w:rPr>
          <w:rFonts w:ascii="Book Antiqua" w:eastAsia="等线" w:hAnsi="Book Antiqua" w:hint="eastAsia"/>
          <w:sz w:val="24"/>
          <w:szCs w:val="24"/>
          <w:lang w:eastAsia="zh-CN"/>
        </w:rPr>
        <w:t xml:space="preserve">; </w:t>
      </w:r>
      <w:r w:rsidRPr="00255E99">
        <w:rPr>
          <w:rFonts w:ascii="Book Antiqua" w:eastAsia="等线" w:hAnsi="Book Antiqua" w:hint="eastAsia"/>
          <w:sz w:val="24"/>
          <w:szCs w:val="24"/>
          <w:lang w:eastAsia="zh-CN"/>
        </w:rPr>
        <w:t>C:</w:t>
      </w:r>
      <w:r w:rsidRPr="00255E99">
        <w:rPr>
          <w:rFonts w:ascii="Book Antiqua" w:hAnsi="Book Antiqua"/>
          <w:sz w:val="24"/>
          <w:szCs w:val="24"/>
        </w:rPr>
        <w:t xml:space="preserve"> Comparing the occurrence of desaturation between the propofol group and </w:t>
      </w:r>
      <w:r>
        <w:rPr>
          <w:rFonts w:ascii="Book Antiqua" w:hAnsi="Book Antiqua"/>
          <w:sz w:val="24"/>
          <w:szCs w:val="24"/>
        </w:rPr>
        <w:t>BZ + OP</w:t>
      </w:r>
      <w:r w:rsidRPr="00255E99">
        <w:rPr>
          <w:rFonts w:ascii="Book Antiqua" w:hAnsi="Book Antiqua"/>
          <w:sz w:val="24"/>
          <w:szCs w:val="24"/>
        </w:rPr>
        <w:t xml:space="preserve">. </w:t>
      </w:r>
      <w:r w:rsidRPr="00D46A14">
        <w:rPr>
          <w:rFonts w:ascii="Book Antiqua" w:hAnsi="Book Antiqua"/>
          <w:sz w:val="24"/>
          <w:szCs w:val="24"/>
        </w:rPr>
        <w:t>Outcome: Oxygen desaturation (Defined as peripheral saturation of O</w:t>
      </w:r>
      <w:r w:rsidRPr="00D46A14">
        <w:rPr>
          <w:rFonts w:ascii="Book Antiqua" w:hAnsi="Book Antiqua"/>
          <w:sz w:val="24"/>
          <w:szCs w:val="24"/>
          <w:vertAlign w:val="subscript"/>
        </w:rPr>
        <w:t xml:space="preserve">2 </w:t>
      </w:r>
      <w:r w:rsidRPr="00D46A14">
        <w:rPr>
          <w:rFonts w:ascii="Book Antiqua" w:hAnsi="Book Antiqua"/>
          <w:sz w:val="24"/>
          <w:szCs w:val="24"/>
        </w:rPr>
        <w:t>defined as &lt; 90%)</w:t>
      </w:r>
      <w:r>
        <w:rPr>
          <w:rFonts w:ascii="Book Antiqua" w:eastAsia="等线" w:hAnsi="Book Antiqua" w:hint="eastAsia"/>
          <w:sz w:val="24"/>
          <w:szCs w:val="24"/>
          <w:lang w:eastAsia="zh-CN"/>
        </w:rPr>
        <w:t xml:space="preserve">; </w:t>
      </w:r>
      <w:r w:rsidRPr="00255E99">
        <w:rPr>
          <w:rFonts w:ascii="Book Antiqua" w:eastAsia="等线" w:hAnsi="Book Antiqua" w:hint="eastAsia"/>
          <w:sz w:val="24"/>
          <w:szCs w:val="24"/>
          <w:lang w:eastAsia="zh-CN"/>
        </w:rPr>
        <w:t xml:space="preserve">D: </w:t>
      </w:r>
      <w:r w:rsidRPr="00255E99">
        <w:rPr>
          <w:rFonts w:ascii="Book Antiqua" w:hAnsi="Book Antiqua"/>
          <w:sz w:val="24"/>
          <w:szCs w:val="24"/>
        </w:rPr>
        <w:t>Comparing patient satisfaction with the sedation received for the procedure between the propofol group and BZ + OP</w:t>
      </w:r>
      <w:r w:rsidRPr="00255E99">
        <w:rPr>
          <w:rFonts w:ascii="Book Antiqua" w:eastAsia="等线" w:hAnsi="Book Antiqua" w:hint="eastAsia"/>
          <w:sz w:val="24"/>
          <w:szCs w:val="24"/>
          <w:lang w:eastAsia="zh-CN"/>
        </w:rPr>
        <w:t xml:space="preserve">. </w:t>
      </w:r>
      <w:r w:rsidRPr="00255E99">
        <w:rPr>
          <w:rFonts w:ascii="Book Antiqua" w:hAnsi="Book Antiqua"/>
          <w:sz w:val="24"/>
          <w:szCs w:val="24"/>
        </w:rPr>
        <w:t>Outcome: Patient satisfaction (Visual analog scale – 0: very dissatisfied to 10: very satisfied)</w:t>
      </w:r>
      <w:r w:rsidRPr="00255E99">
        <w:rPr>
          <w:rFonts w:ascii="Book Antiqua" w:eastAsia="等线" w:hAnsi="Book Antiqua" w:hint="eastAsia"/>
          <w:sz w:val="24"/>
          <w:szCs w:val="24"/>
          <w:lang w:eastAsia="zh-CN"/>
        </w:rPr>
        <w:t>;</w:t>
      </w:r>
      <w:r>
        <w:rPr>
          <w:rFonts w:ascii="Book Antiqua" w:eastAsia="等线" w:hAnsi="Book Antiqua" w:hint="eastAsia"/>
          <w:sz w:val="24"/>
          <w:szCs w:val="24"/>
          <w:lang w:eastAsia="zh-CN"/>
        </w:rPr>
        <w:t xml:space="preserve"> </w:t>
      </w:r>
      <w:r w:rsidRPr="00255E99">
        <w:rPr>
          <w:rFonts w:ascii="Book Antiqua" w:eastAsia="等线" w:hAnsi="Book Antiqua" w:hint="eastAsia"/>
          <w:sz w:val="24"/>
          <w:szCs w:val="24"/>
          <w:lang w:eastAsia="zh-CN"/>
        </w:rPr>
        <w:t xml:space="preserve">E: </w:t>
      </w:r>
      <w:r w:rsidRPr="00255E99">
        <w:rPr>
          <w:rFonts w:ascii="Book Antiqua" w:hAnsi="Book Antiqua"/>
          <w:sz w:val="24"/>
          <w:szCs w:val="24"/>
        </w:rPr>
        <w:t xml:space="preserve">Comparing satisfaction of the endoscopists with the sedation administered for the procedure between the propofol group and BZ + OP. </w:t>
      </w:r>
      <w:r w:rsidRPr="00D46A14">
        <w:rPr>
          <w:rFonts w:ascii="Book Antiqua" w:hAnsi="Book Antiqua"/>
          <w:sz w:val="24"/>
          <w:szCs w:val="24"/>
        </w:rPr>
        <w:t>Outcome: Endoscopists satisfaction (Visual analog scale – 0: very dissatisfied to 10: very satisfied)</w:t>
      </w:r>
      <w:r>
        <w:rPr>
          <w:rFonts w:ascii="Book Antiqua" w:eastAsia="等线" w:hAnsi="Book Antiqua" w:hint="eastAsia"/>
          <w:sz w:val="24"/>
          <w:szCs w:val="24"/>
          <w:lang w:eastAsia="zh-CN"/>
        </w:rPr>
        <w:t xml:space="preserve">; </w:t>
      </w:r>
      <w:r w:rsidR="0066363E" w:rsidRPr="00255E99">
        <w:rPr>
          <w:rFonts w:ascii="Book Antiqua" w:eastAsia="等线" w:hAnsi="Book Antiqua" w:hint="eastAsia"/>
          <w:sz w:val="24"/>
          <w:szCs w:val="24"/>
          <w:lang w:eastAsia="zh-CN"/>
        </w:rPr>
        <w:t xml:space="preserve">F: </w:t>
      </w:r>
      <w:r w:rsidRPr="00255E99">
        <w:rPr>
          <w:rFonts w:ascii="Book Antiqua" w:hAnsi="Book Antiqua"/>
          <w:sz w:val="24"/>
          <w:szCs w:val="24"/>
        </w:rPr>
        <w:t xml:space="preserve">Comparing </w:t>
      </w:r>
      <w:r w:rsidR="0016364C" w:rsidRPr="00255E99">
        <w:rPr>
          <w:rFonts w:ascii="Book Antiqua" w:hAnsi="Book Antiqua"/>
          <w:sz w:val="24"/>
          <w:szCs w:val="24"/>
        </w:rPr>
        <w:t xml:space="preserve">patient recovery time after the procedure between the propofol group and </w:t>
      </w:r>
      <w:r>
        <w:rPr>
          <w:rFonts w:ascii="Book Antiqua" w:hAnsi="Book Antiqua"/>
          <w:sz w:val="24"/>
          <w:szCs w:val="24"/>
        </w:rPr>
        <w:t>BZ + OP</w:t>
      </w:r>
      <w:r w:rsidR="0016364C" w:rsidRPr="00255E99">
        <w:rPr>
          <w:rFonts w:ascii="Book Antiqua" w:hAnsi="Book Antiqua"/>
          <w:sz w:val="24"/>
          <w:szCs w:val="24"/>
        </w:rPr>
        <w:t>.</w:t>
      </w:r>
      <w:r w:rsidRPr="00255E99">
        <w:rPr>
          <w:rFonts w:ascii="Book Antiqua" w:hAnsi="Book Antiqua"/>
          <w:sz w:val="24"/>
          <w:szCs w:val="24"/>
        </w:rPr>
        <w:t xml:space="preserve"> Outcome: Post pr</w:t>
      </w:r>
      <w:r>
        <w:rPr>
          <w:rFonts w:ascii="Book Antiqua" w:hAnsi="Book Antiqua"/>
          <w:sz w:val="24"/>
          <w:szCs w:val="24"/>
        </w:rPr>
        <w:t>ocedure time to recovery (min</w:t>
      </w:r>
      <w:r w:rsidRPr="00255E99">
        <w:rPr>
          <w:rFonts w:ascii="Book Antiqua" w:hAnsi="Book Antiqua"/>
          <w:sz w:val="24"/>
          <w:szCs w:val="24"/>
        </w:rPr>
        <w:t>)</w:t>
      </w:r>
      <w:r w:rsidRPr="00255E99">
        <w:rPr>
          <w:rFonts w:ascii="Book Antiqua" w:eastAsia="等线" w:hAnsi="Book Antiqua" w:hint="eastAsia"/>
          <w:sz w:val="24"/>
          <w:szCs w:val="24"/>
          <w:lang w:eastAsia="zh-CN"/>
        </w:rPr>
        <w:t>.</w:t>
      </w:r>
    </w:p>
    <w:p w14:paraId="1D8F97BB" w14:textId="77777777" w:rsidR="008C2A83" w:rsidRDefault="008C2A83" w:rsidP="008C2A83">
      <w:pPr>
        <w:spacing w:after="0" w:line="360" w:lineRule="auto"/>
        <w:ind w:left="0" w:firstLine="0"/>
        <w:rPr>
          <w:rFonts w:ascii="Book Antiqua" w:eastAsia="等线" w:hAnsi="Book Antiqua"/>
          <w:b/>
          <w:sz w:val="24"/>
          <w:szCs w:val="24"/>
          <w:lang w:eastAsia="zh-CN"/>
        </w:rPr>
      </w:pPr>
    </w:p>
    <w:p w14:paraId="65DE2E95" w14:textId="77777777" w:rsidR="008C2A83" w:rsidRDefault="008C2A83">
      <w:pPr>
        <w:spacing w:after="160" w:line="259" w:lineRule="auto"/>
        <w:ind w:left="0" w:right="0" w:firstLine="0"/>
        <w:jc w:val="left"/>
        <w:rPr>
          <w:rFonts w:ascii="Book Antiqua" w:eastAsia="等线" w:hAnsi="Book Antiqua"/>
          <w:b/>
          <w:sz w:val="24"/>
          <w:szCs w:val="24"/>
          <w:lang w:eastAsia="zh-CN"/>
        </w:rPr>
      </w:pPr>
      <w:r>
        <w:rPr>
          <w:rFonts w:ascii="Book Antiqua" w:eastAsia="等线" w:hAnsi="Book Antiqua"/>
          <w:b/>
          <w:sz w:val="24"/>
          <w:szCs w:val="24"/>
          <w:lang w:eastAsia="zh-CN"/>
        </w:rPr>
        <w:br w:type="page"/>
      </w:r>
    </w:p>
    <w:p w14:paraId="52FB456E" w14:textId="4588ACD7" w:rsidR="00CD3D48" w:rsidRPr="008C2A83" w:rsidRDefault="008C2A83" w:rsidP="008C2A83">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lastRenderedPageBreak/>
        <w:t>A</w:t>
      </w:r>
    </w:p>
    <w:p w14:paraId="21353586" w14:textId="77777777" w:rsidR="0016364C" w:rsidRDefault="0016364C" w:rsidP="00D46A14">
      <w:pPr>
        <w:spacing w:after="0" w:line="360" w:lineRule="auto"/>
        <w:ind w:hanging="56"/>
        <w:rPr>
          <w:rFonts w:ascii="Book Antiqua" w:eastAsia="等线" w:hAnsi="Book Antiqua"/>
          <w:sz w:val="24"/>
          <w:szCs w:val="24"/>
          <w:lang w:eastAsia="zh-CN"/>
        </w:rPr>
      </w:pPr>
      <w:r w:rsidRPr="00D46A14">
        <w:rPr>
          <w:rFonts w:ascii="Book Antiqua" w:hAnsi="Book Antiqua"/>
          <w:noProof/>
          <w:sz w:val="24"/>
          <w:szCs w:val="24"/>
          <w:lang w:eastAsia="zh-CN"/>
        </w:rPr>
        <w:drawing>
          <wp:inline distT="0" distB="0" distL="0" distR="0" wp14:anchorId="3AF7FD75" wp14:editId="3909FD79">
            <wp:extent cx="3618523" cy="3208531"/>
            <wp:effectExtent l="0" t="0" r="1270" b="0"/>
            <wp:docPr id="9" name="Imagem 9"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co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6772" cy="3206978"/>
                    </a:xfrm>
                    <a:prstGeom prst="rect">
                      <a:avLst/>
                    </a:prstGeom>
                    <a:noFill/>
                    <a:ln>
                      <a:noFill/>
                    </a:ln>
                  </pic:spPr>
                </pic:pic>
              </a:graphicData>
            </a:graphic>
          </wp:inline>
        </w:drawing>
      </w:r>
    </w:p>
    <w:p w14:paraId="4F4DD150" w14:textId="5E87A89D" w:rsidR="008C2A83" w:rsidRPr="008C2A83" w:rsidRDefault="008C2A83" w:rsidP="00D46A14">
      <w:pPr>
        <w:spacing w:after="0" w:line="360" w:lineRule="auto"/>
        <w:ind w:hanging="56"/>
        <w:rPr>
          <w:rFonts w:ascii="Book Antiqua" w:eastAsia="等线" w:hAnsi="Book Antiqua"/>
          <w:sz w:val="24"/>
          <w:szCs w:val="24"/>
          <w:lang w:eastAsia="zh-CN"/>
        </w:rPr>
      </w:pPr>
      <w:r>
        <w:rPr>
          <w:rFonts w:ascii="Book Antiqua" w:eastAsia="等线" w:hAnsi="Book Antiqua" w:hint="eastAsia"/>
          <w:sz w:val="24"/>
          <w:szCs w:val="24"/>
          <w:lang w:eastAsia="zh-CN"/>
        </w:rPr>
        <w:t>B</w:t>
      </w:r>
    </w:p>
    <w:p w14:paraId="560A43B4"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1ACCDC0F" wp14:editId="1B4794AE">
            <wp:extent cx="3579446" cy="2860698"/>
            <wp:effectExtent l="0" t="0" r="2540" b="0"/>
            <wp:docPr id="10" name="Imagem 10"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ico 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1594" cy="2862415"/>
                    </a:xfrm>
                    <a:prstGeom prst="rect">
                      <a:avLst/>
                    </a:prstGeom>
                    <a:noFill/>
                    <a:ln>
                      <a:noFill/>
                    </a:ln>
                  </pic:spPr>
                </pic:pic>
              </a:graphicData>
            </a:graphic>
          </wp:inline>
        </w:drawing>
      </w:r>
    </w:p>
    <w:p w14:paraId="62D4238F" w14:textId="55B4FCE2" w:rsidR="0016364C" w:rsidRPr="008C2A83" w:rsidRDefault="0016364C" w:rsidP="008C2A83">
      <w:pPr>
        <w:spacing w:after="0" w:line="360" w:lineRule="auto"/>
        <w:ind w:left="0" w:firstLine="0"/>
        <w:rPr>
          <w:rFonts w:ascii="Book Antiqua" w:eastAsia="等线" w:hAnsi="Book Antiqua"/>
          <w:b/>
          <w:sz w:val="24"/>
          <w:szCs w:val="24"/>
          <w:lang w:eastAsia="zh-CN"/>
        </w:rPr>
      </w:pPr>
    </w:p>
    <w:p w14:paraId="3C081B73" w14:textId="1E11D88E" w:rsidR="00CD3D48" w:rsidRPr="008C2A83" w:rsidRDefault="00CD3D48" w:rsidP="00D46A14">
      <w:pPr>
        <w:spacing w:after="0" w:line="360" w:lineRule="auto"/>
        <w:rPr>
          <w:rFonts w:ascii="Book Antiqua" w:hAnsi="Book Antiqua"/>
          <w:b/>
          <w:sz w:val="24"/>
          <w:szCs w:val="24"/>
        </w:rPr>
      </w:pPr>
    </w:p>
    <w:p w14:paraId="2DAD87E5" w14:textId="75431A87" w:rsidR="00CD3D48" w:rsidRPr="00D46A14" w:rsidRDefault="00CD3D48" w:rsidP="00D46A14">
      <w:pPr>
        <w:spacing w:after="0" w:line="360" w:lineRule="auto"/>
        <w:rPr>
          <w:rFonts w:ascii="Book Antiqua" w:hAnsi="Book Antiqua"/>
          <w:b/>
          <w:sz w:val="24"/>
          <w:szCs w:val="24"/>
        </w:rPr>
      </w:pPr>
    </w:p>
    <w:p w14:paraId="2A5DB20B" w14:textId="6784135B" w:rsidR="00CD3D48" w:rsidRPr="00D46A14" w:rsidRDefault="00CD3D48" w:rsidP="00D46A14">
      <w:pPr>
        <w:spacing w:after="0" w:line="360" w:lineRule="auto"/>
        <w:rPr>
          <w:rFonts w:ascii="Book Antiqua" w:hAnsi="Book Antiqua"/>
          <w:b/>
          <w:sz w:val="24"/>
          <w:szCs w:val="24"/>
        </w:rPr>
      </w:pPr>
    </w:p>
    <w:p w14:paraId="50E76F36" w14:textId="59A24CB2" w:rsidR="00CD3D48" w:rsidRPr="00D46A14" w:rsidRDefault="00CD3D48" w:rsidP="00D46A14">
      <w:pPr>
        <w:spacing w:after="0" w:line="360" w:lineRule="auto"/>
        <w:rPr>
          <w:rFonts w:ascii="Book Antiqua" w:hAnsi="Book Antiqua"/>
          <w:b/>
          <w:sz w:val="24"/>
          <w:szCs w:val="24"/>
        </w:rPr>
      </w:pPr>
    </w:p>
    <w:p w14:paraId="42653FF3" w14:textId="41532DB6" w:rsidR="00CD3D48" w:rsidRPr="00D46A14" w:rsidRDefault="00CD3D48" w:rsidP="00D46A14">
      <w:pPr>
        <w:spacing w:after="0" w:line="360" w:lineRule="auto"/>
        <w:rPr>
          <w:rFonts w:ascii="Book Antiqua" w:hAnsi="Book Antiqua"/>
          <w:b/>
          <w:sz w:val="24"/>
          <w:szCs w:val="24"/>
        </w:rPr>
      </w:pPr>
    </w:p>
    <w:p w14:paraId="2F0D7031" w14:textId="3195CFCF" w:rsidR="00CD3D48" w:rsidRPr="00D46A14" w:rsidRDefault="00CD3D48" w:rsidP="00D46A14">
      <w:pPr>
        <w:spacing w:after="0" w:line="360" w:lineRule="auto"/>
        <w:rPr>
          <w:rFonts w:ascii="Book Antiqua" w:hAnsi="Book Antiqua"/>
          <w:b/>
          <w:sz w:val="24"/>
          <w:szCs w:val="24"/>
        </w:rPr>
      </w:pPr>
    </w:p>
    <w:p w14:paraId="7F65169D" w14:textId="6C8D03AF" w:rsidR="0016364C" w:rsidRPr="00F04D8B" w:rsidRDefault="00F04D8B" w:rsidP="00F04D8B">
      <w:pPr>
        <w:spacing w:after="0" w:line="360" w:lineRule="auto"/>
        <w:ind w:left="0" w:firstLine="0"/>
        <w:rPr>
          <w:rFonts w:ascii="Book Antiqua" w:eastAsia="等线" w:hAnsi="Book Antiqua"/>
          <w:sz w:val="24"/>
          <w:szCs w:val="24"/>
          <w:lang w:eastAsia="zh-CN"/>
        </w:rPr>
      </w:pPr>
      <w:r w:rsidRPr="00F04D8B">
        <w:rPr>
          <w:rFonts w:ascii="Book Antiqua" w:eastAsia="等线" w:hAnsi="Book Antiqua" w:hint="eastAsia"/>
          <w:sz w:val="24"/>
          <w:szCs w:val="24"/>
          <w:lang w:eastAsia="zh-CN"/>
        </w:rPr>
        <w:lastRenderedPageBreak/>
        <w:t>C</w:t>
      </w:r>
    </w:p>
    <w:p w14:paraId="726944B4"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19300956" wp14:editId="19E25768">
            <wp:extent cx="3798277" cy="3388764"/>
            <wp:effectExtent l="0" t="0" r="0" b="2540"/>
            <wp:docPr id="11" name="Imagem 11"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co 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0556" cy="3390798"/>
                    </a:xfrm>
                    <a:prstGeom prst="rect">
                      <a:avLst/>
                    </a:prstGeom>
                    <a:noFill/>
                    <a:ln>
                      <a:noFill/>
                    </a:ln>
                  </pic:spPr>
                </pic:pic>
              </a:graphicData>
            </a:graphic>
          </wp:inline>
        </w:drawing>
      </w:r>
    </w:p>
    <w:p w14:paraId="3C9F789A" w14:textId="7838E698" w:rsidR="00F04D8B" w:rsidRPr="00F04D8B" w:rsidRDefault="00F04D8B" w:rsidP="00F04D8B">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t>D</w:t>
      </w:r>
    </w:p>
    <w:p w14:paraId="7AEAD7ED" w14:textId="77777777" w:rsidR="0016364C" w:rsidRPr="00D46A14" w:rsidRDefault="0016364C" w:rsidP="00F04D8B">
      <w:pPr>
        <w:spacing w:after="0" w:line="360" w:lineRule="auto"/>
        <w:ind w:left="0" w:firstLine="0"/>
        <w:rPr>
          <w:rFonts w:ascii="Book Antiqua" w:hAnsi="Book Antiqua"/>
          <w:sz w:val="24"/>
          <w:szCs w:val="24"/>
        </w:rPr>
      </w:pPr>
      <w:r w:rsidRPr="00D46A14">
        <w:rPr>
          <w:rFonts w:ascii="Book Antiqua" w:hAnsi="Book Antiqua"/>
          <w:noProof/>
          <w:sz w:val="24"/>
          <w:szCs w:val="24"/>
          <w:lang w:eastAsia="zh-CN"/>
        </w:rPr>
        <w:drawing>
          <wp:inline distT="0" distB="0" distL="0" distR="0" wp14:anchorId="349DED4F" wp14:editId="6E4B8069">
            <wp:extent cx="4704862" cy="3227053"/>
            <wp:effectExtent l="0" t="0" r="635" b="0"/>
            <wp:docPr id="12" name="Imagem 12"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ico 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9162" cy="3236861"/>
                    </a:xfrm>
                    <a:prstGeom prst="rect">
                      <a:avLst/>
                    </a:prstGeom>
                    <a:noFill/>
                    <a:ln>
                      <a:noFill/>
                    </a:ln>
                  </pic:spPr>
                </pic:pic>
              </a:graphicData>
            </a:graphic>
          </wp:inline>
        </w:drawing>
      </w:r>
    </w:p>
    <w:p w14:paraId="1E6A93EA" w14:textId="3F5CE22F" w:rsidR="0016364C" w:rsidRPr="00F04D8B" w:rsidRDefault="0016364C" w:rsidP="00F04D8B">
      <w:pPr>
        <w:spacing w:after="0" w:line="360" w:lineRule="auto"/>
        <w:ind w:firstLine="0"/>
        <w:rPr>
          <w:rFonts w:ascii="Book Antiqua" w:eastAsia="等线" w:hAnsi="Book Antiqua"/>
          <w:sz w:val="24"/>
          <w:szCs w:val="24"/>
          <w:lang w:eastAsia="zh-CN"/>
        </w:rPr>
      </w:pPr>
    </w:p>
    <w:p w14:paraId="79B93260" w14:textId="1BAEC282" w:rsidR="0016364C" w:rsidRPr="00D46A14" w:rsidRDefault="0016364C" w:rsidP="00D46A14">
      <w:pPr>
        <w:spacing w:after="0" w:line="360" w:lineRule="auto"/>
        <w:rPr>
          <w:rFonts w:ascii="Book Antiqua" w:hAnsi="Book Antiqua"/>
          <w:sz w:val="24"/>
          <w:szCs w:val="24"/>
        </w:rPr>
      </w:pPr>
    </w:p>
    <w:p w14:paraId="1A68C2DB" w14:textId="400805EE" w:rsidR="00CD3D48" w:rsidRPr="00D46A14" w:rsidRDefault="00CD3D48" w:rsidP="00D46A14">
      <w:pPr>
        <w:spacing w:after="0" w:line="360" w:lineRule="auto"/>
        <w:rPr>
          <w:rFonts w:ascii="Book Antiqua" w:hAnsi="Book Antiqua"/>
          <w:sz w:val="24"/>
          <w:szCs w:val="24"/>
        </w:rPr>
      </w:pPr>
    </w:p>
    <w:p w14:paraId="0ED8420C" w14:textId="196A7DE2" w:rsidR="00CD3D48" w:rsidRPr="00D46A14" w:rsidRDefault="00CD3D48" w:rsidP="00D46A14">
      <w:pPr>
        <w:spacing w:after="0" w:line="360" w:lineRule="auto"/>
        <w:rPr>
          <w:rFonts w:ascii="Book Antiqua" w:hAnsi="Book Antiqua"/>
          <w:sz w:val="24"/>
          <w:szCs w:val="24"/>
        </w:rPr>
      </w:pPr>
    </w:p>
    <w:p w14:paraId="256C116F" w14:textId="3DE589FE" w:rsidR="00CD3D48" w:rsidRPr="00D46A14" w:rsidRDefault="00CD3D48" w:rsidP="00D46A14">
      <w:pPr>
        <w:spacing w:after="0" w:line="360" w:lineRule="auto"/>
        <w:rPr>
          <w:rFonts w:ascii="Book Antiqua" w:hAnsi="Book Antiqua"/>
          <w:sz w:val="24"/>
          <w:szCs w:val="24"/>
        </w:rPr>
      </w:pPr>
    </w:p>
    <w:p w14:paraId="29EBB7BB" w14:textId="26E5814B" w:rsidR="00CD3D48" w:rsidRPr="00F04D8B" w:rsidRDefault="00F04D8B" w:rsidP="00F04D8B">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lastRenderedPageBreak/>
        <w:t>E</w:t>
      </w:r>
    </w:p>
    <w:p w14:paraId="1C244B54" w14:textId="77777777" w:rsidR="0016364C" w:rsidRPr="00D46A14" w:rsidRDefault="0016364C" w:rsidP="00D46A14">
      <w:pPr>
        <w:spacing w:after="0" w:line="360" w:lineRule="auto"/>
        <w:ind w:firstLine="86"/>
        <w:rPr>
          <w:rFonts w:ascii="Book Antiqua" w:hAnsi="Book Antiqua"/>
          <w:sz w:val="24"/>
          <w:szCs w:val="24"/>
        </w:rPr>
      </w:pPr>
      <w:r w:rsidRPr="00D46A14">
        <w:rPr>
          <w:rFonts w:ascii="Book Antiqua" w:hAnsi="Book Antiqua"/>
          <w:noProof/>
          <w:sz w:val="24"/>
          <w:szCs w:val="24"/>
          <w:lang w:eastAsia="zh-CN"/>
        </w:rPr>
        <w:drawing>
          <wp:inline distT="0" distB="0" distL="0" distR="0" wp14:anchorId="573A4FED" wp14:editId="42BB4050">
            <wp:extent cx="5033108" cy="3348593"/>
            <wp:effectExtent l="0" t="0" r="0" b="4445"/>
            <wp:docPr id="13" name="Imagem 13"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co 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6373" cy="3350765"/>
                    </a:xfrm>
                    <a:prstGeom prst="rect">
                      <a:avLst/>
                    </a:prstGeom>
                    <a:noFill/>
                    <a:ln>
                      <a:noFill/>
                    </a:ln>
                  </pic:spPr>
                </pic:pic>
              </a:graphicData>
            </a:graphic>
          </wp:inline>
        </w:drawing>
      </w:r>
    </w:p>
    <w:p w14:paraId="1F58F29A" w14:textId="46FFE767" w:rsidR="0016364C" w:rsidRPr="00F04D8B" w:rsidRDefault="00F04D8B" w:rsidP="00F04D8B">
      <w:pPr>
        <w:spacing w:after="0" w:line="360" w:lineRule="auto"/>
        <w:ind w:left="0" w:firstLine="0"/>
        <w:rPr>
          <w:rFonts w:ascii="Book Antiqua" w:eastAsia="等线" w:hAnsi="Book Antiqua"/>
          <w:b/>
          <w:sz w:val="24"/>
          <w:szCs w:val="24"/>
          <w:lang w:eastAsia="zh-CN"/>
        </w:rPr>
      </w:pPr>
      <w:r>
        <w:rPr>
          <w:rFonts w:ascii="Book Antiqua" w:eastAsia="等线" w:hAnsi="Book Antiqua" w:hint="eastAsia"/>
          <w:b/>
          <w:sz w:val="24"/>
          <w:szCs w:val="24"/>
          <w:lang w:eastAsia="zh-CN"/>
        </w:rPr>
        <w:t>F</w:t>
      </w:r>
    </w:p>
    <w:p w14:paraId="1EFAAD52"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24F909DC" wp14:editId="632EA9C4">
            <wp:extent cx="5048738" cy="3834596"/>
            <wp:effectExtent l="0" t="0" r="0" b="0"/>
            <wp:docPr id="14" name="Imagem 14"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co 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9163" cy="3834919"/>
                    </a:xfrm>
                    <a:prstGeom prst="rect">
                      <a:avLst/>
                    </a:prstGeom>
                    <a:noFill/>
                    <a:ln>
                      <a:noFill/>
                    </a:ln>
                  </pic:spPr>
                </pic:pic>
              </a:graphicData>
            </a:graphic>
          </wp:inline>
        </w:drawing>
      </w:r>
    </w:p>
    <w:p w14:paraId="542304E8" w14:textId="44CBC2D9" w:rsidR="00F04D8B" w:rsidRPr="00F04D8B" w:rsidRDefault="00F04D8B" w:rsidP="00F04D8B">
      <w:pPr>
        <w:spacing w:after="0" w:line="360" w:lineRule="auto"/>
        <w:ind w:firstLine="0"/>
        <w:rPr>
          <w:rFonts w:ascii="Book Antiqua" w:eastAsia="等线" w:hAnsi="Book Antiqua"/>
          <w:sz w:val="24"/>
          <w:szCs w:val="24"/>
          <w:lang w:eastAsia="zh-CN"/>
        </w:rPr>
      </w:pPr>
      <w:r>
        <w:rPr>
          <w:rFonts w:ascii="Book Antiqua" w:eastAsia="等线" w:hAnsi="Book Antiqua" w:hint="eastAsia"/>
          <w:b/>
          <w:sz w:val="24"/>
          <w:szCs w:val="24"/>
          <w:lang w:eastAsia="zh-CN"/>
        </w:rPr>
        <w:t xml:space="preserve">Figure 3 </w:t>
      </w:r>
      <w:r w:rsidRPr="00D46A14">
        <w:rPr>
          <w:rFonts w:ascii="Book Antiqua" w:hAnsi="Book Antiqua"/>
          <w:b/>
          <w:sz w:val="24"/>
          <w:szCs w:val="24"/>
        </w:rPr>
        <w:t xml:space="preserve">Propofol </w:t>
      </w:r>
      <w:r w:rsidRPr="00F04D8B">
        <w:rPr>
          <w:rFonts w:ascii="Book Antiqua" w:eastAsia="等线" w:hAnsi="Book Antiqua" w:hint="eastAsia"/>
          <w:b/>
          <w:i/>
          <w:sz w:val="24"/>
          <w:szCs w:val="24"/>
          <w:lang w:eastAsia="zh-CN"/>
        </w:rPr>
        <w:t>vs</w:t>
      </w:r>
      <w:r w:rsidRPr="00D46A14">
        <w:rPr>
          <w:rFonts w:ascii="Book Antiqua" w:hAnsi="Book Antiqua"/>
          <w:b/>
          <w:sz w:val="24"/>
          <w:szCs w:val="24"/>
        </w:rPr>
        <w:t xml:space="preserve"> propofol wit</w:t>
      </w:r>
      <w:r>
        <w:rPr>
          <w:rFonts w:ascii="Book Antiqua" w:hAnsi="Book Antiqua"/>
          <w:b/>
          <w:sz w:val="24"/>
          <w:szCs w:val="24"/>
        </w:rPr>
        <w:t>h benzodiazepine and/or opioids</w:t>
      </w:r>
      <w:r>
        <w:rPr>
          <w:rFonts w:ascii="Book Antiqua" w:eastAsia="等线" w:hAnsi="Book Antiqua" w:hint="eastAsia"/>
          <w:b/>
          <w:sz w:val="24"/>
          <w:szCs w:val="24"/>
          <w:lang w:eastAsia="zh-CN"/>
        </w:rPr>
        <w:t xml:space="preserve"> - </w:t>
      </w:r>
      <w:r w:rsidRPr="00D46A14">
        <w:rPr>
          <w:rFonts w:ascii="Book Antiqua" w:hAnsi="Book Antiqua"/>
          <w:b/>
          <w:sz w:val="24"/>
          <w:szCs w:val="24"/>
        </w:rPr>
        <w:t>Forest plot of the meta-analysis</w:t>
      </w:r>
      <w:r>
        <w:rPr>
          <w:rFonts w:ascii="Book Antiqua" w:eastAsia="等线" w:hAnsi="Book Antiqua" w:hint="eastAsia"/>
          <w:b/>
          <w:sz w:val="24"/>
          <w:szCs w:val="24"/>
          <w:lang w:eastAsia="zh-CN"/>
        </w:rPr>
        <w:t xml:space="preserve">. </w:t>
      </w:r>
      <w:r w:rsidRPr="008C2A83">
        <w:rPr>
          <w:rFonts w:ascii="Book Antiqua" w:eastAsia="等线" w:hAnsi="Book Antiqua" w:hint="eastAsia"/>
          <w:sz w:val="24"/>
          <w:szCs w:val="24"/>
          <w:lang w:eastAsia="zh-CN"/>
        </w:rPr>
        <w:t xml:space="preserve">A: </w:t>
      </w:r>
      <w:r w:rsidRPr="008C2A83">
        <w:rPr>
          <w:rFonts w:ascii="Book Antiqua" w:hAnsi="Book Antiqua"/>
          <w:sz w:val="24"/>
          <w:szCs w:val="24"/>
        </w:rPr>
        <w:t xml:space="preserve">Comparing the occurrence of bradycardia between the propofol group and the propofol group associated with benzodiazepine and / or opioid (Prop + BZ </w:t>
      </w:r>
      <w:r w:rsidRPr="008C2A83">
        <w:rPr>
          <w:rFonts w:ascii="Book Antiqua" w:hAnsi="Book Antiqua"/>
          <w:sz w:val="24"/>
          <w:szCs w:val="24"/>
        </w:rPr>
        <w:lastRenderedPageBreak/>
        <w:t>and/or OP)</w:t>
      </w:r>
      <w:r w:rsidRPr="008C2A83">
        <w:rPr>
          <w:rFonts w:ascii="Book Antiqua" w:eastAsia="等线" w:hAnsi="Book Antiqua" w:hint="eastAsia"/>
          <w:sz w:val="24"/>
          <w:szCs w:val="24"/>
          <w:lang w:eastAsia="zh-CN"/>
        </w:rPr>
        <w:t>.</w:t>
      </w:r>
      <w:r w:rsidRPr="008C2A83">
        <w:rPr>
          <w:rFonts w:ascii="Book Antiqua" w:hAnsi="Book Antiqua"/>
          <w:sz w:val="24"/>
          <w:szCs w:val="24"/>
        </w:rPr>
        <w:t xml:space="preserve"> Outcome: Bradycardia (defined as HR &lt; 50 bpm)</w:t>
      </w:r>
      <w:r w:rsidRPr="008C2A83">
        <w:rPr>
          <w:rFonts w:ascii="Book Antiqua" w:eastAsia="等线" w:hAnsi="Book Antiqua" w:hint="eastAsia"/>
          <w:sz w:val="24"/>
          <w:szCs w:val="24"/>
          <w:lang w:eastAsia="zh-CN"/>
        </w:rPr>
        <w:t xml:space="preserve">; B: </w:t>
      </w:r>
      <w:r w:rsidRPr="008C2A83">
        <w:rPr>
          <w:rFonts w:ascii="Book Antiqua" w:hAnsi="Book Antiqua"/>
          <w:sz w:val="24"/>
          <w:szCs w:val="24"/>
        </w:rPr>
        <w:t>Comparing the occurrence of hypotension between the propofol group and (Prop + BZ and/or OP)</w:t>
      </w:r>
      <w:r w:rsidRPr="008C2A83">
        <w:rPr>
          <w:rFonts w:ascii="Book Antiqua" w:eastAsia="等线" w:hAnsi="Book Antiqua" w:hint="eastAsia"/>
          <w:sz w:val="24"/>
          <w:szCs w:val="24"/>
          <w:lang w:eastAsia="zh-CN"/>
        </w:rPr>
        <w:t>.</w:t>
      </w:r>
      <w:r w:rsidRPr="008C2A83">
        <w:rPr>
          <w:rFonts w:ascii="Book Antiqua" w:hAnsi="Book Antiqua"/>
          <w:sz w:val="24"/>
          <w:szCs w:val="24"/>
        </w:rPr>
        <w:t xml:space="preserve"> Outcome: Hypotension (Defined as systolic blood pressure &lt;</w:t>
      </w:r>
      <w:r w:rsidRPr="008C2A83">
        <w:rPr>
          <w:rFonts w:ascii="Book Antiqua" w:eastAsia="等线" w:hAnsi="Book Antiqua" w:hint="eastAsia"/>
          <w:sz w:val="24"/>
          <w:szCs w:val="24"/>
          <w:lang w:eastAsia="zh-CN"/>
        </w:rPr>
        <w:t xml:space="preserve"> </w:t>
      </w:r>
      <w:r w:rsidRPr="008C2A83">
        <w:rPr>
          <w:rFonts w:ascii="Book Antiqua" w:hAnsi="Book Antiqua"/>
          <w:sz w:val="24"/>
          <w:szCs w:val="24"/>
        </w:rPr>
        <w:t>90 mmHg)</w:t>
      </w:r>
      <w:r w:rsidRPr="008C2A83">
        <w:rPr>
          <w:rFonts w:ascii="Book Antiqua" w:eastAsia="等线" w:hAnsi="Book Antiqua" w:hint="eastAsia"/>
          <w:sz w:val="24"/>
          <w:szCs w:val="24"/>
          <w:lang w:eastAsia="zh-CN"/>
        </w:rPr>
        <w:t>;</w:t>
      </w:r>
      <w:r>
        <w:rPr>
          <w:rFonts w:ascii="Book Antiqua" w:eastAsia="等线" w:hAnsi="Book Antiqua" w:hint="eastAsia"/>
          <w:sz w:val="24"/>
          <w:szCs w:val="24"/>
          <w:lang w:eastAsia="zh-CN"/>
        </w:rPr>
        <w:t xml:space="preserve"> </w:t>
      </w:r>
      <w:r w:rsidRPr="00F04D8B">
        <w:rPr>
          <w:rFonts w:ascii="Book Antiqua" w:eastAsia="等线" w:hAnsi="Book Antiqua" w:hint="eastAsia"/>
          <w:sz w:val="24"/>
          <w:szCs w:val="24"/>
          <w:lang w:eastAsia="zh-CN"/>
        </w:rPr>
        <w:t xml:space="preserve">C: </w:t>
      </w:r>
      <w:r w:rsidRPr="00F04D8B">
        <w:rPr>
          <w:rFonts w:ascii="Book Antiqua" w:hAnsi="Book Antiqua"/>
          <w:sz w:val="24"/>
          <w:szCs w:val="24"/>
        </w:rPr>
        <w:t>Comparing the occurrence of desaturation between the propofol group and Prop + BZ and/or 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Outcome: Desaturation (Defined as peripheral oxygen saturation of </w:t>
      </w:r>
      <w:r w:rsidRPr="00D46A14">
        <w:rPr>
          <w:rFonts w:ascii="Book Antiqua" w:hAnsi="Book Antiqua"/>
          <w:sz w:val="24"/>
          <w:szCs w:val="24"/>
        </w:rPr>
        <w:t>&lt;</w:t>
      </w:r>
      <w:r>
        <w:rPr>
          <w:rFonts w:ascii="Book Antiqua" w:eastAsia="等线" w:hAnsi="Book Antiqua" w:hint="eastAsia"/>
          <w:sz w:val="24"/>
          <w:szCs w:val="24"/>
          <w:lang w:eastAsia="zh-CN"/>
        </w:rPr>
        <w:t xml:space="preserve"> </w:t>
      </w:r>
      <w:r w:rsidRPr="00D46A14">
        <w:rPr>
          <w:rFonts w:ascii="Book Antiqua" w:hAnsi="Book Antiqua"/>
          <w:sz w:val="24"/>
          <w:szCs w:val="24"/>
        </w:rPr>
        <w:t>90%)</w:t>
      </w:r>
      <w:r>
        <w:rPr>
          <w:rFonts w:ascii="Book Antiqua" w:eastAsia="等线" w:hAnsi="Book Antiqua" w:hint="eastAsia"/>
          <w:sz w:val="24"/>
          <w:szCs w:val="24"/>
          <w:lang w:eastAsia="zh-CN"/>
        </w:rPr>
        <w:t xml:space="preserve">; </w:t>
      </w:r>
      <w:r w:rsidRPr="00F04D8B">
        <w:rPr>
          <w:rFonts w:ascii="Book Antiqua" w:eastAsia="等线" w:hAnsi="Book Antiqua" w:hint="eastAsia"/>
          <w:sz w:val="24"/>
          <w:szCs w:val="24"/>
          <w:lang w:eastAsia="zh-CN"/>
        </w:rPr>
        <w:t xml:space="preserve">D: </w:t>
      </w:r>
      <w:r w:rsidRPr="00F04D8B">
        <w:rPr>
          <w:rFonts w:ascii="Book Antiqua" w:hAnsi="Book Antiqua"/>
          <w:sz w:val="24"/>
          <w:szCs w:val="24"/>
        </w:rPr>
        <w:t>Comparing patient satisfaction with sedation received for the procedure between propofol group and Prop + BZ and/or 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Outcome: Patient satisfaction (Visual analog scale - 0 very dissatisfied / 10 very satisfied)</w:t>
      </w:r>
      <w:r w:rsidRPr="00F04D8B">
        <w:rPr>
          <w:rFonts w:ascii="Book Antiqua" w:eastAsia="等线" w:hAnsi="Book Antiqua" w:hint="eastAsia"/>
          <w:sz w:val="24"/>
          <w:szCs w:val="24"/>
          <w:lang w:eastAsia="zh-CN"/>
        </w:rPr>
        <w:t>;</w:t>
      </w:r>
      <w:r>
        <w:rPr>
          <w:rFonts w:ascii="Book Antiqua" w:eastAsia="等线" w:hAnsi="Book Antiqua" w:hint="eastAsia"/>
          <w:sz w:val="24"/>
          <w:szCs w:val="24"/>
          <w:lang w:eastAsia="zh-CN"/>
        </w:rPr>
        <w:t xml:space="preserve"> </w:t>
      </w:r>
      <w:r w:rsidRPr="00F04D8B">
        <w:rPr>
          <w:rFonts w:ascii="Book Antiqua" w:eastAsia="等线" w:hAnsi="Book Antiqua" w:hint="eastAsia"/>
          <w:sz w:val="24"/>
          <w:szCs w:val="24"/>
          <w:lang w:eastAsia="zh-CN"/>
        </w:rPr>
        <w:t xml:space="preserve">E: </w:t>
      </w:r>
      <w:r w:rsidRPr="00F04D8B">
        <w:rPr>
          <w:rFonts w:ascii="Book Antiqua" w:hAnsi="Book Antiqua"/>
          <w:sz w:val="24"/>
          <w:szCs w:val="24"/>
        </w:rPr>
        <w:t>Comparing patient recovery time after the procedure between the propofol group and Prop + BZ and/or 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Time to recovery (min)</w:t>
      </w:r>
      <w:r w:rsidRPr="00F04D8B">
        <w:rPr>
          <w:rFonts w:ascii="Book Antiqua" w:eastAsia="等线" w:hAnsi="Book Antiqua" w:hint="eastAsia"/>
          <w:sz w:val="24"/>
          <w:szCs w:val="24"/>
          <w:lang w:eastAsia="zh-CN"/>
        </w:rPr>
        <w:t xml:space="preserve">; F: </w:t>
      </w:r>
      <w:r w:rsidRPr="00F04D8B">
        <w:rPr>
          <w:rFonts w:ascii="Book Antiqua" w:hAnsi="Book Antiqua"/>
          <w:sz w:val="24"/>
          <w:szCs w:val="24"/>
        </w:rPr>
        <w:t xml:space="preserve">Comparing </w:t>
      </w:r>
      <w:r w:rsidR="0016364C" w:rsidRPr="00F04D8B">
        <w:rPr>
          <w:rFonts w:ascii="Book Antiqua" w:hAnsi="Book Antiqua"/>
          <w:sz w:val="24"/>
          <w:szCs w:val="24"/>
        </w:rPr>
        <w:t xml:space="preserve">the total dose of propofol administered during </w:t>
      </w:r>
      <w:r w:rsidR="00CD3D48" w:rsidRPr="00F04D8B">
        <w:rPr>
          <w:rFonts w:ascii="Book Antiqua" w:hAnsi="Book Antiqua"/>
          <w:sz w:val="24"/>
          <w:szCs w:val="24"/>
        </w:rPr>
        <w:t>procedures between</w:t>
      </w:r>
      <w:r w:rsidR="0016364C" w:rsidRPr="00F04D8B">
        <w:rPr>
          <w:rFonts w:ascii="Book Antiqua" w:hAnsi="Book Antiqua"/>
          <w:sz w:val="24"/>
          <w:szCs w:val="24"/>
        </w:rPr>
        <w:t xml:space="preserve"> the propofol group and Prop + B</w:t>
      </w:r>
      <w:r w:rsidR="00E54334">
        <w:rPr>
          <w:rFonts w:ascii="Book Antiqua" w:hAnsi="Book Antiqua"/>
          <w:sz w:val="24"/>
          <w:szCs w:val="24"/>
        </w:rPr>
        <w:t>Z</w:t>
      </w:r>
      <w:r w:rsidR="00CD3D48" w:rsidRPr="00F04D8B">
        <w:rPr>
          <w:rFonts w:ascii="Book Antiqua" w:hAnsi="Book Antiqua"/>
          <w:sz w:val="24"/>
          <w:szCs w:val="24"/>
        </w:rPr>
        <w:t xml:space="preserve"> and/or </w:t>
      </w:r>
      <w:r w:rsidRPr="00F04D8B">
        <w:rPr>
          <w:rFonts w:ascii="Book Antiqua" w:hAnsi="Book Antiqua"/>
          <w:sz w:val="24"/>
          <w:szCs w:val="24"/>
        </w:rPr>
        <w:t>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Outcome: Total dose of propofol given during the procedure (mg)</w:t>
      </w:r>
      <w:r w:rsidRPr="00F04D8B">
        <w:rPr>
          <w:rFonts w:ascii="Book Antiqua" w:eastAsia="等线" w:hAnsi="Book Antiqua" w:hint="eastAsia"/>
          <w:sz w:val="24"/>
          <w:szCs w:val="24"/>
          <w:lang w:eastAsia="zh-CN"/>
        </w:rPr>
        <w:t>.</w:t>
      </w:r>
    </w:p>
    <w:p w14:paraId="1033BA5E" w14:textId="77777777" w:rsidR="00F04D8B" w:rsidRDefault="00F04D8B" w:rsidP="00F04D8B">
      <w:pPr>
        <w:spacing w:after="0" w:line="360" w:lineRule="auto"/>
        <w:ind w:firstLine="0"/>
        <w:rPr>
          <w:rFonts w:ascii="Book Antiqua" w:eastAsia="等线" w:hAnsi="Book Antiqua"/>
          <w:sz w:val="24"/>
          <w:szCs w:val="24"/>
          <w:lang w:eastAsia="zh-CN"/>
        </w:rPr>
      </w:pPr>
    </w:p>
    <w:p w14:paraId="1F371D2F" w14:textId="77777777" w:rsidR="00F04D8B" w:rsidRDefault="00F04D8B">
      <w:pPr>
        <w:spacing w:after="160" w:line="259" w:lineRule="auto"/>
        <w:ind w:left="0" w:right="0" w:firstLine="0"/>
        <w:jc w:val="left"/>
        <w:rPr>
          <w:rFonts w:ascii="Book Antiqua" w:eastAsia="等线" w:hAnsi="Book Antiqua"/>
          <w:sz w:val="24"/>
          <w:szCs w:val="24"/>
          <w:lang w:eastAsia="zh-CN"/>
        </w:rPr>
      </w:pPr>
      <w:r>
        <w:rPr>
          <w:rFonts w:ascii="Book Antiqua" w:eastAsia="等线" w:hAnsi="Book Antiqua"/>
          <w:sz w:val="24"/>
          <w:szCs w:val="24"/>
          <w:lang w:eastAsia="zh-CN"/>
        </w:rPr>
        <w:br w:type="page"/>
      </w:r>
    </w:p>
    <w:p w14:paraId="6EC285B8" w14:textId="2DA9CDE6" w:rsidR="00AF41EC" w:rsidRPr="00F04D8B" w:rsidRDefault="00F04D8B" w:rsidP="00F04D8B">
      <w:pPr>
        <w:spacing w:after="0" w:line="360" w:lineRule="auto"/>
        <w:ind w:left="0" w:firstLine="0"/>
        <w:rPr>
          <w:rFonts w:ascii="Book Antiqua" w:eastAsia="等线" w:hAnsi="Book Antiqua"/>
          <w:sz w:val="24"/>
          <w:szCs w:val="24"/>
          <w:lang w:eastAsia="zh-CN"/>
        </w:rPr>
      </w:pPr>
      <w:r w:rsidRPr="00F04D8B">
        <w:rPr>
          <w:rFonts w:ascii="Book Antiqua" w:eastAsia="等线" w:hAnsi="Book Antiqua" w:hint="eastAsia"/>
          <w:sz w:val="24"/>
          <w:szCs w:val="24"/>
          <w:lang w:eastAsia="zh-CN"/>
        </w:rPr>
        <w:lastRenderedPageBreak/>
        <w:t>A</w:t>
      </w:r>
    </w:p>
    <w:p w14:paraId="3CDC42B7"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5F50278C" wp14:editId="00B2975B">
            <wp:extent cx="4564185" cy="3123580"/>
            <wp:effectExtent l="0" t="0" r="8255" b="635"/>
            <wp:docPr id="15" name="Imagem 15" descr="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fico 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7146" cy="3125606"/>
                    </a:xfrm>
                    <a:prstGeom prst="rect">
                      <a:avLst/>
                    </a:prstGeom>
                    <a:noFill/>
                    <a:ln>
                      <a:noFill/>
                    </a:ln>
                  </pic:spPr>
                </pic:pic>
              </a:graphicData>
            </a:graphic>
          </wp:inline>
        </w:drawing>
      </w:r>
    </w:p>
    <w:p w14:paraId="2C36D915" w14:textId="77777777" w:rsidR="00E54334" w:rsidRDefault="00E54334" w:rsidP="00E54334">
      <w:pPr>
        <w:spacing w:after="0" w:line="360" w:lineRule="auto"/>
        <w:ind w:left="0" w:firstLine="0"/>
        <w:rPr>
          <w:rFonts w:ascii="Book Antiqua" w:eastAsia="等线" w:hAnsi="Book Antiqua"/>
          <w:sz w:val="24"/>
          <w:szCs w:val="24"/>
          <w:lang w:eastAsia="zh-CN"/>
        </w:rPr>
      </w:pPr>
    </w:p>
    <w:p w14:paraId="2FAA5A45" w14:textId="57FEC796" w:rsidR="00CD3D48" w:rsidRPr="00E54334" w:rsidRDefault="00E54334" w:rsidP="00E54334">
      <w:pPr>
        <w:spacing w:after="0" w:line="360" w:lineRule="auto"/>
        <w:ind w:left="0" w:firstLine="0"/>
        <w:rPr>
          <w:rFonts w:ascii="Book Antiqua" w:hAnsi="Book Antiqua"/>
          <w:sz w:val="24"/>
          <w:szCs w:val="24"/>
        </w:rPr>
      </w:pPr>
      <w:r w:rsidRPr="00E54334">
        <w:rPr>
          <w:rFonts w:ascii="Book Antiqua" w:eastAsia="等线" w:hAnsi="Book Antiqua" w:hint="eastAsia"/>
          <w:sz w:val="24"/>
          <w:szCs w:val="24"/>
          <w:lang w:eastAsia="zh-CN"/>
        </w:rPr>
        <w:t>B</w:t>
      </w:r>
    </w:p>
    <w:p w14:paraId="3596C7EA" w14:textId="77777777" w:rsidR="0016364C" w:rsidRPr="00D46A14" w:rsidRDefault="0016364C" w:rsidP="00D46A14">
      <w:pPr>
        <w:spacing w:after="0" w:line="360" w:lineRule="auto"/>
        <w:ind w:firstLine="86"/>
        <w:rPr>
          <w:rFonts w:ascii="Book Antiqua" w:hAnsi="Book Antiqua"/>
          <w:sz w:val="24"/>
          <w:szCs w:val="24"/>
        </w:rPr>
      </w:pPr>
      <w:r w:rsidRPr="00D46A14">
        <w:rPr>
          <w:rFonts w:ascii="Book Antiqua" w:hAnsi="Book Antiqua"/>
          <w:noProof/>
          <w:sz w:val="24"/>
          <w:szCs w:val="24"/>
          <w:lang w:eastAsia="zh-CN"/>
        </w:rPr>
        <w:drawing>
          <wp:inline distT="0" distB="0" distL="0" distR="0" wp14:anchorId="1C0FE036" wp14:editId="41345E90">
            <wp:extent cx="4337539" cy="2997031"/>
            <wp:effectExtent l="0" t="0" r="6350" b="0"/>
            <wp:docPr id="16" name="Imagem 16" descr="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fico 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9443" cy="2998347"/>
                    </a:xfrm>
                    <a:prstGeom prst="rect">
                      <a:avLst/>
                    </a:prstGeom>
                    <a:noFill/>
                    <a:ln>
                      <a:noFill/>
                    </a:ln>
                  </pic:spPr>
                </pic:pic>
              </a:graphicData>
            </a:graphic>
          </wp:inline>
        </w:drawing>
      </w:r>
    </w:p>
    <w:p w14:paraId="74801E77" w14:textId="77777777" w:rsidR="0016364C" w:rsidRPr="00E54334" w:rsidRDefault="0016364C" w:rsidP="00E54334">
      <w:pPr>
        <w:spacing w:after="0" w:line="360" w:lineRule="auto"/>
        <w:ind w:left="0" w:firstLine="0"/>
        <w:rPr>
          <w:rFonts w:ascii="Book Antiqua" w:eastAsia="等线" w:hAnsi="Book Antiqua"/>
          <w:sz w:val="24"/>
          <w:szCs w:val="24"/>
          <w:lang w:eastAsia="zh-CN"/>
        </w:rPr>
      </w:pPr>
    </w:p>
    <w:p w14:paraId="7A55FB83" w14:textId="2A470185" w:rsidR="0016364C" w:rsidRPr="00F04D8B" w:rsidRDefault="0016364C" w:rsidP="00F04D8B">
      <w:pPr>
        <w:spacing w:after="0" w:line="360" w:lineRule="auto"/>
        <w:ind w:firstLine="0"/>
        <w:rPr>
          <w:rFonts w:ascii="Book Antiqua" w:eastAsia="等线" w:hAnsi="Book Antiqua"/>
          <w:b/>
          <w:sz w:val="24"/>
          <w:szCs w:val="24"/>
          <w:lang w:eastAsia="zh-CN"/>
        </w:rPr>
      </w:pPr>
    </w:p>
    <w:p w14:paraId="4F9ED164" w14:textId="43FFEE65" w:rsidR="0016364C" w:rsidRPr="00D46A14" w:rsidRDefault="0016364C" w:rsidP="00D46A14">
      <w:pPr>
        <w:spacing w:after="0" w:line="360" w:lineRule="auto"/>
        <w:rPr>
          <w:rFonts w:ascii="Book Antiqua" w:hAnsi="Book Antiqua"/>
          <w:sz w:val="24"/>
          <w:szCs w:val="24"/>
        </w:rPr>
      </w:pPr>
    </w:p>
    <w:p w14:paraId="4C6982B7" w14:textId="06C88126" w:rsidR="00543066" w:rsidRPr="00D46A14" w:rsidRDefault="00543066" w:rsidP="00D46A14">
      <w:pPr>
        <w:spacing w:after="0" w:line="360" w:lineRule="auto"/>
        <w:rPr>
          <w:rFonts w:ascii="Book Antiqua" w:hAnsi="Book Antiqua"/>
          <w:sz w:val="24"/>
          <w:szCs w:val="24"/>
        </w:rPr>
      </w:pPr>
    </w:p>
    <w:p w14:paraId="550F3A0A" w14:textId="4432640E" w:rsidR="00543066" w:rsidRPr="00D46A14" w:rsidRDefault="00543066" w:rsidP="00D46A14">
      <w:pPr>
        <w:spacing w:after="0" w:line="360" w:lineRule="auto"/>
        <w:rPr>
          <w:rFonts w:ascii="Book Antiqua" w:hAnsi="Book Antiqua"/>
          <w:sz w:val="24"/>
          <w:szCs w:val="24"/>
        </w:rPr>
      </w:pPr>
    </w:p>
    <w:p w14:paraId="5C353F6E" w14:textId="01CF50B5" w:rsidR="00543066" w:rsidRPr="00D46A14" w:rsidRDefault="00543066" w:rsidP="00D46A14">
      <w:pPr>
        <w:spacing w:after="0" w:line="360" w:lineRule="auto"/>
        <w:rPr>
          <w:rFonts w:ascii="Book Antiqua" w:hAnsi="Book Antiqua"/>
          <w:sz w:val="24"/>
          <w:szCs w:val="24"/>
        </w:rPr>
      </w:pPr>
    </w:p>
    <w:p w14:paraId="2D9FD626" w14:textId="4F32CE79" w:rsidR="00543066" w:rsidRPr="00E54334" w:rsidRDefault="00E54334" w:rsidP="00E54334">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lastRenderedPageBreak/>
        <w:t>C</w:t>
      </w:r>
    </w:p>
    <w:p w14:paraId="4A578A42"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6B34CB41" wp14:editId="31D9F5B4">
            <wp:extent cx="4681415" cy="3429538"/>
            <wp:effectExtent l="0" t="0" r="5080" b="0"/>
            <wp:docPr id="17" name="Imagem 17" descr="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co 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3258" cy="3430888"/>
                    </a:xfrm>
                    <a:prstGeom prst="rect">
                      <a:avLst/>
                    </a:prstGeom>
                    <a:noFill/>
                    <a:ln>
                      <a:noFill/>
                    </a:ln>
                  </pic:spPr>
                </pic:pic>
              </a:graphicData>
            </a:graphic>
          </wp:inline>
        </w:drawing>
      </w:r>
    </w:p>
    <w:p w14:paraId="2098AE7B" w14:textId="15080620" w:rsidR="000C4901" w:rsidRPr="00E54334" w:rsidRDefault="00E54334" w:rsidP="00E54334">
      <w:pPr>
        <w:spacing w:after="0" w:line="360" w:lineRule="auto"/>
        <w:ind w:left="0" w:firstLine="0"/>
        <w:rPr>
          <w:rFonts w:ascii="Book Antiqua" w:eastAsia="等线" w:hAnsi="Book Antiqua"/>
          <w:b/>
          <w:sz w:val="24"/>
          <w:szCs w:val="24"/>
          <w:lang w:eastAsia="zh-CN"/>
        </w:rPr>
      </w:pPr>
      <w:r>
        <w:rPr>
          <w:rFonts w:ascii="Book Antiqua" w:eastAsia="等线" w:hAnsi="Book Antiqua" w:hint="eastAsia"/>
          <w:b/>
          <w:sz w:val="24"/>
          <w:szCs w:val="24"/>
          <w:lang w:eastAsia="zh-CN"/>
        </w:rPr>
        <w:t xml:space="preserve">Figure 4 </w:t>
      </w:r>
      <w:r w:rsidRPr="00D46A14">
        <w:rPr>
          <w:rFonts w:ascii="Book Antiqua" w:hAnsi="Book Antiqua"/>
          <w:b/>
          <w:sz w:val="24"/>
          <w:szCs w:val="24"/>
        </w:rPr>
        <w:t xml:space="preserve">Propofol associated with benzodiazepine and opioid </w:t>
      </w:r>
      <w:r w:rsidRPr="00F04D8B">
        <w:rPr>
          <w:rFonts w:ascii="Book Antiqua" w:eastAsia="等线" w:hAnsi="Book Antiqua" w:hint="eastAsia"/>
          <w:b/>
          <w:i/>
          <w:sz w:val="24"/>
          <w:szCs w:val="24"/>
          <w:lang w:eastAsia="zh-CN"/>
        </w:rPr>
        <w:t>vs</w:t>
      </w:r>
      <w:r w:rsidRPr="00D46A14">
        <w:rPr>
          <w:rFonts w:ascii="Book Antiqua" w:hAnsi="Book Antiqua"/>
          <w:b/>
          <w:sz w:val="24"/>
          <w:szCs w:val="24"/>
        </w:rPr>
        <w:t xml:space="preserve"> benzodiazepine associated with opioid</w:t>
      </w:r>
      <w:r>
        <w:rPr>
          <w:rFonts w:ascii="Book Antiqua" w:eastAsia="等线" w:hAnsi="Book Antiqua" w:hint="eastAsia"/>
          <w:b/>
          <w:sz w:val="24"/>
          <w:szCs w:val="24"/>
          <w:lang w:eastAsia="zh-CN"/>
        </w:rPr>
        <w:t xml:space="preserve"> -</w:t>
      </w:r>
      <w:r w:rsidRPr="00F04D8B">
        <w:rPr>
          <w:rFonts w:ascii="Book Antiqua" w:hAnsi="Book Antiqua"/>
          <w:b/>
          <w:sz w:val="24"/>
          <w:szCs w:val="24"/>
        </w:rPr>
        <w:t xml:space="preserve"> </w:t>
      </w:r>
      <w:r w:rsidRPr="00D46A14">
        <w:rPr>
          <w:rFonts w:ascii="Book Antiqua" w:hAnsi="Book Antiqua"/>
          <w:b/>
          <w:sz w:val="24"/>
          <w:szCs w:val="24"/>
        </w:rPr>
        <w:t>Forest plot of the meta-analysis</w:t>
      </w:r>
      <w:r>
        <w:rPr>
          <w:rFonts w:ascii="Book Antiqua" w:eastAsia="等线" w:hAnsi="Book Antiqua" w:hint="eastAsia"/>
          <w:b/>
          <w:sz w:val="24"/>
          <w:szCs w:val="24"/>
          <w:lang w:eastAsia="zh-CN"/>
        </w:rPr>
        <w:t xml:space="preserve">. </w:t>
      </w:r>
      <w:r w:rsidRPr="00F04D8B">
        <w:rPr>
          <w:rFonts w:ascii="Book Antiqua" w:eastAsia="等线" w:hAnsi="Book Antiqua" w:hint="eastAsia"/>
          <w:sz w:val="24"/>
          <w:szCs w:val="24"/>
          <w:lang w:eastAsia="zh-CN"/>
        </w:rPr>
        <w:t xml:space="preserve">A: </w:t>
      </w:r>
      <w:r w:rsidRPr="00F04D8B">
        <w:rPr>
          <w:rFonts w:ascii="Book Antiqua" w:hAnsi="Book Antiqua"/>
          <w:sz w:val="24"/>
          <w:szCs w:val="24"/>
        </w:rPr>
        <w:t>Comparing the occurrence of bradycardia between the benzodiazepine-associated propofol group and the opioid and the benzodiazepine group associated with the opioid (BZ + OP). Outcome: Brady</w:t>
      </w:r>
      <w:r>
        <w:rPr>
          <w:rFonts w:ascii="Book Antiqua" w:hAnsi="Book Antiqua"/>
          <w:sz w:val="24"/>
          <w:szCs w:val="24"/>
        </w:rPr>
        <w:t>cardia (defined as HR &lt; 50 bpm)</w:t>
      </w:r>
      <w:r w:rsidRPr="00F04D8B">
        <w:rPr>
          <w:rFonts w:ascii="Book Antiqua" w:eastAsia="等线" w:hAnsi="Book Antiqua" w:hint="eastAsia"/>
          <w:sz w:val="24"/>
          <w:szCs w:val="24"/>
          <w:lang w:eastAsia="zh-CN"/>
        </w:rPr>
        <w:t xml:space="preserve">; B: </w:t>
      </w:r>
      <w:r w:rsidRPr="00F04D8B">
        <w:rPr>
          <w:rFonts w:ascii="Book Antiqua" w:hAnsi="Book Antiqua"/>
          <w:sz w:val="24"/>
          <w:szCs w:val="24"/>
        </w:rPr>
        <w:t>Comparing the occurrence of hypotension between the benzodiazepine-associated propofol group and the opioid and BZ + 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Outcome: Hypotension (Systolic blood pressure &lt;</w:t>
      </w:r>
      <w:r w:rsidRPr="00F04D8B">
        <w:rPr>
          <w:rFonts w:ascii="Book Antiqua" w:eastAsia="等线" w:hAnsi="Book Antiqua" w:hint="eastAsia"/>
          <w:sz w:val="24"/>
          <w:szCs w:val="24"/>
          <w:lang w:eastAsia="zh-CN"/>
        </w:rPr>
        <w:t xml:space="preserve"> </w:t>
      </w:r>
      <w:r w:rsidRPr="00F04D8B">
        <w:rPr>
          <w:rFonts w:ascii="Book Antiqua" w:hAnsi="Book Antiqua"/>
          <w:sz w:val="24"/>
          <w:szCs w:val="24"/>
        </w:rPr>
        <w:t>90 mmHg)</w:t>
      </w:r>
      <w:r w:rsidRPr="00F04D8B">
        <w:rPr>
          <w:rFonts w:ascii="Book Antiqua" w:eastAsia="等线" w:hAnsi="Book Antiqua" w:hint="eastAsia"/>
          <w:sz w:val="24"/>
          <w:szCs w:val="24"/>
          <w:lang w:eastAsia="zh-CN"/>
        </w:rPr>
        <w:t>;</w:t>
      </w:r>
      <w:r>
        <w:rPr>
          <w:rFonts w:ascii="Book Antiqua" w:eastAsia="等线" w:hAnsi="Book Antiqua" w:hint="eastAsia"/>
          <w:sz w:val="24"/>
          <w:szCs w:val="24"/>
          <w:lang w:eastAsia="zh-CN"/>
        </w:rPr>
        <w:t xml:space="preserve"> </w:t>
      </w:r>
      <w:r w:rsidRPr="00E54334">
        <w:rPr>
          <w:rFonts w:ascii="Book Antiqua" w:eastAsia="等线" w:hAnsi="Book Antiqua" w:hint="eastAsia"/>
          <w:sz w:val="24"/>
          <w:szCs w:val="24"/>
          <w:lang w:eastAsia="zh-CN"/>
        </w:rPr>
        <w:t xml:space="preserve">C: </w:t>
      </w:r>
      <w:r w:rsidRPr="00E54334">
        <w:rPr>
          <w:rFonts w:ascii="Book Antiqua" w:hAnsi="Book Antiqua"/>
          <w:sz w:val="24"/>
          <w:szCs w:val="24"/>
        </w:rPr>
        <w:t xml:space="preserve">Comparing </w:t>
      </w:r>
      <w:r w:rsidR="0016364C" w:rsidRPr="00E54334">
        <w:rPr>
          <w:rFonts w:ascii="Book Antiqua" w:hAnsi="Book Antiqua"/>
          <w:sz w:val="24"/>
          <w:szCs w:val="24"/>
        </w:rPr>
        <w:t xml:space="preserve">the occurrence of desaturation between the benzodiazepine-associated propofol group and the opioid and </w:t>
      </w:r>
      <w:r w:rsidRPr="00E54334">
        <w:rPr>
          <w:rFonts w:ascii="Book Antiqua" w:hAnsi="Book Antiqua"/>
          <w:sz w:val="24"/>
          <w:szCs w:val="24"/>
        </w:rPr>
        <w:t>BZ + OP</w:t>
      </w:r>
      <w:r w:rsidRPr="00E54334">
        <w:rPr>
          <w:rFonts w:ascii="Book Antiqua" w:eastAsia="等线" w:hAnsi="Book Antiqua" w:hint="eastAsia"/>
          <w:sz w:val="24"/>
          <w:szCs w:val="24"/>
          <w:lang w:eastAsia="zh-CN"/>
        </w:rPr>
        <w:t>.</w:t>
      </w:r>
      <w:r w:rsidRPr="00E54334">
        <w:rPr>
          <w:rFonts w:ascii="Book Antiqua" w:hAnsi="Book Antiqua"/>
          <w:sz w:val="24"/>
          <w:szCs w:val="24"/>
        </w:rPr>
        <w:t xml:space="preserve"> Outcome: Desaturation (Peripheral saturation of O</w:t>
      </w:r>
      <w:r w:rsidRPr="00E54334">
        <w:rPr>
          <w:rFonts w:ascii="Book Antiqua" w:hAnsi="Book Antiqua"/>
          <w:sz w:val="24"/>
          <w:szCs w:val="24"/>
          <w:vertAlign w:val="subscript"/>
        </w:rPr>
        <w:t>2</w:t>
      </w:r>
      <w:r w:rsidRPr="00E54334">
        <w:rPr>
          <w:rFonts w:ascii="Book Antiqua" w:hAnsi="Book Antiqua"/>
          <w:sz w:val="24"/>
          <w:szCs w:val="24"/>
        </w:rPr>
        <w:t xml:space="preserve"> &lt;</w:t>
      </w:r>
      <w:r w:rsidRPr="00E54334">
        <w:rPr>
          <w:rFonts w:ascii="Book Antiqua" w:eastAsia="等线" w:hAnsi="Book Antiqua" w:hint="eastAsia"/>
          <w:sz w:val="24"/>
          <w:szCs w:val="24"/>
          <w:lang w:eastAsia="zh-CN"/>
        </w:rPr>
        <w:t xml:space="preserve"> </w:t>
      </w:r>
      <w:r w:rsidRPr="00E54334">
        <w:rPr>
          <w:rFonts w:ascii="Book Antiqua" w:hAnsi="Book Antiqua"/>
          <w:sz w:val="24"/>
          <w:szCs w:val="24"/>
        </w:rPr>
        <w:t>90%)</w:t>
      </w:r>
      <w:r>
        <w:rPr>
          <w:rFonts w:ascii="Book Antiqua" w:eastAsia="等线" w:hAnsi="Book Antiqua" w:hint="eastAsia"/>
          <w:sz w:val="24"/>
          <w:szCs w:val="24"/>
          <w:lang w:eastAsia="zh-CN"/>
        </w:rPr>
        <w:t>.</w:t>
      </w:r>
    </w:p>
    <w:sectPr w:rsidR="000C4901" w:rsidRPr="00E54334" w:rsidSect="00791D29">
      <w:type w:val="continuous"/>
      <w:pgSz w:w="11906" w:h="16838"/>
      <w:pgMar w:top="1417" w:right="1133" w:bottom="1417" w:left="1275"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C6AA00" w16cid:durableId="20FBDE91"/>
  <w16cid:commentId w16cid:paraId="4C8F4778" w16cid:durableId="20FBE22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CEDCB" w14:textId="77777777" w:rsidR="00845272" w:rsidRDefault="00845272" w:rsidP="00A12C2F">
      <w:pPr>
        <w:spacing w:after="0" w:line="240" w:lineRule="auto"/>
      </w:pPr>
      <w:r>
        <w:separator/>
      </w:r>
    </w:p>
  </w:endnote>
  <w:endnote w:type="continuationSeparator" w:id="0">
    <w:p w14:paraId="3A1D4FDA" w14:textId="77777777" w:rsidR="00845272" w:rsidRDefault="00845272" w:rsidP="00A12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S Mincho"/>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7"/>
      </w:rPr>
      <w:id w:val="-1108743772"/>
      <w:docPartObj>
        <w:docPartGallery w:val="Page Numbers (Bottom of Page)"/>
        <w:docPartUnique/>
      </w:docPartObj>
    </w:sdtPr>
    <w:sdtEndPr>
      <w:rPr>
        <w:rStyle w:val="af7"/>
      </w:rPr>
    </w:sdtEndPr>
    <w:sdtContent>
      <w:p w14:paraId="72681CB0" w14:textId="65B3AB45" w:rsidR="008C2A83" w:rsidRDefault="008C2A83" w:rsidP="008109CC">
        <w:pPr>
          <w:pStyle w:val="ac"/>
          <w:framePr w:wrap="none" w:vAnchor="text" w:hAnchor="margin" w:xAlign="right" w:y="1"/>
          <w:rPr>
            <w:rStyle w:val="af7"/>
          </w:rPr>
        </w:pPr>
        <w:r>
          <w:rPr>
            <w:rStyle w:val="af7"/>
          </w:rPr>
          <w:fldChar w:fldCharType="begin"/>
        </w:r>
        <w:r>
          <w:rPr>
            <w:rStyle w:val="af7"/>
          </w:rPr>
          <w:instrText xml:space="preserve"> PAGE </w:instrText>
        </w:r>
        <w:r>
          <w:rPr>
            <w:rStyle w:val="af7"/>
          </w:rPr>
          <w:fldChar w:fldCharType="end"/>
        </w:r>
      </w:p>
    </w:sdtContent>
  </w:sdt>
  <w:p w14:paraId="662D4976" w14:textId="77777777" w:rsidR="008C2A83" w:rsidRDefault="008C2A83" w:rsidP="008109CC">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7"/>
      </w:rPr>
      <w:id w:val="2100060189"/>
      <w:docPartObj>
        <w:docPartGallery w:val="Page Numbers (Bottom of Page)"/>
        <w:docPartUnique/>
      </w:docPartObj>
    </w:sdtPr>
    <w:sdtEndPr>
      <w:rPr>
        <w:rStyle w:val="af7"/>
      </w:rPr>
    </w:sdtEndPr>
    <w:sdtContent>
      <w:p w14:paraId="777EB0E8" w14:textId="1A5EC867" w:rsidR="008C2A83" w:rsidRDefault="008C2A83" w:rsidP="008109CC">
        <w:pPr>
          <w:pStyle w:val="ac"/>
          <w:framePr w:wrap="none" w:vAnchor="text" w:hAnchor="margin" w:xAlign="right" w:y="1"/>
          <w:rPr>
            <w:rStyle w:val="af7"/>
          </w:rPr>
        </w:pPr>
        <w:r>
          <w:rPr>
            <w:rStyle w:val="af7"/>
          </w:rPr>
          <w:fldChar w:fldCharType="begin"/>
        </w:r>
        <w:r>
          <w:rPr>
            <w:rStyle w:val="af7"/>
          </w:rPr>
          <w:instrText xml:space="preserve"> PAGE </w:instrText>
        </w:r>
        <w:r>
          <w:rPr>
            <w:rStyle w:val="af7"/>
          </w:rPr>
          <w:fldChar w:fldCharType="separate"/>
        </w:r>
        <w:r w:rsidR="009734F5">
          <w:rPr>
            <w:rStyle w:val="af7"/>
            <w:noProof/>
          </w:rPr>
          <w:t>40</w:t>
        </w:r>
        <w:r>
          <w:rPr>
            <w:rStyle w:val="af7"/>
          </w:rPr>
          <w:fldChar w:fldCharType="end"/>
        </w:r>
      </w:p>
    </w:sdtContent>
  </w:sdt>
  <w:p w14:paraId="751D136A" w14:textId="77777777" w:rsidR="008C2A83" w:rsidRDefault="008C2A83" w:rsidP="008109CC">
    <w:pPr>
      <w:pStyle w:val="ac"/>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4E586" w14:textId="77777777" w:rsidR="00845272" w:rsidRDefault="00845272" w:rsidP="00A12C2F">
      <w:pPr>
        <w:spacing w:after="0" w:line="240" w:lineRule="auto"/>
      </w:pPr>
      <w:r>
        <w:separator/>
      </w:r>
    </w:p>
  </w:footnote>
  <w:footnote w:type="continuationSeparator" w:id="0">
    <w:p w14:paraId="6C90A27C" w14:textId="77777777" w:rsidR="00845272" w:rsidRDefault="00845272" w:rsidP="00A12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4DA7"/>
    <w:multiLevelType w:val="hybridMultilevel"/>
    <w:tmpl w:val="A49C79CA"/>
    <w:lvl w:ilvl="0" w:tplc="9A727364">
      <w:start w:val="1"/>
      <w:numFmt w:val="bullet"/>
      <w:lvlText w:val="-"/>
      <w:lvlJc w:val="left"/>
      <w:pPr>
        <w:ind w:left="24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C56879C">
      <w:start w:val="1"/>
      <w:numFmt w:val="bullet"/>
      <w:lvlText w:val="o"/>
      <w:lvlJc w:val="left"/>
      <w:pPr>
        <w:ind w:left="113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4DA4296">
      <w:start w:val="1"/>
      <w:numFmt w:val="bullet"/>
      <w:lvlText w:val="▪"/>
      <w:lvlJc w:val="left"/>
      <w:pPr>
        <w:ind w:left="185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1027170">
      <w:start w:val="1"/>
      <w:numFmt w:val="bullet"/>
      <w:lvlText w:val="•"/>
      <w:lvlJc w:val="left"/>
      <w:pPr>
        <w:ind w:left="257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D5EA80E">
      <w:start w:val="1"/>
      <w:numFmt w:val="bullet"/>
      <w:lvlText w:val="o"/>
      <w:lvlJc w:val="left"/>
      <w:pPr>
        <w:ind w:left="329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E5EA18A">
      <w:start w:val="1"/>
      <w:numFmt w:val="bullet"/>
      <w:lvlText w:val="▪"/>
      <w:lvlJc w:val="left"/>
      <w:pPr>
        <w:ind w:left="401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63AD0E0">
      <w:start w:val="1"/>
      <w:numFmt w:val="bullet"/>
      <w:lvlText w:val="•"/>
      <w:lvlJc w:val="left"/>
      <w:pPr>
        <w:ind w:left="473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CB9A46BC">
      <w:start w:val="1"/>
      <w:numFmt w:val="bullet"/>
      <w:lvlText w:val="o"/>
      <w:lvlJc w:val="left"/>
      <w:pPr>
        <w:ind w:left="545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F91C45D6">
      <w:start w:val="1"/>
      <w:numFmt w:val="bullet"/>
      <w:lvlText w:val="▪"/>
      <w:lvlJc w:val="left"/>
      <w:pPr>
        <w:ind w:left="617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55C4553"/>
    <w:multiLevelType w:val="hybridMultilevel"/>
    <w:tmpl w:val="A798ED2C"/>
    <w:lvl w:ilvl="0" w:tplc="6964AC90">
      <w:start w:val="1"/>
      <w:numFmt w:val="bullet"/>
      <w:lvlText w:val="-"/>
      <w:lvlJc w:val="left"/>
      <w:pPr>
        <w:ind w:left="2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F047DA6">
      <w:start w:val="1"/>
      <w:numFmt w:val="bullet"/>
      <w:lvlText w:val="o"/>
      <w:lvlJc w:val="left"/>
      <w:pPr>
        <w:ind w:left="11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E1C01A2">
      <w:start w:val="1"/>
      <w:numFmt w:val="bullet"/>
      <w:lvlText w:val="▪"/>
      <w:lvlJc w:val="left"/>
      <w:pPr>
        <w:ind w:left="18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6E0B600">
      <w:start w:val="1"/>
      <w:numFmt w:val="bullet"/>
      <w:lvlText w:val="•"/>
      <w:lvlJc w:val="left"/>
      <w:pPr>
        <w:ind w:left="25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8F8AF8C">
      <w:start w:val="1"/>
      <w:numFmt w:val="bullet"/>
      <w:lvlText w:val="o"/>
      <w:lvlJc w:val="left"/>
      <w:pPr>
        <w:ind w:left="33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D7469BE">
      <w:start w:val="1"/>
      <w:numFmt w:val="bullet"/>
      <w:lvlText w:val="▪"/>
      <w:lvlJc w:val="left"/>
      <w:pPr>
        <w:ind w:left="40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3FAE5AC">
      <w:start w:val="1"/>
      <w:numFmt w:val="bullet"/>
      <w:lvlText w:val="•"/>
      <w:lvlJc w:val="left"/>
      <w:pPr>
        <w:ind w:left="47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DFAC462">
      <w:start w:val="1"/>
      <w:numFmt w:val="bullet"/>
      <w:lvlText w:val="o"/>
      <w:lvlJc w:val="left"/>
      <w:pPr>
        <w:ind w:left="54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CA0E9AC">
      <w:start w:val="1"/>
      <w:numFmt w:val="bullet"/>
      <w:lvlText w:val="▪"/>
      <w:lvlJc w:val="left"/>
      <w:pPr>
        <w:ind w:left="6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9A0A46"/>
    <w:multiLevelType w:val="multilevel"/>
    <w:tmpl w:val="7FC65CBC"/>
    <w:styleLink w:val="List1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 w15:restartNumberingAfterBreak="0">
    <w:nsid w:val="15F03E50"/>
    <w:multiLevelType w:val="multilevel"/>
    <w:tmpl w:val="A726FD36"/>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4" w15:restartNumberingAfterBreak="0">
    <w:nsid w:val="16BE29C3"/>
    <w:multiLevelType w:val="hybridMultilevel"/>
    <w:tmpl w:val="D1761D2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6D5FDB"/>
    <w:multiLevelType w:val="hybridMultilevel"/>
    <w:tmpl w:val="6820250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87301B"/>
    <w:multiLevelType w:val="hybridMultilevel"/>
    <w:tmpl w:val="1C126258"/>
    <w:lvl w:ilvl="0" w:tplc="CB26F33E">
      <w:numFmt w:val="bullet"/>
      <w:lvlText w:val="-"/>
      <w:lvlJc w:val="left"/>
      <w:pPr>
        <w:ind w:left="1068" w:hanging="360"/>
      </w:pPr>
      <w:rPr>
        <w:rFonts w:ascii="Times New Roman" w:eastAsia="Times New Roman" w:hAnsi="Times New Roman"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19D005A2"/>
    <w:multiLevelType w:val="multilevel"/>
    <w:tmpl w:val="9CD4215A"/>
    <w:styleLink w:val="Lista5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8" w15:restartNumberingAfterBreak="0">
    <w:nsid w:val="1C1F006E"/>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4A5BBC"/>
    <w:multiLevelType w:val="multilevel"/>
    <w:tmpl w:val="F552DD78"/>
    <w:styleLink w:val="List1"/>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0" w15:restartNumberingAfterBreak="0">
    <w:nsid w:val="211E2E59"/>
    <w:multiLevelType w:val="multilevel"/>
    <w:tmpl w:val="7A56C526"/>
    <w:styleLink w:val="List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1" w15:restartNumberingAfterBreak="0">
    <w:nsid w:val="2180551F"/>
    <w:multiLevelType w:val="hybridMultilevel"/>
    <w:tmpl w:val="7A7676D4"/>
    <w:lvl w:ilvl="0" w:tplc="056080D8">
      <w:numFmt w:val="bullet"/>
      <w:lvlText w:val="-"/>
      <w:lvlJc w:val="left"/>
      <w:pPr>
        <w:ind w:left="1068" w:hanging="360"/>
      </w:pPr>
      <w:rPr>
        <w:rFonts w:ascii="Calibri" w:eastAsiaTheme="minorHAnsi" w:hAnsi="Calibri" w:cstheme="minorBid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15:restartNumberingAfterBreak="0">
    <w:nsid w:val="23BA5897"/>
    <w:multiLevelType w:val="hybridMultilevel"/>
    <w:tmpl w:val="CEF64A5E"/>
    <w:lvl w:ilvl="0" w:tplc="8D84931A">
      <w:start w:val="1"/>
      <w:numFmt w:val="bullet"/>
      <w:lvlText w:val="-"/>
      <w:lvlJc w:val="left"/>
      <w:pPr>
        <w:ind w:left="2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B2E698BA">
      <w:start w:val="1"/>
      <w:numFmt w:val="bullet"/>
      <w:lvlText w:val="o"/>
      <w:lvlJc w:val="left"/>
      <w:pPr>
        <w:ind w:left="11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C7929FF2">
      <w:start w:val="1"/>
      <w:numFmt w:val="bullet"/>
      <w:lvlText w:val="▪"/>
      <w:lvlJc w:val="left"/>
      <w:pPr>
        <w:ind w:left="185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17C0604">
      <w:start w:val="1"/>
      <w:numFmt w:val="bullet"/>
      <w:lvlText w:val="•"/>
      <w:lvlJc w:val="left"/>
      <w:pPr>
        <w:ind w:left="25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A86439E">
      <w:start w:val="1"/>
      <w:numFmt w:val="bullet"/>
      <w:lvlText w:val="o"/>
      <w:lvlJc w:val="left"/>
      <w:pPr>
        <w:ind w:left="32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5E6CC97E">
      <w:start w:val="1"/>
      <w:numFmt w:val="bullet"/>
      <w:lvlText w:val="▪"/>
      <w:lvlJc w:val="left"/>
      <w:pPr>
        <w:ind w:left="40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3863AC4">
      <w:start w:val="1"/>
      <w:numFmt w:val="bullet"/>
      <w:lvlText w:val="•"/>
      <w:lvlJc w:val="left"/>
      <w:pPr>
        <w:ind w:left="47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17E6232">
      <w:start w:val="1"/>
      <w:numFmt w:val="bullet"/>
      <w:lvlText w:val="o"/>
      <w:lvlJc w:val="left"/>
      <w:pPr>
        <w:ind w:left="545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8BA89C6">
      <w:start w:val="1"/>
      <w:numFmt w:val="bullet"/>
      <w:lvlText w:val="▪"/>
      <w:lvlJc w:val="left"/>
      <w:pPr>
        <w:ind w:left="61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23D67ABF"/>
    <w:multiLevelType w:val="multilevel"/>
    <w:tmpl w:val="62C0EC56"/>
    <w:styleLink w:val="Lista41"/>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4" w15:restartNumberingAfterBreak="0">
    <w:nsid w:val="24965AA7"/>
    <w:multiLevelType w:val="multilevel"/>
    <w:tmpl w:val="F926D4B2"/>
    <w:styleLink w:val="Lista31"/>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5" w15:restartNumberingAfterBreak="0">
    <w:nsid w:val="2ACD3944"/>
    <w:multiLevelType w:val="multilevel"/>
    <w:tmpl w:val="4CC46FA6"/>
    <w:styleLink w:val="List0"/>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6" w15:restartNumberingAfterBreak="0">
    <w:nsid w:val="2F67302B"/>
    <w:multiLevelType w:val="multilevel"/>
    <w:tmpl w:val="1D606BD4"/>
    <w:styleLink w:val="Lista21"/>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7" w15:restartNumberingAfterBreak="0">
    <w:nsid w:val="30851EE5"/>
    <w:multiLevelType w:val="hybridMultilevel"/>
    <w:tmpl w:val="ECF879CE"/>
    <w:lvl w:ilvl="0" w:tplc="415CF21E">
      <w:start w:val="1"/>
      <w:numFmt w:val="bullet"/>
      <w:lvlText w:val="-"/>
      <w:lvlJc w:val="left"/>
      <w:pPr>
        <w:ind w:left="30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E9EA3C80">
      <w:start w:val="1"/>
      <w:numFmt w:val="bullet"/>
      <w:lvlText w:val="o"/>
      <w:lvlJc w:val="left"/>
      <w:pPr>
        <w:ind w:left="117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55DA1192">
      <w:start w:val="1"/>
      <w:numFmt w:val="bullet"/>
      <w:lvlText w:val="▪"/>
      <w:lvlJc w:val="left"/>
      <w:pPr>
        <w:ind w:left="189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6D18AC40">
      <w:start w:val="1"/>
      <w:numFmt w:val="bullet"/>
      <w:lvlText w:val="•"/>
      <w:lvlJc w:val="left"/>
      <w:pPr>
        <w:ind w:left="261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B5364D82">
      <w:start w:val="1"/>
      <w:numFmt w:val="bullet"/>
      <w:lvlText w:val="o"/>
      <w:lvlJc w:val="left"/>
      <w:pPr>
        <w:ind w:left="333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C38D76A">
      <w:start w:val="1"/>
      <w:numFmt w:val="bullet"/>
      <w:lvlText w:val="▪"/>
      <w:lvlJc w:val="left"/>
      <w:pPr>
        <w:ind w:left="405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8D242068">
      <w:start w:val="1"/>
      <w:numFmt w:val="bullet"/>
      <w:lvlText w:val="•"/>
      <w:lvlJc w:val="left"/>
      <w:pPr>
        <w:ind w:left="477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B7FCB6F8">
      <w:start w:val="1"/>
      <w:numFmt w:val="bullet"/>
      <w:lvlText w:val="o"/>
      <w:lvlJc w:val="left"/>
      <w:pPr>
        <w:ind w:left="549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E3E0B950">
      <w:start w:val="1"/>
      <w:numFmt w:val="bullet"/>
      <w:lvlText w:val="▪"/>
      <w:lvlJc w:val="left"/>
      <w:pPr>
        <w:ind w:left="621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8" w15:restartNumberingAfterBreak="0">
    <w:nsid w:val="342D5674"/>
    <w:multiLevelType w:val="multilevel"/>
    <w:tmpl w:val="C874A864"/>
    <w:styleLink w:val="List1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9" w15:restartNumberingAfterBreak="0">
    <w:nsid w:val="38F26A50"/>
    <w:multiLevelType w:val="hybridMultilevel"/>
    <w:tmpl w:val="B4AA503E"/>
    <w:lvl w:ilvl="0" w:tplc="D242C344">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15:restartNumberingAfterBreak="0">
    <w:nsid w:val="39CF01E8"/>
    <w:multiLevelType w:val="hybridMultilevel"/>
    <w:tmpl w:val="A80C84B2"/>
    <w:lvl w:ilvl="0" w:tplc="461E54DE">
      <w:start w:val="1"/>
      <w:numFmt w:val="bullet"/>
      <w:lvlText w:val="-"/>
      <w:lvlJc w:val="left"/>
      <w:pPr>
        <w:ind w:left="2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4BD48E90">
      <w:start w:val="1"/>
      <w:numFmt w:val="bullet"/>
      <w:lvlText w:val="o"/>
      <w:lvlJc w:val="left"/>
      <w:pPr>
        <w:ind w:left="11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6DE01DE">
      <w:start w:val="1"/>
      <w:numFmt w:val="bullet"/>
      <w:lvlText w:val="▪"/>
      <w:lvlJc w:val="left"/>
      <w:pPr>
        <w:ind w:left="18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1EE0FB08">
      <w:start w:val="1"/>
      <w:numFmt w:val="bullet"/>
      <w:lvlText w:val="•"/>
      <w:lvlJc w:val="left"/>
      <w:pPr>
        <w:ind w:left="25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20B2D940">
      <w:start w:val="1"/>
      <w:numFmt w:val="bullet"/>
      <w:lvlText w:val="o"/>
      <w:lvlJc w:val="left"/>
      <w:pPr>
        <w:ind w:left="32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6084A5C">
      <w:start w:val="1"/>
      <w:numFmt w:val="bullet"/>
      <w:lvlText w:val="▪"/>
      <w:lvlJc w:val="left"/>
      <w:pPr>
        <w:ind w:left="39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65A9FE8">
      <w:start w:val="1"/>
      <w:numFmt w:val="bullet"/>
      <w:lvlText w:val="•"/>
      <w:lvlJc w:val="left"/>
      <w:pPr>
        <w:ind w:left="47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01FC9294">
      <w:start w:val="1"/>
      <w:numFmt w:val="bullet"/>
      <w:lvlText w:val="o"/>
      <w:lvlJc w:val="left"/>
      <w:pPr>
        <w:ind w:left="54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BE66D6F0">
      <w:start w:val="1"/>
      <w:numFmt w:val="bullet"/>
      <w:lvlText w:val="▪"/>
      <w:lvlJc w:val="left"/>
      <w:pPr>
        <w:ind w:left="61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3BF016EA"/>
    <w:multiLevelType w:val="multilevel"/>
    <w:tmpl w:val="AE0EE844"/>
    <w:styleLink w:val="List18"/>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22" w15:restartNumberingAfterBreak="0">
    <w:nsid w:val="3CB227C4"/>
    <w:multiLevelType w:val="hybridMultilevel"/>
    <w:tmpl w:val="9A064AE4"/>
    <w:lvl w:ilvl="0" w:tplc="9E862636">
      <w:start w:val="1"/>
      <w:numFmt w:val="bullet"/>
      <w:lvlText w:val="-"/>
      <w:lvlJc w:val="left"/>
      <w:pPr>
        <w:ind w:left="2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0FA528C">
      <w:start w:val="1"/>
      <w:numFmt w:val="bullet"/>
      <w:lvlText w:val="o"/>
      <w:lvlJc w:val="left"/>
      <w:pPr>
        <w:ind w:left="11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28DABD92">
      <w:start w:val="1"/>
      <w:numFmt w:val="bullet"/>
      <w:lvlText w:val="▪"/>
      <w:lvlJc w:val="left"/>
      <w:pPr>
        <w:ind w:left="18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3A8A46A0">
      <w:start w:val="1"/>
      <w:numFmt w:val="bullet"/>
      <w:lvlText w:val="•"/>
      <w:lvlJc w:val="left"/>
      <w:pPr>
        <w:ind w:left="25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89679C6">
      <w:start w:val="1"/>
      <w:numFmt w:val="bullet"/>
      <w:lvlText w:val="o"/>
      <w:lvlJc w:val="left"/>
      <w:pPr>
        <w:ind w:left="327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B9676FC">
      <w:start w:val="1"/>
      <w:numFmt w:val="bullet"/>
      <w:lvlText w:val="▪"/>
      <w:lvlJc w:val="left"/>
      <w:pPr>
        <w:ind w:left="399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31CA0DC">
      <w:start w:val="1"/>
      <w:numFmt w:val="bullet"/>
      <w:lvlText w:val="•"/>
      <w:lvlJc w:val="left"/>
      <w:pPr>
        <w:ind w:left="47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AC2827A2">
      <w:start w:val="1"/>
      <w:numFmt w:val="bullet"/>
      <w:lvlText w:val="o"/>
      <w:lvlJc w:val="left"/>
      <w:pPr>
        <w:ind w:left="54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B4DCF892">
      <w:start w:val="1"/>
      <w:numFmt w:val="bullet"/>
      <w:lvlText w:val="▪"/>
      <w:lvlJc w:val="left"/>
      <w:pPr>
        <w:ind w:left="61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3" w15:restartNumberingAfterBreak="0">
    <w:nsid w:val="3CB350C4"/>
    <w:multiLevelType w:val="multilevel"/>
    <w:tmpl w:val="8F16E074"/>
    <w:styleLink w:val="List7"/>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4" w15:restartNumberingAfterBreak="0">
    <w:nsid w:val="40CE5991"/>
    <w:multiLevelType w:val="multilevel"/>
    <w:tmpl w:val="D674CA60"/>
    <w:styleLink w:val="List1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5" w15:restartNumberingAfterBreak="0">
    <w:nsid w:val="4D4E6BEA"/>
    <w:multiLevelType w:val="hybridMultilevel"/>
    <w:tmpl w:val="C756CF24"/>
    <w:lvl w:ilvl="0" w:tplc="1D06DC66">
      <w:start w:val="1"/>
      <w:numFmt w:val="lowerRoman"/>
      <w:lvlText w:val="%1."/>
      <w:lvlJc w:val="left"/>
      <w:pPr>
        <w:ind w:left="1420" w:hanging="720"/>
      </w:pPr>
      <w:rPr>
        <w:rFonts w:hint="default"/>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26" w15:restartNumberingAfterBreak="0">
    <w:nsid w:val="4FA359FB"/>
    <w:multiLevelType w:val="hybridMultilevel"/>
    <w:tmpl w:val="7BEEC2E6"/>
    <w:lvl w:ilvl="0" w:tplc="778CA95C">
      <w:start w:val="1"/>
      <w:numFmt w:val="bullet"/>
      <w:lvlText w:val="-"/>
      <w:lvlJc w:val="left"/>
      <w:pPr>
        <w:ind w:left="2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CA70AB6E">
      <w:start w:val="1"/>
      <w:numFmt w:val="bullet"/>
      <w:lvlText w:val="o"/>
      <w:lvlJc w:val="left"/>
      <w:pPr>
        <w:ind w:left="11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2D1CDEA6">
      <w:start w:val="1"/>
      <w:numFmt w:val="bullet"/>
      <w:lvlText w:val="▪"/>
      <w:lvlJc w:val="left"/>
      <w:pPr>
        <w:ind w:left="18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017893D2">
      <w:start w:val="1"/>
      <w:numFmt w:val="bullet"/>
      <w:lvlText w:val="•"/>
      <w:lvlJc w:val="left"/>
      <w:pPr>
        <w:ind w:left="25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67C69A40">
      <w:start w:val="1"/>
      <w:numFmt w:val="bullet"/>
      <w:lvlText w:val="o"/>
      <w:lvlJc w:val="left"/>
      <w:pPr>
        <w:ind w:left="33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2CAAD55C">
      <w:start w:val="1"/>
      <w:numFmt w:val="bullet"/>
      <w:lvlText w:val="▪"/>
      <w:lvlJc w:val="left"/>
      <w:pPr>
        <w:ind w:left="40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EAD0F4A2">
      <w:start w:val="1"/>
      <w:numFmt w:val="bullet"/>
      <w:lvlText w:val="•"/>
      <w:lvlJc w:val="left"/>
      <w:pPr>
        <w:ind w:left="47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94AE5F16">
      <w:start w:val="1"/>
      <w:numFmt w:val="bullet"/>
      <w:lvlText w:val="o"/>
      <w:lvlJc w:val="left"/>
      <w:pPr>
        <w:ind w:left="54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59DCB9B8">
      <w:start w:val="1"/>
      <w:numFmt w:val="bullet"/>
      <w:lvlText w:val="▪"/>
      <w:lvlJc w:val="left"/>
      <w:pPr>
        <w:ind w:left="61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7" w15:restartNumberingAfterBreak="0">
    <w:nsid w:val="58B25C7A"/>
    <w:multiLevelType w:val="hybridMultilevel"/>
    <w:tmpl w:val="84CCEF74"/>
    <w:lvl w:ilvl="0" w:tplc="FD9A8B1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9880ED5"/>
    <w:multiLevelType w:val="multilevel"/>
    <w:tmpl w:val="527A8790"/>
    <w:styleLink w:val="List9"/>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9" w15:restartNumberingAfterBreak="0">
    <w:nsid w:val="59AB4852"/>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E77407D"/>
    <w:multiLevelType w:val="multilevel"/>
    <w:tmpl w:val="80968514"/>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1" w15:restartNumberingAfterBreak="0">
    <w:nsid w:val="695521F5"/>
    <w:multiLevelType w:val="multilevel"/>
    <w:tmpl w:val="E6584C8A"/>
    <w:styleLink w:val="List8"/>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2" w15:restartNumberingAfterBreak="0">
    <w:nsid w:val="6AB85DC1"/>
    <w:multiLevelType w:val="multilevel"/>
    <w:tmpl w:val="14CC4A2E"/>
    <w:styleLink w:val="List15"/>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3" w15:restartNumberingAfterBreak="0">
    <w:nsid w:val="6D2867CE"/>
    <w:multiLevelType w:val="hybridMultilevel"/>
    <w:tmpl w:val="4AA620E6"/>
    <w:lvl w:ilvl="0" w:tplc="821033E8">
      <w:start w:val="1"/>
      <w:numFmt w:val="bullet"/>
      <w:lvlText w:val="-"/>
      <w:lvlJc w:val="left"/>
      <w:pPr>
        <w:ind w:left="25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963C03EA">
      <w:start w:val="1"/>
      <w:numFmt w:val="bullet"/>
      <w:lvlText w:val="o"/>
      <w:lvlJc w:val="left"/>
      <w:pPr>
        <w:ind w:left="11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B165F3C">
      <w:start w:val="1"/>
      <w:numFmt w:val="bullet"/>
      <w:lvlText w:val="▪"/>
      <w:lvlJc w:val="left"/>
      <w:pPr>
        <w:ind w:left="18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123253C6">
      <w:start w:val="1"/>
      <w:numFmt w:val="bullet"/>
      <w:lvlText w:val="•"/>
      <w:lvlJc w:val="left"/>
      <w:pPr>
        <w:ind w:left="26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450031A">
      <w:start w:val="1"/>
      <w:numFmt w:val="bullet"/>
      <w:lvlText w:val="o"/>
      <w:lvlJc w:val="left"/>
      <w:pPr>
        <w:ind w:left="33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596E59D4">
      <w:start w:val="1"/>
      <w:numFmt w:val="bullet"/>
      <w:lvlText w:val="▪"/>
      <w:lvlJc w:val="left"/>
      <w:pPr>
        <w:ind w:left="40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DF0CAA6">
      <w:start w:val="1"/>
      <w:numFmt w:val="bullet"/>
      <w:lvlText w:val="•"/>
      <w:lvlJc w:val="left"/>
      <w:pPr>
        <w:ind w:left="47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F7BEC570">
      <w:start w:val="1"/>
      <w:numFmt w:val="bullet"/>
      <w:lvlText w:val="o"/>
      <w:lvlJc w:val="left"/>
      <w:pPr>
        <w:ind w:left="54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DF2E590">
      <w:start w:val="1"/>
      <w:numFmt w:val="bullet"/>
      <w:lvlText w:val="▪"/>
      <w:lvlJc w:val="left"/>
      <w:pPr>
        <w:ind w:left="62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72237393"/>
    <w:multiLevelType w:val="multilevel"/>
    <w:tmpl w:val="48F07222"/>
    <w:styleLink w:val="List16"/>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5" w15:restartNumberingAfterBreak="0">
    <w:nsid w:val="79034753"/>
    <w:multiLevelType w:val="multilevel"/>
    <w:tmpl w:val="1C00B6D4"/>
    <w:styleLink w:val="List14"/>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6" w15:restartNumberingAfterBreak="0">
    <w:nsid w:val="7C261525"/>
    <w:multiLevelType w:val="multilevel"/>
    <w:tmpl w:val="AFC82A5E"/>
    <w:styleLink w:val="List13"/>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7" w15:restartNumberingAfterBreak="0">
    <w:nsid w:val="7D8A6221"/>
    <w:multiLevelType w:val="multilevel"/>
    <w:tmpl w:val="AC18BE60"/>
    <w:styleLink w:val="List17"/>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num w:numId="1">
    <w:abstractNumId w:val="17"/>
  </w:num>
  <w:num w:numId="2">
    <w:abstractNumId w:val="33"/>
  </w:num>
  <w:num w:numId="3">
    <w:abstractNumId w:val="22"/>
  </w:num>
  <w:num w:numId="4">
    <w:abstractNumId w:val="26"/>
  </w:num>
  <w:num w:numId="5">
    <w:abstractNumId w:val="12"/>
  </w:num>
  <w:num w:numId="6">
    <w:abstractNumId w:val="1"/>
  </w:num>
  <w:num w:numId="7">
    <w:abstractNumId w:val="0"/>
  </w:num>
  <w:num w:numId="8">
    <w:abstractNumId w:val="20"/>
  </w:num>
  <w:num w:numId="9">
    <w:abstractNumId w:val="6"/>
  </w:num>
  <w:num w:numId="10">
    <w:abstractNumId w:val="25"/>
  </w:num>
  <w:num w:numId="11">
    <w:abstractNumId w:val="27"/>
  </w:num>
  <w:num w:numId="12">
    <w:abstractNumId w:val="11"/>
  </w:num>
  <w:num w:numId="13">
    <w:abstractNumId w:val="19"/>
  </w:num>
  <w:num w:numId="14">
    <w:abstractNumId w:val="8"/>
  </w:num>
  <w:num w:numId="15">
    <w:abstractNumId w:val="29"/>
  </w:num>
  <w:num w:numId="16">
    <w:abstractNumId w:val="15"/>
  </w:num>
  <w:num w:numId="17">
    <w:abstractNumId w:val="9"/>
  </w:num>
  <w:num w:numId="18">
    <w:abstractNumId w:val="16"/>
  </w:num>
  <w:num w:numId="19">
    <w:abstractNumId w:val="14"/>
  </w:num>
  <w:num w:numId="20">
    <w:abstractNumId w:val="13"/>
  </w:num>
  <w:num w:numId="21">
    <w:abstractNumId w:val="7"/>
  </w:num>
  <w:num w:numId="22">
    <w:abstractNumId w:val="10"/>
  </w:num>
  <w:num w:numId="23">
    <w:abstractNumId w:val="23"/>
  </w:num>
  <w:num w:numId="24">
    <w:abstractNumId w:val="31"/>
  </w:num>
  <w:num w:numId="25">
    <w:abstractNumId w:val="28"/>
  </w:num>
  <w:num w:numId="26">
    <w:abstractNumId w:val="2"/>
  </w:num>
  <w:num w:numId="27">
    <w:abstractNumId w:val="24"/>
  </w:num>
  <w:num w:numId="28">
    <w:abstractNumId w:val="18"/>
  </w:num>
  <w:num w:numId="29">
    <w:abstractNumId w:val="36"/>
  </w:num>
  <w:num w:numId="30">
    <w:abstractNumId w:val="3"/>
  </w:num>
  <w:num w:numId="31">
    <w:abstractNumId w:val="30"/>
  </w:num>
  <w:num w:numId="32">
    <w:abstractNumId w:val="35"/>
  </w:num>
  <w:num w:numId="33">
    <w:abstractNumId w:val="32"/>
  </w:num>
  <w:num w:numId="34">
    <w:abstractNumId w:val="34"/>
  </w:num>
  <w:num w:numId="35">
    <w:abstractNumId w:val="37"/>
  </w:num>
  <w:num w:numId="36">
    <w:abstractNumId w:val="21"/>
  </w:num>
  <w:num w:numId="37">
    <w:abstractNumId w:val="4"/>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DBC"/>
    <w:rsid w:val="000007E8"/>
    <w:rsid w:val="0000142D"/>
    <w:rsid w:val="00001A9B"/>
    <w:rsid w:val="0000315A"/>
    <w:rsid w:val="00004597"/>
    <w:rsid w:val="00005E3E"/>
    <w:rsid w:val="00007688"/>
    <w:rsid w:val="00007F63"/>
    <w:rsid w:val="00010D36"/>
    <w:rsid w:val="000111BE"/>
    <w:rsid w:val="000112A2"/>
    <w:rsid w:val="00013149"/>
    <w:rsid w:val="000132DA"/>
    <w:rsid w:val="00013ABB"/>
    <w:rsid w:val="000146BD"/>
    <w:rsid w:val="000175A5"/>
    <w:rsid w:val="00021365"/>
    <w:rsid w:val="000218FD"/>
    <w:rsid w:val="000228D8"/>
    <w:rsid w:val="00022AD6"/>
    <w:rsid w:val="00023F72"/>
    <w:rsid w:val="00025D5F"/>
    <w:rsid w:val="000300E7"/>
    <w:rsid w:val="00031842"/>
    <w:rsid w:val="0003209B"/>
    <w:rsid w:val="00034AA5"/>
    <w:rsid w:val="000350C4"/>
    <w:rsid w:val="0004068A"/>
    <w:rsid w:val="000426C4"/>
    <w:rsid w:val="0004585A"/>
    <w:rsid w:val="00045B26"/>
    <w:rsid w:val="00045CFC"/>
    <w:rsid w:val="0004632F"/>
    <w:rsid w:val="00046363"/>
    <w:rsid w:val="00047585"/>
    <w:rsid w:val="00047E0A"/>
    <w:rsid w:val="00050785"/>
    <w:rsid w:val="00051C71"/>
    <w:rsid w:val="000529BA"/>
    <w:rsid w:val="00052ABC"/>
    <w:rsid w:val="000545E0"/>
    <w:rsid w:val="00054CB9"/>
    <w:rsid w:val="00055336"/>
    <w:rsid w:val="000563C5"/>
    <w:rsid w:val="00056D9C"/>
    <w:rsid w:val="000611B9"/>
    <w:rsid w:val="00061C53"/>
    <w:rsid w:val="00063A8A"/>
    <w:rsid w:val="00066544"/>
    <w:rsid w:val="00071D50"/>
    <w:rsid w:val="00072B8F"/>
    <w:rsid w:val="000730C1"/>
    <w:rsid w:val="000731D8"/>
    <w:rsid w:val="00074562"/>
    <w:rsid w:val="00074C87"/>
    <w:rsid w:val="00075259"/>
    <w:rsid w:val="000757BE"/>
    <w:rsid w:val="0007623E"/>
    <w:rsid w:val="00076C5B"/>
    <w:rsid w:val="00077BE4"/>
    <w:rsid w:val="000811CE"/>
    <w:rsid w:val="00082F75"/>
    <w:rsid w:val="00084137"/>
    <w:rsid w:val="00084A1F"/>
    <w:rsid w:val="000851D8"/>
    <w:rsid w:val="00085DBF"/>
    <w:rsid w:val="00086794"/>
    <w:rsid w:val="000902A4"/>
    <w:rsid w:val="000902C4"/>
    <w:rsid w:val="000932A3"/>
    <w:rsid w:val="000966C4"/>
    <w:rsid w:val="00096F5B"/>
    <w:rsid w:val="000A1087"/>
    <w:rsid w:val="000A40C6"/>
    <w:rsid w:val="000A5068"/>
    <w:rsid w:val="000A53A0"/>
    <w:rsid w:val="000B09AB"/>
    <w:rsid w:val="000B186C"/>
    <w:rsid w:val="000B1FED"/>
    <w:rsid w:val="000B26BB"/>
    <w:rsid w:val="000B347C"/>
    <w:rsid w:val="000B3A40"/>
    <w:rsid w:val="000B4093"/>
    <w:rsid w:val="000B4233"/>
    <w:rsid w:val="000B6EFF"/>
    <w:rsid w:val="000B7430"/>
    <w:rsid w:val="000B783D"/>
    <w:rsid w:val="000B7880"/>
    <w:rsid w:val="000B7FF7"/>
    <w:rsid w:val="000C3450"/>
    <w:rsid w:val="000C431A"/>
    <w:rsid w:val="000C4901"/>
    <w:rsid w:val="000C4EDE"/>
    <w:rsid w:val="000C530B"/>
    <w:rsid w:val="000D3EE2"/>
    <w:rsid w:val="000D40C1"/>
    <w:rsid w:val="000E18DE"/>
    <w:rsid w:val="000E2141"/>
    <w:rsid w:val="000E52CF"/>
    <w:rsid w:val="000E5B87"/>
    <w:rsid w:val="000F19E9"/>
    <w:rsid w:val="000F29E1"/>
    <w:rsid w:val="000F3B47"/>
    <w:rsid w:val="000F4D7A"/>
    <w:rsid w:val="000F537B"/>
    <w:rsid w:val="000F53E9"/>
    <w:rsid w:val="000F569A"/>
    <w:rsid w:val="000F60CE"/>
    <w:rsid w:val="00100624"/>
    <w:rsid w:val="00102366"/>
    <w:rsid w:val="00102D11"/>
    <w:rsid w:val="0010369A"/>
    <w:rsid w:val="00104354"/>
    <w:rsid w:val="0010511B"/>
    <w:rsid w:val="00105709"/>
    <w:rsid w:val="0010624B"/>
    <w:rsid w:val="00111958"/>
    <w:rsid w:val="00111C04"/>
    <w:rsid w:val="00112C8D"/>
    <w:rsid w:val="00113295"/>
    <w:rsid w:val="0011356A"/>
    <w:rsid w:val="00113862"/>
    <w:rsid w:val="00115CBB"/>
    <w:rsid w:val="001167DA"/>
    <w:rsid w:val="00117DC3"/>
    <w:rsid w:val="001216D2"/>
    <w:rsid w:val="0012177E"/>
    <w:rsid w:val="00121FA4"/>
    <w:rsid w:val="001228B4"/>
    <w:rsid w:val="001231DF"/>
    <w:rsid w:val="0012425F"/>
    <w:rsid w:val="00125520"/>
    <w:rsid w:val="001304CD"/>
    <w:rsid w:val="00132720"/>
    <w:rsid w:val="00133759"/>
    <w:rsid w:val="00133F15"/>
    <w:rsid w:val="00134882"/>
    <w:rsid w:val="0013490D"/>
    <w:rsid w:val="00134FC4"/>
    <w:rsid w:val="001355CD"/>
    <w:rsid w:val="00135934"/>
    <w:rsid w:val="00137F00"/>
    <w:rsid w:val="00140645"/>
    <w:rsid w:val="0014146C"/>
    <w:rsid w:val="001435DB"/>
    <w:rsid w:val="001435E9"/>
    <w:rsid w:val="00143D68"/>
    <w:rsid w:val="0014536E"/>
    <w:rsid w:val="0014555A"/>
    <w:rsid w:val="00146B93"/>
    <w:rsid w:val="00150236"/>
    <w:rsid w:val="0015067D"/>
    <w:rsid w:val="001516C2"/>
    <w:rsid w:val="00152A14"/>
    <w:rsid w:val="00152B06"/>
    <w:rsid w:val="00153C3E"/>
    <w:rsid w:val="00153F09"/>
    <w:rsid w:val="001542D1"/>
    <w:rsid w:val="00160297"/>
    <w:rsid w:val="00163391"/>
    <w:rsid w:val="0016364C"/>
    <w:rsid w:val="00164057"/>
    <w:rsid w:val="0016738F"/>
    <w:rsid w:val="00167627"/>
    <w:rsid w:val="00171861"/>
    <w:rsid w:val="00171AB8"/>
    <w:rsid w:val="00171CB4"/>
    <w:rsid w:val="0017440B"/>
    <w:rsid w:val="00174D6C"/>
    <w:rsid w:val="0017510D"/>
    <w:rsid w:val="00175BB8"/>
    <w:rsid w:val="00176191"/>
    <w:rsid w:val="00177D11"/>
    <w:rsid w:val="0018000F"/>
    <w:rsid w:val="00183669"/>
    <w:rsid w:val="00184FC1"/>
    <w:rsid w:val="0018512A"/>
    <w:rsid w:val="00185C7D"/>
    <w:rsid w:val="00186B39"/>
    <w:rsid w:val="0018706A"/>
    <w:rsid w:val="00190DC6"/>
    <w:rsid w:val="00191100"/>
    <w:rsid w:val="00191211"/>
    <w:rsid w:val="001950C2"/>
    <w:rsid w:val="00195582"/>
    <w:rsid w:val="001956DD"/>
    <w:rsid w:val="00195CD8"/>
    <w:rsid w:val="00196BBE"/>
    <w:rsid w:val="00197FC8"/>
    <w:rsid w:val="001A0F95"/>
    <w:rsid w:val="001A105D"/>
    <w:rsid w:val="001A159B"/>
    <w:rsid w:val="001A1747"/>
    <w:rsid w:val="001A1BF2"/>
    <w:rsid w:val="001A1E92"/>
    <w:rsid w:val="001A4176"/>
    <w:rsid w:val="001A5F1C"/>
    <w:rsid w:val="001B056B"/>
    <w:rsid w:val="001B6680"/>
    <w:rsid w:val="001B7825"/>
    <w:rsid w:val="001C00C7"/>
    <w:rsid w:val="001C24EA"/>
    <w:rsid w:val="001C481D"/>
    <w:rsid w:val="001C4A04"/>
    <w:rsid w:val="001C5DE5"/>
    <w:rsid w:val="001C5FB4"/>
    <w:rsid w:val="001D1FAB"/>
    <w:rsid w:val="001D29FC"/>
    <w:rsid w:val="001D6AB6"/>
    <w:rsid w:val="001D76C9"/>
    <w:rsid w:val="001E06A3"/>
    <w:rsid w:val="001E21A1"/>
    <w:rsid w:val="001E2D91"/>
    <w:rsid w:val="001E48D6"/>
    <w:rsid w:val="001E4A5D"/>
    <w:rsid w:val="001E6E76"/>
    <w:rsid w:val="001F0D7C"/>
    <w:rsid w:val="001F0F31"/>
    <w:rsid w:val="001F14D9"/>
    <w:rsid w:val="001F282C"/>
    <w:rsid w:val="001F365B"/>
    <w:rsid w:val="001F405F"/>
    <w:rsid w:val="001F666A"/>
    <w:rsid w:val="001F74E5"/>
    <w:rsid w:val="001F7D0F"/>
    <w:rsid w:val="00200166"/>
    <w:rsid w:val="00200437"/>
    <w:rsid w:val="00200C46"/>
    <w:rsid w:val="00200E4D"/>
    <w:rsid w:val="002024F8"/>
    <w:rsid w:val="00206544"/>
    <w:rsid w:val="00207C41"/>
    <w:rsid w:val="00210981"/>
    <w:rsid w:val="00212084"/>
    <w:rsid w:val="00213787"/>
    <w:rsid w:val="00216531"/>
    <w:rsid w:val="0022278B"/>
    <w:rsid w:val="00222C26"/>
    <w:rsid w:val="0022337E"/>
    <w:rsid w:val="002240B2"/>
    <w:rsid w:val="00224756"/>
    <w:rsid w:val="002257FF"/>
    <w:rsid w:val="00225C56"/>
    <w:rsid w:val="00232EEF"/>
    <w:rsid w:val="00234021"/>
    <w:rsid w:val="00234BCC"/>
    <w:rsid w:val="00234BE2"/>
    <w:rsid w:val="00234FCD"/>
    <w:rsid w:val="00235BD9"/>
    <w:rsid w:val="002377A2"/>
    <w:rsid w:val="002413FE"/>
    <w:rsid w:val="00241BE6"/>
    <w:rsid w:val="002458F8"/>
    <w:rsid w:val="00246251"/>
    <w:rsid w:val="00246495"/>
    <w:rsid w:val="00253D3A"/>
    <w:rsid w:val="00253FD9"/>
    <w:rsid w:val="00254983"/>
    <w:rsid w:val="00255122"/>
    <w:rsid w:val="00255E99"/>
    <w:rsid w:val="002563EC"/>
    <w:rsid w:val="00256E46"/>
    <w:rsid w:val="002608B8"/>
    <w:rsid w:val="0026132B"/>
    <w:rsid w:val="00261D8B"/>
    <w:rsid w:val="002620DA"/>
    <w:rsid w:val="002622EE"/>
    <w:rsid w:val="00262765"/>
    <w:rsid w:val="00263091"/>
    <w:rsid w:val="00271763"/>
    <w:rsid w:val="00271A3E"/>
    <w:rsid w:val="00272D4F"/>
    <w:rsid w:val="002737C1"/>
    <w:rsid w:val="00274E5A"/>
    <w:rsid w:val="0027502F"/>
    <w:rsid w:val="002750A8"/>
    <w:rsid w:val="002753D8"/>
    <w:rsid w:val="00275ECB"/>
    <w:rsid w:val="00280796"/>
    <w:rsid w:val="002812F7"/>
    <w:rsid w:val="00281ADA"/>
    <w:rsid w:val="0028282C"/>
    <w:rsid w:val="00283C29"/>
    <w:rsid w:val="002855DF"/>
    <w:rsid w:val="00286E08"/>
    <w:rsid w:val="0029159B"/>
    <w:rsid w:val="00291DAF"/>
    <w:rsid w:val="002939CD"/>
    <w:rsid w:val="00294018"/>
    <w:rsid w:val="00294411"/>
    <w:rsid w:val="0029500C"/>
    <w:rsid w:val="00295CC6"/>
    <w:rsid w:val="0029694A"/>
    <w:rsid w:val="002A16B8"/>
    <w:rsid w:val="002A1D21"/>
    <w:rsid w:val="002A4C73"/>
    <w:rsid w:val="002A669E"/>
    <w:rsid w:val="002A6A10"/>
    <w:rsid w:val="002A6A3B"/>
    <w:rsid w:val="002B140E"/>
    <w:rsid w:val="002B19A4"/>
    <w:rsid w:val="002B1DDC"/>
    <w:rsid w:val="002B2A5E"/>
    <w:rsid w:val="002B2BEA"/>
    <w:rsid w:val="002B337D"/>
    <w:rsid w:val="002B5AE8"/>
    <w:rsid w:val="002B633C"/>
    <w:rsid w:val="002B74B2"/>
    <w:rsid w:val="002C2FE7"/>
    <w:rsid w:val="002C347F"/>
    <w:rsid w:val="002C565A"/>
    <w:rsid w:val="002C5AC4"/>
    <w:rsid w:val="002C6537"/>
    <w:rsid w:val="002C7012"/>
    <w:rsid w:val="002C72B7"/>
    <w:rsid w:val="002C7830"/>
    <w:rsid w:val="002D001A"/>
    <w:rsid w:val="002D1826"/>
    <w:rsid w:val="002D22E7"/>
    <w:rsid w:val="002D29D8"/>
    <w:rsid w:val="002D2CE4"/>
    <w:rsid w:val="002D3717"/>
    <w:rsid w:val="002D3DC3"/>
    <w:rsid w:val="002D5E05"/>
    <w:rsid w:val="002D6A59"/>
    <w:rsid w:val="002D7005"/>
    <w:rsid w:val="002D7C4A"/>
    <w:rsid w:val="002E0A72"/>
    <w:rsid w:val="002E1E62"/>
    <w:rsid w:val="002E20A0"/>
    <w:rsid w:val="002E2FA3"/>
    <w:rsid w:val="002E3197"/>
    <w:rsid w:val="002E52A4"/>
    <w:rsid w:val="002E5911"/>
    <w:rsid w:val="002E61F9"/>
    <w:rsid w:val="002E62C5"/>
    <w:rsid w:val="002F01D1"/>
    <w:rsid w:val="002F0C3F"/>
    <w:rsid w:val="002F3DE9"/>
    <w:rsid w:val="002F43C1"/>
    <w:rsid w:val="002F4EC0"/>
    <w:rsid w:val="002F57BF"/>
    <w:rsid w:val="002F5C33"/>
    <w:rsid w:val="002F6E8A"/>
    <w:rsid w:val="002F7C18"/>
    <w:rsid w:val="00301C8A"/>
    <w:rsid w:val="00302D21"/>
    <w:rsid w:val="00302F60"/>
    <w:rsid w:val="00304979"/>
    <w:rsid w:val="003057FA"/>
    <w:rsid w:val="0030587E"/>
    <w:rsid w:val="0030612D"/>
    <w:rsid w:val="00306E34"/>
    <w:rsid w:val="0031014C"/>
    <w:rsid w:val="00311E9F"/>
    <w:rsid w:val="0031323F"/>
    <w:rsid w:val="0031348C"/>
    <w:rsid w:val="003152FB"/>
    <w:rsid w:val="00315540"/>
    <w:rsid w:val="00315F7C"/>
    <w:rsid w:val="0031635F"/>
    <w:rsid w:val="00316CF1"/>
    <w:rsid w:val="00321216"/>
    <w:rsid w:val="00322F8A"/>
    <w:rsid w:val="00323117"/>
    <w:rsid w:val="00325050"/>
    <w:rsid w:val="003253BC"/>
    <w:rsid w:val="0032709A"/>
    <w:rsid w:val="00327E53"/>
    <w:rsid w:val="00330D37"/>
    <w:rsid w:val="00332D8D"/>
    <w:rsid w:val="00334152"/>
    <w:rsid w:val="00334EC5"/>
    <w:rsid w:val="0033532D"/>
    <w:rsid w:val="00335A65"/>
    <w:rsid w:val="00335BA0"/>
    <w:rsid w:val="00335C4B"/>
    <w:rsid w:val="00335E9A"/>
    <w:rsid w:val="00336252"/>
    <w:rsid w:val="00340B38"/>
    <w:rsid w:val="00341381"/>
    <w:rsid w:val="00341555"/>
    <w:rsid w:val="003421E7"/>
    <w:rsid w:val="0034240A"/>
    <w:rsid w:val="003424EA"/>
    <w:rsid w:val="00342F28"/>
    <w:rsid w:val="003436EA"/>
    <w:rsid w:val="00343F39"/>
    <w:rsid w:val="00345541"/>
    <w:rsid w:val="00346D56"/>
    <w:rsid w:val="00347D62"/>
    <w:rsid w:val="0035376B"/>
    <w:rsid w:val="003545D9"/>
    <w:rsid w:val="003563E2"/>
    <w:rsid w:val="00356E1D"/>
    <w:rsid w:val="003600E2"/>
    <w:rsid w:val="00361670"/>
    <w:rsid w:val="00364BE1"/>
    <w:rsid w:val="003654C0"/>
    <w:rsid w:val="00366311"/>
    <w:rsid w:val="0036716A"/>
    <w:rsid w:val="003702FF"/>
    <w:rsid w:val="003704D1"/>
    <w:rsid w:val="00374288"/>
    <w:rsid w:val="00374961"/>
    <w:rsid w:val="00375384"/>
    <w:rsid w:val="003757B3"/>
    <w:rsid w:val="0037601B"/>
    <w:rsid w:val="00376067"/>
    <w:rsid w:val="00376477"/>
    <w:rsid w:val="0037676D"/>
    <w:rsid w:val="00377C01"/>
    <w:rsid w:val="003810FF"/>
    <w:rsid w:val="00384896"/>
    <w:rsid w:val="00385BD4"/>
    <w:rsid w:val="00386C39"/>
    <w:rsid w:val="0038739F"/>
    <w:rsid w:val="00387622"/>
    <w:rsid w:val="00387E37"/>
    <w:rsid w:val="00390405"/>
    <w:rsid w:val="0039047F"/>
    <w:rsid w:val="00390CB6"/>
    <w:rsid w:val="00390D9C"/>
    <w:rsid w:val="00391E11"/>
    <w:rsid w:val="00391F53"/>
    <w:rsid w:val="0039274F"/>
    <w:rsid w:val="00392A04"/>
    <w:rsid w:val="0039378E"/>
    <w:rsid w:val="00393835"/>
    <w:rsid w:val="00393D27"/>
    <w:rsid w:val="003961EC"/>
    <w:rsid w:val="00396651"/>
    <w:rsid w:val="00397908"/>
    <w:rsid w:val="003A0FA9"/>
    <w:rsid w:val="003A1DBF"/>
    <w:rsid w:val="003A2F70"/>
    <w:rsid w:val="003A3C25"/>
    <w:rsid w:val="003A4D45"/>
    <w:rsid w:val="003A5ABC"/>
    <w:rsid w:val="003A6FD7"/>
    <w:rsid w:val="003B0A29"/>
    <w:rsid w:val="003B17B6"/>
    <w:rsid w:val="003B25D2"/>
    <w:rsid w:val="003B34E3"/>
    <w:rsid w:val="003B3703"/>
    <w:rsid w:val="003B37C9"/>
    <w:rsid w:val="003B4E82"/>
    <w:rsid w:val="003B4ECC"/>
    <w:rsid w:val="003B661E"/>
    <w:rsid w:val="003B6B32"/>
    <w:rsid w:val="003B6F82"/>
    <w:rsid w:val="003B73BA"/>
    <w:rsid w:val="003B7835"/>
    <w:rsid w:val="003B7937"/>
    <w:rsid w:val="003C094E"/>
    <w:rsid w:val="003C1CAD"/>
    <w:rsid w:val="003C2038"/>
    <w:rsid w:val="003C3711"/>
    <w:rsid w:val="003C4771"/>
    <w:rsid w:val="003C557D"/>
    <w:rsid w:val="003C638C"/>
    <w:rsid w:val="003C6569"/>
    <w:rsid w:val="003C79F1"/>
    <w:rsid w:val="003C7B11"/>
    <w:rsid w:val="003D14D7"/>
    <w:rsid w:val="003D1501"/>
    <w:rsid w:val="003D1E33"/>
    <w:rsid w:val="003D290C"/>
    <w:rsid w:val="003D51E3"/>
    <w:rsid w:val="003D611C"/>
    <w:rsid w:val="003E24E8"/>
    <w:rsid w:val="003E3C65"/>
    <w:rsid w:val="003E3D36"/>
    <w:rsid w:val="003E6043"/>
    <w:rsid w:val="003E69B5"/>
    <w:rsid w:val="003E7BBA"/>
    <w:rsid w:val="003F1599"/>
    <w:rsid w:val="003F3694"/>
    <w:rsid w:val="003F6B3D"/>
    <w:rsid w:val="00400BB0"/>
    <w:rsid w:val="0040257F"/>
    <w:rsid w:val="004034D8"/>
    <w:rsid w:val="00406D1B"/>
    <w:rsid w:val="004117D4"/>
    <w:rsid w:val="00411E99"/>
    <w:rsid w:val="004120C1"/>
    <w:rsid w:val="00412B35"/>
    <w:rsid w:val="00413210"/>
    <w:rsid w:val="004132F5"/>
    <w:rsid w:val="00413830"/>
    <w:rsid w:val="004138D6"/>
    <w:rsid w:val="004139A4"/>
    <w:rsid w:val="004151DA"/>
    <w:rsid w:val="00415E36"/>
    <w:rsid w:val="00416F52"/>
    <w:rsid w:val="004174D7"/>
    <w:rsid w:val="00420876"/>
    <w:rsid w:val="0042117D"/>
    <w:rsid w:val="00421ACE"/>
    <w:rsid w:val="004228FC"/>
    <w:rsid w:val="0042419D"/>
    <w:rsid w:val="004247FD"/>
    <w:rsid w:val="00426A69"/>
    <w:rsid w:val="004277BA"/>
    <w:rsid w:val="004277FB"/>
    <w:rsid w:val="004302C6"/>
    <w:rsid w:val="00430337"/>
    <w:rsid w:val="0043173C"/>
    <w:rsid w:val="00431760"/>
    <w:rsid w:val="00432481"/>
    <w:rsid w:val="00432599"/>
    <w:rsid w:val="00435B59"/>
    <w:rsid w:val="00436650"/>
    <w:rsid w:val="004405D3"/>
    <w:rsid w:val="00440BD4"/>
    <w:rsid w:val="00442FB1"/>
    <w:rsid w:val="00443683"/>
    <w:rsid w:val="0044496B"/>
    <w:rsid w:val="004449B7"/>
    <w:rsid w:val="00445907"/>
    <w:rsid w:val="00446854"/>
    <w:rsid w:val="00450029"/>
    <w:rsid w:val="00450B16"/>
    <w:rsid w:val="00452474"/>
    <w:rsid w:val="00452F11"/>
    <w:rsid w:val="004540A1"/>
    <w:rsid w:val="00454CF1"/>
    <w:rsid w:val="00457023"/>
    <w:rsid w:val="004578DB"/>
    <w:rsid w:val="00457B3C"/>
    <w:rsid w:val="0046046E"/>
    <w:rsid w:val="00460F7B"/>
    <w:rsid w:val="00461114"/>
    <w:rsid w:val="00462A34"/>
    <w:rsid w:val="0046337A"/>
    <w:rsid w:val="0046463A"/>
    <w:rsid w:val="004650D1"/>
    <w:rsid w:val="004657CC"/>
    <w:rsid w:val="00466E2A"/>
    <w:rsid w:val="004673FC"/>
    <w:rsid w:val="00467DA1"/>
    <w:rsid w:val="00470D1F"/>
    <w:rsid w:val="00473FB7"/>
    <w:rsid w:val="00475696"/>
    <w:rsid w:val="00476019"/>
    <w:rsid w:val="0047654B"/>
    <w:rsid w:val="00476B24"/>
    <w:rsid w:val="00477737"/>
    <w:rsid w:val="0047785C"/>
    <w:rsid w:val="004801ED"/>
    <w:rsid w:val="004803F7"/>
    <w:rsid w:val="004808C6"/>
    <w:rsid w:val="004812F8"/>
    <w:rsid w:val="00482BA1"/>
    <w:rsid w:val="0048354D"/>
    <w:rsid w:val="004835BB"/>
    <w:rsid w:val="0048571C"/>
    <w:rsid w:val="00485F42"/>
    <w:rsid w:val="00486345"/>
    <w:rsid w:val="004876EE"/>
    <w:rsid w:val="00491E1B"/>
    <w:rsid w:val="00491E46"/>
    <w:rsid w:val="00492B20"/>
    <w:rsid w:val="0049302E"/>
    <w:rsid w:val="00494211"/>
    <w:rsid w:val="00495C23"/>
    <w:rsid w:val="004979F2"/>
    <w:rsid w:val="004A0359"/>
    <w:rsid w:val="004A226E"/>
    <w:rsid w:val="004A5A27"/>
    <w:rsid w:val="004A7F0F"/>
    <w:rsid w:val="004B1ED2"/>
    <w:rsid w:val="004B304D"/>
    <w:rsid w:val="004B453A"/>
    <w:rsid w:val="004B4EF7"/>
    <w:rsid w:val="004B5B0A"/>
    <w:rsid w:val="004B6548"/>
    <w:rsid w:val="004B7262"/>
    <w:rsid w:val="004C1BD6"/>
    <w:rsid w:val="004C1D22"/>
    <w:rsid w:val="004C2E7A"/>
    <w:rsid w:val="004C3738"/>
    <w:rsid w:val="004C3B2B"/>
    <w:rsid w:val="004C3F3E"/>
    <w:rsid w:val="004C6CDF"/>
    <w:rsid w:val="004D0B73"/>
    <w:rsid w:val="004D1BFA"/>
    <w:rsid w:val="004D64E9"/>
    <w:rsid w:val="004D6A13"/>
    <w:rsid w:val="004E2B42"/>
    <w:rsid w:val="004E33BF"/>
    <w:rsid w:val="004E399B"/>
    <w:rsid w:val="004E3A0F"/>
    <w:rsid w:val="004E4974"/>
    <w:rsid w:val="004E4D53"/>
    <w:rsid w:val="004E5935"/>
    <w:rsid w:val="004E5C6E"/>
    <w:rsid w:val="004E7FF8"/>
    <w:rsid w:val="004F1789"/>
    <w:rsid w:val="004F2D86"/>
    <w:rsid w:val="004F2E02"/>
    <w:rsid w:val="004F35C9"/>
    <w:rsid w:val="004F38F8"/>
    <w:rsid w:val="004F4BE0"/>
    <w:rsid w:val="004F4C0F"/>
    <w:rsid w:val="005029AF"/>
    <w:rsid w:val="0050348F"/>
    <w:rsid w:val="0050440D"/>
    <w:rsid w:val="00504BAF"/>
    <w:rsid w:val="005053BA"/>
    <w:rsid w:val="005059E1"/>
    <w:rsid w:val="005071A4"/>
    <w:rsid w:val="00507856"/>
    <w:rsid w:val="00507FD7"/>
    <w:rsid w:val="0051152B"/>
    <w:rsid w:val="00512119"/>
    <w:rsid w:val="0051212B"/>
    <w:rsid w:val="005122F0"/>
    <w:rsid w:val="0051275D"/>
    <w:rsid w:val="00513A1A"/>
    <w:rsid w:val="005147E7"/>
    <w:rsid w:val="0051655A"/>
    <w:rsid w:val="00517F21"/>
    <w:rsid w:val="00520B1E"/>
    <w:rsid w:val="00521A76"/>
    <w:rsid w:val="00521ABB"/>
    <w:rsid w:val="00521BD1"/>
    <w:rsid w:val="00523DF5"/>
    <w:rsid w:val="00523E89"/>
    <w:rsid w:val="00524AF5"/>
    <w:rsid w:val="005262B7"/>
    <w:rsid w:val="0052686B"/>
    <w:rsid w:val="00527013"/>
    <w:rsid w:val="0052708B"/>
    <w:rsid w:val="00531797"/>
    <w:rsid w:val="00531A27"/>
    <w:rsid w:val="005328CF"/>
    <w:rsid w:val="00533B49"/>
    <w:rsid w:val="00535496"/>
    <w:rsid w:val="005403D9"/>
    <w:rsid w:val="00540AB2"/>
    <w:rsid w:val="0054160C"/>
    <w:rsid w:val="00542D32"/>
    <w:rsid w:val="00543066"/>
    <w:rsid w:val="00544717"/>
    <w:rsid w:val="00550EEE"/>
    <w:rsid w:val="005525A3"/>
    <w:rsid w:val="00552FF4"/>
    <w:rsid w:val="0055546D"/>
    <w:rsid w:val="00555521"/>
    <w:rsid w:val="00555A73"/>
    <w:rsid w:val="00556D41"/>
    <w:rsid w:val="00557BA5"/>
    <w:rsid w:val="005602AE"/>
    <w:rsid w:val="00560EF2"/>
    <w:rsid w:val="005613E0"/>
    <w:rsid w:val="005619E2"/>
    <w:rsid w:val="00562234"/>
    <w:rsid w:val="0056271D"/>
    <w:rsid w:val="00564664"/>
    <w:rsid w:val="00564749"/>
    <w:rsid w:val="005653BD"/>
    <w:rsid w:val="00566572"/>
    <w:rsid w:val="00567D17"/>
    <w:rsid w:val="00567D81"/>
    <w:rsid w:val="0057181E"/>
    <w:rsid w:val="00572057"/>
    <w:rsid w:val="005722B9"/>
    <w:rsid w:val="00572646"/>
    <w:rsid w:val="00572745"/>
    <w:rsid w:val="00573DC3"/>
    <w:rsid w:val="0057473A"/>
    <w:rsid w:val="00574961"/>
    <w:rsid w:val="00574B91"/>
    <w:rsid w:val="00576C87"/>
    <w:rsid w:val="005825DD"/>
    <w:rsid w:val="00582CBE"/>
    <w:rsid w:val="00583DF1"/>
    <w:rsid w:val="00584286"/>
    <w:rsid w:val="00584DC7"/>
    <w:rsid w:val="0058532A"/>
    <w:rsid w:val="00585787"/>
    <w:rsid w:val="00585F4E"/>
    <w:rsid w:val="00586A37"/>
    <w:rsid w:val="00593E40"/>
    <w:rsid w:val="00594E07"/>
    <w:rsid w:val="00595AF5"/>
    <w:rsid w:val="005A090D"/>
    <w:rsid w:val="005A1C0D"/>
    <w:rsid w:val="005A2D50"/>
    <w:rsid w:val="005A4170"/>
    <w:rsid w:val="005B335A"/>
    <w:rsid w:val="005B3569"/>
    <w:rsid w:val="005B552D"/>
    <w:rsid w:val="005B5B61"/>
    <w:rsid w:val="005B62FF"/>
    <w:rsid w:val="005C030B"/>
    <w:rsid w:val="005C14A2"/>
    <w:rsid w:val="005C1764"/>
    <w:rsid w:val="005C5312"/>
    <w:rsid w:val="005C57C6"/>
    <w:rsid w:val="005C6CA1"/>
    <w:rsid w:val="005C7293"/>
    <w:rsid w:val="005C7574"/>
    <w:rsid w:val="005C7A91"/>
    <w:rsid w:val="005D054F"/>
    <w:rsid w:val="005D16EB"/>
    <w:rsid w:val="005D1F43"/>
    <w:rsid w:val="005D309C"/>
    <w:rsid w:val="005D4BF8"/>
    <w:rsid w:val="005D62C7"/>
    <w:rsid w:val="005D69F2"/>
    <w:rsid w:val="005D6CDF"/>
    <w:rsid w:val="005D733E"/>
    <w:rsid w:val="005E21AD"/>
    <w:rsid w:val="005E6462"/>
    <w:rsid w:val="005E64ED"/>
    <w:rsid w:val="005E7BB7"/>
    <w:rsid w:val="005F05C6"/>
    <w:rsid w:val="005F3421"/>
    <w:rsid w:val="005F55C5"/>
    <w:rsid w:val="005F6114"/>
    <w:rsid w:val="00600B82"/>
    <w:rsid w:val="00600D8D"/>
    <w:rsid w:val="00601069"/>
    <w:rsid w:val="0060178A"/>
    <w:rsid w:val="00602DC8"/>
    <w:rsid w:val="006031B8"/>
    <w:rsid w:val="00604CDA"/>
    <w:rsid w:val="006079CD"/>
    <w:rsid w:val="00610D19"/>
    <w:rsid w:val="00613EEA"/>
    <w:rsid w:val="0061492B"/>
    <w:rsid w:val="00614ED0"/>
    <w:rsid w:val="00616273"/>
    <w:rsid w:val="00616F42"/>
    <w:rsid w:val="00617842"/>
    <w:rsid w:val="006212E0"/>
    <w:rsid w:val="00622597"/>
    <w:rsid w:val="00624506"/>
    <w:rsid w:val="00627BBE"/>
    <w:rsid w:val="00630512"/>
    <w:rsid w:val="006307FA"/>
    <w:rsid w:val="006327CB"/>
    <w:rsid w:val="006333A6"/>
    <w:rsid w:val="00633E26"/>
    <w:rsid w:val="00634019"/>
    <w:rsid w:val="006340FF"/>
    <w:rsid w:val="00637349"/>
    <w:rsid w:val="00637E4E"/>
    <w:rsid w:val="00640DB9"/>
    <w:rsid w:val="00642143"/>
    <w:rsid w:val="00642A33"/>
    <w:rsid w:val="006439C3"/>
    <w:rsid w:val="00644A76"/>
    <w:rsid w:val="0064612F"/>
    <w:rsid w:val="00647F4B"/>
    <w:rsid w:val="00650D3A"/>
    <w:rsid w:val="006511EA"/>
    <w:rsid w:val="0065121B"/>
    <w:rsid w:val="006524D7"/>
    <w:rsid w:val="0065279B"/>
    <w:rsid w:val="00652CC3"/>
    <w:rsid w:val="006535DD"/>
    <w:rsid w:val="0065424B"/>
    <w:rsid w:val="0065496D"/>
    <w:rsid w:val="00654B5C"/>
    <w:rsid w:val="00655711"/>
    <w:rsid w:val="006564A5"/>
    <w:rsid w:val="0065687A"/>
    <w:rsid w:val="00662368"/>
    <w:rsid w:val="00662B28"/>
    <w:rsid w:val="0066363E"/>
    <w:rsid w:val="00664F21"/>
    <w:rsid w:val="006664BD"/>
    <w:rsid w:val="006674D1"/>
    <w:rsid w:val="006713FA"/>
    <w:rsid w:val="00672E31"/>
    <w:rsid w:val="00674C8A"/>
    <w:rsid w:val="006754DF"/>
    <w:rsid w:val="0067607A"/>
    <w:rsid w:val="006768B2"/>
    <w:rsid w:val="006775EC"/>
    <w:rsid w:val="00677887"/>
    <w:rsid w:val="0068007D"/>
    <w:rsid w:val="006806D3"/>
    <w:rsid w:val="00681A25"/>
    <w:rsid w:val="00682C11"/>
    <w:rsid w:val="0068327B"/>
    <w:rsid w:val="00683B8C"/>
    <w:rsid w:val="00684F8C"/>
    <w:rsid w:val="00685387"/>
    <w:rsid w:val="00686090"/>
    <w:rsid w:val="00690827"/>
    <w:rsid w:val="00690A0C"/>
    <w:rsid w:val="00690B88"/>
    <w:rsid w:val="00692452"/>
    <w:rsid w:val="00694D0B"/>
    <w:rsid w:val="00697D1A"/>
    <w:rsid w:val="006A3E3D"/>
    <w:rsid w:val="006A4C37"/>
    <w:rsid w:val="006A5810"/>
    <w:rsid w:val="006A61FA"/>
    <w:rsid w:val="006A6458"/>
    <w:rsid w:val="006B037F"/>
    <w:rsid w:val="006B249B"/>
    <w:rsid w:val="006B2CBB"/>
    <w:rsid w:val="006B4F87"/>
    <w:rsid w:val="006B53BE"/>
    <w:rsid w:val="006B6D5B"/>
    <w:rsid w:val="006B785E"/>
    <w:rsid w:val="006C0095"/>
    <w:rsid w:val="006C01EB"/>
    <w:rsid w:val="006C0275"/>
    <w:rsid w:val="006C0517"/>
    <w:rsid w:val="006C09B0"/>
    <w:rsid w:val="006C1171"/>
    <w:rsid w:val="006C2CCC"/>
    <w:rsid w:val="006C563B"/>
    <w:rsid w:val="006C6295"/>
    <w:rsid w:val="006C6A93"/>
    <w:rsid w:val="006C7534"/>
    <w:rsid w:val="006C75ED"/>
    <w:rsid w:val="006C7C9A"/>
    <w:rsid w:val="006C7E52"/>
    <w:rsid w:val="006D00D8"/>
    <w:rsid w:val="006D01CF"/>
    <w:rsid w:val="006D0F2B"/>
    <w:rsid w:val="006D1002"/>
    <w:rsid w:val="006D10C3"/>
    <w:rsid w:val="006D134A"/>
    <w:rsid w:val="006D5901"/>
    <w:rsid w:val="006E0988"/>
    <w:rsid w:val="006E1F50"/>
    <w:rsid w:val="006E4D2A"/>
    <w:rsid w:val="006E7DDA"/>
    <w:rsid w:val="006F136B"/>
    <w:rsid w:val="006F25BB"/>
    <w:rsid w:val="006F2D46"/>
    <w:rsid w:val="006F3295"/>
    <w:rsid w:val="006F397E"/>
    <w:rsid w:val="006F3F8E"/>
    <w:rsid w:val="006F4110"/>
    <w:rsid w:val="006F4AB3"/>
    <w:rsid w:val="006F52A1"/>
    <w:rsid w:val="006F705A"/>
    <w:rsid w:val="00700AAD"/>
    <w:rsid w:val="00702F49"/>
    <w:rsid w:val="007043CC"/>
    <w:rsid w:val="00705681"/>
    <w:rsid w:val="0070679C"/>
    <w:rsid w:val="0070681F"/>
    <w:rsid w:val="0070726F"/>
    <w:rsid w:val="007106A6"/>
    <w:rsid w:val="0071246E"/>
    <w:rsid w:val="007135BA"/>
    <w:rsid w:val="00713624"/>
    <w:rsid w:val="00713D83"/>
    <w:rsid w:val="007143CA"/>
    <w:rsid w:val="00715C12"/>
    <w:rsid w:val="007164F3"/>
    <w:rsid w:val="00716584"/>
    <w:rsid w:val="00720E1C"/>
    <w:rsid w:val="00724492"/>
    <w:rsid w:val="0072634B"/>
    <w:rsid w:val="00727743"/>
    <w:rsid w:val="007309BB"/>
    <w:rsid w:val="00730AF0"/>
    <w:rsid w:val="00731839"/>
    <w:rsid w:val="00731AE5"/>
    <w:rsid w:val="0073244D"/>
    <w:rsid w:val="007328D5"/>
    <w:rsid w:val="00732E2C"/>
    <w:rsid w:val="00735235"/>
    <w:rsid w:val="00735C04"/>
    <w:rsid w:val="00736703"/>
    <w:rsid w:val="007379B1"/>
    <w:rsid w:val="00741122"/>
    <w:rsid w:val="00743E11"/>
    <w:rsid w:val="00744179"/>
    <w:rsid w:val="00744A91"/>
    <w:rsid w:val="00744FB1"/>
    <w:rsid w:val="00745961"/>
    <w:rsid w:val="0074629F"/>
    <w:rsid w:val="00746DD1"/>
    <w:rsid w:val="00751DAD"/>
    <w:rsid w:val="007521AE"/>
    <w:rsid w:val="00752388"/>
    <w:rsid w:val="00752CFB"/>
    <w:rsid w:val="00753523"/>
    <w:rsid w:val="00755048"/>
    <w:rsid w:val="007568BE"/>
    <w:rsid w:val="00756CB0"/>
    <w:rsid w:val="00760631"/>
    <w:rsid w:val="00762918"/>
    <w:rsid w:val="00763A57"/>
    <w:rsid w:val="00765EFA"/>
    <w:rsid w:val="007669CA"/>
    <w:rsid w:val="0076730B"/>
    <w:rsid w:val="00771B09"/>
    <w:rsid w:val="0077335C"/>
    <w:rsid w:val="00773F26"/>
    <w:rsid w:val="007743F7"/>
    <w:rsid w:val="007744E5"/>
    <w:rsid w:val="00774508"/>
    <w:rsid w:val="00775DBD"/>
    <w:rsid w:val="00775F55"/>
    <w:rsid w:val="00781160"/>
    <w:rsid w:val="007836D4"/>
    <w:rsid w:val="007838C6"/>
    <w:rsid w:val="00784B8A"/>
    <w:rsid w:val="00785D17"/>
    <w:rsid w:val="007872E9"/>
    <w:rsid w:val="00791D29"/>
    <w:rsid w:val="00793E48"/>
    <w:rsid w:val="00794FAA"/>
    <w:rsid w:val="00795B06"/>
    <w:rsid w:val="00795C6F"/>
    <w:rsid w:val="007968EA"/>
    <w:rsid w:val="00797D7B"/>
    <w:rsid w:val="007A0891"/>
    <w:rsid w:val="007A089A"/>
    <w:rsid w:val="007A0CA6"/>
    <w:rsid w:val="007A1A2C"/>
    <w:rsid w:val="007A1AAF"/>
    <w:rsid w:val="007A43D0"/>
    <w:rsid w:val="007A5230"/>
    <w:rsid w:val="007A6FAD"/>
    <w:rsid w:val="007B191F"/>
    <w:rsid w:val="007B5538"/>
    <w:rsid w:val="007B5A09"/>
    <w:rsid w:val="007B5D6E"/>
    <w:rsid w:val="007B62B6"/>
    <w:rsid w:val="007C0447"/>
    <w:rsid w:val="007C2190"/>
    <w:rsid w:val="007C2992"/>
    <w:rsid w:val="007C301F"/>
    <w:rsid w:val="007C3221"/>
    <w:rsid w:val="007C3C93"/>
    <w:rsid w:val="007C4D6B"/>
    <w:rsid w:val="007C50AC"/>
    <w:rsid w:val="007C6E1E"/>
    <w:rsid w:val="007D0C62"/>
    <w:rsid w:val="007D1710"/>
    <w:rsid w:val="007D29E0"/>
    <w:rsid w:val="007D2C18"/>
    <w:rsid w:val="007D3F13"/>
    <w:rsid w:val="007D598C"/>
    <w:rsid w:val="007D7F43"/>
    <w:rsid w:val="007E0761"/>
    <w:rsid w:val="007E0FA3"/>
    <w:rsid w:val="007E1197"/>
    <w:rsid w:val="007E2140"/>
    <w:rsid w:val="007E2A57"/>
    <w:rsid w:val="007E3C7E"/>
    <w:rsid w:val="007E55C1"/>
    <w:rsid w:val="007E57C8"/>
    <w:rsid w:val="007E69B6"/>
    <w:rsid w:val="007E6BC1"/>
    <w:rsid w:val="007F0CBC"/>
    <w:rsid w:val="007F0FAC"/>
    <w:rsid w:val="007F36AC"/>
    <w:rsid w:val="007F465B"/>
    <w:rsid w:val="007F5824"/>
    <w:rsid w:val="007F722D"/>
    <w:rsid w:val="007F78CD"/>
    <w:rsid w:val="008002DA"/>
    <w:rsid w:val="008003D7"/>
    <w:rsid w:val="008012F7"/>
    <w:rsid w:val="00801C2D"/>
    <w:rsid w:val="00801C69"/>
    <w:rsid w:val="0080380E"/>
    <w:rsid w:val="0080532F"/>
    <w:rsid w:val="00805CC6"/>
    <w:rsid w:val="008109CC"/>
    <w:rsid w:val="00810E20"/>
    <w:rsid w:val="00811F2F"/>
    <w:rsid w:val="008120BA"/>
    <w:rsid w:val="00812503"/>
    <w:rsid w:val="00812874"/>
    <w:rsid w:val="0081313D"/>
    <w:rsid w:val="00815273"/>
    <w:rsid w:val="00815F76"/>
    <w:rsid w:val="00817AC1"/>
    <w:rsid w:val="0082230E"/>
    <w:rsid w:val="008234BC"/>
    <w:rsid w:val="00826F53"/>
    <w:rsid w:val="00827B74"/>
    <w:rsid w:val="00830573"/>
    <w:rsid w:val="00832876"/>
    <w:rsid w:val="00837939"/>
    <w:rsid w:val="00837A32"/>
    <w:rsid w:val="008419A7"/>
    <w:rsid w:val="008429D7"/>
    <w:rsid w:val="00845272"/>
    <w:rsid w:val="008458E0"/>
    <w:rsid w:val="00846608"/>
    <w:rsid w:val="00847520"/>
    <w:rsid w:val="00852D4D"/>
    <w:rsid w:val="00852EC2"/>
    <w:rsid w:val="00853A22"/>
    <w:rsid w:val="00853F7F"/>
    <w:rsid w:val="0085659C"/>
    <w:rsid w:val="0085671A"/>
    <w:rsid w:val="00860D5A"/>
    <w:rsid w:val="00866ADD"/>
    <w:rsid w:val="0086766D"/>
    <w:rsid w:val="0086779D"/>
    <w:rsid w:val="0086791F"/>
    <w:rsid w:val="00872C93"/>
    <w:rsid w:val="008749A3"/>
    <w:rsid w:val="00874C55"/>
    <w:rsid w:val="00875EC3"/>
    <w:rsid w:val="00876E42"/>
    <w:rsid w:val="008778F1"/>
    <w:rsid w:val="00877F2D"/>
    <w:rsid w:val="00880E55"/>
    <w:rsid w:val="0088394B"/>
    <w:rsid w:val="00884440"/>
    <w:rsid w:val="0088542D"/>
    <w:rsid w:val="008855FA"/>
    <w:rsid w:val="00887D43"/>
    <w:rsid w:val="00892547"/>
    <w:rsid w:val="00892D3C"/>
    <w:rsid w:val="008933EB"/>
    <w:rsid w:val="00894216"/>
    <w:rsid w:val="008955C5"/>
    <w:rsid w:val="00895DFD"/>
    <w:rsid w:val="0089714A"/>
    <w:rsid w:val="008A0A68"/>
    <w:rsid w:val="008A1BBC"/>
    <w:rsid w:val="008A399A"/>
    <w:rsid w:val="008A4802"/>
    <w:rsid w:val="008A5758"/>
    <w:rsid w:val="008A79F1"/>
    <w:rsid w:val="008B09FA"/>
    <w:rsid w:val="008B0A0B"/>
    <w:rsid w:val="008B13BF"/>
    <w:rsid w:val="008B1B95"/>
    <w:rsid w:val="008B23A4"/>
    <w:rsid w:val="008B252A"/>
    <w:rsid w:val="008B26E3"/>
    <w:rsid w:val="008B32B5"/>
    <w:rsid w:val="008B387C"/>
    <w:rsid w:val="008B5384"/>
    <w:rsid w:val="008B6641"/>
    <w:rsid w:val="008B7485"/>
    <w:rsid w:val="008C0C94"/>
    <w:rsid w:val="008C2A83"/>
    <w:rsid w:val="008C4B3C"/>
    <w:rsid w:val="008C591C"/>
    <w:rsid w:val="008C5E2C"/>
    <w:rsid w:val="008C62EB"/>
    <w:rsid w:val="008C6D7D"/>
    <w:rsid w:val="008D1560"/>
    <w:rsid w:val="008D342B"/>
    <w:rsid w:val="008D5F2C"/>
    <w:rsid w:val="008D6207"/>
    <w:rsid w:val="008D76F7"/>
    <w:rsid w:val="008E2F7B"/>
    <w:rsid w:val="008E3370"/>
    <w:rsid w:val="008E498B"/>
    <w:rsid w:val="008E5BC9"/>
    <w:rsid w:val="008E5D5C"/>
    <w:rsid w:val="008E74E7"/>
    <w:rsid w:val="008F0B81"/>
    <w:rsid w:val="008F11FF"/>
    <w:rsid w:val="008F1D0A"/>
    <w:rsid w:val="008F203E"/>
    <w:rsid w:val="008F64BE"/>
    <w:rsid w:val="008F6673"/>
    <w:rsid w:val="0090092F"/>
    <w:rsid w:val="00901A39"/>
    <w:rsid w:val="00901E03"/>
    <w:rsid w:val="00902E78"/>
    <w:rsid w:val="0090323E"/>
    <w:rsid w:val="00904865"/>
    <w:rsid w:val="0090552E"/>
    <w:rsid w:val="00905CC0"/>
    <w:rsid w:val="0090631E"/>
    <w:rsid w:val="0091033A"/>
    <w:rsid w:val="009111E7"/>
    <w:rsid w:val="00911518"/>
    <w:rsid w:val="00911F75"/>
    <w:rsid w:val="00912F48"/>
    <w:rsid w:val="00914F78"/>
    <w:rsid w:val="009150E0"/>
    <w:rsid w:val="00915B2E"/>
    <w:rsid w:val="00920235"/>
    <w:rsid w:val="00922831"/>
    <w:rsid w:val="00923B2C"/>
    <w:rsid w:val="00923E77"/>
    <w:rsid w:val="00924B44"/>
    <w:rsid w:val="00925567"/>
    <w:rsid w:val="00930087"/>
    <w:rsid w:val="009304B4"/>
    <w:rsid w:val="009322A0"/>
    <w:rsid w:val="00932A20"/>
    <w:rsid w:val="00932DE1"/>
    <w:rsid w:val="00934D92"/>
    <w:rsid w:val="00935EF7"/>
    <w:rsid w:val="0093630B"/>
    <w:rsid w:val="009405CA"/>
    <w:rsid w:val="0094404E"/>
    <w:rsid w:val="00944201"/>
    <w:rsid w:val="00947F73"/>
    <w:rsid w:val="00950041"/>
    <w:rsid w:val="00950203"/>
    <w:rsid w:val="009519BD"/>
    <w:rsid w:val="0095283E"/>
    <w:rsid w:val="009544E1"/>
    <w:rsid w:val="00954A98"/>
    <w:rsid w:val="00955FAF"/>
    <w:rsid w:val="0096031B"/>
    <w:rsid w:val="009612A1"/>
    <w:rsid w:val="0096220A"/>
    <w:rsid w:val="00962433"/>
    <w:rsid w:val="00962652"/>
    <w:rsid w:val="009638CD"/>
    <w:rsid w:val="00963C85"/>
    <w:rsid w:val="00970B79"/>
    <w:rsid w:val="00970CB7"/>
    <w:rsid w:val="00970D70"/>
    <w:rsid w:val="009734F5"/>
    <w:rsid w:val="00973580"/>
    <w:rsid w:val="00974CF5"/>
    <w:rsid w:val="00975785"/>
    <w:rsid w:val="00976266"/>
    <w:rsid w:val="00976E0E"/>
    <w:rsid w:val="009775DC"/>
    <w:rsid w:val="00985520"/>
    <w:rsid w:val="009871D7"/>
    <w:rsid w:val="00987573"/>
    <w:rsid w:val="00990434"/>
    <w:rsid w:val="00990615"/>
    <w:rsid w:val="009918A0"/>
    <w:rsid w:val="0099191A"/>
    <w:rsid w:val="00992027"/>
    <w:rsid w:val="00992657"/>
    <w:rsid w:val="00993C5A"/>
    <w:rsid w:val="00994925"/>
    <w:rsid w:val="009959CB"/>
    <w:rsid w:val="0099643F"/>
    <w:rsid w:val="009A11ED"/>
    <w:rsid w:val="009A17F6"/>
    <w:rsid w:val="009A2F65"/>
    <w:rsid w:val="009A3FA8"/>
    <w:rsid w:val="009A51D4"/>
    <w:rsid w:val="009A5D52"/>
    <w:rsid w:val="009A656C"/>
    <w:rsid w:val="009A6603"/>
    <w:rsid w:val="009A79F0"/>
    <w:rsid w:val="009B2337"/>
    <w:rsid w:val="009B24B2"/>
    <w:rsid w:val="009B3043"/>
    <w:rsid w:val="009B3D63"/>
    <w:rsid w:val="009B60D2"/>
    <w:rsid w:val="009B655E"/>
    <w:rsid w:val="009B678C"/>
    <w:rsid w:val="009B708D"/>
    <w:rsid w:val="009C0D9C"/>
    <w:rsid w:val="009C0F0C"/>
    <w:rsid w:val="009C29F6"/>
    <w:rsid w:val="009C2B3E"/>
    <w:rsid w:val="009C3407"/>
    <w:rsid w:val="009C36A7"/>
    <w:rsid w:val="009C5043"/>
    <w:rsid w:val="009C561F"/>
    <w:rsid w:val="009C582C"/>
    <w:rsid w:val="009C6506"/>
    <w:rsid w:val="009C65B6"/>
    <w:rsid w:val="009C6912"/>
    <w:rsid w:val="009C6E5F"/>
    <w:rsid w:val="009C759A"/>
    <w:rsid w:val="009D0191"/>
    <w:rsid w:val="009D12FB"/>
    <w:rsid w:val="009D1C68"/>
    <w:rsid w:val="009D3696"/>
    <w:rsid w:val="009D46AF"/>
    <w:rsid w:val="009D60D1"/>
    <w:rsid w:val="009D627C"/>
    <w:rsid w:val="009D7B24"/>
    <w:rsid w:val="009D7E08"/>
    <w:rsid w:val="009E0FBF"/>
    <w:rsid w:val="009E137B"/>
    <w:rsid w:val="009E13DF"/>
    <w:rsid w:val="009E1DC5"/>
    <w:rsid w:val="009E256A"/>
    <w:rsid w:val="009E27B8"/>
    <w:rsid w:val="009E3C6E"/>
    <w:rsid w:val="009E42B6"/>
    <w:rsid w:val="009F2187"/>
    <w:rsid w:val="009F24EA"/>
    <w:rsid w:val="009F2D20"/>
    <w:rsid w:val="009F2DD1"/>
    <w:rsid w:val="009F61F2"/>
    <w:rsid w:val="009F66F5"/>
    <w:rsid w:val="00A00DC1"/>
    <w:rsid w:val="00A01029"/>
    <w:rsid w:val="00A022E3"/>
    <w:rsid w:val="00A0254A"/>
    <w:rsid w:val="00A03331"/>
    <w:rsid w:val="00A043DD"/>
    <w:rsid w:val="00A0523C"/>
    <w:rsid w:val="00A060F1"/>
    <w:rsid w:val="00A107FF"/>
    <w:rsid w:val="00A115D1"/>
    <w:rsid w:val="00A118E5"/>
    <w:rsid w:val="00A12C2F"/>
    <w:rsid w:val="00A13326"/>
    <w:rsid w:val="00A14A3F"/>
    <w:rsid w:val="00A14BAF"/>
    <w:rsid w:val="00A1514B"/>
    <w:rsid w:val="00A15715"/>
    <w:rsid w:val="00A1723C"/>
    <w:rsid w:val="00A20B0A"/>
    <w:rsid w:val="00A22AAE"/>
    <w:rsid w:val="00A2339A"/>
    <w:rsid w:val="00A2351C"/>
    <w:rsid w:val="00A24182"/>
    <w:rsid w:val="00A2464E"/>
    <w:rsid w:val="00A2482B"/>
    <w:rsid w:val="00A254CF"/>
    <w:rsid w:val="00A25665"/>
    <w:rsid w:val="00A25BB1"/>
    <w:rsid w:val="00A30D5E"/>
    <w:rsid w:val="00A310BF"/>
    <w:rsid w:val="00A313B7"/>
    <w:rsid w:val="00A3545A"/>
    <w:rsid w:val="00A35591"/>
    <w:rsid w:val="00A35EA8"/>
    <w:rsid w:val="00A3754A"/>
    <w:rsid w:val="00A376C5"/>
    <w:rsid w:val="00A37BEF"/>
    <w:rsid w:val="00A37F00"/>
    <w:rsid w:val="00A40816"/>
    <w:rsid w:val="00A418C6"/>
    <w:rsid w:val="00A4290B"/>
    <w:rsid w:val="00A437F7"/>
    <w:rsid w:val="00A439E8"/>
    <w:rsid w:val="00A441FA"/>
    <w:rsid w:val="00A45286"/>
    <w:rsid w:val="00A47F86"/>
    <w:rsid w:val="00A50B67"/>
    <w:rsid w:val="00A50DBC"/>
    <w:rsid w:val="00A53146"/>
    <w:rsid w:val="00A55089"/>
    <w:rsid w:val="00A5769F"/>
    <w:rsid w:val="00A60213"/>
    <w:rsid w:val="00A625F4"/>
    <w:rsid w:val="00A64DEF"/>
    <w:rsid w:val="00A653BE"/>
    <w:rsid w:val="00A66FF0"/>
    <w:rsid w:val="00A67894"/>
    <w:rsid w:val="00A7020A"/>
    <w:rsid w:val="00A706E8"/>
    <w:rsid w:val="00A7089D"/>
    <w:rsid w:val="00A71032"/>
    <w:rsid w:val="00A74451"/>
    <w:rsid w:val="00A74F9B"/>
    <w:rsid w:val="00A75F8F"/>
    <w:rsid w:val="00A7660A"/>
    <w:rsid w:val="00A813CB"/>
    <w:rsid w:val="00A8175B"/>
    <w:rsid w:val="00A825B4"/>
    <w:rsid w:val="00A836AE"/>
    <w:rsid w:val="00A839ED"/>
    <w:rsid w:val="00A83B87"/>
    <w:rsid w:val="00A84146"/>
    <w:rsid w:val="00A85743"/>
    <w:rsid w:val="00A86996"/>
    <w:rsid w:val="00A87837"/>
    <w:rsid w:val="00A90378"/>
    <w:rsid w:val="00A91AF8"/>
    <w:rsid w:val="00A93CB0"/>
    <w:rsid w:val="00A9456B"/>
    <w:rsid w:val="00A949DD"/>
    <w:rsid w:val="00A94FC9"/>
    <w:rsid w:val="00A9618D"/>
    <w:rsid w:val="00A96C68"/>
    <w:rsid w:val="00AA0614"/>
    <w:rsid w:val="00AA13D7"/>
    <w:rsid w:val="00AA1CA7"/>
    <w:rsid w:val="00AA2949"/>
    <w:rsid w:val="00AA44F6"/>
    <w:rsid w:val="00AA4946"/>
    <w:rsid w:val="00AA5353"/>
    <w:rsid w:val="00AA544F"/>
    <w:rsid w:val="00AA6B6A"/>
    <w:rsid w:val="00AA7AB2"/>
    <w:rsid w:val="00AB178D"/>
    <w:rsid w:val="00AB3347"/>
    <w:rsid w:val="00AB42AB"/>
    <w:rsid w:val="00AB55DE"/>
    <w:rsid w:val="00AB6636"/>
    <w:rsid w:val="00AB7F58"/>
    <w:rsid w:val="00AC06E1"/>
    <w:rsid w:val="00AC1A10"/>
    <w:rsid w:val="00AC1B96"/>
    <w:rsid w:val="00AC332D"/>
    <w:rsid w:val="00AC4BB2"/>
    <w:rsid w:val="00AC5816"/>
    <w:rsid w:val="00AC6A78"/>
    <w:rsid w:val="00AC6FE6"/>
    <w:rsid w:val="00AD020C"/>
    <w:rsid w:val="00AD0C4B"/>
    <w:rsid w:val="00AD1C14"/>
    <w:rsid w:val="00AD4568"/>
    <w:rsid w:val="00AD5D50"/>
    <w:rsid w:val="00AD69EB"/>
    <w:rsid w:val="00AD78EE"/>
    <w:rsid w:val="00AD7ED1"/>
    <w:rsid w:val="00AE0C61"/>
    <w:rsid w:val="00AE1567"/>
    <w:rsid w:val="00AE1E82"/>
    <w:rsid w:val="00AE3BB6"/>
    <w:rsid w:val="00AE413F"/>
    <w:rsid w:val="00AE6B40"/>
    <w:rsid w:val="00AE6E1D"/>
    <w:rsid w:val="00AE7B93"/>
    <w:rsid w:val="00AE7D54"/>
    <w:rsid w:val="00AE7E2E"/>
    <w:rsid w:val="00AF2809"/>
    <w:rsid w:val="00AF41A0"/>
    <w:rsid w:val="00AF41EC"/>
    <w:rsid w:val="00AF4FB3"/>
    <w:rsid w:val="00AF5ABF"/>
    <w:rsid w:val="00AF5C38"/>
    <w:rsid w:val="00AF5E7D"/>
    <w:rsid w:val="00B00A2B"/>
    <w:rsid w:val="00B0122B"/>
    <w:rsid w:val="00B030DB"/>
    <w:rsid w:val="00B0500D"/>
    <w:rsid w:val="00B07FBE"/>
    <w:rsid w:val="00B120A8"/>
    <w:rsid w:val="00B14E6E"/>
    <w:rsid w:val="00B1535F"/>
    <w:rsid w:val="00B15476"/>
    <w:rsid w:val="00B16A72"/>
    <w:rsid w:val="00B16D52"/>
    <w:rsid w:val="00B1790F"/>
    <w:rsid w:val="00B2053F"/>
    <w:rsid w:val="00B20794"/>
    <w:rsid w:val="00B214F2"/>
    <w:rsid w:val="00B21880"/>
    <w:rsid w:val="00B21961"/>
    <w:rsid w:val="00B223A8"/>
    <w:rsid w:val="00B22FF6"/>
    <w:rsid w:val="00B23230"/>
    <w:rsid w:val="00B25570"/>
    <w:rsid w:val="00B26FD0"/>
    <w:rsid w:val="00B30078"/>
    <w:rsid w:val="00B30186"/>
    <w:rsid w:val="00B3033F"/>
    <w:rsid w:val="00B30B7F"/>
    <w:rsid w:val="00B30CB4"/>
    <w:rsid w:val="00B31149"/>
    <w:rsid w:val="00B3129B"/>
    <w:rsid w:val="00B314E1"/>
    <w:rsid w:val="00B31D07"/>
    <w:rsid w:val="00B32FEE"/>
    <w:rsid w:val="00B33FCF"/>
    <w:rsid w:val="00B36C48"/>
    <w:rsid w:val="00B372FB"/>
    <w:rsid w:val="00B37EDB"/>
    <w:rsid w:val="00B405B4"/>
    <w:rsid w:val="00B40C75"/>
    <w:rsid w:val="00B41B15"/>
    <w:rsid w:val="00B41BC0"/>
    <w:rsid w:val="00B42D1C"/>
    <w:rsid w:val="00B43D54"/>
    <w:rsid w:val="00B44C99"/>
    <w:rsid w:val="00B4532B"/>
    <w:rsid w:val="00B47614"/>
    <w:rsid w:val="00B531CD"/>
    <w:rsid w:val="00B55498"/>
    <w:rsid w:val="00B56844"/>
    <w:rsid w:val="00B56CFB"/>
    <w:rsid w:val="00B56F69"/>
    <w:rsid w:val="00B56F80"/>
    <w:rsid w:val="00B60BC3"/>
    <w:rsid w:val="00B616BA"/>
    <w:rsid w:val="00B6521B"/>
    <w:rsid w:val="00B65FF7"/>
    <w:rsid w:val="00B668DC"/>
    <w:rsid w:val="00B67463"/>
    <w:rsid w:val="00B70548"/>
    <w:rsid w:val="00B71961"/>
    <w:rsid w:val="00B72870"/>
    <w:rsid w:val="00B72915"/>
    <w:rsid w:val="00B74476"/>
    <w:rsid w:val="00B74AA3"/>
    <w:rsid w:val="00B77E67"/>
    <w:rsid w:val="00B800BA"/>
    <w:rsid w:val="00B828F0"/>
    <w:rsid w:val="00B83F1B"/>
    <w:rsid w:val="00B84E08"/>
    <w:rsid w:val="00B8528F"/>
    <w:rsid w:val="00B85F97"/>
    <w:rsid w:val="00B86052"/>
    <w:rsid w:val="00B867C9"/>
    <w:rsid w:val="00B9353E"/>
    <w:rsid w:val="00B9354E"/>
    <w:rsid w:val="00B94705"/>
    <w:rsid w:val="00B9667E"/>
    <w:rsid w:val="00B9754C"/>
    <w:rsid w:val="00B97B8D"/>
    <w:rsid w:val="00BA1249"/>
    <w:rsid w:val="00BA1E61"/>
    <w:rsid w:val="00BA32A6"/>
    <w:rsid w:val="00BA3811"/>
    <w:rsid w:val="00BA4B90"/>
    <w:rsid w:val="00BA502F"/>
    <w:rsid w:val="00BA65C5"/>
    <w:rsid w:val="00BA6786"/>
    <w:rsid w:val="00BA7843"/>
    <w:rsid w:val="00BB0AD5"/>
    <w:rsid w:val="00BB11B5"/>
    <w:rsid w:val="00BB17D3"/>
    <w:rsid w:val="00BB3DBF"/>
    <w:rsid w:val="00BB5F41"/>
    <w:rsid w:val="00BB784D"/>
    <w:rsid w:val="00BC2FEF"/>
    <w:rsid w:val="00BC3109"/>
    <w:rsid w:val="00BC375B"/>
    <w:rsid w:val="00BC6A5B"/>
    <w:rsid w:val="00BD07F7"/>
    <w:rsid w:val="00BD10B6"/>
    <w:rsid w:val="00BD144A"/>
    <w:rsid w:val="00BD1848"/>
    <w:rsid w:val="00BD2EF2"/>
    <w:rsid w:val="00BD5278"/>
    <w:rsid w:val="00BD5482"/>
    <w:rsid w:val="00BD5545"/>
    <w:rsid w:val="00BD694E"/>
    <w:rsid w:val="00BD6AEE"/>
    <w:rsid w:val="00BD6CAD"/>
    <w:rsid w:val="00BD7CB2"/>
    <w:rsid w:val="00BD7FD4"/>
    <w:rsid w:val="00BE0F32"/>
    <w:rsid w:val="00BE29F2"/>
    <w:rsid w:val="00BE511C"/>
    <w:rsid w:val="00BE62A1"/>
    <w:rsid w:val="00BE7512"/>
    <w:rsid w:val="00BF0067"/>
    <w:rsid w:val="00BF0F41"/>
    <w:rsid w:val="00BF1213"/>
    <w:rsid w:val="00BF2638"/>
    <w:rsid w:val="00BF34A5"/>
    <w:rsid w:val="00BF5FC0"/>
    <w:rsid w:val="00BF63F9"/>
    <w:rsid w:val="00BF652B"/>
    <w:rsid w:val="00BF78C0"/>
    <w:rsid w:val="00BF7A75"/>
    <w:rsid w:val="00C00161"/>
    <w:rsid w:val="00C05629"/>
    <w:rsid w:val="00C05FCF"/>
    <w:rsid w:val="00C061C2"/>
    <w:rsid w:val="00C0789D"/>
    <w:rsid w:val="00C07ACE"/>
    <w:rsid w:val="00C123F6"/>
    <w:rsid w:val="00C1257F"/>
    <w:rsid w:val="00C12834"/>
    <w:rsid w:val="00C13058"/>
    <w:rsid w:val="00C135F4"/>
    <w:rsid w:val="00C13920"/>
    <w:rsid w:val="00C139C9"/>
    <w:rsid w:val="00C13B81"/>
    <w:rsid w:val="00C14C78"/>
    <w:rsid w:val="00C17296"/>
    <w:rsid w:val="00C178B6"/>
    <w:rsid w:val="00C20014"/>
    <w:rsid w:val="00C20507"/>
    <w:rsid w:val="00C21544"/>
    <w:rsid w:val="00C23CA6"/>
    <w:rsid w:val="00C24C91"/>
    <w:rsid w:val="00C24F38"/>
    <w:rsid w:val="00C26126"/>
    <w:rsid w:val="00C302F4"/>
    <w:rsid w:val="00C3036F"/>
    <w:rsid w:val="00C312AF"/>
    <w:rsid w:val="00C33A06"/>
    <w:rsid w:val="00C36149"/>
    <w:rsid w:val="00C36F8C"/>
    <w:rsid w:val="00C379A6"/>
    <w:rsid w:val="00C40CFB"/>
    <w:rsid w:val="00C411DE"/>
    <w:rsid w:val="00C4167A"/>
    <w:rsid w:val="00C42619"/>
    <w:rsid w:val="00C42CC1"/>
    <w:rsid w:val="00C42F01"/>
    <w:rsid w:val="00C446E5"/>
    <w:rsid w:val="00C4536F"/>
    <w:rsid w:val="00C455E7"/>
    <w:rsid w:val="00C456E7"/>
    <w:rsid w:val="00C50EE6"/>
    <w:rsid w:val="00C515DD"/>
    <w:rsid w:val="00C53730"/>
    <w:rsid w:val="00C5405D"/>
    <w:rsid w:val="00C54351"/>
    <w:rsid w:val="00C54ECA"/>
    <w:rsid w:val="00C55CE0"/>
    <w:rsid w:val="00C575ED"/>
    <w:rsid w:val="00C60406"/>
    <w:rsid w:val="00C6073A"/>
    <w:rsid w:val="00C60C73"/>
    <w:rsid w:val="00C618B2"/>
    <w:rsid w:val="00C62289"/>
    <w:rsid w:val="00C632B1"/>
    <w:rsid w:val="00C667BC"/>
    <w:rsid w:val="00C67249"/>
    <w:rsid w:val="00C67B4A"/>
    <w:rsid w:val="00C67F8B"/>
    <w:rsid w:val="00C7053A"/>
    <w:rsid w:val="00C70BFC"/>
    <w:rsid w:val="00C70E5B"/>
    <w:rsid w:val="00C7213B"/>
    <w:rsid w:val="00C72A09"/>
    <w:rsid w:val="00C74299"/>
    <w:rsid w:val="00C7473D"/>
    <w:rsid w:val="00C80F48"/>
    <w:rsid w:val="00C80FF2"/>
    <w:rsid w:val="00C820CE"/>
    <w:rsid w:val="00C82A2A"/>
    <w:rsid w:val="00C8351B"/>
    <w:rsid w:val="00C8375D"/>
    <w:rsid w:val="00C839AC"/>
    <w:rsid w:val="00C86166"/>
    <w:rsid w:val="00C86407"/>
    <w:rsid w:val="00C87C90"/>
    <w:rsid w:val="00C974EB"/>
    <w:rsid w:val="00C9751A"/>
    <w:rsid w:val="00C97655"/>
    <w:rsid w:val="00CA092C"/>
    <w:rsid w:val="00CA10B4"/>
    <w:rsid w:val="00CA1CD6"/>
    <w:rsid w:val="00CA2E14"/>
    <w:rsid w:val="00CA3351"/>
    <w:rsid w:val="00CA3686"/>
    <w:rsid w:val="00CA3E11"/>
    <w:rsid w:val="00CA465E"/>
    <w:rsid w:val="00CA4737"/>
    <w:rsid w:val="00CA50BC"/>
    <w:rsid w:val="00CA63A3"/>
    <w:rsid w:val="00CA6C3F"/>
    <w:rsid w:val="00CB2E41"/>
    <w:rsid w:val="00CB3179"/>
    <w:rsid w:val="00CB3997"/>
    <w:rsid w:val="00CB68E0"/>
    <w:rsid w:val="00CC0368"/>
    <w:rsid w:val="00CC09CA"/>
    <w:rsid w:val="00CC1BEA"/>
    <w:rsid w:val="00CC336F"/>
    <w:rsid w:val="00CC3EE3"/>
    <w:rsid w:val="00CC5F71"/>
    <w:rsid w:val="00CC6AAD"/>
    <w:rsid w:val="00CC6DCA"/>
    <w:rsid w:val="00CD26DC"/>
    <w:rsid w:val="00CD3CC1"/>
    <w:rsid w:val="00CD3D48"/>
    <w:rsid w:val="00CD4EBC"/>
    <w:rsid w:val="00CD5E36"/>
    <w:rsid w:val="00CD5E8F"/>
    <w:rsid w:val="00CD7B6A"/>
    <w:rsid w:val="00CE0D78"/>
    <w:rsid w:val="00CE1744"/>
    <w:rsid w:val="00CE19DF"/>
    <w:rsid w:val="00CE34CF"/>
    <w:rsid w:val="00CE3AB2"/>
    <w:rsid w:val="00CE48A6"/>
    <w:rsid w:val="00CE4957"/>
    <w:rsid w:val="00CE4DFE"/>
    <w:rsid w:val="00CE51AB"/>
    <w:rsid w:val="00CE5ABB"/>
    <w:rsid w:val="00CE7EC6"/>
    <w:rsid w:val="00CF022E"/>
    <w:rsid w:val="00CF22B0"/>
    <w:rsid w:val="00CF2CFD"/>
    <w:rsid w:val="00CF3D80"/>
    <w:rsid w:val="00CF431D"/>
    <w:rsid w:val="00CF5087"/>
    <w:rsid w:val="00CF54ED"/>
    <w:rsid w:val="00D006FE"/>
    <w:rsid w:val="00D01080"/>
    <w:rsid w:val="00D01544"/>
    <w:rsid w:val="00D04F22"/>
    <w:rsid w:val="00D063F7"/>
    <w:rsid w:val="00D07119"/>
    <w:rsid w:val="00D074AB"/>
    <w:rsid w:val="00D07962"/>
    <w:rsid w:val="00D1076E"/>
    <w:rsid w:val="00D10C64"/>
    <w:rsid w:val="00D11D94"/>
    <w:rsid w:val="00D1219A"/>
    <w:rsid w:val="00D14B25"/>
    <w:rsid w:val="00D20643"/>
    <w:rsid w:val="00D2109E"/>
    <w:rsid w:val="00D210E6"/>
    <w:rsid w:val="00D2119F"/>
    <w:rsid w:val="00D22135"/>
    <w:rsid w:val="00D23308"/>
    <w:rsid w:val="00D24B3F"/>
    <w:rsid w:val="00D25FB6"/>
    <w:rsid w:val="00D27878"/>
    <w:rsid w:val="00D30B54"/>
    <w:rsid w:val="00D30D2D"/>
    <w:rsid w:val="00D31328"/>
    <w:rsid w:val="00D33F63"/>
    <w:rsid w:val="00D35777"/>
    <w:rsid w:val="00D35E02"/>
    <w:rsid w:val="00D408E3"/>
    <w:rsid w:val="00D40B06"/>
    <w:rsid w:val="00D40BFC"/>
    <w:rsid w:val="00D4124C"/>
    <w:rsid w:val="00D41F43"/>
    <w:rsid w:val="00D44C5F"/>
    <w:rsid w:val="00D45A02"/>
    <w:rsid w:val="00D45B64"/>
    <w:rsid w:val="00D46770"/>
    <w:rsid w:val="00D46A14"/>
    <w:rsid w:val="00D46FD3"/>
    <w:rsid w:val="00D471E3"/>
    <w:rsid w:val="00D475A3"/>
    <w:rsid w:val="00D4769C"/>
    <w:rsid w:val="00D521DC"/>
    <w:rsid w:val="00D532F7"/>
    <w:rsid w:val="00D54568"/>
    <w:rsid w:val="00D57762"/>
    <w:rsid w:val="00D6120B"/>
    <w:rsid w:val="00D61802"/>
    <w:rsid w:val="00D619EF"/>
    <w:rsid w:val="00D61BD7"/>
    <w:rsid w:val="00D63CA7"/>
    <w:rsid w:val="00D63E08"/>
    <w:rsid w:val="00D64BA7"/>
    <w:rsid w:val="00D6522C"/>
    <w:rsid w:val="00D6591F"/>
    <w:rsid w:val="00D661BF"/>
    <w:rsid w:val="00D705D8"/>
    <w:rsid w:val="00D70C2E"/>
    <w:rsid w:val="00D71AEF"/>
    <w:rsid w:val="00D72240"/>
    <w:rsid w:val="00D740EE"/>
    <w:rsid w:val="00D742A8"/>
    <w:rsid w:val="00D74D55"/>
    <w:rsid w:val="00D74E91"/>
    <w:rsid w:val="00D75B1B"/>
    <w:rsid w:val="00D76984"/>
    <w:rsid w:val="00D803AB"/>
    <w:rsid w:val="00D81B35"/>
    <w:rsid w:val="00D83390"/>
    <w:rsid w:val="00D90D33"/>
    <w:rsid w:val="00D90DCF"/>
    <w:rsid w:val="00D9280E"/>
    <w:rsid w:val="00D96127"/>
    <w:rsid w:val="00D962AD"/>
    <w:rsid w:val="00D9693A"/>
    <w:rsid w:val="00DA1845"/>
    <w:rsid w:val="00DA2B31"/>
    <w:rsid w:val="00DA4260"/>
    <w:rsid w:val="00DA64D3"/>
    <w:rsid w:val="00DA6E0C"/>
    <w:rsid w:val="00DB2ED6"/>
    <w:rsid w:val="00DB371C"/>
    <w:rsid w:val="00DB4E1F"/>
    <w:rsid w:val="00DB7FBD"/>
    <w:rsid w:val="00DC38F9"/>
    <w:rsid w:val="00DC43E3"/>
    <w:rsid w:val="00DC4726"/>
    <w:rsid w:val="00DC7A81"/>
    <w:rsid w:val="00DC7E85"/>
    <w:rsid w:val="00DD197F"/>
    <w:rsid w:val="00DD33C6"/>
    <w:rsid w:val="00DD3EDC"/>
    <w:rsid w:val="00DD422F"/>
    <w:rsid w:val="00DD5E3C"/>
    <w:rsid w:val="00DD680A"/>
    <w:rsid w:val="00DD6DA5"/>
    <w:rsid w:val="00DD7261"/>
    <w:rsid w:val="00DE278D"/>
    <w:rsid w:val="00DE2988"/>
    <w:rsid w:val="00DE3736"/>
    <w:rsid w:val="00DE37A9"/>
    <w:rsid w:val="00DE3C29"/>
    <w:rsid w:val="00DE4C35"/>
    <w:rsid w:val="00DE4EDA"/>
    <w:rsid w:val="00DE5544"/>
    <w:rsid w:val="00DE62AC"/>
    <w:rsid w:val="00DE63AD"/>
    <w:rsid w:val="00DE67F5"/>
    <w:rsid w:val="00DE6D4D"/>
    <w:rsid w:val="00DE72AF"/>
    <w:rsid w:val="00DE7A9C"/>
    <w:rsid w:val="00DF2096"/>
    <w:rsid w:val="00DF2A80"/>
    <w:rsid w:val="00DF3228"/>
    <w:rsid w:val="00DF33F9"/>
    <w:rsid w:val="00E01D3D"/>
    <w:rsid w:val="00E020E2"/>
    <w:rsid w:val="00E0232A"/>
    <w:rsid w:val="00E03960"/>
    <w:rsid w:val="00E04BF0"/>
    <w:rsid w:val="00E07A22"/>
    <w:rsid w:val="00E10220"/>
    <w:rsid w:val="00E11F0C"/>
    <w:rsid w:val="00E125CC"/>
    <w:rsid w:val="00E13389"/>
    <w:rsid w:val="00E14530"/>
    <w:rsid w:val="00E151B5"/>
    <w:rsid w:val="00E15BB4"/>
    <w:rsid w:val="00E16023"/>
    <w:rsid w:val="00E1662F"/>
    <w:rsid w:val="00E168D6"/>
    <w:rsid w:val="00E1713E"/>
    <w:rsid w:val="00E175D6"/>
    <w:rsid w:val="00E20358"/>
    <w:rsid w:val="00E20D16"/>
    <w:rsid w:val="00E21BF0"/>
    <w:rsid w:val="00E21DF4"/>
    <w:rsid w:val="00E22C49"/>
    <w:rsid w:val="00E258AD"/>
    <w:rsid w:val="00E258CA"/>
    <w:rsid w:val="00E25AB6"/>
    <w:rsid w:val="00E2653E"/>
    <w:rsid w:val="00E27486"/>
    <w:rsid w:val="00E30B7D"/>
    <w:rsid w:val="00E31968"/>
    <w:rsid w:val="00E325A9"/>
    <w:rsid w:val="00E33255"/>
    <w:rsid w:val="00E3549A"/>
    <w:rsid w:val="00E36193"/>
    <w:rsid w:val="00E36DE0"/>
    <w:rsid w:val="00E41DA2"/>
    <w:rsid w:val="00E4287C"/>
    <w:rsid w:val="00E42916"/>
    <w:rsid w:val="00E429E6"/>
    <w:rsid w:val="00E4488A"/>
    <w:rsid w:val="00E44A40"/>
    <w:rsid w:val="00E44E2E"/>
    <w:rsid w:val="00E45C89"/>
    <w:rsid w:val="00E470A8"/>
    <w:rsid w:val="00E47E8D"/>
    <w:rsid w:val="00E50823"/>
    <w:rsid w:val="00E53753"/>
    <w:rsid w:val="00E53AE8"/>
    <w:rsid w:val="00E54334"/>
    <w:rsid w:val="00E54DAF"/>
    <w:rsid w:val="00E54F7D"/>
    <w:rsid w:val="00E61104"/>
    <w:rsid w:val="00E6175C"/>
    <w:rsid w:val="00E63B85"/>
    <w:rsid w:val="00E645CC"/>
    <w:rsid w:val="00E64ACE"/>
    <w:rsid w:val="00E66405"/>
    <w:rsid w:val="00E67CAA"/>
    <w:rsid w:val="00E7008F"/>
    <w:rsid w:val="00E70DE7"/>
    <w:rsid w:val="00E71764"/>
    <w:rsid w:val="00E717CC"/>
    <w:rsid w:val="00E71B57"/>
    <w:rsid w:val="00E76948"/>
    <w:rsid w:val="00E77143"/>
    <w:rsid w:val="00E77224"/>
    <w:rsid w:val="00E77F89"/>
    <w:rsid w:val="00E80F59"/>
    <w:rsid w:val="00E818B0"/>
    <w:rsid w:val="00E81AA7"/>
    <w:rsid w:val="00E83F15"/>
    <w:rsid w:val="00E84757"/>
    <w:rsid w:val="00E84CC0"/>
    <w:rsid w:val="00E85A38"/>
    <w:rsid w:val="00E86946"/>
    <w:rsid w:val="00E93ACB"/>
    <w:rsid w:val="00E93FC9"/>
    <w:rsid w:val="00E96913"/>
    <w:rsid w:val="00E97BF6"/>
    <w:rsid w:val="00EA0805"/>
    <w:rsid w:val="00EA1C4F"/>
    <w:rsid w:val="00EA24F8"/>
    <w:rsid w:val="00EA25A6"/>
    <w:rsid w:val="00EA49D6"/>
    <w:rsid w:val="00EA4B43"/>
    <w:rsid w:val="00EB0954"/>
    <w:rsid w:val="00EB2968"/>
    <w:rsid w:val="00EB2ADC"/>
    <w:rsid w:val="00EB4464"/>
    <w:rsid w:val="00EC151A"/>
    <w:rsid w:val="00EC2AE9"/>
    <w:rsid w:val="00EC518D"/>
    <w:rsid w:val="00EC6CC8"/>
    <w:rsid w:val="00ED01BC"/>
    <w:rsid w:val="00ED091D"/>
    <w:rsid w:val="00ED1E07"/>
    <w:rsid w:val="00ED4033"/>
    <w:rsid w:val="00ED45D8"/>
    <w:rsid w:val="00ED4C5A"/>
    <w:rsid w:val="00ED759D"/>
    <w:rsid w:val="00ED7CE8"/>
    <w:rsid w:val="00EE11EC"/>
    <w:rsid w:val="00EE179A"/>
    <w:rsid w:val="00EE1B50"/>
    <w:rsid w:val="00EE228B"/>
    <w:rsid w:val="00EE2A99"/>
    <w:rsid w:val="00EE3010"/>
    <w:rsid w:val="00EE3DC4"/>
    <w:rsid w:val="00EE4AEC"/>
    <w:rsid w:val="00EE4B77"/>
    <w:rsid w:val="00EE5CEB"/>
    <w:rsid w:val="00EF0A83"/>
    <w:rsid w:val="00EF176B"/>
    <w:rsid w:val="00EF597F"/>
    <w:rsid w:val="00EF6779"/>
    <w:rsid w:val="00EF6FB5"/>
    <w:rsid w:val="00EF707E"/>
    <w:rsid w:val="00EF7416"/>
    <w:rsid w:val="00EF77FC"/>
    <w:rsid w:val="00EF7872"/>
    <w:rsid w:val="00F01504"/>
    <w:rsid w:val="00F017EF"/>
    <w:rsid w:val="00F02103"/>
    <w:rsid w:val="00F033F1"/>
    <w:rsid w:val="00F04987"/>
    <w:rsid w:val="00F04D8B"/>
    <w:rsid w:val="00F04E75"/>
    <w:rsid w:val="00F05C1D"/>
    <w:rsid w:val="00F1153C"/>
    <w:rsid w:val="00F12599"/>
    <w:rsid w:val="00F126C0"/>
    <w:rsid w:val="00F132A9"/>
    <w:rsid w:val="00F139AA"/>
    <w:rsid w:val="00F14E6C"/>
    <w:rsid w:val="00F167AC"/>
    <w:rsid w:val="00F17FF6"/>
    <w:rsid w:val="00F205DB"/>
    <w:rsid w:val="00F227EF"/>
    <w:rsid w:val="00F22961"/>
    <w:rsid w:val="00F22FAF"/>
    <w:rsid w:val="00F23371"/>
    <w:rsid w:val="00F250C2"/>
    <w:rsid w:val="00F26F5D"/>
    <w:rsid w:val="00F27FCE"/>
    <w:rsid w:val="00F304C7"/>
    <w:rsid w:val="00F3173D"/>
    <w:rsid w:val="00F32981"/>
    <w:rsid w:val="00F3300E"/>
    <w:rsid w:val="00F33617"/>
    <w:rsid w:val="00F356C0"/>
    <w:rsid w:val="00F37394"/>
    <w:rsid w:val="00F41F8A"/>
    <w:rsid w:val="00F4316F"/>
    <w:rsid w:val="00F43A8D"/>
    <w:rsid w:val="00F44447"/>
    <w:rsid w:val="00F45182"/>
    <w:rsid w:val="00F455D5"/>
    <w:rsid w:val="00F45A83"/>
    <w:rsid w:val="00F474F7"/>
    <w:rsid w:val="00F524CD"/>
    <w:rsid w:val="00F53186"/>
    <w:rsid w:val="00F54923"/>
    <w:rsid w:val="00F57884"/>
    <w:rsid w:val="00F57946"/>
    <w:rsid w:val="00F633E8"/>
    <w:rsid w:val="00F653E3"/>
    <w:rsid w:val="00F654B5"/>
    <w:rsid w:val="00F66543"/>
    <w:rsid w:val="00F67A47"/>
    <w:rsid w:val="00F71D3F"/>
    <w:rsid w:val="00F729ED"/>
    <w:rsid w:val="00F742D5"/>
    <w:rsid w:val="00F7593C"/>
    <w:rsid w:val="00F75CFA"/>
    <w:rsid w:val="00F7669C"/>
    <w:rsid w:val="00F7669F"/>
    <w:rsid w:val="00F767A1"/>
    <w:rsid w:val="00F808CD"/>
    <w:rsid w:val="00F81C42"/>
    <w:rsid w:val="00F81F42"/>
    <w:rsid w:val="00F821A5"/>
    <w:rsid w:val="00F829FE"/>
    <w:rsid w:val="00F83846"/>
    <w:rsid w:val="00F83ABC"/>
    <w:rsid w:val="00F84AD6"/>
    <w:rsid w:val="00F85227"/>
    <w:rsid w:val="00F876F2"/>
    <w:rsid w:val="00F879CD"/>
    <w:rsid w:val="00F91334"/>
    <w:rsid w:val="00F91ED5"/>
    <w:rsid w:val="00F92360"/>
    <w:rsid w:val="00F92FD3"/>
    <w:rsid w:val="00F96554"/>
    <w:rsid w:val="00F97D74"/>
    <w:rsid w:val="00FA09EE"/>
    <w:rsid w:val="00FA11C6"/>
    <w:rsid w:val="00FA218A"/>
    <w:rsid w:val="00FA3C8D"/>
    <w:rsid w:val="00FA50E7"/>
    <w:rsid w:val="00FA5DD0"/>
    <w:rsid w:val="00FA7683"/>
    <w:rsid w:val="00FA7B30"/>
    <w:rsid w:val="00FB0470"/>
    <w:rsid w:val="00FB06AE"/>
    <w:rsid w:val="00FB0E34"/>
    <w:rsid w:val="00FB1E01"/>
    <w:rsid w:val="00FB33F4"/>
    <w:rsid w:val="00FB38B4"/>
    <w:rsid w:val="00FB451F"/>
    <w:rsid w:val="00FB59F5"/>
    <w:rsid w:val="00FB5D8C"/>
    <w:rsid w:val="00FB5FFF"/>
    <w:rsid w:val="00FB6E5A"/>
    <w:rsid w:val="00FB72B6"/>
    <w:rsid w:val="00FC169B"/>
    <w:rsid w:val="00FC1AB7"/>
    <w:rsid w:val="00FC401F"/>
    <w:rsid w:val="00FC4C6B"/>
    <w:rsid w:val="00FC4D14"/>
    <w:rsid w:val="00FC4F59"/>
    <w:rsid w:val="00FD168C"/>
    <w:rsid w:val="00FD398B"/>
    <w:rsid w:val="00FD43BB"/>
    <w:rsid w:val="00FD7697"/>
    <w:rsid w:val="00FE3549"/>
    <w:rsid w:val="00FE3D06"/>
    <w:rsid w:val="00FE3F1A"/>
    <w:rsid w:val="00FE4C3B"/>
    <w:rsid w:val="00FE4EDB"/>
    <w:rsid w:val="00FE7059"/>
    <w:rsid w:val="00FE7699"/>
    <w:rsid w:val="00FF112B"/>
    <w:rsid w:val="00FF1578"/>
    <w:rsid w:val="00FF38FB"/>
    <w:rsid w:val="00FF391F"/>
    <w:rsid w:val="00FF5342"/>
    <w:rsid w:val="00FF546D"/>
    <w:rsid w:val="00FF58E9"/>
    <w:rsid w:val="00FF70ED"/>
    <w:rsid w:val="00FF76DB"/>
    <w:rsid w:val="00FF76F9"/>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37270"/>
  <w15:docId w15:val="{2B0C3059-F2B0-4AB1-AF7E-ECF06D370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3221"/>
    <w:pPr>
      <w:spacing w:after="384" w:line="306" w:lineRule="auto"/>
      <w:ind w:left="56" w:right="71" w:firstLine="729"/>
      <w:jc w:val="both"/>
    </w:pPr>
    <w:rPr>
      <w:rFonts w:ascii="Times New Roman" w:eastAsia="Times New Roman" w:hAnsi="Times New Roman" w:cs="Times New Roman"/>
      <w:color w:val="000000"/>
      <w:sz w:val="26"/>
      <w:lang w:val="en-US" w:eastAsia="pt-BR"/>
    </w:rPr>
  </w:style>
  <w:style w:type="paragraph" w:styleId="1">
    <w:name w:val="heading 1"/>
    <w:next w:val="a"/>
    <w:link w:val="10"/>
    <w:uiPriority w:val="9"/>
    <w:unhideWhenUsed/>
    <w:qFormat/>
    <w:rsid w:val="007C3221"/>
    <w:pPr>
      <w:keepNext/>
      <w:keepLines/>
      <w:spacing w:after="471" w:line="265" w:lineRule="auto"/>
      <w:ind w:left="41" w:hanging="10"/>
      <w:outlineLvl w:val="0"/>
    </w:pPr>
    <w:rPr>
      <w:rFonts w:ascii="Times New Roman" w:eastAsia="Times New Roman" w:hAnsi="Times New Roman" w:cs="Times New Roman"/>
      <w:color w:val="000000"/>
      <w:sz w:val="30"/>
      <w:lang w:eastAsia="pt-BR"/>
    </w:rPr>
  </w:style>
  <w:style w:type="paragraph" w:styleId="2">
    <w:name w:val="heading 2"/>
    <w:next w:val="a"/>
    <w:link w:val="20"/>
    <w:uiPriority w:val="9"/>
    <w:unhideWhenUsed/>
    <w:qFormat/>
    <w:rsid w:val="007C3221"/>
    <w:pPr>
      <w:keepNext/>
      <w:keepLines/>
      <w:spacing w:after="471" w:line="265" w:lineRule="auto"/>
      <w:ind w:left="41" w:hanging="10"/>
      <w:outlineLvl w:val="1"/>
    </w:pPr>
    <w:rPr>
      <w:rFonts w:ascii="Times New Roman" w:eastAsia="Times New Roman" w:hAnsi="Times New Roman" w:cs="Times New Roman"/>
      <w:color w:val="000000"/>
      <w:sz w:val="30"/>
      <w:lang w:eastAsia="pt-BR"/>
    </w:rPr>
  </w:style>
  <w:style w:type="paragraph" w:styleId="3">
    <w:name w:val="heading 3"/>
    <w:next w:val="a"/>
    <w:link w:val="30"/>
    <w:uiPriority w:val="9"/>
    <w:unhideWhenUsed/>
    <w:qFormat/>
    <w:rsid w:val="007C3221"/>
    <w:pPr>
      <w:keepNext/>
      <w:keepLines/>
      <w:spacing w:after="0"/>
      <w:ind w:right="114"/>
      <w:jc w:val="right"/>
      <w:outlineLvl w:val="2"/>
    </w:pPr>
    <w:rPr>
      <w:rFonts w:ascii="Times New Roman" w:eastAsia="Times New Roman" w:hAnsi="Times New Roman" w:cs="Times New Roman"/>
      <w:color w:val="000000"/>
      <w:sz w:val="30"/>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C3221"/>
    <w:rPr>
      <w:rFonts w:ascii="Times New Roman" w:eastAsia="Times New Roman" w:hAnsi="Times New Roman" w:cs="Times New Roman"/>
      <w:color w:val="000000"/>
      <w:sz w:val="30"/>
      <w:lang w:eastAsia="pt-BR"/>
    </w:rPr>
  </w:style>
  <w:style w:type="character" w:customStyle="1" w:styleId="20">
    <w:name w:val="标题 2 字符"/>
    <w:basedOn w:val="a0"/>
    <w:link w:val="2"/>
    <w:uiPriority w:val="9"/>
    <w:rsid w:val="007C3221"/>
    <w:rPr>
      <w:rFonts w:ascii="Times New Roman" w:eastAsia="Times New Roman" w:hAnsi="Times New Roman" w:cs="Times New Roman"/>
      <w:color w:val="000000"/>
      <w:sz w:val="30"/>
      <w:lang w:eastAsia="pt-BR"/>
    </w:rPr>
  </w:style>
  <w:style w:type="character" w:customStyle="1" w:styleId="30">
    <w:name w:val="标题 3 字符"/>
    <w:basedOn w:val="a0"/>
    <w:link w:val="3"/>
    <w:uiPriority w:val="9"/>
    <w:rsid w:val="007C3221"/>
    <w:rPr>
      <w:rFonts w:ascii="Times New Roman" w:eastAsia="Times New Roman" w:hAnsi="Times New Roman" w:cs="Times New Roman"/>
      <w:color w:val="000000"/>
      <w:sz w:val="30"/>
      <w:lang w:eastAsia="pt-BR"/>
    </w:rPr>
  </w:style>
  <w:style w:type="paragraph" w:styleId="a3">
    <w:name w:val="List Paragraph"/>
    <w:basedOn w:val="a"/>
    <w:uiPriority w:val="34"/>
    <w:qFormat/>
    <w:rsid w:val="003D290C"/>
    <w:pPr>
      <w:ind w:left="720"/>
      <w:contextualSpacing/>
    </w:pPr>
  </w:style>
  <w:style w:type="paragraph" w:styleId="a4">
    <w:name w:val="footnote text"/>
    <w:basedOn w:val="a"/>
    <w:link w:val="a5"/>
    <w:uiPriority w:val="99"/>
    <w:semiHidden/>
    <w:unhideWhenUsed/>
    <w:rsid w:val="00A12C2F"/>
    <w:pPr>
      <w:spacing w:after="0" w:line="240" w:lineRule="auto"/>
    </w:pPr>
    <w:rPr>
      <w:sz w:val="20"/>
      <w:szCs w:val="20"/>
    </w:rPr>
  </w:style>
  <w:style w:type="character" w:customStyle="1" w:styleId="a5">
    <w:name w:val="脚注文本 字符"/>
    <w:basedOn w:val="a0"/>
    <w:link w:val="a4"/>
    <w:uiPriority w:val="99"/>
    <w:semiHidden/>
    <w:rsid w:val="00A12C2F"/>
    <w:rPr>
      <w:rFonts w:ascii="Times New Roman" w:eastAsia="Times New Roman" w:hAnsi="Times New Roman" w:cs="Times New Roman"/>
      <w:color w:val="000000"/>
      <w:sz w:val="20"/>
      <w:szCs w:val="20"/>
      <w:lang w:eastAsia="pt-BR"/>
    </w:rPr>
  </w:style>
  <w:style w:type="character" w:styleId="a6">
    <w:name w:val="footnote reference"/>
    <w:basedOn w:val="a0"/>
    <w:uiPriority w:val="99"/>
    <w:semiHidden/>
    <w:unhideWhenUsed/>
    <w:rsid w:val="00A12C2F"/>
    <w:rPr>
      <w:vertAlign w:val="superscript"/>
    </w:rPr>
  </w:style>
  <w:style w:type="paragraph" w:styleId="a7">
    <w:name w:val="Balloon Text"/>
    <w:basedOn w:val="a"/>
    <w:link w:val="a8"/>
    <w:uiPriority w:val="99"/>
    <w:semiHidden/>
    <w:unhideWhenUsed/>
    <w:rsid w:val="00EE2A99"/>
    <w:pPr>
      <w:spacing w:after="0" w:line="240" w:lineRule="auto"/>
    </w:pPr>
    <w:rPr>
      <w:rFonts w:ascii="Segoe UI" w:hAnsi="Segoe UI" w:cs="Segoe UI"/>
      <w:sz w:val="18"/>
      <w:szCs w:val="18"/>
    </w:rPr>
  </w:style>
  <w:style w:type="character" w:customStyle="1" w:styleId="a8">
    <w:name w:val="批注框文本 字符"/>
    <w:basedOn w:val="a0"/>
    <w:link w:val="a7"/>
    <w:uiPriority w:val="99"/>
    <w:semiHidden/>
    <w:rsid w:val="00EE2A99"/>
    <w:rPr>
      <w:rFonts w:ascii="Segoe UI" w:eastAsia="Times New Roman" w:hAnsi="Segoe UI" w:cs="Segoe UI"/>
      <w:color w:val="000000"/>
      <w:sz w:val="18"/>
      <w:szCs w:val="18"/>
      <w:lang w:eastAsia="pt-BR"/>
    </w:rPr>
  </w:style>
  <w:style w:type="character" w:styleId="a9">
    <w:name w:val="Hyperlink"/>
    <w:basedOn w:val="a0"/>
    <w:uiPriority w:val="99"/>
    <w:unhideWhenUsed/>
    <w:rsid w:val="005C57C6"/>
    <w:rPr>
      <w:color w:val="0563C1" w:themeColor="hyperlink"/>
      <w:u w:val="single"/>
    </w:rPr>
  </w:style>
  <w:style w:type="character" w:customStyle="1" w:styleId="MenoPendente1">
    <w:name w:val="Menção Pendente1"/>
    <w:basedOn w:val="a0"/>
    <w:uiPriority w:val="99"/>
    <w:semiHidden/>
    <w:unhideWhenUsed/>
    <w:rsid w:val="005C57C6"/>
    <w:rPr>
      <w:color w:val="808080"/>
      <w:shd w:val="clear" w:color="auto" w:fill="E6E6E6"/>
    </w:rPr>
  </w:style>
  <w:style w:type="paragraph" w:styleId="aa">
    <w:name w:val="header"/>
    <w:basedOn w:val="a"/>
    <w:link w:val="ab"/>
    <w:unhideWhenUsed/>
    <w:rsid w:val="00F017EF"/>
    <w:pPr>
      <w:tabs>
        <w:tab w:val="center" w:pos="4252"/>
        <w:tab w:val="right" w:pos="8504"/>
      </w:tabs>
      <w:spacing w:after="0" w:line="240" w:lineRule="auto"/>
    </w:pPr>
  </w:style>
  <w:style w:type="character" w:customStyle="1" w:styleId="ab">
    <w:name w:val="页眉 字符"/>
    <w:basedOn w:val="a0"/>
    <w:link w:val="aa"/>
    <w:uiPriority w:val="99"/>
    <w:rsid w:val="00F017EF"/>
    <w:rPr>
      <w:rFonts w:ascii="Times New Roman" w:eastAsia="Times New Roman" w:hAnsi="Times New Roman" w:cs="Times New Roman"/>
      <w:color w:val="000000"/>
      <w:sz w:val="26"/>
      <w:lang w:eastAsia="pt-BR"/>
    </w:rPr>
  </w:style>
  <w:style w:type="paragraph" w:styleId="ac">
    <w:name w:val="footer"/>
    <w:basedOn w:val="a"/>
    <w:link w:val="ad"/>
    <w:uiPriority w:val="99"/>
    <w:unhideWhenUsed/>
    <w:rsid w:val="00F017EF"/>
    <w:pPr>
      <w:tabs>
        <w:tab w:val="center" w:pos="4252"/>
        <w:tab w:val="right" w:pos="8504"/>
      </w:tabs>
      <w:spacing w:after="0" w:line="240" w:lineRule="auto"/>
    </w:pPr>
  </w:style>
  <w:style w:type="character" w:customStyle="1" w:styleId="ad">
    <w:name w:val="页脚 字符"/>
    <w:basedOn w:val="a0"/>
    <w:link w:val="ac"/>
    <w:uiPriority w:val="99"/>
    <w:rsid w:val="00F017EF"/>
    <w:rPr>
      <w:rFonts w:ascii="Times New Roman" w:eastAsia="Times New Roman" w:hAnsi="Times New Roman" w:cs="Times New Roman"/>
      <w:color w:val="000000"/>
      <w:sz w:val="26"/>
      <w:lang w:eastAsia="pt-BR"/>
    </w:rPr>
  </w:style>
  <w:style w:type="numbering" w:customStyle="1" w:styleId="Semlista1">
    <w:name w:val="Sem lista1"/>
    <w:next w:val="a2"/>
    <w:uiPriority w:val="99"/>
    <w:semiHidden/>
    <w:unhideWhenUsed/>
    <w:rsid w:val="00330D37"/>
  </w:style>
  <w:style w:type="character" w:styleId="ae">
    <w:name w:val="annotation reference"/>
    <w:basedOn w:val="a0"/>
    <w:uiPriority w:val="99"/>
    <w:semiHidden/>
    <w:unhideWhenUsed/>
    <w:rsid w:val="002C5AC4"/>
    <w:rPr>
      <w:sz w:val="16"/>
      <w:szCs w:val="16"/>
    </w:rPr>
  </w:style>
  <w:style w:type="paragraph" w:styleId="af">
    <w:name w:val="annotation text"/>
    <w:basedOn w:val="a"/>
    <w:link w:val="af0"/>
    <w:uiPriority w:val="99"/>
    <w:semiHidden/>
    <w:unhideWhenUsed/>
    <w:qFormat/>
    <w:rsid w:val="002C5AC4"/>
    <w:pPr>
      <w:spacing w:line="240" w:lineRule="auto"/>
    </w:pPr>
    <w:rPr>
      <w:sz w:val="20"/>
      <w:szCs w:val="20"/>
    </w:rPr>
  </w:style>
  <w:style w:type="character" w:customStyle="1" w:styleId="af0">
    <w:name w:val="批注文字 字符"/>
    <w:basedOn w:val="a0"/>
    <w:link w:val="af"/>
    <w:uiPriority w:val="99"/>
    <w:semiHidden/>
    <w:qFormat/>
    <w:rsid w:val="002C5AC4"/>
    <w:rPr>
      <w:rFonts w:ascii="Times New Roman" w:eastAsia="Times New Roman" w:hAnsi="Times New Roman" w:cs="Times New Roman"/>
      <w:color w:val="000000"/>
      <w:sz w:val="20"/>
      <w:szCs w:val="20"/>
      <w:lang w:eastAsia="pt-BR"/>
    </w:rPr>
  </w:style>
  <w:style w:type="paragraph" w:styleId="af1">
    <w:name w:val="annotation subject"/>
    <w:basedOn w:val="af"/>
    <w:next w:val="af"/>
    <w:link w:val="af2"/>
    <w:uiPriority w:val="99"/>
    <w:semiHidden/>
    <w:unhideWhenUsed/>
    <w:rsid w:val="002C5AC4"/>
    <w:rPr>
      <w:b/>
      <w:bCs/>
    </w:rPr>
  </w:style>
  <w:style w:type="character" w:customStyle="1" w:styleId="af2">
    <w:name w:val="批注主题 字符"/>
    <w:basedOn w:val="af0"/>
    <w:link w:val="af1"/>
    <w:uiPriority w:val="99"/>
    <w:semiHidden/>
    <w:rsid w:val="002C5AC4"/>
    <w:rPr>
      <w:rFonts w:ascii="Times New Roman" w:eastAsia="Times New Roman" w:hAnsi="Times New Roman" w:cs="Times New Roman"/>
      <w:b/>
      <w:bCs/>
      <w:color w:val="000000"/>
      <w:sz w:val="20"/>
      <w:szCs w:val="20"/>
      <w:lang w:eastAsia="pt-BR"/>
    </w:rPr>
  </w:style>
  <w:style w:type="character" w:customStyle="1" w:styleId="fontstyle01">
    <w:name w:val="fontstyle01"/>
    <w:basedOn w:val="a0"/>
    <w:rsid w:val="00E20D16"/>
    <w:rPr>
      <w:rFonts w:ascii="Times-Roman" w:hAnsi="Times-Roman" w:hint="default"/>
      <w:b w:val="0"/>
      <w:bCs w:val="0"/>
      <w:i w:val="0"/>
      <w:iCs w:val="0"/>
      <w:color w:val="242021"/>
      <w:sz w:val="20"/>
      <w:szCs w:val="20"/>
    </w:rPr>
  </w:style>
  <w:style w:type="character" w:customStyle="1" w:styleId="fontstyle31">
    <w:name w:val="fontstyle31"/>
    <w:basedOn w:val="a0"/>
    <w:rsid w:val="00E20D16"/>
    <w:rPr>
      <w:rFonts w:ascii="Book Antiqua" w:hAnsi="Book Antiqua" w:hint="default"/>
      <w:b w:val="0"/>
      <w:bCs w:val="0"/>
      <w:i w:val="0"/>
      <w:iCs w:val="0"/>
      <w:color w:val="000000"/>
      <w:sz w:val="24"/>
      <w:szCs w:val="24"/>
    </w:rPr>
  </w:style>
  <w:style w:type="character" w:styleId="af3">
    <w:name w:val="Emphasis"/>
    <w:basedOn w:val="a0"/>
    <w:uiPriority w:val="20"/>
    <w:qFormat/>
    <w:rsid w:val="00E20D16"/>
    <w:rPr>
      <w:i/>
      <w:iCs/>
    </w:rPr>
  </w:style>
  <w:style w:type="paragraph" w:customStyle="1" w:styleId="Padro">
    <w:name w:val="Padrão"/>
    <w:rsid w:val="00E20D1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pt-BR"/>
    </w:rPr>
  </w:style>
  <w:style w:type="numbering" w:customStyle="1" w:styleId="Semlista2">
    <w:name w:val="Sem lista2"/>
    <w:next w:val="a2"/>
    <w:uiPriority w:val="99"/>
    <w:semiHidden/>
    <w:unhideWhenUsed/>
    <w:rsid w:val="00973580"/>
  </w:style>
  <w:style w:type="numbering" w:customStyle="1" w:styleId="Semlista3">
    <w:name w:val="Sem lista3"/>
    <w:next w:val="a2"/>
    <w:uiPriority w:val="99"/>
    <w:semiHidden/>
    <w:unhideWhenUsed/>
    <w:rsid w:val="002D7005"/>
  </w:style>
  <w:style w:type="table" w:customStyle="1" w:styleId="TableNormal1">
    <w:name w:val="Table Normal1"/>
    <w:rsid w:val="002D70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t-BR"/>
    </w:rPr>
    <w:tblPr>
      <w:tblInd w:w="0" w:type="dxa"/>
      <w:tblCellMar>
        <w:top w:w="0" w:type="dxa"/>
        <w:left w:w="0" w:type="dxa"/>
        <w:bottom w:w="0" w:type="dxa"/>
        <w:right w:w="0" w:type="dxa"/>
      </w:tblCellMar>
    </w:tblPr>
  </w:style>
  <w:style w:type="paragraph" w:customStyle="1" w:styleId="CabealhoeRodap">
    <w:name w:val="Cabeçalho e Rodapé"/>
    <w:rsid w:val="002D7005"/>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pt-BR"/>
    </w:rPr>
  </w:style>
  <w:style w:type="paragraph" w:styleId="af4">
    <w:name w:val="Subtitle"/>
    <w:next w:val="CorpoA"/>
    <w:link w:val="af5"/>
    <w:rsid w:val="002D7005"/>
    <w:pPr>
      <w:keepNext/>
      <w:pBdr>
        <w:top w:val="nil"/>
        <w:left w:val="nil"/>
        <w:bottom w:val="nil"/>
        <w:right w:val="nil"/>
        <w:between w:val="nil"/>
        <w:bar w:val="nil"/>
      </w:pBdr>
      <w:spacing w:after="0" w:line="240" w:lineRule="auto"/>
    </w:pPr>
    <w:rPr>
      <w:rFonts w:ascii="Helvetica" w:eastAsia="Arial Unicode MS" w:hAnsi="Arial Unicode MS" w:cs="Arial Unicode MS"/>
      <w:color w:val="000000"/>
      <w:sz w:val="40"/>
      <w:szCs w:val="40"/>
      <w:u w:color="000000"/>
      <w:bdr w:val="nil"/>
      <w:lang w:val="en-US" w:eastAsia="pt-BR"/>
    </w:rPr>
  </w:style>
  <w:style w:type="character" w:customStyle="1" w:styleId="af5">
    <w:name w:val="副标题 字符"/>
    <w:basedOn w:val="a0"/>
    <w:link w:val="af4"/>
    <w:rsid w:val="002D7005"/>
    <w:rPr>
      <w:rFonts w:ascii="Helvetica" w:eastAsia="Arial Unicode MS" w:hAnsi="Arial Unicode MS" w:cs="Arial Unicode MS"/>
      <w:color w:val="000000"/>
      <w:sz w:val="40"/>
      <w:szCs w:val="40"/>
      <w:u w:color="000000"/>
      <w:bdr w:val="nil"/>
      <w:lang w:val="en-US" w:eastAsia="pt-BR"/>
    </w:rPr>
  </w:style>
  <w:style w:type="paragraph" w:customStyle="1" w:styleId="CorpoA">
    <w:name w:val="Corpo A"/>
    <w:rsid w:val="002D7005"/>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pt-BR"/>
    </w:rPr>
  </w:style>
  <w:style w:type="numbering" w:customStyle="1" w:styleId="List0">
    <w:name w:val="List 0"/>
    <w:basedOn w:val="EstiloImportado1"/>
    <w:rsid w:val="002D7005"/>
    <w:pPr>
      <w:numPr>
        <w:numId w:val="16"/>
      </w:numPr>
    </w:pPr>
  </w:style>
  <w:style w:type="numbering" w:customStyle="1" w:styleId="EstiloImportado1">
    <w:name w:val="Estilo Importado 1"/>
    <w:rsid w:val="002D7005"/>
  </w:style>
  <w:style w:type="numbering" w:customStyle="1" w:styleId="List1">
    <w:name w:val="List 1"/>
    <w:basedOn w:val="EstiloImportado2"/>
    <w:rsid w:val="002D7005"/>
    <w:pPr>
      <w:numPr>
        <w:numId w:val="17"/>
      </w:numPr>
    </w:pPr>
  </w:style>
  <w:style w:type="numbering" w:customStyle="1" w:styleId="EstiloImportado2">
    <w:name w:val="Estilo Importado 2"/>
    <w:rsid w:val="002D7005"/>
  </w:style>
  <w:style w:type="numbering" w:customStyle="1" w:styleId="Lista21">
    <w:name w:val="Lista 21"/>
    <w:basedOn w:val="EstiloImportado3"/>
    <w:rsid w:val="002D7005"/>
    <w:pPr>
      <w:numPr>
        <w:numId w:val="18"/>
      </w:numPr>
    </w:pPr>
  </w:style>
  <w:style w:type="numbering" w:customStyle="1" w:styleId="EstiloImportado3">
    <w:name w:val="Estilo Importado 3"/>
    <w:rsid w:val="002D7005"/>
  </w:style>
  <w:style w:type="numbering" w:customStyle="1" w:styleId="Lista31">
    <w:name w:val="Lista 31"/>
    <w:basedOn w:val="EstiloImportado4"/>
    <w:rsid w:val="002D7005"/>
    <w:pPr>
      <w:numPr>
        <w:numId w:val="19"/>
      </w:numPr>
    </w:pPr>
  </w:style>
  <w:style w:type="numbering" w:customStyle="1" w:styleId="EstiloImportado4">
    <w:name w:val="Estilo Importado 4"/>
    <w:rsid w:val="002D7005"/>
  </w:style>
  <w:style w:type="numbering" w:customStyle="1" w:styleId="Lista41">
    <w:name w:val="Lista 41"/>
    <w:basedOn w:val="EstiloImportado5"/>
    <w:rsid w:val="002D7005"/>
    <w:pPr>
      <w:numPr>
        <w:numId w:val="20"/>
      </w:numPr>
    </w:pPr>
  </w:style>
  <w:style w:type="numbering" w:customStyle="1" w:styleId="EstiloImportado5">
    <w:name w:val="Estilo Importado 5"/>
    <w:rsid w:val="002D7005"/>
  </w:style>
  <w:style w:type="paragraph" w:customStyle="1" w:styleId="CorpoAA">
    <w:name w:val="Corpo A A"/>
    <w:rsid w:val="002D7005"/>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pt-BR"/>
    </w:rPr>
  </w:style>
  <w:style w:type="numbering" w:customStyle="1" w:styleId="Lista51">
    <w:name w:val="Lista 51"/>
    <w:basedOn w:val="EstiloImportado6"/>
    <w:rsid w:val="002D7005"/>
    <w:pPr>
      <w:numPr>
        <w:numId w:val="21"/>
      </w:numPr>
    </w:pPr>
  </w:style>
  <w:style w:type="numbering" w:customStyle="1" w:styleId="EstiloImportado6">
    <w:name w:val="Estilo Importado 6"/>
    <w:rsid w:val="002D7005"/>
  </w:style>
  <w:style w:type="numbering" w:customStyle="1" w:styleId="List6">
    <w:name w:val="List 6"/>
    <w:basedOn w:val="EstiloImportado7"/>
    <w:rsid w:val="002D7005"/>
    <w:pPr>
      <w:numPr>
        <w:numId w:val="22"/>
      </w:numPr>
    </w:pPr>
  </w:style>
  <w:style w:type="numbering" w:customStyle="1" w:styleId="EstiloImportado7">
    <w:name w:val="Estilo Importado 7"/>
    <w:rsid w:val="002D7005"/>
  </w:style>
  <w:style w:type="numbering" w:customStyle="1" w:styleId="List7">
    <w:name w:val="List 7"/>
    <w:basedOn w:val="EstiloImportado8"/>
    <w:rsid w:val="002D7005"/>
    <w:pPr>
      <w:numPr>
        <w:numId w:val="23"/>
      </w:numPr>
    </w:pPr>
  </w:style>
  <w:style w:type="numbering" w:customStyle="1" w:styleId="EstiloImportado8">
    <w:name w:val="Estilo Importado 8"/>
    <w:rsid w:val="002D7005"/>
  </w:style>
  <w:style w:type="numbering" w:customStyle="1" w:styleId="List8">
    <w:name w:val="List 8"/>
    <w:basedOn w:val="EstiloImportado9"/>
    <w:rsid w:val="002D7005"/>
    <w:pPr>
      <w:numPr>
        <w:numId w:val="24"/>
      </w:numPr>
    </w:pPr>
  </w:style>
  <w:style w:type="numbering" w:customStyle="1" w:styleId="EstiloImportado9">
    <w:name w:val="Estilo Importado 9"/>
    <w:rsid w:val="002D7005"/>
  </w:style>
  <w:style w:type="numbering" w:customStyle="1" w:styleId="List9">
    <w:name w:val="List 9"/>
    <w:basedOn w:val="EstiloImportado10"/>
    <w:rsid w:val="002D7005"/>
    <w:pPr>
      <w:numPr>
        <w:numId w:val="25"/>
      </w:numPr>
    </w:pPr>
  </w:style>
  <w:style w:type="numbering" w:customStyle="1" w:styleId="EstiloImportado10">
    <w:name w:val="Estilo Importado 10"/>
    <w:rsid w:val="002D7005"/>
  </w:style>
  <w:style w:type="numbering" w:customStyle="1" w:styleId="List10">
    <w:name w:val="List 10"/>
    <w:basedOn w:val="EstiloImportado11"/>
    <w:rsid w:val="002D7005"/>
    <w:pPr>
      <w:numPr>
        <w:numId w:val="26"/>
      </w:numPr>
    </w:pPr>
  </w:style>
  <w:style w:type="numbering" w:customStyle="1" w:styleId="EstiloImportado11">
    <w:name w:val="Estilo Importado 11"/>
    <w:rsid w:val="002D7005"/>
  </w:style>
  <w:style w:type="numbering" w:customStyle="1" w:styleId="List11">
    <w:name w:val="List 11"/>
    <w:basedOn w:val="EstiloImportado12"/>
    <w:rsid w:val="002D7005"/>
    <w:pPr>
      <w:numPr>
        <w:numId w:val="27"/>
      </w:numPr>
    </w:pPr>
  </w:style>
  <w:style w:type="numbering" w:customStyle="1" w:styleId="EstiloImportado12">
    <w:name w:val="Estilo Importado 12"/>
    <w:rsid w:val="002D7005"/>
  </w:style>
  <w:style w:type="numbering" w:customStyle="1" w:styleId="List12">
    <w:name w:val="List 12"/>
    <w:basedOn w:val="EstiloImportado13"/>
    <w:rsid w:val="002D7005"/>
    <w:pPr>
      <w:numPr>
        <w:numId w:val="28"/>
      </w:numPr>
    </w:pPr>
  </w:style>
  <w:style w:type="numbering" w:customStyle="1" w:styleId="EstiloImportado13">
    <w:name w:val="Estilo Importado 13"/>
    <w:rsid w:val="002D7005"/>
  </w:style>
  <w:style w:type="numbering" w:customStyle="1" w:styleId="List13">
    <w:name w:val="List 13"/>
    <w:basedOn w:val="EstiloImportado14"/>
    <w:rsid w:val="002D7005"/>
    <w:pPr>
      <w:numPr>
        <w:numId w:val="29"/>
      </w:numPr>
    </w:pPr>
  </w:style>
  <w:style w:type="numbering" w:customStyle="1" w:styleId="EstiloImportado14">
    <w:name w:val="Estilo Importado 14"/>
    <w:rsid w:val="002D7005"/>
  </w:style>
  <w:style w:type="numbering" w:customStyle="1" w:styleId="List14">
    <w:name w:val="List 14"/>
    <w:basedOn w:val="EstiloImportado15"/>
    <w:rsid w:val="002D7005"/>
    <w:pPr>
      <w:numPr>
        <w:numId w:val="32"/>
      </w:numPr>
    </w:pPr>
  </w:style>
  <w:style w:type="numbering" w:customStyle="1" w:styleId="EstiloImportado15">
    <w:name w:val="Estilo Importado 15"/>
    <w:rsid w:val="002D7005"/>
  </w:style>
  <w:style w:type="numbering" w:customStyle="1" w:styleId="List15">
    <w:name w:val="List 15"/>
    <w:basedOn w:val="EstiloImportado16"/>
    <w:rsid w:val="002D7005"/>
    <w:pPr>
      <w:numPr>
        <w:numId w:val="33"/>
      </w:numPr>
    </w:pPr>
  </w:style>
  <w:style w:type="numbering" w:customStyle="1" w:styleId="EstiloImportado16">
    <w:name w:val="Estilo Importado 16"/>
    <w:rsid w:val="002D7005"/>
  </w:style>
  <w:style w:type="numbering" w:customStyle="1" w:styleId="List16">
    <w:name w:val="List 16"/>
    <w:basedOn w:val="EstiloImportado17"/>
    <w:rsid w:val="002D7005"/>
    <w:pPr>
      <w:numPr>
        <w:numId w:val="34"/>
      </w:numPr>
    </w:pPr>
  </w:style>
  <w:style w:type="numbering" w:customStyle="1" w:styleId="EstiloImportado17">
    <w:name w:val="Estilo Importado 17"/>
    <w:rsid w:val="002D7005"/>
  </w:style>
  <w:style w:type="numbering" w:customStyle="1" w:styleId="List17">
    <w:name w:val="List 17"/>
    <w:basedOn w:val="EstiloImportado18"/>
    <w:rsid w:val="002D7005"/>
    <w:pPr>
      <w:numPr>
        <w:numId w:val="35"/>
      </w:numPr>
    </w:pPr>
  </w:style>
  <w:style w:type="numbering" w:customStyle="1" w:styleId="EstiloImportado18">
    <w:name w:val="Estilo Importado 18"/>
    <w:rsid w:val="002D7005"/>
  </w:style>
  <w:style w:type="numbering" w:customStyle="1" w:styleId="List18">
    <w:name w:val="List 18"/>
    <w:basedOn w:val="EstiloImportado19"/>
    <w:rsid w:val="002D7005"/>
    <w:pPr>
      <w:numPr>
        <w:numId w:val="36"/>
      </w:numPr>
    </w:pPr>
  </w:style>
  <w:style w:type="numbering" w:customStyle="1" w:styleId="EstiloImportado19">
    <w:name w:val="Estilo Importado 19"/>
    <w:rsid w:val="002D7005"/>
  </w:style>
  <w:style w:type="character" w:styleId="af6">
    <w:name w:val="FollowedHyperlink"/>
    <w:basedOn w:val="a0"/>
    <w:uiPriority w:val="99"/>
    <w:semiHidden/>
    <w:unhideWhenUsed/>
    <w:rsid w:val="002D7005"/>
    <w:rPr>
      <w:color w:val="954F72"/>
      <w:u w:val="single"/>
    </w:rPr>
  </w:style>
  <w:style w:type="paragraph" w:customStyle="1" w:styleId="font5">
    <w:name w:val="font5"/>
    <w:basedOn w:val="a"/>
    <w:rsid w:val="002D7005"/>
    <w:pPr>
      <w:spacing w:before="100" w:beforeAutospacing="1" w:after="100" w:afterAutospacing="1" w:line="240" w:lineRule="auto"/>
      <w:ind w:left="0" w:right="0" w:firstLine="0"/>
      <w:jc w:val="left"/>
    </w:pPr>
    <w:rPr>
      <w:rFonts w:ascii="Helvetica" w:eastAsia="Arial Unicode MS" w:hAnsi="Helvetica"/>
      <w:color w:val="auto"/>
      <w:sz w:val="16"/>
      <w:szCs w:val="16"/>
    </w:rPr>
  </w:style>
  <w:style w:type="paragraph" w:customStyle="1" w:styleId="font6">
    <w:name w:val="font6"/>
    <w:basedOn w:val="a"/>
    <w:rsid w:val="002D7005"/>
    <w:pPr>
      <w:spacing w:before="100" w:beforeAutospacing="1" w:after="100" w:afterAutospacing="1" w:line="240" w:lineRule="auto"/>
      <w:ind w:left="0" w:right="0" w:firstLine="0"/>
      <w:jc w:val="left"/>
    </w:pPr>
    <w:rPr>
      <w:rFonts w:ascii="Helvetica" w:eastAsia="Arial Unicode MS" w:hAnsi="Helvetica"/>
      <w:b/>
      <w:bCs/>
      <w:color w:val="auto"/>
      <w:sz w:val="16"/>
      <w:szCs w:val="16"/>
    </w:rPr>
  </w:style>
  <w:style w:type="paragraph" w:customStyle="1" w:styleId="xl70">
    <w:name w:val="xl70"/>
    <w:basedOn w:val="a"/>
    <w:rsid w:val="002D7005"/>
    <w:pPr>
      <w:spacing w:before="100" w:beforeAutospacing="1" w:after="100" w:afterAutospacing="1" w:line="240" w:lineRule="auto"/>
      <w:ind w:left="0" w:right="0" w:firstLine="0"/>
      <w:jc w:val="left"/>
      <w:textAlignment w:val="bottom"/>
    </w:pPr>
    <w:rPr>
      <w:rFonts w:ascii="Calibri" w:eastAsia="Arial Unicode MS" w:hAnsi="Calibri"/>
      <w:sz w:val="24"/>
      <w:szCs w:val="24"/>
    </w:rPr>
  </w:style>
  <w:style w:type="paragraph" w:customStyle="1" w:styleId="xl71">
    <w:name w:val="xl71"/>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72">
    <w:name w:val="xl72"/>
    <w:basedOn w:val="a"/>
    <w:rsid w:val="002D7005"/>
    <w:pPr>
      <w:pBdr>
        <w:top w:val="single" w:sz="4" w:space="0" w:color="auto"/>
        <w:bottom w:val="single" w:sz="4" w:space="0" w:color="auto"/>
      </w:pBdr>
      <w:spacing w:before="100" w:beforeAutospacing="1" w:after="100" w:afterAutospacing="1" w:line="240" w:lineRule="auto"/>
      <w:ind w:left="0" w:right="0" w:firstLine="0"/>
      <w:jc w:val="left"/>
    </w:pPr>
    <w:rPr>
      <w:rFonts w:ascii="Helvetica" w:eastAsia="Arial Unicode MS" w:hAnsi="Helvetica"/>
      <w:color w:val="auto"/>
      <w:sz w:val="16"/>
      <w:szCs w:val="16"/>
    </w:rPr>
  </w:style>
  <w:style w:type="paragraph" w:customStyle="1" w:styleId="xl73">
    <w:name w:val="xl73"/>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74">
    <w:name w:val="xl74"/>
    <w:basedOn w:val="a"/>
    <w:rsid w:val="002D7005"/>
    <w:pPr>
      <w:pBdr>
        <w:top w:val="single" w:sz="12"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75">
    <w:name w:val="xl75"/>
    <w:basedOn w:val="a"/>
    <w:rsid w:val="002D7005"/>
    <w:pPr>
      <w:pBdr>
        <w:top w:val="single" w:sz="12"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76">
    <w:name w:val="xl76"/>
    <w:basedOn w:val="a"/>
    <w:rsid w:val="002D7005"/>
    <w:pPr>
      <w:pBdr>
        <w:top w:val="single" w:sz="12"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77">
    <w:name w:val="xl77"/>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78">
    <w:name w:val="xl78"/>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79">
    <w:name w:val="xl79"/>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0">
    <w:name w:val="xl80"/>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1">
    <w:name w:val="xl81"/>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2">
    <w:name w:val="xl82"/>
    <w:basedOn w:val="a"/>
    <w:rsid w:val="002D7005"/>
    <w:pP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83">
    <w:name w:val="xl83"/>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4">
    <w:name w:val="xl84"/>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5">
    <w:name w:val="xl85"/>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6">
    <w:name w:val="xl86"/>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7">
    <w:name w:val="xl87"/>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8">
    <w:name w:val="xl88"/>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9">
    <w:name w:val="xl89"/>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0">
    <w:name w:val="xl90"/>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1">
    <w:name w:val="xl91"/>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2">
    <w:name w:val="xl92"/>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3">
    <w:name w:val="xl93"/>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4">
    <w:name w:val="xl94"/>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5">
    <w:name w:val="xl95"/>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6">
    <w:name w:val="xl96"/>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7">
    <w:name w:val="xl97"/>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8">
    <w:name w:val="xl98"/>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9">
    <w:name w:val="xl99"/>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00">
    <w:name w:val="xl100"/>
    <w:basedOn w:val="a"/>
    <w:rsid w:val="002D7005"/>
    <w:pPr>
      <w:pBdr>
        <w:top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1">
    <w:name w:val="xl101"/>
    <w:basedOn w:val="a"/>
    <w:rsid w:val="002D7005"/>
    <w:pPr>
      <w:pBdr>
        <w:top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2">
    <w:name w:val="xl102"/>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03">
    <w:name w:val="xl103"/>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04">
    <w:name w:val="xl104"/>
    <w:basedOn w:val="a"/>
    <w:rsid w:val="002D7005"/>
    <w:pPr>
      <w:spacing w:before="100" w:beforeAutospacing="1" w:after="100" w:afterAutospacing="1" w:line="240" w:lineRule="auto"/>
      <w:ind w:left="0" w:right="0" w:firstLine="0"/>
      <w:jc w:val="left"/>
    </w:pPr>
    <w:rPr>
      <w:rFonts w:ascii="Helvetica" w:eastAsia="Arial Unicode MS" w:hAnsi="Helvetica"/>
      <w:b/>
      <w:bCs/>
      <w:sz w:val="16"/>
      <w:szCs w:val="16"/>
    </w:rPr>
  </w:style>
  <w:style w:type="paragraph" w:customStyle="1" w:styleId="xl105">
    <w:name w:val="xl105"/>
    <w:basedOn w:val="a"/>
    <w:rsid w:val="002D7005"/>
    <w:pPr>
      <w:spacing w:before="100" w:beforeAutospacing="1" w:after="100" w:afterAutospacing="1" w:line="240" w:lineRule="auto"/>
      <w:ind w:left="0" w:right="0" w:firstLine="0"/>
      <w:jc w:val="center"/>
      <w:textAlignment w:val="top"/>
    </w:pPr>
    <w:rPr>
      <w:rFonts w:ascii="Helvetica" w:eastAsia="Arial Unicode MS" w:hAnsi="Helvetica"/>
      <w:sz w:val="16"/>
      <w:szCs w:val="16"/>
    </w:rPr>
  </w:style>
  <w:style w:type="paragraph" w:customStyle="1" w:styleId="xl106">
    <w:name w:val="xl106"/>
    <w:basedOn w:val="a"/>
    <w:rsid w:val="002D7005"/>
    <w:pP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7">
    <w:name w:val="xl107"/>
    <w:basedOn w:val="a"/>
    <w:rsid w:val="002D7005"/>
    <w:pP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8">
    <w:name w:val="xl108"/>
    <w:basedOn w:val="a"/>
    <w:rsid w:val="002D7005"/>
    <w:pPr>
      <w:shd w:val="clear" w:color="000000" w:fill="BFBFBF"/>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9">
    <w:name w:val="xl109"/>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10">
    <w:name w:val="xl110"/>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11">
    <w:name w:val="xl111"/>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2">
    <w:name w:val="xl112"/>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3">
    <w:name w:val="xl113"/>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4">
    <w:name w:val="xl114"/>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5">
    <w:name w:val="xl115"/>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16">
    <w:name w:val="xl11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17">
    <w:name w:val="xl117"/>
    <w:basedOn w:val="a"/>
    <w:rsid w:val="002D7005"/>
    <w:pPr>
      <w:pBdr>
        <w:bottom w:val="single" w:sz="8"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18">
    <w:name w:val="xl118"/>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19">
    <w:name w:val="xl119"/>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0">
    <w:name w:val="xl120"/>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21">
    <w:name w:val="xl121"/>
    <w:basedOn w:val="a"/>
    <w:rsid w:val="002D7005"/>
    <w:pPr>
      <w:pBdr>
        <w:top w:val="single" w:sz="8"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22">
    <w:name w:val="xl122"/>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3">
    <w:name w:val="xl123"/>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4">
    <w:name w:val="xl124"/>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5">
    <w:name w:val="xl125"/>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26">
    <w:name w:val="xl12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7">
    <w:name w:val="xl127"/>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8">
    <w:name w:val="xl128"/>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9">
    <w:name w:val="xl129"/>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0">
    <w:name w:val="xl130"/>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1">
    <w:name w:val="xl131"/>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2">
    <w:name w:val="xl132"/>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3">
    <w:name w:val="xl133"/>
    <w:basedOn w:val="a"/>
    <w:rsid w:val="002D7005"/>
    <w:pPr>
      <w:pBdr>
        <w:top w:val="single" w:sz="4" w:space="0" w:color="000000"/>
        <w:bottom w:val="single" w:sz="8"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4">
    <w:name w:val="xl134"/>
    <w:basedOn w:val="a"/>
    <w:rsid w:val="002D7005"/>
    <w:pPr>
      <w:pBdr>
        <w:top w:val="single" w:sz="4" w:space="0" w:color="000000"/>
        <w:bottom w:val="single" w:sz="8"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5">
    <w:name w:val="xl135"/>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36">
    <w:name w:val="xl13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7">
    <w:name w:val="xl137"/>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8">
    <w:name w:val="xl138"/>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9">
    <w:name w:val="xl139"/>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40">
    <w:name w:val="xl140"/>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41">
    <w:name w:val="xl141"/>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2">
    <w:name w:val="xl142"/>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3">
    <w:name w:val="xl143"/>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4">
    <w:name w:val="xl144"/>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5">
    <w:name w:val="xl145"/>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6">
    <w:name w:val="xl14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7">
    <w:name w:val="xl147"/>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8">
    <w:name w:val="xl148"/>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9">
    <w:name w:val="xl149"/>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50">
    <w:name w:val="xl150"/>
    <w:basedOn w:val="a"/>
    <w:rsid w:val="002D7005"/>
    <w:pPr>
      <w:pBdr>
        <w:bottom w:val="single" w:sz="12"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51">
    <w:name w:val="xl151"/>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2">
    <w:name w:val="xl152"/>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3">
    <w:name w:val="xl153"/>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4">
    <w:name w:val="xl154"/>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5">
    <w:name w:val="xl155"/>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6">
    <w:name w:val="xl156"/>
    <w:basedOn w:val="a"/>
    <w:rsid w:val="002D7005"/>
    <w:pPr>
      <w:pBdr>
        <w:top w:val="single" w:sz="8"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57">
    <w:name w:val="xl157"/>
    <w:basedOn w:val="a"/>
    <w:rsid w:val="002D7005"/>
    <w:pP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8">
    <w:name w:val="xl158"/>
    <w:basedOn w:val="a"/>
    <w:rsid w:val="002D7005"/>
    <w:pPr>
      <w:pBdr>
        <w:top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9">
    <w:name w:val="xl159"/>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60">
    <w:name w:val="xl160"/>
    <w:basedOn w:val="a"/>
    <w:rsid w:val="002D7005"/>
    <w:pPr>
      <w:pBdr>
        <w:top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61">
    <w:name w:val="xl161"/>
    <w:basedOn w:val="a"/>
    <w:rsid w:val="002D7005"/>
    <w:pP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62">
    <w:name w:val="xl162"/>
    <w:basedOn w:val="a"/>
    <w:rsid w:val="002D7005"/>
    <w:pPr>
      <w:pBdr>
        <w:top w:val="single" w:sz="12"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character" w:styleId="af7">
    <w:name w:val="page number"/>
    <w:basedOn w:val="a0"/>
    <w:uiPriority w:val="99"/>
    <w:semiHidden/>
    <w:unhideWhenUsed/>
    <w:rsid w:val="008109CC"/>
  </w:style>
  <w:style w:type="character" w:customStyle="1" w:styleId="publisherid">
    <w:name w:val="publisherid"/>
    <w:rsid w:val="0012177E"/>
  </w:style>
  <w:style w:type="paragraph" w:styleId="af8">
    <w:name w:val="Plain Text"/>
    <w:basedOn w:val="a"/>
    <w:link w:val="af9"/>
    <w:unhideWhenUsed/>
    <w:rsid w:val="00186B39"/>
    <w:pPr>
      <w:widowControl w:val="0"/>
      <w:spacing w:after="0" w:line="240" w:lineRule="auto"/>
      <w:ind w:left="0" w:right="0" w:firstLine="0"/>
    </w:pPr>
    <w:rPr>
      <w:rFonts w:ascii="宋体" w:eastAsia="宋体" w:hAnsi="Courier New" w:cs="Courier New"/>
      <w:color w:val="auto"/>
      <w:kern w:val="2"/>
      <w:sz w:val="21"/>
      <w:szCs w:val="21"/>
      <w:lang w:eastAsia="zh-CN"/>
    </w:rPr>
  </w:style>
  <w:style w:type="character" w:customStyle="1" w:styleId="af9">
    <w:name w:val="纯文本 字符"/>
    <w:basedOn w:val="a0"/>
    <w:link w:val="af8"/>
    <w:rsid w:val="00186B39"/>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58461">
      <w:bodyDiv w:val="1"/>
      <w:marLeft w:val="0"/>
      <w:marRight w:val="0"/>
      <w:marTop w:val="0"/>
      <w:marBottom w:val="0"/>
      <w:divBdr>
        <w:top w:val="none" w:sz="0" w:space="0" w:color="auto"/>
        <w:left w:val="none" w:sz="0" w:space="0" w:color="auto"/>
        <w:bottom w:val="none" w:sz="0" w:space="0" w:color="auto"/>
        <w:right w:val="none" w:sz="0" w:space="0" w:color="auto"/>
      </w:divBdr>
    </w:div>
    <w:div w:id="212692585">
      <w:bodyDiv w:val="1"/>
      <w:marLeft w:val="0"/>
      <w:marRight w:val="0"/>
      <w:marTop w:val="0"/>
      <w:marBottom w:val="0"/>
      <w:divBdr>
        <w:top w:val="none" w:sz="0" w:space="0" w:color="auto"/>
        <w:left w:val="none" w:sz="0" w:space="0" w:color="auto"/>
        <w:bottom w:val="none" w:sz="0" w:space="0" w:color="auto"/>
        <w:right w:val="none" w:sz="0" w:space="0" w:color="auto"/>
      </w:divBdr>
    </w:div>
    <w:div w:id="241567690">
      <w:bodyDiv w:val="1"/>
      <w:marLeft w:val="0"/>
      <w:marRight w:val="0"/>
      <w:marTop w:val="0"/>
      <w:marBottom w:val="0"/>
      <w:divBdr>
        <w:top w:val="none" w:sz="0" w:space="0" w:color="auto"/>
        <w:left w:val="none" w:sz="0" w:space="0" w:color="auto"/>
        <w:bottom w:val="none" w:sz="0" w:space="0" w:color="auto"/>
        <w:right w:val="none" w:sz="0" w:space="0" w:color="auto"/>
      </w:divBdr>
    </w:div>
    <w:div w:id="275331473">
      <w:bodyDiv w:val="1"/>
      <w:marLeft w:val="0"/>
      <w:marRight w:val="0"/>
      <w:marTop w:val="0"/>
      <w:marBottom w:val="0"/>
      <w:divBdr>
        <w:top w:val="none" w:sz="0" w:space="0" w:color="auto"/>
        <w:left w:val="none" w:sz="0" w:space="0" w:color="auto"/>
        <w:bottom w:val="none" w:sz="0" w:space="0" w:color="auto"/>
        <w:right w:val="none" w:sz="0" w:space="0" w:color="auto"/>
      </w:divBdr>
    </w:div>
    <w:div w:id="345865363">
      <w:bodyDiv w:val="1"/>
      <w:marLeft w:val="0"/>
      <w:marRight w:val="0"/>
      <w:marTop w:val="0"/>
      <w:marBottom w:val="0"/>
      <w:divBdr>
        <w:top w:val="none" w:sz="0" w:space="0" w:color="auto"/>
        <w:left w:val="none" w:sz="0" w:space="0" w:color="auto"/>
        <w:bottom w:val="none" w:sz="0" w:space="0" w:color="auto"/>
        <w:right w:val="none" w:sz="0" w:space="0" w:color="auto"/>
      </w:divBdr>
    </w:div>
    <w:div w:id="375276842">
      <w:bodyDiv w:val="1"/>
      <w:marLeft w:val="0"/>
      <w:marRight w:val="0"/>
      <w:marTop w:val="0"/>
      <w:marBottom w:val="0"/>
      <w:divBdr>
        <w:top w:val="none" w:sz="0" w:space="0" w:color="auto"/>
        <w:left w:val="none" w:sz="0" w:space="0" w:color="auto"/>
        <w:bottom w:val="none" w:sz="0" w:space="0" w:color="auto"/>
        <w:right w:val="none" w:sz="0" w:space="0" w:color="auto"/>
      </w:divBdr>
    </w:div>
    <w:div w:id="390157326">
      <w:bodyDiv w:val="1"/>
      <w:marLeft w:val="0"/>
      <w:marRight w:val="0"/>
      <w:marTop w:val="0"/>
      <w:marBottom w:val="0"/>
      <w:divBdr>
        <w:top w:val="none" w:sz="0" w:space="0" w:color="auto"/>
        <w:left w:val="none" w:sz="0" w:space="0" w:color="auto"/>
        <w:bottom w:val="none" w:sz="0" w:space="0" w:color="auto"/>
        <w:right w:val="none" w:sz="0" w:space="0" w:color="auto"/>
      </w:divBdr>
    </w:div>
    <w:div w:id="637299344">
      <w:bodyDiv w:val="1"/>
      <w:marLeft w:val="0"/>
      <w:marRight w:val="0"/>
      <w:marTop w:val="0"/>
      <w:marBottom w:val="0"/>
      <w:divBdr>
        <w:top w:val="none" w:sz="0" w:space="0" w:color="auto"/>
        <w:left w:val="none" w:sz="0" w:space="0" w:color="auto"/>
        <w:bottom w:val="none" w:sz="0" w:space="0" w:color="auto"/>
        <w:right w:val="none" w:sz="0" w:space="0" w:color="auto"/>
      </w:divBdr>
    </w:div>
    <w:div w:id="729113832">
      <w:bodyDiv w:val="1"/>
      <w:marLeft w:val="0"/>
      <w:marRight w:val="0"/>
      <w:marTop w:val="0"/>
      <w:marBottom w:val="0"/>
      <w:divBdr>
        <w:top w:val="none" w:sz="0" w:space="0" w:color="auto"/>
        <w:left w:val="none" w:sz="0" w:space="0" w:color="auto"/>
        <w:bottom w:val="none" w:sz="0" w:space="0" w:color="auto"/>
        <w:right w:val="none" w:sz="0" w:space="0" w:color="auto"/>
      </w:divBdr>
    </w:div>
    <w:div w:id="842165236">
      <w:bodyDiv w:val="1"/>
      <w:marLeft w:val="0"/>
      <w:marRight w:val="0"/>
      <w:marTop w:val="0"/>
      <w:marBottom w:val="0"/>
      <w:divBdr>
        <w:top w:val="none" w:sz="0" w:space="0" w:color="auto"/>
        <w:left w:val="none" w:sz="0" w:space="0" w:color="auto"/>
        <w:bottom w:val="none" w:sz="0" w:space="0" w:color="auto"/>
        <w:right w:val="none" w:sz="0" w:space="0" w:color="auto"/>
      </w:divBdr>
    </w:div>
    <w:div w:id="1041325652">
      <w:bodyDiv w:val="1"/>
      <w:marLeft w:val="0"/>
      <w:marRight w:val="0"/>
      <w:marTop w:val="0"/>
      <w:marBottom w:val="0"/>
      <w:divBdr>
        <w:top w:val="none" w:sz="0" w:space="0" w:color="auto"/>
        <w:left w:val="none" w:sz="0" w:space="0" w:color="auto"/>
        <w:bottom w:val="none" w:sz="0" w:space="0" w:color="auto"/>
        <w:right w:val="none" w:sz="0" w:space="0" w:color="auto"/>
      </w:divBdr>
    </w:div>
    <w:div w:id="1213274694">
      <w:bodyDiv w:val="1"/>
      <w:marLeft w:val="0"/>
      <w:marRight w:val="0"/>
      <w:marTop w:val="0"/>
      <w:marBottom w:val="0"/>
      <w:divBdr>
        <w:top w:val="none" w:sz="0" w:space="0" w:color="auto"/>
        <w:left w:val="none" w:sz="0" w:space="0" w:color="auto"/>
        <w:bottom w:val="none" w:sz="0" w:space="0" w:color="auto"/>
        <w:right w:val="none" w:sz="0" w:space="0" w:color="auto"/>
      </w:divBdr>
    </w:div>
    <w:div w:id="1279146329">
      <w:bodyDiv w:val="1"/>
      <w:marLeft w:val="0"/>
      <w:marRight w:val="0"/>
      <w:marTop w:val="0"/>
      <w:marBottom w:val="0"/>
      <w:divBdr>
        <w:top w:val="none" w:sz="0" w:space="0" w:color="auto"/>
        <w:left w:val="none" w:sz="0" w:space="0" w:color="auto"/>
        <w:bottom w:val="none" w:sz="0" w:space="0" w:color="auto"/>
        <w:right w:val="none" w:sz="0" w:space="0" w:color="auto"/>
      </w:divBdr>
    </w:div>
    <w:div w:id="1326975164">
      <w:bodyDiv w:val="1"/>
      <w:marLeft w:val="0"/>
      <w:marRight w:val="0"/>
      <w:marTop w:val="0"/>
      <w:marBottom w:val="0"/>
      <w:divBdr>
        <w:top w:val="none" w:sz="0" w:space="0" w:color="auto"/>
        <w:left w:val="none" w:sz="0" w:space="0" w:color="auto"/>
        <w:bottom w:val="none" w:sz="0" w:space="0" w:color="auto"/>
        <w:right w:val="none" w:sz="0" w:space="0" w:color="auto"/>
      </w:divBdr>
    </w:div>
    <w:div w:id="1350260063">
      <w:bodyDiv w:val="1"/>
      <w:marLeft w:val="0"/>
      <w:marRight w:val="0"/>
      <w:marTop w:val="0"/>
      <w:marBottom w:val="0"/>
      <w:divBdr>
        <w:top w:val="none" w:sz="0" w:space="0" w:color="auto"/>
        <w:left w:val="none" w:sz="0" w:space="0" w:color="auto"/>
        <w:bottom w:val="none" w:sz="0" w:space="0" w:color="auto"/>
        <w:right w:val="none" w:sz="0" w:space="0" w:color="auto"/>
      </w:divBdr>
    </w:div>
    <w:div w:id="1520699200">
      <w:bodyDiv w:val="1"/>
      <w:marLeft w:val="0"/>
      <w:marRight w:val="0"/>
      <w:marTop w:val="0"/>
      <w:marBottom w:val="0"/>
      <w:divBdr>
        <w:top w:val="none" w:sz="0" w:space="0" w:color="auto"/>
        <w:left w:val="none" w:sz="0" w:space="0" w:color="auto"/>
        <w:bottom w:val="none" w:sz="0" w:space="0" w:color="auto"/>
        <w:right w:val="none" w:sz="0" w:space="0" w:color="auto"/>
      </w:divBdr>
    </w:div>
    <w:div w:id="1619139859">
      <w:bodyDiv w:val="1"/>
      <w:marLeft w:val="0"/>
      <w:marRight w:val="0"/>
      <w:marTop w:val="0"/>
      <w:marBottom w:val="0"/>
      <w:divBdr>
        <w:top w:val="none" w:sz="0" w:space="0" w:color="auto"/>
        <w:left w:val="none" w:sz="0" w:space="0" w:color="auto"/>
        <w:bottom w:val="none" w:sz="0" w:space="0" w:color="auto"/>
        <w:right w:val="none" w:sz="0" w:space="0" w:color="auto"/>
      </w:divBdr>
    </w:div>
    <w:div w:id="1738816452">
      <w:bodyDiv w:val="1"/>
      <w:marLeft w:val="0"/>
      <w:marRight w:val="0"/>
      <w:marTop w:val="0"/>
      <w:marBottom w:val="0"/>
      <w:divBdr>
        <w:top w:val="none" w:sz="0" w:space="0" w:color="auto"/>
        <w:left w:val="none" w:sz="0" w:space="0" w:color="auto"/>
        <w:bottom w:val="none" w:sz="0" w:space="0" w:color="auto"/>
        <w:right w:val="none" w:sz="0" w:space="0" w:color="auto"/>
      </w:divBdr>
    </w:div>
    <w:div w:id="1861235417">
      <w:bodyDiv w:val="1"/>
      <w:marLeft w:val="0"/>
      <w:marRight w:val="0"/>
      <w:marTop w:val="0"/>
      <w:marBottom w:val="0"/>
      <w:divBdr>
        <w:top w:val="none" w:sz="0" w:space="0" w:color="auto"/>
        <w:left w:val="none" w:sz="0" w:space="0" w:color="auto"/>
        <w:bottom w:val="none" w:sz="0" w:space="0" w:color="auto"/>
        <w:right w:val="none" w:sz="0" w:space="0" w:color="auto"/>
      </w:divBdr>
    </w:div>
    <w:div w:id="1977445378">
      <w:bodyDiv w:val="1"/>
      <w:marLeft w:val="0"/>
      <w:marRight w:val="0"/>
      <w:marTop w:val="0"/>
      <w:marBottom w:val="0"/>
      <w:divBdr>
        <w:top w:val="none" w:sz="0" w:space="0" w:color="auto"/>
        <w:left w:val="none" w:sz="0" w:space="0" w:color="auto"/>
        <w:bottom w:val="none" w:sz="0" w:space="0" w:color="auto"/>
        <w:right w:val="none" w:sz="0" w:space="0" w:color="auto"/>
      </w:divBdr>
    </w:div>
    <w:div w:id="2028485535">
      <w:bodyDiv w:val="1"/>
      <w:marLeft w:val="0"/>
      <w:marRight w:val="0"/>
      <w:marTop w:val="0"/>
      <w:marBottom w:val="0"/>
      <w:divBdr>
        <w:top w:val="none" w:sz="0" w:space="0" w:color="auto"/>
        <w:left w:val="none" w:sz="0" w:space="0" w:color="auto"/>
        <w:bottom w:val="none" w:sz="0" w:space="0" w:color="auto"/>
        <w:right w:val="none" w:sz="0" w:space="0" w:color="auto"/>
      </w:divBdr>
    </w:div>
    <w:div w:id="214029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gorbraga1@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3B534-9414-488D-A065-71FA43B13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53775</Words>
  <Characters>306523</Characters>
  <Application>Microsoft Office Word</Application>
  <DocSecurity>0</DocSecurity>
  <Lines>2554</Lines>
  <Paragraphs>719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359579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Rocha</dc:creator>
  <cp:keywords/>
  <dc:description/>
  <cp:lastModifiedBy>HP</cp:lastModifiedBy>
  <cp:revision>3</cp:revision>
  <cp:lastPrinted>2017-09-26T21:29:00Z</cp:lastPrinted>
  <dcterms:created xsi:type="dcterms:W3CDTF">2019-09-11T06:38:00Z</dcterms:created>
  <dcterms:modified xsi:type="dcterms:W3CDTF">2019-09-11T06:38:00Z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17th edition (full note)</vt:lpwstr>
  </property>
  <property fmtid="{D5CDD505-2E9C-101B-9397-08002B2CF9AE}" pid="6" name="Mendeley Recent Style Id 2_1">
    <vt:lpwstr>http://www.zotero.org/styles/endoscopy</vt:lpwstr>
  </property>
  <property fmtid="{D5CDD505-2E9C-101B-9397-08002B2CF9AE}" pid="7" name="Mendeley Recent Style Name 2_1">
    <vt:lpwstr>Endoscopy</vt:lpwstr>
  </property>
  <property fmtid="{D5CDD505-2E9C-101B-9397-08002B2CF9AE}" pid="8" name="Mendeley Recent Style Id 3_1">
    <vt:lpwstr>http://www.zotero.org/styles/endoscopy-international-open</vt:lpwstr>
  </property>
  <property fmtid="{D5CDD505-2E9C-101B-9397-08002B2CF9AE}" pid="9" name="Mendeley Recent Style Name 3_1">
    <vt:lpwstr>Endoscopy International Open</vt:lpwstr>
  </property>
  <property fmtid="{D5CDD505-2E9C-101B-9397-08002B2CF9AE}" pid="10" name="Mendeley Recent Style Id 4_1">
    <vt:lpwstr>http://www.zotero.org/styles/gastrointestinal-endoscopy</vt:lpwstr>
  </property>
  <property fmtid="{D5CDD505-2E9C-101B-9397-08002B2CF9AE}" pid="11" name="Mendeley Recent Style Name 4_1">
    <vt:lpwstr>Gastrointestinal Endoscopy</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http://www.zotero.org/styles/nature-no-et-al</vt:lpwstr>
  </property>
  <property fmtid="{D5CDD505-2E9C-101B-9397-08002B2CF9AE}" pid="15" name="Mendeley Recent Style Name 6_1">
    <vt:lpwstr>Nature (no "et al.")</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