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BA4E2" w14:textId="76493143" w:rsidR="00AA1A4C" w:rsidRPr="003610D2" w:rsidRDefault="00F52E2C" w:rsidP="00F61D5F">
      <w:pPr>
        <w:adjustRightInd w:val="0"/>
        <w:snapToGrid w:val="0"/>
        <w:spacing w:after="0" w:line="360" w:lineRule="auto"/>
        <w:jc w:val="both"/>
        <w:rPr>
          <w:rFonts w:ascii="Book Antiqua" w:hAnsi="Book Antiqua"/>
          <w:b/>
          <w:i/>
          <w:iCs/>
          <w:sz w:val="24"/>
          <w:szCs w:val="24"/>
        </w:rPr>
      </w:pPr>
      <w:r w:rsidRPr="003610D2">
        <w:rPr>
          <w:rFonts w:ascii="Book Antiqua" w:hAnsi="Book Antiqua"/>
          <w:b/>
          <w:sz w:val="24"/>
          <w:szCs w:val="24"/>
        </w:rPr>
        <w:t>Name of Journal:</w:t>
      </w:r>
      <w:r w:rsidR="00931A89" w:rsidRPr="003610D2">
        <w:rPr>
          <w:rFonts w:ascii="Book Antiqua" w:hAnsi="Book Antiqua"/>
          <w:b/>
          <w:sz w:val="24"/>
          <w:szCs w:val="24"/>
        </w:rPr>
        <w:t xml:space="preserve"> </w:t>
      </w:r>
      <w:r w:rsidR="00931A89" w:rsidRPr="003610D2">
        <w:rPr>
          <w:rFonts w:ascii="Book Antiqua" w:hAnsi="Book Antiqua"/>
          <w:b/>
          <w:i/>
          <w:iCs/>
          <w:sz w:val="24"/>
          <w:szCs w:val="24"/>
        </w:rPr>
        <w:t>World Journal of Hepatology</w:t>
      </w:r>
    </w:p>
    <w:p w14:paraId="70F3CFE6" w14:textId="157CA298" w:rsidR="00CF0996" w:rsidRPr="003610D2" w:rsidRDefault="00CF0996" w:rsidP="00F61D5F">
      <w:pPr>
        <w:adjustRightInd w:val="0"/>
        <w:snapToGrid w:val="0"/>
        <w:spacing w:after="0" w:line="360" w:lineRule="auto"/>
        <w:jc w:val="both"/>
        <w:rPr>
          <w:rFonts w:ascii="Book Antiqua" w:hAnsi="Book Antiqua"/>
          <w:b/>
          <w:sz w:val="24"/>
          <w:szCs w:val="24"/>
        </w:rPr>
      </w:pPr>
      <w:r w:rsidRPr="003610D2">
        <w:rPr>
          <w:rFonts w:ascii="Book Antiqua" w:eastAsia="Times New Roman" w:hAnsi="Book Antiqua" w:cs="SimSun"/>
          <w:b/>
          <w:color w:val="000000"/>
          <w:sz w:val="24"/>
          <w:szCs w:val="24"/>
          <w:lang w:eastAsia="zh-CN"/>
        </w:rPr>
        <w:t>Manuscript NO</w:t>
      </w:r>
      <w:r w:rsidRPr="003610D2">
        <w:rPr>
          <w:rFonts w:ascii="Book Antiqua" w:eastAsia="SimSun" w:hAnsi="Book Antiqua" w:cs="Arial"/>
          <w:b/>
          <w:color w:val="000000"/>
          <w:sz w:val="24"/>
          <w:szCs w:val="24"/>
          <w:lang w:val="en" w:eastAsia="zh-CN"/>
        </w:rPr>
        <w:t>: 49644</w:t>
      </w:r>
    </w:p>
    <w:p w14:paraId="35F0A6F2" w14:textId="0240B96F" w:rsidR="00F52E2C" w:rsidRPr="003610D2" w:rsidRDefault="00F52E2C"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Manuscript Type:</w:t>
      </w:r>
      <w:r w:rsidR="00CF0996" w:rsidRPr="003610D2">
        <w:rPr>
          <w:rFonts w:ascii="Book Antiqua" w:hAnsi="Book Antiqua"/>
          <w:b/>
          <w:sz w:val="24"/>
          <w:szCs w:val="24"/>
        </w:rPr>
        <w:t xml:space="preserve"> ORIGINAL ARTICLE</w:t>
      </w:r>
    </w:p>
    <w:p w14:paraId="081690A6" w14:textId="77777777" w:rsidR="00CF0996" w:rsidRPr="003610D2" w:rsidRDefault="00CF0996" w:rsidP="00F61D5F">
      <w:pPr>
        <w:adjustRightInd w:val="0"/>
        <w:snapToGrid w:val="0"/>
        <w:spacing w:after="0" w:line="360" w:lineRule="auto"/>
        <w:jc w:val="both"/>
        <w:rPr>
          <w:rFonts w:ascii="Book Antiqua" w:hAnsi="Book Antiqua"/>
          <w:b/>
          <w:sz w:val="24"/>
          <w:szCs w:val="24"/>
        </w:rPr>
      </w:pPr>
    </w:p>
    <w:p w14:paraId="28A7CA6B" w14:textId="7D683B4B" w:rsidR="00DE5AC4" w:rsidRPr="003610D2" w:rsidRDefault="00CF0996" w:rsidP="00F61D5F">
      <w:pPr>
        <w:adjustRightInd w:val="0"/>
        <w:snapToGrid w:val="0"/>
        <w:spacing w:after="0" w:line="360" w:lineRule="auto"/>
        <w:jc w:val="both"/>
        <w:rPr>
          <w:rFonts w:ascii="Book Antiqua" w:hAnsi="Book Antiqua"/>
          <w:b/>
          <w:bCs/>
          <w:i/>
          <w:iCs/>
          <w:sz w:val="24"/>
          <w:szCs w:val="24"/>
          <w:u w:val="single"/>
        </w:rPr>
      </w:pPr>
      <w:r w:rsidRPr="003610D2">
        <w:rPr>
          <w:rFonts w:ascii="Book Antiqua" w:hAnsi="Book Antiqua"/>
          <w:b/>
          <w:bCs/>
          <w:i/>
          <w:iCs/>
          <w:sz w:val="24"/>
          <w:szCs w:val="24"/>
        </w:rPr>
        <w:t>Observational Study</w:t>
      </w:r>
    </w:p>
    <w:p w14:paraId="6CC223ED" w14:textId="7A5CD529" w:rsidR="00446B47" w:rsidRPr="003610D2" w:rsidRDefault="00E0352D" w:rsidP="00F61D5F">
      <w:pPr>
        <w:adjustRightInd w:val="0"/>
        <w:snapToGrid w:val="0"/>
        <w:spacing w:after="0" w:line="360" w:lineRule="auto"/>
        <w:jc w:val="both"/>
        <w:rPr>
          <w:rFonts w:ascii="Book Antiqua" w:hAnsi="Book Antiqua"/>
          <w:b/>
          <w:bCs/>
          <w:sz w:val="24"/>
          <w:szCs w:val="24"/>
        </w:rPr>
      </w:pPr>
      <w:r w:rsidRPr="003610D2">
        <w:rPr>
          <w:rFonts w:ascii="Book Antiqua" w:hAnsi="Book Antiqua"/>
          <w:b/>
          <w:bCs/>
          <w:sz w:val="24"/>
          <w:szCs w:val="24"/>
        </w:rPr>
        <w:t>L</w:t>
      </w:r>
      <w:r w:rsidR="00CF0996" w:rsidRPr="003610D2">
        <w:rPr>
          <w:rFonts w:ascii="Book Antiqua" w:hAnsi="Book Antiqua"/>
          <w:b/>
          <w:bCs/>
          <w:sz w:val="24"/>
          <w:szCs w:val="24"/>
        </w:rPr>
        <w:t>umacaftor/ivacaftor therapy is associated with reduced hepatic steatosis in cystic fibrosis patients</w:t>
      </w:r>
      <w:r w:rsidR="00446B47" w:rsidRPr="003610D2">
        <w:rPr>
          <w:rFonts w:ascii="Book Antiqua" w:hAnsi="Book Antiqua"/>
          <w:b/>
          <w:bCs/>
          <w:sz w:val="24"/>
          <w:szCs w:val="24"/>
        </w:rPr>
        <w:t xml:space="preserve"> </w:t>
      </w:r>
    </w:p>
    <w:p w14:paraId="4A9A6777" w14:textId="1A3D70E1" w:rsidR="00E0352D" w:rsidRPr="003610D2" w:rsidRDefault="00E0352D" w:rsidP="00F61D5F">
      <w:pPr>
        <w:adjustRightInd w:val="0"/>
        <w:snapToGrid w:val="0"/>
        <w:spacing w:after="0" w:line="360" w:lineRule="auto"/>
        <w:jc w:val="both"/>
        <w:rPr>
          <w:rFonts w:ascii="Book Antiqua" w:hAnsi="Book Antiqua"/>
          <w:sz w:val="24"/>
          <w:szCs w:val="24"/>
        </w:rPr>
      </w:pPr>
    </w:p>
    <w:p w14:paraId="3421C97A" w14:textId="02B085AF" w:rsidR="002F03DD" w:rsidRPr="003610D2" w:rsidRDefault="00CF0996" w:rsidP="00F61D5F">
      <w:pPr>
        <w:pStyle w:val="1"/>
        <w:adjustRightInd w:val="0"/>
        <w:snapToGrid w:val="0"/>
        <w:spacing w:line="360" w:lineRule="auto"/>
        <w:jc w:val="both"/>
        <w:rPr>
          <w:rFonts w:ascii="Book Antiqua" w:eastAsiaTheme="minorEastAsia" w:hAnsi="Book Antiqua" w:cstheme="minorBidi"/>
          <w:color w:val="auto"/>
          <w:sz w:val="24"/>
          <w:szCs w:val="24"/>
          <w:lang w:val="en-US" w:eastAsia="en-US"/>
        </w:rPr>
      </w:pPr>
      <w:bookmarkStart w:id="0" w:name="OLE_LINK116"/>
      <w:bookmarkStart w:id="1" w:name="OLE_LINK217"/>
      <w:bookmarkStart w:id="2" w:name="OLE_LINK266"/>
      <w:bookmarkStart w:id="3" w:name="OLE_LINK766"/>
      <w:bookmarkStart w:id="4" w:name="OLE_LINK791"/>
      <w:bookmarkStart w:id="5" w:name="OLE_LINK864"/>
      <w:r w:rsidRPr="003610D2">
        <w:rPr>
          <w:rFonts w:ascii="Book Antiqua" w:hAnsi="Book Antiqua"/>
          <w:sz w:val="24"/>
          <w:szCs w:val="24"/>
        </w:rPr>
        <w:t xml:space="preserve">Kutney K </w:t>
      </w:r>
      <w:r w:rsidRPr="003610D2">
        <w:rPr>
          <w:rFonts w:ascii="Book Antiqua" w:hAnsi="Book Antiqua"/>
          <w:i/>
          <w:iCs/>
          <w:sz w:val="24"/>
          <w:szCs w:val="24"/>
        </w:rPr>
        <w:t>et al</w:t>
      </w:r>
      <w:r w:rsidRPr="003610D2">
        <w:rPr>
          <w:rFonts w:ascii="Book Antiqua" w:hAnsi="Book Antiqua"/>
          <w:sz w:val="24"/>
          <w:szCs w:val="24"/>
        </w:rPr>
        <w:t>.</w:t>
      </w:r>
      <w:r w:rsidR="002F03DD" w:rsidRPr="003610D2">
        <w:rPr>
          <w:rFonts w:ascii="Book Antiqua" w:hAnsi="Book Antiqua" w:cs="Times New Roman"/>
          <w:color w:val="auto"/>
          <w:sz w:val="24"/>
          <w:szCs w:val="24"/>
          <w:highlight w:val="white"/>
          <w:lang w:val="en-US" w:eastAsia="zh-CN"/>
        </w:rPr>
        <w:t xml:space="preserve"> </w:t>
      </w:r>
      <w:r w:rsidR="00AD39CF" w:rsidRPr="003610D2">
        <w:rPr>
          <w:rFonts w:ascii="Book Antiqua" w:hAnsi="Book Antiqua" w:cs="Times New Roman"/>
          <w:color w:val="auto"/>
          <w:sz w:val="24"/>
          <w:szCs w:val="24"/>
          <w:highlight w:val="white"/>
          <w:lang w:val="en-US" w:eastAsia="zh-CN"/>
        </w:rPr>
        <w:t>H</w:t>
      </w:r>
      <w:r w:rsidRPr="003610D2">
        <w:rPr>
          <w:rFonts w:ascii="Book Antiqua" w:hAnsi="Book Antiqua" w:cs="Times New Roman"/>
          <w:color w:val="auto"/>
          <w:sz w:val="24"/>
          <w:szCs w:val="24"/>
          <w:highlight w:val="white"/>
          <w:lang w:val="en-US" w:eastAsia="zh-CN"/>
        </w:rPr>
        <w:t>epatic steatosis in cystic fibrosis</w:t>
      </w:r>
      <w:bookmarkEnd w:id="0"/>
    </w:p>
    <w:bookmarkEnd w:id="1"/>
    <w:bookmarkEnd w:id="2"/>
    <w:bookmarkEnd w:id="3"/>
    <w:bookmarkEnd w:id="4"/>
    <w:bookmarkEnd w:id="5"/>
    <w:p w14:paraId="4220318B" w14:textId="77777777" w:rsidR="002F03DD" w:rsidRPr="003610D2" w:rsidRDefault="002F03DD" w:rsidP="00F61D5F">
      <w:pPr>
        <w:adjustRightInd w:val="0"/>
        <w:snapToGrid w:val="0"/>
        <w:spacing w:after="0" w:line="360" w:lineRule="auto"/>
        <w:jc w:val="both"/>
        <w:rPr>
          <w:rFonts w:ascii="Book Antiqua" w:hAnsi="Book Antiqua"/>
          <w:sz w:val="24"/>
          <w:szCs w:val="24"/>
        </w:rPr>
      </w:pPr>
    </w:p>
    <w:p w14:paraId="7AD343A6" w14:textId="1064F081" w:rsidR="00445AA9" w:rsidRPr="003610D2" w:rsidRDefault="00445AA9" w:rsidP="00F61D5F">
      <w:pPr>
        <w:adjustRightInd w:val="0"/>
        <w:snapToGrid w:val="0"/>
        <w:spacing w:after="0" w:line="360" w:lineRule="auto"/>
        <w:jc w:val="both"/>
        <w:rPr>
          <w:rFonts w:ascii="Book Antiqua" w:hAnsi="Book Antiqua"/>
          <w:sz w:val="24"/>
          <w:szCs w:val="24"/>
          <w:vertAlign w:val="superscript"/>
        </w:rPr>
      </w:pPr>
      <w:r w:rsidRPr="003610D2">
        <w:rPr>
          <w:rFonts w:ascii="Book Antiqua" w:hAnsi="Book Antiqua"/>
          <w:sz w:val="24"/>
          <w:szCs w:val="24"/>
        </w:rPr>
        <w:t xml:space="preserve">Katherine </w:t>
      </w:r>
      <w:proofErr w:type="spellStart"/>
      <w:r w:rsidRPr="003610D2">
        <w:rPr>
          <w:rFonts w:ascii="Book Antiqua" w:hAnsi="Book Antiqua"/>
          <w:sz w:val="24"/>
          <w:szCs w:val="24"/>
        </w:rPr>
        <w:t>Kutney</w:t>
      </w:r>
      <w:proofErr w:type="spellEnd"/>
      <w:r w:rsidRPr="003610D2">
        <w:rPr>
          <w:rFonts w:ascii="Book Antiqua" w:hAnsi="Book Antiqua"/>
          <w:sz w:val="24"/>
          <w:szCs w:val="24"/>
        </w:rPr>
        <w:t xml:space="preserve">, Shannon B </w:t>
      </w:r>
      <w:proofErr w:type="spellStart"/>
      <w:r w:rsidRPr="003610D2">
        <w:rPr>
          <w:rFonts w:ascii="Book Antiqua" w:hAnsi="Book Antiqua"/>
          <w:sz w:val="24"/>
          <w:szCs w:val="24"/>
        </w:rPr>
        <w:t>Donnola</w:t>
      </w:r>
      <w:proofErr w:type="spellEnd"/>
      <w:r w:rsidRPr="003610D2">
        <w:rPr>
          <w:rFonts w:ascii="Book Antiqua" w:hAnsi="Book Antiqua"/>
          <w:sz w:val="24"/>
          <w:szCs w:val="24"/>
        </w:rPr>
        <w:t xml:space="preserve">, </w:t>
      </w:r>
      <w:r w:rsidR="00CF0996" w:rsidRPr="003610D2">
        <w:rPr>
          <w:rFonts w:ascii="Book Antiqua" w:hAnsi="Book Antiqua"/>
          <w:sz w:val="24"/>
          <w:szCs w:val="24"/>
        </w:rPr>
        <w:t>Chris A Flask</w:t>
      </w:r>
      <w:r w:rsidRPr="003610D2">
        <w:rPr>
          <w:rFonts w:ascii="Book Antiqua" w:hAnsi="Book Antiqua"/>
          <w:sz w:val="24"/>
          <w:szCs w:val="24"/>
        </w:rPr>
        <w:t xml:space="preserve">, Rose </w:t>
      </w:r>
      <w:proofErr w:type="spellStart"/>
      <w:r w:rsidRPr="003610D2">
        <w:rPr>
          <w:rFonts w:ascii="Book Antiqua" w:hAnsi="Book Antiqua"/>
          <w:sz w:val="24"/>
          <w:szCs w:val="24"/>
        </w:rPr>
        <w:t>Gubitosi</w:t>
      </w:r>
      <w:proofErr w:type="spellEnd"/>
      <w:r w:rsidRPr="003610D2">
        <w:rPr>
          <w:rFonts w:ascii="Book Antiqua" w:hAnsi="Book Antiqua"/>
          <w:sz w:val="24"/>
          <w:szCs w:val="24"/>
        </w:rPr>
        <w:t xml:space="preserve">-Klug, MaryAnn </w:t>
      </w:r>
      <w:proofErr w:type="spellStart"/>
      <w:r w:rsidRPr="003610D2">
        <w:rPr>
          <w:rFonts w:ascii="Book Antiqua" w:hAnsi="Book Antiqua"/>
          <w:sz w:val="24"/>
          <w:szCs w:val="24"/>
        </w:rPr>
        <w:t>O’Riordan</w:t>
      </w:r>
      <w:proofErr w:type="spellEnd"/>
      <w:r w:rsidRPr="003610D2">
        <w:rPr>
          <w:rFonts w:ascii="Book Antiqua" w:hAnsi="Book Antiqua"/>
          <w:sz w:val="24"/>
          <w:szCs w:val="24"/>
        </w:rPr>
        <w:t xml:space="preserve">, Kimberly </w:t>
      </w:r>
      <w:proofErr w:type="spellStart"/>
      <w:r w:rsidRPr="003610D2">
        <w:rPr>
          <w:rFonts w:ascii="Book Antiqua" w:hAnsi="Book Antiqua"/>
          <w:sz w:val="24"/>
          <w:szCs w:val="24"/>
        </w:rPr>
        <w:t>McBennett</w:t>
      </w:r>
      <w:proofErr w:type="spellEnd"/>
      <w:r w:rsidRPr="003610D2">
        <w:rPr>
          <w:rFonts w:ascii="Book Antiqua" w:hAnsi="Book Antiqua"/>
          <w:sz w:val="24"/>
          <w:szCs w:val="24"/>
        </w:rPr>
        <w:t xml:space="preserve">, </w:t>
      </w:r>
      <w:r w:rsidR="00CF0996" w:rsidRPr="003610D2">
        <w:rPr>
          <w:rFonts w:ascii="Book Antiqua" w:hAnsi="Book Antiqua"/>
          <w:sz w:val="24"/>
          <w:szCs w:val="24"/>
        </w:rPr>
        <w:t xml:space="preserve">Thomas J </w:t>
      </w:r>
      <w:proofErr w:type="spellStart"/>
      <w:r w:rsidR="00CF0996" w:rsidRPr="003610D2">
        <w:rPr>
          <w:rFonts w:ascii="Book Antiqua" w:hAnsi="Book Antiqua"/>
          <w:sz w:val="24"/>
          <w:szCs w:val="24"/>
        </w:rPr>
        <w:t>Sferra</w:t>
      </w:r>
      <w:proofErr w:type="spellEnd"/>
      <w:r w:rsidRPr="003610D2">
        <w:rPr>
          <w:rFonts w:ascii="Book Antiqua" w:hAnsi="Book Antiqua"/>
          <w:sz w:val="24"/>
          <w:szCs w:val="24"/>
        </w:rPr>
        <w:t>,</w:t>
      </w:r>
      <w:r w:rsidR="00CF0996" w:rsidRPr="003610D2">
        <w:rPr>
          <w:rFonts w:ascii="Book Antiqua" w:hAnsi="Book Antiqua"/>
          <w:sz w:val="24"/>
          <w:szCs w:val="24"/>
        </w:rPr>
        <w:t xml:space="preserve"> </w:t>
      </w:r>
      <w:r w:rsidRPr="003610D2">
        <w:rPr>
          <w:rFonts w:ascii="Book Antiqua" w:hAnsi="Book Antiqua"/>
          <w:sz w:val="24"/>
          <w:szCs w:val="24"/>
        </w:rPr>
        <w:t>Beth Kaminski</w:t>
      </w:r>
    </w:p>
    <w:p w14:paraId="54470EA6" w14:textId="77777777" w:rsidR="00F52E2C" w:rsidRPr="003610D2" w:rsidRDefault="00F52E2C" w:rsidP="00F61D5F">
      <w:pPr>
        <w:adjustRightInd w:val="0"/>
        <w:snapToGrid w:val="0"/>
        <w:spacing w:after="0" w:line="360" w:lineRule="auto"/>
        <w:jc w:val="both"/>
        <w:rPr>
          <w:rFonts w:ascii="Book Antiqua" w:hAnsi="Book Antiqua"/>
          <w:sz w:val="24"/>
          <w:szCs w:val="24"/>
          <w:vertAlign w:val="superscript"/>
        </w:rPr>
      </w:pPr>
    </w:p>
    <w:p w14:paraId="1CF2E20D" w14:textId="3173E6D5" w:rsidR="00F52E2C" w:rsidRPr="003610D2" w:rsidRDefault="00F52E2C"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 xml:space="preserve">Katherine </w:t>
      </w:r>
      <w:proofErr w:type="spellStart"/>
      <w:r w:rsidRPr="003610D2">
        <w:rPr>
          <w:rFonts w:ascii="Book Antiqua" w:hAnsi="Book Antiqua"/>
          <w:b/>
          <w:sz w:val="24"/>
          <w:szCs w:val="24"/>
        </w:rPr>
        <w:t>Kutney</w:t>
      </w:r>
      <w:proofErr w:type="spellEnd"/>
      <w:r w:rsidRPr="003610D2">
        <w:rPr>
          <w:rFonts w:ascii="Book Antiqua" w:hAnsi="Book Antiqua"/>
          <w:b/>
          <w:sz w:val="24"/>
          <w:szCs w:val="24"/>
        </w:rPr>
        <w:t xml:space="preserve">, Rose </w:t>
      </w:r>
      <w:proofErr w:type="spellStart"/>
      <w:r w:rsidRPr="003610D2">
        <w:rPr>
          <w:rFonts w:ascii="Book Antiqua" w:hAnsi="Book Antiqua"/>
          <w:b/>
          <w:sz w:val="24"/>
          <w:szCs w:val="24"/>
        </w:rPr>
        <w:t>Gubitosi</w:t>
      </w:r>
      <w:proofErr w:type="spellEnd"/>
      <w:r w:rsidRPr="003610D2">
        <w:rPr>
          <w:rFonts w:ascii="Book Antiqua" w:hAnsi="Book Antiqua"/>
          <w:b/>
          <w:sz w:val="24"/>
          <w:szCs w:val="24"/>
        </w:rPr>
        <w:t xml:space="preserve">-Klug, MaryAnn </w:t>
      </w:r>
      <w:proofErr w:type="spellStart"/>
      <w:r w:rsidRPr="003610D2">
        <w:rPr>
          <w:rFonts w:ascii="Book Antiqua" w:hAnsi="Book Antiqua"/>
          <w:b/>
          <w:sz w:val="24"/>
          <w:szCs w:val="24"/>
        </w:rPr>
        <w:t>O’Riordan</w:t>
      </w:r>
      <w:proofErr w:type="spellEnd"/>
      <w:r w:rsidRPr="003610D2">
        <w:rPr>
          <w:rFonts w:ascii="Book Antiqua" w:hAnsi="Book Antiqua"/>
          <w:b/>
          <w:sz w:val="24"/>
          <w:szCs w:val="24"/>
        </w:rPr>
        <w:t xml:space="preserve">, Kimberly </w:t>
      </w:r>
      <w:proofErr w:type="spellStart"/>
      <w:r w:rsidRPr="003610D2">
        <w:rPr>
          <w:rFonts w:ascii="Book Antiqua" w:hAnsi="Book Antiqua"/>
          <w:b/>
          <w:sz w:val="24"/>
          <w:szCs w:val="24"/>
        </w:rPr>
        <w:t>McBennett</w:t>
      </w:r>
      <w:proofErr w:type="spellEnd"/>
      <w:r w:rsidRPr="003610D2">
        <w:rPr>
          <w:rFonts w:ascii="Book Antiqua" w:hAnsi="Book Antiqua"/>
          <w:b/>
          <w:sz w:val="24"/>
          <w:szCs w:val="24"/>
        </w:rPr>
        <w:t xml:space="preserve">, </w:t>
      </w:r>
      <w:r w:rsidR="00CF0996" w:rsidRPr="003610D2">
        <w:rPr>
          <w:rFonts w:ascii="Book Antiqua" w:hAnsi="Book Antiqua"/>
          <w:b/>
          <w:sz w:val="24"/>
          <w:szCs w:val="24"/>
        </w:rPr>
        <w:t xml:space="preserve">Thomas J </w:t>
      </w:r>
      <w:proofErr w:type="spellStart"/>
      <w:r w:rsidR="00CF0996" w:rsidRPr="003610D2">
        <w:rPr>
          <w:rFonts w:ascii="Book Antiqua" w:hAnsi="Book Antiqua"/>
          <w:b/>
          <w:sz w:val="24"/>
          <w:szCs w:val="24"/>
        </w:rPr>
        <w:t>Sferra</w:t>
      </w:r>
      <w:proofErr w:type="spellEnd"/>
      <w:r w:rsidRPr="003610D2">
        <w:rPr>
          <w:rFonts w:ascii="Book Antiqua" w:hAnsi="Book Antiqua"/>
          <w:b/>
          <w:sz w:val="24"/>
          <w:szCs w:val="24"/>
        </w:rPr>
        <w:t>, Beth Kaminski,</w:t>
      </w:r>
      <w:r w:rsidRPr="003610D2">
        <w:rPr>
          <w:rFonts w:ascii="Book Antiqua" w:hAnsi="Book Antiqua"/>
          <w:sz w:val="24"/>
          <w:szCs w:val="24"/>
        </w:rPr>
        <w:t xml:space="preserve"> </w:t>
      </w:r>
      <w:r w:rsidR="00CF0996" w:rsidRPr="003610D2">
        <w:rPr>
          <w:rFonts w:ascii="Book Antiqua" w:hAnsi="Book Antiqua"/>
          <w:sz w:val="24"/>
          <w:szCs w:val="24"/>
        </w:rPr>
        <w:t xml:space="preserve">Department of Pediatric Endocrinology, </w:t>
      </w:r>
      <w:r w:rsidRPr="003610D2">
        <w:rPr>
          <w:rFonts w:ascii="Book Antiqua" w:hAnsi="Book Antiqua"/>
          <w:sz w:val="24"/>
          <w:szCs w:val="24"/>
        </w:rPr>
        <w:t>University Hospitals Cleveland Medical Center</w:t>
      </w:r>
      <w:r w:rsidR="00CF0996" w:rsidRPr="003610D2">
        <w:rPr>
          <w:rFonts w:ascii="Book Antiqua" w:hAnsi="Book Antiqua"/>
          <w:sz w:val="24"/>
          <w:szCs w:val="24"/>
        </w:rPr>
        <w:t>,</w:t>
      </w:r>
      <w:r w:rsidRPr="003610D2">
        <w:rPr>
          <w:rFonts w:ascii="Book Antiqua" w:hAnsi="Book Antiqua"/>
          <w:sz w:val="24"/>
          <w:szCs w:val="24"/>
        </w:rPr>
        <w:t xml:space="preserve"> Cleveland, OH 44106</w:t>
      </w:r>
      <w:r w:rsidR="00CF0996" w:rsidRPr="003610D2">
        <w:rPr>
          <w:rFonts w:ascii="Book Antiqua" w:hAnsi="Book Antiqua"/>
          <w:sz w:val="24"/>
          <w:szCs w:val="24"/>
        </w:rPr>
        <w:t>, United States</w:t>
      </w:r>
    </w:p>
    <w:p w14:paraId="5DAE68B8"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7C7C8B2D" w14:textId="66D0AE4E" w:rsidR="00F52E2C" w:rsidRPr="003610D2" w:rsidRDefault="00CF0996"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 xml:space="preserve">Shannon B </w:t>
      </w:r>
      <w:proofErr w:type="spellStart"/>
      <w:r w:rsidRPr="003610D2">
        <w:rPr>
          <w:rFonts w:ascii="Book Antiqua" w:hAnsi="Book Antiqua"/>
          <w:b/>
          <w:sz w:val="24"/>
          <w:szCs w:val="24"/>
        </w:rPr>
        <w:t>Donnola</w:t>
      </w:r>
      <w:proofErr w:type="spellEnd"/>
      <w:r w:rsidR="00F52E2C" w:rsidRPr="003610D2">
        <w:rPr>
          <w:rFonts w:ascii="Book Antiqua" w:hAnsi="Book Antiqua"/>
          <w:b/>
          <w:sz w:val="24"/>
          <w:szCs w:val="24"/>
        </w:rPr>
        <w:t xml:space="preserve">, </w:t>
      </w:r>
      <w:r w:rsidRPr="003610D2">
        <w:rPr>
          <w:rFonts w:ascii="Book Antiqua" w:hAnsi="Book Antiqua"/>
          <w:b/>
          <w:sz w:val="24"/>
          <w:szCs w:val="24"/>
        </w:rPr>
        <w:t>Chris A Flask</w:t>
      </w:r>
      <w:r w:rsidR="00F52E2C" w:rsidRPr="003610D2">
        <w:rPr>
          <w:rFonts w:ascii="Book Antiqua" w:hAnsi="Book Antiqua"/>
          <w:sz w:val="24"/>
          <w:szCs w:val="24"/>
        </w:rPr>
        <w:t>, Department of Radiology Case Western Reserve University, Cleveland, OH 44106</w:t>
      </w:r>
      <w:r w:rsidRPr="003610D2">
        <w:rPr>
          <w:rFonts w:ascii="Book Antiqua" w:hAnsi="Book Antiqua"/>
          <w:sz w:val="24"/>
          <w:szCs w:val="24"/>
        </w:rPr>
        <w:t>, United States</w:t>
      </w:r>
    </w:p>
    <w:p w14:paraId="6EBBC904"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423B1ACE" w14:textId="638A0763" w:rsidR="00F52E2C" w:rsidRPr="003610D2" w:rsidRDefault="00CF0996"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Chris A Flask</w:t>
      </w:r>
      <w:r w:rsidR="00F52E2C" w:rsidRPr="003610D2">
        <w:rPr>
          <w:rFonts w:ascii="Book Antiqua" w:hAnsi="Book Antiqua"/>
          <w:sz w:val="24"/>
          <w:szCs w:val="24"/>
        </w:rPr>
        <w:t>, Department of Biomedical Engineering, Case Western Reserve University,</w:t>
      </w:r>
      <w:r w:rsidRPr="003610D2">
        <w:rPr>
          <w:rFonts w:ascii="Book Antiqua" w:hAnsi="Book Antiqua"/>
          <w:sz w:val="24"/>
          <w:szCs w:val="24"/>
        </w:rPr>
        <w:t xml:space="preserve"> </w:t>
      </w:r>
      <w:r w:rsidR="00F52E2C" w:rsidRPr="003610D2">
        <w:rPr>
          <w:rFonts w:ascii="Book Antiqua" w:hAnsi="Book Antiqua"/>
          <w:sz w:val="24"/>
          <w:szCs w:val="24"/>
        </w:rPr>
        <w:t>Cleveland, OH 44106</w:t>
      </w:r>
      <w:bookmarkStart w:id="6" w:name="OLE_LINK643"/>
      <w:bookmarkStart w:id="7" w:name="OLE_LINK644"/>
      <w:r w:rsidRPr="003610D2">
        <w:rPr>
          <w:rFonts w:ascii="Book Antiqua" w:hAnsi="Book Antiqua"/>
          <w:sz w:val="24"/>
          <w:szCs w:val="24"/>
        </w:rPr>
        <w:t>, United States</w:t>
      </w:r>
      <w:bookmarkEnd w:id="6"/>
      <w:bookmarkEnd w:id="7"/>
    </w:p>
    <w:p w14:paraId="414A48F7"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4C3064A9" w14:textId="4116339E" w:rsidR="00F52E2C" w:rsidRPr="003610D2" w:rsidRDefault="00F52E2C"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 xml:space="preserve">Katherine </w:t>
      </w:r>
      <w:proofErr w:type="spellStart"/>
      <w:r w:rsidRPr="003610D2">
        <w:rPr>
          <w:rFonts w:ascii="Book Antiqua" w:hAnsi="Book Antiqua"/>
          <w:b/>
          <w:sz w:val="24"/>
          <w:szCs w:val="24"/>
        </w:rPr>
        <w:t>Kutney</w:t>
      </w:r>
      <w:proofErr w:type="spellEnd"/>
      <w:r w:rsidRPr="003610D2">
        <w:rPr>
          <w:rFonts w:ascii="Book Antiqua" w:hAnsi="Book Antiqua"/>
          <w:b/>
          <w:sz w:val="24"/>
          <w:szCs w:val="24"/>
        </w:rPr>
        <w:t xml:space="preserve">, </w:t>
      </w:r>
      <w:r w:rsidR="00CF0996" w:rsidRPr="003610D2">
        <w:rPr>
          <w:rFonts w:ascii="Book Antiqua" w:hAnsi="Book Antiqua"/>
          <w:b/>
          <w:sz w:val="24"/>
          <w:szCs w:val="24"/>
        </w:rPr>
        <w:t>Chris A Flask</w:t>
      </w:r>
      <w:r w:rsidR="00331E8F" w:rsidRPr="003610D2">
        <w:rPr>
          <w:rFonts w:ascii="Book Antiqua" w:hAnsi="Book Antiqua"/>
          <w:b/>
          <w:sz w:val="24"/>
          <w:szCs w:val="24"/>
        </w:rPr>
        <w:t xml:space="preserve">, </w:t>
      </w:r>
      <w:r w:rsidRPr="003610D2">
        <w:rPr>
          <w:rFonts w:ascii="Book Antiqua" w:hAnsi="Book Antiqua"/>
          <w:b/>
          <w:sz w:val="24"/>
          <w:szCs w:val="24"/>
        </w:rPr>
        <w:t xml:space="preserve">Rose </w:t>
      </w:r>
      <w:proofErr w:type="spellStart"/>
      <w:r w:rsidRPr="003610D2">
        <w:rPr>
          <w:rFonts w:ascii="Book Antiqua" w:hAnsi="Book Antiqua"/>
          <w:b/>
          <w:sz w:val="24"/>
          <w:szCs w:val="24"/>
        </w:rPr>
        <w:t>Gubitosi</w:t>
      </w:r>
      <w:proofErr w:type="spellEnd"/>
      <w:r w:rsidRPr="003610D2">
        <w:rPr>
          <w:rFonts w:ascii="Book Antiqua" w:hAnsi="Book Antiqua"/>
          <w:b/>
          <w:sz w:val="24"/>
          <w:szCs w:val="24"/>
        </w:rPr>
        <w:t xml:space="preserve">-Klug, MaryAnn </w:t>
      </w:r>
      <w:proofErr w:type="spellStart"/>
      <w:r w:rsidRPr="003610D2">
        <w:rPr>
          <w:rFonts w:ascii="Book Antiqua" w:hAnsi="Book Antiqua"/>
          <w:b/>
          <w:sz w:val="24"/>
          <w:szCs w:val="24"/>
        </w:rPr>
        <w:t>O’Riordan</w:t>
      </w:r>
      <w:proofErr w:type="spellEnd"/>
      <w:r w:rsidRPr="003610D2">
        <w:rPr>
          <w:rFonts w:ascii="Book Antiqua" w:hAnsi="Book Antiqua"/>
          <w:b/>
          <w:sz w:val="24"/>
          <w:szCs w:val="24"/>
        </w:rPr>
        <w:t xml:space="preserve">, Kimberly </w:t>
      </w:r>
      <w:proofErr w:type="spellStart"/>
      <w:r w:rsidRPr="003610D2">
        <w:rPr>
          <w:rFonts w:ascii="Book Antiqua" w:hAnsi="Book Antiqua"/>
          <w:b/>
          <w:sz w:val="24"/>
          <w:szCs w:val="24"/>
        </w:rPr>
        <w:t>McBennett</w:t>
      </w:r>
      <w:proofErr w:type="spellEnd"/>
      <w:r w:rsidRPr="003610D2">
        <w:rPr>
          <w:rFonts w:ascii="Book Antiqua" w:hAnsi="Book Antiqua"/>
          <w:b/>
          <w:sz w:val="24"/>
          <w:szCs w:val="24"/>
        </w:rPr>
        <w:t xml:space="preserve">, </w:t>
      </w:r>
      <w:r w:rsidR="00CF0996" w:rsidRPr="003610D2">
        <w:rPr>
          <w:rFonts w:ascii="Book Antiqua" w:hAnsi="Book Antiqua"/>
          <w:b/>
          <w:sz w:val="24"/>
          <w:szCs w:val="24"/>
        </w:rPr>
        <w:t xml:space="preserve">Thomas J </w:t>
      </w:r>
      <w:proofErr w:type="spellStart"/>
      <w:r w:rsidR="00CF0996" w:rsidRPr="003610D2">
        <w:rPr>
          <w:rFonts w:ascii="Book Antiqua" w:hAnsi="Book Antiqua"/>
          <w:b/>
          <w:sz w:val="24"/>
          <w:szCs w:val="24"/>
        </w:rPr>
        <w:t>Sferra</w:t>
      </w:r>
      <w:proofErr w:type="spellEnd"/>
      <w:r w:rsidRPr="003610D2">
        <w:rPr>
          <w:rFonts w:ascii="Book Antiqua" w:hAnsi="Book Antiqua"/>
          <w:b/>
          <w:sz w:val="24"/>
          <w:szCs w:val="24"/>
        </w:rPr>
        <w:t>, Beth Kaminski</w:t>
      </w:r>
      <w:r w:rsidRPr="003610D2">
        <w:rPr>
          <w:rFonts w:ascii="Book Antiqua" w:hAnsi="Book Antiqua"/>
          <w:sz w:val="24"/>
          <w:szCs w:val="24"/>
        </w:rPr>
        <w:t>, Department of Pediatrics, Case Western Reserve University, Cleveland, OH 44106</w:t>
      </w:r>
      <w:r w:rsidR="00CF0996" w:rsidRPr="003610D2">
        <w:rPr>
          <w:rFonts w:ascii="Book Antiqua" w:hAnsi="Book Antiqua"/>
          <w:sz w:val="24"/>
          <w:szCs w:val="24"/>
        </w:rPr>
        <w:t>, United States</w:t>
      </w:r>
    </w:p>
    <w:p w14:paraId="38CA44AA" w14:textId="77777777" w:rsidR="00446B47" w:rsidRPr="003610D2" w:rsidRDefault="00446B47" w:rsidP="00F61D5F">
      <w:pPr>
        <w:adjustRightInd w:val="0"/>
        <w:snapToGrid w:val="0"/>
        <w:spacing w:after="0" w:line="360" w:lineRule="auto"/>
        <w:jc w:val="both"/>
        <w:rPr>
          <w:rFonts w:ascii="Book Antiqua" w:hAnsi="Book Antiqua"/>
          <w:sz w:val="24"/>
          <w:szCs w:val="24"/>
        </w:rPr>
      </w:pPr>
    </w:p>
    <w:p w14:paraId="2DC17C6D" w14:textId="2F223C77" w:rsidR="00DE5AC4" w:rsidRPr="003610D2" w:rsidRDefault="00F52E2C" w:rsidP="00F61D5F">
      <w:pPr>
        <w:adjustRightInd w:val="0"/>
        <w:snapToGrid w:val="0"/>
        <w:spacing w:after="0" w:line="360" w:lineRule="auto"/>
        <w:jc w:val="both"/>
        <w:rPr>
          <w:rFonts w:ascii="Book Antiqua" w:hAnsi="Book Antiqua"/>
          <w:sz w:val="24"/>
          <w:szCs w:val="24"/>
        </w:rPr>
      </w:pPr>
      <w:r w:rsidRPr="003610D2">
        <w:rPr>
          <w:rFonts w:ascii="Book Antiqua" w:hAnsi="Book Antiqua"/>
          <w:b/>
          <w:bCs/>
          <w:sz w:val="24"/>
          <w:szCs w:val="24"/>
        </w:rPr>
        <w:t>ORC</w:t>
      </w:r>
      <w:r w:rsidR="000833B4" w:rsidRPr="003610D2">
        <w:rPr>
          <w:rFonts w:ascii="Book Antiqua" w:hAnsi="Book Antiqua"/>
          <w:b/>
          <w:bCs/>
          <w:sz w:val="24"/>
          <w:szCs w:val="24"/>
        </w:rPr>
        <w:t xml:space="preserve">ID </w:t>
      </w:r>
      <w:r w:rsidR="00CF0996" w:rsidRPr="003610D2">
        <w:rPr>
          <w:rFonts w:ascii="Book Antiqua" w:hAnsi="Book Antiqua"/>
          <w:b/>
          <w:bCs/>
          <w:sz w:val="24"/>
          <w:szCs w:val="24"/>
        </w:rPr>
        <w:t>n</w:t>
      </w:r>
      <w:r w:rsidR="000833B4" w:rsidRPr="003610D2">
        <w:rPr>
          <w:rFonts w:ascii="Book Antiqua" w:hAnsi="Book Antiqua"/>
          <w:b/>
          <w:bCs/>
          <w:sz w:val="24"/>
          <w:szCs w:val="24"/>
        </w:rPr>
        <w:t>umber:</w:t>
      </w:r>
      <w:r w:rsidR="000833B4" w:rsidRPr="003610D2">
        <w:rPr>
          <w:rFonts w:ascii="Book Antiqua" w:hAnsi="Book Antiqua"/>
          <w:sz w:val="24"/>
          <w:szCs w:val="24"/>
        </w:rPr>
        <w:t xml:space="preserve"> Katherine </w:t>
      </w:r>
      <w:proofErr w:type="spellStart"/>
      <w:r w:rsidR="000833B4" w:rsidRPr="003610D2">
        <w:rPr>
          <w:rFonts w:ascii="Book Antiqua" w:hAnsi="Book Antiqua"/>
          <w:sz w:val="24"/>
          <w:szCs w:val="24"/>
        </w:rPr>
        <w:t>Kutney</w:t>
      </w:r>
      <w:proofErr w:type="spellEnd"/>
      <w:r w:rsidR="000833B4" w:rsidRPr="003610D2">
        <w:rPr>
          <w:rFonts w:ascii="Book Antiqua" w:hAnsi="Book Antiqua"/>
          <w:sz w:val="24"/>
          <w:szCs w:val="24"/>
        </w:rPr>
        <w:t xml:space="preserve"> (0000-0002-2573-2131</w:t>
      </w:r>
      <w:r w:rsidR="00410CCA" w:rsidRPr="003610D2">
        <w:rPr>
          <w:rFonts w:ascii="Book Antiqua" w:hAnsi="Book Antiqua"/>
          <w:sz w:val="24"/>
          <w:szCs w:val="24"/>
        </w:rPr>
        <w:t>)</w:t>
      </w:r>
      <w:r w:rsidR="00CF0996" w:rsidRPr="003610D2">
        <w:rPr>
          <w:rFonts w:ascii="Book Antiqua" w:hAnsi="Book Antiqua"/>
          <w:sz w:val="24"/>
          <w:szCs w:val="24"/>
        </w:rPr>
        <w:t>;</w:t>
      </w:r>
      <w:r w:rsidR="00410CCA" w:rsidRPr="003610D2">
        <w:rPr>
          <w:rFonts w:ascii="Book Antiqua" w:hAnsi="Book Antiqua"/>
          <w:sz w:val="24"/>
          <w:szCs w:val="24"/>
        </w:rPr>
        <w:t xml:space="preserve"> </w:t>
      </w:r>
      <w:r w:rsidR="00CF0996" w:rsidRPr="003610D2">
        <w:rPr>
          <w:rFonts w:ascii="Book Antiqua" w:hAnsi="Book Antiqua"/>
          <w:sz w:val="24"/>
          <w:szCs w:val="24"/>
        </w:rPr>
        <w:t xml:space="preserve">Shannon B </w:t>
      </w:r>
      <w:proofErr w:type="spellStart"/>
      <w:r w:rsidR="00CF0996" w:rsidRPr="003610D2">
        <w:rPr>
          <w:rFonts w:ascii="Book Antiqua" w:hAnsi="Book Antiqua"/>
          <w:sz w:val="24"/>
          <w:szCs w:val="24"/>
        </w:rPr>
        <w:t>Donnola</w:t>
      </w:r>
      <w:proofErr w:type="spellEnd"/>
      <w:r w:rsidR="00410CCA" w:rsidRPr="003610D2">
        <w:rPr>
          <w:rFonts w:ascii="Book Antiqua" w:hAnsi="Book Antiqua"/>
          <w:sz w:val="24"/>
          <w:szCs w:val="24"/>
        </w:rPr>
        <w:t xml:space="preserve"> (000-0002-7489-3011)</w:t>
      </w:r>
      <w:r w:rsidR="00CF0996" w:rsidRPr="003610D2">
        <w:rPr>
          <w:rFonts w:ascii="Book Antiqua" w:hAnsi="Book Antiqua"/>
          <w:sz w:val="24"/>
          <w:szCs w:val="24"/>
        </w:rPr>
        <w:t>;</w:t>
      </w:r>
      <w:r w:rsidRPr="003610D2">
        <w:rPr>
          <w:rFonts w:ascii="Book Antiqua" w:hAnsi="Book Antiqua"/>
          <w:sz w:val="24"/>
          <w:szCs w:val="24"/>
        </w:rPr>
        <w:t xml:space="preserve"> Chris A </w:t>
      </w:r>
      <w:r w:rsidR="00410CCA" w:rsidRPr="003610D2">
        <w:rPr>
          <w:rFonts w:ascii="Book Antiqua" w:hAnsi="Book Antiqua"/>
          <w:sz w:val="24"/>
          <w:szCs w:val="24"/>
        </w:rPr>
        <w:t>Flask (0000-0002-1066-333X)</w:t>
      </w:r>
      <w:r w:rsidR="00CF0996" w:rsidRPr="003610D2">
        <w:rPr>
          <w:rFonts w:ascii="Book Antiqua" w:hAnsi="Book Antiqua"/>
          <w:sz w:val="24"/>
          <w:szCs w:val="24"/>
        </w:rPr>
        <w:t>;</w:t>
      </w:r>
      <w:r w:rsidR="0072589B" w:rsidRPr="003610D2">
        <w:rPr>
          <w:rFonts w:ascii="Book Antiqua" w:hAnsi="Book Antiqua"/>
          <w:sz w:val="24"/>
          <w:szCs w:val="24"/>
        </w:rPr>
        <w:t xml:space="preserve"> Rose </w:t>
      </w:r>
      <w:proofErr w:type="spellStart"/>
      <w:r w:rsidR="0072589B" w:rsidRPr="003610D2">
        <w:rPr>
          <w:rFonts w:ascii="Book Antiqua" w:hAnsi="Book Antiqua"/>
          <w:sz w:val="24"/>
          <w:szCs w:val="24"/>
        </w:rPr>
        <w:t>Gubitosi</w:t>
      </w:r>
      <w:proofErr w:type="spellEnd"/>
      <w:r w:rsidR="0072589B" w:rsidRPr="003610D2">
        <w:rPr>
          <w:rFonts w:ascii="Book Antiqua" w:hAnsi="Book Antiqua"/>
          <w:sz w:val="24"/>
          <w:szCs w:val="24"/>
        </w:rPr>
        <w:t>-Klug (</w:t>
      </w:r>
      <w:r w:rsidR="0072589B" w:rsidRPr="003610D2">
        <w:rPr>
          <w:rFonts w:ascii="Book Antiqua" w:hAnsi="Book Antiqua" w:cs="Arial"/>
          <w:sz w:val="24"/>
          <w:szCs w:val="24"/>
          <w:shd w:val="clear" w:color="auto" w:fill="FFFFFF"/>
        </w:rPr>
        <w:t>0000-0002-</w:t>
      </w:r>
      <w:r w:rsidR="0072589B" w:rsidRPr="003610D2">
        <w:rPr>
          <w:rFonts w:ascii="Book Antiqua" w:hAnsi="Book Antiqua" w:cs="Arial"/>
          <w:sz w:val="24"/>
          <w:szCs w:val="24"/>
          <w:shd w:val="clear" w:color="auto" w:fill="FFFFFF"/>
        </w:rPr>
        <w:lastRenderedPageBreak/>
        <w:t>7376-6870</w:t>
      </w:r>
      <w:r w:rsidRPr="003610D2">
        <w:rPr>
          <w:rFonts w:ascii="Book Antiqua" w:hAnsi="Book Antiqua"/>
          <w:sz w:val="24"/>
          <w:szCs w:val="24"/>
        </w:rPr>
        <w:t>)</w:t>
      </w:r>
      <w:r w:rsidR="00CF0996" w:rsidRPr="003610D2">
        <w:rPr>
          <w:rFonts w:ascii="Book Antiqua" w:hAnsi="Book Antiqua"/>
          <w:sz w:val="24"/>
          <w:szCs w:val="24"/>
        </w:rPr>
        <w:t>;</w:t>
      </w:r>
      <w:r w:rsidRPr="003610D2">
        <w:rPr>
          <w:rFonts w:ascii="Book Antiqua" w:hAnsi="Book Antiqua"/>
          <w:sz w:val="24"/>
          <w:szCs w:val="24"/>
        </w:rPr>
        <w:t xml:space="preserve"> </w:t>
      </w:r>
      <w:r w:rsidR="006A7CE7" w:rsidRPr="003610D2">
        <w:rPr>
          <w:rFonts w:ascii="Book Antiqua" w:hAnsi="Book Antiqua"/>
          <w:sz w:val="24"/>
          <w:szCs w:val="24"/>
        </w:rPr>
        <w:t xml:space="preserve">MaryAnn </w:t>
      </w:r>
      <w:proofErr w:type="spellStart"/>
      <w:r w:rsidR="006A7CE7" w:rsidRPr="003610D2">
        <w:rPr>
          <w:rFonts w:ascii="Book Antiqua" w:hAnsi="Book Antiqua"/>
          <w:sz w:val="24"/>
          <w:szCs w:val="24"/>
        </w:rPr>
        <w:t>O’Riordan</w:t>
      </w:r>
      <w:proofErr w:type="spellEnd"/>
      <w:r w:rsidR="006A7CE7" w:rsidRPr="003610D2">
        <w:rPr>
          <w:rFonts w:ascii="Book Antiqua" w:hAnsi="Book Antiqua"/>
          <w:sz w:val="24"/>
          <w:szCs w:val="24"/>
        </w:rPr>
        <w:t xml:space="preserve"> (</w:t>
      </w:r>
      <w:hyperlink r:id="rId8" w:history="1">
        <w:r w:rsidR="00FD77F2" w:rsidRPr="003610D2">
          <w:rPr>
            <w:rFonts w:ascii="Book Antiqua" w:hAnsi="Book Antiqua" w:cs="Helvetica"/>
            <w:sz w:val="24"/>
            <w:szCs w:val="24"/>
          </w:rPr>
          <w:t>0000-0001-6713-8918</w:t>
        </w:r>
      </w:hyperlink>
      <w:r w:rsidR="00FD77F2" w:rsidRPr="003610D2">
        <w:rPr>
          <w:rFonts w:ascii="Book Antiqua" w:hAnsi="Book Antiqua" w:cs="Helvetica"/>
          <w:color w:val="494A4C"/>
          <w:sz w:val="24"/>
          <w:szCs w:val="24"/>
        </w:rPr>
        <w:t>)</w:t>
      </w:r>
      <w:r w:rsidR="00CF0996" w:rsidRPr="003610D2">
        <w:rPr>
          <w:rFonts w:ascii="Book Antiqua" w:hAnsi="Book Antiqua"/>
          <w:sz w:val="24"/>
          <w:szCs w:val="24"/>
        </w:rPr>
        <w:t xml:space="preserve">; </w:t>
      </w:r>
      <w:r w:rsidRPr="003610D2">
        <w:rPr>
          <w:rFonts w:ascii="Book Antiqua" w:hAnsi="Book Antiqua"/>
          <w:sz w:val="24"/>
          <w:szCs w:val="24"/>
        </w:rPr>
        <w:t xml:space="preserve">Kimberly </w:t>
      </w:r>
      <w:proofErr w:type="spellStart"/>
      <w:r w:rsidRPr="003610D2">
        <w:rPr>
          <w:rFonts w:ascii="Book Antiqua" w:hAnsi="Book Antiqua"/>
          <w:sz w:val="24"/>
          <w:szCs w:val="24"/>
        </w:rPr>
        <w:t>McBen</w:t>
      </w:r>
      <w:r w:rsidR="00410CCA" w:rsidRPr="003610D2">
        <w:rPr>
          <w:rFonts w:ascii="Book Antiqua" w:hAnsi="Book Antiqua"/>
          <w:sz w:val="24"/>
          <w:szCs w:val="24"/>
        </w:rPr>
        <w:t>nett</w:t>
      </w:r>
      <w:proofErr w:type="spellEnd"/>
      <w:r w:rsidR="00410CCA" w:rsidRPr="003610D2">
        <w:rPr>
          <w:rFonts w:ascii="Book Antiqua" w:hAnsi="Book Antiqua"/>
          <w:sz w:val="24"/>
          <w:szCs w:val="24"/>
        </w:rPr>
        <w:t xml:space="preserve"> (0000-0001-9642-3814)</w:t>
      </w:r>
      <w:r w:rsidR="00CF0996" w:rsidRPr="003610D2">
        <w:rPr>
          <w:rFonts w:ascii="Book Antiqua" w:hAnsi="Book Antiqua"/>
          <w:sz w:val="24"/>
          <w:szCs w:val="24"/>
        </w:rPr>
        <w:t>;</w:t>
      </w:r>
      <w:r w:rsidR="00410CCA" w:rsidRPr="003610D2">
        <w:rPr>
          <w:rFonts w:ascii="Book Antiqua" w:hAnsi="Book Antiqua"/>
          <w:sz w:val="24"/>
          <w:szCs w:val="24"/>
        </w:rPr>
        <w:t xml:space="preserve"> </w:t>
      </w:r>
      <w:r w:rsidR="00CF0996" w:rsidRPr="003610D2">
        <w:rPr>
          <w:rFonts w:ascii="Book Antiqua" w:hAnsi="Book Antiqua"/>
          <w:sz w:val="24"/>
          <w:szCs w:val="24"/>
        </w:rPr>
        <w:t xml:space="preserve">Thomas J </w:t>
      </w:r>
      <w:proofErr w:type="spellStart"/>
      <w:r w:rsidR="00CF0996" w:rsidRPr="003610D2">
        <w:rPr>
          <w:rFonts w:ascii="Book Antiqua" w:hAnsi="Book Antiqua"/>
          <w:sz w:val="24"/>
          <w:szCs w:val="24"/>
        </w:rPr>
        <w:t>Sferra</w:t>
      </w:r>
      <w:proofErr w:type="spellEnd"/>
      <w:r w:rsidR="00410CCA" w:rsidRPr="003610D2">
        <w:rPr>
          <w:rFonts w:ascii="Book Antiqua" w:hAnsi="Book Antiqua"/>
          <w:sz w:val="24"/>
          <w:szCs w:val="24"/>
        </w:rPr>
        <w:t xml:space="preserve"> (0000-0001-6893-9880</w:t>
      </w:r>
      <w:r w:rsidRPr="003610D2">
        <w:rPr>
          <w:rFonts w:ascii="Book Antiqua" w:hAnsi="Book Antiqua"/>
          <w:sz w:val="24"/>
          <w:szCs w:val="24"/>
        </w:rPr>
        <w:t>)</w:t>
      </w:r>
      <w:r w:rsidR="00CF0996" w:rsidRPr="003610D2">
        <w:rPr>
          <w:rFonts w:ascii="Book Antiqua" w:hAnsi="Book Antiqua"/>
          <w:sz w:val="24"/>
          <w:szCs w:val="24"/>
        </w:rPr>
        <w:t>;</w:t>
      </w:r>
      <w:r w:rsidR="00410CCA" w:rsidRPr="003610D2">
        <w:rPr>
          <w:rFonts w:ascii="Book Antiqua" w:hAnsi="Book Antiqua"/>
          <w:sz w:val="24"/>
          <w:szCs w:val="24"/>
        </w:rPr>
        <w:t xml:space="preserve"> Beth Kaminski (0000-0003-1516-7455</w:t>
      </w:r>
      <w:r w:rsidR="00586896" w:rsidRPr="003610D2">
        <w:rPr>
          <w:rFonts w:ascii="Book Antiqua" w:hAnsi="Book Antiqua"/>
          <w:sz w:val="24"/>
          <w:szCs w:val="24"/>
        </w:rPr>
        <w:t xml:space="preserve">). </w:t>
      </w:r>
    </w:p>
    <w:p w14:paraId="705FF516" w14:textId="77777777" w:rsidR="003D741A" w:rsidRPr="003610D2" w:rsidRDefault="003D741A" w:rsidP="00F61D5F">
      <w:pPr>
        <w:adjustRightInd w:val="0"/>
        <w:snapToGrid w:val="0"/>
        <w:spacing w:after="0" w:line="360" w:lineRule="auto"/>
        <w:jc w:val="both"/>
        <w:rPr>
          <w:rFonts w:ascii="Book Antiqua" w:hAnsi="Book Antiqua"/>
          <w:sz w:val="24"/>
          <w:szCs w:val="24"/>
        </w:rPr>
      </w:pPr>
    </w:p>
    <w:p w14:paraId="420A7011" w14:textId="5C0B81C1" w:rsidR="00B0780E" w:rsidRPr="003610D2" w:rsidRDefault="00B0780E"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 xml:space="preserve">Author </w:t>
      </w:r>
      <w:r w:rsidR="00CF0996" w:rsidRPr="003610D2">
        <w:rPr>
          <w:rFonts w:ascii="Book Antiqua" w:hAnsi="Book Antiqua"/>
          <w:b/>
          <w:sz w:val="24"/>
          <w:szCs w:val="24"/>
        </w:rPr>
        <w:t>c</w:t>
      </w:r>
      <w:r w:rsidRPr="003610D2">
        <w:rPr>
          <w:rFonts w:ascii="Book Antiqua" w:hAnsi="Book Antiqua"/>
          <w:b/>
          <w:sz w:val="24"/>
          <w:szCs w:val="24"/>
        </w:rPr>
        <w:t xml:space="preserve">ontributions: </w:t>
      </w:r>
      <w:proofErr w:type="spellStart"/>
      <w:r w:rsidR="00EC3FAE" w:rsidRPr="003610D2">
        <w:rPr>
          <w:rFonts w:ascii="Book Antiqua" w:hAnsi="Book Antiqua"/>
          <w:sz w:val="24"/>
          <w:szCs w:val="24"/>
        </w:rPr>
        <w:t>Kutney</w:t>
      </w:r>
      <w:proofErr w:type="spellEnd"/>
      <w:r w:rsidR="00EC3FAE" w:rsidRPr="003610D2">
        <w:rPr>
          <w:rFonts w:ascii="Book Antiqua" w:hAnsi="Book Antiqua"/>
          <w:sz w:val="24"/>
          <w:szCs w:val="24"/>
        </w:rPr>
        <w:t xml:space="preserve"> K</w:t>
      </w:r>
      <w:r w:rsidR="00F16DAD" w:rsidRPr="003610D2">
        <w:rPr>
          <w:rFonts w:ascii="Book Antiqua" w:hAnsi="Book Antiqua"/>
          <w:sz w:val="24"/>
          <w:szCs w:val="24"/>
        </w:rPr>
        <w:t xml:space="preserve"> designed the study, coordinated the research and wrote the manuscript; </w:t>
      </w:r>
      <w:proofErr w:type="spellStart"/>
      <w:r w:rsidR="00F16DAD" w:rsidRPr="003610D2">
        <w:rPr>
          <w:rFonts w:ascii="Book Antiqua" w:hAnsi="Book Antiqua"/>
          <w:sz w:val="24"/>
          <w:szCs w:val="24"/>
        </w:rPr>
        <w:t>Donola</w:t>
      </w:r>
      <w:proofErr w:type="spellEnd"/>
      <w:r w:rsidR="00F16DAD" w:rsidRPr="003610D2">
        <w:rPr>
          <w:rFonts w:ascii="Book Antiqua" w:hAnsi="Book Antiqua"/>
          <w:sz w:val="24"/>
          <w:szCs w:val="24"/>
        </w:rPr>
        <w:t xml:space="preserve"> SB acquired and analyzed MRI images; </w:t>
      </w:r>
      <w:bookmarkStart w:id="8" w:name="OLE_LINK645"/>
      <w:bookmarkStart w:id="9" w:name="OLE_LINK646"/>
      <w:r w:rsidR="004B5DAB" w:rsidRPr="003610D2">
        <w:rPr>
          <w:rFonts w:ascii="Book Antiqua" w:hAnsi="Book Antiqua"/>
          <w:sz w:val="24"/>
          <w:szCs w:val="24"/>
        </w:rPr>
        <w:t>Flask CA</w:t>
      </w:r>
      <w:bookmarkEnd w:id="8"/>
      <w:bookmarkEnd w:id="9"/>
      <w:r w:rsidR="004B5DAB" w:rsidRPr="003610D2">
        <w:rPr>
          <w:rFonts w:ascii="Book Antiqua" w:hAnsi="Book Antiqua"/>
          <w:sz w:val="24"/>
          <w:szCs w:val="24"/>
        </w:rPr>
        <w:t xml:space="preserve"> analyzed MRI images</w:t>
      </w:r>
      <w:r w:rsidR="00F16DAD" w:rsidRPr="003610D2">
        <w:rPr>
          <w:rFonts w:ascii="Book Antiqua" w:hAnsi="Book Antiqua"/>
          <w:sz w:val="24"/>
          <w:szCs w:val="24"/>
        </w:rPr>
        <w:t xml:space="preserve"> and edited the manuscript;</w:t>
      </w:r>
      <w:r w:rsidR="00586896" w:rsidRPr="003610D2">
        <w:rPr>
          <w:rFonts w:ascii="Book Antiqua" w:hAnsi="Book Antiqua"/>
          <w:sz w:val="24"/>
          <w:szCs w:val="24"/>
        </w:rPr>
        <w:t xml:space="preserve"> </w:t>
      </w:r>
      <w:proofErr w:type="spellStart"/>
      <w:r w:rsidR="00F16DAD" w:rsidRPr="003610D2">
        <w:rPr>
          <w:rFonts w:ascii="Book Antiqua" w:hAnsi="Book Antiqua"/>
          <w:sz w:val="24"/>
          <w:szCs w:val="24"/>
        </w:rPr>
        <w:t>Gubitosi</w:t>
      </w:r>
      <w:proofErr w:type="spellEnd"/>
      <w:r w:rsidR="00F16DAD" w:rsidRPr="003610D2">
        <w:rPr>
          <w:rFonts w:ascii="Book Antiqua" w:hAnsi="Book Antiqua"/>
          <w:sz w:val="24"/>
          <w:szCs w:val="24"/>
        </w:rPr>
        <w:t xml:space="preserve">-Klug R designed the study and edited the manuscript; </w:t>
      </w:r>
      <w:proofErr w:type="spellStart"/>
      <w:r w:rsidR="00E5722F" w:rsidRPr="003610D2">
        <w:rPr>
          <w:rFonts w:ascii="Book Antiqua" w:hAnsi="Book Antiqua"/>
          <w:sz w:val="24"/>
          <w:szCs w:val="24"/>
        </w:rPr>
        <w:t>O’Riordan</w:t>
      </w:r>
      <w:proofErr w:type="spellEnd"/>
      <w:r w:rsidR="00E5722F" w:rsidRPr="003610D2">
        <w:rPr>
          <w:rFonts w:ascii="Book Antiqua" w:hAnsi="Book Antiqua"/>
          <w:sz w:val="24"/>
          <w:szCs w:val="24"/>
        </w:rPr>
        <w:t xml:space="preserve"> M</w:t>
      </w:r>
      <w:r w:rsidR="00F16DAD" w:rsidRPr="003610D2">
        <w:rPr>
          <w:rFonts w:ascii="Book Antiqua" w:hAnsi="Book Antiqua"/>
          <w:sz w:val="24"/>
          <w:szCs w:val="24"/>
        </w:rPr>
        <w:t xml:space="preserve"> performed statistical analysis; </w:t>
      </w:r>
      <w:proofErr w:type="spellStart"/>
      <w:r w:rsidR="00F16DAD" w:rsidRPr="003610D2">
        <w:rPr>
          <w:rFonts w:ascii="Book Antiqua" w:hAnsi="Book Antiqua"/>
          <w:sz w:val="24"/>
          <w:szCs w:val="24"/>
        </w:rPr>
        <w:t>McBennett</w:t>
      </w:r>
      <w:proofErr w:type="spellEnd"/>
      <w:r w:rsidR="00F16DAD" w:rsidRPr="003610D2">
        <w:rPr>
          <w:rFonts w:ascii="Book Antiqua" w:hAnsi="Book Antiqua"/>
          <w:sz w:val="24"/>
          <w:szCs w:val="24"/>
        </w:rPr>
        <w:t xml:space="preserve"> K designed the </w:t>
      </w:r>
      <w:r w:rsidR="00B6762E" w:rsidRPr="003610D2">
        <w:rPr>
          <w:rFonts w:ascii="Book Antiqua" w:hAnsi="Book Antiqua"/>
          <w:sz w:val="24"/>
          <w:szCs w:val="24"/>
        </w:rPr>
        <w:t>study</w:t>
      </w:r>
      <w:r w:rsidR="00F16DAD" w:rsidRPr="003610D2">
        <w:rPr>
          <w:rFonts w:ascii="Book Antiqua" w:hAnsi="Book Antiqua"/>
          <w:sz w:val="24"/>
          <w:szCs w:val="24"/>
        </w:rPr>
        <w:t xml:space="preserve">; </w:t>
      </w:r>
      <w:proofErr w:type="spellStart"/>
      <w:r w:rsidR="00F16DAD" w:rsidRPr="003610D2">
        <w:rPr>
          <w:rFonts w:ascii="Book Antiqua" w:hAnsi="Book Antiqua"/>
          <w:sz w:val="24"/>
          <w:szCs w:val="24"/>
        </w:rPr>
        <w:t>Sferra</w:t>
      </w:r>
      <w:proofErr w:type="spellEnd"/>
      <w:r w:rsidR="00F16DAD" w:rsidRPr="003610D2">
        <w:rPr>
          <w:rFonts w:ascii="Book Antiqua" w:hAnsi="Book Antiqua"/>
          <w:sz w:val="24"/>
          <w:szCs w:val="24"/>
        </w:rPr>
        <w:t xml:space="preserve"> TJ designed the </w:t>
      </w:r>
      <w:r w:rsidR="00B6762E" w:rsidRPr="003610D2">
        <w:rPr>
          <w:rFonts w:ascii="Book Antiqua" w:hAnsi="Book Antiqua"/>
          <w:sz w:val="24"/>
          <w:szCs w:val="24"/>
        </w:rPr>
        <w:t>study</w:t>
      </w:r>
      <w:r w:rsidR="00F16DAD" w:rsidRPr="003610D2">
        <w:rPr>
          <w:rFonts w:ascii="Book Antiqua" w:hAnsi="Book Antiqua"/>
          <w:sz w:val="24"/>
          <w:szCs w:val="24"/>
        </w:rPr>
        <w:t>; Kaminski B designed the study and edited the manuscript</w:t>
      </w:r>
      <w:r w:rsidR="00F16DAD" w:rsidRPr="003610D2">
        <w:rPr>
          <w:rFonts w:ascii="Book Antiqua" w:hAnsi="Book Antiqua"/>
          <w:bCs/>
          <w:sz w:val="24"/>
          <w:szCs w:val="24"/>
        </w:rPr>
        <w:t>.</w:t>
      </w:r>
    </w:p>
    <w:p w14:paraId="407DB17D"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5EEE430A" w14:textId="11D093A2" w:rsidR="003D741A" w:rsidRPr="003610D2" w:rsidRDefault="003D741A" w:rsidP="00F61D5F">
      <w:pPr>
        <w:adjustRightInd w:val="0"/>
        <w:snapToGrid w:val="0"/>
        <w:spacing w:after="0" w:line="360" w:lineRule="auto"/>
        <w:jc w:val="both"/>
        <w:rPr>
          <w:rFonts w:ascii="Book Antiqua" w:hAnsi="Book Antiqua"/>
          <w:sz w:val="24"/>
          <w:szCs w:val="24"/>
        </w:rPr>
      </w:pPr>
      <w:r w:rsidRPr="003610D2">
        <w:rPr>
          <w:rFonts w:ascii="Book Antiqua" w:hAnsi="Book Antiqua"/>
          <w:b/>
          <w:bCs/>
          <w:sz w:val="24"/>
          <w:szCs w:val="24"/>
        </w:rPr>
        <w:t>Supported by</w:t>
      </w:r>
      <w:r w:rsidRPr="003610D2">
        <w:rPr>
          <w:rFonts w:ascii="Book Antiqua" w:hAnsi="Book Antiqua"/>
          <w:sz w:val="24"/>
          <w:szCs w:val="24"/>
        </w:rPr>
        <w:t xml:space="preserve"> a grant from the University Hospitals Fellowship Research Award Program (FRAP).</w:t>
      </w:r>
    </w:p>
    <w:p w14:paraId="7DCFE6BB" w14:textId="77777777" w:rsidR="003D741A" w:rsidRPr="003610D2" w:rsidRDefault="003D741A" w:rsidP="00F61D5F">
      <w:pPr>
        <w:adjustRightInd w:val="0"/>
        <w:snapToGrid w:val="0"/>
        <w:spacing w:after="0" w:line="360" w:lineRule="auto"/>
        <w:jc w:val="both"/>
        <w:rPr>
          <w:rFonts w:ascii="Book Antiqua" w:hAnsi="Book Antiqua"/>
          <w:sz w:val="24"/>
          <w:szCs w:val="24"/>
        </w:rPr>
      </w:pPr>
    </w:p>
    <w:p w14:paraId="6D96ABB9" w14:textId="1607748B" w:rsidR="00B0780E" w:rsidRPr="003610D2" w:rsidRDefault="00B0780E"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Instituti</w:t>
      </w:r>
      <w:r w:rsidR="00CF0996" w:rsidRPr="003610D2">
        <w:rPr>
          <w:rFonts w:ascii="Book Antiqua" w:hAnsi="Book Antiqua"/>
          <w:b/>
          <w:sz w:val="24"/>
          <w:szCs w:val="24"/>
        </w:rPr>
        <w:t xml:space="preserve">onal review board statement: </w:t>
      </w:r>
      <w:r w:rsidR="00586896" w:rsidRPr="003610D2">
        <w:rPr>
          <w:rFonts w:ascii="Book Antiqua" w:hAnsi="Book Antiqua"/>
          <w:sz w:val="24"/>
          <w:szCs w:val="24"/>
        </w:rPr>
        <w:t>This study was approved by the University Hospitals Cleveland Medical Center Institutional Review Board.</w:t>
      </w:r>
    </w:p>
    <w:p w14:paraId="370EB1BE" w14:textId="77777777" w:rsidR="00CF0996" w:rsidRPr="003610D2" w:rsidRDefault="00CF0996" w:rsidP="00F61D5F">
      <w:pPr>
        <w:adjustRightInd w:val="0"/>
        <w:snapToGrid w:val="0"/>
        <w:spacing w:after="0" w:line="360" w:lineRule="auto"/>
        <w:jc w:val="both"/>
        <w:rPr>
          <w:rFonts w:ascii="Book Antiqua" w:hAnsi="Book Antiqua"/>
          <w:b/>
          <w:sz w:val="24"/>
          <w:szCs w:val="24"/>
        </w:rPr>
      </w:pPr>
    </w:p>
    <w:p w14:paraId="24754498" w14:textId="4C80AB65" w:rsidR="003D741A" w:rsidRPr="003610D2" w:rsidRDefault="00B0780E"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Informed</w:t>
      </w:r>
      <w:r w:rsidR="00CF0996" w:rsidRPr="003610D2">
        <w:rPr>
          <w:rFonts w:ascii="Book Antiqua" w:hAnsi="Book Antiqua"/>
          <w:b/>
          <w:sz w:val="24"/>
          <w:szCs w:val="24"/>
        </w:rPr>
        <w:t xml:space="preserve"> consent statement: </w:t>
      </w:r>
      <w:r w:rsidR="00586896" w:rsidRPr="003610D2">
        <w:rPr>
          <w:rFonts w:ascii="Book Antiqua" w:hAnsi="Book Antiqua"/>
          <w:sz w:val="24"/>
          <w:szCs w:val="24"/>
        </w:rPr>
        <w:t>All participants gave written informed consent prior to participating in this study.</w:t>
      </w:r>
    </w:p>
    <w:p w14:paraId="7F3C2651" w14:textId="77777777" w:rsidR="00CF0996" w:rsidRPr="003610D2" w:rsidRDefault="00CF0996" w:rsidP="00F61D5F">
      <w:pPr>
        <w:adjustRightInd w:val="0"/>
        <w:snapToGrid w:val="0"/>
        <w:spacing w:after="0" w:line="360" w:lineRule="auto"/>
        <w:jc w:val="both"/>
        <w:rPr>
          <w:rFonts w:ascii="Book Antiqua" w:hAnsi="Book Antiqua"/>
          <w:b/>
          <w:sz w:val="24"/>
          <w:szCs w:val="24"/>
        </w:rPr>
      </w:pPr>
    </w:p>
    <w:p w14:paraId="03C75F37" w14:textId="7EC1F7CE" w:rsidR="003D741A" w:rsidRPr="003610D2" w:rsidRDefault="002F03DD" w:rsidP="00F61D5F">
      <w:pPr>
        <w:adjustRightInd w:val="0"/>
        <w:snapToGrid w:val="0"/>
        <w:spacing w:after="0" w:line="360" w:lineRule="auto"/>
        <w:jc w:val="both"/>
        <w:rPr>
          <w:rFonts w:ascii="Book Antiqua" w:eastAsia="SimSun" w:hAnsi="Book Antiqua" w:cs="Times New Roman"/>
          <w:sz w:val="24"/>
          <w:szCs w:val="24"/>
          <w:lang w:eastAsia="zh-CN"/>
        </w:rPr>
      </w:pPr>
      <w:r w:rsidRPr="003610D2">
        <w:rPr>
          <w:rFonts w:ascii="Book Antiqua" w:hAnsi="Book Antiqua" w:cs="Times New Roman"/>
          <w:b/>
          <w:bCs/>
          <w:iCs/>
          <w:color w:val="000000" w:themeColor="text1"/>
          <w:sz w:val="24"/>
          <w:szCs w:val="24"/>
          <w:highlight w:val="white"/>
          <w:lang w:eastAsia="zh-CN"/>
        </w:rPr>
        <w:t>Conflict-of-interest statement:</w:t>
      </w:r>
      <w:r w:rsidR="00586896" w:rsidRPr="003610D2">
        <w:rPr>
          <w:rFonts w:ascii="Book Antiqua" w:hAnsi="Book Antiqua"/>
          <w:b/>
          <w:sz w:val="24"/>
          <w:szCs w:val="24"/>
        </w:rPr>
        <w:t xml:space="preserve"> </w:t>
      </w:r>
      <w:r w:rsidR="00CF0996" w:rsidRPr="003610D2">
        <w:rPr>
          <w:rFonts w:ascii="Book Antiqua" w:hAnsi="Book Antiqua"/>
          <w:sz w:val="24"/>
          <w:szCs w:val="24"/>
        </w:rPr>
        <w:t xml:space="preserve">Flask CA and </w:t>
      </w:r>
      <w:r w:rsidR="00CF0996" w:rsidRPr="003610D2">
        <w:rPr>
          <w:rFonts w:ascii="Book Antiqua" w:hAnsi="Book Antiqua" w:cs="Myriad Pro"/>
          <w:sz w:val="24"/>
          <w:szCs w:val="24"/>
        </w:rPr>
        <w:t>Kaminski B</w:t>
      </w:r>
      <w:r w:rsidR="003D741A" w:rsidRPr="003610D2">
        <w:rPr>
          <w:rFonts w:ascii="Book Antiqua" w:hAnsi="Book Antiqua" w:cs="Myriad Pro"/>
          <w:sz w:val="24"/>
          <w:szCs w:val="24"/>
        </w:rPr>
        <w:t xml:space="preserve"> reports grants from Cystic Fibrosis Foundation, during the conduct of the study.</w:t>
      </w:r>
      <w:r w:rsidR="00CF0996" w:rsidRPr="003610D2">
        <w:rPr>
          <w:rFonts w:ascii="Book Antiqua" w:hAnsi="Book Antiqua" w:cs="Myriad Pro"/>
          <w:sz w:val="24"/>
          <w:szCs w:val="24"/>
        </w:rPr>
        <w:t xml:space="preserve"> </w:t>
      </w:r>
      <w:r w:rsidR="00CF0996" w:rsidRPr="003610D2">
        <w:rPr>
          <w:rFonts w:ascii="Book Antiqua" w:eastAsia="SimSun" w:hAnsi="Book Antiqua" w:cs="Times New Roman"/>
          <w:sz w:val="24"/>
          <w:szCs w:val="24"/>
          <w:lang w:eastAsia="zh-CN"/>
        </w:rPr>
        <w:t>The other authors declare that they have no conflict of interest.</w:t>
      </w:r>
    </w:p>
    <w:p w14:paraId="724CA3A0" w14:textId="77777777" w:rsidR="00CF0996" w:rsidRPr="003610D2" w:rsidRDefault="00CF0996" w:rsidP="00F61D5F">
      <w:pPr>
        <w:adjustRightInd w:val="0"/>
        <w:snapToGrid w:val="0"/>
        <w:spacing w:after="0" w:line="360" w:lineRule="auto"/>
        <w:jc w:val="both"/>
        <w:rPr>
          <w:rFonts w:ascii="Book Antiqua" w:hAnsi="Book Antiqua" w:cs="Myriad Pro"/>
          <w:sz w:val="24"/>
          <w:szCs w:val="24"/>
        </w:rPr>
      </w:pPr>
    </w:p>
    <w:p w14:paraId="0B7DE35F" w14:textId="6AF85038" w:rsidR="00B0780E" w:rsidRPr="003610D2" w:rsidRDefault="00B0780E"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 xml:space="preserve">STROBE </w:t>
      </w:r>
      <w:r w:rsidR="00CF0996" w:rsidRPr="003610D2">
        <w:rPr>
          <w:rFonts w:ascii="Book Antiqua" w:hAnsi="Book Antiqua"/>
          <w:b/>
          <w:sz w:val="24"/>
          <w:szCs w:val="24"/>
        </w:rPr>
        <w:t>s</w:t>
      </w:r>
      <w:r w:rsidRPr="003610D2">
        <w:rPr>
          <w:rFonts w:ascii="Book Antiqua" w:hAnsi="Book Antiqua"/>
          <w:b/>
          <w:sz w:val="24"/>
          <w:szCs w:val="24"/>
        </w:rPr>
        <w:t xml:space="preserve">tatement: </w:t>
      </w:r>
      <w:r w:rsidRPr="003610D2">
        <w:rPr>
          <w:rFonts w:ascii="Book Antiqua" w:hAnsi="Book Antiqua"/>
          <w:sz w:val="24"/>
          <w:szCs w:val="24"/>
        </w:rPr>
        <w:t xml:space="preserve">The authors have read the STROBE statement-checklist of items and the manuscript was prepared and revised according to the strobe </w:t>
      </w:r>
      <w:r w:rsidR="00D33396" w:rsidRPr="003610D2">
        <w:rPr>
          <w:rFonts w:ascii="Book Antiqua" w:hAnsi="Book Antiqua"/>
          <w:sz w:val="24"/>
          <w:szCs w:val="24"/>
        </w:rPr>
        <w:t>guidelines</w:t>
      </w:r>
      <w:r w:rsidR="000833B4" w:rsidRPr="003610D2">
        <w:rPr>
          <w:rFonts w:ascii="Book Antiqua" w:hAnsi="Book Antiqua"/>
          <w:sz w:val="24"/>
          <w:szCs w:val="24"/>
        </w:rPr>
        <w:t>.</w:t>
      </w:r>
    </w:p>
    <w:p w14:paraId="3B168BA7" w14:textId="0CE727DA" w:rsidR="00CF0996" w:rsidRPr="003610D2" w:rsidRDefault="00CF0996" w:rsidP="00F61D5F">
      <w:pPr>
        <w:adjustRightInd w:val="0"/>
        <w:snapToGrid w:val="0"/>
        <w:spacing w:after="0" w:line="360" w:lineRule="auto"/>
        <w:jc w:val="both"/>
        <w:rPr>
          <w:rFonts w:ascii="Book Antiqua" w:hAnsi="Book Antiqua"/>
          <w:sz w:val="24"/>
          <w:szCs w:val="24"/>
        </w:rPr>
      </w:pPr>
    </w:p>
    <w:p w14:paraId="334AF08F" w14:textId="77777777" w:rsidR="00CF0996" w:rsidRPr="003610D2" w:rsidRDefault="00CF0996" w:rsidP="00CF0996">
      <w:pPr>
        <w:spacing w:after="0" w:line="360" w:lineRule="auto"/>
        <w:jc w:val="both"/>
        <w:rPr>
          <w:rFonts w:ascii="Book Antiqua" w:eastAsia="SimSun" w:hAnsi="Book Antiqua" w:cs="Times New Roman"/>
          <w:color w:val="000000"/>
          <w:sz w:val="24"/>
          <w:szCs w:val="24"/>
          <w:lang w:eastAsia="zh-CN"/>
        </w:rPr>
      </w:pPr>
      <w:bookmarkStart w:id="10" w:name="OLE_LINK507"/>
      <w:bookmarkStart w:id="11" w:name="OLE_LINK506"/>
      <w:bookmarkStart w:id="12" w:name="OLE_LINK496"/>
      <w:bookmarkStart w:id="13" w:name="OLE_LINK479"/>
      <w:bookmarkStart w:id="14" w:name="OLE_LINK1"/>
      <w:r w:rsidRPr="003610D2">
        <w:rPr>
          <w:rFonts w:ascii="Book Antiqua" w:eastAsia="SimSun" w:hAnsi="Book Antiqua" w:cs="Times New Roman"/>
          <w:b/>
          <w:color w:val="000000"/>
          <w:sz w:val="24"/>
          <w:szCs w:val="24"/>
          <w:lang w:eastAsia="zh-CN"/>
        </w:rPr>
        <w:t xml:space="preserve">Open-Access: </w:t>
      </w:r>
      <w:r w:rsidRPr="003610D2">
        <w:rPr>
          <w:rFonts w:ascii="Book Antiqua" w:eastAsia="SimSun" w:hAnsi="Book Antiqua" w:cs="Times New Roman"/>
          <w:color w:val="000000"/>
          <w:sz w:val="24"/>
          <w:szCs w:val="24"/>
          <w:lang w:eastAsia="zh-CN"/>
        </w:rPr>
        <w:t>This article is an open-access</w:t>
      </w:r>
      <w:r w:rsidRPr="003610D2">
        <w:rPr>
          <w:rFonts w:ascii="Book Antiqua" w:eastAsia="SimSun" w:hAnsi="Book Antiqua" w:cs="Times New Roman" w:hint="eastAsia"/>
          <w:color w:val="000000"/>
          <w:sz w:val="24"/>
          <w:szCs w:val="24"/>
          <w:lang w:eastAsia="zh-CN"/>
        </w:rPr>
        <w:t xml:space="preserve"> </w:t>
      </w:r>
      <w:r w:rsidRPr="003610D2">
        <w:rPr>
          <w:rFonts w:ascii="Book Antiqua" w:eastAsia="SimSun" w:hAnsi="Book Antiqua" w:cs="Times New Roman"/>
          <w:color w:val="000000"/>
          <w:sz w:val="24"/>
          <w:szCs w:val="24"/>
          <w:lang w:eastAsia="zh-CN"/>
        </w:rPr>
        <w:t>article</w:t>
      </w:r>
      <w:r w:rsidRPr="003610D2">
        <w:rPr>
          <w:rFonts w:ascii="Book Antiqua" w:eastAsia="SimSun" w:hAnsi="Book Antiqua" w:cs="Times New Roman" w:hint="eastAsia"/>
          <w:color w:val="000000"/>
          <w:sz w:val="24"/>
          <w:szCs w:val="24"/>
          <w:lang w:eastAsia="zh-CN"/>
        </w:rPr>
        <w:t xml:space="preserve"> </w:t>
      </w:r>
      <w:r w:rsidRPr="003610D2">
        <w:rPr>
          <w:rFonts w:ascii="Book Antiqua" w:eastAsia="SimSun" w:hAnsi="Book Antiqua" w:cs="Times New Roman"/>
          <w:color w:val="000000"/>
          <w:sz w:val="24"/>
          <w:szCs w:val="24"/>
          <w:lang w:eastAsia="zh-CN"/>
        </w:rPr>
        <w:t>which was selected by an in-house editor and fully peer-reviewed by external reviewers. It is distributed</w:t>
      </w:r>
      <w:r w:rsidRPr="003610D2">
        <w:rPr>
          <w:rFonts w:ascii="Book Antiqua" w:eastAsia="SimSun" w:hAnsi="Book Antiqua" w:cs="Times New Roman" w:hint="eastAsia"/>
          <w:color w:val="000000"/>
          <w:sz w:val="24"/>
          <w:szCs w:val="24"/>
          <w:lang w:eastAsia="zh-CN"/>
        </w:rPr>
        <w:t xml:space="preserve"> </w:t>
      </w:r>
      <w:r w:rsidRPr="003610D2">
        <w:rPr>
          <w:rFonts w:ascii="Book Antiqua" w:eastAsia="SimSun" w:hAnsi="Book Antiqua" w:cs="Times New Roman"/>
          <w:color w:val="000000"/>
          <w:sz w:val="24"/>
          <w:szCs w:val="24"/>
          <w:lang w:eastAsia="zh-CN"/>
        </w:rPr>
        <w:t>in</w:t>
      </w:r>
      <w:r w:rsidRPr="003610D2">
        <w:rPr>
          <w:rFonts w:ascii="Book Antiqua" w:eastAsia="SimSun" w:hAnsi="Book Antiqua" w:cs="Times New Roman" w:hint="eastAsia"/>
          <w:color w:val="000000"/>
          <w:sz w:val="24"/>
          <w:szCs w:val="24"/>
          <w:lang w:eastAsia="zh-CN"/>
        </w:rPr>
        <w:t xml:space="preserve"> </w:t>
      </w:r>
      <w:r w:rsidRPr="003610D2">
        <w:rPr>
          <w:rFonts w:ascii="Book Antiqua" w:eastAsia="SimSun" w:hAnsi="Book Antiqua" w:cs="Times New Roman"/>
          <w:color w:val="000000"/>
          <w:sz w:val="24"/>
          <w:szCs w:val="24"/>
          <w:lang w:eastAsia="zh-CN"/>
        </w:rPr>
        <w:t>accordance</w:t>
      </w:r>
      <w:r w:rsidRPr="003610D2">
        <w:rPr>
          <w:rFonts w:ascii="Book Antiqua" w:eastAsia="SimSun" w:hAnsi="Book Antiqua" w:cs="Times New Roman" w:hint="eastAsia"/>
          <w:color w:val="000000"/>
          <w:sz w:val="24"/>
          <w:szCs w:val="24"/>
          <w:lang w:eastAsia="zh-CN"/>
        </w:rPr>
        <w:t xml:space="preserve"> </w:t>
      </w:r>
      <w:r w:rsidRPr="003610D2">
        <w:rPr>
          <w:rFonts w:ascii="Book Antiqua" w:eastAsia="SimSun" w:hAnsi="Book Antiqua" w:cs="Times New Roman"/>
          <w:color w:val="000000"/>
          <w:sz w:val="24"/>
          <w:szCs w:val="24"/>
          <w:lang w:eastAsia="zh-CN"/>
        </w:rPr>
        <w:t xml:space="preserve">with the Creative Commons Attribution Non Commercial (CC BY-NC 4.0) license, which permits others to distribute, remix, adapt, build upon this work non-commercially, and </w:t>
      </w:r>
      <w:r w:rsidRPr="003610D2">
        <w:rPr>
          <w:rFonts w:ascii="Book Antiqua" w:eastAsia="SimSun" w:hAnsi="Book Antiqua" w:cs="Times New Roman"/>
          <w:color w:val="000000"/>
          <w:sz w:val="24"/>
          <w:szCs w:val="24"/>
          <w:lang w:eastAsia="zh-CN"/>
        </w:rPr>
        <w:lastRenderedPageBreak/>
        <w:t>license their derivative works on different terms, provided the original work is properly cited and the use is non-commercial. See: http://creativecommons.org/licenses/by-nc/4.0/</w:t>
      </w:r>
      <w:bookmarkEnd w:id="10"/>
      <w:bookmarkEnd w:id="11"/>
      <w:bookmarkEnd w:id="12"/>
      <w:bookmarkEnd w:id="13"/>
    </w:p>
    <w:p w14:paraId="5CFB5C70" w14:textId="77777777" w:rsidR="00CF0996" w:rsidRPr="003610D2" w:rsidRDefault="00CF0996" w:rsidP="00CF0996">
      <w:pPr>
        <w:spacing w:after="0" w:line="360" w:lineRule="auto"/>
        <w:rPr>
          <w:rFonts w:ascii="Book Antiqua" w:eastAsia="SimSun" w:hAnsi="Book Antiqua" w:cs="Times New Roman"/>
          <w:b/>
          <w:sz w:val="24"/>
          <w:szCs w:val="24"/>
          <w:lang w:eastAsia="zh-CN"/>
        </w:rPr>
      </w:pPr>
      <w:bookmarkStart w:id="15" w:name="_Hlk17899658"/>
      <w:bookmarkEnd w:id="14"/>
    </w:p>
    <w:p w14:paraId="32162143" w14:textId="77777777" w:rsidR="00CF0996" w:rsidRPr="003610D2" w:rsidRDefault="00CF0996" w:rsidP="00CF0996">
      <w:pPr>
        <w:spacing w:after="0" w:line="360" w:lineRule="auto"/>
        <w:rPr>
          <w:rFonts w:ascii="Book Antiqua" w:eastAsia="SimSun" w:hAnsi="Book Antiqua" w:cs="Times New Roman"/>
          <w:b/>
          <w:sz w:val="24"/>
          <w:szCs w:val="24"/>
          <w:lang w:eastAsia="zh-CN"/>
        </w:rPr>
      </w:pPr>
      <w:r w:rsidRPr="003610D2">
        <w:rPr>
          <w:rFonts w:ascii="Book Antiqua" w:eastAsia="SimSun" w:hAnsi="Book Antiqua" w:cs="Times New Roman"/>
          <w:b/>
          <w:sz w:val="24"/>
          <w:szCs w:val="24"/>
          <w:lang w:eastAsia="zh-CN"/>
        </w:rPr>
        <w:t xml:space="preserve">Manuscript source: </w:t>
      </w:r>
      <w:r w:rsidRPr="003610D2">
        <w:rPr>
          <w:rFonts w:ascii="Book Antiqua" w:eastAsia="SimSun" w:hAnsi="Book Antiqua" w:cs="Times New Roman"/>
          <w:sz w:val="24"/>
          <w:szCs w:val="24"/>
          <w:lang w:eastAsia="zh-CN"/>
        </w:rPr>
        <w:t>Unsolicited manuscript</w:t>
      </w:r>
      <w:bookmarkEnd w:id="15"/>
    </w:p>
    <w:p w14:paraId="1AF08B2C"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2D61DC5F" w14:textId="2AEA1065" w:rsidR="00B0780E" w:rsidRPr="003610D2" w:rsidRDefault="002F03DD" w:rsidP="00F61D5F">
      <w:pPr>
        <w:adjustRightInd w:val="0"/>
        <w:snapToGrid w:val="0"/>
        <w:spacing w:after="0" w:line="360" w:lineRule="auto"/>
        <w:jc w:val="both"/>
        <w:rPr>
          <w:rFonts w:ascii="Book Antiqua" w:hAnsi="Book Antiqua"/>
          <w:sz w:val="24"/>
          <w:szCs w:val="24"/>
        </w:rPr>
      </w:pPr>
      <w:bookmarkStart w:id="16" w:name="OLE_LINK294"/>
      <w:bookmarkStart w:id="17" w:name="OLE_LINK295"/>
      <w:bookmarkStart w:id="18" w:name="OLE_LINK15"/>
      <w:bookmarkStart w:id="19" w:name="OLE_LINK16"/>
      <w:bookmarkStart w:id="20" w:name="OLE_LINK56"/>
      <w:bookmarkStart w:id="21" w:name="OLE_LINK816"/>
      <w:r w:rsidRPr="003610D2">
        <w:rPr>
          <w:rFonts w:ascii="Book Antiqua" w:hAnsi="Book Antiqua" w:cs="Times New Roman"/>
          <w:b/>
          <w:bCs/>
          <w:color w:val="000000" w:themeColor="text1"/>
          <w:sz w:val="24"/>
          <w:szCs w:val="24"/>
          <w:highlight w:val="white"/>
          <w:lang w:eastAsia="zh-CN"/>
        </w:rPr>
        <w:t>Corresponding author:</w:t>
      </w:r>
      <w:bookmarkEnd w:id="16"/>
      <w:bookmarkEnd w:id="17"/>
      <w:bookmarkEnd w:id="18"/>
      <w:bookmarkEnd w:id="19"/>
      <w:bookmarkEnd w:id="20"/>
      <w:bookmarkEnd w:id="21"/>
      <w:r w:rsidR="00B0780E" w:rsidRPr="003610D2">
        <w:rPr>
          <w:rFonts w:ascii="Book Antiqua" w:hAnsi="Book Antiqua"/>
          <w:b/>
          <w:sz w:val="24"/>
          <w:szCs w:val="24"/>
        </w:rPr>
        <w:t xml:space="preserve"> </w:t>
      </w:r>
      <w:r w:rsidR="00B0780E" w:rsidRPr="003610D2">
        <w:rPr>
          <w:rFonts w:ascii="Book Antiqua" w:hAnsi="Book Antiqua"/>
          <w:b/>
          <w:bCs/>
          <w:sz w:val="24"/>
          <w:szCs w:val="24"/>
        </w:rPr>
        <w:t xml:space="preserve">Katherine </w:t>
      </w:r>
      <w:proofErr w:type="spellStart"/>
      <w:r w:rsidR="00B0780E" w:rsidRPr="003610D2">
        <w:rPr>
          <w:rFonts w:ascii="Book Antiqua" w:hAnsi="Book Antiqua"/>
          <w:b/>
          <w:bCs/>
          <w:sz w:val="24"/>
          <w:szCs w:val="24"/>
        </w:rPr>
        <w:t>Kutney</w:t>
      </w:r>
      <w:proofErr w:type="spellEnd"/>
      <w:r w:rsidR="00CF0996" w:rsidRPr="003610D2">
        <w:rPr>
          <w:rFonts w:ascii="Book Antiqua" w:hAnsi="Book Antiqua"/>
          <w:b/>
          <w:bCs/>
          <w:sz w:val="24"/>
          <w:szCs w:val="24"/>
        </w:rPr>
        <w:t>,</w:t>
      </w:r>
      <w:r w:rsidR="00B0780E" w:rsidRPr="003610D2">
        <w:rPr>
          <w:rFonts w:ascii="Book Antiqua" w:hAnsi="Book Antiqua"/>
          <w:b/>
          <w:bCs/>
          <w:sz w:val="24"/>
          <w:szCs w:val="24"/>
        </w:rPr>
        <w:t xml:space="preserve"> MD,</w:t>
      </w:r>
      <w:r w:rsidR="00977D22" w:rsidRPr="003610D2">
        <w:rPr>
          <w:rFonts w:ascii="Book Antiqua" w:hAnsi="Book Antiqua"/>
          <w:b/>
          <w:bCs/>
          <w:sz w:val="24"/>
          <w:szCs w:val="24"/>
        </w:rPr>
        <w:t xml:space="preserve"> Assistant Professor,</w:t>
      </w:r>
      <w:r w:rsidR="00B0780E" w:rsidRPr="003610D2">
        <w:rPr>
          <w:rFonts w:ascii="Book Antiqua" w:hAnsi="Book Antiqua"/>
          <w:b/>
          <w:bCs/>
          <w:sz w:val="24"/>
          <w:szCs w:val="24"/>
        </w:rPr>
        <w:t xml:space="preserve"> </w:t>
      </w:r>
      <w:bookmarkStart w:id="22" w:name="OLE_LINK651"/>
      <w:bookmarkStart w:id="23" w:name="OLE_LINK652"/>
      <w:r w:rsidR="00B0780E" w:rsidRPr="003610D2">
        <w:rPr>
          <w:rFonts w:ascii="Book Antiqua" w:hAnsi="Book Antiqua"/>
          <w:sz w:val="24"/>
          <w:szCs w:val="24"/>
        </w:rPr>
        <w:t xml:space="preserve">Department of Pediatric Endocrinology, </w:t>
      </w:r>
      <w:bookmarkEnd w:id="22"/>
      <w:bookmarkEnd w:id="23"/>
      <w:r w:rsidR="00B0780E" w:rsidRPr="003610D2">
        <w:rPr>
          <w:rFonts w:ascii="Book Antiqua" w:hAnsi="Book Antiqua"/>
          <w:sz w:val="24"/>
          <w:szCs w:val="24"/>
        </w:rPr>
        <w:t>University Hospitals Cleveland Medical Center, 11100 Euclid Ave., Suite 737, Cleveland, OH 44106</w:t>
      </w:r>
      <w:r w:rsidR="00CF0996" w:rsidRPr="003610D2">
        <w:rPr>
          <w:rFonts w:ascii="Book Antiqua" w:hAnsi="Book Antiqua"/>
          <w:sz w:val="24"/>
          <w:szCs w:val="24"/>
        </w:rPr>
        <w:t>, United States.</w:t>
      </w:r>
      <w:r w:rsidR="00B0780E" w:rsidRPr="003610D2">
        <w:rPr>
          <w:rFonts w:ascii="Book Antiqua" w:hAnsi="Book Antiqua"/>
          <w:sz w:val="24"/>
          <w:szCs w:val="24"/>
        </w:rPr>
        <w:t xml:space="preserve"> </w:t>
      </w:r>
      <w:r w:rsidR="00CF0996" w:rsidRPr="003610D2">
        <w:rPr>
          <w:rFonts w:ascii="Book Antiqua" w:hAnsi="Book Antiqua"/>
          <w:sz w:val="24"/>
          <w:szCs w:val="24"/>
        </w:rPr>
        <w:t>katherine.kutney@uhhospitals.org</w:t>
      </w:r>
    </w:p>
    <w:p w14:paraId="56D26F04" w14:textId="531C444E" w:rsidR="00B0780E" w:rsidRPr="003610D2" w:rsidRDefault="00CF0996"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Telep</w:t>
      </w:r>
      <w:r w:rsidR="00B0780E" w:rsidRPr="003610D2">
        <w:rPr>
          <w:rFonts w:ascii="Book Antiqua" w:hAnsi="Book Antiqua"/>
          <w:b/>
          <w:sz w:val="24"/>
          <w:szCs w:val="24"/>
        </w:rPr>
        <w:t>hone:</w:t>
      </w:r>
      <w:r w:rsidR="00B0780E" w:rsidRPr="003610D2">
        <w:rPr>
          <w:rFonts w:ascii="Book Antiqua" w:hAnsi="Book Antiqua"/>
          <w:sz w:val="24"/>
          <w:szCs w:val="24"/>
        </w:rPr>
        <w:t xml:space="preserve"> </w:t>
      </w:r>
      <w:r w:rsidRPr="003610D2">
        <w:rPr>
          <w:rFonts w:ascii="Book Antiqua" w:hAnsi="Book Antiqua"/>
          <w:sz w:val="24"/>
          <w:szCs w:val="24"/>
        </w:rPr>
        <w:t>+1-</w:t>
      </w:r>
      <w:r w:rsidR="00B0780E" w:rsidRPr="003610D2">
        <w:rPr>
          <w:rFonts w:ascii="Book Antiqua" w:hAnsi="Book Antiqua"/>
          <w:sz w:val="24"/>
          <w:szCs w:val="24"/>
        </w:rPr>
        <w:t>216-8443661</w:t>
      </w:r>
    </w:p>
    <w:p w14:paraId="63E3E810" w14:textId="69F5489F" w:rsidR="00B04C90" w:rsidRPr="003610D2" w:rsidRDefault="00B0780E" w:rsidP="00F61D5F">
      <w:pPr>
        <w:adjustRightInd w:val="0"/>
        <w:snapToGrid w:val="0"/>
        <w:spacing w:after="0" w:line="360" w:lineRule="auto"/>
        <w:jc w:val="both"/>
        <w:rPr>
          <w:rFonts w:ascii="Book Antiqua" w:hAnsi="Book Antiqua"/>
          <w:bCs/>
          <w:sz w:val="24"/>
          <w:szCs w:val="24"/>
        </w:rPr>
      </w:pPr>
      <w:r w:rsidRPr="003610D2">
        <w:rPr>
          <w:rFonts w:ascii="Book Antiqua" w:hAnsi="Book Antiqua"/>
          <w:b/>
          <w:sz w:val="24"/>
          <w:szCs w:val="24"/>
        </w:rPr>
        <w:t xml:space="preserve">Fax: </w:t>
      </w:r>
      <w:r w:rsidR="00CF0996" w:rsidRPr="003610D2">
        <w:rPr>
          <w:rFonts w:ascii="Book Antiqua" w:hAnsi="Book Antiqua"/>
          <w:bCs/>
          <w:sz w:val="24"/>
          <w:szCs w:val="24"/>
        </w:rPr>
        <w:t>+1-</w:t>
      </w:r>
      <w:r w:rsidRPr="003610D2">
        <w:rPr>
          <w:rFonts w:ascii="Book Antiqua" w:hAnsi="Book Antiqua"/>
          <w:bCs/>
          <w:sz w:val="24"/>
          <w:szCs w:val="24"/>
        </w:rPr>
        <w:t>216-8448900</w:t>
      </w:r>
    </w:p>
    <w:p w14:paraId="592D96BD" w14:textId="7AB78B0F" w:rsidR="00825B58" w:rsidRPr="003610D2" w:rsidRDefault="00825B58" w:rsidP="00F61D5F">
      <w:pPr>
        <w:adjustRightInd w:val="0"/>
        <w:snapToGrid w:val="0"/>
        <w:spacing w:after="0" w:line="360" w:lineRule="auto"/>
        <w:jc w:val="both"/>
        <w:rPr>
          <w:rFonts w:ascii="Book Antiqua" w:hAnsi="Book Antiqua"/>
          <w:sz w:val="24"/>
          <w:szCs w:val="24"/>
        </w:rPr>
      </w:pPr>
    </w:p>
    <w:p w14:paraId="7EAEC5BE" w14:textId="5F552A1F" w:rsidR="00D56B12" w:rsidRPr="003610D2" w:rsidRDefault="00D56B12" w:rsidP="00D56B12">
      <w:pPr>
        <w:spacing w:after="0" w:line="360" w:lineRule="auto"/>
        <w:rPr>
          <w:rFonts w:ascii="Book Antiqua" w:eastAsia="SimSun" w:hAnsi="Book Antiqua" w:cs="SimSun"/>
          <w:b/>
          <w:sz w:val="24"/>
          <w:szCs w:val="24"/>
          <w:lang w:eastAsia="zh-CN"/>
        </w:rPr>
      </w:pPr>
      <w:r w:rsidRPr="003610D2">
        <w:rPr>
          <w:rFonts w:ascii="Book Antiqua" w:eastAsia="SimSun" w:hAnsi="Book Antiqua" w:cs="SimSun"/>
          <w:b/>
          <w:sz w:val="24"/>
          <w:szCs w:val="24"/>
          <w:lang w:eastAsia="zh-CN"/>
        </w:rPr>
        <w:t xml:space="preserve">Received: </w:t>
      </w:r>
      <w:r w:rsidRPr="003610D2">
        <w:rPr>
          <w:rFonts w:ascii="Book Antiqua" w:eastAsia="SimSun" w:hAnsi="Book Antiqua" w:cs="SimSun"/>
          <w:bCs/>
          <w:sz w:val="24"/>
          <w:szCs w:val="24"/>
          <w:lang w:eastAsia="zh-CN"/>
        </w:rPr>
        <w:t xml:space="preserve">September 4, 2019 </w:t>
      </w:r>
    </w:p>
    <w:p w14:paraId="11E50DFA" w14:textId="089A5426" w:rsidR="00D56B12" w:rsidRPr="003610D2" w:rsidRDefault="00D56B12" w:rsidP="00D56B12">
      <w:pPr>
        <w:spacing w:after="0" w:line="360" w:lineRule="auto"/>
        <w:rPr>
          <w:rFonts w:ascii="Book Antiqua" w:eastAsia="SimSun" w:hAnsi="Book Antiqua" w:cs="SimSun"/>
          <w:b/>
          <w:sz w:val="24"/>
          <w:szCs w:val="24"/>
          <w:lang w:eastAsia="zh-CN"/>
        </w:rPr>
      </w:pPr>
      <w:r w:rsidRPr="003610D2">
        <w:rPr>
          <w:rFonts w:ascii="Book Antiqua" w:eastAsia="SimSun" w:hAnsi="Book Antiqua" w:cs="SimSun"/>
          <w:b/>
          <w:sz w:val="24"/>
          <w:szCs w:val="24"/>
          <w:lang w:eastAsia="zh-CN"/>
        </w:rPr>
        <w:t xml:space="preserve">Peer-review started: </w:t>
      </w:r>
      <w:r w:rsidRPr="003610D2">
        <w:rPr>
          <w:rFonts w:ascii="Book Antiqua" w:eastAsia="SimSun" w:hAnsi="Book Antiqua" w:cs="SimSun"/>
          <w:bCs/>
          <w:sz w:val="24"/>
          <w:szCs w:val="24"/>
          <w:lang w:eastAsia="zh-CN"/>
        </w:rPr>
        <w:t>September 4, 2019</w:t>
      </w:r>
    </w:p>
    <w:p w14:paraId="1B55DE5A" w14:textId="701C7FE5" w:rsidR="00D56B12" w:rsidRPr="003610D2" w:rsidRDefault="00D56B12" w:rsidP="00D56B12">
      <w:pPr>
        <w:spacing w:after="0" w:line="360" w:lineRule="auto"/>
        <w:rPr>
          <w:rFonts w:ascii="Book Antiqua" w:eastAsia="SimSun" w:hAnsi="Book Antiqua" w:cs="SimSun"/>
          <w:bCs/>
          <w:sz w:val="24"/>
          <w:szCs w:val="24"/>
          <w:lang w:eastAsia="zh-CN"/>
        </w:rPr>
      </w:pPr>
      <w:r w:rsidRPr="003610D2">
        <w:rPr>
          <w:rFonts w:ascii="Book Antiqua" w:eastAsia="SimSun" w:hAnsi="Book Antiqua" w:cs="SimSun"/>
          <w:b/>
          <w:sz w:val="24"/>
          <w:szCs w:val="24"/>
          <w:lang w:eastAsia="zh-CN"/>
        </w:rPr>
        <w:t xml:space="preserve">First decision: </w:t>
      </w:r>
      <w:bookmarkStart w:id="24" w:name="OLE_LINK655"/>
      <w:bookmarkStart w:id="25" w:name="OLE_LINK656"/>
      <w:r w:rsidRPr="003610D2">
        <w:rPr>
          <w:rFonts w:ascii="Book Antiqua" w:eastAsia="SimSun" w:hAnsi="Book Antiqua" w:cs="SimSun"/>
          <w:bCs/>
          <w:sz w:val="24"/>
          <w:szCs w:val="24"/>
          <w:lang w:eastAsia="zh-CN"/>
        </w:rPr>
        <w:t>October 14</w:t>
      </w:r>
      <w:bookmarkEnd w:id="24"/>
      <w:bookmarkEnd w:id="25"/>
      <w:r w:rsidRPr="003610D2">
        <w:rPr>
          <w:rFonts w:ascii="Book Antiqua" w:eastAsia="SimSun" w:hAnsi="Book Antiqua" w:cs="SimSun"/>
          <w:bCs/>
          <w:sz w:val="24"/>
          <w:szCs w:val="24"/>
          <w:lang w:eastAsia="zh-CN"/>
        </w:rPr>
        <w:t>, 2019</w:t>
      </w:r>
    </w:p>
    <w:p w14:paraId="483FF4D1" w14:textId="1B8022E2" w:rsidR="00D56B12" w:rsidRPr="003610D2" w:rsidRDefault="00D56B12" w:rsidP="00D56B12">
      <w:pPr>
        <w:spacing w:after="0" w:line="360" w:lineRule="auto"/>
        <w:rPr>
          <w:rFonts w:ascii="Book Antiqua" w:eastAsia="SimSun" w:hAnsi="Book Antiqua" w:cs="SimSun"/>
          <w:b/>
          <w:sz w:val="24"/>
          <w:szCs w:val="24"/>
          <w:lang w:eastAsia="zh-CN"/>
        </w:rPr>
      </w:pPr>
      <w:r w:rsidRPr="003610D2">
        <w:rPr>
          <w:rFonts w:ascii="Book Antiqua" w:eastAsia="SimSun" w:hAnsi="Book Antiqua" w:cs="SimSun"/>
          <w:b/>
          <w:sz w:val="24"/>
          <w:szCs w:val="24"/>
          <w:lang w:eastAsia="zh-CN"/>
        </w:rPr>
        <w:t xml:space="preserve">Revised: </w:t>
      </w:r>
      <w:r w:rsidR="00F14FDA" w:rsidRPr="003610D2">
        <w:rPr>
          <w:rFonts w:ascii="Book Antiqua" w:eastAsia="SimSun" w:hAnsi="Book Antiqua" w:cs="SimSun"/>
          <w:bCs/>
          <w:sz w:val="24"/>
          <w:szCs w:val="24"/>
          <w:lang w:eastAsia="zh-CN"/>
        </w:rPr>
        <w:t>October 28</w:t>
      </w:r>
      <w:r w:rsidRPr="003610D2">
        <w:rPr>
          <w:rFonts w:ascii="Book Antiqua" w:eastAsia="SimSun" w:hAnsi="Book Antiqua" w:cs="SimSun"/>
          <w:sz w:val="24"/>
          <w:szCs w:val="24"/>
          <w:lang w:eastAsia="zh-CN"/>
        </w:rPr>
        <w:t>, 2019</w:t>
      </w:r>
    </w:p>
    <w:p w14:paraId="589FD2C3" w14:textId="6E79A132" w:rsidR="00D56B12" w:rsidRPr="003610D2" w:rsidRDefault="00D56B12" w:rsidP="00D56B12">
      <w:pPr>
        <w:spacing w:after="0" w:line="360" w:lineRule="auto"/>
        <w:rPr>
          <w:rFonts w:ascii="Book Antiqua" w:eastAsia="SimSun" w:hAnsi="Book Antiqua" w:cs="SimSun"/>
          <w:b/>
          <w:sz w:val="24"/>
          <w:szCs w:val="24"/>
          <w:lang w:eastAsia="zh-CN"/>
        </w:rPr>
      </w:pPr>
      <w:r w:rsidRPr="003610D2">
        <w:rPr>
          <w:rFonts w:ascii="Book Antiqua" w:eastAsia="SimSun" w:hAnsi="Book Antiqua" w:cs="SimSun"/>
          <w:b/>
          <w:sz w:val="24"/>
          <w:szCs w:val="24"/>
          <w:lang w:eastAsia="zh-CN"/>
        </w:rPr>
        <w:t xml:space="preserve">Accepted: </w:t>
      </w:r>
      <w:r w:rsidR="004E06F0" w:rsidRPr="0047722F">
        <w:rPr>
          <w:rFonts w:ascii="Book Antiqua" w:eastAsia="SimSun" w:hAnsi="Book Antiqua" w:cs="SimSun"/>
          <w:bCs/>
          <w:sz w:val="24"/>
          <w:szCs w:val="24"/>
          <w:lang w:eastAsia="zh-CN"/>
        </w:rPr>
        <w:t>November 25, 2019</w:t>
      </w:r>
    </w:p>
    <w:p w14:paraId="06655EB5" w14:textId="77777777" w:rsidR="00D56B12" w:rsidRPr="003610D2" w:rsidRDefault="00D56B12" w:rsidP="00D56B12">
      <w:pPr>
        <w:spacing w:after="0" w:line="360" w:lineRule="auto"/>
        <w:rPr>
          <w:rFonts w:ascii="Book Antiqua" w:eastAsia="SimSun" w:hAnsi="Book Antiqua" w:cs="SimSun"/>
          <w:b/>
          <w:sz w:val="24"/>
          <w:szCs w:val="24"/>
          <w:lang w:eastAsia="zh-CN"/>
        </w:rPr>
      </w:pPr>
      <w:r w:rsidRPr="003610D2">
        <w:rPr>
          <w:rFonts w:ascii="Book Antiqua" w:eastAsia="SimSun" w:hAnsi="Book Antiqua" w:cs="SimSun"/>
          <w:b/>
          <w:sz w:val="24"/>
          <w:szCs w:val="24"/>
          <w:lang w:eastAsia="zh-CN"/>
        </w:rPr>
        <w:t>Article in press:</w:t>
      </w:r>
    </w:p>
    <w:p w14:paraId="79EEED63" w14:textId="77777777" w:rsidR="00D56B12" w:rsidRPr="003610D2" w:rsidRDefault="00D56B12" w:rsidP="00D56B12">
      <w:pPr>
        <w:spacing w:after="0" w:line="360" w:lineRule="auto"/>
        <w:rPr>
          <w:rFonts w:ascii="Book Antiqua" w:eastAsia="SimSun" w:hAnsi="Book Antiqua" w:cs="SimSun"/>
          <w:sz w:val="24"/>
          <w:szCs w:val="24"/>
          <w:lang w:eastAsia="zh-CN"/>
        </w:rPr>
      </w:pPr>
      <w:r w:rsidRPr="003610D2">
        <w:rPr>
          <w:rFonts w:ascii="Book Antiqua" w:eastAsia="SimSun" w:hAnsi="Book Antiqua" w:cs="SimSun"/>
          <w:b/>
          <w:sz w:val="24"/>
          <w:szCs w:val="24"/>
          <w:lang w:eastAsia="zh-CN"/>
        </w:rPr>
        <w:t>Published online:</w:t>
      </w:r>
    </w:p>
    <w:p w14:paraId="6E5EB728"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63EC48F3" w14:textId="77777777" w:rsidR="00CF0996" w:rsidRPr="003610D2" w:rsidRDefault="00CF0996">
      <w:pPr>
        <w:rPr>
          <w:rFonts w:ascii="Book Antiqua" w:hAnsi="Book Antiqua"/>
          <w:b/>
          <w:sz w:val="24"/>
          <w:szCs w:val="24"/>
        </w:rPr>
      </w:pPr>
      <w:r w:rsidRPr="003610D2">
        <w:rPr>
          <w:rFonts w:ascii="Book Antiqua" w:hAnsi="Book Antiqua"/>
          <w:b/>
          <w:sz w:val="24"/>
          <w:szCs w:val="24"/>
        </w:rPr>
        <w:br w:type="page"/>
      </w:r>
    </w:p>
    <w:p w14:paraId="127682EF" w14:textId="758184D4" w:rsidR="00187276" w:rsidRPr="003610D2" w:rsidRDefault="00977D22"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lastRenderedPageBreak/>
        <w:t>A</w:t>
      </w:r>
      <w:r w:rsidR="00F14FDA" w:rsidRPr="003610D2">
        <w:rPr>
          <w:rFonts w:ascii="Book Antiqua" w:hAnsi="Book Antiqua"/>
          <w:b/>
          <w:sz w:val="24"/>
          <w:szCs w:val="24"/>
        </w:rPr>
        <w:t>bstract</w:t>
      </w:r>
    </w:p>
    <w:p w14:paraId="57F5E542" w14:textId="356CA175" w:rsidR="00C2328D" w:rsidRPr="003610D2" w:rsidRDefault="00F14FDA" w:rsidP="00F61D5F">
      <w:pPr>
        <w:adjustRightInd w:val="0"/>
        <w:snapToGrid w:val="0"/>
        <w:spacing w:after="0" w:line="360" w:lineRule="auto"/>
        <w:jc w:val="both"/>
        <w:rPr>
          <w:rFonts w:ascii="Book Antiqua" w:hAnsi="Book Antiqua"/>
          <w:b/>
          <w:bCs/>
          <w:i/>
          <w:sz w:val="24"/>
          <w:szCs w:val="24"/>
        </w:rPr>
      </w:pPr>
      <w:r w:rsidRPr="003610D2">
        <w:rPr>
          <w:rFonts w:ascii="Book Antiqua" w:hAnsi="Book Antiqua"/>
          <w:b/>
          <w:bCs/>
          <w:i/>
          <w:sz w:val="24"/>
          <w:szCs w:val="24"/>
        </w:rPr>
        <w:t>BACKGROUND</w:t>
      </w:r>
    </w:p>
    <w:p w14:paraId="0F690273" w14:textId="2F534369" w:rsidR="00C2328D" w:rsidRPr="003610D2" w:rsidRDefault="00777662"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 xml:space="preserve">Hepatic steatosis is </w:t>
      </w:r>
      <w:r w:rsidR="00FE34CD" w:rsidRPr="003610D2">
        <w:rPr>
          <w:rFonts w:ascii="Book Antiqua" w:hAnsi="Book Antiqua"/>
          <w:sz w:val="24"/>
          <w:szCs w:val="24"/>
        </w:rPr>
        <w:t xml:space="preserve">a </w:t>
      </w:r>
      <w:r w:rsidRPr="003610D2">
        <w:rPr>
          <w:rFonts w:ascii="Book Antiqua" w:hAnsi="Book Antiqua"/>
          <w:sz w:val="24"/>
          <w:szCs w:val="24"/>
        </w:rPr>
        <w:t>common</w:t>
      </w:r>
      <w:r w:rsidR="00FC535E" w:rsidRPr="003610D2">
        <w:rPr>
          <w:rFonts w:ascii="Book Antiqua" w:hAnsi="Book Antiqua"/>
          <w:sz w:val="24"/>
          <w:szCs w:val="24"/>
        </w:rPr>
        <w:t xml:space="preserve"> form of cystic fi</w:t>
      </w:r>
      <w:r w:rsidR="005E1FB5" w:rsidRPr="003610D2">
        <w:rPr>
          <w:rFonts w:ascii="Book Antiqua" w:hAnsi="Book Antiqua"/>
          <w:sz w:val="24"/>
          <w:szCs w:val="24"/>
        </w:rPr>
        <w:t>brosis associated liver disease</w:t>
      </w:r>
      <w:r w:rsidR="00B97C31" w:rsidRPr="003610D2">
        <w:rPr>
          <w:rFonts w:ascii="Book Antiqua" w:hAnsi="Book Antiqua"/>
          <w:sz w:val="24"/>
          <w:szCs w:val="24"/>
        </w:rPr>
        <w:t xml:space="preserve"> (CFLD)</w:t>
      </w:r>
      <w:r w:rsidR="00933FE2" w:rsidRPr="003610D2">
        <w:rPr>
          <w:rFonts w:ascii="Book Antiqua" w:hAnsi="Book Antiqua"/>
          <w:sz w:val="24"/>
          <w:szCs w:val="24"/>
        </w:rPr>
        <w:t xml:space="preserve"> seen in an estimated </w:t>
      </w:r>
      <w:r w:rsidR="00FC535E" w:rsidRPr="003610D2">
        <w:rPr>
          <w:rFonts w:ascii="Book Antiqua" w:hAnsi="Book Antiqua"/>
          <w:sz w:val="24"/>
          <w:szCs w:val="24"/>
        </w:rPr>
        <w:t>15</w:t>
      </w:r>
      <w:r w:rsidR="00CA0100" w:rsidRPr="003610D2">
        <w:rPr>
          <w:rFonts w:ascii="Book Antiqua" w:hAnsi="Book Antiqua"/>
          <w:sz w:val="24"/>
          <w:szCs w:val="24"/>
        </w:rPr>
        <w:t>%</w:t>
      </w:r>
      <w:r w:rsidR="00FC535E" w:rsidRPr="003610D2">
        <w:rPr>
          <w:rFonts w:ascii="Book Antiqua" w:hAnsi="Book Antiqua"/>
          <w:sz w:val="24"/>
          <w:szCs w:val="24"/>
        </w:rPr>
        <w:t>-60% of pa</w:t>
      </w:r>
      <w:r w:rsidR="005E1FB5" w:rsidRPr="003610D2">
        <w:rPr>
          <w:rFonts w:ascii="Book Antiqua" w:hAnsi="Book Antiqua"/>
          <w:sz w:val="24"/>
          <w:szCs w:val="24"/>
        </w:rPr>
        <w:t>tients with cystic fibrosis</w:t>
      </w:r>
      <w:r w:rsidR="00E97327" w:rsidRPr="003610D2">
        <w:rPr>
          <w:rFonts w:ascii="Book Antiqua" w:hAnsi="Book Antiqua"/>
          <w:sz w:val="24"/>
          <w:szCs w:val="24"/>
        </w:rPr>
        <w:t xml:space="preserve"> (CF)</w:t>
      </w:r>
      <w:r w:rsidR="005E1FB5" w:rsidRPr="003610D2">
        <w:rPr>
          <w:rFonts w:ascii="Book Antiqua" w:hAnsi="Book Antiqua"/>
          <w:sz w:val="24"/>
          <w:szCs w:val="24"/>
        </w:rPr>
        <w:t xml:space="preserve">. </w:t>
      </w:r>
      <w:r w:rsidR="00FC535E" w:rsidRPr="003610D2">
        <w:rPr>
          <w:rFonts w:ascii="Book Antiqua" w:hAnsi="Book Antiqua"/>
          <w:sz w:val="24"/>
          <w:szCs w:val="24"/>
        </w:rPr>
        <w:t>The</w:t>
      </w:r>
      <w:r w:rsidRPr="003610D2">
        <w:rPr>
          <w:rFonts w:ascii="Book Antiqua" w:hAnsi="Book Antiqua"/>
          <w:sz w:val="24"/>
          <w:szCs w:val="24"/>
        </w:rPr>
        <w:t xml:space="preserve"> pathophysiology and health implications of </w:t>
      </w:r>
      <w:r w:rsidR="0064010D" w:rsidRPr="003610D2">
        <w:rPr>
          <w:rFonts w:ascii="Book Antiqua" w:hAnsi="Book Antiqua"/>
          <w:sz w:val="24"/>
          <w:szCs w:val="24"/>
        </w:rPr>
        <w:t xml:space="preserve">hepatic </w:t>
      </w:r>
      <w:r w:rsidRPr="003610D2">
        <w:rPr>
          <w:rFonts w:ascii="Book Antiqua" w:hAnsi="Book Antiqua"/>
          <w:sz w:val="24"/>
          <w:szCs w:val="24"/>
        </w:rPr>
        <w:t>steatosis</w:t>
      </w:r>
      <w:r w:rsidR="00412523" w:rsidRPr="003610D2">
        <w:rPr>
          <w:rFonts w:ascii="Book Antiqua" w:hAnsi="Book Antiqua"/>
          <w:sz w:val="24"/>
          <w:szCs w:val="24"/>
        </w:rPr>
        <w:t xml:space="preserve"> </w:t>
      </w:r>
      <w:r w:rsidR="005E1FB5" w:rsidRPr="003610D2">
        <w:rPr>
          <w:rFonts w:ascii="Book Antiqua" w:hAnsi="Book Antiqua"/>
          <w:sz w:val="24"/>
          <w:szCs w:val="24"/>
        </w:rPr>
        <w:t xml:space="preserve">in </w:t>
      </w:r>
      <w:r w:rsidR="00E97327" w:rsidRPr="003610D2">
        <w:rPr>
          <w:rFonts w:ascii="Book Antiqua" w:hAnsi="Book Antiqua"/>
          <w:sz w:val="24"/>
          <w:szCs w:val="24"/>
        </w:rPr>
        <w:t>cystic fibrosis</w:t>
      </w:r>
      <w:r w:rsidR="00FC535E" w:rsidRPr="003610D2">
        <w:rPr>
          <w:rFonts w:ascii="Book Antiqua" w:hAnsi="Book Antiqua"/>
          <w:sz w:val="24"/>
          <w:szCs w:val="24"/>
        </w:rPr>
        <w:t xml:space="preserve"> </w:t>
      </w:r>
      <w:r w:rsidR="00412523" w:rsidRPr="003610D2">
        <w:rPr>
          <w:rFonts w:ascii="Book Antiqua" w:hAnsi="Book Antiqua"/>
          <w:sz w:val="24"/>
          <w:szCs w:val="24"/>
        </w:rPr>
        <w:t>remain</w:t>
      </w:r>
      <w:r w:rsidRPr="003610D2">
        <w:rPr>
          <w:rFonts w:ascii="Book Antiqua" w:hAnsi="Book Antiqua"/>
          <w:sz w:val="24"/>
          <w:szCs w:val="24"/>
        </w:rPr>
        <w:t xml:space="preserve"> largely</w:t>
      </w:r>
      <w:r w:rsidR="00FE34CD" w:rsidRPr="003610D2">
        <w:rPr>
          <w:rFonts w:ascii="Book Antiqua" w:hAnsi="Book Antiqua"/>
          <w:sz w:val="24"/>
          <w:szCs w:val="24"/>
        </w:rPr>
        <w:t xml:space="preserve"> unknown.</w:t>
      </w:r>
      <w:r w:rsidR="00412523" w:rsidRPr="003610D2">
        <w:rPr>
          <w:rFonts w:ascii="Book Antiqua" w:hAnsi="Book Antiqua"/>
          <w:sz w:val="24"/>
          <w:szCs w:val="24"/>
        </w:rPr>
        <w:t xml:space="preserve"> </w:t>
      </w:r>
      <w:r w:rsidRPr="003610D2">
        <w:rPr>
          <w:rFonts w:ascii="Book Antiqua" w:hAnsi="Book Antiqua"/>
          <w:sz w:val="24"/>
          <w:szCs w:val="24"/>
        </w:rPr>
        <w:t>In the general population, hepatic steatosis is strongly associated with</w:t>
      </w:r>
      <w:r w:rsidR="00BA04F1" w:rsidRPr="003610D2">
        <w:rPr>
          <w:rFonts w:ascii="Book Antiqua" w:hAnsi="Book Antiqua"/>
          <w:sz w:val="24"/>
          <w:szCs w:val="24"/>
        </w:rPr>
        <w:t xml:space="preserve"> insulin resistance and</w:t>
      </w:r>
      <w:r w:rsidR="00FE34CD" w:rsidRPr="003610D2">
        <w:rPr>
          <w:rFonts w:ascii="Book Antiqua" w:hAnsi="Book Antiqua"/>
          <w:sz w:val="24"/>
          <w:szCs w:val="24"/>
        </w:rPr>
        <w:t xml:space="preserve"> type 2 diabetes</w:t>
      </w:r>
      <w:r w:rsidR="005E1FB5" w:rsidRPr="003610D2">
        <w:rPr>
          <w:rFonts w:ascii="Book Antiqua" w:hAnsi="Book Antiqua"/>
          <w:sz w:val="24"/>
          <w:szCs w:val="24"/>
        </w:rPr>
        <w:t xml:space="preserve">. </w:t>
      </w:r>
      <w:r w:rsidR="00FE34CD" w:rsidRPr="003610D2">
        <w:rPr>
          <w:rFonts w:ascii="Book Antiqua" w:hAnsi="Book Antiqua"/>
          <w:sz w:val="24"/>
          <w:szCs w:val="24"/>
        </w:rPr>
        <w:t>Cystic fibrosis related diabetes</w:t>
      </w:r>
      <w:r w:rsidR="00F8477D" w:rsidRPr="003610D2">
        <w:rPr>
          <w:rFonts w:ascii="Book Antiqua" w:hAnsi="Book Antiqua"/>
          <w:sz w:val="24"/>
          <w:szCs w:val="24"/>
        </w:rPr>
        <w:t xml:space="preserve"> </w:t>
      </w:r>
      <w:r w:rsidR="00E97327" w:rsidRPr="003610D2">
        <w:rPr>
          <w:rFonts w:ascii="Book Antiqua" w:hAnsi="Book Antiqua"/>
          <w:sz w:val="24"/>
          <w:szCs w:val="24"/>
        </w:rPr>
        <w:t xml:space="preserve">(CFRD) </w:t>
      </w:r>
      <w:r w:rsidR="00F8477D" w:rsidRPr="003610D2">
        <w:rPr>
          <w:rFonts w:ascii="Book Antiqua" w:hAnsi="Book Antiqua"/>
          <w:sz w:val="24"/>
          <w:szCs w:val="24"/>
        </w:rPr>
        <w:t>impacts 40</w:t>
      </w:r>
      <w:r w:rsidR="00CA0100" w:rsidRPr="003610D2">
        <w:rPr>
          <w:rFonts w:ascii="Book Antiqua" w:hAnsi="Book Antiqua"/>
          <w:sz w:val="24"/>
          <w:szCs w:val="24"/>
        </w:rPr>
        <w:t>%</w:t>
      </w:r>
      <w:r w:rsidR="00F8477D" w:rsidRPr="003610D2">
        <w:rPr>
          <w:rFonts w:ascii="Book Antiqua" w:hAnsi="Book Antiqua"/>
          <w:sz w:val="24"/>
          <w:szCs w:val="24"/>
        </w:rPr>
        <w:t xml:space="preserve">-50% of </w:t>
      </w:r>
      <w:r w:rsidR="00E97327" w:rsidRPr="003610D2">
        <w:rPr>
          <w:rFonts w:ascii="Book Antiqua" w:hAnsi="Book Antiqua"/>
          <w:sz w:val="24"/>
          <w:szCs w:val="24"/>
        </w:rPr>
        <w:t>CF adults</w:t>
      </w:r>
      <w:r w:rsidR="00F8477D" w:rsidRPr="003610D2">
        <w:rPr>
          <w:rFonts w:ascii="Book Antiqua" w:hAnsi="Book Antiqua"/>
          <w:sz w:val="24"/>
          <w:szCs w:val="24"/>
        </w:rPr>
        <w:t xml:space="preserve"> and </w:t>
      </w:r>
      <w:r w:rsidR="00FE34CD" w:rsidRPr="003610D2">
        <w:rPr>
          <w:rFonts w:ascii="Book Antiqua" w:hAnsi="Book Antiqua"/>
          <w:sz w:val="24"/>
          <w:szCs w:val="24"/>
        </w:rPr>
        <w:t xml:space="preserve">is characterized by </w:t>
      </w:r>
      <w:r w:rsidR="00F8477D" w:rsidRPr="003610D2">
        <w:rPr>
          <w:rFonts w:ascii="Book Antiqua" w:hAnsi="Book Antiqua"/>
          <w:sz w:val="24"/>
          <w:szCs w:val="24"/>
        </w:rPr>
        <w:t xml:space="preserve">both </w:t>
      </w:r>
      <w:r w:rsidR="00FE34CD" w:rsidRPr="003610D2">
        <w:rPr>
          <w:rFonts w:ascii="Book Antiqua" w:hAnsi="Book Antiqua"/>
          <w:sz w:val="24"/>
          <w:szCs w:val="24"/>
        </w:rPr>
        <w:t xml:space="preserve">insulin insufficiency and insulin resistance. </w:t>
      </w:r>
      <w:r w:rsidR="0064010D" w:rsidRPr="003610D2">
        <w:rPr>
          <w:rFonts w:ascii="Book Antiqua" w:hAnsi="Book Antiqua"/>
          <w:sz w:val="24"/>
          <w:szCs w:val="24"/>
        </w:rPr>
        <w:t xml:space="preserve">We hypothesized that patients with </w:t>
      </w:r>
      <w:r w:rsidR="00E97327" w:rsidRPr="003610D2">
        <w:rPr>
          <w:rFonts w:ascii="Book Antiqua" w:hAnsi="Book Antiqua"/>
          <w:sz w:val="24"/>
          <w:szCs w:val="24"/>
        </w:rPr>
        <w:t>CFRD</w:t>
      </w:r>
      <w:r w:rsidR="0064010D" w:rsidRPr="003610D2">
        <w:rPr>
          <w:rFonts w:ascii="Book Antiqua" w:hAnsi="Book Antiqua"/>
          <w:sz w:val="24"/>
          <w:szCs w:val="24"/>
        </w:rPr>
        <w:t xml:space="preserve"> would have higher levels of hepatic steatosis</w:t>
      </w:r>
      <w:r w:rsidR="005E1FB5" w:rsidRPr="003610D2">
        <w:rPr>
          <w:rFonts w:ascii="Book Antiqua" w:hAnsi="Book Antiqua"/>
          <w:sz w:val="24"/>
          <w:szCs w:val="24"/>
        </w:rPr>
        <w:t xml:space="preserve"> than cystic fibrosis patients without diabetes</w:t>
      </w:r>
      <w:r w:rsidR="0064010D" w:rsidRPr="003610D2">
        <w:rPr>
          <w:rFonts w:ascii="Book Antiqua" w:hAnsi="Book Antiqua"/>
          <w:sz w:val="24"/>
          <w:szCs w:val="24"/>
        </w:rPr>
        <w:t>.</w:t>
      </w:r>
    </w:p>
    <w:p w14:paraId="284DDEF9" w14:textId="77777777" w:rsidR="00CA0100" w:rsidRPr="003610D2" w:rsidRDefault="00CA0100" w:rsidP="00F61D5F">
      <w:pPr>
        <w:adjustRightInd w:val="0"/>
        <w:snapToGrid w:val="0"/>
        <w:spacing w:after="0" w:line="360" w:lineRule="auto"/>
        <w:jc w:val="both"/>
        <w:rPr>
          <w:rFonts w:ascii="Book Antiqua" w:hAnsi="Book Antiqua"/>
          <w:sz w:val="24"/>
          <w:szCs w:val="24"/>
        </w:rPr>
      </w:pPr>
    </w:p>
    <w:p w14:paraId="2C692474" w14:textId="141E8ACD" w:rsidR="0064010D" w:rsidRPr="003610D2" w:rsidRDefault="00CA0100" w:rsidP="00F61D5F">
      <w:pPr>
        <w:adjustRightInd w:val="0"/>
        <w:snapToGrid w:val="0"/>
        <w:spacing w:after="0" w:line="360" w:lineRule="auto"/>
        <w:jc w:val="both"/>
        <w:rPr>
          <w:rFonts w:ascii="Book Antiqua" w:hAnsi="Book Antiqua"/>
          <w:b/>
          <w:bCs/>
          <w:i/>
          <w:iCs/>
          <w:sz w:val="24"/>
          <w:szCs w:val="24"/>
        </w:rPr>
      </w:pPr>
      <w:r w:rsidRPr="003610D2">
        <w:rPr>
          <w:rFonts w:ascii="Book Antiqua" w:hAnsi="Book Antiqua"/>
          <w:b/>
          <w:bCs/>
          <w:i/>
          <w:iCs/>
          <w:sz w:val="24"/>
          <w:szCs w:val="24"/>
        </w:rPr>
        <w:t>AIM</w:t>
      </w:r>
    </w:p>
    <w:p w14:paraId="021373B0" w14:textId="108D835F" w:rsidR="00F24937" w:rsidRPr="003610D2" w:rsidRDefault="00CA0100" w:rsidP="00CA0100">
      <w:pPr>
        <w:pStyle w:val="ListParagraph"/>
        <w:adjustRightInd w:val="0"/>
        <w:snapToGrid w:val="0"/>
        <w:spacing w:after="0" w:line="360" w:lineRule="auto"/>
        <w:ind w:left="0"/>
        <w:contextualSpacing w:val="0"/>
        <w:jc w:val="both"/>
        <w:rPr>
          <w:rFonts w:ascii="Book Antiqua" w:hAnsi="Book Antiqua"/>
          <w:sz w:val="24"/>
          <w:szCs w:val="24"/>
        </w:rPr>
      </w:pPr>
      <w:r w:rsidRPr="003610D2">
        <w:rPr>
          <w:rFonts w:ascii="Book Antiqua" w:hAnsi="Book Antiqua"/>
          <w:sz w:val="24"/>
          <w:szCs w:val="24"/>
        </w:rPr>
        <w:t>To d</w:t>
      </w:r>
      <w:r w:rsidR="00F24937" w:rsidRPr="003610D2">
        <w:rPr>
          <w:rFonts w:ascii="Book Antiqua" w:hAnsi="Book Antiqua"/>
          <w:sz w:val="24"/>
          <w:szCs w:val="24"/>
        </w:rPr>
        <w:t>etermine whether</w:t>
      </w:r>
      <w:r w:rsidR="00933FE2" w:rsidRPr="003610D2">
        <w:rPr>
          <w:rFonts w:ascii="Book Antiqua" w:hAnsi="Book Antiqua"/>
          <w:sz w:val="24"/>
          <w:szCs w:val="24"/>
        </w:rPr>
        <w:t xml:space="preserve"> </w:t>
      </w:r>
      <w:r w:rsidR="00B97C31" w:rsidRPr="003610D2">
        <w:rPr>
          <w:rFonts w:ascii="Book Antiqua" w:hAnsi="Book Antiqua"/>
          <w:sz w:val="24"/>
          <w:szCs w:val="24"/>
        </w:rPr>
        <w:t xml:space="preserve">CFRD </w:t>
      </w:r>
      <w:r w:rsidR="00933FE2" w:rsidRPr="003610D2">
        <w:rPr>
          <w:rFonts w:ascii="Book Antiqua" w:hAnsi="Book Antiqua"/>
          <w:sz w:val="24"/>
          <w:szCs w:val="24"/>
        </w:rPr>
        <w:t>is ass</w:t>
      </w:r>
      <w:r w:rsidR="00F8477D" w:rsidRPr="003610D2">
        <w:rPr>
          <w:rFonts w:ascii="Book Antiqua" w:hAnsi="Book Antiqua"/>
          <w:sz w:val="24"/>
          <w:szCs w:val="24"/>
        </w:rPr>
        <w:t>oci</w:t>
      </w:r>
      <w:r w:rsidR="00F24937" w:rsidRPr="003610D2">
        <w:rPr>
          <w:rFonts w:ascii="Book Antiqua" w:hAnsi="Book Antiqua"/>
          <w:sz w:val="24"/>
          <w:szCs w:val="24"/>
        </w:rPr>
        <w:t>ated with hepatic steatosis</w:t>
      </w:r>
      <w:r w:rsidRPr="003610D2">
        <w:rPr>
          <w:rFonts w:ascii="Book Antiqua" w:hAnsi="Book Antiqua"/>
          <w:sz w:val="24"/>
          <w:szCs w:val="24"/>
        </w:rPr>
        <w:t xml:space="preserve"> and to</w:t>
      </w:r>
      <w:r w:rsidRPr="003610D2">
        <w:rPr>
          <w:rFonts w:ascii="Book Antiqua" w:hAnsi="Book Antiqua" w:hint="eastAsia"/>
          <w:sz w:val="24"/>
          <w:szCs w:val="24"/>
        </w:rPr>
        <w:t xml:space="preserve"> </w:t>
      </w:r>
      <w:r w:rsidRPr="003610D2">
        <w:rPr>
          <w:rFonts w:ascii="Book Antiqua" w:hAnsi="Book Antiqua"/>
          <w:sz w:val="24"/>
          <w:szCs w:val="24"/>
        </w:rPr>
        <w:t>e</w:t>
      </w:r>
      <w:r w:rsidR="009532E2" w:rsidRPr="003610D2">
        <w:rPr>
          <w:rFonts w:ascii="Book Antiqua" w:hAnsi="Book Antiqua"/>
          <w:sz w:val="24"/>
          <w:szCs w:val="24"/>
        </w:rPr>
        <w:t xml:space="preserve">xplore the impact of lumacaftor/ivacaftor therapy on </w:t>
      </w:r>
      <w:r w:rsidR="00F24937" w:rsidRPr="003610D2">
        <w:rPr>
          <w:rFonts w:ascii="Book Antiqua" w:hAnsi="Book Antiqua"/>
          <w:sz w:val="24"/>
          <w:szCs w:val="24"/>
        </w:rPr>
        <w:t xml:space="preserve">hepatic steatosis in </w:t>
      </w:r>
      <w:r w:rsidR="00B97C31" w:rsidRPr="003610D2">
        <w:rPr>
          <w:rFonts w:ascii="Book Antiqua" w:hAnsi="Book Antiqua"/>
          <w:sz w:val="24"/>
          <w:szCs w:val="24"/>
        </w:rPr>
        <w:t>CF.</w:t>
      </w:r>
    </w:p>
    <w:p w14:paraId="1FF58E68" w14:textId="77777777" w:rsidR="00CA0100" w:rsidRPr="003610D2" w:rsidRDefault="00CA0100" w:rsidP="00CA0100">
      <w:pPr>
        <w:pStyle w:val="ListParagraph"/>
        <w:adjustRightInd w:val="0"/>
        <w:snapToGrid w:val="0"/>
        <w:spacing w:after="0" w:line="360" w:lineRule="auto"/>
        <w:ind w:left="0"/>
        <w:contextualSpacing w:val="0"/>
        <w:jc w:val="both"/>
        <w:rPr>
          <w:rFonts w:ascii="Book Antiqua" w:hAnsi="Book Antiqua"/>
          <w:sz w:val="24"/>
          <w:szCs w:val="24"/>
        </w:rPr>
      </w:pPr>
    </w:p>
    <w:p w14:paraId="6AD3B4F9" w14:textId="276A97DB" w:rsidR="00D07E2C" w:rsidRPr="003610D2" w:rsidRDefault="00CA0100" w:rsidP="00F61D5F">
      <w:pPr>
        <w:adjustRightInd w:val="0"/>
        <w:snapToGrid w:val="0"/>
        <w:spacing w:after="0" w:line="360" w:lineRule="auto"/>
        <w:jc w:val="both"/>
        <w:rPr>
          <w:rFonts w:ascii="Book Antiqua" w:hAnsi="Book Antiqua"/>
          <w:b/>
          <w:bCs/>
          <w:i/>
          <w:iCs/>
          <w:sz w:val="24"/>
          <w:szCs w:val="24"/>
        </w:rPr>
      </w:pPr>
      <w:r w:rsidRPr="003610D2">
        <w:rPr>
          <w:rFonts w:ascii="Book Antiqua" w:hAnsi="Book Antiqua"/>
          <w:b/>
          <w:bCs/>
          <w:i/>
          <w:iCs/>
          <w:sz w:val="24"/>
          <w:szCs w:val="24"/>
        </w:rPr>
        <w:t>METHODS</w:t>
      </w:r>
    </w:p>
    <w:p w14:paraId="0687BB54" w14:textId="59D99000" w:rsidR="00406D90" w:rsidRPr="003610D2" w:rsidRDefault="00D07E2C" w:rsidP="00F61D5F">
      <w:pPr>
        <w:adjustRightInd w:val="0"/>
        <w:snapToGrid w:val="0"/>
        <w:spacing w:after="0" w:line="360" w:lineRule="auto"/>
        <w:jc w:val="both"/>
        <w:rPr>
          <w:rFonts w:ascii="Book Antiqua" w:hAnsi="Book Antiqua"/>
          <w:color w:val="000000" w:themeColor="text1"/>
          <w:sz w:val="24"/>
          <w:szCs w:val="24"/>
        </w:rPr>
      </w:pPr>
      <w:r w:rsidRPr="003610D2">
        <w:rPr>
          <w:rFonts w:ascii="Book Antiqua" w:hAnsi="Book Antiqua"/>
          <w:sz w:val="24"/>
          <w:szCs w:val="24"/>
        </w:rPr>
        <w:t xml:space="preserve">Thirty patients with </w:t>
      </w:r>
      <w:r w:rsidR="00AF23D8" w:rsidRPr="003610D2">
        <w:rPr>
          <w:rFonts w:ascii="Book Antiqua" w:hAnsi="Book Antiqua"/>
          <w:sz w:val="24"/>
          <w:szCs w:val="24"/>
        </w:rPr>
        <w:t>CF</w:t>
      </w:r>
      <w:r w:rsidRPr="003610D2">
        <w:rPr>
          <w:rFonts w:ascii="Book Antiqua" w:hAnsi="Book Antiqua"/>
          <w:sz w:val="24"/>
          <w:szCs w:val="24"/>
        </w:rPr>
        <w:t xml:space="preserve"> were recruited from a tertiary</w:t>
      </w:r>
      <w:r w:rsidR="005F24F9" w:rsidRPr="003610D2">
        <w:rPr>
          <w:rFonts w:ascii="Book Antiqua" w:hAnsi="Book Antiqua"/>
          <w:sz w:val="24"/>
          <w:szCs w:val="24"/>
        </w:rPr>
        <w:t xml:space="preserve"> care</w:t>
      </w:r>
      <w:r w:rsidRPr="003610D2">
        <w:rPr>
          <w:rFonts w:ascii="Book Antiqua" w:hAnsi="Book Antiqua"/>
          <w:sz w:val="24"/>
          <w:szCs w:val="24"/>
        </w:rPr>
        <w:t xml:space="preserve"> medical center for this cross</w:t>
      </w:r>
      <w:r w:rsidR="00CA0100" w:rsidRPr="003610D2">
        <w:rPr>
          <w:rFonts w:ascii="Book Antiqua" w:hAnsi="Book Antiqua"/>
          <w:sz w:val="24"/>
          <w:szCs w:val="24"/>
        </w:rPr>
        <w:t>-</w:t>
      </w:r>
      <w:r w:rsidRPr="003610D2">
        <w:rPr>
          <w:rFonts w:ascii="Book Antiqua" w:hAnsi="Book Antiqua"/>
          <w:sz w:val="24"/>
          <w:szCs w:val="24"/>
        </w:rPr>
        <w:t>sectiona</w:t>
      </w:r>
      <w:r w:rsidR="00E97327" w:rsidRPr="003610D2">
        <w:rPr>
          <w:rFonts w:ascii="Book Antiqua" w:hAnsi="Book Antiqua"/>
          <w:sz w:val="24"/>
          <w:szCs w:val="24"/>
        </w:rPr>
        <w:t xml:space="preserve">l study. Only pancreatic insufficient patients with </w:t>
      </w:r>
      <w:r w:rsidR="00B97C31" w:rsidRPr="003610D2">
        <w:rPr>
          <w:rFonts w:ascii="Book Antiqua" w:hAnsi="Book Antiqua"/>
          <w:sz w:val="24"/>
          <w:szCs w:val="24"/>
        </w:rPr>
        <w:t>CFRD</w:t>
      </w:r>
      <w:r w:rsidR="00E97327" w:rsidRPr="003610D2">
        <w:rPr>
          <w:rFonts w:ascii="Book Antiqua" w:hAnsi="Book Antiqua"/>
          <w:sz w:val="24"/>
          <w:szCs w:val="24"/>
        </w:rPr>
        <w:t xml:space="preserve"> or normal glucose tolerance (NGT) were included. Patients with established CF</w:t>
      </w:r>
      <w:r w:rsidR="00B97C31" w:rsidRPr="003610D2">
        <w:rPr>
          <w:rFonts w:ascii="Book Antiqua" w:hAnsi="Book Antiqua"/>
          <w:sz w:val="24"/>
          <w:szCs w:val="24"/>
        </w:rPr>
        <w:t>LD</w:t>
      </w:r>
      <w:r w:rsidR="00E97327" w:rsidRPr="003610D2">
        <w:rPr>
          <w:rFonts w:ascii="Book Antiqua" w:hAnsi="Book Antiqua"/>
          <w:sz w:val="24"/>
          <w:szCs w:val="24"/>
        </w:rPr>
        <w:t>, end stage lung disease, or persistently elevat</w:t>
      </w:r>
      <w:r w:rsidR="003444FB" w:rsidRPr="003610D2">
        <w:rPr>
          <w:rFonts w:ascii="Book Antiqua" w:hAnsi="Book Antiqua"/>
          <w:sz w:val="24"/>
          <w:szCs w:val="24"/>
        </w:rPr>
        <w:t xml:space="preserve">ed liver enzymes were excluded. </w:t>
      </w:r>
      <w:r w:rsidR="00E97327" w:rsidRPr="003610D2">
        <w:rPr>
          <w:rFonts w:ascii="Book Antiqua" w:hAnsi="Book Antiqua"/>
          <w:sz w:val="24"/>
          <w:szCs w:val="24"/>
        </w:rPr>
        <w:t xml:space="preserve">Mean </w:t>
      </w:r>
      <w:bookmarkStart w:id="26" w:name="OLE_LINK674"/>
      <w:bookmarkStart w:id="27" w:name="OLE_LINK675"/>
      <w:r w:rsidR="00CA0100" w:rsidRPr="003610D2">
        <w:rPr>
          <w:rFonts w:ascii="Book Antiqua" w:hAnsi="Book Antiqua"/>
          <w:sz w:val="24"/>
          <w:szCs w:val="24"/>
        </w:rPr>
        <w:t>magnetic resonance imaging</w:t>
      </w:r>
      <w:r w:rsidR="008F6EC9" w:rsidRPr="003610D2">
        <w:rPr>
          <w:rFonts w:ascii="Book Antiqua" w:hAnsi="Book Antiqua"/>
          <w:sz w:val="24"/>
          <w:szCs w:val="24"/>
        </w:rPr>
        <w:t xml:space="preserve"> (MRI)</w:t>
      </w:r>
      <w:bookmarkEnd w:id="26"/>
      <w:bookmarkEnd w:id="27"/>
      <w:r w:rsidR="00E97327" w:rsidRPr="003610D2">
        <w:rPr>
          <w:rFonts w:ascii="Book Antiqua" w:hAnsi="Book Antiqua"/>
          <w:sz w:val="24"/>
          <w:szCs w:val="24"/>
        </w:rPr>
        <w:t xml:space="preserve"> proton density fat fraction (PDFF) was obtained for all participants. </w:t>
      </w:r>
      <w:r w:rsidR="00BA04F1" w:rsidRPr="003610D2">
        <w:rPr>
          <w:rFonts w:ascii="Book Antiqua" w:hAnsi="Book Antiqua"/>
          <w:sz w:val="24"/>
          <w:szCs w:val="24"/>
        </w:rPr>
        <w:t xml:space="preserve">Clinical characteristics </w:t>
      </w:r>
      <w:r w:rsidR="008F6EC9" w:rsidRPr="003610D2">
        <w:rPr>
          <w:rFonts w:ascii="Book Antiqua" w:hAnsi="Book Antiqua"/>
          <w:sz w:val="24"/>
          <w:szCs w:val="24"/>
        </w:rPr>
        <w:t>[</w:t>
      </w:r>
      <w:r w:rsidRPr="003610D2">
        <w:rPr>
          <w:rFonts w:ascii="Book Antiqua" w:hAnsi="Book Antiqua"/>
          <w:sz w:val="24"/>
          <w:szCs w:val="24"/>
        </w:rPr>
        <w:t xml:space="preserve">age, sex, body mass index, percent predicted </w:t>
      </w:r>
      <w:r w:rsidR="00CA0100" w:rsidRPr="003610D2">
        <w:rPr>
          <w:rFonts w:ascii="Book Antiqua" w:hAnsi="Book Antiqua"/>
          <w:color w:val="000000" w:themeColor="text1"/>
          <w:kern w:val="24"/>
          <w:sz w:val="24"/>
          <w:szCs w:val="24"/>
        </w:rPr>
        <w:t>forced expiratory volume at 1 s</w:t>
      </w:r>
      <w:r w:rsidR="008F6EC9" w:rsidRPr="003610D2">
        <w:rPr>
          <w:rFonts w:ascii="Book Antiqua" w:hAnsi="Book Antiqua"/>
          <w:color w:val="000000" w:themeColor="text1"/>
          <w:kern w:val="24"/>
          <w:sz w:val="24"/>
          <w:szCs w:val="24"/>
        </w:rPr>
        <w:t xml:space="preserve"> (</w:t>
      </w:r>
      <w:r w:rsidR="008F6EC9" w:rsidRPr="003610D2">
        <w:rPr>
          <w:rFonts w:ascii="Book Antiqua" w:hAnsi="Book Antiqua"/>
          <w:sz w:val="24"/>
          <w:szCs w:val="24"/>
        </w:rPr>
        <w:t>FEV1</w:t>
      </w:r>
      <w:r w:rsidR="008F6EC9" w:rsidRPr="003610D2">
        <w:rPr>
          <w:rFonts w:ascii="Book Antiqua" w:hAnsi="Book Antiqua"/>
          <w:color w:val="000000" w:themeColor="text1"/>
          <w:kern w:val="24"/>
          <w:sz w:val="24"/>
          <w:szCs w:val="24"/>
        </w:rPr>
        <w:t>)</w:t>
      </w:r>
      <w:r w:rsidRPr="003610D2">
        <w:rPr>
          <w:rFonts w:ascii="Book Antiqua" w:hAnsi="Book Antiqua"/>
          <w:sz w:val="24"/>
          <w:szCs w:val="24"/>
        </w:rPr>
        <w:t xml:space="preserve">, </w:t>
      </w:r>
      <w:r w:rsidR="00D07CD1" w:rsidRPr="003610D2">
        <w:rPr>
          <w:rFonts w:ascii="Book Antiqua" w:hAnsi="Book Antiqua"/>
          <w:sz w:val="24"/>
          <w:szCs w:val="24"/>
        </w:rPr>
        <w:t>lumacaftor/ivacaftor</w:t>
      </w:r>
      <w:r w:rsidRPr="003610D2">
        <w:rPr>
          <w:rFonts w:ascii="Book Antiqua" w:hAnsi="Book Antiqua"/>
          <w:sz w:val="24"/>
          <w:szCs w:val="24"/>
        </w:rPr>
        <w:t xml:space="preserve"> use</w:t>
      </w:r>
      <w:r w:rsidR="008F6EC9" w:rsidRPr="003610D2">
        <w:rPr>
          <w:rFonts w:ascii="Book Antiqua" w:hAnsi="Book Antiqua"/>
          <w:sz w:val="24"/>
          <w:szCs w:val="24"/>
        </w:rPr>
        <w:t>]</w:t>
      </w:r>
      <w:r w:rsidRPr="003610D2">
        <w:rPr>
          <w:rFonts w:ascii="Book Antiqua" w:hAnsi="Book Antiqua"/>
          <w:sz w:val="24"/>
          <w:szCs w:val="24"/>
        </w:rPr>
        <w:t xml:space="preserve"> </w:t>
      </w:r>
      <w:r w:rsidR="00BA04F1" w:rsidRPr="003610D2">
        <w:rPr>
          <w:rFonts w:ascii="Book Antiqua" w:hAnsi="Book Antiqua"/>
          <w:sz w:val="24"/>
          <w:szCs w:val="24"/>
        </w:rPr>
        <w:t>and blood chemistries</w:t>
      </w:r>
      <w:r w:rsidR="00406D90" w:rsidRPr="003610D2">
        <w:rPr>
          <w:rFonts w:ascii="Book Antiqua" w:hAnsi="Book Antiqua"/>
          <w:sz w:val="24"/>
          <w:szCs w:val="24"/>
        </w:rPr>
        <w:t xml:space="preserve"> were assessed for possible associatio</w:t>
      </w:r>
      <w:r w:rsidR="00412523" w:rsidRPr="003610D2">
        <w:rPr>
          <w:rFonts w:ascii="Book Antiqua" w:hAnsi="Book Antiqua"/>
          <w:sz w:val="24"/>
          <w:szCs w:val="24"/>
        </w:rPr>
        <w:t xml:space="preserve">n with </w:t>
      </w:r>
      <w:r w:rsidR="00FC535E" w:rsidRPr="003610D2">
        <w:rPr>
          <w:rFonts w:ascii="Book Antiqua" w:hAnsi="Book Antiqua"/>
          <w:sz w:val="24"/>
          <w:szCs w:val="24"/>
        </w:rPr>
        <w:t>hepatic</w:t>
      </w:r>
      <w:r w:rsidR="00BA04F1" w:rsidRPr="003610D2">
        <w:rPr>
          <w:rFonts w:ascii="Book Antiqua" w:hAnsi="Book Antiqua"/>
          <w:sz w:val="24"/>
          <w:szCs w:val="24"/>
        </w:rPr>
        <w:t xml:space="preserve"> </w:t>
      </w:r>
      <w:r w:rsidRPr="003610D2">
        <w:rPr>
          <w:rFonts w:ascii="Book Antiqua" w:hAnsi="Book Antiqua"/>
          <w:sz w:val="24"/>
          <w:szCs w:val="24"/>
        </w:rPr>
        <w:t>steatosis</w:t>
      </w:r>
      <w:r w:rsidR="00412523" w:rsidRPr="003610D2">
        <w:rPr>
          <w:rFonts w:ascii="Book Antiqua" w:hAnsi="Book Antiqua"/>
          <w:sz w:val="24"/>
          <w:szCs w:val="24"/>
        </w:rPr>
        <w:t xml:space="preserve">. </w:t>
      </w:r>
      <w:r w:rsidR="00777662" w:rsidRPr="003610D2">
        <w:rPr>
          <w:rFonts w:ascii="Book Antiqua" w:hAnsi="Book Antiqua"/>
          <w:sz w:val="24"/>
          <w:szCs w:val="24"/>
        </w:rPr>
        <w:t>He</w:t>
      </w:r>
      <w:r w:rsidR="00FE34CD" w:rsidRPr="003610D2">
        <w:rPr>
          <w:rFonts w:ascii="Book Antiqua" w:hAnsi="Book Antiqua"/>
          <w:sz w:val="24"/>
          <w:szCs w:val="24"/>
        </w:rPr>
        <w:t xml:space="preserve">patic steatosis was defined as </w:t>
      </w:r>
      <w:r w:rsidR="00E97327" w:rsidRPr="003610D2">
        <w:rPr>
          <w:rFonts w:ascii="Book Antiqua" w:hAnsi="Book Antiqua"/>
          <w:sz w:val="24"/>
          <w:szCs w:val="24"/>
        </w:rPr>
        <w:t xml:space="preserve">a mean MRI </w:t>
      </w:r>
      <w:r w:rsidR="00B97C31" w:rsidRPr="003610D2">
        <w:rPr>
          <w:rFonts w:ascii="Book Antiqua" w:hAnsi="Book Antiqua"/>
          <w:sz w:val="24"/>
          <w:szCs w:val="24"/>
        </w:rPr>
        <w:t>PDFF</w:t>
      </w:r>
      <w:r w:rsidR="00777662" w:rsidRPr="003610D2">
        <w:rPr>
          <w:rFonts w:ascii="Book Antiqua" w:hAnsi="Book Antiqua"/>
          <w:sz w:val="24"/>
          <w:szCs w:val="24"/>
        </w:rPr>
        <w:t xml:space="preserve"> &gt;</w:t>
      </w:r>
      <w:r w:rsidR="00CA0100" w:rsidRPr="003610D2">
        <w:rPr>
          <w:rFonts w:ascii="Book Antiqua" w:hAnsi="Book Antiqua"/>
          <w:sz w:val="24"/>
          <w:szCs w:val="24"/>
        </w:rPr>
        <w:t xml:space="preserve"> </w:t>
      </w:r>
      <w:r w:rsidR="00777662" w:rsidRPr="003610D2">
        <w:rPr>
          <w:rFonts w:ascii="Book Antiqua" w:hAnsi="Book Antiqua"/>
          <w:sz w:val="24"/>
          <w:szCs w:val="24"/>
        </w:rPr>
        <w:t xml:space="preserve">5%. </w:t>
      </w:r>
      <w:r w:rsidR="00E97327" w:rsidRPr="003610D2">
        <w:rPr>
          <w:rFonts w:ascii="Book Antiqua" w:hAnsi="Book Antiqua"/>
          <w:sz w:val="24"/>
          <w:szCs w:val="24"/>
        </w:rPr>
        <w:t xml:space="preserve">Patients were grouped by diabetes status (CFRD, NGT) and </w:t>
      </w:r>
      <w:r w:rsidR="00D07CD1" w:rsidRPr="003610D2">
        <w:rPr>
          <w:rFonts w:ascii="Book Antiqua" w:hAnsi="Book Antiqua"/>
          <w:sz w:val="24"/>
          <w:szCs w:val="24"/>
        </w:rPr>
        <w:t xml:space="preserve">cystic fibrosis transmembrane conductance regulator (CFTR) </w:t>
      </w:r>
      <w:r w:rsidR="00E97327" w:rsidRPr="003610D2">
        <w:rPr>
          <w:rFonts w:ascii="Book Antiqua" w:hAnsi="Book Antiqua"/>
          <w:sz w:val="24"/>
          <w:szCs w:val="24"/>
        </w:rPr>
        <w:t xml:space="preserve">modulator use (lumacaftor/ivacaftor, no lumacaftor/ivacaftor) to determine between group differences. </w:t>
      </w:r>
      <w:r w:rsidR="00692E4C" w:rsidRPr="003610D2">
        <w:rPr>
          <w:rFonts w:ascii="Book Antiqua" w:hAnsi="Book Antiqua"/>
          <w:sz w:val="24"/>
          <w:szCs w:val="24"/>
        </w:rPr>
        <w:t xml:space="preserve">Continuous variables </w:t>
      </w:r>
      <w:r w:rsidR="00692E4C" w:rsidRPr="003610D2">
        <w:rPr>
          <w:rFonts w:ascii="Book Antiqua" w:hAnsi="Book Antiqua"/>
          <w:color w:val="000000" w:themeColor="text1"/>
          <w:sz w:val="24"/>
          <w:szCs w:val="24"/>
        </w:rPr>
        <w:t xml:space="preserve">were analyzed with a Wilcoxon rank sum test and discrete variables </w:t>
      </w:r>
      <w:r w:rsidR="00BA04F1" w:rsidRPr="003610D2">
        <w:rPr>
          <w:rFonts w:ascii="Book Antiqua" w:hAnsi="Book Antiqua"/>
          <w:color w:val="000000" w:themeColor="text1"/>
          <w:sz w:val="24"/>
          <w:szCs w:val="24"/>
        </w:rPr>
        <w:t>with</w:t>
      </w:r>
      <w:r w:rsidR="00692E4C" w:rsidRPr="003610D2">
        <w:rPr>
          <w:rFonts w:ascii="Book Antiqua" w:hAnsi="Book Antiqua"/>
          <w:color w:val="000000" w:themeColor="text1"/>
          <w:sz w:val="24"/>
          <w:szCs w:val="24"/>
        </w:rPr>
        <w:t xml:space="preserve"> </w:t>
      </w:r>
      <w:r w:rsidR="00AF23D8" w:rsidRPr="003610D2">
        <w:rPr>
          <w:rFonts w:ascii="Book Antiqua" w:hAnsi="Book Antiqua"/>
          <w:color w:val="000000" w:themeColor="text1"/>
          <w:sz w:val="24"/>
          <w:szCs w:val="24"/>
        </w:rPr>
        <w:t xml:space="preserve">a </w:t>
      </w:r>
      <w:r w:rsidR="00692E4C" w:rsidRPr="003610D2">
        <w:rPr>
          <w:rFonts w:ascii="Book Antiqua" w:hAnsi="Book Antiqua"/>
          <w:color w:val="000000" w:themeColor="text1"/>
          <w:sz w:val="24"/>
          <w:szCs w:val="24"/>
        </w:rPr>
        <w:t>Chi square test or Fisher’s exact test.</w:t>
      </w:r>
    </w:p>
    <w:p w14:paraId="578BA861" w14:textId="77777777" w:rsidR="008F6EC9" w:rsidRPr="003610D2" w:rsidRDefault="008F6EC9" w:rsidP="00F61D5F">
      <w:pPr>
        <w:adjustRightInd w:val="0"/>
        <w:snapToGrid w:val="0"/>
        <w:spacing w:after="0" w:line="360" w:lineRule="auto"/>
        <w:jc w:val="both"/>
        <w:rPr>
          <w:rFonts w:ascii="Book Antiqua" w:hAnsi="Book Antiqua"/>
          <w:sz w:val="24"/>
          <w:szCs w:val="24"/>
        </w:rPr>
      </w:pPr>
    </w:p>
    <w:p w14:paraId="202A42CF" w14:textId="742AF212" w:rsidR="00C2328D" w:rsidRPr="003610D2" w:rsidRDefault="008F6EC9" w:rsidP="00F61D5F">
      <w:pPr>
        <w:adjustRightInd w:val="0"/>
        <w:snapToGrid w:val="0"/>
        <w:spacing w:after="0" w:line="360" w:lineRule="auto"/>
        <w:jc w:val="both"/>
        <w:rPr>
          <w:rFonts w:ascii="Book Antiqua" w:hAnsi="Book Antiqua"/>
          <w:b/>
          <w:bCs/>
          <w:i/>
          <w:iCs/>
          <w:sz w:val="24"/>
          <w:szCs w:val="24"/>
        </w:rPr>
      </w:pPr>
      <w:r w:rsidRPr="003610D2">
        <w:rPr>
          <w:rFonts w:ascii="Book Antiqua" w:hAnsi="Book Antiqua"/>
          <w:b/>
          <w:bCs/>
          <w:i/>
          <w:iCs/>
          <w:sz w:val="24"/>
          <w:szCs w:val="24"/>
        </w:rPr>
        <w:lastRenderedPageBreak/>
        <w:t>RESULTS</w:t>
      </w:r>
    </w:p>
    <w:p w14:paraId="1051C902" w14:textId="7DCE4B47" w:rsidR="00C2328D" w:rsidRPr="003610D2" w:rsidRDefault="00E97327"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Twenty subjects were included</w:t>
      </w:r>
      <w:r w:rsidR="005F24F9" w:rsidRPr="003610D2">
        <w:rPr>
          <w:rFonts w:ascii="Book Antiqua" w:hAnsi="Book Antiqua"/>
          <w:sz w:val="24"/>
          <w:szCs w:val="24"/>
        </w:rPr>
        <w:t xml:space="preserve"> in the final analysis. The</w:t>
      </w:r>
      <w:r w:rsidR="00BA04F1" w:rsidRPr="003610D2">
        <w:rPr>
          <w:rFonts w:ascii="Book Antiqua" w:hAnsi="Book Antiqua"/>
          <w:sz w:val="24"/>
          <w:szCs w:val="24"/>
        </w:rPr>
        <w:t xml:space="preserve"> median age was </w:t>
      </w:r>
      <w:r w:rsidR="00C10015" w:rsidRPr="003610D2">
        <w:rPr>
          <w:rFonts w:ascii="Book Antiqua" w:hAnsi="Book Antiqua"/>
          <w:sz w:val="24"/>
          <w:szCs w:val="24"/>
        </w:rPr>
        <w:t>22.3</w:t>
      </w:r>
      <w:r w:rsidR="00E03515" w:rsidRPr="003610D2">
        <w:rPr>
          <w:rFonts w:ascii="Book Antiqua" w:hAnsi="Book Antiqua"/>
          <w:sz w:val="24"/>
          <w:szCs w:val="24"/>
        </w:rPr>
        <w:t xml:space="preserve"> years (</w:t>
      </w:r>
      <w:r w:rsidR="00B84EDB" w:rsidRPr="003610D2">
        <w:rPr>
          <w:rFonts w:ascii="Book Antiqua" w:hAnsi="Book Antiqua"/>
          <w:sz w:val="24"/>
          <w:szCs w:val="24"/>
        </w:rPr>
        <w:t>11.3-3</w:t>
      </w:r>
      <w:r w:rsidR="00E03515" w:rsidRPr="003610D2">
        <w:rPr>
          <w:rFonts w:ascii="Book Antiqua" w:hAnsi="Book Antiqua"/>
          <w:sz w:val="24"/>
          <w:szCs w:val="24"/>
        </w:rPr>
        <w:t xml:space="preserve">9.0) and </w:t>
      </w:r>
      <w:r w:rsidR="006D5A1F" w:rsidRPr="003610D2">
        <w:rPr>
          <w:rFonts w:ascii="Book Antiqua" w:hAnsi="Book Antiqua"/>
          <w:sz w:val="24"/>
          <w:szCs w:val="24"/>
        </w:rPr>
        <w:t xml:space="preserve">median </w:t>
      </w:r>
      <w:bookmarkStart w:id="28" w:name="OLE_LINK662"/>
      <w:bookmarkStart w:id="29" w:name="OLE_LINK663"/>
      <w:r w:rsidR="00E03515" w:rsidRPr="003610D2">
        <w:rPr>
          <w:rFonts w:ascii="Book Antiqua" w:hAnsi="Book Antiqua"/>
          <w:sz w:val="24"/>
          <w:szCs w:val="24"/>
        </w:rPr>
        <w:t>FEV1</w:t>
      </w:r>
      <w:bookmarkEnd w:id="28"/>
      <w:bookmarkEnd w:id="29"/>
      <w:r w:rsidR="00E03515" w:rsidRPr="003610D2">
        <w:rPr>
          <w:rFonts w:ascii="Book Antiqua" w:hAnsi="Book Antiqua"/>
          <w:sz w:val="24"/>
          <w:szCs w:val="24"/>
        </w:rPr>
        <w:t xml:space="preserve"> </w:t>
      </w:r>
      <w:r w:rsidR="00BA04F1" w:rsidRPr="003610D2">
        <w:rPr>
          <w:rFonts w:ascii="Book Antiqua" w:hAnsi="Book Antiqua"/>
          <w:sz w:val="24"/>
          <w:szCs w:val="24"/>
        </w:rPr>
        <w:t xml:space="preserve">was 77% (33%-105%). </w:t>
      </w:r>
      <w:r w:rsidR="00E03515" w:rsidRPr="003610D2">
        <w:rPr>
          <w:rFonts w:ascii="Book Antiqua" w:hAnsi="Book Antiqua"/>
          <w:sz w:val="24"/>
          <w:szCs w:val="24"/>
        </w:rPr>
        <w:t>Twelve subje</w:t>
      </w:r>
      <w:r w:rsidR="00182B09" w:rsidRPr="003610D2">
        <w:rPr>
          <w:rFonts w:ascii="Book Antiqua" w:hAnsi="Book Antiqua"/>
          <w:sz w:val="24"/>
          <w:szCs w:val="24"/>
        </w:rPr>
        <w:t xml:space="preserve">cts had </w:t>
      </w:r>
      <w:r w:rsidR="00B97C31" w:rsidRPr="003610D2">
        <w:rPr>
          <w:rFonts w:ascii="Book Antiqua" w:hAnsi="Book Antiqua"/>
          <w:sz w:val="24"/>
          <w:szCs w:val="24"/>
        </w:rPr>
        <w:t xml:space="preserve">CFRD </w:t>
      </w:r>
      <w:r w:rsidR="00182B09" w:rsidRPr="003610D2">
        <w:rPr>
          <w:rFonts w:ascii="Book Antiqua" w:hAnsi="Book Antiqua"/>
          <w:sz w:val="24"/>
          <w:szCs w:val="24"/>
        </w:rPr>
        <w:t>and 8</w:t>
      </w:r>
      <w:r w:rsidR="00E03515" w:rsidRPr="003610D2">
        <w:rPr>
          <w:rFonts w:ascii="Book Antiqua" w:hAnsi="Book Antiqua"/>
          <w:sz w:val="24"/>
          <w:szCs w:val="24"/>
        </w:rPr>
        <w:t xml:space="preserve"> had </w:t>
      </w:r>
      <w:r w:rsidR="00B97C31" w:rsidRPr="003610D2">
        <w:rPr>
          <w:rFonts w:ascii="Book Antiqua" w:hAnsi="Book Antiqua"/>
          <w:sz w:val="24"/>
          <w:szCs w:val="24"/>
        </w:rPr>
        <w:t>NGT</w:t>
      </w:r>
      <w:r w:rsidR="00E03515" w:rsidRPr="003610D2">
        <w:rPr>
          <w:rFonts w:ascii="Book Antiqua" w:hAnsi="Book Antiqua"/>
          <w:sz w:val="24"/>
          <w:szCs w:val="24"/>
        </w:rPr>
        <w:t xml:space="preserve">. Nine subjects </w:t>
      </w:r>
      <w:r w:rsidR="008D772C" w:rsidRPr="003610D2">
        <w:rPr>
          <w:rFonts w:ascii="Book Antiqua" w:hAnsi="Book Antiqua"/>
          <w:sz w:val="24"/>
          <w:szCs w:val="24"/>
        </w:rPr>
        <w:t xml:space="preserve">were receiving </w:t>
      </w:r>
      <w:r w:rsidR="008232E6" w:rsidRPr="003610D2">
        <w:rPr>
          <w:rFonts w:ascii="Book Antiqua" w:hAnsi="Book Antiqua"/>
          <w:sz w:val="24"/>
          <w:szCs w:val="24"/>
        </w:rPr>
        <w:t>lumacaftor/i</w:t>
      </w:r>
      <w:r w:rsidR="00460CA3" w:rsidRPr="003610D2">
        <w:rPr>
          <w:rFonts w:ascii="Book Antiqua" w:hAnsi="Book Antiqua"/>
          <w:sz w:val="24"/>
          <w:szCs w:val="24"/>
        </w:rPr>
        <w:t>vacaftor</w:t>
      </w:r>
      <w:r w:rsidR="00E03515" w:rsidRPr="003610D2">
        <w:rPr>
          <w:rFonts w:ascii="Book Antiqua" w:hAnsi="Book Antiqua"/>
          <w:sz w:val="24"/>
          <w:szCs w:val="24"/>
        </w:rPr>
        <w:t xml:space="preserve">. </w:t>
      </w:r>
      <w:r w:rsidR="00777662" w:rsidRPr="003610D2">
        <w:rPr>
          <w:rFonts w:ascii="Book Antiqua" w:hAnsi="Book Antiqua"/>
          <w:sz w:val="24"/>
          <w:szCs w:val="24"/>
        </w:rPr>
        <w:t>The m</w:t>
      </w:r>
      <w:r w:rsidR="00C2328D" w:rsidRPr="003610D2">
        <w:rPr>
          <w:rFonts w:ascii="Book Antiqua" w:hAnsi="Book Antiqua"/>
          <w:sz w:val="24"/>
          <w:szCs w:val="24"/>
        </w:rPr>
        <w:t>e</w:t>
      </w:r>
      <w:r w:rsidR="004A5966" w:rsidRPr="003610D2">
        <w:rPr>
          <w:rFonts w:ascii="Book Antiqua" w:hAnsi="Book Antiqua"/>
          <w:sz w:val="24"/>
          <w:szCs w:val="24"/>
        </w:rPr>
        <w:t>dian</w:t>
      </w:r>
      <w:r w:rsidR="00777662" w:rsidRPr="003610D2">
        <w:rPr>
          <w:rFonts w:ascii="Book Antiqua" w:hAnsi="Book Antiqua"/>
          <w:sz w:val="24"/>
          <w:szCs w:val="24"/>
        </w:rPr>
        <w:t xml:space="preserve"> </w:t>
      </w:r>
      <w:r w:rsidR="00C01F04" w:rsidRPr="003610D2">
        <w:rPr>
          <w:rFonts w:ascii="Book Antiqua" w:hAnsi="Book Antiqua"/>
          <w:sz w:val="24"/>
          <w:szCs w:val="24"/>
        </w:rPr>
        <w:t>PDFF</w:t>
      </w:r>
      <w:r w:rsidR="00445AA9" w:rsidRPr="003610D2">
        <w:rPr>
          <w:rFonts w:ascii="Book Antiqua" w:hAnsi="Book Antiqua"/>
          <w:sz w:val="24"/>
          <w:szCs w:val="24"/>
        </w:rPr>
        <w:t xml:space="preserve"> </w:t>
      </w:r>
      <w:r w:rsidR="004A5966" w:rsidRPr="003610D2">
        <w:rPr>
          <w:rFonts w:ascii="Book Antiqua" w:hAnsi="Book Antiqua"/>
          <w:sz w:val="24"/>
          <w:szCs w:val="24"/>
        </w:rPr>
        <w:t xml:space="preserve">was </w:t>
      </w:r>
      <w:r w:rsidR="00C10015" w:rsidRPr="003610D2">
        <w:rPr>
          <w:rFonts w:ascii="Book Antiqua" w:hAnsi="Book Antiqua"/>
          <w:sz w:val="24"/>
          <w:szCs w:val="24"/>
        </w:rPr>
        <w:t>3.0%</w:t>
      </w:r>
      <w:r w:rsidR="00F24937" w:rsidRPr="003610D2">
        <w:rPr>
          <w:rFonts w:ascii="Book Antiqua" w:hAnsi="Book Antiqua"/>
          <w:sz w:val="24"/>
          <w:szCs w:val="24"/>
        </w:rPr>
        <w:t xml:space="preserve"> (0.0%-21.0%)</w:t>
      </w:r>
      <w:r w:rsidR="00C10015" w:rsidRPr="003610D2">
        <w:rPr>
          <w:rFonts w:ascii="Book Antiqua" w:hAnsi="Book Antiqua"/>
          <w:sz w:val="24"/>
          <w:szCs w:val="24"/>
        </w:rPr>
        <w:t>.</w:t>
      </w:r>
      <w:r w:rsidR="002F2AA0" w:rsidRPr="003610D2">
        <w:rPr>
          <w:rFonts w:ascii="Book Antiqua" w:hAnsi="Book Antiqua"/>
          <w:sz w:val="24"/>
          <w:szCs w:val="24"/>
        </w:rPr>
        <w:t xml:space="preserve"> S</w:t>
      </w:r>
      <w:r w:rsidR="004B5DB6" w:rsidRPr="003610D2">
        <w:rPr>
          <w:rFonts w:ascii="Book Antiqua" w:hAnsi="Book Antiqua"/>
          <w:sz w:val="24"/>
          <w:szCs w:val="24"/>
        </w:rPr>
        <w:t>ix subjects (30</w:t>
      </w:r>
      <w:r w:rsidR="00C2328D" w:rsidRPr="003610D2">
        <w:rPr>
          <w:rFonts w:ascii="Book Antiqua" w:hAnsi="Book Antiqua"/>
          <w:sz w:val="24"/>
          <w:szCs w:val="24"/>
        </w:rPr>
        <w:t>%)</w:t>
      </w:r>
      <w:r w:rsidR="00BA04F1" w:rsidRPr="003610D2">
        <w:rPr>
          <w:rFonts w:ascii="Book Antiqua" w:hAnsi="Book Antiqua"/>
          <w:sz w:val="24"/>
          <w:szCs w:val="24"/>
        </w:rPr>
        <w:t xml:space="preserve"> had hepatic steatosis</w:t>
      </w:r>
      <w:r w:rsidR="00F24937" w:rsidRPr="003610D2">
        <w:rPr>
          <w:rFonts w:ascii="Book Antiqua" w:hAnsi="Book Antiqua"/>
          <w:sz w:val="24"/>
          <w:szCs w:val="24"/>
        </w:rPr>
        <w:t xml:space="preserve"> defined as </w:t>
      </w:r>
      <w:r w:rsidR="00B97C31" w:rsidRPr="003610D2">
        <w:rPr>
          <w:rFonts w:ascii="Book Antiqua" w:hAnsi="Book Antiqua"/>
          <w:sz w:val="24"/>
          <w:szCs w:val="24"/>
        </w:rPr>
        <w:t>PDFF</w:t>
      </w:r>
      <w:r w:rsidR="008F6EC9" w:rsidRPr="003610D2">
        <w:rPr>
          <w:rFonts w:ascii="Book Antiqua" w:hAnsi="Book Antiqua"/>
          <w:sz w:val="24"/>
          <w:szCs w:val="24"/>
        </w:rPr>
        <w:t xml:space="preserve"> </w:t>
      </w:r>
      <w:r w:rsidR="00F24937" w:rsidRPr="003610D2">
        <w:rPr>
          <w:rFonts w:ascii="Book Antiqua" w:hAnsi="Book Antiqua"/>
          <w:sz w:val="24"/>
          <w:szCs w:val="24"/>
        </w:rPr>
        <w:t>&gt;</w:t>
      </w:r>
      <w:r w:rsidR="008F6EC9" w:rsidRPr="003610D2">
        <w:rPr>
          <w:rFonts w:ascii="Book Antiqua" w:hAnsi="Book Antiqua"/>
          <w:sz w:val="24"/>
          <w:szCs w:val="24"/>
        </w:rPr>
        <w:t xml:space="preserve"> </w:t>
      </w:r>
      <w:r w:rsidR="00F24937" w:rsidRPr="003610D2">
        <w:rPr>
          <w:rFonts w:ascii="Book Antiqua" w:hAnsi="Book Antiqua"/>
          <w:sz w:val="24"/>
          <w:szCs w:val="24"/>
        </w:rPr>
        <w:t>5%</w:t>
      </w:r>
      <w:r w:rsidR="00BA04F1" w:rsidRPr="003610D2">
        <w:rPr>
          <w:rFonts w:ascii="Book Antiqua" w:hAnsi="Book Antiqua"/>
          <w:sz w:val="24"/>
          <w:szCs w:val="24"/>
        </w:rPr>
        <w:t xml:space="preserve">. </w:t>
      </w:r>
      <w:r w:rsidR="00C2328D" w:rsidRPr="003610D2">
        <w:rPr>
          <w:rFonts w:ascii="Book Antiqua" w:hAnsi="Book Antiqua"/>
          <w:sz w:val="24"/>
          <w:szCs w:val="24"/>
        </w:rPr>
        <w:t xml:space="preserve">Hepatic </w:t>
      </w:r>
      <w:r w:rsidR="00FC535E" w:rsidRPr="003610D2">
        <w:rPr>
          <w:rFonts w:ascii="Book Antiqua" w:hAnsi="Book Antiqua"/>
          <w:sz w:val="24"/>
          <w:szCs w:val="24"/>
        </w:rPr>
        <w:t>fat fraction</w:t>
      </w:r>
      <w:r w:rsidR="00C2328D" w:rsidRPr="003610D2">
        <w:rPr>
          <w:rFonts w:ascii="Book Antiqua" w:hAnsi="Book Antiqua"/>
          <w:sz w:val="24"/>
          <w:szCs w:val="24"/>
        </w:rPr>
        <w:t xml:space="preserve"> was significantly lower in patients </w:t>
      </w:r>
      <w:r w:rsidR="008F409C" w:rsidRPr="003610D2">
        <w:rPr>
          <w:rFonts w:ascii="Book Antiqua" w:hAnsi="Book Antiqua"/>
          <w:sz w:val="24"/>
          <w:szCs w:val="24"/>
        </w:rPr>
        <w:t xml:space="preserve">receiving </w:t>
      </w:r>
      <w:r w:rsidR="008232E6" w:rsidRPr="003610D2">
        <w:rPr>
          <w:rFonts w:ascii="Book Antiqua" w:hAnsi="Book Antiqua"/>
          <w:sz w:val="24"/>
          <w:szCs w:val="24"/>
        </w:rPr>
        <w:t>lumacaftor/i</w:t>
      </w:r>
      <w:r w:rsidR="00460CA3" w:rsidRPr="003610D2">
        <w:rPr>
          <w:rFonts w:ascii="Book Antiqua" w:hAnsi="Book Antiqua"/>
          <w:sz w:val="24"/>
          <w:szCs w:val="24"/>
        </w:rPr>
        <w:t xml:space="preserve">vacaftor </w:t>
      </w:r>
      <w:r w:rsidR="008F6EC9" w:rsidRPr="003610D2">
        <w:rPr>
          <w:rFonts w:ascii="Book Antiqua" w:hAnsi="Book Antiqua"/>
          <w:sz w:val="24"/>
          <w:szCs w:val="24"/>
        </w:rPr>
        <w:t>(</w:t>
      </w:r>
      <w:r w:rsidR="00F24937" w:rsidRPr="003610D2">
        <w:rPr>
          <w:rFonts w:ascii="Book Antiqua" w:hAnsi="Book Antiqua"/>
          <w:sz w:val="24"/>
          <w:szCs w:val="24"/>
        </w:rPr>
        <w:t>median, range</w:t>
      </w:r>
      <w:r w:rsidR="008F6EC9" w:rsidRPr="003610D2">
        <w:rPr>
          <w:rFonts w:ascii="Book Antiqua" w:hAnsi="Book Antiqua"/>
          <w:sz w:val="24"/>
          <w:szCs w:val="24"/>
        </w:rPr>
        <w:t>)</w:t>
      </w:r>
      <w:r w:rsidR="00F24937" w:rsidRPr="003610D2">
        <w:rPr>
          <w:rFonts w:ascii="Book Antiqua" w:hAnsi="Book Antiqua"/>
          <w:sz w:val="24"/>
          <w:szCs w:val="24"/>
        </w:rPr>
        <w:t xml:space="preserve"> (</w:t>
      </w:r>
      <w:r w:rsidR="004A5966" w:rsidRPr="003610D2">
        <w:rPr>
          <w:rFonts w:ascii="Book Antiqua" w:hAnsi="Book Antiqua"/>
          <w:sz w:val="24"/>
          <w:szCs w:val="24"/>
        </w:rPr>
        <w:t>2.0</w:t>
      </w:r>
      <w:r w:rsidR="00C2328D" w:rsidRPr="003610D2">
        <w:rPr>
          <w:rFonts w:ascii="Book Antiqua" w:hAnsi="Book Antiqua"/>
          <w:sz w:val="24"/>
          <w:szCs w:val="24"/>
        </w:rPr>
        <w:t>%</w:t>
      </w:r>
      <w:r w:rsidR="00F24937" w:rsidRPr="003610D2">
        <w:rPr>
          <w:rFonts w:ascii="Book Antiqua" w:hAnsi="Book Antiqua"/>
          <w:sz w:val="24"/>
          <w:szCs w:val="24"/>
        </w:rPr>
        <w:t>, 0.0</w:t>
      </w:r>
      <w:r w:rsidR="008F6EC9" w:rsidRPr="003610D2">
        <w:rPr>
          <w:rFonts w:ascii="Book Antiqua" w:hAnsi="Book Antiqua"/>
          <w:sz w:val="24"/>
          <w:szCs w:val="24"/>
        </w:rPr>
        <w:t>%</w:t>
      </w:r>
      <w:r w:rsidR="00F24937" w:rsidRPr="003610D2">
        <w:rPr>
          <w:rFonts w:ascii="Book Antiqua" w:hAnsi="Book Antiqua"/>
          <w:sz w:val="24"/>
          <w:szCs w:val="24"/>
        </w:rPr>
        <w:t>-6.4%</w:t>
      </w:r>
      <w:r w:rsidR="00C2328D" w:rsidRPr="003610D2">
        <w:rPr>
          <w:rFonts w:ascii="Book Antiqua" w:hAnsi="Book Antiqua"/>
          <w:sz w:val="24"/>
          <w:szCs w:val="24"/>
        </w:rPr>
        <w:t>) than in patien</w:t>
      </w:r>
      <w:r w:rsidR="004A5966" w:rsidRPr="003610D2">
        <w:rPr>
          <w:rFonts w:ascii="Book Antiqua" w:hAnsi="Book Antiqua"/>
          <w:sz w:val="24"/>
          <w:szCs w:val="24"/>
        </w:rPr>
        <w:t xml:space="preserve">ts </w:t>
      </w:r>
      <w:r w:rsidR="008F409C" w:rsidRPr="003610D2">
        <w:rPr>
          <w:rFonts w:ascii="Book Antiqua" w:hAnsi="Book Antiqua"/>
          <w:sz w:val="24"/>
          <w:szCs w:val="24"/>
        </w:rPr>
        <w:t>not receiving</w:t>
      </w:r>
      <w:r w:rsidR="004A5966" w:rsidRPr="003610D2">
        <w:rPr>
          <w:rFonts w:ascii="Book Antiqua" w:hAnsi="Book Antiqua"/>
          <w:sz w:val="24"/>
          <w:szCs w:val="24"/>
        </w:rPr>
        <w:t xml:space="preserve"> </w:t>
      </w:r>
      <w:r w:rsidR="008232E6" w:rsidRPr="003610D2">
        <w:rPr>
          <w:rFonts w:ascii="Book Antiqua" w:hAnsi="Book Antiqua"/>
          <w:sz w:val="24"/>
          <w:szCs w:val="24"/>
        </w:rPr>
        <w:t>lumacaftor/i</w:t>
      </w:r>
      <w:r w:rsidR="00460CA3" w:rsidRPr="003610D2">
        <w:rPr>
          <w:rFonts w:ascii="Book Antiqua" w:hAnsi="Book Antiqua"/>
          <w:sz w:val="24"/>
          <w:szCs w:val="24"/>
        </w:rPr>
        <w:t xml:space="preserve">vacaftor </w:t>
      </w:r>
      <w:r w:rsidR="004A5966" w:rsidRPr="003610D2">
        <w:rPr>
          <w:rFonts w:ascii="Book Antiqua" w:hAnsi="Book Antiqua"/>
          <w:sz w:val="24"/>
          <w:szCs w:val="24"/>
        </w:rPr>
        <w:t>(</w:t>
      </w:r>
      <w:r w:rsidR="00C10015" w:rsidRPr="003610D2">
        <w:rPr>
          <w:rFonts w:ascii="Book Antiqua" w:hAnsi="Book Antiqua"/>
          <w:sz w:val="24"/>
          <w:szCs w:val="24"/>
        </w:rPr>
        <w:t>4</w:t>
      </w:r>
      <w:r w:rsidR="004A5966" w:rsidRPr="003610D2">
        <w:rPr>
          <w:rFonts w:ascii="Book Antiqua" w:hAnsi="Book Antiqua"/>
          <w:sz w:val="24"/>
          <w:szCs w:val="24"/>
        </w:rPr>
        <w:t>.1</w:t>
      </w:r>
      <w:r w:rsidR="008D679E" w:rsidRPr="003610D2">
        <w:rPr>
          <w:rFonts w:ascii="Book Antiqua" w:hAnsi="Book Antiqua"/>
          <w:sz w:val="24"/>
          <w:szCs w:val="24"/>
        </w:rPr>
        <w:t>%</w:t>
      </w:r>
      <w:r w:rsidR="00F24937" w:rsidRPr="003610D2">
        <w:rPr>
          <w:rFonts w:ascii="Book Antiqua" w:hAnsi="Book Antiqua"/>
          <w:sz w:val="24"/>
          <w:szCs w:val="24"/>
        </w:rPr>
        <w:t>, 2.7-21.0%</w:t>
      </w:r>
      <w:r w:rsidR="008D679E" w:rsidRPr="003610D2">
        <w:rPr>
          <w:rFonts w:ascii="Book Antiqua" w:hAnsi="Book Antiqua"/>
          <w:sz w:val="24"/>
          <w:szCs w:val="24"/>
        </w:rPr>
        <w:t>)</w:t>
      </w:r>
      <w:r w:rsidR="0076175F"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76175F" w:rsidRPr="003610D2">
        <w:rPr>
          <w:rFonts w:ascii="Book Antiqua" w:hAnsi="Book Antiqua"/>
          <w:sz w:val="24"/>
          <w:szCs w:val="24"/>
        </w:rPr>
        <w:t>0.002</w:t>
      </w:r>
      <w:r w:rsidR="000874C6" w:rsidRPr="003610D2">
        <w:rPr>
          <w:rFonts w:ascii="Book Antiqua" w:hAnsi="Book Antiqua"/>
          <w:sz w:val="24"/>
          <w:szCs w:val="24"/>
        </w:rPr>
        <w:t>.</w:t>
      </w:r>
      <w:r w:rsidR="007A3D83" w:rsidRPr="003610D2">
        <w:rPr>
          <w:rFonts w:ascii="Book Antiqua" w:hAnsi="Book Antiqua"/>
          <w:sz w:val="24"/>
          <w:szCs w:val="24"/>
        </w:rPr>
        <w:t xml:space="preserve"> </w:t>
      </w:r>
      <w:r w:rsidR="00FE34CD" w:rsidRPr="003610D2">
        <w:rPr>
          <w:rFonts w:ascii="Book Antiqua" w:hAnsi="Book Antiqua"/>
          <w:sz w:val="24"/>
          <w:szCs w:val="24"/>
        </w:rPr>
        <w:t xml:space="preserve">Though patients with </w:t>
      </w:r>
      <w:r w:rsidR="00B97C31" w:rsidRPr="003610D2">
        <w:rPr>
          <w:rFonts w:ascii="Book Antiqua" w:hAnsi="Book Antiqua"/>
          <w:sz w:val="24"/>
          <w:szCs w:val="24"/>
        </w:rPr>
        <w:t>CFRD</w:t>
      </w:r>
      <w:r w:rsidR="00FE34CD" w:rsidRPr="003610D2">
        <w:rPr>
          <w:rFonts w:ascii="Book Antiqua" w:hAnsi="Book Antiqua"/>
          <w:sz w:val="24"/>
          <w:szCs w:val="24"/>
        </w:rPr>
        <w:t xml:space="preserve"> had lower </w:t>
      </w:r>
      <w:r w:rsidR="00C01F04" w:rsidRPr="003610D2">
        <w:rPr>
          <w:rFonts w:ascii="Book Antiqua" w:hAnsi="Book Antiqua"/>
          <w:sz w:val="24"/>
          <w:szCs w:val="24"/>
        </w:rPr>
        <w:t>PDFF</w:t>
      </w:r>
      <w:r w:rsidR="00C10015" w:rsidRPr="003610D2">
        <w:rPr>
          <w:rFonts w:ascii="Book Antiqua" w:hAnsi="Book Antiqua"/>
          <w:sz w:val="24"/>
          <w:szCs w:val="24"/>
        </w:rPr>
        <w:t xml:space="preserve"> (2.2%</w:t>
      </w:r>
      <w:r w:rsidR="00F24937" w:rsidRPr="003610D2">
        <w:rPr>
          <w:rFonts w:ascii="Book Antiqua" w:hAnsi="Book Antiqua"/>
          <w:sz w:val="24"/>
          <w:szCs w:val="24"/>
        </w:rPr>
        <w:t>, 0.0</w:t>
      </w:r>
      <w:r w:rsidR="008F6EC9" w:rsidRPr="003610D2">
        <w:rPr>
          <w:rFonts w:ascii="Book Antiqua" w:hAnsi="Book Antiqua"/>
          <w:sz w:val="24"/>
          <w:szCs w:val="24"/>
        </w:rPr>
        <w:t>%</w:t>
      </w:r>
      <w:r w:rsidR="00F24937" w:rsidRPr="003610D2">
        <w:rPr>
          <w:rFonts w:ascii="Book Antiqua" w:hAnsi="Book Antiqua"/>
          <w:sz w:val="24"/>
          <w:szCs w:val="24"/>
        </w:rPr>
        <w:t>-14.5%</w:t>
      </w:r>
      <w:r w:rsidR="00C10015" w:rsidRPr="003610D2">
        <w:rPr>
          <w:rFonts w:ascii="Book Antiqua" w:hAnsi="Book Antiqua"/>
          <w:sz w:val="24"/>
          <w:szCs w:val="24"/>
        </w:rPr>
        <w:t xml:space="preserve">) </w:t>
      </w:r>
      <w:r w:rsidR="00BB0C61" w:rsidRPr="003610D2">
        <w:rPr>
          <w:rFonts w:ascii="Book Antiqua" w:hAnsi="Book Antiqua"/>
          <w:sz w:val="24"/>
          <w:szCs w:val="24"/>
        </w:rPr>
        <w:t>than patients with</w:t>
      </w:r>
      <w:r w:rsidR="00FE34CD" w:rsidRPr="003610D2">
        <w:rPr>
          <w:rFonts w:ascii="Book Antiqua" w:hAnsi="Book Antiqua"/>
          <w:sz w:val="24"/>
          <w:szCs w:val="24"/>
        </w:rPr>
        <w:t xml:space="preserve"> </w:t>
      </w:r>
      <w:r w:rsidR="00B97C31" w:rsidRPr="003610D2">
        <w:rPr>
          <w:rFonts w:ascii="Book Antiqua" w:hAnsi="Book Antiqua"/>
          <w:sz w:val="24"/>
          <w:szCs w:val="24"/>
        </w:rPr>
        <w:t>NGT</w:t>
      </w:r>
      <w:r w:rsidR="00C10015" w:rsidRPr="003610D2">
        <w:rPr>
          <w:rFonts w:ascii="Book Antiqua" w:hAnsi="Book Antiqua"/>
          <w:sz w:val="24"/>
          <w:szCs w:val="24"/>
        </w:rPr>
        <w:t xml:space="preserve"> (</w:t>
      </w:r>
      <w:r w:rsidR="00BB0C61" w:rsidRPr="003610D2">
        <w:rPr>
          <w:rFonts w:ascii="Book Antiqua" w:hAnsi="Book Antiqua"/>
          <w:sz w:val="24"/>
          <w:szCs w:val="24"/>
        </w:rPr>
        <w:t>4.9%</w:t>
      </w:r>
      <w:r w:rsidR="00F24937" w:rsidRPr="003610D2">
        <w:rPr>
          <w:rFonts w:ascii="Book Antiqua" w:hAnsi="Book Antiqua"/>
          <w:sz w:val="24"/>
          <w:szCs w:val="24"/>
        </w:rPr>
        <w:t>, 2.4-21.0%</w:t>
      </w:r>
      <w:r w:rsidR="00BB0C61" w:rsidRPr="003610D2">
        <w:rPr>
          <w:rFonts w:ascii="Book Antiqua" w:hAnsi="Book Antiqua"/>
          <w:sz w:val="24"/>
          <w:szCs w:val="24"/>
        </w:rPr>
        <w:t xml:space="preserve">) this did not reach </w:t>
      </w:r>
      <w:r w:rsidR="00FC535E" w:rsidRPr="003610D2">
        <w:rPr>
          <w:rFonts w:ascii="Book Antiqua" w:hAnsi="Book Antiqua"/>
          <w:sz w:val="24"/>
          <w:szCs w:val="24"/>
        </w:rPr>
        <w:t xml:space="preserve">statistical significance,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FC535E" w:rsidRPr="003610D2">
        <w:rPr>
          <w:rFonts w:ascii="Book Antiqua" w:hAnsi="Book Antiqua"/>
          <w:sz w:val="24"/>
          <w:szCs w:val="24"/>
        </w:rPr>
        <w:t>0.06</w:t>
      </w:r>
      <w:r w:rsidR="00FE34CD" w:rsidRPr="003610D2">
        <w:rPr>
          <w:rFonts w:ascii="Book Antiqua" w:hAnsi="Book Antiqua"/>
          <w:sz w:val="24"/>
          <w:szCs w:val="24"/>
        </w:rPr>
        <w:t xml:space="preserve">. </w:t>
      </w:r>
      <w:r w:rsidR="006D5A1F" w:rsidRPr="003610D2">
        <w:rPr>
          <w:rFonts w:ascii="Book Antiqua" w:hAnsi="Book Antiqua"/>
          <w:sz w:val="24"/>
          <w:szCs w:val="24"/>
        </w:rPr>
        <w:t>No other</w:t>
      </w:r>
      <w:r w:rsidR="00BA04F1" w:rsidRPr="003610D2">
        <w:rPr>
          <w:rFonts w:ascii="Book Antiqua" w:hAnsi="Book Antiqua"/>
          <w:sz w:val="24"/>
          <w:szCs w:val="24"/>
        </w:rPr>
        <w:t xml:space="preserve"> clinical characteristic was strongly associated with hepatic steatosis.</w:t>
      </w:r>
    </w:p>
    <w:p w14:paraId="6E2ADCD9" w14:textId="77777777" w:rsidR="008F6EC9" w:rsidRPr="003610D2" w:rsidRDefault="008F6EC9" w:rsidP="00F61D5F">
      <w:pPr>
        <w:adjustRightInd w:val="0"/>
        <w:snapToGrid w:val="0"/>
        <w:spacing w:after="0" w:line="360" w:lineRule="auto"/>
        <w:jc w:val="both"/>
        <w:rPr>
          <w:rFonts w:ascii="Book Antiqua" w:hAnsi="Book Antiqua" w:cs="Tahoma"/>
          <w:color w:val="000000"/>
          <w:sz w:val="24"/>
          <w:szCs w:val="24"/>
        </w:rPr>
      </w:pPr>
    </w:p>
    <w:p w14:paraId="2C9901FB" w14:textId="797B56C7" w:rsidR="00C2328D" w:rsidRPr="003610D2" w:rsidRDefault="008F6EC9" w:rsidP="00F61D5F">
      <w:pPr>
        <w:adjustRightInd w:val="0"/>
        <w:snapToGrid w:val="0"/>
        <w:spacing w:after="0" w:line="360" w:lineRule="auto"/>
        <w:jc w:val="both"/>
        <w:rPr>
          <w:rFonts w:ascii="Book Antiqua" w:hAnsi="Book Antiqua"/>
          <w:b/>
          <w:bCs/>
          <w:i/>
          <w:iCs/>
          <w:sz w:val="24"/>
          <w:szCs w:val="24"/>
        </w:rPr>
      </w:pPr>
      <w:r w:rsidRPr="003610D2">
        <w:rPr>
          <w:rFonts w:ascii="Book Antiqua" w:hAnsi="Book Antiqua"/>
          <w:b/>
          <w:bCs/>
          <w:i/>
          <w:iCs/>
          <w:sz w:val="24"/>
          <w:szCs w:val="24"/>
        </w:rPr>
        <w:t>CONCLUSION</w:t>
      </w:r>
    </w:p>
    <w:p w14:paraId="04EDD321" w14:textId="66738EA1" w:rsidR="00AD7BCF" w:rsidRPr="003610D2" w:rsidRDefault="00C2328D"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 xml:space="preserve">Use of the CFTR modulator </w:t>
      </w:r>
      <w:r w:rsidR="008232E6" w:rsidRPr="003610D2">
        <w:rPr>
          <w:rFonts w:ascii="Book Antiqua" w:hAnsi="Book Antiqua"/>
          <w:sz w:val="24"/>
          <w:szCs w:val="24"/>
        </w:rPr>
        <w:t>lumacaftor/i</w:t>
      </w:r>
      <w:r w:rsidR="00460CA3" w:rsidRPr="003610D2">
        <w:rPr>
          <w:rFonts w:ascii="Book Antiqua" w:hAnsi="Book Antiqua"/>
          <w:sz w:val="24"/>
          <w:szCs w:val="24"/>
        </w:rPr>
        <w:t xml:space="preserve">vacaftor </w:t>
      </w:r>
      <w:r w:rsidRPr="003610D2">
        <w:rPr>
          <w:rFonts w:ascii="Book Antiqua" w:hAnsi="Book Antiqua"/>
          <w:sz w:val="24"/>
          <w:szCs w:val="24"/>
        </w:rPr>
        <w:t>was associated with</w:t>
      </w:r>
      <w:r w:rsidR="00933FE2" w:rsidRPr="003610D2">
        <w:rPr>
          <w:rFonts w:ascii="Book Antiqua" w:hAnsi="Book Antiqua"/>
          <w:sz w:val="24"/>
          <w:szCs w:val="24"/>
        </w:rPr>
        <w:t xml:space="preserve"> significantly lower hepatic steatosis</w:t>
      </w:r>
      <w:r w:rsidRPr="003610D2">
        <w:rPr>
          <w:rFonts w:ascii="Book Antiqua" w:hAnsi="Book Antiqua"/>
          <w:sz w:val="24"/>
          <w:szCs w:val="24"/>
        </w:rPr>
        <w:t xml:space="preserve">. </w:t>
      </w:r>
      <w:r w:rsidR="007272F4" w:rsidRPr="003610D2">
        <w:rPr>
          <w:rFonts w:ascii="Book Antiqua" w:hAnsi="Book Antiqua"/>
          <w:sz w:val="24"/>
          <w:szCs w:val="24"/>
        </w:rPr>
        <w:t>No association between CFRD and hepatic steatosis was found in this cohort</w:t>
      </w:r>
      <w:r w:rsidR="00F24937" w:rsidRPr="003610D2">
        <w:rPr>
          <w:rFonts w:ascii="Book Antiqua" w:hAnsi="Book Antiqua"/>
          <w:sz w:val="24"/>
          <w:szCs w:val="24"/>
        </w:rPr>
        <w:t xml:space="preserve">. </w:t>
      </w:r>
    </w:p>
    <w:p w14:paraId="085DD28C" w14:textId="77777777" w:rsidR="006D5C9C" w:rsidRPr="003610D2" w:rsidRDefault="006D5C9C" w:rsidP="00F61D5F">
      <w:pPr>
        <w:adjustRightInd w:val="0"/>
        <w:snapToGrid w:val="0"/>
        <w:spacing w:after="0" w:line="360" w:lineRule="auto"/>
        <w:jc w:val="both"/>
        <w:rPr>
          <w:rFonts w:ascii="Book Antiqua" w:hAnsi="Book Antiqua"/>
          <w:sz w:val="24"/>
          <w:szCs w:val="24"/>
        </w:rPr>
      </w:pPr>
    </w:p>
    <w:p w14:paraId="07BEEF33" w14:textId="35BE15BF" w:rsidR="006D5C9C" w:rsidRPr="003610D2" w:rsidRDefault="006D5C9C" w:rsidP="00F61D5F">
      <w:pPr>
        <w:adjustRightInd w:val="0"/>
        <w:snapToGrid w:val="0"/>
        <w:spacing w:after="0" w:line="360" w:lineRule="auto"/>
        <w:jc w:val="both"/>
        <w:rPr>
          <w:rFonts w:ascii="Book Antiqua" w:hAnsi="Book Antiqua"/>
          <w:sz w:val="24"/>
          <w:szCs w:val="24"/>
        </w:rPr>
      </w:pPr>
      <w:r w:rsidRPr="003610D2">
        <w:rPr>
          <w:rFonts w:ascii="Book Antiqua" w:hAnsi="Book Antiqua"/>
          <w:b/>
          <w:bCs/>
          <w:sz w:val="24"/>
          <w:szCs w:val="24"/>
        </w:rPr>
        <w:t>Key</w:t>
      </w:r>
      <w:r w:rsidR="008F6EC9" w:rsidRPr="003610D2">
        <w:rPr>
          <w:rFonts w:ascii="Book Antiqua" w:hAnsi="Book Antiqua"/>
          <w:b/>
          <w:bCs/>
          <w:sz w:val="24"/>
          <w:szCs w:val="24"/>
        </w:rPr>
        <w:t xml:space="preserve"> </w:t>
      </w:r>
      <w:r w:rsidRPr="003610D2">
        <w:rPr>
          <w:rFonts w:ascii="Book Antiqua" w:hAnsi="Book Antiqua"/>
          <w:b/>
          <w:bCs/>
          <w:sz w:val="24"/>
          <w:szCs w:val="24"/>
        </w:rPr>
        <w:t>words:</w:t>
      </w:r>
      <w:r w:rsidRPr="003610D2">
        <w:rPr>
          <w:rFonts w:ascii="Book Antiqua" w:hAnsi="Book Antiqua"/>
          <w:sz w:val="24"/>
          <w:szCs w:val="24"/>
        </w:rPr>
        <w:t xml:space="preserve"> </w:t>
      </w:r>
      <w:r w:rsidR="00FB4C5C" w:rsidRPr="003610D2">
        <w:rPr>
          <w:rFonts w:ascii="Book Antiqua" w:hAnsi="Book Antiqua"/>
          <w:sz w:val="24"/>
          <w:szCs w:val="24"/>
        </w:rPr>
        <w:t>Cystic fibrosis;</w:t>
      </w:r>
      <w:r w:rsidR="002029AD" w:rsidRPr="003610D2">
        <w:rPr>
          <w:rFonts w:ascii="Book Antiqua" w:hAnsi="Book Antiqua"/>
          <w:sz w:val="24"/>
          <w:szCs w:val="24"/>
        </w:rPr>
        <w:t xml:space="preserve"> </w:t>
      </w:r>
      <w:r w:rsidR="00FB4C5C" w:rsidRPr="003610D2">
        <w:rPr>
          <w:rFonts w:ascii="Book Antiqua" w:hAnsi="Book Antiqua"/>
          <w:sz w:val="24"/>
          <w:szCs w:val="24"/>
        </w:rPr>
        <w:t>Liver disease;</w:t>
      </w:r>
      <w:r w:rsidRPr="003610D2">
        <w:rPr>
          <w:rFonts w:ascii="Book Antiqua" w:hAnsi="Book Antiqua"/>
          <w:sz w:val="24"/>
          <w:szCs w:val="24"/>
        </w:rPr>
        <w:t xml:space="preserve"> </w:t>
      </w:r>
      <w:r w:rsidR="00FB4C5C" w:rsidRPr="003610D2">
        <w:rPr>
          <w:rFonts w:ascii="Book Antiqua" w:hAnsi="Book Antiqua"/>
          <w:sz w:val="24"/>
          <w:szCs w:val="24"/>
        </w:rPr>
        <w:t>Non-a</w:t>
      </w:r>
      <w:r w:rsidR="002029AD" w:rsidRPr="003610D2">
        <w:rPr>
          <w:rFonts w:ascii="Book Antiqua" w:hAnsi="Book Antiqua"/>
          <w:sz w:val="24"/>
          <w:szCs w:val="24"/>
        </w:rPr>
        <w:t xml:space="preserve">lcoholic </w:t>
      </w:r>
      <w:r w:rsidR="00FB4C5C" w:rsidRPr="003610D2">
        <w:rPr>
          <w:rFonts w:ascii="Book Antiqua" w:hAnsi="Book Antiqua"/>
          <w:sz w:val="24"/>
          <w:szCs w:val="24"/>
        </w:rPr>
        <w:t>fatty liver d</w:t>
      </w:r>
      <w:r w:rsidR="002029AD" w:rsidRPr="003610D2">
        <w:rPr>
          <w:rFonts w:ascii="Book Antiqua" w:hAnsi="Book Antiqua"/>
          <w:sz w:val="24"/>
          <w:szCs w:val="24"/>
        </w:rPr>
        <w:t>isease</w:t>
      </w:r>
      <w:r w:rsidR="00FB4C5C" w:rsidRPr="003610D2">
        <w:rPr>
          <w:rFonts w:ascii="Book Antiqua" w:hAnsi="Book Antiqua"/>
          <w:sz w:val="24"/>
          <w:szCs w:val="24"/>
        </w:rPr>
        <w:t>;</w:t>
      </w:r>
      <w:r w:rsidRPr="003610D2">
        <w:rPr>
          <w:rFonts w:ascii="Book Antiqua" w:hAnsi="Book Antiqua"/>
          <w:sz w:val="24"/>
          <w:szCs w:val="24"/>
        </w:rPr>
        <w:t xml:space="preserve"> </w:t>
      </w:r>
      <w:r w:rsidR="00FB4C5C" w:rsidRPr="003610D2">
        <w:rPr>
          <w:rFonts w:ascii="Book Antiqua" w:hAnsi="Book Antiqua"/>
          <w:sz w:val="24"/>
          <w:szCs w:val="24"/>
        </w:rPr>
        <w:t>Cystic fibrosis transmembrane conductance r</w:t>
      </w:r>
      <w:r w:rsidR="002029AD" w:rsidRPr="003610D2">
        <w:rPr>
          <w:rFonts w:ascii="Book Antiqua" w:hAnsi="Book Antiqua"/>
          <w:sz w:val="24"/>
          <w:szCs w:val="24"/>
        </w:rPr>
        <w:t>egulator</w:t>
      </w:r>
      <w:r w:rsidR="00FB4C5C" w:rsidRPr="003610D2">
        <w:rPr>
          <w:rFonts w:ascii="Book Antiqua" w:hAnsi="Book Antiqua"/>
          <w:sz w:val="24"/>
          <w:szCs w:val="24"/>
        </w:rPr>
        <w:t xml:space="preserve">; </w:t>
      </w:r>
      <w:r w:rsidR="009532E2" w:rsidRPr="003610D2">
        <w:rPr>
          <w:rFonts w:ascii="Book Antiqua" w:hAnsi="Book Antiqua"/>
          <w:sz w:val="24"/>
          <w:szCs w:val="24"/>
        </w:rPr>
        <w:t>Lumacaftor/</w:t>
      </w:r>
      <w:r w:rsidR="008F6EC9" w:rsidRPr="003610D2">
        <w:rPr>
          <w:rFonts w:ascii="Book Antiqua" w:hAnsi="Book Antiqua"/>
          <w:sz w:val="24"/>
          <w:szCs w:val="24"/>
        </w:rPr>
        <w:t>i</w:t>
      </w:r>
      <w:r w:rsidR="009532E2" w:rsidRPr="003610D2">
        <w:rPr>
          <w:rFonts w:ascii="Book Antiqua" w:hAnsi="Book Antiqua"/>
          <w:sz w:val="24"/>
          <w:szCs w:val="24"/>
        </w:rPr>
        <w:t>vacaftor; C</w:t>
      </w:r>
      <w:r w:rsidR="008F6EC9" w:rsidRPr="003610D2">
        <w:rPr>
          <w:rFonts w:ascii="Book Antiqua" w:hAnsi="Book Antiqua"/>
          <w:sz w:val="24"/>
          <w:szCs w:val="24"/>
        </w:rPr>
        <w:t>ystic fibrosis transmembrane conductance regulator</w:t>
      </w:r>
      <w:r w:rsidR="009532E2" w:rsidRPr="003610D2">
        <w:rPr>
          <w:rFonts w:ascii="Book Antiqua" w:hAnsi="Book Antiqua"/>
          <w:sz w:val="24"/>
          <w:szCs w:val="24"/>
        </w:rPr>
        <w:t xml:space="preserve"> modulator; </w:t>
      </w:r>
      <w:r w:rsidR="002029AD" w:rsidRPr="003610D2">
        <w:rPr>
          <w:rFonts w:ascii="Book Antiqua" w:hAnsi="Book Antiqua"/>
          <w:sz w:val="24"/>
          <w:szCs w:val="24"/>
        </w:rPr>
        <w:t>Diabetes mellitus</w:t>
      </w:r>
    </w:p>
    <w:p w14:paraId="2FB0AEE8" w14:textId="58550B9D" w:rsidR="003D741A" w:rsidRPr="003610D2" w:rsidRDefault="003D741A" w:rsidP="00F61D5F">
      <w:pPr>
        <w:adjustRightInd w:val="0"/>
        <w:snapToGrid w:val="0"/>
        <w:spacing w:after="0" w:line="360" w:lineRule="auto"/>
        <w:jc w:val="both"/>
        <w:rPr>
          <w:rFonts w:ascii="Book Antiqua" w:hAnsi="Book Antiqua"/>
          <w:sz w:val="24"/>
          <w:szCs w:val="24"/>
        </w:rPr>
      </w:pPr>
    </w:p>
    <w:p w14:paraId="51AB6DF6" w14:textId="5E212CA2" w:rsidR="008F6EC9" w:rsidRPr="003610D2" w:rsidRDefault="008F6EC9" w:rsidP="008F6EC9">
      <w:pPr>
        <w:autoSpaceDE w:val="0"/>
        <w:autoSpaceDN w:val="0"/>
        <w:adjustRightInd w:val="0"/>
        <w:snapToGrid w:val="0"/>
        <w:spacing w:after="0" w:line="360" w:lineRule="auto"/>
        <w:jc w:val="both"/>
        <w:rPr>
          <w:rFonts w:ascii="Book Antiqua" w:eastAsia="SimSun" w:hAnsi="Book Antiqua" w:cs="Arial Unicode MS"/>
          <w:sz w:val="24"/>
          <w:szCs w:val="24"/>
          <w:lang w:eastAsia="zh-CN"/>
        </w:rPr>
      </w:pPr>
      <w:bookmarkStart w:id="30" w:name="OLE_LINK98"/>
      <w:bookmarkStart w:id="31" w:name="OLE_LINK156"/>
      <w:bookmarkStart w:id="32" w:name="OLE_LINK196"/>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bookmarkStart w:id="162" w:name="_Hlk17899813"/>
      <w:r w:rsidRPr="008F6EC9">
        <w:rPr>
          <w:rFonts w:ascii="Book Antiqua" w:eastAsia="SimSun" w:hAnsi="Book Antiqua" w:cs="Times New Roman"/>
          <w:b/>
          <w:color w:val="000000"/>
          <w:sz w:val="24"/>
          <w:szCs w:val="24"/>
          <w:lang w:eastAsia="zh-CN"/>
        </w:rPr>
        <w:t xml:space="preserve">© </w:t>
      </w:r>
      <w:r w:rsidRPr="008F6EC9">
        <w:rPr>
          <w:rFonts w:ascii="Book Antiqua" w:eastAsia="AdvTimes" w:hAnsi="Book Antiqua" w:cs="AdvTimes"/>
          <w:b/>
          <w:color w:val="000000"/>
          <w:sz w:val="24"/>
          <w:szCs w:val="24"/>
          <w:lang w:eastAsia="zh-CN"/>
        </w:rPr>
        <w:t>The Author(s) 201</w:t>
      </w:r>
      <w:r w:rsidRPr="008F6EC9">
        <w:rPr>
          <w:rFonts w:ascii="Book Antiqua" w:eastAsia="SimSun" w:hAnsi="Book Antiqua" w:cs="AdvTimes"/>
          <w:b/>
          <w:color w:val="000000"/>
          <w:sz w:val="24"/>
          <w:szCs w:val="24"/>
          <w:lang w:eastAsia="zh-CN"/>
        </w:rPr>
        <w:t>9</w:t>
      </w:r>
      <w:r w:rsidRPr="008F6EC9">
        <w:rPr>
          <w:rFonts w:ascii="Book Antiqua" w:eastAsia="AdvTimes" w:hAnsi="Book Antiqua" w:cs="AdvTimes"/>
          <w:color w:val="000000"/>
          <w:sz w:val="24"/>
          <w:szCs w:val="24"/>
          <w:lang w:eastAsia="zh-CN"/>
        </w:rPr>
        <w:t xml:space="preserve"> Published by </w:t>
      </w:r>
      <w:proofErr w:type="spellStart"/>
      <w:r w:rsidRPr="008F6EC9">
        <w:rPr>
          <w:rFonts w:ascii="Book Antiqua" w:eastAsia="SimSun" w:hAnsi="Book Antiqua" w:cs="Arial Unicode MS"/>
          <w:color w:val="000000"/>
          <w:sz w:val="24"/>
          <w:szCs w:val="24"/>
          <w:lang w:eastAsia="zh-CN"/>
        </w:rPr>
        <w:t>Baishideng</w:t>
      </w:r>
      <w:proofErr w:type="spellEnd"/>
      <w:r w:rsidRPr="008F6EC9">
        <w:rPr>
          <w:rFonts w:ascii="Book Antiqua" w:eastAsia="SimSun" w:hAnsi="Book Antiqua" w:cs="Arial Unicode MS"/>
          <w:color w:val="000000"/>
          <w:sz w:val="24"/>
          <w:szCs w:val="24"/>
          <w:lang w:eastAsia="zh-CN"/>
        </w:rPr>
        <w:t xml:space="preserve"> Publishing Group Inc.</w:t>
      </w:r>
      <w:r w:rsidRPr="008F6EC9">
        <w:rPr>
          <w:rFonts w:ascii="Book Antiqua" w:eastAsia="SimSun" w:hAnsi="Book Antiqua" w:cs="Arial Unicode MS"/>
          <w:sz w:val="24"/>
          <w:szCs w:val="24"/>
          <w:lang w:eastAsia="zh-CN"/>
        </w:rPr>
        <w:t xml:space="preserve"> 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F00F731" w14:textId="77777777" w:rsidR="008F6EC9" w:rsidRPr="003610D2" w:rsidRDefault="008F6EC9" w:rsidP="00F61D5F">
      <w:pPr>
        <w:adjustRightInd w:val="0"/>
        <w:snapToGrid w:val="0"/>
        <w:spacing w:after="0" w:line="360" w:lineRule="auto"/>
        <w:jc w:val="both"/>
        <w:rPr>
          <w:rFonts w:ascii="Book Antiqua" w:hAnsi="Book Antiqua"/>
          <w:sz w:val="24"/>
          <w:szCs w:val="24"/>
        </w:rPr>
      </w:pPr>
    </w:p>
    <w:p w14:paraId="3C2B1E48" w14:textId="132F9D55" w:rsidR="000833B4" w:rsidRPr="003610D2" w:rsidRDefault="002F03DD" w:rsidP="00F61D5F">
      <w:pPr>
        <w:adjustRightInd w:val="0"/>
        <w:snapToGrid w:val="0"/>
        <w:spacing w:after="0" w:line="360" w:lineRule="auto"/>
        <w:jc w:val="both"/>
        <w:rPr>
          <w:rFonts w:ascii="Book Antiqua" w:hAnsi="Book Antiqua"/>
          <w:sz w:val="24"/>
          <w:szCs w:val="24"/>
        </w:rPr>
      </w:pPr>
      <w:bookmarkStart w:id="163" w:name="OLE_LINK1196"/>
      <w:bookmarkStart w:id="164" w:name="OLE_LINK1154"/>
      <w:bookmarkStart w:id="165" w:name="OLE_LINK1155"/>
      <w:bookmarkStart w:id="166" w:name="OLE_LINK1322"/>
      <w:bookmarkStart w:id="167" w:name="OLE_LINK1044"/>
      <w:bookmarkStart w:id="168" w:name="OLE_LINK1224"/>
      <w:bookmarkStart w:id="169" w:name="OLE_LINK1225"/>
      <w:bookmarkStart w:id="170" w:name="OLE_LINK1634"/>
      <w:bookmarkStart w:id="171" w:name="OLE_LINK1635"/>
      <w:bookmarkStart w:id="172" w:name="OLE_LINK1762"/>
      <w:bookmarkStart w:id="173" w:name="OLE_LINK1763"/>
      <w:bookmarkStart w:id="174" w:name="OLE_LINK1764"/>
      <w:bookmarkStart w:id="175" w:name="OLE_LINK1939"/>
      <w:bookmarkStart w:id="176" w:name="OLE_LINK2194"/>
      <w:bookmarkStart w:id="177" w:name="OLE_LINK2878"/>
      <w:r w:rsidRPr="003610D2">
        <w:rPr>
          <w:rFonts w:ascii="Book Antiqua" w:hAnsi="Book Antiqua" w:cs="Times New Roman"/>
          <w:b/>
          <w:color w:val="000000" w:themeColor="text1"/>
          <w:sz w:val="24"/>
          <w:szCs w:val="24"/>
          <w:highlight w:val="white"/>
          <w:lang w:eastAsia="zh-CN"/>
        </w:rPr>
        <w:t>Core tip:</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3D741A" w:rsidRPr="003610D2">
        <w:rPr>
          <w:rFonts w:ascii="Book Antiqua" w:hAnsi="Book Antiqua"/>
          <w:sz w:val="24"/>
          <w:szCs w:val="24"/>
        </w:rPr>
        <w:t xml:space="preserve"> Hepatic steatosis is a common manifestation of </w:t>
      </w:r>
      <w:r w:rsidR="001862B8" w:rsidRPr="003610D2">
        <w:rPr>
          <w:rFonts w:ascii="Book Antiqua" w:hAnsi="Book Antiqua"/>
          <w:sz w:val="24"/>
          <w:szCs w:val="24"/>
        </w:rPr>
        <w:t>liver disease in cystic fibrosis (CF)</w:t>
      </w:r>
      <w:r w:rsidR="003D741A" w:rsidRPr="003610D2">
        <w:rPr>
          <w:rFonts w:ascii="Book Antiqua" w:hAnsi="Book Antiqua"/>
          <w:sz w:val="24"/>
          <w:szCs w:val="24"/>
        </w:rPr>
        <w:t xml:space="preserve">. </w:t>
      </w:r>
      <w:r w:rsidR="001862B8" w:rsidRPr="003610D2">
        <w:rPr>
          <w:rFonts w:ascii="Book Antiqua" w:hAnsi="Book Antiqua"/>
          <w:sz w:val="24"/>
          <w:szCs w:val="24"/>
        </w:rPr>
        <w:t>It remains unknown whether hepatic steatosis contributes to the development of cirrhosis in patients with CF. Lumacaftor/</w:t>
      </w:r>
      <w:r w:rsidR="00B97B8B" w:rsidRPr="003610D2">
        <w:rPr>
          <w:rFonts w:ascii="Book Antiqua" w:hAnsi="Book Antiqua"/>
          <w:sz w:val="24"/>
          <w:szCs w:val="24"/>
        </w:rPr>
        <w:t>i</w:t>
      </w:r>
      <w:r w:rsidR="001862B8" w:rsidRPr="003610D2">
        <w:rPr>
          <w:rFonts w:ascii="Book Antiqua" w:hAnsi="Book Antiqua"/>
          <w:sz w:val="24"/>
          <w:szCs w:val="24"/>
        </w:rPr>
        <w:t xml:space="preserve">vacaftor is a </w:t>
      </w:r>
      <w:bookmarkStart w:id="178" w:name="OLE_LINK683"/>
      <w:bookmarkStart w:id="179" w:name="OLE_LINK684"/>
      <w:r w:rsidR="00977D22" w:rsidRPr="003610D2">
        <w:rPr>
          <w:rFonts w:ascii="Book Antiqua" w:hAnsi="Book Antiqua"/>
          <w:sz w:val="24"/>
          <w:szCs w:val="24"/>
        </w:rPr>
        <w:t>cystic fibrosis transmembrane conductance regulator</w:t>
      </w:r>
      <w:bookmarkEnd w:id="178"/>
      <w:bookmarkEnd w:id="179"/>
      <w:r w:rsidR="00AF23D8" w:rsidRPr="003610D2">
        <w:rPr>
          <w:rFonts w:ascii="Book Antiqua" w:hAnsi="Book Antiqua"/>
          <w:sz w:val="24"/>
          <w:szCs w:val="24"/>
        </w:rPr>
        <w:t xml:space="preserve"> (CFTR)</w:t>
      </w:r>
      <w:r w:rsidR="001862B8" w:rsidRPr="003610D2">
        <w:rPr>
          <w:rFonts w:ascii="Book Antiqua" w:hAnsi="Book Antiqua"/>
          <w:sz w:val="24"/>
          <w:szCs w:val="24"/>
        </w:rPr>
        <w:t xml:space="preserve"> modulator</w:t>
      </w:r>
      <w:r w:rsidR="00977D22" w:rsidRPr="003610D2">
        <w:rPr>
          <w:rFonts w:ascii="Book Antiqua" w:hAnsi="Book Antiqua"/>
          <w:sz w:val="24"/>
          <w:szCs w:val="24"/>
        </w:rPr>
        <w:t xml:space="preserve"> drug</w:t>
      </w:r>
      <w:r w:rsidR="001862B8" w:rsidRPr="003610D2">
        <w:rPr>
          <w:rFonts w:ascii="Book Antiqua" w:hAnsi="Book Antiqua"/>
          <w:sz w:val="24"/>
          <w:szCs w:val="24"/>
        </w:rPr>
        <w:t xml:space="preserve"> targeting the defective chloride channel that causes CF.</w:t>
      </w:r>
      <w:r w:rsidR="001C1832">
        <w:rPr>
          <w:rFonts w:ascii="Book Antiqua" w:hAnsi="Book Antiqua"/>
          <w:sz w:val="24"/>
          <w:szCs w:val="24"/>
        </w:rPr>
        <w:t xml:space="preserve"> </w:t>
      </w:r>
      <w:r w:rsidR="001862B8" w:rsidRPr="003610D2">
        <w:rPr>
          <w:rFonts w:ascii="Book Antiqua" w:hAnsi="Book Antiqua"/>
          <w:sz w:val="24"/>
          <w:szCs w:val="24"/>
        </w:rPr>
        <w:t>In this cross</w:t>
      </w:r>
      <w:r w:rsidR="008F6EC9" w:rsidRPr="003610D2">
        <w:rPr>
          <w:rFonts w:ascii="Book Antiqua" w:hAnsi="Book Antiqua"/>
          <w:sz w:val="24"/>
          <w:szCs w:val="24"/>
        </w:rPr>
        <w:t>-</w:t>
      </w:r>
      <w:r w:rsidR="001862B8" w:rsidRPr="003610D2">
        <w:rPr>
          <w:rFonts w:ascii="Book Antiqua" w:hAnsi="Book Antiqua"/>
          <w:sz w:val="24"/>
          <w:szCs w:val="24"/>
        </w:rPr>
        <w:t xml:space="preserve">sectional study, CF patients receiving lumacaftor/ivacaftor </w:t>
      </w:r>
      <w:r w:rsidR="005F24F9" w:rsidRPr="003610D2">
        <w:rPr>
          <w:rFonts w:ascii="Book Antiqua" w:hAnsi="Book Antiqua"/>
          <w:sz w:val="24"/>
          <w:szCs w:val="24"/>
        </w:rPr>
        <w:t>had</w:t>
      </w:r>
      <w:r w:rsidR="001862B8" w:rsidRPr="003610D2">
        <w:rPr>
          <w:rFonts w:ascii="Book Antiqua" w:hAnsi="Book Antiqua"/>
          <w:sz w:val="24"/>
          <w:szCs w:val="24"/>
        </w:rPr>
        <w:t xml:space="preserve"> significantly lower</w:t>
      </w:r>
      <w:r w:rsidR="00977D22" w:rsidRPr="003610D2">
        <w:rPr>
          <w:rFonts w:ascii="Book Antiqua" w:hAnsi="Book Antiqua"/>
          <w:sz w:val="24"/>
          <w:szCs w:val="24"/>
        </w:rPr>
        <w:t xml:space="preserve"> magnetic resonance imaging</w:t>
      </w:r>
      <w:r w:rsidR="005F24F9" w:rsidRPr="003610D2">
        <w:rPr>
          <w:rFonts w:ascii="Book Antiqua" w:hAnsi="Book Antiqua"/>
          <w:sz w:val="24"/>
          <w:szCs w:val="24"/>
        </w:rPr>
        <w:t xml:space="preserve"> proton density fat fractions </w:t>
      </w:r>
      <w:r w:rsidR="001862B8" w:rsidRPr="003610D2">
        <w:rPr>
          <w:rFonts w:ascii="Book Antiqua" w:hAnsi="Book Antiqua"/>
          <w:sz w:val="24"/>
          <w:szCs w:val="24"/>
        </w:rPr>
        <w:t xml:space="preserve">than CF patients not receiving the </w:t>
      </w:r>
      <w:r w:rsidR="005E1FB5" w:rsidRPr="003610D2">
        <w:rPr>
          <w:rFonts w:ascii="Book Antiqua" w:hAnsi="Book Antiqua"/>
          <w:sz w:val="24"/>
          <w:szCs w:val="24"/>
        </w:rPr>
        <w:t>CFTR modulator</w:t>
      </w:r>
      <w:r w:rsidR="001862B8" w:rsidRPr="003610D2">
        <w:rPr>
          <w:rFonts w:ascii="Book Antiqua" w:hAnsi="Book Antiqua"/>
          <w:sz w:val="24"/>
          <w:szCs w:val="24"/>
        </w:rPr>
        <w:t>. CFTR modulator use should be included in future studies of CF liver disease.</w:t>
      </w:r>
    </w:p>
    <w:p w14:paraId="17AD8306" w14:textId="77777777" w:rsidR="008F6EC9" w:rsidRPr="003610D2" w:rsidRDefault="008F6EC9" w:rsidP="00F61D5F">
      <w:pPr>
        <w:adjustRightInd w:val="0"/>
        <w:snapToGrid w:val="0"/>
        <w:spacing w:after="0" w:line="360" w:lineRule="auto"/>
        <w:jc w:val="both"/>
        <w:rPr>
          <w:rFonts w:ascii="Book Antiqua" w:hAnsi="Book Antiqua"/>
          <w:sz w:val="24"/>
          <w:szCs w:val="24"/>
        </w:rPr>
      </w:pPr>
    </w:p>
    <w:p w14:paraId="6B04720A" w14:textId="21E08EFF" w:rsidR="00E9217D" w:rsidRPr="003610D2" w:rsidRDefault="00E9217D" w:rsidP="00F61D5F">
      <w:pPr>
        <w:adjustRightInd w:val="0"/>
        <w:snapToGrid w:val="0"/>
        <w:spacing w:after="0" w:line="360" w:lineRule="auto"/>
        <w:jc w:val="both"/>
        <w:rPr>
          <w:rFonts w:ascii="Book Antiqua" w:hAnsi="Book Antiqua"/>
          <w:sz w:val="24"/>
          <w:szCs w:val="24"/>
        </w:rPr>
      </w:pPr>
      <w:proofErr w:type="spellStart"/>
      <w:r w:rsidRPr="003610D2">
        <w:rPr>
          <w:rFonts w:ascii="Book Antiqua" w:hAnsi="Book Antiqua" w:cs="Times New Roman"/>
          <w:sz w:val="24"/>
          <w:szCs w:val="24"/>
        </w:rPr>
        <w:t>Kutney</w:t>
      </w:r>
      <w:proofErr w:type="spellEnd"/>
      <w:r w:rsidRPr="003610D2">
        <w:rPr>
          <w:rFonts w:ascii="Book Antiqua" w:hAnsi="Book Antiqua" w:cs="Times New Roman"/>
          <w:sz w:val="24"/>
          <w:szCs w:val="24"/>
        </w:rPr>
        <w:t xml:space="preserve"> K, </w:t>
      </w:r>
      <w:proofErr w:type="spellStart"/>
      <w:r w:rsidRPr="003610D2">
        <w:rPr>
          <w:rFonts w:ascii="Book Antiqua" w:hAnsi="Book Antiqua" w:cs="Times New Roman"/>
          <w:sz w:val="24"/>
          <w:szCs w:val="24"/>
        </w:rPr>
        <w:t>Donnola</w:t>
      </w:r>
      <w:proofErr w:type="spellEnd"/>
      <w:r w:rsidRPr="003610D2">
        <w:rPr>
          <w:rFonts w:ascii="Book Antiqua" w:hAnsi="Book Antiqua" w:cs="Times New Roman"/>
          <w:sz w:val="24"/>
          <w:szCs w:val="24"/>
        </w:rPr>
        <w:t xml:space="preserve"> SB, Flask CA, </w:t>
      </w:r>
      <w:proofErr w:type="spellStart"/>
      <w:r w:rsidRPr="003610D2">
        <w:rPr>
          <w:rFonts w:ascii="Book Antiqua" w:hAnsi="Book Antiqua" w:cs="Times New Roman"/>
          <w:sz w:val="24"/>
          <w:szCs w:val="24"/>
        </w:rPr>
        <w:t>Gubitosi</w:t>
      </w:r>
      <w:proofErr w:type="spellEnd"/>
      <w:r w:rsidRPr="003610D2">
        <w:rPr>
          <w:rFonts w:ascii="Book Antiqua" w:hAnsi="Book Antiqua" w:cs="Times New Roman"/>
          <w:sz w:val="24"/>
          <w:szCs w:val="24"/>
        </w:rPr>
        <w:t xml:space="preserve">-Klug R, </w:t>
      </w:r>
      <w:proofErr w:type="spellStart"/>
      <w:r w:rsidRPr="003610D2">
        <w:rPr>
          <w:rFonts w:ascii="Book Antiqua" w:hAnsi="Book Antiqua" w:cs="Times New Roman"/>
          <w:sz w:val="24"/>
          <w:szCs w:val="24"/>
        </w:rPr>
        <w:t>O’Riordan</w:t>
      </w:r>
      <w:proofErr w:type="spellEnd"/>
      <w:r w:rsidRPr="003610D2">
        <w:rPr>
          <w:rFonts w:ascii="Book Antiqua" w:hAnsi="Book Antiqua" w:cs="Times New Roman"/>
          <w:sz w:val="24"/>
          <w:szCs w:val="24"/>
        </w:rPr>
        <w:t xml:space="preserve"> M, </w:t>
      </w:r>
      <w:proofErr w:type="spellStart"/>
      <w:r w:rsidRPr="003610D2">
        <w:rPr>
          <w:rFonts w:ascii="Book Antiqua" w:hAnsi="Book Antiqua" w:cs="Times New Roman"/>
          <w:sz w:val="24"/>
          <w:szCs w:val="24"/>
        </w:rPr>
        <w:t>McBennett</w:t>
      </w:r>
      <w:proofErr w:type="spellEnd"/>
      <w:r w:rsidRPr="003610D2">
        <w:rPr>
          <w:rFonts w:ascii="Book Antiqua" w:hAnsi="Book Antiqua" w:cs="Times New Roman"/>
          <w:sz w:val="24"/>
          <w:szCs w:val="24"/>
        </w:rPr>
        <w:t xml:space="preserve"> K, </w:t>
      </w:r>
      <w:proofErr w:type="spellStart"/>
      <w:r w:rsidRPr="003610D2">
        <w:rPr>
          <w:rFonts w:ascii="Book Antiqua" w:hAnsi="Book Antiqua" w:cs="Times New Roman"/>
          <w:sz w:val="24"/>
          <w:szCs w:val="24"/>
        </w:rPr>
        <w:t>Sferra</w:t>
      </w:r>
      <w:proofErr w:type="spellEnd"/>
      <w:r w:rsidRPr="003610D2">
        <w:rPr>
          <w:rFonts w:ascii="Book Antiqua" w:hAnsi="Book Antiqua" w:cs="Times New Roman"/>
          <w:sz w:val="24"/>
          <w:szCs w:val="24"/>
        </w:rPr>
        <w:t xml:space="preserve"> TJ, Kaminski B</w:t>
      </w:r>
      <w:r w:rsidR="008F6EC9" w:rsidRPr="003610D2">
        <w:rPr>
          <w:rFonts w:ascii="Book Antiqua" w:hAnsi="Book Antiqua" w:cs="Times New Roman"/>
          <w:sz w:val="24"/>
          <w:szCs w:val="24"/>
        </w:rPr>
        <w:t>.</w:t>
      </w:r>
      <w:r w:rsidRPr="003610D2">
        <w:rPr>
          <w:rFonts w:ascii="Book Antiqua" w:hAnsi="Book Antiqua" w:cs="Times New Roman"/>
          <w:sz w:val="24"/>
          <w:szCs w:val="24"/>
        </w:rPr>
        <w:t xml:space="preserve"> </w:t>
      </w:r>
      <w:r w:rsidR="008F6EC9" w:rsidRPr="003610D2">
        <w:rPr>
          <w:rFonts w:ascii="Book Antiqua" w:hAnsi="Book Antiqua"/>
          <w:sz w:val="24"/>
          <w:szCs w:val="24"/>
        </w:rPr>
        <w:t>Lumacaftor/ivacaftor therapy is associated with reduced hepatic steatosis in cystic fibrosis patients.</w:t>
      </w:r>
      <w:r w:rsidRPr="003610D2">
        <w:rPr>
          <w:rFonts w:ascii="Book Antiqua" w:hAnsi="Book Antiqua"/>
          <w:sz w:val="24"/>
          <w:szCs w:val="24"/>
        </w:rPr>
        <w:t xml:space="preserve"> </w:t>
      </w:r>
      <w:bookmarkStart w:id="180" w:name="OLE_LINK8"/>
      <w:bookmarkStart w:id="181" w:name="OLE_LINK9"/>
      <w:r w:rsidR="008F6EC9" w:rsidRPr="003610D2">
        <w:rPr>
          <w:rFonts w:ascii="Book Antiqua" w:eastAsia="Times New Roman" w:hAnsi="Book Antiqua" w:cs="Times New Roman"/>
          <w:i/>
          <w:iCs/>
          <w:sz w:val="24"/>
          <w:szCs w:val="24"/>
          <w:lang w:eastAsia="zh-CN"/>
        </w:rPr>
        <w:t xml:space="preserve">World J </w:t>
      </w:r>
      <w:proofErr w:type="spellStart"/>
      <w:r w:rsidR="008F6EC9" w:rsidRPr="003610D2">
        <w:rPr>
          <w:rFonts w:ascii="Book Antiqua" w:eastAsia="Times New Roman" w:hAnsi="Book Antiqua" w:cs="Times New Roman"/>
          <w:i/>
          <w:iCs/>
          <w:sz w:val="24"/>
          <w:szCs w:val="24"/>
          <w:lang w:eastAsia="zh-CN"/>
        </w:rPr>
        <w:t>Hepatol</w:t>
      </w:r>
      <w:proofErr w:type="spellEnd"/>
      <w:r w:rsidR="008F6EC9" w:rsidRPr="003610D2">
        <w:rPr>
          <w:rFonts w:ascii="Book Antiqua" w:eastAsia="Times New Roman" w:hAnsi="Book Antiqua" w:cs="Times New Roman"/>
          <w:i/>
          <w:iCs/>
          <w:sz w:val="24"/>
          <w:szCs w:val="24"/>
          <w:lang w:eastAsia="zh-CN"/>
        </w:rPr>
        <w:t xml:space="preserve"> </w:t>
      </w:r>
      <w:r w:rsidR="008F6EC9" w:rsidRPr="003610D2">
        <w:rPr>
          <w:rFonts w:ascii="Book Antiqua" w:eastAsia="Times New Roman" w:hAnsi="Book Antiqua" w:cs="Times New Roman"/>
          <w:sz w:val="24"/>
          <w:szCs w:val="24"/>
          <w:lang w:eastAsia="zh-CN"/>
        </w:rPr>
        <w:t>2019; In press</w:t>
      </w:r>
      <w:bookmarkEnd w:id="180"/>
      <w:bookmarkEnd w:id="181"/>
    </w:p>
    <w:p w14:paraId="14E3993C" w14:textId="77777777" w:rsidR="008F6EC9" w:rsidRPr="003610D2" w:rsidRDefault="008F6EC9">
      <w:pPr>
        <w:rPr>
          <w:rFonts w:ascii="Book Antiqua" w:hAnsi="Book Antiqua"/>
          <w:b/>
          <w:sz w:val="24"/>
          <w:szCs w:val="24"/>
        </w:rPr>
      </w:pPr>
      <w:r w:rsidRPr="003610D2">
        <w:rPr>
          <w:rFonts w:ascii="Book Antiqua" w:hAnsi="Book Antiqua"/>
          <w:b/>
          <w:sz w:val="24"/>
          <w:szCs w:val="24"/>
        </w:rPr>
        <w:br w:type="page"/>
      </w:r>
    </w:p>
    <w:p w14:paraId="1BB64742" w14:textId="32878AC6" w:rsidR="00977D22" w:rsidRPr="003610D2" w:rsidRDefault="00977D22" w:rsidP="00F61D5F">
      <w:pPr>
        <w:tabs>
          <w:tab w:val="left" w:pos="2480"/>
        </w:tabs>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lastRenderedPageBreak/>
        <w:t>INTRODUCTION</w:t>
      </w:r>
    </w:p>
    <w:p w14:paraId="7131204D" w14:textId="0370210F" w:rsidR="002E5937" w:rsidRPr="003610D2" w:rsidRDefault="00A9649B" w:rsidP="00F61D5F">
      <w:pPr>
        <w:adjustRightInd w:val="0"/>
        <w:snapToGrid w:val="0"/>
        <w:spacing w:after="0" w:line="360" w:lineRule="auto"/>
        <w:jc w:val="both"/>
        <w:rPr>
          <w:rFonts w:ascii="Book Antiqua" w:hAnsi="Book Antiqua" w:cs="Arial"/>
          <w:sz w:val="24"/>
          <w:szCs w:val="24"/>
        </w:rPr>
      </w:pPr>
      <w:r w:rsidRPr="003610D2">
        <w:rPr>
          <w:rFonts w:ascii="Book Antiqua" w:hAnsi="Book Antiqua" w:cs="Arial"/>
          <w:sz w:val="24"/>
          <w:szCs w:val="24"/>
        </w:rPr>
        <w:t xml:space="preserve">The life expectancy for cystic fibrosis </w:t>
      </w:r>
      <w:r w:rsidR="00F8477D" w:rsidRPr="003610D2">
        <w:rPr>
          <w:rFonts w:ascii="Book Antiqua" w:hAnsi="Book Antiqua" w:cs="Arial"/>
          <w:sz w:val="24"/>
          <w:szCs w:val="24"/>
        </w:rPr>
        <w:t xml:space="preserve">(CF) </w:t>
      </w:r>
      <w:r w:rsidRPr="003610D2">
        <w:rPr>
          <w:rFonts w:ascii="Book Antiqua" w:hAnsi="Book Antiqua" w:cs="Arial"/>
          <w:sz w:val="24"/>
          <w:szCs w:val="24"/>
        </w:rPr>
        <w:t>patients has improved dr</w:t>
      </w:r>
      <w:r w:rsidR="00200A14" w:rsidRPr="003610D2">
        <w:rPr>
          <w:rFonts w:ascii="Book Antiqua" w:hAnsi="Book Antiqua" w:cs="Arial"/>
          <w:sz w:val="24"/>
          <w:szCs w:val="24"/>
        </w:rPr>
        <w:t xml:space="preserve">amatically over the </w:t>
      </w:r>
      <w:r w:rsidR="00F03DEA" w:rsidRPr="003610D2">
        <w:rPr>
          <w:rFonts w:ascii="Book Antiqua" w:hAnsi="Book Antiqua" w:cs="Arial"/>
          <w:sz w:val="24"/>
          <w:szCs w:val="24"/>
        </w:rPr>
        <w:t>past several</w:t>
      </w:r>
      <w:r w:rsidR="00EA36E2" w:rsidRPr="003610D2">
        <w:rPr>
          <w:rFonts w:ascii="Book Antiqua" w:hAnsi="Book Antiqua" w:cs="Arial"/>
          <w:sz w:val="24"/>
          <w:szCs w:val="24"/>
        </w:rPr>
        <w:t xml:space="preserve"> decades, </w:t>
      </w:r>
      <w:r w:rsidR="002F2AA0" w:rsidRPr="003610D2">
        <w:rPr>
          <w:rFonts w:ascii="Book Antiqua" w:hAnsi="Book Antiqua" w:cs="Arial"/>
          <w:sz w:val="24"/>
          <w:szCs w:val="24"/>
        </w:rPr>
        <w:t>and c</w:t>
      </w:r>
      <w:r w:rsidR="00200A14" w:rsidRPr="003610D2">
        <w:rPr>
          <w:rFonts w:ascii="Book Antiqua" w:hAnsi="Book Antiqua" w:cs="Arial"/>
          <w:sz w:val="24"/>
          <w:szCs w:val="24"/>
        </w:rPr>
        <w:t xml:space="preserve">ontinued improvement is expected </w:t>
      </w:r>
      <w:r w:rsidRPr="003610D2">
        <w:rPr>
          <w:rFonts w:ascii="Book Antiqua" w:hAnsi="Book Antiqua" w:cs="Arial"/>
          <w:sz w:val="24"/>
          <w:szCs w:val="24"/>
        </w:rPr>
        <w:t>with the widespread use</w:t>
      </w:r>
      <w:r w:rsidR="005F047C" w:rsidRPr="003610D2">
        <w:rPr>
          <w:rFonts w:ascii="Book Antiqua" w:hAnsi="Book Antiqua" w:cs="Arial"/>
          <w:sz w:val="24"/>
          <w:szCs w:val="24"/>
        </w:rPr>
        <w:t xml:space="preserve"> of</w:t>
      </w:r>
      <w:r w:rsidR="00D07CD1" w:rsidRPr="003610D2">
        <w:rPr>
          <w:rFonts w:ascii="Book Antiqua" w:hAnsi="Book Antiqua" w:cs="Arial"/>
          <w:sz w:val="24"/>
          <w:szCs w:val="24"/>
        </w:rPr>
        <w:t xml:space="preserve"> cystic fibrosis transmembrane conductance regulator</w:t>
      </w:r>
      <w:r w:rsidR="005F047C" w:rsidRPr="003610D2">
        <w:rPr>
          <w:rFonts w:ascii="Book Antiqua" w:hAnsi="Book Antiqua" w:cs="Arial"/>
          <w:sz w:val="24"/>
          <w:szCs w:val="24"/>
        </w:rPr>
        <w:t xml:space="preserve"> </w:t>
      </w:r>
      <w:r w:rsidR="00D07CD1" w:rsidRPr="003610D2">
        <w:rPr>
          <w:rFonts w:ascii="Book Antiqua" w:hAnsi="Book Antiqua" w:cs="Arial"/>
          <w:sz w:val="24"/>
          <w:szCs w:val="24"/>
        </w:rPr>
        <w:t>(</w:t>
      </w:r>
      <w:r w:rsidR="005F047C" w:rsidRPr="003610D2">
        <w:rPr>
          <w:rFonts w:ascii="Book Antiqua" w:hAnsi="Book Antiqua" w:cs="Arial"/>
          <w:sz w:val="24"/>
          <w:szCs w:val="24"/>
        </w:rPr>
        <w:t>CFTR</w:t>
      </w:r>
      <w:r w:rsidR="00D07CD1" w:rsidRPr="003610D2">
        <w:rPr>
          <w:rFonts w:ascii="Book Antiqua" w:hAnsi="Book Antiqua" w:cs="Arial"/>
          <w:sz w:val="24"/>
          <w:szCs w:val="24"/>
        </w:rPr>
        <w:t>)</w:t>
      </w:r>
      <w:r w:rsidR="005F047C" w:rsidRPr="003610D2">
        <w:rPr>
          <w:rFonts w:ascii="Book Antiqua" w:hAnsi="Book Antiqua" w:cs="Arial"/>
          <w:sz w:val="24"/>
          <w:szCs w:val="24"/>
        </w:rPr>
        <w:t xml:space="preserve"> modulator therapies</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"abstract" : "The mission of the Cystic Fibrosis Foundation is to cure cystic fibrosis and to provide all people with the disease the opportunity to lead full, productive lives by funding research and drug development, promoting individualized treatment and ensuring access to high-quality, specialized care. It is a pleasure to share the 2016 Patient Registry Annual Data Report with you. The Cystic Fibrosis Foundation Patient Registry remains a very important resource to the CF community, contributing to clinical trial design, \" real world \" observational research including safety and effectiveness studies of newly approved therapies, and quality improvement. Many thanks to each and every one of you who contribute to the success of the Registry. It would not be possible without the vital contributions of many, most notably the people with CF and their families who generously agree to share their data and the Registry coordinators and care team members who collect and enter the data. We hope that you feel a sense of pride as you read through this report. I call your attention to a few highlights in the 2016 data. First the good news is that median predicted survival as well as pulmonary function and measures of nutritional status continue to show trends upwards. Also of note, over 7,500 individuals were prescribed a CFTR modulator drug.", "container-title" : "Cystic Fibrosis Foundation Patient Registry", "id" : "ITEM-1", "issued" : { "date-parts" : [ [ "2016" ] ] }, "number-of-pages" : "1-94", "title" : "Annual Data Report 2016 Cystic Fibrosis Foundation Patient Registry", "type" : "report" }, "uris" : [ "http://www.mendeley.com/documents/?uuid=5101d56f-d10f-4752-8729-bb29e5afedc7" ] } ], "mendeley" : { "formattedCitation" : "&lt;sup&gt;[1]&lt;/sup&gt;", "plainTextFormattedCitation" : "[1]", "previouslyFormattedCitation" : "&lt;sup&gt;[1]&lt;/sup&gt;"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[1]</w:t>
      </w:r>
      <w:r w:rsidR="00AA31B0" w:rsidRPr="003610D2">
        <w:rPr>
          <w:rFonts w:ascii="Book Antiqua" w:hAnsi="Book Antiqua" w:cs="Arial"/>
          <w:sz w:val="24"/>
          <w:szCs w:val="24"/>
        </w:rPr>
        <w:fldChar w:fldCharType="end"/>
      </w:r>
      <w:r w:rsidRPr="003610D2">
        <w:rPr>
          <w:rFonts w:ascii="Book Antiqua" w:hAnsi="Book Antiqua" w:cs="Arial"/>
          <w:sz w:val="24"/>
          <w:szCs w:val="24"/>
        </w:rPr>
        <w:t>.</w:t>
      </w:r>
      <w:r w:rsidR="009910D4" w:rsidRPr="003610D2">
        <w:rPr>
          <w:rFonts w:ascii="Book Antiqua" w:hAnsi="Book Antiqua" w:cs="Arial"/>
          <w:sz w:val="24"/>
          <w:szCs w:val="24"/>
        </w:rPr>
        <w:t xml:space="preserve"> </w:t>
      </w:r>
      <w:r w:rsidR="00EE21F0" w:rsidRPr="003610D2">
        <w:rPr>
          <w:rFonts w:ascii="Book Antiqua" w:hAnsi="Book Antiqua" w:cs="Arial"/>
          <w:sz w:val="24"/>
          <w:szCs w:val="24"/>
        </w:rPr>
        <w:t xml:space="preserve">While pulmonary disease </w:t>
      </w:r>
      <w:r w:rsidRPr="003610D2">
        <w:rPr>
          <w:rFonts w:ascii="Book Antiqua" w:hAnsi="Book Antiqua" w:cs="Arial"/>
          <w:sz w:val="24"/>
          <w:szCs w:val="24"/>
        </w:rPr>
        <w:t>remains</w:t>
      </w:r>
      <w:r w:rsidR="00B229CB" w:rsidRPr="003610D2">
        <w:rPr>
          <w:rFonts w:ascii="Book Antiqua" w:hAnsi="Book Antiqua" w:cs="Arial"/>
          <w:sz w:val="24"/>
          <w:szCs w:val="24"/>
        </w:rPr>
        <w:t xml:space="preserve"> the leading cause</w:t>
      </w:r>
      <w:r w:rsidR="00EE21F0" w:rsidRPr="003610D2">
        <w:rPr>
          <w:rFonts w:ascii="Book Antiqua" w:hAnsi="Book Antiqua" w:cs="Arial"/>
          <w:sz w:val="24"/>
          <w:szCs w:val="24"/>
        </w:rPr>
        <w:t xml:space="preserve"> of mortality in CF, </w:t>
      </w:r>
      <w:r w:rsidRPr="003610D2">
        <w:rPr>
          <w:rFonts w:ascii="Book Antiqua" w:hAnsi="Book Antiqua" w:cs="Arial"/>
          <w:sz w:val="24"/>
          <w:szCs w:val="24"/>
        </w:rPr>
        <w:t xml:space="preserve">extra pulmonary complications such as </w:t>
      </w:r>
      <w:r w:rsidR="00F8477D" w:rsidRPr="003610D2">
        <w:rPr>
          <w:rFonts w:ascii="Book Antiqua" w:hAnsi="Book Antiqua" w:cs="Arial"/>
          <w:sz w:val="24"/>
          <w:szCs w:val="24"/>
        </w:rPr>
        <w:t>cystic fibrosis related diabetes (CFRD)</w:t>
      </w:r>
      <w:r w:rsidR="005F047C" w:rsidRPr="003610D2">
        <w:rPr>
          <w:rFonts w:ascii="Book Antiqua" w:hAnsi="Book Antiqua" w:cs="Arial"/>
          <w:sz w:val="24"/>
          <w:szCs w:val="24"/>
        </w:rPr>
        <w:t xml:space="preserve"> and </w:t>
      </w:r>
      <w:r w:rsidR="00EE21F0" w:rsidRPr="003610D2">
        <w:rPr>
          <w:rFonts w:ascii="Book Antiqua" w:hAnsi="Book Antiqua" w:cs="Arial"/>
          <w:sz w:val="24"/>
          <w:szCs w:val="24"/>
        </w:rPr>
        <w:t>cystic fibrosis associated liver disease</w:t>
      </w:r>
      <w:r w:rsidR="00303300" w:rsidRPr="003610D2">
        <w:rPr>
          <w:rFonts w:ascii="Book Antiqua" w:hAnsi="Book Antiqua" w:cs="Arial"/>
          <w:sz w:val="24"/>
          <w:szCs w:val="24"/>
        </w:rPr>
        <w:t xml:space="preserve"> (CF</w:t>
      </w:r>
      <w:r w:rsidRPr="003610D2">
        <w:rPr>
          <w:rFonts w:ascii="Book Antiqua" w:hAnsi="Book Antiqua" w:cs="Arial"/>
          <w:sz w:val="24"/>
          <w:szCs w:val="24"/>
        </w:rPr>
        <w:t>LD) have</w:t>
      </w:r>
      <w:r w:rsidR="00EE21F0" w:rsidRPr="003610D2">
        <w:rPr>
          <w:rFonts w:ascii="Book Antiqua" w:hAnsi="Book Antiqua" w:cs="Arial"/>
          <w:sz w:val="24"/>
          <w:szCs w:val="24"/>
        </w:rPr>
        <w:t xml:space="preserve"> emerged as </w:t>
      </w:r>
      <w:r w:rsidRPr="003610D2">
        <w:rPr>
          <w:rFonts w:ascii="Book Antiqua" w:hAnsi="Book Antiqua" w:cs="Arial"/>
          <w:sz w:val="24"/>
          <w:szCs w:val="24"/>
        </w:rPr>
        <w:t>important sources of morbidity in this population</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"10.1055/s-0035-1547319", "PMID" : "25826591", "author" : [ { "dropping-particle" : "", "family" : "Brennan", "given" : "Amanda L", "non-dropping-particle" : "", "parse-names" : false, "suffix" : "" }, { "dropping-particle" : "", "family" : "Beynon", "given" : "Jennifer", "non-dropping-particle" : "", "parse-names" : false, "suffix" : "" } ], "container-title" : "Semin Respir Crit Care Med", "id" : "ITEM-1", "issued" : { "date-parts" : [ [ "2015" ] ] }, "page" : "236-250", "title" : "Clinical Updates in Cystic Fibrosis \u2013 Related Diabetes", "type" : "article-journal", "volume" : "36" }, "uris" : [ "http://www.mendeley.com/documents/?uuid=da7e9e68-bb26-4d8f-8dcb-e8a258ad94ee" ] }, { "id" : "ITEM-2", "itemData" : { "DOI" : "10.1016/j.bpg.2010.08.003", "ISBN" : "1521-6918", "ISSN" : "15216918", "PMID" : "20955961", "abstract" : "Liver disease is increasingly common in cystic fibrosis (CF). As new therapeutic options emerge, life expectancy increases and common hepatobiliary manifestations impact on quality of life and survival of CF patients. Hepatobiliary abnormalities in CF vary in nature and range from defects attributable to the underlying CFTR gene defect to those related to systemic disease and malnutrition. Today complications of liver disease represent the third most frequent cause of disease-related death in patients with CF. Here we review molecular and clinical genetics of CF, including genetic modifiers of CF-associated liver disease, and provide practical recommendations for genetic testing, diagnosis and treatment of hepatobiliary manifestations in CF. ?? 2010 Elsevier Ltd. All rights reserved.", "author" : [ { "dropping-particle" : "", "family" : "Herrmann", "given" : "Ulrike", "non-dropping-particle" : "", "parse-names" : false, "suffix" : "" }, { "dropping-particle" : "", "family" : "Dockter", "given" : "Gerd", "non-dropping-particle" : "", "parse-names" : false, "suffix" : "" }, { "dropping-particle" : "", "family" : "Lammert", "given" : "Frank", "non-dropping-particle" : "", "parse-names" : false, "suffix" : "" } ], "container-title" : "Best Practice and Research: Clinical Gastroenterology", "id" : "ITEM-2", "issue" : "5", "issued" : { "date-parts" : [ [ "2010" ] ] }, "note" : "12\n\ndiagnostic criteria (2/3)\n- abrnoaml Physical exam ( heptomegaly orsplentmegaly) \n-bnormal LFT x3 over 12 months\n- US evidence of increased echogenicity, irreg margins, nodularity, or portal hypertension, or bile duct dilitation\n\n- may need live rbiopsy if in doubt", "page" : "585-592", "title" : "Cystic fibrosis-associated liver disease", "type" : "article-journal", "volume" : "24" }, "uris" : [ "http://www.mendeley.com/documents/?uuid=c74db6b4-1b5a-4cbd-82e0-b3ce7d88edc3" ] }, { "id" : "ITEM-3", "itemData" : { "DOI" : "10.1002/hep.30148", "ISSN" : "02709139", "PMID" : "30058245", "abstract" : "Cystic fibrosis (CF)-related liver disease (CFLD) is a common symptom in patients with CF. However, its prevalence, risk factors, and evolution are unclear. We analyzed a large database of patients with CF to investigate the incidence of CFLD, its related risk factors, and the use and effect of ursodeoxycholic acid (UDCA) treatment. We retrospectively analyzed 3,328 CF patients with pancreatic insufficiency born after 1985 and recruited into the French CF Modifier Gene Study since 2004. We determined liver status, age at CFLD and severe CFLD onset, sex, CFTR genotype, history of meconium ileus, treatment with UDCA, and respiratory and nutritional status. The incidence of CFLD increased by approximately 1% every year, reaching 32.2% by age 25. The incidence of severe CFLD increased only after the age of 5, reaching 10% by age 30. Risk factors for CFLD and severe CFLD were male sex, CFTR F508del homozygosity, and history of meconium ileus. Increasingly precocious initiation of UDCA treatment did not change the incidence of severe CFLD. Finally, patients with severe CFLD had worse lung function and nutritional status than other CF patients. CONCLUSION CFLD occurs not only during childhood but also later in the lifetime of patients with CF; male sex, CFTR F508del homozygosity, and history of meconium ileus are independent risk factors for CFLD development; earlier use of UDCA over the last 20 years has not changed the incidence of severe CFLD, leading to questions about the use of this treatment in young children given its possible adverse effects. This article is protected by copyright. All rights reserved.", "author" : [ { "dropping-particle" : "", "family" : "Boelle", "given" : "Pierre-Yves", "non-dropping-particle" : "", "parse-names" : false, "suffix" : "" }, { "dropping-particle" : "", "family" : "Debray", "given" : "Dominique", "non-dropping-particle" : "", "parse-names" : false, "suffix" : "" }, { "dropping-particle" : "", "family" : "Guillot", "given" : "Loic", "non-dropping-particle" : "", "parse-names" : false, "suffix" : "" }, { "dropping-particle" : "", "family" : "Clement", "given" : "Annick", "non-dropping-particle" : "", "parse-names" : false, "suffix" : "" }, { "dropping-particle" : "", "family" : "Corvol", "given" : "Harriet", "non-dropping-particle" : "", "parse-names" : false, "suffix" : "" } ], "container-title" : "Hepatology", "id" : "ITEM-3", "issue" : "0", "issued" : { "date-parts" : [ [ "2018" ] ] }, "page" : "1-9", "title" : "Cystic Fibrosis Liver Disease: Outcomes and Risk Factors in a Large Cohort of French Patients", "type" : "article-journal", "volume" : "16" }, "uris" : [ "http://www.mendeley.com/documents/?uuid=a84297aa-ec39-460d-b628-a7767d25658d" ] } ], "mendeley" : { "formattedCitation" : "&lt;sup&gt;[2\u20134]&lt;/sup&gt;", "plainTextFormattedCitation" : "[2\u20134]", "previouslyFormattedCitation" : "&lt;sup&gt;[2\u20134]&lt;/sup&gt;"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w:t>
      </w:r>
      <w:r w:rsidR="005E0EBE">
        <w:rPr>
          <w:rFonts w:ascii="Book Antiqua" w:hAnsi="Book Antiqua" w:cs="Arial"/>
          <w:noProof/>
          <w:sz w:val="24"/>
          <w:szCs w:val="24"/>
          <w:vertAlign w:val="superscript"/>
        </w:rPr>
        <w:t>-</w:t>
      </w:r>
      <w:r w:rsidR="00AA31B0" w:rsidRPr="003610D2">
        <w:rPr>
          <w:rFonts w:ascii="Book Antiqua" w:hAnsi="Book Antiqua" w:cs="Arial"/>
          <w:noProof/>
          <w:sz w:val="24"/>
          <w:szCs w:val="24"/>
          <w:vertAlign w:val="superscript"/>
        </w:rPr>
        <w:t>4]</w:t>
      </w:r>
      <w:r w:rsidR="00AA31B0" w:rsidRPr="003610D2">
        <w:rPr>
          <w:rFonts w:ascii="Book Antiqua" w:hAnsi="Book Antiqua" w:cs="Arial"/>
          <w:sz w:val="24"/>
          <w:szCs w:val="24"/>
        </w:rPr>
        <w:fldChar w:fldCharType="end"/>
      </w:r>
      <w:r w:rsidR="00EE21F0" w:rsidRPr="003610D2">
        <w:rPr>
          <w:rFonts w:ascii="Book Antiqua" w:hAnsi="Book Antiqua" w:cs="Arial"/>
          <w:sz w:val="24"/>
          <w:szCs w:val="24"/>
        </w:rPr>
        <w:t xml:space="preserve">. </w:t>
      </w:r>
      <w:r w:rsidR="000874C6" w:rsidRPr="003610D2">
        <w:rPr>
          <w:rFonts w:ascii="Book Antiqua" w:hAnsi="Book Antiqua" w:cs="Arial"/>
          <w:sz w:val="24"/>
          <w:szCs w:val="24"/>
        </w:rPr>
        <w:t xml:space="preserve">As </w:t>
      </w:r>
      <w:r w:rsidR="00C02E5D" w:rsidRPr="003610D2">
        <w:rPr>
          <w:rFonts w:ascii="Book Antiqua" w:hAnsi="Book Antiqua" w:cs="Arial"/>
          <w:sz w:val="24"/>
          <w:szCs w:val="24"/>
        </w:rPr>
        <w:t xml:space="preserve">the </w:t>
      </w:r>
      <w:r w:rsidR="000874C6" w:rsidRPr="003610D2">
        <w:rPr>
          <w:rFonts w:ascii="Book Antiqua" w:hAnsi="Book Antiqua" w:cs="Arial"/>
          <w:sz w:val="24"/>
          <w:szCs w:val="24"/>
        </w:rPr>
        <w:t>life expectancy for CF patients improves, d</w:t>
      </w:r>
      <w:r w:rsidR="00495AA8" w:rsidRPr="003610D2">
        <w:rPr>
          <w:rFonts w:ascii="Book Antiqua" w:hAnsi="Book Antiqua" w:cs="Arial"/>
          <w:sz w:val="24"/>
          <w:szCs w:val="24"/>
        </w:rPr>
        <w:t xml:space="preserve">etermining the </w:t>
      </w:r>
      <w:r w:rsidR="007A52E1" w:rsidRPr="003610D2">
        <w:rPr>
          <w:rFonts w:ascii="Book Antiqua" w:hAnsi="Book Antiqua" w:cs="Arial"/>
          <w:sz w:val="24"/>
          <w:szCs w:val="24"/>
        </w:rPr>
        <w:t>impa</w:t>
      </w:r>
      <w:r w:rsidR="00495AA8" w:rsidRPr="003610D2">
        <w:rPr>
          <w:rFonts w:ascii="Book Antiqua" w:hAnsi="Book Antiqua" w:cs="Arial"/>
          <w:sz w:val="24"/>
          <w:szCs w:val="24"/>
        </w:rPr>
        <w:t>ct of CFTR modulator therapy on extra</w:t>
      </w:r>
      <w:r w:rsidR="00CA540A" w:rsidRPr="003610D2">
        <w:rPr>
          <w:rFonts w:ascii="Book Antiqua" w:hAnsi="Book Antiqua" w:cs="Arial"/>
          <w:sz w:val="24"/>
          <w:szCs w:val="24"/>
        </w:rPr>
        <w:t>-</w:t>
      </w:r>
      <w:r w:rsidR="00495AA8" w:rsidRPr="003610D2">
        <w:rPr>
          <w:rFonts w:ascii="Book Antiqua" w:hAnsi="Book Antiqua" w:cs="Arial"/>
          <w:sz w:val="24"/>
          <w:szCs w:val="24"/>
        </w:rPr>
        <w:t xml:space="preserve">pulmonary disease </w:t>
      </w:r>
      <w:r w:rsidR="007A52E1" w:rsidRPr="003610D2">
        <w:rPr>
          <w:rFonts w:ascii="Book Antiqua" w:hAnsi="Book Antiqua" w:cs="Arial"/>
          <w:sz w:val="24"/>
          <w:szCs w:val="24"/>
        </w:rPr>
        <w:t>is of critical importance.</w:t>
      </w:r>
      <w:r w:rsidR="002E5937" w:rsidRPr="003610D2">
        <w:rPr>
          <w:rFonts w:ascii="Book Antiqua" w:hAnsi="Book Antiqua" w:cs="Arial"/>
          <w:sz w:val="24"/>
          <w:szCs w:val="24"/>
        </w:rPr>
        <w:t xml:space="preserve"> </w:t>
      </w:r>
    </w:p>
    <w:p w14:paraId="72E2D0E2" w14:textId="42D43E8E" w:rsidR="002E5937" w:rsidRPr="003610D2" w:rsidRDefault="008E7DF2" w:rsidP="00AA31B0">
      <w:pPr>
        <w:adjustRightInd w:val="0"/>
        <w:snapToGrid w:val="0"/>
        <w:spacing w:after="0" w:line="360" w:lineRule="auto"/>
        <w:ind w:firstLineChars="100" w:firstLine="240"/>
        <w:jc w:val="both"/>
        <w:rPr>
          <w:rFonts w:ascii="Book Antiqua" w:hAnsi="Book Antiqua" w:cs="Arial"/>
          <w:sz w:val="24"/>
          <w:szCs w:val="24"/>
        </w:rPr>
      </w:pPr>
      <w:r w:rsidRPr="003610D2">
        <w:rPr>
          <w:rFonts w:ascii="Book Antiqua" w:hAnsi="Book Antiqua" w:cs="Arial"/>
          <w:sz w:val="24"/>
          <w:szCs w:val="24"/>
        </w:rPr>
        <w:t xml:space="preserve">Hepatic manifestations of </w:t>
      </w:r>
      <w:r w:rsidR="00B97C31" w:rsidRPr="003610D2">
        <w:rPr>
          <w:rFonts w:ascii="Book Antiqua" w:hAnsi="Book Antiqua" w:cs="Arial"/>
          <w:sz w:val="24"/>
          <w:szCs w:val="24"/>
        </w:rPr>
        <w:t>CF</w:t>
      </w:r>
      <w:r w:rsidRPr="003610D2">
        <w:rPr>
          <w:rFonts w:ascii="Book Antiqua" w:hAnsi="Book Antiqua" w:cs="Arial"/>
          <w:sz w:val="24"/>
          <w:szCs w:val="24"/>
        </w:rPr>
        <w:t xml:space="preserve"> are broad, including:</w:t>
      </w:r>
      <w:r w:rsidR="002E5937" w:rsidRPr="003610D2">
        <w:rPr>
          <w:rFonts w:ascii="Book Antiqua" w:hAnsi="Book Antiqua" w:cs="Arial"/>
          <w:sz w:val="24"/>
          <w:szCs w:val="24"/>
        </w:rPr>
        <w:t xml:space="preserve"> neonatal cholestasis, transaminase elevation, hepatic steatosis, focal biliary cirrhosis, </w:t>
      </w:r>
      <w:proofErr w:type="spellStart"/>
      <w:r w:rsidR="002E5937" w:rsidRPr="003610D2">
        <w:rPr>
          <w:rFonts w:ascii="Book Antiqua" w:hAnsi="Book Antiqua" w:cs="Arial"/>
          <w:sz w:val="24"/>
          <w:szCs w:val="24"/>
        </w:rPr>
        <w:t>multilobular</w:t>
      </w:r>
      <w:proofErr w:type="spellEnd"/>
      <w:r w:rsidR="002E5937" w:rsidRPr="003610D2">
        <w:rPr>
          <w:rFonts w:ascii="Book Antiqua" w:hAnsi="Book Antiqua" w:cs="Arial"/>
          <w:sz w:val="24"/>
          <w:szCs w:val="24"/>
        </w:rPr>
        <w:t xml:space="preserve"> cirrhosis and portal hypertension</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"10.1016/j.bpg.2010.08.003", "ISBN" : "1521-6918", "ISSN" : "15216918", "PMID" : "20955961", "abstract" : "Liver disease is increasingly common in cystic fibrosis (CF). As new therapeutic options emerge, life expectancy increases and common hepatobiliary manifestations impact on quality of life and survival of CF patients. Hepatobiliary abnormalities in CF vary in nature and range from defects attributable to the underlying CFTR gene defect to those related to systemic disease and malnutrition. Today complications of liver disease represent the third most frequent cause of disease-related death in patients with CF. Here we review molecular and clinical genetics of CF, including genetic modifiers of CF-associated liver disease, and provide practical recommendations for genetic testing, diagnosis and treatment of hepatobiliary manifestations in CF. ?? 2010 Elsevier Ltd. All rights reserved.", "author" : [ { "dropping-particle" : "", "family" : "Herrmann", "given" : "Ulrike", "non-dropping-particle" : "", "parse-names" : false, "suffix" : "" }, { "dropping-particle" : "", "family" : "Dockter", "given" : "Gerd", "non-dropping-particle" : "", "parse-names" : false, "suffix" : "" }, { "dropping-particle" : "", "family" : "Lammert", "given" : "Frank", "non-dropping-particle" : "", "parse-names" : false, "suffix" : "" } ], "container-title" : "Best Practice and Research: Clinical Gastroenterology", "id" : "ITEM-1", "issue" : "5", "issued" : { "date-parts" : [ [ "2010" ] ] }, "note" : "12\n\ndiagnostic criteria (2/3)\n- abrnoaml Physical exam ( heptomegaly orsplentmegaly) \n-bnormal LFT x3 over 12 months\n- US evidence of increased echogenicity, irreg margins, nodularity, or portal hypertension, or bile duct dilitation\n\n- may need live rbiopsy if in doubt", "page" : "585-592", "title" : "Cystic fibrosis-associated liver disease", "type" : "article-journal", "volume" : "24" }, "uris" : [ "http://www.mendeley.com/documents/?uuid=c74db6b4-1b5a-4cbd-82e0-b3ce7d88edc3" ] }, { "id" : "ITEM-2", "itemData" : { "DOI" : "10.1097/MCP.0b013e3282f10a16", "ISBN" : "0277-2116 (Print) 0277-2116 (Linking)", "PMID" : "17901760", "abstract" : "Liver involvement in Cystic Fibrosis (CF) is much less frequent than both pulmonary and pancreatic diseases that are present in 80-90% of CF patients; liver disease (LD) affects only one third of CF patients, however, because of the decreasing mortality from extrahepatic causes, its recognition and management is becoming a relevant clinical issue. Recent observations suggest that clinical expression of LD in CF may be influenced by genetic modifiers; their identification is an important issue because it may allow recognition of patients at risk for the development of LD at the time of diagnosis of CF and early institution of prophylactic strategies. Oral bile acid therapy, aimed at improving biliary secretion in terms of bile viscosity and bile acid composition, is currently the only available therapeutic approach for CF-associated LD. However, the impact of this therapy on the natural history of LD remains to be defined and long-term effectiveness on clinically relevant outcomes should be further investigated. Liver transplantation should be offered to CF patients with progressive liver failure and/or with life-threatening sequelae of portal hypertension, who also have mild pulmonary involvement that is expected to support long-term survival. The 1-year survival rate after transplantation in CF patients is approximately 80%, with beneficial effects on lung function, nutritional status, body composition and quality of life in most cases.", "author" : [ { "dropping-particle" : "", "family" : "Colombo", "given" : "C", "non-dropping-particle" : "", "parse-names" : false, "suffix" : "" } ], "container-title" : "Curr Opin Pulm Med", "id" : "ITEM-2", "issue" : "6", "issued" : { "date-parts" : [ [ "2007" ] ] }, "note" : "- &amp;quot;many cf pt exhibit decompensate dliver disease in adolescence when glucose intolerance and CFRD are more likely to develop&amp;quot;\n- advanced liver disease may induce insulin resistance\n\nnothing about steatosis aside from 23-67%", "page" : "529-36", "title" : "Liver disease in cystic fibrosis", "type" : "article-journal", "volume" : "13" }, "uris" : [ "http://www.mendeley.com/documents/?uuid=5bde012c-ad4d-4a07-8029-bbd7104972ee" ] } ], "mendeley" : { "formattedCitation" : "&lt;sup&gt;[3,5]&lt;/sup&gt;", "plainTextFormattedCitation" : "[3,5]", "previouslyFormattedCitation" : "&lt;sup&gt;[3,5]&lt;/sup&gt;"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[3,5]</w:t>
      </w:r>
      <w:r w:rsidR="00AA31B0" w:rsidRPr="003610D2">
        <w:rPr>
          <w:rFonts w:ascii="Book Antiqua" w:hAnsi="Book Antiqua" w:cs="Arial"/>
          <w:sz w:val="24"/>
          <w:szCs w:val="24"/>
        </w:rPr>
        <w:fldChar w:fldCharType="end"/>
      </w:r>
      <w:r w:rsidR="002E5937" w:rsidRPr="003610D2">
        <w:rPr>
          <w:rFonts w:ascii="Book Antiqua" w:hAnsi="Book Antiqua" w:cs="Arial"/>
          <w:sz w:val="24"/>
          <w:szCs w:val="24"/>
        </w:rPr>
        <w:t xml:space="preserve">. </w:t>
      </w:r>
      <w:r w:rsidRPr="003610D2">
        <w:rPr>
          <w:rFonts w:ascii="Book Antiqua" w:hAnsi="Book Antiqua" w:cs="Arial"/>
          <w:sz w:val="24"/>
          <w:szCs w:val="24"/>
        </w:rPr>
        <w:t>Cirrhosis with portal hypertension is the primary cause of morbidity and mortality from CFLD</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"10.1016/j.jcf.2012.11.010", "ISSN" : "1873-5010", "PMID" : "23266093", "author" : [ { "dropping-particle" : "", "family" : "Flass", "given" : "Thomas", "non-dropping-particle" : "", "parse-names" : false, "suffix" : "" }, { "dropping-particle" : "", "family" : "Narkewicz", "given" : "Michael R", "non-dropping-particle" : "", "parse-names" : false, "suffix" : "" } ], "container-title" : "J Cyst Fibros", "id" : "ITEM-1", "issue" : "2", "issued" : { "date-parts" : [ [ "2013" ] ] }, "note" : "purpose: \n- review of CFALD\n\n- pathogenesis of CFALD largely unknown\n- unkown wihy only a subset of CF patients develop cirrhosis\n- PiZ heterozygous state for apha-1AT associated with increasaed risk , accounted for 9% cirrhotic patients.", "page" : "116-24", "title" : "Cirrhosis and other liver disease in cystic fibrosis.", "type" : "article-journal", "volume" : "12" }, "uris" : [ "http://www.mendeley.com/documents/?uuid=43e2f9ba-763e-4298-8b48-9a8877bdadb0" ] } ], "mendeley" : { "formattedCitation" : "&lt;sup&gt;[6]&lt;/sup&gt;", "plainTextFormattedCitation" : "[6]", "previouslyFormattedCitation" : "&lt;sup&gt;[6]&lt;/sup&gt;"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[6]</w:t>
      </w:r>
      <w:r w:rsidR="00AA31B0" w:rsidRPr="003610D2">
        <w:rPr>
          <w:rFonts w:ascii="Book Antiqua" w:hAnsi="Book Antiqua" w:cs="Arial"/>
          <w:sz w:val="24"/>
          <w:szCs w:val="24"/>
        </w:rPr>
        <w:fldChar w:fldCharType="end"/>
      </w:r>
      <w:r w:rsidRPr="003610D2">
        <w:rPr>
          <w:rFonts w:ascii="Book Antiqua" w:hAnsi="Book Antiqua" w:cs="Arial"/>
          <w:sz w:val="24"/>
          <w:szCs w:val="24"/>
        </w:rPr>
        <w:t xml:space="preserve">. </w:t>
      </w:r>
      <w:r w:rsidR="002E5937" w:rsidRPr="003610D2">
        <w:rPr>
          <w:rFonts w:ascii="Book Antiqua" w:hAnsi="Book Antiqua" w:cs="Arial"/>
          <w:sz w:val="24"/>
          <w:szCs w:val="24"/>
        </w:rPr>
        <w:t>Debate regarding the opt</w:t>
      </w:r>
      <w:r w:rsidR="00303300" w:rsidRPr="003610D2">
        <w:rPr>
          <w:rFonts w:ascii="Book Antiqua" w:hAnsi="Book Antiqua" w:cs="Arial"/>
          <w:sz w:val="24"/>
          <w:szCs w:val="24"/>
        </w:rPr>
        <w:t>imal diagnostic criteria for CF</w:t>
      </w:r>
      <w:r w:rsidR="002E5937" w:rsidRPr="003610D2">
        <w:rPr>
          <w:rFonts w:ascii="Book Antiqua" w:hAnsi="Book Antiqua" w:cs="Arial"/>
          <w:sz w:val="24"/>
          <w:szCs w:val="24"/>
        </w:rPr>
        <w:t>LD is ongoing</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"10.1016/S1569-1993(11)60006-4", "ISBN" : "1873-5010 (Electronic)\\n1569-1993 (Linking)", "ISSN" : "15691993", "PMID" : "21658639", "abstract" : "Approximately 5-10% of cystic fibrosis (CF) patients develop multilobular cirrhosis during the first decade of life. Most CF patients later develop signs of portal hypertension with complications, mainly variceal bleeding. Liver failure usually occurs later, after the paediatric age. Annual screening for liver disease is recommended to detect pre-symptomatic signs and initiate ursodeoxycholic acid therapy, which might halt disease progression. Liver disease should be considered if at least two of the following variables are present: abnormal physical examination, persistently abnormal liver function tests and pathological ultrasonography. If there is diagnostic doubt, a liver biopsy is indicated. All CF patients with liver disease need annual follow-up to evaluate the development of cirrhosis, portal hypertension or liver failure. Management should focus on nutrition, prevention of bleeding and variceal decompression. Deterioration of pulmonary function is an important consideration for liver transplantation, particularly in children with hepatic dysfunction or advanced portal hypertension. ?? 2011 European Cystic Fibrosis Society.", "author" : [ { "dropping-particle" : "", "family" : "Debray", "given" : "Dominique", "non-dropping-particle" : "", "parse-names" : false, "suffix" : "" }, { "dropping-particle" : "", "family" : "Kelly", "given" : "Deirdre", "non-dropping-particle" : "", "parse-names" : false, "suffix" : "" }, { "dropping-particle" : "", "family" : "Houwen", "given" : "Roderick", "non-dropping-particle" : "", "parse-names" : false, "suffix" : "" }, { "dropping-particle" : "", "family" : "Strandvik", "given" : "Birgitta", "non-dropping-particle" : "", "parse-names" : false, "suffix" : "" }, { "dropping-particle" : "", "family" : "Colombo", "given" : "Carla", "non-dropping-particle" : "", "parse-names" : false, "suffix" : "" } ], "container-title" : "Journal of Cystic Fibrosis", "id" : "ITEM-1", "issue" : "SUPPL. 2", "issued" : { "date-parts" : [ [ "2011" ] ] }, "note" : "12\n\ndiagnostic criteria (2/3)\n- abrnoaml Physical exam ( heptomegaly orsplentmegaly) \n-abnormal LFT x3 over 12 months\n- US evidence of increased echogenicity, irreg margins, nodularity, or portal hypertension, or bile duct dilitation\n\n- may need liver biopsy if in doubt", "page" : "S29-S36", "publisher" : "European Cystic Fibrosis Society", "title" : "Best practice guidance for the diagnosis and management of cystic fibrosis-associated liver disease", "type" : "article-journal", "volume" : "10" }, "uris" : [ "http://www.mendeley.com/documents/?uuid=2c7eabee-207f-4965-951e-53fa0cbb894d" ] }, { "id" : "ITEM-2", "itemData" : { "DOI" : "10.1016/j.jcf.2012.11.010", "ISSN" : "1873-5010", "PMID" : "23266093", "author" : [ { "dropping-particle" : "", "family" : "Flass", "given" : "Thomas", "non-dropping-particle" : "", "parse-names" : false, "suffix" : "" }, { "dropping-particle" : "", "family" : "Narkewicz", "given" : "Michael R", "non-dropping-particle" : "", "parse-names" : false, "suffix" : "" } ], "container-title" : "J Cyst Fibros", "id" : "ITEM-2", "issue" : "2", "issued" : { "date-parts" : [ [ "2013" ] ] }, "note" : "purpose: \n- review of CFALD\n\n- pathogenesis of CFALD largely unknown\n- unkown wihy only a subset of CF patients develop cirrhosis\n- PiZ heterozygous state for apha-1AT associated with increasaed risk , accounted for 9% cirrhotic patients.", "page" : "116-24", "title" : "Cirrhosis and other liver disease in cystic fibrosis.", "type" : "article-journal", "volume" : "12" }, "uris" : [ "http://www.mendeley.com/documents/?uuid=43e2f9ba-763e-4298-8b48-9a8877bdadb0" ] }, { "id" : "ITEM-3", "itemData" : { "DOI" : "10.1002/hep.29217", "ISSN" : "15273350", "PMID" : "28422310", "abstract" : "Cystic fibrosis (CF) liver disease (CFLD), a leading cause of death in CF, is mostly described in pediatric populations. Adult-onset CFLD lacks sufficient characterization and diagnostic tools. A cohort of CF patients without CFLD during childhood were followed for up to 38 years with serologic testing, imaging, and noninvasive fibrosis markers. Historical CFLD diagnostic criteria were compared with newly proposed CFLD criteria. Thirty-six CF patients were followed for a median of 24.5 years (interquartile range 15.6-32.9). By the last follow-up, 11 (31%) had died. With conventional criteria, 8 (22%) patients had CFLD; and by the new criteria, 17 (47%) had CFLD at a median age of 36.6 years (interquartile range 26.5-43.2). By the new criteria, those with CFLD had higher median alanine aminotransferase (42 versus 27, P = 0.005), aspartate aminotransferase (AST; 26 versus 21, P = 0.01), direct bilirubin (0.13 versus 0.1, P = 0.01), prothrombin time (14.4 versus 12.4, P = 0.002), and AST-to-platelet ratio index (0.31 versus 0.23, P = 0.003) over the last 2 years of follow-up. Subjects with a FibroScan &gt;6.8 kPa had higher alanine aminotransferase (42 versus 28U/L, P = 0.02), AST (35 versus 25U/L, P = 0.02), AST-to-platelet ratio index (0.77 versus 0.25, P = 0.0004), and Fibrosis-4 index (2.14 versus 0.74, P = 0.0003) and lower platelet counts (205 versus 293, P = 0.02). One CFLD patient had nodular regenerative hyperplasia. Longitudinally, mean platelet counts significantly declined in the CFLD group (from 310 to 230 U/L, P = 0.0005). Deceased CFLD patients had lower platelet counts than those alive with CFLD (143 versus 258 U/L, P = 0.004) or those deceased with no CFLD (143 versus 327U/L, P = 0.006). CONCLUSION: Adult-onset CFLD may be more prevalent than previously described, which suggests a later wave of CFLD that impacts morbidity; routine liver tests, radiologic imaging, noninvasive fibrosis markers, and FibroScan can be used algorithmically to identify adult CFLD; and further evaluation in other CF cohorts should be performed for validation. (Hepatology 2017).", "author" : [ { "dropping-particle" : "", "family" : "Koh", "given" : "Christopher", "non-dropping-particle" : "", "parse-names" : false, "suffix" : "" }, { "dropping-particle" : "", "family" : "Sakiani", "given" : "Sasan", "non-dropping-particle" : "", "parse-names" : false, "suffix" : "" }, { "dropping-particle" : "", "family" : "Surana", "given" : "Pallavi", "non-dropping-particle" : "", "parse-names" : false, "suffix" : "" }, { "dropping-particle" : "", "family" : "Zhao", "given" : "Xiongce", "non-dropping-particle" : "", "parse-names" : false, "suffix" : "" }, { "dropping-particle" : "", "family" : "Eccleston", "given" : "Jason", "non-dropping-particle" : "", "parse-names" : false, "suffix" : "" }, { "dropping-particle" : "", "family" : "Kleiner", "given" : "David E.", "non-dropping-particle" : "", "parse-names" : false, "suffix" : "" }, { "dropping-particle" : "", "family" : "Herion", "given" : "David", "non-dropping-particle" : "", "parse-names" : false, "suffix" : "" }, { "dropping-particle" : "", "family" : "Liang", "given" : "T. Jake", "non-dropping-particle" : "", "parse-names" : false, "suffix" : "" }, { "dropping-particle" : "", "family" : "Hoofnagle", "given" : "Jay H.", "non-dropping-particle" : "", "parse-names" : false, "suffix" : "" }, { "dropping-particle" : "", "family" : "Chernick", "given" : "Milica", "non-dropping-particle" : "", "parse-names" : false, "suffix" : "" }, { "dropping-particle" : "", "family" : "Heller", "given" : "Theo", "non-dropping-particle" : "", "parse-names" : false, "suffix" : "" } ], "container-title" : "Hepatology", "id" : "ITEM-3", "issue" : "2", "issued" : { "date-parts" : [ [ "2017" ] ] }, "note" : "NRH- nodular regenerative hyperplasia-- one subject with portal HTN and variceal bleeding had this. caused by medications.", "page" : "591-601", "title" : "Adult-onset cystic fibrosis liver disease: Diagnosis and characterization of an underappreciated entity", "type" : "article-journal", "volume" : "66" }, "uris" : [ "http://www.mendeley.com/documents/?uuid=ea7b26af-c319-4628-96f9-d6fad139d298" ] }, { "id" : "ITEM-4", "itemData" : { "DOI" : "10.1097/MPG.0000000000001676", "ISBN" : "0000000000", "ISSN" : "15364801", "PMID" : "28753176", "abstract" : "OBJECTIVES: Hepatobiliary complications are a leading cause of morbidity and mortality in cystic fibrosis (CF) patients. Knowledge of the underlying pathological aspects and optimal clinical management is, however, sorely lacking. METHODS: We provide a summary of the lectures given by international speakers at the European Society for Paediatric Gastroenterology, Hepatology, and Nutrition (ESPGHAN) monothematic conference on cystic fibrosis-related liver disease (CFLD) held in Paris in January 2016, to discuss the status of our current knowledge of liver disease in CF patients, to define the critical areas that need to be addressed, and to resolve actions to elucidate relevant mechanisms of disease to optimise future therapeutic options. CONCLUSIONS: The need for a universal consensus on the definition of CFLD to clarify disease stage and to identify relevant biomarkers to assess disease severity was highlighted. A deeper understanding of the pathophysiology and prognostic factors for the long-term evolution of CFLD is fundamental to move forward and has a strong bearing on identifying potential treatments. Novel experimental models and new treatment options under investigation are discussed and offer hope for the near future of CFLD.", "author" : [ { "dropping-particle" : "", "family" : "Debray", "given" : "Dominique", "non-dropping-particle" : "", "parse-names" : false, "suffix" : "" }, { "dropping-particle" : "", "family" : "Narkewicz", "given" : "Michael R.", "non-dropping-particle" : "", "parse-names" : false, "suffix" : "" }, { "dropping-particle" : "", "family" : "Bodewes", "given" : "Frank A.J.A.", "non-dropping-particle" : "", "parse-names" : false, "suffix" : "" }, { "dropping-particle" : "", "family" : "Colombo", "given" : "Carla", "non-dropping-particle" : "", "parse-names" : false, "suffix" : "" }, { "dropping-particle" : "", "family" : "Housset", "given" : "Chantal", "non-dropping-particle" : "", "parse-names" : false, "suffix" : "" }, { "dropping-particle" : "", "family" : "Jonge", "given" : "Hugo R.", "non-dropping-particle" : "De", "parse-names" : false, "suffix" : "" }, { "dropping-particle" : "", "family" : "Jonker", "given" : "Johan W.", "non-dropping-particle" : "", "parse-names" : false, "suffix" : "" }, { "dropping-particle" : "", "family" : "Kelly", "given" : "Deirdre A.", "non-dropping-particle" : "", "parse-names" : false, "suffix" : "" }, { "dropping-particle" : "", "family" : "Ling", "given" : "Simon C.", "non-dropping-particle" : "", "parse-names" : false, "suffix" : "" }, { "dropping-particle" : "", "family" : "Poynard", "given" : "Thierry", "non-dropping-particle" : "", "parse-names" : false, "suffix" : "" }, { "dropping-particle" : "", "family" : "Sogni", "given" : "Philippe", "non-dropping-particle" : "", "parse-names" : false, "suffix" : "" }, { "dropping-particle" : "", "family" : "Trauner", "given" : "Michael", "non-dropping-particle" : "", "parse-names" : false, "suffix" : "" }, { "dropping-particle" : "", "family" : "Witters", "given" : "Peter", "non-dropping-particle" : "", "parse-names" : false, "suffix" : "" }, { "dropping-particle" : "", "family" : "Baumann", "given" : "Ulrich", "non-dropping-particle" : "", "parse-names" : false, "suffix" : "" }, { "dropping-particle" : "", "family" : "Wilschanski", "given" : "Michael", "non-dropping-particle" : "", "parse-names" : false, "suffix" : "" }, { "dropping-particle" : "", "family" : "Verkade", "given" : "Henkjan J.", "non-dropping-particle" : "", "parse-names" : false, "suffix" : "" } ], "container-title" : "Journal of Pediatric Gastroenterology and Nutrition", "id" : "ITEM-4", "issue" : "4", "issued" : { "date-parts" : [ [ "2017" ] ] }, "page" : "443-448", "title" : "Cystic Fibrosis-related Liver Disease: Research Challenges and Future Perspectives", "type" : "article-journal", "volume" : "65" }, "uris" : [ "http://www.mendeley.com/documents/?uuid=8efe7b81-303b-4d41-9b4b-1bfab5975893" ] } ], "mendeley" : { "formattedCitation" : "&lt;sup&gt;[6\u20139]&lt;/sup&gt;", "plainTextFormattedCitation" : "[6\u20139]", "previouslyFormattedCitation" : "&lt;sup&gt;[6\u20139]&lt;/sup&gt;"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[6</w:t>
      </w:r>
      <w:r w:rsidR="005E0EBE">
        <w:rPr>
          <w:rFonts w:ascii="Book Antiqua" w:hAnsi="Book Antiqua" w:cs="Arial"/>
          <w:noProof/>
          <w:sz w:val="24"/>
          <w:szCs w:val="24"/>
          <w:vertAlign w:val="superscript"/>
        </w:rPr>
        <w:t>-</w:t>
      </w:r>
      <w:r w:rsidR="00AA31B0" w:rsidRPr="003610D2">
        <w:rPr>
          <w:rFonts w:ascii="Book Antiqua" w:hAnsi="Book Antiqua" w:cs="Arial"/>
          <w:noProof/>
          <w:sz w:val="24"/>
          <w:szCs w:val="24"/>
          <w:vertAlign w:val="superscript"/>
        </w:rPr>
        <w:t>9]</w:t>
      </w:r>
      <w:r w:rsidR="00AA31B0" w:rsidRPr="003610D2">
        <w:rPr>
          <w:rFonts w:ascii="Book Antiqua" w:hAnsi="Book Antiqua" w:cs="Arial"/>
          <w:sz w:val="24"/>
          <w:szCs w:val="24"/>
        </w:rPr>
        <w:fldChar w:fldCharType="end"/>
      </w:r>
      <w:r w:rsidR="002E5937" w:rsidRPr="003610D2">
        <w:rPr>
          <w:rFonts w:ascii="Book Antiqua" w:hAnsi="Book Antiqua" w:cs="Arial"/>
          <w:sz w:val="24"/>
          <w:szCs w:val="24"/>
        </w:rPr>
        <w:t xml:space="preserve">. </w:t>
      </w:r>
      <w:r w:rsidR="00303300" w:rsidRPr="003610D2">
        <w:rPr>
          <w:rFonts w:ascii="Book Antiqua" w:hAnsi="Book Antiqua" w:cs="Arial"/>
          <w:sz w:val="24"/>
          <w:szCs w:val="24"/>
        </w:rPr>
        <w:t>While older studies describe CF</w:t>
      </w:r>
      <w:r w:rsidR="002E5937" w:rsidRPr="003610D2">
        <w:rPr>
          <w:rFonts w:ascii="Book Antiqua" w:hAnsi="Book Antiqua" w:cs="Arial"/>
          <w:sz w:val="24"/>
          <w:szCs w:val="24"/>
        </w:rPr>
        <w:t>LD as a childhood-onset disease,</w:t>
      </w:r>
      <w:r w:rsidR="002E5937" w:rsidRPr="003610D2">
        <w:rPr>
          <w:rFonts w:ascii="Book Antiqua" w:hAnsi="Book Antiqua" w:cs="Arial"/>
          <w:color w:val="2E74B5" w:themeColor="accent1" w:themeShade="BF"/>
          <w:sz w:val="24"/>
          <w:szCs w:val="24"/>
        </w:rPr>
        <w:t xml:space="preserve"> </w:t>
      </w:r>
      <w:r w:rsidR="002E5937" w:rsidRPr="003610D2">
        <w:rPr>
          <w:rFonts w:ascii="Book Antiqua" w:hAnsi="Book Antiqua" w:cs="Arial"/>
          <w:sz w:val="24"/>
          <w:szCs w:val="24"/>
        </w:rPr>
        <w:t xml:space="preserve">recent data demonstrates that adult-onset </w:t>
      </w:r>
      <w:r w:rsidR="00B97C31" w:rsidRPr="003610D2">
        <w:rPr>
          <w:rFonts w:ascii="Book Antiqua" w:hAnsi="Book Antiqua" w:cs="Arial"/>
          <w:sz w:val="24"/>
          <w:szCs w:val="24"/>
        </w:rPr>
        <w:t>CFLD</w:t>
      </w:r>
      <w:r w:rsidR="002E5937" w:rsidRPr="003610D2">
        <w:rPr>
          <w:rFonts w:ascii="Book Antiqua" w:hAnsi="Book Antiqua" w:cs="Arial"/>
          <w:sz w:val="24"/>
          <w:szCs w:val="24"/>
        </w:rPr>
        <w:t xml:space="preserve"> is </w:t>
      </w:r>
      <w:r w:rsidR="00574B2E" w:rsidRPr="003610D2">
        <w:rPr>
          <w:rFonts w:ascii="Book Antiqua" w:hAnsi="Book Antiqua" w:cs="Arial"/>
          <w:sz w:val="24"/>
          <w:szCs w:val="24"/>
        </w:rPr>
        <w:t xml:space="preserve">relatively </w:t>
      </w:r>
      <w:r w:rsidR="002E5937" w:rsidRPr="003610D2">
        <w:rPr>
          <w:rFonts w:ascii="Book Antiqua" w:hAnsi="Book Antiqua" w:cs="Arial"/>
          <w:sz w:val="24"/>
          <w:szCs w:val="24"/>
        </w:rPr>
        <w:t>common</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"10.1542/peds.103.1.52", "ISSN" : "0031-4005", "PMID" : "9917439", "abstract" : "OBJECTIVE: The aim of this study was to define the role of possible risk factors for the development of cystic fibrosis (CF)-related liver disease and to analyze the association between liver disease and the different genotypes present in the Israeli CF patient population. PATIENTS AND METHODS: All patients followed at the seven CF centers in Israel were included in this study. Liver disease was determined by persistently elevated serum liver enzymes and/or bilirubin, and/or significant ultrasonographic changes suggestive of chronic liver disease. The following clinical parameters were evaluated: ethnic origin, age at assessment of liver function, sex, history of meconium ileus, pancreatic function, history of distal intestinal obstruction syndrome, pulmonary function, and cystic fibrosis transmembrane conductance regulator mutation analysis. RESULTS: Of the 288 patients screened, 80 (28%) had liver disease. Of the 256 patients with pancreatic insufficiency, 80 (31%) had liver disease compared with none of the 32 patients with pancreatic sufficiency. Genotype-phenotype correlation was performed on 207 patients carrying identified mutations that were previously classified according to phenotype severity. Liver disease was found in 56 (32%) of 173 patients carrying mutations associated with a severe phenotype and in 6 (38%) of 16 patients carrying at least one mutation associated with a variable genotype (G85E and/or 5T allele). None of the 18 patients carrying the 3849+10kb C-&gt;T mutation had liver disease. Prevalence of liver disease increased with age. No correlation was found between liver disease and severity of lung disease, nutritional status, history of meconium ileus, or distal intestinal obstruction syndrome. CONCLUSION: CF patients who have pancreatic insufficiency and carry mutations associated with a severe or a variable genotype are at increased risk to develop liver disease.", "author" : [ { "dropping-particle" : "", "family" : "Wilschanski", "given" : "M", "non-dropping-particle" : "", "parse-names" : false, "suffix" : "" }, { "dropping-particle" : "", "family" : "Rivlin", "given" : "J", "non-dropping-particle" : "", "parse-names" : false, "suffix" : "" }, { "dropping-particle" : "", "family" : "Cohen", "given" : "S", "non-dropping-particle" : "", "parse-names" : false, "suffix" : "" }, { "dropping-particle" : "", "family" : "Augarten", "given" : "A", "non-dropping-particle" : "", "parse-names" : false, "suffix" : "" }, { "dropping-particle" : "", "family" : "Blau", "given" : "H", "non-dropping-particle" : "", "parse-names" : false, "suffix" : "" }, { "dropping-particle" : "", "family" : "Aviram", "given" : "M", "non-dropping-particle" : "", "parse-names" : false, "suffix" : "" }, { "dropping-particle" : "", "family" : "Bentur", "given" : "L", "non-dropping-particle" : "", "parse-names" : false, "suffix" : "" }, { "dropping-particle" : "", "family" : "Springer", "given" : "C", "non-dropping-particle" : "", "parse-names" : false, "suffix" : "" }, { "dropping-particle" : "", "family" : "Vila", "given" : "Y", "non-dropping-particle" : "", "parse-names" : false, "suffix" : "" }, { "dropping-particle" : "", "family" : "Branski", "given" : "D", "non-dropping-particle" : "", "parse-names" : false, "suffix" : "" }, { "dropping-particle" : "", "family" : "Kerem", "given" : "B", "non-dropping-particle" : "", "parse-names" : false, "suffix" : "" }, { "dropping-particle" : "", "family" : "Kerem", "given" : "E", "non-dropping-particle" : "", "parse-names" : false, "suffix" : "" } ], "container-title" : "Pediatrics", "id" : "ITEM-1", "issue" : "1", "issued" : { "date-parts" : [ [ "1999" ] ] }, "note" : "puprose:\n- identify RF for CFALD, analyze genotype-liver disease associateion for isreali population\n\nmethods:\n- all isreali CF patients followed\n- liver disease defined as : persistently elevated LFTs or bilirubin and/or US changes \n\nresults:\n- 288 screened; 28% had liver disease\n- 256 with Panc Insuff: 31% had liver disease\n- liver disease in 32% wtih severe genotype and 38% with variable genotype. None with milder mutation\n\nNOTES:\n- doesnt talk about steatosis", "page" : "52-57", "title" : "Clinical and genetic risk factors for cystic fibrosis-related liver disease.", "type" : "article-journal", "volume" : "103" }, "uris" : [ "http://www.mendeley.com/documents/?uuid=ff70e56b-3262-4a58-9c38-561b1a20fd56" ] }, { "id" : "ITEM-2", "itemData" : { "DOI" : "10.1002/hep.29217", "ISSN" : "15273350", "PMID" : "28422310", "abstract" : "Cystic fibrosis (CF) liver disease (CFLD), a leading cause of death in CF, is mostly described in pediatric populations. Adult-onset CFLD lacks sufficient characterization and diagnostic tools. A cohort of CF patients without CFLD during childhood were followed for up to 38 years with serologic testing, imaging, and noninvasive fibrosis markers. Historical CFLD diagnostic criteria were compared with newly proposed CFLD criteria. Thirty-six CF patients were followed for a median of 24.5 years (interquartile range 15.6-32.9). By the last follow-up, 11 (31%) had died. With conventional criteria, 8 (22%) patients had CFLD; and by the new criteria, 17 (47%) had CFLD at a median age of 36.6 years (interquartile range 26.5-43.2). By the new criteria, those with CFLD had higher median alanine aminotransferase (42 versus 27, P = 0.005), aspartate aminotransferase (AST; 26 versus 21, P = 0.01), direct bilirubin (0.13 versus 0.1, P = 0.01), prothrombin time (14.4 versus 12.4, P = 0.002), and AST-to-platelet ratio index (0.31 versus 0.23, P = 0.003) over the last 2 years of follow-up. Subjects with a FibroScan &gt;6.8 kPa had higher alanine aminotransferase (42 versus 28U/L, P = 0.02), AST (35 versus 25U/L, P = 0.02), AST-to-platelet ratio index (0.77 versus 0.25, P = 0.0004), and Fibrosis-4 index (2.14 versus 0.74, P = 0.0003) and lower platelet counts (205 versus 293, P = 0.02). One CFLD patient had nodular regenerative hyperplasia. Longitudinally, mean platelet counts significantly declined in the CFLD group (from 310 to 230 U/L, P = 0.0005). Deceased CFLD patients had lower platelet counts than those alive with CFLD (143 versus 258 U/L, P = 0.004) or those deceased with no CFLD (143 versus 327U/L, P = 0.006). CONCLUSION: Adult-onset CFLD may be more prevalent than previously described, which suggests a later wave of CFLD that impacts morbidity; routine liver tests, radiologic imaging, noninvasive fibrosis markers, and FibroScan can be used algorithmically to identify adult CFLD; and further evaluation in other CF cohorts should be performed for validation. (Hepatology 2017).", "author" : [ { "dropping-particle" : "", "family" : "Koh", "given" : "Christopher", "non-dropping-particle" : "", "parse-names" : false, "suffix" : "" }, { "dropping-particle" : "", "family" : "Sakiani", "given" : "Sasan", "non-dropping-particle" : "", "parse-names" : false, "suffix" : "" }, { "dropping-particle" : "", "family" : "Surana", "given" : "Pallavi", "non-dropping-particle" : "", "parse-names" : false, "suffix" : "" }, { "dropping-particle" : "", "family" : "Zhao", "given" : "Xiongce", "non-dropping-particle" : "", "parse-names" : false, "suffix" : "" }, { "dropping-particle" : "", "family" : "Eccleston", "given" : "Jason", "non-dropping-particle" : "", "parse-names" : false, "suffix" : "" }, { "dropping-particle" : "", "family" : "Kleiner", "given" : "David E.", "non-dropping-particle" : "", "parse-names" : false, "suffix" : "" }, { "dropping-particle" : "", "family" : "Herion", "given" : "David", "non-dropping-particle" : "", "parse-names" : false, "suffix" : "" }, { "dropping-particle" : "", "family" : "Liang", "given" : "T. Jake", "non-dropping-particle" : "", "parse-names" : false, "suffix" : "" }, { "dropping-particle" : "", "family" : "Hoofnagle", "given" : "Jay H.", "non-dropping-particle" : "", "parse-names" : false, "suffix" : "" }, { "dropping-particle" : "", "family" : "Chernick", "given" : "Milica", "non-dropping-particle" : "", "parse-names" : false, "suffix" : "" }, { "dropping-particle" : "", "family" : "Heller", "given" : "Theo", "non-dropping-particle" : "", "parse-names" : false, "suffix" : "" } ], "container-title" : "Hepatology", "id" : "ITEM-2", "issue" : "2", "issued" : { "date-parts" : [ [ "2017" ] ] }, "note" : "NRH- nodular regenerative hyperplasia-- one subject with portal HTN and variceal bleeding had this. caused by medications.", "page" : "591-601", "title" : "Adult-onset cystic fibrosis liver disease: Diagnosis and characterization of an underappreciated entity", "type" : "article-journal", "volume" : "66" }, "uris" : [ "http://www.mendeley.com/documents/?uuid=ea7b26af-c319-4628-96f9-d6fad139d298" ] }, { "id" : "ITEM-3", "itemData" : { "DOI" : "10.1186/s12890-018-0766-6", "ISSN" : "14712466", "abstract" : "BACKGROUND: A clinical heterogeneity was reported in patients with Cystic Fibrosis (CF) with the same CFTR genotype and between siblings with CF., METHODS: We investigated all clinical aspects in a cohort of 101 pairs of siblings with CF (including 6 triplets) followed since diagnosis., RESULTS: Severe lung disease had a 22.2% concordance in sib-pairs, occurred early and the FEV1% at 12 years was predictive of the severity of lung disease in the adulthood. Similarly, CF liver disease occurred early (median: 15 years) and showed a concordance of 27.8% in sib-pairs suggesting a scarce contribution of genetic factors; in fact, only 2/15 patients with liver disease in discordant sib-pairs had a deficiency of alpha-1-antitrypsin (a known modifier gene of CF liver phenotype). CF related diabetes was found in 22 pairs (in 6 in both the siblings). It occurred later (median: 32.5 years) and is strongly associated with liver disease. Colonization by P. aeruginosa and nasal polyposis that required surgery had a concordance &gt; 50% in sib-pairs and were poorly correlated to other clinical parameters. The pancreatic status was highly concordant in pairs of siblings (i.e., 95.1%) but a different pancreatic status was observed in patients with the same CFTR mutations. This suggests a close relationship of the pancreatic status with the \"whole\" CFTR genotype, including mutations in regulatory regions that may modulate the levels of CFTR expression. Finally, a severe course of CF was evident in a number of patients with pancreatic sufficiency., CONCLUSIONS: Physicians involved in care of patients with CF and in genetic counseling must be aware of the clinical heterogeneity of CF even in sib-pairs that, at the state of the art, is difficult to explain.", "author" : [ { "dropping-particle" : "", "family" : "Terlizzi", "given" : "Vito", "non-dropping-particle" : "", "parse-names" : false, "suffix" : "" }, { "dropping-particle" : "", "family" : "Lucarelli", "given" : "Marco", "non-dropping-particle" : "", "parse-names" : false, "suffix" : "" }, { "dropping-particle" : "", "family" : "Salvatore", "given" : "Donatello", "non-dropping-particle" : "", "parse-names" : false, "suffix" : "" }, { "dropping-particle" : "", "family" : "Angioni", "given" : "Adriano", "non-dropping-particle" : "", "parse-names" : false, "suffix" : "" }, { "dropping-particle" : "", "family" : "Bisogno", "given" : "Arianna", "non-dropping-particle" : "", "parse-names" : false, "suffix" : "" }, { "dropping-particle" : "", "family" : "Braggion", "given" : "Cesare", "non-dropping-particle" : "", "parse-names" : false, "suffix" : "" }, { "dropping-particle" : "", "family" : "Buzzetti", "given" : "Roberto", "non-dropping-particle" : "", "parse-names" : false, "suffix" : "" }, { "dropping-particle" : "", "family" : "Carnovale", "given" : "Vincenzo", "non-dropping-particle" : "", "parse-names" : false, "suffix" : "" }, { "dropping-particle" : "", "family" : "Casciaro", "given" : "Rosaria", "non-dropping-particle" : "", "parse-names" : false, "suffix" : "" }, { "dropping-particle" : "", "family" : "Castaldo", "given" : "Giuseppe", "non-dropping-particle" : "", "parse-names" : false, "suffix" : "" }, { "dropping-particle" : "", "family" : "Cirilli", "given" : "Natalia", "non-dropping-particle" : "", "parse-names" : false, "suffix" : "" }, { "dropping-particle" : "", "family" : "Collura", "given" : "Mirella", "non-dropping-particle" : "", "parse-names" : false, "suffix" : "" }, { "dropping-particle" : "", "family" : "Colombo", "given" : "Carla", "non-dropping-particle" : "", "parse-names" : false, "suffix" : "" }, { "dropping-particle" : "", "family" : "Lullo", "given" : "Antonella Miriam", "non-dropping-particle" : "Di", "parse-names" : false, "suffix" : "" }, { "dropping-particle" : "", "family" : "Elce", "given" : "Ausilia", "non-dropping-particle" : "", "parse-names" : false, "suffix" : "" }, { "dropping-particle" : "", "family" : "Lucidi", "given" : "Vincenzina", "non-dropping-particle" : "", "parse-names" : false, "suffix" : "" }, { "dropping-particle" : "", "family" : "Madarena", "given" : "Elisa", "non-dropping-particle" : "", "parse-names" : false, "suffix" : "" }, { "dropping-particle" : "", "family" : "Padoan", "given" : "Rita", "non-dropping-particle" : "", "parse-names" : false, "suffix" : "" }, { "dropping-particle" : "", "family" : "Quattrucci", "given" : "Serena", "non-dropping-particle" : "", "parse-names" : false, "suffix" : "" }, { "dropping-particle" : "", "family" : "Raia", "given" : "Valeria", "non-dropping-particle" : "", "parse-names" : false, "suffix" : "" }, { "dropping-particle" : "", "family" : "Seia", "given" : "Manuela", "non-dropping-particle" : "", "parse-names" : false, "suffix" : "" }, { "dropping-particle" : "", "family" : "Termini", "given" : "Lisa", "non-dropping-particle" : "", "parse-names" : false, "suffix" : "" }, { "dropping-particle" : "", "family" : "Zarrilli", "given" : "Federica", "non-dropping-particle" : "", "parse-names" : false, "suffix" : "" } ], "container-title" : "BMC Pulmonary Medicine", "id" : "ITEM-3", "issue" : "1", "issued" : { "date-parts" : [ [ "2018" ] ] }, "page" : "1-8", "publisher" : "BMC Pulmonary Medicine", "title" : "Clinical expression of cystic fibrosis in a large cohort of Italian siblings", "type" : "article-journal", "volume" : "18" }, "uris" : [ "http://www.mendeley.com/documents/?uuid=4bd31729-b0a7-4fd1-99fa-276b1d02cf26" ] } ], "mendeley" : { "formattedCitation" : "&lt;sup&gt;[8,10,11]&lt;/sup&gt;", "plainTextFormattedCitation" : "[8,10,11]", "previouslyFormattedCitation" : "&lt;sup&gt;[8,10,11]&lt;/sup&gt;"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[8,10,11]</w:t>
      </w:r>
      <w:r w:rsidR="00AA31B0" w:rsidRPr="003610D2">
        <w:rPr>
          <w:rFonts w:ascii="Book Antiqua" w:hAnsi="Book Antiqua" w:cs="Arial"/>
          <w:sz w:val="24"/>
          <w:szCs w:val="24"/>
        </w:rPr>
        <w:fldChar w:fldCharType="end"/>
      </w:r>
      <w:r w:rsidR="002E5937" w:rsidRPr="003610D2">
        <w:rPr>
          <w:rFonts w:ascii="Book Antiqua" w:hAnsi="Book Antiqua" w:cs="Arial"/>
          <w:sz w:val="24"/>
          <w:szCs w:val="24"/>
        </w:rPr>
        <w:t xml:space="preserve">. </w:t>
      </w:r>
      <w:proofErr w:type="spellStart"/>
      <w:r w:rsidR="002E5937" w:rsidRPr="003610D2">
        <w:rPr>
          <w:rFonts w:ascii="Book Antiqua" w:hAnsi="Book Antiqua" w:cs="Arial"/>
          <w:sz w:val="24"/>
          <w:szCs w:val="24"/>
        </w:rPr>
        <w:t>Multilobular</w:t>
      </w:r>
      <w:proofErr w:type="spellEnd"/>
      <w:r w:rsidR="002E5937" w:rsidRPr="003610D2">
        <w:rPr>
          <w:rFonts w:ascii="Book Antiqua" w:hAnsi="Book Antiqua" w:cs="Arial"/>
          <w:sz w:val="24"/>
          <w:szCs w:val="24"/>
        </w:rPr>
        <w:t xml:space="preserve"> cirrhosis with portal hypertension is th</w:t>
      </w:r>
      <w:r w:rsidR="00303300" w:rsidRPr="003610D2">
        <w:rPr>
          <w:rFonts w:ascii="Book Antiqua" w:hAnsi="Book Antiqua" w:cs="Arial"/>
          <w:sz w:val="24"/>
          <w:szCs w:val="24"/>
        </w:rPr>
        <w:t>e end stage manifestation of CF</w:t>
      </w:r>
      <w:r w:rsidR="002E5937" w:rsidRPr="003610D2">
        <w:rPr>
          <w:rFonts w:ascii="Book Antiqua" w:hAnsi="Book Antiqua" w:cs="Arial"/>
          <w:sz w:val="24"/>
          <w:szCs w:val="24"/>
        </w:rPr>
        <w:t>LD and is the third leading cause of death in CF patients</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"abstract" : "The mission of the Cystic Fibrosis Foundation is to cure cystic fibrosis and to provide all people with the disease the opportunity to lead full, productive lives by funding research and drug development, promoting individualized treatment and ensuring access to high-quality, specialized care. It is a pleasure to share the 2016 Patient Registry Annual Data Report with you. The Cystic Fibrosis Foundation Patient Registry remains a very important resource to the CF community, contributing to clinical trial design, \" real world \" observational research including safety and effectiveness studies of newly approved therapies, and quality improvement. Many thanks to each and every one of you who contribute to the success of the Registry. It would not be possible without the vital contributions of many, most notably the people with CF and their families who generously agree to share their data and the Registry coordinators and care team members who collect and enter the data. We hope that you feel a sense of pride as you read through this report. I call your attention to a few highlights in the 2016 data. First the good news is that median predicted survival as well as pulmonary function and measures of nutritional status continue to show trends upwards. Also of note, over 7,500 individuals were prescribed a CFTR modulator drug.", "container-title" : "Cystic Fibrosis Foundation Patient Registry", "id" : "ITEM-1", "issued" : { "date-parts" : [ [ "2016" ] ] }, "number-of-pages" : "1-94", "title" : "Annual Data Report 2016 Cystic Fibrosis Foundation Patient Registry", "type" : "report" }, "uris" : [ "http://www.mendeley.com/documents/?uuid=5101d56f-d10f-4752-8729-bb29e5afedc7" ] }, { "id" : "ITEM-2", "itemData" : { "DOI" : "10.1016/j.jcf.2012.11.010", "ISSN" : "1873-5010", "PMID" : "23266093", "author" : [ { "dropping-particle" : "", "family" : "Flass", "given" : "Thomas", "non-dropping-particle" : "", "parse-names" : false, "suffix" : "" }, { "dropping-particle" : "", "family" : "Narkewicz", "given" : "Michael R", "non-dropping-particle" : "", "parse-names" : false, "suffix" : "" } ], "container-title" : "J Cyst Fibros", "id" : "ITEM-2", "issue" : "2", "issued" : { "date-parts" : [ [ "2013" ] ] }, "note" : "purpose: \n- review of CFALD\n\n- pathogenesis of CFALD largely unknown\n- unkown wihy only a subset of CF patients develop cirrhosis\n- PiZ heterozygous state for apha-1AT associated with increasaed risk , accounted for 9% cirrhotic patients.", "page" : "116-24", "title" : "Cirrhosis and other liver disease in cystic fibrosis.", "type" : "article-journal", "volume" : "12" }, "uris" : [ "http://www.mendeley.com/documents/?uuid=43e2f9ba-763e-4298-8b48-9a8877bdadb0" ] } ], "mendeley" : { "formattedCitation" : "&lt;sup&gt;[1,6]&lt;/sup&gt;", "plainTextFormattedCitation" : "[1,6]", "previouslyFormattedCitation" : "&lt;sup&gt;[1,6]&lt;/sup&gt;"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[1,6]</w:t>
      </w:r>
      <w:r w:rsidR="00AA31B0" w:rsidRPr="003610D2">
        <w:rPr>
          <w:rFonts w:ascii="Book Antiqua" w:hAnsi="Book Antiqua" w:cs="Arial"/>
          <w:sz w:val="24"/>
          <w:szCs w:val="24"/>
        </w:rPr>
        <w:fldChar w:fldCharType="end"/>
      </w:r>
      <w:r w:rsidR="002E5937" w:rsidRPr="003610D2">
        <w:rPr>
          <w:rFonts w:ascii="Book Antiqua" w:hAnsi="Book Antiqua" w:cs="Arial"/>
          <w:sz w:val="24"/>
          <w:szCs w:val="24"/>
        </w:rPr>
        <w:t>.</w:t>
      </w:r>
    </w:p>
    <w:p w14:paraId="029E2E3F" w14:textId="5D857941" w:rsidR="00E22762" w:rsidRPr="003610D2" w:rsidRDefault="002E5937" w:rsidP="00AA31B0">
      <w:pPr>
        <w:adjustRightInd w:val="0"/>
        <w:snapToGrid w:val="0"/>
        <w:spacing w:after="0" w:line="360" w:lineRule="auto"/>
        <w:ind w:firstLineChars="100" w:firstLine="240"/>
        <w:jc w:val="both"/>
        <w:rPr>
          <w:rFonts w:ascii="Book Antiqua" w:hAnsi="Book Antiqua" w:cs="Arial"/>
          <w:sz w:val="24"/>
          <w:szCs w:val="24"/>
        </w:rPr>
      </w:pPr>
      <w:r w:rsidRPr="003610D2">
        <w:rPr>
          <w:rFonts w:ascii="Book Antiqua" w:hAnsi="Book Antiqua" w:cs="Arial"/>
          <w:sz w:val="24"/>
          <w:szCs w:val="24"/>
        </w:rPr>
        <w:t>Perhaps the most common manifestation</w:t>
      </w:r>
      <w:r w:rsidR="00303300" w:rsidRPr="003610D2">
        <w:rPr>
          <w:rFonts w:ascii="Book Antiqua" w:hAnsi="Book Antiqua" w:cs="Arial"/>
          <w:sz w:val="24"/>
          <w:szCs w:val="24"/>
        </w:rPr>
        <w:t xml:space="preserve"> of CF</w:t>
      </w:r>
      <w:r w:rsidRPr="003610D2">
        <w:rPr>
          <w:rFonts w:ascii="Book Antiqua" w:hAnsi="Book Antiqua" w:cs="Arial"/>
          <w:sz w:val="24"/>
          <w:szCs w:val="24"/>
        </w:rPr>
        <w:t>LD is hepatic steatosis</w:t>
      </w:r>
      <w:r w:rsidR="00182B09" w:rsidRPr="003610D2">
        <w:rPr>
          <w:rFonts w:ascii="Book Antiqua" w:hAnsi="Book Antiqua" w:cs="Arial"/>
          <w:sz w:val="24"/>
          <w:szCs w:val="24"/>
        </w:rPr>
        <w:t>, with prevalence estimates ranging from 15</w:t>
      </w:r>
      <w:r w:rsidR="00AA31B0" w:rsidRPr="003610D2">
        <w:rPr>
          <w:rFonts w:ascii="Book Antiqua" w:hAnsi="Book Antiqua" w:cs="Arial"/>
          <w:sz w:val="24"/>
          <w:szCs w:val="24"/>
        </w:rPr>
        <w:t>%</w:t>
      </w:r>
      <w:r w:rsidR="00182B09" w:rsidRPr="003610D2">
        <w:rPr>
          <w:rFonts w:ascii="Book Antiqua" w:hAnsi="Book Antiqua" w:cs="Arial"/>
          <w:sz w:val="24"/>
          <w:szCs w:val="24"/>
        </w:rPr>
        <w:t>-60%</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"10.1016/S1569-1993(11)60006-4", "ISBN" : "1873-5010 (Electronic)\\n1569-1993 (Linking)", "ISSN" : "15691993", "PMID" : "21658639", "abstract" : "Approximately 5-10% of cystic fibrosis (CF) patients develop multilobular cirrhosis during the first decade of life. Most CF patients later develop signs of portal hypertension with complications, mainly variceal bleeding. Liver failure usually occurs later, after the paediatric age. Annual screening for liver disease is recommended to detect pre-symptomatic signs and initiate ursodeoxycholic acid therapy, which might halt disease progression. Liver disease should be considered if at least two of the following variables are present: abnormal physical examination, persistently abnormal liver function tests and pathological ultrasonography. If there is diagnostic doubt, a liver biopsy is indicated. All CF patients with liver disease need annual follow-up to evaluate the development of cirrhosis, portal hypertension or liver failure. Management should focus on nutrition, prevention of bleeding and variceal decompression. Deterioration of pulmonary function is an important consideration for liver transplantation, particularly in children with hepatic dysfunction or advanced portal hypertension. ?? 2011 European Cystic Fibrosis Society.", "author" : [ { "dropping-particle" : "", "family" : "Debray", "given" : "Dominique", "non-dropping-particle" : "", "parse-names" : false, "suffix" : "" }, { "dropping-particle" : "", "family" : "Kelly", "given" : "Deirdre", "non-dropping-particle" : "", "parse-names" : false, "suffix" : "" }, { "dropping-particle" : "", "family" : "Houwen", "given" : "Roderick", "non-dropping-particle" : "", "parse-names" : false, "suffix" : "" }, { "dropping-particle" : "", "family" : "Strandvik", "given" : "Birgitta", "non-dropping-particle" : "", "parse-names" : false, "suffix" : "" }, { "dropping-particle" : "", "family" : "Colombo", "given" : "Carla", "non-dropping-particle" : "", "parse-names" : false, "suffix" : "" } ], "container-title" : "Journal of Cystic Fibrosis", "id" : "ITEM-1", "issue" : "SUPPL. 2", "issued" : { "date-parts" : [ [ "2011" ] ] }, "note" : "12\n\ndiagnostic criteria (2/3)\n- abrnoaml Physical exam ( heptomegaly orsplentmegaly) \n-abnormal LFT x3 over 12 months\n- US evidence of increased echogenicity, irreg margins, nodularity, or portal hypertension, or bile duct dilitation\n\n- may need liver biopsy if in doubt", "page" : "S29-S36", "publisher" : "European Cystic Fibrosis Society", "title" : "Best practice guidance for the diagnosis and management of cystic fibrosis-associated liver disease", "type" : "article-journal", "volume" : "10" }, "uris" : [ "http://www.mendeley.com/documents/?uuid=2c7eabee-207f-4965-951e-53fa0cbb894d" ] }, { "id" : "ITEM-2", "itemData" : { "DOI" : "10.1016/j.jcf.2018.11.004", "ISSN" : "1569-1993", "PMID" : "30509601", "author" : [ { "dropping-particle" : "", "family" : "Bader", "given" : "Razan M", "non-dropping-particle" : "", "parse-names" : false, "suffix" : "" }, { "dropping-particle" : "", "family" : "Jonas", "given" : "Maureen M", "non-dropping-particle" : "", "parse-names" : false, "suffix" : "" }, { "dropping-particle" : "", "family" : "Mitchell", "given" : "Paul D", "non-dropping-particle" : "", "parse-names" : false, "suffix" : "" }, { "dropping-particle" : "", "family" : "Wiggins", "given" : "Shanna", "non-dropping-particle" : "", "parse-names" : false, "suffix" : "" }, { "dropping-particle" : "", "family" : "Lee", "given" : "Christine K", "non-dropping-particle" : "", "parse-names" : false, "suffix" : "" } ], "container-title" : "Journal of Cystic Fibrosis", "id" : "ITEM-2", "issue" : "2", "issued" : { "date-parts" : [ [ "2019" ] ] }, "note" : "methods: \n\nCAP &amp;gt;230 is steatosis \n\nresults: \n129 pateints\n70 no clinical CFALD\n44 CFLD without portal hypertension\n15 CFLD with portal hypertension\n\nsteatosis (CAP &amp;gt;230) was seen in \n--27% of those with no CFLD\n--48% of those with CFALD and no PHTN\n--20% of those with CFALD and PHTN\n\nno diff between nl and CFALD no PHTN but lower ith CFALD PHTN\n\npurpose: \n- looked at CAP data from another study\n\nmethods: \n- used fibroscan\n- categorized as no liver dx, liver dx no PHTN, or liver dx with PHTN\n- steatosis is CAP &amp;gt;230\n\nresutls: \n- total 129 \n-- 70 no liver dx\n-- 44 CFLD no PHTN\n-- 15 CFLD with PHTN\n\n- fibroscan couldn't distinguis CFLD no PHTN vs. no liver disease in this cohort\n\n- CAP was high (meaning steatosis) in group with CFLAD no PHTN. Suggests taht steatosis burns out with advancing liver disease.", "page" : "280-285", "publisher" : "European Cystic Fibrosis Society.", "title" : "Controlled attenuation parameter : A measure of hepatic steatosis in patients with cystic fi brosis", "type" : "article-journal", "volume" : "18" }, "uris" : [ "http://www.mendeley.com/documents/?uuid=3fbbd9b6-445d-4b5a-954c-a1214de59cdf" ] }, { "id" : "ITEM-3", "itemData" : { "DOI" : "10.4254/wjh.v10.i1.34", "ISSN" : "19485182", "PMID" : "29399276", "abstract" : "\u00a9 The Author(s) 2018. AIM To investigate the clinical, biochemical and imaging characteristics of adult cystic fibrosis (CF) patients with hepatic steatosis as compared to normal CF controls. METHODS We performed a retrospective review of adult CF patients in an academic outpatient setting during 2016. Baseline characteristics, genetic mutation analysis as well as laboratory values were collected. Abdominal imaging (ultrasound, computed tomography, magnetic resonance) was used to determine presence of hepatic steatosis. We compare patients with hepatic steatosis to normal controls. RESULTS Data was collected on 114 patients meeting inclusion criteria. Seventeen patients (14.9%) were found to have hepatic steatosis on imaging. Being overweight (BMI &gt; 25) (P = 0.019) and having a higher ppFEV1 (75 vs 53, P = 0.037) were significantly associated with hepatic steatosis. Patients with hepatic steatosis had a significantly higher median alanine aminotransferase level (27 vs 19, P = 0.048). None of the hepatic steatosis patients had frank CF liver disease, cirrhosis or portal hypertension. We found no significant association with pancreatic insufficiency or CF related diabetes. CONCLUSION Hepatic steatosis appears to be a clinically and phenotypically distinct entity from CF liver disease. The lack of association with malnourishment and the significant association with higher BMI and higher ppFEV1 demonstrate similarities with non-alcoholic fatty liver disease. Long term prospective studies are needed to ascertain whether CF hepatic steatosis progresses to fibrosis and cirrhosis.", "author" : [ { "dropping-particle" : "", "family" : "Ayoub", "given" : "F.", "non-dropping-particle" : "", "parse-names" : false, "suffix" : "" }, { "dropping-particle" : "", "family" : "Trillo-Alvarez", "given" : "C.", "non-dropping-particle" : "", "parse-names" : false, "suffix" : "" }, { "dropping-particle" : "", "family" : "Morelli", "given" : "G.", "non-dropping-particle" : "", "parse-names" : false, "suffix" : "" }, { "dropping-particle" : "", "family" : "Lascano", "given" : "J.", "non-dropping-particle" : "", "parse-names" : false, "suffix" : "" } ], "container-title" : "World Journal of Hepatology", "id" : "ITEM-3", "issue" : "1", "issued" : { "date-parts" : [ [ "2018" ] ] }, "note" : "fatty not fatty\nmod 6 23\nno m 11 74\nfishers p=0.3", "page" : "34-40", "title" : "Risk factors for hepatic steatosis in adults with cystic fibrosis: Similarities to non-alcoholic fatty liver disease", "type" : "article-journal", "volume" : "10" }, "uris" : [ "http://www.mendeley.com/documents/?uuid=294a7beb-e940-4fe2-8dea-bb90107df92f" ] } ], "mendeley" : { "formattedCitation" : "&lt;sup&gt;[7,12,13]&lt;/sup&gt;", "plainTextFormattedCitation" : "[7,12,13]", "previouslyFormattedCitation" : "&lt;sup&gt;[7,12,13]&lt;/sup&gt;"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[7,12,13]</w:t>
      </w:r>
      <w:r w:rsidR="00AA31B0" w:rsidRPr="003610D2">
        <w:rPr>
          <w:rFonts w:ascii="Book Antiqua" w:hAnsi="Book Antiqua" w:cs="Arial"/>
          <w:sz w:val="24"/>
          <w:szCs w:val="24"/>
        </w:rPr>
        <w:fldChar w:fldCharType="end"/>
      </w:r>
      <w:r w:rsidRPr="003610D2">
        <w:rPr>
          <w:rFonts w:ascii="Book Antiqua" w:hAnsi="Book Antiqua" w:cs="Arial"/>
          <w:sz w:val="24"/>
          <w:szCs w:val="24"/>
        </w:rPr>
        <w:t>.</w:t>
      </w:r>
      <w:r w:rsidR="00182B09" w:rsidRPr="003610D2">
        <w:rPr>
          <w:rFonts w:ascii="Book Antiqua" w:hAnsi="Book Antiqua" w:cs="Arial"/>
          <w:sz w:val="24"/>
          <w:szCs w:val="24"/>
        </w:rPr>
        <w:t xml:space="preserve"> Historically, hepatic steatosis</w:t>
      </w:r>
      <w:r w:rsidRPr="003610D2">
        <w:rPr>
          <w:rFonts w:ascii="Book Antiqua" w:hAnsi="Book Antiqua" w:cs="Arial"/>
          <w:sz w:val="24"/>
          <w:szCs w:val="24"/>
        </w:rPr>
        <w:t xml:space="preserve"> </w:t>
      </w:r>
      <w:r w:rsidR="00182B09" w:rsidRPr="003610D2">
        <w:rPr>
          <w:rFonts w:ascii="Book Antiqua" w:hAnsi="Book Antiqua" w:cs="Arial"/>
          <w:sz w:val="24"/>
          <w:szCs w:val="24"/>
        </w:rPr>
        <w:t xml:space="preserve">in CF patients was attributed to malnutrition and </w:t>
      </w:r>
      <w:r w:rsidRPr="003610D2">
        <w:rPr>
          <w:rFonts w:ascii="Book Antiqua" w:hAnsi="Book Antiqua" w:cs="Arial"/>
          <w:sz w:val="24"/>
          <w:szCs w:val="24"/>
        </w:rPr>
        <w:t>considered a benign finding</w:t>
      </w:r>
      <w:r w:rsidR="00C01F04" w:rsidRPr="003610D2">
        <w:rPr>
          <w:rFonts w:ascii="Book Antiqua" w:hAnsi="Book Antiqua" w:cs="Arial"/>
          <w:sz w:val="24"/>
          <w:szCs w:val="24"/>
        </w:rPr>
        <w:t xml:space="preserve"> that did not increase risk for hepatic cirrhosis</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"10.1002/hep.510300527", "ISSN" : "0270-9139", "PMID" : "10534335", "abstract" : "The median age of the population with cystic fibrosis (CF) has increased worldwide, which has led to the suggestion that the prevalence of liver disease would increase. The aim of this study was to evaluate the natural history of CF-associated liver disease over a 15-year period in a well-controlled population of patients with CF. During the years 1976 through 1993, 124 patients were followed up by yearly liver function tests (LFTs). Fifteen patients were followed up with liver biopsies throughout the whole study period. More than 50% of the patients had pathological LFTs in infancy, later being normalized. Approximately 25% of children 4 years of age or older had biochemical markers of liver disease during the study period. In about 10% of the patients, cirrhosis or advanced fibrosis was confirmed at biopsy and 4% of patients had cirrhosis with clinical liver disease. Severe liver disease developed mainly during prepuberty and puberty. Of the 15 patients prospectively followed up with liver biopsies, only 3 had progressive fibrosis. No specific risk factor was identified, but deficiency of essential fatty acids was found more often in patients with marked steatosis (P &lt;.05). No patient developed clinical liver disease in adulthood and the histological changes in the liver biopsies were usually not progressive. Liver disease was no more frequent at the end of the study period although the median age of the patient population had increased. Modern treatment might positively influence liver disease because it seemed less common, less progressive, and less serious than previously reported.", "author" : [ { "dropping-particle" : "", "family" : "Lindblad", "given" : "A", "non-dropping-particle" : "", "parse-names" : false, "suffix" : "" }, { "dropping-particle" : "", "family" : "Glaumann", "given" : "H", "non-dropping-particle" : "", "parse-names" : false, "suffix" : "" }, { "dropping-particle" : "", "family" : "Strandvik", "given" : "B", "non-dropping-particle" : "", "parse-names" : false, "suffix" : "" } ], "container-title" : "Hepatology", "id" : "ITEM-1", "issue" : "5", "issued" : { "date-parts" : [ [ "1999" ] ] }, "note" : "steatosis prevalence numbers- just report off of pateints who happened to get a biopsy\n\npurpose:\n- prospectively study liver disease \n- just describing theri population\nmethods:\n- 124 patiens followed yearly by LFTs from 1976-1993\n- all got annual US after 1989\n- over 50% had elevated LFTs in infancy that later normalized\n- about 25% of patients over 4 yrs had elevated LFTs during study period; 10% had cirrhosis or firbosis at biopsy\nresutls:\n- 17/27 had biopsies 1976-1979- 35% had steatosis \n- 30/41 % had biopsies between 1989-1993- 29% had steatosis \n*median age did not differ in those with and without stestosis\n- some patients had progression of steatosis, others it remained stable\n- low levels of linoleic acid correlated with degree of steatos\n\nNOTES:\n- really an observational study", "page" : "1151-1158", "title" : "Natural history of liver disease in cystic fibrosis.", "type" : "article-journal", "volume" : "30" }, "uris" : [ "http://www.mendeley.com/documents/?uuid=2020024e-ed18-4d7d-8433-89ff210f6c46" ] } ], "mendeley" : { "formattedCitation" : "&lt;sup&gt;[14]&lt;/sup&gt;", "plainTextFormattedCitation" : "[14]", "previouslyFormattedCitation" : "&lt;sup&gt;[14]&lt;/sup&gt;"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[14]</w:t>
      </w:r>
      <w:r w:rsidR="00AA31B0" w:rsidRPr="003610D2">
        <w:rPr>
          <w:rFonts w:ascii="Book Antiqua" w:hAnsi="Book Antiqua" w:cs="Arial"/>
          <w:sz w:val="24"/>
          <w:szCs w:val="24"/>
        </w:rPr>
        <w:fldChar w:fldCharType="end"/>
      </w:r>
      <w:r w:rsidR="00182B09" w:rsidRPr="003610D2">
        <w:rPr>
          <w:rFonts w:ascii="Book Antiqua" w:hAnsi="Book Antiqua" w:cs="Arial"/>
          <w:sz w:val="24"/>
          <w:szCs w:val="24"/>
        </w:rPr>
        <w:t xml:space="preserve">. </w:t>
      </w:r>
      <w:r w:rsidRPr="003610D2">
        <w:rPr>
          <w:rFonts w:ascii="Book Antiqua" w:hAnsi="Book Antiqua"/>
          <w:sz w:val="24"/>
          <w:szCs w:val="24"/>
        </w:rPr>
        <w:t xml:space="preserve">Outside of CF, hepatic </w:t>
      </w:r>
      <w:r w:rsidRPr="003610D2">
        <w:rPr>
          <w:rFonts w:ascii="Book Antiqua" w:hAnsi="Book Antiqua" w:cs="Arial"/>
          <w:sz w:val="24"/>
          <w:szCs w:val="24"/>
        </w:rPr>
        <w:t>steatosis is strongly associated with obesity and type 2 diabetes</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"10.1007/s11892-015-0607-4", "ISBN" : "1189201506074", "ISSN" : "15390829", "PMID" : "25894944", "abstract" : "Nonalcoholic fatty liver disease (NAFLD) is an independent risk factor for advanced liver disease, type 2 diabetes (T2DM), and cardiovascular diseases. The prevalence of NAFLD in the general population is around 30 %, but it is up to three times higher in those with T2DM. Among people with obesity and T2DM, the NAFLD epidemic also is worsening. Therefore, it is important to identify early metabolic alterations and to prevent these diseases and their progression. In this review, we analyze the pathophysiologic mechanisms leading to NAFLD, particularly, those common to T2DM, such as liver and muscle insulin resistance. However, it is mainly adipose tissue insulin resistance that results in increased hepatic de novo lipogenesis, inflammation, and lipotoxicity. Although genetics predispose to NAFLD, an unhealthy lifestyle, including high-fat/high-sugar diets and low physical activity, increases the risk. In addition, alterations in gut microbiota and environmental chemical agents, acting as endocrine disruptors, may play a role.", "author" : [ { "dropping-particle" : "", "family" : "Saponaro", "given" : "Chiara", "non-dropping-particle" : "", "parse-names" : false, "suffix" : "" }, { "dropping-particle" : "", "family" : "Gaggini", "given" : "Melania", "non-dropping-particle" : "", "parse-names" : false, "suffix" : "" }, { "dropping-particle" : "", "family" : "Gastaldelli", "given" : "Amalia", "non-dropping-particle" : "", "parse-names" : false, "suffix" : "" } ], "container-title" : "Current diabetes reports", "id" : "ITEM-1", "issue" : "6", "issued" : { "date-parts" : [ [ "2015" ] ] }, "note" : "- 1/8 referrals for fatty liver were lean\n\nTCF7L2 associated wtih type 2 diabetes and CFRD as well as NAFLD\n\nprevalaence estimates 69% US\n87% biopsy or MRI", "page" : "607", "title" : "Nonalcoholic fatty liver disease and type 2 diabetes: common pathophysiologic mechanisms", "type" : "article-journal", "volume" : "15" }, "uris" : [ "http://www.mendeley.com/documents/?uuid=67383936-eb43-4042-9b0a-778d8896c3bb" ] } ], "mendeley" : { "formattedCitation" : "&lt;sup&gt;[15]&lt;/sup&gt;", "plainTextFormattedCitation" : "[15]", "previouslyFormattedCitation" : "&lt;sup&gt;[15]&lt;/sup&gt;"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[15]</w:t>
      </w:r>
      <w:r w:rsidR="00AA31B0" w:rsidRPr="003610D2">
        <w:rPr>
          <w:rFonts w:ascii="Book Antiqua" w:hAnsi="Book Antiqua" w:cs="Arial"/>
          <w:sz w:val="24"/>
          <w:szCs w:val="24"/>
        </w:rPr>
        <w:fldChar w:fldCharType="end"/>
      </w:r>
      <w:r w:rsidRPr="003610D2">
        <w:rPr>
          <w:rFonts w:ascii="Book Antiqua" w:hAnsi="Book Antiqua" w:cs="Arial"/>
          <w:sz w:val="24"/>
          <w:szCs w:val="24"/>
        </w:rPr>
        <w:t>.</w:t>
      </w:r>
      <w:r w:rsidR="00C54C39" w:rsidRPr="003610D2">
        <w:rPr>
          <w:rFonts w:ascii="Book Antiqua" w:hAnsi="Book Antiqua" w:cs="Arial"/>
          <w:sz w:val="24"/>
          <w:szCs w:val="24"/>
        </w:rPr>
        <w:t xml:space="preserve"> Hepatic s</w:t>
      </w:r>
      <w:r w:rsidR="005F24F9" w:rsidRPr="003610D2">
        <w:rPr>
          <w:rFonts w:ascii="Book Antiqua" w:hAnsi="Book Antiqua" w:cs="Arial"/>
          <w:sz w:val="24"/>
          <w:szCs w:val="24"/>
        </w:rPr>
        <w:t xml:space="preserve">teatosis can </w:t>
      </w:r>
      <w:r w:rsidRPr="003610D2">
        <w:rPr>
          <w:rFonts w:ascii="Book Antiqua" w:hAnsi="Book Antiqua" w:cs="Arial"/>
          <w:sz w:val="24"/>
          <w:szCs w:val="24"/>
        </w:rPr>
        <w:t>progress to non-alcoholic steatohepatitis</w:t>
      </w:r>
      <w:r w:rsidR="000E36A1" w:rsidRPr="003610D2">
        <w:rPr>
          <w:rFonts w:ascii="Book Antiqua" w:hAnsi="Book Antiqua" w:cs="Arial"/>
          <w:sz w:val="24"/>
          <w:szCs w:val="24"/>
        </w:rPr>
        <w:t xml:space="preserve"> and cirrhosis</w:t>
      </w:r>
      <w:r w:rsidRPr="003610D2">
        <w:rPr>
          <w:rFonts w:ascii="Book Antiqua" w:hAnsi="Book Antiqua" w:cs="Arial"/>
          <w:sz w:val="24"/>
          <w:szCs w:val="24"/>
        </w:rPr>
        <w:t>, which is now a common indication for liver transplantation</w:t>
      </w:r>
      <w:r w:rsidR="005F24F9" w:rsidRPr="003610D2">
        <w:rPr>
          <w:rFonts w:ascii="Book Antiqua" w:hAnsi="Book Antiqua" w:cs="Arial"/>
          <w:sz w:val="24"/>
          <w:szCs w:val="24"/>
        </w:rPr>
        <w:t xml:space="preserve"> among the general population</w:t>
      </w:r>
      <w:r w:rsidRPr="003610D2">
        <w:rPr>
          <w:rFonts w:ascii="Book Antiqua" w:hAnsi="Book Antiqua" w:cs="Arial"/>
          <w:sz w:val="24"/>
          <w:szCs w:val="24"/>
        </w:rPr>
        <w:t xml:space="preserve"> in the United States</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"10.1097/SLA.0b013e31826b4b7e", "ISBN" : "1528-1140 (Electronic)\\r0003-4932 (Linking)", "ISSN" : "1528-1140", "PMID" : "22964732", "abstract" : "OBJECTIVE To analyze incidence, outcomes, and utilization of health care resources in liver transplantation (LT) for nonalcoholic steatohepatitis (NASH). SUMMARY OF BACKGROUND DATA With the epidemic of obesity and metabolic syndrome in nearly 33% of the US population, NASH is projected to become the leading indication for LT in the next several years. Data on predictors of outcome and utilization of health care resources after LT in NASH is limited. METHODS We conducted an analysis from our prospective database of 144 adult NASH patients who underwent LT between December 1993 and August 2011. Outcomes and resource utilization were compared with other common indications for LT. Independent predictors of graft and patient survival were identified. RESULTS The average Model for End-Stage Liver Disease score was 33. The frequency of NASH as the primary indication for LT increased from 3% in 2002 to 19% in 2011 to become the second most common indication for LT at our center behind hepatitis C. NASH patients had significantly longer operative times (402 vs 322 minutes; P &lt; 0.001), operative blood loss (18 vs 14 packed red blood cell units; P = 0.001), and posttransplant length of stay (35 vs 29 days; P = 0.032), but 1-, 3-, and 5-year graft (81%, 71%, 63%) and patient (84%, 75%, 70%) survival were comparable with other diagnoses. Age greater than 55 years, pretransplant intubation, dialysis, hospitalization, presence of hepatocellular carcinoma on explant, donor age greater than 55 years, and cold ischemia time greater than 550 minutes were significant independent predictors of survival for all patients, whereas body mass index greater than 35 was a predictor in NASH patients only. CONCLUSIONS We report the largest single institution experience of LT for NASH. Over a 10-year period, the frequency of LT for NASH has increased 5-fold. Although outcomes are comparable with LT for other indications, health care resources are stressed significantly by this new and increasing group of transplant candidates.", "author" : [ { "dropping-particle" : "", "family" : "Agopian", "given" : "Vatche G.", "non-dropping-particle" : "", "parse-names" : false, "suffix" : "" }, { "dropping-particle" : "", "family" : "Kaldas", "given" : "Fady M.", "non-dropping-particle" : "", "parse-names" : false, "suffix" : "" }, { "dropping-particle" : "", "family" : "Hong", "given" : "Johnny C.", "non-dropping-particle" : "", "parse-names" : false, "suffix" : "" }, { "dropping-particle" : "", "family" : "Whittaker", "given" : "Meredith", "non-dropping-particle" : "", "parse-names" : false, "suffix" : "" }, { "dropping-particle" : "", "family" : "Holt", "given" : "Curtis", "non-dropping-particle" : "", "parse-names" : false, "suffix" : "" }, { "dropping-particle" : "", "family" : "Rana", "given" : "Abbas", "non-dropping-particle" : "", "parse-names" : false, "suffix" : "" }, { "dropping-particle" : "", "family" : "Zarrinpar", "given" : "Ali", "non-dropping-particle" : "", "parse-names" : false, "suffix" : "" }, { "dropping-particle" : "", "family" : "Petrowsky", "given" : "Henrik", "non-dropping-particle" : "", "parse-names" : false, "suffix" : "" }, { "dropping-particle" : "", "family" : "Farmer", "given" : "Douglas", "non-dropping-particle" : "", "parse-names" : false, "suffix" : "" }, { "dropping-particle" : "", "family" : "Yersiz", "given" : "Hasan", "non-dropping-particle" : "", "parse-names" : false, "suffix" : "" }, { "dropping-particle" : "", "family" : "Xia", "given" : "Victor", "non-dropping-particle" : "", "parse-names" : false, "suffix" : "" }, { "dropping-particle" : "", "family" : "Hiatt", "given" : "Jonathan R.", "non-dropping-particle" : "", "parse-names" : false, "suffix" : "" }, { "dropping-particle" : "", "family" : "Busuttil", "given" : "Ronald W.", "non-dropping-particle" : "", "parse-names" : false, "suffix" : "" } ], "container-title" : "Annals of surgery", "id" : "ITEM-1", "issue" : "4", "issued" : { "date-parts" : [ [ "2012" ] ] }, "note" : "refernece for NASH as second most common need for transplant", "page" : "624-33", "title" : "Liver transplantation for nonalcoholic steatohepatitis: the new epidemic.", "type" : "article-journal", "volume" : "256" }, "uris" : [ "http://www.mendeley.com/documents/?uuid=59afb099-b3b9-438f-a214-c01bb5243dda" ] } ], "mendeley" : { "formattedCitation" : "&lt;sup&gt;[16]&lt;/sup&gt;", "plainTextFormattedCitation" : "[16]", "previouslyFormattedCitation" : "&lt;sup&gt;[16]&lt;/sup&gt;"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[16]</w:t>
      </w:r>
      <w:r w:rsidR="00AA31B0" w:rsidRPr="003610D2">
        <w:rPr>
          <w:rFonts w:ascii="Book Antiqua" w:hAnsi="Book Antiqua" w:cs="Arial"/>
          <w:sz w:val="24"/>
          <w:szCs w:val="24"/>
        </w:rPr>
        <w:fldChar w:fldCharType="end"/>
      </w:r>
      <w:r w:rsidRPr="003610D2">
        <w:rPr>
          <w:rFonts w:ascii="Book Antiqua" w:hAnsi="Book Antiqua" w:cs="Arial"/>
          <w:sz w:val="24"/>
          <w:szCs w:val="24"/>
        </w:rPr>
        <w:t>.</w:t>
      </w:r>
      <w:r w:rsidRPr="003610D2">
        <w:rPr>
          <w:rFonts w:ascii="Book Antiqua" w:hAnsi="Book Antiqua" w:cs="Arial"/>
          <w:sz w:val="24"/>
          <w:szCs w:val="24"/>
          <w:vertAlign w:val="superscript"/>
        </w:rPr>
        <w:t xml:space="preserve"> </w:t>
      </w:r>
      <w:r w:rsidR="00A418DC" w:rsidRPr="003610D2">
        <w:rPr>
          <w:rFonts w:ascii="Book Antiqua" w:hAnsi="Book Antiqua" w:cs="Arial"/>
          <w:sz w:val="24"/>
          <w:szCs w:val="24"/>
        </w:rPr>
        <w:t xml:space="preserve">Little is known about </w:t>
      </w:r>
      <w:r w:rsidRPr="003610D2">
        <w:rPr>
          <w:rFonts w:ascii="Book Antiqua" w:hAnsi="Book Antiqua" w:cs="Arial"/>
          <w:sz w:val="24"/>
          <w:szCs w:val="24"/>
        </w:rPr>
        <w:t>the clinical implications of hepatic steatosis in CF and its relati</w:t>
      </w:r>
      <w:r w:rsidR="00303300" w:rsidRPr="003610D2">
        <w:rPr>
          <w:rFonts w:ascii="Book Antiqua" w:hAnsi="Book Antiqua" w:cs="Arial"/>
          <w:sz w:val="24"/>
          <w:szCs w:val="24"/>
        </w:rPr>
        <w:t>onship to other forms of CF</w:t>
      </w:r>
      <w:r w:rsidRPr="003610D2">
        <w:rPr>
          <w:rFonts w:ascii="Book Antiqua" w:hAnsi="Book Antiqua" w:cs="Arial"/>
          <w:sz w:val="24"/>
          <w:szCs w:val="24"/>
        </w:rPr>
        <w:t>LD</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"10.1097/MPG.0000000000002154", "ISBN" : "0000000000", "PMID" : "30234762", "author" : [ { "dropping-particle" : "", "family" : "Cortes-Santiago", "given" : "Nahir", "non-dropping-particle" : "", "parse-names" : false, "suffix" : "" }, { "dropping-particle" : "", "family" : "Leung", "given" : "Daniel H.", "non-dropping-particle" : "", "parse-names" : false, "suffix" : "" }, { "dropping-particle" : "", "family" : "Castro", "given" : "Eumenia", "non-dropping-particle" : "", "parse-names" : false, "suffix" : "" }, { "dropping-particle" : "", "family" : "Finegold", "given" : "Milton", "non-dropping-particle" : "", "parse-names" : false, "suffix" : "" }, { "dropping-particle" : "", "family" : "Wu", "given" : "Hao", "non-dropping-particle" : "", "parse-names" : false, "suffix" : "" }, { "dropping-particle" : "", "family" : "Patel", "given" : "Kalyani", "non-dropping-particle" : "", "parse-names" : false, "suffix" : "" } ], "container-title" : "Journal of Pediatric Gastroenterology and Nutrition", "id" : "ITEM-1", "issue" : "1", "issued" : { "date-parts" : [ [ "2019" ] ] }, "note" : "- H&amp;amp;E slides of explant were reviewed by two pathologists \n- looked at steatosis and fibrosis \n\n- staged severity of steatosis/steatohepatitis using the NASH-CRN (nash clinical research network) scoring system.\n\n- 5 had lung-liver transplant\n- 8 had liver only\n\n-7/13 had IGT or CFRD\n- 10/13 were PI at time of transplant\n\n- 54.8% of biopsies had steatosis\n- 51.6% of biopsies had steatohepatitis \n\nEXPLANTED LIVERS: \n10/13 had steatosis &amp;gt;5%. \n5 grade 1 steatosis\n1 grade 2 steatosis\n4 grade 3 steatosis \n\n4 of those were macrovesicular and 5 microvesicular, 1 with features of both\n\nno explant met criteria for NASH\n\nExtensive fibrosis was seen in those with grade 3 steatosis an those with grade 0\n\nTRANSPLANT BIOPSIES: \n- 31 biopsies from 13 patients\n\n- 6/13 subjects had significant allograft steatosis \n- difuse macrovesicular steatosis \n-", "page" : "96-103", "title" : "Hepatic Steatosis is Prevalent Following Orthotopic Liver Transplant in Children with Cystic Fibrosis", "type" : "article-journal", "volume" : "68" }, "uris" : [ "http://www.mendeley.com/documents/?uuid=2a7ca671-0d2c-4fe8-bfab-f504cc7a40ad" ] }, { "id" : "ITEM-2", "itemData" : { "DOI" : "10.2214/AJR.06.1046", "ISSN" : "0361803X", "PMID" : "17579157", "abstract" : "OBJECTIVE: The gastrointestinal manifestations of cystic fibrosis predispose patients to morbid conditions involving the pancreas, liver, biliary tract, spleen, and intestine. This article reviews the sonographic appearance of these abdominal manifestations. CONCLUSION: Numerous gastrointestinal complications have sonographic manifestations that must be interpreted correctly to ensure appropriate therapy", "author" : [ { "dropping-particle" : "", "family" : "Haber", "given" : "Hans P.", "non-dropping-particle" : "", "parse-names" : false, "suffix" : "" } ], "container-title" : "American Journal of Roentgenology", "id" : "ITEM-2", "issue" : "1", "issued" : { "date-parts" : [ [ "2007" ] ] }, "note" : "some slightly useful CFLD info\n\npurpose;\n-article review sonographic GI manifestations\n\nLiver:\n- ranges from steatosis to characteristic focal biliary fibrosis--&amp;gt; multilobular cirrhosis\n- increasing incidence of liver involvement with age 20-50%\n- only 1-5% progress to clinically apparant disease\n- steatosis is not rare in neonates and infants\n- no evidence to suggest that steatosis progresses to cirrhosis (2)", "page" : "89-99", "title" : "Cystic fibrosis in children and young adults: Findings on routine abdominal sonography", "type" : "article-journal", "volume" : "189" }, "uris" : [ "http://www.mendeley.com/documents/?uuid=71d8b31c-3eed-4459-852a-51ce1ad442fe" ] }, { "id" : "ITEM-3", "itemData" : { "DOI" : "10.1016/j.jcf.2018.11.004", "ISSN" : "1569-1993", "PMID" : "30509601", "author" : [ { "dropping-particle" : "", "family" : "Bader", "given" : "Razan M", "non-dropping-particle" : "", "parse-names" : false, "suffix" : "" }, { "dropping-particle" : "", "family" : "Jonas", "given" : "Maureen M", "non-dropping-particle" : "", "parse-names" : false, "suffix" : "" }, { "dropping-particle" : "", "family" : "Mitchell", "given" : "Paul D", "non-dropping-particle" : "", "parse-names" : false, "suffix" : "" }, { "dropping-particle" : "", "family" : "Wiggins", "given" : "Shanna", "non-dropping-particle" : "", "parse-names" : false, "suffix" : "" }, { "dropping-particle" : "", "family" : "Lee", "given" : "Christine K", "non-dropping-particle" : "", "parse-names" : false, "suffix" : "" } ], "container-title" : "Journal of Cystic Fibrosis", "id" : "ITEM-3", "issue" : "2", "issued" : { "date-parts" : [ [ "2019" ] ] }, "note" : "methods: \n\nCAP &amp;gt;230 is steatosis \n\nresults: \n129 pateints\n70 no clinical CFALD\n44 CFLD without portal hypertension\n15 CFLD with portal hypertension\n\nsteatosis (CAP &amp;gt;230) was seen in \n--27% of those with no CFLD\n--48% of those with CFALD and no PHTN\n--20% of those with CFALD and PHTN\n\nno diff between nl and CFALD no PHTN but lower ith CFALD PHTN\n\npurpose: \n- looked at CAP data from another study\n\nmethods: \n- used fibroscan\n- categorized as no liver dx, liver dx no PHTN, or liver dx with PHTN\n- steatosis is CAP &amp;gt;230\n\nresutls: \n- total 129 \n-- 70 no liver dx\n-- 44 CFLD no PHTN\n-- 15 CFLD with PHTN\n\n- fibroscan couldn't distinguis CFLD no PHTN vs. no liver disease in this cohort\n\n- CAP was high (meaning steatosis) in group with CFLAD no PHTN. Suggests taht steatosis burns out with advancing liver disease.", "page" : "280-285", "publisher" : "European Cystic Fibrosis Society.", "title" : "Controlled attenuation parameter : A measure of hepatic steatosis in patients with cystic fi brosis", "type" : "article-journal", "volume" : "18" }, "uris" : [ "http://www.mendeley.com/documents/?uuid=3fbbd9b6-445d-4b5a-954c-a1214de59cdf" ] } ], "mendeley" : { "formattedCitation" : "&lt;sup&gt;[12,17,18]&lt;/sup&gt;", "plainTextFormattedCitation" : "[12,17,18]", "previouslyFormattedCitation" : "&lt;sup&gt;[12,17,18]&lt;/sup&gt;"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[12,17,18]</w:t>
      </w:r>
      <w:r w:rsidR="00AA31B0" w:rsidRPr="003610D2">
        <w:rPr>
          <w:rFonts w:ascii="Book Antiqua" w:hAnsi="Book Antiqua" w:cs="Arial"/>
          <w:sz w:val="24"/>
          <w:szCs w:val="24"/>
        </w:rPr>
        <w:fldChar w:fldCharType="end"/>
      </w:r>
      <w:r w:rsidRPr="003610D2">
        <w:rPr>
          <w:rFonts w:ascii="Book Antiqua" w:hAnsi="Book Antiqua" w:cs="Arial"/>
          <w:sz w:val="24"/>
          <w:szCs w:val="24"/>
        </w:rPr>
        <w:t>.</w:t>
      </w:r>
      <w:r w:rsidR="00AA31B0" w:rsidRPr="003610D2">
        <w:rPr>
          <w:rFonts w:ascii="Book Antiqua" w:hAnsi="Book Antiqua" w:cs="Arial"/>
          <w:sz w:val="24"/>
          <w:szCs w:val="24"/>
        </w:rPr>
        <w:t xml:space="preserve"> </w:t>
      </w:r>
    </w:p>
    <w:p w14:paraId="23BB3C9D" w14:textId="2DDBA409" w:rsidR="00A10BB3" w:rsidRPr="003610D2" w:rsidRDefault="00B97C31" w:rsidP="00AA31B0">
      <w:pPr>
        <w:adjustRightInd w:val="0"/>
        <w:snapToGrid w:val="0"/>
        <w:spacing w:after="0" w:line="360" w:lineRule="auto"/>
        <w:ind w:firstLineChars="100" w:firstLine="240"/>
        <w:jc w:val="both"/>
        <w:rPr>
          <w:rFonts w:ascii="Book Antiqua" w:hAnsi="Book Antiqua" w:cs="Arial"/>
          <w:i/>
          <w:sz w:val="24"/>
          <w:szCs w:val="24"/>
        </w:rPr>
      </w:pPr>
      <w:r w:rsidRPr="003610D2">
        <w:rPr>
          <w:rFonts w:ascii="Book Antiqua" w:hAnsi="Book Antiqua" w:cs="Arial"/>
          <w:sz w:val="24"/>
          <w:szCs w:val="24"/>
        </w:rPr>
        <w:t>CFRD</w:t>
      </w:r>
      <w:r w:rsidR="00A803D6" w:rsidRPr="003610D2">
        <w:rPr>
          <w:rFonts w:ascii="Book Antiqua" w:hAnsi="Book Antiqua" w:cs="Arial"/>
          <w:sz w:val="24"/>
          <w:szCs w:val="24"/>
        </w:rPr>
        <w:t xml:space="preserve"> is a</w:t>
      </w:r>
      <w:r w:rsidR="002E5937" w:rsidRPr="003610D2">
        <w:rPr>
          <w:rFonts w:ascii="Book Antiqua" w:hAnsi="Book Antiqua" w:cs="Arial"/>
          <w:sz w:val="24"/>
          <w:szCs w:val="24"/>
        </w:rPr>
        <w:t>nother</w:t>
      </w:r>
      <w:r w:rsidR="00445AA9" w:rsidRPr="003610D2">
        <w:rPr>
          <w:rFonts w:ascii="Book Antiqua" w:hAnsi="Book Antiqua" w:cs="Arial"/>
          <w:sz w:val="24"/>
          <w:szCs w:val="24"/>
        </w:rPr>
        <w:t xml:space="preserve"> common extra</w:t>
      </w:r>
      <w:r w:rsidR="007A52E1" w:rsidRPr="003610D2">
        <w:rPr>
          <w:rFonts w:ascii="Book Antiqua" w:hAnsi="Book Antiqua" w:cs="Arial"/>
          <w:sz w:val="24"/>
          <w:szCs w:val="24"/>
        </w:rPr>
        <w:t xml:space="preserve">pulmonary </w:t>
      </w:r>
      <w:r w:rsidR="004A530E" w:rsidRPr="003610D2">
        <w:rPr>
          <w:rFonts w:ascii="Book Antiqua" w:hAnsi="Book Antiqua" w:cs="Arial"/>
          <w:sz w:val="24"/>
          <w:szCs w:val="24"/>
        </w:rPr>
        <w:t>manifestation of CF</w:t>
      </w:r>
      <w:r w:rsidR="007A52E1" w:rsidRPr="003610D2">
        <w:rPr>
          <w:rFonts w:ascii="Book Antiqua" w:hAnsi="Book Antiqua" w:cs="Arial"/>
          <w:sz w:val="24"/>
          <w:szCs w:val="24"/>
        </w:rPr>
        <w:t xml:space="preserve">, with </w:t>
      </w:r>
      <w:r w:rsidR="00B54A46" w:rsidRPr="003610D2">
        <w:rPr>
          <w:rFonts w:ascii="Book Antiqua" w:hAnsi="Book Antiqua" w:cs="Arial"/>
          <w:sz w:val="24"/>
          <w:szCs w:val="24"/>
        </w:rPr>
        <w:t>a prevalence of approximately 20</w:t>
      </w:r>
      <w:r w:rsidR="007A52E1" w:rsidRPr="003610D2">
        <w:rPr>
          <w:rFonts w:ascii="Book Antiqua" w:hAnsi="Book Antiqua" w:cs="Arial"/>
          <w:sz w:val="24"/>
          <w:szCs w:val="24"/>
        </w:rPr>
        <w:t xml:space="preserve">% in adolescents and </w:t>
      </w:r>
      <w:r w:rsidR="00B54A46" w:rsidRPr="003610D2">
        <w:rPr>
          <w:rFonts w:ascii="Book Antiqua" w:hAnsi="Book Antiqua" w:cs="Arial"/>
          <w:sz w:val="24"/>
          <w:szCs w:val="24"/>
        </w:rPr>
        <w:t>40</w:t>
      </w:r>
      <w:r w:rsidR="00AA31B0" w:rsidRPr="003610D2">
        <w:rPr>
          <w:rFonts w:ascii="Book Antiqua" w:hAnsi="Book Antiqua" w:cs="Arial"/>
          <w:sz w:val="24"/>
          <w:szCs w:val="24"/>
        </w:rPr>
        <w:t>%</w:t>
      </w:r>
      <w:r w:rsidR="00B54A46" w:rsidRPr="003610D2">
        <w:rPr>
          <w:rFonts w:ascii="Book Antiqua" w:hAnsi="Book Antiqua" w:cs="Arial"/>
          <w:sz w:val="24"/>
          <w:szCs w:val="24"/>
        </w:rPr>
        <w:t>-50</w:t>
      </w:r>
      <w:r w:rsidR="007A52E1" w:rsidRPr="003610D2">
        <w:rPr>
          <w:rFonts w:ascii="Book Antiqua" w:hAnsi="Book Antiqua" w:cs="Arial"/>
          <w:sz w:val="24"/>
          <w:szCs w:val="24"/>
        </w:rPr>
        <w:t>% in adults</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"10.2337/dc09-0586.", "PMID" : "19542209", "author" : [ { "dropping-particle" : "", "family" : "Moran", "given" : "Antoinette", "non-dropping-particle" : "", "parse-names" : false, "suffix" : "" }, { "dropping-particle" : "", "family" : "Dunitz", "given" : "Jordan", "non-dropping-particle" : "", "parse-names" : false, "suffix" : "" }, { "dropping-particle" : "", "family" : "Nathan", "given" : "Brandon", "non-dropping-particle" : "", "parse-names" : false, "suffix" : "" }, { "dropping-particle" : "", "family" : "Saeed", "given" : "Asad", "non-dropping-particle" : "", "parse-names" : false, "suffix" : "" }, { "dropping-particle" : "", "family" : "Holme", "given" : "Bonnie", "non-dropping-particle" : "", "parse-names" : false, "suffix" : "" }, { "dropping-particle" : "", "family" : "Thomas", "given" : "William", "non-dropping-particle" : "", "parse-names" : false, "suffix" : "" } ], "container-title" : "Diabetes Care", "id" : "ITEM-1", "issue" : "9", "issued" : { "date-parts" : [ [ "2009" ] ] }, "note" : "purpose:\n- see if things got better\n- since 2003, they have been encouraging mealtime insulin for CFRD -FH\nMethods\n- reviewed 872 charts from 1992-2008\nResults:\n- present all data\n- mortality in females with CFRD dropped from 6.9/100 to 3.2/100\n- mortality in males with CFRD dropped from 6.5/100 to 3.8/100\n- in ADOLESCENTS 11-17 (75 with 14 having CFRD):\n- trend toward lower FEV1 with diabetes\n- no difference in BMI percentile\n- no differences in CFRD-FH and CFRD+FH", "page" : "0-5", "title" : "Cystic Fibrosis \u2013 Related Diabetes : Current Trends in Prevalence , Incidence , and Mortality", "type" : "article-journal", "volume" : "32" }, "uris" : [ "http://www.mendeley.com/documents/?uuid=315ee063-736a-40ac-9c2f-851d9ebc470e" ] } ], "mendeley" : { "formattedCitation" : "&lt;sup&gt;[19]&lt;/sup&gt;", "plainTextFormattedCitation" : "[19]", "previouslyFormattedCitation" : "&lt;sup&gt;[19]&lt;/sup&gt;"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[19]</w:t>
      </w:r>
      <w:r w:rsidR="00AA31B0" w:rsidRPr="003610D2">
        <w:rPr>
          <w:rFonts w:ascii="Book Antiqua" w:hAnsi="Book Antiqua" w:cs="Arial"/>
          <w:sz w:val="24"/>
          <w:szCs w:val="24"/>
        </w:rPr>
        <w:fldChar w:fldCharType="end"/>
      </w:r>
      <w:r w:rsidR="00C02E5D" w:rsidRPr="003610D2">
        <w:rPr>
          <w:rFonts w:ascii="Book Antiqua" w:hAnsi="Book Antiqua" w:cs="Arial"/>
          <w:sz w:val="24"/>
          <w:szCs w:val="24"/>
        </w:rPr>
        <w:t>.</w:t>
      </w:r>
      <w:r w:rsidR="00F354E1" w:rsidRPr="003610D2">
        <w:rPr>
          <w:rFonts w:ascii="Book Antiqua" w:hAnsi="Book Antiqua" w:cs="Arial"/>
          <w:sz w:val="24"/>
          <w:szCs w:val="24"/>
        </w:rPr>
        <w:t xml:space="preserve"> </w:t>
      </w:r>
      <w:r w:rsidR="00CA540A" w:rsidRPr="003610D2">
        <w:rPr>
          <w:rFonts w:ascii="Book Antiqua" w:hAnsi="Book Antiqua" w:cs="Arial"/>
          <w:sz w:val="24"/>
          <w:szCs w:val="24"/>
        </w:rPr>
        <w:t>CFRD is d</w:t>
      </w:r>
      <w:r w:rsidR="008232E6" w:rsidRPr="003610D2">
        <w:rPr>
          <w:rFonts w:ascii="Book Antiqua" w:hAnsi="Book Antiqua" w:cs="Arial"/>
          <w:sz w:val="24"/>
          <w:szCs w:val="24"/>
        </w:rPr>
        <w:t>istinct from type 1 diabetes, which is characterized by absolute insulin deficiency, and type 2</w:t>
      </w:r>
      <w:r w:rsidR="00CA540A" w:rsidRPr="003610D2">
        <w:rPr>
          <w:rFonts w:ascii="Book Antiqua" w:hAnsi="Book Antiqua" w:cs="Arial"/>
          <w:sz w:val="24"/>
          <w:szCs w:val="24"/>
        </w:rPr>
        <w:t xml:space="preserve"> diabetes in which peripheral insulin resistance predominates.</w:t>
      </w:r>
      <w:r w:rsidR="001970A6" w:rsidRPr="003610D2">
        <w:rPr>
          <w:rFonts w:ascii="Book Antiqua" w:hAnsi="Book Antiqua" w:cs="Arial"/>
          <w:sz w:val="24"/>
          <w:szCs w:val="24"/>
        </w:rPr>
        <w:t xml:space="preserve"> CFRD is primarily a disease of insulin insuffic</w:t>
      </w:r>
      <w:r w:rsidR="004A530E" w:rsidRPr="003610D2">
        <w:rPr>
          <w:rFonts w:ascii="Book Antiqua" w:hAnsi="Book Antiqua" w:cs="Arial"/>
          <w:sz w:val="24"/>
          <w:szCs w:val="24"/>
        </w:rPr>
        <w:t>ienc</w:t>
      </w:r>
      <w:r w:rsidR="00CA540A" w:rsidRPr="003610D2">
        <w:rPr>
          <w:rFonts w:ascii="Book Antiqua" w:hAnsi="Book Antiqua" w:cs="Arial"/>
          <w:sz w:val="24"/>
          <w:szCs w:val="24"/>
        </w:rPr>
        <w:t>y</w:t>
      </w:r>
      <w:r w:rsidR="00647F4F" w:rsidRPr="003610D2">
        <w:rPr>
          <w:rFonts w:ascii="Book Antiqua" w:hAnsi="Book Antiqua" w:cs="Arial"/>
          <w:sz w:val="24"/>
          <w:szCs w:val="24"/>
        </w:rPr>
        <w:t xml:space="preserve">, though insulin resistance occurs </w:t>
      </w:r>
      <w:r w:rsidR="000614D3" w:rsidRPr="003610D2">
        <w:rPr>
          <w:rFonts w:ascii="Book Antiqua" w:hAnsi="Book Antiqua" w:cs="Arial"/>
          <w:sz w:val="24"/>
          <w:szCs w:val="24"/>
        </w:rPr>
        <w:t>during illness and</w:t>
      </w:r>
      <w:r w:rsidR="008232E6" w:rsidRPr="003610D2">
        <w:rPr>
          <w:rFonts w:ascii="Book Antiqua" w:hAnsi="Book Antiqua" w:cs="Arial"/>
          <w:sz w:val="24"/>
          <w:szCs w:val="24"/>
        </w:rPr>
        <w:t xml:space="preserve"> with</w:t>
      </w:r>
      <w:r w:rsidR="00647F4F" w:rsidRPr="003610D2">
        <w:rPr>
          <w:rFonts w:ascii="Book Antiqua" w:hAnsi="Book Antiqua" w:cs="Arial"/>
          <w:sz w:val="24"/>
          <w:szCs w:val="24"/>
        </w:rPr>
        <w:t xml:space="preserve"> increasing </w:t>
      </w:r>
      <w:r w:rsidR="00647F4F" w:rsidRPr="003610D2">
        <w:rPr>
          <w:rFonts w:ascii="Book Antiqua" w:hAnsi="Book Antiqua" w:cs="Arial"/>
          <w:sz w:val="24"/>
          <w:szCs w:val="24"/>
        </w:rPr>
        <w:lastRenderedPageBreak/>
        <w:t>age</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"10.1210/jc.2015-1512", "ISBN" : "0021-972x", "ISSN" : "19457197", "PMID" : "26057180", "abstract" : "CONTEXT: Cystic fibrosis (CF) causes an exceptionally high prevalence of diabetes that increases with age, especially in females. The glucose tolerance defect is progressive, but a cystic fibrosis transmembrane conductance regulator-dependent insulin secretory defect cannot be excluded. The age and sex dependence of the secretory defect is unclear. OBJECTIVE: The objective of the study was to analyze the age and sex dependency of insulin secretory and sensitivity parameters in CF. DESIGN: This was a cross-sectional analysis in an observational ongoing cohort (mean follow-up duration 7.5 y). SETTING: The study was conducted at the CF Center of Milan. PATIENTS: The study included 187 patients aged 8-30 years. INTERVENTION: Interventions included 3-hour oral glucose tolerance tests (n = 478) with 30-minute insulin and c-peptide sampling. MAIN OUTCOME MEASURES: Model-derived insulin secretory and sensitivity parameters were measured. RESULTS: Age was associated with a progressive decrement in insulinemia (at 30 min) and a subsequent increment in glycemia (at 60-90 min), returning at or below baseline (at 180 min). These changes are explained by a progressive reduction in $\u03b2$-cell sensitivity to glucose and a progressive increment in insulin clearance. Fasting and postprandial insulin sensitivity do not seem to be involved. Compared with males, females display higher glucose, insulin, and c-peptide responses with greater insulin secretion, $\u03b2$-cell sensitivity to glucose, insulin clearance, and equal insulin sensitivity. CONCLUSIONS: A defect in $\u03b2$-cell sensitivity to glucose progressively develops with age, but it is not sex specific and does not explain the worse glucose tolerance reported in females. In contrast, insulin clearance increases with age, especially in females, contributing to the deterioration in glucose tolerance. The effects of age and sex should be considered when evaluating oral glucose tolerance test results in CF patients.", "author" : [ { "dropping-particle" : "", "family" : "Battezzati", "given" : "Alberto", "non-dropping-particle" : "", "parse-names" : false, "suffix" : "" }, { "dropping-particle" : "", "family" : "Bedogni", "given" : "Giorgio", "non-dropping-particle" : "", "parse-names" : false, "suffix" : "" }, { "dropping-particle" : "", "family" : "Zazzeron", "given" : "Laura", "non-dropping-particle" : "", "parse-names" : false, "suffix" : "" }, { "dropping-particle" : "", "family" : "Mari", "given" : "Andrea", "non-dropping-particle" : "", "parse-names" : false, "suffix" : "" }, { "dropping-particle" : "", "family" : "Battezzati", "given" : "Pier Maria", "non-dropping-particle" : "", "parse-names" : false, "suffix" : "" }, { "dropping-particle" : "", "family" : "Alicandro", "given" : "Gianfranco", "non-dropping-particle" : "", "parse-names" : false, "suffix" : "" }, { "dropping-particle" : "", "family" : "Bertoli", "given" : "Simona", "non-dropping-particle" : "", "parse-names" : false, "suffix" : "" }, { "dropping-particle" : "", "family" : "Colombo", "given" : "Carla", "non-dropping-particle" : "", "parse-names" : false, "suffix" : "" } ], "container-title" : "Journal of Clinical Endocrinology and Metabolism", "id" : "ITEM-1", "issue" : "8", "issued" : { "date-parts" : [ [ "2015" ] ] }, "note" : "methods: 187 CF patients 8-30 years\n- 3h OGTT with q30 min insulin and c peptide\n- minimal model derived insulin secretory and sensitivity paramenters\n\nbeta cell glucose sensitivity = dependence of insulin secretion on absolute glucose at any point\n\npotentiation ratio: = ratio between the 2h and baseine value\n\nderivative component = dependence of insulin secretion on rate of chane of glucose concentration\n\ninsulinogenic index:\n= insulin 0-30/ glucose 0-30\n\nHOMA IR \nOGIS- 3h OGTT IS\n\nAUC for OGTT", "page" : "2963-2971", "title" : "Age- and sex-dependent distribution of OGTT-related variables in a population of cystic fibrosis patients", "type" : "article-journal", "volume" : "100" }, "uris" : [ "http://www.mendeley.com/documents/?uuid=9869f56b-6eb3-48e1-a885-f310d06d9e37" ] }, { "id" : "ITEM-2", "itemData" : { "DOI" : "10.1016/j.jcf.2019.01.009", "ISSN" : "15691993", "PMID" : "30711385", "author" : [ { "dropping-particle" : "", "family" : "Colomba", "given" : "Johann", "non-dropping-particle" : "", "parse-names" : false, "suffix" : "" }, { "dropping-particle" : "", "family" : "Boudreau", "given" : "Val\u00e9rie", "non-dropping-particle" : "", "parse-names" : false, "suffix" : "" }, { "dropping-particle" : "", "family" : "Lehoux-Dubois", "given" : "Catherine", "non-dropping-particle" : "", "parse-names" : false, "suffix" : "" }, { "dropping-particle" : "", "family" : "Desjardins", "given" : "Katherine", "non-dropping-particle" : "", "parse-names" : false, "suffix" : "" }, { "dropping-particle" : "", "family" : "Coriati", "given" : "Adele", "non-dropping-particle" : "", "parse-names" : false, "suffix" : "" }, { "dropping-particle" : "", "family" : "Tremblay", "given" : "Fran\u00e7ois", "non-dropping-particle" : "", "parse-names" : false, "suffix" : "" }, { "dropping-particle" : "", "family" : "Rabasa-Lhoret", "given" : "R\u00e9mi", "non-dropping-particle" : "", "parse-names" : false, "suffix" : "" } ], "container-title" : "Journal of Cystic Fibrosis", "id" : "ITEM-2", "issue" : "4", "issued" : { "date-parts" : [ [ "2019" ] ] }, "page" : "551-556", "publisher" : "European Cystic Fibrosis Society.", "title" : "The main mechanism associated with progression of glucose intolerance in older patients with cystic fibrosis is insulin resistance and not reduced insulin secretion capacity", "type" : "article-journal", "volume" : "18" }, "uris" : [ "http://www.mendeley.com/documents/?uuid=c178121b-4470-4f3a-a122-ffa0b8467feb" ] } ], "mendeley" : { "formattedCitation" : "&lt;sup&gt;[20,21]&lt;/sup&gt;", "plainTextFormattedCitation" : "[20,21]", "previouslyFormattedCitation" : "&lt;sup&gt;[20,21]&lt;/sup&gt;"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[20,21]</w:t>
      </w:r>
      <w:r w:rsidR="00AA31B0" w:rsidRPr="003610D2">
        <w:rPr>
          <w:rFonts w:ascii="Book Antiqua" w:hAnsi="Book Antiqua" w:cs="Arial"/>
          <w:sz w:val="24"/>
          <w:szCs w:val="24"/>
        </w:rPr>
        <w:fldChar w:fldCharType="end"/>
      </w:r>
      <w:r w:rsidR="008232E6" w:rsidRPr="003610D2">
        <w:rPr>
          <w:rFonts w:ascii="Book Antiqua" w:hAnsi="Book Antiqua" w:cs="Arial"/>
          <w:sz w:val="24"/>
          <w:szCs w:val="24"/>
        </w:rPr>
        <w:t>.</w:t>
      </w:r>
      <w:r w:rsidR="008232E6" w:rsidRPr="003610D2">
        <w:rPr>
          <w:rFonts w:ascii="Book Antiqua" w:hAnsi="Book Antiqua" w:cs="Arial"/>
          <w:color w:val="FF0000"/>
          <w:sz w:val="24"/>
          <w:szCs w:val="24"/>
        </w:rPr>
        <w:t xml:space="preserve"> </w:t>
      </w:r>
      <w:r w:rsidR="004A530E" w:rsidRPr="003610D2">
        <w:rPr>
          <w:rFonts w:ascii="Book Antiqua" w:hAnsi="Book Antiqua" w:cs="Arial"/>
          <w:sz w:val="24"/>
          <w:szCs w:val="24"/>
        </w:rPr>
        <w:t xml:space="preserve">Patients with CFRD </w:t>
      </w:r>
      <w:r w:rsidR="00445AA9" w:rsidRPr="003610D2">
        <w:rPr>
          <w:rFonts w:ascii="Book Antiqua" w:hAnsi="Book Antiqua" w:cs="Arial"/>
          <w:sz w:val="24"/>
          <w:szCs w:val="24"/>
        </w:rPr>
        <w:t xml:space="preserve">typically </w:t>
      </w:r>
      <w:r w:rsidR="002F2AA0" w:rsidRPr="003610D2">
        <w:rPr>
          <w:rFonts w:ascii="Book Antiqua" w:hAnsi="Book Antiqua" w:cs="Arial"/>
          <w:sz w:val="24"/>
          <w:szCs w:val="24"/>
        </w:rPr>
        <w:t>have lower</w:t>
      </w:r>
      <w:r w:rsidR="004A530E" w:rsidRPr="003610D2">
        <w:rPr>
          <w:rFonts w:ascii="Book Antiqua" w:hAnsi="Book Antiqua" w:cs="Arial"/>
          <w:sz w:val="24"/>
          <w:szCs w:val="24"/>
        </w:rPr>
        <w:t xml:space="preserve"> </w:t>
      </w:r>
      <w:r w:rsidR="00AA31B0" w:rsidRPr="003610D2">
        <w:rPr>
          <w:rFonts w:ascii="Book Antiqua" w:hAnsi="Book Antiqua"/>
          <w:sz w:val="24"/>
          <w:szCs w:val="24"/>
        </w:rPr>
        <w:t>body mass index</w:t>
      </w:r>
      <w:r w:rsidR="00AA31B0" w:rsidRPr="003610D2">
        <w:rPr>
          <w:rFonts w:ascii="Book Antiqua" w:hAnsi="Book Antiqua" w:cs="Arial"/>
          <w:sz w:val="24"/>
          <w:szCs w:val="24"/>
        </w:rPr>
        <w:t xml:space="preserve"> (</w:t>
      </w:r>
      <w:r w:rsidR="004A530E" w:rsidRPr="003610D2">
        <w:rPr>
          <w:rFonts w:ascii="Book Antiqua" w:hAnsi="Book Antiqua" w:cs="Arial"/>
          <w:sz w:val="24"/>
          <w:szCs w:val="24"/>
        </w:rPr>
        <w:t>BMI</w:t>
      </w:r>
      <w:r w:rsidR="00AA31B0" w:rsidRPr="003610D2">
        <w:rPr>
          <w:rFonts w:ascii="Book Antiqua" w:hAnsi="Book Antiqua" w:cs="Arial"/>
          <w:sz w:val="24"/>
          <w:szCs w:val="24"/>
        </w:rPr>
        <w:t>)</w:t>
      </w:r>
      <w:r w:rsidR="004A530E" w:rsidRPr="003610D2">
        <w:rPr>
          <w:rFonts w:ascii="Book Antiqua" w:hAnsi="Book Antiqua" w:cs="Arial"/>
          <w:sz w:val="24"/>
          <w:szCs w:val="24"/>
        </w:rPr>
        <w:t xml:space="preserve">, </w:t>
      </w:r>
      <w:r w:rsidR="00445AA9" w:rsidRPr="003610D2">
        <w:rPr>
          <w:rFonts w:ascii="Book Antiqua" w:hAnsi="Book Antiqua" w:cs="Arial"/>
          <w:sz w:val="24"/>
          <w:szCs w:val="24"/>
        </w:rPr>
        <w:t>reduced</w:t>
      </w:r>
      <w:r w:rsidR="004A530E" w:rsidRPr="003610D2">
        <w:rPr>
          <w:rFonts w:ascii="Book Antiqua" w:hAnsi="Book Antiqua" w:cs="Arial"/>
          <w:sz w:val="24"/>
          <w:szCs w:val="24"/>
        </w:rPr>
        <w:t xml:space="preserve"> pulmonary function and higher mortality</w:t>
      </w:r>
      <w:r w:rsidR="007A52E1" w:rsidRPr="003610D2">
        <w:rPr>
          <w:rFonts w:ascii="Book Antiqua" w:hAnsi="Book Antiqua" w:cs="Arial"/>
          <w:sz w:val="24"/>
          <w:szCs w:val="24"/>
        </w:rPr>
        <w:t xml:space="preserve"> </w:t>
      </w:r>
      <w:r w:rsidR="004A530E" w:rsidRPr="003610D2">
        <w:rPr>
          <w:rFonts w:ascii="Book Antiqua" w:hAnsi="Book Antiqua" w:cs="Arial"/>
          <w:sz w:val="24"/>
          <w:szCs w:val="24"/>
        </w:rPr>
        <w:t>rates</w:t>
      </w:r>
      <w:r w:rsidR="00D103CB" w:rsidRPr="003610D2">
        <w:rPr>
          <w:rFonts w:ascii="Book Antiqua" w:hAnsi="Book Antiqua" w:cs="Arial"/>
          <w:sz w:val="24"/>
          <w:szCs w:val="24"/>
        </w:rPr>
        <w:t>. These effects are at least partially mitigated by insulin therapy</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"10.2337/dc09-0585", "ISBN" : "0149-5992", "ISSN" : "1935-5548", "PMID" : "19592632", "abstract" : "OBJECTIVE: Cystic fibrosis-related diabetes (CFRD) without fasting hyperglycemia (CFRD FH-) is not associated with microvascular or macrovascular complications, leading to controversy about the need for treatment. The Cystic Fibrosis Related Diabetes Therapy (CFRDT) Trial sought to determine whether diabetes therapy improves BMI in these patients. RESEARCH DESIGN AND METHODS: A three-arm multicenter randomized trial compared 1 year of therapy with premeal insulin aspart, repaglinide, or oral placebo in subjects with cystic fibrosis who had abnormal glucose tolerance. RESULTS: One hundred adult patients were enrolled. Eighty-one completed the study, including 61 with CFRD FH- and 20 with severly impaired glucose tolerance (IGT). During the year before therapy, BMI declined in all groups. Among the group with CFRD FH-, insulin-treated patients lost 0.30 +/- 0.21 BMI units the year before therapy. After 1 year of insulin therapy, this pattern reversed, and they gained 0.39 +/- 21 BMI units (P = 0.02). No significant change in the rate of BMI decline was seen in placebo-treated patients (P = 0.45). Repaglinide-treated patients had an initial significant BMI gain (0.53 +/- 0.19 BMI units, P = 0.01), but this effect was not sustained. After 6 months of therapy they lost weight so that by 12 months there was no difference in the rate of BMI change during the study year compared with the year before (P = 0.33). Among patients with IGT, neither insulin nor repaglinide affected the rate of BMI decline. No significant differences were seen in the rate of lung function decline or the number of hospitalizations in any group. CONCLUSIONS: Insulin therapy safely reversed chronic weight loss in patients with CFRD FH-", "author" : [ { "dropping-particle" : "", "family" : "Moran", "given" : "Antoinette", "non-dropping-particle" : "", "parse-names" : false, "suffix" : "" }, { "dropping-particle" : "", "family" : "Pekow", "given" : "P", "non-dropping-particle" : "", "parse-names" : false, "suffix" : "" }, { "dropping-particle" : "", "family" : "Grover", "given" : "P", "non-dropping-particle" : "", "parse-names" : false, "suffix" : "" }, { "dropping-particle" : "", "family" : "Zorn", "given" : "M", "non-dropping-particle" : "", "parse-names" : false, "suffix" : "" }, { "dropping-particle" : "", "family" : "Slovis", "given" : "B", "non-dropping-particle" : "", "parse-names" : false, "suffix" : "" }, { "dropping-particle" : "", "family" : "Pilewski", "given" : "J", "non-dropping-particle" : "", "parse-names" : false, "suffix" : "" }, { "dropping-particle" : "", "family" : "Tullis", "given" : "E", "non-dropping-particle" : "", "parse-names" : false, "suffix" : "" }, { "dropping-particle" : "", "family" : "Liou", "given" : "T G", "non-dropping-particle" : "", "parse-names" : false, "suffix" : "" }, { "dropping-particle" : "", "family" : "Allen", "given" : "H", "non-dropping-particle" : "", "parse-names" : false, "suffix" : "" } ], "container-title" : "Diabetes care", "id" : "ITEM-1", "issue" : "10", "issued" : { "date-parts" : [ [ "2009" ] ] }, "note" : "0.5u per 15g carbohydrate", "page" : "1783", "title" : "Insulin Therapy to Improve BMI in Cystic Fibrosis \u2013 Related Diabetes Without Fasting Hyperglycemia", "type" : "article-journal", "volume" : "32" }, "uris" : [ "http://www.mendeley.com/documents/?uuid=aa8953ce-4960-4c22-a7c3-6ff412150bfb" ] } ], "mendeley" : { "formattedCitation" : "&lt;sup&gt;[22]&lt;/sup&gt;", "plainTextFormattedCitation" : "[22]", "previouslyFormattedCitation" : "&lt;sup&gt;[22]&lt;/sup&gt;"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[22]</w:t>
      </w:r>
      <w:r w:rsidR="00AA31B0" w:rsidRPr="003610D2">
        <w:rPr>
          <w:rFonts w:ascii="Book Antiqua" w:hAnsi="Book Antiqua" w:cs="Arial"/>
          <w:sz w:val="24"/>
          <w:szCs w:val="24"/>
        </w:rPr>
        <w:fldChar w:fldCharType="end"/>
      </w:r>
      <w:r w:rsidR="00D103CB" w:rsidRPr="003610D2">
        <w:rPr>
          <w:rFonts w:ascii="Book Antiqua" w:hAnsi="Book Antiqua" w:cs="Arial"/>
          <w:sz w:val="24"/>
          <w:szCs w:val="24"/>
        </w:rPr>
        <w:t>.</w:t>
      </w:r>
      <w:r w:rsidR="00A10BB3" w:rsidRPr="003610D2">
        <w:rPr>
          <w:rFonts w:ascii="Book Antiqua" w:hAnsi="Book Antiqua" w:cs="Arial"/>
          <w:color w:val="2E74B5" w:themeColor="accent1" w:themeShade="BF"/>
          <w:sz w:val="24"/>
          <w:szCs w:val="24"/>
        </w:rPr>
        <w:t xml:space="preserve"> </w:t>
      </w:r>
      <w:r w:rsidR="000E36A1" w:rsidRPr="003610D2">
        <w:rPr>
          <w:rFonts w:ascii="Book Antiqua" w:hAnsi="Book Antiqua" w:cs="Arial"/>
          <w:sz w:val="24"/>
          <w:szCs w:val="24"/>
        </w:rPr>
        <w:t>The prevalence</w:t>
      </w:r>
      <w:r w:rsidR="00A10BB3" w:rsidRPr="003610D2">
        <w:rPr>
          <w:rFonts w:ascii="Book Antiqua" w:hAnsi="Book Antiqua" w:cs="Arial"/>
          <w:sz w:val="24"/>
          <w:szCs w:val="24"/>
        </w:rPr>
        <w:t xml:space="preserve"> of CFRD is </w:t>
      </w:r>
      <w:r w:rsidR="000E36A1" w:rsidRPr="003610D2">
        <w:rPr>
          <w:rFonts w:ascii="Book Antiqua" w:hAnsi="Book Antiqua" w:cs="Arial"/>
          <w:sz w:val="24"/>
          <w:szCs w:val="24"/>
        </w:rPr>
        <w:t xml:space="preserve">also </w:t>
      </w:r>
      <w:r w:rsidR="00A10BB3" w:rsidRPr="003610D2">
        <w:rPr>
          <w:rFonts w:ascii="Book Antiqua" w:hAnsi="Book Antiqua" w:cs="Arial"/>
          <w:sz w:val="24"/>
          <w:szCs w:val="24"/>
        </w:rPr>
        <w:t>higher in CF patients with liver disease</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"10.1111/j.1651-2227.2007.00250x", "ISSN" : "0803-5253", "PMID" : "17381470", "abstract" : "To evaluate clinical and genetic factors, besides pancreatic insufficiency, associated with increased risk of cystic fibrosis-related diabetes.", "author" : [ { "dropping-particle" : "", "family" : "Minicucci", "given" : "L", "non-dropping-particle" : "", "parse-names" : false, "suffix" : "" }, { "dropping-particle" : "", "family" : "Lorini", "given" : "R", "non-dropping-particle" : "", "parse-names" : false, "suffix" : "" }, { "dropping-particle" : "", "family" : "Giannattasio", "given" : "A", "non-dropping-particle" : "", "parse-names" : false, "suffix" : "" }, { "dropping-particle" : "", "family" : "Colombo", "given" : "C", "non-dropping-particle" : "", "parse-names" : false, "suffix" : "" }, { "dropping-particle" : "", "family" : "Iapichino", "given" : "L", "non-dropping-particle" : "", "parse-names" : false, "suffix" : "" }, { "dropping-particle" : "", "family" : "Reali", "given" : "M F", "non-dropping-particle" : "", "parse-names" : false, "suffix" : "" }, { "dropping-particle" : "", "family" : "Padoan", "given" : "R", "non-dropping-particle" : "", "parse-names" : false, "suffix" : "" }, { "dropping-particle" : "", "family" : "Calevo", "given" : "M G", "non-dropping-particle" : "", "parse-names" : false, "suffix" : "" }, { "dropping-particle" : "", "family" : "Casciaro", "given" : "R", "non-dropping-particle" : "", "parse-names" : false, "suffix" : "" }, { "dropping-particle" : "", "family" : "Alessandri", "given" : "A", "non-dropping-particle" : "De", "parse-names" : false, "suffix" : "" }, { "dropping-particle" : "", "family" : "Haupt", "given" : "R", "non-dropping-particle" : "", "parse-names" : false, "suffix" : "" } ], "container-title" : "Acta paediatrica", "id" : "ITEM-1", "issue" : "5", "issued" : { "date-parts" : [ [ "2007" ] ] }, "note" : "purpose: \n- eval clinical and genetic factors associated with CFRD\n\nmethods:\n- case control of 128pt with CF\n- gathered info on FMH, mutation, liver disease\n\nresults:\n- pt with CFRD were more likely to have already been diagnosed with liver disease", "page" : "736-739", "title" : "Liver disease as risk factor for cystic fibrosis-related diabetes development.", "type" : "article-journal", "volume" : "96" }, "uris" : [ "http://www.mendeley.com/documents/?uuid=e65d3592-b3bc-410e-8356-172f2338f7a5" ] } ], "mendeley" : { "formattedCitation" : "&lt;sup&gt;[23]&lt;/sup&gt;", "plainTextFormattedCitation" : "[23]", "previouslyFormattedCitation" : "&lt;sup&gt;[23]&lt;/sup&gt;"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[23]</w:t>
      </w:r>
      <w:r w:rsidR="00AA31B0" w:rsidRPr="003610D2">
        <w:rPr>
          <w:rFonts w:ascii="Book Antiqua" w:hAnsi="Book Antiqua" w:cs="Arial"/>
          <w:sz w:val="24"/>
          <w:szCs w:val="24"/>
        </w:rPr>
        <w:fldChar w:fldCharType="end"/>
      </w:r>
      <w:r w:rsidR="00A10BB3" w:rsidRPr="003610D2">
        <w:rPr>
          <w:rFonts w:ascii="Book Antiqua" w:hAnsi="Book Antiqua" w:cs="Arial"/>
          <w:sz w:val="24"/>
          <w:szCs w:val="24"/>
        </w:rPr>
        <w:t>.</w:t>
      </w:r>
      <w:r w:rsidR="00AA31B0" w:rsidRPr="003610D2">
        <w:rPr>
          <w:rFonts w:ascii="Book Antiqua" w:hAnsi="Book Antiqua" w:cs="Arial"/>
          <w:i/>
          <w:sz w:val="24"/>
          <w:szCs w:val="24"/>
        </w:rPr>
        <w:t xml:space="preserve"> </w:t>
      </w:r>
    </w:p>
    <w:p w14:paraId="40954DC3" w14:textId="1648D274" w:rsidR="00C8576B" w:rsidRPr="003610D2" w:rsidRDefault="0030611B" w:rsidP="00AA31B0">
      <w:pPr>
        <w:adjustRightInd w:val="0"/>
        <w:snapToGrid w:val="0"/>
        <w:spacing w:after="0" w:line="360" w:lineRule="auto"/>
        <w:ind w:firstLineChars="100" w:firstLine="240"/>
        <w:jc w:val="both"/>
        <w:rPr>
          <w:rFonts w:ascii="Book Antiqua" w:hAnsi="Book Antiqua" w:cs="Arial"/>
          <w:sz w:val="24"/>
          <w:szCs w:val="24"/>
        </w:rPr>
      </w:pPr>
      <w:r w:rsidRPr="003610D2">
        <w:rPr>
          <w:rFonts w:ascii="Book Antiqua" w:hAnsi="Book Antiqua" w:cs="Arial"/>
          <w:sz w:val="24"/>
          <w:szCs w:val="24"/>
        </w:rPr>
        <w:t xml:space="preserve">Both CFRD and CFLD are almost exclusively seen in patients carrying two </w:t>
      </w:r>
      <w:r w:rsidR="007675B6" w:rsidRPr="003610D2">
        <w:rPr>
          <w:rFonts w:ascii="Book Antiqua" w:hAnsi="Book Antiqua" w:cs="Arial"/>
          <w:sz w:val="24"/>
          <w:szCs w:val="24"/>
        </w:rPr>
        <w:t xml:space="preserve">pathogenic </w:t>
      </w:r>
      <w:r w:rsidR="00C8576B" w:rsidRPr="003610D2">
        <w:rPr>
          <w:rFonts w:ascii="Book Antiqua" w:hAnsi="Book Antiqua" w:cs="Arial"/>
          <w:sz w:val="24"/>
          <w:szCs w:val="24"/>
        </w:rPr>
        <w:t>CFTR variants that severely limit the chloride channel function</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"10.2337/dc08-0466.", "PMID" : "18535191", "abstract" : "OBJECTIVE\u2014 Longer survival of patients with cystic fibrosis has increased the occurrence of cystic fibrosis\u2013related diabetes (CFRD). In this study we documented the incidence ofCFRDand evaluated the association between mutations responsible for cystic fibrosis and incident CFRD, while identifying potential risk factors. CONCLUSIONS\u2014 The incidence of CFRD is high in Britain. CFTR class I and II mutations increase the risk of diabetes independent of other risk factors including pancreatic exocrine dysfunction.", "author" : [ { "dropping-particle" : "", "family" : "Adler", "given" : "Amanda I.", "non-dropping-particle" : "", "parse-names" : false, "suffix" : "" }, { "dropping-particle" : "", "family" : "Shine", "given" : "Brian S F", "non-dropping-particle" : "", "parse-names" : false, "suffix" : "" }, { "dropping-particle" : "", "family" : "Chamnan", "given" : "Parinya", "non-dropping-particle" : "", "parse-names" : false, "suffix" : "" }, { "dropping-particle" : "", "family" : "Haworth", "given" : "Charles S.", "non-dropping-particle" : "", "parse-names" : false, "suffix" : "" }, { "dropping-particle" : "", "family" : "Bilton", "given" : "Diana", "non-dropping-particle" : "", "parse-names" : false, "suffix" : "" } ], "container-title" : "Diabetes Care", "id" : "ITEM-1", "issue" : "9", "issued" : { "date-parts" : [ [ "2008" ] ] }, "page" : "1789-1794", "title" : "Genetic Determinants and Epidemiology of Cystic Fibrosis \u2013 Related Diabetes Results from a British cohort of children and adults", "type" : "article-journal", "volume" : "31" }, "uris" : [ "http://www.mendeley.com/documents/?uuid=bf9ac8ee-138c-4ded-ba89-f0c4ed898064" ] }, { "id" : "ITEM-2", "itemData" : { "DOI" : "10.1186/s12920-018-0328-z", "ISSN" : "17558794", "PMID" : "29504914", "abstract" : "Background: Cystic fibrosis (CF) is one of the most common life-threatening genetic disorders. Around 2000 variants in the CFTR gene have been identified, with some proportion known to be pathogenic and 300 disease-causing mutations have been characterized in detail by CFTR2 database, which complicates its analysis with conventional methods. Methods: We conducted next-generation sequencing (NGS) in a cohort of 89 adult patients negative for p.Phe508del homozygosity. Complete clinical and demographic information were available for 84 patients. Results: By combining MLPA with NGS, we identified disease-causing alleles in all the CF patients. Importantly, in 10% of cases, standard bioinformatics pipelines were inefficient in identifying causative mutations. Class IV-V mutations were observed in 38 (45%) cases, predominantly ones with pancreatic sufficient CF disease; rest of the patients had Class I-III mutations. Diabetes was seen only in patients homozygous for class I-III mutations. We found that 12% of the patients were heterozygous for more than two pathogenic CFTR mutations. Two patients were observed with p.[Arg1070Gln, Ser466] complex allele which was associated with milder pulmonary obstructions (FVC 107 and 109% versus 67%, CI 95%: 63-72%; FEV 90 and 111% versus 47%, CI 95%: 37-48%). For the first time p.[Phe508del, Leu467Phe] complex allele was reported, observed in four patients (5%). Conclusion: NGS can be a more information-gaining technology compared to standard methods. Combined with its equivalent diagnostic performance, it can therefore be implemented in the clinical practice, although careful validation is still required.", "author" : [ { "dropping-particle" : "", "family" : "Ivanov", "given" : "Maxim", "non-dropping-particle" : "", "parse-names" : false, "suffix" : "" }, { "dropping-particle" : "", "family" : "Matsvay", "given" : "Alina", "non-dropping-particle" : "", "parse-names" : false, "suffix" : "" }, { "dropping-particle" : "", "family" : "Glazova", "given" : "Olga", "non-dropping-particle" : "", "parse-names" : false, "suffix" : "" }, { "dropping-particle" : "", "family" : "Krasovskiy", "given" : "Stanislav", "non-dropping-particle" : "", "parse-names" : false, "suffix" : "" }, { "dropping-particle" : "", "family" : "Usacheva", "given" : "Mariya", "non-dropping-particle" : "", "parse-names" : false, "suffix" : "" }, { "dropping-particle" : "", "family" : "Amelina", "given" : "Elena", "non-dropping-particle" : "", "parse-names" : false, "suffix" : "" }, { "dropping-particle" : "", "family" : "Chernyak", "given" : "Aleksandr", "non-dropping-particle" : "", "parse-names" : false, "suffix" : "" }, { "dropping-particle" : "", "family" : "Ivanov", "given" : "Mikhail", "non-dropping-particle" : "", "parse-names" : false, "suffix" : "" }, { "dropping-particle" : "", "family" : "Musienko", "given" : "Sergey", "non-dropping-particle" : "", "parse-names" : false, "suffix" : "" }, { "dropping-particle" : "", "family" : "Prodanov", "given" : "Timofey", "non-dropping-particle" : "", "parse-names" : false, "suffix" : "" }, { "dropping-particle" : "", "family" : "Kovalenko", "given" : "Sergey", "non-dropping-particle" : "", "parse-names" : false, "suffix" : "" }, { "dropping-particle" : "", "family" : "Baranova", "given" : "Ancha", "non-dropping-particle" : "", "parse-names" : false, "suffix" : "" }, { "dropping-particle" : "", "family" : "Khafizov", "given" : "Kamil", "non-dropping-particle" : "", "parse-names" : false, "suffix" : "" } ], "container-title" : "BMC Medical Genomics", "id" : "ITEM-2", "issue" : "Suppl 1", "issued" : { "date-parts" : [ [ "2018" ] ] }, "page" : "13", "title" : "Targeted sequencing reveals complex, phenotype-correlated genotypes in cystic fibrosis", "type" : "article-journal", "volume" : "11" }, "uris" : [ "http://www.mendeley.com/documents/?uuid=463281f0-395c-4f18-b89c-a0c8ebc2cb87" ] } ], "mendeley" : { "formattedCitation" : "&lt;sup&gt;[24,25]&lt;/sup&gt;", "plainTextFormattedCitation" : "[24,25]", "previouslyFormattedCitation" : "&lt;sup&gt;[24,25]&lt;/sup&gt;"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[24,25]</w:t>
      </w:r>
      <w:r w:rsidR="00AA31B0" w:rsidRPr="003610D2">
        <w:rPr>
          <w:rFonts w:ascii="Book Antiqua" w:hAnsi="Book Antiqua" w:cs="Arial"/>
          <w:sz w:val="24"/>
          <w:szCs w:val="24"/>
        </w:rPr>
        <w:fldChar w:fldCharType="end"/>
      </w:r>
      <w:r w:rsidR="00C8576B" w:rsidRPr="003610D2">
        <w:rPr>
          <w:rFonts w:ascii="Book Antiqua" w:hAnsi="Book Antiqua" w:cs="Arial"/>
          <w:sz w:val="24"/>
          <w:szCs w:val="24"/>
        </w:rPr>
        <w:t>.</w:t>
      </w:r>
      <w:r w:rsidR="00516BC2" w:rsidRPr="003610D2">
        <w:rPr>
          <w:rFonts w:ascii="Book Antiqua" w:hAnsi="Book Antiqua" w:cs="Arial"/>
          <w:sz w:val="24"/>
          <w:szCs w:val="24"/>
        </w:rPr>
        <w:t xml:space="preserve"> </w:t>
      </w:r>
      <w:r w:rsidRPr="003610D2">
        <w:rPr>
          <w:rFonts w:ascii="Book Antiqua" w:hAnsi="Book Antiqua" w:cs="Arial"/>
          <w:sz w:val="24"/>
          <w:szCs w:val="24"/>
        </w:rPr>
        <w:t>CFTR variants are generally categorized into five</w:t>
      </w:r>
      <w:r w:rsidR="00B5335C" w:rsidRPr="003610D2">
        <w:rPr>
          <w:rFonts w:ascii="Book Antiqua" w:hAnsi="Book Antiqua" w:cs="Arial"/>
          <w:sz w:val="24"/>
          <w:szCs w:val="24"/>
        </w:rPr>
        <w:t xml:space="preserve"> (or six)</w:t>
      </w:r>
      <w:r w:rsidRPr="003610D2">
        <w:rPr>
          <w:rFonts w:ascii="Book Antiqua" w:hAnsi="Book Antiqua" w:cs="Arial"/>
          <w:sz w:val="24"/>
          <w:szCs w:val="24"/>
        </w:rPr>
        <w:t xml:space="preserve"> groups according to the underlyin</w:t>
      </w:r>
      <w:r w:rsidR="00B5335C" w:rsidRPr="003610D2">
        <w:rPr>
          <w:rFonts w:ascii="Book Antiqua" w:hAnsi="Book Antiqua" w:cs="Arial"/>
          <w:sz w:val="24"/>
          <w:szCs w:val="24"/>
        </w:rPr>
        <w:t xml:space="preserve">g cause of channel malfunction. </w:t>
      </w:r>
      <w:r w:rsidR="00AC063F" w:rsidRPr="003610D2">
        <w:rPr>
          <w:rFonts w:ascii="Book Antiqua" w:hAnsi="Book Antiqua" w:cs="Arial"/>
          <w:sz w:val="24"/>
          <w:szCs w:val="24"/>
        </w:rPr>
        <w:t>Class</w:t>
      </w:r>
      <w:r w:rsidR="00B97C31" w:rsidRPr="003610D2">
        <w:rPr>
          <w:rFonts w:ascii="Book Antiqua" w:hAnsi="Book Antiqua" w:cs="Arial"/>
          <w:sz w:val="24"/>
          <w:szCs w:val="24"/>
        </w:rPr>
        <w:t xml:space="preserve"> </w:t>
      </w:r>
      <w:r w:rsidR="007675B6" w:rsidRPr="003610D2">
        <w:rPr>
          <w:rFonts w:ascii="Book Antiqua" w:hAnsi="Book Antiqua" w:cs="Arial"/>
          <w:sz w:val="24"/>
          <w:szCs w:val="24"/>
        </w:rPr>
        <w:t>1-3</w:t>
      </w:r>
      <w:r w:rsidR="00AC063F" w:rsidRPr="003610D2">
        <w:rPr>
          <w:rFonts w:ascii="Book Antiqua" w:hAnsi="Book Antiqua" w:cs="Arial"/>
          <w:sz w:val="24"/>
          <w:szCs w:val="24"/>
        </w:rPr>
        <w:t xml:space="preserve"> variants</w:t>
      </w:r>
      <w:r w:rsidR="00B97C31" w:rsidRPr="003610D2">
        <w:rPr>
          <w:rFonts w:ascii="Book Antiqua" w:hAnsi="Book Antiqua" w:cs="Arial"/>
          <w:sz w:val="24"/>
          <w:szCs w:val="24"/>
        </w:rPr>
        <w:t xml:space="preserve"> result in li</w:t>
      </w:r>
      <w:r w:rsidR="00AC063F" w:rsidRPr="003610D2">
        <w:rPr>
          <w:rFonts w:ascii="Book Antiqua" w:hAnsi="Book Antiqua" w:cs="Arial"/>
          <w:sz w:val="24"/>
          <w:szCs w:val="24"/>
        </w:rPr>
        <w:t>ttle</w:t>
      </w:r>
      <w:r w:rsidR="004B0AD1" w:rsidRPr="003610D2">
        <w:rPr>
          <w:rFonts w:ascii="Book Antiqua" w:hAnsi="Book Antiqua" w:cs="Arial"/>
          <w:sz w:val="24"/>
          <w:szCs w:val="24"/>
        </w:rPr>
        <w:t xml:space="preserve"> or no</w:t>
      </w:r>
      <w:r w:rsidR="00AC063F" w:rsidRPr="003610D2">
        <w:rPr>
          <w:rFonts w:ascii="Book Antiqua" w:hAnsi="Book Antiqua" w:cs="Arial"/>
          <w:sz w:val="24"/>
          <w:szCs w:val="24"/>
        </w:rPr>
        <w:t xml:space="preserve"> CFTR function while class 4-6 variants</w:t>
      </w:r>
      <w:r w:rsidR="00B97C31" w:rsidRPr="003610D2">
        <w:rPr>
          <w:rFonts w:ascii="Book Antiqua" w:hAnsi="Book Antiqua" w:cs="Arial"/>
          <w:sz w:val="24"/>
          <w:szCs w:val="24"/>
        </w:rPr>
        <w:t xml:space="preserve"> are characterized by residual CFTR function</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"10.1016/S0140-6736(16)00576-6", "ISBN" : "9780191007446", "ISSN" : "1474547X", "PMID" : "27140670", "abstract" : "Cystic fibrosis is a common life-limiting autosomal recessive genetic disorder, with highest prevalence in Europe, North America, and Australia. The disease is caused by mutation of a gene that encodes a chloride-conducting transmembrane channel called the cystic fibrosis transmembrane conductance regulator (CFTR), which regulates anion transport and mucociliary clearance in the airways. Functional failure of CFTR results in mucus retention and chronic infection and subsequently in local airway inflammation that is harmful to the lungs. CFTR dysfunction mainly affects epithelial cells, although there is evidence of a role in immune cells. Cystic fibrosis affects several body systems, and morbidity and mortality is mostly caused by bronchiectasis, small airways obstruction, and progressive respiratory impairment. Important comorbidities caused by epithelial cell dysfunction occur in the pancreas (malabsorption), liver (biliary cirrhosis), sweat glands (heat shock), and vas deferens (infertility). The development and delivery of drugs that improve the clearance of mucus from the lungs and treat the consequent infection, in combination with correction of pancreatic insufficiency and undernutrition by multidisciplinary teams, have resulted in remarkable improvements in quality of life and clinical outcomes in patients with cystic fibrosis, with median life expectancy now older than 40 years. Innovative and transformational therapies that target the basic defect in cystic fibrosis have recently been developed and are effective in improving lung function and reducing pulmonary exacerbations. Further small molecule and gene-based therapies are being developed to restore CFTR function; these therapies promise to be disease modifying and to improve the lives of people with cystic fibrosis.", "author" : [ { "dropping-particle" : "", "family" : "Elborn", "given" : "J. Stuart", "non-dropping-particle" : "", "parse-names" : false, "suffix" : "" } ], "container-title" : "The Lancet", "id" : "ITEM-1", "issued" : { "date-parts" : [ [ "2016" ] ] }, "page" : "2519-2531", "title" : "Cystic fibrosis", "type" : "article-journal", "volume" : "388" }, "uris" : [ "http://www.mendeley.com/documents/?uuid=c3b3f4d7-4659-4d83-9d50-c05d0eef400c" ] } ], "mendeley" : { "formattedCitation" : "&lt;sup&gt;[26]&lt;/sup&gt;", "plainTextFormattedCitation" : "[26]", "previouslyFormattedCitation" : "&lt;sup&gt;[26]&lt;/sup&gt;"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[26]</w:t>
      </w:r>
      <w:r w:rsidR="00AA31B0" w:rsidRPr="003610D2">
        <w:rPr>
          <w:rFonts w:ascii="Book Antiqua" w:hAnsi="Book Antiqua" w:cs="Arial"/>
          <w:sz w:val="24"/>
          <w:szCs w:val="24"/>
        </w:rPr>
        <w:fldChar w:fldCharType="end"/>
      </w:r>
      <w:r w:rsidR="00B97C31" w:rsidRPr="003610D2">
        <w:rPr>
          <w:rFonts w:ascii="Book Antiqua" w:hAnsi="Book Antiqua" w:cs="Arial"/>
          <w:sz w:val="24"/>
          <w:szCs w:val="24"/>
        </w:rPr>
        <w:t xml:space="preserve">. </w:t>
      </w:r>
      <w:r w:rsidRPr="003610D2">
        <w:rPr>
          <w:rFonts w:ascii="Book Antiqua" w:hAnsi="Book Antiqua" w:cs="Arial"/>
          <w:sz w:val="24"/>
          <w:szCs w:val="24"/>
        </w:rPr>
        <w:t>Individualized CF therapy relies on understanding the functional defect causing CFTR malfunction</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"10.1038/nrg3849.Cystic", "ISBN" : "0780338111", "PMID" : "25404111", "author" : [ { "dropping-particle" : "", "family" : "Cutting", "given" : "Garry R.", "non-dropping-particle" : "", "parse-names" : false, "suffix" : "" } ], "container-title" : "Nat Rev Genet.", "id" : "ITEM-1", "issue" : "1", "issued" : { "date-parts" : [ [ "2015" ] ] }, "page" : "45-56", "title" : "Cystic fibrosis genetics: from molecular understanding to clinical application", "type" : "article-journal", "volume" : "16" }, "uris" : [ "http://www.mendeley.com/documents/?uuid=045687a7-dfd8-4152-b80b-de28a0578fa5" ] } ], "mendeley" : { "formattedCitation" : "&lt;sup&gt;[27]&lt;/sup&gt;", "plainTextFormattedCitation" : "[27]", "previouslyFormattedCitation" : "&lt;sup&gt;[27]&lt;/sup&gt;"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[27]</w:t>
      </w:r>
      <w:r w:rsidR="00AA31B0" w:rsidRPr="003610D2">
        <w:rPr>
          <w:rFonts w:ascii="Book Antiqua" w:hAnsi="Book Antiqua" w:cs="Arial"/>
          <w:sz w:val="24"/>
          <w:szCs w:val="24"/>
        </w:rPr>
        <w:fldChar w:fldCharType="end"/>
      </w:r>
      <w:r w:rsidRPr="003610D2">
        <w:rPr>
          <w:rFonts w:ascii="Book Antiqua" w:hAnsi="Book Antiqua" w:cs="Arial"/>
          <w:sz w:val="24"/>
          <w:szCs w:val="24"/>
        </w:rPr>
        <w:t>.</w:t>
      </w:r>
      <w:r w:rsidR="00241658" w:rsidRPr="003610D2">
        <w:rPr>
          <w:rFonts w:ascii="Book Antiqua" w:hAnsi="Book Antiqua" w:cs="Arial"/>
          <w:sz w:val="24"/>
          <w:szCs w:val="24"/>
        </w:rPr>
        <w:t xml:space="preserve"> CFTR modulator therapies are a revolutionary class of small molecules targeting the underlying defect in CF</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"10.1016/S0140-6736(16)00576-6", "ISBN" : "9780191007446", "ISSN" : "1474547X", "PMID" : "27140670", "abstract" : "Cystic fibrosis is a common life-limiting autosomal recessive genetic disorder, with highest prevalence in Europe, North America, and Australia. The disease is caused by mutation of a gene that encodes a chloride-conducting transmembrane channel called the cystic fibrosis transmembrane conductance regulator (CFTR), which regulates anion transport and mucociliary clearance in the airways. Functional failure of CFTR results in mucus retention and chronic infection and subsequently in local airway inflammation that is harmful to the lungs. CFTR dysfunction mainly affects epithelial cells, although there is evidence of a role in immune cells. Cystic fibrosis affects several body systems, and morbidity and mortality is mostly caused by bronchiectasis, small airways obstruction, and progressive respiratory impairment. Important comorbidities caused by epithelial cell dysfunction occur in the pancreas (malabsorption), liver (biliary cirrhosis), sweat glands (heat shock), and vas deferens (infertility). The development and delivery of drugs that improve the clearance of mucus from the lungs and treat the consequent infection, in combination with correction of pancreatic insufficiency and undernutrition by multidisciplinary teams, have resulted in remarkable improvements in quality of life and clinical outcomes in patients with cystic fibrosis, with median life expectancy now older than 40 years. Innovative and transformational therapies that target the basic defect in cystic fibrosis have recently been developed and are effective in improving lung function and reducing pulmonary exacerbations. Further small molecule and gene-based therapies are being developed to restore CFTR function; these therapies promise to be disease modifying and to improve the lives of people with cystic fibrosis.", "author" : [ { "dropping-particle" : "", "family" : "Elborn", "given" : "J. Stuart", "non-dropping-particle" : "", "parse-names" : false, "suffix" : "" } ], "container-title" : "The Lancet", "id" : "ITEM-1", "issued" : { "date-parts" : [ [ "2016" ] ] }, "page" : "2519-2531", "title" : "Cystic fibrosis", "type" : "article-journal", "volume" : "388" }, "uris" : [ "http://www.mendeley.com/documents/?uuid=c3b3f4d7-4659-4d83-9d50-c05d0eef400c" ] } ], "mendeley" : { "formattedCitation" : "&lt;sup&gt;[26]&lt;/sup&gt;", "plainTextFormattedCitation" : "[26]", "previouslyFormattedCitation" : "&lt;sup&gt;[26]&lt;/sup&gt;"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[26]</w:t>
      </w:r>
      <w:r w:rsidR="00AA31B0" w:rsidRPr="003610D2">
        <w:rPr>
          <w:rFonts w:ascii="Book Antiqua" w:hAnsi="Book Antiqua" w:cs="Arial"/>
          <w:sz w:val="24"/>
          <w:szCs w:val="24"/>
        </w:rPr>
        <w:fldChar w:fldCharType="end"/>
      </w:r>
      <w:r w:rsidR="00241658" w:rsidRPr="003610D2">
        <w:rPr>
          <w:rFonts w:ascii="Book Antiqua" w:hAnsi="Book Antiqua" w:cs="Arial"/>
          <w:sz w:val="24"/>
          <w:szCs w:val="24"/>
        </w:rPr>
        <w:t>.</w:t>
      </w:r>
      <w:r w:rsidRPr="003610D2">
        <w:rPr>
          <w:rFonts w:ascii="Book Antiqua" w:hAnsi="Book Antiqua" w:cs="Arial"/>
          <w:sz w:val="24"/>
          <w:szCs w:val="24"/>
        </w:rPr>
        <w:t xml:space="preserve"> Ivacaftor </w:t>
      </w:r>
      <w:r w:rsidR="00C8576B" w:rsidRPr="003610D2">
        <w:rPr>
          <w:rFonts w:ascii="Book Antiqua" w:hAnsi="Book Antiqua" w:cs="Arial"/>
          <w:sz w:val="24"/>
          <w:szCs w:val="24"/>
        </w:rPr>
        <w:t>is a</w:t>
      </w:r>
      <w:r w:rsidRPr="003610D2">
        <w:rPr>
          <w:rFonts w:ascii="Book Antiqua" w:hAnsi="Book Antiqua" w:cs="Arial"/>
          <w:sz w:val="24"/>
          <w:szCs w:val="24"/>
        </w:rPr>
        <w:t xml:space="preserve"> CFTR potentiator </w:t>
      </w:r>
      <w:r w:rsidR="00C8576B" w:rsidRPr="003610D2">
        <w:rPr>
          <w:rFonts w:ascii="Book Antiqua" w:hAnsi="Book Antiqua" w:cs="Arial"/>
          <w:sz w:val="24"/>
          <w:szCs w:val="24"/>
        </w:rPr>
        <w:t xml:space="preserve">that increases chloride </w:t>
      </w:r>
      <w:r w:rsidR="00241658" w:rsidRPr="003610D2">
        <w:rPr>
          <w:rFonts w:ascii="Book Antiqua" w:hAnsi="Book Antiqua" w:cs="Arial"/>
          <w:sz w:val="24"/>
          <w:szCs w:val="24"/>
        </w:rPr>
        <w:t>conductance only if</w:t>
      </w:r>
      <w:r w:rsidR="00C8576B" w:rsidRPr="003610D2">
        <w:rPr>
          <w:rFonts w:ascii="Book Antiqua" w:hAnsi="Book Antiqua" w:cs="Arial"/>
          <w:sz w:val="24"/>
          <w:szCs w:val="24"/>
        </w:rPr>
        <w:t xml:space="preserve"> </w:t>
      </w:r>
      <w:r w:rsidRPr="003610D2">
        <w:rPr>
          <w:rFonts w:ascii="Book Antiqua" w:hAnsi="Book Antiqua" w:cs="Arial"/>
          <w:sz w:val="24"/>
          <w:szCs w:val="24"/>
        </w:rPr>
        <w:t>CFTR is present in the cell membrane</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"10.1016/S2213-2600(14)70218-8", "ISSN" : "22132619", "PMID" : "25311995", "abstract" : "Background: Ivacaftor, a cystic fibrosis transmembrane conductance regulator (CFTR) potentiator, is approved for the treatment of patients with cystic fibrosis aged 6 years or older with Gly551Asp- CFTR. We assessed the safety and efficacy of ivacaftor during 96 weeks of PERSIST in patients with cystic fibrosis who completed a previous 48-week, placebo-controlled trial of the drug (STRIVE or ENVISION). Methods: In this phase 3, open-label extension study, patients received ivacaftor 150 mg every 12 h in addition to their prescribed cystic fibrosis therapies. Patients who received placebo in their previous study initiated ivacaftor in this extension study. Patients were eligible if they had a Gly551Asp-CFTR mutation on at least one allele. The primary objective was to assess the long-term safety profile of ivacaftor as assessed by adverse events, clinical laboratory assessments, electrocardiograms, vital signs, and physical examination; secondary measures included change in forced expiratory volume in one second (FEV1), weight, and pulmonary exacerbations. This study is registered with ClinicalTrials.gov, number NCT01117012 and EudraCT, number 2009-012997-11. Findings: Between July 8, 2010, and April 8, 2013, 144 adolescents/adults (\u226512 years) from STRIVE and 48 children (6-11 years) from ENVISION were enrolled. Across both trials, 38 (20%) patients had a serious adverse event during the first 48 weeks and 44 (23%) during the subsequent 48 weeks. Two adults (1%) and one child (&lt;1%) discontinued because of adverse events. The most common adverse events were pulmonary exacerbation, cough, and upper respiratory tract infection. Patients previously treated with ivacaftor had sustained improvements in FEV1, weight, and rate of pulmonary exacerbations for up to 144 weeks of treatment. Among adolescents/adults and children who previously received ivacaftor, absolute change in FEV1 at week 96 (144 weeks ivacaftor) was 9\u00b74 and 10\u00b73 % points and absolute increase in weight was 4\u00b71 kg and 14\u00b78 kg, respectively. For adolescents/adults only, the pulmonary exacerbation rate remained suppressed compared with that of patients who received placebo in the placebo-controlled study. Interpretation: At 144 weeks of treatment, ivacaftor was well tolerated, with no new safety concerns. Ivacaftor also provided durable effects for 144 weeks in patients who had received active treatment in the placebo-controlled study. Those patients who previously received placebo had improvemen\u2026", "author" : [ { "dropping-particle" : "", "family" : "McKone", "given" : "Edward F.", "non-dropping-particle" : "", "parse-names" : false, "suffix" : "" }, { "dropping-particle" : "", "family" : "Borowitz", "given" : "Drucy", "non-dropping-particle" : "", "parse-names" : false, "suffix" : "" }, { "dropping-particle" : "", "family" : "Drevinek", "given" : "Pavel", "non-dropping-particle" : "", "parse-names" : false, "suffix" : "" }, { "dropping-particle" : "", "family" : "Griese", "given" : "Matthias", "non-dropping-particle" : "", "parse-names" : false, "suffix" : "" }, { "dropping-particle" : "", "family" : "Konstan", "given" : "Michael W.", "non-dropping-particle" : "", "parse-names" : false, "suffix" : "" }, { "dropping-particle" : "", "family" : "Wainwright", "given" : "Claire", "non-dropping-particle" : "", "parse-names" : false, "suffix" : "" }, { "dropping-particle" : "", "family" : "Ratjen", "given" : "Felix", "non-dropping-particle" : "", "parse-names" : false, "suffix" : "" }, { "dropping-particle" : "", "family" : "Sermet-Gaudelus", "given" : "Isabelle", "non-dropping-particle" : "", "parse-names" : false, "suffix" : "" }, { "dropping-particle" : "", "family" : "Plant", "given" : "Barry", "non-dropping-particle" : "", "parse-names" : false, "suffix" : "" }, { "dropping-particle" : "", "family" : "Munck", "given" : "Anne", "non-dropping-particle" : "", "parse-names" : false, "suffix" : "" }, { "dropping-particle" : "", "family" : "Jiang", "given" : "Ying", "non-dropping-particle" : "", "parse-names" : false, "suffix" : "" }, { "dropping-particle" : "", "family" : "Gilmartin", "given" : "Geoffrey", "non-dropping-particle" : "", "parse-names" : false, "suffix" : "" }, { "dropping-particle" : "", "family" : "Davies", "given" : "Jane C.", "non-dropping-particle" : "", "parse-names" : false, "suffix" : "" } ], "container-title" : "The Lancet Respiratory Medicine", "id" : "ITEM-1", "issue" : "11", "issued" : { "date-parts" : [ [ "2014" ] ] }, "page" : "902-910", "title" : "Long-term safety and efficacy of ivacaftor in patients with cystic fibrosis who have the Gly551Asp-CFTR mutation: A phase 3, open-label extension study (PERSIST)", "type" : "article-journal", "volume" : "2" }, "uris" : [ "http://www.mendeley.com/documents/?uuid=2f9b34dc-4dea-4cc5-9682-6ae7fbeef128" ] } ], "mendeley" : { "formattedCitation" : "&lt;sup&gt;[28]&lt;/sup&gt;", "plainTextFormattedCitation" : "[28]", "previouslyFormattedCitation" : "&lt;sup&gt;[28]&lt;/sup&gt;"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[28]</w:t>
      </w:r>
      <w:r w:rsidR="00AA31B0" w:rsidRPr="003610D2">
        <w:rPr>
          <w:rFonts w:ascii="Book Antiqua" w:hAnsi="Book Antiqua" w:cs="Arial"/>
          <w:sz w:val="24"/>
          <w:szCs w:val="24"/>
        </w:rPr>
        <w:fldChar w:fldCharType="end"/>
      </w:r>
      <w:r w:rsidRPr="003610D2">
        <w:rPr>
          <w:rFonts w:ascii="Book Antiqua" w:hAnsi="Book Antiqua" w:cs="Arial"/>
          <w:sz w:val="24"/>
          <w:szCs w:val="24"/>
        </w:rPr>
        <w:t>. Lumacaftor</w:t>
      </w:r>
      <w:r w:rsidR="00C8576B" w:rsidRPr="003610D2">
        <w:rPr>
          <w:rFonts w:ascii="Book Antiqua" w:hAnsi="Book Antiqua" w:cs="Arial"/>
          <w:sz w:val="24"/>
          <w:szCs w:val="24"/>
        </w:rPr>
        <w:t xml:space="preserve"> and </w:t>
      </w:r>
      <w:proofErr w:type="spellStart"/>
      <w:r w:rsidR="00C8576B" w:rsidRPr="003610D2">
        <w:rPr>
          <w:rFonts w:ascii="Book Antiqua" w:hAnsi="Book Antiqua" w:cs="Arial"/>
          <w:sz w:val="24"/>
          <w:szCs w:val="24"/>
        </w:rPr>
        <w:t>tezacaftor</w:t>
      </w:r>
      <w:proofErr w:type="spellEnd"/>
      <w:r w:rsidR="00C8576B" w:rsidRPr="003610D2">
        <w:rPr>
          <w:rFonts w:ascii="Book Antiqua" w:hAnsi="Book Antiqua" w:cs="Arial"/>
          <w:sz w:val="24"/>
          <w:szCs w:val="24"/>
        </w:rPr>
        <w:t xml:space="preserve"> are</w:t>
      </w:r>
      <w:r w:rsidR="00241658" w:rsidRPr="003610D2">
        <w:rPr>
          <w:rFonts w:ascii="Book Antiqua" w:hAnsi="Book Antiqua" w:cs="Arial"/>
          <w:sz w:val="24"/>
          <w:szCs w:val="24"/>
        </w:rPr>
        <w:t xml:space="preserve"> correctors</w:t>
      </w:r>
      <w:r w:rsidR="00C8576B" w:rsidRPr="003610D2">
        <w:rPr>
          <w:rFonts w:ascii="Book Antiqua" w:hAnsi="Book Antiqua" w:cs="Arial"/>
          <w:sz w:val="24"/>
          <w:szCs w:val="24"/>
        </w:rPr>
        <w:t xml:space="preserve"> which redirect misfolded CFTR protein to the cell surface</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"10.1056/NEJMoa1409547", "ISSN" : "1533-4406", "PMID" : "25981758", "abstract" : "Background Cystic fibrosis is a life-limiting disease that is caused by defective or deficient cystic fibrosis transmembrane conductance regulator (CFTR) protein activity. Phe508del is the most common CFTR mutation. Methods We conducted two phase 3, randomized, double-blind, placebo-controlled studies that were designed to assess the effects of lumacaftor (VX-809), a CFTR corrector, in combination with ivacaftor (VX-770), a CFTR potentiator, in patients 12 years of age or older who had cystic fibrosis and were homozygous for the Phe508del CFTR mutation. In both studies, patients were randomly assigned to receive either lumacaftor (600 mg once daily or 400 mg every 12 hours) in combination with ivacaftor (250 mg every 12 hours) or matched placebo for 24 weeks. The primary end point was the absolute change from baseline in the percentage of predicted forced expiratory volume in 1 second (FEV1) at week 24. Results A total of 1108 patients underwent randomization and received study drug. The mean baseline FEV1 was 61% of the predicted value. In both studies, there were significant improvements in the primary end point in both lumacaftor-ivacaftor dose groups; the difference between active treatment and placebo with respect to the mean absolute improvement in the percentage of predicted FEV1 ranged from 2.6 to 4.0 percentage points (P&lt;0.001), which corresponded to a mean relative treatment difference of 4.3 to 6.7% (P&lt;0.001). Pooled analyses showed that the rate of pulmonary exacerbations was 30 to 39% lower in the lumacaftor-ivacaftor groups than in the placebo group; the rate of events leading to hospitalization or the use of intravenous antibiotics was lower in the lumacaftor-ivacaftor groups as well. The incidence of adverse events was generally similar in the lumacaftor-ivacaftor and placebo groups. The rate of discontinuation due to an adverse event was 4.2% among patients who received lumacaftor-ivacaftor versus 1.6% among those who received placebo. Conclusions These data show that lumacaftor in combination with ivacaftor provided a benefit for patients with cystic fibrosis homozygous for the Phe508del CFTR mutation. (Funded by Vertex Pharmaceuticals and others; TRAFFIC and TRANSPORT ClinicalTrials.gov numbers, NCT01807923 and NCT01807949 .).", "author" : [ { "dropping-particle" : "", "family" : "Wainwright", "given" : "Claire E", "non-dropping-particle" : "", "parse-names" : false, "suffix" : "" }, { "dropping-particle" : "", "family" : "Elborn", "given" : "J Stuart", "non-dropping-particle" : "", "parse-names" : false, "suffix" : "" }, { "dropping-particle" : "", "family" : "Ramsey", "given" : "Bonnie W", "non-dropping-particle" : "", "parse-names" : false, "suffix" : "" }, { "dropping-particle" : "", "family" : "Marigowda", "given" : "Gautham", "non-dropping-particle" : "", "parse-names" : false, "suffix" : "" }, { "dropping-particle" : "", "family" : "Huang", "given" : "Xiaohong", "non-dropping-particle" : "", "parse-names" : false, "suffix" : "" }, { "dropping-particle" : "", "family" : "Cipolli", "given" : "Marco", "non-dropping-particle" : "", "parse-names" : false, "suffix" : "" }, { "dropping-particle" : "", "family" : "Colombo", "given" : "Carla", "non-dropping-particle" : "", "parse-names" : false, "suffix" : "" }, { "dropping-particle" : "", "family" : "Davies", "given" : "Jane C", "non-dropping-particle" : "", "parse-names" : false, "suffix" : "" }, { "dropping-particle" : "", "family" : "Boeck", "given" : "Kris", "non-dropping-particle" : "De", "parse-names" : false, "suffix" : "" }, { "dropping-particle" : "", "family" : "Flume", "given" : "Patrick a", "non-dropping-particle" : "", "parse-names" : false, "suffix" : "" }, { "dropping-particle" : "", "family" : "Konstan", "given" : "Michael W", "non-dropping-particle" : "", "parse-names" : false, "suffix" : "" }, { "dropping-particle" : "", "family" : "McColley", "given" : "Susanna a", "non-dropping-particle" : "", "parse-names" : false, "suffix" : "" }, { "dropping-particle" : "", "family" : "McCoy", "given" : "Karen", "non-dropping-particle" : "", "parse-names" : false, "suffix" : "" }, { "dropping-particle" : "", "family" : "McKone", "given" : "Edward F", "non-dropping-particle" : "", "parse-names" : false, "suffix" : "" }, { "dropping-particle" : "", "family" : "Munck", "given" : "Anne", "non-dropping-particle" : "", "parse-names" : false, "suffix" : "" }, { "dropping-particle" : "", "family" : "Ratjen", "given" : "Felix", "non-dropping-particle" : "", "parse-names" : false, "suffix" : "" }, { "dropping-particle" : "", "family" : "Rowe", "given" : "Steven M", "non-dropping-particle" : "", "parse-names" : false, "suffix" : "" }, { "dropping-particle" : "", "family" : "Waltz", "given" : "David", "non-dropping-particle" : "", "parse-names" : false, "suffix" : "" }, { "dropping-particle" : "", "family" : "Boyle", "given" : "Michael P", "non-dropping-particle" : "", "parse-names" : false, "suffix" : "" } ], "container-title" : "The New England journal of medicine", "id" : "ITEM-1", "issued" : { "date-parts" : [ [ "2015" ] ] }, "page" : "1-12", "title" : "Lumacaftor-Ivacaftor in Patients with Cystic Fibrosis Homozygous for Phe508del CFTR.", "type" : "article-journal" }, "uris" : [ "http://www.mendeley.com/documents/?uuid=01ed3d1b-1571-40e9-b261-f46a1d37d74d" ] }, { "id" : "ITEM-2", "itemData" : { "DOI" : "10.1056/NEJMoa1709846", "ISBN" : "1533-4406 (Electronic)\\r0028-4793 (Linking)", "ISSN" : "0028-4793", "PMID" : "25981758", "abstract" : "BackgroundCystic fibrosis is a life-limiting disease that is caused by defective or deficient cystic fibrosis transmembrane conductance regulator (CFTR) protein activity. Phe508del is the most common CFTR mutation. MethodsWe conducted two phase 3, randomized, double-blind, placebo-controlled studies that were designed to assess the effects of lumacaftor (VX-809), a CFTR corrector, in combination with ivacaftor (VX-770), a CFTR potentiator, in patients 12 years of age or older who had cystic fibrosis and were homozygous for the Phe508del CFTR mutation. In both studies, patients were randomly assigned to receive either lumacaftor (600 mg once daily or 400 mg every 12 hours) in combination with ivacaftor (250 mg every 12 hours) or matched placebo for 24 weeks. The primary end point was the absolute change from baseline in the percentage of predicted forced expiratory volume in 1 second (FEV1) at week 24. ResultsA total of 1108 patients underwent randomization and received study drug. The mean baseline FEV1 w...", "author" : [ { "dropping-particle" : "", "family" : "Taylor-Cousar", "given" : "Jennifer L.", "non-dropping-particle" : "", "parse-names" : false, "suffix" : "" }, { "dropping-particle" : "", "family" : "Munck", "given" : "Anne", "non-dropping-particle" : "", "parse-names" : false, "suffix" : "" }, { "dropping-particle" : "", "family" : "McKone", "given" : "Edward F.", "non-dropping-particle" : "", "parse-names" : false, "suffix" : "" }, { "dropping-particle" : "", "family" : "Ent", "given" : "Cornelis K.", "non-dropping-particle" : "van der", "parse-names" : false, "suffix" : "" }, { "dropping-particle" : "", "family" : "Moeller", "given" : "Alexander", "non-dropping-particle" : "", "parse-names" : false, "suffix" : "" }, { "dropping-particle" : "", "family" : "Simard", "given" : "Christopher", "non-dropping-particle" : "", "parse-names" : false, "suffix" : "" }, { "dropping-particle" : "", "family" : "Wang", "given" : "Linda T.", "non-dropping-particle" : "", "parse-names" : false, "suffix" : "" }, { "dropping-particle" : "", "family" : "Ingenito", "given" : "Edward P.", "non-dropping-particle" : "", "parse-names" : false, "suffix" : "" }, { "dropping-particle" : "", "family" : "McKee", "given" : "Charlotte", "non-dropping-particle" : "", "parse-names" : false, "suffix" : "" }, { "dropping-particle" : "", "family" : "Lu", "given" : "Yimeng", "non-dropping-particle" : "", "parse-names" : false, "suffix" : "" }, { "dropping-particle" : "", "family" : "Lekstrom-Himes", "given" : "Julie", "non-dropping-particle" : "", "parse-names" : false, "suffix" : "" }, { "dropping-particle" : "", "family" : "Elborn", "given" : "J. Stuart", "non-dropping-particle" : "", "parse-names" : false, "suffix" : "" } ], "container-title" : "New England Journal of Medicine", "id" : "ITEM-2", "issue" : "21", "issued" : { "date-parts" : [ [ "2017" ] ] }, "note" : "Increased LFT reference\n\nFEV1 increased by 4.0% in tez-iva vs. placebo\nlower pum exacerbations\nno diff in BMI", "page" : "NEJMoa1709846", "title" : "Tezacaftor\u2013Ivacaftor in Patients with Cystic Fibrosis Homozygous for Phe508del", "type" : "article-journal", "volume" : "377" }, "uris" : [ "http://www.mendeley.com/documents/?uuid=9818ebeb-1f09-43f0-86f2-b16ed5a5cd28" ] } ], "mendeley" : { "formattedCitation" : "&lt;sup&gt;[29,30]&lt;/sup&gt;", "plainTextFormattedCitation" : "[29,30]", "previouslyFormattedCitation" : "&lt;sup&gt;[29,30]&lt;/sup&gt;"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[29,30]</w:t>
      </w:r>
      <w:r w:rsidR="00AA31B0" w:rsidRPr="003610D2">
        <w:rPr>
          <w:rFonts w:ascii="Book Antiqua" w:hAnsi="Book Antiqua" w:cs="Arial"/>
          <w:sz w:val="24"/>
          <w:szCs w:val="24"/>
        </w:rPr>
        <w:fldChar w:fldCharType="end"/>
      </w:r>
      <w:r w:rsidR="00C8576B" w:rsidRPr="003610D2">
        <w:rPr>
          <w:rFonts w:ascii="Book Antiqua" w:hAnsi="Book Antiqua" w:cs="Arial"/>
          <w:sz w:val="24"/>
          <w:szCs w:val="24"/>
        </w:rPr>
        <w:t>. Lumacaftor/ivacaftor</w:t>
      </w:r>
      <w:r w:rsidR="00241658" w:rsidRPr="003610D2">
        <w:rPr>
          <w:rFonts w:ascii="Book Antiqua" w:hAnsi="Book Antiqua" w:cs="Arial"/>
          <w:sz w:val="24"/>
          <w:szCs w:val="24"/>
        </w:rPr>
        <w:t xml:space="preserve"> combination therapy</w:t>
      </w:r>
      <w:r w:rsidR="00C8576B" w:rsidRPr="003610D2">
        <w:rPr>
          <w:rFonts w:ascii="Book Antiqua" w:hAnsi="Book Antiqua" w:cs="Arial"/>
          <w:sz w:val="24"/>
          <w:szCs w:val="24"/>
        </w:rPr>
        <w:t xml:space="preserve"> was approved in 2015 for patients carrying t</w:t>
      </w:r>
      <w:r w:rsidR="00241658" w:rsidRPr="003610D2">
        <w:rPr>
          <w:rFonts w:ascii="Book Antiqua" w:hAnsi="Book Antiqua" w:cs="Arial"/>
          <w:sz w:val="24"/>
          <w:szCs w:val="24"/>
        </w:rPr>
        <w:t>wo copies of the F508del</w:t>
      </w:r>
      <w:r w:rsidR="007675B6" w:rsidRPr="003610D2">
        <w:rPr>
          <w:rFonts w:ascii="Book Antiqua" w:hAnsi="Book Antiqua" w:cs="Arial"/>
          <w:sz w:val="24"/>
          <w:szCs w:val="24"/>
        </w:rPr>
        <w:t xml:space="preserve"> (</w:t>
      </w:r>
      <w:proofErr w:type="gramStart"/>
      <w:r w:rsidR="007675B6" w:rsidRPr="003610D2">
        <w:rPr>
          <w:rFonts w:ascii="Book Antiqua" w:hAnsi="Book Antiqua" w:cs="Arial"/>
          <w:color w:val="333333"/>
          <w:sz w:val="24"/>
          <w:szCs w:val="24"/>
          <w:lang w:val="en"/>
        </w:rPr>
        <w:t>p.Phe</w:t>
      </w:r>
      <w:proofErr w:type="gramEnd"/>
      <w:r w:rsidR="007675B6" w:rsidRPr="003610D2">
        <w:rPr>
          <w:rFonts w:ascii="Book Antiqua" w:hAnsi="Book Antiqua" w:cs="Arial"/>
          <w:color w:val="333333"/>
          <w:sz w:val="24"/>
          <w:szCs w:val="24"/>
          <w:lang w:val="en"/>
        </w:rPr>
        <w:t>508del, c.1521_1523delCTT)</w:t>
      </w:r>
      <w:r w:rsidR="00241658" w:rsidRPr="003610D2">
        <w:rPr>
          <w:rFonts w:ascii="Book Antiqua" w:hAnsi="Book Antiqua" w:cs="Arial"/>
          <w:sz w:val="24"/>
          <w:szCs w:val="24"/>
        </w:rPr>
        <w:t xml:space="preserve"> </w:t>
      </w:r>
      <w:r w:rsidR="007675B6" w:rsidRPr="003610D2">
        <w:rPr>
          <w:rFonts w:ascii="Book Antiqua" w:hAnsi="Book Antiqua" w:cs="Arial"/>
          <w:sz w:val="24"/>
          <w:szCs w:val="24"/>
        </w:rPr>
        <w:t xml:space="preserve">pathogenic </w:t>
      </w:r>
      <w:r w:rsidR="00241658" w:rsidRPr="003610D2">
        <w:rPr>
          <w:rFonts w:ascii="Book Antiqua" w:hAnsi="Book Antiqua" w:cs="Arial"/>
          <w:sz w:val="24"/>
          <w:szCs w:val="24"/>
        </w:rPr>
        <w:t>variant</w:t>
      </w:r>
      <w:r w:rsidR="00C8576B" w:rsidRPr="003610D2">
        <w:rPr>
          <w:rFonts w:ascii="Book Antiqua" w:hAnsi="Book Antiqua" w:cs="Arial"/>
          <w:sz w:val="24"/>
          <w:szCs w:val="24"/>
        </w:rPr>
        <w:t>.</w:t>
      </w:r>
      <w:r w:rsidR="001C1832">
        <w:rPr>
          <w:rFonts w:ascii="Book Antiqua" w:hAnsi="Book Antiqua" w:cs="Arial"/>
          <w:sz w:val="24"/>
          <w:szCs w:val="24"/>
        </w:rPr>
        <w:t xml:space="preserve"> </w:t>
      </w:r>
    </w:p>
    <w:p w14:paraId="47A4C6DE" w14:textId="1F4D154E" w:rsidR="00621A24" w:rsidRPr="003610D2" w:rsidRDefault="00722EF8" w:rsidP="00AA31B0">
      <w:pPr>
        <w:adjustRightInd w:val="0"/>
        <w:snapToGrid w:val="0"/>
        <w:spacing w:after="0" w:line="360" w:lineRule="auto"/>
        <w:ind w:firstLineChars="100" w:firstLine="240"/>
        <w:jc w:val="both"/>
        <w:rPr>
          <w:rFonts w:ascii="Book Antiqua" w:hAnsi="Book Antiqua" w:cs="Arial"/>
          <w:sz w:val="24"/>
          <w:szCs w:val="24"/>
        </w:rPr>
      </w:pPr>
      <w:r w:rsidRPr="003610D2">
        <w:rPr>
          <w:rFonts w:ascii="Book Antiqua" w:hAnsi="Book Antiqua" w:cs="Arial"/>
          <w:sz w:val="24"/>
          <w:szCs w:val="24"/>
        </w:rPr>
        <w:t>While pulmonary effects of CFTR modulators have been m</w:t>
      </w:r>
      <w:r w:rsidR="00445AA9" w:rsidRPr="003610D2">
        <w:rPr>
          <w:rFonts w:ascii="Book Antiqua" w:hAnsi="Book Antiqua" w:cs="Arial"/>
          <w:sz w:val="24"/>
          <w:szCs w:val="24"/>
        </w:rPr>
        <w:t>eticulously examined, the extra</w:t>
      </w:r>
      <w:r w:rsidRPr="003610D2">
        <w:rPr>
          <w:rFonts w:ascii="Book Antiqua" w:hAnsi="Book Antiqua" w:cs="Arial"/>
          <w:sz w:val="24"/>
          <w:szCs w:val="24"/>
        </w:rPr>
        <w:t>pulmonary effects are not well characterized</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"10.1056/NEJMoa1807119", "PMID" : "30334693", "author" : [ { "dropping-particle" : "", "family" : "Davies", "given" : "JC", "non-dropping-particle" : "", "parse-names" : false, "suffix" : "" }, { "dropping-particle" : "", "family" : "Moskowitz", "given" : "SM", "non-dropping-particle" : "", "parse-names" : false, "suffix" : "" }, { "dropping-particle" : "", "family" : "Brown", "given" : "C", "non-dropping-particle" : "", "parse-names" : false, "suffix" : "" }, { "dropping-particle" : "", "family" : "Horsley", "given" : "A", "non-dropping-particle" : "", "parse-names" : false, "suffix" : "" }, { "dropping-particle" : "", "family" : "Mall", "given" : "MA", "non-dropping-particle" : "", "parse-names" : false, "suffix" : "" }, { "dropping-particle" : "", "family" : "McKone", "given" : "EF", "non-dropping-particle" : "", "parse-names" : false, "suffix" : "" }, { "dropping-particle" : "", "family" : "Plant", "given" : "BJ", "non-dropping-particle" : "", "parse-names" : false, "suffix" : "" }, { "dropping-particle" : "", "family" : "Prais", "given" : "D", "non-dropping-particle" : "", "parse-names" : false, "suffix" : "" }, { "dropping-particle" : "", "family" : "BW", "given" : "Ramswy", "non-dropping-particle" : "", "parse-names" : false, "suffix" : "" }, { "dropping-particle" : "", "family" : "Taylor-Cousar", "given" : "JL", "non-dropping-particle" : "", "parse-names" : false, "suffix" : "" }, { "dropping-particle" : "", "family" : "Tullis", "given" : "E", "non-dropping-particle" : "", "parse-names" : false, "suffix" : "" }, { "dropping-particle" : "", "family" : "Uluer", "given" : "A", "non-dropping-particle" : "", "parse-names" : false, "suffix" : "" }, { "dropping-particle" : "", "family" : "Mckee", "given" : "C M", "non-dropping-particle" : "", "parse-names" : false, "suffix" : "" }, { "dropping-particle" : "", "family" : "Robertson", "given" : "S", "non-dropping-particle" : "", "parse-names" : false, "suffix" : "" }, { "dropping-particle" : "", "family" : "Shilling", "given" : "R A", "non-dropping-particle" : "", "parse-names" : false, "suffix" : "" }, { "dropping-particle" : "", "family" : "Simard", "given" : "C", "non-dropping-particle" : "", "parse-names" : false, "suffix" : "" }, { "dropping-particle" : "Van", "family" : "Goor", "given" : "F", "non-dropping-particle" : "", "parse-names" : false, "suffix" : "" }, { "dropping-particle" : "", "family" : "Waltz", "given" : "D", "non-dropping-particle" : "", "parse-names" : false, "suffix" : "" }, { "dropping-particle" : "", "family" : "Xuan", "given" : "F", "non-dropping-particle" : "", "parse-names" : false, "suffix" : "" }, { "dropping-particle" : "", "family" : "Young", "given" : "T", "non-dropping-particle" : "", "parse-names" : false, "suffix" : "" }, { "dropping-particle" : "", "family" : "Rowe", "given" : "S M", "non-dropping-particle" : "", "parse-names" : false, "suffix" : "" }, { "dropping-particle" : "", "family" : "Group", "given" : "Vx-- Study", "non-dropping-particle" : "", "parse-names" : false, "suffix" : "" } ], "container-title" : "New England Journal of Medicine", "id" : "ITEM-1", "issue" : "17", "issued" : { "date-parts" : [ [ "2019" ] ] }, "note" : "VX 659 and tez-iva\n\neither f508del homo or f508del and minimal function\n\nf508del MF\n- increased FEV1by mean of 10.2%, 12% and 13.3% depending on dose\n\nf508 homozygous\n- increased FEV1 9.7% further\n\nDID not report BMI", "page" : "1599-1611", "title" : "VX-659-tezacaftor-ivacaftor in patients with cystic fibrosis and one or two phe508del alleles", "type" : "article-journal", "volume" : "379" }, "uris" : [ "http://www.mendeley.com/documents/?uuid=63781c8f-b0b5-4856-94a6-770284a11db3" ] }, { "id" : "ITEM-2", "itemData" : { "DOI" : "10.1056/NEJMoa1807120", "PMID" : "30334692", "author" : [ { "dropping-particle" : "", "family" : "Keating", "given" : "Dominic", "non-dropping-particle" : "", "parse-names" : false, "suffix" : "" }, { "dropping-particle" : "", "family" : "Marigowda", "given" : "Gautham", "non-dropping-particle" : "", "parse-names" : false, "suffix" : "" }, { "dropping-particle" : "", "family" : "Burr", "given" : "Lucy", "non-dropping-particle" : "", "parse-names" : false, "suffix" : "" }, { "dropping-particle" : "", "family" : "Ph", "given" : "D", "non-dropping-particle" : "", "parse-names" : false, "suffix" : "" }, { "dropping-particle" : "", "family" : "Daines", "given" : "Cori", "non-dropping-particle" : "", "parse-names" : false, "suffix" : "" }, { "dropping-particle" : "", "family" : "Mall", "given" : "Marcus A", "non-dropping-particle" : "", "parse-names" : false, "suffix" : "" }, { "dropping-particle" : "", "family" : "Mckone", "given" : "Edward F", "non-dropping-particle" : "", "parse-names" : false, "suffix" : "" }, { "dropping-particle" : "", "family" : "Ramsey", "given" : "Bonnie W", "non-dropping-particle" : "", "parse-names" : false, "suffix" : "" }, { "dropping-particle" : "", "family" : "Rowe", "given" : "Steven M", "non-dropping-particle" : "", "parse-names" : false, "suffix" : "" }, { "dropping-particle" : "", "family" : "Sass", "given" : "Laura A", "non-dropping-particle" : "", "parse-names" : false, "suffix" : "" }, { "dropping-particle" : "", "family" : "Tullis", "given" : "Elizabeth", "non-dropping-particle" : "", "parse-names" : false, "suffix" : "" }, { "dropping-particle" : "", "family" : "Mckee", "given" : "Charlotte M", "non-dropping-particle" : "", "parse-names" : false, "suffix" : "" }, { "dropping-particle" : "", "family" : "Moskowitz", "given" : "Samuel M", "non-dropping-particle" : "", "parse-names" : false, "suffix" : "" }, { "dropping-particle" : "", "family" : "Robertson", "given" : "Sarah", "non-dropping-particle" : "", "parse-names" : false, "suffix" : "" }, { "dropping-particle" : "", "family" : "Pharm", "given" : "D", "non-dropping-particle" : "", "parse-names" : false, "suffix" : "" }, { "dropping-particle" : "", "family" : "Savage", "given" : "Jessica", "non-dropping-particle" : "", "parse-names" : false, "suffix" : "" }, { "dropping-particle" : "", "family" : "Simard", "given" : "Christopher", "non-dropping-particle" : "", "parse-names" : false, "suffix" : "" }, { "dropping-particle" : "Van", "family" : "Goor", "given" : "Fredrick", "non-dropping-particle" : "", "parse-names" : false, "suffix" : "" }, { "dropping-particle" : "", "family" : "Ph", "given" : "D", "non-dropping-particle" : "", "parse-names" : false, "suffix" : "" }, { "dropping-particle" : "", "family" : "Waltz", "given" : "David", "non-dropping-particle" : "", "parse-names" : false, "suffix" : "" }, { "dropping-particle" : "", "family" : "Xuan", "given" : "Fengjuan", "non-dropping-particle" : "", "parse-names" : false, "suffix" : "" }, { "dropping-particle" : "", "family" : "Ph", "given" : "D", "non-dropping-particle" : "", "parse-names" : false, "suffix" : "" }, { "dropping-particle" : "", "family" : "Young", "given" : "Tim", "non-dropping-particle" : "", "parse-names" : false, "suffix" : "" }, { "dropping-particle" : "", "family" : "Ph", "given" : "D", "non-dropping-particle" : "", "parse-names" : false, "suffix" : "" }, { "dropping-particle" : "", "family" : "Cousar", "given" : "Jennifer L Taylor", "non-dropping-particle" : "", "parse-names" : false, "suffix" : "" } ], "container-title" : "New England Journal of Medicine", "id" : "ITEM-2", "issue" : "17", "issued" : { "date-parts" : [ [ "2019" ] ] }, "note" : "f508del- MF\n- up to 13.8% improvement in FEV1\n\nF508 homozygous\n- 11% improvement in FEV1", "page" : "1612-1620", "title" : "VX-445\u2013Tezacaftor\u2013Ivacaftor in Patients with Cystic Fibrosis and One or Two Phe508del Alleles", "type" : "article-journal", "volume" : "379" }, "uris" : [ "http://www.mendeley.com/documents/?uuid=346aeba9-32e7-43d6-afb0-a18d68fe4497" ] }, { "id" : "ITEM-3", "itemData" : { "DOI" : "10.1016/S2213-2600(16)30427-1", "ISSN" : "2213-2600", "PMID" : "28011037", "author" : [ { "dropping-particle" : "", "family" : "Konstan", "given" : "Michael W", "non-dropping-particle" : "", "parse-names" : false, "suffix" : "" }, { "dropping-particle" : "", "family" : "Mckone", "given" : "Edward F", "non-dropping-particle" : "", "parse-names" : false, "suffix" : "" }, { "dropping-particle" : "", "family" : "Moss", "given" : "Richard B", "non-dropping-particle" : "", "parse-names" : false, "suffix" : "" }, { "dropping-particle" : "", "family" : "Marigowda", "given" : "Gautham", "non-dropping-particle" : "", "parse-names" : false, "suffix" : "" }, { "dropping-particle" : "", "family" : "Tian", "given" : "Simon", "non-dropping-particle" : "", "parse-names" : false, "suffix" : "" }, { "dropping-particle" : "", "family" : "Waltz", "given" : "David", "non-dropping-particle" : "", "parse-names" : false, "suffix" : "" }, { "dropping-particle" : "", "family" : "Huang", "given" : "Xiaohong", "non-dropping-particle" : "", "parse-names" : false, "suffix" : "" }, { "dropping-particle" : "", "family" : "Lubarsky", "given" : "Barry", "non-dropping-particle" : "", "parse-names" : false, "suffix" : "" }, { "dropping-particle" : "", "family" : "Rubin", "given" : "Jaime", "non-dropping-particle" : "", "parse-names" : false, "suffix" : "" }, { "dropping-particle" : "", "family" : "Millar", "given" : "Stefanie J", "non-dropping-particle" : "", "parse-names" : false, "suffix" : "" }, { "dropping-particle" : "", "family" : "Pasta", "given" : "David J", "non-dropping-particle" : "", "parse-names" : false, "suffix" : "" }, { "dropping-particle" : "", "family" : "Mayer-hamblett", "given" : "Nicole", "non-dropping-particle" : "", "parse-names" : false, "suffix" : "" }, { "dropping-particle" : "", "family" : "Goss", "given" : "Christopher H", "non-dropping-particle" : "", "parse-names" : false, "suffix" : "" }, { "dropping-particle" : "", "family" : "Morgan", "given" : "Wayne", "non-dropping-particle" : "", "parse-names" : false, "suffix" : "" }, { "dropping-particle" : "", "family" : "Sawicki", "given" : "Gregory S", "non-dropping-particle" : "", "parse-names" : false, "suffix" : "" } ], "container-title" : "The Lancet Respiratory", "id" : "ITEM-3", "issue" : "2", "issued" : { "date-parts" : [ [ "2017" ] ] }, "note" : "no signficiant difference in BMI increase between symdeco and placebo", "page" : "107-118", "publisher" : "Elsevier Ltd", "title" : "Assessment of safety and effi acy of long-term treatment with combination lumacaftor and ivacaftor therapy in patients with cystic fibosis homozygous for the F508del-CFTR mutation (PROGRESS): a phase 3 , extension study", "type" : "article-journal", "volume" : "5" }, "uris" : [ "http://www.mendeley.com/documents/?uuid=f638dc66-7e49-4bec-93dc-653ba311451f" ] }, { "id" : "ITEM-4", "itemData" : { "DOI" : "10.1016/S2213-2600(14)70218-8", "ISSN" : "22132619", "PMID" : "25311995", "abstract" : "Background: Ivacaftor, a cystic fibrosis transmembrane conductance regulator (CFTR) potentiator, is approved for the treatment of patients with cystic fibrosis aged 6 years or older with Gly551Asp- CFTR. We assessed the safety and efficacy of ivacaftor during 96 weeks of PERSIST in patients with cystic fibrosis who completed a previous 48-week, placebo-controlled trial of the drug (STRIVE or ENVISION). Methods: In this phase 3, open-label extension study, patients received ivacaftor 150 mg every 12 h in addition to their prescribed cystic fibrosis therapies. Patients who received placebo in their previous study initiated ivacaftor in this extension study. Patients were eligible if they had a Gly551Asp-CFTR mutation on at least one allele. The primary objective was to assess the long-term safety profile of ivacaftor as assessed by adverse events, clinical laboratory assessments, electrocardiograms, vital signs, and physical examination; secondary measures included change in forced expiratory volume in one second (FEV1), weight, and pulmonary exacerbations. This study is registered with ClinicalTrials.gov, number NCT01117012 and EudraCT, number 2009-012997-11. Findings: Between July 8, 2010, and April 8, 2013, 144 adolescents/adults (\u226512 years) from STRIVE and 48 children (6-11 years) from ENVISION were enrolled. Across both trials, 38 (20%) patients had a serious adverse event during the first 48 weeks and 44 (23%) during the subsequent 48 weeks. Two adults (1%) and one child (&lt;1%) discontinued because of adverse events. The most common adverse events were pulmonary exacerbation, cough, and upper respiratory tract infection. Patients previously treated with ivacaftor had sustained improvements in FEV1, weight, and rate of pulmonary exacerbations for up to 144 weeks of treatment. Among adolescents/adults and children who previously received ivacaftor, absolute change in FEV1 at week 96 (144 weeks ivacaftor) was 9\u00b74 and 10\u00b73 % points and absolute increase in weight was 4\u00b71 kg and 14\u00b78 kg, respectively. For adolescents/adults only, the pulmonary exacerbation rate remained suppressed compared with that of patients who received placebo in the placebo-controlled study. Interpretation: At 144 weeks of treatment, ivacaftor was well tolerated, with no new safety concerns. Ivacaftor also provided durable effects for 144 weeks in patients who had received active treatment in the placebo-controlled study. Those patients who previously received placebo had improvemen\u2026", "author" : [ { "dropping-particle" : "", "family" : "McKone", "given" : "Edward F.", "non-dropping-particle" : "", "parse-names" : false, "suffix" : "" }, { "dropping-particle" : "", "family" : "Borowitz", "given" : "Drucy", "non-dropping-particle" : "", "parse-names" : false, "suffix" : "" }, { "dropping-particle" : "", "family" : "Drevinek", "given" : "Pavel", "non-dropping-particle" : "", "parse-names" : false, "suffix" : "" }, { "dropping-particle" : "", "family" : "Griese", "given" : "Matthias", "non-dropping-particle" : "", "parse-names" : false, "suffix" : "" }, { "dropping-particle" : "", "family" : "Konstan", "given" : "Michael W.", "non-dropping-particle" : "", "parse-names" : false, "suffix" : "" }, { "dropping-particle" : "", "family" : "Wainwright", "given" : "Claire", "non-dropping-particle" : "", "parse-names" : false, "suffix" : "" }, { "dropping-particle" : "", "family" : "Ratjen", "given" : "Felix", "non-dropping-particle" : "", "parse-names" : false, "suffix" : "" }, { "dropping-particle" : "", "family" : "Sermet-Gaudelus", "given" : "Isabelle", "non-dropping-particle" : "", "parse-names" : false, "suffix" : "" }, { "dropping-particle" : "", "family" : "Plant", "given" : "Barry", "non-dropping-particle" : "", "parse-names" : false, "suffix" : "" }, { "dropping-particle" : "", "family" : "Munck", "given" : "Anne", "non-dropping-particle" : "", "parse-names" : false, "suffix" : "" }, { "dropping-particle" : "", "family" : "Jiang", "given" : "Ying", "non-dropping-particle" : "", "parse-names" : false, "suffix" : "" }, { "dropping-particle" : "", "family" : "Gilmartin", "given" : "Geoffrey", "non-dropping-particle" : "", "parse-names" : false, "suffix" : "" }, { "dropping-particle" : "", "family" : "Davies", "given" : "Jane C.", "non-dropping-particle" : "", "parse-names" : false, "suffix" : "" } ], "container-title" : "The Lancet Respiratory Medicine", "id" : "ITEM-4", "issue" : "11", "issued" : { "date-parts" : [ [ "2014" ] ] }, "page" : "902-910", "title" : "Long-term safety and efficacy of ivacaftor in patients with cystic fibrosis who have the Gly551Asp-CFTR mutation: A phase 3, open-label extension study (PERSIST)", "type" : "article-journal", "volume" : "2" }, "uris" : [ "http://www.mendeley.com/documents/?uuid=2f9b34dc-4dea-4cc5-9682-6ae7fbeef128" ] }, { "id" : "ITEM-5", "itemData" : { "DOI" : "10.1056/NEJMoa1709846", "ISBN" : "1533-4406 (Electronic)\\r0028-4793 (Linking)", "ISSN" : "0028-4793", "PMID" : "25981758", "abstract" : "BackgroundCystic fibrosis is a life-limiting disease that is caused by defective or deficient cystic fibrosis transmembrane conductance regulator (CFTR) protein activity. Phe508del is the most common CFTR mutation. MethodsWe conducted two phase 3, randomized, double-blind, placebo-controlled studies that were designed to assess the effects of lumacaftor (VX-809), a CFTR corrector, in combination with ivacaftor (VX-770), a CFTR potentiator, in patients 12 years of age or older who had cystic fibrosis and were homozygous for the Phe508del CFTR mutation. In both studies, patients were randomly assigned to receive either lumacaftor (600 mg once daily or 400 mg every 12 hours) in combination with ivacaftor (250 mg every 12 hours) or matched placebo for 24 weeks. The primary end point was the absolute change from baseline in the percentage of predicted forced expiratory volume in 1 second (FEV1) at week 24. ResultsA total of 1108 patients underwent randomization and received study drug. The mean baseline FEV1 w...", "author" : [ { "dropping-particle" : "", "family" : "Taylor-Cousar", "given" : "Jennifer L.", "non-dropping-particle" : "", "parse-names" : false, "suffix" : "" }, { "dropping-particle" : "", "family" : "Munck", "given" : "Anne", "non-dropping-particle" : "", "parse-names" : false, "suffix" : "" }, { "dropping-particle" : "", "family" : "McKone", "given" : "Edward F.", "non-dropping-particle" : "", "parse-names" : false, "suffix" : "" }, { "dropping-particle" : "", "family" : "Ent", "given" : "Cornelis K.", "non-dropping-particle" : "van der", "parse-names" : false, "suffix" : "" }, { "dropping-particle" : "", "family" : "Moeller", "given" : "Alexander", "non-dropping-particle" : "", "parse-names" : false, "suffix" : "" }, { "dropping-particle" : "", "family" : "Simard", "given" : "Christopher", "non-dropping-particle" : "", "parse-names" : false, "suffix" : "" }, { "dropping-particle" : "", "family" : "Wang", "given" : "Linda T.", "non-dropping-particle" : "", "parse-names" : false, "suffix" : "" }, { "dropping-particle" : "", "family" : "Ingenito", "given" : "Edward P.", "non-dropping-particle" : "", "parse-names" : false, "suffix" : "" }, { "dropping-particle" : "", "family" : "McKee", "given" : "Charlotte", "non-dropping-particle" : "", "parse-names" : false, "suffix" : "" }, { "dropping-particle" : "", "family" : "Lu", "given" : "Yimeng", "non-dropping-particle" : "", "parse-names" : false, "suffix" : "" }, { "dropping-particle" : "", "family" : "Lekstrom-Himes", "given" : "Julie", "non-dropping-particle" : "", "parse-names" : false, "suffix" : "" }, { "dropping-particle" : "", "family" : "Elborn", "given" : "J. Stuart", "non-dropping-particle" : "", "parse-names" : false, "suffix" : "" } ], "container-title" : "New England Journal of Medicine", "id" : "ITEM-5", "issue" : "21", "issued" : { "date-parts" : [ [ "2017" ] ] }, "note" : "Increased LFT reference\n\nFEV1 increased by 4.0% in tez-iva vs. placebo\nlower pum exacerbations\nno diff in BMI", "page" : "NEJMoa1709846", "title" : "Tezacaftor\u2013Ivacaftor in Patients with Cystic Fibrosis Homozygous for Phe508del", "type" : "article-journal", "volume" : "377" }, "uris" : [ "http://www.mendeley.com/documents/?uuid=9818ebeb-1f09-43f0-86f2-b16ed5a5cd28" ] } ], "mendeley" : { "formattedCitation" : "&lt;sup&gt;[28,30\u201333]&lt;/sup&gt;", "plainTextFormattedCitation" : "[28,30\u201333]", "previouslyFormattedCitation" : "&lt;sup&gt;[28,30\u201333]&lt;/sup&gt;"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[28,30</w:t>
      </w:r>
      <w:r w:rsidR="005E0EBE">
        <w:rPr>
          <w:rFonts w:ascii="Book Antiqua" w:hAnsi="Book Antiqua" w:cs="Arial"/>
          <w:noProof/>
          <w:sz w:val="24"/>
          <w:szCs w:val="24"/>
          <w:vertAlign w:val="superscript"/>
        </w:rPr>
        <w:t>-</w:t>
      </w:r>
      <w:r w:rsidR="00AA31B0" w:rsidRPr="003610D2">
        <w:rPr>
          <w:rFonts w:ascii="Book Antiqua" w:hAnsi="Book Antiqua" w:cs="Arial"/>
          <w:noProof/>
          <w:sz w:val="24"/>
          <w:szCs w:val="24"/>
          <w:vertAlign w:val="superscript"/>
        </w:rPr>
        <w:t>33]</w:t>
      </w:r>
      <w:r w:rsidR="00AA31B0" w:rsidRPr="003610D2">
        <w:rPr>
          <w:rFonts w:ascii="Book Antiqua" w:hAnsi="Book Antiqua" w:cs="Arial"/>
          <w:sz w:val="24"/>
          <w:szCs w:val="24"/>
        </w:rPr>
        <w:fldChar w:fldCharType="end"/>
      </w:r>
      <w:r w:rsidRPr="003610D2">
        <w:rPr>
          <w:rFonts w:ascii="Book Antiqua" w:hAnsi="Book Antiqua" w:cs="Arial"/>
          <w:sz w:val="24"/>
          <w:szCs w:val="24"/>
        </w:rPr>
        <w:t xml:space="preserve">. </w:t>
      </w:r>
      <w:r w:rsidR="002014CB" w:rsidRPr="003610D2">
        <w:rPr>
          <w:rFonts w:ascii="Book Antiqua" w:hAnsi="Book Antiqua" w:cs="Arial"/>
          <w:sz w:val="24"/>
          <w:szCs w:val="24"/>
        </w:rPr>
        <w:t>Two small studies</w:t>
      </w:r>
      <w:r w:rsidRPr="003610D2">
        <w:rPr>
          <w:rFonts w:ascii="Book Antiqua" w:hAnsi="Book Antiqua" w:cs="Arial"/>
          <w:sz w:val="24"/>
          <w:szCs w:val="24"/>
        </w:rPr>
        <w:t xml:space="preserve"> demonstrated improved insulin secretion after </w:t>
      </w:r>
      <w:r w:rsidR="00094D58" w:rsidRPr="003610D2">
        <w:rPr>
          <w:rFonts w:ascii="Book Antiqua" w:hAnsi="Book Antiqua" w:cs="Arial"/>
          <w:sz w:val="24"/>
          <w:szCs w:val="24"/>
        </w:rPr>
        <w:t>modulator</w:t>
      </w:r>
      <w:r w:rsidRPr="003610D2">
        <w:rPr>
          <w:rFonts w:ascii="Book Antiqua" w:hAnsi="Book Antiqua" w:cs="Arial"/>
          <w:sz w:val="24"/>
          <w:szCs w:val="24"/>
        </w:rPr>
        <w:t xml:space="preserve"> therapy</w:t>
      </w:r>
      <w:r w:rsidR="00A0009B" w:rsidRPr="003610D2">
        <w:rPr>
          <w:rFonts w:ascii="Book Antiqua" w:hAnsi="Book Antiqua" w:cs="Arial"/>
          <w:sz w:val="24"/>
          <w:szCs w:val="24"/>
        </w:rPr>
        <w:t>; while two other</w:t>
      </w:r>
      <w:r w:rsidR="00445AA9" w:rsidRPr="003610D2">
        <w:rPr>
          <w:rFonts w:ascii="Book Antiqua" w:hAnsi="Book Antiqua" w:cs="Arial"/>
          <w:sz w:val="24"/>
          <w:szCs w:val="24"/>
        </w:rPr>
        <w:t xml:space="preserve"> studies</w:t>
      </w:r>
      <w:r w:rsidRPr="003610D2">
        <w:rPr>
          <w:rFonts w:ascii="Book Antiqua" w:hAnsi="Book Antiqua" w:cs="Arial"/>
          <w:sz w:val="24"/>
          <w:szCs w:val="24"/>
        </w:rPr>
        <w:t xml:space="preserve"> failed to show improvement</w:t>
      </w:r>
      <w:r w:rsidR="00AA31B0" w:rsidRPr="003610D2">
        <w:rPr>
          <w:rFonts w:ascii="Book Antiqua" w:hAnsi="Book Antiqua" w:cs="Arial"/>
          <w:sz w:val="24"/>
          <w:szCs w:val="24"/>
        </w:rPr>
        <w:fldChar w:fldCharType="begin" w:fldLock="1"/>
      </w:r>
      <w:r w:rsidR="00AA31B0" w:rsidRPr="003610D2">
        <w:rPr>
          <w:rFonts w:ascii="Book Antiqua" w:hAnsi="Book Antiqua" w:cs="Arial"/>
          <w:sz w:val="24"/>
          <w:szCs w:val="24"/>
        </w:rPr>
        <w:instrText>ADDIN CSL_CITATION { "citationItems" : [ { "id" : "ITEM-1", "itemData" : { "DOI" : "10.1111/pedi.12026", "ISBN" : "6126265262", "PMID" : "23952705", "author" : [ { "dropping-particle" : "", "family" : "Bellin", "given" : "Melena", "non-dropping-particle" : "", "parse-names" : false, "suffix" : "" }, { "dropping-particle" : "", "family" : "Laguna", "given" : "Theresa", "non-dropping-particle" : "", "parse-names" : false, "suffix" : "" }, { "dropping-particle" : "", "family" : "Leschyshyn", "given" : "Janice", "non-dropping-particle" : "", "parse-names" : false, "suffix" : "" }, { "dropping-particle" : "", "family" : "Regelmann", "given" : "Warren", "non-dropping-particle" : "", "parse-names" : false, "suffix" : "" }, { "dropping-particle" : "", "family" : "Dunitz", "given" : "Jordan", "non-dropping-particle" : "", "parse-names" : false, "suffix" : "" }, { "dropping-particle" : "", "family" : "Billings", "given" : "JoAnne", "non-dropping-particle" : "", "parse-names" : false, "suffix" : "" }, { "dropping-particle" : "", "family" : "Moran", "given" : "Antoinette", "non-dropping-particle" : "", "parse-names" : false, "suffix" : "" } ], "container-title" : "Pediatr Diabetes", "id" : "ITEM-1", "issue" : "6", "issued" : { "date-parts" : [ [ "2013" ] ] }, "page" : "417-421", "title" : "Insulin Secretion Improves in Cystic Fibrosis Following Ivacaftor Correction of CFTR: a small pilot study", "type" : "article-journal", "volume" : "14" }, "uris" : [ "http://www.mendeley.com/documents/?uuid=21fc74e4-4171-4ee8-b622-51f3d80636a3" ] }, { "id" : "ITEM-2", "itemData" : { "DOI" : "10.1164/rccm.201806-1018OC", "ISSN" : "0016-6480", "PMID" : "30130412", "author" : [ { "dropping-particle" : "", "family" : "Kelly", "given" : "Andrea", "non-dropping-particle" : "", "parse-names" : false, "suffix" : "" }, { "dropping-particle" : "", "family" : "DeLeon", "given" : "Diva", "non-dropping-particle" : "", "parse-names" : false, "suffix" : "" }, { "dropping-particle" : "", "family" : "Sheikh", "given" : "Saba", "non-dropping-particle" : "", "parse-names" : false, "suffix" : "" }, { "dropping-particle" : "", "family" : "Camburn", "given" : "Devaney", "non-dropping-particle" : "", "parse-names" : false, "suffix" : "" }, { "dropping-particle" : "", "family" : "Kubrak", "given" : "Christina", "non-dropping-particle" : "", "parse-names" : false, "suffix" : "" }, { "dropping-particle" : "", "family" : "Peleckis", "given" : "Amy", "non-dropping-particle" : "", "parse-names" : false, "suffix" : "" }, { "dropping-particle" : "", "family" : "Stefanovski", "given" : "Darko", "non-dropping-particle" : "", "parse-names" : false, "suffix" : "" }, { "dropping-particle" : "", "family" : "Jadjiliadis", "given" : "Denis", "non-dropping-particle" : "", "parse-names" : false, "suffix" : "" }, { "dropping-particle" : "", "family" : "Rickels", "given" : "Michael", "non-dropping-particle" : "", "parse-names" : false, "suffix" : "" }, { "dropping-particle" : "", "family" : "Rubenstein", "given" : "Ronald", "non-dropping-particle" : "", "parse-names" : false, "suffix" : "" } ], "container-title" : "American Journal of Respiratory and Critical Care Medicine", "id" : "ITEM-2", "issue" : "215", "issued" : { "date-parts" : [ [ "2018" ] ] }, "page" : "1-42", "title" : "Islet Hormone and Incretin Secretion in Cystic Fibrosis Following 4-months of Ivacaftor Therapy", "type" : "article-journal" }, "uris" : [ "http://www.mendeley.com/documents/?uuid=907d5158-15f9-4cf1-b9be-b47677adcb65" ] }, { "id" : "ITEM-3", "itemData" : { "DOI" : "10.1016/j.jcf.2017.11.016", "ISSN" : "15691993", "PMID" : "29249670", "abstract" : "OBJECTIVE To investigate the effect of Lumacaftor/Ivacaftor on glucose metabolism and insulin secretion in patients with cystic fibrosis (CF) (Phe508del/Phe508del). METHODS A standard oral glucose tolerance test (OGTT) and an intravenous glucose tolerance test (IVGTT) were performed to investigate glucose metabolism and insulin secretion before and after 6-8weeks of treatment with Lumacaftor/Ivacaftor in 5 Phe508del-homozygous CF patients. The area under the curve (AUC) for glucose and insulin levels was calculated using the trapezoidal approximation. RESULTS 5 participants were investigated. Treatment with Lumacaftor/Ivacaftor was followed by an improvement of the 2h glucose levels in 3 patients and worsening in 2 patients. Analysis of the time course of blood glucose levels during OGTT revealed an increase of the AUC in 3 of 5 patients. In response to IVGTT, acute insulin secretion improved in 2 patients and worsened in 3. CONCLUSION The investigation could not demonstrate that treatment with Lumacaftor/Ivacaftor had a consistent impact on glucose tolerance and insulin secretion. Further adequately-powered studies examining glucose metabolism are needed to properly evaluate drug response in the endocrine pancreas and to test whether this treatment could eventually prevent the development of cystic fibrosis-related diabetes (CFRD).", "author" : [ { "dropping-particle" : "", "family" : "Thomassen", "given" : "Jan C.", "non-dropping-particle" : "", "parse-names" : false, "suffix" : "" }, { "dropping-particle" : "", "family" : "Mueller", "given" : "Matthias I.", "non-dropping-particle" : "", "parse-names" : false, "suffix" : "" }, { "dropping-particle" : "", "family" : "Alejandre Alcazar", "given" : "Miguel A.", "non-dropping-particle" : "", "parse-names" : false, "suffix" : "" }, { "dropping-particle" : "", "family" : "Rietschel", "given" : "Ernst", "non-dropping-particle" : "", "parse-names" : false, "suffix" : "" }, { "dropping-particle" : "", "family" : "Koningsbruggen-Rietschel", "given" : "Silke", "non-dropping-particle" : "van", "parse-names" : false, "suffix" : "" } ], "container-title" : "Journal of Cystic Fibrosis", "id" : "ITEM-3", "issue" : "2", "issued" : { "date-parts" : [ [ "2018" ] ] }, "page" : "271-275", "publisher" : "European Cystic Fibrosis Society.", "title" : "Effect of Lumacaftor/Ivacaftor on glucose metabolism and insulin secretion in Phe508del homozygous cystic fibrosis patients", "type" : "article-journal", "volume" : "17" }, "uris" : [ "http://www.mendeley.com/documents/?uuid=4ff6f95e-f7c7-4e62-abb7-1ba1ba0ae8f5" ] }, { "id" : "ITEM-4", "itemData" : { "DOI" : "10.1016/j.jcf.2018.07.010", "ISSN" : "18735010", "PMID" : "30104123", "abstract" : "Background: The effects of lumacaftor-ivacaftor therapy on glycemia have not been thoroughly investigated. Continuous glucose monitoring (CGM) provides detailed information about glycemic patterns and detects glucose abnormalities earlier than traditional screening tools for diabetes. Methods: CGM measures, HbA1c, and oral glucose tolerance test (OGTT) results were collected and within-subject results compared in F508del homozygous youth with CF before and after initiation of lumacaftor-ivacaftor using the Wilcoxon signed-rank test. Results: Nine youth with CF (6 males, median age 12.7 years) were enrolled. CGM was performed in all participants before (median 26 weeks) and after lumacaftor-ivacaftor (median 29 weeks). HbA1c and fasting plasma glucose increased (p = .02) after lumacaftor-ivacaftor initiation. No changes in OGTT 1 h or 2 h glucose nor CGM measures were observed overall. When analyzed by sex, males showed lower glycemic variability, as reflected by the mean amplitude of glycemic excursions, on the post-treatment CGM. Conclusions: Glycemic abnormalities persisted in CF patients treated with lumacaftor-ivacaftor, although sex-dependent differences in glycemic response to treatment may exist.", "author" : [ { "dropping-particle" : "", "family" : "Li", "given" : "Angel", "non-dropping-particle" : "", "parse-names" : false, "suffix" : "" }, { "dropping-particle" : "", "family" : "Vigers", "given" : "Tim", "non-dropping-particle" : "", "parse-names" : false, "suffix" : "" }, { "dropping-particle" : "", "family" : "Pyle", "given" : "Laura", "non-dropping-particle" : "", "parse-names" : false, "suffix" : "" }, { "dropping-particle" : "", "family" : "Zemanick", "given" : "Edith", "non-dropping-particle" : "", "parse-names" : false, "suffix" : "" }, { "dropping-particle" : "", "family" : "Nadeau", "given" : "Kristen", "non-dropping-particle" : "", "parse-names" : false, "suffix" : "" }, { "dropping-particle" : "", "family" : "Sagel", "given" : "Scott D", "non-dropping-particle" : "", "parse-names" : false, "suffix" : "" }, { "dropping-particle" : "", "family" : "Chan", "given" : "Christine L", "non-dropping-particle" : "", "parse-names" : false, "suffix" : "" } ], "container-title" : "Journal of Cystic Fibrosis", "id" : "ITEM-4", "issue" : "1", "issued" : { "date-parts" : [ [ "2019" ] ] }, "note" : "Methods:\n- 9 youth with CF\n- median age 12.7yrs\n- OGTT and CGM preformed before and after lumacaftgor-ivacaftor\n\nresults: \n- a1C and plasma glucose increased after orkambi\n- no change in OGTT 1h or 2h glucsoe nor CGM measures\n- males had lower MAGE on post-treatment CGM", "page" : "144-149", "publisher" : "European Cystic Fibrosis Society.", "title" : "Continuous glucose monitoring in youth with cystic fibrosis treated with lumacaftor-ivacaftor", "type" : "article-journal", "volume" : "18" }, "uris" : [ "http://www.mendeley.com/documents/?uuid=38dc0498-c0ba-4d5e-93a0-c37f641b8373" ] } ], "mendeley" : { "formattedCitation" : "&lt;sup&gt;[34\u201337]&lt;/sup&gt;", "plainTextFormattedCitation" : "[34\u201337]", "previouslyFormattedCitation" : "&lt;sup&gt;[34\u201337]&lt;/sup&gt;" }, "properties" : {  }, "schema" : "https://github.com/citation-style-language/schema/raw/master/csl-citation.json" }</w:instrText>
      </w:r>
      <w:r w:rsidR="00AA31B0" w:rsidRPr="003610D2">
        <w:rPr>
          <w:rFonts w:ascii="Book Antiqua" w:hAnsi="Book Antiqua" w:cs="Arial"/>
          <w:sz w:val="24"/>
          <w:szCs w:val="24"/>
        </w:rPr>
        <w:fldChar w:fldCharType="separate"/>
      </w:r>
      <w:r w:rsidR="00AA31B0" w:rsidRPr="003610D2">
        <w:rPr>
          <w:rFonts w:ascii="Book Antiqua" w:hAnsi="Book Antiqua" w:cs="Arial"/>
          <w:noProof/>
          <w:sz w:val="24"/>
          <w:szCs w:val="24"/>
          <w:vertAlign w:val="superscript"/>
        </w:rPr>
        <w:t>[34</w:t>
      </w:r>
      <w:r w:rsidR="005E0EBE">
        <w:rPr>
          <w:rFonts w:ascii="Book Antiqua" w:hAnsi="Book Antiqua" w:cs="Arial"/>
          <w:noProof/>
          <w:sz w:val="24"/>
          <w:szCs w:val="24"/>
          <w:vertAlign w:val="superscript"/>
        </w:rPr>
        <w:t>-</w:t>
      </w:r>
      <w:r w:rsidR="00AA31B0" w:rsidRPr="003610D2">
        <w:rPr>
          <w:rFonts w:ascii="Book Antiqua" w:hAnsi="Book Antiqua" w:cs="Arial"/>
          <w:noProof/>
          <w:sz w:val="24"/>
          <w:szCs w:val="24"/>
          <w:vertAlign w:val="superscript"/>
        </w:rPr>
        <w:t>37]</w:t>
      </w:r>
      <w:r w:rsidR="00AA31B0" w:rsidRPr="003610D2">
        <w:rPr>
          <w:rFonts w:ascii="Book Antiqua" w:hAnsi="Book Antiqua" w:cs="Arial"/>
          <w:sz w:val="24"/>
          <w:szCs w:val="24"/>
        </w:rPr>
        <w:fldChar w:fldCharType="end"/>
      </w:r>
      <w:r w:rsidR="00BC7571" w:rsidRPr="003610D2">
        <w:rPr>
          <w:rFonts w:ascii="Book Antiqua" w:hAnsi="Book Antiqua" w:cs="Arial"/>
          <w:sz w:val="24"/>
          <w:szCs w:val="24"/>
        </w:rPr>
        <w:t>.</w:t>
      </w:r>
      <w:r w:rsidRPr="003610D2">
        <w:rPr>
          <w:rFonts w:ascii="Book Antiqua" w:hAnsi="Book Antiqua" w:cs="Arial"/>
          <w:sz w:val="24"/>
          <w:szCs w:val="24"/>
        </w:rPr>
        <w:t xml:space="preserve"> No studies have</w:t>
      </w:r>
      <w:r w:rsidR="00F55676" w:rsidRPr="003610D2">
        <w:rPr>
          <w:rFonts w:ascii="Book Antiqua" w:hAnsi="Book Antiqua" w:cs="Arial"/>
          <w:sz w:val="24"/>
          <w:szCs w:val="24"/>
        </w:rPr>
        <w:t xml:space="preserve"> systematically</w:t>
      </w:r>
      <w:r w:rsidRPr="003610D2">
        <w:rPr>
          <w:rFonts w:ascii="Book Antiqua" w:hAnsi="Book Antiqua" w:cs="Arial"/>
          <w:sz w:val="24"/>
          <w:szCs w:val="24"/>
        </w:rPr>
        <w:t xml:space="preserve"> examined the imp</w:t>
      </w:r>
      <w:r w:rsidR="00A0489C" w:rsidRPr="003610D2">
        <w:rPr>
          <w:rFonts w:ascii="Book Antiqua" w:hAnsi="Book Antiqua" w:cs="Arial"/>
          <w:sz w:val="24"/>
          <w:szCs w:val="24"/>
        </w:rPr>
        <w:t>act of CFTR modulator therapy on</w:t>
      </w:r>
      <w:r w:rsidR="00094D58" w:rsidRPr="003610D2">
        <w:rPr>
          <w:rFonts w:ascii="Book Antiqua" w:hAnsi="Book Antiqua" w:cs="Arial"/>
          <w:sz w:val="24"/>
          <w:szCs w:val="24"/>
        </w:rPr>
        <w:t xml:space="preserve"> hepatic steatosis or other</w:t>
      </w:r>
      <w:r w:rsidRPr="003610D2">
        <w:rPr>
          <w:rFonts w:ascii="Book Antiqua" w:hAnsi="Book Antiqua" w:cs="Arial"/>
          <w:sz w:val="24"/>
          <w:szCs w:val="24"/>
        </w:rPr>
        <w:t xml:space="preserve"> li</w:t>
      </w:r>
      <w:r w:rsidR="00F354E1" w:rsidRPr="003610D2">
        <w:rPr>
          <w:rFonts w:ascii="Book Antiqua" w:hAnsi="Book Antiqua" w:cs="Arial"/>
          <w:sz w:val="24"/>
          <w:szCs w:val="24"/>
        </w:rPr>
        <w:t>ver disease</w:t>
      </w:r>
      <w:r w:rsidR="00445AA9" w:rsidRPr="003610D2">
        <w:rPr>
          <w:rFonts w:ascii="Book Antiqua" w:hAnsi="Book Antiqua" w:cs="Arial"/>
          <w:sz w:val="24"/>
          <w:szCs w:val="24"/>
        </w:rPr>
        <w:t xml:space="preserve"> in patients with CF</w:t>
      </w:r>
      <w:r w:rsidR="00F354E1" w:rsidRPr="003610D2">
        <w:rPr>
          <w:rFonts w:ascii="Book Antiqua" w:hAnsi="Book Antiqua" w:cs="Arial"/>
          <w:sz w:val="24"/>
          <w:szCs w:val="24"/>
        </w:rPr>
        <w:t>.</w:t>
      </w:r>
      <w:r w:rsidR="004B0AD1" w:rsidRPr="003610D2">
        <w:rPr>
          <w:rFonts w:ascii="Book Antiqua" w:hAnsi="Book Antiqua" w:cs="Arial"/>
          <w:sz w:val="24"/>
          <w:szCs w:val="24"/>
        </w:rPr>
        <w:t xml:space="preserve"> </w:t>
      </w:r>
      <w:r w:rsidR="00CA540A" w:rsidRPr="003610D2">
        <w:rPr>
          <w:rFonts w:ascii="Book Antiqua" w:hAnsi="Book Antiqua" w:cs="Arial"/>
          <w:sz w:val="24"/>
          <w:szCs w:val="24"/>
        </w:rPr>
        <w:t>Thus, w</w:t>
      </w:r>
      <w:r w:rsidR="00094D58" w:rsidRPr="003610D2">
        <w:rPr>
          <w:rFonts w:ascii="Book Antiqua" w:hAnsi="Book Antiqua" w:cs="Arial"/>
          <w:sz w:val="24"/>
          <w:szCs w:val="24"/>
        </w:rPr>
        <w:t xml:space="preserve">e sought to determine </w:t>
      </w:r>
      <w:r w:rsidR="00977639" w:rsidRPr="003610D2">
        <w:rPr>
          <w:rFonts w:ascii="Book Antiqua" w:hAnsi="Book Antiqua" w:cs="Arial"/>
          <w:sz w:val="24"/>
          <w:szCs w:val="24"/>
        </w:rPr>
        <w:t xml:space="preserve">the impact of CFRD on hepatic steatosis in </w:t>
      </w:r>
      <w:r w:rsidR="00CA540A" w:rsidRPr="003610D2">
        <w:rPr>
          <w:rFonts w:ascii="Book Antiqua" w:hAnsi="Book Antiqua" w:cs="Arial"/>
          <w:sz w:val="24"/>
          <w:szCs w:val="24"/>
        </w:rPr>
        <w:t>CF</w:t>
      </w:r>
      <w:r w:rsidR="00977639" w:rsidRPr="003610D2">
        <w:rPr>
          <w:rFonts w:ascii="Book Antiqua" w:hAnsi="Book Antiqua" w:cs="Arial"/>
          <w:sz w:val="24"/>
          <w:szCs w:val="24"/>
        </w:rPr>
        <w:t xml:space="preserve"> patients and </w:t>
      </w:r>
      <w:r w:rsidR="000258A8" w:rsidRPr="003610D2">
        <w:rPr>
          <w:rFonts w:ascii="Book Antiqua" w:hAnsi="Book Antiqua" w:cs="Arial"/>
          <w:sz w:val="24"/>
          <w:szCs w:val="24"/>
        </w:rPr>
        <w:t xml:space="preserve">explore other </w:t>
      </w:r>
      <w:r w:rsidR="002E5937" w:rsidRPr="003610D2">
        <w:rPr>
          <w:rFonts w:ascii="Book Antiqua" w:hAnsi="Book Antiqua" w:cs="Arial"/>
          <w:sz w:val="24"/>
          <w:szCs w:val="24"/>
        </w:rPr>
        <w:t xml:space="preserve">factors associated with </w:t>
      </w:r>
      <w:r w:rsidR="000258A8" w:rsidRPr="003610D2">
        <w:rPr>
          <w:rFonts w:ascii="Book Antiqua" w:hAnsi="Book Antiqua" w:cs="Arial"/>
          <w:sz w:val="24"/>
          <w:szCs w:val="24"/>
        </w:rPr>
        <w:t>elevated hepatic</w:t>
      </w:r>
      <w:r w:rsidR="00977639" w:rsidRPr="003610D2">
        <w:rPr>
          <w:rFonts w:ascii="Book Antiqua" w:hAnsi="Book Antiqua" w:cs="Arial"/>
          <w:sz w:val="24"/>
          <w:szCs w:val="24"/>
        </w:rPr>
        <w:t xml:space="preserve"> fat</w:t>
      </w:r>
      <w:r w:rsidR="002E5937" w:rsidRPr="003610D2">
        <w:rPr>
          <w:rFonts w:ascii="Book Antiqua" w:hAnsi="Book Antiqua" w:cs="Arial"/>
          <w:sz w:val="24"/>
          <w:szCs w:val="24"/>
        </w:rPr>
        <w:t>, including CFTR modulator use.</w:t>
      </w:r>
    </w:p>
    <w:p w14:paraId="1DEFC622" w14:textId="77777777" w:rsidR="00AA31B0" w:rsidRPr="003610D2" w:rsidRDefault="00AA31B0" w:rsidP="00AA31B0">
      <w:pPr>
        <w:adjustRightInd w:val="0"/>
        <w:snapToGrid w:val="0"/>
        <w:spacing w:after="0" w:line="360" w:lineRule="auto"/>
        <w:ind w:firstLineChars="100" w:firstLine="240"/>
        <w:jc w:val="both"/>
        <w:rPr>
          <w:rFonts w:ascii="Book Antiqua" w:hAnsi="Book Antiqua" w:cs="Arial"/>
          <w:sz w:val="24"/>
          <w:szCs w:val="24"/>
        </w:rPr>
      </w:pPr>
    </w:p>
    <w:p w14:paraId="765D2C7F" w14:textId="00863F71" w:rsidR="0015572F" w:rsidRPr="003610D2" w:rsidRDefault="00977D22"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MATERIALS AND METHODS</w:t>
      </w:r>
    </w:p>
    <w:p w14:paraId="28B13D43" w14:textId="569FFB64" w:rsidR="00BF1368" w:rsidRPr="003610D2" w:rsidRDefault="00BF1368"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t xml:space="preserve">Patient </w:t>
      </w:r>
      <w:r w:rsidR="00AA31B0" w:rsidRPr="003610D2">
        <w:rPr>
          <w:rFonts w:ascii="Book Antiqua" w:hAnsi="Book Antiqua"/>
          <w:b/>
          <w:i/>
          <w:sz w:val="24"/>
          <w:szCs w:val="24"/>
        </w:rPr>
        <w:t>c</w:t>
      </w:r>
      <w:r w:rsidRPr="003610D2">
        <w:rPr>
          <w:rFonts w:ascii="Book Antiqua" w:hAnsi="Book Antiqua"/>
          <w:b/>
          <w:i/>
          <w:sz w:val="24"/>
          <w:szCs w:val="24"/>
        </w:rPr>
        <w:t>haracteristics</w:t>
      </w:r>
    </w:p>
    <w:p w14:paraId="759F12AA" w14:textId="60DC091F" w:rsidR="00CA540A" w:rsidRPr="003610D2" w:rsidRDefault="00D41474"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All studies were conducted according to the approved Institutional Review Board protocols at University Hospitals Cleveland Medical Center</w:t>
      </w:r>
      <w:r w:rsidR="005D0D0D" w:rsidRPr="003610D2">
        <w:rPr>
          <w:rFonts w:ascii="Book Antiqua" w:hAnsi="Book Antiqua"/>
          <w:sz w:val="24"/>
          <w:szCs w:val="24"/>
        </w:rPr>
        <w:t xml:space="preserve"> between January 1 and December 31, 2017</w:t>
      </w:r>
      <w:r w:rsidRPr="003610D2">
        <w:rPr>
          <w:rFonts w:ascii="Book Antiqua" w:hAnsi="Book Antiqua"/>
          <w:sz w:val="24"/>
          <w:szCs w:val="24"/>
        </w:rPr>
        <w:t xml:space="preserve">. </w:t>
      </w:r>
      <w:r w:rsidR="001043B6" w:rsidRPr="003610D2">
        <w:rPr>
          <w:rFonts w:ascii="Book Antiqua" w:hAnsi="Book Antiqua"/>
          <w:sz w:val="24"/>
          <w:szCs w:val="24"/>
        </w:rPr>
        <w:t>Thirty</w:t>
      </w:r>
      <w:r w:rsidR="002C332D" w:rsidRPr="003610D2">
        <w:rPr>
          <w:rFonts w:ascii="Book Antiqua" w:hAnsi="Book Antiqua"/>
          <w:sz w:val="24"/>
          <w:szCs w:val="24"/>
        </w:rPr>
        <w:t xml:space="preserve"> subjects with </w:t>
      </w:r>
      <w:r w:rsidR="00B97C31" w:rsidRPr="003610D2">
        <w:rPr>
          <w:rFonts w:ascii="Book Antiqua" w:hAnsi="Book Antiqua"/>
          <w:sz w:val="24"/>
          <w:szCs w:val="24"/>
        </w:rPr>
        <w:t xml:space="preserve">CF </w:t>
      </w:r>
      <w:r w:rsidR="001043B6" w:rsidRPr="003610D2">
        <w:rPr>
          <w:rFonts w:ascii="Book Antiqua" w:hAnsi="Book Antiqua"/>
          <w:sz w:val="24"/>
          <w:szCs w:val="24"/>
        </w:rPr>
        <w:t>were recruited</w:t>
      </w:r>
      <w:r w:rsidR="002C332D" w:rsidRPr="003610D2">
        <w:rPr>
          <w:rFonts w:ascii="Book Antiqua" w:hAnsi="Book Antiqua"/>
          <w:sz w:val="24"/>
          <w:szCs w:val="24"/>
        </w:rPr>
        <w:t xml:space="preserve"> </w:t>
      </w:r>
      <w:r w:rsidR="005B0A03" w:rsidRPr="003610D2">
        <w:rPr>
          <w:rFonts w:ascii="Book Antiqua" w:hAnsi="Book Antiqua"/>
          <w:sz w:val="24"/>
          <w:szCs w:val="24"/>
        </w:rPr>
        <w:t xml:space="preserve">from the LeRoy W. Matthews </w:t>
      </w:r>
      <w:r w:rsidR="005B0A03" w:rsidRPr="003610D2">
        <w:rPr>
          <w:rFonts w:ascii="Book Antiqua" w:hAnsi="Book Antiqua"/>
          <w:sz w:val="24"/>
          <w:szCs w:val="24"/>
        </w:rPr>
        <w:lastRenderedPageBreak/>
        <w:t>C</w:t>
      </w:r>
      <w:r w:rsidR="006D4BD1" w:rsidRPr="003610D2">
        <w:rPr>
          <w:rFonts w:ascii="Book Antiqua" w:hAnsi="Book Antiqua"/>
          <w:sz w:val="24"/>
          <w:szCs w:val="24"/>
        </w:rPr>
        <w:t>ystic Fibrosis Center at University Hospitals Cleveland Medical Center</w:t>
      </w:r>
      <w:r w:rsidRPr="003610D2">
        <w:rPr>
          <w:rFonts w:ascii="Book Antiqua" w:hAnsi="Book Antiqua"/>
          <w:sz w:val="24"/>
          <w:szCs w:val="24"/>
        </w:rPr>
        <w:t>/ Rainbow Babies and Children’s Hospital</w:t>
      </w:r>
      <w:r w:rsidR="006D4BD1" w:rsidRPr="003610D2">
        <w:rPr>
          <w:rFonts w:ascii="Book Antiqua" w:hAnsi="Book Antiqua"/>
          <w:sz w:val="24"/>
          <w:szCs w:val="24"/>
        </w:rPr>
        <w:t xml:space="preserve"> in Cleveland, O</w:t>
      </w:r>
      <w:r w:rsidR="00AA31B0" w:rsidRPr="003610D2">
        <w:rPr>
          <w:rFonts w:ascii="Book Antiqua" w:hAnsi="Book Antiqua"/>
          <w:sz w:val="24"/>
          <w:szCs w:val="24"/>
        </w:rPr>
        <w:t>H, United States (Table 1 and Supplemental Table 1)</w:t>
      </w:r>
      <w:r w:rsidR="009A5989" w:rsidRPr="003610D2">
        <w:rPr>
          <w:rFonts w:ascii="Book Antiqua" w:hAnsi="Book Antiqua"/>
          <w:sz w:val="24"/>
          <w:szCs w:val="24"/>
        </w:rPr>
        <w:t>.</w:t>
      </w:r>
      <w:r w:rsidR="002C332D" w:rsidRPr="003610D2">
        <w:rPr>
          <w:rFonts w:ascii="Book Antiqua" w:hAnsi="Book Antiqua"/>
          <w:sz w:val="24"/>
          <w:szCs w:val="24"/>
        </w:rPr>
        <w:t xml:space="preserve"> Eligible subjects were identified using the l</w:t>
      </w:r>
      <w:r w:rsidR="009A5989" w:rsidRPr="003610D2">
        <w:rPr>
          <w:rFonts w:ascii="Book Antiqua" w:hAnsi="Book Antiqua"/>
          <w:sz w:val="24"/>
          <w:szCs w:val="24"/>
        </w:rPr>
        <w:t xml:space="preserve">ocal </w:t>
      </w:r>
      <w:r w:rsidRPr="003610D2">
        <w:rPr>
          <w:rFonts w:ascii="Book Antiqua" w:hAnsi="Book Antiqua"/>
          <w:sz w:val="24"/>
          <w:szCs w:val="24"/>
        </w:rPr>
        <w:t>CF</w:t>
      </w:r>
      <w:r w:rsidR="009A5989" w:rsidRPr="003610D2">
        <w:rPr>
          <w:rFonts w:ascii="Book Antiqua" w:hAnsi="Book Antiqua"/>
          <w:sz w:val="24"/>
          <w:szCs w:val="24"/>
        </w:rPr>
        <w:t xml:space="preserve"> database and </w:t>
      </w:r>
      <w:r w:rsidR="002C332D" w:rsidRPr="003610D2">
        <w:rPr>
          <w:rFonts w:ascii="Book Antiqua" w:hAnsi="Book Antiqua"/>
          <w:sz w:val="24"/>
          <w:szCs w:val="24"/>
        </w:rPr>
        <w:t xml:space="preserve">were approached for study involvement during routine clinic visits or during hospitalization for </w:t>
      </w:r>
      <w:r w:rsidR="001043B6" w:rsidRPr="003610D2">
        <w:rPr>
          <w:rFonts w:ascii="Book Antiqua" w:hAnsi="Book Antiqua"/>
          <w:sz w:val="24"/>
          <w:szCs w:val="24"/>
        </w:rPr>
        <w:t xml:space="preserve">a </w:t>
      </w:r>
      <w:r w:rsidR="002C332D" w:rsidRPr="003610D2">
        <w:rPr>
          <w:rFonts w:ascii="Book Antiqua" w:hAnsi="Book Antiqua"/>
          <w:sz w:val="24"/>
          <w:szCs w:val="24"/>
        </w:rPr>
        <w:t xml:space="preserve">CF pulmonary </w:t>
      </w:r>
      <w:r w:rsidR="00A52121" w:rsidRPr="003610D2">
        <w:rPr>
          <w:rFonts w:ascii="Book Antiqua" w:hAnsi="Book Antiqua"/>
          <w:sz w:val="24"/>
          <w:szCs w:val="24"/>
        </w:rPr>
        <w:t>exacerbatio</w:t>
      </w:r>
      <w:r w:rsidR="005D0D0D" w:rsidRPr="003610D2">
        <w:rPr>
          <w:rFonts w:ascii="Book Antiqua" w:hAnsi="Book Antiqua"/>
          <w:sz w:val="24"/>
          <w:szCs w:val="24"/>
        </w:rPr>
        <w:t xml:space="preserve">n. </w:t>
      </w:r>
      <w:r w:rsidR="00C62F59" w:rsidRPr="003610D2">
        <w:rPr>
          <w:rFonts w:ascii="Book Antiqua" w:hAnsi="Book Antiqua"/>
          <w:sz w:val="24"/>
          <w:szCs w:val="24"/>
        </w:rPr>
        <w:t>All subjects were diagnosed with cystic fibrosis based on sweat chloride and genetic testing according to established guidelines</w:t>
      </w:r>
      <w:r w:rsidR="00AA31B0" w:rsidRPr="003610D2">
        <w:rPr>
          <w:rFonts w:ascii="Book Antiqua" w:hAnsi="Book Antiqua"/>
          <w:sz w:val="24"/>
          <w:szCs w:val="24"/>
        </w:rPr>
        <w:fldChar w:fldCharType="begin" w:fldLock="1"/>
      </w:r>
      <w:r w:rsidR="00AA31B0" w:rsidRPr="003610D2">
        <w:rPr>
          <w:rFonts w:ascii="Book Antiqua" w:hAnsi="Book Antiqua"/>
          <w:sz w:val="24"/>
          <w:szCs w:val="24"/>
        </w:rPr>
        <w:instrText>ADDIN CSL_CITATION { "citationItems" : [ { "id" : "ITEM-1", "itemData" : { "DOI" : "10.1016/j.jpeds.2016.09.064", "ISSN" : "10976833", "PMID" : "28129811", "abstract" : "Objective Cystic fibrosis (CF), caused by mutations in the CF transmembrane conductance regulator (CFTR) gene, continues to present diagnostic challenges. Newborn screening and an evolving understanding of CF genetics have prompted a reconsideration of the diagnosis criteria. Study design To improve diagnosis and achieve standardized definitions worldwide, the CF Foundation convened a committee of 32 experts in CF diagnosis from 9 countries to develop clear and actionable consensus guidelines on the diagnosis of CF and to clarify diagnostic criteria and terminology for other disorders associated with CFTR mutations. An a priori threshold of \u226580% affirmative votes was required for acceptance of each recommendation statement. Results After reviewing relevant literature, the committee convened to review evidence and cases. Following the conference, consensus statements were developed by an executive subcommittee. The entire consensus committee voted and approved 27 of 28 statements, 7 of which needed revisions and a second round of voting. Conclusions It is recommended that diagnoses associated with CFTR mutations in all individuals, from newborn to adult, be established by evaluation of CFTR function with a sweat chloride test. The latest mutation classifications annotated in the Clinical and Functional Translation of CFTR project (http://www.cftr2.org/index.php) should be used to aid in diagnosis. Newborns with a high immunoreactive trypsinogen level and inconclusive CFTR functional and genetic testing may be designated CFTR-related metabolic syndrome or CF screen positive, inconclusive diagnosis; these terms are now merged and equivalent, and CFTR-related metabolic syndrome/CF screen positive, inconclusive diagnosis may be used. International Statistical Classification of Diseases and Related Health Problems, 10th Revision codes for use in diagnoses associated with CFTR mutations are included.", "author" : [ { "dropping-particle" : "", "family" : "Farrell", "given" : "Philip M.", "non-dropping-particle" : "", "parse-names" : false, "suffix" : "" }, { "dropping-particle" : "", "family" : "White", "given" : "Terry B.", "non-dropping-particle" : "", "parse-names" : false, "suffix" : "" }, { "dropping-particle" : "", "family" : "Ren", "given" : "Clement L.", "non-dropping-particle" : "", "parse-names" : false, "suffix" : "" }, { "dropping-particle" : "", "family" : "Hempstead", "given" : "Sarah E.", "non-dropping-particle" : "", "parse-names" : false, "suffix" : "" }, { "dropping-particle" : "", "family" : "Accurso", "given" : "Frank", "non-dropping-particle" : "", "parse-names" : false, "suffix" : "" }, { "dropping-particle" : "", "family" : "Derichs", "given" : "Nico", "non-dropping-particle" : "", "parse-names" : false, "suffix" : "" }, { "dropping-particle" : "", "family" : "Howenstine", "given" : "Michelle", "non-dropping-particle" : "", "parse-names" : false, "suffix" : "" }, { "dropping-particle" : "", "family" : "McColley", "given" : "Susanna A.", "non-dropping-particle" : "", "parse-names" : false, "suffix" : "" }, { "dropping-particle" : "", "family" : "Rock", "given" : "Michael", "non-dropping-particle" : "", "parse-names" : false, "suffix" : "" }, { "dropping-particle" : "", "family" : "Rosenfeld", "given" : "Margaret", "non-dropping-particle" : "", "parse-names" : false, "suffix" : "" }, { "dropping-particle" : "", "family" : "Sermet-Gaudelus", "given" : "Isabelle", "non-dropping-particle" : "", "parse-names" : false, "suffix" : "" }, { "dropping-particle" : "", "family" : "Southern", "given" : "Kevin W.", "non-dropping-particle" : "", "parse-names" : false, "suffix" : "" }, { "dropping-particle" : "", "family" : "Marshall", "given" : "Bruce C.", "non-dropping-particle" : "", "parse-names" : false, "suffix" : "" }, { "dropping-particle" : "", "family" : "Sosnay", "given" : "Patrick R.", "non-dropping-particle" : "", "parse-names" : false, "suffix" : "" } ], "container-title" : "Journal of Pediatrics", "id" : "ITEM-1", "issued" : { "date-parts" : [ [ "2017" ] ] }, "page" : "S4-S15.e1", "publisher" : "Elsevier Inc.", "title" : "Diagnosis of Cystic Fibrosis: Consensus Guidelines from the Cystic Fibrosis Foundation", "type" : "article-journal", "volume" : "181" }, "uris" : [ "http://www.mendeley.com/documents/?uuid=f80f8738-9c8c-48fc-82ff-c8a2762abf44" ] } ], "mendeley" : { "formattedCitation" : "&lt;sup&gt;[38]&lt;/sup&gt;", "plainTextFormattedCitation" : "[38]", "previouslyFormattedCitation" : "&lt;sup&gt;[38]&lt;/sup&gt;" }, "properties" : {  }, "schema" : "https://github.com/citation-style-language/schema/raw/master/csl-citation.json" }</w:instrText>
      </w:r>
      <w:r w:rsidR="00AA31B0" w:rsidRPr="003610D2">
        <w:rPr>
          <w:rFonts w:ascii="Book Antiqua" w:hAnsi="Book Antiqua"/>
          <w:sz w:val="24"/>
          <w:szCs w:val="24"/>
        </w:rPr>
        <w:fldChar w:fldCharType="separate"/>
      </w:r>
      <w:r w:rsidR="00AA31B0" w:rsidRPr="003610D2">
        <w:rPr>
          <w:rFonts w:ascii="Book Antiqua" w:hAnsi="Book Antiqua"/>
          <w:noProof/>
          <w:sz w:val="24"/>
          <w:szCs w:val="24"/>
          <w:vertAlign w:val="superscript"/>
        </w:rPr>
        <w:t>[38]</w:t>
      </w:r>
      <w:r w:rsidR="00AA31B0" w:rsidRPr="003610D2">
        <w:rPr>
          <w:rFonts w:ascii="Book Antiqua" w:hAnsi="Book Antiqua"/>
          <w:sz w:val="24"/>
          <w:szCs w:val="24"/>
        </w:rPr>
        <w:fldChar w:fldCharType="end"/>
      </w:r>
      <w:r w:rsidR="00C62F59" w:rsidRPr="003610D2">
        <w:rPr>
          <w:rFonts w:ascii="Book Antiqua" w:hAnsi="Book Antiqua"/>
          <w:sz w:val="24"/>
          <w:szCs w:val="24"/>
        </w:rPr>
        <w:t xml:space="preserve">. </w:t>
      </w:r>
      <w:r w:rsidR="00A52121" w:rsidRPr="003610D2">
        <w:rPr>
          <w:rFonts w:ascii="Book Antiqua" w:hAnsi="Book Antiqua"/>
          <w:sz w:val="24"/>
          <w:szCs w:val="24"/>
        </w:rPr>
        <w:t xml:space="preserve">Electronic medical records </w:t>
      </w:r>
      <w:r w:rsidR="002C332D" w:rsidRPr="003610D2">
        <w:rPr>
          <w:rFonts w:ascii="Book Antiqua" w:hAnsi="Book Antiqua"/>
          <w:sz w:val="24"/>
          <w:szCs w:val="24"/>
        </w:rPr>
        <w:t>were reviewed to confir</w:t>
      </w:r>
      <w:r w:rsidR="00977639" w:rsidRPr="003610D2">
        <w:rPr>
          <w:rFonts w:ascii="Book Antiqua" w:hAnsi="Book Antiqua"/>
          <w:sz w:val="24"/>
          <w:szCs w:val="24"/>
        </w:rPr>
        <w:t>m eligibility.</w:t>
      </w:r>
      <w:r w:rsidR="002C332D" w:rsidRPr="003610D2">
        <w:rPr>
          <w:rFonts w:ascii="Book Antiqua" w:hAnsi="Book Antiqua"/>
          <w:sz w:val="24"/>
          <w:szCs w:val="24"/>
        </w:rPr>
        <w:t xml:space="preserve"> </w:t>
      </w:r>
      <w:r w:rsidR="006D4BD1" w:rsidRPr="003610D2">
        <w:rPr>
          <w:rFonts w:ascii="Book Antiqua" w:hAnsi="Book Antiqua"/>
          <w:sz w:val="24"/>
          <w:szCs w:val="24"/>
        </w:rPr>
        <w:t xml:space="preserve">Inclusion criteria were age 10-40 years, </w:t>
      </w:r>
      <w:r w:rsidR="002C332D" w:rsidRPr="003610D2">
        <w:rPr>
          <w:rFonts w:ascii="Book Antiqua" w:hAnsi="Book Antiqua"/>
          <w:sz w:val="24"/>
          <w:szCs w:val="24"/>
        </w:rPr>
        <w:t>pancreatic insufficiency</w:t>
      </w:r>
      <w:r w:rsidR="009A5989" w:rsidRPr="003610D2">
        <w:rPr>
          <w:rFonts w:ascii="Book Antiqua" w:hAnsi="Book Antiqua"/>
          <w:sz w:val="24"/>
          <w:szCs w:val="24"/>
        </w:rPr>
        <w:t xml:space="preserve"> and either </w:t>
      </w:r>
      <w:bookmarkStart w:id="182" w:name="OLE_LINK665"/>
      <w:bookmarkStart w:id="183" w:name="OLE_LINK666"/>
      <w:r w:rsidR="009A5989" w:rsidRPr="003610D2">
        <w:rPr>
          <w:rFonts w:ascii="Book Antiqua" w:hAnsi="Book Antiqua"/>
          <w:sz w:val="24"/>
          <w:szCs w:val="24"/>
        </w:rPr>
        <w:t>normal glucose tolerance</w:t>
      </w:r>
      <w:bookmarkEnd w:id="182"/>
      <w:bookmarkEnd w:id="183"/>
      <w:r w:rsidR="009A5989" w:rsidRPr="003610D2">
        <w:rPr>
          <w:rFonts w:ascii="Book Antiqua" w:hAnsi="Book Antiqua"/>
          <w:sz w:val="24"/>
          <w:szCs w:val="24"/>
        </w:rPr>
        <w:t xml:space="preserve"> (NGT) or CFRD</w:t>
      </w:r>
      <w:r w:rsidR="00AA31B0" w:rsidRPr="003610D2">
        <w:rPr>
          <w:rFonts w:ascii="Book Antiqua" w:hAnsi="Book Antiqua"/>
          <w:sz w:val="24"/>
          <w:szCs w:val="24"/>
        </w:rPr>
        <w:fldChar w:fldCharType="begin" w:fldLock="1"/>
      </w:r>
      <w:r w:rsidR="00AA31B0" w:rsidRPr="003610D2">
        <w:rPr>
          <w:rFonts w:ascii="Book Antiqua" w:hAnsi="Book Antiqua"/>
          <w:sz w:val="24"/>
          <w:szCs w:val="24"/>
        </w:rPr>
        <w:instrText>ADDIN CSL_CITATION { "citationItems" : [ { "id" : "ITEM-1", "itemData" : { "DOI" : "10.2337/dc10-1768", "ISBN" : "1935-5548 (Electronic)\\r0149-5992 (Linking)", "ISSN" : "01495992", "PMID" : "21115772", "author" : [ { "dropping-particle" : "", "family" : "Moran", "given" : "Antoinette", "non-dropping-particle" : "", "parse-names" : false, "suffix" : "" }, { "dropping-particle" : "", "family" : "Brunzell", "given" : "Carol", "non-dropping-particle" : "", "parse-names" : false, "suffix" : "" }, { "dropping-particle" : "", "family" : "Cohen", "given" : "Richard C.", "non-dropping-particle" : "", "parse-names" : false, "suffix" : "" }, { "dropping-particle" : "", "family" : "Katz", "given" : "Marcia", "non-dropping-particle" : "", "parse-names" : false, "suffix" : "" }, { "dropping-particle" : "", "family" : "Marshall", "given" : "Bruce C.", "non-dropping-particle" : "", "parse-names" : false, "suffix" : "" }, { "dropping-particle" : "", "family" : "Onady", "given" : "Gary", "non-dropping-particle" : "", "parse-names" : false, "suffix" : "" }, { "dropping-particle" : "", "family" : "Robinson", "given" : "Karen A.", "non-dropping-particle" : "", "parse-names" : false, "suffix" : "" }, { "dropping-particle" : "", "family" : "Sabadosa", "given" : "Kathryn A.", "non-dropping-particle" : "", "parse-names" : false, "suffix" : "" }, { "dropping-particle" : "", "family" : "Stecenko", "given" : "Arlene", "non-dropping-particle" : "", "parse-names" : false, "suffix" : "" }, { "dropping-particle" : "", "family" : "Slovis", "given" : "Bonnie", "non-dropping-particle" : "", "parse-names" : false, "suffix" : "" }, { "dropping-particle" : "", "family" : "Alexander", "given" : "Paula", "non-dropping-particle" : "", "parse-names" : false, "suffix" : "" }, { "dropping-particle" : "", "family" : "Beall", "given" : "Robert J.", "non-dropping-particle" : "", "parse-names" : false, "suffix" : "" }, { "dropping-particle" : "", "family" : "Becker", "given" : "Dorothy", "non-dropping-particle" : "", "parse-names" : false, "suffix" : "" }, { "dropping-particle" : "", "family" : "Campbell", "given" : "Preston W.", "non-dropping-particle" : "", "parse-names" : false, "suffix" : "" }, { "dropping-particle" : "", "family" : "Casella", "given" : "Samuel J.", "non-dropping-particle" : "", "parse-names" : false, "suffix" : "" }, { "dropping-particle" : "", "family" : "Chin", "given" : "Melissa", "non-dropping-particle" : "", "parse-names" : false, "suffix" : "" }, { "dropping-particle" : "", "family" : "Brooks", "given" : "Joan Finnegan", "non-dropping-particle" : "", "parse-names" : false, "suffix" : "" }, { "dropping-particle" : "", "family" : "George", "given" : "Cynthia", "non-dropping-particle" : "", "parse-names" : false, "suffix" : "" }, { "dropping-particle" : "", "family" : "Gottlieb", "given" : "Peter A.", "non-dropping-particle" : "", "parse-names" : false, "suffix" : "" }, { "dropping-particle" : "", "family" : "Hazle", "given" : "Leslie", "non-dropping-particle" : "", "parse-names" : false, "suffix" : "" }, { "dropping-particle" : "", "family" : "Kirkman", "given" : "M. Sue", "non-dropping-particle" : "", "parse-names" : false, "suffix" : "" }, { "dropping-particle" : "", "family" : "McKeon", "given" : "Catherine", "non-dropping-particle" : "", "parse-names" : false, "suffix" : "" }, { "dropping-particle" : "", "family" : "Rodgers", "given" : "Theresa", "non-dropping-particle" : "", "parse-names" : false, "suffix" : "" }, { "dropping-particle" : "", "family" : "Schindler", "given" : "Terri", "non-dropping-particle" : "", "parse-names" : false, "suffix" : "" }, { "dropping-particle" : "", "family" : "Wood", "given" : "Mary E.", "non-dropping-particle" : "", "parse-names" : false, "suffix" : "" }, { "dropping-particle" : "", "family" : "Young", "given" : "David", "non-dropping-particle" : "", "parse-names" : false, "suffix" : "" } ], "container-title" : "Diabetes Care", "id" : "ITEM-1", "issue" : "12", "issued" : { "date-parts" : [ [ "2010" ] ] }, "page" : "2697-2708", "title" : "Clinical care guidelines for cystic fibrosis-related diabetes: A position statement of the American Diabetes Association and a clinical practice guideline of the Cystic Fibrosis Foundation, endorsed by the Pediatric Endocrine Society", "type" : "article-journal", "volume" : "33" }, "uris" : [ "http://www.mendeley.com/documents/?uuid=a733ee30-8172-42ed-8747-a7e512eb680d" ] } ], "mendeley" : { "formattedCitation" : "&lt;sup&gt;[39]&lt;/sup&gt;", "plainTextFormattedCitation" : "[39]", "previouslyFormattedCitation" : "&lt;sup&gt;[39]&lt;/sup&gt;" }, "properties" : {  }, "schema" : "https://github.com/citation-style-language/schema/raw/master/csl-citation.json" }</w:instrText>
      </w:r>
      <w:r w:rsidR="00AA31B0" w:rsidRPr="003610D2">
        <w:rPr>
          <w:rFonts w:ascii="Book Antiqua" w:hAnsi="Book Antiqua"/>
          <w:sz w:val="24"/>
          <w:szCs w:val="24"/>
        </w:rPr>
        <w:fldChar w:fldCharType="separate"/>
      </w:r>
      <w:r w:rsidR="00AA31B0" w:rsidRPr="003610D2">
        <w:rPr>
          <w:rFonts w:ascii="Book Antiqua" w:hAnsi="Book Antiqua"/>
          <w:noProof/>
          <w:sz w:val="24"/>
          <w:szCs w:val="24"/>
          <w:vertAlign w:val="superscript"/>
        </w:rPr>
        <w:t>[39]</w:t>
      </w:r>
      <w:r w:rsidR="00AA31B0" w:rsidRPr="003610D2">
        <w:rPr>
          <w:rFonts w:ascii="Book Antiqua" w:hAnsi="Book Antiqua"/>
          <w:sz w:val="24"/>
          <w:szCs w:val="24"/>
        </w:rPr>
        <w:fldChar w:fldCharType="end"/>
      </w:r>
      <w:r w:rsidR="00F647D3" w:rsidRPr="003610D2">
        <w:rPr>
          <w:rFonts w:ascii="Book Antiqua" w:hAnsi="Book Antiqua"/>
          <w:sz w:val="24"/>
          <w:szCs w:val="24"/>
        </w:rPr>
        <w:t xml:space="preserve">. </w:t>
      </w:r>
      <w:r w:rsidR="002C332D" w:rsidRPr="003610D2">
        <w:rPr>
          <w:rFonts w:ascii="Book Antiqua" w:hAnsi="Book Antiqua"/>
          <w:sz w:val="24"/>
          <w:szCs w:val="24"/>
        </w:rPr>
        <w:t>Pancrea</w:t>
      </w:r>
      <w:r w:rsidR="001043B6" w:rsidRPr="003610D2">
        <w:rPr>
          <w:rFonts w:ascii="Book Antiqua" w:hAnsi="Book Antiqua"/>
          <w:sz w:val="24"/>
          <w:szCs w:val="24"/>
        </w:rPr>
        <w:t xml:space="preserve">tic insufficiency was defined by a </w:t>
      </w:r>
      <w:r w:rsidR="002865AB" w:rsidRPr="003610D2">
        <w:rPr>
          <w:rFonts w:ascii="Book Antiqua" w:hAnsi="Book Antiqua"/>
          <w:sz w:val="24"/>
          <w:szCs w:val="24"/>
        </w:rPr>
        <w:t>clinical need for pancreatic enzyme replacement. No fecal elastase testing was performed as part of this study</w:t>
      </w:r>
      <w:r w:rsidR="002C332D" w:rsidRPr="003610D2">
        <w:rPr>
          <w:rFonts w:ascii="Book Antiqua" w:hAnsi="Book Antiqua"/>
          <w:sz w:val="24"/>
          <w:szCs w:val="24"/>
        </w:rPr>
        <w:t xml:space="preserve">. </w:t>
      </w:r>
      <w:r w:rsidR="009A5989" w:rsidRPr="003610D2">
        <w:rPr>
          <w:rFonts w:ascii="Book Antiqua" w:hAnsi="Book Antiqua"/>
          <w:sz w:val="24"/>
          <w:szCs w:val="24"/>
        </w:rPr>
        <w:t xml:space="preserve">Subjects with </w:t>
      </w:r>
      <w:r w:rsidR="00977639" w:rsidRPr="003610D2">
        <w:rPr>
          <w:rFonts w:ascii="Book Antiqua" w:hAnsi="Book Antiqua"/>
          <w:sz w:val="24"/>
          <w:szCs w:val="24"/>
        </w:rPr>
        <w:t xml:space="preserve">established </w:t>
      </w:r>
      <w:r w:rsidR="003A1FD4" w:rsidRPr="003610D2">
        <w:rPr>
          <w:rFonts w:ascii="Book Antiqua" w:hAnsi="Book Antiqua"/>
          <w:sz w:val="24"/>
          <w:szCs w:val="24"/>
        </w:rPr>
        <w:t>CF</w:t>
      </w:r>
      <w:r w:rsidRPr="003610D2">
        <w:rPr>
          <w:rFonts w:ascii="Book Antiqua" w:hAnsi="Book Antiqua"/>
          <w:sz w:val="24"/>
          <w:szCs w:val="24"/>
        </w:rPr>
        <w:t>LD</w:t>
      </w:r>
      <w:r w:rsidR="009A5989" w:rsidRPr="003610D2">
        <w:rPr>
          <w:rFonts w:ascii="Book Antiqua" w:hAnsi="Book Antiqua"/>
          <w:sz w:val="24"/>
          <w:szCs w:val="24"/>
        </w:rPr>
        <w:t xml:space="preserve">, persistent transaminase elevation for </w:t>
      </w:r>
      <w:r w:rsidR="00187276" w:rsidRPr="003610D2">
        <w:rPr>
          <w:rFonts w:ascii="Book Antiqua" w:hAnsi="Book Antiqua"/>
          <w:sz w:val="24"/>
          <w:szCs w:val="24"/>
        </w:rPr>
        <w:t>greater than</w:t>
      </w:r>
      <w:r w:rsidR="009A5989" w:rsidRPr="003610D2">
        <w:rPr>
          <w:rFonts w:ascii="Book Antiqua" w:hAnsi="Book Antiqua"/>
          <w:sz w:val="24"/>
          <w:szCs w:val="24"/>
        </w:rPr>
        <w:t xml:space="preserve"> </w:t>
      </w:r>
      <w:proofErr w:type="gramStart"/>
      <w:r w:rsidR="009A5989" w:rsidRPr="003610D2">
        <w:rPr>
          <w:rFonts w:ascii="Book Antiqua" w:hAnsi="Book Antiqua"/>
          <w:sz w:val="24"/>
          <w:szCs w:val="24"/>
        </w:rPr>
        <w:t>one year</w:t>
      </w:r>
      <w:proofErr w:type="gramEnd"/>
      <w:r w:rsidR="009A5989" w:rsidRPr="003610D2">
        <w:rPr>
          <w:rFonts w:ascii="Book Antiqua" w:hAnsi="Book Antiqua"/>
          <w:sz w:val="24"/>
          <w:szCs w:val="24"/>
        </w:rPr>
        <w:t xml:space="preserve">, </w:t>
      </w:r>
      <w:r w:rsidRPr="003610D2">
        <w:rPr>
          <w:rFonts w:ascii="Book Antiqua" w:hAnsi="Book Antiqua"/>
          <w:sz w:val="24"/>
          <w:szCs w:val="24"/>
        </w:rPr>
        <w:t>low baseline lung function (</w:t>
      </w:r>
      <w:r w:rsidRPr="003610D2">
        <w:rPr>
          <w:rFonts w:ascii="Book Antiqua" w:hAnsi="Book Antiqua"/>
          <w:i/>
          <w:iCs/>
          <w:sz w:val="24"/>
          <w:szCs w:val="24"/>
        </w:rPr>
        <w:t>i.e.</w:t>
      </w:r>
      <w:r w:rsidR="00AA31B0" w:rsidRPr="003610D2">
        <w:rPr>
          <w:rFonts w:ascii="Book Antiqua" w:hAnsi="Book Antiqua"/>
          <w:sz w:val="24"/>
          <w:szCs w:val="24"/>
        </w:rPr>
        <w:t>,</w:t>
      </w:r>
      <w:r w:rsidRPr="003610D2">
        <w:rPr>
          <w:rFonts w:ascii="Book Antiqua" w:hAnsi="Book Antiqua"/>
          <w:sz w:val="24"/>
          <w:szCs w:val="24"/>
        </w:rPr>
        <w:t xml:space="preserve"> FEV</w:t>
      </w:r>
      <w:r w:rsidRPr="003610D2">
        <w:rPr>
          <w:rFonts w:ascii="Book Antiqua" w:hAnsi="Book Antiqua"/>
          <w:sz w:val="24"/>
          <w:szCs w:val="24"/>
          <w:vertAlign w:val="subscript"/>
        </w:rPr>
        <w:t>1</w:t>
      </w:r>
      <w:r w:rsidRPr="003610D2">
        <w:rPr>
          <w:rFonts w:ascii="Book Antiqua" w:hAnsi="Book Antiqua"/>
          <w:sz w:val="24"/>
          <w:szCs w:val="24"/>
        </w:rPr>
        <w:t xml:space="preserve"> &lt;</w:t>
      </w:r>
      <w:r w:rsidR="00AA31B0" w:rsidRPr="003610D2">
        <w:rPr>
          <w:rFonts w:ascii="Book Antiqua" w:hAnsi="Book Antiqua"/>
          <w:sz w:val="24"/>
          <w:szCs w:val="24"/>
        </w:rPr>
        <w:t xml:space="preserve"> </w:t>
      </w:r>
      <w:r w:rsidRPr="003610D2">
        <w:rPr>
          <w:rFonts w:ascii="Book Antiqua" w:hAnsi="Book Antiqua"/>
          <w:sz w:val="24"/>
          <w:szCs w:val="24"/>
        </w:rPr>
        <w:t>30% predicted)</w:t>
      </w:r>
      <w:r w:rsidR="009A5989" w:rsidRPr="003610D2">
        <w:rPr>
          <w:rFonts w:ascii="Book Antiqua" w:hAnsi="Book Antiqua"/>
          <w:sz w:val="24"/>
          <w:szCs w:val="24"/>
        </w:rPr>
        <w:t xml:space="preserve"> or an </w:t>
      </w:r>
      <w:r w:rsidRPr="003610D2">
        <w:rPr>
          <w:rFonts w:ascii="Book Antiqua" w:hAnsi="Book Antiqua"/>
          <w:sz w:val="24"/>
          <w:szCs w:val="24"/>
        </w:rPr>
        <w:t>ongoing</w:t>
      </w:r>
      <w:r w:rsidR="009A5989" w:rsidRPr="003610D2">
        <w:rPr>
          <w:rFonts w:ascii="Book Antiqua" w:hAnsi="Book Antiqua"/>
          <w:sz w:val="24"/>
          <w:szCs w:val="24"/>
        </w:rPr>
        <w:t xml:space="preserve"> pulmonary exacerbation were excluded.</w:t>
      </w:r>
      <w:r w:rsidR="004B5DB6" w:rsidRPr="003610D2">
        <w:rPr>
          <w:rFonts w:ascii="Book Antiqua" w:hAnsi="Book Antiqua"/>
          <w:sz w:val="24"/>
          <w:szCs w:val="24"/>
        </w:rPr>
        <w:t xml:space="preserve"> Only subjects with two</w:t>
      </w:r>
      <w:r w:rsidR="007675B6" w:rsidRPr="003610D2">
        <w:rPr>
          <w:rFonts w:ascii="Book Antiqua" w:hAnsi="Book Antiqua"/>
          <w:sz w:val="24"/>
          <w:szCs w:val="24"/>
        </w:rPr>
        <w:t xml:space="preserve"> copies of a</w:t>
      </w:r>
      <w:r w:rsidR="004B5DB6" w:rsidRPr="003610D2">
        <w:rPr>
          <w:rFonts w:ascii="Book Antiqua" w:hAnsi="Book Antiqua"/>
          <w:sz w:val="24"/>
          <w:szCs w:val="24"/>
        </w:rPr>
        <w:t xml:space="preserve"> class 1-3 </w:t>
      </w:r>
      <w:r w:rsidR="007675B6" w:rsidRPr="003610D2">
        <w:rPr>
          <w:rFonts w:ascii="Book Antiqua" w:hAnsi="Book Antiqua"/>
          <w:sz w:val="24"/>
          <w:szCs w:val="24"/>
        </w:rPr>
        <w:t>pathogenic CFTR variant</w:t>
      </w:r>
      <w:r w:rsidR="004B5DB6" w:rsidRPr="003610D2">
        <w:rPr>
          <w:rFonts w:ascii="Book Antiqua" w:hAnsi="Book Antiqua"/>
          <w:sz w:val="24"/>
          <w:szCs w:val="24"/>
        </w:rPr>
        <w:t xml:space="preserve"> w</w:t>
      </w:r>
      <w:r w:rsidR="00C02E5D" w:rsidRPr="003610D2">
        <w:rPr>
          <w:rFonts w:ascii="Book Antiqua" w:hAnsi="Book Antiqua"/>
          <w:sz w:val="24"/>
          <w:szCs w:val="24"/>
        </w:rPr>
        <w:t>ere included in</w:t>
      </w:r>
      <w:r w:rsidR="0076175F" w:rsidRPr="003610D2">
        <w:rPr>
          <w:rFonts w:ascii="Book Antiqua" w:hAnsi="Book Antiqua"/>
          <w:sz w:val="24"/>
          <w:szCs w:val="24"/>
        </w:rPr>
        <w:t xml:space="preserve"> the</w:t>
      </w:r>
      <w:r w:rsidR="00C02E5D" w:rsidRPr="003610D2">
        <w:rPr>
          <w:rFonts w:ascii="Book Antiqua" w:hAnsi="Book Antiqua"/>
          <w:sz w:val="24"/>
          <w:szCs w:val="24"/>
        </w:rPr>
        <w:t xml:space="preserve"> final analysis.</w:t>
      </w:r>
      <w:r w:rsidRPr="003610D2">
        <w:rPr>
          <w:rFonts w:ascii="Book Antiqua" w:hAnsi="Book Antiqua"/>
          <w:sz w:val="24"/>
          <w:szCs w:val="24"/>
        </w:rPr>
        <w:t xml:space="preserve"> </w:t>
      </w:r>
      <w:r w:rsidR="00D56EE7" w:rsidRPr="003610D2">
        <w:rPr>
          <w:rFonts w:ascii="Book Antiqua" w:hAnsi="Book Antiqua"/>
          <w:sz w:val="24"/>
          <w:szCs w:val="24"/>
        </w:rPr>
        <w:t xml:space="preserve">CFTR variants were classified into classes 1-5 using </w:t>
      </w:r>
      <w:r w:rsidR="00EC5F06" w:rsidRPr="003610D2">
        <w:rPr>
          <w:rFonts w:ascii="Book Antiqua" w:hAnsi="Book Antiqua"/>
          <w:sz w:val="24"/>
          <w:szCs w:val="24"/>
        </w:rPr>
        <w:t>the CFTR 2 database</w:t>
      </w:r>
      <w:r w:rsidR="00D56EE7" w:rsidRPr="003610D2">
        <w:rPr>
          <w:rFonts w:ascii="Book Antiqua" w:hAnsi="Book Antiqua"/>
          <w:sz w:val="24"/>
          <w:szCs w:val="24"/>
        </w:rPr>
        <w:t xml:space="preserve"> and existing guidelines for functional classification</w:t>
      </w:r>
      <w:r w:rsidR="00AA31B0" w:rsidRPr="003610D2">
        <w:rPr>
          <w:rFonts w:ascii="Book Antiqua" w:hAnsi="Book Antiqua"/>
          <w:sz w:val="24"/>
          <w:szCs w:val="24"/>
        </w:rPr>
        <w:fldChar w:fldCharType="begin" w:fldLock="1"/>
      </w:r>
      <w:r w:rsidR="00AA31B0" w:rsidRPr="003610D2">
        <w:rPr>
          <w:rFonts w:ascii="Book Antiqua" w:hAnsi="Book Antiqua"/>
          <w:sz w:val="24"/>
          <w:szCs w:val="24"/>
        </w:rPr>
        <w:instrText>ADDIN CSL_CITATION { "citationItems" : [ { "id" : "ITEM-1", "itemData" : { "DOI" : "10.1016/j.jcf.2008.03.009", "PMID" : "18456578", "author" : [ { "dropping-particle" : "", "family" : "Castellani", "given" : "C", "non-dropping-particle" : "", "parse-names" : false, "suffix" : "" }, { "dropping-particle" : "", "family" : "Cuppens", "given" : "H", "non-dropping-particle" : "", "parse-names" : false, "suffix" : "" }, { "dropping-particle" : "", "family" : "Jr", "given" : "M Macek", "non-dropping-particle" : "", "parse-names" : false, "suffix" : "" }, { "dropping-particle" : "", "family" : "Cassiman", "given" : "JJ", "non-dropping-particle" : "", "parse-names" : false, "suffix" : "" }, { "dropping-particle" : "", "family" : "Kerem", "given" : "E", "non-dropping-particle" : "", "parse-names" : false, "suffix" : "" }, { "dropping-particle" : "", "family" : "Durie", "given" : "P", "non-dropping-particle" : "", "parse-names" : false, "suffix" : "" }, { "dropping-particle" : "", "family" : "Tullis", "given" : "E", "non-dropping-particle" : "", "parse-names" : false, "suffix" : "" }, { "dropping-particle" : "", "family" : "Assael", "given" : "BM", "non-dropping-particle" : "", "parse-names" : false, "suffix" : "" }, { "dropping-particle" : "", "family" : "Bombieri", "given" : "C", "non-dropping-particle" : "", "parse-names" : false, "suffix" : "" }, { "dropping-particle" : "", "family" : "Brown", "given" : "A", "non-dropping-particle" : "", "parse-names" : false, "suffix" : "" }, { "dropping-particle" : "", "family" : "Casals", "given" : "T", "non-dropping-particle" : "", "parse-names" : false, "suffix" : "" }, { "dropping-particle" : "", "family" : "Claustres", "given" : "M", "non-dropping-particle" : "", "parse-names" : false, "suffix" : "" }, { "dropping-particle" : "", "family" : "Cutting", "given" : "GR", "non-dropping-particle" : "", "parse-names" : false, "suffix" : "" }, { "dropping-particle" : "", "family" : "Dequeker", "given" : "E", "non-dropping-particle" : "", "parse-names" : false, "suffix" : "" }, { "dropping-particle" : "", "family" : "Dodge", "given" : "J", "non-dropping-particle" : "", "parse-names" : false, "suffix" : "" }, { "dropping-particle" : "", "family" : "Doull", "given" : "I", "non-dropping-particle" : "", "parse-names" : false, "suffix" : "" }, { "dropping-particle" : "", "family" : "Farrell", "given" : "P", "non-dropping-particle" : "", "parse-names" : false, "suffix" : "" }, { "dropping-particle" : "", "family" : "Ferec", "given" : "C", "non-dropping-particle" : "", "parse-names" : false, "suffix" : "" }, { "dropping-particle" : "", "family" : "Girodon", "given" : "E", "non-dropping-particle" : "", "parse-names" : false, "suffix" : "" }, { "dropping-particle" : "", "family" : "Johannesson", "given" : "M", "non-dropping-particle" : "", "parse-names" : false, "suffix" : "" }, { "dropping-particle" : "", "family" : "Kerem", "given" : "B", "non-dropping-particle" : "", "parse-names" : false, "suffix" : "" }, { "dropping-particle" : "", "family" : "Munck", "given" : "M Knowles A", "non-dropping-particle" : "", "parse-names" : false, "suffix" : "" }, { "dropping-particle" : "", "family" : "Pignatti", "given" : "PF", "non-dropping-particle" : "", "parse-names" : false, "suffix" : "" }, { "dropping-particle" : "", "family" : "Radojkovic", "given" : "D", "non-dropping-particle" : "", "parse-names" : false, "suffix" : "" }, { "dropping-particle" : "", "family" : "Rizzotti", "given" : "P", "non-dropping-particle" : "", "parse-names" : false, "suffix" : "" }, { "dropping-particle" : "", "family" : "Schwarz", "given" : "M", "non-dropping-particle" : "", "parse-names" : false, "suffix" : "" }, { "dropping-particle" : "", "family" : "Stuhrmann", "given" : "M", "non-dropping-particle" : "", "parse-names" : false, "suffix" : "" }, { "dropping-particle" : "", "family" : "Tzetis", "given" : "M", "non-dropping-particle" : "", "parse-names" : false, "suffix" : "" }, { "dropping-particle" : "", "family" : "Zielenski", "given" : "J", "non-dropping-particle" : "", "parse-names" : false, "suffix" : "" }, { "dropping-particle" : "", "family" : "Elborn", "given" : "JS", "non-dropping-particle" : "", "parse-names" : false, "suffix" : "" } ], "container-title" : "J Cystic Fibrosis", "id" : "ITEM-1", "issue" : "2", "issued" : { "date-parts" : [ [ "2008" ] ] }, "page" : "179-196", "title" : "Consensus on the use and interpretation of cystic fibrosis mutation analysis in clinical practice", "type" : "article-journal", "volume" : "7" }, "uris" : [ "http://www.mendeley.com/documents/?uuid=264e04bb-5161-4a86-bd0f-50cccabde923" ] }, { "id" : "ITEM-2", "itemData" : { "DOI" : "10.1016/j.prrv.2013.01.006", "ISSN" : "15260542", "PMID" : "23466340", "abstract" : "The Clinical and Functional Translation of CFTR (CFTR2) project presents a novel approach to clinical and functional annotation of mutations identified in disease-causing genes. Phenotype and genotype information on approximately 40,000 cystic fibrosis (CF) patients were collected from registries and large clinics. The disease-liability of the 160 most frequently reported mutations was evaluated by means of a multistage process which involved clinical (sweat chloride average), functional (expression in cell-based systems) and epidemiological (mutation analysis in obligate heterozygotes) steps. The results of this analysis can be consulted in a dedicated website. Data originated by CFTR2 may be valuable in several facets of CF care, including diagnosis, newborn screening, carrier testing, genotype/phenotype correlation and mutation-specific therapeutics. \u00a9 2013 Elsevier Ltd.", "author" : [ { "dropping-particle" : "", "family" : "Castellani", "given" : "Carlo", "non-dropping-particle" : "", "parse-names" : false, "suffix" : "" }, { "dropping-particle" : "", "family" : "Cutting", "given" : "Garry", "non-dropping-particle" : "", "parse-names" : false, "suffix" : "" }, { "dropping-particle" : "", "family" : "Sosnay", "given" : "Patrick", "non-dropping-particle" : "", "parse-names" : false, "suffix" : "" }, { "dropping-particle" : "", "family" : "Siklosi", "given" : "Karen", "non-dropping-particle" : "", "parse-names" : false, "suffix" : "" }, { "dropping-particle" : "", "family" : "Lewis", "given" : "Michelle Huckaby", "non-dropping-particle" : "", "parse-names" : false, "suffix" : "" }, { "dropping-particle" : "", "family" : "Penland", "given" : "Chris", "non-dropping-particle" : "", "parse-names" : false, "suffix" : "" }, { "dropping-particle" : "", "family" : "Zielenski", "given" : "Julian", "non-dropping-particle" : "", "parse-names" : false, "suffix" : "" }, { "dropping-particle" : "", "family" : "Dorfman", "given" : "Ruslan", "non-dropping-particle" : "", "parse-names" : false, "suffix" : "" }, { "dropping-particle" : "", "family" : "Corey", "given" : "Mary", "non-dropping-particle" : "", "parse-names" : false, "suffix" : "" }, { "dropping-particle" : "", "family" : "Rommens", "given" : "Johanna", "non-dropping-particle" : "", "parse-names" : false, "suffix" : "" } ], "container-title" : "Paediatric Respiratory Reviews", "id" : "ITEM-2", "issue" : "SUPPL.1", "issued" : { "date-parts" : [ [ "2013" ] ] }, "page" : "2-5", "title" : "CFTR2: How will it help care?", "type" : "article-journal", "volume" : "14" }, "uris" : [ "http://www.mendeley.com/documents/?uuid=30b1d34d-b959-4803-90b3-501d0e9d9c4f" ] } ], "mendeley" : { "formattedCitation" : "&lt;sup&gt;[40,41]&lt;/sup&gt;", "plainTextFormattedCitation" : "[40,41]", "previouslyFormattedCitation" : "&lt;sup&gt;[40,41]&lt;/sup&gt;" }, "properties" : {  }, "schema" : "https://github.com/citation-style-language/schema/raw/master/csl-citation.json" }</w:instrText>
      </w:r>
      <w:r w:rsidR="00AA31B0" w:rsidRPr="003610D2">
        <w:rPr>
          <w:rFonts w:ascii="Book Antiqua" w:hAnsi="Book Antiqua"/>
          <w:sz w:val="24"/>
          <w:szCs w:val="24"/>
        </w:rPr>
        <w:fldChar w:fldCharType="separate"/>
      </w:r>
      <w:r w:rsidR="00AA31B0" w:rsidRPr="003610D2">
        <w:rPr>
          <w:rFonts w:ascii="Book Antiqua" w:hAnsi="Book Antiqua"/>
          <w:noProof/>
          <w:sz w:val="24"/>
          <w:szCs w:val="24"/>
          <w:vertAlign w:val="superscript"/>
        </w:rPr>
        <w:t>[40,41]</w:t>
      </w:r>
      <w:r w:rsidR="00AA31B0" w:rsidRPr="003610D2">
        <w:rPr>
          <w:rFonts w:ascii="Book Antiqua" w:hAnsi="Book Antiqua"/>
          <w:sz w:val="24"/>
          <w:szCs w:val="24"/>
        </w:rPr>
        <w:fldChar w:fldCharType="end"/>
      </w:r>
      <w:r w:rsidR="00D56EE7" w:rsidRPr="003610D2">
        <w:rPr>
          <w:rFonts w:ascii="Book Antiqua" w:hAnsi="Book Antiqua"/>
          <w:sz w:val="24"/>
          <w:szCs w:val="24"/>
        </w:rPr>
        <w:t xml:space="preserve">. </w:t>
      </w:r>
      <w:r w:rsidRPr="003610D2">
        <w:rPr>
          <w:rFonts w:ascii="Book Antiqua" w:hAnsi="Book Antiqua"/>
          <w:sz w:val="24"/>
          <w:szCs w:val="24"/>
        </w:rPr>
        <w:t>Subjects with contraindications to MRI scanning (</w:t>
      </w:r>
      <w:r w:rsidRPr="003610D2">
        <w:rPr>
          <w:rFonts w:ascii="Book Antiqua" w:hAnsi="Book Antiqua"/>
          <w:i/>
          <w:iCs/>
          <w:sz w:val="24"/>
          <w:szCs w:val="24"/>
        </w:rPr>
        <w:t>i.e.</w:t>
      </w:r>
      <w:r w:rsidRPr="003610D2">
        <w:rPr>
          <w:rFonts w:ascii="Book Antiqua" w:hAnsi="Book Antiqua"/>
          <w:sz w:val="24"/>
          <w:szCs w:val="24"/>
        </w:rPr>
        <w:t>, metal implants, pregnancy) were also excluded.</w:t>
      </w:r>
      <w:r w:rsidR="009A5989" w:rsidRPr="003610D2">
        <w:rPr>
          <w:rFonts w:ascii="Book Antiqua" w:hAnsi="Book Antiqua"/>
          <w:sz w:val="24"/>
          <w:szCs w:val="24"/>
        </w:rPr>
        <w:t xml:space="preserve"> </w:t>
      </w:r>
      <w:r w:rsidR="00CA540A" w:rsidRPr="003610D2">
        <w:rPr>
          <w:rFonts w:ascii="Book Antiqua" w:hAnsi="Book Antiqua"/>
          <w:sz w:val="24"/>
          <w:szCs w:val="24"/>
        </w:rPr>
        <w:t>Informed consent was obtained in person prior to commencing study activities.</w:t>
      </w:r>
    </w:p>
    <w:p w14:paraId="7456C61F" w14:textId="77777777" w:rsidR="00AA31B0" w:rsidRPr="003610D2" w:rsidRDefault="00AA31B0" w:rsidP="00F61D5F">
      <w:pPr>
        <w:adjustRightInd w:val="0"/>
        <w:snapToGrid w:val="0"/>
        <w:spacing w:after="0" w:line="360" w:lineRule="auto"/>
        <w:jc w:val="both"/>
        <w:rPr>
          <w:rFonts w:ascii="Book Antiqua" w:hAnsi="Book Antiqua"/>
          <w:sz w:val="24"/>
          <w:szCs w:val="24"/>
        </w:rPr>
      </w:pPr>
    </w:p>
    <w:p w14:paraId="3F57E7A7" w14:textId="2F8EE269" w:rsidR="00BF1368" w:rsidRPr="003610D2" w:rsidRDefault="00BF1368"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t>Clinic</w:t>
      </w:r>
      <w:r w:rsidR="00AA31B0" w:rsidRPr="003610D2">
        <w:rPr>
          <w:rFonts w:ascii="Book Antiqua" w:hAnsi="Book Antiqua"/>
          <w:b/>
          <w:i/>
          <w:sz w:val="24"/>
          <w:szCs w:val="24"/>
        </w:rPr>
        <w:t>al and laboratory evaluation</w:t>
      </w:r>
    </w:p>
    <w:p w14:paraId="5DDA1C1A" w14:textId="27729C1D" w:rsidR="00CA540A" w:rsidRPr="003610D2" w:rsidRDefault="009A5989"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Clinical characteristics including</w:t>
      </w:r>
      <w:r w:rsidR="001378DB" w:rsidRPr="003610D2">
        <w:rPr>
          <w:rFonts w:ascii="Book Antiqua" w:hAnsi="Book Antiqua"/>
          <w:sz w:val="24"/>
          <w:szCs w:val="24"/>
        </w:rPr>
        <w:t xml:space="preserve"> </w:t>
      </w:r>
      <w:r w:rsidRPr="003610D2">
        <w:rPr>
          <w:rFonts w:ascii="Book Antiqua" w:hAnsi="Book Antiqua"/>
          <w:sz w:val="24"/>
          <w:szCs w:val="24"/>
        </w:rPr>
        <w:t>BMI,</w:t>
      </w:r>
      <w:r w:rsidR="00390782" w:rsidRPr="003610D2">
        <w:rPr>
          <w:rFonts w:ascii="Book Antiqua" w:hAnsi="Book Antiqua"/>
          <w:sz w:val="24"/>
          <w:szCs w:val="24"/>
        </w:rPr>
        <w:t xml:space="preserve"> </w:t>
      </w:r>
      <w:r w:rsidR="005F24F9" w:rsidRPr="003610D2">
        <w:rPr>
          <w:rFonts w:ascii="Book Antiqua" w:hAnsi="Book Antiqua"/>
          <w:sz w:val="24"/>
          <w:szCs w:val="24"/>
        </w:rPr>
        <w:t xml:space="preserve">percent predicted </w:t>
      </w:r>
      <w:r w:rsidR="00F647D3" w:rsidRPr="003610D2">
        <w:rPr>
          <w:rFonts w:ascii="Book Antiqua" w:hAnsi="Book Antiqua"/>
          <w:sz w:val="24"/>
          <w:szCs w:val="24"/>
        </w:rPr>
        <w:t>FEV1</w:t>
      </w:r>
      <w:r w:rsidRPr="003610D2">
        <w:rPr>
          <w:rFonts w:ascii="Book Antiqua" w:hAnsi="Book Antiqua"/>
          <w:sz w:val="24"/>
          <w:szCs w:val="24"/>
        </w:rPr>
        <w:t>,</w:t>
      </w:r>
      <w:r w:rsidR="002C332D" w:rsidRPr="003610D2">
        <w:rPr>
          <w:rFonts w:ascii="Book Antiqua" w:hAnsi="Book Antiqua"/>
          <w:sz w:val="24"/>
          <w:szCs w:val="24"/>
        </w:rPr>
        <w:t xml:space="preserve"> diabetes status, insulin use</w:t>
      </w:r>
      <w:r w:rsidR="001378DB" w:rsidRPr="003610D2">
        <w:rPr>
          <w:rFonts w:ascii="Book Antiqua" w:hAnsi="Book Antiqua"/>
          <w:sz w:val="24"/>
          <w:szCs w:val="24"/>
        </w:rPr>
        <w:t xml:space="preserve"> and </w:t>
      </w:r>
      <w:r w:rsidRPr="003610D2">
        <w:rPr>
          <w:rFonts w:ascii="Book Antiqua" w:hAnsi="Book Antiqua"/>
          <w:sz w:val="24"/>
          <w:szCs w:val="24"/>
        </w:rPr>
        <w:t xml:space="preserve">CFTR modulator use were </w:t>
      </w:r>
      <w:r w:rsidR="002C332D" w:rsidRPr="003610D2">
        <w:rPr>
          <w:rFonts w:ascii="Book Antiqua" w:hAnsi="Book Antiqua"/>
          <w:sz w:val="24"/>
          <w:szCs w:val="24"/>
        </w:rPr>
        <w:t>collected f</w:t>
      </w:r>
      <w:r w:rsidR="00A52121" w:rsidRPr="003610D2">
        <w:rPr>
          <w:rFonts w:ascii="Book Antiqua" w:hAnsi="Book Antiqua"/>
          <w:sz w:val="24"/>
          <w:szCs w:val="24"/>
        </w:rPr>
        <w:t>rom the electronic medical record</w:t>
      </w:r>
      <w:r w:rsidR="002C332D" w:rsidRPr="003610D2">
        <w:rPr>
          <w:rFonts w:ascii="Book Antiqua" w:hAnsi="Book Antiqua"/>
          <w:sz w:val="24"/>
          <w:szCs w:val="24"/>
        </w:rPr>
        <w:t>.</w:t>
      </w:r>
      <w:r w:rsidR="001378DB" w:rsidRPr="003610D2">
        <w:rPr>
          <w:rFonts w:ascii="Book Antiqua" w:hAnsi="Book Antiqua"/>
          <w:sz w:val="24"/>
          <w:szCs w:val="24"/>
        </w:rPr>
        <w:t xml:space="preserve"> Fasting</w:t>
      </w:r>
      <w:r w:rsidRPr="003610D2">
        <w:rPr>
          <w:rFonts w:ascii="Book Antiqua" w:hAnsi="Book Antiqua"/>
          <w:sz w:val="24"/>
          <w:szCs w:val="24"/>
        </w:rPr>
        <w:t xml:space="preserve"> blood chemistries including lipids, hepatic function</w:t>
      </w:r>
      <w:r w:rsidR="003A1FD4" w:rsidRPr="003610D2">
        <w:rPr>
          <w:rFonts w:ascii="Book Antiqua" w:hAnsi="Book Antiqua"/>
          <w:sz w:val="24"/>
          <w:szCs w:val="24"/>
        </w:rPr>
        <w:t xml:space="preserve"> tests</w:t>
      </w:r>
      <w:r w:rsidR="00A05122" w:rsidRPr="003610D2">
        <w:rPr>
          <w:rFonts w:ascii="Book Antiqua" w:hAnsi="Book Antiqua"/>
          <w:sz w:val="24"/>
          <w:szCs w:val="24"/>
        </w:rPr>
        <w:t xml:space="preserve"> </w:t>
      </w:r>
      <w:r w:rsidR="00A52121" w:rsidRPr="003610D2">
        <w:rPr>
          <w:rFonts w:ascii="Book Antiqua" w:hAnsi="Book Antiqua"/>
          <w:sz w:val="24"/>
          <w:szCs w:val="24"/>
        </w:rPr>
        <w:t xml:space="preserve">and hemoglobin </w:t>
      </w:r>
      <w:r w:rsidRPr="003610D2">
        <w:rPr>
          <w:rFonts w:ascii="Book Antiqua" w:hAnsi="Book Antiqua"/>
          <w:sz w:val="24"/>
          <w:szCs w:val="24"/>
        </w:rPr>
        <w:t>A1C were assessed</w:t>
      </w:r>
      <w:r w:rsidR="002C332D" w:rsidRPr="003610D2">
        <w:rPr>
          <w:rFonts w:ascii="Book Antiqua" w:hAnsi="Book Antiqua"/>
          <w:sz w:val="24"/>
          <w:szCs w:val="24"/>
        </w:rPr>
        <w:t xml:space="preserve"> during a period of baseline health in ambulatory subjects or after completing treatment for a pulmonary exacerbation in hospitalized subjects</w:t>
      </w:r>
      <w:r w:rsidR="000F7B6F" w:rsidRPr="003610D2">
        <w:rPr>
          <w:rFonts w:ascii="Book Antiqua" w:hAnsi="Book Antiqua"/>
          <w:sz w:val="24"/>
          <w:szCs w:val="24"/>
        </w:rPr>
        <w:t xml:space="preserve">. </w:t>
      </w:r>
      <w:r w:rsidR="001378DB" w:rsidRPr="003610D2">
        <w:rPr>
          <w:rFonts w:ascii="Book Antiqua" w:hAnsi="Book Antiqua"/>
          <w:sz w:val="24"/>
          <w:szCs w:val="24"/>
        </w:rPr>
        <w:t>An oral glucose tolerance test</w:t>
      </w:r>
      <w:r w:rsidR="00647F4F" w:rsidRPr="003610D2">
        <w:rPr>
          <w:rFonts w:ascii="Book Antiqua" w:hAnsi="Book Antiqua"/>
          <w:sz w:val="24"/>
          <w:szCs w:val="24"/>
        </w:rPr>
        <w:t xml:space="preserve"> (OGTT)</w:t>
      </w:r>
      <w:r w:rsidR="001378DB" w:rsidRPr="003610D2">
        <w:rPr>
          <w:rFonts w:ascii="Book Antiqua" w:hAnsi="Book Antiqua"/>
          <w:sz w:val="24"/>
          <w:szCs w:val="24"/>
        </w:rPr>
        <w:t xml:space="preserve"> was performed in NGT subjects who had not had an OGTT in the past six months. </w:t>
      </w:r>
      <w:r w:rsidR="00D56EE7" w:rsidRPr="003610D2">
        <w:rPr>
          <w:rFonts w:ascii="Book Antiqua" w:hAnsi="Book Antiqua"/>
          <w:sz w:val="24"/>
          <w:szCs w:val="24"/>
        </w:rPr>
        <w:t>Glucose tolerance testing was performed according to standard guidelines. After an eight hour fast, subjects ingested 1.75</w:t>
      </w:r>
      <w:r w:rsidR="00AA31B0" w:rsidRPr="003610D2">
        <w:rPr>
          <w:rFonts w:ascii="Book Antiqua" w:hAnsi="Book Antiqua"/>
          <w:sz w:val="24"/>
          <w:szCs w:val="24"/>
        </w:rPr>
        <w:t xml:space="preserve"> </w:t>
      </w:r>
      <w:r w:rsidR="00D56EE7" w:rsidRPr="003610D2">
        <w:rPr>
          <w:rFonts w:ascii="Book Antiqua" w:hAnsi="Book Antiqua"/>
          <w:sz w:val="24"/>
          <w:szCs w:val="24"/>
        </w:rPr>
        <w:t>g/kg (maximum 75</w:t>
      </w:r>
      <w:r w:rsidR="00AA31B0" w:rsidRPr="003610D2">
        <w:rPr>
          <w:rFonts w:ascii="Book Antiqua" w:hAnsi="Book Antiqua"/>
          <w:sz w:val="24"/>
          <w:szCs w:val="24"/>
        </w:rPr>
        <w:t xml:space="preserve"> </w:t>
      </w:r>
      <w:r w:rsidR="00D56EE7" w:rsidRPr="003610D2">
        <w:rPr>
          <w:rFonts w:ascii="Book Antiqua" w:hAnsi="Book Antiqua"/>
          <w:sz w:val="24"/>
          <w:szCs w:val="24"/>
        </w:rPr>
        <w:t xml:space="preserve">g) of glucose dissolved in water. Plasma glucose was evaluated at baseline and 2 h post glucose </w:t>
      </w:r>
      <w:r w:rsidR="00D56EE7" w:rsidRPr="003610D2">
        <w:rPr>
          <w:rFonts w:ascii="Book Antiqua" w:hAnsi="Book Antiqua"/>
          <w:sz w:val="24"/>
          <w:szCs w:val="24"/>
        </w:rPr>
        <w:lastRenderedPageBreak/>
        <w:t>ingestion</w:t>
      </w:r>
      <w:r w:rsidR="00AA31B0" w:rsidRPr="003610D2">
        <w:rPr>
          <w:rFonts w:ascii="Book Antiqua" w:hAnsi="Book Antiqua"/>
          <w:sz w:val="24"/>
          <w:szCs w:val="24"/>
        </w:rPr>
        <w:fldChar w:fldCharType="begin" w:fldLock="1"/>
      </w:r>
      <w:r w:rsidR="00AA31B0" w:rsidRPr="003610D2">
        <w:rPr>
          <w:rFonts w:ascii="Book Antiqua" w:hAnsi="Book Antiqua"/>
          <w:sz w:val="24"/>
          <w:szCs w:val="24"/>
        </w:rPr>
        <w:instrText>ADDIN CSL_CITATION { "citationItems" : [ { "id" : "ITEM-1", "itemData" : { "DOI" : "10.2337/dc10-1768", "ISBN" : "1935-5548 (Electronic)\\r0149-5992 (Linking)", "ISSN" : "01495992", "PMID" : "21115772", "author" : [ { "dropping-particle" : "", "family" : "Moran", "given" : "Antoinette", "non-dropping-particle" : "", "parse-names" : false, "suffix" : "" }, { "dropping-particle" : "", "family" : "Brunzell", "given" : "Carol", "non-dropping-particle" : "", "parse-names" : false, "suffix" : "" }, { "dropping-particle" : "", "family" : "Cohen", "given" : "Richard C.", "non-dropping-particle" : "", "parse-names" : false, "suffix" : "" }, { "dropping-particle" : "", "family" : "Katz", "given" : "Marcia", "non-dropping-particle" : "", "parse-names" : false, "suffix" : "" }, { "dropping-particle" : "", "family" : "Marshall", "given" : "Bruce C.", "non-dropping-particle" : "", "parse-names" : false, "suffix" : "" }, { "dropping-particle" : "", "family" : "Onady", "given" : "Gary", "non-dropping-particle" : "", "parse-names" : false, "suffix" : "" }, { "dropping-particle" : "", "family" : "Robinson", "given" : "Karen A.", "non-dropping-particle" : "", "parse-names" : false, "suffix" : "" }, { "dropping-particle" : "", "family" : "Sabadosa", "given" : "Kathryn A.", "non-dropping-particle" : "", "parse-names" : false, "suffix" : "" }, { "dropping-particle" : "", "family" : "Stecenko", "given" : "Arlene", "non-dropping-particle" : "", "parse-names" : false, "suffix" : "" }, { "dropping-particle" : "", "family" : "Slovis", "given" : "Bonnie", "non-dropping-particle" : "", "parse-names" : false, "suffix" : "" }, { "dropping-particle" : "", "family" : "Alexander", "given" : "Paula", "non-dropping-particle" : "", "parse-names" : false, "suffix" : "" }, { "dropping-particle" : "", "family" : "Beall", "given" : "Robert J.", "non-dropping-particle" : "", "parse-names" : false, "suffix" : "" }, { "dropping-particle" : "", "family" : "Becker", "given" : "Dorothy", "non-dropping-particle" : "", "parse-names" : false, "suffix" : "" }, { "dropping-particle" : "", "family" : "Campbell", "given" : "Preston W.", "non-dropping-particle" : "", "parse-names" : false, "suffix" : "" }, { "dropping-particle" : "", "family" : "Casella", "given" : "Samuel J.", "non-dropping-particle" : "", "parse-names" : false, "suffix" : "" }, { "dropping-particle" : "", "family" : "Chin", "given" : "Melissa", "non-dropping-particle" : "", "parse-names" : false, "suffix" : "" }, { "dropping-particle" : "", "family" : "Brooks", "given" : "Joan Finnegan", "non-dropping-particle" : "", "parse-names" : false, "suffix" : "" }, { "dropping-particle" : "", "family" : "George", "given" : "Cynthia", "non-dropping-particle" : "", "parse-names" : false, "suffix" : "" }, { "dropping-particle" : "", "family" : "Gottlieb", "given" : "Peter A.", "non-dropping-particle" : "", "parse-names" : false, "suffix" : "" }, { "dropping-particle" : "", "family" : "Hazle", "given" : "Leslie", "non-dropping-particle" : "", "parse-names" : false, "suffix" : "" }, { "dropping-particle" : "", "family" : "Kirkman", "given" : "M. Sue", "non-dropping-particle" : "", "parse-names" : false, "suffix" : "" }, { "dropping-particle" : "", "family" : "McKeon", "given" : "Catherine", "non-dropping-particle" : "", "parse-names" : false, "suffix" : "" }, { "dropping-particle" : "", "family" : "Rodgers", "given" : "Theresa", "non-dropping-particle" : "", "parse-names" : false, "suffix" : "" }, { "dropping-particle" : "", "family" : "Schindler", "given" : "Terri", "non-dropping-particle" : "", "parse-names" : false, "suffix" : "" }, { "dropping-particle" : "", "family" : "Wood", "given" : "Mary E.", "non-dropping-particle" : "", "parse-names" : false, "suffix" : "" }, { "dropping-particle" : "", "family" : "Young", "given" : "David", "non-dropping-particle" : "", "parse-names" : false, "suffix" : "" } ], "container-title" : "Diabetes Care", "id" : "ITEM-1", "issue" : "12", "issued" : { "date-parts" : [ [ "2010" ] ] }, "page" : "2697-2708", "title" : "Clinical care guidelines for cystic fibrosis-related diabetes: A position statement of the American Diabetes Association and a clinical practice guideline of the Cystic Fibrosis Foundation, endorsed by the Pediatric Endocrine Society", "type" : "article-journal", "volume" : "33" }, "uris" : [ "http://www.mendeley.com/documents/?uuid=a733ee30-8172-42ed-8747-a7e512eb680d" ] } ], "mendeley" : { "formattedCitation" : "&lt;sup&gt;[39]&lt;/sup&gt;", "plainTextFormattedCitation" : "[39]", "previouslyFormattedCitation" : "&lt;sup&gt;[39]&lt;/sup&gt;" }, "properties" : {  }, "schema" : "https://github.com/citation-style-language/schema/raw/master/csl-citation.json" }</w:instrText>
      </w:r>
      <w:r w:rsidR="00AA31B0" w:rsidRPr="003610D2">
        <w:rPr>
          <w:rFonts w:ascii="Book Antiqua" w:hAnsi="Book Antiqua"/>
          <w:sz w:val="24"/>
          <w:szCs w:val="24"/>
        </w:rPr>
        <w:fldChar w:fldCharType="separate"/>
      </w:r>
      <w:r w:rsidR="00AA31B0" w:rsidRPr="003610D2">
        <w:rPr>
          <w:rFonts w:ascii="Book Antiqua" w:hAnsi="Book Antiqua"/>
          <w:noProof/>
          <w:sz w:val="24"/>
          <w:szCs w:val="24"/>
          <w:vertAlign w:val="superscript"/>
        </w:rPr>
        <w:t>[39]</w:t>
      </w:r>
      <w:r w:rsidR="00AA31B0" w:rsidRPr="003610D2">
        <w:rPr>
          <w:rFonts w:ascii="Book Antiqua" w:hAnsi="Book Antiqua"/>
          <w:sz w:val="24"/>
          <w:szCs w:val="24"/>
        </w:rPr>
        <w:fldChar w:fldCharType="end"/>
      </w:r>
      <w:r w:rsidR="00D56EE7" w:rsidRPr="003610D2">
        <w:rPr>
          <w:rFonts w:ascii="Book Antiqua" w:hAnsi="Book Antiqua"/>
          <w:sz w:val="24"/>
          <w:szCs w:val="24"/>
        </w:rPr>
        <w:t xml:space="preserve">. </w:t>
      </w:r>
      <w:r w:rsidR="002C332D" w:rsidRPr="003610D2">
        <w:rPr>
          <w:rFonts w:ascii="Book Antiqua" w:hAnsi="Book Antiqua"/>
          <w:sz w:val="24"/>
          <w:szCs w:val="24"/>
        </w:rPr>
        <w:t>Subjects w</w:t>
      </w:r>
      <w:r w:rsidR="00F647D3" w:rsidRPr="003610D2">
        <w:rPr>
          <w:rFonts w:ascii="Book Antiqua" w:hAnsi="Book Antiqua"/>
          <w:sz w:val="24"/>
          <w:szCs w:val="24"/>
        </w:rPr>
        <w:t>hose study OGTT demonstrated</w:t>
      </w:r>
      <w:r w:rsidR="002C332D" w:rsidRPr="003610D2">
        <w:rPr>
          <w:rFonts w:ascii="Book Antiqua" w:hAnsi="Book Antiqua"/>
          <w:sz w:val="24"/>
          <w:szCs w:val="24"/>
        </w:rPr>
        <w:t xml:space="preserve"> impaired fasting glucose or impaired glucose tolerance </w:t>
      </w:r>
      <w:r w:rsidR="003A1FD4" w:rsidRPr="003610D2">
        <w:rPr>
          <w:rFonts w:ascii="Book Antiqua" w:hAnsi="Book Antiqua"/>
          <w:sz w:val="24"/>
          <w:szCs w:val="24"/>
        </w:rPr>
        <w:t>as defined by standard criteria</w:t>
      </w:r>
      <w:r w:rsidR="002C332D" w:rsidRPr="003610D2">
        <w:rPr>
          <w:rFonts w:ascii="Book Antiqua" w:hAnsi="Book Antiqua"/>
          <w:sz w:val="24"/>
          <w:szCs w:val="24"/>
        </w:rPr>
        <w:t xml:space="preserve"> were excluded</w:t>
      </w:r>
      <w:r w:rsidR="00AA31B0" w:rsidRPr="003610D2">
        <w:rPr>
          <w:rFonts w:ascii="Book Antiqua" w:hAnsi="Book Antiqua"/>
          <w:sz w:val="24"/>
          <w:szCs w:val="24"/>
        </w:rPr>
        <w:fldChar w:fldCharType="begin" w:fldLock="1"/>
      </w:r>
      <w:r w:rsidR="00AA31B0" w:rsidRPr="003610D2">
        <w:rPr>
          <w:rFonts w:ascii="Book Antiqua" w:hAnsi="Book Antiqua"/>
          <w:sz w:val="24"/>
          <w:szCs w:val="24"/>
        </w:rPr>
        <w:instrText>ADDIN CSL_CITATION { "citationItems" : [ { "id" : "ITEM-1", "itemData" : { "DOI" : "10.1111/pedi.12178", "ISBN" : "1440207242978", "ISSN" : "13995448", "PMID" : "19754617", "abstract" : "Cystic fibrosis (CF) and type 1 diabetes are two of the most common chronic childhood conditions in the UK; the management of each comprises demanding and perpetual daily regiments. As the life expectancy of patients with CF has improved, there has been a corresponding increase in the number of patients developing CF-related diabetes (CFRD), some of whom are teenagers. For a number of reasons, non-adherence to treatment is a recognized problem in chronically ill teenagers, a problem exacerbated when CF and diabetes co-exist. There is a scarcity of literature concerning CFRD management, particularly in relation to adolescence, with recommendations often being based on anecdotal evidence. In this article, the aetiology, incidence, diagnosis and management of CFRD are outlined. Chronic illness in adolescence and the problem of non-compliance are explored and considered in the context of CFRD. Recommendations for practice for health professionals caring for teenagers with CFRD are offered.", "author" : [ { "dropping-particle" : "", "family" : "Moran", "given" : "Antoinette", "non-dropping-particle" : "", "parse-names" : false, "suffix" : "" }, { "dropping-particle" : "", "family" : "Pillay", "given" : "Kubendran", "non-dropping-particle" : "", "parse-names" : false, "suffix" : "" }, { "dropping-particle" : "", "family" : "Becker", "given" : "Dorothy J.", "non-dropping-particle" : "", "parse-names" : false, "suffix" : "" }, { "dropping-particle" : "", "family" : "Acerini", "given" : "Carlo L.", "non-dropping-particle" : "", "parse-names" : false, "suffix" : "" } ], "container-title" : "Pediatric Diabetes", "id" : "ITEM-1", "issue" : "SUPPL.20", "issued" : { "date-parts" : [ [ "2014" ] ] }, "page" : "65-76", "title" : "Management of cystic fibrosis-related diabetes in children and adolescents", "type" : "article-journal", "volume" : "15" }, "uris" : [ "http://www.mendeley.com/documents/?uuid=c849f9c0-45f1-4e85-8be8-331d3779e10b" ] } ], "mendeley" : { "formattedCitation" : "&lt;sup&gt;[42]&lt;/sup&gt;", "plainTextFormattedCitation" : "[42]", "previouslyFormattedCitation" : "&lt;sup&gt;[42]&lt;/sup&gt;" }, "properties" : {  }, "schema" : "https://github.com/citation-style-language/schema/raw/master/csl-citation.json" }</w:instrText>
      </w:r>
      <w:r w:rsidR="00AA31B0" w:rsidRPr="003610D2">
        <w:rPr>
          <w:rFonts w:ascii="Book Antiqua" w:hAnsi="Book Antiqua"/>
          <w:sz w:val="24"/>
          <w:szCs w:val="24"/>
        </w:rPr>
        <w:fldChar w:fldCharType="separate"/>
      </w:r>
      <w:r w:rsidR="00AA31B0" w:rsidRPr="003610D2">
        <w:rPr>
          <w:rFonts w:ascii="Book Antiqua" w:hAnsi="Book Antiqua"/>
          <w:noProof/>
          <w:sz w:val="24"/>
          <w:szCs w:val="24"/>
          <w:vertAlign w:val="superscript"/>
        </w:rPr>
        <w:t>[42]</w:t>
      </w:r>
      <w:r w:rsidR="00AA31B0" w:rsidRPr="003610D2">
        <w:rPr>
          <w:rFonts w:ascii="Book Antiqua" w:hAnsi="Book Antiqua"/>
          <w:sz w:val="24"/>
          <w:szCs w:val="24"/>
        </w:rPr>
        <w:fldChar w:fldCharType="end"/>
      </w:r>
      <w:r w:rsidR="001043B6" w:rsidRPr="003610D2">
        <w:rPr>
          <w:rFonts w:ascii="Book Antiqua" w:hAnsi="Book Antiqua"/>
          <w:sz w:val="24"/>
          <w:szCs w:val="24"/>
        </w:rPr>
        <w:t>.</w:t>
      </w:r>
      <w:r w:rsidR="002C332D" w:rsidRPr="003610D2">
        <w:rPr>
          <w:rFonts w:ascii="Book Antiqua" w:hAnsi="Book Antiqua"/>
          <w:sz w:val="24"/>
          <w:szCs w:val="24"/>
        </w:rPr>
        <w:t xml:space="preserve"> </w:t>
      </w:r>
    </w:p>
    <w:p w14:paraId="55C4B5AB" w14:textId="602716E0" w:rsidR="00AA31B0" w:rsidRPr="003610D2" w:rsidRDefault="000F7B6F" w:rsidP="00AA31B0">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sz w:val="24"/>
          <w:szCs w:val="24"/>
        </w:rPr>
        <w:t>All seru</w:t>
      </w:r>
      <w:r w:rsidR="00413ED5" w:rsidRPr="003610D2">
        <w:rPr>
          <w:rFonts w:ascii="Book Antiqua" w:hAnsi="Book Antiqua"/>
          <w:sz w:val="24"/>
          <w:szCs w:val="24"/>
        </w:rPr>
        <w:t>m chemistries were collected from</w:t>
      </w:r>
      <w:r w:rsidRPr="003610D2">
        <w:rPr>
          <w:rFonts w:ascii="Book Antiqua" w:hAnsi="Book Antiqua"/>
          <w:sz w:val="24"/>
          <w:szCs w:val="24"/>
        </w:rPr>
        <w:t xml:space="preserve"> peripheral venous sample</w:t>
      </w:r>
      <w:r w:rsidR="00413ED5" w:rsidRPr="003610D2">
        <w:rPr>
          <w:rFonts w:ascii="Book Antiqua" w:hAnsi="Book Antiqua"/>
          <w:sz w:val="24"/>
          <w:szCs w:val="24"/>
        </w:rPr>
        <w:t>s according to standard technique</w:t>
      </w:r>
      <w:r w:rsidR="00AA31B0" w:rsidRPr="003610D2">
        <w:rPr>
          <w:rFonts w:ascii="Book Antiqua" w:hAnsi="Book Antiqua"/>
          <w:sz w:val="24"/>
          <w:szCs w:val="24"/>
        </w:rPr>
        <w:fldChar w:fldCharType="begin" w:fldLock="1"/>
      </w:r>
      <w:r w:rsidR="00AA31B0" w:rsidRPr="003610D2">
        <w:rPr>
          <w:rFonts w:ascii="Book Antiqua" w:hAnsi="Book Antiqua"/>
          <w:sz w:val="24"/>
          <w:szCs w:val="24"/>
        </w:rPr>
        <w:instrText>ADDIN CSL_CITATION { "citationItems" : [ { "id" : "ITEM-1", "itemData" : { "ISBN" : "1562385151", "author" : [ { "dropping-particle" : "", "family" : "Clinical and Laboratory Standards Institute/NCCLS.", "given" : "", "non-dropping-particle" : "", "parse-names" : false, "suffix" : "" } ], "id" : "ITEM-1", "issued" : { "date-parts" : [ [ "2003" ] ] }, "title" : "Procedures for the Collection of Diagnostic Blood Specimens by Venipuncture; Approved Standard-- Fifth Edition.", "type" : "report" }, "uris" : [ "http://www.mendeley.com/documents/?uuid=ef079405-39d7-4670-b5f9-7c5d1e951ae0" ] } ], "mendeley" : { "formattedCitation" : "&lt;sup&gt;[43]&lt;/sup&gt;", "plainTextFormattedCitation" : "[43]", "previouslyFormattedCitation" : "&lt;sup&gt;[43]&lt;/sup&gt;" }, "properties" : {  }, "schema" : "https://github.com/citation-style-language/schema/raw/master/csl-citation.json" }</w:instrText>
      </w:r>
      <w:r w:rsidR="00AA31B0" w:rsidRPr="003610D2">
        <w:rPr>
          <w:rFonts w:ascii="Book Antiqua" w:hAnsi="Book Antiqua"/>
          <w:sz w:val="24"/>
          <w:szCs w:val="24"/>
        </w:rPr>
        <w:fldChar w:fldCharType="separate"/>
      </w:r>
      <w:r w:rsidR="00AA31B0" w:rsidRPr="003610D2">
        <w:rPr>
          <w:rFonts w:ascii="Book Antiqua" w:hAnsi="Book Antiqua"/>
          <w:noProof/>
          <w:sz w:val="24"/>
          <w:szCs w:val="24"/>
          <w:vertAlign w:val="superscript"/>
        </w:rPr>
        <w:t>[43]</w:t>
      </w:r>
      <w:r w:rsidR="00AA31B0" w:rsidRPr="003610D2">
        <w:rPr>
          <w:rFonts w:ascii="Book Antiqua" w:hAnsi="Book Antiqua"/>
          <w:sz w:val="24"/>
          <w:szCs w:val="24"/>
        </w:rPr>
        <w:fldChar w:fldCharType="end"/>
      </w:r>
      <w:r w:rsidR="00413ED5" w:rsidRPr="003610D2">
        <w:rPr>
          <w:rFonts w:ascii="Book Antiqua" w:hAnsi="Book Antiqua"/>
          <w:sz w:val="24"/>
          <w:szCs w:val="24"/>
        </w:rPr>
        <w:t xml:space="preserve">. Glucose, triglycerides, </w:t>
      </w:r>
      <w:r w:rsidR="00AA31B0" w:rsidRPr="003610D2">
        <w:rPr>
          <w:rFonts w:ascii="Book Antiqua" w:hAnsi="Book Antiqua"/>
          <w:sz w:val="24"/>
          <w:szCs w:val="24"/>
        </w:rPr>
        <w:t>high density lipoprotein (</w:t>
      </w:r>
      <w:r w:rsidR="00413ED5" w:rsidRPr="003610D2">
        <w:rPr>
          <w:rFonts w:ascii="Book Antiqua" w:hAnsi="Book Antiqua"/>
          <w:sz w:val="24"/>
          <w:szCs w:val="24"/>
        </w:rPr>
        <w:t>HDL</w:t>
      </w:r>
      <w:r w:rsidR="00AA31B0" w:rsidRPr="003610D2">
        <w:rPr>
          <w:rFonts w:ascii="Book Antiqua" w:hAnsi="Book Antiqua"/>
          <w:sz w:val="24"/>
          <w:szCs w:val="24"/>
        </w:rPr>
        <w:t>)</w:t>
      </w:r>
      <w:r w:rsidR="00413ED5" w:rsidRPr="003610D2">
        <w:rPr>
          <w:rFonts w:ascii="Book Antiqua" w:hAnsi="Book Antiqua"/>
          <w:sz w:val="24"/>
          <w:szCs w:val="24"/>
        </w:rPr>
        <w:t xml:space="preserve">, </w:t>
      </w:r>
      <w:bookmarkStart w:id="184" w:name="OLE_LINK695"/>
      <w:bookmarkStart w:id="185" w:name="OLE_LINK696"/>
      <w:r w:rsidR="00AA31B0" w:rsidRPr="003610D2">
        <w:rPr>
          <w:rFonts w:ascii="Book Antiqua" w:hAnsi="Book Antiqua"/>
          <w:sz w:val="24"/>
          <w:szCs w:val="24"/>
        </w:rPr>
        <w:t>low density lipoprotein</w:t>
      </w:r>
      <w:bookmarkEnd w:id="184"/>
      <w:bookmarkEnd w:id="185"/>
      <w:r w:rsidR="00AA31B0" w:rsidRPr="003610D2">
        <w:rPr>
          <w:rFonts w:ascii="Book Antiqua" w:hAnsi="Book Antiqua"/>
          <w:sz w:val="24"/>
          <w:szCs w:val="24"/>
        </w:rPr>
        <w:t xml:space="preserve"> (</w:t>
      </w:r>
      <w:r w:rsidR="00413ED5" w:rsidRPr="003610D2">
        <w:rPr>
          <w:rFonts w:ascii="Book Antiqua" w:hAnsi="Book Antiqua"/>
          <w:sz w:val="24"/>
          <w:szCs w:val="24"/>
        </w:rPr>
        <w:t>LDL</w:t>
      </w:r>
      <w:r w:rsidR="00AA31B0" w:rsidRPr="003610D2">
        <w:rPr>
          <w:rFonts w:ascii="Book Antiqua" w:hAnsi="Book Antiqua"/>
          <w:sz w:val="24"/>
          <w:szCs w:val="24"/>
        </w:rPr>
        <w:t>)</w:t>
      </w:r>
      <w:r w:rsidR="00413ED5" w:rsidRPr="003610D2">
        <w:rPr>
          <w:rFonts w:ascii="Book Antiqua" w:hAnsi="Book Antiqua"/>
          <w:sz w:val="24"/>
          <w:szCs w:val="24"/>
        </w:rPr>
        <w:t xml:space="preserve">, </w:t>
      </w:r>
      <w:r w:rsidR="00AA31B0" w:rsidRPr="003610D2">
        <w:rPr>
          <w:rFonts w:ascii="Book Antiqua" w:hAnsi="Book Antiqua"/>
          <w:sz w:val="24"/>
          <w:szCs w:val="24"/>
        </w:rPr>
        <w:t>aspartate transaminase (</w:t>
      </w:r>
      <w:r w:rsidR="00413ED5" w:rsidRPr="003610D2">
        <w:rPr>
          <w:rFonts w:ascii="Book Antiqua" w:hAnsi="Book Antiqua"/>
          <w:sz w:val="24"/>
          <w:szCs w:val="24"/>
        </w:rPr>
        <w:t>AST</w:t>
      </w:r>
      <w:r w:rsidR="00AA31B0" w:rsidRPr="003610D2">
        <w:rPr>
          <w:rFonts w:ascii="Book Antiqua" w:hAnsi="Book Antiqua"/>
          <w:sz w:val="24"/>
          <w:szCs w:val="24"/>
        </w:rPr>
        <w:t>)</w:t>
      </w:r>
      <w:r w:rsidR="00413ED5" w:rsidRPr="003610D2">
        <w:rPr>
          <w:rFonts w:ascii="Book Antiqua" w:hAnsi="Book Antiqua"/>
          <w:sz w:val="24"/>
          <w:szCs w:val="24"/>
        </w:rPr>
        <w:t xml:space="preserve">, </w:t>
      </w:r>
      <w:r w:rsidR="00AA31B0" w:rsidRPr="003610D2">
        <w:rPr>
          <w:rFonts w:ascii="Book Antiqua" w:hAnsi="Book Antiqua"/>
          <w:sz w:val="24"/>
          <w:szCs w:val="24"/>
        </w:rPr>
        <w:t>alanine transaminase (</w:t>
      </w:r>
      <w:r w:rsidR="00413ED5" w:rsidRPr="003610D2">
        <w:rPr>
          <w:rFonts w:ascii="Book Antiqua" w:hAnsi="Book Antiqua"/>
          <w:sz w:val="24"/>
          <w:szCs w:val="24"/>
        </w:rPr>
        <w:t>ALT</w:t>
      </w:r>
      <w:r w:rsidR="00AA31B0" w:rsidRPr="003610D2">
        <w:rPr>
          <w:rFonts w:ascii="Book Antiqua" w:hAnsi="Book Antiqua"/>
          <w:sz w:val="24"/>
          <w:szCs w:val="24"/>
        </w:rPr>
        <w:t>)</w:t>
      </w:r>
      <w:r w:rsidR="00413ED5" w:rsidRPr="003610D2">
        <w:rPr>
          <w:rFonts w:ascii="Book Antiqua" w:hAnsi="Book Antiqua"/>
          <w:sz w:val="24"/>
          <w:szCs w:val="24"/>
        </w:rPr>
        <w:t xml:space="preserve">, </w:t>
      </w:r>
      <w:r w:rsidR="00AA31B0" w:rsidRPr="003610D2">
        <w:rPr>
          <w:rFonts w:ascii="Book Antiqua" w:hAnsi="Book Antiqua"/>
          <w:sz w:val="24"/>
          <w:szCs w:val="24"/>
        </w:rPr>
        <w:t>gamma-</w:t>
      </w:r>
      <w:proofErr w:type="spellStart"/>
      <w:r w:rsidR="00AA31B0" w:rsidRPr="003610D2">
        <w:rPr>
          <w:rFonts w:ascii="Book Antiqua" w:hAnsi="Book Antiqua"/>
          <w:sz w:val="24"/>
          <w:szCs w:val="24"/>
        </w:rPr>
        <w:t>glutamyltransferase</w:t>
      </w:r>
      <w:proofErr w:type="spellEnd"/>
      <w:r w:rsidR="00AA31B0" w:rsidRPr="003610D2">
        <w:rPr>
          <w:rFonts w:ascii="Book Antiqua" w:hAnsi="Book Antiqua"/>
          <w:sz w:val="24"/>
          <w:szCs w:val="24"/>
        </w:rPr>
        <w:t xml:space="preserve"> (</w:t>
      </w:r>
      <w:r w:rsidR="00413ED5" w:rsidRPr="003610D2">
        <w:rPr>
          <w:rFonts w:ascii="Book Antiqua" w:hAnsi="Book Antiqua"/>
          <w:sz w:val="24"/>
          <w:szCs w:val="24"/>
        </w:rPr>
        <w:t>GGT</w:t>
      </w:r>
      <w:r w:rsidR="00AA31B0" w:rsidRPr="003610D2">
        <w:rPr>
          <w:rFonts w:ascii="Book Antiqua" w:hAnsi="Book Antiqua"/>
          <w:sz w:val="24"/>
          <w:szCs w:val="24"/>
        </w:rPr>
        <w:t>)</w:t>
      </w:r>
      <w:r w:rsidR="00413ED5" w:rsidRPr="003610D2">
        <w:rPr>
          <w:rFonts w:ascii="Book Antiqua" w:hAnsi="Book Antiqua"/>
          <w:sz w:val="24"/>
          <w:szCs w:val="24"/>
        </w:rPr>
        <w:t>, alkaline phosphatase, and total bilirubin were analyzed using a Beckman AU 5800 ® analyzer.</w:t>
      </w:r>
      <w:r w:rsidR="001C1832">
        <w:rPr>
          <w:rFonts w:ascii="Book Antiqua" w:hAnsi="Book Antiqua"/>
          <w:sz w:val="24"/>
          <w:szCs w:val="24"/>
        </w:rPr>
        <w:t xml:space="preserve"> </w:t>
      </w:r>
      <w:r w:rsidR="00413ED5" w:rsidRPr="003610D2">
        <w:rPr>
          <w:rFonts w:ascii="Book Antiqua" w:hAnsi="Book Antiqua"/>
          <w:sz w:val="24"/>
          <w:szCs w:val="24"/>
        </w:rPr>
        <w:t>Hemoglobin A1C was analyzed using a BioRad-D-100</w:t>
      </w:r>
      <w:r w:rsidR="00F126DA" w:rsidRPr="003610D2">
        <w:rPr>
          <w:rFonts w:ascii="Book Antiqua" w:hAnsi="Book Antiqua"/>
          <w:sz w:val="24"/>
          <w:szCs w:val="24"/>
        </w:rPr>
        <w:t xml:space="preserve">® </w:t>
      </w:r>
      <w:r w:rsidR="00413ED5" w:rsidRPr="003610D2">
        <w:rPr>
          <w:rFonts w:ascii="Book Antiqua" w:hAnsi="Book Antiqua"/>
          <w:sz w:val="24"/>
          <w:szCs w:val="24"/>
        </w:rPr>
        <w:t>analyzer</w:t>
      </w:r>
      <w:r w:rsidR="00F126DA" w:rsidRPr="003610D2">
        <w:rPr>
          <w:rFonts w:ascii="Book Antiqua" w:hAnsi="Book Antiqua"/>
          <w:sz w:val="24"/>
          <w:szCs w:val="24"/>
        </w:rPr>
        <w:t xml:space="preserve"> (University Hospitals Core Lab, Cleveland</w:t>
      </w:r>
      <w:r w:rsidR="00AA31B0" w:rsidRPr="003610D2">
        <w:rPr>
          <w:rFonts w:ascii="Book Antiqua" w:hAnsi="Book Antiqua"/>
          <w:sz w:val="24"/>
          <w:szCs w:val="24"/>
        </w:rPr>
        <w:t>,</w:t>
      </w:r>
      <w:r w:rsidR="00F126DA" w:rsidRPr="003610D2">
        <w:rPr>
          <w:rFonts w:ascii="Book Antiqua" w:hAnsi="Book Antiqua"/>
          <w:sz w:val="24"/>
          <w:szCs w:val="24"/>
        </w:rPr>
        <w:t xml:space="preserve"> OH</w:t>
      </w:r>
      <w:r w:rsidR="00AA31B0" w:rsidRPr="003610D2">
        <w:rPr>
          <w:rFonts w:ascii="Book Antiqua" w:hAnsi="Book Antiqua"/>
          <w:sz w:val="24"/>
          <w:szCs w:val="24"/>
        </w:rPr>
        <w:t>, United States</w:t>
      </w:r>
      <w:r w:rsidR="00F126DA" w:rsidRPr="003610D2">
        <w:rPr>
          <w:rFonts w:ascii="Book Antiqua" w:hAnsi="Book Antiqua"/>
          <w:sz w:val="24"/>
          <w:szCs w:val="24"/>
        </w:rPr>
        <w:t>)</w:t>
      </w:r>
      <w:r w:rsidR="00AA31B0" w:rsidRPr="003610D2">
        <w:rPr>
          <w:rFonts w:ascii="Book Antiqua" w:hAnsi="Book Antiqua"/>
          <w:sz w:val="24"/>
          <w:szCs w:val="24"/>
        </w:rPr>
        <w:t>.</w:t>
      </w:r>
    </w:p>
    <w:p w14:paraId="774CDC47" w14:textId="1842CD25" w:rsidR="000F7B6F" w:rsidRPr="003610D2" w:rsidRDefault="00F126DA" w:rsidP="00AA31B0">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sz w:val="24"/>
          <w:szCs w:val="24"/>
        </w:rPr>
        <w:t xml:space="preserve"> </w:t>
      </w:r>
    </w:p>
    <w:p w14:paraId="0A222249" w14:textId="033D40EB" w:rsidR="00CA540A" w:rsidRPr="003610D2" w:rsidRDefault="00CA540A"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t>Hepat</w:t>
      </w:r>
      <w:r w:rsidR="00AA31B0" w:rsidRPr="003610D2">
        <w:rPr>
          <w:rFonts w:ascii="Book Antiqua" w:hAnsi="Book Antiqua"/>
          <w:b/>
          <w:i/>
          <w:sz w:val="24"/>
          <w:szCs w:val="24"/>
        </w:rPr>
        <w:t>ic fat fraction measurem</w:t>
      </w:r>
      <w:r w:rsidRPr="003610D2">
        <w:rPr>
          <w:rFonts w:ascii="Book Antiqua" w:hAnsi="Book Antiqua"/>
          <w:b/>
          <w:i/>
          <w:sz w:val="24"/>
          <w:szCs w:val="24"/>
        </w:rPr>
        <w:t>ent</w:t>
      </w:r>
    </w:p>
    <w:p w14:paraId="5F6B4D19" w14:textId="2363446A" w:rsidR="00F647D3" w:rsidRPr="003610D2" w:rsidRDefault="00F647D3"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 xml:space="preserve">Proton density fat fraction (PDFF) was measured on a Siemens </w:t>
      </w:r>
      <w:proofErr w:type="spellStart"/>
      <w:r w:rsidRPr="003610D2">
        <w:rPr>
          <w:rFonts w:ascii="Book Antiqua" w:hAnsi="Book Antiqua"/>
          <w:sz w:val="24"/>
          <w:szCs w:val="24"/>
        </w:rPr>
        <w:t>Skyra</w:t>
      </w:r>
      <w:proofErr w:type="spellEnd"/>
      <w:r w:rsidRPr="003610D2">
        <w:rPr>
          <w:rFonts w:ascii="Book Antiqua" w:hAnsi="Book Antiqua"/>
          <w:sz w:val="24"/>
          <w:szCs w:val="24"/>
        </w:rPr>
        <w:t xml:space="preserve"> 3T </w:t>
      </w:r>
      <w:r w:rsidR="00AA31B0" w:rsidRPr="003610D2">
        <w:rPr>
          <w:rFonts w:ascii="Book Antiqua" w:hAnsi="Book Antiqua"/>
          <w:sz w:val="24"/>
          <w:szCs w:val="24"/>
        </w:rPr>
        <w:t>magnetic resonance imaging (MRI)</w:t>
      </w:r>
      <w:r w:rsidRPr="003610D2">
        <w:rPr>
          <w:rFonts w:ascii="Book Antiqua" w:hAnsi="Book Antiqua"/>
          <w:sz w:val="24"/>
          <w:szCs w:val="24"/>
        </w:rPr>
        <w:t xml:space="preserve"> in the Imaging Research Core at Case Western Reserve University. Briefly, each subject was positioned supine within the MRI scanner. Spine and body array coils were used to obtain uniform images over the entire liver. A single-</w:t>
      </w:r>
      <w:proofErr w:type="spellStart"/>
      <w:r w:rsidRPr="003610D2">
        <w:rPr>
          <w:rFonts w:ascii="Book Antiqua" w:hAnsi="Book Antiqua"/>
          <w:sz w:val="24"/>
          <w:szCs w:val="24"/>
        </w:rPr>
        <w:t>breathhold</w:t>
      </w:r>
      <w:proofErr w:type="spellEnd"/>
      <w:r w:rsidRPr="003610D2">
        <w:rPr>
          <w:rFonts w:ascii="Book Antiqua" w:hAnsi="Book Antiqua"/>
          <w:sz w:val="24"/>
          <w:szCs w:val="24"/>
        </w:rPr>
        <w:t xml:space="preserve"> VIBE MRI acquisition was used to obtain axial liver PDFF maps for each subject (spatial resolution = 2 </w:t>
      </w:r>
      <w:r w:rsidR="00AA31B0" w:rsidRPr="003610D2">
        <w:rPr>
          <w:rFonts w:ascii="Book Antiqua" w:hAnsi="Book Antiqua"/>
          <w:sz w:val="24"/>
          <w:szCs w:val="24"/>
        </w:rPr>
        <w:t>mm ×</w:t>
      </w:r>
      <w:r w:rsidRPr="003610D2">
        <w:rPr>
          <w:rFonts w:ascii="Book Antiqua" w:hAnsi="Book Antiqua"/>
          <w:sz w:val="24"/>
          <w:szCs w:val="24"/>
        </w:rPr>
        <w:t xml:space="preserve"> 2</w:t>
      </w:r>
      <w:r w:rsidR="00AA31B0" w:rsidRPr="003610D2">
        <w:rPr>
          <w:rFonts w:ascii="Book Antiqua" w:hAnsi="Book Antiqua"/>
          <w:sz w:val="24"/>
          <w:szCs w:val="24"/>
        </w:rPr>
        <w:t xml:space="preserve"> mm</w:t>
      </w:r>
      <w:r w:rsidRPr="003610D2">
        <w:rPr>
          <w:rFonts w:ascii="Book Antiqua" w:hAnsi="Book Antiqua"/>
          <w:sz w:val="24"/>
          <w:szCs w:val="24"/>
        </w:rPr>
        <w:t xml:space="preserve"> </w:t>
      </w:r>
      <w:r w:rsidR="00AA31B0" w:rsidRPr="003610D2">
        <w:rPr>
          <w:rFonts w:ascii="Book Antiqua" w:hAnsi="Book Antiqua"/>
          <w:sz w:val="24"/>
          <w:szCs w:val="24"/>
        </w:rPr>
        <w:t>×</w:t>
      </w:r>
      <w:r w:rsidRPr="003610D2">
        <w:rPr>
          <w:rFonts w:ascii="Book Antiqua" w:hAnsi="Book Antiqua"/>
          <w:sz w:val="24"/>
          <w:szCs w:val="24"/>
        </w:rPr>
        <w:t xml:space="preserve"> 5 mm, 6 echoes). This MRI method also incorporates T2* correction to limit the effects of iron deposition and hepatic fibrosis</w:t>
      </w:r>
      <w:r w:rsidR="00AA31B0" w:rsidRPr="003610D2">
        <w:rPr>
          <w:rFonts w:ascii="Book Antiqua" w:hAnsi="Book Antiqua"/>
          <w:sz w:val="24"/>
          <w:szCs w:val="24"/>
        </w:rPr>
        <w:fldChar w:fldCharType="begin" w:fldLock="1"/>
      </w:r>
      <w:r w:rsidR="00AA31B0" w:rsidRPr="003610D2">
        <w:rPr>
          <w:rFonts w:ascii="Book Antiqua" w:hAnsi="Book Antiqua"/>
          <w:sz w:val="24"/>
          <w:szCs w:val="24"/>
        </w:rPr>
        <w:instrText>ADDIN CSL_CITATION { "citationItems" : [ { "id" : "ITEM-1", "itemData" : { "DOI" : "10.1148/radiol.10100659", "ISBN" : "1527-1315 (Electronic)\\r0033-8419 (Linking)", "ISSN" : "0033-8419", "PMID" : "21212366", "abstract" : "To compare the accuracy of several magnetic resonance (MR) imaging-based methods for hepatic proton-density fat fraction (FF) estimation at 3.0 T, with spectroscopy as the reference technique.", "author" : [ { "dropping-particle" : "", "family" : "Yokoo", "given" : "Takeshi", "non-dropping-particle" : "", "parse-names" : false, "suffix" : "" }, { "dropping-particle" : "", "family" : "Shiehmorteza", "given" : "Masoud", "non-dropping-particle" : "", "parse-names" : false, "suffix" : "" }, { "dropping-particle" : "", "family" : "Hamilton", "given" : "Gavin", "non-dropping-particle" : "", "parse-names" : false, "suffix" : "" }, { "dropping-particle" : "", "family" : "Wolfson", "given" : "Tanya", "non-dropping-particle" : "", "parse-names" : false, "suffix" : "" }, { "dropping-particle" : "", "family" : "Schroeder", "given" : "Michael E.", "non-dropping-particle" : "", "parse-names" : false, "suffix" : "" }, { "dropping-particle" : "", "family" : "Middleton", "given" : "Michael S.", "non-dropping-particle" : "", "parse-names" : false, "suffix" : "" }, { "dropping-particle" : "", "family" : "Bydder", "given" : "Mark", "non-dropping-particle" : "", "parse-names" : false, "suffix" : "" }, { "dropping-particle" : "", "family" : "Gamst", "given" : "Anthony C.", "non-dropping-particle" : "", "parse-names" : false, "suffix" : "" }, { "dropping-particle" : "", "family" : "Kono", "given" : "Yuko", "non-dropping-particle" : "", "parse-names" : false, "suffix" : "" }, { "dropping-particle" : "", "family" : "Kuo", "given" : "Alexander", "non-dropping-particle" : "", "parse-names" : false, "suffix" : "" }, { "dropping-particle" : "", "family" : "Patton", "given" : "Heather M.", "non-dropping-particle" : "", "parse-names" : false, "suffix" : "" }, { "dropping-particle" : "", "family" : "Horgan", "given" : "Santiago", "non-dropping-particle" : "", "parse-names" : false, "suffix" : "" }, { "dropping-particle" : "", "family" : "Lavine", "given" : "Joel E.", "non-dropping-particle" : "", "parse-names" : false, "suffix" : "" }, { "dropping-particle" : "", "family" : "Schwimmer", "given" : "Jeffrey B.", "non-dropping-particle" : "", "parse-names" : false, "suffix" : "" }, { "dropping-particle" : "", "family" : "Sirlin", "given" : "Claude B.", "non-dropping-particle" : "", "parse-names" : false, "suffix" : "" } ], "container-title" : "Radiology", "id" : "ITEM-1", "issue" : "3", "issued" : { "date-parts" : [ [ "2011" ] ] }, "page" : "749-759", "title" : "Estimation of Hepatic Proton-Density Fat Fraction by Using MR Imaging at 3.0 T", "type" : "article-journal", "volume" : "258" }, "uris" : [ "http://www.mendeley.com/documents/?uuid=b6fc629f-ddd2-4c09-8290-aad9fe66bcfd" ] } ], "mendeley" : { "formattedCitation" : "&lt;sup&gt;[44]&lt;/sup&gt;", "plainTextFormattedCitation" : "[44]", "previouslyFormattedCitation" : "&lt;sup&gt;[44]&lt;/sup&gt;" }, "properties" : {  }, "schema" : "https://github.com/citation-style-language/schema/raw/master/csl-citation.json" }</w:instrText>
      </w:r>
      <w:r w:rsidR="00AA31B0" w:rsidRPr="003610D2">
        <w:rPr>
          <w:rFonts w:ascii="Book Antiqua" w:hAnsi="Book Antiqua"/>
          <w:sz w:val="24"/>
          <w:szCs w:val="24"/>
        </w:rPr>
        <w:fldChar w:fldCharType="separate"/>
      </w:r>
      <w:r w:rsidR="00AA31B0" w:rsidRPr="003610D2">
        <w:rPr>
          <w:rFonts w:ascii="Book Antiqua" w:hAnsi="Book Antiqua"/>
          <w:noProof/>
          <w:sz w:val="24"/>
          <w:szCs w:val="24"/>
          <w:vertAlign w:val="superscript"/>
        </w:rPr>
        <w:t>[44]</w:t>
      </w:r>
      <w:r w:rsidR="00AA31B0" w:rsidRPr="003610D2">
        <w:rPr>
          <w:rFonts w:ascii="Book Antiqua" w:hAnsi="Book Antiqua"/>
          <w:sz w:val="24"/>
          <w:szCs w:val="24"/>
        </w:rPr>
        <w:fldChar w:fldCharType="end"/>
      </w:r>
      <w:r w:rsidRPr="003610D2">
        <w:rPr>
          <w:rFonts w:ascii="Book Antiqua" w:hAnsi="Book Antiqua"/>
          <w:sz w:val="24"/>
          <w:szCs w:val="24"/>
        </w:rPr>
        <w:t>.</w:t>
      </w:r>
      <w:r w:rsidR="001C1832">
        <w:rPr>
          <w:rFonts w:ascii="Book Antiqua" w:hAnsi="Book Antiqua"/>
          <w:sz w:val="24"/>
          <w:szCs w:val="24"/>
        </w:rPr>
        <w:t xml:space="preserve"> </w:t>
      </w:r>
      <w:r w:rsidRPr="003610D2">
        <w:rPr>
          <w:rFonts w:ascii="Book Antiqua" w:hAnsi="Book Antiqua"/>
          <w:sz w:val="24"/>
          <w:szCs w:val="24"/>
        </w:rPr>
        <w:t xml:space="preserve">All images were exported for offline analysis in </w:t>
      </w:r>
      <w:proofErr w:type="spellStart"/>
      <w:r w:rsidRPr="003610D2">
        <w:rPr>
          <w:rFonts w:ascii="Book Antiqua" w:hAnsi="Book Antiqua"/>
          <w:sz w:val="24"/>
          <w:szCs w:val="24"/>
        </w:rPr>
        <w:t>Matlab</w:t>
      </w:r>
      <w:proofErr w:type="spellEnd"/>
      <w:r w:rsidRPr="003610D2">
        <w:rPr>
          <w:rFonts w:ascii="Book Antiqua" w:hAnsi="Book Antiqua"/>
          <w:sz w:val="24"/>
          <w:szCs w:val="24"/>
        </w:rPr>
        <w:t xml:space="preserve"> (The </w:t>
      </w:r>
      <w:proofErr w:type="spellStart"/>
      <w:r w:rsidRPr="003610D2">
        <w:rPr>
          <w:rFonts w:ascii="Book Antiqua" w:hAnsi="Book Antiqua"/>
          <w:sz w:val="24"/>
          <w:szCs w:val="24"/>
        </w:rPr>
        <w:t>Mathworks</w:t>
      </w:r>
      <w:proofErr w:type="spellEnd"/>
      <w:r w:rsidRPr="003610D2">
        <w:rPr>
          <w:rFonts w:ascii="Book Antiqua" w:hAnsi="Book Antiqua"/>
          <w:sz w:val="24"/>
          <w:szCs w:val="24"/>
        </w:rPr>
        <w:t>, Natick, MA</w:t>
      </w:r>
      <w:r w:rsidR="00AA31B0" w:rsidRPr="003610D2">
        <w:rPr>
          <w:rFonts w:ascii="Book Antiqua" w:hAnsi="Book Antiqua"/>
          <w:sz w:val="24"/>
          <w:szCs w:val="24"/>
        </w:rPr>
        <w:t>, United States</w:t>
      </w:r>
      <w:r w:rsidRPr="003610D2">
        <w:rPr>
          <w:rFonts w:ascii="Book Antiqua" w:hAnsi="Book Antiqua"/>
          <w:sz w:val="24"/>
          <w:szCs w:val="24"/>
        </w:rPr>
        <w:t>). Mean liver PDFF was determined for the central 6-8 imaging slice</w:t>
      </w:r>
      <w:r w:rsidR="004B5DB6" w:rsidRPr="003610D2">
        <w:rPr>
          <w:rFonts w:ascii="Book Antiqua" w:hAnsi="Book Antiqua"/>
          <w:sz w:val="24"/>
          <w:szCs w:val="24"/>
        </w:rPr>
        <w:t>s</w:t>
      </w:r>
      <w:r w:rsidRPr="003610D2">
        <w:rPr>
          <w:rFonts w:ascii="Book Antiqua" w:hAnsi="Book Antiqua"/>
          <w:sz w:val="24"/>
          <w:szCs w:val="24"/>
        </w:rPr>
        <w:t xml:space="preserve"> in each subject using a region of interest (ROI) analysis.</w:t>
      </w:r>
      <w:r w:rsidR="00AA31B0" w:rsidRPr="003610D2">
        <w:rPr>
          <w:rFonts w:ascii="Book Antiqua" w:hAnsi="Book Antiqua"/>
          <w:sz w:val="24"/>
          <w:szCs w:val="24"/>
        </w:rPr>
        <w:t xml:space="preserve"> </w:t>
      </w:r>
      <w:r w:rsidRPr="003610D2">
        <w:rPr>
          <w:rFonts w:ascii="Book Antiqua" w:hAnsi="Book Antiqua"/>
          <w:sz w:val="24"/>
          <w:szCs w:val="24"/>
        </w:rPr>
        <w:t>The mean liver PDFF in each slice was then averaged over all slices to calculate the overall mean liver PDFF for each subject.</w:t>
      </w:r>
    </w:p>
    <w:p w14:paraId="039ED888" w14:textId="77777777" w:rsidR="00AA31B0" w:rsidRPr="003610D2" w:rsidRDefault="00AA31B0" w:rsidP="00F61D5F">
      <w:pPr>
        <w:adjustRightInd w:val="0"/>
        <w:snapToGrid w:val="0"/>
        <w:spacing w:after="0" w:line="360" w:lineRule="auto"/>
        <w:jc w:val="both"/>
        <w:rPr>
          <w:rFonts w:ascii="Book Antiqua" w:hAnsi="Book Antiqua"/>
          <w:sz w:val="24"/>
          <w:szCs w:val="24"/>
        </w:rPr>
      </w:pPr>
    </w:p>
    <w:p w14:paraId="7CB0BC7C" w14:textId="25E17A30" w:rsidR="00CA540A" w:rsidRPr="003610D2" w:rsidRDefault="00CA540A"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t xml:space="preserve">Data </w:t>
      </w:r>
      <w:r w:rsidR="00AA31B0" w:rsidRPr="003610D2">
        <w:rPr>
          <w:rFonts w:ascii="Book Antiqua" w:hAnsi="Book Antiqua"/>
          <w:b/>
          <w:i/>
          <w:sz w:val="24"/>
          <w:szCs w:val="24"/>
        </w:rPr>
        <w:t>and statistical considerations</w:t>
      </w:r>
    </w:p>
    <w:p w14:paraId="4732781D" w14:textId="2F1DF881" w:rsidR="009A5989" w:rsidRPr="003610D2" w:rsidRDefault="00F647D3" w:rsidP="00F61D5F">
      <w:pPr>
        <w:adjustRightInd w:val="0"/>
        <w:snapToGrid w:val="0"/>
        <w:spacing w:after="0" w:line="360" w:lineRule="auto"/>
        <w:jc w:val="both"/>
        <w:rPr>
          <w:rFonts w:ascii="Book Antiqua" w:hAnsi="Book Antiqua"/>
          <w:color w:val="000000" w:themeColor="text1"/>
          <w:sz w:val="24"/>
          <w:szCs w:val="24"/>
        </w:rPr>
      </w:pPr>
      <w:r w:rsidRPr="003610D2">
        <w:rPr>
          <w:rFonts w:ascii="Book Antiqua" w:hAnsi="Book Antiqua"/>
          <w:sz w:val="24"/>
          <w:szCs w:val="24"/>
        </w:rPr>
        <w:t>For this study, w</w:t>
      </w:r>
      <w:r w:rsidR="001378DB" w:rsidRPr="003610D2">
        <w:rPr>
          <w:rFonts w:ascii="Book Antiqua" w:hAnsi="Book Antiqua"/>
          <w:sz w:val="24"/>
          <w:szCs w:val="24"/>
        </w:rPr>
        <w:t xml:space="preserve">e </w:t>
      </w:r>
      <w:r w:rsidR="00E22762" w:rsidRPr="003610D2">
        <w:rPr>
          <w:rFonts w:ascii="Book Antiqua" w:hAnsi="Book Antiqua"/>
          <w:sz w:val="24"/>
          <w:szCs w:val="24"/>
        </w:rPr>
        <w:t xml:space="preserve">considered a </w:t>
      </w:r>
      <w:r w:rsidR="00C01F04" w:rsidRPr="003610D2">
        <w:rPr>
          <w:rFonts w:ascii="Book Antiqua" w:hAnsi="Book Antiqua"/>
          <w:sz w:val="24"/>
          <w:szCs w:val="24"/>
        </w:rPr>
        <w:t>PDFF</w:t>
      </w:r>
      <w:r w:rsidR="00E22762" w:rsidRPr="003610D2">
        <w:rPr>
          <w:rFonts w:ascii="Book Antiqua" w:hAnsi="Book Antiqua"/>
          <w:sz w:val="24"/>
          <w:szCs w:val="24"/>
        </w:rPr>
        <w:t xml:space="preserve"> &gt;</w:t>
      </w:r>
      <w:r w:rsidR="00AA31B0" w:rsidRPr="003610D2">
        <w:rPr>
          <w:rFonts w:ascii="Book Antiqua" w:hAnsi="Book Antiqua"/>
          <w:sz w:val="24"/>
          <w:szCs w:val="24"/>
        </w:rPr>
        <w:t xml:space="preserve"> </w:t>
      </w:r>
      <w:r w:rsidR="00E22762" w:rsidRPr="003610D2">
        <w:rPr>
          <w:rFonts w:ascii="Book Antiqua" w:hAnsi="Book Antiqua"/>
          <w:sz w:val="24"/>
          <w:szCs w:val="24"/>
        </w:rPr>
        <w:t xml:space="preserve">5% to be </w:t>
      </w:r>
      <w:r w:rsidR="00B54793" w:rsidRPr="003610D2">
        <w:rPr>
          <w:rFonts w:ascii="Book Antiqua" w:hAnsi="Book Antiqua"/>
          <w:sz w:val="24"/>
          <w:szCs w:val="24"/>
        </w:rPr>
        <w:t>consistent with</w:t>
      </w:r>
      <w:r w:rsidR="007045DA" w:rsidRPr="003610D2">
        <w:rPr>
          <w:rFonts w:ascii="Book Antiqua" w:hAnsi="Book Antiqua"/>
          <w:sz w:val="24"/>
          <w:szCs w:val="24"/>
        </w:rPr>
        <w:t xml:space="preserve"> clinical</w:t>
      </w:r>
      <w:r w:rsidR="00B54793" w:rsidRPr="003610D2">
        <w:rPr>
          <w:rFonts w:ascii="Book Antiqua" w:hAnsi="Book Antiqua"/>
          <w:sz w:val="24"/>
          <w:szCs w:val="24"/>
        </w:rPr>
        <w:t xml:space="preserve"> hepatic steatosis</w:t>
      </w:r>
      <w:r w:rsidR="00AA31B0" w:rsidRPr="003610D2">
        <w:rPr>
          <w:rFonts w:ascii="Book Antiqua" w:hAnsi="Book Antiqua"/>
          <w:sz w:val="24"/>
          <w:szCs w:val="24"/>
        </w:rPr>
        <w:fldChar w:fldCharType="begin" w:fldLock="1"/>
      </w:r>
      <w:r w:rsidR="00AA31B0" w:rsidRPr="003610D2">
        <w:rPr>
          <w:rFonts w:ascii="Book Antiqua" w:hAnsi="Book Antiqua"/>
          <w:sz w:val="24"/>
          <w:szCs w:val="24"/>
        </w:rPr>
        <w:instrText>ADDIN CSL_CITATION { "citationItems" : [ { "id" : "ITEM-1", "itemData" : { "DOI" : "10.1002/hep.29367", "ISBN" : "1317278194", "ISSN" : "15273350", "PMID" : "28714183", "abstract" : "Preamble This guidance provides a data-supported approach to the diagnostic, therapeutic, and preventive aspects of nonalcoholic fatty liver disease (NAFLD) care. A \" Guidance \" document is different from a \" Guideline. \"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ALT, alanine aminotransferase; APRI, AST to platelet ratio index; AST, aspartate aminotransferase; AUROC, area under the receiver operating", "author" : [ { "dropping-particle" : "", "family" : "Chalasani", "given" : "Naga", "non-dropping-particle" : "", "parse-names" : false, "suffix" : "" }, { "dropping-particle" : "", "family" : "Younossi", "given" : "Zobair", "non-dropping-particle" : "", "parse-names" : false, "suffix" : "" }, { "dropping-particle" : "", "family" : "Lavine", "given" : "Joel E.", "non-dropping-particle" : "", "parse-names" : false, "suffix" : "" }, { "dropping-particle" : "", "family" : "Charlton", "given" : "Michael", "non-dropping-particle" : "", "parse-names" : false, "suffix" : "" }, { "dropping-particle" : "", "family" : "Cusi", "given" : "Kenneth", "non-dropping-particle" : "", "parse-names" : false, "suffix" : "" }, { "dropping-particle" : "", "family" : "Rinella", "given" : "Mary", "non-dropping-particle" : "", "parse-names" : false, "suffix" : "" }, { "dropping-particle" : "", "family" : "Harrison", "given" : "Stephen A.", "non-dropping-particle" : "", "parse-names" : false, "suffix" : "" }, { "dropping-particle" : "", "family" : "Brunt", "given" : "Elizabeth M.", "non-dropping-particle" : "", "parse-names" : false, "suffix" : "" }, { "dropping-particle" : "", "family" : "Sanyal", "given" : "Arun J.", "non-dropping-particle" : "", "parse-names" : false, "suffix" : "" } ], "container-title" : "Hepatology", "id" : "ITEM-1", "issue" : "1", "issued" : { "date-parts" : [ [ "2018" ] ] }, "page" : "328-357", "title" : "The diagnosis and management of nonalcoholic fatty liver disease: Practice guidance from the American Association for the Study of Liver Diseases", "type" : "article-journal", "volume" : "67" }, "uris" : [ "http://www.mendeley.com/documents/?uuid=585fa4bb-6be4-4710-bfc4-15d9fbffb7b2" ] } ], "mendeley" : { "formattedCitation" : "&lt;sup&gt;[45]&lt;/sup&gt;", "plainTextFormattedCitation" : "[45]", "previouslyFormattedCitation" : "&lt;sup&gt;[45]&lt;/sup&gt;" }, "properties" : {  }, "schema" : "https://github.com/citation-style-language/schema/raw/master/csl-citation.json" }</w:instrText>
      </w:r>
      <w:r w:rsidR="00AA31B0" w:rsidRPr="003610D2">
        <w:rPr>
          <w:rFonts w:ascii="Book Antiqua" w:hAnsi="Book Antiqua"/>
          <w:sz w:val="24"/>
          <w:szCs w:val="24"/>
        </w:rPr>
        <w:fldChar w:fldCharType="separate"/>
      </w:r>
      <w:r w:rsidR="00AA31B0" w:rsidRPr="003610D2">
        <w:rPr>
          <w:rFonts w:ascii="Book Antiqua" w:hAnsi="Book Antiqua"/>
          <w:noProof/>
          <w:sz w:val="24"/>
          <w:szCs w:val="24"/>
          <w:vertAlign w:val="superscript"/>
        </w:rPr>
        <w:t>[45]</w:t>
      </w:r>
      <w:r w:rsidR="00AA31B0" w:rsidRPr="003610D2">
        <w:rPr>
          <w:rFonts w:ascii="Book Antiqua" w:hAnsi="Book Antiqua"/>
          <w:sz w:val="24"/>
          <w:szCs w:val="24"/>
        </w:rPr>
        <w:fldChar w:fldCharType="end"/>
      </w:r>
      <w:r w:rsidR="00E22762" w:rsidRPr="003610D2">
        <w:rPr>
          <w:rFonts w:ascii="Book Antiqua" w:hAnsi="Book Antiqua"/>
          <w:sz w:val="24"/>
          <w:szCs w:val="24"/>
        </w:rPr>
        <w:t>.</w:t>
      </w:r>
      <w:r w:rsidR="00A52121" w:rsidRPr="003610D2">
        <w:rPr>
          <w:rFonts w:ascii="Book Antiqua" w:hAnsi="Book Antiqua"/>
          <w:color w:val="FF0000"/>
          <w:sz w:val="24"/>
          <w:szCs w:val="24"/>
        </w:rPr>
        <w:t xml:space="preserve"> </w:t>
      </w:r>
      <w:r w:rsidR="001378DB" w:rsidRPr="003610D2">
        <w:rPr>
          <w:rFonts w:ascii="Book Antiqua" w:hAnsi="Book Antiqua"/>
          <w:sz w:val="24"/>
          <w:szCs w:val="24"/>
        </w:rPr>
        <w:t xml:space="preserve">We grouped subjects by </w:t>
      </w:r>
      <w:r w:rsidR="00686B7A" w:rsidRPr="003610D2">
        <w:rPr>
          <w:rFonts w:ascii="Book Antiqua" w:hAnsi="Book Antiqua"/>
          <w:sz w:val="24"/>
          <w:szCs w:val="24"/>
        </w:rPr>
        <w:t>the presence of hepatic steatosis</w:t>
      </w:r>
      <w:r w:rsidR="00E22762" w:rsidRPr="003610D2">
        <w:rPr>
          <w:rFonts w:ascii="Book Antiqua" w:hAnsi="Book Antiqua"/>
          <w:sz w:val="24"/>
          <w:szCs w:val="24"/>
        </w:rPr>
        <w:t xml:space="preserve"> &gt;</w:t>
      </w:r>
      <w:r w:rsidR="00AA31B0" w:rsidRPr="003610D2">
        <w:rPr>
          <w:rFonts w:ascii="Book Antiqua" w:hAnsi="Book Antiqua"/>
          <w:sz w:val="24"/>
          <w:szCs w:val="24"/>
        </w:rPr>
        <w:t xml:space="preserve"> </w:t>
      </w:r>
      <w:r w:rsidR="00E22762" w:rsidRPr="003610D2">
        <w:rPr>
          <w:rFonts w:ascii="Book Antiqua" w:hAnsi="Book Antiqua"/>
          <w:sz w:val="24"/>
          <w:szCs w:val="24"/>
        </w:rPr>
        <w:t>5%</w:t>
      </w:r>
      <w:r w:rsidR="001378DB" w:rsidRPr="003610D2">
        <w:rPr>
          <w:rFonts w:ascii="Book Antiqua" w:hAnsi="Book Antiqua"/>
          <w:sz w:val="24"/>
          <w:szCs w:val="24"/>
        </w:rPr>
        <w:t>, diabetes status, and CFTR modulator use</w:t>
      </w:r>
      <w:r w:rsidR="0076175F" w:rsidRPr="003610D2">
        <w:rPr>
          <w:rFonts w:ascii="Book Antiqua" w:hAnsi="Book Antiqua"/>
          <w:sz w:val="24"/>
          <w:szCs w:val="24"/>
        </w:rPr>
        <w:t xml:space="preserve"> to evaluate for</w:t>
      </w:r>
      <w:r w:rsidR="001378DB" w:rsidRPr="003610D2">
        <w:rPr>
          <w:rFonts w:ascii="Book Antiqua" w:hAnsi="Book Antiqua"/>
          <w:sz w:val="24"/>
          <w:szCs w:val="24"/>
        </w:rPr>
        <w:t xml:space="preserve"> significant associations.</w:t>
      </w:r>
      <w:r w:rsidR="008D679E" w:rsidRPr="003610D2">
        <w:rPr>
          <w:rFonts w:ascii="Book Antiqua" w:hAnsi="Book Antiqua"/>
          <w:sz w:val="24"/>
          <w:szCs w:val="24"/>
        </w:rPr>
        <w:t xml:space="preserve"> BMI percentiles were </w:t>
      </w:r>
      <w:r w:rsidR="00686B7A" w:rsidRPr="003610D2">
        <w:rPr>
          <w:rFonts w:ascii="Book Antiqua" w:hAnsi="Book Antiqua"/>
          <w:sz w:val="24"/>
          <w:szCs w:val="24"/>
        </w:rPr>
        <w:t>calculated for all subjects</w:t>
      </w:r>
      <w:r w:rsidR="006C2935" w:rsidRPr="003610D2">
        <w:rPr>
          <w:rFonts w:ascii="Book Antiqua" w:hAnsi="Book Antiqua"/>
          <w:sz w:val="24"/>
          <w:szCs w:val="24"/>
        </w:rPr>
        <w:t xml:space="preserve"> to account for age-related variation in BMI</w:t>
      </w:r>
      <w:r w:rsidR="008D679E" w:rsidRPr="003610D2">
        <w:rPr>
          <w:rFonts w:ascii="Book Antiqua" w:hAnsi="Book Antiqua"/>
          <w:sz w:val="24"/>
          <w:szCs w:val="24"/>
        </w:rPr>
        <w:t xml:space="preserve">. </w:t>
      </w:r>
      <w:r w:rsidR="00187276" w:rsidRPr="003610D2">
        <w:rPr>
          <w:rFonts w:ascii="Book Antiqua" w:hAnsi="Book Antiqua"/>
          <w:sz w:val="24"/>
          <w:szCs w:val="24"/>
        </w:rPr>
        <w:t>Alkaline phosphatase measurements were</w:t>
      </w:r>
      <w:r w:rsidR="00731E86" w:rsidRPr="003610D2">
        <w:rPr>
          <w:rFonts w:ascii="Book Antiqua" w:hAnsi="Book Antiqua"/>
          <w:sz w:val="24"/>
          <w:szCs w:val="24"/>
        </w:rPr>
        <w:t xml:space="preserve"> standardized by subtracting the age and </w:t>
      </w:r>
      <w:r w:rsidR="00BF1368" w:rsidRPr="003610D2">
        <w:rPr>
          <w:rFonts w:ascii="Book Antiqua" w:hAnsi="Book Antiqua"/>
          <w:sz w:val="24"/>
          <w:szCs w:val="24"/>
        </w:rPr>
        <w:t>sex</w:t>
      </w:r>
      <w:r w:rsidR="00731E86" w:rsidRPr="003610D2">
        <w:rPr>
          <w:rFonts w:ascii="Book Antiqua" w:hAnsi="Book Antiqua"/>
          <w:sz w:val="24"/>
          <w:szCs w:val="24"/>
        </w:rPr>
        <w:t xml:space="preserve"> specific mean and dividing by the respective standard deviation.</w:t>
      </w:r>
      <w:r w:rsidR="00187276" w:rsidRPr="003610D2">
        <w:rPr>
          <w:rFonts w:ascii="Book Antiqua" w:hAnsi="Book Antiqua"/>
          <w:sz w:val="24"/>
          <w:szCs w:val="24"/>
        </w:rPr>
        <w:t xml:space="preserve"> </w:t>
      </w:r>
      <w:r w:rsidR="00B63FEA" w:rsidRPr="003610D2">
        <w:rPr>
          <w:rFonts w:ascii="Book Antiqua" w:hAnsi="Book Antiqua"/>
          <w:sz w:val="24"/>
          <w:szCs w:val="24"/>
        </w:rPr>
        <w:t>The resulting values were in units of standard deviation.</w:t>
      </w:r>
      <w:r w:rsidR="001E1A3D" w:rsidRPr="003610D2">
        <w:rPr>
          <w:rFonts w:ascii="Book Antiqua" w:hAnsi="Book Antiqua"/>
          <w:sz w:val="24"/>
          <w:szCs w:val="24"/>
        </w:rPr>
        <w:t xml:space="preserve"> </w:t>
      </w:r>
      <w:r w:rsidR="00171994" w:rsidRPr="003610D2">
        <w:rPr>
          <w:rFonts w:ascii="Book Antiqua" w:hAnsi="Book Antiqua"/>
          <w:sz w:val="24"/>
          <w:szCs w:val="24"/>
        </w:rPr>
        <w:t xml:space="preserve">Continuous variables </w:t>
      </w:r>
      <w:r w:rsidR="00137AC2" w:rsidRPr="003610D2">
        <w:rPr>
          <w:rFonts w:ascii="Book Antiqua" w:hAnsi="Book Antiqua"/>
          <w:sz w:val="24"/>
          <w:szCs w:val="24"/>
        </w:rPr>
        <w:t>were</w:t>
      </w:r>
      <w:r w:rsidR="00171994" w:rsidRPr="003610D2">
        <w:rPr>
          <w:rFonts w:ascii="Book Antiqua" w:hAnsi="Book Antiqua"/>
          <w:sz w:val="24"/>
          <w:szCs w:val="24"/>
        </w:rPr>
        <w:t xml:space="preserve"> described </w:t>
      </w:r>
      <w:r w:rsidR="00480CC0" w:rsidRPr="003610D2">
        <w:rPr>
          <w:rFonts w:ascii="Book Antiqua" w:hAnsi="Book Antiqua"/>
          <w:sz w:val="24"/>
          <w:szCs w:val="24"/>
        </w:rPr>
        <w:t>with</w:t>
      </w:r>
      <w:r w:rsidR="00171994" w:rsidRPr="003610D2">
        <w:rPr>
          <w:rFonts w:ascii="Book Antiqua" w:hAnsi="Book Antiqua"/>
          <w:sz w:val="24"/>
          <w:szCs w:val="24"/>
        </w:rPr>
        <w:t xml:space="preserve"> </w:t>
      </w:r>
      <w:r w:rsidR="00A459DA" w:rsidRPr="003610D2">
        <w:rPr>
          <w:rFonts w:ascii="Book Antiqua" w:hAnsi="Book Antiqua"/>
          <w:sz w:val="24"/>
          <w:szCs w:val="24"/>
        </w:rPr>
        <w:t>median</w:t>
      </w:r>
      <w:r w:rsidR="00C6191D" w:rsidRPr="003610D2">
        <w:rPr>
          <w:rFonts w:ascii="Book Antiqua" w:hAnsi="Book Antiqua"/>
          <w:sz w:val="24"/>
          <w:szCs w:val="24"/>
        </w:rPr>
        <w:t>s</w:t>
      </w:r>
      <w:r w:rsidR="00A459DA" w:rsidRPr="003610D2">
        <w:rPr>
          <w:rFonts w:ascii="Book Antiqua" w:hAnsi="Book Antiqua"/>
          <w:sz w:val="24"/>
          <w:szCs w:val="24"/>
        </w:rPr>
        <w:t xml:space="preserve"> and </w:t>
      </w:r>
      <w:r w:rsidR="00A459DA" w:rsidRPr="003610D2">
        <w:rPr>
          <w:rFonts w:ascii="Book Antiqua" w:hAnsi="Book Antiqua"/>
          <w:sz w:val="24"/>
          <w:szCs w:val="24"/>
        </w:rPr>
        <w:lastRenderedPageBreak/>
        <w:t xml:space="preserve">ranges </w:t>
      </w:r>
      <w:r w:rsidR="00171994" w:rsidRPr="003610D2">
        <w:rPr>
          <w:rFonts w:ascii="Book Antiqua" w:hAnsi="Book Antiqua"/>
          <w:sz w:val="24"/>
          <w:szCs w:val="24"/>
        </w:rPr>
        <w:t>and nominal var</w:t>
      </w:r>
      <w:r w:rsidR="00A459DA" w:rsidRPr="003610D2">
        <w:rPr>
          <w:rFonts w:ascii="Book Antiqua" w:hAnsi="Book Antiqua"/>
          <w:sz w:val="24"/>
          <w:szCs w:val="24"/>
        </w:rPr>
        <w:t xml:space="preserve">iables with frequencies and </w:t>
      </w:r>
      <w:r w:rsidR="00B96A7A" w:rsidRPr="003610D2">
        <w:rPr>
          <w:rFonts w:ascii="Book Antiqua" w:hAnsi="Book Antiqua"/>
          <w:sz w:val="24"/>
          <w:szCs w:val="24"/>
        </w:rPr>
        <w:t>percent</w:t>
      </w:r>
      <w:r w:rsidR="00171994" w:rsidRPr="003610D2">
        <w:rPr>
          <w:rFonts w:ascii="Book Antiqua" w:hAnsi="Book Antiqua"/>
          <w:sz w:val="24"/>
          <w:szCs w:val="24"/>
        </w:rPr>
        <w:t>.</w:t>
      </w:r>
      <w:r w:rsidR="001378DB" w:rsidRPr="003610D2">
        <w:rPr>
          <w:rFonts w:ascii="Book Antiqua" w:hAnsi="Book Antiqua"/>
          <w:sz w:val="24"/>
          <w:szCs w:val="24"/>
        </w:rPr>
        <w:t xml:space="preserve"> </w:t>
      </w:r>
      <w:r w:rsidR="009A5989" w:rsidRPr="003610D2">
        <w:rPr>
          <w:rFonts w:ascii="Book Antiqua" w:hAnsi="Book Antiqua"/>
          <w:sz w:val="24"/>
          <w:szCs w:val="24"/>
        </w:rPr>
        <w:t xml:space="preserve">Continuous variables </w:t>
      </w:r>
      <w:r w:rsidR="009A5989" w:rsidRPr="003610D2">
        <w:rPr>
          <w:rFonts w:ascii="Book Antiqua" w:hAnsi="Book Antiqua"/>
          <w:color w:val="000000" w:themeColor="text1"/>
          <w:sz w:val="24"/>
          <w:szCs w:val="24"/>
        </w:rPr>
        <w:t xml:space="preserve">were analyzed with a Wilcoxon rank sum test and </w:t>
      </w:r>
      <w:r w:rsidR="00171994" w:rsidRPr="003610D2">
        <w:rPr>
          <w:rFonts w:ascii="Book Antiqua" w:hAnsi="Book Antiqua"/>
          <w:color w:val="000000" w:themeColor="text1"/>
          <w:sz w:val="24"/>
          <w:szCs w:val="24"/>
        </w:rPr>
        <w:t xml:space="preserve">nominal </w:t>
      </w:r>
      <w:r w:rsidR="009A5989" w:rsidRPr="003610D2">
        <w:rPr>
          <w:rFonts w:ascii="Book Antiqua" w:hAnsi="Book Antiqua"/>
          <w:color w:val="000000" w:themeColor="text1"/>
          <w:sz w:val="24"/>
          <w:szCs w:val="24"/>
        </w:rPr>
        <w:t>variables were analyzed using Chi square test or Fisher’s exact test.</w:t>
      </w:r>
      <w:r w:rsidR="001378DB" w:rsidRPr="003610D2">
        <w:rPr>
          <w:rFonts w:ascii="Book Antiqua" w:hAnsi="Book Antiqua"/>
          <w:color w:val="000000" w:themeColor="text1"/>
          <w:sz w:val="24"/>
          <w:szCs w:val="24"/>
        </w:rPr>
        <w:t xml:space="preserve"> Statistical analysis was performed using SAS software </w:t>
      </w:r>
      <w:r w:rsidR="000258A8" w:rsidRPr="003610D2">
        <w:rPr>
          <w:rFonts w:ascii="Book Antiqua" w:hAnsi="Book Antiqua"/>
          <w:color w:val="000000" w:themeColor="text1"/>
          <w:sz w:val="24"/>
          <w:szCs w:val="24"/>
        </w:rPr>
        <w:t>version 9.4 (SAS Institute, Cary, NC</w:t>
      </w:r>
      <w:r w:rsidR="00AA31B0" w:rsidRPr="003610D2">
        <w:rPr>
          <w:rFonts w:ascii="Book Antiqua" w:hAnsi="Book Antiqua"/>
          <w:color w:val="000000" w:themeColor="text1"/>
          <w:sz w:val="24"/>
          <w:szCs w:val="24"/>
        </w:rPr>
        <w:t>, United States</w:t>
      </w:r>
      <w:r w:rsidR="000258A8" w:rsidRPr="003610D2">
        <w:rPr>
          <w:rFonts w:ascii="Book Antiqua" w:hAnsi="Book Antiqua"/>
          <w:color w:val="000000" w:themeColor="text1"/>
          <w:sz w:val="24"/>
          <w:szCs w:val="24"/>
        </w:rPr>
        <w:t>).</w:t>
      </w:r>
      <w:r w:rsidR="001378DB" w:rsidRPr="003610D2">
        <w:rPr>
          <w:rFonts w:ascii="Book Antiqua" w:hAnsi="Book Antiqua"/>
          <w:color w:val="000000" w:themeColor="text1"/>
          <w:sz w:val="24"/>
          <w:szCs w:val="24"/>
        </w:rPr>
        <w:t xml:space="preserve"> </w:t>
      </w:r>
      <w:r w:rsidR="00B63FEA" w:rsidRPr="003610D2">
        <w:rPr>
          <w:rFonts w:ascii="Book Antiqua" w:hAnsi="Book Antiqua"/>
          <w:color w:val="000000" w:themeColor="text1"/>
          <w:sz w:val="24"/>
          <w:szCs w:val="24"/>
        </w:rPr>
        <w:t>The level of significance was set at 0.05.</w:t>
      </w:r>
      <w:r w:rsidR="00724B29" w:rsidRPr="003610D2">
        <w:rPr>
          <w:rFonts w:ascii="Book Antiqua" w:hAnsi="Book Antiqua"/>
          <w:color w:val="000000" w:themeColor="text1"/>
          <w:sz w:val="24"/>
          <w:szCs w:val="24"/>
        </w:rPr>
        <w:t xml:space="preserve"> </w:t>
      </w:r>
      <w:r w:rsidR="00FB4C5C" w:rsidRPr="003610D2">
        <w:rPr>
          <w:rFonts w:ascii="Book Antiqua" w:hAnsi="Book Antiqua"/>
          <w:color w:val="000000" w:themeColor="text1"/>
          <w:sz w:val="24"/>
          <w:szCs w:val="24"/>
        </w:rPr>
        <w:t xml:space="preserve">The statistical analyses were performed by MaryAnn </w:t>
      </w:r>
      <w:proofErr w:type="spellStart"/>
      <w:r w:rsidR="00FB4C5C" w:rsidRPr="003610D2">
        <w:rPr>
          <w:rFonts w:ascii="Book Antiqua" w:hAnsi="Book Antiqua"/>
          <w:color w:val="000000" w:themeColor="text1"/>
          <w:sz w:val="24"/>
          <w:szCs w:val="24"/>
        </w:rPr>
        <w:t>O’</w:t>
      </w:r>
      <w:r w:rsidR="00931A89" w:rsidRPr="003610D2">
        <w:rPr>
          <w:rFonts w:ascii="Book Antiqua" w:hAnsi="Book Antiqua"/>
          <w:color w:val="000000" w:themeColor="text1"/>
          <w:sz w:val="24"/>
          <w:szCs w:val="24"/>
        </w:rPr>
        <w:t>Riordan</w:t>
      </w:r>
      <w:proofErr w:type="spellEnd"/>
      <w:r w:rsidR="00931A89" w:rsidRPr="003610D2">
        <w:rPr>
          <w:rFonts w:ascii="Book Antiqua" w:hAnsi="Book Antiqua"/>
          <w:color w:val="000000" w:themeColor="text1"/>
          <w:sz w:val="24"/>
          <w:szCs w:val="24"/>
        </w:rPr>
        <w:t xml:space="preserve"> PhD, biomedical statistician.</w:t>
      </w:r>
    </w:p>
    <w:p w14:paraId="2BD344C1" w14:textId="77777777" w:rsidR="00AA31B0" w:rsidRPr="003610D2" w:rsidRDefault="00AA31B0" w:rsidP="00F61D5F">
      <w:pPr>
        <w:adjustRightInd w:val="0"/>
        <w:snapToGrid w:val="0"/>
        <w:spacing w:after="0" w:line="360" w:lineRule="auto"/>
        <w:jc w:val="both"/>
        <w:rPr>
          <w:rFonts w:ascii="Book Antiqua" w:hAnsi="Book Antiqua"/>
          <w:color w:val="000000" w:themeColor="text1"/>
          <w:sz w:val="24"/>
          <w:szCs w:val="24"/>
        </w:rPr>
      </w:pPr>
    </w:p>
    <w:p w14:paraId="6A062CD5" w14:textId="09F2CC50" w:rsidR="00977D22" w:rsidRPr="003610D2" w:rsidRDefault="00977D22" w:rsidP="00F61D5F">
      <w:pPr>
        <w:adjustRightInd w:val="0"/>
        <w:snapToGrid w:val="0"/>
        <w:spacing w:after="0" w:line="360" w:lineRule="auto"/>
        <w:jc w:val="both"/>
        <w:rPr>
          <w:rFonts w:ascii="Book Antiqua" w:hAnsi="Book Antiqua"/>
          <w:b/>
          <w:color w:val="000000" w:themeColor="text1"/>
          <w:sz w:val="24"/>
          <w:szCs w:val="24"/>
        </w:rPr>
      </w:pPr>
      <w:r w:rsidRPr="003610D2">
        <w:rPr>
          <w:rFonts w:ascii="Book Antiqua" w:hAnsi="Book Antiqua"/>
          <w:b/>
          <w:color w:val="000000" w:themeColor="text1"/>
          <w:sz w:val="24"/>
          <w:szCs w:val="24"/>
        </w:rPr>
        <w:t>RESULTS</w:t>
      </w:r>
    </w:p>
    <w:p w14:paraId="4FE2F714" w14:textId="4B0F330B" w:rsidR="00A63092" w:rsidRPr="003610D2" w:rsidRDefault="00A63092"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t xml:space="preserve">Participant </w:t>
      </w:r>
      <w:r w:rsidR="00AA31B0" w:rsidRPr="003610D2">
        <w:rPr>
          <w:rFonts w:ascii="Book Antiqua" w:hAnsi="Book Antiqua"/>
          <w:b/>
          <w:i/>
          <w:sz w:val="24"/>
          <w:szCs w:val="24"/>
        </w:rPr>
        <w:t>c</w:t>
      </w:r>
      <w:r w:rsidRPr="003610D2">
        <w:rPr>
          <w:rFonts w:ascii="Book Antiqua" w:hAnsi="Book Antiqua"/>
          <w:b/>
          <w:i/>
          <w:sz w:val="24"/>
          <w:szCs w:val="24"/>
        </w:rPr>
        <w:t>haracteristics</w:t>
      </w:r>
    </w:p>
    <w:p w14:paraId="1DC8C218" w14:textId="0512C977" w:rsidR="004D7B85" w:rsidRPr="003610D2" w:rsidRDefault="0076436F"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We re</w:t>
      </w:r>
      <w:r w:rsidR="00E843CD" w:rsidRPr="003610D2">
        <w:rPr>
          <w:rFonts w:ascii="Book Antiqua" w:hAnsi="Book Antiqua"/>
          <w:sz w:val="24"/>
          <w:szCs w:val="24"/>
        </w:rPr>
        <w:t>cruited 30 participants of whom</w:t>
      </w:r>
      <w:r w:rsidR="004B5DB6" w:rsidRPr="003610D2">
        <w:rPr>
          <w:rFonts w:ascii="Book Antiqua" w:hAnsi="Book Antiqua"/>
          <w:sz w:val="24"/>
          <w:szCs w:val="24"/>
        </w:rPr>
        <w:t xml:space="preserve"> 20</w:t>
      </w:r>
      <w:r w:rsidR="0095491C" w:rsidRPr="003610D2">
        <w:rPr>
          <w:rFonts w:ascii="Book Antiqua" w:hAnsi="Book Antiqua"/>
          <w:sz w:val="24"/>
          <w:szCs w:val="24"/>
        </w:rPr>
        <w:t xml:space="preserve"> completed the study</w:t>
      </w:r>
      <w:r w:rsidR="00AA31B0" w:rsidRPr="003610D2">
        <w:rPr>
          <w:rFonts w:ascii="Book Antiqua" w:hAnsi="Book Antiqua"/>
          <w:sz w:val="24"/>
          <w:szCs w:val="24"/>
        </w:rPr>
        <w:t xml:space="preserve"> (Figure 1)</w:t>
      </w:r>
      <w:r w:rsidR="0095491C" w:rsidRPr="003610D2">
        <w:rPr>
          <w:rFonts w:ascii="Book Antiqua" w:hAnsi="Book Antiqua"/>
          <w:sz w:val="24"/>
          <w:szCs w:val="24"/>
        </w:rPr>
        <w:t>.</w:t>
      </w:r>
      <w:r w:rsidR="002E5937" w:rsidRPr="003610D2">
        <w:rPr>
          <w:rFonts w:ascii="Book Antiqua" w:hAnsi="Book Antiqua"/>
          <w:sz w:val="24"/>
          <w:szCs w:val="24"/>
        </w:rPr>
        <w:t xml:space="preserve"> Exclusions</w:t>
      </w:r>
      <w:r w:rsidR="00BF1368" w:rsidRPr="003610D2">
        <w:rPr>
          <w:rFonts w:ascii="Book Antiqua" w:hAnsi="Book Antiqua"/>
          <w:sz w:val="24"/>
          <w:szCs w:val="24"/>
        </w:rPr>
        <w:t xml:space="preserve"> related to progression to </w:t>
      </w:r>
      <w:r w:rsidR="00E843CD" w:rsidRPr="003610D2">
        <w:rPr>
          <w:rFonts w:ascii="Book Antiqua" w:hAnsi="Book Antiqua"/>
          <w:sz w:val="24"/>
          <w:szCs w:val="24"/>
        </w:rPr>
        <w:t>impaired glucose tolerance on OGTT (</w:t>
      </w:r>
      <w:r w:rsidR="00E843CD" w:rsidRPr="003610D2">
        <w:rPr>
          <w:rFonts w:ascii="Book Antiqua" w:hAnsi="Book Antiqua"/>
          <w:i/>
          <w:iCs/>
          <w:sz w:val="24"/>
          <w:szCs w:val="24"/>
        </w:rPr>
        <w:t>n</w:t>
      </w:r>
      <w:r w:rsidR="00AA31B0" w:rsidRPr="003610D2">
        <w:rPr>
          <w:rFonts w:ascii="Book Antiqua" w:hAnsi="Book Antiqua"/>
          <w:sz w:val="24"/>
          <w:szCs w:val="24"/>
        </w:rPr>
        <w:t xml:space="preserve"> </w:t>
      </w:r>
      <w:r w:rsidR="00E843CD" w:rsidRPr="003610D2">
        <w:rPr>
          <w:rFonts w:ascii="Book Antiqua" w:hAnsi="Book Antiqua"/>
          <w:sz w:val="24"/>
          <w:szCs w:val="24"/>
        </w:rPr>
        <w:t>=</w:t>
      </w:r>
      <w:r w:rsidR="00AA31B0" w:rsidRPr="003610D2">
        <w:rPr>
          <w:rFonts w:ascii="Book Antiqua" w:hAnsi="Book Antiqua"/>
          <w:sz w:val="24"/>
          <w:szCs w:val="24"/>
        </w:rPr>
        <w:t xml:space="preserve"> </w:t>
      </w:r>
      <w:r w:rsidR="00E843CD" w:rsidRPr="003610D2">
        <w:rPr>
          <w:rFonts w:ascii="Book Antiqua" w:hAnsi="Book Antiqua"/>
          <w:sz w:val="24"/>
          <w:szCs w:val="24"/>
        </w:rPr>
        <w:t xml:space="preserve">3), </w:t>
      </w:r>
      <w:r w:rsidR="00C6191D" w:rsidRPr="003610D2">
        <w:rPr>
          <w:rFonts w:ascii="Book Antiqua" w:hAnsi="Book Antiqua"/>
          <w:sz w:val="24"/>
          <w:szCs w:val="24"/>
        </w:rPr>
        <w:t>inability to perform breath hold for</w:t>
      </w:r>
      <w:r w:rsidR="004B5DB6" w:rsidRPr="003610D2">
        <w:rPr>
          <w:rFonts w:ascii="Book Antiqua" w:hAnsi="Book Antiqua"/>
          <w:sz w:val="24"/>
          <w:szCs w:val="24"/>
        </w:rPr>
        <w:t xml:space="preserve"> MRI (</w:t>
      </w:r>
      <w:r w:rsidR="004B5DB6" w:rsidRPr="003610D2">
        <w:rPr>
          <w:rFonts w:ascii="Book Antiqua" w:hAnsi="Book Antiqua"/>
          <w:i/>
          <w:iCs/>
          <w:sz w:val="24"/>
          <w:szCs w:val="24"/>
        </w:rPr>
        <w:t>n</w:t>
      </w:r>
      <w:r w:rsidR="00AA31B0" w:rsidRPr="003610D2">
        <w:rPr>
          <w:rFonts w:ascii="Book Antiqua" w:hAnsi="Book Antiqua"/>
          <w:sz w:val="24"/>
          <w:szCs w:val="24"/>
        </w:rPr>
        <w:t xml:space="preserve"> </w:t>
      </w:r>
      <w:r w:rsidR="004B5DB6" w:rsidRPr="003610D2">
        <w:rPr>
          <w:rFonts w:ascii="Book Antiqua" w:hAnsi="Book Antiqua"/>
          <w:sz w:val="24"/>
          <w:szCs w:val="24"/>
        </w:rPr>
        <w:t>=</w:t>
      </w:r>
      <w:r w:rsidR="00AA31B0" w:rsidRPr="003610D2">
        <w:rPr>
          <w:rFonts w:ascii="Book Antiqua" w:hAnsi="Book Antiqua"/>
          <w:sz w:val="24"/>
          <w:szCs w:val="24"/>
        </w:rPr>
        <w:t xml:space="preserve"> </w:t>
      </w:r>
      <w:r w:rsidR="004B5DB6" w:rsidRPr="003610D2">
        <w:rPr>
          <w:rFonts w:ascii="Book Antiqua" w:hAnsi="Book Antiqua"/>
          <w:sz w:val="24"/>
          <w:szCs w:val="24"/>
        </w:rPr>
        <w:t>2),</w:t>
      </w:r>
      <w:r w:rsidR="00E843CD" w:rsidRPr="003610D2">
        <w:rPr>
          <w:rFonts w:ascii="Book Antiqua" w:hAnsi="Book Antiqua"/>
          <w:sz w:val="24"/>
          <w:szCs w:val="24"/>
        </w:rPr>
        <w:t xml:space="preserve"> failure to schedule or </w:t>
      </w:r>
      <w:r w:rsidR="00A63092" w:rsidRPr="003610D2">
        <w:rPr>
          <w:rFonts w:ascii="Book Antiqua" w:hAnsi="Book Antiqua"/>
          <w:sz w:val="24"/>
          <w:szCs w:val="24"/>
        </w:rPr>
        <w:t>complete</w:t>
      </w:r>
      <w:r w:rsidR="00E843CD" w:rsidRPr="003610D2">
        <w:rPr>
          <w:rFonts w:ascii="Book Antiqua" w:hAnsi="Book Antiqua"/>
          <w:sz w:val="24"/>
          <w:szCs w:val="24"/>
        </w:rPr>
        <w:t xml:space="preserve"> the MRI (</w:t>
      </w:r>
      <w:r w:rsidR="00E843CD" w:rsidRPr="003610D2">
        <w:rPr>
          <w:rFonts w:ascii="Book Antiqua" w:hAnsi="Book Antiqua"/>
          <w:i/>
          <w:iCs/>
          <w:sz w:val="24"/>
          <w:szCs w:val="24"/>
        </w:rPr>
        <w:t>n</w:t>
      </w:r>
      <w:r w:rsidR="00AA31B0" w:rsidRPr="003610D2">
        <w:rPr>
          <w:rFonts w:ascii="Book Antiqua" w:hAnsi="Book Antiqua"/>
          <w:sz w:val="24"/>
          <w:szCs w:val="24"/>
        </w:rPr>
        <w:t xml:space="preserve"> </w:t>
      </w:r>
      <w:r w:rsidR="00E843CD" w:rsidRPr="003610D2">
        <w:rPr>
          <w:rFonts w:ascii="Book Antiqua" w:hAnsi="Book Antiqua"/>
          <w:sz w:val="24"/>
          <w:szCs w:val="24"/>
        </w:rPr>
        <w:t>=</w:t>
      </w:r>
      <w:r w:rsidR="00AA31B0" w:rsidRPr="003610D2">
        <w:rPr>
          <w:rFonts w:ascii="Book Antiqua" w:hAnsi="Book Antiqua"/>
          <w:sz w:val="24"/>
          <w:szCs w:val="24"/>
        </w:rPr>
        <w:t xml:space="preserve"> </w:t>
      </w:r>
      <w:r w:rsidR="00E843CD" w:rsidRPr="003610D2">
        <w:rPr>
          <w:rFonts w:ascii="Book Antiqua" w:hAnsi="Book Antiqua"/>
          <w:sz w:val="24"/>
          <w:szCs w:val="24"/>
        </w:rPr>
        <w:t>4)</w:t>
      </w:r>
      <w:r w:rsidR="004B5DB6" w:rsidRPr="003610D2">
        <w:rPr>
          <w:rFonts w:ascii="Book Antiqua" w:hAnsi="Book Antiqua"/>
          <w:sz w:val="24"/>
          <w:szCs w:val="24"/>
        </w:rPr>
        <w:t xml:space="preserve"> and presence of a class </w:t>
      </w:r>
      <w:r w:rsidR="007675B6" w:rsidRPr="003610D2">
        <w:rPr>
          <w:rFonts w:ascii="Book Antiqua" w:hAnsi="Book Antiqua"/>
          <w:sz w:val="24"/>
          <w:szCs w:val="24"/>
        </w:rPr>
        <w:t xml:space="preserve">4 CFTR pathogenic variant </w:t>
      </w:r>
      <w:r w:rsidR="004B5DB6" w:rsidRPr="003610D2">
        <w:rPr>
          <w:rFonts w:ascii="Book Antiqua" w:hAnsi="Book Antiqua"/>
          <w:sz w:val="24"/>
          <w:szCs w:val="24"/>
        </w:rPr>
        <w:t>(</w:t>
      </w:r>
      <w:r w:rsidR="00AA31B0" w:rsidRPr="003610D2">
        <w:rPr>
          <w:rFonts w:ascii="Book Antiqua" w:hAnsi="Book Antiqua"/>
          <w:i/>
          <w:iCs/>
          <w:sz w:val="24"/>
          <w:szCs w:val="24"/>
        </w:rPr>
        <w:t>n</w:t>
      </w:r>
      <w:r w:rsidR="00AA31B0" w:rsidRPr="003610D2">
        <w:rPr>
          <w:rFonts w:ascii="Book Antiqua" w:hAnsi="Book Antiqua"/>
          <w:sz w:val="24"/>
          <w:szCs w:val="24"/>
        </w:rPr>
        <w:t xml:space="preserve"> = </w:t>
      </w:r>
      <w:r w:rsidR="004B5DB6" w:rsidRPr="003610D2">
        <w:rPr>
          <w:rFonts w:ascii="Book Antiqua" w:hAnsi="Book Antiqua"/>
          <w:sz w:val="24"/>
          <w:szCs w:val="24"/>
        </w:rPr>
        <w:t>1)</w:t>
      </w:r>
      <w:r w:rsidR="00E843CD" w:rsidRPr="003610D2">
        <w:rPr>
          <w:rFonts w:ascii="Book Antiqua" w:hAnsi="Book Antiqua"/>
          <w:sz w:val="24"/>
          <w:szCs w:val="24"/>
        </w:rPr>
        <w:t xml:space="preserve">. Participant characteristics are summarized in </w:t>
      </w:r>
      <w:r w:rsidR="006A7CE7" w:rsidRPr="003610D2">
        <w:rPr>
          <w:rFonts w:ascii="Book Antiqua" w:hAnsi="Book Antiqua"/>
          <w:sz w:val="24"/>
          <w:szCs w:val="24"/>
        </w:rPr>
        <w:t>Table</w:t>
      </w:r>
      <w:r w:rsidR="0015572F" w:rsidRPr="003610D2">
        <w:rPr>
          <w:rFonts w:ascii="Book Antiqua" w:hAnsi="Book Antiqua"/>
          <w:sz w:val="24"/>
          <w:szCs w:val="24"/>
        </w:rPr>
        <w:t xml:space="preserve"> </w:t>
      </w:r>
      <w:r w:rsidR="00A459DA" w:rsidRPr="003610D2">
        <w:rPr>
          <w:rFonts w:ascii="Book Antiqua" w:hAnsi="Book Antiqua"/>
          <w:sz w:val="24"/>
          <w:szCs w:val="24"/>
        </w:rPr>
        <w:t>1</w:t>
      </w:r>
      <w:r w:rsidR="00F354E1" w:rsidRPr="003610D2">
        <w:rPr>
          <w:rFonts w:ascii="Book Antiqua" w:hAnsi="Book Antiqua"/>
          <w:sz w:val="24"/>
          <w:szCs w:val="24"/>
        </w:rPr>
        <w:t>.</w:t>
      </w:r>
      <w:r w:rsidR="00A63092" w:rsidRPr="003610D2">
        <w:rPr>
          <w:rFonts w:ascii="Book Antiqua" w:hAnsi="Book Antiqua"/>
          <w:sz w:val="24"/>
          <w:szCs w:val="24"/>
        </w:rPr>
        <w:t xml:space="preserve"> </w:t>
      </w:r>
      <w:r w:rsidR="00562AB1" w:rsidRPr="003610D2">
        <w:rPr>
          <w:rFonts w:ascii="Book Antiqua" w:hAnsi="Book Antiqua"/>
          <w:sz w:val="24"/>
          <w:szCs w:val="24"/>
        </w:rPr>
        <w:t xml:space="preserve">The study population was primarily Caucasian, which </w:t>
      </w:r>
      <w:r w:rsidR="00B63FEA" w:rsidRPr="003610D2">
        <w:rPr>
          <w:rFonts w:ascii="Book Antiqua" w:hAnsi="Book Antiqua"/>
          <w:sz w:val="24"/>
          <w:szCs w:val="24"/>
        </w:rPr>
        <w:t xml:space="preserve">is consistent with </w:t>
      </w:r>
      <w:r w:rsidR="00562AB1" w:rsidRPr="003610D2">
        <w:rPr>
          <w:rFonts w:ascii="Book Antiqua" w:hAnsi="Book Antiqua"/>
          <w:sz w:val="24"/>
          <w:szCs w:val="24"/>
        </w:rPr>
        <w:t xml:space="preserve">the demographic of the </w:t>
      </w:r>
      <w:r w:rsidR="00B97C31" w:rsidRPr="003610D2">
        <w:rPr>
          <w:rFonts w:ascii="Book Antiqua" w:hAnsi="Book Antiqua"/>
          <w:sz w:val="24"/>
          <w:szCs w:val="24"/>
        </w:rPr>
        <w:t>CF</w:t>
      </w:r>
      <w:r w:rsidR="00562AB1" w:rsidRPr="003610D2">
        <w:rPr>
          <w:rFonts w:ascii="Book Antiqua" w:hAnsi="Book Antiqua"/>
          <w:sz w:val="24"/>
          <w:szCs w:val="24"/>
        </w:rPr>
        <w:t xml:space="preserve"> population overall. </w:t>
      </w:r>
      <w:r w:rsidR="00647F4F" w:rsidRPr="003610D2">
        <w:rPr>
          <w:rFonts w:ascii="Book Antiqua" w:hAnsi="Book Antiqua"/>
          <w:sz w:val="24"/>
          <w:szCs w:val="24"/>
        </w:rPr>
        <w:t>Eighty</w:t>
      </w:r>
      <w:r w:rsidR="00B63FEA" w:rsidRPr="003610D2">
        <w:rPr>
          <w:rFonts w:ascii="Book Antiqua" w:hAnsi="Book Antiqua"/>
          <w:sz w:val="24"/>
          <w:szCs w:val="24"/>
        </w:rPr>
        <w:t xml:space="preserve"> percent of the s</w:t>
      </w:r>
      <w:r w:rsidR="00562AB1" w:rsidRPr="003610D2">
        <w:rPr>
          <w:rFonts w:ascii="Book Antiqua" w:hAnsi="Book Antiqua"/>
          <w:sz w:val="24"/>
          <w:szCs w:val="24"/>
        </w:rPr>
        <w:t>tudy su</w:t>
      </w:r>
      <w:r w:rsidR="00B91CD4" w:rsidRPr="003610D2">
        <w:rPr>
          <w:rFonts w:ascii="Book Antiqua" w:hAnsi="Book Antiqua"/>
          <w:sz w:val="24"/>
          <w:szCs w:val="24"/>
        </w:rPr>
        <w:t xml:space="preserve">bjects were </w:t>
      </w:r>
      <w:r w:rsidR="00E22762" w:rsidRPr="003610D2">
        <w:rPr>
          <w:rFonts w:ascii="Book Antiqua" w:hAnsi="Book Antiqua"/>
          <w:sz w:val="24"/>
          <w:szCs w:val="24"/>
        </w:rPr>
        <w:t>male</w:t>
      </w:r>
      <w:r w:rsidR="00B63FEA" w:rsidRPr="003610D2">
        <w:rPr>
          <w:rFonts w:ascii="Book Antiqua" w:hAnsi="Book Antiqua"/>
          <w:sz w:val="24"/>
          <w:szCs w:val="24"/>
        </w:rPr>
        <w:t>.</w:t>
      </w:r>
      <w:r w:rsidR="00E22762" w:rsidRPr="003610D2">
        <w:rPr>
          <w:rFonts w:ascii="Book Antiqua" w:hAnsi="Book Antiqua"/>
          <w:sz w:val="24"/>
          <w:szCs w:val="24"/>
        </w:rPr>
        <w:t xml:space="preserve"> </w:t>
      </w:r>
      <w:r w:rsidR="00562AB1" w:rsidRPr="003610D2">
        <w:rPr>
          <w:rFonts w:ascii="Book Antiqua" w:hAnsi="Book Antiqua"/>
          <w:sz w:val="24"/>
          <w:szCs w:val="24"/>
        </w:rPr>
        <w:t>Me</w:t>
      </w:r>
      <w:r w:rsidR="003D68FC" w:rsidRPr="003610D2">
        <w:rPr>
          <w:rFonts w:ascii="Book Antiqua" w:hAnsi="Book Antiqua"/>
          <w:sz w:val="24"/>
          <w:szCs w:val="24"/>
        </w:rPr>
        <w:t>dian</w:t>
      </w:r>
      <w:r w:rsidR="00562AB1" w:rsidRPr="003610D2">
        <w:rPr>
          <w:rFonts w:ascii="Book Antiqua" w:hAnsi="Book Antiqua"/>
          <w:sz w:val="24"/>
          <w:szCs w:val="24"/>
        </w:rPr>
        <w:t xml:space="preserve"> subje</w:t>
      </w:r>
      <w:r w:rsidR="003D68FC" w:rsidRPr="003610D2">
        <w:rPr>
          <w:rFonts w:ascii="Book Antiqua" w:hAnsi="Book Antiqua"/>
          <w:sz w:val="24"/>
          <w:szCs w:val="24"/>
        </w:rPr>
        <w:t xml:space="preserve">ct age at the time of MRI was </w:t>
      </w:r>
      <w:r w:rsidR="00647F4F" w:rsidRPr="003610D2">
        <w:rPr>
          <w:rFonts w:ascii="Book Antiqua" w:hAnsi="Book Antiqua"/>
          <w:sz w:val="24"/>
          <w:szCs w:val="24"/>
        </w:rPr>
        <w:t>22.3</w:t>
      </w:r>
      <w:r w:rsidR="00562AB1" w:rsidRPr="003610D2">
        <w:rPr>
          <w:rFonts w:ascii="Book Antiqua" w:hAnsi="Book Antiqua"/>
          <w:sz w:val="24"/>
          <w:szCs w:val="24"/>
        </w:rPr>
        <w:t xml:space="preserve"> years with a </w:t>
      </w:r>
      <w:r w:rsidR="00893183" w:rsidRPr="003610D2">
        <w:rPr>
          <w:rFonts w:ascii="Book Antiqua" w:hAnsi="Book Antiqua"/>
          <w:sz w:val="24"/>
          <w:szCs w:val="24"/>
        </w:rPr>
        <w:t xml:space="preserve">range </w:t>
      </w:r>
      <w:r w:rsidR="00562AB1" w:rsidRPr="003610D2">
        <w:rPr>
          <w:rFonts w:ascii="Book Antiqua" w:hAnsi="Book Antiqua"/>
          <w:sz w:val="24"/>
          <w:szCs w:val="24"/>
        </w:rPr>
        <w:t xml:space="preserve">from </w:t>
      </w:r>
      <w:r w:rsidR="0020298E" w:rsidRPr="003610D2">
        <w:rPr>
          <w:rFonts w:ascii="Book Antiqua" w:hAnsi="Book Antiqua"/>
          <w:sz w:val="24"/>
          <w:szCs w:val="24"/>
        </w:rPr>
        <w:t>11.3</w:t>
      </w:r>
      <w:r w:rsidR="00562AB1" w:rsidRPr="003610D2">
        <w:rPr>
          <w:rFonts w:ascii="Book Antiqua" w:hAnsi="Book Antiqua"/>
          <w:sz w:val="24"/>
          <w:szCs w:val="24"/>
        </w:rPr>
        <w:t xml:space="preserve"> </w:t>
      </w:r>
      <w:r w:rsidR="004B5DB6" w:rsidRPr="003610D2">
        <w:rPr>
          <w:rFonts w:ascii="Book Antiqua" w:hAnsi="Book Antiqua"/>
          <w:sz w:val="24"/>
          <w:szCs w:val="24"/>
        </w:rPr>
        <w:t>to 39.0 years.</w:t>
      </w:r>
      <w:r w:rsidR="00EE1F88" w:rsidRPr="003610D2">
        <w:rPr>
          <w:rFonts w:ascii="Book Antiqua" w:hAnsi="Book Antiqua"/>
          <w:sz w:val="24"/>
          <w:szCs w:val="24"/>
        </w:rPr>
        <w:t xml:space="preserve"> All participants had two severe class 1-3 </w:t>
      </w:r>
      <w:r w:rsidR="007675B6" w:rsidRPr="003610D2">
        <w:rPr>
          <w:rFonts w:ascii="Book Antiqua" w:hAnsi="Book Antiqua"/>
          <w:sz w:val="24"/>
          <w:szCs w:val="24"/>
        </w:rPr>
        <w:t>CFTR pathogenic variants</w:t>
      </w:r>
      <w:r w:rsidR="00EE1F88" w:rsidRPr="003610D2">
        <w:rPr>
          <w:rFonts w:ascii="Book Antiqua" w:hAnsi="Book Antiqua"/>
          <w:sz w:val="24"/>
          <w:szCs w:val="24"/>
        </w:rPr>
        <w:t>.</w:t>
      </w:r>
      <w:r w:rsidR="004B5DB6" w:rsidRPr="003610D2">
        <w:rPr>
          <w:rFonts w:ascii="Book Antiqua" w:hAnsi="Book Antiqua"/>
          <w:sz w:val="24"/>
          <w:szCs w:val="24"/>
        </w:rPr>
        <w:t xml:space="preserve"> </w:t>
      </w:r>
      <w:r w:rsidR="0020298E" w:rsidRPr="003610D2">
        <w:rPr>
          <w:rFonts w:ascii="Book Antiqua" w:hAnsi="Book Antiqua"/>
          <w:sz w:val="24"/>
          <w:szCs w:val="24"/>
        </w:rPr>
        <w:t>Twelve subjects (</w:t>
      </w:r>
      <w:r w:rsidR="00647F4F" w:rsidRPr="003610D2">
        <w:rPr>
          <w:rFonts w:ascii="Book Antiqua" w:hAnsi="Book Antiqua"/>
          <w:sz w:val="24"/>
          <w:szCs w:val="24"/>
        </w:rPr>
        <w:t>60</w:t>
      </w:r>
      <w:r w:rsidR="0020298E" w:rsidRPr="003610D2">
        <w:rPr>
          <w:rFonts w:ascii="Book Antiqua" w:hAnsi="Book Antiqua"/>
          <w:sz w:val="24"/>
          <w:szCs w:val="24"/>
        </w:rPr>
        <w:t xml:space="preserve">%) had CFRD and </w:t>
      </w:r>
      <w:r w:rsidR="00647F4F" w:rsidRPr="003610D2">
        <w:rPr>
          <w:rFonts w:ascii="Book Antiqua" w:hAnsi="Book Antiqua"/>
          <w:sz w:val="24"/>
          <w:szCs w:val="24"/>
        </w:rPr>
        <w:t>8</w:t>
      </w:r>
      <w:r w:rsidR="0020298E" w:rsidRPr="003610D2">
        <w:rPr>
          <w:rFonts w:ascii="Book Antiqua" w:hAnsi="Book Antiqua"/>
          <w:sz w:val="24"/>
          <w:szCs w:val="24"/>
        </w:rPr>
        <w:t xml:space="preserve"> </w:t>
      </w:r>
      <w:r w:rsidR="00647F4F" w:rsidRPr="003610D2">
        <w:rPr>
          <w:rFonts w:ascii="Book Antiqua" w:hAnsi="Book Antiqua"/>
          <w:sz w:val="24"/>
          <w:szCs w:val="24"/>
        </w:rPr>
        <w:t xml:space="preserve">subjects </w:t>
      </w:r>
      <w:r w:rsidR="0076175F" w:rsidRPr="003610D2">
        <w:rPr>
          <w:rFonts w:ascii="Book Antiqua" w:hAnsi="Book Antiqua"/>
          <w:sz w:val="24"/>
          <w:szCs w:val="24"/>
        </w:rPr>
        <w:t>(40</w:t>
      </w:r>
      <w:r w:rsidR="0020298E" w:rsidRPr="003610D2">
        <w:rPr>
          <w:rFonts w:ascii="Book Antiqua" w:hAnsi="Book Antiqua"/>
          <w:sz w:val="24"/>
          <w:szCs w:val="24"/>
        </w:rPr>
        <w:t>%) had NGT.</w:t>
      </w:r>
      <w:r w:rsidR="00893183" w:rsidRPr="003610D2">
        <w:rPr>
          <w:rFonts w:ascii="Book Antiqua" w:hAnsi="Book Antiqua"/>
          <w:sz w:val="24"/>
          <w:szCs w:val="24"/>
        </w:rPr>
        <w:t xml:space="preserve"> </w:t>
      </w:r>
      <w:r w:rsidR="003754F6" w:rsidRPr="003610D2">
        <w:rPr>
          <w:rFonts w:ascii="Book Antiqua" w:hAnsi="Book Antiqua"/>
          <w:sz w:val="24"/>
          <w:szCs w:val="24"/>
        </w:rPr>
        <w:t xml:space="preserve">Ten CFRD subjects </w:t>
      </w:r>
      <w:r w:rsidR="00FA0E55" w:rsidRPr="003610D2">
        <w:rPr>
          <w:rFonts w:ascii="Book Antiqua" w:hAnsi="Book Antiqua"/>
          <w:sz w:val="24"/>
          <w:szCs w:val="24"/>
        </w:rPr>
        <w:t xml:space="preserve">(83%) </w:t>
      </w:r>
      <w:r w:rsidR="003754F6" w:rsidRPr="003610D2">
        <w:rPr>
          <w:rFonts w:ascii="Book Antiqua" w:hAnsi="Book Antiqua"/>
          <w:sz w:val="24"/>
          <w:szCs w:val="24"/>
        </w:rPr>
        <w:t xml:space="preserve">were prescribed insulin therapy. </w:t>
      </w:r>
      <w:r w:rsidR="0020298E" w:rsidRPr="003610D2">
        <w:rPr>
          <w:rFonts w:ascii="Book Antiqua" w:hAnsi="Book Antiqua"/>
          <w:sz w:val="24"/>
          <w:szCs w:val="24"/>
        </w:rPr>
        <w:t>Nine subjects (</w:t>
      </w:r>
      <w:r w:rsidR="00647F4F" w:rsidRPr="003610D2">
        <w:rPr>
          <w:rFonts w:ascii="Book Antiqua" w:hAnsi="Book Antiqua"/>
          <w:sz w:val="24"/>
          <w:szCs w:val="24"/>
        </w:rPr>
        <w:t>45</w:t>
      </w:r>
      <w:r w:rsidR="0020298E" w:rsidRPr="003610D2">
        <w:rPr>
          <w:rFonts w:ascii="Book Antiqua" w:hAnsi="Book Antiqua"/>
          <w:sz w:val="24"/>
          <w:szCs w:val="24"/>
        </w:rPr>
        <w:t xml:space="preserve">%) </w:t>
      </w:r>
      <w:r w:rsidR="00893183" w:rsidRPr="003610D2">
        <w:rPr>
          <w:rFonts w:ascii="Book Antiqua" w:hAnsi="Book Antiqua"/>
          <w:sz w:val="24"/>
          <w:szCs w:val="24"/>
        </w:rPr>
        <w:t xml:space="preserve">had </w:t>
      </w:r>
      <w:r w:rsidR="00A63092" w:rsidRPr="003610D2">
        <w:rPr>
          <w:rFonts w:ascii="Book Antiqua" w:hAnsi="Book Antiqua"/>
          <w:sz w:val="24"/>
          <w:szCs w:val="24"/>
        </w:rPr>
        <w:t>received the CFTR modulator lumacaftor/i</w:t>
      </w:r>
      <w:r w:rsidR="0020298E" w:rsidRPr="003610D2">
        <w:rPr>
          <w:rFonts w:ascii="Book Antiqua" w:hAnsi="Book Antiqua"/>
          <w:sz w:val="24"/>
          <w:szCs w:val="24"/>
        </w:rPr>
        <w:t>vacaftor (</w:t>
      </w:r>
      <w:proofErr w:type="spellStart"/>
      <w:r w:rsidR="0020298E" w:rsidRPr="003610D2">
        <w:rPr>
          <w:rFonts w:ascii="Book Antiqua" w:hAnsi="Book Antiqua"/>
          <w:sz w:val="24"/>
          <w:szCs w:val="24"/>
        </w:rPr>
        <w:t>Orkambi</w:t>
      </w:r>
      <w:proofErr w:type="spellEnd"/>
      <w:r w:rsidR="00647F4F" w:rsidRPr="00026C8A">
        <w:rPr>
          <w:rFonts w:ascii="Book Antiqua" w:hAnsi="Book Antiqua"/>
          <w:sz w:val="24"/>
          <w:szCs w:val="24"/>
          <w:vertAlign w:val="superscript"/>
        </w:rPr>
        <w:t>®</w:t>
      </w:r>
      <w:r w:rsidR="00063266" w:rsidRPr="003610D2">
        <w:rPr>
          <w:rFonts w:ascii="Book Antiqua" w:hAnsi="Book Antiqua"/>
          <w:sz w:val="24"/>
          <w:szCs w:val="24"/>
        </w:rPr>
        <w:t xml:space="preserve">) for </w:t>
      </w:r>
      <w:r w:rsidR="003C0FB7" w:rsidRPr="003610D2">
        <w:rPr>
          <w:rFonts w:ascii="Book Antiqua" w:hAnsi="Book Antiqua"/>
          <w:sz w:val="24"/>
          <w:szCs w:val="24"/>
        </w:rPr>
        <w:t xml:space="preserve">more </w:t>
      </w:r>
      <w:r w:rsidR="00063266" w:rsidRPr="003610D2">
        <w:rPr>
          <w:rFonts w:ascii="Book Antiqua" w:hAnsi="Book Antiqua"/>
          <w:sz w:val="24"/>
          <w:szCs w:val="24"/>
        </w:rPr>
        <w:t xml:space="preserve">than 12 </w:t>
      </w:r>
      <w:proofErr w:type="spellStart"/>
      <w:r w:rsidR="00063266" w:rsidRPr="003610D2">
        <w:rPr>
          <w:rFonts w:ascii="Book Antiqua" w:hAnsi="Book Antiqua"/>
          <w:sz w:val="24"/>
          <w:szCs w:val="24"/>
        </w:rPr>
        <w:t>mo</w:t>
      </w:r>
      <w:proofErr w:type="spellEnd"/>
      <w:r w:rsidR="00063266" w:rsidRPr="003610D2">
        <w:rPr>
          <w:rFonts w:ascii="Book Antiqua" w:hAnsi="Book Antiqua"/>
          <w:sz w:val="24"/>
          <w:szCs w:val="24"/>
        </w:rPr>
        <w:t xml:space="preserve"> at the time of MRI.</w:t>
      </w:r>
      <w:r w:rsidR="001C1832">
        <w:rPr>
          <w:rFonts w:ascii="Book Antiqua" w:hAnsi="Book Antiqua"/>
          <w:sz w:val="24"/>
          <w:szCs w:val="24"/>
        </w:rPr>
        <w:t xml:space="preserve"> </w:t>
      </w:r>
      <w:r w:rsidR="00063266" w:rsidRPr="003610D2">
        <w:rPr>
          <w:rFonts w:ascii="Book Antiqua" w:hAnsi="Book Antiqua"/>
          <w:sz w:val="24"/>
          <w:szCs w:val="24"/>
        </w:rPr>
        <w:t>No subject received lumacaftor/ivaca</w:t>
      </w:r>
      <w:r w:rsidR="006C2935" w:rsidRPr="003610D2">
        <w:rPr>
          <w:rFonts w:ascii="Book Antiqua" w:hAnsi="Book Antiqua"/>
          <w:sz w:val="24"/>
          <w:szCs w:val="24"/>
        </w:rPr>
        <w:t xml:space="preserve">ftor for </w:t>
      </w:r>
      <w:r w:rsidR="003C0FB7" w:rsidRPr="003610D2">
        <w:rPr>
          <w:rFonts w:ascii="Book Antiqua" w:hAnsi="Book Antiqua"/>
          <w:sz w:val="24"/>
          <w:szCs w:val="24"/>
        </w:rPr>
        <w:t>fewer</w:t>
      </w:r>
      <w:r w:rsidR="006C2935" w:rsidRPr="003610D2">
        <w:rPr>
          <w:rFonts w:ascii="Book Antiqua" w:hAnsi="Book Antiqua"/>
          <w:sz w:val="24"/>
          <w:szCs w:val="24"/>
        </w:rPr>
        <w:t xml:space="preserve"> than 12 mo.</w:t>
      </w:r>
    </w:p>
    <w:p w14:paraId="72AFEBA4" w14:textId="77777777" w:rsidR="00AA31B0" w:rsidRPr="003610D2" w:rsidRDefault="00AA31B0" w:rsidP="00F61D5F">
      <w:pPr>
        <w:adjustRightInd w:val="0"/>
        <w:snapToGrid w:val="0"/>
        <w:spacing w:after="0" w:line="360" w:lineRule="auto"/>
        <w:jc w:val="both"/>
        <w:rPr>
          <w:rFonts w:ascii="Book Antiqua" w:hAnsi="Book Antiqua"/>
          <w:sz w:val="24"/>
          <w:szCs w:val="24"/>
        </w:rPr>
      </w:pPr>
    </w:p>
    <w:p w14:paraId="1EE1B56A" w14:textId="49B27D79" w:rsidR="00636B57" w:rsidRPr="003610D2" w:rsidRDefault="00636B57"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t xml:space="preserve">Hepatic </w:t>
      </w:r>
      <w:r w:rsidR="00AA31B0" w:rsidRPr="003610D2">
        <w:rPr>
          <w:rFonts w:ascii="Book Antiqua" w:hAnsi="Book Antiqua"/>
          <w:b/>
          <w:i/>
          <w:sz w:val="24"/>
          <w:szCs w:val="24"/>
        </w:rPr>
        <w:t>s</w:t>
      </w:r>
      <w:r w:rsidRPr="003610D2">
        <w:rPr>
          <w:rFonts w:ascii="Book Antiqua" w:hAnsi="Book Antiqua"/>
          <w:b/>
          <w:i/>
          <w:sz w:val="24"/>
          <w:szCs w:val="24"/>
        </w:rPr>
        <w:t xml:space="preserve">teatosis </w:t>
      </w:r>
    </w:p>
    <w:p w14:paraId="296EEB93" w14:textId="25CB7F39" w:rsidR="0076175F" w:rsidRPr="003610D2" w:rsidRDefault="00864E5C"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 xml:space="preserve">The </w:t>
      </w:r>
      <w:r w:rsidR="00724B29" w:rsidRPr="003610D2">
        <w:rPr>
          <w:rFonts w:ascii="Book Antiqua" w:hAnsi="Book Antiqua"/>
          <w:sz w:val="24"/>
          <w:szCs w:val="24"/>
        </w:rPr>
        <w:t xml:space="preserve">median hepatic fat fraction for all subjects </w:t>
      </w:r>
      <w:r w:rsidR="00647F4F" w:rsidRPr="003610D2">
        <w:rPr>
          <w:rFonts w:ascii="Book Antiqua" w:hAnsi="Book Antiqua"/>
          <w:sz w:val="24"/>
          <w:szCs w:val="24"/>
        </w:rPr>
        <w:t>was 3.0</w:t>
      </w:r>
      <w:r w:rsidR="00724B29" w:rsidRPr="003610D2">
        <w:rPr>
          <w:rFonts w:ascii="Book Antiqua" w:hAnsi="Book Antiqua"/>
          <w:sz w:val="24"/>
          <w:szCs w:val="24"/>
        </w:rPr>
        <w:t xml:space="preserve">% with a range from </w:t>
      </w:r>
      <w:r w:rsidRPr="003610D2">
        <w:rPr>
          <w:rFonts w:ascii="Book Antiqua" w:hAnsi="Book Antiqua"/>
          <w:sz w:val="24"/>
          <w:szCs w:val="24"/>
        </w:rPr>
        <w:t>0.0</w:t>
      </w:r>
      <w:r w:rsidR="000D36CA" w:rsidRPr="003610D2">
        <w:rPr>
          <w:rFonts w:ascii="Book Antiqua" w:hAnsi="Book Antiqua"/>
          <w:sz w:val="24"/>
          <w:szCs w:val="24"/>
        </w:rPr>
        <w:t>%</w:t>
      </w:r>
      <w:r w:rsidRPr="003610D2">
        <w:rPr>
          <w:rFonts w:ascii="Book Antiqua" w:hAnsi="Book Antiqua"/>
          <w:sz w:val="24"/>
          <w:szCs w:val="24"/>
        </w:rPr>
        <w:t xml:space="preserve">-21.0%. </w:t>
      </w:r>
      <w:r w:rsidR="00786A5C" w:rsidRPr="003610D2">
        <w:rPr>
          <w:rFonts w:ascii="Book Antiqua" w:hAnsi="Book Antiqua"/>
          <w:sz w:val="24"/>
          <w:szCs w:val="24"/>
        </w:rPr>
        <w:t>S</w:t>
      </w:r>
      <w:r w:rsidR="00EE1F88" w:rsidRPr="003610D2">
        <w:rPr>
          <w:rFonts w:ascii="Book Antiqua" w:hAnsi="Book Antiqua"/>
          <w:sz w:val="24"/>
          <w:szCs w:val="24"/>
        </w:rPr>
        <w:t>ix subjects (30</w:t>
      </w:r>
      <w:r w:rsidR="00786A5C" w:rsidRPr="003610D2">
        <w:rPr>
          <w:rFonts w:ascii="Book Antiqua" w:hAnsi="Book Antiqua"/>
          <w:sz w:val="24"/>
          <w:szCs w:val="24"/>
        </w:rPr>
        <w:t>%) had hepatic steatosis</w:t>
      </w:r>
      <w:r w:rsidR="007045DA" w:rsidRPr="003610D2">
        <w:rPr>
          <w:rFonts w:ascii="Book Antiqua" w:hAnsi="Book Antiqua"/>
          <w:sz w:val="24"/>
          <w:szCs w:val="24"/>
        </w:rPr>
        <w:t xml:space="preserve">, defined as </w:t>
      </w:r>
      <w:r w:rsidR="00786A5C" w:rsidRPr="003610D2">
        <w:rPr>
          <w:rFonts w:ascii="Book Antiqua" w:hAnsi="Book Antiqua"/>
          <w:sz w:val="24"/>
          <w:szCs w:val="24"/>
        </w:rPr>
        <w:t>PDFF &gt;</w:t>
      </w:r>
      <w:r w:rsidR="00AA31B0" w:rsidRPr="003610D2">
        <w:rPr>
          <w:rFonts w:ascii="Book Antiqua" w:hAnsi="Book Antiqua"/>
          <w:sz w:val="24"/>
          <w:szCs w:val="24"/>
        </w:rPr>
        <w:t xml:space="preserve"> </w:t>
      </w:r>
      <w:r w:rsidR="00786A5C" w:rsidRPr="003610D2">
        <w:rPr>
          <w:rFonts w:ascii="Book Antiqua" w:hAnsi="Book Antiqua"/>
          <w:sz w:val="24"/>
          <w:szCs w:val="24"/>
        </w:rPr>
        <w:t xml:space="preserve">5%. </w:t>
      </w:r>
      <w:r w:rsidR="00BF4FF9" w:rsidRPr="003610D2">
        <w:rPr>
          <w:rFonts w:ascii="Book Antiqua" w:hAnsi="Book Antiqua"/>
          <w:sz w:val="24"/>
          <w:szCs w:val="24"/>
        </w:rPr>
        <w:t>Subjects with hepatic steatosis</w:t>
      </w:r>
      <w:r w:rsidR="00647F4F" w:rsidRPr="003610D2">
        <w:rPr>
          <w:rFonts w:ascii="Book Antiqua" w:hAnsi="Book Antiqua"/>
          <w:sz w:val="24"/>
          <w:szCs w:val="24"/>
        </w:rPr>
        <w:t xml:space="preserve"> showed a trend toward younger age </w:t>
      </w:r>
      <w:r w:rsidR="00464234" w:rsidRPr="003610D2">
        <w:rPr>
          <w:rFonts w:ascii="Book Antiqua" w:hAnsi="Book Antiqua"/>
          <w:sz w:val="24"/>
          <w:szCs w:val="24"/>
        </w:rPr>
        <w:t xml:space="preserve">that </w:t>
      </w:r>
      <w:r w:rsidR="00647F4F" w:rsidRPr="003610D2">
        <w:rPr>
          <w:rFonts w:ascii="Book Antiqua" w:hAnsi="Book Antiqua"/>
          <w:sz w:val="24"/>
          <w:szCs w:val="24"/>
        </w:rPr>
        <w:t xml:space="preserve">did not reach statistical significance. </w:t>
      </w:r>
      <w:r w:rsidR="00B25305" w:rsidRPr="003610D2">
        <w:rPr>
          <w:rFonts w:ascii="Book Antiqua" w:hAnsi="Book Antiqua"/>
          <w:sz w:val="24"/>
          <w:szCs w:val="24"/>
        </w:rPr>
        <w:t xml:space="preserve">Alkaline phosphatase </w:t>
      </w:r>
      <w:r w:rsidR="00E34336" w:rsidRPr="003610D2">
        <w:rPr>
          <w:rFonts w:ascii="Book Antiqua" w:hAnsi="Book Antiqua"/>
          <w:sz w:val="24"/>
          <w:szCs w:val="24"/>
        </w:rPr>
        <w:t>and</w:t>
      </w:r>
      <w:r w:rsidR="00B25305" w:rsidRPr="003610D2">
        <w:rPr>
          <w:rFonts w:ascii="Book Antiqua" w:hAnsi="Book Antiqua"/>
          <w:sz w:val="24"/>
          <w:szCs w:val="24"/>
        </w:rPr>
        <w:t xml:space="preserve"> a</w:t>
      </w:r>
      <w:r w:rsidR="00A418DC" w:rsidRPr="003610D2">
        <w:rPr>
          <w:rFonts w:ascii="Book Antiqua" w:hAnsi="Book Antiqua"/>
          <w:sz w:val="24"/>
          <w:szCs w:val="24"/>
        </w:rPr>
        <w:t>ge-adjusted</w:t>
      </w:r>
      <w:r w:rsidR="00F90749" w:rsidRPr="003610D2">
        <w:rPr>
          <w:rFonts w:ascii="Book Antiqua" w:hAnsi="Book Antiqua"/>
          <w:sz w:val="24"/>
          <w:szCs w:val="24"/>
        </w:rPr>
        <w:t xml:space="preserve"> alkaline phosphatase</w:t>
      </w:r>
      <w:r w:rsidR="00A418DC" w:rsidRPr="003610D2">
        <w:rPr>
          <w:rFonts w:ascii="Book Antiqua" w:hAnsi="Book Antiqua"/>
          <w:sz w:val="24"/>
          <w:szCs w:val="24"/>
        </w:rPr>
        <w:t xml:space="preserve"> (z-score)</w:t>
      </w:r>
      <w:r w:rsidR="00F90749" w:rsidRPr="003610D2">
        <w:rPr>
          <w:rFonts w:ascii="Book Antiqua" w:hAnsi="Book Antiqua"/>
          <w:sz w:val="24"/>
          <w:szCs w:val="24"/>
        </w:rPr>
        <w:t xml:space="preserve"> </w:t>
      </w:r>
      <w:r w:rsidR="00E34336" w:rsidRPr="003610D2">
        <w:rPr>
          <w:rFonts w:ascii="Book Antiqua" w:hAnsi="Book Antiqua"/>
          <w:sz w:val="24"/>
          <w:szCs w:val="24"/>
        </w:rPr>
        <w:t>were</w:t>
      </w:r>
      <w:r w:rsidR="00F90749" w:rsidRPr="003610D2">
        <w:rPr>
          <w:rFonts w:ascii="Book Antiqua" w:hAnsi="Book Antiqua"/>
          <w:sz w:val="24"/>
          <w:szCs w:val="24"/>
        </w:rPr>
        <w:t xml:space="preserve"> higher in subjects with </w:t>
      </w:r>
      <w:r w:rsidR="0079154E" w:rsidRPr="003610D2">
        <w:rPr>
          <w:rFonts w:ascii="Book Antiqua" w:hAnsi="Book Antiqua"/>
          <w:sz w:val="24"/>
          <w:szCs w:val="24"/>
        </w:rPr>
        <w:t xml:space="preserve">hepatic </w:t>
      </w:r>
      <w:r w:rsidR="00720185" w:rsidRPr="003610D2">
        <w:rPr>
          <w:rFonts w:ascii="Book Antiqua" w:hAnsi="Book Antiqua"/>
          <w:sz w:val="24"/>
          <w:szCs w:val="24"/>
        </w:rPr>
        <w:t>steatosis</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 xml:space="preserve">0.01 and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0.03</w:t>
      </w:r>
      <w:r w:rsidR="00F90749" w:rsidRPr="003610D2">
        <w:rPr>
          <w:rFonts w:ascii="Book Antiqua" w:hAnsi="Book Antiqua"/>
          <w:sz w:val="24"/>
          <w:szCs w:val="24"/>
        </w:rPr>
        <w:t>.</w:t>
      </w:r>
      <w:r w:rsidR="00714D23" w:rsidRPr="003610D2">
        <w:rPr>
          <w:rFonts w:ascii="Book Antiqua" w:hAnsi="Book Antiqua"/>
          <w:sz w:val="24"/>
          <w:szCs w:val="24"/>
        </w:rPr>
        <w:t xml:space="preserve"> </w:t>
      </w:r>
      <w:r w:rsidR="00853223" w:rsidRPr="003610D2">
        <w:rPr>
          <w:rFonts w:ascii="Book Antiqua" w:hAnsi="Book Antiqua"/>
          <w:sz w:val="24"/>
          <w:szCs w:val="24"/>
        </w:rPr>
        <w:t>LDL and HDL were both higher in patients with hepatic steatosis</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 xml:space="preserve">0.05 and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0.02</w:t>
      </w:r>
      <w:r w:rsidR="001E1A3D" w:rsidRPr="003610D2">
        <w:rPr>
          <w:rFonts w:ascii="Book Antiqua" w:hAnsi="Book Antiqua"/>
          <w:sz w:val="24"/>
          <w:szCs w:val="24"/>
        </w:rPr>
        <w:t>.</w:t>
      </w:r>
      <w:r w:rsidR="00E34336" w:rsidRPr="003610D2">
        <w:rPr>
          <w:rFonts w:ascii="Book Antiqua" w:hAnsi="Book Antiqua"/>
          <w:sz w:val="24"/>
          <w:szCs w:val="24"/>
        </w:rPr>
        <w:t xml:space="preserve"> </w:t>
      </w:r>
      <w:r w:rsidR="000B1404" w:rsidRPr="003610D2">
        <w:rPr>
          <w:rFonts w:ascii="Book Antiqua" w:hAnsi="Book Antiqua"/>
          <w:sz w:val="24"/>
          <w:szCs w:val="24"/>
        </w:rPr>
        <w:t>Total bilirubin, AST, ALT</w:t>
      </w:r>
      <w:r w:rsidR="00720185" w:rsidRPr="003610D2">
        <w:rPr>
          <w:rFonts w:ascii="Book Antiqua" w:hAnsi="Book Antiqua"/>
          <w:sz w:val="24"/>
          <w:szCs w:val="24"/>
        </w:rPr>
        <w:t xml:space="preserve"> and GGT</w:t>
      </w:r>
      <w:r w:rsidR="00BF4FF9" w:rsidRPr="003610D2">
        <w:rPr>
          <w:rFonts w:ascii="Book Antiqua" w:hAnsi="Book Antiqua"/>
          <w:sz w:val="24"/>
          <w:szCs w:val="24"/>
        </w:rPr>
        <w:t xml:space="preserve"> </w:t>
      </w:r>
      <w:r w:rsidR="001E1A3D" w:rsidRPr="003610D2">
        <w:rPr>
          <w:rFonts w:ascii="Book Antiqua" w:hAnsi="Book Antiqua"/>
          <w:sz w:val="24"/>
          <w:szCs w:val="24"/>
        </w:rPr>
        <w:t xml:space="preserve">did not differ significantly </w:t>
      </w:r>
      <w:r w:rsidR="00BF4FF9" w:rsidRPr="003610D2">
        <w:rPr>
          <w:rFonts w:ascii="Book Antiqua" w:hAnsi="Book Antiqua"/>
          <w:sz w:val="24"/>
          <w:szCs w:val="24"/>
        </w:rPr>
        <w:t>between subje</w:t>
      </w:r>
      <w:r w:rsidR="00A535EC" w:rsidRPr="003610D2">
        <w:rPr>
          <w:rFonts w:ascii="Book Antiqua" w:hAnsi="Book Antiqua"/>
          <w:sz w:val="24"/>
          <w:szCs w:val="24"/>
        </w:rPr>
        <w:t>cts with and without</w:t>
      </w:r>
      <w:r w:rsidR="0079154E" w:rsidRPr="003610D2">
        <w:rPr>
          <w:rFonts w:ascii="Book Antiqua" w:hAnsi="Book Antiqua"/>
          <w:sz w:val="24"/>
          <w:szCs w:val="24"/>
        </w:rPr>
        <w:t xml:space="preserve"> hepatic</w:t>
      </w:r>
      <w:r w:rsidR="00A535EC" w:rsidRPr="003610D2">
        <w:rPr>
          <w:rFonts w:ascii="Book Antiqua" w:hAnsi="Book Antiqua"/>
          <w:sz w:val="24"/>
          <w:szCs w:val="24"/>
        </w:rPr>
        <w:t xml:space="preserve"> steatosis</w:t>
      </w:r>
      <w:r w:rsidR="000D36CA" w:rsidRPr="003610D2">
        <w:rPr>
          <w:rFonts w:ascii="Book Antiqua" w:hAnsi="Book Antiqua"/>
          <w:sz w:val="24"/>
          <w:szCs w:val="24"/>
        </w:rPr>
        <w:t xml:space="preserve"> </w:t>
      </w:r>
      <w:r w:rsidR="00AA31B0" w:rsidRPr="003610D2">
        <w:rPr>
          <w:rFonts w:ascii="Book Antiqua" w:hAnsi="Book Antiqua"/>
          <w:sz w:val="24"/>
          <w:szCs w:val="24"/>
        </w:rPr>
        <w:t xml:space="preserve">(Table </w:t>
      </w:r>
      <w:r w:rsidR="001C1832">
        <w:rPr>
          <w:rFonts w:ascii="Book Antiqua" w:hAnsi="Book Antiqua"/>
          <w:sz w:val="24"/>
          <w:szCs w:val="24"/>
        </w:rPr>
        <w:t>2</w:t>
      </w:r>
      <w:r w:rsidR="00AA31B0" w:rsidRPr="003610D2">
        <w:rPr>
          <w:rFonts w:ascii="Book Antiqua" w:hAnsi="Book Antiqua"/>
          <w:sz w:val="24"/>
          <w:szCs w:val="24"/>
        </w:rPr>
        <w:t>)</w:t>
      </w:r>
      <w:r w:rsidR="00A535EC" w:rsidRPr="003610D2">
        <w:rPr>
          <w:rFonts w:ascii="Book Antiqua" w:hAnsi="Book Antiqua"/>
          <w:sz w:val="24"/>
          <w:szCs w:val="24"/>
        </w:rPr>
        <w:t xml:space="preserve">. </w:t>
      </w:r>
      <w:r w:rsidR="00DD74B7" w:rsidRPr="003610D2">
        <w:rPr>
          <w:rFonts w:ascii="Book Antiqua" w:hAnsi="Book Antiqua"/>
          <w:sz w:val="24"/>
          <w:szCs w:val="24"/>
        </w:rPr>
        <w:lastRenderedPageBreak/>
        <w:t xml:space="preserve">Missing data for </w:t>
      </w:r>
      <w:r w:rsidR="0094344D" w:rsidRPr="003610D2">
        <w:rPr>
          <w:rFonts w:ascii="Book Antiqua" w:hAnsi="Book Antiqua"/>
          <w:sz w:val="24"/>
          <w:szCs w:val="24"/>
        </w:rPr>
        <w:t xml:space="preserve">alkaline phosphatase, </w:t>
      </w:r>
      <w:r w:rsidR="00DD74B7" w:rsidRPr="003610D2">
        <w:rPr>
          <w:rFonts w:ascii="Book Antiqua" w:hAnsi="Book Antiqua"/>
          <w:sz w:val="24"/>
          <w:szCs w:val="24"/>
        </w:rPr>
        <w:t xml:space="preserve">AST, ALT, total bilirubin (1 missing), </w:t>
      </w:r>
      <w:r w:rsidR="0094344D" w:rsidRPr="003610D2">
        <w:rPr>
          <w:rFonts w:ascii="Book Antiqua" w:hAnsi="Book Antiqua"/>
          <w:sz w:val="24"/>
          <w:szCs w:val="24"/>
        </w:rPr>
        <w:t>LDL, HDL, t</w:t>
      </w:r>
      <w:r w:rsidR="00DD74B7" w:rsidRPr="003610D2">
        <w:rPr>
          <w:rFonts w:ascii="Book Antiqua" w:hAnsi="Book Antiqua"/>
          <w:sz w:val="24"/>
          <w:szCs w:val="24"/>
        </w:rPr>
        <w:t xml:space="preserve">riglyceride (4 missing), and GGT (3 missing) were excluded from </w:t>
      </w:r>
      <w:r w:rsidR="00212A93" w:rsidRPr="003610D2">
        <w:rPr>
          <w:rFonts w:ascii="Book Antiqua" w:hAnsi="Book Antiqua"/>
          <w:sz w:val="24"/>
          <w:szCs w:val="24"/>
        </w:rPr>
        <w:t>all analyses</w:t>
      </w:r>
      <w:r w:rsidR="00DD74B7" w:rsidRPr="003610D2">
        <w:rPr>
          <w:rFonts w:ascii="Book Antiqua" w:hAnsi="Book Antiqua"/>
          <w:sz w:val="24"/>
          <w:szCs w:val="24"/>
        </w:rPr>
        <w:t>.</w:t>
      </w:r>
    </w:p>
    <w:p w14:paraId="4026F351" w14:textId="77777777" w:rsidR="00AA31B0" w:rsidRPr="003610D2" w:rsidRDefault="00AA31B0" w:rsidP="00F61D5F">
      <w:pPr>
        <w:adjustRightInd w:val="0"/>
        <w:snapToGrid w:val="0"/>
        <w:spacing w:after="0" w:line="360" w:lineRule="auto"/>
        <w:jc w:val="both"/>
        <w:rPr>
          <w:rFonts w:ascii="Book Antiqua" w:hAnsi="Book Antiqua"/>
          <w:sz w:val="24"/>
          <w:szCs w:val="24"/>
        </w:rPr>
      </w:pPr>
    </w:p>
    <w:p w14:paraId="1FAD51AB" w14:textId="1524FCD8" w:rsidR="00786A5C" w:rsidRPr="003610D2" w:rsidRDefault="002E5937" w:rsidP="00F61D5F">
      <w:pPr>
        <w:adjustRightInd w:val="0"/>
        <w:snapToGrid w:val="0"/>
        <w:spacing w:after="0" w:line="360" w:lineRule="auto"/>
        <w:jc w:val="both"/>
        <w:rPr>
          <w:rFonts w:ascii="Book Antiqua" w:hAnsi="Book Antiqua"/>
          <w:b/>
          <w:sz w:val="24"/>
          <w:szCs w:val="24"/>
        </w:rPr>
      </w:pPr>
      <w:r w:rsidRPr="003610D2">
        <w:rPr>
          <w:rFonts w:ascii="Book Antiqua" w:hAnsi="Book Antiqua"/>
          <w:b/>
          <w:i/>
          <w:sz w:val="24"/>
          <w:szCs w:val="24"/>
        </w:rPr>
        <w:t xml:space="preserve">CFTR </w:t>
      </w:r>
      <w:r w:rsidR="00AA31B0" w:rsidRPr="003610D2">
        <w:rPr>
          <w:rFonts w:ascii="Book Antiqua" w:hAnsi="Book Antiqua"/>
          <w:b/>
          <w:i/>
          <w:sz w:val="24"/>
          <w:szCs w:val="24"/>
        </w:rPr>
        <w:t>m</w:t>
      </w:r>
      <w:r w:rsidR="00801635" w:rsidRPr="003610D2">
        <w:rPr>
          <w:rFonts w:ascii="Book Antiqua" w:hAnsi="Book Antiqua"/>
          <w:b/>
          <w:i/>
          <w:sz w:val="24"/>
          <w:szCs w:val="24"/>
        </w:rPr>
        <w:t>odulator</w:t>
      </w:r>
    </w:p>
    <w:p w14:paraId="34806FC4" w14:textId="5938E67E" w:rsidR="0023466A" w:rsidRPr="003610D2" w:rsidRDefault="002E5937"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Hepatic fat fraction was significantly lower in the 9 subjects receiving CFTR modulator therapy (2.0%, 0.0</w:t>
      </w:r>
      <w:r w:rsidR="00AA31B0" w:rsidRPr="003610D2">
        <w:rPr>
          <w:rFonts w:ascii="Book Antiqua" w:hAnsi="Book Antiqua"/>
          <w:sz w:val="24"/>
          <w:szCs w:val="24"/>
        </w:rPr>
        <w:t>%</w:t>
      </w:r>
      <w:r w:rsidRPr="003610D2">
        <w:rPr>
          <w:rFonts w:ascii="Book Antiqua" w:hAnsi="Book Antiqua"/>
          <w:sz w:val="24"/>
          <w:szCs w:val="24"/>
        </w:rPr>
        <w:t>-6.4%) than in the</w:t>
      </w:r>
      <w:r w:rsidR="00786A5C" w:rsidRPr="003610D2">
        <w:rPr>
          <w:rFonts w:ascii="Book Antiqua" w:hAnsi="Book Antiqua"/>
          <w:sz w:val="24"/>
          <w:szCs w:val="24"/>
        </w:rPr>
        <w:t xml:space="preserve"> </w:t>
      </w:r>
      <w:r w:rsidR="00720185" w:rsidRPr="003610D2">
        <w:rPr>
          <w:rFonts w:ascii="Book Antiqua" w:hAnsi="Book Antiqua"/>
          <w:sz w:val="24"/>
          <w:szCs w:val="24"/>
        </w:rPr>
        <w:t>11</w:t>
      </w:r>
      <w:r w:rsidR="00786A5C" w:rsidRPr="003610D2">
        <w:rPr>
          <w:rFonts w:ascii="Book Antiqua" w:hAnsi="Book Antiqua"/>
          <w:sz w:val="24"/>
          <w:szCs w:val="24"/>
        </w:rPr>
        <w:t xml:space="preserve"> subjects </w:t>
      </w:r>
      <w:r w:rsidR="00E20F0F" w:rsidRPr="003610D2">
        <w:rPr>
          <w:rFonts w:ascii="Book Antiqua" w:hAnsi="Book Antiqua"/>
          <w:sz w:val="24"/>
          <w:szCs w:val="24"/>
        </w:rPr>
        <w:t xml:space="preserve">not receiving </w:t>
      </w:r>
      <w:r w:rsidR="00FD505F" w:rsidRPr="003610D2">
        <w:rPr>
          <w:rFonts w:ascii="Book Antiqua" w:hAnsi="Book Antiqua"/>
          <w:sz w:val="24"/>
          <w:szCs w:val="24"/>
        </w:rPr>
        <w:t xml:space="preserve">CFTR </w:t>
      </w:r>
      <w:r w:rsidR="000C51E5" w:rsidRPr="003610D2">
        <w:rPr>
          <w:rFonts w:ascii="Book Antiqua" w:hAnsi="Book Antiqua"/>
          <w:sz w:val="24"/>
          <w:szCs w:val="24"/>
        </w:rPr>
        <w:t>modulators</w:t>
      </w:r>
      <w:r w:rsidR="00B54793" w:rsidRPr="003610D2">
        <w:rPr>
          <w:rFonts w:ascii="Book Antiqua" w:hAnsi="Book Antiqua"/>
          <w:sz w:val="24"/>
          <w:szCs w:val="24"/>
        </w:rPr>
        <w:t xml:space="preserve"> </w:t>
      </w:r>
      <w:r w:rsidRPr="003610D2">
        <w:rPr>
          <w:rFonts w:ascii="Book Antiqua" w:hAnsi="Book Antiqua"/>
          <w:sz w:val="24"/>
          <w:szCs w:val="24"/>
        </w:rPr>
        <w:t>(</w:t>
      </w:r>
      <w:r w:rsidR="00720185" w:rsidRPr="003610D2">
        <w:rPr>
          <w:rFonts w:ascii="Book Antiqua" w:hAnsi="Book Antiqua"/>
          <w:sz w:val="24"/>
          <w:szCs w:val="24"/>
        </w:rPr>
        <w:t>4</w:t>
      </w:r>
      <w:r w:rsidR="000C51E5" w:rsidRPr="003610D2">
        <w:rPr>
          <w:rFonts w:ascii="Book Antiqua" w:hAnsi="Book Antiqua"/>
          <w:sz w:val="24"/>
          <w:szCs w:val="24"/>
        </w:rPr>
        <w:t>.1</w:t>
      </w:r>
      <w:r w:rsidRPr="003610D2">
        <w:rPr>
          <w:rFonts w:ascii="Book Antiqua" w:hAnsi="Book Antiqua"/>
          <w:sz w:val="24"/>
          <w:szCs w:val="24"/>
        </w:rPr>
        <w:t xml:space="preserve">%, </w:t>
      </w:r>
      <w:r w:rsidR="000C51E5" w:rsidRPr="003610D2">
        <w:rPr>
          <w:rFonts w:ascii="Book Antiqua" w:hAnsi="Book Antiqua"/>
          <w:sz w:val="24"/>
          <w:szCs w:val="24"/>
        </w:rPr>
        <w:t>2.7</w:t>
      </w:r>
      <w:r w:rsidR="00AA31B0" w:rsidRPr="003610D2">
        <w:rPr>
          <w:rFonts w:ascii="Book Antiqua" w:hAnsi="Book Antiqua"/>
          <w:sz w:val="24"/>
          <w:szCs w:val="24"/>
        </w:rPr>
        <w:t>%</w:t>
      </w:r>
      <w:r w:rsidR="000C51E5" w:rsidRPr="003610D2">
        <w:rPr>
          <w:rFonts w:ascii="Book Antiqua" w:hAnsi="Book Antiqua"/>
          <w:sz w:val="24"/>
          <w:szCs w:val="24"/>
        </w:rPr>
        <w:t>-21.0%</w:t>
      </w:r>
      <w:r w:rsidR="00E20F0F" w:rsidRPr="003610D2">
        <w:rPr>
          <w:rFonts w:ascii="Book Antiqua" w:hAnsi="Book Antiqua"/>
          <w:sz w:val="24"/>
          <w:szCs w:val="24"/>
        </w:rPr>
        <w:t>),</w:t>
      </w:r>
      <w:r w:rsidR="00720185"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720185" w:rsidRPr="003610D2">
        <w:rPr>
          <w:rFonts w:ascii="Book Antiqua" w:hAnsi="Book Antiqua"/>
          <w:sz w:val="24"/>
          <w:szCs w:val="24"/>
        </w:rPr>
        <w:t>0.002</w:t>
      </w:r>
      <w:r w:rsidR="00AA31B0" w:rsidRPr="003610D2">
        <w:rPr>
          <w:rFonts w:ascii="Book Antiqua" w:hAnsi="Book Antiqua"/>
          <w:sz w:val="24"/>
          <w:szCs w:val="24"/>
        </w:rPr>
        <w:t xml:space="preserve"> (Figure 2)</w:t>
      </w:r>
      <w:r w:rsidR="004C206A" w:rsidRPr="003610D2">
        <w:rPr>
          <w:rFonts w:ascii="Book Antiqua" w:hAnsi="Book Antiqua"/>
          <w:sz w:val="24"/>
          <w:szCs w:val="24"/>
        </w:rPr>
        <w:t>.</w:t>
      </w:r>
      <w:r w:rsidR="00C66C97" w:rsidRPr="003610D2">
        <w:rPr>
          <w:rFonts w:ascii="Book Antiqua" w:hAnsi="Book Antiqua"/>
          <w:sz w:val="24"/>
          <w:szCs w:val="24"/>
        </w:rPr>
        <w:t xml:space="preserve"> </w:t>
      </w:r>
      <w:r w:rsidR="00EC1DA5" w:rsidRPr="003610D2">
        <w:rPr>
          <w:rFonts w:ascii="Book Antiqua" w:hAnsi="Book Antiqua"/>
          <w:sz w:val="24"/>
          <w:szCs w:val="24"/>
        </w:rPr>
        <w:t>Two</w:t>
      </w:r>
      <w:r w:rsidR="00801635" w:rsidRPr="003610D2">
        <w:rPr>
          <w:rFonts w:ascii="Book Antiqua" w:hAnsi="Book Antiqua"/>
          <w:sz w:val="24"/>
          <w:szCs w:val="24"/>
        </w:rPr>
        <w:t xml:space="preserve"> </w:t>
      </w:r>
      <w:r w:rsidR="00574130" w:rsidRPr="003610D2">
        <w:rPr>
          <w:rFonts w:ascii="Book Antiqua" w:hAnsi="Book Antiqua"/>
          <w:sz w:val="24"/>
          <w:szCs w:val="24"/>
        </w:rPr>
        <w:t xml:space="preserve">CFRD </w:t>
      </w:r>
      <w:r w:rsidR="00801635" w:rsidRPr="003610D2">
        <w:rPr>
          <w:rFonts w:ascii="Book Antiqua" w:hAnsi="Book Antiqua"/>
          <w:sz w:val="24"/>
          <w:szCs w:val="24"/>
        </w:rPr>
        <w:t xml:space="preserve">subjects receiving CFTR modulators had </w:t>
      </w:r>
      <w:r w:rsidR="00824766" w:rsidRPr="003610D2">
        <w:rPr>
          <w:rFonts w:ascii="Book Antiqua" w:hAnsi="Book Antiqua"/>
          <w:sz w:val="24"/>
          <w:szCs w:val="24"/>
        </w:rPr>
        <w:t xml:space="preserve">exceptionally </w:t>
      </w:r>
      <w:r w:rsidR="00801635" w:rsidRPr="003610D2">
        <w:rPr>
          <w:rFonts w:ascii="Book Antiqua" w:hAnsi="Book Antiqua"/>
          <w:sz w:val="24"/>
          <w:szCs w:val="24"/>
        </w:rPr>
        <w:t xml:space="preserve">low hepatic fat </w:t>
      </w:r>
      <w:r w:rsidR="00824766" w:rsidRPr="003610D2">
        <w:rPr>
          <w:rFonts w:ascii="Book Antiqua" w:hAnsi="Book Antiqua"/>
          <w:sz w:val="24"/>
          <w:szCs w:val="24"/>
        </w:rPr>
        <w:t xml:space="preserve">fractions </w:t>
      </w:r>
      <w:r w:rsidR="00801635" w:rsidRPr="003610D2">
        <w:rPr>
          <w:rFonts w:ascii="Book Antiqua" w:hAnsi="Book Antiqua"/>
          <w:sz w:val="24"/>
          <w:szCs w:val="24"/>
        </w:rPr>
        <w:t>of 0.0</w:t>
      </w:r>
      <w:r w:rsidR="00EC1DA5" w:rsidRPr="003610D2">
        <w:rPr>
          <w:rFonts w:ascii="Book Antiqua" w:hAnsi="Book Antiqua"/>
          <w:sz w:val="24"/>
          <w:szCs w:val="24"/>
        </w:rPr>
        <w:t>%</w:t>
      </w:r>
      <w:r w:rsidR="00FD505F" w:rsidRPr="003610D2">
        <w:rPr>
          <w:rFonts w:ascii="Book Antiqua" w:hAnsi="Book Antiqua"/>
          <w:sz w:val="24"/>
          <w:szCs w:val="24"/>
        </w:rPr>
        <w:t>.</w:t>
      </w:r>
      <w:r w:rsidR="00801635" w:rsidRPr="003610D2">
        <w:rPr>
          <w:rFonts w:ascii="Book Antiqua" w:hAnsi="Book Antiqua"/>
          <w:sz w:val="24"/>
          <w:szCs w:val="24"/>
        </w:rPr>
        <w:t xml:space="preserve"> </w:t>
      </w:r>
      <w:r w:rsidR="00A51E09" w:rsidRPr="003610D2">
        <w:rPr>
          <w:rFonts w:ascii="Book Antiqua" w:hAnsi="Book Antiqua"/>
          <w:sz w:val="24"/>
          <w:szCs w:val="24"/>
        </w:rPr>
        <w:t xml:space="preserve">Subjects receiving CFTR modulator therapy were not significantly different in terms of age, BMI percentile or diabetes status from subjects not receiving modulators. </w:t>
      </w:r>
      <w:r w:rsidR="00F64191" w:rsidRPr="003610D2">
        <w:rPr>
          <w:rFonts w:ascii="Book Antiqua" w:hAnsi="Book Antiqua"/>
          <w:sz w:val="24"/>
          <w:szCs w:val="24"/>
        </w:rPr>
        <w:t xml:space="preserve">Absolute </w:t>
      </w:r>
      <w:r w:rsidR="00A51E09" w:rsidRPr="003610D2">
        <w:rPr>
          <w:rFonts w:ascii="Book Antiqua" w:hAnsi="Book Antiqua"/>
          <w:sz w:val="24"/>
          <w:szCs w:val="24"/>
        </w:rPr>
        <w:t>BMI was higher in the CFTR modulator group</w:t>
      </w:r>
      <w:r w:rsidR="00F64191" w:rsidRPr="003610D2">
        <w:rPr>
          <w:rFonts w:ascii="Book Antiqua" w:hAnsi="Book Antiqua"/>
          <w:sz w:val="24"/>
          <w:szCs w:val="24"/>
        </w:rPr>
        <w:t xml:space="preserve">, </w:t>
      </w:r>
      <w:r w:rsidR="00E34336" w:rsidRPr="003610D2">
        <w:rPr>
          <w:rFonts w:ascii="Book Antiqua" w:hAnsi="Book Antiqua"/>
          <w:sz w:val="24"/>
          <w:szCs w:val="24"/>
        </w:rPr>
        <w:t xml:space="preserve">which likely reflects expected </w:t>
      </w:r>
      <w:r w:rsidR="00F64191" w:rsidRPr="003610D2">
        <w:rPr>
          <w:rFonts w:ascii="Book Antiqua" w:hAnsi="Book Antiqua"/>
          <w:sz w:val="24"/>
          <w:szCs w:val="24"/>
        </w:rPr>
        <w:t xml:space="preserve">age-related change in </w:t>
      </w:r>
      <w:r w:rsidR="00E34336" w:rsidRPr="003610D2">
        <w:rPr>
          <w:rFonts w:ascii="Book Antiqua" w:hAnsi="Book Antiqua"/>
          <w:sz w:val="24"/>
          <w:szCs w:val="24"/>
        </w:rPr>
        <w:t>BMI</w:t>
      </w:r>
      <w:r w:rsidR="00A51E09"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A51E09" w:rsidRPr="003610D2">
        <w:rPr>
          <w:rFonts w:ascii="Book Antiqua" w:hAnsi="Book Antiqua"/>
          <w:sz w:val="24"/>
          <w:szCs w:val="24"/>
        </w:rPr>
        <w:t>0.05</w:t>
      </w:r>
      <w:r w:rsidR="00AA31B0" w:rsidRPr="003610D2">
        <w:rPr>
          <w:rFonts w:ascii="Book Antiqua" w:hAnsi="Book Antiqua"/>
          <w:sz w:val="24"/>
          <w:szCs w:val="24"/>
        </w:rPr>
        <w:t xml:space="preserve"> (Table </w:t>
      </w:r>
      <w:r w:rsidR="001C1832">
        <w:rPr>
          <w:rFonts w:ascii="Book Antiqua" w:hAnsi="Book Antiqua"/>
          <w:sz w:val="24"/>
          <w:szCs w:val="24"/>
        </w:rPr>
        <w:t>3</w:t>
      </w:r>
      <w:r w:rsidR="00AA31B0" w:rsidRPr="003610D2">
        <w:rPr>
          <w:rFonts w:ascii="Book Antiqua" w:hAnsi="Book Antiqua"/>
          <w:sz w:val="24"/>
          <w:szCs w:val="24"/>
        </w:rPr>
        <w:t>)</w:t>
      </w:r>
      <w:r w:rsidR="00A51E09" w:rsidRPr="003610D2">
        <w:rPr>
          <w:rFonts w:ascii="Book Antiqua" w:hAnsi="Book Antiqua"/>
          <w:sz w:val="24"/>
          <w:szCs w:val="24"/>
        </w:rPr>
        <w:t xml:space="preserve">. </w:t>
      </w:r>
    </w:p>
    <w:p w14:paraId="4F67C4E4" w14:textId="59432B87" w:rsidR="00A51E09" w:rsidRPr="003610D2" w:rsidRDefault="00595D54" w:rsidP="009C687E">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sz w:val="24"/>
          <w:szCs w:val="24"/>
        </w:rPr>
        <w:t>CFTR modulator use was associated with lower total bilirubin</w:t>
      </w:r>
      <w:r w:rsidR="00A63092" w:rsidRPr="003610D2">
        <w:rPr>
          <w:rFonts w:ascii="Book Antiqua" w:hAnsi="Book Antiqua"/>
          <w:sz w:val="24"/>
          <w:szCs w:val="24"/>
        </w:rPr>
        <w:t xml:space="preserve"> </w:t>
      </w:r>
      <w:r w:rsidR="00B54793" w:rsidRPr="003610D2">
        <w:rPr>
          <w:rFonts w:ascii="Book Antiqua" w:hAnsi="Book Antiqua"/>
          <w:sz w:val="24"/>
          <w:szCs w:val="24"/>
        </w:rPr>
        <w:t>than no CFTR modulator use</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0.003</w:t>
      </w:r>
      <w:r w:rsidR="00824766" w:rsidRPr="003610D2">
        <w:rPr>
          <w:rFonts w:ascii="Book Antiqua" w:hAnsi="Book Antiqua"/>
          <w:sz w:val="24"/>
          <w:szCs w:val="24"/>
        </w:rPr>
        <w:t xml:space="preserve">. </w:t>
      </w:r>
      <w:r w:rsidR="00A51E09" w:rsidRPr="003610D2">
        <w:rPr>
          <w:rFonts w:ascii="Book Antiqua" w:hAnsi="Book Antiqua"/>
          <w:sz w:val="24"/>
          <w:szCs w:val="24"/>
        </w:rPr>
        <w:t xml:space="preserve">Alkaline </w:t>
      </w:r>
      <w:r w:rsidR="00C14576" w:rsidRPr="003610D2">
        <w:rPr>
          <w:rFonts w:ascii="Book Antiqua" w:hAnsi="Book Antiqua"/>
          <w:sz w:val="24"/>
          <w:szCs w:val="24"/>
        </w:rPr>
        <w:t>phosphatase</w:t>
      </w:r>
      <w:r w:rsidR="00A51E09" w:rsidRPr="003610D2">
        <w:rPr>
          <w:rFonts w:ascii="Book Antiqua" w:hAnsi="Book Antiqua"/>
          <w:sz w:val="24"/>
          <w:szCs w:val="24"/>
        </w:rPr>
        <w:t xml:space="preserve"> levels were </w:t>
      </w:r>
      <w:r w:rsidR="003D5468" w:rsidRPr="003610D2">
        <w:rPr>
          <w:rFonts w:ascii="Book Antiqua" w:hAnsi="Book Antiqua"/>
          <w:sz w:val="24"/>
          <w:szCs w:val="24"/>
        </w:rPr>
        <w:t xml:space="preserve">also </w:t>
      </w:r>
      <w:r w:rsidR="00A51E09" w:rsidRPr="003610D2">
        <w:rPr>
          <w:rFonts w:ascii="Book Antiqua" w:hAnsi="Book Antiqua"/>
          <w:sz w:val="24"/>
          <w:szCs w:val="24"/>
        </w:rPr>
        <w:t>l</w:t>
      </w:r>
      <w:r w:rsidR="00E34336" w:rsidRPr="003610D2">
        <w:rPr>
          <w:rFonts w:ascii="Book Antiqua" w:hAnsi="Book Antiqua"/>
          <w:sz w:val="24"/>
          <w:szCs w:val="24"/>
        </w:rPr>
        <w:t>ower in the CFTR modulator group</w:t>
      </w:r>
      <w:r w:rsidR="003D5468" w:rsidRPr="003610D2">
        <w:rPr>
          <w:rFonts w:ascii="Book Antiqua" w:hAnsi="Book Antiqua"/>
          <w:sz w:val="24"/>
          <w:szCs w:val="24"/>
        </w:rPr>
        <w:t xml:space="preserve">, </w:t>
      </w:r>
      <w:r w:rsidR="00A51E09" w:rsidRPr="003610D2">
        <w:rPr>
          <w:rFonts w:ascii="Book Antiqua" w:hAnsi="Book Antiqua"/>
          <w:sz w:val="24"/>
          <w:szCs w:val="24"/>
        </w:rPr>
        <w:t xml:space="preserve">but this difference may </w:t>
      </w:r>
      <w:r w:rsidR="00E34336" w:rsidRPr="003610D2">
        <w:rPr>
          <w:rFonts w:ascii="Book Antiqua" w:hAnsi="Book Antiqua"/>
          <w:sz w:val="24"/>
          <w:szCs w:val="24"/>
        </w:rPr>
        <w:t>relate to younger age</w:t>
      </w:r>
      <w:r w:rsidR="00A51E09" w:rsidRPr="003610D2">
        <w:rPr>
          <w:rFonts w:ascii="Book Antiqua" w:hAnsi="Book Antiqua"/>
          <w:sz w:val="24"/>
          <w:szCs w:val="24"/>
        </w:rPr>
        <w:t xml:space="preserve"> in the no CFTR modulator group</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0.01</w:t>
      </w:r>
      <w:r w:rsidR="00A51E09" w:rsidRPr="003610D2">
        <w:rPr>
          <w:rFonts w:ascii="Book Antiqua" w:hAnsi="Book Antiqua"/>
          <w:sz w:val="24"/>
          <w:szCs w:val="24"/>
        </w:rPr>
        <w:t xml:space="preserve">. </w:t>
      </w:r>
      <w:r w:rsidR="00A418DC" w:rsidRPr="003610D2">
        <w:rPr>
          <w:rFonts w:ascii="Book Antiqua" w:hAnsi="Book Antiqua"/>
          <w:sz w:val="24"/>
          <w:szCs w:val="24"/>
        </w:rPr>
        <w:t>A</w:t>
      </w:r>
      <w:r w:rsidR="00A51E09" w:rsidRPr="003610D2">
        <w:rPr>
          <w:rFonts w:ascii="Book Antiqua" w:hAnsi="Book Antiqua"/>
          <w:sz w:val="24"/>
          <w:szCs w:val="24"/>
        </w:rPr>
        <w:t>lthough a</w:t>
      </w:r>
      <w:r w:rsidR="00A418DC" w:rsidRPr="003610D2">
        <w:rPr>
          <w:rFonts w:ascii="Book Antiqua" w:hAnsi="Book Antiqua"/>
          <w:sz w:val="24"/>
          <w:szCs w:val="24"/>
        </w:rPr>
        <w:t>ge-adjusted a</w:t>
      </w:r>
      <w:r w:rsidR="007045DA" w:rsidRPr="003610D2">
        <w:rPr>
          <w:rFonts w:ascii="Book Antiqua" w:hAnsi="Book Antiqua"/>
          <w:sz w:val="24"/>
          <w:szCs w:val="24"/>
        </w:rPr>
        <w:t xml:space="preserve">lkaline phosphatase </w:t>
      </w:r>
      <w:r w:rsidR="002E5937" w:rsidRPr="003610D2">
        <w:rPr>
          <w:rFonts w:ascii="Book Antiqua" w:hAnsi="Book Antiqua"/>
          <w:sz w:val="24"/>
          <w:szCs w:val="24"/>
        </w:rPr>
        <w:t xml:space="preserve">(z scores) </w:t>
      </w:r>
      <w:r w:rsidR="00824766" w:rsidRPr="003610D2">
        <w:rPr>
          <w:rFonts w:ascii="Book Antiqua" w:hAnsi="Book Antiqua"/>
          <w:sz w:val="24"/>
          <w:szCs w:val="24"/>
        </w:rPr>
        <w:t>were</w:t>
      </w:r>
      <w:r w:rsidR="00A51E09" w:rsidRPr="003610D2">
        <w:rPr>
          <w:rFonts w:ascii="Book Antiqua" w:hAnsi="Book Antiqua"/>
          <w:sz w:val="24"/>
          <w:szCs w:val="24"/>
        </w:rPr>
        <w:t xml:space="preserve"> numerically</w:t>
      </w:r>
      <w:r w:rsidR="00824766" w:rsidRPr="003610D2">
        <w:rPr>
          <w:rFonts w:ascii="Book Antiqua" w:hAnsi="Book Antiqua"/>
          <w:sz w:val="24"/>
          <w:szCs w:val="24"/>
        </w:rPr>
        <w:t xml:space="preserve"> lower in </w:t>
      </w:r>
      <w:r w:rsidR="00A459DA" w:rsidRPr="003610D2">
        <w:rPr>
          <w:rFonts w:ascii="Book Antiqua" w:hAnsi="Book Antiqua"/>
          <w:sz w:val="24"/>
          <w:szCs w:val="24"/>
        </w:rPr>
        <w:t xml:space="preserve">the </w:t>
      </w:r>
      <w:r w:rsidR="00B54793" w:rsidRPr="003610D2">
        <w:rPr>
          <w:rFonts w:ascii="Book Antiqua" w:hAnsi="Book Antiqua"/>
          <w:sz w:val="24"/>
          <w:szCs w:val="24"/>
        </w:rPr>
        <w:t xml:space="preserve">CFTR </w:t>
      </w:r>
      <w:r w:rsidR="00A459DA" w:rsidRPr="003610D2">
        <w:rPr>
          <w:rFonts w:ascii="Book Antiqua" w:hAnsi="Book Antiqua"/>
          <w:sz w:val="24"/>
          <w:szCs w:val="24"/>
        </w:rPr>
        <w:t>modulator group</w:t>
      </w:r>
      <w:r w:rsidR="00B54793" w:rsidRPr="003610D2">
        <w:rPr>
          <w:rFonts w:ascii="Book Antiqua" w:hAnsi="Book Antiqua"/>
          <w:sz w:val="24"/>
          <w:szCs w:val="24"/>
        </w:rPr>
        <w:t xml:space="preserve"> than the no CFTR modulator group</w:t>
      </w:r>
      <w:r w:rsidR="003D5468" w:rsidRPr="003610D2">
        <w:rPr>
          <w:rFonts w:ascii="Book Antiqua" w:hAnsi="Book Antiqua"/>
          <w:sz w:val="24"/>
          <w:szCs w:val="24"/>
        </w:rPr>
        <w:t xml:space="preserve">, </w:t>
      </w:r>
      <w:r w:rsidR="00A51E09" w:rsidRPr="003610D2">
        <w:rPr>
          <w:rFonts w:ascii="Book Antiqua" w:hAnsi="Book Antiqua"/>
          <w:sz w:val="24"/>
          <w:szCs w:val="24"/>
        </w:rPr>
        <w:t xml:space="preserve">this </w:t>
      </w:r>
      <w:r w:rsidR="00A459DA" w:rsidRPr="003610D2">
        <w:rPr>
          <w:rFonts w:ascii="Book Antiqua" w:hAnsi="Book Antiqua"/>
          <w:sz w:val="24"/>
          <w:szCs w:val="24"/>
        </w:rPr>
        <w:t>did not reach statistical significance</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0.07</w:t>
      </w:r>
      <w:r w:rsidR="009C687E" w:rsidRPr="003610D2">
        <w:rPr>
          <w:rFonts w:ascii="Book Antiqua" w:hAnsi="Book Antiqua"/>
          <w:sz w:val="24"/>
          <w:szCs w:val="24"/>
        </w:rPr>
        <w:t xml:space="preserve"> (Table </w:t>
      </w:r>
      <w:r w:rsidR="001C1832">
        <w:rPr>
          <w:rFonts w:ascii="Book Antiqua" w:hAnsi="Book Antiqua"/>
          <w:sz w:val="24"/>
          <w:szCs w:val="24"/>
        </w:rPr>
        <w:t>3</w:t>
      </w:r>
      <w:r w:rsidR="009C687E" w:rsidRPr="003610D2">
        <w:rPr>
          <w:rFonts w:ascii="Book Antiqua" w:hAnsi="Book Antiqua"/>
          <w:sz w:val="24"/>
          <w:szCs w:val="24"/>
        </w:rPr>
        <w:t>)</w:t>
      </w:r>
      <w:r w:rsidR="00A459DA" w:rsidRPr="003610D2">
        <w:rPr>
          <w:rFonts w:ascii="Book Antiqua" w:hAnsi="Book Antiqua"/>
          <w:sz w:val="24"/>
          <w:szCs w:val="24"/>
        </w:rPr>
        <w:t>.</w:t>
      </w:r>
    </w:p>
    <w:p w14:paraId="3CE0D8C1" w14:textId="77777777" w:rsidR="009C687E" w:rsidRPr="003610D2" w:rsidRDefault="009C687E" w:rsidP="00026C8A">
      <w:pPr>
        <w:adjustRightInd w:val="0"/>
        <w:snapToGrid w:val="0"/>
        <w:spacing w:after="0" w:line="360" w:lineRule="auto"/>
        <w:jc w:val="both"/>
        <w:rPr>
          <w:rFonts w:ascii="Book Antiqua" w:hAnsi="Book Antiqua"/>
          <w:noProof/>
          <w:sz w:val="24"/>
          <w:szCs w:val="24"/>
          <w:lang w:eastAsia="zh-CN"/>
        </w:rPr>
      </w:pPr>
    </w:p>
    <w:p w14:paraId="6F4890F4" w14:textId="30832CDC" w:rsidR="00E843CD" w:rsidRPr="003610D2" w:rsidRDefault="00AB2CF6" w:rsidP="00F61D5F">
      <w:pPr>
        <w:adjustRightInd w:val="0"/>
        <w:snapToGrid w:val="0"/>
        <w:spacing w:after="0" w:line="360" w:lineRule="auto"/>
        <w:jc w:val="both"/>
        <w:rPr>
          <w:rFonts w:ascii="Book Antiqua" w:hAnsi="Book Antiqua"/>
          <w:b/>
          <w:sz w:val="24"/>
          <w:szCs w:val="24"/>
        </w:rPr>
      </w:pPr>
      <w:r w:rsidRPr="003610D2">
        <w:rPr>
          <w:rFonts w:ascii="Book Antiqua" w:hAnsi="Book Antiqua"/>
          <w:b/>
          <w:i/>
          <w:sz w:val="24"/>
          <w:szCs w:val="24"/>
        </w:rPr>
        <w:t>Diabetes</w:t>
      </w:r>
    </w:p>
    <w:p w14:paraId="4967DA7F" w14:textId="5A3E7AF5" w:rsidR="0093654D" w:rsidRPr="003610D2" w:rsidRDefault="00E20F0F"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 xml:space="preserve">The </w:t>
      </w:r>
      <w:r w:rsidR="00706D49" w:rsidRPr="003610D2">
        <w:rPr>
          <w:rFonts w:ascii="Book Antiqua" w:hAnsi="Book Antiqua"/>
          <w:sz w:val="24"/>
          <w:szCs w:val="24"/>
        </w:rPr>
        <w:t>median</w:t>
      </w:r>
      <w:r w:rsidRPr="003610D2">
        <w:rPr>
          <w:rFonts w:ascii="Book Antiqua" w:hAnsi="Book Antiqua"/>
          <w:sz w:val="24"/>
          <w:szCs w:val="24"/>
        </w:rPr>
        <w:t xml:space="preserve"> hepatic fat fraction</w:t>
      </w:r>
      <w:r w:rsidR="004142EB" w:rsidRPr="003610D2">
        <w:rPr>
          <w:rFonts w:ascii="Book Antiqua" w:hAnsi="Book Antiqua"/>
          <w:sz w:val="24"/>
          <w:szCs w:val="24"/>
        </w:rPr>
        <w:t xml:space="preserve"> was not statistically different</w:t>
      </w:r>
      <w:r w:rsidRPr="003610D2">
        <w:rPr>
          <w:rFonts w:ascii="Book Antiqua" w:hAnsi="Book Antiqua"/>
          <w:sz w:val="24"/>
          <w:szCs w:val="24"/>
        </w:rPr>
        <w:t xml:space="preserve"> </w:t>
      </w:r>
      <w:r w:rsidR="000B1404" w:rsidRPr="003610D2">
        <w:rPr>
          <w:rFonts w:ascii="Book Antiqua" w:hAnsi="Book Antiqua"/>
          <w:sz w:val="24"/>
          <w:szCs w:val="24"/>
        </w:rPr>
        <w:t>between subjects with CFRD</w:t>
      </w:r>
      <w:r w:rsidR="00706D49" w:rsidRPr="003610D2">
        <w:rPr>
          <w:rFonts w:ascii="Book Antiqua" w:hAnsi="Book Antiqua"/>
          <w:sz w:val="24"/>
          <w:szCs w:val="24"/>
        </w:rPr>
        <w:t xml:space="preserve"> </w:t>
      </w:r>
      <w:r w:rsidR="009C687E" w:rsidRPr="003610D2">
        <w:rPr>
          <w:rFonts w:ascii="Book Antiqua" w:hAnsi="Book Antiqua"/>
          <w:sz w:val="24"/>
          <w:szCs w:val="24"/>
        </w:rPr>
        <w:t>(</w:t>
      </w:r>
      <w:r w:rsidR="00BC2913" w:rsidRPr="003610D2">
        <w:rPr>
          <w:rFonts w:ascii="Book Antiqua" w:hAnsi="Book Antiqua"/>
          <w:sz w:val="24"/>
          <w:szCs w:val="24"/>
        </w:rPr>
        <w:t>median, range</w:t>
      </w:r>
      <w:r w:rsidR="009C687E" w:rsidRPr="003610D2">
        <w:rPr>
          <w:rFonts w:ascii="Book Antiqua" w:hAnsi="Book Antiqua"/>
          <w:sz w:val="24"/>
          <w:szCs w:val="24"/>
        </w:rPr>
        <w:t>)</w:t>
      </w:r>
      <w:r w:rsidR="00BC2913" w:rsidRPr="003610D2">
        <w:rPr>
          <w:rFonts w:ascii="Book Antiqua" w:hAnsi="Book Antiqua"/>
          <w:sz w:val="24"/>
          <w:szCs w:val="24"/>
        </w:rPr>
        <w:t xml:space="preserve"> </w:t>
      </w:r>
      <w:r w:rsidR="00706D49" w:rsidRPr="003610D2">
        <w:rPr>
          <w:rFonts w:ascii="Book Antiqua" w:hAnsi="Book Antiqua"/>
          <w:sz w:val="24"/>
          <w:szCs w:val="24"/>
        </w:rPr>
        <w:t>(</w:t>
      </w:r>
      <w:r w:rsidR="00BC2913" w:rsidRPr="003610D2">
        <w:rPr>
          <w:rFonts w:ascii="Book Antiqua" w:hAnsi="Book Antiqua"/>
          <w:sz w:val="24"/>
          <w:szCs w:val="24"/>
        </w:rPr>
        <w:t xml:space="preserve">2.2%, </w:t>
      </w:r>
      <w:r w:rsidR="00706D49" w:rsidRPr="003610D2">
        <w:rPr>
          <w:rFonts w:ascii="Book Antiqua" w:hAnsi="Book Antiqua"/>
          <w:sz w:val="24"/>
          <w:szCs w:val="24"/>
        </w:rPr>
        <w:t xml:space="preserve">0.0-14.5%) </w:t>
      </w:r>
      <w:r w:rsidR="0074088B" w:rsidRPr="003610D2">
        <w:rPr>
          <w:rFonts w:ascii="Book Antiqua" w:hAnsi="Book Antiqua"/>
          <w:sz w:val="24"/>
          <w:szCs w:val="24"/>
        </w:rPr>
        <w:t>and NGT</w:t>
      </w:r>
      <w:r w:rsidR="00BC2913" w:rsidRPr="003610D2">
        <w:rPr>
          <w:rFonts w:ascii="Book Antiqua" w:hAnsi="Book Antiqua"/>
          <w:sz w:val="24"/>
          <w:szCs w:val="24"/>
        </w:rPr>
        <w:t xml:space="preserve"> (4.9%,</w:t>
      </w:r>
      <w:r w:rsidR="007B04B5" w:rsidRPr="003610D2">
        <w:rPr>
          <w:rFonts w:ascii="Book Antiqua" w:hAnsi="Book Antiqua"/>
          <w:sz w:val="24"/>
          <w:szCs w:val="24"/>
        </w:rPr>
        <w:t xml:space="preserve"> </w:t>
      </w:r>
      <w:r w:rsidR="00706D49" w:rsidRPr="003610D2">
        <w:rPr>
          <w:rFonts w:ascii="Book Antiqua" w:hAnsi="Book Antiqua"/>
          <w:sz w:val="24"/>
          <w:szCs w:val="24"/>
        </w:rPr>
        <w:t>2.4-21.0%</w:t>
      </w:r>
      <w:r w:rsidRPr="003610D2">
        <w:rPr>
          <w:rFonts w:ascii="Book Antiqua" w:hAnsi="Book Antiqua"/>
          <w:sz w:val="24"/>
          <w:szCs w:val="24"/>
        </w:rPr>
        <w:t>)</w:t>
      </w:r>
      <w:r w:rsidR="0074088B" w:rsidRPr="003610D2">
        <w:rPr>
          <w:rFonts w:ascii="Book Antiqua" w:hAnsi="Book Antiqua"/>
          <w:sz w:val="24"/>
          <w:szCs w:val="24"/>
        </w:rPr>
        <w:t>,</w:t>
      </w:r>
      <w:r w:rsidR="00720185"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720185" w:rsidRPr="003610D2">
        <w:rPr>
          <w:rFonts w:ascii="Book Antiqua" w:hAnsi="Book Antiqua"/>
          <w:sz w:val="24"/>
          <w:szCs w:val="24"/>
        </w:rPr>
        <w:t>0.0</w:t>
      </w:r>
      <w:r w:rsidR="0074088B" w:rsidRPr="003610D2">
        <w:rPr>
          <w:rFonts w:ascii="Book Antiqua" w:hAnsi="Book Antiqua"/>
          <w:sz w:val="24"/>
          <w:szCs w:val="24"/>
        </w:rPr>
        <w:t>6</w:t>
      </w:r>
      <w:r w:rsidRPr="003610D2">
        <w:rPr>
          <w:rFonts w:ascii="Book Antiqua" w:hAnsi="Book Antiqua"/>
          <w:sz w:val="24"/>
          <w:szCs w:val="24"/>
        </w:rPr>
        <w:t>.</w:t>
      </w:r>
      <w:r w:rsidR="001C1832">
        <w:rPr>
          <w:rFonts w:ascii="Book Antiqua" w:hAnsi="Book Antiqua"/>
          <w:sz w:val="24"/>
          <w:szCs w:val="24"/>
        </w:rPr>
        <w:t xml:space="preserve"> </w:t>
      </w:r>
      <w:r w:rsidR="0074088B" w:rsidRPr="003610D2">
        <w:rPr>
          <w:rFonts w:ascii="Book Antiqua" w:hAnsi="Book Antiqua"/>
          <w:sz w:val="24"/>
          <w:szCs w:val="24"/>
        </w:rPr>
        <w:t xml:space="preserve">Subjects with CFRD were older </w:t>
      </w:r>
      <w:r w:rsidR="00A374E6" w:rsidRPr="003610D2">
        <w:rPr>
          <w:rFonts w:ascii="Book Antiqua" w:hAnsi="Book Antiqua"/>
          <w:sz w:val="24"/>
          <w:szCs w:val="24"/>
        </w:rPr>
        <w:t xml:space="preserve">(28.2 years, 17.0-39.0) than NGT subjects (18.0 years, 11.3-30.6),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A374E6" w:rsidRPr="003610D2">
        <w:rPr>
          <w:rFonts w:ascii="Book Antiqua" w:hAnsi="Book Antiqua"/>
          <w:sz w:val="24"/>
          <w:szCs w:val="24"/>
        </w:rPr>
        <w:t xml:space="preserve">0.04. As expected, the older CFRD cohort demonstrated a </w:t>
      </w:r>
      <w:r w:rsidR="0074088B" w:rsidRPr="003610D2">
        <w:rPr>
          <w:rFonts w:ascii="Book Antiqua" w:hAnsi="Book Antiqua"/>
          <w:sz w:val="24"/>
          <w:szCs w:val="24"/>
        </w:rPr>
        <w:t>higher BMI</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0.05</w:t>
      </w:r>
      <w:r w:rsidR="0074088B" w:rsidRPr="003610D2">
        <w:rPr>
          <w:rFonts w:ascii="Book Antiqua" w:hAnsi="Book Antiqua"/>
          <w:sz w:val="24"/>
          <w:szCs w:val="24"/>
        </w:rPr>
        <w:t>, but not BMI percentile, than NGT subjects.</w:t>
      </w:r>
      <w:r w:rsidR="00F50A4B" w:rsidRPr="003610D2">
        <w:rPr>
          <w:rFonts w:ascii="Book Antiqua" w:hAnsi="Book Antiqua"/>
          <w:sz w:val="24"/>
          <w:szCs w:val="24"/>
        </w:rPr>
        <w:t xml:space="preserve"> </w:t>
      </w:r>
      <w:r w:rsidR="003D5468" w:rsidRPr="003610D2">
        <w:rPr>
          <w:rFonts w:ascii="Book Antiqua" w:hAnsi="Book Antiqua"/>
          <w:sz w:val="24"/>
          <w:szCs w:val="24"/>
        </w:rPr>
        <w:t>Patients with CFRD demonstrated lower percent predicted FEV1, which is known to be associated with CFRD</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0.001</w:t>
      </w:r>
      <w:r w:rsidR="00A374E6" w:rsidRPr="003610D2">
        <w:rPr>
          <w:rFonts w:ascii="Book Antiqua" w:hAnsi="Book Antiqua"/>
          <w:sz w:val="24"/>
          <w:szCs w:val="24"/>
        </w:rPr>
        <w:t xml:space="preserve">. </w:t>
      </w:r>
      <w:r w:rsidR="003D5468" w:rsidRPr="003610D2">
        <w:rPr>
          <w:rFonts w:ascii="Book Antiqua" w:hAnsi="Book Antiqua"/>
          <w:sz w:val="24"/>
          <w:szCs w:val="24"/>
        </w:rPr>
        <w:t>S</w:t>
      </w:r>
      <w:r w:rsidR="00E97360" w:rsidRPr="003610D2">
        <w:rPr>
          <w:rFonts w:ascii="Book Antiqua" w:hAnsi="Book Antiqua"/>
          <w:sz w:val="24"/>
          <w:szCs w:val="24"/>
        </w:rPr>
        <w:t>ubjects</w:t>
      </w:r>
      <w:r w:rsidR="0093654D" w:rsidRPr="003610D2">
        <w:rPr>
          <w:rFonts w:ascii="Book Antiqua" w:hAnsi="Book Antiqua"/>
          <w:sz w:val="24"/>
          <w:szCs w:val="24"/>
        </w:rPr>
        <w:t xml:space="preserve"> with CFRD </w:t>
      </w:r>
      <w:r w:rsidR="003611AF" w:rsidRPr="003610D2">
        <w:rPr>
          <w:rFonts w:ascii="Book Antiqua" w:hAnsi="Book Antiqua"/>
          <w:sz w:val="24"/>
          <w:szCs w:val="24"/>
        </w:rPr>
        <w:t xml:space="preserve">also demonstrated </w:t>
      </w:r>
      <w:r w:rsidR="00E97360" w:rsidRPr="003610D2">
        <w:rPr>
          <w:rFonts w:ascii="Book Antiqua" w:hAnsi="Book Antiqua"/>
          <w:sz w:val="24"/>
          <w:szCs w:val="24"/>
        </w:rPr>
        <w:t>higher hemoglobin A1C</w:t>
      </w:r>
      <w:r w:rsidR="003D5468" w:rsidRPr="003610D2">
        <w:rPr>
          <w:rFonts w:ascii="Book Antiqua" w:hAnsi="Book Antiqua"/>
          <w:sz w:val="24"/>
          <w:szCs w:val="24"/>
        </w:rPr>
        <w:t xml:space="preserve"> levels</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0.002</w:t>
      </w:r>
      <w:r w:rsidR="00E97360" w:rsidRPr="003610D2">
        <w:rPr>
          <w:rFonts w:ascii="Book Antiqua" w:hAnsi="Book Antiqua"/>
          <w:sz w:val="24"/>
          <w:szCs w:val="24"/>
        </w:rPr>
        <w:t xml:space="preserve">. </w:t>
      </w:r>
      <w:r w:rsidR="00F50A4B" w:rsidRPr="003610D2">
        <w:rPr>
          <w:rFonts w:ascii="Book Antiqua" w:hAnsi="Book Antiqua"/>
          <w:sz w:val="24"/>
          <w:szCs w:val="24"/>
        </w:rPr>
        <w:t>Alkaline Phosphatase was lower in the CFRD group co</w:t>
      </w:r>
      <w:r w:rsidR="003D5468" w:rsidRPr="003610D2">
        <w:rPr>
          <w:rFonts w:ascii="Book Antiqua" w:hAnsi="Book Antiqua"/>
          <w:sz w:val="24"/>
          <w:szCs w:val="24"/>
        </w:rPr>
        <w:t>mpared to the NGT group</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0.04</w:t>
      </w:r>
      <w:r w:rsidR="00F50A4B" w:rsidRPr="003610D2">
        <w:rPr>
          <w:rFonts w:ascii="Book Antiqua" w:hAnsi="Book Antiqua"/>
          <w:sz w:val="24"/>
          <w:szCs w:val="24"/>
        </w:rPr>
        <w:t>; however, age adjusted alkaline phosphatase (z-score) was not different between groups</w:t>
      </w:r>
      <w:r w:rsidR="009C687E" w:rsidRPr="003610D2">
        <w:rPr>
          <w:rFonts w:ascii="Book Antiqua" w:hAnsi="Book Antiqua"/>
          <w:sz w:val="24"/>
          <w:szCs w:val="24"/>
        </w:rPr>
        <w:t xml:space="preserve"> (Table </w:t>
      </w:r>
      <w:r w:rsidR="001C1832">
        <w:rPr>
          <w:rFonts w:ascii="Book Antiqua" w:hAnsi="Book Antiqua"/>
          <w:sz w:val="24"/>
          <w:szCs w:val="24"/>
        </w:rPr>
        <w:t>2</w:t>
      </w:r>
      <w:r w:rsidR="009C687E" w:rsidRPr="003610D2">
        <w:rPr>
          <w:rFonts w:ascii="Book Antiqua" w:hAnsi="Book Antiqua"/>
          <w:sz w:val="24"/>
          <w:szCs w:val="24"/>
        </w:rPr>
        <w:t>)</w:t>
      </w:r>
      <w:r w:rsidR="00F50A4B" w:rsidRPr="003610D2">
        <w:rPr>
          <w:rFonts w:ascii="Book Antiqua" w:hAnsi="Book Antiqua"/>
          <w:sz w:val="24"/>
          <w:szCs w:val="24"/>
        </w:rPr>
        <w:t xml:space="preserve">. </w:t>
      </w:r>
    </w:p>
    <w:p w14:paraId="671D685B" w14:textId="3EF137FA" w:rsidR="00895FF2" w:rsidRPr="003610D2" w:rsidRDefault="0074088B" w:rsidP="009C687E">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sz w:val="24"/>
          <w:szCs w:val="24"/>
        </w:rPr>
        <w:t xml:space="preserve">Importantly, CFTR modulator use was more common among patients with CFRD (7 of 12, 58%) than patients with NGT (2 of 8, 22%). </w:t>
      </w:r>
      <w:r w:rsidR="00C676FD" w:rsidRPr="003610D2">
        <w:rPr>
          <w:rFonts w:ascii="Book Antiqua" w:hAnsi="Book Antiqua"/>
          <w:sz w:val="24"/>
          <w:szCs w:val="24"/>
        </w:rPr>
        <w:t>Because</w:t>
      </w:r>
      <w:r w:rsidR="00A63092" w:rsidRPr="003610D2">
        <w:rPr>
          <w:rFonts w:ascii="Book Antiqua" w:hAnsi="Book Antiqua"/>
          <w:sz w:val="24"/>
          <w:szCs w:val="24"/>
        </w:rPr>
        <w:t xml:space="preserve"> we demonstrated that</w:t>
      </w:r>
      <w:r w:rsidR="00C676FD" w:rsidRPr="003610D2">
        <w:rPr>
          <w:rFonts w:ascii="Book Antiqua" w:hAnsi="Book Antiqua"/>
          <w:sz w:val="24"/>
          <w:szCs w:val="24"/>
        </w:rPr>
        <w:t xml:space="preserve"> CFTR </w:t>
      </w:r>
      <w:r w:rsidR="00C676FD" w:rsidRPr="003610D2">
        <w:rPr>
          <w:rFonts w:ascii="Book Antiqua" w:hAnsi="Book Antiqua"/>
          <w:sz w:val="24"/>
          <w:szCs w:val="24"/>
        </w:rPr>
        <w:lastRenderedPageBreak/>
        <w:t xml:space="preserve">modulator use is associated with lower </w:t>
      </w:r>
      <w:r w:rsidR="004A5966" w:rsidRPr="003610D2">
        <w:rPr>
          <w:rFonts w:ascii="Book Antiqua" w:hAnsi="Book Antiqua"/>
          <w:sz w:val="24"/>
          <w:szCs w:val="24"/>
        </w:rPr>
        <w:t xml:space="preserve">hepatic fat, we repeated </w:t>
      </w:r>
      <w:r w:rsidR="00B333AA" w:rsidRPr="003610D2">
        <w:rPr>
          <w:rFonts w:ascii="Book Antiqua" w:hAnsi="Book Antiqua"/>
          <w:sz w:val="24"/>
          <w:szCs w:val="24"/>
        </w:rPr>
        <w:t xml:space="preserve">the </w:t>
      </w:r>
      <w:r w:rsidR="004142EB" w:rsidRPr="003610D2">
        <w:rPr>
          <w:rFonts w:ascii="Book Antiqua" w:hAnsi="Book Antiqua"/>
          <w:sz w:val="24"/>
          <w:szCs w:val="24"/>
        </w:rPr>
        <w:t xml:space="preserve">fat fraction </w:t>
      </w:r>
      <w:r w:rsidR="00B333AA" w:rsidRPr="003610D2">
        <w:rPr>
          <w:rFonts w:ascii="Book Antiqua" w:hAnsi="Book Antiqua"/>
          <w:sz w:val="24"/>
          <w:szCs w:val="24"/>
        </w:rPr>
        <w:t>analysis by diabetes status after</w:t>
      </w:r>
      <w:r w:rsidR="004A5966" w:rsidRPr="003610D2">
        <w:rPr>
          <w:rFonts w:ascii="Book Antiqua" w:hAnsi="Book Antiqua"/>
          <w:sz w:val="24"/>
          <w:szCs w:val="24"/>
        </w:rPr>
        <w:t xml:space="preserve"> excluding subjects </w:t>
      </w:r>
      <w:r w:rsidR="00A535EC" w:rsidRPr="003610D2">
        <w:rPr>
          <w:rFonts w:ascii="Book Antiqua" w:hAnsi="Book Antiqua"/>
          <w:sz w:val="24"/>
          <w:szCs w:val="24"/>
        </w:rPr>
        <w:t>receiving CFTR modulator therapy</w:t>
      </w:r>
      <w:r w:rsidR="00C676FD" w:rsidRPr="003610D2">
        <w:rPr>
          <w:rFonts w:ascii="Book Antiqua" w:hAnsi="Book Antiqua"/>
          <w:sz w:val="24"/>
          <w:szCs w:val="24"/>
        </w:rPr>
        <w:t xml:space="preserve">. The </w:t>
      </w:r>
      <w:r w:rsidR="0078207A" w:rsidRPr="003610D2">
        <w:rPr>
          <w:rFonts w:ascii="Book Antiqua" w:hAnsi="Book Antiqua"/>
          <w:sz w:val="24"/>
          <w:szCs w:val="24"/>
        </w:rPr>
        <w:t>me</w:t>
      </w:r>
      <w:r w:rsidR="00366A0A" w:rsidRPr="003610D2">
        <w:rPr>
          <w:rFonts w:ascii="Book Antiqua" w:hAnsi="Book Antiqua"/>
          <w:sz w:val="24"/>
          <w:szCs w:val="24"/>
        </w:rPr>
        <w:t>dian</w:t>
      </w:r>
      <w:r w:rsidR="0078207A" w:rsidRPr="003610D2">
        <w:rPr>
          <w:rFonts w:ascii="Book Antiqua" w:hAnsi="Book Antiqua"/>
          <w:sz w:val="24"/>
          <w:szCs w:val="24"/>
        </w:rPr>
        <w:t xml:space="preserve"> hepatic fat fraction for </w:t>
      </w:r>
      <w:r w:rsidR="00A63092" w:rsidRPr="003610D2">
        <w:rPr>
          <w:rFonts w:ascii="Book Antiqua" w:hAnsi="Book Antiqua"/>
          <w:sz w:val="24"/>
          <w:szCs w:val="24"/>
        </w:rPr>
        <w:t xml:space="preserve">the 5 </w:t>
      </w:r>
      <w:r w:rsidR="0078207A" w:rsidRPr="003610D2">
        <w:rPr>
          <w:rFonts w:ascii="Book Antiqua" w:hAnsi="Book Antiqua"/>
          <w:sz w:val="24"/>
          <w:szCs w:val="24"/>
        </w:rPr>
        <w:t>CFRD subjects</w:t>
      </w:r>
      <w:r w:rsidR="00C676FD" w:rsidRPr="003610D2">
        <w:rPr>
          <w:rFonts w:ascii="Book Antiqua" w:hAnsi="Book Antiqua"/>
          <w:sz w:val="24"/>
          <w:szCs w:val="24"/>
        </w:rPr>
        <w:t xml:space="preserve"> </w:t>
      </w:r>
      <w:r w:rsidR="00C6191D" w:rsidRPr="003610D2">
        <w:rPr>
          <w:rFonts w:ascii="Book Antiqua" w:hAnsi="Book Antiqua"/>
          <w:sz w:val="24"/>
          <w:szCs w:val="24"/>
        </w:rPr>
        <w:t>not receiving CFTR modulator</w:t>
      </w:r>
      <w:r w:rsidR="00A63092" w:rsidRPr="003610D2">
        <w:rPr>
          <w:rFonts w:ascii="Book Antiqua" w:hAnsi="Book Antiqua"/>
          <w:sz w:val="24"/>
          <w:szCs w:val="24"/>
        </w:rPr>
        <w:t xml:space="preserve"> </w:t>
      </w:r>
      <w:r w:rsidR="0078207A" w:rsidRPr="003610D2">
        <w:rPr>
          <w:rFonts w:ascii="Book Antiqua" w:hAnsi="Book Antiqua"/>
          <w:sz w:val="24"/>
          <w:szCs w:val="24"/>
        </w:rPr>
        <w:t>was</w:t>
      </w:r>
      <w:r w:rsidR="00893183" w:rsidRPr="003610D2">
        <w:rPr>
          <w:rFonts w:ascii="Book Antiqua" w:hAnsi="Book Antiqua"/>
          <w:sz w:val="24"/>
          <w:szCs w:val="24"/>
        </w:rPr>
        <w:t xml:space="preserve"> </w:t>
      </w:r>
      <w:r w:rsidR="00366A0A" w:rsidRPr="003610D2">
        <w:rPr>
          <w:rFonts w:ascii="Book Antiqua" w:hAnsi="Book Antiqua"/>
          <w:sz w:val="24"/>
          <w:szCs w:val="24"/>
        </w:rPr>
        <w:t xml:space="preserve">4.1% </w:t>
      </w:r>
      <w:r w:rsidR="00B54793" w:rsidRPr="003610D2">
        <w:rPr>
          <w:rFonts w:ascii="Book Antiqua" w:hAnsi="Book Antiqua"/>
          <w:sz w:val="24"/>
          <w:szCs w:val="24"/>
        </w:rPr>
        <w:t>(</w:t>
      </w:r>
      <w:r w:rsidR="007B04B5" w:rsidRPr="003610D2">
        <w:rPr>
          <w:rFonts w:ascii="Book Antiqua" w:hAnsi="Book Antiqua"/>
          <w:sz w:val="24"/>
          <w:szCs w:val="24"/>
        </w:rPr>
        <w:t xml:space="preserve">range </w:t>
      </w:r>
      <w:r w:rsidR="00B54793" w:rsidRPr="003610D2">
        <w:rPr>
          <w:rFonts w:ascii="Book Antiqua" w:hAnsi="Book Antiqua"/>
          <w:sz w:val="24"/>
          <w:szCs w:val="24"/>
        </w:rPr>
        <w:t>2.8</w:t>
      </w:r>
      <w:r w:rsidR="009C687E" w:rsidRPr="003610D2">
        <w:rPr>
          <w:rFonts w:ascii="Book Antiqua" w:hAnsi="Book Antiqua"/>
          <w:sz w:val="24"/>
          <w:szCs w:val="24"/>
        </w:rPr>
        <w:t>%</w:t>
      </w:r>
      <w:r w:rsidR="00B54793" w:rsidRPr="003610D2">
        <w:rPr>
          <w:rFonts w:ascii="Book Antiqua" w:hAnsi="Book Antiqua"/>
          <w:sz w:val="24"/>
          <w:szCs w:val="24"/>
        </w:rPr>
        <w:t xml:space="preserve">-14.5%) </w:t>
      </w:r>
      <w:r w:rsidR="00C6191D" w:rsidRPr="003610D2">
        <w:rPr>
          <w:rFonts w:ascii="Book Antiqua" w:hAnsi="Book Antiqua"/>
          <w:sz w:val="24"/>
          <w:szCs w:val="24"/>
        </w:rPr>
        <w:t xml:space="preserve">and for </w:t>
      </w:r>
      <w:r w:rsidR="00A63092" w:rsidRPr="003610D2">
        <w:rPr>
          <w:rFonts w:ascii="Book Antiqua" w:hAnsi="Book Antiqua"/>
          <w:sz w:val="24"/>
          <w:szCs w:val="24"/>
        </w:rPr>
        <w:t xml:space="preserve">the </w:t>
      </w:r>
      <w:r w:rsidRPr="003610D2">
        <w:rPr>
          <w:rFonts w:ascii="Book Antiqua" w:hAnsi="Book Antiqua"/>
          <w:sz w:val="24"/>
          <w:szCs w:val="24"/>
        </w:rPr>
        <w:t xml:space="preserve">6 </w:t>
      </w:r>
      <w:r w:rsidR="00C6191D" w:rsidRPr="003610D2">
        <w:rPr>
          <w:rFonts w:ascii="Book Antiqua" w:hAnsi="Book Antiqua"/>
          <w:sz w:val="24"/>
          <w:szCs w:val="24"/>
        </w:rPr>
        <w:t xml:space="preserve">NGT subject not receiving </w:t>
      </w:r>
      <w:r w:rsidR="00C676FD" w:rsidRPr="003610D2">
        <w:rPr>
          <w:rFonts w:ascii="Book Antiqua" w:hAnsi="Book Antiqua"/>
          <w:sz w:val="24"/>
          <w:szCs w:val="24"/>
        </w:rPr>
        <w:t>CFTR modulator</w:t>
      </w:r>
      <w:r w:rsidR="00A63092" w:rsidRPr="003610D2">
        <w:rPr>
          <w:rFonts w:ascii="Book Antiqua" w:hAnsi="Book Antiqua"/>
          <w:sz w:val="24"/>
          <w:szCs w:val="24"/>
        </w:rPr>
        <w:t xml:space="preserve">s </w:t>
      </w:r>
      <w:r w:rsidRPr="003610D2">
        <w:rPr>
          <w:rFonts w:ascii="Book Antiqua" w:hAnsi="Book Antiqua"/>
          <w:sz w:val="24"/>
          <w:szCs w:val="24"/>
        </w:rPr>
        <w:t>was 4.9</w:t>
      </w:r>
      <w:r w:rsidR="00E20F0F" w:rsidRPr="003610D2">
        <w:rPr>
          <w:rFonts w:ascii="Book Antiqua" w:hAnsi="Book Antiqua"/>
          <w:sz w:val="24"/>
          <w:szCs w:val="24"/>
        </w:rPr>
        <w:t>%</w:t>
      </w:r>
      <w:r w:rsidR="00B54793" w:rsidRPr="003610D2">
        <w:rPr>
          <w:rFonts w:ascii="Book Antiqua" w:hAnsi="Book Antiqua"/>
          <w:sz w:val="24"/>
          <w:szCs w:val="24"/>
        </w:rPr>
        <w:t xml:space="preserve"> (</w:t>
      </w:r>
      <w:r w:rsidR="007B04B5" w:rsidRPr="003610D2">
        <w:rPr>
          <w:rFonts w:ascii="Book Antiqua" w:hAnsi="Book Antiqua"/>
          <w:sz w:val="24"/>
          <w:szCs w:val="24"/>
        </w:rPr>
        <w:t xml:space="preserve">range </w:t>
      </w:r>
      <w:r w:rsidR="00B54793" w:rsidRPr="003610D2">
        <w:rPr>
          <w:rFonts w:ascii="Book Antiqua" w:hAnsi="Book Antiqua"/>
          <w:sz w:val="24"/>
          <w:szCs w:val="24"/>
        </w:rPr>
        <w:t>2.7</w:t>
      </w:r>
      <w:r w:rsidR="009C687E" w:rsidRPr="003610D2">
        <w:rPr>
          <w:rFonts w:ascii="Book Antiqua" w:hAnsi="Book Antiqua"/>
          <w:sz w:val="24"/>
          <w:szCs w:val="24"/>
        </w:rPr>
        <w:t>%</w:t>
      </w:r>
      <w:r w:rsidR="00B54793" w:rsidRPr="003610D2">
        <w:rPr>
          <w:rFonts w:ascii="Book Antiqua" w:hAnsi="Book Antiqua"/>
          <w:sz w:val="24"/>
          <w:szCs w:val="24"/>
        </w:rPr>
        <w:t>-21.0%)</w:t>
      </w:r>
      <w:r w:rsidR="00366A0A" w:rsidRPr="003610D2">
        <w:rPr>
          <w:rFonts w:ascii="Book Antiqua" w:hAnsi="Book Antiqua"/>
          <w:sz w:val="24"/>
          <w:szCs w:val="24"/>
        </w:rPr>
        <w:t>, which were not significantly different</w:t>
      </w:r>
      <w:r w:rsidR="004142EB"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4142EB" w:rsidRPr="003610D2">
        <w:rPr>
          <w:rFonts w:ascii="Book Antiqua" w:hAnsi="Book Antiqua"/>
          <w:sz w:val="24"/>
          <w:szCs w:val="24"/>
        </w:rPr>
        <w:t>0.92</w:t>
      </w:r>
      <w:r w:rsidR="00F354E1" w:rsidRPr="003610D2">
        <w:rPr>
          <w:rFonts w:ascii="Book Antiqua" w:hAnsi="Book Antiqua"/>
          <w:sz w:val="24"/>
          <w:szCs w:val="24"/>
        </w:rPr>
        <w:t>.</w:t>
      </w:r>
    </w:p>
    <w:p w14:paraId="46FD4D62" w14:textId="77777777" w:rsidR="009C687E" w:rsidRPr="003610D2" w:rsidRDefault="009C687E" w:rsidP="009C687E">
      <w:pPr>
        <w:adjustRightInd w:val="0"/>
        <w:snapToGrid w:val="0"/>
        <w:spacing w:after="0" w:line="360" w:lineRule="auto"/>
        <w:ind w:firstLineChars="100" w:firstLine="240"/>
        <w:jc w:val="both"/>
        <w:rPr>
          <w:rFonts w:ascii="Book Antiqua" w:hAnsi="Book Antiqua"/>
          <w:sz w:val="24"/>
          <w:szCs w:val="24"/>
        </w:rPr>
      </w:pPr>
    </w:p>
    <w:p w14:paraId="3725AF41" w14:textId="436DCA0A" w:rsidR="00063703" w:rsidRPr="003610D2" w:rsidRDefault="00977D22"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DISCUSSION</w:t>
      </w:r>
    </w:p>
    <w:p w14:paraId="0BD642ED" w14:textId="70791F4F" w:rsidR="00961A97" w:rsidRPr="003610D2" w:rsidRDefault="00460CA3"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In this cross-sectional study of 2</w:t>
      </w:r>
      <w:r w:rsidR="00EE1F88" w:rsidRPr="003610D2">
        <w:rPr>
          <w:rFonts w:ascii="Book Antiqua" w:hAnsi="Book Antiqua"/>
          <w:sz w:val="24"/>
          <w:szCs w:val="24"/>
        </w:rPr>
        <w:t>0</w:t>
      </w:r>
      <w:r w:rsidRPr="003610D2">
        <w:rPr>
          <w:rFonts w:ascii="Book Antiqua" w:hAnsi="Book Antiqua"/>
          <w:sz w:val="24"/>
          <w:szCs w:val="24"/>
        </w:rPr>
        <w:t xml:space="preserve"> </w:t>
      </w:r>
      <w:r w:rsidR="00B97C31" w:rsidRPr="003610D2">
        <w:rPr>
          <w:rFonts w:ascii="Book Antiqua" w:hAnsi="Book Antiqua"/>
          <w:sz w:val="24"/>
          <w:szCs w:val="24"/>
        </w:rPr>
        <w:t>CF</w:t>
      </w:r>
      <w:r w:rsidRPr="003610D2">
        <w:rPr>
          <w:rFonts w:ascii="Book Antiqua" w:hAnsi="Book Antiqua"/>
          <w:sz w:val="24"/>
          <w:szCs w:val="24"/>
        </w:rPr>
        <w:t xml:space="preserve"> patients aged 11-39 years with either NGT or CFRD, we demonstrate a statistically significant association bet</w:t>
      </w:r>
      <w:r w:rsidR="00B333AA" w:rsidRPr="003610D2">
        <w:rPr>
          <w:rFonts w:ascii="Book Antiqua" w:hAnsi="Book Antiqua"/>
          <w:sz w:val="24"/>
          <w:szCs w:val="24"/>
        </w:rPr>
        <w:t>ween use of the CFTR modulator lumacaftor/i</w:t>
      </w:r>
      <w:r w:rsidRPr="003610D2">
        <w:rPr>
          <w:rFonts w:ascii="Book Antiqua" w:hAnsi="Book Antiqua"/>
          <w:sz w:val="24"/>
          <w:szCs w:val="24"/>
        </w:rPr>
        <w:t>vacaftor and reduced hepatic fat. CFTR modulator use was also associated with lower total bilirubin and a trend toward lower</w:t>
      </w:r>
      <w:r w:rsidR="004A0D2B" w:rsidRPr="003610D2">
        <w:rPr>
          <w:rFonts w:ascii="Book Antiqua" w:hAnsi="Book Antiqua"/>
          <w:sz w:val="24"/>
          <w:szCs w:val="24"/>
        </w:rPr>
        <w:t xml:space="preserve"> age-adjusted</w:t>
      </w:r>
      <w:r w:rsidRPr="003610D2">
        <w:rPr>
          <w:rFonts w:ascii="Book Antiqua" w:hAnsi="Book Antiqua"/>
          <w:sz w:val="24"/>
          <w:szCs w:val="24"/>
        </w:rPr>
        <w:t xml:space="preserve"> alkalin</w:t>
      </w:r>
      <w:r w:rsidR="00DE46D1" w:rsidRPr="003610D2">
        <w:rPr>
          <w:rFonts w:ascii="Book Antiqua" w:hAnsi="Book Antiqua"/>
          <w:sz w:val="24"/>
          <w:szCs w:val="24"/>
        </w:rPr>
        <w:t>e phosphatase</w:t>
      </w:r>
      <w:r w:rsidR="004A0D2B" w:rsidRPr="003610D2">
        <w:rPr>
          <w:rFonts w:ascii="Book Antiqua" w:hAnsi="Book Antiqua"/>
          <w:sz w:val="24"/>
          <w:szCs w:val="24"/>
        </w:rPr>
        <w:t xml:space="preserve"> levels</w:t>
      </w:r>
      <w:r w:rsidR="00DE46D1" w:rsidRPr="003610D2">
        <w:rPr>
          <w:rFonts w:ascii="Book Antiqua" w:hAnsi="Book Antiqua"/>
          <w:sz w:val="24"/>
          <w:szCs w:val="24"/>
        </w:rPr>
        <w:t xml:space="preserve"> </w:t>
      </w:r>
      <w:r w:rsidR="004A0D2B" w:rsidRPr="003610D2">
        <w:rPr>
          <w:rFonts w:ascii="Book Antiqua" w:hAnsi="Book Antiqua"/>
          <w:sz w:val="24"/>
          <w:szCs w:val="24"/>
        </w:rPr>
        <w:t>(z-score)</w:t>
      </w:r>
      <w:r w:rsidR="0006661B" w:rsidRPr="003610D2">
        <w:rPr>
          <w:rFonts w:ascii="Book Antiqua" w:hAnsi="Book Antiqua"/>
          <w:sz w:val="24"/>
          <w:szCs w:val="24"/>
        </w:rPr>
        <w:t>.</w:t>
      </w:r>
      <w:r w:rsidR="00785AE1" w:rsidRPr="003610D2">
        <w:rPr>
          <w:rFonts w:ascii="Book Antiqua" w:hAnsi="Book Antiqua"/>
          <w:sz w:val="24"/>
          <w:szCs w:val="24"/>
        </w:rPr>
        <w:t xml:space="preserve"> </w:t>
      </w:r>
      <w:r w:rsidR="00FB11A6" w:rsidRPr="003610D2">
        <w:rPr>
          <w:rFonts w:ascii="Book Antiqua" w:hAnsi="Book Antiqua"/>
          <w:sz w:val="24"/>
          <w:szCs w:val="24"/>
        </w:rPr>
        <w:t xml:space="preserve">Interestingly, </w:t>
      </w:r>
      <w:r w:rsidR="002B2B05" w:rsidRPr="003610D2">
        <w:rPr>
          <w:rFonts w:ascii="Book Antiqua" w:hAnsi="Book Antiqua"/>
          <w:sz w:val="24"/>
          <w:szCs w:val="24"/>
        </w:rPr>
        <w:t>CFRD patients on lumacaftor/ivacaftor demonstrated particularly low hepatic fat fractions</w:t>
      </w:r>
      <w:r w:rsidR="00FB11A6" w:rsidRPr="003610D2">
        <w:rPr>
          <w:rFonts w:ascii="Book Antiqua" w:hAnsi="Book Antiqua"/>
          <w:sz w:val="24"/>
          <w:szCs w:val="24"/>
        </w:rPr>
        <w:t xml:space="preserve"> (0.0% in two cases)</w:t>
      </w:r>
      <w:r w:rsidR="002B2B05" w:rsidRPr="003610D2">
        <w:rPr>
          <w:rFonts w:ascii="Book Antiqua" w:hAnsi="Book Antiqua"/>
          <w:sz w:val="24"/>
          <w:szCs w:val="24"/>
        </w:rPr>
        <w:t xml:space="preserve">, suggesting </w:t>
      </w:r>
      <w:r w:rsidR="006A4390" w:rsidRPr="003610D2">
        <w:rPr>
          <w:rFonts w:ascii="Book Antiqua" w:hAnsi="Book Antiqua"/>
          <w:sz w:val="24"/>
          <w:szCs w:val="24"/>
        </w:rPr>
        <w:t>a particular sensitivity to modulator effects</w:t>
      </w:r>
      <w:r w:rsidR="00303300" w:rsidRPr="003610D2">
        <w:rPr>
          <w:rFonts w:ascii="Book Antiqua" w:hAnsi="Book Antiqua"/>
          <w:sz w:val="24"/>
          <w:szCs w:val="24"/>
        </w:rPr>
        <w:t xml:space="preserve"> in patients with CFRD</w:t>
      </w:r>
      <w:r w:rsidR="009C687E" w:rsidRPr="003610D2">
        <w:rPr>
          <w:rFonts w:ascii="Book Antiqua" w:hAnsi="Book Antiqua"/>
          <w:sz w:val="24"/>
          <w:szCs w:val="24"/>
        </w:rPr>
        <w:t xml:space="preserve"> (Supplemental Table 1)</w:t>
      </w:r>
      <w:r w:rsidR="00BD36C1" w:rsidRPr="003610D2">
        <w:rPr>
          <w:rFonts w:ascii="Book Antiqua" w:hAnsi="Book Antiqua"/>
          <w:sz w:val="24"/>
          <w:szCs w:val="24"/>
        </w:rPr>
        <w:t>.</w:t>
      </w:r>
      <w:r w:rsidR="000B1404" w:rsidRPr="003610D2">
        <w:rPr>
          <w:rFonts w:ascii="Book Antiqua" w:hAnsi="Book Antiqua"/>
          <w:sz w:val="24"/>
          <w:szCs w:val="24"/>
        </w:rPr>
        <w:t xml:space="preserve"> </w:t>
      </w:r>
      <w:r w:rsidR="00961A97" w:rsidRPr="003610D2">
        <w:rPr>
          <w:rFonts w:ascii="Book Antiqua" w:hAnsi="Book Antiqua"/>
          <w:sz w:val="24"/>
          <w:szCs w:val="24"/>
        </w:rPr>
        <w:t>CFRD was not</w:t>
      </w:r>
      <w:r w:rsidR="00CA1C7C" w:rsidRPr="003610D2">
        <w:rPr>
          <w:rFonts w:ascii="Book Antiqua" w:hAnsi="Book Antiqua"/>
          <w:sz w:val="24"/>
          <w:szCs w:val="24"/>
        </w:rPr>
        <w:t xml:space="preserve"> found to be</w:t>
      </w:r>
      <w:r w:rsidR="00961A97" w:rsidRPr="003610D2">
        <w:rPr>
          <w:rFonts w:ascii="Book Antiqua" w:hAnsi="Book Antiqua"/>
          <w:sz w:val="24"/>
          <w:szCs w:val="24"/>
        </w:rPr>
        <w:t xml:space="preserve"> associated with increased hepatic steatosis as was originally hypothesized. In contrast, patients with CFRD showed a trend toward lower PDFF, which most likely reflects higher rates of CFTR modulator use in the CFRD group. </w:t>
      </w:r>
      <w:r w:rsidR="00AF0FFC" w:rsidRPr="003610D2">
        <w:rPr>
          <w:rFonts w:ascii="Book Antiqua" w:hAnsi="Book Antiqua"/>
          <w:sz w:val="24"/>
          <w:szCs w:val="24"/>
        </w:rPr>
        <w:t>Given the small number of subjects</w:t>
      </w:r>
      <w:r w:rsidR="00021F96" w:rsidRPr="003610D2">
        <w:rPr>
          <w:rFonts w:ascii="Book Antiqua" w:hAnsi="Book Antiqua"/>
          <w:sz w:val="24"/>
          <w:szCs w:val="24"/>
        </w:rPr>
        <w:t xml:space="preserve"> not receiving lumacaftor/ivacaftor</w:t>
      </w:r>
      <w:r w:rsidR="00AF0FFC" w:rsidRPr="003610D2">
        <w:rPr>
          <w:rFonts w:ascii="Book Antiqua" w:hAnsi="Book Antiqua"/>
          <w:sz w:val="24"/>
          <w:szCs w:val="24"/>
        </w:rPr>
        <w:t xml:space="preserve">, we cannot </w:t>
      </w:r>
      <w:r w:rsidR="00021F96" w:rsidRPr="003610D2">
        <w:rPr>
          <w:rFonts w:ascii="Book Antiqua" w:hAnsi="Book Antiqua"/>
          <w:sz w:val="24"/>
          <w:szCs w:val="24"/>
        </w:rPr>
        <w:t>exclude a relationship between</w:t>
      </w:r>
      <w:r w:rsidR="00AF0FFC" w:rsidRPr="003610D2">
        <w:rPr>
          <w:rFonts w:ascii="Book Antiqua" w:hAnsi="Book Antiqua"/>
          <w:sz w:val="24"/>
          <w:szCs w:val="24"/>
        </w:rPr>
        <w:t xml:space="preserve"> CFRD and hepatic steatosis </w:t>
      </w:r>
      <w:r w:rsidR="00EF5D7D" w:rsidRPr="003610D2">
        <w:rPr>
          <w:rFonts w:ascii="Book Antiqua" w:hAnsi="Book Antiqua"/>
          <w:sz w:val="24"/>
          <w:szCs w:val="24"/>
        </w:rPr>
        <w:t xml:space="preserve">in </w:t>
      </w:r>
      <w:r w:rsidR="00AF0FFC" w:rsidRPr="003610D2">
        <w:rPr>
          <w:rFonts w:ascii="Book Antiqua" w:hAnsi="Book Antiqua"/>
          <w:sz w:val="24"/>
          <w:szCs w:val="24"/>
        </w:rPr>
        <w:t>CF</w:t>
      </w:r>
      <w:r w:rsidR="00CA1C7C" w:rsidRPr="003610D2">
        <w:rPr>
          <w:rFonts w:ascii="Book Antiqua" w:hAnsi="Book Antiqua"/>
          <w:sz w:val="24"/>
          <w:szCs w:val="24"/>
        </w:rPr>
        <w:t xml:space="preserve"> based on this study</w:t>
      </w:r>
      <w:r w:rsidR="00AF0FFC" w:rsidRPr="003610D2">
        <w:rPr>
          <w:rFonts w:ascii="Book Antiqua" w:hAnsi="Book Antiqua"/>
          <w:sz w:val="24"/>
          <w:szCs w:val="24"/>
        </w:rPr>
        <w:t xml:space="preserve">. </w:t>
      </w:r>
    </w:p>
    <w:p w14:paraId="6FCAF96A" w14:textId="70AB5406" w:rsidR="006C0194" w:rsidRPr="003610D2" w:rsidRDefault="00495D49" w:rsidP="009C687E">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color w:val="000000" w:themeColor="text1"/>
          <w:sz w:val="24"/>
          <w:szCs w:val="24"/>
        </w:rPr>
        <w:t xml:space="preserve">The </w:t>
      </w:r>
      <w:r w:rsidR="00A84D81" w:rsidRPr="003610D2">
        <w:rPr>
          <w:rFonts w:ascii="Book Antiqua" w:hAnsi="Book Antiqua"/>
          <w:color w:val="000000" w:themeColor="text1"/>
          <w:sz w:val="24"/>
          <w:szCs w:val="24"/>
        </w:rPr>
        <w:t>multifactorial pathogenesis of hepatic steatosis has not been fully elucidated</w:t>
      </w:r>
      <w:r w:rsidR="00DE286F" w:rsidRPr="003610D2">
        <w:rPr>
          <w:rFonts w:ascii="Book Antiqua" w:hAnsi="Book Antiqua"/>
          <w:color w:val="000000" w:themeColor="text1"/>
          <w:sz w:val="24"/>
          <w:szCs w:val="24"/>
        </w:rPr>
        <w:t xml:space="preserve">. </w:t>
      </w:r>
      <w:r w:rsidR="00A64008" w:rsidRPr="003610D2">
        <w:rPr>
          <w:rFonts w:ascii="Book Antiqua" w:hAnsi="Book Antiqua"/>
          <w:color w:val="000000" w:themeColor="text1"/>
          <w:sz w:val="24"/>
          <w:szCs w:val="24"/>
        </w:rPr>
        <w:t>While</w:t>
      </w:r>
      <w:r w:rsidR="008E72E4" w:rsidRPr="003610D2">
        <w:rPr>
          <w:rFonts w:ascii="Book Antiqua" w:hAnsi="Book Antiqua"/>
          <w:color w:val="000000" w:themeColor="text1"/>
          <w:sz w:val="24"/>
          <w:szCs w:val="24"/>
        </w:rPr>
        <w:t xml:space="preserve"> strongly associated with obesity and insulin resistance in the general population, hepatic steatosis has historically been attributed to nutritional deficiencies in CF</w:t>
      </w:r>
      <w:r w:rsidR="00A64008" w:rsidRPr="003610D2">
        <w:rPr>
          <w:rFonts w:ascii="Book Antiqua" w:hAnsi="Book Antiqua"/>
          <w:color w:val="000000" w:themeColor="text1"/>
          <w:sz w:val="24"/>
          <w:szCs w:val="24"/>
        </w:rPr>
        <w:t xml:space="preserve"> patients</w:t>
      </w:r>
      <w:r w:rsidR="008E72E4" w:rsidRPr="003610D2">
        <w:rPr>
          <w:rFonts w:ascii="Book Antiqua" w:hAnsi="Book Antiqua"/>
          <w:color w:val="000000" w:themeColor="text1"/>
          <w:sz w:val="24"/>
          <w:szCs w:val="24"/>
        </w:rPr>
        <w:t xml:space="preserve">. </w:t>
      </w:r>
      <w:r w:rsidR="00DE286F" w:rsidRPr="003610D2">
        <w:rPr>
          <w:rFonts w:ascii="Book Antiqua" w:hAnsi="Book Antiqua"/>
          <w:color w:val="000000" w:themeColor="text1"/>
          <w:sz w:val="24"/>
          <w:szCs w:val="24"/>
        </w:rPr>
        <w:t xml:space="preserve">In 1999, Lindblad reported an association between hepatic steatosis and linoleic acid deficiency in a cohort of </w:t>
      </w:r>
      <w:r w:rsidR="008E72E4" w:rsidRPr="003610D2">
        <w:rPr>
          <w:rFonts w:ascii="Book Antiqua" w:hAnsi="Book Antiqua"/>
          <w:color w:val="000000" w:themeColor="text1"/>
          <w:sz w:val="24"/>
          <w:szCs w:val="24"/>
        </w:rPr>
        <w:t xml:space="preserve">41 </w:t>
      </w:r>
      <w:r w:rsidR="00DE286F" w:rsidRPr="003610D2">
        <w:rPr>
          <w:rFonts w:ascii="Book Antiqua" w:hAnsi="Book Antiqua"/>
          <w:color w:val="000000" w:themeColor="text1"/>
          <w:sz w:val="24"/>
          <w:szCs w:val="24"/>
        </w:rPr>
        <w:t>CF patients</w:t>
      </w:r>
      <w:r w:rsidR="009C687E" w:rsidRPr="003610D2">
        <w:rPr>
          <w:rFonts w:ascii="Book Antiqua" w:hAnsi="Book Antiqua"/>
          <w:color w:val="000000" w:themeColor="text1"/>
          <w:sz w:val="24"/>
          <w:szCs w:val="24"/>
        </w:rPr>
        <w:fldChar w:fldCharType="begin" w:fldLock="1"/>
      </w:r>
      <w:r w:rsidR="009C687E" w:rsidRPr="003610D2">
        <w:rPr>
          <w:rFonts w:ascii="Book Antiqua" w:hAnsi="Book Antiqua"/>
          <w:color w:val="000000" w:themeColor="text1"/>
          <w:sz w:val="24"/>
          <w:szCs w:val="24"/>
        </w:rPr>
        <w:instrText>ADDIN CSL_CITATION { "citationItems" : [ { "id" : "ITEM-1", "itemData" : { "DOI" : "10.1002/hep.510300527", "ISSN" : "0270-9139", "PMID" : "10534335", "abstract" : "The median age of the population with cystic fibrosis (CF) has increased worldwide, which has led to the suggestion that the prevalence of liver disease would increase. The aim of this study was to evaluate the natural history of CF-associated liver disease over a 15-year period in a well-controlled population of patients with CF. During the years 1976 through 1993, 124 patients were followed up by yearly liver function tests (LFTs). Fifteen patients were followed up with liver biopsies throughout the whole study period. More than 50% of the patients had pathological LFTs in infancy, later being normalized. Approximately 25% of children 4 years of age or older had biochemical markers of liver disease during the study period. In about 10% of the patients, cirrhosis or advanced fibrosis was confirmed at biopsy and 4% of patients had cirrhosis with clinical liver disease. Severe liver disease developed mainly during prepuberty and puberty. Of the 15 patients prospectively followed up with liver biopsies, only 3 had progressive fibrosis. No specific risk factor was identified, but deficiency of essential fatty acids was found more often in patients with marked steatosis (P &lt;.05). No patient developed clinical liver disease in adulthood and the histological changes in the liver biopsies were usually not progressive. Liver disease was no more frequent at the end of the study period although the median age of the patient population had increased. Modern treatment might positively influence liver disease because it seemed less common, less progressive, and less serious than previously reported.", "author" : [ { "dropping-particle" : "", "family" : "Lindblad", "given" : "A", "non-dropping-particle" : "", "parse-names" : false, "suffix" : "" }, { "dropping-particle" : "", "family" : "Glaumann", "given" : "H", "non-dropping-particle" : "", "parse-names" : false, "suffix" : "" }, { "dropping-particle" : "", "family" : "Strandvik", "given" : "B", "non-dropping-particle" : "", "parse-names" : false, "suffix" : "" } ], "container-title" : "Hepatology", "id" : "ITEM-1", "issue" : "5", "issued" : { "date-parts" : [ [ "1999" ] ] }, "note" : "steatosis prevalence numbers- just report off of pateints who happened to get a biopsy\n\npurpose:\n- prospectively study liver disease \n- just describing theri population\nmethods:\n- 124 patiens followed yearly by LFTs from 1976-1993\n- all got annual US after 1989\n- over 50% had elevated LFTs in infancy that later normalized\n- about 25% of patients over 4 yrs had elevated LFTs during study period; 10% had cirrhosis or firbosis at biopsy\nresutls:\n- 17/27 had biopsies 1976-1979- 35% had steatosis \n- 30/41 % had biopsies between 1989-1993- 29% had steatosis \n*median age did not differ in those with and without stestosis\n- some patients had progression of steatosis, others it remained stable\n- low levels of linoleic acid correlated with degree of steatos\n\nNOTES:\n- really an observational study", "page" : "1151-1158", "title" : "Natural history of liver disease in cystic fibrosis.", "type" : "article-journal", "volume" : "30" }, "uris" : [ "http://www.mendeley.com/documents/?uuid=2020024e-ed18-4d7d-8433-89ff210f6c46" ] } ], "mendeley" : { "formattedCitation" : "&lt;sup&gt;[14]&lt;/sup&gt;", "plainTextFormattedCitation" : "[14]", "previouslyFormattedCitation" : "&lt;sup&gt;[14]&lt;/sup&gt;" }, "properties" : {  }, "schema" : "https://github.com/citation-style-language/schema/raw/master/csl-citation.json" }</w:instrText>
      </w:r>
      <w:r w:rsidR="009C687E" w:rsidRPr="003610D2">
        <w:rPr>
          <w:rFonts w:ascii="Book Antiqua" w:hAnsi="Book Antiqua"/>
          <w:color w:val="000000" w:themeColor="text1"/>
          <w:sz w:val="24"/>
          <w:szCs w:val="24"/>
        </w:rPr>
        <w:fldChar w:fldCharType="separate"/>
      </w:r>
      <w:r w:rsidR="009C687E" w:rsidRPr="003610D2">
        <w:rPr>
          <w:rFonts w:ascii="Book Antiqua" w:hAnsi="Book Antiqua"/>
          <w:noProof/>
          <w:color w:val="000000" w:themeColor="text1"/>
          <w:sz w:val="24"/>
          <w:szCs w:val="24"/>
          <w:vertAlign w:val="superscript"/>
        </w:rPr>
        <w:t>[14]</w:t>
      </w:r>
      <w:r w:rsidR="009C687E" w:rsidRPr="003610D2">
        <w:rPr>
          <w:rFonts w:ascii="Book Antiqua" w:hAnsi="Book Antiqua"/>
          <w:color w:val="000000" w:themeColor="text1"/>
          <w:sz w:val="24"/>
          <w:szCs w:val="24"/>
        </w:rPr>
        <w:fldChar w:fldCharType="end"/>
      </w:r>
      <w:r w:rsidR="00DE286F" w:rsidRPr="003610D2">
        <w:rPr>
          <w:rFonts w:ascii="Book Antiqua" w:hAnsi="Book Antiqua"/>
          <w:color w:val="000000" w:themeColor="text1"/>
          <w:sz w:val="24"/>
          <w:szCs w:val="24"/>
        </w:rPr>
        <w:t>. Other</w:t>
      </w:r>
      <w:r w:rsidR="00574130" w:rsidRPr="003610D2">
        <w:rPr>
          <w:rFonts w:ascii="Book Antiqua" w:hAnsi="Book Antiqua"/>
          <w:color w:val="000000" w:themeColor="text1"/>
          <w:sz w:val="24"/>
          <w:szCs w:val="24"/>
        </w:rPr>
        <w:t xml:space="preserve">s </w:t>
      </w:r>
      <w:r w:rsidR="00A84D81" w:rsidRPr="003610D2">
        <w:rPr>
          <w:rFonts w:ascii="Book Antiqua" w:hAnsi="Book Antiqua"/>
          <w:color w:val="000000" w:themeColor="text1"/>
          <w:sz w:val="24"/>
          <w:szCs w:val="24"/>
        </w:rPr>
        <w:t xml:space="preserve">have proposed that </w:t>
      </w:r>
      <w:r w:rsidR="00DE286F" w:rsidRPr="003610D2">
        <w:rPr>
          <w:rFonts w:ascii="Book Antiqua" w:hAnsi="Book Antiqua"/>
          <w:color w:val="000000" w:themeColor="text1"/>
          <w:sz w:val="24"/>
          <w:szCs w:val="24"/>
        </w:rPr>
        <w:t>carnitine and choline deficiency cause hepatic steatosis in CF</w:t>
      </w:r>
      <w:r w:rsidR="009C687E" w:rsidRPr="003610D2">
        <w:rPr>
          <w:rFonts w:ascii="Book Antiqua" w:hAnsi="Book Antiqua"/>
          <w:color w:val="000000" w:themeColor="text1"/>
          <w:sz w:val="24"/>
          <w:szCs w:val="24"/>
        </w:rPr>
        <w:fldChar w:fldCharType="begin" w:fldLock="1"/>
      </w:r>
      <w:r w:rsidR="009C687E" w:rsidRPr="003610D2">
        <w:rPr>
          <w:rFonts w:ascii="Book Antiqua" w:hAnsi="Book Antiqua"/>
          <w:color w:val="000000" w:themeColor="text1"/>
          <w:sz w:val="24"/>
          <w:szCs w:val="24"/>
        </w:rPr>
        <w:instrText>ADDIN CSL_CITATION { "citationItems" : [ { "id" : "ITEM-1", "itemData" : { "DOI" : "10.1097/MPG.0000000000001004", "ISBN" : "0000000000", "PMID" : "26465792", "author" : [ { "dropping-particle" : "", "family" : "Schall", "given" : "Joan I", "non-dropping-particle" : "", "parse-names" : false, "suffix" : "" }, { "dropping-particle" : "", "family" : "Mascarenhas", "given" : "Maria R", "non-dropping-particle" : "", "parse-names" : false, "suffix" : "" }, { "dropping-particle" : "", "family" : "Maqbool", "given" : "Asim", "non-dropping-particle" : "", "parse-names" : false, "suffix" : "" }, { "dropping-particle" : "", "family" : "Kelly", "given" : "A", "non-dropping-particle" : "", "parse-names" : false, "suffix" : "" }, { "dropping-particle" : "", "family" : "Elci", "given" : "Okan", "non-dropping-particle" : "", "parse-names" : false, "suffix" : "" }, { "dropping-particle" : "", "family" : "Wang", "given" : "Dah-jyuu", "non-dropping-particle" : "", "parse-names" : false, "suffix" : "" }, { "dropping-particle" : "", "family" : "Altes", "given" : "Talissa A", "non-dropping-particle" : "", "parse-names" : false, "suffix" : "" }, { "dropping-particle" : "", "family" : "Hommel", "given" : "A", "non-dropping-particle" : "", "parse-names" : false, "suffix" : "" }, { "dropping-particle" : "", "family" : "Shaw", "given" : "Walter", "non-dropping-particle" : "", "parse-names" : false, "suffix" : "" }, { "dropping-particle" : "", "family" : "Moore", "given" : "Jeff", "non-dropping-particle" : "", "parse-names" : false, "suffix" : "" }, { "dropping-particle" : "", "family" : "Stallings", "given" : "Virginia A", "non-dropping-particle" : "", "parse-names" : false, "suffix" : "" } ], "container-title" : "J Pediatr Gastroenterol Nutr", "id" : "ITEM-1", "issue" : "4", "issued" : { "date-parts" : [ [ "2016" ] ] }, "note" : "RCT of choline supplementation in patients with CF\n\n- CF patients had higher hepatic fat (6-7 times higher)as measured by MRS\n\nsubujects with CF (n=26) MRS % was 6.14 +/- 6.12. \nHC was 0.52 +/- 0.40\n\n- chemical shift imaging technique centered on calf muscle. \n- CF patients had lower calf muscle choline fraction", "page" : "618-626", "title" : "Choline supplementation with a structured lipid in children with Cystic Fibrosis: A randomized placebo controlled trial", "type" : "article-journal", "volume" : "62" }, "uris" : [ "http://www.mendeley.com/documents/?uuid=e5ff9545-d809-4347-bfc5-3c9bbe23c2e6" ] }, { "id" : "ITEM-2", "itemData" : { "DOI" : "10.1097/MCP.0b013e3282f10a16", "ISBN" : "0277-2116 (Print) 0277-2116 (Linking)", "PMID" : "17901760", "abstract" : "Liver involvement in Cystic Fibrosis (CF) is much less frequent than both pulmonary and pancreatic diseases that are present in 80-90% of CF patients; liver disease (LD) affects only one third of CF patients, however, because of the decreasing mortality from extrahepatic causes, its recognition and management is becoming a relevant clinical issue. Recent observations suggest that clinical expression of LD in CF may be influenced by genetic modifiers; their identification is an important issue because it may allow recognition of patients at risk for the development of LD at the time of diagnosis of CF and early institution of prophylactic strategies. Oral bile acid therapy, aimed at improving biliary secretion in terms of bile viscosity and bile acid composition, is currently the only available therapeutic approach for CF-associated LD. However, the impact of this therapy on the natural history of LD remains to be defined and long-term effectiveness on clinically relevant outcomes should be further investigated. Liver transplantation should be offered to CF patients with progressive liver failure and/or with life-threatening sequelae of portal hypertension, who also have mild pulmonary involvement that is expected to support long-term survival. The 1-year survival rate after transplantation in CF patients is approximately 80%, with beneficial effects on lung function, nutritional status, body composition and quality of life in most cases.", "author" : [ { "dropping-particle" : "", "family" : "Colombo", "given" : "C", "non-dropping-particle" : "", "parse-names" : false, "suffix" : "" } ], "container-title" : "Curr Opin Pulm Med", "id" : "ITEM-2", "issue" : "6", "issued" : { "date-parts" : [ [ "2007" ] ] }, "note" : "- &amp;quot;many cf pt exhibit decompensate dliver disease in adolescence when glucose intolerance and CFRD are more likely to develop&amp;quot;\n- advanced liver disease may induce insulin resistance\n\nnothing about steatosis aside from 23-67%", "page" : "529-36", "title" : "Liver disease in cystic fibrosis", "type" : "article-journal", "volume" : "13" }, "uris" : [ "http://www.mendeley.com/documents/?uuid=5bde012c-ad4d-4a07-8029-bbd7104972ee" ] } ], "mendeley" : { "formattedCitation" : "&lt;sup&gt;[5,46]&lt;/sup&gt;", "plainTextFormattedCitation" : "[5,46]", "previouslyFormattedCitation" : "&lt;sup&gt;[5,46]&lt;/sup&gt;" }, "properties" : {  }, "schema" : "https://github.com/citation-style-language/schema/raw/master/csl-citation.json" }</w:instrText>
      </w:r>
      <w:r w:rsidR="009C687E" w:rsidRPr="003610D2">
        <w:rPr>
          <w:rFonts w:ascii="Book Antiqua" w:hAnsi="Book Antiqua"/>
          <w:color w:val="000000" w:themeColor="text1"/>
          <w:sz w:val="24"/>
          <w:szCs w:val="24"/>
        </w:rPr>
        <w:fldChar w:fldCharType="separate"/>
      </w:r>
      <w:r w:rsidR="009C687E" w:rsidRPr="003610D2">
        <w:rPr>
          <w:rFonts w:ascii="Book Antiqua" w:hAnsi="Book Antiqua"/>
          <w:noProof/>
          <w:color w:val="000000" w:themeColor="text1"/>
          <w:sz w:val="24"/>
          <w:szCs w:val="24"/>
          <w:vertAlign w:val="superscript"/>
        </w:rPr>
        <w:t>[5,46]</w:t>
      </w:r>
      <w:r w:rsidR="009C687E" w:rsidRPr="003610D2">
        <w:rPr>
          <w:rFonts w:ascii="Book Antiqua" w:hAnsi="Book Antiqua"/>
          <w:color w:val="000000" w:themeColor="text1"/>
          <w:sz w:val="24"/>
          <w:szCs w:val="24"/>
        </w:rPr>
        <w:fldChar w:fldCharType="end"/>
      </w:r>
      <w:r w:rsidR="00DE286F" w:rsidRPr="003610D2">
        <w:rPr>
          <w:rFonts w:ascii="Book Antiqua" w:hAnsi="Book Antiqua"/>
          <w:color w:val="000000" w:themeColor="text1"/>
          <w:sz w:val="24"/>
          <w:szCs w:val="24"/>
        </w:rPr>
        <w:t>.</w:t>
      </w:r>
      <w:r w:rsidR="001C1832">
        <w:rPr>
          <w:rFonts w:ascii="Book Antiqua" w:hAnsi="Book Antiqua"/>
          <w:color w:val="000000" w:themeColor="text1"/>
          <w:sz w:val="24"/>
          <w:szCs w:val="24"/>
        </w:rPr>
        <w:t xml:space="preserve"> </w:t>
      </w:r>
      <w:r w:rsidR="008E72E4" w:rsidRPr="003610D2">
        <w:rPr>
          <w:rFonts w:ascii="Book Antiqua" w:hAnsi="Book Antiqua"/>
          <w:color w:val="000000" w:themeColor="text1"/>
          <w:sz w:val="24"/>
          <w:szCs w:val="24"/>
        </w:rPr>
        <w:t xml:space="preserve">In contrast, </w:t>
      </w:r>
      <w:r w:rsidR="006E21BA" w:rsidRPr="003610D2">
        <w:rPr>
          <w:rFonts w:ascii="Book Antiqua" w:hAnsi="Book Antiqua"/>
          <w:color w:val="000000" w:themeColor="text1"/>
          <w:sz w:val="24"/>
          <w:szCs w:val="24"/>
        </w:rPr>
        <w:t xml:space="preserve">more </w:t>
      </w:r>
      <w:r w:rsidR="008E72E4" w:rsidRPr="003610D2">
        <w:rPr>
          <w:rFonts w:ascii="Book Antiqua" w:hAnsi="Book Antiqua"/>
          <w:color w:val="000000" w:themeColor="text1"/>
          <w:sz w:val="24"/>
          <w:szCs w:val="24"/>
        </w:rPr>
        <w:t xml:space="preserve">recent data suggests that </w:t>
      </w:r>
      <w:r w:rsidR="004B39EB" w:rsidRPr="003610D2">
        <w:rPr>
          <w:rFonts w:ascii="Book Antiqua" w:hAnsi="Book Antiqua"/>
          <w:color w:val="000000" w:themeColor="text1"/>
          <w:sz w:val="24"/>
          <w:szCs w:val="24"/>
        </w:rPr>
        <w:t xml:space="preserve">hepatic steatosis in CF is associated with </w:t>
      </w:r>
      <w:r w:rsidR="00961A97" w:rsidRPr="003610D2">
        <w:rPr>
          <w:rFonts w:ascii="Book Antiqua" w:hAnsi="Book Antiqua"/>
          <w:color w:val="000000" w:themeColor="text1"/>
          <w:sz w:val="24"/>
          <w:szCs w:val="24"/>
        </w:rPr>
        <w:t xml:space="preserve">higher BMI </w:t>
      </w:r>
      <w:r w:rsidR="00CB142B" w:rsidRPr="003610D2">
        <w:rPr>
          <w:rFonts w:ascii="Book Antiqua" w:hAnsi="Book Antiqua"/>
          <w:color w:val="000000" w:themeColor="text1"/>
          <w:sz w:val="24"/>
          <w:szCs w:val="24"/>
        </w:rPr>
        <w:t>and better lung function</w:t>
      </w:r>
      <w:r w:rsidR="009C687E" w:rsidRPr="003610D2">
        <w:rPr>
          <w:rFonts w:ascii="Book Antiqua" w:hAnsi="Book Antiqua"/>
          <w:color w:val="000000" w:themeColor="text1"/>
          <w:sz w:val="24"/>
          <w:szCs w:val="24"/>
        </w:rPr>
        <w:fldChar w:fldCharType="begin" w:fldLock="1"/>
      </w:r>
      <w:r w:rsidR="009C687E" w:rsidRPr="003610D2">
        <w:rPr>
          <w:rFonts w:ascii="Book Antiqua" w:hAnsi="Book Antiqua"/>
          <w:color w:val="000000" w:themeColor="text1"/>
          <w:sz w:val="24"/>
          <w:szCs w:val="24"/>
        </w:rPr>
        <w:instrText>ADDIN CSL_CITATION { "citationItems" : [ { "id" : "ITEM-1", "itemData" : { "DOI" : "10.4254/wjh.v10.i1.34", "ISSN" : "19485182", "PMID" : "29399276", "abstract" : "\u00a9 The Author(s) 2018. AIM To investigate the clinical, biochemical and imaging characteristics of adult cystic fibrosis (CF) patients with hepatic steatosis as compared to normal CF controls. METHODS We performed a retrospective review of adult CF patients in an academic outpatient setting during 2016. Baseline characteristics, genetic mutation analysis as well as laboratory values were collected. Abdominal imaging (ultrasound, computed tomography, magnetic resonance) was used to determine presence of hepatic steatosis. We compare patients with hepatic steatosis to normal controls. RESULTS Data was collected on 114 patients meeting inclusion criteria. Seventeen patients (14.9%) were found to have hepatic steatosis on imaging. Being overweight (BMI &gt; 25) (P = 0.019) and having a higher ppFEV1 (75 vs 53, P = 0.037) were significantly associated with hepatic steatosis. Patients with hepatic steatosis had a significantly higher median alanine aminotransferase level (27 vs 19, P = 0.048). None of the hepatic steatosis patients had frank CF liver disease, cirrhosis or portal hypertension. We found no significant association with pancreatic insufficiency or CF related diabetes. CONCLUSION Hepatic steatosis appears to be a clinically and phenotypically distinct entity from CF liver disease. The lack of association with malnourishment and the significant association with higher BMI and higher ppFEV1 demonstrate similarities with non-alcoholic fatty liver disease. Long term prospective studies are needed to ascertain whether CF hepatic steatosis progresses to fibrosis and cirrhosis.", "author" : [ { "dropping-particle" : "", "family" : "Ayoub", "given" : "F.", "non-dropping-particle" : "", "parse-names" : false, "suffix" : "" }, { "dropping-particle" : "", "family" : "Trillo-Alvarez", "given" : "C.", "non-dropping-particle" : "", "parse-names" : false, "suffix" : "" }, { "dropping-particle" : "", "family" : "Morelli", "given" : "G.", "non-dropping-particle" : "", "parse-names" : false, "suffix" : "" }, { "dropping-particle" : "", "family" : "Lascano", "given" : "J.", "non-dropping-particle" : "", "parse-names" : false, "suffix" : "" } ], "container-title" : "World Journal of Hepatology", "id" : "ITEM-1", "issue" : "1", "issued" : { "date-parts" : [ [ "2018" ] ] }, "note" : "fatty not fatty\nmod 6 23\nno m 11 74\nfishers p=0.3", "page" : "34-40", "title" : "Risk factors for hepatic steatosis in adults with cystic fibrosis: Similarities to non-alcoholic fatty liver disease", "type" : "article-journal", "volume" : "10" }, "uris" : [ "http://www.mendeley.com/documents/?uuid=294a7beb-e940-4fe2-8dea-bb90107df92f" ] } ], "mendeley" : { "formattedCitation" : "&lt;sup&gt;[13]&lt;/sup&gt;", "plainTextFormattedCitation" : "[13]", "previouslyFormattedCitation" : "&lt;sup&gt;[13]&lt;/sup&gt;" }, "properties" : {  }, "schema" : "https://github.com/citation-style-language/schema/raw/master/csl-citation.json" }</w:instrText>
      </w:r>
      <w:r w:rsidR="009C687E" w:rsidRPr="003610D2">
        <w:rPr>
          <w:rFonts w:ascii="Book Antiqua" w:hAnsi="Book Antiqua"/>
          <w:color w:val="000000" w:themeColor="text1"/>
          <w:sz w:val="24"/>
          <w:szCs w:val="24"/>
        </w:rPr>
        <w:fldChar w:fldCharType="separate"/>
      </w:r>
      <w:r w:rsidR="009C687E" w:rsidRPr="003610D2">
        <w:rPr>
          <w:rFonts w:ascii="Book Antiqua" w:hAnsi="Book Antiqua"/>
          <w:noProof/>
          <w:color w:val="000000" w:themeColor="text1"/>
          <w:sz w:val="24"/>
          <w:szCs w:val="24"/>
          <w:vertAlign w:val="superscript"/>
        </w:rPr>
        <w:t>[13]</w:t>
      </w:r>
      <w:r w:rsidR="009C687E" w:rsidRPr="003610D2">
        <w:rPr>
          <w:rFonts w:ascii="Book Antiqua" w:hAnsi="Book Antiqua"/>
          <w:color w:val="000000" w:themeColor="text1"/>
          <w:sz w:val="24"/>
          <w:szCs w:val="24"/>
        </w:rPr>
        <w:fldChar w:fldCharType="end"/>
      </w:r>
      <w:r w:rsidR="008E72E4" w:rsidRPr="003610D2">
        <w:rPr>
          <w:rFonts w:ascii="Book Antiqua" w:hAnsi="Book Antiqua"/>
          <w:color w:val="000000" w:themeColor="text1"/>
          <w:sz w:val="24"/>
          <w:szCs w:val="24"/>
        </w:rPr>
        <w:t>.</w:t>
      </w:r>
      <w:r w:rsidR="00241A3B" w:rsidRPr="003610D2">
        <w:rPr>
          <w:rFonts w:ascii="Book Antiqua" w:hAnsi="Book Antiqua"/>
          <w:color w:val="000000" w:themeColor="text1"/>
          <w:sz w:val="24"/>
          <w:szCs w:val="24"/>
        </w:rPr>
        <w:t xml:space="preserve"> </w:t>
      </w:r>
      <w:r w:rsidR="006C0194" w:rsidRPr="003610D2">
        <w:rPr>
          <w:rFonts w:ascii="Book Antiqua" w:hAnsi="Book Antiqua"/>
          <w:color w:val="000000" w:themeColor="text1"/>
          <w:sz w:val="24"/>
          <w:szCs w:val="24"/>
        </w:rPr>
        <w:t xml:space="preserve">Importantly, one case report suggests </w:t>
      </w:r>
      <w:r w:rsidR="00CB142B" w:rsidRPr="003610D2">
        <w:rPr>
          <w:rFonts w:ascii="Book Antiqua" w:hAnsi="Book Antiqua"/>
          <w:color w:val="000000" w:themeColor="text1"/>
          <w:sz w:val="24"/>
          <w:szCs w:val="24"/>
        </w:rPr>
        <w:t xml:space="preserve">that CFTR </w:t>
      </w:r>
      <w:r w:rsidR="006C0194" w:rsidRPr="003610D2">
        <w:rPr>
          <w:rFonts w:ascii="Book Antiqua" w:hAnsi="Book Antiqua"/>
          <w:color w:val="000000" w:themeColor="text1"/>
          <w:sz w:val="24"/>
          <w:szCs w:val="24"/>
        </w:rPr>
        <w:t xml:space="preserve">dysfunction may be responsible for </w:t>
      </w:r>
      <w:r w:rsidR="00CB142B" w:rsidRPr="003610D2">
        <w:rPr>
          <w:rFonts w:ascii="Book Antiqua" w:hAnsi="Book Antiqua"/>
          <w:color w:val="000000" w:themeColor="text1"/>
          <w:sz w:val="24"/>
          <w:szCs w:val="24"/>
        </w:rPr>
        <w:t xml:space="preserve">hepatic steatosis in CF. Hayes </w:t>
      </w:r>
      <w:r w:rsidR="00CB142B" w:rsidRPr="006A7FED">
        <w:rPr>
          <w:rFonts w:ascii="Book Antiqua" w:hAnsi="Book Antiqua"/>
          <w:i/>
          <w:iCs/>
          <w:color w:val="000000" w:themeColor="text1"/>
          <w:sz w:val="24"/>
          <w:szCs w:val="24"/>
        </w:rPr>
        <w:t>et al</w:t>
      </w:r>
      <w:r w:rsidR="006A7FED" w:rsidRPr="003610D2">
        <w:rPr>
          <w:rFonts w:ascii="Book Antiqua" w:hAnsi="Book Antiqua"/>
          <w:sz w:val="24"/>
          <w:szCs w:val="24"/>
        </w:rPr>
        <w:fldChar w:fldCharType="begin" w:fldLock="1"/>
      </w:r>
      <w:r w:rsidR="006A7FED" w:rsidRPr="003610D2">
        <w:rPr>
          <w:rFonts w:ascii="Book Antiqua" w:hAnsi="Book Antiqua"/>
          <w:sz w:val="24"/>
          <w:szCs w:val="24"/>
        </w:rPr>
        <w:instrText>ADDIN CSL_CITATION { "citationItems" : [ { "id" : "ITEM-1", "itemData" : { "DOI" : "10.1097/MPG.0000000000000765", "ISBN" : "0000000000000", "ISSN" : "15364801", "PMID" : "25688481", "author" : [ { "dropping-particle" : "", "family" : "Hayes Jr.", "given" : "D", "non-dropping-particle" : "", "parse-names" : false, "suffix" : "" }, { "dropping-particle" : "", "family" : "Warren", "given" : "Patrick S", "non-dropping-particle" : "", "parse-names" : false, "suffix" : "" }, { "dropping-particle" : "", "family" : "McCoy", "given" : "Karen S", "non-dropping-particle" : "", "parse-names" : false, "suffix" : "" }, { "dropping-particle" : "", "family" : "Sheikh", "given" : "Shahid I", "non-dropping-particle" : "", "parse-names" : false, "suffix" : "" } ], "container-title" : "Journal of Pediatric Gastroenterology and Nutrition", "id" : "ITEM-1", "issue" : "5", "issued" : { "date-parts" : [ [ "2015" ] ] }, "page" : "578-579", "title" : "Improvement of hepatic steatosis in cystic fibrosis with ivacaftor therapy", "type" : "article-journal", "volume" : "60" }, "uris" : [ "http://www.mendeley.com/documents/?uuid=cb00c516-bc6d-45e7-b327-cb6e4fd77187" ] } ], "mendeley" : { "formattedCitation" : "&lt;sup&gt;[47]&lt;/sup&gt;", "plainTextFormattedCitation" : "[47]", "previouslyFormattedCitation" : "&lt;sup&gt;[47]&lt;/sup&gt;" }, "properties" : {  }, "schema" : "https://github.com/citation-style-language/schema/raw/master/csl-citation.json" }</w:instrText>
      </w:r>
      <w:r w:rsidR="006A7FED" w:rsidRPr="003610D2">
        <w:rPr>
          <w:rFonts w:ascii="Book Antiqua" w:hAnsi="Book Antiqua"/>
          <w:sz w:val="24"/>
          <w:szCs w:val="24"/>
        </w:rPr>
        <w:fldChar w:fldCharType="separate"/>
      </w:r>
      <w:r w:rsidR="006A7FED" w:rsidRPr="003610D2">
        <w:rPr>
          <w:rFonts w:ascii="Book Antiqua" w:hAnsi="Book Antiqua"/>
          <w:noProof/>
          <w:sz w:val="24"/>
          <w:szCs w:val="24"/>
          <w:vertAlign w:val="superscript"/>
        </w:rPr>
        <w:t>[47]</w:t>
      </w:r>
      <w:r w:rsidR="006A7FED" w:rsidRPr="003610D2">
        <w:rPr>
          <w:rFonts w:ascii="Book Antiqua" w:hAnsi="Book Antiqua"/>
          <w:sz w:val="24"/>
          <w:szCs w:val="24"/>
        </w:rPr>
        <w:fldChar w:fldCharType="end"/>
      </w:r>
      <w:r w:rsidR="00CB142B" w:rsidRPr="003610D2">
        <w:rPr>
          <w:rFonts w:ascii="Book Antiqua" w:hAnsi="Book Antiqua"/>
          <w:color w:val="000000" w:themeColor="text1"/>
          <w:sz w:val="24"/>
          <w:szCs w:val="24"/>
        </w:rPr>
        <w:t xml:space="preserve"> reported </w:t>
      </w:r>
      <w:r w:rsidR="006C0194" w:rsidRPr="003610D2">
        <w:rPr>
          <w:rFonts w:ascii="Book Antiqua" w:hAnsi="Book Antiqua"/>
          <w:color w:val="000000" w:themeColor="text1"/>
          <w:sz w:val="24"/>
          <w:szCs w:val="24"/>
        </w:rPr>
        <w:t xml:space="preserve">rapid </w:t>
      </w:r>
      <w:r w:rsidR="00CB142B" w:rsidRPr="003610D2">
        <w:rPr>
          <w:rFonts w:ascii="Book Antiqua" w:hAnsi="Book Antiqua"/>
          <w:color w:val="000000" w:themeColor="text1"/>
          <w:sz w:val="24"/>
          <w:szCs w:val="24"/>
        </w:rPr>
        <w:t>resolution of severe hepatic steatosis in a</w:t>
      </w:r>
      <w:r w:rsidR="006E21BA" w:rsidRPr="003610D2">
        <w:rPr>
          <w:rFonts w:ascii="Book Antiqua" w:hAnsi="Book Antiqua"/>
          <w:color w:val="000000" w:themeColor="text1"/>
          <w:sz w:val="24"/>
          <w:szCs w:val="24"/>
        </w:rPr>
        <w:t xml:space="preserve"> </w:t>
      </w:r>
      <w:r w:rsidR="00DE46D1" w:rsidRPr="003610D2">
        <w:rPr>
          <w:rFonts w:ascii="Book Antiqua" w:hAnsi="Book Antiqua"/>
          <w:color w:val="000000" w:themeColor="text1"/>
          <w:sz w:val="24"/>
          <w:szCs w:val="24"/>
        </w:rPr>
        <w:t>17 year old</w:t>
      </w:r>
      <w:r w:rsidR="00462229" w:rsidRPr="003610D2">
        <w:rPr>
          <w:rFonts w:ascii="Book Antiqua" w:hAnsi="Book Antiqua"/>
          <w:color w:val="000000" w:themeColor="text1"/>
          <w:sz w:val="24"/>
          <w:szCs w:val="24"/>
        </w:rPr>
        <w:t xml:space="preserve"> female</w:t>
      </w:r>
      <w:r w:rsidR="00A64008" w:rsidRPr="003610D2">
        <w:rPr>
          <w:rFonts w:ascii="Book Antiqua" w:hAnsi="Book Antiqua"/>
          <w:color w:val="000000" w:themeColor="text1"/>
          <w:sz w:val="24"/>
          <w:szCs w:val="24"/>
        </w:rPr>
        <w:t xml:space="preserve"> (F508del/G511D genotype) after</w:t>
      </w:r>
      <w:r w:rsidR="00B75F46" w:rsidRPr="003610D2">
        <w:rPr>
          <w:rFonts w:ascii="Book Antiqua" w:hAnsi="Book Antiqua"/>
          <w:color w:val="000000" w:themeColor="text1"/>
          <w:sz w:val="24"/>
          <w:szCs w:val="24"/>
        </w:rPr>
        <w:t xml:space="preserve"> initiation of i</w:t>
      </w:r>
      <w:r w:rsidR="00A84D81" w:rsidRPr="003610D2">
        <w:rPr>
          <w:rFonts w:ascii="Book Antiqua" w:hAnsi="Book Antiqua"/>
          <w:color w:val="000000" w:themeColor="text1"/>
          <w:sz w:val="24"/>
          <w:szCs w:val="24"/>
        </w:rPr>
        <w:t>vacaftor</w:t>
      </w:r>
      <w:r w:rsidR="007A5C3B" w:rsidRPr="003610D2">
        <w:rPr>
          <w:rFonts w:ascii="Book Antiqua" w:hAnsi="Book Antiqua"/>
          <w:color w:val="000000" w:themeColor="text1"/>
          <w:sz w:val="24"/>
          <w:szCs w:val="24"/>
        </w:rPr>
        <w:t xml:space="preserve"> therapy</w:t>
      </w:r>
      <w:r w:rsidR="00A84D81" w:rsidRPr="003610D2">
        <w:rPr>
          <w:rFonts w:ascii="Book Antiqua" w:hAnsi="Book Antiqua"/>
          <w:color w:val="000000" w:themeColor="text1"/>
          <w:sz w:val="24"/>
          <w:szCs w:val="24"/>
        </w:rPr>
        <w:t>.</w:t>
      </w:r>
      <w:r w:rsidR="00462229" w:rsidRPr="003610D2">
        <w:rPr>
          <w:rFonts w:ascii="Book Antiqua" w:hAnsi="Book Antiqua"/>
          <w:sz w:val="24"/>
          <w:szCs w:val="24"/>
        </w:rPr>
        <w:t xml:space="preserve"> </w:t>
      </w:r>
      <w:r w:rsidR="008F1EAC" w:rsidRPr="003610D2">
        <w:rPr>
          <w:rFonts w:ascii="Book Antiqua" w:hAnsi="Book Antiqua"/>
          <w:sz w:val="24"/>
          <w:szCs w:val="24"/>
        </w:rPr>
        <w:lastRenderedPageBreak/>
        <w:t>Our results further support a role for CFTR dysfunction in the pathogenesis of hepatic steatosis in CF.</w:t>
      </w:r>
      <w:r w:rsidR="001C1832">
        <w:rPr>
          <w:rFonts w:ascii="Book Antiqua" w:hAnsi="Book Antiqua"/>
          <w:sz w:val="24"/>
          <w:szCs w:val="24"/>
        </w:rPr>
        <w:t xml:space="preserve"> </w:t>
      </w:r>
    </w:p>
    <w:p w14:paraId="02199EA5" w14:textId="4C988D7F" w:rsidR="007A5C3B" w:rsidRPr="003610D2" w:rsidRDefault="008F1EAC" w:rsidP="009C687E">
      <w:pPr>
        <w:adjustRightInd w:val="0"/>
        <w:snapToGrid w:val="0"/>
        <w:spacing w:after="0" w:line="360" w:lineRule="auto"/>
        <w:ind w:firstLineChars="100" w:firstLine="240"/>
        <w:jc w:val="both"/>
        <w:rPr>
          <w:rFonts w:ascii="Book Antiqua" w:hAnsi="Book Antiqua"/>
          <w:color w:val="000000" w:themeColor="text1"/>
          <w:sz w:val="24"/>
          <w:szCs w:val="24"/>
        </w:rPr>
      </w:pPr>
      <w:r w:rsidRPr="003610D2">
        <w:rPr>
          <w:rFonts w:ascii="Book Antiqua" w:hAnsi="Book Antiqua"/>
          <w:color w:val="000000" w:themeColor="text1"/>
          <w:sz w:val="24"/>
          <w:szCs w:val="24"/>
        </w:rPr>
        <w:t xml:space="preserve">We have considered possible explanations for our findings. </w:t>
      </w:r>
      <w:r w:rsidR="007A5C3B" w:rsidRPr="003610D2">
        <w:rPr>
          <w:rFonts w:ascii="Book Antiqua" w:hAnsi="Book Antiqua"/>
          <w:color w:val="000000" w:themeColor="text1"/>
          <w:sz w:val="24"/>
          <w:szCs w:val="24"/>
        </w:rPr>
        <w:t>As</w:t>
      </w:r>
      <w:r w:rsidR="00961E31" w:rsidRPr="003610D2">
        <w:rPr>
          <w:rFonts w:ascii="Book Antiqua" w:hAnsi="Book Antiqua"/>
          <w:color w:val="000000" w:themeColor="text1"/>
          <w:sz w:val="24"/>
          <w:szCs w:val="24"/>
        </w:rPr>
        <w:t xml:space="preserve"> CFTR is not expressed in hepatocytes, </w:t>
      </w:r>
      <w:r w:rsidR="00395C60" w:rsidRPr="003610D2">
        <w:rPr>
          <w:rFonts w:ascii="Book Antiqua" w:hAnsi="Book Antiqua"/>
          <w:color w:val="000000" w:themeColor="text1"/>
          <w:sz w:val="24"/>
          <w:szCs w:val="24"/>
        </w:rPr>
        <w:t xml:space="preserve">improvements in hepatic steatosis with CFTR modulators </w:t>
      </w:r>
      <w:r w:rsidR="00961A97" w:rsidRPr="003610D2">
        <w:rPr>
          <w:rFonts w:ascii="Book Antiqua" w:hAnsi="Book Antiqua"/>
          <w:color w:val="000000" w:themeColor="text1"/>
          <w:sz w:val="24"/>
          <w:szCs w:val="24"/>
        </w:rPr>
        <w:t xml:space="preserve">must be mediated by </w:t>
      </w:r>
      <w:r w:rsidR="00961E31" w:rsidRPr="003610D2">
        <w:rPr>
          <w:rFonts w:ascii="Book Antiqua" w:hAnsi="Book Antiqua"/>
          <w:color w:val="000000" w:themeColor="text1"/>
          <w:sz w:val="24"/>
          <w:szCs w:val="24"/>
        </w:rPr>
        <w:t>CF</w:t>
      </w:r>
      <w:r w:rsidRPr="003610D2">
        <w:rPr>
          <w:rFonts w:ascii="Book Antiqua" w:hAnsi="Book Antiqua"/>
          <w:color w:val="000000" w:themeColor="text1"/>
          <w:sz w:val="24"/>
          <w:szCs w:val="24"/>
        </w:rPr>
        <w:t>TR expression in other tissues</w:t>
      </w:r>
      <w:r w:rsidR="009C687E" w:rsidRPr="003610D2">
        <w:rPr>
          <w:rFonts w:ascii="Book Antiqua" w:hAnsi="Book Antiqua"/>
          <w:color w:val="000000" w:themeColor="text1"/>
          <w:sz w:val="24"/>
          <w:szCs w:val="24"/>
        </w:rPr>
        <w:fldChar w:fldCharType="begin" w:fldLock="1"/>
      </w:r>
      <w:r w:rsidR="009C687E" w:rsidRPr="003610D2">
        <w:rPr>
          <w:rFonts w:ascii="Book Antiqua" w:hAnsi="Book Antiqua"/>
          <w:color w:val="000000" w:themeColor="text1"/>
          <w:sz w:val="24"/>
          <w:szCs w:val="24"/>
        </w:rPr>
        <w:instrText>ADDIN CSL_CITATION { "citationItems" : [ { "id" : "ITEM-1", "itemData" : { "DOI" : "10.1152/ajpgi.00146.2014", "ISSN" : "0193-1857", "PMID" : "25591863", "abstract" : "Multiple organ systems, including the gastrointestinal tract, pancreas, and hepatobiliary systems, are affected by cystic fibrosis (CF). Many of these changes begin early in life and are difficult to study in young CF patients. Recent development of novel CF animal models has expanded opportunities in the field to better understand CF pathogenesis and evaluate traditional and innovative therapeutics. In this review, we discuss manifestations of CF disease in gastrointestinal, pancreatic, and hepatobiliary systems of humans and animal models. We also compare the similarities and limitations of animal models and discuss future directions for modeling CF.", "author" : [ { "dropping-particle" : "", "family" : "Olivier", "given" : "Alicia K.", "non-dropping-particle" : "", "parse-names" : false, "suffix" : "" }, { "dropping-particle" : "", "family" : "Gibson-Corley", "given" : "Katherine N.", "non-dropping-particle" : "", "parse-names" : false, "suffix" : "" }, { "dropping-particle" : "", "family" : "Meyerholz", "given" : "David K.", "non-dropping-particle" : "", "parse-names" : false, "suffix" : "" } ], "container-title" : "American Journal of Physiology-Gastrointestinal and Liver Physiology", "id" : "ITEM-1", "issue" : "6", "issued" : { "date-parts" : [ [ "2015" ] ] }, "page" : "G459-G471", "title" : "Animal models of gastrointestinal and liver diseases. Animal models of cystic fibrosis: gastrointestinal, pancreatic, and hepatobiliary disease and pathophysiology", "type" : "article-journal", "volume" : "308" }, "uris" : [ "http://www.mendeley.com/documents/?uuid=97e6b30d-f98b-427d-b5b2-36e2cdc8c882" ] } ], "mendeley" : { "formattedCitation" : "&lt;sup&gt;[48]&lt;/sup&gt;", "plainTextFormattedCitation" : "[48]", "previouslyFormattedCitation" : "&lt;sup&gt;[48]&lt;/sup&gt;" }, "properties" : {  }, "schema" : "https://github.com/citation-style-language/schema/raw/master/csl-citation.json" }</w:instrText>
      </w:r>
      <w:r w:rsidR="009C687E" w:rsidRPr="003610D2">
        <w:rPr>
          <w:rFonts w:ascii="Book Antiqua" w:hAnsi="Book Antiqua"/>
          <w:color w:val="000000" w:themeColor="text1"/>
          <w:sz w:val="24"/>
          <w:szCs w:val="24"/>
        </w:rPr>
        <w:fldChar w:fldCharType="separate"/>
      </w:r>
      <w:r w:rsidR="009C687E" w:rsidRPr="003610D2">
        <w:rPr>
          <w:rFonts w:ascii="Book Antiqua" w:hAnsi="Book Antiqua"/>
          <w:noProof/>
          <w:color w:val="000000" w:themeColor="text1"/>
          <w:sz w:val="24"/>
          <w:szCs w:val="24"/>
          <w:vertAlign w:val="superscript"/>
        </w:rPr>
        <w:t>[48]</w:t>
      </w:r>
      <w:r w:rsidR="009C687E" w:rsidRPr="003610D2">
        <w:rPr>
          <w:rFonts w:ascii="Book Antiqua" w:hAnsi="Book Antiqua"/>
          <w:color w:val="000000" w:themeColor="text1"/>
          <w:sz w:val="24"/>
          <w:szCs w:val="24"/>
        </w:rPr>
        <w:fldChar w:fldCharType="end"/>
      </w:r>
      <w:r w:rsidR="00B12FE8" w:rsidRPr="003610D2">
        <w:rPr>
          <w:rFonts w:ascii="Book Antiqua" w:hAnsi="Book Antiqua"/>
          <w:color w:val="000000" w:themeColor="text1"/>
          <w:sz w:val="24"/>
          <w:szCs w:val="24"/>
        </w:rPr>
        <w:t>.</w:t>
      </w:r>
      <w:r w:rsidR="00BD18AD" w:rsidRPr="003610D2">
        <w:rPr>
          <w:rFonts w:ascii="Book Antiqua" w:hAnsi="Book Antiqua"/>
          <w:color w:val="000000" w:themeColor="text1"/>
          <w:sz w:val="24"/>
          <w:szCs w:val="24"/>
        </w:rPr>
        <w:t xml:space="preserve"> </w:t>
      </w:r>
      <w:r w:rsidR="00961A97" w:rsidRPr="003610D2">
        <w:rPr>
          <w:rFonts w:ascii="Book Antiqua" w:hAnsi="Book Antiqua"/>
          <w:color w:val="000000" w:themeColor="text1"/>
          <w:sz w:val="24"/>
          <w:szCs w:val="24"/>
        </w:rPr>
        <w:t>In CF, biliary</w:t>
      </w:r>
      <w:r w:rsidRPr="003610D2">
        <w:rPr>
          <w:rFonts w:ascii="Book Antiqua" w:hAnsi="Book Antiqua"/>
          <w:color w:val="000000" w:themeColor="text1"/>
          <w:sz w:val="24"/>
          <w:szCs w:val="24"/>
        </w:rPr>
        <w:t xml:space="preserve"> stasis and impaired enterocyte function contribute to persistent fat malabsorption, even with adequate</w:t>
      </w:r>
      <w:r w:rsidR="003F6B62" w:rsidRPr="003610D2">
        <w:rPr>
          <w:rFonts w:ascii="Book Antiqua" w:hAnsi="Book Antiqua"/>
          <w:color w:val="000000" w:themeColor="text1"/>
          <w:sz w:val="24"/>
          <w:szCs w:val="24"/>
        </w:rPr>
        <w:t xml:space="preserve"> pancreatic enzyme replacement</w:t>
      </w:r>
      <w:r w:rsidR="009C687E" w:rsidRPr="003610D2">
        <w:rPr>
          <w:rFonts w:ascii="Book Antiqua" w:hAnsi="Book Antiqua"/>
          <w:color w:val="000000" w:themeColor="text1"/>
          <w:sz w:val="24"/>
          <w:szCs w:val="24"/>
        </w:rPr>
        <w:fldChar w:fldCharType="begin" w:fldLock="1"/>
      </w:r>
      <w:r w:rsidR="009C687E" w:rsidRPr="003610D2">
        <w:rPr>
          <w:rFonts w:ascii="Book Antiqua" w:hAnsi="Book Antiqua"/>
          <w:color w:val="000000" w:themeColor="text1"/>
          <w:sz w:val="24"/>
          <w:szCs w:val="24"/>
        </w:rPr>
        <w:instrText>ADDIN CSL_CITATION { "citationItems" : [ { "id" : "ITEM-1", "itemData" : { "DOI" : "10.1371/journal.pone.0010446", "ISBN" : "1932-6203 (Electronic)\\r1932-6203 (Linking)", "ISSN" : "19326203", "PMID" : "20463919", "abstract" : "BACKGROUND: Abnormal fatty acid composition (FA) in plasma and tissue lipids frequently occurs in homozygous and even in heterozygous carriers of cystic fibrosis transmembrane conductance regulator (CFTR) mutations. The mechanism(s) underlying these abnormalities remained, however, poorly understood despite the potentially CFTR contributing role. METHODOLOGY/PRINCIPAL FINDINGS: The aim of the present study was to investigate the impact of CFTR depletion on FA uptake, composition and metabolism using the intestinal Caco-2/15 cell line. shRNA-mediated cftr gene silencing induced qualitative and quantitative modifications in FA composition in differentiated enterocytes as determined by gas-liquid chromatography. With the cftr gene disruption, there was a 1,5 fold increase in the total FA amount, largely attributable to monounsaturated and saturated FA compared to controls. The activity of delta-7 desaturase, estimated by the 16:1(n-7)/16:0, was significantly higher in knockdown cells and consistent with the striking elevation of the n-7 FA family. When incubated with [14C]-oleic acid, CFTR-depleted cells were capable of quick incorporation and export to the medium concomitantly with the high protein expression of L-FABP known to promote intracellular FA trafficking. Accordingly, lipoprotein vehicles (CM, VLDL, LDL and HDL), isolated from CFTR knockdown cells, exhibited higher levels of radiolabeled FA. Moreover, in the presence of [14C]-acetate, knockdown cells exhibited enhanced secretion of newly synthesized phospholipids, triglycerides, cholesteryl esters and free FA, thereby suggesting a stimulation of the lipogenic pathway. Conformably, gene expression of SREBP-1c, a key lipogenic transcription factor, was increased while protein expression of the phosphorylated and inactive form of acetylCoA carboxylase was reduced, confirming lipogenesis induction. Finally, CFTR-depleted cells exhibited lower gene expression of transcription factors (PPARalpha, LXRalpha, LXRbeta and RXRalpha). CONCLUSIONS/SIGNIFICANCE: Collectively, our results indicate that CFTR depletion may disrupt FA homeostasis in intestinal cells through alterations in FA uptake and transport combined with stimulation of lipogenesis that occurs by an LXR/RXR-independent mechanism. These findings exclude a contributing role of CFTR in CF-associated fat malabsorption.", "author" : [ { "dropping-particle" : "", "family" : "Mailhot", "given" : "Genevi\u00e8ve", "non-dropping-particle" : "", "parse-names" : false, "suffix" : "" }, { "dropping-particle" : "", "family" : "Rabasa-Lhoret", "given" : "R\u00e9mi", "non-dropping-particle" : "", "parse-names" : false, "suffix" : "" }, { "dropping-particle" : "", "family" : "Moreau", "given" : "Alain", "non-dropping-particle" : "", "parse-names" : false, "suffix" : "" }, { "dropping-particle" : "", "family" : "Berthiaume", "given" : "Yves", "non-dropping-particle" : "", "parse-names" : false, "suffix" : "" }, { "dropping-particle" : "", "family" : "Levy", "given" : "Emile", "non-dropping-particle" : "", "parse-names" : false, "suffix" : "" } ], "container-title" : "PLoS ONE", "id" : "ITEM-1", "issue" : "5", "issued" : { "date-parts" : [ [ "2010" ] ] }, "note" : "background: \n- lower levels of linoleic acid, DHA\n- higher leves of Arachadoinci acid in CF \n\n\nref 20,21 that lipid absorption is abn in CF", "page" : "e10446", "title" : "CFTR depletion results in changes in fatty acid composition and promotes lipogenesis in intestinal Caco 2/15 cells", "type" : "article-journal", "volume" : "5" }, "uris" : [ "http://www.mendeley.com/documents/?uuid=1fa86364-a268-485c-8d65-527af37711fe" ] }, { "id" : "ITEM-2", "itemData" : { "DOI" : "10.1186/1743-7075-2-11", "ISSN" : "17437075", "PMID" : "15869703", "abstract" : "Transport mechanisms, whereby alimentary lipids are digested and packaged into small emulsion particles that enter intestinal cells to be translocated to the plasma in the form of chylomicrons, are impaired in cystic fibrosis. The purpose of this paper is to focus on defects that are related to intraluminal and intracellular events in this life-limiting genetic disorder. Specific evidence is presented to highlight the relationship between fat malabsorption and essential fatty acid deficiency commonly found in patients with cystic fibrosis that are often related to the genotype. Given the interdependency of pulmonary disease, pancreatic insufficiency and nutritional status, greater attention should be paid to the optimal correction of fat malabsorption and essential fatty acid deficiency in order to improve the quality of life and extend the life span of patients with cystic fibrosis.", "author" : [ { "dropping-particle" : "", "family" : "Peretti", "given" : "N.", "non-dropping-particle" : "", "parse-names" : false, "suffix" : "" }, { "dropping-particle" : "", "family" : "Marcil", "given" : "V.", "non-dropping-particle" : "", "parse-names" : false, "suffix" : "" }, { "dropping-particle" : "", "family" : "Drouin", "given" : "E.", "non-dropping-particle" : "", "parse-names" : false, "suffix" : "" }, { "dropping-particle" : "", "family" : "Levy", "given" : "E.", "non-dropping-particle" : "", "parse-names" : false, "suffix" : "" } ], "container-title" : "Nutrition and Metabolism", "id" : "ITEM-2", "issued" : { "date-parts" : [ [ "2005" ] ] }, "page" : "1-18", "title" : "Mechanisms of lipid malabsorption in Cystic Fibrosis: The impact of essential fatty acids deficiency", "type" : "article-journal", "volume" : "2" }, "uris" : [ "http://www.mendeley.com/documents/?uuid=9f0e0b27-3e0d-4c46-b73b-9324d90e0c3f" ] } ], "mendeley" : { "formattedCitation" : "&lt;sup&gt;[49,50]&lt;/sup&gt;", "plainTextFormattedCitation" : "[49,50]", "previouslyFormattedCitation" : "&lt;sup&gt;[49,50]&lt;/sup&gt;" }, "properties" : {  }, "schema" : "https://github.com/citation-style-language/schema/raw/master/csl-citation.json" }</w:instrText>
      </w:r>
      <w:r w:rsidR="009C687E" w:rsidRPr="003610D2">
        <w:rPr>
          <w:rFonts w:ascii="Book Antiqua" w:hAnsi="Book Antiqua"/>
          <w:color w:val="000000" w:themeColor="text1"/>
          <w:sz w:val="24"/>
          <w:szCs w:val="24"/>
        </w:rPr>
        <w:fldChar w:fldCharType="separate"/>
      </w:r>
      <w:r w:rsidR="009C687E" w:rsidRPr="003610D2">
        <w:rPr>
          <w:rFonts w:ascii="Book Antiqua" w:hAnsi="Book Antiqua"/>
          <w:noProof/>
          <w:color w:val="000000" w:themeColor="text1"/>
          <w:sz w:val="24"/>
          <w:szCs w:val="24"/>
          <w:vertAlign w:val="superscript"/>
        </w:rPr>
        <w:t>[49,50]</w:t>
      </w:r>
      <w:r w:rsidR="009C687E" w:rsidRPr="003610D2">
        <w:rPr>
          <w:rFonts w:ascii="Book Antiqua" w:hAnsi="Book Antiqua"/>
          <w:color w:val="000000" w:themeColor="text1"/>
          <w:sz w:val="24"/>
          <w:szCs w:val="24"/>
        </w:rPr>
        <w:fldChar w:fldCharType="end"/>
      </w:r>
      <w:r w:rsidR="003F6B62" w:rsidRPr="003610D2">
        <w:rPr>
          <w:rFonts w:ascii="Book Antiqua" w:hAnsi="Book Antiqua"/>
          <w:color w:val="000000" w:themeColor="text1"/>
          <w:sz w:val="24"/>
          <w:szCs w:val="24"/>
        </w:rPr>
        <w:t xml:space="preserve">. </w:t>
      </w:r>
      <w:r w:rsidR="00E976BB" w:rsidRPr="003610D2">
        <w:rPr>
          <w:rFonts w:ascii="Book Antiqua" w:hAnsi="Book Antiqua"/>
          <w:color w:val="000000" w:themeColor="text1"/>
          <w:sz w:val="24"/>
          <w:szCs w:val="24"/>
        </w:rPr>
        <w:t>Chronic fat malabsorption can lead to deficiencies in fat soluble nutrients including linoleic acid and choline</w:t>
      </w:r>
      <w:r w:rsidR="009C687E" w:rsidRPr="003610D2">
        <w:rPr>
          <w:rFonts w:ascii="Book Antiqua" w:hAnsi="Book Antiqua"/>
          <w:color w:val="000000" w:themeColor="text1"/>
          <w:sz w:val="24"/>
          <w:szCs w:val="24"/>
        </w:rPr>
        <w:t>-</w:t>
      </w:r>
      <w:r w:rsidR="00E976BB" w:rsidRPr="003610D2">
        <w:rPr>
          <w:rFonts w:ascii="Book Antiqua" w:hAnsi="Book Antiqua"/>
          <w:color w:val="000000" w:themeColor="text1"/>
          <w:sz w:val="24"/>
          <w:szCs w:val="24"/>
        </w:rPr>
        <w:t>which have previously been ass</w:t>
      </w:r>
      <w:r w:rsidR="00BC2913" w:rsidRPr="003610D2">
        <w:rPr>
          <w:rFonts w:ascii="Book Antiqua" w:hAnsi="Book Antiqua"/>
          <w:color w:val="000000" w:themeColor="text1"/>
          <w:sz w:val="24"/>
          <w:szCs w:val="24"/>
        </w:rPr>
        <w:t>ociated with hepatic steatosis</w:t>
      </w:r>
      <w:r w:rsidR="009C687E" w:rsidRPr="003610D2">
        <w:rPr>
          <w:rFonts w:ascii="Book Antiqua" w:hAnsi="Book Antiqua"/>
          <w:color w:val="000000" w:themeColor="text1"/>
          <w:sz w:val="24"/>
          <w:szCs w:val="24"/>
        </w:rPr>
        <w:fldChar w:fldCharType="begin" w:fldLock="1"/>
      </w:r>
      <w:r w:rsidR="009C687E" w:rsidRPr="003610D2">
        <w:rPr>
          <w:rFonts w:ascii="Book Antiqua" w:hAnsi="Book Antiqua"/>
          <w:color w:val="000000" w:themeColor="text1"/>
          <w:sz w:val="24"/>
          <w:szCs w:val="24"/>
        </w:rPr>
        <w:instrText>ADDIN CSL_CITATION { "citationItems" : [ { "id" : "ITEM-1", "itemData" : { "DOI" : "10.1097/MPG.0000000000001004", "ISBN" : "0000000000", "PMID" : "26465792", "author" : [ { "dropping-particle" : "", "family" : "Schall", "given" : "Joan I", "non-dropping-particle" : "", "parse-names" : false, "suffix" : "" }, { "dropping-particle" : "", "family" : "Mascarenhas", "given" : "Maria R", "non-dropping-particle" : "", "parse-names" : false, "suffix" : "" }, { "dropping-particle" : "", "family" : "Maqbool", "given" : "Asim", "non-dropping-particle" : "", "parse-names" : false, "suffix" : "" }, { "dropping-particle" : "", "family" : "Kelly", "given" : "A", "non-dropping-particle" : "", "parse-names" : false, "suffix" : "" }, { "dropping-particle" : "", "family" : "Elci", "given" : "Okan", "non-dropping-particle" : "", "parse-names" : false, "suffix" : "" }, { "dropping-particle" : "", "family" : "Wang", "given" : "Dah-jyuu", "non-dropping-particle" : "", "parse-names" : false, "suffix" : "" }, { "dropping-particle" : "", "family" : "Altes", "given" : "Talissa A", "non-dropping-particle" : "", "parse-names" : false, "suffix" : "" }, { "dropping-particle" : "", "family" : "Hommel", "given" : "A", "non-dropping-particle" : "", "parse-names" : false, "suffix" : "" }, { "dropping-particle" : "", "family" : "Shaw", "given" : "Walter", "non-dropping-particle" : "", "parse-names" : false, "suffix" : "" }, { "dropping-particle" : "", "family" : "Moore", "given" : "Jeff", "non-dropping-particle" : "", "parse-names" : false, "suffix" : "" }, { "dropping-particle" : "", "family" : "Stallings", "given" : "Virginia A", "non-dropping-particle" : "", "parse-names" : false, "suffix" : "" } ], "container-title" : "J Pediatr Gastroenterol Nutr", "id" : "ITEM-1", "issue" : "4", "issued" : { "date-parts" : [ [ "2016" ] ] }, "note" : "RCT of choline supplementation in patients with CF\n\n- CF patients had higher hepatic fat (6-7 times higher)as measured by MRS\n\nsubujects with CF (n=26) MRS % was 6.14 +/- 6.12. \nHC was 0.52 +/- 0.40\n\n- chemical shift imaging technique centered on calf muscle. \n- CF patients had lower calf muscle choline fraction", "page" : "618-626", "title" : "Choline supplementation with a structured lipid in children with Cystic Fibrosis: A randomized placebo controlled trial", "type" : "article-journal", "volume" : "62" }, "uris" : [ "http://www.mendeley.com/documents/?uuid=e5ff9545-d809-4347-bfc5-3c9bbe23c2e6" ] } ], "mendeley" : { "formattedCitation" : "&lt;sup&gt;[46]&lt;/sup&gt;", "plainTextFormattedCitation" : "[46]", "previouslyFormattedCitation" : "&lt;sup&gt;[46]&lt;/sup&gt;" }, "properties" : {  }, "schema" : "https://github.com/citation-style-language/schema/raw/master/csl-citation.json" }</w:instrText>
      </w:r>
      <w:r w:rsidR="009C687E" w:rsidRPr="003610D2">
        <w:rPr>
          <w:rFonts w:ascii="Book Antiqua" w:hAnsi="Book Antiqua"/>
          <w:color w:val="000000" w:themeColor="text1"/>
          <w:sz w:val="24"/>
          <w:szCs w:val="24"/>
        </w:rPr>
        <w:fldChar w:fldCharType="separate"/>
      </w:r>
      <w:r w:rsidR="009C687E" w:rsidRPr="003610D2">
        <w:rPr>
          <w:rFonts w:ascii="Book Antiqua" w:hAnsi="Book Antiqua"/>
          <w:noProof/>
          <w:color w:val="000000" w:themeColor="text1"/>
          <w:sz w:val="24"/>
          <w:szCs w:val="24"/>
          <w:vertAlign w:val="superscript"/>
        </w:rPr>
        <w:t>[46]</w:t>
      </w:r>
      <w:r w:rsidR="009C687E" w:rsidRPr="003610D2">
        <w:rPr>
          <w:rFonts w:ascii="Book Antiqua" w:hAnsi="Book Antiqua"/>
          <w:color w:val="000000" w:themeColor="text1"/>
          <w:sz w:val="24"/>
          <w:szCs w:val="24"/>
        </w:rPr>
        <w:fldChar w:fldCharType="end"/>
      </w:r>
      <w:r w:rsidR="00BC2913" w:rsidRPr="003610D2">
        <w:rPr>
          <w:rFonts w:ascii="Book Antiqua" w:hAnsi="Book Antiqua"/>
          <w:color w:val="000000" w:themeColor="text1"/>
          <w:sz w:val="24"/>
          <w:szCs w:val="24"/>
        </w:rPr>
        <w:t xml:space="preserve">. </w:t>
      </w:r>
      <w:r w:rsidRPr="003610D2">
        <w:rPr>
          <w:rFonts w:ascii="Book Antiqua" w:hAnsi="Book Antiqua"/>
          <w:color w:val="000000" w:themeColor="text1"/>
          <w:sz w:val="24"/>
          <w:szCs w:val="24"/>
        </w:rPr>
        <w:t>Therefore,</w:t>
      </w:r>
      <w:r w:rsidR="00961A97" w:rsidRPr="003610D2">
        <w:rPr>
          <w:rFonts w:ascii="Book Antiqua" w:hAnsi="Book Antiqua"/>
          <w:color w:val="000000" w:themeColor="text1"/>
          <w:sz w:val="24"/>
          <w:szCs w:val="24"/>
        </w:rPr>
        <w:t xml:space="preserve"> we theorize that</w:t>
      </w:r>
      <w:r w:rsidRPr="003610D2">
        <w:rPr>
          <w:rFonts w:ascii="Book Antiqua" w:hAnsi="Book Antiqua"/>
          <w:color w:val="000000" w:themeColor="text1"/>
          <w:sz w:val="24"/>
          <w:szCs w:val="24"/>
        </w:rPr>
        <w:t xml:space="preserve"> CFTR modulator </w:t>
      </w:r>
      <w:r w:rsidR="003F6B62" w:rsidRPr="003610D2">
        <w:rPr>
          <w:rFonts w:ascii="Book Antiqua" w:hAnsi="Book Antiqua"/>
          <w:color w:val="000000" w:themeColor="text1"/>
          <w:sz w:val="24"/>
          <w:szCs w:val="24"/>
        </w:rPr>
        <w:t>therapy may</w:t>
      </w:r>
      <w:r w:rsidR="00961A97" w:rsidRPr="003610D2">
        <w:rPr>
          <w:rFonts w:ascii="Book Antiqua" w:hAnsi="Book Antiqua"/>
          <w:color w:val="000000" w:themeColor="text1"/>
          <w:sz w:val="24"/>
          <w:szCs w:val="24"/>
        </w:rPr>
        <w:t xml:space="preserve"> lead to resolution of hepatic steatosis by reve</w:t>
      </w:r>
      <w:r w:rsidR="00395C60" w:rsidRPr="003610D2">
        <w:rPr>
          <w:rFonts w:ascii="Book Antiqua" w:hAnsi="Book Antiqua"/>
          <w:color w:val="000000" w:themeColor="text1"/>
          <w:sz w:val="24"/>
          <w:szCs w:val="24"/>
        </w:rPr>
        <w:t xml:space="preserve">rsing nutritional deficiencies. Further mechanistic studies are needed to test this theory. </w:t>
      </w:r>
    </w:p>
    <w:p w14:paraId="33E4F510" w14:textId="377507E2" w:rsidR="00462229" w:rsidRPr="003610D2" w:rsidRDefault="008F1EAC" w:rsidP="009C687E">
      <w:pPr>
        <w:adjustRightInd w:val="0"/>
        <w:snapToGrid w:val="0"/>
        <w:spacing w:after="0" w:line="360" w:lineRule="auto"/>
        <w:ind w:firstLineChars="100" w:firstLine="240"/>
        <w:jc w:val="both"/>
        <w:rPr>
          <w:rFonts w:ascii="Book Antiqua" w:hAnsi="Book Antiqua"/>
          <w:color w:val="000000" w:themeColor="text1"/>
          <w:sz w:val="24"/>
          <w:szCs w:val="24"/>
        </w:rPr>
      </w:pPr>
      <w:r w:rsidRPr="003610D2">
        <w:rPr>
          <w:rFonts w:ascii="Book Antiqua" w:hAnsi="Book Antiqua"/>
          <w:color w:val="000000" w:themeColor="text1"/>
          <w:sz w:val="24"/>
          <w:szCs w:val="24"/>
        </w:rPr>
        <w:t>It is</w:t>
      </w:r>
      <w:r w:rsidR="009D0DAC" w:rsidRPr="003610D2">
        <w:rPr>
          <w:rFonts w:ascii="Book Antiqua" w:hAnsi="Book Antiqua"/>
          <w:color w:val="000000" w:themeColor="text1"/>
          <w:sz w:val="24"/>
          <w:szCs w:val="24"/>
        </w:rPr>
        <w:t xml:space="preserve"> also</w:t>
      </w:r>
      <w:r w:rsidRPr="003610D2">
        <w:rPr>
          <w:rFonts w:ascii="Book Antiqua" w:hAnsi="Book Antiqua"/>
          <w:color w:val="000000" w:themeColor="text1"/>
          <w:sz w:val="24"/>
          <w:szCs w:val="24"/>
        </w:rPr>
        <w:t xml:space="preserve"> possible that</w:t>
      </w:r>
      <w:r w:rsidR="00B75F46" w:rsidRPr="003610D2">
        <w:rPr>
          <w:rFonts w:ascii="Book Antiqua" w:hAnsi="Book Antiqua"/>
          <w:color w:val="000000" w:themeColor="text1"/>
          <w:sz w:val="24"/>
          <w:szCs w:val="24"/>
        </w:rPr>
        <w:t xml:space="preserve"> lumacaftor/i</w:t>
      </w:r>
      <w:r w:rsidR="00A64008" w:rsidRPr="003610D2">
        <w:rPr>
          <w:rFonts w:ascii="Book Antiqua" w:hAnsi="Book Antiqua"/>
          <w:color w:val="000000" w:themeColor="text1"/>
          <w:sz w:val="24"/>
          <w:szCs w:val="24"/>
        </w:rPr>
        <w:t>vacaftor</w:t>
      </w:r>
      <w:r w:rsidR="00B12FE8" w:rsidRPr="003610D2">
        <w:rPr>
          <w:rFonts w:ascii="Book Antiqua" w:hAnsi="Book Antiqua"/>
          <w:color w:val="000000" w:themeColor="text1"/>
          <w:sz w:val="24"/>
          <w:szCs w:val="24"/>
        </w:rPr>
        <w:t xml:space="preserve"> therapy</w:t>
      </w:r>
      <w:r w:rsidR="00A64008" w:rsidRPr="003610D2">
        <w:rPr>
          <w:rFonts w:ascii="Book Antiqua" w:hAnsi="Book Antiqua"/>
          <w:color w:val="000000" w:themeColor="text1"/>
          <w:sz w:val="24"/>
          <w:szCs w:val="24"/>
        </w:rPr>
        <w:t xml:space="preserve"> reduces hepatic steatosis through </w:t>
      </w:r>
      <w:r w:rsidR="00B12FE8" w:rsidRPr="003610D2">
        <w:rPr>
          <w:rFonts w:ascii="Book Antiqua" w:hAnsi="Book Antiqua"/>
          <w:color w:val="000000" w:themeColor="text1"/>
          <w:sz w:val="24"/>
          <w:szCs w:val="24"/>
        </w:rPr>
        <w:t>an off targe</w:t>
      </w:r>
      <w:r w:rsidR="00BD18AD" w:rsidRPr="003610D2">
        <w:rPr>
          <w:rFonts w:ascii="Book Antiqua" w:hAnsi="Book Antiqua"/>
          <w:color w:val="000000" w:themeColor="text1"/>
          <w:sz w:val="24"/>
          <w:szCs w:val="24"/>
        </w:rPr>
        <w:t>t, non-CFTR mediated, mechanism.</w:t>
      </w:r>
      <w:r w:rsidR="00961A97" w:rsidRPr="003610D2">
        <w:rPr>
          <w:rFonts w:ascii="Book Antiqua" w:hAnsi="Book Antiqua"/>
          <w:color w:val="FF0000"/>
          <w:sz w:val="24"/>
          <w:szCs w:val="24"/>
        </w:rPr>
        <w:t xml:space="preserve"> </w:t>
      </w:r>
      <w:r w:rsidR="00BD18AD" w:rsidRPr="003610D2">
        <w:rPr>
          <w:rFonts w:ascii="Book Antiqua" w:hAnsi="Book Antiqua"/>
          <w:color w:val="000000" w:themeColor="text1"/>
          <w:sz w:val="24"/>
          <w:szCs w:val="24"/>
        </w:rPr>
        <w:t xml:space="preserve">Additionally, the extremely low </w:t>
      </w:r>
      <w:r w:rsidR="00A64008" w:rsidRPr="003610D2">
        <w:rPr>
          <w:rFonts w:ascii="Book Antiqua" w:hAnsi="Book Antiqua"/>
          <w:color w:val="000000" w:themeColor="text1"/>
          <w:sz w:val="24"/>
          <w:szCs w:val="24"/>
        </w:rPr>
        <w:t xml:space="preserve">hepatic </w:t>
      </w:r>
      <w:r w:rsidR="00B75F46" w:rsidRPr="003610D2">
        <w:rPr>
          <w:rFonts w:ascii="Book Antiqua" w:hAnsi="Book Antiqua"/>
          <w:color w:val="000000" w:themeColor="text1"/>
          <w:sz w:val="24"/>
          <w:szCs w:val="24"/>
        </w:rPr>
        <w:t>fat seen in subjects receiving lumacaftor/i</w:t>
      </w:r>
      <w:r w:rsidR="00A64008" w:rsidRPr="003610D2">
        <w:rPr>
          <w:rFonts w:ascii="Book Antiqua" w:hAnsi="Book Antiqua"/>
          <w:color w:val="000000" w:themeColor="text1"/>
          <w:sz w:val="24"/>
          <w:szCs w:val="24"/>
        </w:rPr>
        <w:t>vacaftor may be secondary to the F508del/F508del genotype</w:t>
      </w:r>
      <w:r w:rsidR="00CA1C7C" w:rsidRPr="003610D2">
        <w:rPr>
          <w:rFonts w:ascii="Book Antiqua" w:hAnsi="Book Antiqua"/>
          <w:color w:val="000000" w:themeColor="text1"/>
          <w:sz w:val="24"/>
          <w:szCs w:val="24"/>
        </w:rPr>
        <w:t xml:space="preserve"> itself</w:t>
      </w:r>
      <w:r w:rsidR="008B13D4" w:rsidRPr="003610D2">
        <w:rPr>
          <w:rFonts w:ascii="Book Antiqua" w:hAnsi="Book Antiqua"/>
          <w:color w:val="000000" w:themeColor="text1"/>
          <w:sz w:val="24"/>
          <w:szCs w:val="24"/>
        </w:rPr>
        <w:t>,</w:t>
      </w:r>
      <w:r w:rsidR="00A64008" w:rsidRPr="003610D2">
        <w:rPr>
          <w:rFonts w:ascii="Book Antiqua" w:hAnsi="Book Antiqua"/>
          <w:color w:val="000000" w:themeColor="text1"/>
          <w:sz w:val="24"/>
          <w:szCs w:val="24"/>
        </w:rPr>
        <w:t xml:space="preserve"> rather than the modulator</w:t>
      </w:r>
      <w:r w:rsidR="00BD18AD" w:rsidRPr="003610D2">
        <w:rPr>
          <w:rFonts w:ascii="Book Antiqua" w:hAnsi="Book Antiqua"/>
          <w:color w:val="000000" w:themeColor="text1"/>
          <w:sz w:val="24"/>
          <w:szCs w:val="24"/>
        </w:rPr>
        <w:t>.</w:t>
      </w:r>
      <w:r w:rsidR="00A64008" w:rsidRPr="003610D2">
        <w:rPr>
          <w:rFonts w:ascii="Book Antiqua" w:hAnsi="Book Antiqua"/>
          <w:color w:val="000000" w:themeColor="text1"/>
          <w:sz w:val="24"/>
          <w:szCs w:val="24"/>
        </w:rPr>
        <w:t xml:space="preserve"> </w:t>
      </w:r>
      <w:r w:rsidR="00AF0FFC" w:rsidRPr="003610D2">
        <w:rPr>
          <w:rFonts w:ascii="Book Antiqua" w:hAnsi="Book Antiqua"/>
          <w:color w:val="000000" w:themeColor="text1"/>
          <w:sz w:val="24"/>
          <w:szCs w:val="24"/>
        </w:rPr>
        <w:t>Although</w:t>
      </w:r>
      <w:r w:rsidR="00BD18AD" w:rsidRPr="003610D2">
        <w:rPr>
          <w:rFonts w:ascii="Book Antiqua" w:hAnsi="Book Antiqua"/>
          <w:color w:val="000000" w:themeColor="text1"/>
          <w:sz w:val="24"/>
          <w:szCs w:val="24"/>
        </w:rPr>
        <w:t xml:space="preserve"> the single F508del/F508del homozygous subject not on lumacaftor/ivacaftor had </w:t>
      </w:r>
      <w:r w:rsidR="009D0DAC" w:rsidRPr="003610D2">
        <w:rPr>
          <w:rFonts w:ascii="Book Antiqua" w:hAnsi="Book Antiqua"/>
          <w:color w:val="000000" w:themeColor="text1"/>
          <w:sz w:val="24"/>
          <w:szCs w:val="24"/>
        </w:rPr>
        <w:t>significant</w:t>
      </w:r>
      <w:r w:rsidR="00961A97" w:rsidRPr="003610D2">
        <w:rPr>
          <w:rFonts w:ascii="Book Antiqua" w:hAnsi="Book Antiqua"/>
          <w:color w:val="000000" w:themeColor="text1"/>
          <w:sz w:val="24"/>
          <w:szCs w:val="24"/>
        </w:rPr>
        <w:t xml:space="preserve"> </w:t>
      </w:r>
      <w:r w:rsidR="00BD18AD" w:rsidRPr="003610D2">
        <w:rPr>
          <w:rFonts w:ascii="Book Antiqua" w:hAnsi="Book Antiqua"/>
          <w:color w:val="000000" w:themeColor="text1"/>
          <w:sz w:val="24"/>
          <w:szCs w:val="24"/>
        </w:rPr>
        <w:t>hepatic steatosis</w:t>
      </w:r>
      <w:r w:rsidR="00AF0FFC" w:rsidRPr="003610D2">
        <w:rPr>
          <w:rFonts w:ascii="Book Antiqua" w:hAnsi="Book Antiqua"/>
          <w:color w:val="000000" w:themeColor="text1"/>
          <w:sz w:val="24"/>
          <w:szCs w:val="24"/>
        </w:rPr>
        <w:t>, a single observation cannot exclude a genotype effect</w:t>
      </w:r>
      <w:r w:rsidR="00A64008" w:rsidRPr="003610D2">
        <w:rPr>
          <w:rFonts w:ascii="Book Antiqua" w:hAnsi="Book Antiqua"/>
          <w:color w:val="000000" w:themeColor="text1"/>
          <w:sz w:val="24"/>
          <w:szCs w:val="24"/>
        </w:rPr>
        <w:t xml:space="preserve">. </w:t>
      </w:r>
      <w:r w:rsidR="00B12FE8" w:rsidRPr="003610D2">
        <w:rPr>
          <w:rFonts w:ascii="Book Antiqua" w:hAnsi="Book Antiqua"/>
          <w:color w:val="000000" w:themeColor="text1"/>
          <w:sz w:val="24"/>
          <w:szCs w:val="24"/>
        </w:rPr>
        <w:t xml:space="preserve">Ultimately, </w:t>
      </w:r>
      <w:r w:rsidR="00C14295" w:rsidRPr="003610D2">
        <w:rPr>
          <w:rFonts w:ascii="Book Antiqua" w:hAnsi="Book Antiqua"/>
          <w:color w:val="000000" w:themeColor="text1"/>
          <w:sz w:val="24"/>
          <w:szCs w:val="24"/>
        </w:rPr>
        <w:t xml:space="preserve">longitudinal study is needed to </w:t>
      </w:r>
      <w:r w:rsidR="00B12FE8" w:rsidRPr="003610D2">
        <w:rPr>
          <w:rFonts w:ascii="Book Antiqua" w:hAnsi="Book Antiqua"/>
          <w:color w:val="000000" w:themeColor="text1"/>
          <w:sz w:val="24"/>
          <w:szCs w:val="24"/>
        </w:rPr>
        <w:t xml:space="preserve">demonstrate that </w:t>
      </w:r>
      <w:bookmarkStart w:id="186" w:name="_GoBack"/>
      <w:r w:rsidR="00B12FE8" w:rsidRPr="003610D2">
        <w:rPr>
          <w:rFonts w:ascii="Book Antiqua" w:hAnsi="Book Antiqua"/>
          <w:color w:val="000000" w:themeColor="text1"/>
          <w:sz w:val="24"/>
          <w:szCs w:val="24"/>
        </w:rPr>
        <w:t>CFTR</w:t>
      </w:r>
      <w:bookmarkEnd w:id="186"/>
      <w:r w:rsidR="00B12FE8" w:rsidRPr="003610D2">
        <w:rPr>
          <w:rFonts w:ascii="Book Antiqua" w:hAnsi="Book Antiqua"/>
          <w:color w:val="000000" w:themeColor="text1"/>
          <w:sz w:val="24"/>
          <w:szCs w:val="24"/>
        </w:rPr>
        <w:t xml:space="preserve"> modulator therapy causes reduced hepatic </w:t>
      </w:r>
      <w:r w:rsidR="00D3532F" w:rsidRPr="003610D2">
        <w:rPr>
          <w:rFonts w:ascii="Book Antiqua" w:hAnsi="Book Antiqua"/>
          <w:color w:val="000000" w:themeColor="text1"/>
          <w:sz w:val="24"/>
          <w:szCs w:val="24"/>
        </w:rPr>
        <w:t xml:space="preserve">steatosis </w:t>
      </w:r>
      <w:r w:rsidR="00B12FE8" w:rsidRPr="003610D2">
        <w:rPr>
          <w:rFonts w:ascii="Book Antiqua" w:hAnsi="Book Antiqua"/>
          <w:color w:val="000000" w:themeColor="text1"/>
          <w:sz w:val="24"/>
          <w:szCs w:val="24"/>
        </w:rPr>
        <w:t xml:space="preserve">and </w:t>
      </w:r>
      <w:r w:rsidR="009D0DAC" w:rsidRPr="003610D2">
        <w:rPr>
          <w:rFonts w:ascii="Book Antiqua" w:hAnsi="Book Antiqua"/>
          <w:color w:val="000000" w:themeColor="text1"/>
          <w:sz w:val="24"/>
          <w:szCs w:val="24"/>
        </w:rPr>
        <w:t>elucidate the mechanism behind this observation</w:t>
      </w:r>
      <w:r w:rsidR="00B12FE8" w:rsidRPr="003610D2">
        <w:rPr>
          <w:rFonts w:ascii="Book Antiqua" w:hAnsi="Book Antiqua"/>
          <w:color w:val="000000" w:themeColor="text1"/>
          <w:sz w:val="24"/>
          <w:szCs w:val="24"/>
        </w:rPr>
        <w:t>.</w:t>
      </w:r>
      <w:r w:rsidR="001C1832">
        <w:rPr>
          <w:rFonts w:ascii="Book Antiqua" w:hAnsi="Book Antiqua"/>
          <w:color w:val="000000" w:themeColor="text1"/>
          <w:sz w:val="24"/>
          <w:szCs w:val="24"/>
        </w:rPr>
        <w:t xml:space="preserve"> </w:t>
      </w:r>
    </w:p>
    <w:p w14:paraId="6EC2CE78" w14:textId="571DC31C" w:rsidR="00DA730F" w:rsidRPr="003610D2" w:rsidRDefault="007B04B5" w:rsidP="009C687E">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sz w:val="24"/>
          <w:szCs w:val="24"/>
        </w:rPr>
        <w:t xml:space="preserve">Prior studies of hepatic steatosis in CF patients have </w:t>
      </w:r>
      <w:r w:rsidR="009D0DAC" w:rsidRPr="003610D2">
        <w:rPr>
          <w:rFonts w:ascii="Book Antiqua" w:hAnsi="Book Antiqua"/>
          <w:sz w:val="24"/>
          <w:szCs w:val="24"/>
        </w:rPr>
        <w:t>compared varied, qualitative</w:t>
      </w:r>
      <w:r w:rsidRPr="003610D2">
        <w:rPr>
          <w:rFonts w:ascii="Book Antiqua" w:hAnsi="Book Antiqua"/>
          <w:sz w:val="24"/>
          <w:szCs w:val="24"/>
        </w:rPr>
        <w:t xml:space="preserve"> </w:t>
      </w:r>
      <w:r w:rsidR="009D0DAC" w:rsidRPr="003610D2">
        <w:rPr>
          <w:rFonts w:ascii="Book Antiqua" w:hAnsi="Book Antiqua"/>
          <w:sz w:val="24"/>
          <w:szCs w:val="24"/>
        </w:rPr>
        <w:t>measures of</w:t>
      </w:r>
      <w:r w:rsidR="00B04C90" w:rsidRPr="003610D2">
        <w:rPr>
          <w:rFonts w:ascii="Book Antiqua" w:hAnsi="Book Antiqua"/>
          <w:sz w:val="24"/>
          <w:szCs w:val="24"/>
        </w:rPr>
        <w:t xml:space="preserve"> hepatic fat</w:t>
      </w:r>
      <w:r w:rsidR="009C687E" w:rsidRPr="003610D2">
        <w:rPr>
          <w:rFonts w:ascii="Book Antiqua" w:hAnsi="Book Antiqua"/>
          <w:sz w:val="24"/>
          <w:szCs w:val="24"/>
        </w:rPr>
        <w:fldChar w:fldCharType="begin" w:fldLock="1"/>
      </w:r>
      <w:r w:rsidR="009C687E" w:rsidRPr="003610D2">
        <w:rPr>
          <w:rFonts w:ascii="Book Antiqua" w:hAnsi="Book Antiqua"/>
          <w:sz w:val="24"/>
          <w:szCs w:val="24"/>
        </w:rPr>
        <w:instrText>ADDIN CSL_CITATION { "citationItems" : [ { "id" : "ITEM-1", "itemData" : { "DOI" : "10.4254/wjh.v10.i1.34", "ISSN" : "19485182", "PMID" : "29399276", "abstract" : "\u00a9 The Author(s) 2018. AIM To investigate the clinical, biochemical and imaging characteristics of adult cystic fibrosis (CF) patients with hepatic steatosis as compared to normal CF controls. METHODS We performed a retrospective review of adult CF patients in an academic outpatient setting during 2016. Baseline characteristics, genetic mutation analysis as well as laboratory values were collected. Abdominal imaging (ultrasound, computed tomography, magnetic resonance) was used to determine presence of hepatic steatosis. We compare patients with hepatic steatosis to normal controls. RESULTS Data was collected on 114 patients meeting inclusion criteria. Seventeen patients (14.9%) were found to have hepatic steatosis on imaging. Being overweight (BMI &gt; 25) (P = 0.019) and having a higher ppFEV1 (75 vs 53, P = 0.037) were significantly associated with hepatic steatosis. Patients with hepatic steatosis had a significantly higher median alanine aminotransferase level (27 vs 19, P = 0.048). None of the hepatic steatosis patients had frank CF liver disease, cirrhosis or portal hypertension. We found no significant association with pancreatic insufficiency or CF related diabetes. CONCLUSION Hepatic steatosis appears to be a clinically and phenotypically distinct entity from CF liver disease. The lack of association with malnourishment and the significant association with higher BMI and higher ppFEV1 demonstrate similarities with non-alcoholic fatty liver disease. Long term prospective studies are needed to ascertain whether CF hepatic steatosis progresses to fibrosis and cirrhosis.", "author" : [ { "dropping-particle" : "", "family" : "Ayoub", "given" : "F.", "non-dropping-particle" : "", "parse-names" : false, "suffix" : "" }, { "dropping-particle" : "", "family" : "Trillo-Alvarez", "given" : "C.", "non-dropping-particle" : "", "parse-names" : false, "suffix" : "" }, { "dropping-particle" : "", "family" : "Morelli", "given" : "G.", "non-dropping-particle" : "", "parse-names" : false, "suffix" : "" }, { "dropping-particle" : "", "family" : "Lascano", "given" : "J.", "non-dropping-particle" : "", "parse-names" : false, "suffix" : "" } ], "container-title" : "World Journal of Hepatology", "id" : "ITEM-1", "issue" : "1", "issued" : { "date-parts" : [ [ "2018" ] ] }, "note" : "fatty not fatty\nmod 6 23\nno m 11 74\nfishers p=0.3", "page" : "34-40", "title" : "Risk factors for hepatic steatosis in adults with cystic fibrosis: Similarities to non-alcoholic fatty liver disease", "type" : "article-journal", "volume" : "10" }, "uris" : [ "http://www.mendeley.com/documents/?uuid=294a7beb-e940-4fe2-8dea-bb90107df92f" ] }, { "id" : "ITEM-2", "itemData" : { "DOI" : "10.1002/hep.510300527", "ISSN" : "0270-9139", "PMID" : "10534335", "abstract" : "The median age of the population with cystic fibrosis (CF) has increased worldwide, which has led to the suggestion that the prevalence of liver disease would increase. The aim of this study was to evaluate the natural history of CF-associated liver disease over a 15-year period in a well-controlled population of patients with CF. During the years 1976 through 1993, 124 patients were followed up by yearly liver function tests (LFTs). Fifteen patients were followed up with liver biopsies throughout the whole study period. More than 50% of the patients had pathological LFTs in infancy, later being normalized. Approximately 25% of children 4 years of age or older had biochemical markers of liver disease during the study period. In about 10% of the patients, cirrhosis or advanced fibrosis was confirmed at biopsy and 4% of patients had cirrhosis with clinical liver disease. Severe liver disease developed mainly during prepuberty and puberty. Of the 15 patients prospectively followed up with liver biopsies, only 3 had progressive fibrosis. No specific risk factor was identified, but deficiency of essential fatty acids was found more often in patients with marked steatosis (P &lt;.05). No patient developed clinical liver disease in adulthood and the histological changes in the liver biopsies were usually not progressive. Liver disease was no more frequent at the end of the study period although the median age of the patient population had increased. Modern treatment might positively influence liver disease because it seemed less common, less progressive, and less serious than previously reported.", "author" : [ { "dropping-particle" : "", "family" : "Lindblad", "given" : "A", "non-dropping-particle" : "", "parse-names" : false, "suffix" : "" }, { "dropping-particle" : "", "family" : "Glaumann", "given" : "H", "non-dropping-particle" : "", "parse-names" : false, "suffix" : "" }, { "dropping-particle" : "", "family" : "Strandvik", "given" : "B", "non-dropping-particle" : "", "parse-names" : false, "suffix" : "" } ], "container-title" : "Hepatology", "id" : "ITEM-2", "issue" : "5", "issued" : { "date-parts" : [ [ "1999" ] ] }, "note" : "steatosis prevalence numbers- just report off of pateints who happened to get a biopsy\n\npurpose:\n- prospectively study liver disease \n- just describing theri population\nmethods:\n- 124 patiens followed yearly by LFTs from 1976-1993\n- all got annual US after 1989\n- over 50% had elevated LFTs in infancy that later normalized\n- about 25% of patients over 4 yrs had elevated LFTs during study period; 10% had cirrhosis or firbosis at biopsy\nresutls:\n- 17/27 had biopsies 1976-1979- 35% had steatosis \n- 30/41 % had biopsies between 1989-1993- 29% had steatosis \n*median age did not differ in those with and without stestosis\n- some patients had progression of steatosis, others it remained stable\n- low levels of linoleic acid correlated with degree of steatos\n\nNOTES:\n- really an observational study", "page" : "1151-1158", "title" : "Natural history of liver disease in cystic fibrosis.", "type" : "article-journal", "volume" : "30" }, "uris" : [ "http://www.mendeley.com/documents/?uuid=2020024e-ed18-4d7d-8433-89ff210f6c46" ] } ], "mendeley" : { "formattedCitation" : "&lt;sup&gt;[13,14]&lt;/sup&gt;", "plainTextFormattedCitation" : "[13,14]", "previouslyFormattedCitation" : "&lt;sup&gt;[13,14]&lt;/sup&gt;" }, "properties" : {  }, "schema" : "https://github.com/citation-style-language/schema/raw/master/csl-citation.json" }</w:instrText>
      </w:r>
      <w:r w:rsidR="009C687E" w:rsidRPr="003610D2">
        <w:rPr>
          <w:rFonts w:ascii="Book Antiqua" w:hAnsi="Book Antiqua"/>
          <w:sz w:val="24"/>
          <w:szCs w:val="24"/>
        </w:rPr>
        <w:fldChar w:fldCharType="separate"/>
      </w:r>
      <w:r w:rsidR="009C687E" w:rsidRPr="003610D2">
        <w:rPr>
          <w:rFonts w:ascii="Book Antiqua" w:hAnsi="Book Antiqua"/>
          <w:noProof/>
          <w:sz w:val="24"/>
          <w:szCs w:val="24"/>
          <w:vertAlign w:val="superscript"/>
        </w:rPr>
        <w:t>[13,14]</w:t>
      </w:r>
      <w:r w:rsidR="009C687E" w:rsidRPr="003610D2">
        <w:rPr>
          <w:rFonts w:ascii="Book Antiqua" w:hAnsi="Book Antiqua"/>
          <w:sz w:val="24"/>
          <w:szCs w:val="24"/>
        </w:rPr>
        <w:fldChar w:fldCharType="end"/>
      </w:r>
      <w:r w:rsidR="00B04C90" w:rsidRPr="003610D2">
        <w:rPr>
          <w:rFonts w:ascii="Book Antiqua" w:hAnsi="Book Antiqua"/>
          <w:sz w:val="24"/>
          <w:szCs w:val="24"/>
        </w:rPr>
        <w:t>.</w:t>
      </w:r>
      <w:r w:rsidR="00C422E7" w:rsidRPr="003610D2">
        <w:rPr>
          <w:rFonts w:ascii="Book Antiqua" w:hAnsi="Book Antiqua"/>
          <w:sz w:val="24"/>
          <w:szCs w:val="24"/>
        </w:rPr>
        <w:t xml:space="preserve"> </w:t>
      </w:r>
      <w:r w:rsidR="00616B45" w:rsidRPr="003610D2">
        <w:rPr>
          <w:rFonts w:ascii="Book Antiqua" w:hAnsi="Book Antiqua"/>
          <w:sz w:val="24"/>
          <w:szCs w:val="24"/>
        </w:rPr>
        <w:t>Ours is the first study to utilize</w:t>
      </w:r>
      <w:r w:rsidR="00460CA3" w:rsidRPr="003610D2">
        <w:rPr>
          <w:rFonts w:ascii="Book Antiqua" w:hAnsi="Book Antiqua"/>
          <w:sz w:val="24"/>
          <w:szCs w:val="24"/>
        </w:rPr>
        <w:t xml:space="preserve"> a</w:t>
      </w:r>
      <w:r w:rsidR="00EC43FC" w:rsidRPr="003610D2">
        <w:rPr>
          <w:rFonts w:ascii="Book Antiqua" w:hAnsi="Book Antiqua"/>
          <w:sz w:val="24"/>
          <w:szCs w:val="24"/>
        </w:rPr>
        <w:t xml:space="preserve"> single, precise, quantitative</w:t>
      </w:r>
      <w:r w:rsidR="00460CA3" w:rsidRPr="003610D2">
        <w:rPr>
          <w:rFonts w:ascii="Book Antiqua" w:hAnsi="Book Antiqua"/>
          <w:sz w:val="24"/>
          <w:szCs w:val="24"/>
        </w:rPr>
        <w:t xml:space="preserve"> </w:t>
      </w:r>
      <w:r w:rsidR="008D2326" w:rsidRPr="003610D2">
        <w:rPr>
          <w:rFonts w:ascii="Book Antiqua" w:hAnsi="Book Antiqua"/>
          <w:sz w:val="24"/>
          <w:szCs w:val="24"/>
        </w:rPr>
        <w:t>measure</w:t>
      </w:r>
      <w:r w:rsidR="00616B45" w:rsidRPr="003610D2">
        <w:rPr>
          <w:rFonts w:ascii="Book Antiqua" w:hAnsi="Book Antiqua"/>
          <w:sz w:val="24"/>
          <w:szCs w:val="24"/>
        </w:rPr>
        <w:t xml:space="preserve"> of</w:t>
      </w:r>
      <w:r w:rsidR="008D2326" w:rsidRPr="003610D2">
        <w:rPr>
          <w:rFonts w:ascii="Book Antiqua" w:hAnsi="Book Antiqua"/>
          <w:sz w:val="24"/>
          <w:szCs w:val="24"/>
        </w:rPr>
        <w:t xml:space="preserve"> hepatic fat</w:t>
      </w:r>
      <w:r w:rsidR="00B85A07" w:rsidRPr="003610D2">
        <w:rPr>
          <w:rFonts w:ascii="Book Antiqua" w:hAnsi="Book Antiqua"/>
          <w:sz w:val="24"/>
          <w:szCs w:val="24"/>
        </w:rPr>
        <w:t>, the</w:t>
      </w:r>
      <w:r w:rsidR="003E4D8A" w:rsidRPr="003610D2">
        <w:rPr>
          <w:rFonts w:ascii="Book Antiqua" w:hAnsi="Book Antiqua"/>
          <w:sz w:val="24"/>
          <w:szCs w:val="24"/>
        </w:rPr>
        <w:t xml:space="preserve"> MRI PDFF</w:t>
      </w:r>
      <w:r w:rsidR="00616B45" w:rsidRPr="003610D2">
        <w:rPr>
          <w:rFonts w:ascii="Book Antiqua" w:hAnsi="Book Antiqua"/>
          <w:sz w:val="24"/>
          <w:szCs w:val="24"/>
        </w:rPr>
        <w:t xml:space="preserve">. </w:t>
      </w:r>
      <w:r w:rsidR="00C479D2" w:rsidRPr="003610D2">
        <w:rPr>
          <w:rFonts w:ascii="Book Antiqua" w:hAnsi="Book Antiqua"/>
          <w:sz w:val="24"/>
          <w:szCs w:val="24"/>
        </w:rPr>
        <w:t>Other strengths</w:t>
      </w:r>
      <w:r w:rsidR="00F22744" w:rsidRPr="003610D2">
        <w:rPr>
          <w:rFonts w:ascii="Book Antiqua" w:hAnsi="Book Antiqua"/>
          <w:sz w:val="24"/>
          <w:szCs w:val="24"/>
        </w:rPr>
        <w:t xml:space="preserve"> of our study</w:t>
      </w:r>
      <w:r w:rsidR="00C479D2" w:rsidRPr="003610D2">
        <w:rPr>
          <w:rFonts w:ascii="Book Antiqua" w:hAnsi="Book Antiqua"/>
          <w:sz w:val="24"/>
          <w:szCs w:val="24"/>
        </w:rPr>
        <w:t xml:space="preserve"> include the collection of d</w:t>
      </w:r>
      <w:r w:rsidR="008749AC" w:rsidRPr="003610D2">
        <w:rPr>
          <w:rFonts w:ascii="Book Antiqua" w:hAnsi="Book Antiqua"/>
          <w:sz w:val="24"/>
          <w:szCs w:val="24"/>
        </w:rPr>
        <w:t>etailed biochemical and clinical informa</w:t>
      </w:r>
      <w:r w:rsidR="0094295E" w:rsidRPr="003610D2">
        <w:rPr>
          <w:rFonts w:ascii="Book Antiqua" w:hAnsi="Book Antiqua"/>
          <w:sz w:val="24"/>
          <w:szCs w:val="24"/>
        </w:rPr>
        <w:t>tion</w:t>
      </w:r>
      <w:r w:rsidR="008749AC" w:rsidRPr="003610D2">
        <w:rPr>
          <w:rFonts w:ascii="Book Antiqua" w:hAnsi="Book Antiqua"/>
          <w:sz w:val="24"/>
          <w:szCs w:val="24"/>
        </w:rPr>
        <w:t xml:space="preserve">. </w:t>
      </w:r>
      <w:r w:rsidR="003E4D8A" w:rsidRPr="003610D2">
        <w:rPr>
          <w:rFonts w:ascii="Book Antiqua" w:hAnsi="Book Antiqua"/>
          <w:sz w:val="24"/>
          <w:szCs w:val="24"/>
        </w:rPr>
        <w:t>We</w:t>
      </w:r>
      <w:r w:rsidR="008749AC" w:rsidRPr="003610D2">
        <w:rPr>
          <w:rFonts w:ascii="Book Antiqua" w:hAnsi="Book Antiqua"/>
          <w:sz w:val="24"/>
          <w:szCs w:val="24"/>
        </w:rPr>
        <w:t xml:space="preserve"> </w:t>
      </w:r>
      <w:r w:rsidR="007343E8" w:rsidRPr="003610D2">
        <w:rPr>
          <w:rFonts w:ascii="Book Antiqua" w:hAnsi="Book Antiqua"/>
          <w:sz w:val="24"/>
          <w:szCs w:val="24"/>
        </w:rPr>
        <w:t>acknowledge important limitation</w:t>
      </w:r>
      <w:r w:rsidR="008749AC" w:rsidRPr="003610D2">
        <w:rPr>
          <w:rFonts w:ascii="Book Antiqua" w:hAnsi="Book Antiqua"/>
          <w:sz w:val="24"/>
          <w:szCs w:val="24"/>
        </w:rPr>
        <w:t>s</w:t>
      </w:r>
      <w:r w:rsidR="007343E8" w:rsidRPr="003610D2">
        <w:rPr>
          <w:rFonts w:ascii="Book Antiqua" w:hAnsi="Book Antiqua"/>
          <w:sz w:val="24"/>
          <w:szCs w:val="24"/>
        </w:rPr>
        <w:t>.</w:t>
      </w:r>
      <w:r w:rsidR="008D2326" w:rsidRPr="003610D2">
        <w:rPr>
          <w:rFonts w:ascii="Book Antiqua" w:hAnsi="Book Antiqua"/>
          <w:sz w:val="24"/>
          <w:szCs w:val="24"/>
        </w:rPr>
        <w:t xml:space="preserve"> </w:t>
      </w:r>
      <w:r w:rsidR="00B75F46" w:rsidRPr="003610D2">
        <w:rPr>
          <w:rFonts w:ascii="Book Antiqua" w:hAnsi="Book Antiqua"/>
          <w:sz w:val="24"/>
          <w:szCs w:val="24"/>
        </w:rPr>
        <w:t>As this study utilized</w:t>
      </w:r>
      <w:r w:rsidR="0094295E" w:rsidRPr="003610D2">
        <w:rPr>
          <w:rFonts w:ascii="Book Antiqua" w:hAnsi="Book Antiqua"/>
          <w:sz w:val="24"/>
          <w:szCs w:val="24"/>
        </w:rPr>
        <w:t xml:space="preserve"> a </w:t>
      </w:r>
      <w:r w:rsidR="008D2326" w:rsidRPr="003610D2">
        <w:rPr>
          <w:rFonts w:ascii="Book Antiqua" w:hAnsi="Book Antiqua"/>
          <w:sz w:val="24"/>
          <w:szCs w:val="24"/>
        </w:rPr>
        <w:t>cross sectional design, we</w:t>
      </w:r>
      <w:r w:rsidR="00616B45" w:rsidRPr="003610D2">
        <w:rPr>
          <w:rFonts w:ascii="Book Antiqua" w:hAnsi="Book Antiqua"/>
          <w:sz w:val="24"/>
          <w:szCs w:val="24"/>
        </w:rPr>
        <w:t xml:space="preserve"> can only demonstrate an association between lumacaftor/ivacaftor therapy and reduced hepatic fat</w:t>
      </w:r>
      <w:r w:rsidR="00B85A07" w:rsidRPr="003610D2">
        <w:rPr>
          <w:rFonts w:ascii="Book Antiqua" w:hAnsi="Book Antiqua"/>
          <w:sz w:val="24"/>
          <w:szCs w:val="24"/>
        </w:rPr>
        <w:t xml:space="preserve">. </w:t>
      </w:r>
      <w:r w:rsidR="00AF0FFC" w:rsidRPr="003610D2">
        <w:rPr>
          <w:rFonts w:ascii="Book Antiqua" w:hAnsi="Book Antiqua"/>
          <w:sz w:val="24"/>
          <w:szCs w:val="24"/>
        </w:rPr>
        <w:t>Moreover, we are unable to exclude the possibility that the F508del/F508del genotype, rather than CFTR modulator use, is associated with</w:t>
      </w:r>
      <w:r w:rsidR="00021F96" w:rsidRPr="003610D2">
        <w:rPr>
          <w:rFonts w:ascii="Book Antiqua" w:hAnsi="Book Antiqua"/>
          <w:sz w:val="24"/>
          <w:szCs w:val="24"/>
        </w:rPr>
        <w:t xml:space="preserve"> reduced</w:t>
      </w:r>
      <w:r w:rsidR="00AF0FFC" w:rsidRPr="003610D2">
        <w:rPr>
          <w:rFonts w:ascii="Book Antiqua" w:hAnsi="Book Antiqua"/>
          <w:sz w:val="24"/>
          <w:szCs w:val="24"/>
        </w:rPr>
        <w:t xml:space="preserve"> hepatic steatosis. </w:t>
      </w:r>
      <w:r w:rsidR="00EF5D7D" w:rsidRPr="003610D2">
        <w:rPr>
          <w:rFonts w:ascii="Book Antiqua" w:hAnsi="Book Antiqua"/>
          <w:sz w:val="24"/>
          <w:szCs w:val="24"/>
        </w:rPr>
        <w:t>Prospective, longitudinal study of modulator therapy in patients expressing different pathogenic CFTR variants will help clarify this question. The</w:t>
      </w:r>
      <w:r w:rsidR="00616B45" w:rsidRPr="003610D2">
        <w:rPr>
          <w:rFonts w:ascii="Book Antiqua" w:hAnsi="Book Antiqua"/>
          <w:sz w:val="24"/>
          <w:szCs w:val="24"/>
        </w:rPr>
        <w:t xml:space="preserve"> relatively small sample</w:t>
      </w:r>
      <w:r w:rsidR="003E4D8A" w:rsidRPr="003610D2">
        <w:rPr>
          <w:rFonts w:ascii="Book Antiqua" w:hAnsi="Book Antiqua"/>
          <w:sz w:val="24"/>
          <w:szCs w:val="24"/>
        </w:rPr>
        <w:t xml:space="preserve"> size</w:t>
      </w:r>
      <w:r w:rsidR="00616B45" w:rsidRPr="003610D2">
        <w:rPr>
          <w:rFonts w:ascii="Book Antiqua" w:hAnsi="Book Antiqua"/>
          <w:sz w:val="24"/>
          <w:szCs w:val="24"/>
        </w:rPr>
        <w:t xml:space="preserve"> limited</w:t>
      </w:r>
      <w:r w:rsidR="008D2326" w:rsidRPr="003610D2">
        <w:rPr>
          <w:rFonts w:ascii="Book Antiqua" w:hAnsi="Book Antiqua"/>
          <w:sz w:val="24"/>
          <w:szCs w:val="24"/>
        </w:rPr>
        <w:t xml:space="preserve"> our power to detect differences </w:t>
      </w:r>
      <w:r w:rsidR="003E4D8A" w:rsidRPr="003610D2">
        <w:rPr>
          <w:rFonts w:ascii="Book Antiqua" w:hAnsi="Book Antiqua"/>
          <w:sz w:val="24"/>
          <w:szCs w:val="24"/>
        </w:rPr>
        <w:t xml:space="preserve">in hepatic fat </w:t>
      </w:r>
      <w:r w:rsidR="008D2326" w:rsidRPr="003610D2">
        <w:rPr>
          <w:rFonts w:ascii="Book Antiqua" w:hAnsi="Book Antiqua"/>
          <w:sz w:val="24"/>
          <w:szCs w:val="24"/>
        </w:rPr>
        <w:t>between CFRD and NGT subjects</w:t>
      </w:r>
      <w:r w:rsidR="003E4D8A" w:rsidRPr="003610D2">
        <w:rPr>
          <w:rFonts w:ascii="Book Antiqua" w:hAnsi="Book Antiqua"/>
          <w:sz w:val="24"/>
          <w:szCs w:val="24"/>
        </w:rPr>
        <w:t>.</w:t>
      </w:r>
      <w:r w:rsidR="00021F96" w:rsidRPr="003610D2">
        <w:rPr>
          <w:rFonts w:ascii="Book Antiqua" w:hAnsi="Book Antiqua"/>
          <w:sz w:val="24"/>
          <w:szCs w:val="24"/>
        </w:rPr>
        <w:t xml:space="preserve"> This study does not eliminate </w:t>
      </w:r>
      <w:r w:rsidR="00021F96" w:rsidRPr="003610D2">
        <w:rPr>
          <w:rFonts w:ascii="Book Antiqua" w:hAnsi="Book Antiqua"/>
          <w:sz w:val="24"/>
          <w:szCs w:val="24"/>
        </w:rPr>
        <w:lastRenderedPageBreak/>
        <w:t>a possible association between CF</w:t>
      </w:r>
      <w:r w:rsidR="00D670F7" w:rsidRPr="003610D2">
        <w:rPr>
          <w:rFonts w:ascii="Book Antiqua" w:hAnsi="Book Antiqua"/>
          <w:sz w:val="24"/>
          <w:szCs w:val="24"/>
        </w:rPr>
        <w:t xml:space="preserve">RD and hepatic steatosis in CF. Further </w:t>
      </w:r>
      <w:r w:rsidR="000C4A38" w:rsidRPr="003610D2">
        <w:rPr>
          <w:rFonts w:ascii="Book Antiqua" w:hAnsi="Book Antiqua"/>
          <w:sz w:val="24"/>
          <w:szCs w:val="24"/>
        </w:rPr>
        <w:t>longitudinal study</w:t>
      </w:r>
      <w:r w:rsidR="00D670F7" w:rsidRPr="003610D2">
        <w:rPr>
          <w:rFonts w:ascii="Book Antiqua" w:hAnsi="Book Antiqua"/>
          <w:sz w:val="24"/>
          <w:szCs w:val="24"/>
        </w:rPr>
        <w:t xml:space="preserve"> is </w:t>
      </w:r>
      <w:r w:rsidR="00EF5D7D" w:rsidRPr="003610D2">
        <w:rPr>
          <w:rFonts w:ascii="Book Antiqua" w:hAnsi="Book Antiqua"/>
          <w:sz w:val="24"/>
          <w:szCs w:val="24"/>
        </w:rPr>
        <w:t xml:space="preserve">needed to </w:t>
      </w:r>
      <w:r w:rsidR="00D670F7" w:rsidRPr="003610D2">
        <w:rPr>
          <w:rFonts w:ascii="Book Antiqua" w:hAnsi="Book Antiqua"/>
          <w:sz w:val="24"/>
          <w:szCs w:val="24"/>
        </w:rPr>
        <w:t xml:space="preserve">understand how hepatic steatosis influences insulin sensitivity and risk for progression to CFRD. </w:t>
      </w:r>
    </w:p>
    <w:p w14:paraId="057ECB32" w14:textId="5646CFB7" w:rsidR="002F03DD" w:rsidRPr="003610D2" w:rsidRDefault="00F45593" w:rsidP="009C687E">
      <w:pPr>
        <w:adjustRightInd w:val="0"/>
        <w:snapToGrid w:val="0"/>
        <w:spacing w:after="0" w:line="360" w:lineRule="auto"/>
        <w:ind w:firstLineChars="100" w:firstLine="240"/>
        <w:jc w:val="both"/>
        <w:rPr>
          <w:rFonts w:ascii="Book Antiqua" w:hAnsi="Book Antiqua"/>
          <w:b/>
          <w:sz w:val="24"/>
          <w:szCs w:val="24"/>
        </w:rPr>
      </w:pPr>
      <w:r w:rsidRPr="003610D2">
        <w:rPr>
          <w:rFonts w:ascii="Book Antiqua" w:hAnsi="Book Antiqua"/>
          <w:sz w:val="24"/>
          <w:szCs w:val="24"/>
        </w:rPr>
        <w:t>In conclusion</w:t>
      </w:r>
      <w:r w:rsidR="00C52E6A" w:rsidRPr="003610D2">
        <w:rPr>
          <w:rFonts w:ascii="Book Antiqua" w:hAnsi="Book Antiqua"/>
          <w:sz w:val="24"/>
          <w:szCs w:val="24"/>
        </w:rPr>
        <w:t xml:space="preserve">, </w:t>
      </w:r>
      <w:r w:rsidR="0094295E" w:rsidRPr="003610D2">
        <w:rPr>
          <w:rFonts w:ascii="Book Antiqua" w:hAnsi="Book Antiqua"/>
          <w:sz w:val="24"/>
          <w:szCs w:val="24"/>
        </w:rPr>
        <w:t>we</w:t>
      </w:r>
      <w:r w:rsidR="0098522C" w:rsidRPr="003610D2">
        <w:rPr>
          <w:rFonts w:ascii="Book Antiqua" w:hAnsi="Book Antiqua"/>
          <w:sz w:val="24"/>
          <w:szCs w:val="24"/>
        </w:rPr>
        <w:t xml:space="preserve"> found no evidence that </w:t>
      </w:r>
      <w:r w:rsidR="003E05B2" w:rsidRPr="003610D2">
        <w:rPr>
          <w:rFonts w:ascii="Book Antiqua" w:hAnsi="Book Antiqua"/>
          <w:sz w:val="24"/>
          <w:szCs w:val="24"/>
        </w:rPr>
        <w:t xml:space="preserve">CFRD </w:t>
      </w:r>
      <w:r w:rsidR="0098522C" w:rsidRPr="003610D2">
        <w:rPr>
          <w:rFonts w:ascii="Book Antiqua" w:hAnsi="Book Antiqua"/>
          <w:sz w:val="24"/>
          <w:szCs w:val="24"/>
        </w:rPr>
        <w:t>is assoc</w:t>
      </w:r>
      <w:r w:rsidR="00471016" w:rsidRPr="003610D2">
        <w:rPr>
          <w:rFonts w:ascii="Book Antiqua" w:hAnsi="Book Antiqua"/>
          <w:sz w:val="24"/>
          <w:szCs w:val="24"/>
        </w:rPr>
        <w:t>iated with increased hepatic steatosis</w:t>
      </w:r>
      <w:r w:rsidR="0098522C" w:rsidRPr="003610D2">
        <w:rPr>
          <w:rFonts w:ascii="Book Antiqua" w:hAnsi="Book Antiqua"/>
          <w:sz w:val="24"/>
          <w:szCs w:val="24"/>
        </w:rPr>
        <w:t>. We provide strong preliminary data suggesting that</w:t>
      </w:r>
      <w:r w:rsidR="00CA7E15" w:rsidRPr="003610D2">
        <w:rPr>
          <w:rFonts w:ascii="Book Antiqua" w:hAnsi="Book Antiqua"/>
          <w:sz w:val="24"/>
          <w:szCs w:val="24"/>
        </w:rPr>
        <w:t xml:space="preserve"> </w:t>
      </w:r>
      <w:r w:rsidR="00C31DC7" w:rsidRPr="003610D2">
        <w:rPr>
          <w:rFonts w:ascii="Book Antiqua" w:hAnsi="Book Antiqua"/>
          <w:sz w:val="24"/>
          <w:szCs w:val="24"/>
        </w:rPr>
        <w:t>l</w:t>
      </w:r>
      <w:r w:rsidR="00B75F46" w:rsidRPr="003610D2">
        <w:rPr>
          <w:rFonts w:ascii="Book Antiqua" w:hAnsi="Book Antiqua"/>
          <w:sz w:val="24"/>
          <w:szCs w:val="24"/>
        </w:rPr>
        <w:t>umacaftor/i</w:t>
      </w:r>
      <w:r w:rsidR="00460CA3" w:rsidRPr="003610D2">
        <w:rPr>
          <w:rFonts w:ascii="Book Antiqua" w:hAnsi="Book Antiqua"/>
          <w:sz w:val="24"/>
          <w:szCs w:val="24"/>
        </w:rPr>
        <w:t xml:space="preserve">vacaftor </w:t>
      </w:r>
      <w:r w:rsidR="007343E8" w:rsidRPr="003610D2">
        <w:rPr>
          <w:rFonts w:ascii="Book Antiqua" w:hAnsi="Book Antiqua"/>
          <w:sz w:val="24"/>
          <w:szCs w:val="24"/>
        </w:rPr>
        <w:t>is associated with reduced hepatic</w:t>
      </w:r>
      <w:r w:rsidR="00471016" w:rsidRPr="003610D2">
        <w:rPr>
          <w:rFonts w:ascii="Book Antiqua" w:hAnsi="Book Antiqua"/>
          <w:sz w:val="24"/>
          <w:szCs w:val="24"/>
        </w:rPr>
        <w:t xml:space="preserve"> steatosis</w:t>
      </w:r>
      <w:r w:rsidRPr="003610D2">
        <w:rPr>
          <w:rFonts w:ascii="Book Antiqua" w:hAnsi="Book Antiqua"/>
          <w:sz w:val="24"/>
          <w:szCs w:val="24"/>
        </w:rPr>
        <w:t xml:space="preserve"> in </w:t>
      </w:r>
      <w:r w:rsidR="003E05B2" w:rsidRPr="003610D2">
        <w:rPr>
          <w:rFonts w:ascii="Book Antiqua" w:hAnsi="Book Antiqua"/>
          <w:sz w:val="24"/>
          <w:szCs w:val="24"/>
        </w:rPr>
        <w:t>CF patients</w:t>
      </w:r>
      <w:r w:rsidRPr="003610D2">
        <w:rPr>
          <w:rFonts w:ascii="Book Antiqua" w:hAnsi="Book Antiqua"/>
          <w:sz w:val="24"/>
          <w:szCs w:val="24"/>
        </w:rPr>
        <w:t xml:space="preserve">. </w:t>
      </w:r>
      <w:r w:rsidR="003E05B2" w:rsidRPr="003610D2">
        <w:rPr>
          <w:rFonts w:ascii="Book Antiqua" w:hAnsi="Book Antiqua"/>
          <w:sz w:val="24"/>
          <w:szCs w:val="24"/>
        </w:rPr>
        <w:t>This finding raises many questions about the impa</w:t>
      </w:r>
      <w:r w:rsidR="00855F32" w:rsidRPr="003610D2">
        <w:rPr>
          <w:rFonts w:ascii="Book Antiqua" w:hAnsi="Book Antiqua"/>
          <w:sz w:val="24"/>
          <w:szCs w:val="24"/>
        </w:rPr>
        <w:t xml:space="preserve">ct of CFTR modulator therapy on </w:t>
      </w:r>
      <w:r w:rsidR="00A77697" w:rsidRPr="003610D2">
        <w:rPr>
          <w:rFonts w:ascii="Book Antiqua" w:hAnsi="Book Antiqua"/>
          <w:sz w:val="24"/>
          <w:szCs w:val="24"/>
        </w:rPr>
        <w:t xml:space="preserve">nutrient </w:t>
      </w:r>
      <w:r w:rsidR="00961A97" w:rsidRPr="003610D2">
        <w:rPr>
          <w:rFonts w:ascii="Book Antiqua" w:hAnsi="Book Antiqua"/>
          <w:sz w:val="24"/>
          <w:szCs w:val="24"/>
        </w:rPr>
        <w:t>absorption</w:t>
      </w:r>
      <w:r w:rsidR="00A77697" w:rsidRPr="003610D2">
        <w:rPr>
          <w:rFonts w:ascii="Book Antiqua" w:hAnsi="Book Antiqua"/>
          <w:sz w:val="24"/>
          <w:szCs w:val="24"/>
        </w:rPr>
        <w:t xml:space="preserve"> and </w:t>
      </w:r>
      <w:r w:rsidR="00855F32" w:rsidRPr="003610D2">
        <w:rPr>
          <w:rFonts w:ascii="Book Antiqua" w:hAnsi="Book Antiqua"/>
          <w:sz w:val="24"/>
          <w:szCs w:val="24"/>
        </w:rPr>
        <w:t xml:space="preserve">on the mechanisms of hepatic steatosis in </w:t>
      </w:r>
      <w:r w:rsidR="00B97C31" w:rsidRPr="003610D2">
        <w:rPr>
          <w:rFonts w:ascii="Book Antiqua" w:hAnsi="Book Antiqua"/>
          <w:sz w:val="24"/>
          <w:szCs w:val="24"/>
        </w:rPr>
        <w:t>CF</w:t>
      </w:r>
      <w:r w:rsidR="00855F32" w:rsidRPr="003610D2">
        <w:rPr>
          <w:rFonts w:ascii="Book Antiqua" w:hAnsi="Book Antiqua"/>
          <w:sz w:val="24"/>
          <w:szCs w:val="24"/>
        </w:rPr>
        <w:t xml:space="preserve"> patients</w:t>
      </w:r>
      <w:r w:rsidR="003E05B2" w:rsidRPr="003610D2">
        <w:rPr>
          <w:rFonts w:ascii="Book Antiqua" w:hAnsi="Book Antiqua"/>
          <w:sz w:val="24"/>
          <w:szCs w:val="24"/>
        </w:rPr>
        <w:t>.</w:t>
      </w:r>
      <w:r w:rsidR="0094295E" w:rsidRPr="003610D2">
        <w:rPr>
          <w:rFonts w:ascii="Book Antiqua" w:hAnsi="Book Antiqua"/>
          <w:sz w:val="24"/>
          <w:szCs w:val="24"/>
        </w:rPr>
        <w:t xml:space="preserve"> O</w:t>
      </w:r>
      <w:r w:rsidR="003E05B2" w:rsidRPr="003610D2">
        <w:rPr>
          <w:rFonts w:ascii="Book Antiqua" w:hAnsi="Book Antiqua"/>
          <w:sz w:val="24"/>
          <w:szCs w:val="24"/>
        </w:rPr>
        <w:t>ur study raises the possibility that CFTR modulator thera</w:t>
      </w:r>
      <w:r w:rsidR="000C4A38" w:rsidRPr="003610D2">
        <w:rPr>
          <w:rFonts w:ascii="Book Antiqua" w:hAnsi="Book Antiqua"/>
          <w:sz w:val="24"/>
          <w:szCs w:val="24"/>
        </w:rPr>
        <w:t>py may impact other forms of CF</w:t>
      </w:r>
      <w:r w:rsidR="003E05B2" w:rsidRPr="003610D2">
        <w:rPr>
          <w:rFonts w:ascii="Book Antiqua" w:hAnsi="Book Antiqua"/>
          <w:sz w:val="24"/>
          <w:szCs w:val="24"/>
        </w:rPr>
        <w:t>LD</w:t>
      </w:r>
      <w:r w:rsidR="0094295E" w:rsidRPr="003610D2">
        <w:rPr>
          <w:rFonts w:ascii="Book Antiqua" w:hAnsi="Book Antiqua"/>
          <w:sz w:val="24"/>
          <w:szCs w:val="24"/>
        </w:rPr>
        <w:t xml:space="preserve"> and</w:t>
      </w:r>
      <w:r w:rsidR="0042396B" w:rsidRPr="003610D2">
        <w:rPr>
          <w:rFonts w:ascii="Book Antiqua" w:hAnsi="Book Antiqua"/>
          <w:sz w:val="24"/>
          <w:szCs w:val="24"/>
        </w:rPr>
        <w:t xml:space="preserve"> adds to the small but growing literature on the extrapulmonary impact of CFTR modulator therapy. </w:t>
      </w:r>
      <w:bookmarkStart w:id="187" w:name="OLE_LINK678"/>
      <w:bookmarkStart w:id="188" w:name="OLE_LINK679"/>
      <w:r w:rsidRPr="003610D2">
        <w:rPr>
          <w:rFonts w:ascii="Book Antiqua" w:hAnsi="Book Antiqua"/>
          <w:sz w:val="24"/>
          <w:szCs w:val="24"/>
        </w:rPr>
        <w:t xml:space="preserve">CFTR modulator status should be </w:t>
      </w:r>
      <w:r w:rsidR="003E05B2" w:rsidRPr="003610D2">
        <w:rPr>
          <w:rFonts w:ascii="Book Antiqua" w:hAnsi="Book Antiqua"/>
          <w:sz w:val="24"/>
          <w:szCs w:val="24"/>
        </w:rPr>
        <w:t>included</w:t>
      </w:r>
      <w:r w:rsidR="00567103" w:rsidRPr="003610D2">
        <w:rPr>
          <w:rFonts w:ascii="Book Antiqua" w:hAnsi="Book Antiqua"/>
          <w:sz w:val="24"/>
          <w:szCs w:val="24"/>
        </w:rPr>
        <w:t xml:space="preserve"> in</w:t>
      </w:r>
      <w:r w:rsidRPr="003610D2">
        <w:rPr>
          <w:rFonts w:ascii="Book Antiqua" w:hAnsi="Book Antiqua"/>
          <w:sz w:val="24"/>
          <w:szCs w:val="24"/>
        </w:rPr>
        <w:t xml:space="preserve"> future studies of </w:t>
      </w:r>
      <w:r w:rsidR="003E05B2" w:rsidRPr="003610D2">
        <w:rPr>
          <w:rFonts w:ascii="Book Antiqua" w:hAnsi="Book Antiqua"/>
          <w:sz w:val="24"/>
          <w:szCs w:val="24"/>
        </w:rPr>
        <w:t>he</w:t>
      </w:r>
      <w:r w:rsidRPr="003610D2">
        <w:rPr>
          <w:rFonts w:ascii="Book Antiqua" w:hAnsi="Book Antiqua"/>
          <w:sz w:val="24"/>
          <w:szCs w:val="24"/>
        </w:rPr>
        <w:t>p</w:t>
      </w:r>
      <w:r w:rsidR="003E05B2" w:rsidRPr="003610D2">
        <w:rPr>
          <w:rFonts w:ascii="Book Antiqua" w:hAnsi="Book Antiqua"/>
          <w:sz w:val="24"/>
          <w:szCs w:val="24"/>
        </w:rPr>
        <w:t>a</w:t>
      </w:r>
      <w:r w:rsidRPr="003610D2">
        <w:rPr>
          <w:rFonts w:ascii="Book Antiqua" w:hAnsi="Book Antiqua"/>
          <w:sz w:val="24"/>
          <w:szCs w:val="24"/>
        </w:rPr>
        <w:t>tic steatosis or CF</w:t>
      </w:r>
      <w:r w:rsidR="00B97C31" w:rsidRPr="003610D2">
        <w:rPr>
          <w:rFonts w:ascii="Book Antiqua" w:hAnsi="Book Antiqua"/>
          <w:sz w:val="24"/>
          <w:szCs w:val="24"/>
        </w:rPr>
        <w:t>LD.</w:t>
      </w:r>
      <w:bookmarkStart w:id="189" w:name="OLE_LINK158"/>
      <w:bookmarkStart w:id="190" w:name="OLE_LINK159"/>
      <w:bookmarkStart w:id="191" w:name="OLE_LINK205"/>
      <w:bookmarkStart w:id="192" w:name="OLE_LINK206"/>
      <w:bookmarkStart w:id="193" w:name="OLE_LINK244"/>
      <w:bookmarkStart w:id="194" w:name="OLE_LINK245"/>
      <w:bookmarkStart w:id="195" w:name="OLE_LINK11"/>
      <w:bookmarkStart w:id="196" w:name="OLE_LINK12"/>
      <w:bookmarkStart w:id="197" w:name="OLE_LINK23"/>
      <w:bookmarkStart w:id="198" w:name="OLE_LINK24"/>
      <w:bookmarkStart w:id="199" w:name="OLE_LINK316"/>
      <w:bookmarkStart w:id="200" w:name="OLE_LINK332"/>
      <w:bookmarkStart w:id="201" w:name="OLE_LINK521"/>
      <w:bookmarkStart w:id="202" w:name="OLE_LINK403"/>
      <w:bookmarkStart w:id="203" w:name="OLE_LINK560"/>
      <w:bookmarkStart w:id="204" w:name="OLE_LINK839"/>
      <w:bookmarkStart w:id="205" w:name="OLE_LINK625"/>
      <w:bookmarkStart w:id="206" w:name="OLE_LINK759"/>
      <w:bookmarkEnd w:id="187"/>
      <w:bookmarkEnd w:id="188"/>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14:paraId="6C45EC11" w14:textId="77777777" w:rsidR="002F03DD" w:rsidRPr="003610D2" w:rsidRDefault="002F03DD" w:rsidP="00F61D5F">
      <w:pPr>
        <w:adjustRightInd w:val="0"/>
        <w:snapToGrid w:val="0"/>
        <w:spacing w:after="0" w:line="360" w:lineRule="auto"/>
        <w:jc w:val="both"/>
        <w:rPr>
          <w:rFonts w:ascii="Book Antiqua" w:hAnsi="Book Antiqua"/>
          <w:sz w:val="24"/>
          <w:szCs w:val="24"/>
        </w:rPr>
      </w:pPr>
    </w:p>
    <w:p w14:paraId="129E6D0F" w14:textId="77777777" w:rsidR="009C687E" w:rsidRPr="009C687E" w:rsidRDefault="009C687E" w:rsidP="009C687E">
      <w:pPr>
        <w:adjustRightInd w:val="0"/>
        <w:snapToGrid w:val="0"/>
        <w:spacing w:after="0" w:line="360" w:lineRule="auto"/>
        <w:jc w:val="both"/>
        <w:rPr>
          <w:rFonts w:ascii="Book Antiqua" w:eastAsia="DengXian" w:hAnsi="Book Antiqua" w:cs="Times New Roman"/>
          <w:b/>
          <w:caps/>
          <w:color w:val="000000"/>
          <w:sz w:val="24"/>
          <w:szCs w:val="24"/>
        </w:rPr>
      </w:pPr>
      <w:r w:rsidRPr="009C687E">
        <w:rPr>
          <w:rFonts w:ascii="Book Antiqua" w:eastAsia="DengXian" w:hAnsi="Book Antiqua" w:cs="Segoe UI"/>
          <w:b/>
          <w:caps/>
          <w:color w:val="000000"/>
          <w:sz w:val="24"/>
          <w:szCs w:val="24"/>
          <w:shd w:val="clear" w:color="auto" w:fill="FFFFFF"/>
        </w:rPr>
        <w:t>Article Highlights</w:t>
      </w:r>
    </w:p>
    <w:p w14:paraId="62CA8268" w14:textId="77777777" w:rsidR="009C687E" w:rsidRPr="009C687E" w:rsidRDefault="009C687E" w:rsidP="009C687E">
      <w:pPr>
        <w:adjustRightInd w:val="0"/>
        <w:snapToGrid w:val="0"/>
        <w:spacing w:after="0" w:line="360" w:lineRule="auto"/>
        <w:jc w:val="both"/>
        <w:rPr>
          <w:rFonts w:ascii="Book Antiqua" w:eastAsia="DengXian" w:hAnsi="Book Antiqua" w:cs="Times New Roman"/>
          <w:b/>
          <w:i/>
          <w:iCs/>
          <w:color w:val="000000"/>
          <w:sz w:val="24"/>
          <w:szCs w:val="24"/>
        </w:rPr>
      </w:pPr>
      <w:r w:rsidRPr="009C687E">
        <w:rPr>
          <w:rFonts w:ascii="Book Antiqua" w:eastAsia="DengXian" w:hAnsi="Book Antiqua" w:cs="Times New Roman"/>
          <w:b/>
          <w:i/>
          <w:iCs/>
          <w:color w:val="000000"/>
          <w:sz w:val="24"/>
          <w:szCs w:val="24"/>
        </w:rPr>
        <w:t>Research background</w:t>
      </w:r>
    </w:p>
    <w:p w14:paraId="0DF9C532" w14:textId="4BB64C86" w:rsidR="009C687E" w:rsidRPr="009C687E" w:rsidRDefault="009C687E" w:rsidP="009C687E">
      <w:pPr>
        <w:adjustRightInd w:val="0"/>
        <w:snapToGrid w:val="0"/>
        <w:spacing w:after="0" w:line="360" w:lineRule="auto"/>
        <w:jc w:val="both"/>
        <w:rPr>
          <w:rFonts w:ascii="Book Antiqua" w:eastAsia="DengXian" w:hAnsi="Book Antiqua" w:cs="Times New Roman"/>
          <w:color w:val="000000"/>
          <w:sz w:val="24"/>
          <w:szCs w:val="24"/>
        </w:rPr>
      </w:pPr>
      <w:r w:rsidRPr="003610D2">
        <w:rPr>
          <w:rFonts w:ascii="Book Antiqua" w:eastAsia="DengXian" w:hAnsi="Book Antiqua" w:cs="Times New Roman"/>
          <w:color w:val="000000"/>
          <w:sz w:val="24"/>
          <w:szCs w:val="24"/>
        </w:rPr>
        <w:t>Hepatic steatosis is a common form of cystic fibrosis associated liver disease (CFLD). The journal has published previous manuscripts regarding CFLD.</w:t>
      </w:r>
      <w:r w:rsidRPr="009C687E">
        <w:rPr>
          <w:rFonts w:ascii="Book Antiqua" w:eastAsia="DengXian" w:hAnsi="Book Antiqua" w:cs="Times New Roman"/>
          <w:color w:val="000000"/>
          <w:sz w:val="24"/>
          <w:szCs w:val="24"/>
        </w:rPr>
        <w:t xml:space="preserve"> </w:t>
      </w:r>
    </w:p>
    <w:p w14:paraId="420EDAD8" w14:textId="77777777" w:rsidR="009C687E" w:rsidRPr="009C687E" w:rsidRDefault="009C687E" w:rsidP="009C687E">
      <w:pPr>
        <w:adjustRightInd w:val="0"/>
        <w:snapToGrid w:val="0"/>
        <w:spacing w:after="0" w:line="360" w:lineRule="auto"/>
        <w:jc w:val="both"/>
        <w:rPr>
          <w:rFonts w:ascii="Book Antiqua" w:eastAsia="DengXian" w:hAnsi="Book Antiqua" w:cs="Times New Roman"/>
          <w:color w:val="000000"/>
          <w:sz w:val="24"/>
          <w:szCs w:val="24"/>
        </w:rPr>
      </w:pPr>
    </w:p>
    <w:p w14:paraId="4EEE557A" w14:textId="77777777" w:rsidR="009C687E" w:rsidRPr="009C687E" w:rsidRDefault="009C687E" w:rsidP="009C687E">
      <w:pPr>
        <w:adjustRightInd w:val="0"/>
        <w:snapToGrid w:val="0"/>
        <w:spacing w:after="0" w:line="360" w:lineRule="auto"/>
        <w:jc w:val="both"/>
        <w:rPr>
          <w:rFonts w:ascii="Book Antiqua" w:eastAsia="DengXian" w:hAnsi="Book Antiqua" w:cs="Times New Roman"/>
          <w:b/>
          <w:i/>
          <w:iCs/>
          <w:color w:val="000000"/>
          <w:sz w:val="24"/>
          <w:szCs w:val="24"/>
        </w:rPr>
      </w:pPr>
      <w:r w:rsidRPr="009C687E">
        <w:rPr>
          <w:rFonts w:ascii="Book Antiqua" w:eastAsia="DengXian" w:hAnsi="Book Antiqua" w:cs="Times New Roman"/>
          <w:b/>
          <w:i/>
          <w:iCs/>
          <w:color w:val="000000"/>
          <w:sz w:val="24"/>
          <w:szCs w:val="24"/>
        </w:rPr>
        <w:t>Research motivation</w:t>
      </w:r>
    </w:p>
    <w:p w14:paraId="28520E53" w14:textId="0C1D7A28" w:rsidR="009C687E" w:rsidRPr="009C687E" w:rsidRDefault="009C687E" w:rsidP="009C687E">
      <w:pPr>
        <w:adjustRightInd w:val="0"/>
        <w:snapToGrid w:val="0"/>
        <w:spacing w:after="0" w:line="360" w:lineRule="auto"/>
        <w:jc w:val="both"/>
        <w:rPr>
          <w:rFonts w:ascii="Book Antiqua" w:eastAsia="Times New Roman" w:hAnsi="Book Antiqua" w:cs="Times New Roman"/>
          <w:color w:val="000000"/>
          <w:sz w:val="24"/>
          <w:szCs w:val="24"/>
        </w:rPr>
      </w:pPr>
      <w:r w:rsidRPr="003610D2">
        <w:rPr>
          <w:rFonts w:ascii="Book Antiqua" w:eastAsia="DengXian" w:hAnsi="Book Antiqua" w:cs="Times New Roman"/>
          <w:color w:val="000000"/>
          <w:sz w:val="24"/>
          <w:szCs w:val="24"/>
        </w:rPr>
        <w:t xml:space="preserve">Cystic fibrosis </w:t>
      </w:r>
      <w:r w:rsidR="004A2903">
        <w:rPr>
          <w:rFonts w:ascii="Book Antiqua" w:eastAsia="DengXian" w:hAnsi="Book Antiqua" w:cs="Times New Roman"/>
          <w:color w:val="000000"/>
          <w:sz w:val="24"/>
          <w:szCs w:val="24"/>
        </w:rPr>
        <w:t xml:space="preserve">(CF) </w:t>
      </w:r>
      <w:r w:rsidRPr="003610D2">
        <w:rPr>
          <w:rFonts w:ascii="Book Antiqua" w:eastAsia="DengXian" w:hAnsi="Book Antiqua" w:cs="Times New Roman"/>
          <w:color w:val="000000"/>
          <w:sz w:val="24"/>
          <w:szCs w:val="24"/>
        </w:rPr>
        <w:t>transmembrane conductance regulator (CFTR) modulators are a revolutionary therapy which target the underlying cause of CF for the first time. Currently, very little is known about the impact of CFTR modulator therapy on hepatic disease in CF, despite liver failure being the third leading cause of death in CF patients.</w:t>
      </w:r>
      <w:r w:rsidRPr="009C687E">
        <w:rPr>
          <w:rFonts w:ascii="Book Antiqua" w:eastAsia="DengXian" w:hAnsi="Book Antiqua" w:cs="Times New Roman"/>
          <w:color w:val="000000"/>
          <w:sz w:val="24"/>
          <w:szCs w:val="24"/>
        </w:rPr>
        <w:t xml:space="preserve"> </w:t>
      </w:r>
    </w:p>
    <w:p w14:paraId="6EFC5A4B" w14:textId="77777777" w:rsidR="009C687E" w:rsidRPr="009C687E" w:rsidRDefault="009C687E" w:rsidP="009C687E">
      <w:pPr>
        <w:adjustRightInd w:val="0"/>
        <w:snapToGrid w:val="0"/>
        <w:spacing w:after="0" w:line="360" w:lineRule="auto"/>
        <w:jc w:val="both"/>
        <w:rPr>
          <w:rFonts w:ascii="Book Antiqua" w:eastAsia="DengXian" w:hAnsi="Book Antiqua" w:cs="Times New Roman"/>
          <w:b/>
          <w:color w:val="000000"/>
          <w:sz w:val="24"/>
          <w:szCs w:val="24"/>
        </w:rPr>
      </w:pPr>
    </w:p>
    <w:p w14:paraId="6220EEC6" w14:textId="77777777" w:rsidR="009C687E" w:rsidRPr="009C687E" w:rsidRDefault="009C687E" w:rsidP="009C687E">
      <w:pPr>
        <w:adjustRightInd w:val="0"/>
        <w:snapToGrid w:val="0"/>
        <w:spacing w:after="0" w:line="360" w:lineRule="auto"/>
        <w:jc w:val="both"/>
        <w:rPr>
          <w:rFonts w:ascii="Book Antiqua" w:eastAsia="DengXian" w:hAnsi="Book Antiqua" w:cs="Times New Roman"/>
          <w:b/>
          <w:i/>
          <w:iCs/>
          <w:color w:val="000000"/>
          <w:sz w:val="24"/>
          <w:szCs w:val="24"/>
        </w:rPr>
      </w:pPr>
      <w:r w:rsidRPr="009C687E">
        <w:rPr>
          <w:rFonts w:ascii="Book Antiqua" w:eastAsia="DengXian" w:hAnsi="Book Antiqua" w:cs="Times New Roman"/>
          <w:b/>
          <w:i/>
          <w:iCs/>
          <w:color w:val="000000"/>
          <w:sz w:val="24"/>
          <w:szCs w:val="24"/>
        </w:rPr>
        <w:t>Research objectives</w:t>
      </w:r>
    </w:p>
    <w:p w14:paraId="247501C4" w14:textId="209F5BAF" w:rsidR="009C687E" w:rsidRPr="009C687E" w:rsidRDefault="009C687E" w:rsidP="009C687E">
      <w:pPr>
        <w:adjustRightInd w:val="0"/>
        <w:snapToGrid w:val="0"/>
        <w:spacing w:after="0" w:line="360" w:lineRule="auto"/>
        <w:jc w:val="both"/>
        <w:rPr>
          <w:rFonts w:ascii="Book Antiqua" w:eastAsia="DengXian" w:hAnsi="Book Antiqua" w:cs="Times New Roman"/>
          <w:color w:val="000000"/>
          <w:sz w:val="24"/>
          <w:szCs w:val="24"/>
        </w:rPr>
      </w:pPr>
      <w:r w:rsidRPr="009C687E">
        <w:rPr>
          <w:rFonts w:ascii="Book Antiqua" w:eastAsia="DengXian" w:hAnsi="Book Antiqua" w:cs="Times New Roman"/>
          <w:color w:val="000000"/>
          <w:sz w:val="24"/>
          <w:szCs w:val="24"/>
        </w:rPr>
        <w:t xml:space="preserve">The objectives of this study were therefore to </w:t>
      </w:r>
      <w:r w:rsidRPr="003610D2">
        <w:rPr>
          <w:rFonts w:ascii="Book Antiqua" w:eastAsia="DengXian" w:hAnsi="Book Antiqua" w:cs="Times New Roman"/>
          <w:color w:val="000000"/>
          <w:sz w:val="24"/>
          <w:szCs w:val="24"/>
        </w:rPr>
        <w:t>determine whether CF related diabetes</w:t>
      </w:r>
      <w:r w:rsidR="001C1832">
        <w:rPr>
          <w:rFonts w:ascii="Book Antiqua" w:eastAsia="DengXian" w:hAnsi="Book Antiqua" w:cs="Times New Roman"/>
          <w:color w:val="000000"/>
          <w:sz w:val="24"/>
          <w:szCs w:val="24"/>
        </w:rPr>
        <w:t xml:space="preserve"> (CFRD)</w:t>
      </w:r>
      <w:r w:rsidRPr="003610D2">
        <w:rPr>
          <w:rFonts w:ascii="Book Antiqua" w:eastAsia="DengXian" w:hAnsi="Book Antiqua" w:cs="Times New Roman"/>
          <w:color w:val="000000"/>
          <w:sz w:val="24"/>
          <w:szCs w:val="24"/>
        </w:rPr>
        <w:t xml:space="preserve"> is associated with hepatic steatosis and to identify predictors of hepatic steatosis in CF</w:t>
      </w:r>
      <w:r w:rsidRPr="009C687E">
        <w:rPr>
          <w:rFonts w:ascii="Book Antiqua" w:eastAsia="DengXian" w:hAnsi="Book Antiqua" w:cs="Times New Roman"/>
          <w:color w:val="000000"/>
          <w:sz w:val="24"/>
          <w:szCs w:val="24"/>
        </w:rPr>
        <w:t>.</w:t>
      </w:r>
    </w:p>
    <w:p w14:paraId="37D17BE5" w14:textId="77777777" w:rsidR="009C687E" w:rsidRPr="009C687E" w:rsidRDefault="009C687E" w:rsidP="009C687E">
      <w:pPr>
        <w:adjustRightInd w:val="0"/>
        <w:snapToGrid w:val="0"/>
        <w:spacing w:after="0" w:line="360" w:lineRule="auto"/>
        <w:jc w:val="both"/>
        <w:rPr>
          <w:rFonts w:ascii="Book Antiqua" w:eastAsia="DengXian" w:hAnsi="Book Antiqua" w:cs="Times New Roman"/>
          <w:i/>
          <w:iCs/>
          <w:color w:val="000000"/>
          <w:sz w:val="24"/>
          <w:szCs w:val="24"/>
        </w:rPr>
      </w:pPr>
    </w:p>
    <w:p w14:paraId="7A8AC2CD" w14:textId="77777777" w:rsidR="009C687E" w:rsidRPr="009C687E" w:rsidRDefault="009C687E" w:rsidP="009C687E">
      <w:pPr>
        <w:adjustRightInd w:val="0"/>
        <w:snapToGrid w:val="0"/>
        <w:spacing w:after="0" w:line="360" w:lineRule="auto"/>
        <w:jc w:val="both"/>
        <w:rPr>
          <w:rFonts w:ascii="Book Antiqua" w:eastAsia="DengXian" w:hAnsi="Book Antiqua" w:cs="Times New Roman"/>
          <w:b/>
          <w:i/>
          <w:iCs/>
          <w:color w:val="000000"/>
          <w:sz w:val="24"/>
          <w:szCs w:val="24"/>
        </w:rPr>
      </w:pPr>
      <w:r w:rsidRPr="009C687E">
        <w:rPr>
          <w:rFonts w:ascii="Book Antiqua" w:eastAsia="DengXian" w:hAnsi="Book Antiqua" w:cs="Times New Roman"/>
          <w:b/>
          <w:i/>
          <w:iCs/>
          <w:color w:val="000000"/>
          <w:sz w:val="24"/>
          <w:szCs w:val="24"/>
        </w:rPr>
        <w:t>Research methods</w:t>
      </w:r>
    </w:p>
    <w:p w14:paraId="38601EAB" w14:textId="57A74721" w:rsidR="009C687E" w:rsidRPr="009C687E" w:rsidRDefault="000D36CA" w:rsidP="009C687E">
      <w:pPr>
        <w:adjustRightInd w:val="0"/>
        <w:snapToGrid w:val="0"/>
        <w:spacing w:after="0" w:line="360" w:lineRule="auto"/>
        <w:jc w:val="both"/>
        <w:rPr>
          <w:rFonts w:ascii="Book Antiqua" w:eastAsia="DengXian" w:hAnsi="Book Antiqua" w:cs="Arial"/>
          <w:color w:val="000000"/>
          <w:sz w:val="24"/>
          <w:szCs w:val="24"/>
        </w:rPr>
      </w:pPr>
      <w:r w:rsidRPr="003610D2">
        <w:rPr>
          <w:rFonts w:ascii="Book Antiqua" w:hAnsi="Book Antiqua"/>
          <w:sz w:val="24"/>
          <w:szCs w:val="24"/>
        </w:rPr>
        <w:lastRenderedPageBreak/>
        <w:t xml:space="preserve">Patients with established CFLD, end stage lung disease, or persistently elevated liver enzymes were excluded. Mean magnetic resonance imaging (MRI) proton density fat fraction (PDFF) was obtained for all participants. Clinical characteristics and blood chemistries were assessed for possible association with hepatic steatosis. Hepatic steatosis was defined as a mean MRI PDFF &gt; 5%. Patients were grouped by diabetes status and CFTR modulator use (lumacaftor/ivacaftor, no lumacaftor/ivacaftor) to determine between group differences. Continuous variables </w:t>
      </w:r>
      <w:r w:rsidRPr="003610D2">
        <w:rPr>
          <w:rFonts w:ascii="Book Antiqua" w:hAnsi="Book Antiqua"/>
          <w:color w:val="000000" w:themeColor="text1"/>
          <w:sz w:val="24"/>
          <w:szCs w:val="24"/>
        </w:rPr>
        <w:t>were analyzed with a Wilcoxon rank sum test and discrete variables with a Chi square test or Fisher’s exact test.</w:t>
      </w:r>
      <w:r w:rsidR="009C687E" w:rsidRPr="009C687E">
        <w:rPr>
          <w:rFonts w:ascii="Book Antiqua" w:eastAsia="DengXian" w:hAnsi="Book Antiqua" w:cs="Arial"/>
          <w:color w:val="000000"/>
          <w:sz w:val="24"/>
          <w:szCs w:val="24"/>
          <w:shd w:val="clear" w:color="auto" w:fill="FFFFFF"/>
          <w:lang w:eastAsia="en-GB"/>
        </w:rPr>
        <w:t xml:space="preserve"> </w:t>
      </w:r>
    </w:p>
    <w:p w14:paraId="5A856B0C" w14:textId="77777777" w:rsidR="009C687E" w:rsidRPr="009C687E" w:rsidRDefault="009C687E" w:rsidP="009C687E">
      <w:pPr>
        <w:adjustRightInd w:val="0"/>
        <w:snapToGrid w:val="0"/>
        <w:spacing w:after="0" w:line="360" w:lineRule="auto"/>
        <w:jc w:val="both"/>
        <w:rPr>
          <w:rFonts w:ascii="Book Antiqua" w:eastAsia="DengXian" w:hAnsi="Book Antiqua" w:cs="Times New Roman"/>
          <w:color w:val="000000"/>
          <w:sz w:val="24"/>
          <w:szCs w:val="24"/>
        </w:rPr>
      </w:pPr>
    </w:p>
    <w:p w14:paraId="4B689EE6" w14:textId="77777777" w:rsidR="009C687E" w:rsidRPr="009C687E" w:rsidRDefault="009C687E" w:rsidP="009C687E">
      <w:pPr>
        <w:adjustRightInd w:val="0"/>
        <w:snapToGrid w:val="0"/>
        <w:spacing w:after="0" w:line="360" w:lineRule="auto"/>
        <w:jc w:val="both"/>
        <w:rPr>
          <w:rFonts w:ascii="Book Antiqua" w:eastAsia="DengXian" w:hAnsi="Book Antiqua" w:cs="Times New Roman"/>
          <w:b/>
          <w:i/>
          <w:iCs/>
          <w:color w:val="000000"/>
          <w:sz w:val="24"/>
          <w:szCs w:val="24"/>
        </w:rPr>
      </w:pPr>
      <w:r w:rsidRPr="009C687E">
        <w:rPr>
          <w:rFonts w:ascii="Book Antiqua" w:eastAsia="DengXian" w:hAnsi="Book Antiqua" w:cs="Times New Roman"/>
          <w:b/>
          <w:i/>
          <w:iCs/>
          <w:color w:val="000000"/>
          <w:sz w:val="24"/>
          <w:szCs w:val="24"/>
        </w:rPr>
        <w:t>Research results</w:t>
      </w:r>
    </w:p>
    <w:p w14:paraId="07A4BAD8" w14:textId="0C1028C7" w:rsidR="009C687E" w:rsidRPr="009C687E" w:rsidRDefault="000D36CA" w:rsidP="009C687E">
      <w:pPr>
        <w:adjustRightInd w:val="0"/>
        <w:snapToGrid w:val="0"/>
        <w:spacing w:after="0" w:line="360" w:lineRule="auto"/>
        <w:jc w:val="both"/>
        <w:rPr>
          <w:rFonts w:ascii="Book Antiqua" w:eastAsia="DengXian" w:hAnsi="Book Antiqua" w:cs="Times New Roman"/>
          <w:color w:val="000000"/>
          <w:sz w:val="24"/>
          <w:szCs w:val="24"/>
        </w:rPr>
      </w:pPr>
      <w:r w:rsidRPr="003610D2">
        <w:rPr>
          <w:rFonts w:ascii="Book Antiqua" w:hAnsi="Book Antiqua"/>
          <w:sz w:val="24"/>
          <w:szCs w:val="24"/>
        </w:rPr>
        <w:t>Twelve subjects (60%) had CFRD and 8 subjects (40%) had normal glucose tolerance (NGT).</w:t>
      </w:r>
      <w:r w:rsidR="009C687E" w:rsidRPr="009C687E">
        <w:rPr>
          <w:rFonts w:ascii="Book Antiqua" w:eastAsia="DengXian" w:hAnsi="Book Antiqua" w:cs="Times New Roman"/>
          <w:color w:val="000000"/>
          <w:sz w:val="24"/>
          <w:szCs w:val="24"/>
        </w:rPr>
        <w:t xml:space="preserve"> </w:t>
      </w:r>
      <w:r w:rsidRPr="003610D2">
        <w:rPr>
          <w:rFonts w:ascii="Book Antiqua" w:hAnsi="Book Antiqua"/>
          <w:sz w:val="24"/>
          <w:szCs w:val="24"/>
        </w:rPr>
        <w:t xml:space="preserve">The median hepatic fat fraction for all subjects was 3.0% with a range from 0.0%-21.0%. Six subjects (30%) had hepatic steatosis, defined as PDFF &gt; 5%. Hepatic fat fraction was significantly lower in the 9 subjects receiving CFTR modulator therapy (2.0%, 0.0%-6.4%) than in the 11 subjects not receiving CFTR modulators (4.1%, 2.7%-21.0%), </w:t>
      </w:r>
      <w:r w:rsidRPr="003610D2">
        <w:rPr>
          <w:rFonts w:ascii="Book Antiqua" w:hAnsi="Book Antiqua"/>
          <w:i/>
          <w:iCs/>
          <w:sz w:val="24"/>
          <w:szCs w:val="24"/>
        </w:rPr>
        <w:t>P</w:t>
      </w:r>
      <w:r w:rsidRPr="003610D2">
        <w:rPr>
          <w:rFonts w:ascii="Book Antiqua" w:hAnsi="Book Antiqua"/>
          <w:sz w:val="24"/>
          <w:szCs w:val="24"/>
        </w:rPr>
        <w:t xml:space="preserve"> = 0.002. The median hepatic fat fraction was not statistically different between subjects with CFRD (median, range) (2.2%, 0.0-14.5%) and NGT (4.9%, 2.4-21.0%), </w:t>
      </w:r>
      <w:r w:rsidRPr="003610D2">
        <w:rPr>
          <w:rFonts w:ascii="Book Antiqua" w:hAnsi="Book Antiqua"/>
          <w:i/>
          <w:iCs/>
          <w:sz w:val="24"/>
          <w:szCs w:val="24"/>
        </w:rPr>
        <w:t>P</w:t>
      </w:r>
      <w:r w:rsidRPr="003610D2">
        <w:rPr>
          <w:rFonts w:ascii="Book Antiqua" w:hAnsi="Book Antiqua"/>
          <w:sz w:val="24"/>
          <w:szCs w:val="24"/>
        </w:rPr>
        <w:t xml:space="preserve"> = 0.06.</w:t>
      </w:r>
    </w:p>
    <w:p w14:paraId="55A0A96A" w14:textId="77777777" w:rsidR="009C687E" w:rsidRPr="009C687E" w:rsidRDefault="009C687E" w:rsidP="009C687E">
      <w:pPr>
        <w:adjustRightInd w:val="0"/>
        <w:snapToGrid w:val="0"/>
        <w:spacing w:after="0" w:line="360" w:lineRule="auto"/>
        <w:jc w:val="both"/>
        <w:rPr>
          <w:rFonts w:ascii="Book Antiqua" w:eastAsia="DengXian" w:hAnsi="Book Antiqua" w:cs="Times New Roman"/>
          <w:b/>
          <w:color w:val="000000"/>
          <w:sz w:val="24"/>
          <w:szCs w:val="24"/>
        </w:rPr>
      </w:pPr>
    </w:p>
    <w:p w14:paraId="0F902326" w14:textId="77777777" w:rsidR="009C687E" w:rsidRPr="009C687E" w:rsidRDefault="009C687E" w:rsidP="009C687E">
      <w:pPr>
        <w:adjustRightInd w:val="0"/>
        <w:snapToGrid w:val="0"/>
        <w:spacing w:after="0" w:line="360" w:lineRule="auto"/>
        <w:jc w:val="both"/>
        <w:rPr>
          <w:rFonts w:ascii="Book Antiqua" w:eastAsia="DengXian" w:hAnsi="Book Antiqua" w:cs="Times New Roman"/>
          <w:b/>
          <w:i/>
          <w:iCs/>
          <w:color w:val="000000"/>
          <w:sz w:val="24"/>
          <w:szCs w:val="24"/>
        </w:rPr>
      </w:pPr>
      <w:r w:rsidRPr="009C687E">
        <w:rPr>
          <w:rFonts w:ascii="Book Antiqua" w:eastAsia="DengXian" w:hAnsi="Book Antiqua" w:cs="Times New Roman"/>
          <w:b/>
          <w:i/>
          <w:iCs/>
          <w:color w:val="000000"/>
          <w:sz w:val="24"/>
          <w:szCs w:val="24"/>
        </w:rPr>
        <w:t>Research conclusions</w:t>
      </w:r>
    </w:p>
    <w:p w14:paraId="27A121E7" w14:textId="268CD942" w:rsidR="009C687E" w:rsidRPr="009C687E" w:rsidRDefault="000D36CA" w:rsidP="009C687E">
      <w:pPr>
        <w:adjustRightInd w:val="0"/>
        <w:snapToGrid w:val="0"/>
        <w:spacing w:after="0" w:line="360" w:lineRule="auto"/>
        <w:jc w:val="both"/>
        <w:rPr>
          <w:rFonts w:ascii="Book Antiqua" w:eastAsia="DengXian" w:hAnsi="Book Antiqua" w:cs="Microsoft YaHei"/>
          <w:color w:val="000000"/>
          <w:sz w:val="24"/>
          <w:szCs w:val="24"/>
          <w:shd w:val="clear" w:color="auto" w:fill="FFFFFF"/>
        </w:rPr>
      </w:pPr>
      <w:r w:rsidRPr="003610D2">
        <w:rPr>
          <w:rFonts w:ascii="Book Antiqua" w:eastAsia="DengXian" w:hAnsi="Book Antiqua" w:cs="Times New Roman"/>
          <w:color w:val="000000"/>
          <w:sz w:val="24"/>
          <w:szCs w:val="24"/>
        </w:rPr>
        <w:t>In the enclosed manuscript, we demonstrate that lumacaftor/ivacaftor therapy is associated with reduced hepatic fat in CF patients. While hepatic steatosis has historically been considered a benign finding in CF, the spreading epidemic of liver failure from non-alcoholic steatohepatitis makes this doubtful.</w:t>
      </w:r>
    </w:p>
    <w:p w14:paraId="6B9E5E20" w14:textId="77777777" w:rsidR="009C687E" w:rsidRPr="009C687E" w:rsidRDefault="009C687E" w:rsidP="009C687E">
      <w:pPr>
        <w:adjustRightInd w:val="0"/>
        <w:snapToGrid w:val="0"/>
        <w:spacing w:after="0" w:line="360" w:lineRule="auto"/>
        <w:jc w:val="both"/>
        <w:rPr>
          <w:rFonts w:ascii="Book Antiqua" w:eastAsia="DengXian" w:hAnsi="Book Antiqua" w:cs="Times New Roman"/>
          <w:color w:val="000000"/>
          <w:sz w:val="24"/>
          <w:szCs w:val="24"/>
        </w:rPr>
      </w:pPr>
    </w:p>
    <w:p w14:paraId="358DEF35" w14:textId="77777777" w:rsidR="009C687E" w:rsidRPr="009C687E" w:rsidRDefault="009C687E" w:rsidP="009C687E">
      <w:pPr>
        <w:adjustRightInd w:val="0"/>
        <w:snapToGrid w:val="0"/>
        <w:spacing w:after="0" w:line="360" w:lineRule="auto"/>
        <w:jc w:val="both"/>
        <w:rPr>
          <w:rFonts w:ascii="Book Antiqua" w:eastAsia="DengXian" w:hAnsi="Book Antiqua" w:cs="Segoe UI"/>
          <w:b/>
          <w:i/>
          <w:iCs/>
          <w:color w:val="000000"/>
          <w:sz w:val="24"/>
          <w:szCs w:val="24"/>
          <w:shd w:val="clear" w:color="auto" w:fill="FFFFFF"/>
        </w:rPr>
      </w:pPr>
      <w:r w:rsidRPr="009C687E">
        <w:rPr>
          <w:rFonts w:ascii="Book Antiqua" w:eastAsia="DengXian" w:hAnsi="Book Antiqua" w:cs="Segoe UI"/>
          <w:b/>
          <w:i/>
          <w:iCs/>
          <w:color w:val="000000"/>
          <w:sz w:val="24"/>
          <w:szCs w:val="24"/>
          <w:shd w:val="clear" w:color="auto" w:fill="FFFFFF"/>
        </w:rPr>
        <w:t>Research perspectives</w:t>
      </w:r>
    </w:p>
    <w:p w14:paraId="003C83D1" w14:textId="758C685E" w:rsidR="008F31A9" w:rsidRPr="003610D2" w:rsidRDefault="000D36CA" w:rsidP="009C687E">
      <w:pPr>
        <w:adjustRightInd w:val="0"/>
        <w:snapToGrid w:val="0"/>
        <w:spacing w:after="0" w:line="360" w:lineRule="auto"/>
        <w:jc w:val="both"/>
        <w:rPr>
          <w:rFonts w:ascii="Book Antiqua" w:hAnsi="Book Antiqua"/>
          <w:sz w:val="24"/>
          <w:szCs w:val="24"/>
        </w:rPr>
      </w:pPr>
      <w:r w:rsidRPr="003610D2">
        <w:rPr>
          <w:rFonts w:ascii="Book Antiqua" w:eastAsia="DengXian" w:hAnsi="Book Antiqua" w:cs="Segoe UI"/>
          <w:color w:val="000000"/>
          <w:sz w:val="24"/>
          <w:szCs w:val="24"/>
          <w:shd w:val="clear" w:color="auto" w:fill="FFFFFF"/>
        </w:rPr>
        <w:t xml:space="preserve">It suggests a previously unrecognized effect of CFTR modulators of CFLD. </w:t>
      </w:r>
      <w:r w:rsidRPr="003610D2">
        <w:rPr>
          <w:rFonts w:ascii="Book Antiqua" w:hAnsi="Book Antiqua"/>
          <w:sz w:val="24"/>
          <w:szCs w:val="24"/>
        </w:rPr>
        <w:t>CFTR modulator status should be included in future studies of hepatic steatosis or CFLD.</w:t>
      </w:r>
    </w:p>
    <w:p w14:paraId="099F16D1" w14:textId="77777777" w:rsidR="009C687E" w:rsidRPr="003610D2" w:rsidRDefault="009C687E">
      <w:pPr>
        <w:rPr>
          <w:rFonts w:ascii="Book Antiqua" w:hAnsi="Book Antiqua"/>
          <w:sz w:val="24"/>
          <w:szCs w:val="24"/>
          <w:lang w:val="en"/>
        </w:rPr>
      </w:pPr>
      <w:r w:rsidRPr="003610D2">
        <w:rPr>
          <w:rFonts w:ascii="Book Antiqua" w:hAnsi="Book Antiqua"/>
          <w:sz w:val="24"/>
          <w:szCs w:val="24"/>
          <w:lang w:val="en"/>
        </w:rPr>
        <w:br w:type="page"/>
      </w:r>
    </w:p>
    <w:p w14:paraId="6C5EE8E3" w14:textId="69831223" w:rsidR="00446B47" w:rsidRPr="003610D2" w:rsidRDefault="000D36CA" w:rsidP="00F61D5F">
      <w:pPr>
        <w:widowControl w:val="0"/>
        <w:autoSpaceDE w:val="0"/>
        <w:autoSpaceDN w:val="0"/>
        <w:adjustRightInd w:val="0"/>
        <w:snapToGrid w:val="0"/>
        <w:spacing w:after="0" w:line="360" w:lineRule="auto"/>
        <w:jc w:val="both"/>
        <w:rPr>
          <w:rFonts w:ascii="Book Antiqua" w:hAnsi="Book Antiqua"/>
          <w:b/>
          <w:bCs/>
          <w:sz w:val="24"/>
          <w:szCs w:val="24"/>
          <w:lang w:val="en"/>
        </w:rPr>
      </w:pPr>
      <w:r w:rsidRPr="003610D2">
        <w:rPr>
          <w:rFonts w:ascii="Book Antiqua" w:hAnsi="Book Antiqua"/>
          <w:b/>
          <w:bCs/>
          <w:sz w:val="24"/>
          <w:szCs w:val="24"/>
          <w:lang w:val="en"/>
        </w:rPr>
        <w:lastRenderedPageBreak/>
        <w:t>REFERENCES</w:t>
      </w:r>
    </w:p>
    <w:p w14:paraId="005C4722" w14:textId="0C956A55" w:rsidR="002B0751" w:rsidRPr="002B0751" w:rsidRDefault="00AA1A4C"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3610D2">
        <w:rPr>
          <w:rFonts w:ascii="Book Antiqua" w:hAnsi="Book Antiqua"/>
          <w:sz w:val="24"/>
          <w:szCs w:val="24"/>
        </w:rPr>
        <w:fldChar w:fldCharType="begin" w:fldLock="1"/>
      </w:r>
      <w:r w:rsidRPr="003610D2">
        <w:rPr>
          <w:rFonts w:ascii="Book Antiqua" w:hAnsi="Book Antiqua"/>
          <w:sz w:val="24"/>
          <w:szCs w:val="24"/>
        </w:rPr>
        <w:instrText xml:space="preserve">ADDIN Mendeley Bibliography CSL_BIBLIOGRAPHY </w:instrText>
      </w:r>
      <w:r w:rsidRPr="003610D2">
        <w:rPr>
          <w:rFonts w:ascii="Book Antiqua" w:hAnsi="Book Antiqua"/>
          <w:sz w:val="24"/>
          <w:szCs w:val="24"/>
        </w:rPr>
        <w:fldChar w:fldCharType="separate"/>
      </w:r>
      <w:r w:rsidR="002B0751" w:rsidRPr="002B0751">
        <w:rPr>
          <w:rFonts w:ascii="Book Antiqua" w:hAnsi="Book Antiqua" w:cs="Times New Roman"/>
          <w:noProof/>
          <w:sz w:val="24"/>
          <w:szCs w:val="24"/>
          <w:highlight w:val="yellow"/>
        </w:rPr>
        <w:t xml:space="preserve">1 </w:t>
      </w:r>
      <w:r w:rsidR="002B0751" w:rsidRPr="002B0751">
        <w:rPr>
          <w:rFonts w:ascii="Book Antiqua" w:hAnsi="Book Antiqua" w:cs="Times New Roman"/>
          <w:b/>
          <w:bCs/>
          <w:noProof/>
          <w:sz w:val="24"/>
          <w:szCs w:val="24"/>
          <w:highlight w:val="yellow"/>
        </w:rPr>
        <w:t>Cystic Fibrosis Foundation.</w:t>
      </w:r>
      <w:r w:rsidR="002B0751" w:rsidRPr="002B0751">
        <w:rPr>
          <w:rFonts w:ascii="Book Antiqua" w:hAnsi="Book Antiqua" w:cs="Times New Roman"/>
          <w:noProof/>
          <w:sz w:val="24"/>
          <w:szCs w:val="24"/>
          <w:highlight w:val="yellow"/>
        </w:rPr>
        <w:t xml:space="preserve"> 2016 Patient Registry Annual Data Report. Available from: https://www.cff.org/Research/Researcher-Resources/Patient-Registry/2016-Patient-Registry-Annual-Data-Report.pdf</w:t>
      </w:r>
    </w:p>
    <w:p w14:paraId="6F218B49"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2 </w:t>
      </w:r>
      <w:r w:rsidRPr="002B0751">
        <w:rPr>
          <w:rFonts w:ascii="Book Antiqua" w:hAnsi="Book Antiqua" w:cs="Times New Roman"/>
          <w:b/>
          <w:bCs/>
          <w:noProof/>
          <w:sz w:val="24"/>
          <w:szCs w:val="24"/>
        </w:rPr>
        <w:t>Brennan AL</w:t>
      </w:r>
      <w:r w:rsidRPr="002B0751">
        <w:rPr>
          <w:rFonts w:ascii="Book Antiqua" w:hAnsi="Book Antiqua" w:cs="Times New Roman"/>
          <w:noProof/>
          <w:sz w:val="24"/>
          <w:szCs w:val="24"/>
        </w:rPr>
        <w:t>, Beynon J. Clinical updates in cystic fibrosis-related diabetes. </w:t>
      </w:r>
      <w:r w:rsidRPr="002B0751">
        <w:rPr>
          <w:rFonts w:ascii="Book Antiqua" w:hAnsi="Book Antiqua" w:cs="Times New Roman"/>
          <w:i/>
          <w:iCs/>
          <w:noProof/>
          <w:sz w:val="24"/>
          <w:szCs w:val="24"/>
        </w:rPr>
        <w:t>Semin Respir Crit Care Med</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36</w:t>
      </w:r>
      <w:r w:rsidRPr="002B0751">
        <w:rPr>
          <w:rFonts w:ascii="Book Antiqua" w:hAnsi="Book Antiqua" w:cs="Times New Roman"/>
          <w:noProof/>
          <w:sz w:val="24"/>
          <w:szCs w:val="24"/>
        </w:rPr>
        <w:t>: 236-250 [PMID: 25826591 DOI: 10.1055/s-0035-1547319]</w:t>
      </w:r>
    </w:p>
    <w:p w14:paraId="74E9689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3 </w:t>
      </w:r>
      <w:r w:rsidRPr="002B0751">
        <w:rPr>
          <w:rFonts w:ascii="Book Antiqua" w:hAnsi="Book Antiqua" w:cs="Times New Roman"/>
          <w:b/>
          <w:bCs/>
          <w:noProof/>
          <w:sz w:val="24"/>
          <w:szCs w:val="24"/>
        </w:rPr>
        <w:t>Herrmann U</w:t>
      </w:r>
      <w:r w:rsidRPr="002B0751">
        <w:rPr>
          <w:rFonts w:ascii="Book Antiqua" w:hAnsi="Book Antiqua" w:cs="Times New Roman"/>
          <w:noProof/>
          <w:sz w:val="24"/>
          <w:szCs w:val="24"/>
        </w:rPr>
        <w:t>, Dockter G, Lammert F. Cystic fibrosis-associated liver disease. </w:t>
      </w:r>
      <w:r w:rsidRPr="002B0751">
        <w:rPr>
          <w:rFonts w:ascii="Book Antiqua" w:hAnsi="Book Antiqua" w:cs="Times New Roman"/>
          <w:i/>
          <w:iCs/>
          <w:noProof/>
          <w:sz w:val="24"/>
          <w:szCs w:val="24"/>
        </w:rPr>
        <w:t>Best Pract Res Clin Gastroenterol</w:t>
      </w:r>
      <w:r w:rsidRPr="002B0751">
        <w:rPr>
          <w:rFonts w:ascii="Book Antiqua" w:hAnsi="Book Antiqua" w:cs="Times New Roman"/>
          <w:noProof/>
          <w:sz w:val="24"/>
          <w:szCs w:val="24"/>
        </w:rPr>
        <w:t> 2010; </w:t>
      </w:r>
      <w:r w:rsidRPr="002B0751">
        <w:rPr>
          <w:rFonts w:ascii="Book Antiqua" w:hAnsi="Book Antiqua" w:cs="Times New Roman"/>
          <w:b/>
          <w:bCs/>
          <w:noProof/>
          <w:sz w:val="24"/>
          <w:szCs w:val="24"/>
        </w:rPr>
        <w:t>24</w:t>
      </w:r>
      <w:r w:rsidRPr="002B0751">
        <w:rPr>
          <w:rFonts w:ascii="Book Antiqua" w:hAnsi="Book Antiqua" w:cs="Times New Roman"/>
          <w:noProof/>
          <w:sz w:val="24"/>
          <w:szCs w:val="24"/>
        </w:rPr>
        <w:t>: 585-592 [PMID: 20955961 DOI: 10.1016/j.bpg.2010.08.003]</w:t>
      </w:r>
    </w:p>
    <w:p w14:paraId="395ED88D"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4 </w:t>
      </w:r>
      <w:r w:rsidRPr="002B0751">
        <w:rPr>
          <w:rFonts w:ascii="Book Antiqua" w:hAnsi="Book Antiqua" w:cs="Times New Roman"/>
          <w:b/>
          <w:bCs/>
          <w:noProof/>
          <w:sz w:val="24"/>
          <w:szCs w:val="24"/>
        </w:rPr>
        <w:t>Boëlle PY</w:t>
      </w:r>
      <w:r w:rsidRPr="002B0751">
        <w:rPr>
          <w:rFonts w:ascii="Book Antiqua" w:hAnsi="Book Antiqua" w:cs="Times New Roman"/>
          <w:noProof/>
          <w:sz w:val="24"/>
          <w:szCs w:val="24"/>
        </w:rPr>
        <w:t>, Debray D, Guillot L, Clement A, Corvol H; French CF Modifier Gene Study Investigators. Cystic Fibrosis Liver Disease: Outcomes and Risk Factors in a Large Cohort of French Patients. </w:t>
      </w:r>
      <w:r w:rsidRPr="002B0751">
        <w:rPr>
          <w:rFonts w:ascii="Book Antiqua" w:hAnsi="Book Antiqua" w:cs="Times New Roman"/>
          <w:i/>
          <w:iCs/>
          <w:noProof/>
          <w:sz w:val="24"/>
          <w:szCs w:val="24"/>
        </w:rPr>
        <w:t>Hepatology</w:t>
      </w:r>
      <w:r w:rsidRPr="002B0751">
        <w:rPr>
          <w:rFonts w:ascii="Book Antiqua" w:hAnsi="Book Antiqua" w:cs="Times New Roman"/>
          <w:noProof/>
          <w:sz w:val="24"/>
          <w:szCs w:val="24"/>
        </w:rPr>
        <w:t> 2019; </w:t>
      </w:r>
      <w:r w:rsidRPr="002B0751">
        <w:rPr>
          <w:rFonts w:ascii="Book Antiqua" w:hAnsi="Book Antiqua" w:cs="Times New Roman"/>
          <w:b/>
          <w:bCs/>
          <w:noProof/>
          <w:sz w:val="24"/>
          <w:szCs w:val="24"/>
        </w:rPr>
        <w:t>69</w:t>
      </w:r>
      <w:r w:rsidRPr="002B0751">
        <w:rPr>
          <w:rFonts w:ascii="Book Antiqua" w:hAnsi="Book Antiqua" w:cs="Times New Roman"/>
          <w:noProof/>
          <w:sz w:val="24"/>
          <w:szCs w:val="24"/>
        </w:rPr>
        <w:t>: 1648-1656 [PMID: 30058245 DOI: 10.1002/hep.30148]</w:t>
      </w:r>
    </w:p>
    <w:p w14:paraId="06A675C3"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5 </w:t>
      </w:r>
      <w:r w:rsidRPr="002B0751">
        <w:rPr>
          <w:rFonts w:ascii="Book Antiqua" w:hAnsi="Book Antiqua" w:cs="Times New Roman"/>
          <w:b/>
          <w:bCs/>
          <w:noProof/>
          <w:sz w:val="24"/>
          <w:szCs w:val="24"/>
        </w:rPr>
        <w:t>Colombo C</w:t>
      </w:r>
      <w:r w:rsidRPr="002B0751">
        <w:rPr>
          <w:rFonts w:ascii="Book Antiqua" w:hAnsi="Book Antiqua" w:cs="Times New Roman"/>
          <w:noProof/>
          <w:sz w:val="24"/>
          <w:szCs w:val="24"/>
        </w:rPr>
        <w:t>. Liver disease in cystic fibrosis. </w:t>
      </w:r>
      <w:r w:rsidRPr="002B0751">
        <w:rPr>
          <w:rFonts w:ascii="Book Antiqua" w:hAnsi="Book Antiqua" w:cs="Times New Roman"/>
          <w:i/>
          <w:iCs/>
          <w:noProof/>
          <w:sz w:val="24"/>
          <w:szCs w:val="24"/>
        </w:rPr>
        <w:t>Curr Opin Pulm Med</w:t>
      </w:r>
      <w:r w:rsidRPr="002B0751">
        <w:rPr>
          <w:rFonts w:ascii="Book Antiqua" w:hAnsi="Book Antiqua" w:cs="Times New Roman"/>
          <w:noProof/>
          <w:sz w:val="24"/>
          <w:szCs w:val="24"/>
        </w:rPr>
        <w:t> 2007; </w:t>
      </w:r>
      <w:r w:rsidRPr="002B0751">
        <w:rPr>
          <w:rFonts w:ascii="Book Antiqua" w:hAnsi="Book Antiqua" w:cs="Times New Roman"/>
          <w:b/>
          <w:bCs/>
          <w:noProof/>
          <w:sz w:val="24"/>
          <w:szCs w:val="24"/>
        </w:rPr>
        <w:t>13</w:t>
      </w:r>
      <w:r w:rsidRPr="002B0751">
        <w:rPr>
          <w:rFonts w:ascii="Book Antiqua" w:hAnsi="Book Antiqua" w:cs="Times New Roman"/>
          <w:noProof/>
          <w:sz w:val="24"/>
          <w:szCs w:val="24"/>
        </w:rPr>
        <w:t>: 529-536 [PMID: 17901760 DOI: 10.1097/MCP.0b013e3282f10a16]</w:t>
      </w:r>
    </w:p>
    <w:p w14:paraId="3B0079D4"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6 </w:t>
      </w:r>
      <w:r w:rsidRPr="002B0751">
        <w:rPr>
          <w:rFonts w:ascii="Book Antiqua" w:hAnsi="Book Antiqua" w:cs="Times New Roman"/>
          <w:b/>
          <w:bCs/>
          <w:noProof/>
          <w:sz w:val="24"/>
          <w:szCs w:val="24"/>
        </w:rPr>
        <w:t>Flass T</w:t>
      </w:r>
      <w:r w:rsidRPr="002B0751">
        <w:rPr>
          <w:rFonts w:ascii="Book Antiqua" w:hAnsi="Book Antiqua" w:cs="Times New Roman"/>
          <w:noProof/>
          <w:sz w:val="24"/>
          <w:szCs w:val="24"/>
        </w:rPr>
        <w:t>, Narkewicz MR. Cirrhosis and other liver disease in cystic fibrosis.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 2013; </w:t>
      </w:r>
      <w:r w:rsidRPr="002B0751">
        <w:rPr>
          <w:rFonts w:ascii="Book Antiqua" w:hAnsi="Book Antiqua" w:cs="Times New Roman"/>
          <w:b/>
          <w:bCs/>
          <w:noProof/>
          <w:sz w:val="24"/>
          <w:szCs w:val="24"/>
        </w:rPr>
        <w:t>12</w:t>
      </w:r>
      <w:r w:rsidRPr="002B0751">
        <w:rPr>
          <w:rFonts w:ascii="Book Antiqua" w:hAnsi="Book Antiqua" w:cs="Times New Roman"/>
          <w:noProof/>
          <w:sz w:val="24"/>
          <w:szCs w:val="24"/>
        </w:rPr>
        <w:t>: 116-124 [PMID: 23266093 DOI: 10.1016/j.jcf.2012.11.010]</w:t>
      </w:r>
    </w:p>
    <w:p w14:paraId="1C4E9881"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7 </w:t>
      </w:r>
      <w:r w:rsidRPr="002B0751">
        <w:rPr>
          <w:rFonts w:ascii="Book Antiqua" w:hAnsi="Book Antiqua" w:cs="Times New Roman"/>
          <w:b/>
          <w:bCs/>
          <w:noProof/>
          <w:sz w:val="24"/>
          <w:szCs w:val="24"/>
        </w:rPr>
        <w:t>Debray D</w:t>
      </w:r>
      <w:r w:rsidRPr="002B0751">
        <w:rPr>
          <w:rFonts w:ascii="Book Antiqua" w:hAnsi="Book Antiqua" w:cs="Times New Roman"/>
          <w:noProof/>
          <w:sz w:val="24"/>
          <w:szCs w:val="24"/>
        </w:rPr>
        <w:t>, Kelly D, Houwen R, Strandvik B, Colombo C. Best practice guidance for the diagnosis and management of cystic fibrosis-associated liver disease.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2011; </w:t>
      </w:r>
      <w:r w:rsidRPr="002B0751">
        <w:rPr>
          <w:rFonts w:ascii="Book Antiqua" w:hAnsi="Book Antiqua" w:cs="Times New Roman"/>
          <w:b/>
          <w:bCs/>
          <w:noProof/>
          <w:sz w:val="24"/>
          <w:szCs w:val="24"/>
        </w:rPr>
        <w:t>10 Suppl 2</w:t>
      </w:r>
      <w:r w:rsidRPr="002B0751">
        <w:rPr>
          <w:rFonts w:ascii="Book Antiqua" w:hAnsi="Book Antiqua" w:cs="Times New Roman"/>
          <w:noProof/>
          <w:sz w:val="24"/>
          <w:szCs w:val="24"/>
        </w:rPr>
        <w:t>: S29-S36 [PMID: 21658639 DOI: 10.1016/S1569-1993(11)60006-4]</w:t>
      </w:r>
    </w:p>
    <w:p w14:paraId="0E3D4237"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8 </w:t>
      </w:r>
      <w:r w:rsidRPr="002B0751">
        <w:rPr>
          <w:rFonts w:ascii="Book Antiqua" w:hAnsi="Book Antiqua" w:cs="Times New Roman"/>
          <w:b/>
          <w:bCs/>
          <w:noProof/>
          <w:sz w:val="24"/>
          <w:szCs w:val="24"/>
        </w:rPr>
        <w:t>Koh C</w:t>
      </w:r>
      <w:r w:rsidRPr="002B0751">
        <w:rPr>
          <w:rFonts w:ascii="Book Antiqua" w:hAnsi="Book Antiqua" w:cs="Times New Roman"/>
          <w:noProof/>
          <w:sz w:val="24"/>
          <w:szCs w:val="24"/>
        </w:rPr>
        <w:t>, Sakiani S, Surana P, Zhao X, Eccleston J, Kleiner DE, Herion D, Liang TJ, Hoofnagle JH, Chernick M, Heller T. Adult-onset cystic fibrosis liver disease: Diagnosis and characterization of an underappreciated entity. </w:t>
      </w:r>
      <w:r w:rsidRPr="002B0751">
        <w:rPr>
          <w:rFonts w:ascii="Book Antiqua" w:hAnsi="Book Antiqua" w:cs="Times New Roman"/>
          <w:i/>
          <w:iCs/>
          <w:noProof/>
          <w:sz w:val="24"/>
          <w:szCs w:val="24"/>
        </w:rPr>
        <w:t>Hepatology</w:t>
      </w:r>
      <w:r w:rsidRPr="002B0751">
        <w:rPr>
          <w:rFonts w:ascii="Book Antiqua" w:hAnsi="Book Antiqua" w:cs="Times New Roman"/>
          <w:noProof/>
          <w:sz w:val="24"/>
          <w:szCs w:val="24"/>
        </w:rPr>
        <w:t> 2017; </w:t>
      </w:r>
      <w:r w:rsidRPr="002B0751">
        <w:rPr>
          <w:rFonts w:ascii="Book Antiqua" w:hAnsi="Book Antiqua" w:cs="Times New Roman"/>
          <w:b/>
          <w:bCs/>
          <w:noProof/>
          <w:sz w:val="24"/>
          <w:szCs w:val="24"/>
        </w:rPr>
        <w:t>66</w:t>
      </w:r>
      <w:r w:rsidRPr="002B0751">
        <w:rPr>
          <w:rFonts w:ascii="Book Antiqua" w:hAnsi="Book Antiqua" w:cs="Times New Roman"/>
          <w:noProof/>
          <w:sz w:val="24"/>
          <w:szCs w:val="24"/>
        </w:rPr>
        <w:t>: 591-601 [PMID: 28422310 DOI: 10.1002/hep.29217]</w:t>
      </w:r>
    </w:p>
    <w:p w14:paraId="5F21F80B"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9 </w:t>
      </w:r>
      <w:r w:rsidRPr="002B0751">
        <w:rPr>
          <w:rFonts w:ascii="Book Antiqua" w:hAnsi="Book Antiqua" w:cs="Times New Roman"/>
          <w:b/>
          <w:bCs/>
          <w:noProof/>
          <w:sz w:val="24"/>
          <w:szCs w:val="24"/>
        </w:rPr>
        <w:t>Debray D</w:t>
      </w:r>
      <w:r w:rsidRPr="002B0751">
        <w:rPr>
          <w:rFonts w:ascii="Book Antiqua" w:hAnsi="Book Antiqua" w:cs="Times New Roman"/>
          <w:noProof/>
          <w:sz w:val="24"/>
          <w:szCs w:val="24"/>
        </w:rPr>
        <w:t>, Narkewicz MR, Bodewes FAJA, Colombo C, Housset C, de Jonge HR, Jonker JW, Kelly DA, Ling SC, Poynard T, Sogni P, Trauner M, Witters P, Baumann U, Wilschanski M, Verkade HJ. Cystic Fibrosis-related Liver Disease: Research Challenges and Future Perspectives. </w:t>
      </w:r>
      <w:r w:rsidRPr="002B0751">
        <w:rPr>
          <w:rFonts w:ascii="Book Antiqua" w:hAnsi="Book Antiqua" w:cs="Times New Roman"/>
          <w:i/>
          <w:iCs/>
          <w:noProof/>
          <w:sz w:val="24"/>
          <w:szCs w:val="24"/>
        </w:rPr>
        <w:t>J Pediatr Gastroenterol Nutr</w:t>
      </w:r>
      <w:r w:rsidRPr="002B0751">
        <w:rPr>
          <w:rFonts w:ascii="Book Antiqua" w:hAnsi="Book Antiqua" w:cs="Times New Roman"/>
          <w:noProof/>
          <w:sz w:val="24"/>
          <w:szCs w:val="24"/>
        </w:rPr>
        <w:t> 2017; </w:t>
      </w:r>
      <w:r w:rsidRPr="002B0751">
        <w:rPr>
          <w:rFonts w:ascii="Book Antiqua" w:hAnsi="Book Antiqua" w:cs="Times New Roman"/>
          <w:b/>
          <w:bCs/>
          <w:noProof/>
          <w:sz w:val="24"/>
          <w:szCs w:val="24"/>
        </w:rPr>
        <w:t>65</w:t>
      </w:r>
      <w:r w:rsidRPr="002B0751">
        <w:rPr>
          <w:rFonts w:ascii="Book Antiqua" w:hAnsi="Book Antiqua" w:cs="Times New Roman"/>
          <w:noProof/>
          <w:sz w:val="24"/>
          <w:szCs w:val="24"/>
        </w:rPr>
        <w:t>: 443-448 [PMID: 28753176 DOI: 10.1097/MPG.0000000000001676]</w:t>
      </w:r>
    </w:p>
    <w:p w14:paraId="3535A373"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10 </w:t>
      </w:r>
      <w:r w:rsidRPr="002B0751">
        <w:rPr>
          <w:rFonts w:ascii="Book Antiqua" w:hAnsi="Book Antiqua" w:cs="Times New Roman"/>
          <w:b/>
          <w:bCs/>
          <w:noProof/>
          <w:sz w:val="24"/>
          <w:szCs w:val="24"/>
        </w:rPr>
        <w:t>Wilschanski M</w:t>
      </w:r>
      <w:r w:rsidRPr="002B0751">
        <w:rPr>
          <w:rFonts w:ascii="Book Antiqua" w:hAnsi="Book Antiqua" w:cs="Times New Roman"/>
          <w:noProof/>
          <w:sz w:val="24"/>
          <w:szCs w:val="24"/>
        </w:rPr>
        <w:t>, Rivlin J, Cohen S, Augarten A, Blau H, Aviram M, Bentur L, Springer C, Vila Y, Branski D, Kerem B, Kerem E. Clinical and genetic risk factors for cystic fibrosis-</w:t>
      </w:r>
      <w:r w:rsidRPr="002B0751">
        <w:rPr>
          <w:rFonts w:ascii="Book Antiqua" w:hAnsi="Book Antiqua" w:cs="Times New Roman"/>
          <w:noProof/>
          <w:sz w:val="24"/>
          <w:szCs w:val="24"/>
        </w:rPr>
        <w:lastRenderedPageBreak/>
        <w:t>related liver disease. </w:t>
      </w:r>
      <w:r w:rsidRPr="002B0751">
        <w:rPr>
          <w:rFonts w:ascii="Book Antiqua" w:hAnsi="Book Antiqua" w:cs="Times New Roman"/>
          <w:i/>
          <w:iCs/>
          <w:noProof/>
          <w:sz w:val="24"/>
          <w:szCs w:val="24"/>
        </w:rPr>
        <w:t>Pediatrics</w:t>
      </w:r>
      <w:r w:rsidRPr="002B0751">
        <w:rPr>
          <w:rFonts w:ascii="Book Antiqua" w:hAnsi="Book Antiqua" w:cs="Times New Roman"/>
          <w:noProof/>
          <w:sz w:val="24"/>
          <w:szCs w:val="24"/>
        </w:rPr>
        <w:t> 1999; </w:t>
      </w:r>
      <w:r w:rsidRPr="002B0751">
        <w:rPr>
          <w:rFonts w:ascii="Book Antiqua" w:hAnsi="Book Antiqua" w:cs="Times New Roman"/>
          <w:b/>
          <w:bCs/>
          <w:noProof/>
          <w:sz w:val="24"/>
          <w:szCs w:val="24"/>
        </w:rPr>
        <w:t>103</w:t>
      </w:r>
      <w:r w:rsidRPr="002B0751">
        <w:rPr>
          <w:rFonts w:ascii="Book Antiqua" w:hAnsi="Book Antiqua" w:cs="Times New Roman"/>
          <w:noProof/>
          <w:sz w:val="24"/>
          <w:szCs w:val="24"/>
        </w:rPr>
        <w:t>: 52-57 [PMID: 9917439 DOI: 10.1542/peds.103.1.52]</w:t>
      </w:r>
    </w:p>
    <w:p w14:paraId="65CC4A5E"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11 </w:t>
      </w:r>
      <w:r w:rsidRPr="002B0751">
        <w:rPr>
          <w:rFonts w:ascii="Book Antiqua" w:hAnsi="Book Antiqua" w:cs="Times New Roman"/>
          <w:b/>
          <w:bCs/>
          <w:noProof/>
          <w:sz w:val="24"/>
          <w:szCs w:val="24"/>
        </w:rPr>
        <w:t>Terlizzi V</w:t>
      </w:r>
      <w:r w:rsidRPr="002B0751">
        <w:rPr>
          <w:rFonts w:ascii="Book Antiqua" w:hAnsi="Book Antiqua" w:cs="Times New Roman"/>
          <w:noProof/>
          <w:sz w:val="24"/>
          <w:szCs w:val="24"/>
        </w:rPr>
        <w:t>, Lucarelli M, Salvatore D, Angioni A, Bisogno A, Braggion C, Buzzetti R, Carnovale V, Casciaro R, Castaldo G, Cirilli N, Collura M, Colombo C, Di Lullo AM, Elce A, Lucidi V, Madarena E, Padoan R, Quattrucci S, Raia V, Seia M, Termini L, Zarrilli F. Clinical expression of cystic fibrosis in a large cohort of Italian siblings. </w:t>
      </w:r>
      <w:r w:rsidRPr="002B0751">
        <w:rPr>
          <w:rFonts w:ascii="Book Antiqua" w:hAnsi="Book Antiqua" w:cs="Times New Roman"/>
          <w:i/>
          <w:iCs/>
          <w:noProof/>
          <w:sz w:val="24"/>
          <w:szCs w:val="24"/>
        </w:rPr>
        <w:t>BMC Pulm Med</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18</w:t>
      </w:r>
      <w:r w:rsidRPr="002B0751">
        <w:rPr>
          <w:rFonts w:ascii="Book Antiqua" w:hAnsi="Book Antiqua" w:cs="Times New Roman"/>
          <w:noProof/>
          <w:sz w:val="24"/>
          <w:szCs w:val="24"/>
        </w:rPr>
        <w:t>: 196 [PMID: 30577776 DOI: 10.1186/s12890-018-0766-6]</w:t>
      </w:r>
    </w:p>
    <w:p w14:paraId="694DDEF3"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12 </w:t>
      </w:r>
      <w:r w:rsidRPr="002B0751">
        <w:rPr>
          <w:rFonts w:ascii="Book Antiqua" w:hAnsi="Book Antiqua" w:cs="Times New Roman"/>
          <w:b/>
          <w:bCs/>
          <w:noProof/>
          <w:sz w:val="24"/>
          <w:szCs w:val="24"/>
        </w:rPr>
        <w:t>Bader RM</w:t>
      </w:r>
      <w:r w:rsidRPr="002B0751">
        <w:rPr>
          <w:rFonts w:ascii="Book Antiqua" w:hAnsi="Book Antiqua" w:cs="Times New Roman"/>
          <w:noProof/>
          <w:sz w:val="24"/>
          <w:szCs w:val="24"/>
        </w:rPr>
        <w:t>, Jonas MM, Mitchell PD, Wiggins S, Lee CK. Controlled attenuation parameter: A measure of hepatic steatosis in patients with cystic fibrosis.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 2019; </w:t>
      </w:r>
      <w:r w:rsidRPr="002B0751">
        <w:rPr>
          <w:rFonts w:ascii="Book Antiqua" w:hAnsi="Book Antiqua" w:cs="Times New Roman"/>
          <w:b/>
          <w:bCs/>
          <w:noProof/>
          <w:sz w:val="24"/>
          <w:szCs w:val="24"/>
        </w:rPr>
        <w:t>18</w:t>
      </w:r>
      <w:r w:rsidRPr="002B0751">
        <w:rPr>
          <w:rFonts w:ascii="Book Antiqua" w:hAnsi="Book Antiqua" w:cs="Times New Roman"/>
          <w:noProof/>
          <w:sz w:val="24"/>
          <w:szCs w:val="24"/>
        </w:rPr>
        <w:t>: 280-285 [PMID: 30509601 DOI: 10.1016/j.jcf.2018.11.004]</w:t>
      </w:r>
    </w:p>
    <w:p w14:paraId="6B6EF235" w14:textId="18DEEE39"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13 </w:t>
      </w:r>
      <w:r w:rsidRPr="002B0751">
        <w:rPr>
          <w:rFonts w:ascii="Book Antiqua" w:hAnsi="Book Antiqua" w:cs="Times New Roman"/>
          <w:b/>
          <w:bCs/>
          <w:noProof/>
          <w:sz w:val="24"/>
          <w:szCs w:val="24"/>
        </w:rPr>
        <w:t>Ayoub F</w:t>
      </w:r>
      <w:r w:rsidRPr="002B0751">
        <w:rPr>
          <w:rFonts w:ascii="Book Antiqua" w:hAnsi="Book Antiqua" w:cs="Times New Roman"/>
          <w:noProof/>
          <w:sz w:val="24"/>
          <w:szCs w:val="24"/>
        </w:rPr>
        <w:t>, Trillo-Alvarez C, Morelli G, Lascano J. Risk factors for hepatic steatosis in adults with cystic fibrosis: Similarities to non-alcoholic fatty liver disease. </w:t>
      </w:r>
      <w:r w:rsidRPr="002B0751">
        <w:rPr>
          <w:rFonts w:ascii="Book Antiqua" w:hAnsi="Book Antiqua" w:cs="Times New Roman"/>
          <w:i/>
          <w:iCs/>
          <w:noProof/>
          <w:sz w:val="24"/>
          <w:szCs w:val="24"/>
        </w:rPr>
        <w:t>World J Hepatol</w:t>
      </w:r>
      <w:r w:rsidR="00BE6D5F" w:rsidRPr="003610D2">
        <w:rPr>
          <w:rFonts w:ascii="Book Antiqua" w:hAnsi="Book Antiqua" w:cs="Times New Roman"/>
          <w:i/>
          <w:iCs/>
          <w:noProof/>
          <w:sz w:val="24"/>
          <w:szCs w:val="24"/>
        </w:rPr>
        <w:t xml:space="preserve"> </w:t>
      </w:r>
      <w:r w:rsidRPr="002B0751">
        <w:rPr>
          <w:rFonts w:ascii="Book Antiqua" w:hAnsi="Book Antiqua" w:cs="Times New Roman"/>
          <w:noProof/>
          <w:sz w:val="24"/>
          <w:szCs w:val="24"/>
        </w:rPr>
        <w:t>2018; </w:t>
      </w:r>
      <w:r w:rsidRPr="002B0751">
        <w:rPr>
          <w:rFonts w:ascii="Book Antiqua" w:hAnsi="Book Antiqua" w:cs="Times New Roman"/>
          <w:b/>
          <w:bCs/>
          <w:noProof/>
          <w:sz w:val="24"/>
          <w:szCs w:val="24"/>
        </w:rPr>
        <w:t>10</w:t>
      </w:r>
      <w:r w:rsidRPr="002B0751">
        <w:rPr>
          <w:rFonts w:ascii="Book Antiqua" w:hAnsi="Book Antiqua" w:cs="Times New Roman"/>
          <w:noProof/>
          <w:sz w:val="24"/>
          <w:szCs w:val="24"/>
        </w:rPr>
        <w:t>: 34-40 [PMID: 29399276 DOI: 10.4254/wjh.v10.i1.34]</w:t>
      </w:r>
    </w:p>
    <w:p w14:paraId="1A4EC49B"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14 </w:t>
      </w:r>
      <w:r w:rsidRPr="002B0751">
        <w:rPr>
          <w:rFonts w:ascii="Book Antiqua" w:hAnsi="Book Antiqua" w:cs="Times New Roman"/>
          <w:b/>
          <w:bCs/>
          <w:noProof/>
          <w:sz w:val="24"/>
          <w:szCs w:val="24"/>
        </w:rPr>
        <w:t>Lindblad A</w:t>
      </w:r>
      <w:r w:rsidRPr="002B0751">
        <w:rPr>
          <w:rFonts w:ascii="Book Antiqua" w:hAnsi="Book Antiqua" w:cs="Times New Roman"/>
          <w:noProof/>
          <w:sz w:val="24"/>
          <w:szCs w:val="24"/>
        </w:rPr>
        <w:t>, Glaumann H, Strandvik B. Natural history of liver disease in cystic fibrosis. </w:t>
      </w:r>
      <w:r w:rsidRPr="002B0751">
        <w:rPr>
          <w:rFonts w:ascii="Book Antiqua" w:hAnsi="Book Antiqua" w:cs="Times New Roman"/>
          <w:i/>
          <w:iCs/>
          <w:noProof/>
          <w:sz w:val="24"/>
          <w:szCs w:val="24"/>
        </w:rPr>
        <w:t>Hepatology</w:t>
      </w:r>
      <w:r w:rsidRPr="002B0751">
        <w:rPr>
          <w:rFonts w:ascii="Book Antiqua" w:hAnsi="Book Antiqua" w:cs="Times New Roman"/>
          <w:noProof/>
          <w:sz w:val="24"/>
          <w:szCs w:val="24"/>
        </w:rPr>
        <w:t> 1999; </w:t>
      </w:r>
      <w:r w:rsidRPr="002B0751">
        <w:rPr>
          <w:rFonts w:ascii="Book Antiqua" w:hAnsi="Book Antiqua" w:cs="Times New Roman"/>
          <w:b/>
          <w:bCs/>
          <w:noProof/>
          <w:sz w:val="24"/>
          <w:szCs w:val="24"/>
        </w:rPr>
        <w:t>30</w:t>
      </w:r>
      <w:r w:rsidRPr="002B0751">
        <w:rPr>
          <w:rFonts w:ascii="Book Antiqua" w:hAnsi="Book Antiqua" w:cs="Times New Roman"/>
          <w:noProof/>
          <w:sz w:val="24"/>
          <w:szCs w:val="24"/>
        </w:rPr>
        <w:t>: 1151-1158 [PMID: 10534335 DOI: 10.1002/hep.510300527]</w:t>
      </w:r>
    </w:p>
    <w:p w14:paraId="5AD930C5"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15 </w:t>
      </w:r>
      <w:r w:rsidRPr="002B0751">
        <w:rPr>
          <w:rFonts w:ascii="Book Antiqua" w:hAnsi="Book Antiqua" w:cs="Times New Roman"/>
          <w:b/>
          <w:bCs/>
          <w:noProof/>
          <w:sz w:val="24"/>
          <w:szCs w:val="24"/>
        </w:rPr>
        <w:t>Saponaro C</w:t>
      </w:r>
      <w:r w:rsidRPr="002B0751">
        <w:rPr>
          <w:rFonts w:ascii="Book Antiqua" w:hAnsi="Book Antiqua" w:cs="Times New Roman"/>
          <w:noProof/>
          <w:sz w:val="24"/>
          <w:szCs w:val="24"/>
        </w:rPr>
        <w:t>, Gaggini M, Gastaldelli A. Nonalcoholic fatty liver disease and type 2 diabetes: common pathophysiologic mechanisms. </w:t>
      </w:r>
      <w:r w:rsidRPr="002B0751">
        <w:rPr>
          <w:rFonts w:ascii="Book Antiqua" w:hAnsi="Book Antiqua" w:cs="Times New Roman"/>
          <w:i/>
          <w:iCs/>
          <w:noProof/>
          <w:sz w:val="24"/>
          <w:szCs w:val="24"/>
        </w:rPr>
        <w:t>Curr Diab Rep</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15</w:t>
      </w:r>
      <w:r w:rsidRPr="002B0751">
        <w:rPr>
          <w:rFonts w:ascii="Book Antiqua" w:hAnsi="Book Antiqua" w:cs="Times New Roman"/>
          <w:noProof/>
          <w:sz w:val="24"/>
          <w:szCs w:val="24"/>
        </w:rPr>
        <w:t>: 607 [PMID: 25894944 DOI: 10.1007/s11892-015-0607-4]</w:t>
      </w:r>
    </w:p>
    <w:p w14:paraId="5930D3D3"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16 </w:t>
      </w:r>
      <w:r w:rsidRPr="002B0751">
        <w:rPr>
          <w:rFonts w:ascii="Book Antiqua" w:hAnsi="Book Antiqua" w:cs="Times New Roman"/>
          <w:b/>
          <w:bCs/>
          <w:noProof/>
          <w:sz w:val="24"/>
          <w:szCs w:val="24"/>
        </w:rPr>
        <w:t>Agopian VG</w:t>
      </w:r>
      <w:r w:rsidRPr="002B0751">
        <w:rPr>
          <w:rFonts w:ascii="Book Antiqua" w:hAnsi="Book Antiqua" w:cs="Times New Roman"/>
          <w:noProof/>
          <w:sz w:val="24"/>
          <w:szCs w:val="24"/>
        </w:rPr>
        <w:t>, Kaldas FM, Hong JC, Whittaker M, Holt C, Rana A, Zarrinpar A, Petrowsky H, Farmer D, Yersiz H, Xia V, Hiatt JR, Busuttil RW. Liver transplantation for nonalcoholic steatohepatitis: the new epidemic. </w:t>
      </w:r>
      <w:r w:rsidRPr="002B0751">
        <w:rPr>
          <w:rFonts w:ascii="Book Antiqua" w:hAnsi="Book Antiqua" w:cs="Times New Roman"/>
          <w:i/>
          <w:iCs/>
          <w:noProof/>
          <w:sz w:val="24"/>
          <w:szCs w:val="24"/>
        </w:rPr>
        <w:t>Ann Surg</w:t>
      </w:r>
      <w:r w:rsidRPr="002B0751">
        <w:rPr>
          <w:rFonts w:ascii="Book Antiqua" w:hAnsi="Book Antiqua" w:cs="Times New Roman"/>
          <w:noProof/>
          <w:sz w:val="24"/>
          <w:szCs w:val="24"/>
        </w:rPr>
        <w:t> 2012; </w:t>
      </w:r>
      <w:r w:rsidRPr="002B0751">
        <w:rPr>
          <w:rFonts w:ascii="Book Antiqua" w:hAnsi="Book Antiqua" w:cs="Times New Roman"/>
          <w:b/>
          <w:bCs/>
          <w:noProof/>
          <w:sz w:val="24"/>
          <w:szCs w:val="24"/>
        </w:rPr>
        <w:t>256</w:t>
      </w:r>
      <w:r w:rsidRPr="002B0751">
        <w:rPr>
          <w:rFonts w:ascii="Book Antiqua" w:hAnsi="Book Antiqua" w:cs="Times New Roman"/>
          <w:noProof/>
          <w:sz w:val="24"/>
          <w:szCs w:val="24"/>
        </w:rPr>
        <w:t>: 624-633 [PMID: 22964732 DOI: 10.1097/SLA.0b013e31826b4b7e]</w:t>
      </w:r>
    </w:p>
    <w:p w14:paraId="413B32D3"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17 </w:t>
      </w:r>
      <w:r w:rsidRPr="002B0751">
        <w:rPr>
          <w:rFonts w:ascii="Book Antiqua" w:hAnsi="Book Antiqua" w:cs="Times New Roman"/>
          <w:b/>
          <w:bCs/>
          <w:noProof/>
          <w:sz w:val="24"/>
          <w:szCs w:val="24"/>
        </w:rPr>
        <w:t>Cortes-Santiago N</w:t>
      </w:r>
      <w:r w:rsidRPr="002B0751">
        <w:rPr>
          <w:rFonts w:ascii="Book Antiqua" w:hAnsi="Book Antiqua" w:cs="Times New Roman"/>
          <w:noProof/>
          <w:sz w:val="24"/>
          <w:szCs w:val="24"/>
        </w:rPr>
        <w:t>, Leung DH, Castro E, Finegold M, Wu H, Patel KR. Hepatic Steatosis Is Prevalent Following Orthotopic Liver Transplantation in Children With Cystic Fibrosis. </w:t>
      </w:r>
      <w:r w:rsidRPr="002B0751">
        <w:rPr>
          <w:rFonts w:ascii="Book Antiqua" w:hAnsi="Book Antiqua" w:cs="Times New Roman"/>
          <w:i/>
          <w:iCs/>
          <w:noProof/>
          <w:sz w:val="24"/>
          <w:szCs w:val="24"/>
        </w:rPr>
        <w:t>J Pediatr Gastroenterol Nutr</w:t>
      </w:r>
      <w:r w:rsidRPr="002B0751">
        <w:rPr>
          <w:rFonts w:ascii="Book Antiqua" w:hAnsi="Book Antiqua" w:cs="Times New Roman"/>
          <w:noProof/>
          <w:sz w:val="24"/>
          <w:szCs w:val="24"/>
        </w:rPr>
        <w:t> 2019; </w:t>
      </w:r>
      <w:r w:rsidRPr="002B0751">
        <w:rPr>
          <w:rFonts w:ascii="Book Antiqua" w:hAnsi="Book Antiqua" w:cs="Times New Roman"/>
          <w:b/>
          <w:bCs/>
          <w:noProof/>
          <w:sz w:val="24"/>
          <w:szCs w:val="24"/>
        </w:rPr>
        <w:t>68</w:t>
      </w:r>
      <w:r w:rsidRPr="002B0751">
        <w:rPr>
          <w:rFonts w:ascii="Book Antiqua" w:hAnsi="Book Antiqua" w:cs="Times New Roman"/>
          <w:noProof/>
          <w:sz w:val="24"/>
          <w:szCs w:val="24"/>
        </w:rPr>
        <w:t>: 96-103 [PMID: 30234762 DOI: 10.1097/MPG.0000000000002154]</w:t>
      </w:r>
    </w:p>
    <w:p w14:paraId="17199515"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18 </w:t>
      </w:r>
      <w:r w:rsidRPr="002B0751">
        <w:rPr>
          <w:rFonts w:ascii="Book Antiqua" w:hAnsi="Book Antiqua" w:cs="Times New Roman"/>
          <w:b/>
          <w:bCs/>
          <w:noProof/>
          <w:sz w:val="24"/>
          <w:szCs w:val="24"/>
        </w:rPr>
        <w:t>Haber HP</w:t>
      </w:r>
      <w:r w:rsidRPr="002B0751">
        <w:rPr>
          <w:rFonts w:ascii="Book Antiqua" w:hAnsi="Book Antiqua" w:cs="Times New Roman"/>
          <w:noProof/>
          <w:sz w:val="24"/>
          <w:szCs w:val="24"/>
        </w:rPr>
        <w:t>. Cystic fibrosis in children and young adults: findings on routine abdominal sonography. </w:t>
      </w:r>
      <w:r w:rsidRPr="002B0751">
        <w:rPr>
          <w:rFonts w:ascii="Book Antiqua" w:hAnsi="Book Antiqua" w:cs="Times New Roman"/>
          <w:i/>
          <w:iCs/>
          <w:noProof/>
          <w:sz w:val="24"/>
          <w:szCs w:val="24"/>
        </w:rPr>
        <w:t>AJR Am J Roentgenol</w:t>
      </w:r>
      <w:r w:rsidRPr="002B0751">
        <w:rPr>
          <w:rFonts w:ascii="Book Antiqua" w:hAnsi="Book Antiqua" w:cs="Times New Roman"/>
          <w:noProof/>
          <w:sz w:val="24"/>
          <w:szCs w:val="24"/>
        </w:rPr>
        <w:t> 2007; </w:t>
      </w:r>
      <w:r w:rsidRPr="002B0751">
        <w:rPr>
          <w:rFonts w:ascii="Book Antiqua" w:hAnsi="Book Antiqua" w:cs="Times New Roman"/>
          <w:b/>
          <w:bCs/>
          <w:noProof/>
          <w:sz w:val="24"/>
          <w:szCs w:val="24"/>
        </w:rPr>
        <w:t>189</w:t>
      </w:r>
      <w:r w:rsidRPr="002B0751">
        <w:rPr>
          <w:rFonts w:ascii="Book Antiqua" w:hAnsi="Book Antiqua" w:cs="Times New Roman"/>
          <w:noProof/>
          <w:sz w:val="24"/>
          <w:szCs w:val="24"/>
        </w:rPr>
        <w:t>: 89-99 [PMID: 17579157 DOI: 10.2214/AJR.06.1046]</w:t>
      </w:r>
    </w:p>
    <w:p w14:paraId="4B790498"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19 </w:t>
      </w:r>
      <w:r w:rsidRPr="002B0751">
        <w:rPr>
          <w:rFonts w:ascii="Book Antiqua" w:hAnsi="Book Antiqua" w:cs="Times New Roman"/>
          <w:b/>
          <w:bCs/>
          <w:noProof/>
          <w:sz w:val="24"/>
          <w:szCs w:val="24"/>
        </w:rPr>
        <w:t>Moran A</w:t>
      </w:r>
      <w:r w:rsidRPr="002B0751">
        <w:rPr>
          <w:rFonts w:ascii="Book Antiqua" w:hAnsi="Book Antiqua" w:cs="Times New Roman"/>
          <w:noProof/>
          <w:sz w:val="24"/>
          <w:szCs w:val="24"/>
        </w:rPr>
        <w:t xml:space="preserve">, Dunitz J, Nathan B, Saeed A, Holme B, Thomas W. Cystic fibrosis-related </w:t>
      </w:r>
      <w:r w:rsidRPr="002B0751">
        <w:rPr>
          <w:rFonts w:ascii="Book Antiqua" w:hAnsi="Book Antiqua" w:cs="Times New Roman"/>
          <w:noProof/>
          <w:sz w:val="24"/>
          <w:szCs w:val="24"/>
        </w:rPr>
        <w:lastRenderedPageBreak/>
        <w:t>diabetes: current trends in prevalence, incidence, and mortality. </w:t>
      </w:r>
      <w:r w:rsidRPr="002B0751">
        <w:rPr>
          <w:rFonts w:ascii="Book Antiqua" w:hAnsi="Book Antiqua" w:cs="Times New Roman"/>
          <w:i/>
          <w:iCs/>
          <w:noProof/>
          <w:sz w:val="24"/>
          <w:szCs w:val="24"/>
        </w:rPr>
        <w:t>Diabetes Care</w:t>
      </w:r>
      <w:r w:rsidRPr="002B0751">
        <w:rPr>
          <w:rFonts w:ascii="Book Antiqua" w:hAnsi="Book Antiqua" w:cs="Times New Roman"/>
          <w:noProof/>
          <w:sz w:val="24"/>
          <w:szCs w:val="24"/>
        </w:rPr>
        <w:t> 2009; </w:t>
      </w:r>
      <w:r w:rsidRPr="002B0751">
        <w:rPr>
          <w:rFonts w:ascii="Book Antiqua" w:hAnsi="Book Antiqua" w:cs="Times New Roman"/>
          <w:b/>
          <w:bCs/>
          <w:noProof/>
          <w:sz w:val="24"/>
          <w:szCs w:val="24"/>
        </w:rPr>
        <w:t>32</w:t>
      </w:r>
      <w:r w:rsidRPr="002B0751">
        <w:rPr>
          <w:rFonts w:ascii="Book Antiqua" w:hAnsi="Book Antiqua" w:cs="Times New Roman"/>
          <w:noProof/>
          <w:sz w:val="24"/>
          <w:szCs w:val="24"/>
        </w:rPr>
        <w:t>: 1626-1631 [PMID: 19542209 DOI: 10.2337/dc09-0586]</w:t>
      </w:r>
    </w:p>
    <w:p w14:paraId="7CB21D5F"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20 </w:t>
      </w:r>
      <w:r w:rsidRPr="002B0751">
        <w:rPr>
          <w:rFonts w:ascii="Book Antiqua" w:hAnsi="Book Antiqua" w:cs="Times New Roman"/>
          <w:b/>
          <w:bCs/>
          <w:noProof/>
          <w:sz w:val="24"/>
          <w:szCs w:val="24"/>
        </w:rPr>
        <w:t>Battezzati A</w:t>
      </w:r>
      <w:r w:rsidRPr="002B0751">
        <w:rPr>
          <w:rFonts w:ascii="Book Antiqua" w:hAnsi="Book Antiqua" w:cs="Times New Roman"/>
          <w:noProof/>
          <w:sz w:val="24"/>
          <w:szCs w:val="24"/>
        </w:rPr>
        <w:t>, Bedogni G, Zazzeron L, Mari A, Battezzati PM, Alicandro G, Bertoli S, Colombo C. Age- and Sex-Dependent Distribution of OGTT-Related Variables in a Population of Cystic Fibrosis Patients. </w:t>
      </w:r>
      <w:r w:rsidRPr="002B0751">
        <w:rPr>
          <w:rFonts w:ascii="Book Antiqua" w:hAnsi="Book Antiqua" w:cs="Times New Roman"/>
          <w:i/>
          <w:iCs/>
          <w:noProof/>
          <w:sz w:val="24"/>
          <w:szCs w:val="24"/>
        </w:rPr>
        <w:t>J Clin Endocrinol Metab</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100</w:t>
      </w:r>
      <w:r w:rsidRPr="002B0751">
        <w:rPr>
          <w:rFonts w:ascii="Book Antiqua" w:hAnsi="Book Antiqua" w:cs="Times New Roman"/>
          <w:noProof/>
          <w:sz w:val="24"/>
          <w:szCs w:val="24"/>
        </w:rPr>
        <w:t>: 2963-2971 [PMID: 26057180 DOI: 10.1210/jc.2015-1512]</w:t>
      </w:r>
    </w:p>
    <w:p w14:paraId="581DC3C4"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21 </w:t>
      </w:r>
      <w:r w:rsidRPr="002B0751">
        <w:rPr>
          <w:rFonts w:ascii="Book Antiqua" w:hAnsi="Book Antiqua" w:cs="Times New Roman"/>
          <w:b/>
          <w:bCs/>
          <w:noProof/>
          <w:sz w:val="24"/>
          <w:szCs w:val="24"/>
        </w:rPr>
        <w:t>Colomba J</w:t>
      </w:r>
      <w:r w:rsidRPr="002B0751">
        <w:rPr>
          <w:rFonts w:ascii="Book Antiqua" w:hAnsi="Book Antiqua" w:cs="Times New Roman"/>
          <w:noProof/>
          <w:sz w:val="24"/>
          <w:szCs w:val="24"/>
        </w:rPr>
        <w:t>, Boudreau V, Lehoux-Dubois C, Desjardins K, Coriati A, Tremblay F, Rabasa-Lhoret R. The main mechanism associated with progression of glucose intolerance in older patients with cystic fibrosis is insulin resistance and not reduced insulin secretion capacity.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 2019; </w:t>
      </w:r>
      <w:r w:rsidRPr="002B0751">
        <w:rPr>
          <w:rFonts w:ascii="Book Antiqua" w:hAnsi="Book Antiqua" w:cs="Times New Roman"/>
          <w:b/>
          <w:bCs/>
          <w:noProof/>
          <w:sz w:val="24"/>
          <w:szCs w:val="24"/>
        </w:rPr>
        <w:t>18</w:t>
      </w:r>
      <w:r w:rsidRPr="002B0751">
        <w:rPr>
          <w:rFonts w:ascii="Book Antiqua" w:hAnsi="Book Antiqua" w:cs="Times New Roman"/>
          <w:noProof/>
          <w:sz w:val="24"/>
          <w:szCs w:val="24"/>
        </w:rPr>
        <w:t>: 551-556 [PMID: 30711385 DOI: 10.1016/j.jcf.2019.01.009]</w:t>
      </w:r>
    </w:p>
    <w:p w14:paraId="08EC1298"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22 </w:t>
      </w:r>
      <w:r w:rsidRPr="002B0751">
        <w:rPr>
          <w:rFonts w:ascii="Book Antiqua" w:hAnsi="Book Antiqua" w:cs="Times New Roman"/>
          <w:b/>
          <w:bCs/>
          <w:noProof/>
          <w:sz w:val="24"/>
          <w:szCs w:val="24"/>
        </w:rPr>
        <w:t>Moran A</w:t>
      </w:r>
      <w:r w:rsidRPr="002B0751">
        <w:rPr>
          <w:rFonts w:ascii="Book Antiqua" w:hAnsi="Book Antiqua" w:cs="Times New Roman"/>
          <w:noProof/>
          <w:sz w:val="24"/>
          <w:szCs w:val="24"/>
        </w:rPr>
        <w:t>, Pekow P, Grover P, Zorn M, Slovis B, Pilewski J, Tullis E, Liou TG, Allen H; Cystic Fibrosis Related Diabetes Therapy Study Group. Insulin therapy to improve BMI in cystic fibrosis-related diabetes without fasting hyperglycemia: results of the cystic fibrosis related diabetes therapy trial. </w:t>
      </w:r>
      <w:r w:rsidRPr="002B0751">
        <w:rPr>
          <w:rFonts w:ascii="Book Antiqua" w:hAnsi="Book Antiqua" w:cs="Times New Roman"/>
          <w:i/>
          <w:iCs/>
          <w:noProof/>
          <w:sz w:val="24"/>
          <w:szCs w:val="24"/>
        </w:rPr>
        <w:t>Diabetes Care</w:t>
      </w:r>
      <w:r w:rsidRPr="002B0751">
        <w:rPr>
          <w:rFonts w:ascii="Book Antiqua" w:hAnsi="Book Antiqua" w:cs="Times New Roman"/>
          <w:noProof/>
          <w:sz w:val="24"/>
          <w:szCs w:val="24"/>
        </w:rPr>
        <w:t> 2009; </w:t>
      </w:r>
      <w:r w:rsidRPr="002B0751">
        <w:rPr>
          <w:rFonts w:ascii="Book Antiqua" w:hAnsi="Book Antiqua" w:cs="Times New Roman"/>
          <w:b/>
          <w:bCs/>
          <w:noProof/>
          <w:sz w:val="24"/>
          <w:szCs w:val="24"/>
        </w:rPr>
        <w:t>32</w:t>
      </w:r>
      <w:r w:rsidRPr="002B0751">
        <w:rPr>
          <w:rFonts w:ascii="Book Antiqua" w:hAnsi="Book Antiqua" w:cs="Times New Roman"/>
          <w:noProof/>
          <w:sz w:val="24"/>
          <w:szCs w:val="24"/>
        </w:rPr>
        <w:t>: 1783-1788 [PMID: 19592632 DOI: 10.2337/dc09-0585]</w:t>
      </w:r>
    </w:p>
    <w:p w14:paraId="63920345"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23 </w:t>
      </w:r>
      <w:r w:rsidRPr="002B0751">
        <w:rPr>
          <w:rFonts w:ascii="Book Antiqua" w:hAnsi="Book Antiqua" w:cs="Times New Roman"/>
          <w:b/>
          <w:bCs/>
          <w:noProof/>
          <w:sz w:val="24"/>
          <w:szCs w:val="24"/>
        </w:rPr>
        <w:t>Minicucci L</w:t>
      </w:r>
      <w:r w:rsidRPr="002B0751">
        <w:rPr>
          <w:rFonts w:ascii="Book Antiqua" w:hAnsi="Book Antiqua" w:cs="Times New Roman"/>
          <w:noProof/>
          <w:sz w:val="24"/>
          <w:szCs w:val="24"/>
        </w:rPr>
        <w:t>, Lorini R, Giannattasio A, Colombo C, Iapichino L, Reali MF, Padoan R, Calevo MG, Casciaro R, De Alessandri A, Haupt R. Liver disease as risk factor for cystic fibrosis-related diabetes development. </w:t>
      </w:r>
      <w:r w:rsidRPr="002B0751">
        <w:rPr>
          <w:rFonts w:ascii="Book Antiqua" w:hAnsi="Book Antiqua" w:cs="Times New Roman"/>
          <w:i/>
          <w:iCs/>
          <w:noProof/>
          <w:sz w:val="24"/>
          <w:szCs w:val="24"/>
        </w:rPr>
        <w:t>Acta Paediatr</w:t>
      </w:r>
      <w:r w:rsidRPr="002B0751">
        <w:rPr>
          <w:rFonts w:ascii="Book Antiqua" w:hAnsi="Book Antiqua" w:cs="Times New Roman"/>
          <w:noProof/>
          <w:sz w:val="24"/>
          <w:szCs w:val="24"/>
        </w:rPr>
        <w:t> 2007; </w:t>
      </w:r>
      <w:r w:rsidRPr="002B0751">
        <w:rPr>
          <w:rFonts w:ascii="Book Antiqua" w:hAnsi="Book Antiqua" w:cs="Times New Roman"/>
          <w:b/>
          <w:bCs/>
          <w:noProof/>
          <w:sz w:val="24"/>
          <w:szCs w:val="24"/>
        </w:rPr>
        <w:t>96</w:t>
      </w:r>
      <w:r w:rsidRPr="002B0751">
        <w:rPr>
          <w:rFonts w:ascii="Book Antiqua" w:hAnsi="Book Antiqua" w:cs="Times New Roman"/>
          <w:noProof/>
          <w:sz w:val="24"/>
          <w:szCs w:val="24"/>
        </w:rPr>
        <w:t>: 736-739 [PMID: 17381470 DOI: 10.1111/j.1651-2227.2007.00250.x]</w:t>
      </w:r>
    </w:p>
    <w:p w14:paraId="739454C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24 </w:t>
      </w:r>
      <w:r w:rsidRPr="002B0751">
        <w:rPr>
          <w:rFonts w:ascii="Book Antiqua" w:hAnsi="Book Antiqua" w:cs="Times New Roman"/>
          <w:b/>
          <w:bCs/>
          <w:noProof/>
          <w:sz w:val="24"/>
          <w:szCs w:val="24"/>
        </w:rPr>
        <w:t>Adler AI</w:t>
      </w:r>
      <w:r w:rsidRPr="002B0751">
        <w:rPr>
          <w:rFonts w:ascii="Book Antiqua" w:hAnsi="Book Antiqua" w:cs="Times New Roman"/>
          <w:noProof/>
          <w:sz w:val="24"/>
          <w:szCs w:val="24"/>
        </w:rPr>
        <w:t>, Shine BS, Chamnan P, Haworth CS, Bilton D. Genetic determinants and epidemiology of cystic fibrosis-related diabetes: results from a British cohort of children and adults. </w:t>
      </w:r>
      <w:r w:rsidRPr="002B0751">
        <w:rPr>
          <w:rFonts w:ascii="Book Antiqua" w:hAnsi="Book Antiqua" w:cs="Times New Roman"/>
          <w:i/>
          <w:iCs/>
          <w:noProof/>
          <w:sz w:val="24"/>
          <w:szCs w:val="24"/>
        </w:rPr>
        <w:t>Diabetes Care</w:t>
      </w:r>
      <w:r w:rsidRPr="002B0751">
        <w:rPr>
          <w:rFonts w:ascii="Book Antiqua" w:hAnsi="Book Antiqua" w:cs="Times New Roman"/>
          <w:noProof/>
          <w:sz w:val="24"/>
          <w:szCs w:val="24"/>
        </w:rPr>
        <w:t> 2008; </w:t>
      </w:r>
      <w:r w:rsidRPr="002B0751">
        <w:rPr>
          <w:rFonts w:ascii="Book Antiqua" w:hAnsi="Book Antiqua" w:cs="Times New Roman"/>
          <w:b/>
          <w:bCs/>
          <w:noProof/>
          <w:sz w:val="24"/>
          <w:szCs w:val="24"/>
        </w:rPr>
        <w:t>31</w:t>
      </w:r>
      <w:r w:rsidRPr="002B0751">
        <w:rPr>
          <w:rFonts w:ascii="Book Antiqua" w:hAnsi="Book Antiqua" w:cs="Times New Roman"/>
          <w:noProof/>
          <w:sz w:val="24"/>
          <w:szCs w:val="24"/>
        </w:rPr>
        <w:t>: 1789-1794 [PMID: 18535191 DOI: 10.2337/dc08-0466]</w:t>
      </w:r>
    </w:p>
    <w:p w14:paraId="1C85CAB6"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25 </w:t>
      </w:r>
      <w:r w:rsidRPr="002B0751">
        <w:rPr>
          <w:rFonts w:ascii="Book Antiqua" w:hAnsi="Book Antiqua" w:cs="Times New Roman"/>
          <w:b/>
          <w:bCs/>
          <w:noProof/>
          <w:sz w:val="24"/>
          <w:szCs w:val="24"/>
        </w:rPr>
        <w:t>Ivanov M</w:t>
      </w:r>
      <w:r w:rsidRPr="002B0751">
        <w:rPr>
          <w:rFonts w:ascii="Book Antiqua" w:hAnsi="Book Antiqua" w:cs="Times New Roman"/>
          <w:noProof/>
          <w:sz w:val="24"/>
          <w:szCs w:val="24"/>
        </w:rPr>
        <w:t>, Matsvay A, Glazova O, Krasovskiy S, Usacheva M, Amelina E, Chernyak A, Ivanov M, Musienko S, Prodanov T, Kovalenko S, Baranova A, Khafizov K. Targeted sequencing reveals complex, phenotype-correlated genotypes in cystic fibrosis. </w:t>
      </w:r>
      <w:r w:rsidRPr="002B0751">
        <w:rPr>
          <w:rFonts w:ascii="Book Antiqua" w:hAnsi="Book Antiqua" w:cs="Times New Roman"/>
          <w:i/>
          <w:iCs/>
          <w:noProof/>
          <w:sz w:val="24"/>
          <w:szCs w:val="24"/>
        </w:rPr>
        <w:t>BMC Med Genomics</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11</w:t>
      </w:r>
      <w:r w:rsidRPr="002B0751">
        <w:rPr>
          <w:rFonts w:ascii="Book Antiqua" w:hAnsi="Book Antiqua" w:cs="Times New Roman"/>
          <w:noProof/>
          <w:sz w:val="24"/>
          <w:szCs w:val="24"/>
        </w:rPr>
        <w:t>: 13 [PMID: 29504914 DOI: 10.1186/s12920-018-0328-z]</w:t>
      </w:r>
    </w:p>
    <w:p w14:paraId="53BE6F60"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26 </w:t>
      </w:r>
      <w:r w:rsidRPr="002B0751">
        <w:rPr>
          <w:rFonts w:ascii="Book Antiqua" w:hAnsi="Book Antiqua" w:cs="Times New Roman"/>
          <w:b/>
          <w:bCs/>
          <w:noProof/>
          <w:sz w:val="24"/>
          <w:szCs w:val="24"/>
        </w:rPr>
        <w:t>Elborn JS</w:t>
      </w:r>
      <w:r w:rsidRPr="002B0751">
        <w:rPr>
          <w:rFonts w:ascii="Book Antiqua" w:hAnsi="Book Antiqua" w:cs="Times New Roman"/>
          <w:noProof/>
          <w:sz w:val="24"/>
          <w:szCs w:val="24"/>
        </w:rPr>
        <w:t>. Cystic fibrosis. </w:t>
      </w:r>
      <w:r w:rsidRPr="002B0751">
        <w:rPr>
          <w:rFonts w:ascii="Book Antiqua" w:hAnsi="Book Antiqua" w:cs="Times New Roman"/>
          <w:i/>
          <w:iCs/>
          <w:noProof/>
          <w:sz w:val="24"/>
          <w:szCs w:val="24"/>
        </w:rPr>
        <w:t>Lancet</w:t>
      </w:r>
      <w:r w:rsidRPr="002B0751">
        <w:rPr>
          <w:rFonts w:ascii="Book Antiqua" w:hAnsi="Book Antiqua" w:cs="Times New Roman"/>
          <w:noProof/>
          <w:sz w:val="24"/>
          <w:szCs w:val="24"/>
        </w:rPr>
        <w:t> 2016; </w:t>
      </w:r>
      <w:r w:rsidRPr="002B0751">
        <w:rPr>
          <w:rFonts w:ascii="Book Antiqua" w:hAnsi="Book Antiqua" w:cs="Times New Roman"/>
          <w:b/>
          <w:bCs/>
          <w:noProof/>
          <w:sz w:val="24"/>
          <w:szCs w:val="24"/>
        </w:rPr>
        <w:t>388</w:t>
      </w:r>
      <w:r w:rsidRPr="002B0751">
        <w:rPr>
          <w:rFonts w:ascii="Book Antiqua" w:hAnsi="Book Antiqua" w:cs="Times New Roman"/>
          <w:noProof/>
          <w:sz w:val="24"/>
          <w:szCs w:val="24"/>
        </w:rPr>
        <w:t>: 2519-2531 [PMID: 27140670 DOI: 10.1016/S0140-6736(16)00576-6]</w:t>
      </w:r>
    </w:p>
    <w:p w14:paraId="4BC385C0"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27 </w:t>
      </w:r>
      <w:r w:rsidRPr="002B0751">
        <w:rPr>
          <w:rFonts w:ascii="Book Antiqua" w:hAnsi="Book Antiqua" w:cs="Times New Roman"/>
          <w:b/>
          <w:bCs/>
          <w:noProof/>
          <w:sz w:val="24"/>
          <w:szCs w:val="24"/>
        </w:rPr>
        <w:t>Cutting GR</w:t>
      </w:r>
      <w:r w:rsidRPr="002B0751">
        <w:rPr>
          <w:rFonts w:ascii="Book Antiqua" w:hAnsi="Book Antiqua" w:cs="Times New Roman"/>
          <w:noProof/>
          <w:sz w:val="24"/>
          <w:szCs w:val="24"/>
        </w:rPr>
        <w:t xml:space="preserve">. Cystic fibrosis genetics: from molecular understanding to clinical </w:t>
      </w:r>
      <w:r w:rsidRPr="002B0751">
        <w:rPr>
          <w:rFonts w:ascii="Book Antiqua" w:hAnsi="Book Antiqua" w:cs="Times New Roman"/>
          <w:noProof/>
          <w:sz w:val="24"/>
          <w:szCs w:val="24"/>
        </w:rPr>
        <w:lastRenderedPageBreak/>
        <w:t>application. </w:t>
      </w:r>
      <w:r w:rsidRPr="002B0751">
        <w:rPr>
          <w:rFonts w:ascii="Book Antiqua" w:hAnsi="Book Antiqua" w:cs="Times New Roman"/>
          <w:i/>
          <w:iCs/>
          <w:noProof/>
          <w:sz w:val="24"/>
          <w:szCs w:val="24"/>
        </w:rPr>
        <w:t>Nat Rev Genet</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16</w:t>
      </w:r>
      <w:r w:rsidRPr="002B0751">
        <w:rPr>
          <w:rFonts w:ascii="Book Antiqua" w:hAnsi="Book Antiqua" w:cs="Times New Roman"/>
          <w:noProof/>
          <w:sz w:val="24"/>
          <w:szCs w:val="24"/>
        </w:rPr>
        <w:t>: 45-56 [PMID: 25404111 DOI: 10.1038/nrg3849]</w:t>
      </w:r>
    </w:p>
    <w:p w14:paraId="26EEE25B"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28 </w:t>
      </w:r>
      <w:r w:rsidRPr="002B0751">
        <w:rPr>
          <w:rFonts w:ascii="Book Antiqua" w:hAnsi="Book Antiqua" w:cs="Times New Roman"/>
          <w:b/>
          <w:bCs/>
          <w:noProof/>
          <w:sz w:val="24"/>
          <w:szCs w:val="24"/>
        </w:rPr>
        <w:t>McKone EF</w:t>
      </w:r>
      <w:r w:rsidRPr="002B0751">
        <w:rPr>
          <w:rFonts w:ascii="Book Antiqua" w:hAnsi="Book Antiqua" w:cs="Times New Roman"/>
          <w:noProof/>
          <w:sz w:val="24"/>
          <w:szCs w:val="24"/>
        </w:rPr>
        <w:t>, Borowitz D, Drevinek P, Griese M, Konstan MW, Wainwright C, Ratjen F, Sermet-Gaudelus I, Plant B, Munck A, Jiang Y, Gilmartin G, Davies JC; VX08-770-105 (PERSIST) Study Group. Long-term safety and efficacy of ivacaftor in patients with cystic fibrosis who have the Gly551Asp-CFTR mutation: a phase 3, open-label extension study (PERSIST). </w:t>
      </w:r>
      <w:r w:rsidRPr="002B0751">
        <w:rPr>
          <w:rFonts w:ascii="Book Antiqua" w:hAnsi="Book Antiqua" w:cs="Times New Roman"/>
          <w:i/>
          <w:iCs/>
          <w:noProof/>
          <w:sz w:val="24"/>
          <w:szCs w:val="24"/>
        </w:rPr>
        <w:t>Lancet Respir Med</w:t>
      </w:r>
      <w:r w:rsidRPr="002B0751">
        <w:rPr>
          <w:rFonts w:ascii="Book Antiqua" w:hAnsi="Book Antiqua" w:cs="Times New Roman"/>
          <w:noProof/>
          <w:sz w:val="24"/>
          <w:szCs w:val="24"/>
        </w:rPr>
        <w:t> 2014; </w:t>
      </w:r>
      <w:r w:rsidRPr="002B0751">
        <w:rPr>
          <w:rFonts w:ascii="Book Antiqua" w:hAnsi="Book Antiqua" w:cs="Times New Roman"/>
          <w:b/>
          <w:bCs/>
          <w:noProof/>
          <w:sz w:val="24"/>
          <w:szCs w:val="24"/>
        </w:rPr>
        <w:t>2</w:t>
      </w:r>
      <w:r w:rsidRPr="002B0751">
        <w:rPr>
          <w:rFonts w:ascii="Book Antiqua" w:hAnsi="Book Antiqua" w:cs="Times New Roman"/>
          <w:noProof/>
          <w:sz w:val="24"/>
          <w:szCs w:val="24"/>
        </w:rPr>
        <w:t>: 902-910 [PMID: 25311995 DOI: 10.1016/S2213-2600(14)70218-8]</w:t>
      </w:r>
    </w:p>
    <w:p w14:paraId="356E7B1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29 </w:t>
      </w:r>
      <w:r w:rsidRPr="002B0751">
        <w:rPr>
          <w:rFonts w:ascii="Book Antiqua" w:hAnsi="Book Antiqua" w:cs="Times New Roman"/>
          <w:b/>
          <w:bCs/>
          <w:noProof/>
          <w:sz w:val="24"/>
          <w:szCs w:val="24"/>
        </w:rPr>
        <w:t>Wainwright CE</w:t>
      </w:r>
      <w:r w:rsidRPr="002B0751">
        <w:rPr>
          <w:rFonts w:ascii="Book Antiqua" w:hAnsi="Book Antiqua" w:cs="Times New Roman"/>
          <w:noProof/>
          <w:sz w:val="24"/>
          <w:szCs w:val="24"/>
        </w:rPr>
        <w:t>, Elborn JS, Ramsey BW, Marigowda G, Huang X, Cipolli M, Colombo C, Davies JC, De Boeck K, Flume PA, Konstan MW, McColley SA, McCoy K, McKone EF, Munck A, Ratjen F, Rowe SM, Waltz D, Boyle MP; TRAFFIC Study Group; TRANSPORT Study Group. Lumacaftor-Ivacaftor in Patients with Cystic Fibrosis Homozygous for Phe508del CFTR. </w:t>
      </w:r>
      <w:r w:rsidRPr="002B0751">
        <w:rPr>
          <w:rFonts w:ascii="Book Antiqua" w:hAnsi="Book Antiqua" w:cs="Times New Roman"/>
          <w:i/>
          <w:iCs/>
          <w:noProof/>
          <w:sz w:val="24"/>
          <w:szCs w:val="24"/>
        </w:rPr>
        <w:t>N Engl J Med</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373</w:t>
      </w:r>
      <w:r w:rsidRPr="002B0751">
        <w:rPr>
          <w:rFonts w:ascii="Book Antiqua" w:hAnsi="Book Antiqua" w:cs="Times New Roman"/>
          <w:noProof/>
          <w:sz w:val="24"/>
          <w:szCs w:val="24"/>
        </w:rPr>
        <w:t>: 220-231 [PMID: 25981758 DOI: 10.1056/NEJMoa1409547]</w:t>
      </w:r>
    </w:p>
    <w:p w14:paraId="6A755734"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30 </w:t>
      </w:r>
      <w:r w:rsidRPr="002B0751">
        <w:rPr>
          <w:rFonts w:ascii="Book Antiqua" w:hAnsi="Book Antiqua" w:cs="Times New Roman"/>
          <w:b/>
          <w:bCs/>
          <w:noProof/>
          <w:sz w:val="24"/>
          <w:szCs w:val="24"/>
        </w:rPr>
        <w:t>Taylor-Cousar JL</w:t>
      </w:r>
      <w:r w:rsidRPr="002B0751">
        <w:rPr>
          <w:rFonts w:ascii="Book Antiqua" w:hAnsi="Book Antiqua" w:cs="Times New Roman"/>
          <w:noProof/>
          <w:sz w:val="24"/>
          <w:szCs w:val="24"/>
        </w:rPr>
        <w:t>, Munck A, McKone EF, van der Ent CK, Moeller A, Simard C, Wang LT, Ingenito EP, McKee C, Lu Y, Lekstrom-Himes J, Elborn JS. Tezacaftor-Ivacaftor in Patients with Cystic Fibrosis Homozygous for Phe508del. </w:t>
      </w:r>
      <w:r w:rsidRPr="002B0751">
        <w:rPr>
          <w:rFonts w:ascii="Book Antiqua" w:hAnsi="Book Antiqua" w:cs="Times New Roman"/>
          <w:i/>
          <w:iCs/>
          <w:noProof/>
          <w:sz w:val="24"/>
          <w:szCs w:val="24"/>
        </w:rPr>
        <w:t>N Engl J Med</w:t>
      </w:r>
      <w:r w:rsidRPr="002B0751">
        <w:rPr>
          <w:rFonts w:ascii="Book Antiqua" w:hAnsi="Book Antiqua" w:cs="Times New Roman"/>
          <w:noProof/>
          <w:sz w:val="24"/>
          <w:szCs w:val="24"/>
        </w:rPr>
        <w:t> 2017; </w:t>
      </w:r>
      <w:r w:rsidRPr="002B0751">
        <w:rPr>
          <w:rFonts w:ascii="Book Antiqua" w:hAnsi="Book Antiqua" w:cs="Times New Roman"/>
          <w:b/>
          <w:bCs/>
          <w:noProof/>
          <w:sz w:val="24"/>
          <w:szCs w:val="24"/>
        </w:rPr>
        <w:t>377</w:t>
      </w:r>
      <w:r w:rsidRPr="002B0751">
        <w:rPr>
          <w:rFonts w:ascii="Book Antiqua" w:hAnsi="Book Antiqua" w:cs="Times New Roman"/>
          <w:noProof/>
          <w:sz w:val="24"/>
          <w:szCs w:val="24"/>
        </w:rPr>
        <w:t>: 2013-2023 [PMID: 29099344 DOI: 10.1056/NEJMoa1709846]</w:t>
      </w:r>
    </w:p>
    <w:p w14:paraId="329F6006"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31 </w:t>
      </w:r>
      <w:r w:rsidRPr="002B0751">
        <w:rPr>
          <w:rFonts w:ascii="Book Antiqua" w:hAnsi="Book Antiqua" w:cs="Times New Roman"/>
          <w:b/>
          <w:bCs/>
          <w:noProof/>
          <w:sz w:val="24"/>
          <w:szCs w:val="24"/>
        </w:rPr>
        <w:t>Davies JC</w:t>
      </w:r>
      <w:r w:rsidRPr="002B0751">
        <w:rPr>
          <w:rFonts w:ascii="Book Antiqua" w:hAnsi="Book Antiqua" w:cs="Times New Roman"/>
          <w:noProof/>
          <w:sz w:val="24"/>
          <w:szCs w:val="24"/>
        </w:rPr>
        <w:t>, Moskowitz SM, Brown C, Horsley A, Mall MA, McKone EF, Plant BJ, Prais D, Ramsey BW, Taylor-Cousar JL, Tullis E, Uluer A, McKee CM, Robertson S, Shilling RA, Simard C, Van Goor F, Waltz D, Xuan F, Young T, Rowe SM; VX16-659-101 Study Group. VX-659-Tezacaftor-Ivacaftor in Patients with Cystic Fibrosis and One or Two Phe508del Alleles. </w:t>
      </w:r>
      <w:r w:rsidRPr="002B0751">
        <w:rPr>
          <w:rFonts w:ascii="Book Antiqua" w:hAnsi="Book Antiqua" w:cs="Times New Roman"/>
          <w:i/>
          <w:iCs/>
          <w:noProof/>
          <w:sz w:val="24"/>
          <w:szCs w:val="24"/>
        </w:rPr>
        <w:t>N Engl J Med</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379</w:t>
      </w:r>
      <w:r w:rsidRPr="002B0751">
        <w:rPr>
          <w:rFonts w:ascii="Book Antiqua" w:hAnsi="Book Antiqua" w:cs="Times New Roman"/>
          <w:noProof/>
          <w:sz w:val="24"/>
          <w:szCs w:val="24"/>
        </w:rPr>
        <w:t>: 1599-1611 [PMID: 30334693 DOI: 10.1056/NEJMoa1807119]</w:t>
      </w:r>
    </w:p>
    <w:p w14:paraId="2733A2DE"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32 </w:t>
      </w:r>
      <w:r w:rsidRPr="002B0751">
        <w:rPr>
          <w:rFonts w:ascii="Book Antiqua" w:hAnsi="Book Antiqua" w:cs="Times New Roman"/>
          <w:b/>
          <w:bCs/>
          <w:noProof/>
          <w:sz w:val="24"/>
          <w:szCs w:val="24"/>
        </w:rPr>
        <w:t>Keating D</w:t>
      </w:r>
      <w:r w:rsidRPr="002B0751">
        <w:rPr>
          <w:rFonts w:ascii="Book Antiqua" w:hAnsi="Book Antiqua" w:cs="Times New Roman"/>
          <w:noProof/>
          <w:sz w:val="24"/>
          <w:szCs w:val="24"/>
        </w:rPr>
        <w:t>, Marigowda G, Burr L, Daines C, Mall MA, McKone EF, Ramsey BW, Rowe SM, Sass LA, Tullis E, McKee CM, Moskowitz SM, Robertson S, Savage J, Simard C, Van Goor F, Waltz D, Xuan F, Young T, Taylor-Cousar JL; VX16-445-001 Study Group. VX-445-Tezacaftor-Ivacaftor in Patients with Cystic Fibrosis and One or Two Phe508del Alleles. </w:t>
      </w:r>
      <w:r w:rsidRPr="002B0751">
        <w:rPr>
          <w:rFonts w:ascii="Book Antiqua" w:hAnsi="Book Antiqua" w:cs="Times New Roman"/>
          <w:i/>
          <w:iCs/>
          <w:noProof/>
          <w:sz w:val="24"/>
          <w:szCs w:val="24"/>
        </w:rPr>
        <w:t>N Engl J Med</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379</w:t>
      </w:r>
      <w:r w:rsidRPr="002B0751">
        <w:rPr>
          <w:rFonts w:ascii="Book Antiqua" w:hAnsi="Book Antiqua" w:cs="Times New Roman"/>
          <w:noProof/>
          <w:sz w:val="24"/>
          <w:szCs w:val="24"/>
        </w:rPr>
        <w:t>: 1612-1620 [PMID: 30334692 DOI: 10.1056/NEJMoa1807120]</w:t>
      </w:r>
    </w:p>
    <w:p w14:paraId="02FBEC94"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33 </w:t>
      </w:r>
      <w:r w:rsidRPr="002B0751">
        <w:rPr>
          <w:rFonts w:ascii="Book Antiqua" w:hAnsi="Book Antiqua" w:cs="Times New Roman"/>
          <w:b/>
          <w:bCs/>
          <w:noProof/>
          <w:sz w:val="24"/>
          <w:szCs w:val="24"/>
        </w:rPr>
        <w:t>Konstan MW</w:t>
      </w:r>
      <w:r w:rsidRPr="002B0751">
        <w:rPr>
          <w:rFonts w:ascii="Book Antiqua" w:hAnsi="Book Antiqua" w:cs="Times New Roman"/>
          <w:noProof/>
          <w:sz w:val="24"/>
          <w:szCs w:val="24"/>
        </w:rPr>
        <w:t xml:space="preserve">, McKone EF, Moss RB, Marigowda G, Tian S, Waltz D, Huang X, </w:t>
      </w:r>
      <w:r w:rsidRPr="002B0751">
        <w:rPr>
          <w:rFonts w:ascii="Book Antiqua" w:hAnsi="Book Antiqua" w:cs="Times New Roman"/>
          <w:noProof/>
          <w:sz w:val="24"/>
          <w:szCs w:val="24"/>
        </w:rPr>
        <w:lastRenderedPageBreak/>
        <w:t>Lubarsky B, Rubin J, Millar SJ, Pasta DJ, Mayer-Hamblett N, Goss CH, Morgan W, Sawicki GS. Assessment of safety and efficacy of long-term treatment with combination lumacaftor and ivacaftor therapy in patients with cystic fibrosis homozygous for the F508del-CFTR mutation (PROGRESS): a phase 3, extension study. </w:t>
      </w:r>
      <w:r w:rsidRPr="002B0751">
        <w:rPr>
          <w:rFonts w:ascii="Book Antiqua" w:hAnsi="Book Antiqua" w:cs="Times New Roman"/>
          <w:i/>
          <w:iCs/>
          <w:noProof/>
          <w:sz w:val="24"/>
          <w:szCs w:val="24"/>
        </w:rPr>
        <w:t>Lancet Respir Med</w:t>
      </w:r>
      <w:r w:rsidRPr="002B0751">
        <w:rPr>
          <w:rFonts w:ascii="Book Antiqua" w:hAnsi="Book Antiqua" w:cs="Times New Roman"/>
          <w:noProof/>
          <w:sz w:val="24"/>
          <w:szCs w:val="24"/>
        </w:rPr>
        <w:t> 2017; </w:t>
      </w:r>
      <w:r w:rsidRPr="002B0751">
        <w:rPr>
          <w:rFonts w:ascii="Book Antiqua" w:hAnsi="Book Antiqua" w:cs="Times New Roman"/>
          <w:b/>
          <w:bCs/>
          <w:noProof/>
          <w:sz w:val="24"/>
          <w:szCs w:val="24"/>
        </w:rPr>
        <w:t>5</w:t>
      </w:r>
      <w:r w:rsidRPr="002B0751">
        <w:rPr>
          <w:rFonts w:ascii="Book Antiqua" w:hAnsi="Book Antiqua" w:cs="Times New Roman"/>
          <w:noProof/>
          <w:sz w:val="24"/>
          <w:szCs w:val="24"/>
        </w:rPr>
        <w:t>: 107-118 [PMID: 28011037 DOI: 10.1016/S2213-2600(16)30427-1]</w:t>
      </w:r>
    </w:p>
    <w:p w14:paraId="15AF99A6"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34 </w:t>
      </w:r>
      <w:r w:rsidRPr="002B0751">
        <w:rPr>
          <w:rFonts w:ascii="Book Antiqua" w:hAnsi="Book Antiqua" w:cs="Times New Roman"/>
          <w:b/>
          <w:bCs/>
          <w:noProof/>
          <w:sz w:val="24"/>
          <w:szCs w:val="24"/>
        </w:rPr>
        <w:t>Bellin MD</w:t>
      </w:r>
      <w:r w:rsidRPr="002B0751">
        <w:rPr>
          <w:rFonts w:ascii="Book Antiqua" w:hAnsi="Book Antiqua" w:cs="Times New Roman"/>
          <w:noProof/>
          <w:sz w:val="24"/>
          <w:szCs w:val="24"/>
        </w:rPr>
        <w:t>, Laguna T, Leschyshyn J, Regelmann W, Dunitz J, Billings J, Moran A. Insulin secretion improves in cystic fibrosis following ivacaftor correction of CFTR: a small pilot study. </w:t>
      </w:r>
      <w:r w:rsidRPr="002B0751">
        <w:rPr>
          <w:rFonts w:ascii="Book Antiqua" w:hAnsi="Book Antiqua" w:cs="Times New Roman"/>
          <w:i/>
          <w:iCs/>
          <w:noProof/>
          <w:sz w:val="24"/>
          <w:szCs w:val="24"/>
        </w:rPr>
        <w:t>Pediatr Diabetes</w:t>
      </w:r>
      <w:r w:rsidRPr="002B0751">
        <w:rPr>
          <w:rFonts w:ascii="Book Antiqua" w:hAnsi="Book Antiqua" w:cs="Times New Roman"/>
          <w:noProof/>
          <w:sz w:val="24"/>
          <w:szCs w:val="24"/>
        </w:rPr>
        <w:t> 2013; </w:t>
      </w:r>
      <w:r w:rsidRPr="002B0751">
        <w:rPr>
          <w:rFonts w:ascii="Book Antiqua" w:hAnsi="Book Antiqua" w:cs="Times New Roman"/>
          <w:b/>
          <w:bCs/>
          <w:noProof/>
          <w:sz w:val="24"/>
          <w:szCs w:val="24"/>
        </w:rPr>
        <w:t>14</w:t>
      </w:r>
      <w:r w:rsidRPr="002B0751">
        <w:rPr>
          <w:rFonts w:ascii="Book Antiqua" w:hAnsi="Book Antiqua" w:cs="Times New Roman"/>
          <w:noProof/>
          <w:sz w:val="24"/>
          <w:szCs w:val="24"/>
        </w:rPr>
        <w:t>: 417-421 [PMID: 23952705 DOI: 10.1111/pedi.12026]</w:t>
      </w:r>
    </w:p>
    <w:p w14:paraId="0CA62B69"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35 </w:t>
      </w:r>
      <w:r w:rsidRPr="002B0751">
        <w:rPr>
          <w:rFonts w:ascii="Book Antiqua" w:hAnsi="Book Antiqua" w:cs="Times New Roman"/>
          <w:b/>
          <w:bCs/>
          <w:noProof/>
          <w:sz w:val="24"/>
          <w:szCs w:val="24"/>
        </w:rPr>
        <w:t>Kelly A</w:t>
      </w:r>
      <w:r w:rsidRPr="002B0751">
        <w:rPr>
          <w:rFonts w:ascii="Book Antiqua" w:hAnsi="Book Antiqua" w:cs="Times New Roman"/>
          <w:noProof/>
          <w:sz w:val="24"/>
          <w:szCs w:val="24"/>
        </w:rPr>
        <w:t>, De Leon DD, Sheikh S, Camburn D, Kubrak C, Peleckis AJ, Stefanovski D, Hadjiliadis D, Rickels MR, Rubenstein RC. Islet Hormone and Incretin Secretion in Cystic Fibrosis after Four Months of Ivacaftor Therapy. </w:t>
      </w:r>
      <w:r w:rsidRPr="002B0751">
        <w:rPr>
          <w:rFonts w:ascii="Book Antiqua" w:hAnsi="Book Antiqua" w:cs="Times New Roman"/>
          <w:i/>
          <w:iCs/>
          <w:noProof/>
          <w:sz w:val="24"/>
          <w:szCs w:val="24"/>
        </w:rPr>
        <w:t>Am J Respir Crit Care Med</w:t>
      </w:r>
      <w:r w:rsidRPr="002B0751">
        <w:rPr>
          <w:rFonts w:ascii="Book Antiqua" w:hAnsi="Book Antiqua" w:cs="Times New Roman"/>
          <w:noProof/>
          <w:sz w:val="24"/>
          <w:szCs w:val="24"/>
        </w:rPr>
        <w:t> 2019; </w:t>
      </w:r>
      <w:r w:rsidRPr="002B0751">
        <w:rPr>
          <w:rFonts w:ascii="Book Antiqua" w:hAnsi="Book Antiqua" w:cs="Times New Roman"/>
          <w:b/>
          <w:bCs/>
          <w:noProof/>
          <w:sz w:val="24"/>
          <w:szCs w:val="24"/>
        </w:rPr>
        <w:t>199</w:t>
      </w:r>
      <w:r w:rsidRPr="002B0751">
        <w:rPr>
          <w:rFonts w:ascii="Book Antiqua" w:hAnsi="Book Antiqua" w:cs="Times New Roman"/>
          <w:noProof/>
          <w:sz w:val="24"/>
          <w:szCs w:val="24"/>
        </w:rPr>
        <w:t>: 342-351 [PMID: 30130412 DOI: 10.1164/rccm.201806-1018OC]</w:t>
      </w:r>
    </w:p>
    <w:p w14:paraId="5DDC04CE"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36 </w:t>
      </w:r>
      <w:r w:rsidRPr="002B0751">
        <w:rPr>
          <w:rFonts w:ascii="Book Antiqua" w:hAnsi="Book Antiqua" w:cs="Times New Roman"/>
          <w:b/>
          <w:bCs/>
          <w:noProof/>
          <w:sz w:val="24"/>
          <w:szCs w:val="24"/>
        </w:rPr>
        <w:t>Thomassen JC</w:t>
      </w:r>
      <w:r w:rsidRPr="002B0751">
        <w:rPr>
          <w:rFonts w:ascii="Book Antiqua" w:hAnsi="Book Antiqua" w:cs="Times New Roman"/>
          <w:noProof/>
          <w:sz w:val="24"/>
          <w:szCs w:val="24"/>
        </w:rPr>
        <w:t>, Mueller MI, Alejandre Alcazar MA, Rietschel E, van Koningsbruggen-Rietschel S. Effect of Lumacaftor/Ivacaftor on glucose metabolism and insulin secretion in Phe508del homozygous cystic fibrosis patients.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17</w:t>
      </w:r>
      <w:r w:rsidRPr="002B0751">
        <w:rPr>
          <w:rFonts w:ascii="Book Antiqua" w:hAnsi="Book Antiqua" w:cs="Times New Roman"/>
          <w:noProof/>
          <w:sz w:val="24"/>
          <w:szCs w:val="24"/>
        </w:rPr>
        <w:t>: 271-275 [PMID: 29249670 DOI: 10.1016/j.jcf.2017.11.016]</w:t>
      </w:r>
    </w:p>
    <w:p w14:paraId="5CB12C60"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37 </w:t>
      </w:r>
      <w:r w:rsidRPr="002B0751">
        <w:rPr>
          <w:rFonts w:ascii="Book Antiqua" w:hAnsi="Book Antiqua" w:cs="Times New Roman"/>
          <w:b/>
          <w:bCs/>
          <w:noProof/>
          <w:sz w:val="24"/>
          <w:szCs w:val="24"/>
        </w:rPr>
        <w:t>Li A</w:t>
      </w:r>
      <w:r w:rsidRPr="002B0751">
        <w:rPr>
          <w:rFonts w:ascii="Book Antiqua" w:hAnsi="Book Antiqua" w:cs="Times New Roman"/>
          <w:noProof/>
          <w:sz w:val="24"/>
          <w:szCs w:val="24"/>
        </w:rPr>
        <w:t>, Vigers T, Pyle L, Zemanick E, Nadeau K, Sagel SD, Chan CL. Continuous glucose monitoring in youth with cystic fibrosis treated with lumacaftor-ivacaftor.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2019; </w:t>
      </w:r>
      <w:r w:rsidRPr="002B0751">
        <w:rPr>
          <w:rFonts w:ascii="Book Antiqua" w:hAnsi="Book Antiqua" w:cs="Times New Roman"/>
          <w:b/>
          <w:bCs/>
          <w:noProof/>
          <w:sz w:val="24"/>
          <w:szCs w:val="24"/>
        </w:rPr>
        <w:t>18</w:t>
      </w:r>
      <w:r w:rsidRPr="002B0751">
        <w:rPr>
          <w:rFonts w:ascii="Book Antiqua" w:hAnsi="Book Antiqua" w:cs="Times New Roman"/>
          <w:noProof/>
          <w:sz w:val="24"/>
          <w:szCs w:val="24"/>
        </w:rPr>
        <w:t>: 144-149 [PMID: 30104123 DOI: 10.1016/j.jcf.2018.07.010]</w:t>
      </w:r>
    </w:p>
    <w:p w14:paraId="14003B0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38 </w:t>
      </w:r>
      <w:r w:rsidRPr="002B0751">
        <w:rPr>
          <w:rFonts w:ascii="Book Antiqua" w:hAnsi="Book Antiqua" w:cs="Times New Roman"/>
          <w:b/>
          <w:bCs/>
          <w:noProof/>
          <w:sz w:val="24"/>
          <w:szCs w:val="24"/>
        </w:rPr>
        <w:t>Farrell PM</w:t>
      </w:r>
      <w:r w:rsidRPr="002B0751">
        <w:rPr>
          <w:rFonts w:ascii="Book Antiqua" w:hAnsi="Book Antiqua" w:cs="Times New Roman"/>
          <w:noProof/>
          <w:sz w:val="24"/>
          <w:szCs w:val="24"/>
        </w:rPr>
        <w:t>, White TB, Ren CL, Hempstead SE, Accurso F, Derichs N, Howenstine M, McColley SA, Rock M, Rosenfeld M, Sermet-Gaudelus I, Southern KW, Marshall BC, Sosnay PR. Diagnosis of Cystic Fibrosis: Consensus Guidelines from the Cystic Fibrosis Foundation. </w:t>
      </w:r>
      <w:r w:rsidRPr="002B0751">
        <w:rPr>
          <w:rFonts w:ascii="Book Antiqua" w:hAnsi="Book Antiqua" w:cs="Times New Roman"/>
          <w:i/>
          <w:iCs/>
          <w:noProof/>
          <w:sz w:val="24"/>
          <w:szCs w:val="24"/>
        </w:rPr>
        <w:t>J Pediatr</w:t>
      </w:r>
      <w:r w:rsidRPr="002B0751">
        <w:rPr>
          <w:rFonts w:ascii="Book Antiqua" w:hAnsi="Book Antiqua" w:cs="Times New Roman"/>
          <w:noProof/>
          <w:sz w:val="24"/>
          <w:szCs w:val="24"/>
        </w:rPr>
        <w:t> 2017; </w:t>
      </w:r>
      <w:r w:rsidRPr="002B0751">
        <w:rPr>
          <w:rFonts w:ascii="Book Antiqua" w:hAnsi="Book Antiqua" w:cs="Times New Roman"/>
          <w:b/>
          <w:bCs/>
          <w:noProof/>
          <w:sz w:val="24"/>
          <w:szCs w:val="24"/>
        </w:rPr>
        <w:t>181S</w:t>
      </w:r>
      <w:r w:rsidRPr="002B0751">
        <w:rPr>
          <w:rFonts w:ascii="Book Antiqua" w:hAnsi="Book Antiqua" w:cs="Times New Roman"/>
          <w:noProof/>
          <w:sz w:val="24"/>
          <w:szCs w:val="24"/>
        </w:rPr>
        <w:t>: S4-S15.e1 [PMID: 28129811 DOI: 10.1016/j.jpeds.2016.09.064]</w:t>
      </w:r>
    </w:p>
    <w:p w14:paraId="67E5B224"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39 </w:t>
      </w:r>
      <w:r w:rsidRPr="002B0751">
        <w:rPr>
          <w:rFonts w:ascii="Book Antiqua" w:hAnsi="Book Antiqua" w:cs="Times New Roman"/>
          <w:b/>
          <w:bCs/>
          <w:noProof/>
          <w:sz w:val="24"/>
          <w:szCs w:val="24"/>
        </w:rPr>
        <w:t>Moran A</w:t>
      </w:r>
      <w:r w:rsidRPr="002B0751">
        <w:rPr>
          <w:rFonts w:ascii="Book Antiqua" w:hAnsi="Book Antiqua" w:cs="Times New Roman"/>
          <w:noProof/>
          <w:sz w:val="24"/>
          <w:szCs w:val="24"/>
        </w:rPr>
        <w:t>, Brunzell C, Cohen RC, Katz M, Marshall BC, Onady G, Robinson KA, Sabadosa KA, Stecenko A, Slovis B; CFRD Guidelines Committee. Clinical care guidelines for cystic fibrosis-related diabetes: a position statement of the American Diabetes Association and a clinical practice guideline of the Cystic Fibrosis Foundation, endorsed by the Pediatric Endocrine Society. </w:t>
      </w:r>
      <w:r w:rsidRPr="002B0751">
        <w:rPr>
          <w:rFonts w:ascii="Book Antiqua" w:hAnsi="Book Antiqua" w:cs="Times New Roman"/>
          <w:i/>
          <w:iCs/>
          <w:noProof/>
          <w:sz w:val="24"/>
          <w:szCs w:val="24"/>
        </w:rPr>
        <w:t>Diabetes Care</w:t>
      </w:r>
      <w:r w:rsidRPr="002B0751">
        <w:rPr>
          <w:rFonts w:ascii="Book Antiqua" w:hAnsi="Book Antiqua" w:cs="Times New Roman"/>
          <w:noProof/>
          <w:sz w:val="24"/>
          <w:szCs w:val="24"/>
        </w:rPr>
        <w:t> 2010; </w:t>
      </w:r>
      <w:r w:rsidRPr="002B0751">
        <w:rPr>
          <w:rFonts w:ascii="Book Antiqua" w:hAnsi="Book Antiqua" w:cs="Times New Roman"/>
          <w:b/>
          <w:bCs/>
          <w:noProof/>
          <w:sz w:val="24"/>
          <w:szCs w:val="24"/>
        </w:rPr>
        <w:t>33</w:t>
      </w:r>
      <w:r w:rsidRPr="002B0751">
        <w:rPr>
          <w:rFonts w:ascii="Book Antiqua" w:hAnsi="Book Antiqua" w:cs="Times New Roman"/>
          <w:noProof/>
          <w:sz w:val="24"/>
          <w:szCs w:val="24"/>
        </w:rPr>
        <w:t xml:space="preserve">: 2697-2708 [PMID: 21115772 </w:t>
      </w:r>
      <w:r w:rsidRPr="002B0751">
        <w:rPr>
          <w:rFonts w:ascii="Book Antiqua" w:hAnsi="Book Antiqua" w:cs="Times New Roman"/>
          <w:noProof/>
          <w:sz w:val="24"/>
          <w:szCs w:val="24"/>
        </w:rPr>
        <w:lastRenderedPageBreak/>
        <w:t>DOI: 10.2337/dc10-1768]</w:t>
      </w:r>
    </w:p>
    <w:p w14:paraId="71F0022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40 </w:t>
      </w:r>
      <w:r w:rsidRPr="002B0751">
        <w:rPr>
          <w:rFonts w:ascii="Book Antiqua" w:hAnsi="Book Antiqua" w:cs="Times New Roman"/>
          <w:b/>
          <w:bCs/>
          <w:noProof/>
          <w:sz w:val="24"/>
          <w:szCs w:val="24"/>
        </w:rPr>
        <w:t>Castellani C</w:t>
      </w:r>
      <w:r w:rsidRPr="002B0751">
        <w:rPr>
          <w:rFonts w:ascii="Book Antiqua" w:hAnsi="Book Antiqua" w:cs="Times New Roman"/>
          <w:noProof/>
          <w:sz w:val="24"/>
          <w:szCs w:val="24"/>
        </w:rPr>
        <w:t>, Cuppens H, Macek M Jr, Cassiman JJ, Kerem E, Durie P, Tullis E, Assael BM, Bombieri C, Brown A, Casals T, Claustres M, Cutting GR, Dequeker E, Dodge J, Doull I, Farrell P, Ferec C, Girodon E, Johannesson M, Kerem B, Knowles M, Munck A, Pignatti PF, Radojkovic D, Rizzotti P, Schwarz M, Stuhrmann M, Tzetis M, Zielenski J, Elborn JS. Consensus on the use and interpretation of cystic fibrosis mutation analysis in clinical practice.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 2008; </w:t>
      </w:r>
      <w:r w:rsidRPr="002B0751">
        <w:rPr>
          <w:rFonts w:ascii="Book Antiqua" w:hAnsi="Book Antiqua" w:cs="Times New Roman"/>
          <w:b/>
          <w:bCs/>
          <w:noProof/>
          <w:sz w:val="24"/>
          <w:szCs w:val="24"/>
        </w:rPr>
        <w:t>7</w:t>
      </w:r>
      <w:r w:rsidRPr="002B0751">
        <w:rPr>
          <w:rFonts w:ascii="Book Antiqua" w:hAnsi="Book Antiqua" w:cs="Times New Roman"/>
          <w:noProof/>
          <w:sz w:val="24"/>
          <w:szCs w:val="24"/>
        </w:rPr>
        <w:t>: 179-196 [PMID: 18456578 DOI: 10.1016/j.jcf.2008.03.009]</w:t>
      </w:r>
    </w:p>
    <w:p w14:paraId="1F900576"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41 </w:t>
      </w:r>
      <w:r w:rsidRPr="002B0751">
        <w:rPr>
          <w:rFonts w:ascii="Book Antiqua" w:hAnsi="Book Antiqua" w:cs="Times New Roman"/>
          <w:b/>
          <w:bCs/>
          <w:noProof/>
          <w:sz w:val="24"/>
          <w:szCs w:val="24"/>
        </w:rPr>
        <w:t>Castellani C</w:t>
      </w:r>
      <w:r w:rsidRPr="002B0751">
        <w:rPr>
          <w:rFonts w:ascii="Book Antiqua" w:hAnsi="Book Antiqua" w:cs="Times New Roman"/>
          <w:noProof/>
          <w:sz w:val="24"/>
          <w:szCs w:val="24"/>
        </w:rPr>
        <w:t>; CFTR2 team. CFTR2: How will it help care? </w:t>
      </w:r>
      <w:r w:rsidRPr="002B0751">
        <w:rPr>
          <w:rFonts w:ascii="Book Antiqua" w:hAnsi="Book Antiqua" w:cs="Times New Roman"/>
          <w:i/>
          <w:iCs/>
          <w:noProof/>
          <w:sz w:val="24"/>
          <w:szCs w:val="24"/>
        </w:rPr>
        <w:t>Paediatr Respir Rev</w:t>
      </w:r>
      <w:r w:rsidRPr="002B0751">
        <w:rPr>
          <w:rFonts w:ascii="Book Antiqua" w:hAnsi="Book Antiqua" w:cs="Times New Roman"/>
          <w:noProof/>
          <w:sz w:val="24"/>
          <w:szCs w:val="24"/>
        </w:rPr>
        <w:t> 2013; </w:t>
      </w:r>
      <w:r w:rsidRPr="002B0751">
        <w:rPr>
          <w:rFonts w:ascii="Book Antiqua" w:hAnsi="Book Antiqua" w:cs="Times New Roman"/>
          <w:b/>
          <w:bCs/>
          <w:noProof/>
          <w:sz w:val="24"/>
          <w:szCs w:val="24"/>
        </w:rPr>
        <w:t xml:space="preserve">14 </w:t>
      </w:r>
      <w:r w:rsidRPr="002B0751">
        <w:rPr>
          <w:rFonts w:ascii="Book Antiqua" w:hAnsi="Book Antiqua" w:cs="Times New Roman"/>
          <w:noProof/>
          <w:sz w:val="24"/>
          <w:szCs w:val="24"/>
        </w:rPr>
        <w:t>Suppl 1: 2-5 [PMID: 23466340 DOI: 10.1016/j.prrv.2013.01.006]</w:t>
      </w:r>
    </w:p>
    <w:p w14:paraId="732E519C"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42 </w:t>
      </w:r>
      <w:r w:rsidRPr="002B0751">
        <w:rPr>
          <w:rFonts w:ascii="Book Antiqua" w:hAnsi="Book Antiqua" w:cs="Times New Roman"/>
          <w:b/>
          <w:bCs/>
          <w:noProof/>
          <w:sz w:val="24"/>
          <w:szCs w:val="24"/>
        </w:rPr>
        <w:t>Moran A</w:t>
      </w:r>
      <w:r w:rsidRPr="002B0751">
        <w:rPr>
          <w:rFonts w:ascii="Book Antiqua" w:hAnsi="Book Antiqua" w:cs="Times New Roman"/>
          <w:noProof/>
          <w:sz w:val="24"/>
          <w:szCs w:val="24"/>
        </w:rPr>
        <w:t>, Pillay K, Becker DJ, Acerini CL; International Society for Pediatric and Adolescent Diabetes. ISPAD Clinical Practice Consensus Guidelines 2014. Management of cystic fibrosis-related diabetes in children and adolescents. </w:t>
      </w:r>
      <w:r w:rsidRPr="002B0751">
        <w:rPr>
          <w:rFonts w:ascii="Book Antiqua" w:hAnsi="Book Antiqua" w:cs="Times New Roman"/>
          <w:i/>
          <w:iCs/>
          <w:noProof/>
          <w:sz w:val="24"/>
          <w:szCs w:val="24"/>
        </w:rPr>
        <w:t>Pediatr Diabetes</w:t>
      </w:r>
      <w:r w:rsidRPr="002B0751">
        <w:rPr>
          <w:rFonts w:ascii="Book Antiqua" w:hAnsi="Book Antiqua" w:cs="Times New Roman"/>
          <w:noProof/>
          <w:sz w:val="24"/>
          <w:szCs w:val="24"/>
        </w:rPr>
        <w:t> 2014; </w:t>
      </w:r>
      <w:r w:rsidRPr="002B0751">
        <w:rPr>
          <w:rFonts w:ascii="Book Antiqua" w:hAnsi="Book Antiqua" w:cs="Times New Roman"/>
          <w:b/>
          <w:bCs/>
          <w:noProof/>
          <w:sz w:val="24"/>
          <w:szCs w:val="24"/>
        </w:rPr>
        <w:t xml:space="preserve">15 </w:t>
      </w:r>
      <w:r w:rsidRPr="002B0751">
        <w:rPr>
          <w:rFonts w:ascii="Book Antiqua" w:hAnsi="Book Antiqua" w:cs="Times New Roman"/>
          <w:noProof/>
          <w:sz w:val="24"/>
          <w:szCs w:val="24"/>
        </w:rPr>
        <w:t>Suppl 20: 65-76 [PMID: 25182308 DOI: 10.1111/pedi.12178]</w:t>
      </w:r>
    </w:p>
    <w:p w14:paraId="52FDD464" w14:textId="37F2AED8"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highlight w:val="yellow"/>
        </w:rPr>
        <w:t>43 </w:t>
      </w:r>
      <w:r w:rsidRPr="002B0751">
        <w:rPr>
          <w:rFonts w:ascii="Book Antiqua" w:hAnsi="Book Antiqua" w:cs="Times New Roman"/>
          <w:b/>
          <w:bCs/>
          <w:noProof/>
          <w:sz w:val="24"/>
          <w:szCs w:val="24"/>
          <w:highlight w:val="yellow"/>
        </w:rPr>
        <w:t>Clinical and Laboratory Standards Institute/NCCLS.</w:t>
      </w:r>
      <w:r w:rsidRPr="002B0751">
        <w:rPr>
          <w:rFonts w:ascii="Book Antiqua" w:hAnsi="Book Antiqua" w:cs="Times New Roman"/>
          <w:noProof/>
          <w:sz w:val="24"/>
          <w:szCs w:val="24"/>
          <w:highlight w:val="yellow"/>
        </w:rPr>
        <w:t xml:space="preserve"> Procedures for the Collection of Diagnostic Blood Specimens by Venipuncture,</w:t>
      </w:r>
      <w:r w:rsidR="00F84ADB">
        <w:rPr>
          <w:rFonts w:ascii="Book Antiqua" w:hAnsi="Book Antiqua" w:cs="Times New Roman"/>
          <w:noProof/>
          <w:sz w:val="24"/>
          <w:szCs w:val="24"/>
          <w:highlight w:val="yellow"/>
        </w:rPr>
        <w:t xml:space="preserve"> </w:t>
      </w:r>
      <w:r w:rsidRPr="002B0751">
        <w:rPr>
          <w:rFonts w:ascii="Book Antiqua" w:hAnsi="Book Antiqua" w:cs="Times New Roman"/>
          <w:noProof/>
          <w:sz w:val="24"/>
          <w:szCs w:val="24"/>
          <w:highlight w:val="yellow"/>
        </w:rPr>
        <w:t>5</w:t>
      </w:r>
      <w:r w:rsidRPr="002B0751">
        <w:rPr>
          <w:rFonts w:ascii="Book Antiqua" w:hAnsi="Book Antiqua" w:cs="Times New Roman"/>
          <w:noProof/>
          <w:sz w:val="24"/>
          <w:szCs w:val="24"/>
          <w:highlight w:val="yellow"/>
          <w:vertAlign w:val="superscript"/>
        </w:rPr>
        <w:t>th</w:t>
      </w:r>
      <w:r w:rsidRPr="002B0751">
        <w:rPr>
          <w:rFonts w:ascii="Book Antiqua" w:hAnsi="Book Antiqua" w:cs="Times New Roman"/>
          <w:noProof/>
          <w:sz w:val="24"/>
          <w:szCs w:val="24"/>
          <w:highlight w:val="yellow"/>
        </w:rPr>
        <w:t xml:space="preserve"> Edition 2003. Available from: https://clsi.org/standards/</w:t>
      </w:r>
    </w:p>
    <w:p w14:paraId="6EC9F0F1"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44 </w:t>
      </w:r>
      <w:r w:rsidRPr="002B0751">
        <w:rPr>
          <w:rFonts w:ascii="Book Antiqua" w:hAnsi="Book Antiqua" w:cs="Times New Roman"/>
          <w:b/>
          <w:bCs/>
          <w:noProof/>
          <w:sz w:val="24"/>
          <w:szCs w:val="24"/>
        </w:rPr>
        <w:t>Yokoo T</w:t>
      </w:r>
      <w:r w:rsidRPr="002B0751">
        <w:rPr>
          <w:rFonts w:ascii="Book Antiqua" w:hAnsi="Book Antiqua" w:cs="Times New Roman"/>
          <w:noProof/>
          <w:sz w:val="24"/>
          <w:szCs w:val="24"/>
        </w:rPr>
        <w:t>, Shiehmorteza M, Hamilton G, Wolfson T, Schroeder ME, Middleton MS, Bydder M, Gamst AC, Kono Y, Kuo A, Patton HM, Horgan S, Lavine JE, Schwimmer JB, Sirlin CB. Estimation of hepatic proton-density fat fraction by using MR imaging at 3.0 T. </w:t>
      </w:r>
      <w:r w:rsidRPr="002B0751">
        <w:rPr>
          <w:rFonts w:ascii="Book Antiqua" w:hAnsi="Book Antiqua" w:cs="Times New Roman"/>
          <w:i/>
          <w:iCs/>
          <w:noProof/>
          <w:sz w:val="24"/>
          <w:szCs w:val="24"/>
        </w:rPr>
        <w:t>Radiology</w:t>
      </w:r>
      <w:r w:rsidRPr="002B0751">
        <w:rPr>
          <w:rFonts w:ascii="Book Antiqua" w:hAnsi="Book Antiqua" w:cs="Times New Roman"/>
          <w:noProof/>
          <w:sz w:val="24"/>
          <w:szCs w:val="24"/>
        </w:rPr>
        <w:t> 2011; </w:t>
      </w:r>
      <w:r w:rsidRPr="002B0751">
        <w:rPr>
          <w:rFonts w:ascii="Book Antiqua" w:hAnsi="Book Antiqua" w:cs="Times New Roman"/>
          <w:b/>
          <w:bCs/>
          <w:noProof/>
          <w:sz w:val="24"/>
          <w:szCs w:val="24"/>
        </w:rPr>
        <w:t>258</w:t>
      </w:r>
      <w:r w:rsidRPr="002B0751">
        <w:rPr>
          <w:rFonts w:ascii="Book Antiqua" w:hAnsi="Book Antiqua" w:cs="Times New Roman"/>
          <w:noProof/>
          <w:sz w:val="24"/>
          <w:szCs w:val="24"/>
        </w:rPr>
        <w:t>: 749-759 [PMID: 21212366 DOI: 10.1148/radiol.10100659]</w:t>
      </w:r>
    </w:p>
    <w:p w14:paraId="542D4DF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45 </w:t>
      </w:r>
      <w:r w:rsidRPr="002B0751">
        <w:rPr>
          <w:rFonts w:ascii="Book Antiqua" w:hAnsi="Book Antiqua" w:cs="Times New Roman"/>
          <w:b/>
          <w:bCs/>
          <w:noProof/>
          <w:sz w:val="24"/>
          <w:szCs w:val="24"/>
        </w:rPr>
        <w:t>Chalasani N</w:t>
      </w:r>
      <w:r w:rsidRPr="002B0751">
        <w:rPr>
          <w:rFonts w:ascii="Book Antiqua" w:hAnsi="Book Antiqua" w:cs="Times New Roman"/>
          <w:noProof/>
          <w:sz w:val="24"/>
          <w:szCs w:val="24"/>
        </w:rPr>
        <w:t>, Younossi Z, Lavine JE, Charlton M, Cusi K, Rinella M, Harrison SA, Brunt EM, Sanyal AJ. The diagnosis and management of nonalcoholic fatty liver disease: Practice guidance from the American Association for the Study of Liver Diseases. </w:t>
      </w:r>
      <w:r w:rsidRPr="002B0751">
        <w:rPr>
          <w:rFonts w:ascii="Book Antiqua" w:hAnsi="Book Antiqua" w:cs="Times New Roman"/>
          <w:i/>
          <w:iCs/>
          <w:noProof/>
          <w:sz w:val="24"/>
          <w:szCs w:val="24"/>
        </w:rPr>
        <w:t>Hepatology</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67</w:t>
      </w:r>
      <w:r w:rsidRPr="002B0751">
        <w:rPr>
          <w:rFonts w:ascii="Book Antiqua" w:hAnsi="Book Antiqua" w:cs="Times New Roman"/>
          <w:noProof/>
          <w:sz w:val="24"/>
          <w:szCs w:val="24"/>
        </w:rPr>
        <w:t>: 328-357 [PMID: 28714183 DOI: 10.1002/hep.29367]</w:t>
      </w:r>
    </w:p>
    <w:p w14:paraId="6915568B"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46 </w:t>
      </w:r>
      <w:r w:rsidRPr="002B0751">
        <w:rPr>
          <w:rFonts w:ascii="Book Antiqua" w:hAnsi="Book Antiqua" w:cs="Times New Roman"/>
          <w:b/>
          <w:bCs/>
          <w:noProof/>
          <w:sz w:val="24"/>
          <w:szCs w:val="24"/>
        </w:rPr>
        <w:t>Schall JI</w:t>
      </w:r>
      <w:r w:rsidRPr="002B0751">
        <w:rPr>
          <w:rFonts w:ascii="Book Antiqua" w:hAnsi="Book Antiqua" w:cs="Times New Roman"/>
          <w:noProof/>
          <w:sz w:val="24"/>
          <w:szCs w:val="24"/>
        </w:rPr>
        <w:t>, Mascarenhas MR, Maqbool A, Dougherty KA, Elci O, Wang DJ, Altes TA, Hommel KA, Shaw W, Moore J, Stallings VA. Choline Supplementation With a Structured Lipid in Children With Cystic Fibrosis: A Randomized Placebo-Controlled Trial. </w:t>
      </w:r>
      <w:r w:rsidRPr="002B0751">
        <w:rPr>
          <w:rFonts w:ascii="Book Antiqua" w:hAnsi="Book Antiqua" w:cs="Times New Roman"/>
          <w:i/>
          <w:iCs/>
          <w:noProof/>
          <w:sz w:val="24"/>
          <w:szCs w:val="24"/>
        </w:rPr>
        <w:t>J Pediatr Gastroenterol Nutr</w:t>
      </w:r>
      <w:r w:rsidRPr="002B0751">
        <w:rPr>
          <w:rFonts w:ascii="Book Antiqua" w:hAnsi="Book Antiqua" w:cs="Times New Roman"/>
          <w:noProof/>
          <w:sz w:val="24"/>
          <w:szCs w:val="24"/>
        </w:rPr>
        <w:t> 2016; </w:t>
      </w:r>
      <w:r w:rsidRPr="002B0751">
        <w:rPr>
          <w:rFonts w:ascii="Book Antiqua" w:hAnsi="Book Antiqua" w:cs="Times New Roman"/>
          <w:b/>
          <w:bCs/>
          <w:noProof/>
          <w:sz w:val="24"/>
          <w:szCs w:val="24"/>
        </w:rPr>
        <w:t>62</w:t>
      </w:r>
      <w:r w:rsidRPr="002B0751">
        <w:rPr>
          <w:rFonts w:ascii="Book Antiqua" w:hAnsi="Book Antiqua" w:cs="Times New Roman"/>
          <w:noProof/>
          <w:sz w:val="24"/>
          <w:szCs w:val="24"/>
        </w:rPr>
        <w:t>: 618-626 [PMID: 26465792 DOI: 10.1097/MPG.0000000000001004]</w:t>
      </w:r>
    </w:p>
    <w:p w14:paraId="72A613D2"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47 </w:t>
      </w:r>
      <w:r w:rsidRPr="002B0751">
        <w:rPr>
          <w:rFonts w:ascii="Book Antiqua" w:hAnsi="Book Antiqua" w:cs="Times New Roman"/>
          <w:b/>
          <w:bCs/>
          <w:noProof/>
          <w:sz w:val="24"/>
          <w:szCs w:val="24"/>
        </w:rPr>
        <w:t>Hayes D Jr</w:t>
      </w:r>
      <w:r w:rsidRPr="002B0751">
        <w:rPr>
          <w:rFonts w:ascii="Book Antiqua" w:hAnsi="Book Antiqua" w:cs="Times New Roman"/>
          <w:noProof/>
          <w:sz w:val="24"/>
          <w:szCs w:val="24"/>
        </w:rPr>
        <w:t xml:space="preserve">, Warren PS, McCoy KS, Sheikh SI. Improvement of hepatic steatosis in </w:t>
      </w:r>
      <w:r w:rsidRPr="002B0751">
        <w:rPr>
          <w:rFonts w:ascii="Book Antiqua" w:hAnsi="Book Antiqua" w:cs="Times New Roman"/>
          <w:noProof/>
          <w:sz w:val="24"/>
          <w:szCs w:val="24"/>
        </w:rPr>
        <w:lastRenderedPageBreak/>
        <w:t>cystic fibrosis with ivacaftor therapy. </w:t>
      </w:r>
      <w:r w:rsidRPr="002B0751">
        <w:rPr>
          <w:rFonts w:ascii="Book Antiqua" w:hAnsi="Book Antiqua" w:cs="Times New Roman"/>
          <w:i/>
          <w:iCs/>
          <w:noProof/>
          <w:sz w:val="24"/>
          <w:szCs w:val="24"/>
        </w:rPr>
        <w:t>J Pediatr Gastroenterol Nutr</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60</w:t>
      </w:r>
      <w:r w:rsidRPr="002B0751">
        <w:rPr>
          <w:rFonts w:ascii="Book Antiqua" w:hAnsi="Book Antiqua" w:cs="Times New Roman"/>
          <w:noProof/>
          <w:sz w:val="24"/>
          <w:szCs w:val="24"/>
        </w:rPr>
        <w:t>: 578-579 [PMID: 25688481 DOI: 10.1097/MPG.0000000000000765]</w:t>
      </w:r>
    </w:p>
    <w:p w14:paraId="68534CC2"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48 </w:t>
      </w:r>
      <w:r w:rsidRPr="002B0751">
        <w:rPr>
          <w:rFonts w:ascii="Book Antiqua" w:hAnsi="Book Antiqua" w:cs="Times New Roman"/>
          <w:b/>
          <w:bCs/>
          <w:noProof/>
          <w:sz w:val="24"/>
          <w:szCs w:val="24"/>
        </w:rPr>
        <w:t>Olivier AK</w:t>
      </w:r>
      <w:r w:rsidRPr="002B0751">
        <w:rPr>
          <w:rFonts w:ascii="Book Antiqua" w:hAnsi="Book Antiqua" w:cs="Times New Roman"/>
          <w:noProof/>
          <w:sz w:val="24"/>
          <w:szCs w:val="24"/>
        </w:rPr>
        <w:t>, Gibson-Corley KN, Meyerholz DK. Animal models of gastrointestinal and liver diseases. Animal models of cystic fibrosis: gastrointestinal, pancreatic, and hepatobiliary disease and pathophysiology. </w:t>
      </w:r>
      <w:r w:rsidRPr="002B0751">
        <w:rPr>
          <w:rFonts w:ascii="Book Antiqua" w:hAnsi="Book Antiqua" w:cs="Times New Roman"/>
          <w:i/>
          <w:iCs/>
          <w:noProof/>
          <w:sz w:val="24"/>
          <w:szCs w:val="24"/>
        </w:rPr>
        <w:t>Am J Physiol Gastrointest Liver Physiol</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308</w:t>
      </w:r>
      <w:r w:rsidRPr="002B0751">
        <w:rPr>
          <w:rFonts w:ascii="Book Antiqua" w:hAnsi="Book Antiqua" w:cs="Times New Roman"/>
          <w:noProof/>
          <w:sz w:val="24"/>
          <w:szCs w:val="24"/>
        </w:rPr>
        <w:t>: G459-G471 [PMID: 25591863 DOI: 10.1152/ajpgi.00146.2014]</w:t>
      </w:r>
    </w:p>
    <w:p w14:paraId="5EB496D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49 </w:t>
      </w:r>
      <w:r w:rsidRPr="002B0751">
        <w:rPr>
          <w:rFonts w:ascii="Book Antiqua" w:hAnsi="Book Antiqua" w:cs="Times New Roman"/>
          <w:b/>
          <w:bCs/>
          <w:noProof/>
          <w:sz w:val="24"/>
          <w:szCs w:val="24"/>
        </w:rPr>
        <w:t>Mailhot G</w:t>
      </w:r>
      <w:r w:rsidRPr="002B0751">
        <w:rPr>
          <w:rFonts w:ascii="Book Antiqua" w:hAnsi="Book Antiqua" w:cs="Times New Roman"/>
          <w:noProof/>
          <w:sz w:val="24"/>
          <w:szCs w:val="24"/>
        </w:rPr>
        <w:t>, Rabasa-Lhoret R, Moreau A, Berthiaume Y, Levy E. CFTR depletion results in changes in fatty acid composition and promotes lipogenesis in intestinal Caco 2/15 cells. </w:t>
      </w:r>
      <w:r w:rsidRPr="002B0751">
        <w:rPr>
          <w:rFonts w:ascii="Book Antiqua" w:hAnsi="Book Antiqua" w:cs="Times New Roman"/>
          <w:i/>
          <w:iCs/>
          <w:noProof/>
          <w:sz w:val="24"/>
          <w:szCs w:val="24"/>
        </w:rPr>
        <w:t>PLoS One</w:t>
      </w:r>
      <w:r w:rsidRPr="002B0751">
        <w:rPr>
          <w:rFonts w:ascii="Book Antiqua" w:hAnsi="Book Antiqua" w:cs="Times New Roman"/>
          <w:noProof/>
          <w:sz w:val="24"/>
          <w:szCs w:val="24"/>
        </w:rPr>
        <w:t> 2010; </w:t>
      </w:r>
      <w:r w:rsidRPr="002B0751">
        <w:rPr>
          <w:rFonts w:ascii="Book Antiqua" w:hAnsi="Book Antiqua" w:cs="Times New Roman"/>
          <w:b/>
          <w:bCs/>
          <w:noProof/>
          <w:sz w:val="24"/>
          <w:szCs w:val="24"/>
        </w:rPr>
        <w:t>5</w:t>
      </w:r>
      <w:r w:rsidRPr="002B0751">
        <w:rPr>
          <w:rFonts w:ascii="Book Antiqua" w:hAnsi="Book Antiqua" w:cs="Times New Roman"/>
          <w:noProof/>
          <w:sz w:val="24"/>
          <w:szCs w:val="24"/>
        </w:rPr>
        <w:t>: e10446 [PMID: 20463919 DOI: 10.1371/journal.pone.0010446]</w:t>
      </w:r>
    </w:p>
    <w:p w14:paraId="510C0402"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50 </w:t>
      </w:r>
      <w:r w:rsidRPr="002B0751">
        <w:rPr>
          <w:rFonts w:ascii="Book Antiqua" w:hAnsi="Book Antiqua" w:cs="Times New Roman"/>
          <w:b/>
          <w:bCs/>
          <w:noProof/>
          <w:sz w:val="24"/>
          <w:szCs w:val="24"/>
        </w:rPr>
        <w:t>Peretti N</w:t>
      </w:r>
      <w:r w:rsidRPr="002B0751">
        <w:rPr>
          <w:rFonts w:ascii="Book Antiqua" w:hAnsi="Book Antiqua" w:cs="Times New Roman"/>
          <w:noProof/>
          <w:sz w:val="24"/>
          <w:szCs w:val="24"/>
        </w:rPr>
        <w:t>, Marcil V, Drouin E, Levy E. Mechanisms of lipid malabsorption in Cystic Fibrosis: the impact of essential fatty acids deficiency. </w:t>
      </w:r>
      <w:r w:rsidRPr="002B0751">
        <w:rPr>
          <w:rFonts w:ascii="Book Antiqua" w:hAnsi="Book Antiqua" w:cs="Times New Roman"/>
          <w:i/>
          <w:iCs/>
          <w:noProof/>
          <w:sz w:val="24"/>
          <w:szCs w:val="24"/>
        </w:rPr>
        <w:t>Nutr Metab</w:t>
      </w:r>
      <w:r w:rsidRPr="002B0751">
        <w:rPr>
          <w:rFonts w:ascii="Book Antiqua" w:hAnsi="Book Antiqua" w:cs="Times New Roman"/>
          <w:noProof/>
          <w:sz w:val="24"/>
          <w:szCs w:val="24"/>
        </w:rPr>
        <w:t xml:space="preserve"> (Lond) 2005; </w:t>
      </w:r>
      <w:r w:rsidRPr="002B0751">
        <w:rPr>
          <w:rFonts w:ascii="Book Antiqua" w:hAnsi="Book Antiqua" w:cs="Times New Roman"/>
          <w:b/>
          <w:bCs/>
          <w:noProof/>
          <w:sz w:val="24"/>
          <w:szCs w:val="24"/>
        </w:rPr>
        <w:t>2</w:t>
      </w:r>
      <w:r w:rsidRPr="002B0751">
        <w:rPr>
          <w:rFonts w:ascii="Book Antiqua" w:hAnsi="Book Antiqua" w:cs="Times New Roman"/>
          <w:noProof/>
          <w:sz w:val="24"/>
          <w:szCs w:val="24"/>
        </w:rPr>
        <w:t>: 11 [PMID: 15869703 DOI: 10.1186/1743-7075-2-11]</w:t>
      </w:r>
    </w:p>
    <w:p w14:paraId="1B2B31ED" w14:textId="5502A042" w:rsidR="00595674" w:rsidRPr="003610D2" w:rsidRDefault="00595674" w:rsidP="002B0751">
      <w:pPr>
        <w:widowControl w:val="0"/>
        <w:autoSpaceDE w:val="0"/>
        <w:autoSpaceDN w:val="0"/>
        <w:adjustRightInd w:val="0"/>
        <w:snapToGrid w:val="0"/>
        <w:spacing w:after="0" w:line="360" w:lineRule="auto"/>
        <w:jc w:val="both"/>
        <w:rPr>
          <w:rFonts w:ascii="Book Antiqua" w:hAnsi="Book Antiqua"/>
          <w:noProof/>
          <w:sz w:val="24"/>
          <w:szCs w:val="24"/>
        </w:rPr>
      </w:pPr>
    </w:p>
    <w:p w14:paraId="231133BE" w14:textId="3353C8B7" w:rsidR="006D5DF2" w:rsidRPr="003610D2" w:rsidRDefault="00AA1A4C" w:rsidP="003610D2">
      <w:pPr>
        <w:suppressAutoHyphens/>
        <w:wordWrap w:val="0"/>
        <w:adjustRightInd w:val="0"/>
        <w:snapToGrid w:val="0"/>
        <w:spacing w:after="0" w:line="360" w:lineRule="auto"/>
        <w:jc w:val="right"/>
        <w:rPr>
          <w:rFonts w:ascii="Book Antiqua" w:eastAsia="SimSun" w:hAnsi="Book Antiqua" w:cs="Times New Roman"/>
          <w:sz w:val="24"/>
          <w:szCs w:val="24"/>
          <w:lang w:eastAsia="zh-CN"/>
        </w:rPr>
      </w:pPr>
      <w:r w:rsidRPr="003610D2">
        <w:rPr>
          <w:rFonts w:ascii="Book Antiqua" w:hAnsi="Book Antiqua"/>
          <w:sz w:val="24"/>
          <w:szCs w:val="24"/>
        </w:rPr>
        <w:fldChar w:fldCharType="end"/>
      </w:r>
      <w:bookmarkStart w:id="207" w:name="OLE_LINK502"/>
      <w:bookmarkStart w:id="208" w:name="OLE_LINK480"/>
      <w:bookmarkStart w:id="209" w:name="OLE_LINK2090"/>
      <w:bookmarkStart w:id="210" w:name="OLE_LINK2200"/>
      <w:bookmarkStart w:id="211" w:name="OLE_LINK2199"/>
      <w:bookmarkStart w:id="212" w:name="OLE_LINK2198"/>
      <w:bookmarkStart w:id="213" w:name="OLE_LINK2162"/>
      <w:bookmarkStart w:id="214" w:name="OLE_LINK1963"/>
      <w:bookmarkStart w:id="215" w:name="OLE_LINK1962"/>
      <w:bookmarkStart w:id="216" w:name="OLE_LINK1812"/>
      <w:bookmarkStart w:id="217" w:name="OLE_LINK1811"/>
      <w:bookmarkStart w:id="218" w:name="OLE_LINK1807"/>
      <w:bookmarkStart w:id="219" w:name="OLE_LINK1806"/>
      <w:bookmarkStart w:id="220" w:name="OLE_LINK1636"/>
      <w:bookmarkStart w:id="221" w:name="OLE_LINK1845"/>
      <w:bookmarkStart w:id="222" w:name="OLE_LINK1844"/>
      <w:bookmarkStart w:id="223" w:name="OLE_LINK1843"/>
      <w:bookmarkStart w:id="224" w:name="OLE_LINK1803"/>
      <w:bookmarkStart w:id="225" w:name="OLE_LINK1802"/>
      <w:bookmarkStart w:id="226" w:name="OLE_LINK1801"/>
      <w:bookmarkStart w:id="227" w:name="OLE_LINK1800"/>
      <w:bookmarkStart w:id="228" w:name="OLE_LINK1282"/>
      <w:bookmarkStart w:id="229" w:name="OLE_LINK1266"/>
      <w:bookmarkStart w:id="230" w:name="OLE_LINK1264"/>
      <w:bookmarkStart w:id="231" w:name="OLE_LINK1261"/>
      <w:bookmarkStart w:id="232" w:name="OLE_LINK1260"/>
      <w:bookmarkStart w:id="233" w:name="OLE_LINK1043"/>
      <w:bookmarkStart w:id="234" w:name="OLE_LINK1039"/>
      <w:bookmarkStart w:id="235" w:name="OLE_LINK1038"/>
      <w:bookmarkStart w:id="236" w:name="OLE_LINK1036"/>
      <w:bookmarkStart w:id="237" w:name="OLE_LINK1035"/>
      <w:bookmarkStart w:id="238" w:name="OLE_LINK987"/>
      <w:bookmarkStart w:id="239" w:name="OLE_LINK947"/>
      <w:bookmarkStart w:id="240" w:name="OLE_LINK946"/>
      <w:bookmarkStart w:id="241" w:name="OLE_LINK945"/>
      <w:bookmarkStart w:id="242" w:name="OLE_LINK1127"/>
      <w:bookmarkStart w:id="243" w:name="OLE_LINK962"/>
      <w:bookmarkStart w:id="244" w:name="OLE_LINK959"/>
      <w:bookmarkStart w:id="245" w:name="OLE_LINK1185"/>
      <w:bookmarkStart w:id="246" w:name="OLE_LINK1159"/>
      <w:bookmarkStart w:id="247" w:name="OLE_LINK1158"/>
      <w:bookmarkStart w:id="248" w:name="OLE_LINK1157"/>
      <w:bookmarkStart w:id="249" w:name="OLE_LINK1156"/>
      <w:bookmarkStart w:id="250" w:name="OLE_LINK1065"/>
      <w:bookmarkStart w:id="251" w:name="OLE_LINK1064"/>
      <w:bookmarkStart w:id="252" w:name="OLE_LINK1023"/>
      <w:bookmarkStart w:id="253" w:name="OLE_LINK1022"/>
      <w:bookmarkStart w:id="254" w:name="OLE_LINK1021"/>
      <w:bookmarkStart w:id="255" w:name="_Hlk17901632"/>
      <w:r w:rsidR="006D5DF2" w:rsidRPr="003610D2">
        <w:rPr>
          <w:rFonts w:ascii="Book Antiqua" w:eastAsia="Lucida Sans Unicode" w:hAnsi="Book Antiqua" w:cs="Arial"/>
          <w:b/>
          <w:noProof/>
          <w:sz w:val="24"/>
          <w:szCs w:val="24"/>
          <w:lang w:val="it-IT" w:eastAsia="hi-IN" w:bidi="hi-IN"/>
        </w:rPr>
        <w:t xml:space="preserve"> P-Reviewer</w:t>
      </w:r>
      <w:r w:rsidR="006D5DF2" w:rsidRPr="003610D2">
        <w:rPr>
          <w:rFonts w:ascii="Book Antiqua" w:eastAsia="SimSun" w:hAnsi="Book Antiqua" w:cs="Arial"/>
          <w:b/>
          <w:noProof/>
          <w:sz w:val="24"/>
          <w:szCs w:val="24"/>
          <w:lang w:val="it-IT" w:eastAsia="zh-CN" w:bidi="hi-IN"/>
        </w:rPr>
        <w:t>:</w:t>
      </w:r>
      <w:r w:rsidR="006D5DF2" w:rsidRPr="003610D2">
        <w:rPr>
          <w:rFonts w:ascii="Book Antiqua" w:eastAsia="SimSun" w:hAnsi="Book Antiqua" w:cs="Times New Roman"/>
          <w:sz w:val="24"/>
          <w:szCs w:val="24"/>
          <w:lang w:eastAsia="zh-CN"/>
        </w:rPr>
        <w:t xml:space="preserve"> </w:t>
      </w:r>
      <w:r w:rsidR="003610D2" w:rsidRPr="003610D2">
        <w:rPr>
          <w:rFonts w:ascii="Book Antiqua" w:eastAsia="SimSun" w:hAnsi="Book Antiqua" w:cs="Times New Roman"/>
          <w:sz w:val="24"/>
          <w:szCs w:val="24"/>
          <w:lang w:eastAsia="zh-CN"/>
        </w:rPr>
        <w:t>Lucarelli M,</w:t>
      </w:r>
      <w:r w:rsidR="003610D2" w:rsidRPr="003610D2">
        <w:rPr>
          <w:sz w:val="24"/>
          <w:szCs w:val="24"/>
        </w:rPr>
        <w:t xml:space="preserve"> </w:t>
      </w:r>
      <w:r w:rsidR="003610D2" w:rsidRPr="003610D2">
        <w:rPr>
          <w:rFonts w:ascii="Book Antiqua" w:eastAsia="SimSun" w:hAnsi="Book Antiqua" w:cs="Times New Roman"/>
          <w:sz w:val="24"/>
          <w:szCs w:val="24"/>
          <w:lang w:eastAsia="zh-CN"/>
        </w:rPr>
        <w:t xml:space="preserve">Rowland M, </w:t>
      </w:r>
      <w:proofErr w:type="spellStart"/>
      <w:r w:rsidR="003610D2" w:rsidRPr="003610D2">
        <w:rPr>
          <w:rFonts w:ascii="Book Antiqua" w:eastAsia="SimSun" w:hAnsi="Book Antiqua" w:cs="Times New Roman"/>
          <w:sz w:val="24"/>
          <w:szCs w:val="24"/>
          <w:lang w:eastAsia="zh-CN"/>
        </w:rPr>
        <w:t>Tjora</w:t>
      </w:r>
      <w:proofErr w:type="spellEnd"/>
      <w:r w:rsidR="003610D2" w:rsidRPr="003610D2">
        <w:rPr>
          <w:rFonts w:ascii="Book Antiqua" w:eastAsia="SimSun" w:hAnsi="Book Antiqua" w:cs="Times New Roman"/>
          <w:sz w:val="24"/>
          <w:szCs w:val="24"/>
          <w:lang w:eastAsia="zh-CN"/>
        </w:rPr>
        <w:t xml:space="preserve"> E</w:t>
      </w:r>
    </w:p>
    <w:p w14:paraId="65FAB43F" w14:textId="77777777" w:rsidR="006D5DF2" w:rsidRPr="006D5DF2" w:rsidRDefault="006D5DF2" w:rsidP="006D5DF2">
      <w:pPr>
        <w:suppressAutoHyphens/>
        <w:adjustRightInd w:val="0"/>
        <w:snapToGrid w:val="0"/>
        <w:spacing w:after="0" w:line="360" w:lineRule="auto"/>
        <w:jc w:val="right"/>
        <w:rPr>
          <w:rFonts w:ascii="Book Antiqua" w:eastAsia="SimSun" w:hAnsi="Book Antiqua" w:cs="Mangal"/>
          <w:b/>
          <w:bCs/>
          <w:sz w:val="24"/>
          <w:szCs w:val="24"/>
          <w:lang w:val="it-IT" w:eastAsia="zh-CN" w:bidi="hi-IN"/>
        </w:rPr>
      </w:pPr>
      <w:r w:rsidRPr="006D5DF2">
        <w:rPr>
          <w:rFonts w:ascii="Book Antiqua" w:eastAsia="Lucida Sans Unicode" w:hAnsi="Book Antiqua" w:cs="Mangal"/>
          <w:b/>
          <w:bCs/>
          <w:sz w:val="24"/>
          <w:szCs w:val="24"/>
          <w:lang w:val="it-IT" w:eastAsia="hi-IN" w:bidi="hi-IN"/>
        </w:rPr>
        <w:t>S-Editor</w:t>
      </w:r>
      <w:r w:rsidRPr="006D5DF2">
        <w:rPr>
          <w:rFonts w:ascii="Book Antiqua" w:eastAsia="SimSun" w:hAnsi="Book Antiqua" w:cs="Mangal"/>
          <w:b/>
          <w:bCs/>
          <w:sz w:val="24"/>
          <w:szCs w:val="24"/>
          <w:lang w:val="it-IT" w:eastAsia="zh-CN" w:bidi="hi-IN"/>
        </w:rPr>
        <w:t>:</w:t>
      </w:r>
      <w:r w:rsidRPr="006D5DF2">
        <w:rPr>
          <w:rFonts w:ascii="Book Antiqua" w:eastAsia="Lucida Sans Unicode" w:hAnsi="Book Antiqua" w:cs="Mangal"/>
          <w:bCs/>
          <w:sz w:val="24"/>
          <w:szCs w:val="24"/>
          <w:lang w:val="it-IT" w:eastAsia="hi-IN" w:bidi="hi-IN"/>
        </w:rPr>
        <w:t xml:space="preserve"> </w:t>
      </w:r>
      <w:r w:rsidRPr="006D5DF2">
        <w:rPr>
          <w:rFonts w:ascii="Book Antiqua" w:eastAsia="SimSun" w:hAnsi="Book Antiqua" w:cs="Mangal"/>
          <w:bCs/>
          <w:sz w:val="24"/>
          <w:szCs w:val="24"/>
          <w:lang w:val="it-IT" w:eastAsia="zh-CN" w:bidi="hi-IN"/>
        </w:rPr>
        <w:t>Ma RY</w:t>
      </w:r>
      <w:r w:rsidRPr="006D5DF2">
        <w:rPr>
          <w:rFonts w:ascii="Book Antiqua" w:eastAsia="Lucida Sans Unicode" w:hAnsi="Book Antiqua" w:cs="Mangal"/>
          <w:b/>
          <w:bCs/>
          <w:sz w:val="24"/>
          <w:szCs w:val="24"/>
          <w:lang w:val="it-IT" w:eastAsia="hi-IN" w:bidi="hi-IN"/>
        </w:rPr>
        <w:t xml:space="preserve"> L-Editor</w:t>
      </w:r>
      <w:r w:rsidRPr="006D5DF2">
        <w:rPr>
          <w:rFonts w:ascii="Book Antiqua" w:eastAsia="SimSun" w:hAnsi="Book Antiqua" w:cs="Mangal"/>
          <w:b/>
          <w:bCs/>
          <w:sz w:val="24"/>
          <w:szCs w:val="24"/>
          <w:lang w:val="it-IT" w:eastAsia="zh-CN" w:bidi="hi-IN"/>
        </w:rPr>
        <w:t xml:space="preserve">: </w:t>
      </w:r>
      <w:r w:rsidRPr="006D5DF2">
        <w:rPr>
          <w:rFonts w:ascii="Book Antiqua" w:eastAsia="Lucida Sans Unicode" w:hAnsi="Book Antiqua" w:cs="Mangal"/>
          <w:b/>
          <w:bCs/>
          <w:sz w:val="24"/>
          <w:szCs w:val="24"/>
          <w:lang w:val="it-IT" w:eastAsia="hi-IN" w:bidi="hi-IN"/>
        </w:rPr>
        <w:t>E-Editor</w:t>
      </w:r>
      <w:r w:rsidRPr="006D5DF2">
        <w:rPr>
          <w:rFonts w:ascii="Book Antiqua" w:eastAsia="SimSun" w:hAnsi="Book Antiqua" w:cs="Mangal"/>
          <w:b/>
          <w:bCs/>
          <w:sz w:val="24"/>
          <w:szCs w:val="24"/>
          <w:lang w:val="it-IT" w:eastAsia="zh-CN" w:bidi="hi-IN"/>
        </w:rPr>
        <w:t>:</w:t>
      </w:r>
      <w:r w:rsidRPr="006D5DF2">
        <w:rPr>
          <w:rFonts w:ascii="Calibri" w:eastAsia="SimSun" w:hAnsi="Calibri" w:cs="Times New Roman"/>
          <w:sz w:val="24"/>
          <w:szCs w:val="24"/>
          <w:lang w:val="it-IT" w:eastAsia="zh-CN"/>
        </w:rPr>
        <w:t xml:space="preserve"> </w:t>
      </w:r>
    </w:p>
    <w:p w14:paraId="5DE1C5E1" w14:textId="77777777" w:rsidR="006D5DF2" w:rsidRPr="006D5DF2" w:rsidRDefault="006D5DF2" w:rsidP="006D5DF2">
      <w:pPr>
        <w:suppressAutoHyphens/>
        <w:adjustRightInd w:val="0"/>
        <w:snapToGrid w:val="0"/>
        <w:spacing w:after="0" w:line="360" w:lineRule="auto"/>
        <w:rPr>
          <w:rFonts w:ascii="Book Antiqua" w:eastAsia="SimSun" w:hAnsi="Book Antiqua" w:cs="Mangal"/>
          <w:b/>
          <w:bCs/>
          <w:sz w:val="24"/>
          <w:szCs w:val="24"/>
          <w:lang w:val="it-IT" w:eastAsia="pt-BR" w:bidi="hi-IN"/>
        </w:rPr>
      </w:pPr>
    </w:p>
    <w:p w14:paraId="39711F48" w14:textId="77777777" w:rsidR="006D5DF2" w:rsidRPr="006D5DF2" w:rsidRDefault="006D5DF2" w:rsidP="006D5DF2">
      <w:pPr>
        <w:shd w:val="clear" w:color="auto" w:fill="FFFFFF"/>
        <w:adjustRightInd w:val="0"/>
        <w:snapToGrid w:val="0"/>
        <w:spacing w:after="0" w:line="360" w:lineRule="auto"/>
        <w:rPr>
          <w:rFonts w:ascii="Book Antiqua" w:eastAsia="SimSun" w:hAnsi="Book Antiqua" w:cs="Helvetica"/>
          <w:b/>
          <w:sz w:val="24"/>
          <w:szCs w:val="24"/>
          <w:lang w:eastAsia="zh-CN"/>
        </w:rPr>
      </w:pPr>
      <w:r w:rsidRPr="006D5DF2">
        <w:rPr>
          <w:rFonts w:ascii="Book Antiqua" w:eastAsia="SimSun" w:hAnsi="Book Antiqua" w:cs="Helvetica"/>
          <w:b/>
          <w:sz w:val="24"/>
          <w:szCs w:val="24"/>
          <w:lang w:eastAsia="zh-CN"/>
        </w:rPr>
        <w:t xml:space="preserve">Specialty type: </w:t>
      </w:r>
      <w:r w:rsidRPr="006D5DF2">
        <w:rPr>
          <w:rFonts w:ascii="Book Antiqua" w:eastAsia="Microsoft YaHei" w:hAnsi="Book Antiqua" w:cs="SimSun"/>
          <w:sz w:val="24"/>
          <w:szCs w:val="24"/>
          <w:lang w:eastAsia="zh-CN"/>
        </w:rPr>
        <w:t>Gastroenterology and hepatology</w:t>
      </w:r>
    </w:p>
    <w:p w14:paraId="43C9DF21" w14:textId="5E15882B" w:rsidR="006D5DF2" w:rsidRPr="006D5DF2" w:rsidRDefault="006D5DF2" w:rsidP="006D5DF2">
      <w:pPr>
        <w:shd w:val="clear" w:color="auto" w:fill="FFFFFF"/>
        <w:adjustRightInd w:val="0"/>
        <w:snapToGrid w:val="0"/>
        <w:spacing w:after="0" w:line="360" w:lineRule="auto"/>
        <w:rPr>
          <w:rFonts w:ascii="Book Antiqua" w:eastAsia="SimSun" w:hAnsi="Book Antiqua" w:cs="Helvetica"/>
          <w:b/>
          <w:sz w:val="24"/>
          <w:szCs w:val="24"/>
          <w:lang w:val="pt-BR" w:eastAsia="zh-CN"/>
        </w:rPr>
      </w:pPr>
      <w:r w:rsidRPr="006D5DF2">
        <w:rPr>
          <w:rFonts w:ascii="Book Antiqua" w:eastAsia="SimSun" w:hAnsi="Book Antiqua" w:cs="Helvetica"/>
          <w:b/>
          <w:sz w:val="24"/>
          <w:szCs w:val="24"/>
          <w:lang w:eastAsia="zh-CN"/>
        </w:rPr>
        <w:t xml:space="preserve">Country of origin: </w:t>
      </w:r>
      <w:r w:rsidRPr="006D5DF2">
        <w:rPr>
          <w:rFonts w:ascii="Book Antiqua" w:eastAsia="SimSun" w:hAnsi="Book Antiqua" w:cs="Helvetica"/>
          <w:sz w:val="24"/>
          <w:szCs w:val="24"/>
          <w:lang w:eastAsia="zh-CN"/>
        </w:rPr>
        <w:t xml:space="preserve">United </w:t>
      </w:r>
      <w:r w:rsidR="003610D2" w:rsidRPr="003610D2">
        <w:rPr>
          <w:rFonts w:ascii="Book Antiqua" w:eastAsia="SimSun" w:hAnsi="Book Antiqua" w:cs="Helvetica"/>
          <w:sz w:val="24"/>
          <w:szCs w:val="24"/>
          <w:lang w:eastAsia="zh-CN"/>
        </w:rPr>
        <w:t>States</w:t>
      </w:r>
    </w:p>
    <w:p w14:paraId="3281C3E4" w14:textId="77777777" w:rsidR="006D5DF2" w:rsidRPr="006D5DF2" w:rsidRDefault="006D5DF2" w:rsidP="006D5DF2">
      <w:pPr>
        <w:shd w:val="clear" w:color="auto" w:fill="FFFFFF"/>
        <w:adjustRightInd w:val="0"/>
        <w:snapToGrid w:val="0"/>
        <w:spacing w:after="0" w:line="360" w:lineRule="auto"/>
        <w:rPr>
          <w:rFonts w:ascii="Book Antiqua" w:eastAsia="SimSun" w:hAnsi="Book Antiqua" w:cs="Helvetica"/>
          <w:b/>
          <w:sz w:val="24"/>
          <w:szCs w:val="24"/>
          <w:lang w:eastAsia="zh-CN"/>
        </w:rPr>
      </w:pPr>
      <w:r w:rsidRPr="006D5DF2">
        <w:rPr>
          <w:rFonts w:ascii="Book Antiqua" w:eastAsia="SimSun" w:hAnsi="Book Antiqua" w:cs="Helvetica"/>
          <w:b/>
          <w:sz w:val="24"/>
          <w:szCs w:val="24"/>
          <w:lang w:eastAsia="zh-CN"/>
        </w:rPr>
        <w:t>Peer-review report classification</w:t>
      </w:r>
    </w:p>
    <w:p w14:paraId="3744BF92" w14:textId="77777777" w:rsidR="006D5DF2" w:rsidRPr="006D5DF2" w:rsidRDefault="006D5DF2" w:rsidP="006D5DF2">
      <w:pPr>
        <w:shd w:val="clear" w:color="auto" w:fill="FFFFFF"/>
        <w:adjustRightInd w:val="0"/>
        <w:snapToGrid w:val="0"/>
        <w:spacing w:after="0" w:line="360" w:lineRule="auto"/>
        <w:rPr>
          <w:rFonts w:ascii="Book Antiqua" w:eastAsia="SimSun" w:hAnsi="Book Antiqua" w:cs="Helvetica"/>
          <w:sz w:val="24"/>
          <w:szCs w:val="24"/>
          <w:lang w:eastAsia="zh-CN"/>
        </w:rPr>
      </w:pPr>
      <w:r w:rsidRPr="006D5DF2">
        <w:rPr>
          <w:rFonts w:ascii="Book Antiqua" w:eastAsia="SimSun" w:hAnsi="Book Antiqua" w:cs="Helvetica"/>
          <w:sz w:val="24"/>
          <w:szCs w:val="24"/>
          <w:lang w:eastAsia="zh-CN"/>
        </w:rPr>
        <w:t>Grade A (Excellent): 0</w:t>
      </w:r>
    </w:p>
    <w:p w14:paraId="6376114A" w14:textId="77777777" w:rsidR="006D5DF2" w:rsidRPr="006D5DF2" w:rsidRDefault="006D5DF2" w:rsidP="006D5DF2">
      <w:pPr>
        <w:shd w:val="clear" w:color="auto" w:fill="FFFFFF"/>
        <w:adjustRightInd w:val="0"/>
        <w:snapToGrid w:val="0"/>
        <w:spacing w:after="0" w:line="360" w:lineRule="auto"/>
        <w:rPr>
          <w:rFonts w:ascii="Book Antiqua" w:eastAsia="SimSun" w:hAnsi="Book Antiqua" w:cs="Helvetica"/>
          <w:sz w:val="24"/>
          <w:szCs w:val="24"/>
          <w:lang w:eastAsia="zh-CN"/>
        </w:rPr>
      </w:pPr>
      <w:r w:rsidRPr="006D5DF2">
        <w:rPr>
          <w:rFonts w:ascii="Book Antiqua" w:eastAsia="SimSun" w:hAnsi="Book Antiqua" w:cs="Helvetica"/>
          <w:sz w:val="24"/>
          <w:szCs w:val="24"/>
          <w:lang w:eastAsia="zh-CN"/>
        </w:rPr>
        <w:t>Grade B (Very good): B</w:t>
      </w:r>
    </w:p>
    <w:p w14:paraId="43822823" w14:textId="7BB43E12" w:rsidR="006D5DF2" w:rsidRPr="006D5DF2" w:rsidRDefault="006D5DF2" w:rsidP="006D5DF2">
      <w:pPr>
        <w:shd w:val="clear" w:color="auto" w:fill="FFFFFF"/>
        <w:adjustRightInd w:val="0"/>
        <w:snapToGrid w:val="0"/>
        <w:spacing w:after="0" w:line="360" w:lineRule="auto"/>
        <w:rPr>
          <w:rFonts w:ascii="Book Antiqua" w:eastAsia="SimSun" w:hAnsi="Book Antiqua" w:cs="Helvetica"/>
          <w:sz w:val="24"/>
          <w:szCs w:val="24"/>
          <w:lang w:eastAsia="zh-CN"/>
        </w:rPr>
      </w:pPr>
      <w:r w:rsidRPr="006D5DF2">
        <w:rPr>
          <w:rFonts w:ascii="Book Antiqua" w:eastAsia="SimSun" w:hAnsi="Book Antiqua" w:cs="Helvetica"/>
          <w:sz w:val="24"/>
          <w:szCs w:val="24"/>
          <w:lang w:eastAsia="zh-CN"/>
        </w:rPr>
        <w:t>Grade C (Good): C</w:t>
      </w:r>
    </w:p>
    <w:p w14:paraId="734AA1E6" w14:textId="3A540E99" w:rsidR="006D5DF2" w:rsidRPr="006D5DF2" w:rsidRDefault="006D5DF2" w:rsidP="006D5DF2">
      <w:pPr>
        <w:shd w:val="clear" w:color="auto" w:fill="FFFFFF"/>
        <w:adjustRightInd w:val="0"/>
        <w:snapToGrid w:val="0"/>
        <w:spacing w:after="0" w:line="360" w:lineRule="auto"/>
        <w:rPr>
          <w:rFonts w:ascii="Book Antiqua" w:eastAsia="SimSun" w:hAnsi="Book Antiqua" w:cs="Helvetica"/>
          <w:sz w:val="24"/>
          <w:szCs w:val="24"/>
          <w:lang w:eastAsia="zh-CN"/>
        </w:rPr>
      </w:pPr>
      <w:r w:rsidRPr="006D5DF2">
        <w:rPr>
          <w:rFonts w:ascii="Book Antiqua" w:eastAsia="SimSun" w:hAnsi="Book Antiqua" w:cs="Helvetica"/>
          <w:sz w:val="24"/>
          <w:szCs w:val="24"/>
          <w:lang w:eastAsia="zh-CN"/>
        </w:rPr>
        <w:t xml:space="preserve">Grade D (Fair): </w:t>
      </w:r>
      <w:bookmarkEnd w:id="207"/>
      <w:bookmarkEnd w:id="208"/>
      <w:r w:rsidR="003610D2" w:rsidRPr="003610D2">
        <w:rPr>
          <w:rFonts w:ascii="Book Antiqua" w:eastAsia="SimSun" w:hAnsi="Book Antiqua" w:cs="Helvetica"/>
          <w:sz w:val="24"/>
          <w:szCs w:val="24"/>
          <w:lang w:eastAsia="zh-CN"/>
        </w:rPr>
        <w:t>D</w:t>
      </w:r>
    </w:p>
    <w:p w14:paraId="1131F6EF" w14:textId="77777777" w:rsidR="006D5DF2" w:rsidRPr="006D5DF2" w:rsidRDefault="006D5DF2" w:rsidP="006D5DF2">
      <w:pPr>
        <w:shd w:val="clear" w:color="auto" w:fill="FFFFFF"/>
        <w:adjustRightInd w:val="0"/>
        <w:snapToGrid w:val="0"/>
        <w:spacing w:after="0" w:line="360" w:lineRule="auto"/>
        <w:rPr>
          <w:rFonts w:ascii="Book Antiqua" w:eastAsia="SimSun" w:hAnsi="Book Antiqua" w:cs="Helvetica"/>
          <w:sz w:val="24"/>
          <w:szCs w:val="24"/>
          <w:lang w:eastAsia="zh-CN"/>
        </w:rPr>
      </w:pPr>
      <w:r w:rsidRPr="006D5DF2">
        <w:rPr>
          <w:rFonts w:ascii="Book Antiqua" w:eastAsia="SimSun" w:hAnsi="Book Antiqua" w:cs="Helvetica"/>
          <w:sz w:val="24"/>
          <w:szCs w:val="24"/>
          <w:lang w:eastAsia="zh-CN"/>
        </w:rPr>
        <w:t xml:space="preserve">Grade E (Poor): </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6D5DF2">
        <w:rPr>
          <w:rFonts w:ascii="Book Antiqua" w:eastAsia="SimSun" w:hAnsi="Book Antiqua" w:cs="Helvetica"/>
          <w:sz w:val="24"/>
          <w:szCs w:val="24"/>
          <w:lang w:eastAsia="zh-CN"/>
        </w:rPr>
        <w:t>0</w:t>
      </w:r>
    </w:p>
    <w:bookmarkEnd w:id="255"/>
    <w:p w14:paraId="54078F2E" w14:textId="44DAE466" w:rsidR="00DD74B7" w:rsidRPr="003610D2" w:rsidRDefault="00DD74B7" w:rsidP="00F61D5F">
      <w:pPr>
        <w:adjustRightInd w:val="0"/>
        <w:snapToGrid w:val="0"/>
        <w:spacing w:after="0" w:line="360" w:lineRule="auto"/>
        <w:jc w:val="both"/>
        <w:rPr>
          <w:rFonts w:ascii="Book Antiqua" w:hAnsi="Book Antiqua"/>
          <w:sz w:val="24"/>
          <w:szCs w:val="24"/>
        </w:rPr>
      </w:pPr>
    </w:p>
    <w:p w14:paraId="59D742EB" w14:textId="3DB42F9E" w:rsidR="00831ED4" w:rsidRPr="003610D2" w:rsidRDefault="00831ED4">
      <w:pPr>
        <w:rPr>
          <w:rFonts w:ascii="Book Antiqua" w:hAnsi="Book Antiqua"/>
          <w:sz w:val="24"/>
          <w:szCs w:val="24"/>
        </w:rPr>
      </w:pPr>
      <w:r w:rsidRPr="003610D2">
        <w:rPr>
          <w:rFonts w:ascii="Book Antiqua" w:hAnsi="Book Antiqua"/>
          <w:sz w:val="24"/>
          <w:szCs w:val="24"/>
        </w:rPr>
        <w:br w:type="page"/>
      </w:r>
    </w:p>
    <w:p w14:paraId="44938F39" w14:textId="5E38125B" w:rsidR="0061603D" w:rsidRPr="003610D2" w:rsidRDefault="006B68F7" w:rsidP="00F61D5F">
      <w:pPr>
        <w:adjustRightInd w:val="0"/>
        <w:snapToGrid w:val="0"/>
        <w:spacing w:after="0" w:line="360" w:lineRule="auto"/>
        <w:jc w:val="both"/>
        <w:rPr>
          <w:rFonts w:ascii="Book Antiqua" w:hAnsi="Book Antiqua"/>
          <w:sz w:val="24"/>
          <w:szCs w:val="24"/>
        </w:rPr>
      </w:pPr>
      <w:r>
        <w:rPr>
          <w:rFonts w:ascii="Book Antiqua" w:hAnsi="Book Antiqua"/>
          <w:noProof/>
          <w:sz w:val="24"/>
          <w:szCs w:val="24"/>
        </w:rPr>
        <w:lastRenderedPageBreak/>
        <w:drawing>
          <wp:inline distT="0" distB="0" distL="0" distR="0" wp14:anchorId="28250780" wp14:editId="23FAA63C">
            <wp:extent cx="5575300" cy="5410200"/>
            <wp:effectExtent l="0" t="0" r="0" b="635"/>
            <wp:docPr id="1" name="图片 1"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015014-91AC-457C-A43D-A47FE8F5EF4A.png"/>
                    <pic:cNvPicPr/>
                  </pic:nvPicPr>
                  <pic:blipFill>
                    <a:blip r:embed="rId9">
                      <a:extLst>
                        <a:ext uri="{28A0092B-C50C-407E-A947-70E740481C1C}">
                          <a14:useLocalDpi xmlns:a14="http://schemas.microsoft.com/office/drawing/2010/main" val="0"/>
                        </a:ext>
                      </a:extLst>
                    </a:blip>
                    <a:stretch>
                      <a:fillRect/>
                    </a:stretch>
                  </pic:blipFill>
                  <pic:spPr>
                    <a:xfrm>
                      <a:off x="0" y="0"/>
                      <a:ext cx="5575300" cy="5410200"/>
                    </a:xfrm>
                    <a:prstGeom prst="rect">
                      <a:avLst/>
                    </a:prstGeom>
                  </pic:spPr>
                </pic:pic>
              </a:graphicData>
            </a:graphic>
          </wp:inline>
        </w:drawing>
      </w:r>
    </w:p>
    <w:p w14:paraId="43AB4DD6" w14:textId="4D258D4A" w:rsidR="00227205" w:rsidRPr="003610D2" w:rsidRDefault="00707681" w:rsidP="003610D2">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 xml:space="preserve">Figure 1 Consort </w:t>
      </w:r>
      <w:r w:rsidR="003610D2" w:rsidRPr="003610D2">
        <w:rPr>
          <w:rFonts w:ascii="Book Antiqua" w:hAnsi="Book Antiqua"/>
          <w:b/>
          <w:sz w:val="24"/>
          <w:szCs w:val="24"/>
        </w:rPr>
        <w:t>d</w:t>
      </w:r>
      <w:r w:rsidRPr="003610D2">
        <w:rPr>
          <w:rFonts w:ascii="Book Antiqua" w:hAnsi="Book Antiqua"/>
          <w:b/>
          <w:sz w:val="24"/>
          <w:szCs w:val="24"/>
        </w:rPr>
        <w:t>iagram</w:t>
      </w:r>
      <w:r w:rsidR="003610D2" w:rsidRPr="003610D2">
        <w:rPr>
          <w:rFonts w:ascii="Book Antiqua" w:hAnsi="Book Antiqua"/>
          <w:b/>
          <w:sz w:val="24"/>
          <w:szCs w:val="24"/>
        </w:rPr>
        <w:t xml:space="preserve">. </w:t>
      </w:r>
      <w:r w:rsidR="00227205" w:rsidRPr="003610D2">
        <w:rPr>
          <w:rFonts w:ascii="Book Antiqua" w:hAnsi="Book Antiqua"/>
          <w:color w:val="000000" w:themeColor="text1"/>
          <w:kern w:val="24"/>
          <w:sz w:val="24"/>
          <w:szCs w:val="24"/>
        </w:rPr>
        <w:t xml:space="preserve">Consort diagram for the study. Modulator refers to lumacaftor/ivacaftor use. </w:t>
      </w:r>
      <w:r w:rsidR="00AC05C8" w:rsidRPr="003610D2">
        <w:rPr>
          <w:rFonts w:ascii="Book Antiqua" w:hAnsi="Book Antiqua"/>
          <w:color w:val="000000" w:themeColor="text1"/>
          <w:kern w:val="24"/>
          <w:sz w:val="24"/>
          <w:szCs w:val="24"/>
        </w:rPr>
        <w:t xml:space="preserve">CF: </w:t>
      </w:r>
      <w:r w:rsidR="006B68F7">
        <w:rPr>
          <w:rFonts w:ascii="Book Antiqua" w:hAnsi="Book Antiqua"/>
          <w:color w:val="000000" w:themeColor="text1"/>
          <w:kern w:val="24"/>
          <w:sz w:val="24"/>
          <w:szCs w:val="24"/>
        </w:rPr>
        <w:t>C</w:t>
      </w:r>
      <w:r w:rsidR="00AC05C8" w:rsidRPr="003610D2">
        <w:rPr>
          <w:rFonts w:ascii="Book Antiqua" w:hAnsi="Book Antiqua"/>
          <w:color w:val="000000" w:themeColor="text1"/>
          <w:kern w:val="24"/>
          <w:sz w:val="24"/>
          <w:szCs w:val="24"/>
        </w:rPr>
        <w:t>ystic fibrosis, MRI:</w:t>
      </w:r>
      <w:r w:rsidR="00227205" w:rsidRPr="003610D2">
        <w:rPr>
          <w:rFonts w:ascii="Book Antiqua" w:hAnsi="Book Antiqua"/>
          <w:color w:val="000000" w:themeColor="text1"/>
          <w:kern w:val="24"/>
          <w:sz w:val="24"/>
          <w:szCs w:val="24"/>
        </w:rPr>
        <w:t xml:space="preserve"> </w:t>
      </w:r>
      <w:r w:rsidR="006B68F7">
        <w:rPr>
          <w:rFonts w:ascii="Book Antiqua" w:hAnsi="Book Antiqua"/>
          <w:color w:val="000000" w:themeColor="text1"/>
          <w:kern w:val="24"/>
          <w:sz w:val="24"/>
          <w:szCs w:val="24"/>
        </w:rPr>
        <w:t>M</w:t>
      </w:r>
      <w:bookmarkStart w:id="256" w:name="OLE_LINK687"/>
      <w:bookmarkStart w:id="257" w:name="OLE_LINK688"/>
      <w:r w:rsidR="00227205" w:rsidRPr="003610D2">
        <w:rPr>
          <w:rFonts w:ascii="Book Antiqua" w:hAnsi="Book Antiqua"/>
          <w:color w:val="000000" w:themeColor="text1"/>
          <w:kern w:val="24"/>
          <w:sz w:val="24"/>
          <w:szCs w:val="24"/>
        </w:rPr>
        <w:t>agnetic resonance imaging</w:t>
      </w:r>
      <w:bookmarkEnd w:id="256"/>
      <w:bookmarkEnd w:id="257"/>
      <w:r w:rsidR="006B68F7">
        <w:rPr>
          <w:rFonts w:ascii="Book Antiqua" w:hAnsi="Book Antiqua"/>
          <w:color w:val="000000" w:themeColor="text1"/>
          <w:kern w:val="24"/>
          <w:sz w:val="24"/>
          <w:szCs w:val="24"/>
        </w:rPr>
        <w:t xml:space="preserve">; CFTR: </w:t>
      </w:r>
      <w:r w:rsidR="006B68F7">
        <w:rPr>
          <w:rFonts w:ascii="Book Antiqua" w:hAnsi="Book Antiqua"/>
          <w:sz w:val="24"/>
          <w:szCs w:val="24"/>
        </w:rPr>
        <w:t>C</w:t>
      </w:r>
      <w:r w:rsidR="006B68F7" w:rsidRPr="003610D2">
        <w:rPr>
          <w:rFonts w:ascii="Book Antiqua" w:hAnsi="Book Antiqua"/>
          <w:sz w:val="24"/>
          <w:szCs w:val="24"/>
        </w:rPr>
        <w:t>ystic fibrosis transmembrane conductance regulator</w:t>
      </w:r>
      <w:r w:rsidR="006B68F7">
        <w:rPr>
          <w:rFonts w:ascii="Book Antiqua" w:hAnsi="Book Antiqua"/>
          <w:sz w:val="24"/>
          <w:szCs w:val="24"/>
        </w:rPr>
        <w:t>.</w:t>
      </w:r>
    </w:p>
    <w:p w14:paraId="3819E25D" w14:textId="77777777" w:rsidR="003610D2" w:rsidRPr="003610D2" w:rsidRDefault="003610D2">
      <w:pPr>
        <w:rPr>
          <w:rFonts w:ascii="Book Antiqua" w:hAnsi="Book Antiqua"/>
          <w:sz w:val="24"/>
          <w:szCs w:val="24"/>
        </w:rPr>
      </w:pPr>
      <w:r w:rsidRPr="003610D2">
        <w:rPr>
          <w:rFonts w:ascii="Book Antiqua" w:hAnsi="Book Antiqua"/>
          <w:sz w:val="24"/>
          <w:szCs w:val="24"/>
        </w:rPr>
        <w:br w:type="page"/>
      </w:r>
    </w:p>
    <w:p w14:paraId="35779090" w14:textId="79DD8C26" w:rsidR="003610D2" w:rsidRPr="003610D2" w:rsidRDefault="006B68F7" w:rsidP="00F61D5F">
      <w:pPr>
        <w:adjustRightInd w:val="0"/>
        <w:snapToGrid w:val="0"/>
        <w:spacing w:after="0" w:line="360" w:lineRule="auto"/>
        <w:jc w:val="both"/>
        <w:rPr>
          <w:rFonts w:ascii="Book Antiqua" w:hAnsi="Book Antiqua"/>
          <w:b/>
          <w:sz w:val="24"/>
          <w:szCs w:val="24"/>
        </w:rPr>
      </w:pPr>
      <w:r>
        <w:rPr>
          <w:rFonts w:ascii="Book Antiqua" w:hAnsi="Book Antiqua"/>
          <w:b/>
          <w:noProof/>
          <w:sz w:val="24"/>
          <w:szCs w:val="24"/>
        </w:rPr>
        <w:lastRenderedPageBreak/>
        <w:drawing>
          <wp:inline distT="0" distB="0" distL="0" distR="0" wp14:anchorId="43568B9C" wp14:editId="505529D0">
            <wp:extent cx="4165600" cy="3797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8FCFDE-AFE2-46B7-8DE8-C1CA3BE6826F.png"/>
                    <pic:cNvPicPr/>
                  </pic:nvPicPr>
                  <pic:blipFill>
                    <a:blip r:embed="rId10">
                      <a:extLst>
                        <a:ext uri="{28A0092B-C50C-407E-A947-70E740481C1C}">
                          <a14:useLocalDpi xmlns:a14="http://schemas.microsoft.com/office/drawing/2010/main" val="0"/>
                        </a:ext>
                      </a:extLst>
                    </a:blip>
                    <a:stretch>
                      <a:fillRect/>
                    </a:stretch>
                  </pic:blipFill>
                  <pic:spPr>
                    <a:xfrm>
                      <a:off x="0" y="0"/>
                      <a:ext cx="4165600" cy="3797300"/>
                    </a:xfrm>
                    <a:prstGeom prst="rect">
                      <a:avLst/>
                    </a:prstGeom>
                  </pic:spPr>
                </pic:pic>
              </a:graphicData>
            </a:graphic>
          </wp:inline>
        </w:drawing>
      </w:r>
    </w:p>
    <w:p w14:paraId="2FD62D26" w14:textId="557E1731" w:rsidR="00B129F8" w:rsidRPr="006B68F7" w:rsidRDefault="00B129F8" w:rsidP="006B68F7">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 xml:space="preserve">Figure 2 </w:t>
      </w:r>
      <w:r w:rsidR="00221E35" w:rsidRPr="003610D2">
        <w:rPr>
          <w:rFonts w:ascii="Book Antiqua" w:hAnsi="Book Antiqua"/>
          <w:b/>
          <w:sz w:val="24"/>
          <w:szCs w:val="24"/>
        </w:rPr>
        <w:t xml:space="preserve">Hepatic </w:t>
      </w:r>
      <w:r w:rsidR="0061603D" w:rsidRPr="003610D2">
        <w:rPr>
          <w:rFonts w:ascii="Book Antiqua" w:hAnsi="Book Antiqua"/>
          <w:b/>
          <w:sz w:val="24"/>
          <w:szCs w:val="24"/>
        </w:rPr>
        <w:t>s</w:t>
      </w:r>
      <w:r w:rsidR="00221E35" w:rsidRPr="003610D2">
        <w:rPr>
          <w:rFonts w:ascii="Book Antiqua" w:hAnsi="Book Antiqua"/>
          <w:b/>
          <w:sz w:val="24"/>
          <w:szCs w:val="24"/>
        </w:rPr>
        <w:t>teatosis (</w:t>
      </w:r>
      <w:r w:rsidR="0061603D" w:rsidRPr="003610D2">
        <w:rPr>
          <w:rFonts w:ascii="Book Antiqua" w:hAnsi="Book Antiqua"/>
          <w:b/>
          <w:sz w:val="24"/>
          <w:szCs w:val="24"/>
        </w:rPr>
        <w:t>p</w:t>
      </w:r>
      <w:r w:rsidR="00221E35" w:rsidRPr="003610D2">
        <w:rPr>
          <w:rFonts w:ascii="Book Antiqua" w:hAnsi="Book Antiqua"/>
          <w:b/>
          <w:sz w:val="24"/>
          <w:szCs w:val="24"/>
        </w:rPr>
        <w:t xml:space="preserve">roton </w:t>
      </w:r>
      <w:r w:rsidR="0061603D" w:rsidRPr="003610D2">
        <w:rPr>
          <w:rFonts w:ascii="Book Antiqua" w:hAnsi="Book Antiqua"/>
          <w:b/>
          <w:sz w:val="24"/>
          <w:szCs w:val="24"/>
        </w:rPr>
        <w:t>d</w:t>
      </w:r>
      <w:r w:rsidR="00221E35" w:rsidRPr="003610D2">
        <w:rPr>
          <w:rFonts w:ascii="Book Antiqua" w:hAnsi="Book Antiqua"/>
          <w:b/>
          <w:sz w:val="24"/>
          <w:szCs w:val="24"/>
        </w:rPr>
        <w:t xml:space="preserve">ensity </w:t>
      </w:r>
      <w:r w:rsidR="0061603D" w:rsidRPr="003610D2">
        <w:rPr>
          <w:rFonts w:ascii="Book Antiqua" w:hAnsi="Book Antiqua"/>
          <w:b/>
          <w:sz w:val="24"/>
          <w:szCs w:val="24"/>
        </w:rPr>
        <w:t>f</w:t>
      </w:r>
      <w:r w:rsidR="00221E35" w:rsidRPr="003610D2">
        <w:rPr>
          <w:rFonts w:ascii="Book Antiqua" w:hAnsi="Book Antiqua"/>
          <w:b/>
          <w:sz w:val="24"/>
          <w:szCs w:val="24"/>
        </w:rPr>
        <w:t xml:space="preserve">at </w:t>
      </w:r>
      <w:r w:rsidR="0061603D" w:rsidRPr="003610D2">
        <w:rPr>
          <w:rFonts w:ascii="Book Antiqua" w:hAnsi="Book Antiqua"/>
          <w:b/>
          <w:sz w:val="24"/>
          <w:szCs w:val="24"/>
        </w:rPr>
        <w:t>f</w:t>
      </w:r>
      <w:r w:rsidR="00221E35" w:rsidRPr="003610D2">
        <w:rPr>
          <w:rFonts w:ascii="Book Antiqua" w:hAnsi="Book Antiqua"/>
          <w:b/>
          <w:sz w:val="24"/>
          <w:szCs w:val="24"/>
        </w:rPr>
        <w:t xml:space="preserve">raction) </w:t>
      </w:r>
      <w:r w:rsidR="0061603D" w:rsidRPr="003610D2">
        <w:rPr>
          <w:rFonts w:ascii="Book Antiqua" w:hAnsi="Book Antiqua"/>
          <w:b/>
          <w:sz w:val="24"/>
          <w:szCs w:val="24"/>
        </w:rPr>
        <w:t>s</w:t>
      </w:r>
      <w:r w:rsidR="00221E35" w:rsidRPr="003610D2">
        <w:rPr>
          <w:rFonts w:ascii="Book Antiqua" w:hAnsi="Book Antiqua"/>
          <w:b/>
          <w:sz w:val="24"/>
          <w:szCs w:val="24"/>
        </w:rPr>
        <w:t xml:space="preserve">tratified by </w:t>
      </w:r>
      <w:r w:rsidR="0061603D" w:rsidRPr="003610D2">
        <w:rPr>
          <w:rFonts w:ascii="Book Antiqua" w:hAnsi="Book Antiqua"/>
          <w:b/>
          <w:sz w:val="24"/>
          <w:szCs w:val="24"/>
        </w:rPr>
        <w:t>lumacaftor/ivacaftor</w:t>
      </w:r>
      <w:r w:rsidR="00221E35" w:rsidRPr="003610D2">
        <w:rPr>
          <w:rFonts w:ascii="Book Antiqua" w:hAnsi="Book Antiqua"/>
          <w:b/>
          <w:sz w:val="24"/>
          <w:szCs w:val="24"/>
        </w:rPr>
        <w:t xml:space="preserve"> </w:t>
      </w:r>
      <w:r w:rsidR="0061603D" w:rsidRPr="003610D2">
        <w:rPr>
          <w:rFonts w:ascii="Book Antiqua" w:hAnsi="Book Antiqua"/>
          <w:b/>
          <w:sz w:val="24"/>
          <w:szCs w:val="24"/>
        </w:rPr>
        <w:t>u</w:t>
      </w:r>
      <w:r w:rsidR="00221E35" w:rsidRPr="003610D2">
        <w:rPr>
          <w:rFonts w:ascii="Book Antiqua" w:hAnsi="Book Antiqua"/>
          <w:b/>
          <w:sz w:val="24"/>
          <w:szCs w:val="24"/>
        </w:rPr>
        <w:t>se.</w:t>
      </w:r>
      <w:r w:rsidR="006B68F7">
        <w:rPr>
          <w:rFonts w:ascii="Book Antiqua" w:hAnsi="Book Antiqua"/>
          <w:b/>
          <w:sz w:val="24"/>
          <w:szCs w:val="24"/>
        </w:rPr>
        <w:t xml:space="preserve"> </w:t>
      </w:r>
      <w:r w:rsidR="00221E35" w:rsidRPr="003610D2">
        <w:rPr>
          <w:rFonts w:ascii="Book Antiqua" w:hAnsi="Book Antiqua"/>
          <w:color w:val="000000" w:themeColor="text1"/>
          <w:kern w:val="24"/>
          <w:sz w:val="24"/>
          <w:szCs w:val="24"/>
        </w:rPr>
        <w:t xml:space="preserve">Subjects receiving </w:t>
      </w:r>
      <w:r w:rsidR="006B68F7">
        <w:rPr>
          <w:rFonts w:ascii="Book Antiqua" w:hAnsi="Book Antiqua"/>
          <w:sz w:val="24"/>
          <w:szCs w:val="24"/>
        </w:rPr>
        <w:t>c</w:t>
      </w:r>
      <w:r w:rsidR="006B68F7" w:rsidRPr="003610D2">
        <w:rPr>
          <w:rFonts w:ascii="Book Antiqua" w:hAnsi="Book Antiqua"/>
          <w:sz w:val="24"/>
          <w:szCs w:val="24"/>
        </w:rPr>
        <w:t>ystic fibrosis transmembrane conductance regulator</w:t>
      </w:r>
      <w:r w:rsidR="006B68F7" w:rsidRPr="003610D2">
        <w:rPr>
          <w:rFonts w:ascii="Book Antiqua" w:hAnsi="Book Antiqua"/>
          <w:color w:val="000000" w:themeColor="text1"/>
          <w:kern w:val="24"/>
          <w:sz w:val="24"/>
          <w:szCs w:val="24"/>
        </w:rPr>
        <w:t xml:space="preserve"> </w:t>
      </w:r>
      <w:r w:rsidR="006B68F7">
        <w:rPr>
          <w:rFonts w:ascii="Book Antiqua" w:hAnsi="Book Antiqua"/>
          <w:color w:val="000000" w:themeColor="text1"/>
          <w:kern w:val="24"/>
          <w:sz w:val="24"/>
          <w:szCs w:val="24"/>
        </w:rPr>
        <w:t>(</w:t>
      </w:r>
      <w:r w:rsidR="00221E35" w:rsidRPr="003610D2">
        <w:rPr>
          <w:rFonts w:ascii="Book Antiqua" w:hAnsi="Book Antiqua"/>
          <w:color w:val="000000" w:themeColor="text1"/>
          <w:kern w:val="24"/>
          <w:sz w:val="24"/>
          <w:szCs w:val="24"/>
        </w:rPr>
        <w:t>CFTR</w:t>
      </w:r>
      <w:r w:rsidR="006B68F7">
        <w:rPr>
          <w:rFonts w:ascii="Book Antiqua" w:hAnsi="Book Antiqua"/>
          <w:color w:val="000000" w:themeColor="text1"/>
          <w:kern w:val="24"/>
          <w:sz w:val="24"/>
          <w:szCs w:val="24"/>
        </w:rPr>
        <w:t>)</w:t>
      </w:r>
      <w:r w:rsidR="00221E35" w:rsidRPr="003610D2">
        <w:rPr>
          <w:rFonts w:ascii="Book Antiqua" w:hAnsi="Book Antiqua"/>
          <w:color w:val="000000" w:themeColor="text1"/>
          <w:kern w:val="24"/>
          <w:sz w:val="24"/>
          <w:szCs w:val="24"/>
        </w:rPr>
        <w:t xml:space="preserve"> modulator (lumacaftor/ivacaftor) had a median proton density fat fraction of 2.1%. Subjects not receiving CFTR modulator had a median proton density fat fraction of 4.1%.</w:t>
      </w:r>
      <w:r w:rsidR="001C1832">
        <w:rPr>
          <w:rFonts w:ascii="Book Antiqua" w:hAnsi="Book Antiqua"/>
          <w:color w:val="000000" w:themeColor="text1"/>
          <w:kern w:val="24"/>
          <w:sz w:val="24"/>
          <w:szCs w:val="24"/>
        </w:rPr>
        <w:t xml:space="preserve"> </w:t>
      </w:r>
      <w:r w:rsidRPr="003610D2">
        <w:rPr>
          <w:rFonts w:ascii="Book Antiqua" w:hAnsi="Book Antiqua"/>
          <w:color w:val="000000" w:themeColor="text1"/>
          <w:kern w:val="24"/>
          <w:sz w:val="24"/>
          <w:szCs w:val="24"/>
        </w:rPr>
        <w:t>Each dot represents one subject.</w:t>
      </w:r>
      <w:r w:rsidR="001C1832">
        <w:rPr>
          <w:rFonts w:ascii="Book Antiqua" w:hAnsi="Book Antiqua"/>
          <w:color w:val="000000" w:themeColor="text1"/>
          <w:kern w:val="24"/>
          <w:sz w:val="24"/>
          <w:szCs w:val="24"/>
        </w:rPr>
        <w:t xml:space="preserve"> </w:t>
      </w:r>
      <w:r w:rsidRPr="003610D2">
        <w:rPr>
          <w:rFonts w:ascii="Book Antiqua" w:hAnsi="Book Antiqua"/>
          <w:color w:val="000000" w:themeColor="text1"/>
          <w:kern w:val="24"/>
          <w:sz w:val="24"/>
          <w:szCs w:val="24"/>
        </w:rPr>
        <w:t>Horizontal line</w:t>
      </w:r>
      <w:r w:rsidR="0061603D" w:rsidRPr="003610D2">
        <w:rPr>
          <w:rFonts w:ascii="Book Antiqua" w:hAnsi="Book Antiqua"/>
          <w:color w:val="000000" w:themeColor="text1"/>
          <w:kern w:val="24"/>
          <w:sz w:val="24"/>
          <w:szCs w:val="24"/>
        </w:rPr>
        <w:t>s</w:t>
      </w:r>
      <w:r w:rsidRPr="003610D2">
        <w:rPr>
          <w:rFonts w:ascii="Book Antiqua" w:hAnsi="Book Antiqua"/>
          <w:color w:val="000000" w:themeColor="text1"/>
          <w:kern w:val="24"/>
          <w:sz w:val="24"/>
          <w:szCs w:val="24"/>
        </w:rPr>
        <w:t xml:space="preserve"> indicate the minimum, median and maximum for each group. </w:t>
      </w:r>
      <w:r w:rsidR="008F6EC9" w:rsidRPr="006B68F7">
        <w:rPr>
          <w:rFonts w:ascii="Book Antiqua" w:hAnsi="Book Antiqua"/>
          <w:i/>
          <w:iCs/>
          <w:color w:val="000000" w:themeColor="text1"/>
          <w:kern w:val="24"/>
          <w:sz w:val="24"/>
          <w:szCs w:val="24"/>
        </w:rPr>
        <w:t>P</w:t>
      </w:r>
      <w:r w:rsidR="008F6EC9" w:rsidRPr="003610D2">
        <w:rPr>
          <w:rFonts w:ascii="Book Antiqua" w:hAnsi="Book Antiqua"/>
          <w:color w:val="000000" w:themeColor="text1"/>
          <w:kern w:val="24"/>
          <w:sz w:val="24"/>
          <w:szCs w:val="24"/>
        </w:rPr>
        <w:t xml:space="preserve"> = </w:t>
      </w:r>
      <w:r w:rsidRPr="003610D2">
        <w:rPr>
          <w:rFonts w:ascii="Book Antiqua" w:hAnsi="Book Antiqua"/>
          <w:color w:val="000000" w:themeColor="text1"/>
          <w:kern w:val="24"/>
          <w:sz w:val="24"/>
          <w:szCs w:val="24"/>
        </w:rPr>
        <w:t>0.002</w:t>
      </w:r>
      <w:r w:rsidR="006B68F7">
        <w:rPr>
          <w:rFonts w:ascii="Book Antiqua" w:hAnsi="Book Antiqua"/>
          <w:color w:val="000000" w:themeColor="text1"/>
          <w:kern w:val="24"/>
          <w:sz w:val="24"/>
          <w:szCs w:val="24"/>
        </w:rPr>
        <w:t xml:space="preserve">. CFTR: </w:t>
      </w:r>
      <w:bookmarkStart w:id="258" w:name="OLE_LINK685"/>
      <w:bookmarkStart w:id="259" w:name="OLE_LINK686"/>
      <w:r w:rsidR="006B68F7">
        <w:rPr>
          <w:rFonts w:ascii="Book Antiqua" w:hAnsi="Book Antiqua"/>
          <w:sz w:val="24"/>
          <w:szCs w:val="24"/>
        </w:rPr>
        <w:t>C</w:t>
      </w:r>
      <w:r w:rsidR="006B68F7" w:rsidRPr="003610D2">
        <w:rPr>
          <w:rFonts w:ascii="Book Antiqua" w:hAnsi="Book Antiqua"/>
          <w:sz w:val="24"/>
          <w:szCs w:val="24"/>
        </w:rPr>
        <w:t>ystic fibrosis transmembrane conductance regulator</w:t>
      </w:r>
      <w:bookmarkEnd w:id="258"/>
      <w:bookmarkEnd w:id="259"/>
      <w:r w:rsidR="006B68F7">
        <w:rPr>
          <w:rFonts w:ascii="Book Antiqua" w:hAnsi="Book Antiqua"/>
          <w:sz w:val="24"/>
          <w:szCs w:val="24"/>
        </w:rPr>
        <w:t>.</w:t>
      </w:r>
    </w:p>
    <w:p w14:paraId="6189A1A8" w14:textId="77777777" w:rsidR="006B68F7" w:rsidRDefault="006B68F7">
      <w:pPr>
        <w:rPr>
          <w:rFonts w:ascii="Book Antiqua" w:hAnsi="Book Antiqua"/>
          <w:sz w:val="24"/>
          <w:szCs w:val="24"/>
        </w:rPr>
      </w:pPr>
      <w:r>
        <w:rPr>
          <w:rFonts w:ascii="Book Antiqua" w:hAnsi="Book Antiqua"/>
          <w:sz w:val="24"/>
          <w:szCs w:val="24"/>
        </w:rPr>
        <w:br w:type="page"/>
      </w:r>
    </w:p>
    <w:p w14:paraId="04949896" w14:textId="2495065B" w:rsidR="00E82243" w:rsidRPr="003610D2" w:rsidRDefault="002A4285"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lastRenderedPageBreak/>
        <w:t>Table 1</w:t>
      </w:r>
      <w:r w:rsidR="004D316C">
        <w:rPr>
          <w:rFonts w:ascii="Book Antiqua" w:hAnsi="Book Antiqua"/>
          <w:b/>
          <w:sz w:val="24"/>
          <w:szCs w:val="24"/>
        </w:rPr>
        <w:t xml:space="preserve"> </w:t>
      </w:r>
      <w:r w:rsidRPr="003610D2">
        <w:rPr>
          <w:rFonts w:ascii="Book Antiqua" w:hAnsi="Book Antiqua"/>
          <w:b/>
          <w:sz w:val="24"/>
          <w:szCs w:val="24"/>
        </w:rPr>
        <w:t>Demographics for all subjects and s</w:t>
      </w:r>
      <w:r w:rsidR="00E82243" w:rsidRPr="003610D2">
        <w:rPr>
          <w:rFonts w:ascii="Book Antiqua" w:hAnsi="Book Antiqua"/>
          <w:b/>
          <w:sz w:val="24"/>
          <w:szCs w:val="24"/>
        </w:rPr>
        <w:t>tratified by modulator (</w:t>
      </w:r>
      <w:r w:rsidR="004D316C" w:rsidRPr="003610D2">
        <w:rPr>
          <w:rFonts w:ascii="Book Antiqua" w:hAnsi="Book Antiqua"/>
          <w:b/>
          <w:sz w:val="24"/>
          <w:szCs w:val="24"/>
        </w:rPr>
        <w:t>lumacaftor/ivacaftor</w:t>
      </w:r>
      <w:r w:rsidR="00E82243" w:rsidRPr="003610D2">
        <w:rPr>
          <w:rFonts w:ascii="Book Antiqua" w:hAnsi="Book Antiqua"/>
          <w:b/>
          <w:sz w:val="24"/>
          <w:szCs w:val="24"/>
        </w:rPr>
        <w:t>) use</w:t>
      </w:r>
      <w:r w:rsidR="004C7928">
        <w:rPr>
          <w:rFonts w:ascii="Book Antiqua" w:hAnsi="Book Antiqua"/>
          <w:b/>
          <w:sz w:val="24"/>
          <w:szCs w:val="24"/>
        </w:rPr>
        <w:t xml:space="preserve">, </w:t>
      </w:r>
      <w:r w:rsidR="004C7928" w:rsidRPr="004C7928">
        <w:rPr>
          <w:rFonts w:ascii="Book Antiqua" w:hAnsi="Book Antiqua"/>
          <w:b/>
          <w:i/>
          <w:iCs/>
          <w:sz w:val="24"/>
          <w:szCs w:val="24"/>
        </w:rPr>
        <w:t>n</w:t>
      </w:r>
      <w:r w:rsidR="004C7928">
        <w:rPr>
          <w:rFonts w:ascii="Book Antiqua" w:hAnsi="Book Antiqua"/>
          <w:b/>
          <w:sz w:val="24"/>
          <w:szCs w:val="24"/>
        </w:rPr>
        <w:t xml:space="preserve"> (%)</w:t>
      </w:r>
    </w:p>
    <w:tbl>
      <w:tblPr>
        <w:tblStyle w:val="ListTable1Light"/>
        <w:tblpPr w:leftFromText="180" w:rightFromText="180" w:vertAnchor="text" w:horzAnchor="margin" w:tblpY="100"/>
        <w:tblW w:w="0" w:type="auto"/>
        <w:tblLayout w:type="fixed"/>
        <w:tblLook w:val="04A0" w:firstRow="1" w:lastRow="0" w:firstColumn="1" w:lastColumn="0" w:noHBand="0" w:noVBand="1"/>
      </w:tblPr>
      <w:tblGrid>
        <w:gridCol w:w="2230"/>
        <w:gridCol w:w="1905"/>
        <w:gridCol w:w="1980"/>
        <w:gridCol w:w="2250"/>
        <w:gridCol w:w="975"/>
      </w:tblGrid>
      <w:tr w:rsidR="005A0A54" w:rsidRPr="003610D2" w14:paraId="70DE6167" w14:textId="77777777" w:rsidTr="005A0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top w:val="single" w:sz="4" w:space="0" w:color="auto"/>
            </w:tcBorders>
            <w:hideMark/>
          </w:tcPr>
          <w:p w14:paraId="427753ED" w14:textId="77777777" w:rsidR="005A0A54" w:rsidRPr="003610D2" w:rsidRDefault="005A0A54" w:rsidP="00F61D5F">
            <w:pPr>
              <w:adjustRightInd w:val="0"/>
              <w:snapToGrid w:val="0"/>
              <w:spacing w:line="360" w:lineRule="auto"/>
              <w:jc w:val="both"/>
              <w:rPr>
                <w:rFonts w:ascii="Book Antiqua" w:eastAsia="Times New Roman" w:hAnsi="Book Antiqua" w:cs="Times New Roman"/>
                <w:sz w:val="24"/>
                <w:szCs w:val="24"/>
              </w:rPr>
            </w:pPr>
            <w:r w:rsidRPr="003610D2">
              <w:rPr>
                <w:rFonts w:ascii="Book Antiqua" w:hAnsi="Book Antiqua"/>
                <w:sz w:val="24"/>
                <w:szCs w:val="24"/>
              </w:rPr>
              <w:br w:type="page"/>
            </w:r>
            <w:r w:rsidRPr="003610D2">
              <w:rPr>
                <w:rFonts w:ascii="Book Antiqua" w:eastAsia="Times New Roman" w:hAnsi="Book Antiqua" w:cs="Times New Roman"/>
                <w:sz w:val="24"/>
                <w:szCs w:val="24"/>
              </w:rPr>
              <w:t> </w:t>
            </w:r>
          </w:p>
        </w:tc>
        <w:tc>
          <w:tcPr>
            <w:tcW w:w="1905" w:type="dxa"/>
            <w:tcBorders>
              <w:top w:val="single" w:sz="4" w:space="0" w:color="auto"/>
            </w:tcBorders>
          </w:tcPr>
          <w:p w14:paraId="76DB9245" w14:textId="7CF7ED07" w:rsidR="005A0A54" w:rsidRPr="003610D2" w:rsidRDefault="005A0A54"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rPr>
            </w:pPr>
            <w:r w:rsidRPr="003610D2">
              <w:rPr>
                <w:rFonts w:ascii="Book Antiqua" w:eastAsia="Times New Roman" w:hAnsi="Book Antiqua" w:cs="Times New Roman"/>
                <w:sz w:val="24"/>
                <w:szCs w:val="24"/>
              </w:rPr>
              <w:t xml:space="preserve">All </w:t>
            </w:r>
            <w:r w:rsidR="004D316C">
              <w:rPr>
                <w:rFonts w:ascii="Book Antiqua" w:eastAsia="Times New Roman" w:hAnsi="Book Antiqua" w:cs="Times New Roman"/>
                <w:sz w:val="24"/>
                <w:szCs w:val="24"/>
              </w:rPr>
              <w:t>s</w:t>
            </w:r>
            <w:r w:rsidRPr="003610D2">
              <w:rPr>
                <w:rFonts w:ascii="Book Antiqua" w:eastAsia="Times New Roman" w:hAnsi="Book Antiqua" w:cs="Times New Roman"/>
                <w:sz w:val="24"/>
                <w:szCs w:val="24"/>
              </w:rPr>
              <w:t>ubjects</w:t>
            </w:r>
          </w:p>
          <w:p w14:paraId="608765D6" w14:textId="6831857A" w:rsidR="005A0A54"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rPr>
            </w:pPr>
            <w:r w:rsidRPr="004D316C">
              <w:rPr>
                <w:rFonts w:ascii="Book Antiqua" w:eastAsia="Times New Roman" w:hAnsi="Book Antiqua" w:cs="Times New Roman"/>
                <w:i/>
                <w:iCs/>
                <w:sz w:val="24"/>
                <w:szCs w:val="24"/>
              </w:rPr>
              <w:t>n</w:t>
            </w:r>
            <w:r w:rsidRPr="003610D2">
              <w:rPr>
                <w:rFonts w:ascii="Book Antiqua" w:eastAsia="Times New Roman" w:hAnsi="Book Antiqua" w:cs="Times New Roman"/>
                <w:sz w:val="24"/>
                <w:szCs w:val="24"/>
              </w:rPr>
              <w:t xml:space="preserve"> = </w:t>
            </w:r>
            <w:r w:rsidR="005A0A54" w:rsidRPr="003610D2">
              <w:rPr>
                <w:rFonts w:ascii="Book Antiqua" w:eastAsia="Times New Roman" w:hAnsi="Book Antiqua" w:cs="Times New Roman"/>
                <w:sz w:val="24"/>
                <w:szCs w:val="24"/>
              </w:rPr>
              <w:t>20</w:t>
            </w:r>
          </w:p>
        </w:tc>
        <w:tc>
          <w:tcPr>
            <w:tcW w:w="1980" w:type="dxa"/>
            <w:tcBorders>
              <w:top w:val="single" w:sz="4" w:space="0" w:color="auto"/>
            </w:tcBorders>
            <w:hideMark/>
          </w:tcPr>
          <w:p w14:paraId="455ABDD9" w14:textId="00352792" w:rsidR="005A0A54" w:rsidRPr="003610D2" w:rsidRDefault="005A0A54"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CFTR </w:t>
            </w:r>
            <w:r w:rsidR="004D316C">
              <w:rPr>
                <w:rFonts w:ascii="Book Antiqua" w:eastAsia="Times New Roman" w:hAnsi="Book Antiqua" w:cs="Times New Roman"/>
                <w:sz w:val="24"/>
                <w:szCs w:val="24"/>
              </w:rPr>
              <w:t>m</w:t>
            </w:r>
            <w:r w:rsidRPr="003610D2">
              <w:rPr>
                <w:rFonts w:ascii="Book Antiqua" w:eastAsia="Times New Roman" w:hAnsi="Book Antiqua" w:cs="Times New Roman"/>
                <w:sz w:val="24"/>
                <w:szCs w:val="24"/>
              </w:rPr>
              <w:t>odulator</w:t>
            </w:r>
          </w:p>
          <w:p w14:paraId="45321861" w14:textId="30D0B76B" w:rsidR="005A0A54"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D316C">
              <w:rPr>
                <w:rFonts w:ascii="Book Antiqua" w:eastAsia="Times New Roman" w:hAnsi="Book Antiqua" w:cs="Times New Roman"/>
                <w:i/>
                <w:iCs/>
                <w:sz w:val="24"/>
                <w:szCs w:val="24"/>
              </w:rPr>
              <w:t>n</w:t>
            </w:r>
            <w:r w:rsidRPr="003610D2">
              <w:rPr>
                <w:rFonts w:ascii="Book Antiqua" w:eastAsia="Times New Roman" w:hAnsi="Book Antiqua" w:cs="Times New Roman"/>
                <w:sz w:val="24"/>
                <w:szCs w:val="24"/>
              </w:rPr>
              <w:t xml:space="preserve"> = </w:t>
            </w:r>
            <w:r w:rsidR="005A0A54" w:rsidRPr="003610D2">
              <w:rPr>
                <w:rFonts w:ascii="Book Antiqua" w:eastAsia="Times New Roman" w:hAnsi="Book Antiqua" w:cs="Times New Roman"/>
                <w:sz w:val="24"/>
                <w:szCs w:val="24"/>
              </w:rPr>
              <w:t>9</w:t>
            </w:r>
          </w:p>
        </w:tc>
        <w:tc>
          <w:tcPr>
            <w:tcW w:w="2250" w:type="dxa"/>
            <w:tcBorders>
              <w:top w:val="single" w:sz="4" w:space="0" w:color="auto"/>
            </w:tcBorders>
            <w:hideMark/>
          </w:tcPr>
          <w:p w14:paraId="2DDE2651" w14:textId="175A71B6" w:rsidR="005A0A54" w:rsidRPr="003610D2" w:rsidRDefault="005A0A54"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No CFTR </w:t>
            </w:r>
            <w:r w:rsidR="004D316C">
              <w:rPr>
                <w:rFonts w:ascii="Book Antiqua" w:eastAsia="Times New Roman" w:hAnsi="Book Antiqua" w:cs="Times New Roman"/>
                <w:sz w:val="24"/>
                <w:szCs w:val="24"/>
              </w:rPr>
              <w:t>m</w:t>
            </w:r>
            <w:r w:rsidRPr="003610D2">
              <w:rPr>
                <w:rFonts w:ascii="Book Antiqua" w:eastAsia="Times New Roman" w:hAnsi="Book Antiqua" w:cs="Times New Roman"/>
                <w:sz w:val="24"/>
                <w:szCs w:val="24"/>
              </w:rPr>
              <w:t>odulator</w:t>
            </w:r>
          </w:p>
          <w:p w14:paraId="3E70CC8A" w14:textId="2E24EF38" w:rsidR="005A0A54"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D316C">
              <w:rPr>
                <w:rFonts w:ascii="Book Antiqua" w:eastAsia="Times New Roman" w:hAnsi="Book Antiqua" w:cs="Times New Roman"/>
                <w:i/>
                <w:iCs/>
                <w:sz w:val="24"/>
                <w:szCs w:val="24"/>
              </w:rPr>
              <w:t>n</w:t>
            </w:r>
            <w:r w:rsidRPr="003610D2">
              <w:rPr>
                <w:rFonts w:ascii="Book Antiqua" w:eastAsia="Times New Roman" w:hAnsi="Book Antiqua" w:cs="Times New Roman"/>
                <w:sz w:val="24"/>
                <w:szCs w:val="24"/>
              </w:rPr>
              <w:t xml:space="preserve"> = </w:t>
            </w:r>
            <w:r w:rsidR="005A0A54" w:rsidRPr="003610D2">
              <w:rPr>
                <w:rFonts w:ascii="Book Antiqua" w:eastAsia="Times New Roman" w:hAnsi="Book Antiqua" w:cs="Times New Roman"/>
                <w:sz w:val="24"/>
                <w:szCs w:val="24"/>
              </w:rPr>
              <w:t>11</w:t>
            </w:r>
          </w:p>
        </w:tc>
        <w:tc>
          <w:tcPr>
            <w:tcW w:w="975" w:type="dxa"/>
            <w:tcBorders>
              <w:top w:val="single" w:sz="4" w:space="0" w:color="auto"/>
            </w:tcBorders>
            <w:hideMark/>
          </w:tcPr>
          <w:p w14:paraId="08639F2E" w14:textId="359880D1" w:rsidR="005A0A54" w:rsidRPr="003610D2" w:rsidRDefault="004D316C"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D316C">
              <w:rPr>
                <w:rFonts w:ascii="Book Antiqua" w:eastAsia="Times New Roman" w:hAnsi="Book Antiqua" w:cs="Times New Roman"/>
                <w:i/>
                <w:iCs/>
                <w:sz w:val="24"/>
                <w:szCs w:val="24"/>
              </w:rPr>
              <w:t xml:space="preserve">P </w:t>
            </w:r>
            <w:r>
              <w:rPr>
                <w:rFonts w:ascii="Book Antiqua" w:eastAsia="Times New Roman" w:hAnsi="Book Antiqua" w:cs="Times New Roman"/>
                <w:sz w:val="24"/>
                <w:szCs w:val="24"/>
              </w:rPr>
              <w:t>value</w:t>
            </w:r>
            <w:r w:rsidR="005A0A54" w:rsidRPr="003610D2">
              <w:rPr>
                <w:rFonts w:ascii="Book Antiqua" w:eastAsia="Times New Roman" w:hAnsi="Book Antiqua" w:cs="Times New Roman"/>
                <w:sz w:val="24"/>
                <w:szCs w:val="24"/>
              </w:rPr>
              <w:t xml:space="preserve"> </w:t>
            </w:r>
          </w:p>
        </w:tc>
      </w:tr>
      <w:tr w:rsidR="005A0A54" w:rsidRPr="003610D2" w14:paraId="69EC141F" w14:textId="77777777" w:rsidTr="005A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CEEACA" w:themeFill="background1"/>
            <w:hideMark/>
          </w:tcPr>
          <w:p w14:paraId="1E4BA761" w14:textId="4B98A060"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Age at MRI (</w:t>
            </w:r>
            <w:proofErr w:type="spellStart"/>
            <w:r w:rsidRPr="004C7928">
              <w:rPr>
                <w:rFonts w:ascii="Book Antiqua" w:eastAsia="Times New Roman" w:hAnsi="Book Antiqua" w:cs="Times New Roman"/>
                <w:b w:val="0"/>
                <w:bCs w:val="0"/>
                <w:sz w:val="24"/>
                <w:szCs w:val="24"/>
              </w:rPr>
              <w:t>y</w:t>
            </w:r>
            <w:r w:rsidR="004D316C" w:rsidRPr="004C7928">
              <w:rPr>
                <w:rFonts w:ascii="Book Antiqua" w:eastAsia="Times New Roman" w:hAnsi="Book Antiqua" w:cs="Times New Roman"/>
                <w:b w:val="0"/>
                <w:bCs w:val="0"/>
                <w:sz w:val="24"/>
                <w:szCs w:val="24"/>
              </w:rPr>
              <w:t>r</w:t>
            </w:r>
            <w:proofErr w:type="spellEnd"/>
            <w:r w:rsidRPr="004C7928">
              <w:rPr>
                <w:rFonts w:ascii="Book Antiqua" w:eastAsia="Times New Roman" w:hAnsi="Book Antiqua" w:cs="Times New Roman"/>
                <w:b w:val="0"/>
                <w:bCs w:val="0"/>
                <w:sz w:val="24"/>
                <w:szCs w:val="24"/>
              </w:rPr>
              <w:t>)</w:t>
            </w:r>
          </w:p>
        </w:tc>
        <w:tc>
          <w:tcPr>
            <w:tcW w:w="1905" w:type="dxa"/>
            <w:shd w:val="clear" w:color="auto" w:fill="CEEACA" w:themeFill="background1"/>
          </w:tcPr>
          <w:p w14:paraId="5760EA8F"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22.3 (11.3-39.0)</w:t>
            </w:r>
          </w:p>
        </w:tc>
        <w:tc>
          <w:tcPr>
            <w:tcW w:w="1980" w:type="dxa"/>
            <w:shd w:val="clear" w:color="auto" w:fill="CEEACA" w:themeFill="background1"/>
            <w:hideMark/>
          </w:tcPr>
          <w:p w14:paraId="3C13643D"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26.4 (16.3-39.0)</w:t>
            </w:r>
          </w:p>
        </w:tc>
        <w:tc>
          <w:tcPr>
            <w:tcW w:w="2250" w:type="dxa"/>
            <w:shd w:val="clear" w:color="auto" w:fill="CEEACA" w:themeFill="background1"/>
            <w:hideMark/>
          </w:tcPr>
          <w:p w14:paraId="4EF94E67"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21.9 (11.3-36.1)</w:t>
            </w:r>
          </w:p>
        </w:tc>
        <w:tc>
          <w:tcPr>
            <w:tcW w:w="975" w:type="dxa"/>
            <w:shd w:val="clear" w:color="auto" w:fill="CEEACA" w:themeFill="background1"/>
            <w:hideMark/>
          </w:tcPr>
          <w:p w14:paraId="4D41A1E1"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0.29</w:t>
            </w:r>
          </w:p>
        </w:tc>
      </w:tr>
      <w:tr w:rsidR="005A0A54" w:rsidRPr="003610D2" w14:paraId="4329140F" w14:textId="77777777" w:rsidTr="005A0A54">
        <w:tc>
          <w:tcPr>
            <w:cnfStyle w:val="001000000000" w:firstRow="0" w:lastRow="0" w:firstColumn="1" w:lastColumn="0" w:oddVBand="0" w:evenVBand="0" w:oddHBand="0" w:evenHBand="0" w:firstRowFirstColumn="0" w:firstRowLastColumn="0" w:lastRowFirstColumn="0" w:lastRowLastColumn="0"/>
            <w:tcW w:w="2230" w:type="dxa"/>
            <w:shd w:val="clear" w:color="auto" w:fill="CEEACA" w:themeFill="background1"/>
            <w:hideMark/>
          </w:tcPr>
          <w:p w14:paraId="20CCCBDF"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Genotype</w:t>
            </w:r>
          </w:p>
        </w:tc>
        <w:tc>
          <w:tcPr>
            <w:tcW w:w="1905" w:type="dxa"/>
            <w:shd w:val="clear" w:color="auto" w:fill="CEEACA" w:themeFill="background1"/>
          </w:tcPr>
          <w:p w14:paraId="6BB5DEFC"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980" w:type="dxa"/>
            <w:shd w:val="clear" w:color="auto" w:fill="CEEACA" w:themeFill="background1"/>
            <w:hideMark/>
          </w:tcPr>
          <w:p w14:paraId="3B38537F"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w:t>
            </w:r>
          </w:p>
        </w:tc>
        <w:tc>
          <w:tcPr>
            <w:tcW w:w="2250" w:type="dxa"/>
            <w:shd w:val="clear" w:color="auto" w:fill="CEEACA" w:themeFill="background1"/>
            <w:hideMark/>
          </w:tcPr>
          <w:p w14:paraId="7AE802FA"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w:t>
            </w:r>
          </w:p>
        </w:tc>
        <w:tc>
          <w:tcPr>
            <w:tcW w:w="975" w:type="dxa"/>
            <w:shd w:val="clear" w:color="auto" w:fill="CEEACA" w:themeFill="background1"/>
            <w:hideMark/>
          </w:tcPr>
          <w:p w14:paraId="31C73AD7"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5A0A54" w:rsidRPr="003610D2" w14:paraId="3F970A22" w14:textId="77777777" w:rsidTr="005A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CEEACA" w:themeFill="background1"/>
            <w:hideMark/>
          </w:tcPr>
          <w:p w14:paraId="19F36801" w14:textId="707A6037" w:rsidR="005A0A54" w:rsidRPr="004C7928" w:rsidRDefault="001C1832" w:rsidP="00F61D5F">
            <w:pPr>
              <w:adjustRightInd w:val="0"/>
              <w:snapToGrid w:val="0"/>
              <w:spacing w:line="360" w:lineRule="auto"/>
              <w:jc w:val="both"/>
              <w:rPr>
                <w:rFonts w:ascii="Book Antiqua" w:eastAsia="Times New Roman" w:hAnsi="Book Antiqua" w:cs="Times New Roman"/>
                <w:b w:val="0"/>
                <w:bCs w:val="0"/>
                <w:sz w:val="24"/>
                <w:szCs w:val="24"/>
              </w:rPr>
            </w:pPr>
            <w:r>
              <w:rPr>
                <w:rFonts w:ascii="Book Antiqua" w:eastAsia="Times New Roman" w:hAnsi="Book Antiqua" w:cs="Times New Roman"/>
                <w:b w:val="0"/>
                <w:bCs w:val="0"/>
                <w:sz w:val="24"/>
                <w:szCs w:val="24"/>
              </w:rPr>
              <w:t xml:space="preserve"> </w:t>
            </w:r>
            <w:r w:rsidR="005A0A54" w:rsidRPr="004C7928">
              <w:rPr>
                <w:rFonts w:ascii="Book Antiqua" w:eastAsia="Times New Roman" w:hAnsi="Book Antiqua" w:cs="Times New Roman"/>
                <w:b w:val="0"/>
                <w:bCs w:val="0"/>
                <w:sz w:val="24"/>
                <w:szCs w:val="24"/>
              </w:rPr>
              <w:t>F508del/F508del</w:t>
            </w:r>
          </w:p>
        </w:tc>
        <w:tc>
          <w:tcPr>
            <w:tcW w:w="1905" w:type="dxa"/>
            <w:shd w:val="clear" w:color="auto" w:fill="CEEACA" w:themeFill="background1"/>
          </w:tcPr>
          <w:p w14:paraId="29E9BF10"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10 </w:t>
            </w:r>
          </w:p>
        </w:tc>
        <w:tc>
          <w:tcPr>
            <w:tcW w:w="1980" w:type="dxa"/>
            <w:shd w:val="clear" w:color="auto" w:fill="CEEACA" w:themeFill="background1"/>
            <w:hideMark/>
          </w:tcPr>
          <w:p w14:paraId="07539458"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9 </w:t>
            </w:r>
          </w:p>
        </w:tc>
        <w:tc>
          <w:tcPr>
            <w:tcW w:w="2250" w:type="dxa"/>
            <w:shd w:val="clear" w:color="auto" w:fill="CEEACA" w:themeFill="background1"/>
            <w:hideMark/>
          </w:tcPr>
          <w:p w14:paraId="2C6EAB0B"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w:t>
            </w:r>
          </w:p>
        </w:tc>
        <w:tc>
          <w:tcPr>
            <w:tcW w:w="975" w:type="dxa"/>
            <w:shd w:val="clear" w:color="auto" w:fill="CEEACA" w:themeFill="background1"/>
            <w:hideMark/>
          </w:tcPr>
          <w:p w14:paraId="2CA48BE1" w14:textId="2078EF92"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&lt;</w:t>
            </w:r>
            <w:r w:rsidR="004C7928">
              <w:rPr>
                <w:rFonts w:ascii="Book Antiqua" w:eastAsia="Times New Roman" w:hAnsi="Book Antiqua" w:cs="Times New Roman"/>
                <w:sz w:val="24"/>
                <w:szCs w:val="24"/>
              </w:rPr>
              <w:t xml:space="preserve"> </w:t>
            </w:r>
            <w:r w:rsidRPr="003610D2">
              <w:rPr>
                <w:rFonts w:ascii="Book Antiqua" w:eastAsia="Times New Roman" w:hAnsi="Book Antiqua" w:cs="Times New Roman"/>
                <w:sz w:val="24"/>
                <w:szCs w:val="24"/>
              </w:rPr>
              <w:t>0.01</w:t>
            </w:r>
          </w:p>
        </w:tc>
      </w:tr>
      <w:tr w:rsidR="005A0A54" w:rsidRPr="003610D2" w14:paraId="54B09587" w14:textId="77777777" w:rsidTr="005A0A54">
        <w:tc>
          <w:tcPr>
            <w:cnfStyle w:val="001000000000" w:firstRow="0" w:lastRow="0" w:firstColumn="1" w:lastColumn="0" w:oddVBand="0" w:evenVBand="0" w:oddHBand="0" w:evenHBand="0" w:firstRowFirstColumn="0" w:firstRowLastColumn="0" w:lastRowFirstColumn="0" w:lastRowLastColumn="0"/>
            <w:tcW w:w="2230" w:type="dxa"/>
            <w:shd w:val="clear" w:color="auto" w:fill="CEEACA" w:themeFill="background1"/>
            <w:hideMark/>
          </w:tcPr>
          <w:p w14:paraId="206C9A90" w14:textId="6261FDE8" w:rsidR="005A0A54" w:rsidRPr="004C7928" w:rsidRDefault="001C1832" w:rsidP="00F61D5F">
            <w:pPr>
              <w:adjustRightInd w:val="0"/>
              <w:snapToGrid w:val="0"/>
              <w:spacing w:line="360" w:lineRule="auto"/>
              <w:jc w:val="both"/>
              <w:rPr>
                <w:rFonts w:ascii="Book Antiqua" w:eastAsia="Times New Roman" w:hAnsi="Book Antiqua" w:cs="Times New Roman"/>
                <w:b w:val="0"/>
                <w:bCs w:val="0"/>
                <w:sz w:val="24"/>
                <w:szCs w:val="24"/>
              </w:rPr>
            </w:pPr>
            <w:r>
              <w:rPr>
                <w:rFonts w:ascii="Book Antiqua" w:eastAsia="Times New Roman" w:hAnsi="Book Antiqua" w:cs="Times New Roman"/>
                <w:b w:val="0"/>
                <w:bCs w:val="0"/>
                <w:sz w:val="24"/>
                <w:szCs w:val="24"/>
              </w:rPr>
              <w:t xml:space="preserve"> </w:t>
            </w:r>
            <w:r w:rsidR="005A0A54" w:rsidRPr="004C7928">
              <w:rPr>
                <w:rFonts w:ascii="Book Antiqua" w:eastAsia="Times New Roman" w:hAnsi="Book Antiqua" w:cs="Times New Roman"/>
                <w:b w:val="0"/>
                <w:bCs w:val="0"/>
                <w:sz w:val="24"/>
                <w:szCs w:val="24"/>
              </w:rPr>
              <w:t>F508del/other</w:t>
            </w:r>
          </w:p>
        </w:tc>
        <w:tc>
          <w:tcPr>
            <w:tcW w:w="1905" w:type="dxa"/>
            <w:shd w:val="clear" w:color="auto" w:fill="CEEACA" w:themeFill="background1"/>
          </w:tcPr>
          <w:p w14:paraId="0172427C"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9 </w:t>
            </w:r>
          </w:p>
        </w:tc>
        <w:tc>
          <w:tcPr>
            <w:tcW w:w="1980" w:type="dxa"/>
            <w:shd w:val="clear" w:color="auto" w:fill="CEEACA" w:themeFill="background1"/>
            <w:hideMark/>
          </w:tcPr>
          <w:p w14:paraId="176D3D0E"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0 </w:t>
            </w:r>
          </w:p>
        </w:tc>
        <w:tc>
          <w:tcPr>
            <w:tcW w:w="2250" w:type="dxa"/>
            <w:shd w:val="clear" w:color="auto" w:fill="CEEACA" w:themeFill="background1"/>
            <w:hideMark/>
          </w:tcPr>
          <w:p w14:paraId="54CC09CB"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9 </w:t>
            </w:r>
          </w:p>
        </w:tc>
        <w:tc>
          <w:tcPr>
            <w:tcW w:w="975" w:type="dxa"/>
            <w:shd w:val="clear" w:color="auto" w:fill="CEEACA" w:themeFill="background1"/>
            <w:hideMark/>
          </w:tcPr>
          <w:p w14:paraId="32A08F92" w14:textId="5A8B766D"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&lt;</w:t>
            </w:r>
            <w:r w:rsidR="004C7928">
              <w:rPr>
                <w:rFonts w:ascii="Book Antiqua" w:eastAsia="Times New Roman" w:hAnsi="Book Antiqua" w:cs="Times New Roman"/>
                <w:sz w:val="24"/>
                <w:szCs w:val="24"/>
              </w:rPr>
              <w:t xml:space="preserve"> </w:t>
            </w:r>
            <w:r w:rsidRPr="003610D2">
              <w:rPr>
                <w:rFonts w:ascii="Book Antiqua" w:eastAsia="Times New Roman" w:hAnsi="Book Antiqua" w:cs="Times New Roman"/>
                <w:sz w:val="24"/>
                <w:szCs w:val="24"/>
              </w:rPr>
              <w:t>0.01</w:t>
            </w:r>
          </w:p>
        </w:tc>
      </w:tr>
      <w:tr w:rsidR="005A0A54" w:rsidRPr="003610D2" w14:paraId="5EE7E105" w14:textId="77777777" w:rsidTr="005A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CEEACA" w:themeFill="background1"/>
          </w:tcPr>
          <w:p w14:paraId="15652C72" w14:textId="670BDC1D" w:rsidR="005A0A54" w:rsidRPr="004C7928" w:rsidRDefault="001C1832" w:rsidP="00F61D5F">
            <w:pPr>
              <w:adjustRightInd w:val="0"/>
              <w:snapToGrid w:val="0"/>
              <w:spacing w:line="360" w:lineRule="auto"/>
              <w:jc w:val="both"/>
              <w:rPr>
                <w:rFonts w:ascii="Book Antiqua" w:eastAsia="Times New Roman" w:hAnsi="Book Antiqua" w:cs="Times New Roman"/>
                <w:b w:val="0"/>
                <w:bCs w:val="0"/>
                <w:sz w:val="24"/>
                <w:szCs w:val="24"/>
              </w:rPr>
            </w:pPr>
            <w:r>
              <w:rPr>
                <w:rFonts w:ascii="Book Antiqua" w:eastAsia="Times New Roman" w:hAnsi="Book Antiqua" w:cs="Times New Roman"/>
                <w:b w:val="0"/>
                <w:bCs w:val="0"/>
                <w:sz w:val="24"/>
                <w:szCs w:val="24"/>
              </w:rPr>
              <w:t xml:space="preserve"> </w:t>
            </w:r>
            <w:r w:rsidR="005A0A54" w:rsidRPr="004C7928">
              <w:rPr>
                <w:rFonts w:ascii="Book Antiqua" w:eastAsia="Times New Roman" w:hAnsi="Book Antiqua" w:cs="Times New Roman"/>
                <w:b w:val="0"/>
                <w:bCs w:val="0"/>
                <w:sz w:val="24"/>
                <w:szCs w:val="24"/>
              </w:rPr>
              <w:t>Other/other</w:t>
            </w:r>
          </w:p>
        </w:tc>
        <w:tc>
          <w:tcPr>
            <w:tcW w:w="1905" w:type="dxa"/>
            <w:shd w:val="clear" w:color="auto" w:fill="CEEACA" w:themeFill="background1"/>
          </w:tcPr>
          <w:p w14:paraId="6566C111"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1 </w:t>
            </w:r>
          </w:p>
        </w:tc>
        <w:tc>
          <w:tcPr>
            <w:tcW w:w="1980" w:type="dxa"/>
            <w:shd w:val="clear" w:color="auto" w:fill="CEEACA" w:themeFill="background1"/>
          </w:tcPr>
          <w:p w14:paraId="32099719"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0 </w:t>
            </w:r>
          </w:p>
        </w:tc>
        <w:tc>
          <w:tcPr>
            <w:tcW w:w="2250" w:type="dxa"/>
            <w:shd w:val="clear" w:color="auto" w:fill="CEEACA" w:themeFill="background1"/>
          </w:tcPr>
          <w:p w14:paraId="34F65F77"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1 </w:t>
            </w:r>
          </w:p>
        </w:tc>
        <w:tc>
          <w:tcPr>
            <w:tcW w:w="975" w:type="dxa"/>
            <w:shd w:val="clear" w:color="auto" w:fill="CEEACA" w:themeFill="background1"/>
          </w:tcPr>
          <w:p w14:paraId="6AB939B6" w14:textId="334B0AE4"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&lt;</w:t>
            </w:r>
            <w:r w:rsidR="004C7928">
              <w:rPr>
                <w:rFonts w:ascii="Book Antiqua" w:eastAsia="Times New Roman" w:hAnsi="Book Antiqua" w:cs="Times New Roman"/>
                <w:sz w:val="24"/>
                <w:szCs w:val="24"/>
              </w:rPr>
              <w:t xml:space="preserve"> </w:t>
            </w:r>
            <w:r w:rsidRPr="003610D2">
              <w:rPr>
                <w:rFonts w:ascii="Book Antiqua" w:eastAsia="Times New Roman" w:hAnsi="Book Antiqua" w:cs="Times New Roman"/>
                <w:sz w:val="24"/>
                <w:szCs w:val="24"/>
              </w:rPr>
              <w:t>0.01</w:t>
            </w:r>
          </w:p>
        </w:tc>
      </w:tr>
      <w:tr w:rsidR="005A0A54" w:rsidRPr="003610D2" w14:paraId="340ACB52" w14:textId="77777777" w:rsidTr="005A0A54">
        <w:tc>
          <w:tcPr>
            <w:cnfStyle w:val="001000000000" w:firstRow="0" w:lastRow="0" w:firstColumn="1" w:lastColumn="0" w:oddVBand="0" w:evenVBand="0" w:oddHBand="0" w:evenHBand="0" w:firstRowFirstColumn="0" w:firstRowLastColumn="0" w:lastRowFirstColumn="0" w:lastRowLastColumn="0"/>
            <w:tcW w:w="2230" w:type="dxa"/>
            <w:shd w:val="clear" w:color="auto" w:fill="CEEACA" w:themeFill="background1"/>
            <w:hideMark/>
          </w:tcPr>
          <w:p w14:paraId="00B057DC"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Male sex</w:t>
            </w:r>
          </w:p>
        </w:tc>
        <w:tc>
          <w:tcPr>
            <w:tcW w:w="1905" w:type="dxa"/>
            <w:shd w:val="clear" w:color="auto" w:fill="CEEACA" w:themeFill="background1"/>
          </w:tcPr>
          <w:p w14:paraId="08273AA3" w14:textId="188103EE"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16 (80)</w:t>
            </w:r>
          </w:p>
        </w:tc>
        <w:tc>
          <w:tcPr>
            <w:tcW w:w="1980" w:type="dxa"/>
            <w:shd w:val="clear" w:color="auto" w:fill="CEEACA" w:themeFill="background1"/>
          </w:tcPr>
          <w:p w14:paraId="64013D08" w14:textId="7952AEFD"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7 (78)</w:t>
            </w:r>
          </w:p>
        </w:tc>
        <w:tc>
          <w:tcPr>
            <w:tcW w:w="2250" w:type="dxa"/>
            <w:shd w:val="clear" w:color="auto" w:fill="CEEACA" w:themeFill="background1"/>
          </w:tcPr>
          <w:p w14:paraId="1E8F3BA1" w14:textId="5CC107E8"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9 (82)</w:t>
            </w:r>
          </w:p>
        </w:tc>
        <w:tc>
          <w:tcPr>
            <w:tcW w:w="975" w:type="dxa"/>
            <w:shd w:val="clear" w:color="auto" w:fill="CEEACA" w:themeFill="background1"/>
          </w:tcPr>
          <w:p w14:paraId="77EF57DE"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1.00</w:t>
            </w:r>
          </w:p>
        </w:tc>
      </w:tr>
      <w:tr w:rsidR="005A0A54" w:rsidRPr="003610D2" w14:paraId="157FE6E2" w14:textId="77777777" w:rsidTr="005A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CEEACA" w:themeFill="background1"/>
            <w:hideMark/>
          </w:tcPr>
          <w:p w14:paraId="1D26E361"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BMI percentile</w:t>
            </w:r>
          </w:p>
        </w:tc>
        <w:tc>
          <w:tcPr>
            <w:tcW w:w="1905" w:type="dxa"/>
            <w:shd w:val="clear" w:color="auto" w:fill="CEEACA" w:themeFill="background1"/>
          </w:tcPr>
          <w:p w14:paraId="77EDCADD"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39 (2-96)</w:t>
            </w:r>
          </w:p>
        </w:tc>
        <w:tc>
          <w:tcPr>
            <w:tcW w:w="1980" w:type="dxa"/>
            <w:shd w:val="clear" w:color="auto" w:fill="CEEACA" w:themeFill="background1"/>
          </w:tcPr>
          <w:p w14:paraId="788C7D30"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51 (3-77)</w:t>
            </w:r>
          </w:p>
        </w:tc>
        <w:tc>
          <w:tcPr>
            <w:tcW w:w="2250" w:type="dxa"/>
            <w:shd w:val="clear" w:color="auto" w:fill="CEEACA" w:themeFill="background1"/>
          </w:tcPr>
          <w:p w14:paraId="40AB92D9"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23 (2-96)</w:t>
            </w:r>
          </w:p>
        </w:tc>
        <w:tc>
          <w:tcPr>
            <w:tcW w:w="975" w:type="dxa"/>
            <w:shd w:val="clear" w:color="auto" w:fill="CEEACA" w:themeFill="background1"/>
          </w:tcPr>
          <w:p w14:paraId="112D64C7"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0.21</w:t>
            </w:r>
          </w:p>
        </w:tc>
      </w:tr>
      <w:tr w:rsidR="005A0A54" w:rsidRPr="003610D2" w14:paraId="68C7B783" w14:textId="77777777" w:rsidTr="005A0A54">
        <w:tc>
          <w:tcPr>
            <w:cnfStyle w:val="001000000000" w:firstRow="0" w:lastRow="0" w:firstColumn="1" w:lastColumn="0" w:oddVBand="0" w:evenVBand="0" w:oddHBand="0" w:evenHBand="0" w:firstRowFirstColumn="0" w:firstRowLastColumn="0" w:lastRowFirstColumn="0" w:lastRowLastColumn="0"/>
            <w:tcW w:w="2230" w:type="dxa"/>
            <w:shd w:val="clear" w:color="auto" w:fill="CEEACA" w:themeFill="background1"/>
            <w:hideMark/>
          </w:tcPr>
          <w:p w14:paraId="66C9359B"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 predicted FEV1</w:t>
            </w:r>
          </w:p>
        </w:tc>
        <w:tc>
          <w:tcPr>
            <w:tcW w:w="1905" w:type="dxa"/>
            <w:shd w:val="clear" w:color="auto" w:fill="CEEACA" w:themeFill="background1"/>
          </w:tcPr>
          <w:p w14:paraId="501A5C6A"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77 (33-105)</w:t>
            </w:r>
          </w:p>
        </w:tc>
        <w:tc>
          <w:tcPr>
            <w:tcW w:w="1980" w:type="dxa"/>
            <w:shd w:val="clear" w:color="auto" w:fill="CEEACA" w:themeFill="background1"/>
          </w:tcPr>
          <w:p w14:paraId="1E5837EF"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73 (33-89)</w:t>
            </w:r>
          </w:p>
        </w:tc>
        <w:tc>
          <w:tcPr>
            <w:tcW w:w="2250" w:type="dxa"/>
            <w:shd w:val="clear" w:color="auto" w:fill="CEEACA" w:themeFill="background1"/>
          </w:tcPr>
          <w:p w14:paraId="3966951B"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77 (48-105)</w:t>
            </w:r>
          </w:p>
        </w:tc>
        <w:tc>
          <w:tcPr>
            <w:tcW w:w="975" w:type="dxa"/>
            <w:shd w:val="clear" w:color="auto" w:fill="CEEACA" w:themeFill="background1"/>
          </w:tcPr>
          <w:p w14:paraId="2F72F903"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0.24</w:t>
            </w:r>
          </w:p>
        </w:tc>
      </w:tr>
      <w:tr w:rsidR="005A0A54" w:rsidRPr="003610D2" w14:paraId="49480318" w14:textId="77777777" w:rsidTr="005A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CEEACA" w:themeFill="background1"/>
            <w:hideMark/>
          </w:tcPr>
          <w:p w14:paraId="50D80B1C"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 xml:space="preserve">CFRD </w:t>
            </w:r>
          </w:p>
        </w:tc>
        <w:tc>
          <w:tcPr>
            <w:tcW w:w="1905" w:type="dxa"/>
            <w:shd w:val="clear" w:color="auto" w:fill="CEEACA" w:themeFill="background1"/>
          </w:tcPr>
          <w:p w14:paraId="0B2F07F1" w14:textId="28808858"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12 (60)</w:t>
            </w:r>
          </w:p>
        </w:tc>
        <w:tc>
          <w:tcPr>
            <w:tcW w:w="1980" w:type="dxa"/>
            <w:shd w:val="clear" w:color="auto" w:fill="CEEACA" w:themeFill="background1"/>
          </w:tcPr>
          <w:p w14:paraId="26506911" w14:textId="741028CD"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7 (78)</w:t>
            </w:r>
          </w:p>
        </w:tc>
        <w:tc>
          <w:tcPr>
            <w:tcW w:w="2250" w:type="dxa"/>
            <w:shd w:val="clear" w:color="auto" w:fill="CEEACA" w:themeFill="background1"/>
          </w:tcPr>
          <w:p w14:paraId="75DB73B6" w14:textId="74592572"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 (45)</w:t>
            </w:r>
          </w:p>
        </w:tc>
        <w:tc>
          <w:tcPr>
            <w:tcW w:w="975" w:type="dxa"/>
            <w:shd w:val="clear" w:color="auto" w:fill="CEEACA" w:themeFill="background1"/>
          </w:tcPr>
          <w:p w14:paraId="7EF2F258"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0.20</w:t>
            </w:r>
          </w:p>
        </w:tc>
      </w:tr>
      <w:tr w:rsidR="005A0A54" w:rsidRPr="003610D2" w14:paraId="456C69F3" w14:textId="77777777" w:rsidTr="005A0A54">
        <w:tc>
          <w:tcPr>
            <w:cnfStyle w:val="001000000000" w:firstRow="0" w:lastRow="0" w:firstColumn="1" w:lastColumn="0" w:oddVBand="0" w:evenVBand="0" w:oddHBand="0" w:evenHBand="0" w:firstRowFirstColumn="0" w:firstRowLastColumn="0" w:lastRowFirstColumn="0" w:lastRowLastColumn="0"/>
            <w:tcW w:w="2230" w:type="dxa"/>
            <w:tcBorders>
              <w:bottom w:val="single" w:sz="4" w:space="0" w:color="auto"/>
            </w:tcBorders>
            <w:shd w:val="clear" w:color="auto" w:fill="CEEACA" w:themeFill="background1"/>
            <w:hideMark/>
          </w:tcPr>
          <w:p w14:paraId="6AAB8390"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Insulin therapy</w:t>
            </w:r>
          </w:p>
        </w:tc>
        <w:tc>
          <w:tcPr>
            <w:tcW w:w="1905" w:type="dxa"/>
            <w:tcBorders>
              <w:bottom w:val="single" w:sz="4" w:space="0" w:color="auto"/>
            </w:tcBorders>
            <w:shd w:val="clear" w:color="auto" w:fill="CEEACA" w:themeFill="background1"/>
          </w:tcPr>
          <w:p w14:paraId="50E30EF7" w14:textId="65FB6B5D"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10 (50)</w:t>
            </w:r>
          </w:p>
        </w:tc>
        <w:tc>
          <w:tcPr>
            <w:tcW w:w="1980" w:type="dxa"/>
            <w:tcBorders>
              <w:bottom w:val="single" w:sz="4" w:space="0" w:color="auto"/>
            </w:tcBorders>
            <w:shd w:val="clear" w:color="auto" w:fill="CEEACA" w:themeFill="background1"/>
            <w:hideMark/>
          </w:tcPr>
          <w:p w14:paraId="31C209E6" w14:textId="2AFA3B48"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6 (67)</w:t>
            </w:r>
          </w:p>
        </w:tc>
        <w:tc>
          <w:tcPr>
            <w:tcW w:w="2250" w:type="dxa"/>
            <w:tcBorders>
              <w:bottom w:val="single" w:sz="4" w:space="0" w:color="auto"/>
            </w:tcBorders>
            <w:shd w:val="clear" w:color="auto" w:fill="CEEACA" w:themeFill="background1"/>
            <w:hideMark/>
          </w:tcPr>
          <w:p w14:paraId="7C02932B" w14:textId="1AFE8246"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4 (36)</w:t>
            </w:r>
          </w:p>
        </w:tc>
        <w:tc>
          <w:tcPr>
            <w:tcW w:w="975" w:type="dxa"/>
            <w:tcBorders>
              <w:bottom w:val="single" w:sz="4" w:space="0" w:color="auto"/>
            </w:tcBorders>
            <w:shd w:val="clear" w:color="auto" w:fill="CEEACA" w:themeFill="background1"/>
            <w:hideMark/>
          </w:tcPr>
          <w:p w14:paraId="09D4D7EE"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highlight w:val="yellow"/>
              </w:rPr>
            </w:pPr>
            <w:r w:rsidRPr="003610D2">
              <w:rPr>
                <w:rFonts w:ascii="Book Antiqua" w:eastAsia="Times New Roman" w:hAnsi="Book Antiqua" w:cs="Times New Roman"/>
                <w:sz w:val="24"/>
                <w:szCs w:val="24"/>
              </w:rPr>
              <w:t>0.37</w:t>
            </w:r>
          </w:p>
        </w:tc>
      </w:tr>
    </w:tbl>
    <w:p w14:paraId="44F9F8C3" w14:textId="60ED97C1" w:rsidR="004D316C" w:rsidRPr="004D316C" w:rsidRDefault="004D316C" w:rsidP="004D316C">
      <w:pPr>
        <w:adjustRightInd w:val="0"/>
        <w:snapToGrid w:val="0"/>
        <w:spacing w:after="0" w:line="360" w:lineRule="auto"/>
        <w:jc w:val="both"/>
        <w:rPr>
          <w:rFonts w:ascii="Book Antiqua" w:hAnsi="Book Antiqua"/>
          <w:sz w:val="24"/>
          <w:szCs w:val="24"/>
        </w:rPr>
      </w:pPr>
      <w:r w:rsidRPr="004D316C">
        <w:rPr>
          <w:rFonts w:ascii="Book Antiqua" w:hAnsi="Book Antiqua"/>
          <w:sz w:val="24"/>
          <w:szCs w:val="24"/>
        </w:rPr>
        <w:t xml:space="preserve">Data presented as median (range) or frequency (percent) as appropriate. BMI (percentile): </w:t>
      </w:r>
      <w:r>
        <w:rPr>
          <w:rFonts w:ascii="Book Antiqua" w:hAnsi="Book Antiqua"/>
          <w:sz w:val="24"/>
          <w:szCs w:val="24"/>
        </w:rPr>
        <w:t>B</w:t>
      </w:r>
      <w:r w:rsidRPr="004D316C">
        <w:rPr>
          <w:rFonts w:ascii="Book Antiqua" w:hAnsi="Book Antiqua"/>
          <w:sz w:val="24"/>
          <w:szCs w:val="24"/>
        </w:rPr>
        <w:t>ody mass index percentile adjusted for age</w:t>
      </w:r>
      <w:r>
        <w:rPr>
          <w:rFonts w:ascii="Book Antiqua" w:hAnsi="Book Antiqua"/>
          <w:sz w:val="24"/>
          <w:szCs w:val="24"/>
        </w:rPr>
        <w:t>;</w:t>
      </w:r>
      <w:r w:rsidRPr="004D316C">
        <w:rPr>
          <w:rFonts w:ascii="Book Antiqua" w:hAnsi="Book Antiqua"/>
          <w:sz w:val="24"/>
          <w:szCs w:val="24"/>
        </w:rPr>
        <w:t xml:space="preserve"> FEV1: </w:t>
      </w:r>
      <w:bookmarkStart w:id="260" w:name="OLE_LINK659"/>
      <w:bookmarkStart w:id="261" w:name="OLE_LINK660"/>
      <w:bookmarkStart w:id="262" w:name="OLE_LINK661"/>
      <w:r>
        <w:rPr>
          <w:rFonts w:ascii="Book Antiqua" w:hAnsi="Book Antiqua"/>
          <w:sz w:val="24"/>
          <w:szCs w:val="24"/>
        </w:rPr>
        <w:t>F</w:t>
      </w:r>
      <w:r w:rsidRPr="004D316C">
        <w:rPr>
          <w:rFonts w:ascii="Book Antiqua" w:hAnsi="Book Antiqua"/>
          <w:sz w:val="24"/>
          <w:szCs w:val="24"/>
        </w:rPr>
        <w:t>orced expiratory volume at 1 s</w:t>
      </w:r>
      <w:bookmarkEnd w:id="260"/>
      <w:bookmarkEnd w:id="261"/>
      <w:bookmarkEnd w:id="262"/>
      <w:r>
        <w:rPr>
          <w:rFonts w:ascii="Book Antiqua" w:hAnsi="Book Antiqua"/>
          <w:sz w:val="24"/>
          <w:szCs w:val="24"/>
        </w:rPr>
        <w:t>;</w:t>
      </w:r>
      <w:r w:rsidRPr="004D316C">
        <w:rPr>
          <w:rFonts w:ascii="Book Antiqua" w:hAnsi="Book Antiqua"/>
          <w:sz w:val="24"/>
          <w:szCs w:val="24"/>
        </w:rPr>
        <w:t xml:space="preserve"> CFRD: </w:t>
      </w:r>
      <w:r>
        <w:rPr>
          <w:rFonts w:ascii="Book Antiqua" w:hAnsi="Book Antiqua"/>
          <w:sz w:val="24"/>
          <w:szCs w:val="24"/>
        </w:rPr>
        <w:t>C</w:t>
      </w:r>
      <w:r w:rsidRPr="004D316C">
        <w:rPr>
          <w:rFonts w:ascii="Book Antiqua" w:hAnsi="Book Antiqua"/>
          <w:sz w:val="24"/>
          <w:szCs w:val="24"/>
        </w:rPr>
        <w:t>ystic fibrosis related diabetes.</w:t>
      </w:r>
    </w:p>
    <w:p w14:paraId="3827BC1B" w14:textId="77777777" w:rsidR="00F84ADB" w:rsidRDefault="004C7928">
      <w:pPr>
        <w:rPr>
          <w:rFonts w:ascii="Book Antiqua" w:hAnsi="Book Antiqua"/>
          <w:sz w:val="24"/>
          <w:szCs w:val="24"/>
        </w:rPr>
        <w:sectPr w:rsidR="00F84ADB" w:rsidSect="00B25305">
          <w:headerReference w:type="default" r:id="rId11"/>
          <w:pgSz w:w="12240" w:h="15840" w:code="1"/>
          <w:pgMar w:top="1440" w:right="1440" w:bottom="1440" w:left="1440" w:header="720" w:footer="720" w:gutter="0"/>
          <w:cols w:space="720"/>
          <w:docGrid w:linePitch="360"/>
        </w:sectPr>
      </w:pPr>
      <w:r>
        <w:rPr>
          <w:rFonts w:ascii="Book Antiqua" w:hAnsi="Book Antiqua"/>
          <w:sz w:val="24"/>
          <w:szCs w:val="24"/>
        </w:rPr>
        <w:br w:type="page"/>
      </w:r>
    </w:p>
    <w:p w14:paraId="18A1CDE6" w14:textId="77777777" w:rsidR="001C1832" w:rsidRPr="003610D2" w:rsidRDefault="001C1832" w:rsidP="001C1832">
      <w:pPr>
        <w:adjustRightInd w:val="0"/>
        <w:snapToGrid w:val="0"/>
        <w:spacing w:after="0" w:line="360" w:lineRule="auto"/>
        <w:jc w:val="both"/>
        <w:rPr>
          <w:rFonts w:ascii="Book Antiqua" w:hAnsi="Book Antiqua"/>
          <w:sz w:val="24"/>
          <w:szCs w:val="24"/>
          <w:u w:val="single"/>
        </w:rPr>
      </w:pPr>
      <w:r w:rsidRPr="003610D2">
        <w:rPr>
          <w:rFonts w:ascii="Book Antiqua" w:hAnsi="Book Antiqua"/>
          <w:b/>
          <w:sz w:val="24"/>
          <w:szCs w:val="24"/>
        </w:rPr>
        <w:lastRenderedPageBreak/>
        <w:t xml:space="preserve">Table </w:t>
      </w:r>
      <w:r>
        <w:rPr>
          <w:rFonts w:ascii="Book Antiqua" w:hAnsi="Book Antiqua"/>
          <w:b/>
          <w:sz w:val="24"/>
          <w:szCs w:val="24"/>
        </w:rPr>
        <w:t>2</w:t>
      </w:r>
      <w:r w:rsidRPr="003610D2">
        <w:rPr>
          <w:rFonts w:ascii="Book Antiqua" w:hAnsi="Book Antiqua"/>
          <w:b/>
          <w:sz w:val="24"/>
          <w:szCs w:val="24"/>
        </w:rPr>
        <w:t xml:space="preserve"> Summary of data stratified by presence of steatosis, use of modulator (lumacaftor/ivacaftor), and diabetes status</w:t>
      </w:r>
    </w:p>
    <w:tbl>
      <w:tblPr>
        <w:tblStyle w:val="TableGridLight1"/>
        <w:tblW w:w="508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52"/>
        <w:gridCol w:w="1000"/>
        <w:gridCol w:w="253"/>
        <w:gridCol w:w="1071"/>
        <w:gridCol w:w="1071"/>
        <w:gridCol w:w="741"/>
        <w:gridCol w:w="309"/>
        <w:gridCol w:w="1287"/>
        <w:gridCol w:w="1263"/>
        <w:gridCol w:w="22"/>
        <w:gridCol w:w="723"/>
        <w:gridCol w:w="340"/>
        <w:gridCol w:w="931"/>
        <w:gridCol w:w="989"/>
        <w:gridCol w:w="852"/>
      </w:tblGrid>
      <w:tr w:rsidR="00FA2DF9" w:rsidRPr="00F84ADB" w14:paraId="59CBC12F" w14:textId="77777777" w:rsidTr="00E84708">
        <w:trPr>
          <w:trHeight w:val="834"/>
          <w:jc w:val="center"/>
        </w:trPr>
        <w:tc>
          <w:tcPr>
            <w:tcW w:w="525" w:type="pct"/>
            <w:tcBorders>
              <w:top w:val="single" w:sz="4" w:space="0" w:color="auto"/>
              <w:bottom w:val="single" w:sz="4" w:space="0" w:color="auto"/>
            </w:tcBorders>
          </w:tcPr>
          <w:p w14:paraId="1264B1D2" w14:textId="77777777" w:rsidR="001C1832" w:rsidRPr="00F84ADB" w:rsidRDefault="001C1832" w:rsidP="00F84ADB">
            <w:pPr>
              <w:adjustRightInd w:val="0"/>
              <w:snapToGrid w:val="0"/>
              <w:spacing w:line="360" w:lineRule="auto"/>
              <w:jc w:val="both"/>
              <w:rPr>
                <w:rFonts w:ascii="Book Antiqua" w:hAnsi="Book Antiqua"/>
                <w:sz w:val="21"/>
                <w:szCs w:val="21"/>
                <w:lang w:eastAsia="zh-CN"/>
              </w:rPr>
            </w:pPr>
          </w:p>
        </w:tc>
        <w:tc>
          <w:tcPr>
            <w:tcW w:w="361" w:type="pct"/>
            <w:tcBorders>
              <w:top w:val="single" w:sz="4" w:space="0" w:color="auto"/>
              <w:bottom w:val="single" w:sz="4" w:space="0" w:color="auto"/>
            </w:tcBorders>
          </w:tcPr>
          <w:p w14:paraId="3C0680C8"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Normal range</w:t>
            </w:r>
          </w:p>
        </w:tc>
        <w:tc>
          <w:tcPr>
            <w:tcW w:w="379" w:type="pct"/>
            <w:tcBorders>
              <w:top w:val="single" w:sz="4" w:space="0" w:color="auto"/>
              <w:bottom w:val="single" w:sz="4" w:space="0" w:color="auto"/>
            </w:tcBorders>
          </w:tcPr>
          <w:p w14:paraId="60875B09"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All subjects</w:t>
            </w:r>
          </w:p>
          <w:p w14:paraId="43BC5511"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 xml:space="preserve">n </w:t>
            </w:r>
            <w:r w:rsidRPr="00F84ADB">
              <w:rPr>
                <w:rFonts w:ascii="Book Antiqua" w:hAnsi="Book Antiqua"/>
                <w:b/>
                <w:sz w:val="21"/>
                <w:szCs w:val="21"/>
              </w:rPr>
              <w:t>= 20</w:t>
            </w:r>
          </w:p>
        </w:tc>
        <w:tc>
          <w:tcPr>
            <w:tcW w:w="96" w:type="pct"/>
            <w:tcBorders>
              <w:top w:val="single" w:sz="4" w:space="0" w:color="auto"/>
              <w:bottom w:val="single" w:sz="4" w:space="0" w:color="auto"/>
            </w:tcBorders>
          </w:tcPr>
          <w:p w14:paraId="2B183D20" w14:textId="77777777" w:rsidR="001C1832" w:rsidRPr="00F84ADB" w:rsidRDefault="001C1832" w:rsidP="00F84ADB">
            <w:pPr>
              <w:adjustRightInd w:val="0"/>
              <w:snapToGrid w:val="0"/>
              <w:spacing w:line="360" w:lineRule="auto"/>
              <w:jc w:val="both"/>
              <w:rPr>
                <w:rFonts w:ascii="Book Antiqua" w:hAnsi="Book Antiqua"/>
                <w:b/>
                <w:sz w:val="21"/>
                <w:szCs w:val="21"/>
              </w:rPr>
            </w:pPr>
          </w:p>
        </w:tc>
        <w:tc>
          <w:tcPr>
            <w:tcW w:w="406" w:type="pct"/>
            <w:tcBorders>
              <w:top w:val="single" w:sz="4" w:space="0" w:color="auto"/>
              <w:bottom w:val="single" w:sz="4" w:space="0" w:color="auto"/>
            </w:tcBorders>
          </w:tcPr>
          <w:p w14:paraId="5BEDC732"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Steatosis</w:t>
            </w:r>
          </w:p>
          <w:p w14:paraId="4BFFA972"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6</w:t>
            </w:r>
          </w:p>
        </w:tc>
        <w:tc>
          <w:tcPr>
            <w:tcW w:w="406" w:type="pct"/>
            <w:tcBorders>
              <w:top w:val="single" w:sz="4" w:space="0" w:color="auto"/>
              <w:bottom w:val="single" w:sz="4" w:space="0" w:color="auto"/>
            </w:tcBorders>
          </w:tcPr>
          <w:p w14:paraId="2A1463EA"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No Steatosis</w:t>
            </w:r>
          </w:p>
          <w:p w14:paraId="6B49D841"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14</w:t>
            </w:r>
          </w:p>
        </w:tc>
        <w:tc>
          <w:tcPr>
            <w:tcW w:w="281" w:type="pct"/>
            <w:tcBorders>
              <w:top w:val="single" w:sz="4" w:space="0" w:color="auto"/>
              <w:bottom w:val="single" w:sz="4" w:space="0" w:color="auto"/>
            </w:tcBorders>
          </w:tcPr>
          <w:p w14:paraId="0AFA2410"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P</w:t>
            </w:r>
            <w:r w:rsidRPr="00F84ADB">
              <w:rPr>
                <w:rFonts w:ascii="Book Antiqua" w:hAnsi="Book Antiqua"/>
                <w:b/>
                <w:sz w:val="21"/>
                <w:szCs w:val="21"/>
              </w:rPr>
              <w:t xml:space="preserve"> value</w:t>
            </w:r>
          </w:p>
        </w:tc>
        <w:tc>
          <w:tcPr>
            <w:tcW w:w="117" w:type="pct"/>
            <w:tcBorders>
              <w:top w:val="single" w:sz="4" w:space="0" w:color="auto"/>
              <w:bottom w:val="single" w:sz="4" w:space="0" w:color="auto"/>
            </w:tcBorders>
          </w:tcPr>
          <w:p w14:paraId="39462366" w14:textId="77777777" w:rsidR="001C1832" w:rsidRPr="00F84ADB" w:rsidRDefault="001C1832" w:rsidP="00F84ADB">
            <w:pPr>
              <w:adjustRightInd w:val="0"/>
              <w:snapToGrid w:val="0"/>
              <w:spacing w:line="360" w:lineRule="auto"/>
              <w:jc w:val="both"/>
              <w:rPr>
                <w:rFonts w:ascii="Book Antiqua" w:hAnsi="Book Antiqua"/>
                <w:b/>
                <w:sz w:val="21"/>
                <w:szCs w:val="21"/>
              </w:rPr>
            </w:pPr>
          </w:p>
        </w:tc>
        <w:tc>
          <w:tcPr>
            <w:tcW w:w="488" w:type="pct"/>
            <w:tcBorders>
              <w:top w:val="single" w:sz="4" w:space="0" w:color="auto"/>
              <w:bottom w:val="single" w:sz="4" w:space="0" w:color="auto"/>
            </w:tcBorders>
          </w:tcPr>
          <w:p w14:paraId="52C8D2A0"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CFTR modulator</w:t>
            </w:r>
          </w:p>
          <w:p w14:paraId="7D452468"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9</w:t>
            </w:r>
          </w:p>
        </w:tc>
        <w:tc>
          <w:tcPr>
            <w:tcW w:w="479" w:type="pct"/>
            <w:tcBorders>
              <w:top w:val="single" w:sz="4" w:space="0" w:color="auto"/>
              <w:bottom w:val="single" w:sz="4" w:space="0" w:color="auto"/>
            </w:tcBorders>
          </w:tcPr>
          <w:p w14:paraId="60929347"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No CFTR modulator</w:t>
            </w:r>
          </w:p>
          <w:p w14:paraId="72290167"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11</w:t>
            </w:r>
          </w:p>
        </w:tc>
        <w:tc>
          <w:tcPr>
            <w:tcW w:w="282" w:type="pct"/>
            <w:gridSpan w:val="2"/>
            <w:tcBorders>
              <w:top w:val="single" w:sz="4" w:space="0" w:color="auto"/>
              <w:bottom w:val="single" w:sz="4" w:space="0" w:color="auto"/>
            </w:tcBorders>
          </w:tcPr>
          <w:p w14:paraId="2A27BADD"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P</w:t>
            </w:r>
            <w:r w:rsidRPr="00F84ADB">
              <w:rPr>
                <w:rFonts w:ascii="Book Antiqua" w:hAnsi="Book Antiqua"/>
                <w:b/>
                <w:sz w:val="21"/>
                <w:szCs w:val="21"/>
              </w:rPr>
              <w:t xml:space="preserve"> value</w:t>
            </w:r>
          </w:p>
        </w:tc>
        <w:tc>
          <w:tcPr>
            <w:tcW w:w="129" w:type="pct"/>
            <w:tcBorders>
              <w:top w:val="single" w:sz="4" w:space="0" w:color="auto"/>
              <w:bottom w:val="single" w:sz="4" w:space="0" w:color="auto"/>
            </w:tcBorders>
          </w:tcPr>
          <w:p w14:paraId="5138803C" w14:textId="77777777" w:rsidR="001C1832" w:rsidRPr="00F84ADB" w:rsidRDefault="001C1832" w:rsidP="00F84ADB">
            <w:pPr>
              <w:adjustRightInd w:val="0"/>
              <w:snapToGrid w:val="0"/>
              <w:spacing w:line="360" w:lineRule="auto"/>
              <w:jc w:val="both"/>
              <w:rPr>
                <w:rFonts w:ascii="Book Antiqua" w:hAnsi="Book Antiqua"/>
                <w:b/>
                <w:sz w:val="21"/>
                <w:szCs w:val="21"/>
              </w:rPr>
            </w:pPr>
          </w:p>
        </w:tc>
        <w:tc>
          <w:tcPr>
            <w:tcW w:w="353" w:type="pct"/>
            <w:tcBorders>
              <w:top w:val="single" w:sz="4" w:space="0" w:color="auto"/>
              <w:bottom w:val="single" w:sz="4" w:space="0" w:color="auto"/>
            </w:tcBorders>
          </w:tcPr>
          <w:p w14:paraId="7F9C505D"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CFRD</w:t>
            </w:r>
          </w:p>
          <w:p w14:paraId="2AC4066F"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12</w:t>
            </w:r>
          </w:p>
        </w:tc>
        <w:tc>
          <w:tcPr>
            <w:tcW w:w="375" w:type="pct"/>
            <w:tcBorders>
              <w:top w:val="single" w:sz="4" w:space="0" w:color="auto"/>
              <w:bottom w:val="single" w:sz="4" w:space="0" w:color="auto"/>
            </w:tcBorders>
          </w:tcPr>
          <w:p w14:paraId="3D379389"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NGT</w:t>
            </w:r>
          </w:p>
          <w:p w14:paraId="1823C5FD"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8</w:t>
            </w:r>
          </w:p>
        </w:tc>
        <w:tc>
          <w:tcPr>
            <w:tcW w:w="323" w:type="pct"/>
            <w:tcBorders>
              <w:top w:val="single" w:sz="4" w:space="0" w:color="auto"/>
              <w:bottom w:val="single" w:sz="4" w:space="0" w:color="auto"/>
            </w:tcBorders>
          </w:tcPr>
          <w:p w14:paraId="2F6F3EDF"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P</w:t>
            </w:r>
            <w:r w:rsidRPr="00F84ADB">
              <w:rPr>
                <w:rFonts w:ascii="Book Antiqua" w:hAnsi="Book Antiqua"/>
                <w:b/>
                <w:sz w:val="21"/>
                <w:szCs w:val="21"/>
              </w:rPr>
              <w:t xml:space="preserve"> value</w:t>
            </w:r>
          </w:p>
        </w:tc>
      </w:tr>
      <w:tr w:rsidR="00FA2DF9" w:rsidRPr="00F84ADB" w14:paraId="4FC3602A" w14:textId="77777777" w:rsidTr="00E84708">
        <w:trPr>
          <w:trHeight w:val="427"/>
          <w:jc w:val="center"/>
        </w:trPr>
        <w:tc>
          <w:tcPr>
            <w:tcW w:w="525" w:type="pct"/>
            <w:tcBorders>
              <w:top w:val="single" w:sz="4" w:space="0" w:color="auto"/>
            </w:tcBorders>
          </w:tcPr>
          <w:p w14:paraId="78BF0F8C"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Hepatic Fat Fraction</w:t>
            </w:r>
          </w:p>
        </w:tc>
        <w:tc>
          <w:tcPr>
            <w:tcW w:w="361" w:type="pct"/>
            <w:tcBorders>
              <w:top w:val="single" w:sz="4" w:space="0" w:color="auto"/>
            </w:tcBorders>
          </w:tcPr>
          <w:p w14:paraId="54C4682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Borders>
              <w:top w:val="single" w:sz="4" w:space="0" w:color="auto"/>
            </w:tcBorders>
          </w:tcPr>
          <w:p w14:paraId="4F861A13" w14:textId="006692E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0.0-21.0</w:t>
            </w:r>
            <w:r w:rsidR="00F84ADB">
              <w:rPr>
                <w:rFonts w:ascii="Book Antiqua" w:hAnsi="Book Antiqua"/>
                <w:sz w:val="21"/>
                <w:szCs w:val="21"/>
              </w:rPr>
              <w:t>)</w:t>
            </w:r>
          </w:p>
        </w:tc>
        <w:tc>
          <w:tcPr>
            <w:tcW w:w="96" w:type="pct"/>
            <w:tcBorders>
              <w:top w:val="single" w:sz="4" w:space="0" w:color="auto"/>
            </w:tcBorders>
          </w:tcPr>
          <w:p w14:paraId="66A321E4"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Borders>
              <w:top w:val="single" w:sz="4" w:space="0" w:color="auto"/>
            </w:tcBorders>
          </w:tcPr>
          <w:p w14:paraId="1F5AF436" w14:textId="1F0AB5D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9.5</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6.0-21.0</w:t>
            </w:r>
            <w:r w:rsidR="00F84ADB">
              <w:rPr>
                <w:rFonts w:ascii="Book Antiqua" w:hAnsi="Book Antiqua"/>
                <w:sz w:val="21"/>
                <w:szCs w:val="21"/>
              </w:rPr>
              <w:t>)</w:t>
            </w:r>
          </w:p>
        </w:tc>
        <w:tc>
          <w:tcPr>
            <w:tcW w:w="406" w:type="pct"/>
            <w:tcBorders>
              <w:top w:val="single" w:sz="4" w:space="0" w:color="auto"/>
            </w:tcBorders>
          </w:tcPr>
          <w:p w14:paraId="5A2DC7CB" w14:textId="4CBEB3D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2.4</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0-4.1</w:t>
            </w:r>
            <w:r w:rsidR="00F84ADB">
              <w:rPr>
                <w:rFonts w:ascii="Book Antiqua" w:hAnsi="Book Antiqua"/>
                <w:sz w:val="21"/>
                <w:szCs w:val="21"/>
              </w:rPr>
              <w:t>)</w:t>
            </w:r>
          </w:p>
        </w:tc>
        <w:tc>
          <w:tcPr>
            <w:tcW w:w="281" w:type="pct"/>
            <w:tcBorders>
              <w:top w:val="single" w:sz="4" w:space="0" w:color="auto"/>
            </w:tcBorders>
          </w:tcPr>
          <w:p w14:paraId="2956928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0.01</w:t>
            </w:r>
          </w:p>
        </w:tc>
        <w:tc>
          <w:tcPr>
            <w:tcW w:w="117" w:type="pct"/>
            <w:tcBorders>
              <w:top w:val="single" w:sz="4" w:space="0" w:color="auto"/>
            </w:tcBorders>
          </w:tcPr>
          <w:p w14:paraId="794058CC"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Borders>
              <w:top w:val="single" w:sz="4" w:space="0" w:color="auto"/>
            </w:tcBorders>
          </w:tcPr>
          <w:p w14:paraId="4F3563E0" w14:textId="7DBCF926"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0.0-6.4</w:t>
            </w:r>
            <w:r w:rsidR="00F84ADB">
              <w:rPr>
                <w:rFonts w:ascii="Book Antiqua" w:hAnsi="Book Antiqua"/>
                <w:sz w:val="21"/>
                <w:szCs w:val="21"/>
              </w:rPr>
              <w:t>)</w:t>
            </w:r>
          </w:p>
        </w:tc>
        <w:tc>
          <w:tcPr>
            <w:tcW w:w="487" w:type="pct"/>
            <w:gridSpan w:val="2"/>
            <w:tcBorders>
              <w:top w:val="single" w:sz="4" w:space="0" w:color="auto"/>
            </w:tcBorders>
          </w:tcPr>
          <w:p w14:paraId="594B2D54" w14:textId="4E08AF7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4.1</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2.7-21</w:t>
            </w:r>
            <w:r w:rsidR="00F84ADB">
              <w:rPr>
                <w:rFonts w:ascii="Book Antiqua" w:hAnsi="Book Antiqua"/>
                <w:sz w:val="21"/>
                <w:szCs w:val="21"/>
              </w:rPr>
              <w:t>)</w:t>
            </w:r>
          </w:p>
        </w:tc>
        <w:tc>
          <w:tcPr>
            <w:tcW w:w="274" w:type="pct"/>
            <w:tcBorders>
              <w:top w:val="single" w:sz="4" w:space="0" w:color="auto"/>
            </w:tcBorders>
          </w:tcPr>
          <w:p w14:paraId="3416DB1D"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0.002</w:t>
            </w:r>
          </w:p>
        </w:tc>
        <w:tc>
          <w:tcPr>
            <w:tcW w:w="129" w:type="pct"/>
            <w:tcBorders>
              <w:top w:val="single" w:sz="4" w:space="0" w:color="auto"/>
            </w:tcBorders>
          </w:tcPr>
          <w:p w14:paraId="6BE0BB14"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Borders>
              <w:top w:val="single" w:sz="4" w:space="0" w:color="auto"/>
            </w:tcBorders>
          </w:tcPr>
          <w:p w14:paraId="6F958295" w14:textId="3B94C11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2.2</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0.0-14.5</w:t>
            </w:r>
            <w:r w:rsidR="00F84ADB">
              <w:rPr>
                <w:rFonts w:ascii="Book Antiqua" w:hAnsi="Book Antiqua"/>
                <w:sz w:val="21"/>
                <w:szCs w:val="21"/>
              </w:rPr>
              <w:t>)</w:t>
            </w:r>
          </w:p>
        </w:tc>
        <w:tc>
          <w:tcPr>
            <w:tcW w:w="375" w:type="pct"/>
            <w:tcBorders>
              <w:top w:val="single" w:sz="4" w:space="0" w:color="auto"/>
            </w:tcBorders>
          </w:tcPr>
          <w:p w14:paraId="2C65F703" w14:textId="7B5AB6D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4.9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2.4-21</w:t>
            </w:r>
            <w:r w:rsidR="00F84ADB">
              <w:rPr>
                <w:rFonts w:ascii="Book Antiqua" w:hAnsi="Book Antiqua"/>
                <w:sz w:val="21"/>
                <w:szCs w:val="21"/>
              </w:rPr>
              <w:t>)</w:t>
            </w:r>
          </w:p>
        </w:tc>
        <w:tc>
          <w:tcPr>
            <w:tcW w:w="323" w:type="pct"/>
            <w:tcBorders>
              <w:top w:val="single" w:sz="4" w:space="0" w:color="auto"/>
            </w:tcBorders>
          </w:tcPr>
          <w:p w14:paraId="5EC1E6E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0.06</w:t>
            </w:r>
          </w:p>
        </w:tc>
      </w:tr>
      <w:tr w:rsidR="00FA2DF9" w:rsidRPr="00F84ADB" w14:paraId="617227AA" w14:textId="77777777" w:rsidTr="00E84708">
        <w:trPr>
          <w:trHeight w:val="427"/>
          <w:jc w:val="center"/>
        </w:trPr>
        <w:tc>
          <w:tcPr>
            <w:tcW w:w="525" w:type="pct"/>
          </w:tcPr>
          <w:p w14:paraId="154D12F6"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Age</w:t>
            </w:r>
          </w:p>
        </w:tc>
        <w:tc>
          <w:tcPr>
            <w:tcW w:w="361" w:type="pct"/>
          </w:tcPr>
          <w:p w14:paraId="48DD29D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2E6AD29A" w14:textId="66666E96"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22.3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11.3-39.0</w:t>
            </w:r>
            <w:r w:rsidR="00F84ADB">
              <w:rPr>
                <w:rFonts w:ascii="Book Antiqua" w:hAnsi="Book Antiqua"/>
                <w:sz w:val="21"/>
                <w:szCs w:val="21"/>
              </w:rPr>
              <w:t>)</w:t>
            </w:r>
          </w:p>
        </w:tc>
        <w:tc>
          <w:tcPr>
            <w:tcW w:w="96" w:type="pct"/>
          </w:tcPr>
          <w:p w14:paraId="531E2A5F"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5878B443" w14:textId="1E7CCEB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16.7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13.4-36.1</w:t>
            </w:r>
            <w:r w:rsidR="00F84ADB">
              <w:rPr>
                <w:rFonts w:ascii="Book Antiqua" w:hAnsi="Book Antiqua"/>
                <w:sz w:val="21"/>
                <w:szCs w:val="21"/>
              </w:rPr>
              <w:t>)</w:t>
            </w:r>
          </w:p>
        </w:tc>
        <w:tc>
          <w:tcPr>
            <w:tcW w:w="406" w:type="pct"/>
          </w:tcPr>
          <w:p w14:paraId="379B21BF" w14:textId="073EE56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26.0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11.3-39.0</w:t>
            </w:r>
            <w:r w:rsidR="00F84ADB">
              <w:rPr>
                <w:rFonts w:ascii="Book Antiqua" w:hAnsi="Book Antiqua"/>
                <w:sz w:val="21"/>
                <w:szCs w:val="21"/>
              </w:rPr>
              <w:t>)</w:t>
            </w:r>
          </w:p>
        </w:tc>
        <w:tc>
          <w:tcPr>
            <w:tcW w:w="281" w:type="pct"/>
          </w:tcPr>
          <w:p w14:paraId="556A6DD5"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0.08</w:t>
            </w:r>
          </w:p>
        </w:tc>
        <w:tc>
          <w:tcPr>
            <w:tcW w:w="117" w:type="pct"/>
          </w:tcPr>
          <w:p w14:paraId="6F046F39"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6609C419" w14:textId="5531546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26.4</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16.3-39.0</w:t>
            </w:r>
            <w:r w:rsidR="00F84ADB">
              <w:rPr>
                <w:rFonts w:ascii="Book Antiqua" w:hAnsi="Book Antiqua"/>
                <w:sz w:val="21"/>
                <w:szCs w:val="21"/>
              </w:rPr>
              <w:t>)</w:t>
            </w:r>
          </w:p>
        </w:tc>
        <w:tc>
          <w:tcPr>
            <w:tcW w:w="487" w:type="pct"/>
            <w:gridSpan w:val="2"/>
          </w:tcPr>
          <w:p w14:paraId="76B32511" w14:textId="53477DE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21.9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11.3-36.1</w:t>
            </w:r>
            <w:r w:rsidR="00F84ADB">
              <w:rPr>
                <w:rFonts w:ascii="Book Antiqua" w:hAnsi="Book Antiqua"/>
                <w:sz w:val="21"/>
                <w:szCs w:val="21"/>
              </w:rPr>
              <w:t>)</w:t>
            </w:r>
          </w:p>
        </w:tc>
        <w:tc>
          <w:tcPr>
            <w:tcW w:w="274" w:type="pct"/>
          </w:tcPr>
          <w:p w14:paraId="51A1F2D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0.29</w:t>
            </w:r>
          </w:p>
        </w:tc>
        <w:tc>
          <w:tcPr>
            <w:tcW w:w="129" w:type="pct"/>
          </w:tcPr>
          <w:p w14:paraId="4CECF64B"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6AC29DAF" w14:textId="37FD27E9"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28.2</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17.0-39.0</w:t>
            </w:r>
            <w:r w:rsidR="00F84ADB">
              <w:rPr>
                <w:rFonts w:ascii="Book Antiqua" w:hAnsi="Book Antiqua"/>
                <w:sz w:val="21"/>
                <w:szCs w:val="21"/>
              </w:rPr>
              <w:t>)</w:t>
            </w:r>
          </w:p>
        </w:tc>
        <w:tc>
          <w:tcPr>
            <w:tcW w:w="375" w:type="pct"/>
          </w:tcPr>
          <w:p w14:paraId="6C4398BC" w14:textId="283CCDD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18.0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11.3-30.6</w:t>
            </w:r>
            <w:r w:rsidR="00F84ADB">
              <w:rPr>
                <w:rFonts w:ascii="Book Antiqua" w:hAnsi="Book Antiqua"/>
                <w:sz w:val="21"/>
                <w:szCs w:val="21"/>
              </w:rPr>
              <w:t>)</w:t>
            </w:r>
          </w:p>
        </w:tc>
        <w:tc>
          <w:tcPr>
            <w:tcW w:w="323" w:type="pct"/>
          </w:tcPr>
          <w:p w14:paraId="784746C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0.04</w:t>
            </w:r>
          </w:p>
        </w:tc>
      </w:tr>
      <w:tr w:rsidR="00FA2DF9" w:rsidRPr="00F84ADB" w14:paraId="4CC33235" w14:textId="77777777" w:rsidTr="00E84708">
        <w:trPr>
          <w:trHeight w:val="406"/>
          <w:jc w:val="center"/>
        </w:trPr>
        <w:tc>
          <w:tcPr>
            <w:tcW w:w="525" w:type="pct"/>
          </w:tcPr>
          <w:p w14:paraId="73687E98"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Sex</w:t>
            </w:r>
          </w:p>
          <w:p w14:paraId="0ACD854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 xml:space="preserve">(male) </w:t>
            </w:r>
          </w:p>
        </w:tc>
        <w:tc>
          <w:tcPr>
            <w:tcW w:w="361" w:type="pct"/>
          </w:tcPr>
          <w:p w14:paraId="097DE828"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37C00C64" w14:textId="2102A66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16</w:t>
            </w:r>
            <w:r w:rsidR="00F84ADB" w:rsidRPr="00F84ADB">
              <w:rPr>
                <w:rFonts w:ascii="Book Antiqua" w:hAnsi="Book Antiqua"/>
                <w:sz w:val="21"/>
                <w:szCs w:val="21"/>
                <w:lang w:eastAsia="zh-CN"/>
              </w:rPr>
              <w:t xml:space="preserve"> (</w:t>
            </w:r>
            <w:r w:rsidRPr="00F84ADB">
              <w:rPr>
                <w:rFonts w:ascii="Book Antiqua" w:hAnsi="Book Antiqua"/>
                <w:sz w:val="21"/>
                <w:szCs w:val="21"/>
              </w:rPr>
              <w:t>80%</w:t>
            </w:r>
            <w:r w:rsidR="00F84ADB" w:rsidRPr="00F84ADB">
              <w:rPr>
                <w:rFonts w:ascii="Book Antiqua" w:hAnsi="Book Antiqua"/>
                <w:sz w:val="21"/>
                <w:szCs w:val="21"/>
              </w:rPr>
              <w:t>)</w:t>
            </w:r>
          </w:p>
        </w:tc>
        <w:tc>
          <w:tcPr>
            <w:tcW w:w="96" w:type="pct"/>
          </w:tcPr>
          <w:p w14:paraId="5DA8250E"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6EE04CC4" w14:textId="30E2893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w:t>
            </w:r>
            <w:r w:rsidR="00F84ADB" w:rsidRPr="00F84ADB">
              <w:rPr>
                <w:rFonts w:ascii="Book Antiqua" w:hAnsi="Book Antiqua"/>
                <w:sz w:val="21"/>
                <w:szCs w:val="21"/>
                <w:lang w:eastAsia="zh-CN"/>
              </w:rPr>
              <w:t xml:space="preserve"> (</w:t>
            </w:r>
            <w:r w:rsidRPr="00F84ADB">
              <w:rPr>
                <w:rFonts w:ascii="Book Antiqua" w:hAnsi="Book Antiqua"/>
                <w:sz w:val="21"/>
                <w:szCs w:val="21"/>
              </w:rPr>
              <w:t>83%</w:t>
            </w:r>
            <w:r w:rsidR="00F84ADB" w:rsidRPr="00F84ADB">
              <w:rPr>
                <w:rFonts w:ascii="Book Antiqua" w:hAnsi="Book Antiqua"/>
                <w:sz w:val="21"/>
                <w:szCs w:val="21"/>
              </w:rPr>
              <w:t>)</w:t>
            </w:r>
          </w:p>
        </w:tc>
        <w:tc>
          <w:tcPr>
            <w:tcW w:w="406" w:type="pct"/>
          </w:tcPr>
          <w:p w14:paraId="1DC1574E" w14:textId="1B184E6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11</w:t>
            </w:r>
            <w:r w:rsidR="00F84ADB" w:rsidRPr="00F84ADB">
              <w:rPr>
                <w:rFonts w:ascii="Book Antiqua" w:hAnsi="Book Antiqua"/>
                <w:sz w:val="21"/>
                <w:szCs w:val="21"/>
                <w:lang w:eastAsia="zh-CN"/>
              </w:rPr>
              <w:t xml:space="preserve"> (</w:t>
            </w:r>
            <w:r w:rsidRPr="00F84ADB">
              <w:rPr>
                <w:rFonts w:ascii="Book Antiqua" w:hAnsi="Book Antiqua"/>
                <w:sz w:val="21"/>
                <w:szCs w:val="21"/>
              </w:rPr>
              <w:t>78%</w:t>
            </w:r>
            <w:r w:rsidR="00F84ADB" w:rsidRPr="00F84ADB">
              <w:rPr>
                <w:rFonts w:ascii="Book Antiqua" w:hAnsi="Book Antiqua"/>
                <w:sz w:val="21"/>
                <w:szCs w:val="21"/>
              </w:rPr>
              <w:t>)</w:t>
            </w:r>
          </w:p>
        </w:tc>
        <w:tc>
          <w:tcPr>
            <w:tcW w:w="281" w:type="pct"/>
          </w:tcPr>
          <w:p w14:paraId="1D3F1E0F"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1.00</w:t>
            </w:r>
          </w:p>
        </w:tc>
        <w:tc>
          <w:tcPr>
            <w:tcW w:w="117" w:type="pct"/>
          </w:tcPr>
          <w:p w14:paraId="1970ED4F"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44395A37" w14:textId="489CEFAB"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w:t>
            </w:r>
            <w:r w:rsidR="00F84ADB" w:rsidRPr="00F84ADB">
              <w:rPr>
                <w:rFonts w:ascii="Book Antiqua" w:hAnsi="Book Antiqua"/>
                <w:sz w:val="21"/>
                <w:szCs w:val="21"/>
                <w:lang w:eastAsia="zh-CN"/>
              </w:rPr>
              <w:t xml:space="preserve"> (</w:t>
            </w:r>
            <w:r w:rsidRPr="00F84ADB">
              <w:rPr>
                <w:rFonts w:ascii="Book Antiqua" w:hAnsi="Book Antiqua"/>
                <w:sz w:val="21"/>
                <w:szCs w:val="21"/>
              </w:rPr>
              <w:t>78%</w:t>
            </w:r>
            <w:r w:rsidR="00F84ADB" w:rsidRPr="00F84ADB">
              <w:rPr>
                <w:rFonts w:ascii="Book Antiqua" w:hAnsi="Book Antiqua"/>
                <w:sz w:val="21"/>
                <w:szCs w:val="21"/>
              </w:rPr>
              <w:t>)</w:t>
            </w:r>
          </w:p>
        </w:tc>
        <w:tc>
          <w:tcPr>
            <w:tcW w:w="487" w:type="pct"/>
            <w:gridSpan w:val="2"/>
          </w:tcPr>
          <w:p w14:paraId="23C1978E" w14:textId="703F575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w:t>
            </w:r>
            <w:r w:rsidR="00F84ADB" w:rsidRPr="00F84ADB">
              <w:rPr>
                <w:rFonts w:ascii="Book Antiqua" w:hAnsi="Book Antiqua"/>
                <w:sz w:val="21"/>
                <w:szCs w:val="21"/>
                <w:lang w:eastAsia="zh-CN"/>
              </w:rPr>
              <w:t xml:space="preserve"> (</w:t>
            </w:r>
            <w:r w:rsidRPr="00F84ADB">
              <w:rPr>
                <w:rFonts w:ascii="Book Antiqua" w:hAnsi="Book Antiqua"/>
                <w:sz w:val="21"/>
                <w:szCs w:val="21"/>
              </w:rPr>
              <w:t>82%</w:t>
            </w:r>
            <w:r w:rsidR="00F84ADB" w:rsidRPr="00F84ADB">
              <w:rPr>
                <w:rFonts w:ascii="Book Antiqua" w:hAnsi="Book Antiqua"/>
                <w:sz w:val="21"/>
                <w:szCs w:val="21"/>
              </w:rPr>
              <w:t>)</w:t>
            </w:r>
          </w:p>
        </w:tc>
        <w:tc>
          <w:tcPr>
            <w:tcW w:w="274" w:type="pct"/>
          </w:tcPr>
          <w:p w14:paraId="54DFEAF7"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1.00</w:t>
            </w:r>
          </w:p>
        </w:tc>
        <w:tc>
          <w:tcPr>
            <w:tcW w:w="129" w:type="pct"/>
          </w:tcPr>
          <w:p w14:paraId="2D45F167"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2524527D" w14:textId="77DDB616"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67%</w:t>
            </w:r>
            <w:r w:rsidR="00F84ADB">
              <w:rPr>
                <w:rFonts w:ascii="Book Antiqua" w:hAnsi="Book Antiqua"/>
                <w:sz w:val="21"/>
                <w:szCs w:val="21"/>
              </w:rPr>
              <w:t>)</w:t>
            </w:r>
          </w:p>
        </w:tc>
        <w:tc>
          <w:tcPr>
            <w:tcW w:w="375" w:type="pct"/>
          </w:tcPr>
          <w:p w14:paraId="481EAC96" w14:textId="6D073D7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100%</w:t>
            </w:r>
            <w:r w:rsidR="00F84ADB">
              <w:rPr>
                <w:rFonts w:ascii="Book Antiqua" w:hAnsi="Book Antiqua"/>
                <w:sz w:val="21"/>
                <w:szCs w:val="21"/>
              </w:rPr>
              <w:t>)</w:t>
            </w:r>
          </w:p>
        </w:tc>
        <w:tc>
          <w:tcPr>
            <w:tcW w:w="323" w:type="pct"/>
          </w:tcPr>
          <w:p w14:paraId="5BCFC4F1"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0.12</w:t>
            </w:r>
          </w:p>
        </w:tc>
      </w:tr>
      <w:tr w:rsidR="00FA2DF9" w:rsidRPr="00F84ADB" w14:paraId="223C4758" w14:textId="77777777" w:rsidTr="00E84708">
        <w:trPr>
          <w:trHeight w:val="427"/>
          <w:jc w:val="center"/>
        </w:trPr>
        <w:tc>
          <w:tcPr>
            <w:tcW w:w="525" w:type="pct"/>
          </w:tcPr>
          <w:p w14:paraId="776A013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BMI</w:t>
            </w:r>
          </w:p>
        </w:tc>
        <w:tc>
          <w:tcPr>
            <w:tcW w:w="361" w:type="pct"/>
          </w:tcPr>
          <w:p w14:paraId="38BE1671"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2BCC85EB" w14:textId="1A8FE5C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21.0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16.9-32.4</w:t>
            </w:r>
            <w:r w:rsidR="00F84ADB">
              <w:rPr>
                <w:rFonts w:ascii="Book Antiqua" w:hAnsi="Book Antiqua"/>
                <w:sz w:val="21"/>
                <w:szCs w:val="21"/>
              </w:rPr>
              <w:t>)</w:t>
            </w:r>
          </w:p>
        </w:tc>
        <w:tc>
          <w:tcPr>
            <w:tcW w:w="96" w:type="pct"/>
          </w:tcPr>
          <w:p w14:paraId="603A593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2175E465" w14:textId="5F0259B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20.5</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16.9-32.4</w:t>
            </w:r>
            <w:r w:rsidR="00F84ADB">
              <w:rPr>
                <w:rFonts w:ascii="Book Antiqua" w:hAnsi="Book Antiqua"/>
                <w:sz w:val="21"/>
                <w:szCs w:val="21"/>
              </w:rPr>
              <w:t>)</w:t>
            </w:r>
          </w:p>
        </w:tc>
        <w:tc>
          <w:tcPr>
            <w:tcW w:w="406" w:type="pct"/>
          </w:tcPr>
          <w:p w14:paraId="03DD4282" w14:textId="0511B49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21.0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18.8-25.7</w:t>
            </w:r>
            <w:r w:rsidR="00F84ADB">
              <w:rPr>
                <w:rFonts w:ascii="Book Antiqua" w:hAnsi="Book Antiqua"/>
                <w:sz w:val="21"/>
                <w:szCs w:val="21"/>
              </w:rPr>
              <w:t>)</w:t>
            </w:r>
          </w:p>
        </w:tc>
        <w:tc>
          <w:tcPr>
            <w:tcW w:w="281" w:type="pct"/>
          </w:tcPr>
          <w:p w14:paraId="5A4D2C3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w:t>
            </w:r>
          </w:p>
        </w:tc>
        <w:tc>
          <w:tcPr>
            <w:tcW w:w="117" w:type="pct"/>
          </w:tcPr>
          <w:p w14:paraId="5DA66CFC"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78DA60A5" w14:textId="26EC041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22.4</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18.8-25.7</w:t>
            </w:r>
            <w:r w:rsidR="00F84ADB">
              <w:rPr>
                <w:rFonts w:ascii="Book Antiqua" w:hAnsi="Book Antiqua"/>
                <w:sz w:val="21"/>
                <w:szCs w:val="21"/>
              </w:rPr>
              <w:t>)</w:t>
            </w:r>
          </w:p>
        </w:tc>
        <w:tc>
          <w:tcPr>
            <w:tcW w:w="487" w:type="pct"/>
            <w:gridSpan w:val="2"/>
          </w:tcPr>
          <w:p w14:paraId="49CD1C66" w14:textId="2414CC3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20.0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16.9-32.4</w:t>
            </w:r>
            <w:r w:rsidR="00F84ADB">
              <w:rPr>
                <w:rFonts w:ascii="Book Antiqua" w:hAnsi="Book Antiqua"/>
                <w:sz w:val="21"/>
                <w:szCs w:val="21"/>
              </w:rPr>
              <w:t>)</w:t>
            </w:r>
          </w:p>
        </w:tc>
        <w:tc>
          <w:tcPr>
            <w:tcW w:w="274" w:type="pct"/>
          </w:tcPr>
          <w:p w14:paraId="5CC748E6" w14:textId="77777777" w:rsidR="001C1832" w:rsidRPr="00F84ADB" w:rsidRDefault="001C1832" w:rsidP="00F84ADB">
            <w:pPr>
              <w:adjustRightInd w:val="0"/>
              <w:snapToGrid w:val="0"/>
              <w:spacing w:line="360" w:lineRule="auto"/>
              <w:jc w:val="both"/>
              <w:rPr>
                <w:rFonts w:ascii="Book Antiqua" w:hAnsi="Book Antiqua"/>
                <w:sz w:val="21"/>
                <w:szCs w:val="21"/>
                <w:highlight w:val="yellow"/>
              </w:rPr>
            </w:pPr>
            <w:r w:rsidRPr="00F84ADB">
              <w:rPr>
                <w:rFonts w:ascii="Book Antiqua" w:hAnsi="Book Antiqua"/>
                <w:sz w:val="21"/>
                <w:szCs w:val="21"/>
              </w:rPr>
              <w:t>0.05</w:t>
            </w:r>
          </w:p>
        </w:tc>
        <w:tc>
          <w:tcPr>
            <w:tcW w:w="129" w:type="pct"/>
          </w:tcPr>
          <w:p w14:paraId="64448335"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169A9DDB" w14:textId="1BAF79E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21.0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18.8-32.4</w:t>
            </w:r>
            <w:r w:rsidR="00F84ADB">
              <w:rPr>
                <w:rFonts w:ascii="Book Antiqua" w:hAnsi="Book Antiqua"/>
                <w:sz w:val="21"/>
                <w:szCs w:val="21"/>
              </w:rPr>
              <w:t>)</w:t>
            </w:r>
          </w:p>
        </w:tc>
        <w:tc>
          <w:tcPr>
            <w:tcW w:w="375" w:type="pct"/>
          </w:tcPr>
          <w:p w14:paraId="4481427E" w14:textId="1217275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19.6</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16.9-22.4</w:t>
            </w:r>
            <w:r w:rsidR="00F84ADB">
              <w:rPr>
                <w:rFonts w:ascii="Book Antiqua" w:hAnsi="Book Antiqua"/>
                <w:sz w:val="21"/>
                <w:szCs w:val="21"/>
              </w:rPr>
              <w:t>)</w:t>
            </w:r>
          </w:p>
        </w:tc>
        <w:tc>
          <w:tcPr>
            <w:tcW w:w="323" w:type="pct"/>
          </w:tcPr>
          <w:p w14:paraId="2DE0C041"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0.05</w:t>
            </w:r>
          </w:p>
        </w:tc>
      </w:tr>
      <w:tr w:rsidR="00FA2DF9" w:rsidRPr="00F84ADB" w14:paraId="0C20A9F8" w14:textId="77777777" w:rsidTr="00E84708">
        <w:trPr>
          <w:trHeight w:val="406"/>
          <w:jc w:val="center"/>
        </w:trPr>
        <w:tc>
          <w:tcPr>
            <w:tcW w:w="525" w:type="pct"/>
          </w:tcPr>
          <w:p w14:paraId="7D89CA9D"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BMI percentile</w:t>
            </w:r>
          </w:p>
        </w:tc>
        <w:tc>
          <w:tcPr>
            <w:tcW w:w="361" w:type="pct"/>
          </w:tcPr>
          <w:p w14:paraId="2A2EEC76"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52383FCF" w14:textId="077316C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2-96</w:t>
            </w:r>
            <w:r w:rsidR="00F84ADB">
              <w:rPr>
                <w:rFonts w:ascii="Book Antiqua" w:hAnsi="Book Antiqua"/>
                <w:sz w:val="21"/>
                <w:szCs w:val="21"/>
              </w:rPr>
              <w:t>)</w:t>
            </w:r>
          </w:p>
        </w:tc>
        <w:tc>
          <w:tcPr>
            <w:tcW w:w="96" w:type="pct"/>
          </w:tcPr>
          <w:p w14:paraId="52F4BE4A"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18F79A32" w14:textId="45BC2CA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2-96</w:t>
            </w:r>
            <w:r w:rsidR="00F84ADB">
              <w:rPr>
                <w:rFonts w:ascii="Book Antiqua" w:hAnsi="Book Antiqua"/>
                <w:sz w:val="21"/>
                <w:szCs w:val="21"/>
              </w:rPr>
              <w:t>)</w:t>
            </w:r>
          </w:p>
        </w:tc>
        <w:tc>
          <w:tcPr>
            <w:tcW w:w="406" w:type="pct"/>
          </w:tcPr>
          <w:p w14:paraId="3F0EAE6A" w14:textId="074B898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3-77</w:t>
            </w:r>
            <w:r w:rsidR="00F84ADB">
              <w:rPr>
                <w:rFonts w:ascii="Book Antiqua" w:hAnsi="Book Antiqua"/>
                <w:sz w:val="21"/>
                <w:szCs w:val="21"/>
              </w:rPr>
              <w:t>)</w:t>
            </w:r>
          </w:p>
        </w:tc>
        <w:tc>
          <w:tcPr>
            <w:tcW w:w="281" w:type="pct"/>
          </w:tcPr>
          <w:p w14:paraId="3145DF0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0.77</w:t>
            </w:r>
          </w:p>
        </w:tc>
        <w:tc>
          <w:tcPr>
            <w:tcW w:w="117" w:type="pct"/>
          </w:tcPr>
          <w:p w14:paraId="6089735E"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141BD1F7" w14:textId="5B276449"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 xml:space="preserve">51 </w:t>
            </w:r>
            <w:r w:rsidR="00F84ADB">
              <w:rPr>
                <w:rFonts w:ascii="Book Antiqua" w:hAnsi="Book Antiqua"/>
                <w:sz w:val="21"/>
                <w:szCs w:val="21"/>
              </w:rPr>
              <w:t>(</w:t>
            </w:r>
            <w:r w:rsidRPr="00F84ADB">
              <w:rPr>
                <w:rFonts w:ascii="Book Antiqua" w:hAnsi="Book Antiqua"/>
                <w:sz w:val="21"/>
                <w:szCs w:val="21"/>
              </w:rPr>
              <w:t>3-77</w:t>
            </w:r>
            <w:r w:rsidR="00F84ADB">
              <w:rPr>
                <w:rFonts w:ascii="Book Antiqua" w:hAnsi="Book Antiqua"/>
                <w:sz w:val="21"/>
                <w:szCs w:val="21"/>
              </w:rPr>
              <w:t>)</w:t>
            </w:r>
          </w:p>
        </w:tc>
        <w:tc>
          <w:tcPr>
            <w:tcW w:w="487" w:type="pct"/>
            <w:gridSpan w:val="2"/>
          </w:tcPr>
          <w:p w14:paraId="2077EB29" w14:textId="42B7923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2-96</w:t>
            </w:r>
            <w:r w:rsidR="00F84ADB">
              <w:rPr>
                <w:rFonts w:ascii="Book Antiqua" w:hAnsi="Book Antiqua"/>
                <w:sz w:val="21"/>
                <w:szCs w:val="21"/>
              </w:rPr>
              <w:t>)</w:t>
            </w:r>
          </w:p>
        </w:tc>
        <w:tc>
          <w:tcPr>
            <w:tcW w:w="274" w:type="pct"/>
          </w:tcPr>
          <w:p w14:paraId="33853F8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0.21</w:t>
            </w:r>
          </w:p>
        </w:tc>
        <w:tc>
          <w:tcPr>
            <w:tcW w:w="129" w:type="pct"/>
          </w:tcPr>
          <w:p w14:paraId="19E35B17"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69D4AE8E" w14:textId="0FF45E5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3-96</w:t>
            </w:r>
            <w:r w:rsidR="00F84ADB">
              <w:rPr>
                <w:rFonts w:ascii="Book Antiqua" w:hAnsi="Book Antiqua"/>
                <w:sz w:val="21"/>
                <w:szCs w:val="21"/>
              </w:rPr>
              <w:t>)</w:t>
            </w:r>
          </w:p>
        </w:tc>
        <w:tc>
          <w:tcPr>
            <w:tcW w:w="375" w:type="pct"/>
          </w:tcPr>
          <w:p w14:paraId="797678C1" w14:textId="7A1BBACE"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37.5</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2-73</w:t>
            </w:r>
            <w:r w:rsidR="00F84ADB">
              <w:rPr>
                <w:rFonts w:ascii="Book Antiqua" w:hAnsi="Book Antiqua"/>
                <w:sz w:val="21"/>
                <w:szCs w:val="21"/>
              </w:rPr>
              <w:t>)</w:t>
            </w:r>
          </w:p>
        </w:tc>
        <w:tc>
          <w:tcPr>
            <w:tcW w:w="323" w:type="pct"/>
          </w:tcPr>
          <w:p w14:paraId="5103715C"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0.62</w:t>
            </w:r>
          </w:p>
        </w:tc>
      </w:tr>
      <w:tr w:rsidR="00FA2DF9" w:rsidRPr="00F84ADB" w14:paraId="2AFA6723" w14:textId="77777777" w:rsidTr="00E84708">
        <w:trPr>
          <w:trHeight w:val="406"/>
          <w:jc w:val="center"/>
        </w:trPr>
        <w:tc>
          <w:tcPr>
            <w:tcW w:w="525" w:type="pct"/>
          </w:tcPr>
          <w:p w14:paraId="5C2556E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FEV1 %</w:t>
            </w:r>
          </w:p>
        </w:tc>
        <w:tc>
          <w:tcPr>
            <w:tcW w:w="361" w:type="pct"/>
          </w:tcPr>
          <w:p w14:paraId="1F82A9A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73087F66" w14:textId="18B6AFB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33-105</w:t>
            </w:r>
            <w:r w:rsidR="00F84ADB">
              <w:rPr>
                <w:rFonts w:ascii="Book Antiqua" w:hAnsi="Book Antiqua"/>
                <w:sz w:val="21"/>
                <w:szCs w:val="21"/>
              </w:rPr>
              <w:t>)</w:t>
            </w:r>
          </w:p>
        </w:tc>
        <w:tc>
          <w:tcPr>
            <w:tcW w:w="96" w:type="pct"/>
          </w:tcPr>
          <w:p w14:paraId="280C62F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18A7DC20" w14:textId="4768C4D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86</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62-105</w:t>
            </w:r>
            <w:r w:rsidR="00F84ADB">
              <w:rPr>
                <w:rFonts w:ascii="Book Antiqua" w:hAnsi="Book Antiqua"/>
                <w:sz w:val="21"/>
                <w:szCs w:val="21"/>
              </w:rPr>
              <w:t>)</w:t>
            </w:r>
          </w:p>
        </w:tc>
        <w:tc>
          <w:tcPr>
            <w:tcW w:w="406" w:type="pct"/>
          </w:tcPr>
          <w:p w14:paraId="78B0FCC4" w14:textId="4B20AEC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74.5</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33-97</w:t>
            </w:r>
            <w:r w:rsidR="00F84ADB">
              <w:rPr>
                <w:rFonts w:ascii="Book Antiqua" w:hAnsi="Book Antiqua"/>
                <w:sz w:val="21"/>
                <w:szCs w:val="21"/>
              </w:rPr>
              <w:t>)</w:t>
            </w:r>
          </w:p>
        </w:tc>
        <w:tc>
          <w:tcPr>
            <w:tcW w:w="281" w:type="pct"/>
          </w:tcPr>
          <w:p w14:paraId="38DDE90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0.22</w:t>
            </w:r>
          </w:p>
        </w:tc>
        <w:tc>
          <w:tcPr>
            <w:tcW w:w="117" w:type="pct"/>
          </w:tcPr>
          <w:p w14:paraId="3440CAAB"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3DE07809" w14:textId="4043CA1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33-89</w:t>
            </w:r>
            <w:r w:rsidR="00F84ADB">
              <w:rPr>
                <w:rFonts w:ascii="Book Antiqua" w:hAnsi="Book Antiqua"/>
                <w:sz w:val="21"/>
                <w:szCs w:val="21"/>
              </w:rPr>
              <w:t>)</w:t>
            </w:r>
          </w:p>
        </w:tc>
        <w:tc>
          <w:tcPr>
            <w:tcW w:w="487" w:type="pct"/>
            <w:gridSpan w:val="2"/>
          </w:tcPr>
          <w:p w14:paraId="5E37BEA6" w14:textId="526901A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48-105</w:t>
            </w:r>
            <w:r w:rsidR="00F84ADB">
              <w:rPr>
                <w:rFonts w:ascii="Book Antiqua" w:hAnsi="Book Antiqua"/>
                <w:sz w:val="21"/>
                <w:szCs w:val="21"/>
              </w:rPr>
              <w:t>)</w:t>
            </w:r>
          </w:p>
        </w:tc>
        <w:tc>
          <w:tcPr>
            <w:tcW w:w="274" w:type="pct"/>
          </w:tcPr>
          <w:p w14:paraId="1B99C35E"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0.24</w:t>
            </w:r>
          </w:p>
        </w:tc>
        <w:tc>
          <w:tcPr>
            <w:tcW w:w="129" w:type="pct"/>
          </w:tcPr>
          <w:p w14:paraId="74E8B78D"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269B5D0B" w14:textId="42B816AE"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63.5</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33-105</w:t>
            </w:r>
            <w:r w:rsidR="00F84ADB">
              <w:rPr>
                <w:rFonts w:ascii="Book Antiqua" w:hAnsi="Book Antiqua"/>
                <w:sz w:val="21"/>
                <w:szCs w:val="21"/>
              </w:rPr>
              <w:t>)</w:t>
            </w:r>
          </w:p>
        </w:tc>
        <w:tc>
          <w:tcPr>
            <w:tcW w:w="375" w:type="pct"/>
          </w:tcPr>
          <w:p w14:paraId="7B21403B" w14:textId="4A260F1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88</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65-97</w:t>
            </w:r>
            <w:r w:rsidR="00F84ADB">
              <w:rPr>
                <w:rFonts w:ascii="Book Antiqua" w:hAnsi="Book Antiqua"/>
                <w:sz w:val="21"/>
                <w:szCs w:val="21"/>
              </w:rPr>
              <w:t>)</w:t>
            </w:r>
          </w:p>
        </w:tc>
        <w:tc>
          <w:tcPr>
            <w:tcW w:w="323" w:type="pct"/>
          </w:tcPr>
          <w:p w14:paraId="45AA228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0.001</w:t>
            </w:r>
          </w:p>
        </w:tc>
      </w:tr>
      <w:tr w:rsidR="00FA2DF9" w:rsidRPr="00F84ADB" w14:paraId="613ADFF6" w14:textId="77777777" w:rsidTr="00E84708">
        <w:trPr>
          <w:trHeight w:val="427"/>
          <w:jc w:val="center"/>
        </w:trPr>
        <w:tc>
          <w:tcPr>
            <w:tcW w:w="525" w:type="pct"/>
          </w:tcPr>
          <w:p w14:paraId="63536D0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 xml:space="preserve">CFTR modulator </w:t>
            </w:r>
          </w:p>
        </w:tc>
        <w:tc>
          <w:tcPr>
            <w:tcW w:w="361" w:type="pct"/>
          </w:tcPr>
          <w:p w14:paraId="1289773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3AE57057" w14:textId="75BAEE0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45%</w:t>
            </w:r>
            <w:r w:rsidR="00F84ADB">
              <w:rPr>
                <w:rFonts w:ascii="Book Antiqua" w:hAnsi="Book Antiqua"/>
                <w:sz w:val="21"/>
                <w:szCs w:val="21"/>
              </w:rPr>
              <w:t>)</w:t>
            </w:r>
          </w:p>
        </w:tc>
        <w:tc>
          <w:tcPr>
            <w:tcW w:w="96" w:type="pct"/>
          </w:tcPr>
          <w:p w14:paraId="0F139D90"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033E52A0" w14:textId="6914028B"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17%</w:t>
            </w:r>
            <w:r w:rsidR="00F84ADB">
              <w:rPr>
                <w:rFonts w:ascii="Book Antiqua" w:hAnsi="Book Antiqua"/>
                <w:sz w:val="21"/>
                <w:szCs w:val="21"/>
              </w:rPr>
              <w:t>)</w:t>
            </w:r>
          </w:p>
        </w:tc>
        <w:tc>
          <w:tcPr>
            <w:tcW w:w="406" w:type="pct"/>
          </w:tcPr>
          <w:p w14:paraId="25B41F96" w14:textId="2903BF1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57%</w:t>
            </w:r>
            <w:r w:rsidR="00F84ADB">
              <w:rPr>
                <w:rFonts w:ascii="Book Antiqua" w:hAnsi="Book Antiqua"/>
                <w:sz w:val="21"/>
                <w:szCs w:val="21"/>
              </w:rPr>
              <w:t>)</w:t>
            </w:r>
          </w:p>
        </w:tc>
        <w:tc>
          <w:tcPr>
            <w:tcW w:w="281" w:type="pct"/>
          </w:tcPr>
          <w:p w14:paraId="0A2C8CE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0.16</w:t>
            </w:r>
          </w:p>
        </w:tc>
        <w:tc>
          <w:tcPr>
            <w:tcW w:w="117" w:type="pct"/>
          </w:tcPr>
          <w:p w14:paraId="6A267F8D"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09454F54" w14:textId="2338C98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100%</w:t>
            </w:r>
            <w:r w:rsidR="00F84ADB">
              <w:rPr>
                <w:rFonts w:ascii="Book Antiqua" w:hAnsi="Book Antiqua"/>
                <w:sz w:val="21"/>
                <w:szCs w:val="21"/>
              </w:rPr>
              <w:t>)</w:t>
            </w:r>
          </w:p>
        </w:tc>
        <w:tc>
          <w:tcPr>
            <w:tcW w:w="487" w:type="pct"/>
            <w:gridSpan w:val="2"/>
          </w:tcPr>
          <w:p w14:paraId="17F0AE35" w14:textId="7DF3B13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11</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100%</w:t>
            </w:r>
            <w:r w:rsidR="00F84ADB">
              <w:rPr>
                <w:rFonts w:ascii="Book Antiqua" w:hAnsi="Book Antiqua"/>
                <w:sz w:val="21"/>
                <w:szCs w:val="21"/>
              </w:rPr>
              <w:t>)</w:t>
            </w:r>
          </w:p>
        </w:tc>
        <w:tc>
          <w:tcPr>
            <w:tcW w:w="274" w:type="pct"/>
          </w:tcPr>
          <w:p w14:paraId="0757E287"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129" w:type="pct"/>
          </w:tcPr>
          <w:p w14:paraId="5199FC2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00E82E58" w14:textId="61C9BA6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58%</w:t>
            </w:r>
            <w:r w:rsidR="00F84ADB">
              <w:rPr>
                <w:rFonts w:ascii="Book Antiqua" w:hAnsi="Book Antiqua"/>
                <w:sz w:val="21"/>
                <w:szCs w:val="21"/>
              </w:rPr>
              <w:t>)</w:t>
            </w:r>
          </w:p>
        </w:tc>
        <w:tc>
          <w:tcPr>
            <w:tcW w:w="375" w:type="pct"/>
          </w:tcPr>
          <w:p w14:paraId="3DF7F666" w14:textId="2757E89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25%</w:t>
            </w:r>
            <w:r w:rsidR="00F84ADB">
              <w:rPr>
                <w:rFonts w:ascii="Book Antiqua" w:hAnsi="Book Antiqua"/>
                <w:sz w:val="21"/>
                <w:szCs w:val="21"/>
              </w:rPr>
              <w:t>)</w:t>
            </w:r>
          </w:p>
        </w:tc>
        <w:tc>
          <w:tcPr>
            <w:tcW w:w="323" w:type="pct"/>
          </w:tcPr>
          <w:p w14:paraId="6CB47008"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0.20</w:t>
            </w:r>
          </w:p>
        </w:tc>
      </w:tr>
      <w:tr w:rsidR="00FA2DF9" w:rsidRPr="00F84ADB" w14:paraId="44122CB4" w14:textId="77777777" w:rsidTr="00E84708">
        <w:trPr>
          <w:trHeight w:val="427"/>
          <w:jc w:val="center"/>
        </w:trPr>
        <w:tc>
          <w:tcPr>
            <w:tcW w:w="525" w:type="pct"/>
          </w:tcPr>
          <w:p w14:paraId="2AAEC05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Hemoglobin A1C (%)</w:t>
            </w:r>
          </w:p>
        </w:tc>
        <w:tc>
          <w:tcPr>
            <w:tcW w:w="361" w:type="pct"/>
          </w:tcPr>
          <w:p w14:paraId="0D160A53"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&lt; 5.8%</w:t>
            </w:r>
          </w:p>
        </w:tc>
        <w:tc>
          <w:tcPr>
            <w:tcW w:w="379" w:type="pct"/>
          </w:tcPr>
          <w:p w14:paraId="3130F743" w14:textId="72C0789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5.8</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5.2-8.2</w:t>
            </w:r>
            <w:r w:rsidR="00F84ADB">
              <w:rPr>
                <w:rFonts w:ascii="Book Antiqua" w:hAnsi="Book Antiqua"/>
                <w:sz w:val="21"/>
                <w:szCs w:val="21"/>
              </w:rPr>
              <w:t>)</w:t>
            </w:r>
          </w:p>
        </w:tc>
        <w:tc>
          <w:tcPr>
            <w:tcW w:w="96" w:type="pct"/>
          </w:tcPr>
          <w:p w14:paraId="3E8AA33A"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345CD416" w14:textId="248CB05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5.4-6.4</w:t>
            </w:r>
            <w:r w:rsidR="00F84ADB">
              <w:rPr>
                <w:rFonts w:ascii="Book Antiqua" w:hAnsi="Book Antiqua"/>
                <w:sz w:val="21"/>
                <w:szCs w:val="21"/>
              </w:rPr>
              <w:t>)</w:t>
            </w:r>
          </w:p>
        </w:tc>
        <w:tc>
          <w:tcPr>
            <w:tcW w:w="406" w:type="pct"/>
          </w:tcPr>
          <w:p w14:paraId="2839332E" w14:textId="00474A5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5.2-8.2</w:t>
            </w:r>
            <w:r w:rsidR="00F84ADB">
              <w:rPr>
                <w:rFonts w:ascii="Book Antiqua" w:hAnsi="Book Antiqua"/>
                <w:sz w:val="21"/>
                <w:szCs w:val="21"/>
              </w:rPr>
              <w:t>)</w:t>
            </w:r>
          </w:p>
        </w:tc>
        <w:tc>
          <w:tcPr>
            <w:tcW w:w="281" w:type="pct"/>
          </w:tcPr>
          <w:p w14:paraId="356D378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0.30</w:t>
            </w:r>
          </w:p>
        </w:tc>
        <w:tc>
          <w:tcPr>
            <w:tcW w:w="117" w:type="pct"/>
          </w:tcPr>
          <w:p w14:paraId="39F87C14"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461E2970" w14:textId="6E700B9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5.3-8.2</w:t>
            </w:r>
            <w:r w:rsidR="00F84ADB">
              <w:rPr>
                <w:rFonts w:ascii="Book Antiqua" w:hAnsi="Book Antiqua"/>
                <w:sz w:val="21"/>
                <w:szCs w:val="21"/>
              </w:rPr>
              <w:t>)</w:t>
            </w:r>
          </w:p>
        </w:tc>
        <w:tc>
          <w:tcPr>
            <w:tcW w:w="487" w:type="pct"/>
            <w:gridSpan w:val="2"/>
          </w:tcPr>
          <w:p w14:paraId="42BC0509" w14:textId="66DED16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5.2-7.4</w:t>
            </w:r>
            <w:r w:rsidR="00F84ADB">
              <w:rPr>
                <w:rFonts w:ascii="Book Antiqua" w:hAnsi="Book Antiqua"/>
                <w:sz w:val="21"/>
                <w:szCs w:val="21"/>
              </w:rPr>
              <w:t>)</w:t>
            </w:r>
          </w:p>
        </w:tc>
        <w:tc>
          <w:tcPr>
            <w:tcW w:w="274" w:type="pct"/>
          </w:tcPr>
          <w:p w14:paraId="421A062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0.21</w:t>
            </w:r>
          </w:p>
        </w:tc>
        <w:tc>
          <w:tcPr>
            <w:tcW w:w="129" w:type="pct"/>
          </w:tcPr>
          <w:p w14:paraId="7B6A1459"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0005A5A0" w14:textId="027296D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6.4</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5.4-8.2</w:t>
            </w:r>
            <w:r w:rsidR="00F84ADB">
              <w:rPr>
                <w:rFonts w:ascii="Book Antiqua" w:hAnsi="Book Antiqua"/>
                <w:sz w:val="21"/>
                <w:szCs w:val="21"/>
              </w:rPr>
              <w:t>)</w:t>
            </w:r>
          </w:p>
        </w:tc>
        <w:tc>
          <w:tcPr>
            <w:tcW w:w="375" w:type="pct"/>
          </w:tcPr>
          <w:p w14:paraId="34476167" w14:textId="1BE16A9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5.6</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5.2-5.7</w:t>
            </w:r>
            <w:r w:rsidR="00F84ADB">
              <w:rPr>
                <w:rFonts w:ascii="Book Antiqua" w:hAnsi="Book Antiqua"/>
                <w:sz w:val="21"/>
                <w:szCs w:val="21"/>
              </w:rPr>
              <w:t>)</w:t>
            </w:r>
          </w:p>
        </w:tc>
        <w:tc>
          <w:tcPr>
            <w:tcW w:w="323" w:type="pct"/>
          </w:tcPr>
          <w:p w14:paraId="31708103"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0.002</w:t>
            </w:r>
          </w:p>
        </w:tc>
      </w:tr>
      <w:tr w:rsidR="00FA2DF9" w:rsidRPr="00F84ADB" w14:paraId="30C27E61" w14:textId="77777777" w:rsidTr="00E84708">
        <w:trPr>
          <w:trHeight w:val="406"/>
          <w:jc w:val="center"/>
        </w:trPr>
        <w:tc>
          <w:tcPr>
            <w:tcW w:w="525" w:type="pct"/>
          </w:tcPr>
          <w:p w14:paraId="0849BC5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lastRenderedPageBreak/>
              <w:t>AST (U/L)</w:t>
            </w:r>
          </w:p>
        </w:tc>
        <w:tc>
          <w:tcPr>
            <w:tcW w:w="361" w:type="pct"/>
          </w:tcPr>
          <w:p w14:paraId="0FCB7CB3"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9-39</w:t>
            </w:r>
          </w:p>
        </w:tc>
        <w:tc>
          <w:tcPr>
            <w:tcW w:w="379" w:type="pct"/>
          </w:tcPr>
          <w:p w14:paraId="7C066CA7" w14:textId="5C2A1BC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11-45</w:t>
            </w:r>
            <w:r w:rsidR="00F84ADB">
              <w:rPr>
                <w:rFonts w:ascii="Book Antiqua" w:hAnsi="Book Antiqua"/>
                <w:sz w:val="21"/>
                <w:szCs w:val="21"/>
              </w:rPr>
              <w:t>)</w:t>
            </w:r>
          </w:p>
        </w:tc>
        <w:tc>
          <w:tcPr>
            <w:tcW w:w="96" w:type="pct"/>
          </w:tcPr>
          <w:p w14:paraId="1D8339E2"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78A4EDF4" w14:textId="0F35226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11-45</w:t>
            </w:r>
            <w:r w:rsidR="00F84ADB">
              <w:rPr>
                <w:rFonts w:ascii="Book Antiqua" w:hAnsi="Book Antiqua"/>
                <w:sz w:val="21"/>
                <w:szCs w:val="21"/>
              </w:rPr>
              <w:t>)</w:t>
            </w:r>
          </w:p>
        </w:tc>
        <w:tc>
          <w:tcPr>
            <w:tcW w:w="406" w:type="pct"/>
          </w:tcPr>
          <w:p w14:paraId="23ACFBC2" w14:textId="2F3E8E5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11-42</w:t>
            </w:r>
            <w:r w:rsidR="00F84ADB">
              <w:rPr>
                <w:rFonts w:ascii="Book Antiqua" w:hAnsi="Book Antiqua"/>
                <w:sz w:val="21"/>
                <w:szCs w:val="21"/>
              </w:rPr>
              <w:t>)</w:t>
            </w:r>
          </w:p>
        </w:tc>
        <w:tc>
          <w:tcPr>
            <w:tcW w:w="281" w:type="pct"/>
          </w:tcPr>
          <w:p w14:paraId="3E42FBEC"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0.93</w:t>
            </w:r>
          </w:p>
        </w:tc>
        <w:tc>
          <w:tcPr>
            <w:tcW w:w="117" w:type="pct"/>
          </w:tcPr>
          <w:p w14:paraId="2AC75A49"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64AFC739" w14:textId="4026FEB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11-42</w:t>
            </w:r>
            <w:r w:rsidR="00F84ADB">
              <w:rPr>
                <w:rFonts w:ascii="Book Antiqua" w:hAnsi="Book Antiqua"/>
                <w:sz w:val="21"/>
                <w:szCs w:val="21"/>
              </w:rPr>
              <w:t>)</w:t>
            </w:r>
          </w:p>
        </w:tc>
        <w:tc>
          <w:tcPr>
            <w:tcW w:w="487" w:type="pct"/>
            <w:gridSpan w:val="2"/>
          </w:tcPr>
          <w:p w14:paraId="6C3A3931" w14:textId="540EFF3B"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11-45</w:t>
            </w:r>
            <w:r w:rsidR="00F84ADB">
              <w:rPr>
                <w:rFonts w:ascii="Book Antiqua" w:hAnsi="Book Antiqua"/>
                <w:sz w:val="21"/>
                <w:szCs w:val="21"/>
              </w:rPr>
              <w:t>)</w:t>
            </w:r>
          </w:p>
        </w:tc>
        <w:tc>
          <w:tcPr>
            <w:tcW w:w="274" w:type="pct"/>
          </w:tcPr>
          <w:p w14:paraId="10B10271"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0.39</w:t>
            </w:r>
          </w:p>
        </w:tc>
        <w:tc>
          <w:tcPr>
            <w:tcW w:w="129" w:type="pct"/>
          </w:tcPr>
          <w:p w14:paraId="71B7636B"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4B22EBF6" w14:textId="2B8D1ED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11-42</w:t>
            </w:r>
            <w:r w:rsidR="00F84ADB">
              <w:rPr>
                <w:rFonts w:ascii="Book Antiqua" w:hAnsi="Book Antiqua"/>
                <w:sz w:val="21"/>
                <w:szCs w:val="21"/>
              </w:rPr>
              <w:t>)</w:t>
            </w:r>
          </w:p>
        </w:tc>
        <w:tc>
          <w:tcPr>
            <w:tcW w:w="375" w:type="pct"/>
          </w:tcPr>
          <w:p w14:paraId="77FB63A3" w14:textId="70F33DC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26</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11-45</w:t>
            </w:r>
            <w:r w:rsidR="00F84ADB">
              <w:rPr>
                <w:rFonts w:ascii="Book Antiqua" w:hAnsi="Book Antiqua"/>
                <w:sz w:val="21"/>
                <w:szCs w:val="21"/>
              </w:rPr>
              <w:t>)</w:t>
            </w:r>
          </w:p>
        </w:tc>
        <w:tc>
          <w:tcPr>
            <w:tcW w:w="323" w:type="pct"/>
          </w:tcPr>
          <w:p w14:paraId="022A6DC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0.87</w:t>
            </w:r>
          </w:p>
        </w:tc>
      </w:tr>
      <w:tr w:rsidR="00FA2DF9" w:rsidRPr="00F84ADB" w14:paraId="5D826762" w14:textId="77777777" w:rsidTr="00E84708">
        <w:trPr>
          <w:trHeight w:val="427"/>
          <w:jc w:val="center"/>
        </w:trPr>
        <w:tc>
          <w:tcPr>
            <w:tcW w:w="525" w:type="pct"/>
          </w:tcPr>
          <w:p w14:paraId="3077183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ALT (U/L)</w:t>
            </w:r>
          </w:p>
        </w:tc>
        <w:tc>
          <w:tcPr>
            <w:tcW w:w="361" w:type="pct"/>
          </w:tcPr>
          <w:p w14:paraId="63E90A0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10-52</w:t>
            </w:r>
          </w:p>
        </w:tc>
        <w:tc>
          <w:tcPr>
            <w:tcW w:w="379" w:type="pct"/>
          </w:tcPr>
          <w:p w14:paraId="047327CE" w14:textId="4C636D6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10-58</w:t>
            </w:r>
            <w:r w:rsidR="00FA2DF9">
              <w:rPr>
                <w:rFonts w:ascii="Book Antiqua" w:hAnsi="Book Antiqua"/>
                <w:sz w:val="21"/>
                <w:szCs w:val="21"/>
              </w:rPr>
              <w:t>)</w:t>
            </w:r>
          </w:p>
        </w:tc>
        <w:tc>
          <w:tcPr>
            <w:tcW w:w="96" w:type="pct"/>
          </w:tcPr>
          <w:p w14:paraId="50CAC866"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022C7882" w14:textId="08812A7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24.5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12-58</w:t>
            </w:r>
            <w:r w:rsidR="00FA2DF9">
              <w:rPr>
                <w:rFonts w:ascii="Book Antiqua" w:hAnsi="Book Antiqua"/>
                <w:sz w:val="21"/>
                <w:szCs w:val="21"/>
              </w:rPr>
              <w:t>)</w:t>
            </w:r>
          </w:p>
        </w:tc>
        <w:tc>
          <w:tcPr>
            <w:tcW w:w="406" w:type="pct"/>
          </w:tcPr>
          <w:p w14:paraId="4F008FA0" w14:textId="032B6D5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10-45</w:t>
            </w:r>
            <w:r w:rsidR="00FA2DF9">
              <w:rPr>
                <w:rFonts w:ascii="Book Antiqua" w:hAnsi="Book Antiqua"/>
                <w:sz w:val="21"/>
                <w:szCs w:val="21"/>
              </w:rPr>
              <w:t>)</w:t>
            </w:r>
          </w:p>
        </w:tc>
        <w:tc>
          <w:tcPr>
            <w:tcW w:w="281" w:type="pct"/>
          </w:tcPr>
          <w:p w14:paraId="6392BD3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0.57</w:t>
            </w:r>
          </w:p>
        </w:tc>
        <w:tc>
          <w:tcPr>
            <w:tcW w:w="117" w:type="pct"/>
          </w:tcPr>
          <w:p w14:paraId="0F72143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58505C10" w14:textId="4595983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10-45</w:t>
            </w:r>
            <w:r w:rsidR="00FA2DF9">
              <w:rPr>
                <w:rFonts w:ascii="Book Antiqua" w:hAnsi="Book Antiqua"/>
                <w:sz w:val="21"/>
                <w:szCs w:val="21"/>
              </w:rPr>
              <w:t>)</w:t>
            </w:r>
          </w:p>
        </w:tc>
        <w:tc>
          <w:tcPr>
            <w:tcW w:w="487" w:type="pct"/>
            <w:gridSpan w:val="2"/>
          </w:tcPr>
          <w:p w14:paraId="1DE8C16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29</w:t>
            </w:r>
          </w:p>
          <w:p w14:paraId="054F91D7"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12-58</w:t>
            </w:r>
          </w:p>
        </w:tc>
        <w:tc>
          <w:tcPr>
            <w:tcW w:w="274" w:type="pct"/>
          </w:tcPr>
          <w:p w14:paraId="589A924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0.19</w:t>
            </w:r>
          </w:p>
        </w:tc>
        <w:tc>
          <w:tcPr>
            <w:tcW w:w="129" w:type="pct"/>
          </w:tcPr>
          <w:p w14:paraId="3CEAE8AA"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022B4D7B" w14:textId="563D28A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10-58</w:t>
            </w:r>
            <w:r w:rsidR="00FA2DF9">
              <w:rPr>
                <w:rFonts w:ascii="Book Antiqua" w:hAnsi="Book Antiqua"/>
                <w:sz w:val="21"/>
                <w:szCs w:val="21"/>
              </w:rPr>
              <w:t>)</w:t>
            </w:r>
          </w:p>
        </w:tc>
        <w:tc>
          <w:tcPr>
            <w:tcW w:w="375" w:type="pct"/>
          </w:tcPr>
          <w:p w14:paraId="3540AECF" w14:textId="323674C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14-47</w:t>
            </w:r>
            <w:r w:rsidR="00FA2DF9">
              <w:rPr>
                <w:rFonts w:ascii="Book Antiqua" w:hAnsi="Book Antiqua"/>
                <w:sz w:val="21"/>
                <w:szCs w:val="21"/>
              </w:rPr>
              <w:t>)</w:t>
            </w:r>
          </w:p>
        </w:tc>
        <w:tc>
          <w:tcPr>
            <w:tcW w:w="323" w:type="pct"/>
          </w:tcPr>
          <w:p w14:paraId="0D7F08D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0.46</w:t>
            </w:r>
          </w:p>
        </w:tc>
      </w:tr>
      <w:tr w:rsidR="00FA2DF9" w:rsidRPr="00F84ADB" w14:paraId="74A3A475" w14:textId="77777777" w:rsidTr="00E84708">
        <w:trPr>
          <w:trHeight w:val="427"/>
          <w:jc w:val="center"/>
        </w:trPr>
        <w:tc>
          <w:tcPr>
            <w:tcW w:w="525" w:type="pct"/>
          </w:tcPr>
          <w:p w14:paraId="6EC5078B"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GGT (U/L)</w:t>
            </w:r>
          </w:p>
        </w:tc>
        <w:tc>
          <w:tcPr>
            <w:tcW w:w="361" w:type="pct"/>
          </w:tcPr>
          <w:p w14:paraId="17BF63BF"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5-64</w:t>
            </w:r>
          </w:p>
        </w:tc>
        <w:tc>
          <w:tcPr>
            <w:tcW w:w="379" w:type="pct"/>
          </w:tcPr>
          <w:p w14:paraId="6D280D61" w14:textId="56C952F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14</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9-29</w:t>
            </w:r>
            <w:r w:rsidR="00FA2DF9">
              <w:rPr>
                <w:rFonts w:ascii="Book Antiqua" w:hAnsi="Book Antiqua"/>
                <w:sz w:val="21"/>
                <w:szCs w:val="21"/>
              </w:rPr>
              <w:t>)</w:t>
            </w:r>
          </w:p>
        </w:tc>
        <w:tc>
          <w:tcPr>
            <w:tcW w:w="96" w:type="pct"/>
          </w:tcPr>
          <w:p w14:paraId="349646F0"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2EAED5E9" w14:textId="11B8BE2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19</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14-25</w:t>
            </w:r>
            <w:r w:rsidR="00FA2DF9">
              <w:rPr>
                <w:rFonts w:ascii="Book Antiqua" w:hAnsi="Book Antiqua"/>
                <w:sz w:val="21"/>
                <w:szCs w:val="21"/>
              </w:rPr>
              <w:t>)</w:t>
            </w:r>
          </w:p>
        </w:tc>
        <w:tc>
          <w:tcPr>
            <w:tcW w:w="406" w:type="pct"/>
          </w:tcPr>
          <w:p w14:paraId="335ACE4C" w14:textId="79E0A07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13.5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9-29</w:t>
            </w:r>
            <w:r w:rsidR="00FA2DF9">
              <w:rPr>
                <w:rFonts w:ascii="Book Antiqua" w:hAnsi="Book Antiqua"/>
                <w:sz w:val="21"/>
                <w:szCs w:val="21"/>
              </w:rPr>
              <w:t>)</w:t>
            </w:r>
          </w:p>
        </w:tc>
        <w:tc>
          <w:tcPr>
            <w:tcW w:w="281" w:type="pct"/>
          </w:tcPr>
          <w:p w14:paraId="3DA8F96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0.10</w:t>
            </w:r>
          </w:p>
        </w:tc>
        <w:tc>
          <w:tcPr>
            <w:tcW w:w="117" w:type="pct"/>
          </w:tcPr>
          <w:p w14:paraId="1673A175"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11B86E49" w14:textId="1B02422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9-24</w:t>
            </w:r>
            <w:r w:rsidR="00FA2DF9">
              <w:rPr>
                <w:rFonts w:ascii="Book Antiqua" w:hAnsi="Book Antiqua"/>
                <w:sz w:val="21"/>
                <w:szCs w:val="21"/>
              </w:rPr>
              <w:t>)</w:t>
            </w:r>
          </w:p>
        </w:tc>
        <w:tc>
          <w:tcPr>
            <w:tcW w:w="487" w:type="pct"/>
            <w:gridSpan w:val="2"/>
          </w:tcPr>
          <w:p w14:paraId="1D527708" w14:textId="7D3860E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19</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10-29</w:t>
            </w:r>
            <w:r w:rsidR="00FA2DF9">
              <w:rPr>
                <w:rFonts w:ascii="Book Antiqua" w:hAnsi="Book Antiqua"/>
                <w:sz w:val="21"/>
                <w:szCs w:val="21"/>
              </w:rPr>
              <w:t>)</w:t>
            </w:r>
          </w:p>
        </w:tc>
        <w:tc>
          <w:tcPr>
            <w:tcW w:w="274" w:type="pct"/>
          </w:tcPr>
          <w:p w14:paraId="7FAD28DF"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0.07</w:t>
            </w:r>
          </w:p>
        </w:tc>
        <w:tc>
          <w:tcPr>
            <w:tcW w:w="129" w:type="pct"/>
          </w:tcPr>
          <w:p w14:paraId="3105F15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7C3E8687" w14:textId="1544916B"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13.5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9-29</w:t>
            </w:r>
            <w:r w:rsidR="00FA2DF9">
              <w:rPr>
                <w:rFonts w:ascii="Book Antiqua" w:hAnsi="Book Antiqua"/>
                <w:sz w:val="21"/>
                <w:szCs w:val="21"/>
              </w:rPr>
              <w:t>)</w:t>
            </w:r>
          </w:p>
        </w:tc>
        <w:tc>
          <w:tcPr>
            <w:tcW w:w="375" w:type="pct"/>
          </w:tcPr>
          <w:p w14:paraId="164E97DC" w14:textId="31EBF7E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19</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11-24</w:t>
            </w:r>
            <w:r w:rsidR="00FA2DF9">
              <w:rPr>
                <w:rFonts w:ascii="Book Antiqua" w:hAnsi="Book Antiqua"/>
                <w:sz w:val="21"/>
                <w:szCs w:val="21"/>
              </w:rPr>
              <w:t>)</w:t>
            </w:r>
          </w:p>
        </w:tc>
        <w:tc>
          <w:tcPr>
            <w:tcW w:w="323" w:type="pct"/>
          </w:tcPr>
          <w:p w14:paraId="602488DE"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0.30</w:t>
            </w:r>
          </w:p>
        </w:tc>
      </w:tr>
      <w:tr w:rsidR="00FA2DF9" w:rsidRPr="00F84ADB" w14:paraId="447E23FC" w14:textId="77777777" w:rsidTr="00E84708">
        <w:trPr>
          <w:trHeight w:val="427"/>
          <w:jc w:val="center"/>
        </w:trPr>
        <w:tc>
          <w:tcPr>
            <w:tcW w:w="525" w:type="pct"/>
          </w:tcPr>
          <w:p w14:paraId="44E9075A" w14:textId="77777777" w:rsidR="001C1832" w:rsidRPr="00F84ADB" w:rsidRDefault="001C1832" w:rsidP="00F84ADB">
            <w:pPr>
              <w:adjustRightInd w:val="0"/>
              <w:snapToGrid w:val="0"/>
              <w:spacing w:line="360" w:lineRule="auto"/>
              <w:jc w:val="both"/>
              <w:rPr>
                <w:rFonts w:ascii="Book Antiqua" w:hAnsi="Book Antiqua"/>
                <w:sz w:val="21"/>
                <w:szCs w:val="21"/>
              </w:rPr>
            </w:pPr>
            <w:proofErr w:type="spellStart"/>
            <w:r w:rsidRPr="00F84ADB">
              <w:rPr>
                <w:rFonts w:ascii="Book Antiqua" w:hAnsi="Book Antiqua"/>
                <w:sz w:val="21"/>
                <w:szCs w:val="21"/>
              </w:rPr>
              <w:t>Alk</w:t>
            </w:r>
            <w:proofErr w:type="spellEnd"/>
            <w:r w:rsidRPr="00F84ADB">
              <w:rPr>
                <w:rFonts w:ascii="Book Antiqua" w:hAnsi="Book Antiqua"/>
                <w:sz w:val="21"/>
                <w:szCs w:val="21"/>
              </w:rPr>
              <w:t xml:space="preserve"> </w:t>
            </w:r>
            <w:proofErr w:type="spellStart"/>
            <w:r w:rsidRPr="00F84ADB">
              <w:rPr>
                <w:rFonts w:ascii="Book Antiqua" w:hAnsi="Book Antiqua"/>
                <w:sz w:val="21"/>
                <w:szCs w:val="21"/>
              </w:rPr>
              <w:t>Phos</w:t>
            </w:r>
            <w:proofErr w:type="spellEnd"/>
            <w:r w:rsidRPr="00F84ADB">
              <w:rPr>
                <w:rFonts w:ascii="Book Antiqua" w:hAnsi="Book Antiqua"/>
                <w:sz w:val="21"/>
                <w:szCs w:val="21"/>
              </w:rPr>
              <w:t xml:space="preserve"> (U/L)</w:t>
            </w:r>
          </w:p>
        </w:tc>
        <w:tc>
          <w:tcPr>
            <w:tcW w:w="361" w:type="pct"/>
          </w:tcPr>
          <w:p w14:paraId="3ACBE26F"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33-120</w:t>
            </w:r>
          </w:p>
        </w:tc>
        <w:tc>
          <w:tcPr>
            <w:tcW w:w="379" w:type="pct"/>
          </w:tcPr>
          <w:p w14:paraId="22EEBD21" w14:textId="3E00779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110</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44-310</w:t>
            </w:r>
            <w:r w:rsidR="00FA2DF9">
              <w:rPr>
                <w:rFonts w:ascii="Book Antiqua" w:hAnsi="Book Antiqua"/>
                <w:sz w:val="21"/>
                <w:szCs w:val="21"/>
              </w:rPr>
              <w:t>)</w:t>
            </w:r>
          </w:p>
        </w:tc>
        <w:tc>
          <w:tcPr>
            <w:tcW w:w="96" w:type="pct"/>
          </w:tcPr>
          <w:p w14:paraId="3BDA6DB6"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7EA57FB6" w14:textId="3E042B1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172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146-310</w:t>
            </w:r>
            <w:r w:rsidR="00FA2DF9">
              <w:rPr>
                <w:rFonts w:ascii="Book Antiqua" w:hAnsi="Book Antiqua"/>
                <w:sz w:val="21"/>
                <w:szCs w:val="21"/>
              </w:rPr>
              <w:t>)</w:t>
            </w:r>
          </w:p>
        </w:tc>
        <w:tc>
          <w:tcPr>
            <w:tcW w:w="406" w:type="pct"/>
          </w:tcPr>
          <w:p w14:paraId="517F0FCC" w14:textId="0E1DB09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90</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44-234</w:t>
            </w:r>
            <w:r w:rsidR="00FA2DF9">
              <w:rPr>
                <w:rFonts w:ascii="Book Antiqua" w:hAnsi="Book Antiqua"/>
                <w:sz w:val="21"/>
                <w:szCs w:val="21"/>
              </w:rPr>
              <w:t>)</w:t>
            </w:r>
          </w:p>
        </w:tc>
        <w:tc>
          <w:tcPr>
            <w:tcW w:w="281" w:type="pct"/>
          </w:tcPr>
          <w:p w14:paraId="128DD908"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0.01</w:t>
            </w:r>
          </w:p>
        </w:tc>
        <w:tc>
          <w:tcPr>
            <w:tcW w:w="117" w:type="pct"/>
          </w:tcPr>
          <w:p w14:paraId="66CBCC2A"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2ADCAE54" w14:textId="3FAF966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44-178</w:t>
            </w:r>
            <w:r w:rsidR="00FA2DF9">
              <w:rPr>
                <w:rFonts w:ascii="Book Antiqua" w:hAnsi="Book Antiqua"/>
                <w:sz w:val="21"/>
                <w:szCs w:val="21"/>
              </w:rPr>
              <w:t>)</w:t>
            </w:r>
          </w:p>
        </w:tc>
        <w:tc>
          <w:tcPr>
            <w:tcW w:w="487" w:type="pct"/>
            <w:gridSpan w:val="2"/>
          </w:tcPr>
          <w:p w14:paraId="1F092A5D" w14:textId="44AC8E7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155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103-310</w:t>
            </w:r>
            <w:r w:rsidR="00FA2DF9">
              <w:rPr>
                <w:rFonts w:ascii="Book Antiqua" w:hAnsi="Book Antiqua"/>
                <w:sz w:val="21"/>
                <w:szCs w:val="21"/>
              </w:rPr>
              <w:t>)</w:t>
            </w:r>
          </w:p>
        </w:tc>
        <w:tc>
          <w:tcPr>
            <w:tcW w:w="274" w:type="pct"/>
          </w:tcPr>
          <w:p w14:paraId="3DAAF1D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0.01</w:t>
            </w:r>
          </w:p>
        </w:tc>
        <w:tc>
          <w:tcPr>
            <w:tcW w:w="129" w:type="pct"/>
          </w:tcPr>
          <w:p w14:paraId="620CF74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51EDAFF9" w14:textId="2709C03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90</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44-178</w:t>
            </w:r>
            <w:r w:rsidR="00FA2DF9">
              <w:rPr>
                <w:rFonts w:ascii="Book Antiqua" w:hAnsi="Book Antiqua"/>
                <w:sz w:val="21"/>
                <w:szCs w:val="21"/>
              </w:rPr>
              <w:t>)</w:t>
            </w:r>
          </w:p>
        </w:tc>
        <w:tc>
          <w:tcPr>
            <w:tcW w:w="375" w:type="pct"/>
          </w:tcPr>
          <w:p w14:paraId="4E955050" w14:textId="12AA5B2E"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157</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71-310</w:t>
            </w:r>
            <w:r w:rsidR="00FA2DF9">
              <w:rPr>
                <w:rFonts w:ascii="Book Antiqua" w:hAnsi="Book Antiqua"/>
                <w:sz w:val="21"/>
                <w:szCs w:val="21"/>
              </w:rPr>
              <w:t>)</w:t>
            </w:r>
          </w:p>
        </w:tc>
        <w:tc>
          <w:tcPr>
            <w:tcW w:w="323" w:type="pct"/>
          </w:tcPr>
          <w:p w14:paraId="5136F5BD"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0.04</w:t>
            </w:r>
          </w:p>
        </w:tc>
      </w:tr>
      <w:tr w:rsidR="00FA2DF9" w:rsidRPr="00F84ADB" w14:paraId="1488EE88" w14:textId="77777777" w:rsidTr="00E84708">
        <w:trPr>
          <w:trHeight w:val="427"/>
          <w:jc w:val="center"/>
        </w:trPr>
        <w:tc>
          <w:tcPr>
            <w:tcW w:w="525" w:type="pct"/>
          </w:tcPr>
          <w:p w14:paraId="36374999" w14:textId="77777777" w:rsidR="001C1832" w:rsidRPr="00F84ADB" w:rsidRDefault="001C1832" w:rsidP="00F84ADB">
            <w:pPr>
              <w:adjustRightInd w:val="0"/>
              <w:snapToGrid w:val="0"/>
              <w:spacing w:line="360" w:lineRule="auto"/>
              <w:jc w:val="both"/>
              <w:rPr>
                <w:rFonts w:ascii="Book Antiqua" w:hAnsi="Book Antiqua"/>
                <w:sz w:val="21"/>
                <w:szCs w:val="21"/>
              </w:rPr>
            </w:pPr>
            <w:proofErr w:type="spellStart"/>
            <w:r w:rsidRPr="00F84ADB">
              <w:rPr>
                <w:rFonts w:ascii="Book Antiqua" w:hAnsi="Book Antiqua"/>
                <w:sz w:val="21"/>
                <w:szCs w:val="21"/>
              </w:rPr>
              <w:t>Alk</w:t>
            </w:r>
            <w:proofErr w:type="spellEnd"/>
            <w:r w:rsidRPr="00F84ADB">
              <w:rPr>
                <w:rFonts w:ascii="Book Antiqua" w:hAnsi="Book Antiqua"/>
                <w:sz w:val="21"/>
                <w:szCs w:val="21"/>
              </w:rPr>
              <w:t xml:space="preserve"> </w:t>
            </w:r>
            <w:proofErr w:type="spellStart"/>
            <w:r w:rsidRPr="00F84ADB">
              <w:rPr>
                <w:rFonts w:ascii="Book Antiqua" w:hAnsi="Book Antiqua"/>
                <w:sz w:val="21"/>
                <w:szCs w:val="21"/>
              </w:rPr>
              <w:t>Phos</w:t>
            </w:r>
            <w:proofErr w:type="spellEnd"/>
            <w:r w:rsidRPr="00F84ADB">
              <w:rPr>
                <w:rFonts w:ascii="Book Antiqua" w:hAnsi="Book Antiqua"/>
                <w:sz w:val="21"/>
                <w:szCs w:val="21"/>
              </w:rPr>
              <w:t xml:space="preserve"> SD</w:t>
            </w:r>
          </w:p>
        </w:tc>
        <w:tc>
          <w:tcPr>
            <w:tcW w:w="361" w:type="pct"/>
          </w:tcPr>
          <w:p w14:paraId="020F3E4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 to +2</w:t>
            </w:r>
          </w:p>
        </w:tc>
        <w:tc>
          <w:tcPr>
            <w:tcW w:w="379" w:type="pct"/>
          </w:tcPr>
          <w:p w14:paraId="75DB1C56" w14:textId="71652C86"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-1.5-4.8</w:t>
            </w:r>
            <w:r w:rsidR="00FA2DF9">
              <w:rPr>
                <w:rFonts w:ascii="Book Antiqua" w:hAnsi="Book Antiqua"/>
                <w:sz w:val="21"/>
                <w:szCs w:val="21"/>
              </w:rPr>
              <w:t>)</w:t>
            </w:r>
          </w:p>
        </w:tc>
        <w:tc>
          <w:tcPr>
            <w:tcW w:w="96" w:type="pct"/>
          </w:tcPr>
          <w:p w14:paraId="71DAFA63"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2A045BEC" w14:textId="41BBF84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3.1</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-0.6-4.8</w:t>
            </w:r>
            <w:r w:rsidR="00FA2DF9">
              <w:rPr>
                <w:rFonts w:ascii="Book Antiqua" w:hAnsi="Book Antiqua"/>
                <w:sz w:val="21"/>
                <w:szCs w:val="21"/>
              </w:rPr>
              <w:t>)</w:t>
            </w:r>
          </w:p>
        </w:tc>
        <w:tc>
          <w:tcPr>
            <w:tcW w:w="406" w:type="pct"/>
          </w:tcPr>
          <w:p w14:paraId="3CF84C3F" w14:textId="190AFC2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w:t>
            </w:r>
            <w:r w:rsidR="00FA2DF9">
              <w:rPr>
                <w:rFonts w:ascii="Book Antiqua" w:hAnsi="Book Antiqua" w:hint="eastAsia"/>
                <w:sz w:val="21"/>
                <w:szCs w:val="21"/>
                <w:lang w:eastAsia="zh-CN"/>
              </w:rPr>
              <w:t xml:space="preserve"> </w:t>
            </w:r>
            <w:r w:rsidR="00FA2DF9">
              <w:rPr>
                <w:rFonts w:ascii="Book Antiqua" w:hAnsi="Book Antiqua"/>
                <w:sz w:val="21"/>
                <w:szCs w:val="21"/>
              </w:rPr>
              <w:t>(</w:t>
            </w:r>
            <w:r w:rsidRPr="00F84ADB">
              <w:rPr>
                <w:rFonts w:ascii="Book Antiqua" w:hAnsi="Book Antiqua"/>
                <w:sz w:val="21"/>
                <w:szCs w:val="21"/>
              </w:rPr>
              <w:t>-1.5-4.7</w:t>
            </w:r>
            <w:r w:rsidR="00FA2DF9">
              <w:rPr>
                <w:rFonts w:ascii="Book Antiqua" w:hAnsi="Book Antiqua"/>
                <w:sz w:val="21"/>
                <w:szCs w:val="21"/>
              </w:rPr>
              <w:t>)</w:t>
            </w:r>
          </w:p>
        </w:tc>
        <w:tc>
          <w:tcPr>
            <w:tcW w:w="281" w:type="pct"/>
          </w:tcPr>
          <w:p w14:paraId="1C91F1AB"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0.03</w:t>
            </w:r>
          </w:p>
        </w:tc>
        <w:tc>
          <w:tcPr>
            <w:tcW w:w="117" w:type="pct"/>
          </w:tcPr>
          <w:p w14:paraId="25F0EC5D"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261BCAD7" w14:textId="3D0F362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-1.5-4.7</w:t>
            </w:r>
            <w:r w:rsidR="00FA2DF9">
              <w:rPr>
                <w:rFonts w:ascii="Book Antiqua" w:hAnsi="Book Antiqua"/>
                <w:sz w:val="21"/>
                <w:szCs w:val="21"/>
              </w:rPr>
              <w:t>)</w:t>
            </w:r>
          </w:p>
        </w:tc>
        <w:tc>
          <w:tcPr>
            <w:tcW w:w="487" w:type="pct"/>
            <w:gridSpan w:val="2"/>
          </w:tcPr>
          <w:p w14:paraId="4C9D4F8A" w14:textId="6344A4A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-0.6-4.8</w:t>
            </w:r>
            <w:r w:rsidR="00FA2DF9">
              <w:rPr>
                <w:rFonts w:ascii="Book Antiqua" w:hAnsi="Book Antiqua"/>
                <w:sz w:val="21"/>
                <w:szCs w:val="21"/>
              </w:rPr>
              <w:t>)</w:t>
            </w:r>
          </w:p>
        </w:tc>
        <w:tc>
          <w:tcPr>
            <w:tcW w:w="274" w:type="pct"/>
          </w:tcPr>
          <w:p w14:paraId="4A0146F6"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0.07</w:t>
            </w:r>
          </w:p>
        </w:tc>
        <w:tc>
          <w:tcPr>
            <w:tcW w:w="129" w:type="pct"/>
          </w:tcPr>
          <w:p w14:paraId="2E0C1F70"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15330AE9" w14:textId="77F66CFB"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-1.5-4.8</w:t>
            </w:r>
            <w:r w:rsidR="00FA2DF9">
              <w:rPr>
                <w:rFonts w:ascii="Book Antiqua" w:hAnsi="Book Antiqua"/>
                <w:sz w:val="21"/>
                <w:szCs w:val="21"/>
              </w:rPr>
              <w:t>)</w:t>
            </w:r>
          </w:p>
        </w:tc>
        <w:tc>
          <w:tcPr>
            <w:tcW w:w="375" w:type="pct"/>
          </w:tcPr>
          <w:p w14:paraId="55F63A8E" w14:textId="7BE0F55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1.4</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-0.6-3.2</w:t>
            </w:r>
            <w:r w:rsidR="00FA2DF9">
              <w:rPr>
                <w:rFonts w:ascii="Book Antiqua" w:hAnsi="Book Antiqua"/>
                <w:sz w:val="21"/>
                <w:szCs w:val="21"/>
              </w:rPr>
              <w:t>)</w:t>
            </w:r>
          </w:p>
        </w:tc>
        <w:tc>
          <w:tcPr>
            <w:tcW w:w="323" w:type="pct"/>
          </w:tcPr>
          <w:p w14:paraId="62313346"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0.65</w:t>
            </w:r>
          </w:p>
        </w:tc>
      </w:tr>
      <w:tr w:rsidR="00FA2DF9" w:rsidRPr="00F84ADB" w14:paraId="79E0D4C1" w14:textId="77777777" w:rsidTr="00E84708">
        <w:trPr>
          <w:trHeight w:val="427"/>
          <w:jc w:val="center"/>
        </w:trPr>
        <w:tc>
          <w:tcPr>
            <w:tcW w:w="525" w:type="pct"/>
          </w:tcPr>
          <w:p w14:paraId="643392AC" w14:textId="77777777" w:rsidR="001C1832" w:rsidRPr="00F84ADB" w:rsidRDefault="001C1832" w:rsidP="00F84ADB">
            <w:pPr>
              <w:adjustRightInd w:val="0"/>
              <w:snapToGrid w:val="0"/>
              <w:spacing w:line="360" w:lineRule="auto"/>
              <w:jc w:val="both"/>
              <w:rPr>
                <w:rFonts w:ascii="Book Antiqua" w:hAnsi="Book Antiqua"/>
                <w:sz w:val="21"/>
                <w:szCs w:val="21"/>
                <w:vertAlign w:val="superscript"/>
              </w:rPr>
            </w:pPr>
            <w:r w:rsidRPr="00F84ADB">
              <w:rPr>
                <w:rFonts w:ascii="Book Antiqua" w:hAnsi="Book Antiqua"/>
                <w:sz w:val="21"/>
                <w:szCs w:val="21"/>
              </w:rPr>
              <w:t>Total Bili (µmol/L)</w:t>
            </w:r>
          </w:p>
        </w:tc>
        <w:tc>
          <w:tcPr>
            <w:tcW w:w="361" w:type="pct"/>
          </w:tcPr>
          <w:p w14:paraId="298EC453"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0-20.5</w:t>
            </w:r>
          </w:p>
        </w:tc>
        <w:tc>
          <w:tcPr>
            <w:tcW w:w="379" w:type="pct"/>
          </w:tcPr>
          <w:p w14:paraId="76F61719" w14:textId="469AFC1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3.4-20.5</w:t>
            </w:r>
            <w:r w:rsidR="00FA2DF9">
              <w:rPr>
                <w:rFonts w:ascii="Book Antiqua" w:hAnsi="Book Antiqua"/>
                <w:sz w:val="21"/>
                <w:szCs w:val="21"/>
              </w:rPr>
              <w:t>)</w:t>
            </w:r>
          </w:p>
        </w:tc>
        <w:tc>
          <w:tcPr>
            <w:tcW w:w="96" w:type="pct"/>
          </w:tcPr>
          <w:p w14:paraId="59E11D94"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158E2841" w14:textId="363758C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3.4-15.4</w:t>
            </w:r>
            <w:r w:rsidR="00FA2DF9">
              <w:rPr>
                <w:rFonts w:ascii="Book Antiqua" w:hAnsi="Book Antiqua"/>
                <w:sz w:val="21"/>
                <w:szCs w:val="21"/>
              </w:rPr>
              <w:t>)</w:t>
            </w:r>
          </w:p>
        </w:tc>
        <w:tc>
          <w:tcPr>
            <w:tcW w:w="406" w:type="pct"/>
          </w:tcPr>
          <w:p w14:paraId="7F3F77BB" w14:textId="7C851E6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5.1</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3.4-20.5</w:t>
            </w:r>
            <w:r w:rsidR="00FA2DF9">
              <w:rPr>
                <w:rFonts w:ascii="Book Antiqua" w:hAnsi="Book Antiqua"/>
                <w:sz w:val="21"/>
                <w:szCs w:val="21"/>
              </w:rPr>
              <w:t>)</w:t>
            </w:r>
          </w:p>
        </w:tc>
        <w:tc>
          <w:tcPr>
            <w:tcW w:w="281" w:type="pct"/>
          </w:tcPr>
          <w:p w14:paraId="40E13DD7"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0.47</w:t>
            </w:r>
          </w:p>
        </w:tc>
        <w:tc>
          <w:tcPr>
            <w:tcW w:w="117" w:type="pct"/>
          </w:tcPr>
          <w:p w14:paraId="1C0E332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46787A41" w14:textId="6F606D3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5.1</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3.4-6.8</w:t>
            </w:r>
            <w:r w:rsidR="00FA2DF9">
              <w:rPr>
                <w:rFonts w:ascii="Book Antiqua" w:hAnsi="Book Antiqua"/>
                <w:sz w:val="21"/>
                <w:szCs w:val="21"/>
              </w:rPr>
              <w:t>)</w:t>
            </w:r>
          </w:p>
        </w:tc>
        <w:tc>
          <w:tcPr>
            <w:tcW w:w="487" w:type="pct"/>
            <w:gridSpan w:val="2"/>
          </w:tcPr>
          <w:p w14:paraId="17924DE5" w14:textId="4961BBF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3.4-20.5</w:t>
            </w:r>
            <w:r w:rsidR="00FA2DF9">
              <w:rPr>
                <w:rFonts w:ascii="Book Antiqua" w:hAnsi="Book Antiqua"/>
                <w:sz w:val="21"/>
                <w:szCs w:val="21"/>
              </w:rPr>
              <w:t>)</w:t>
            </w:r>
          </w:p>
        </w:tc>
        <w:tc>
          <w:tcPr>
            <w:tcW w:w="274" w:type="pct"/>
          </w:tcPr>
          <w:p w14:paraId="62C310C6"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0.003</w:t>
            </w:r>
          </w:p>
        </w:tc>
        <w:tc>
          <w:tcPr>
            <w:tcW w:w="129" w:type="pct"/>
          </w:tcPr>
          <w:p w14:paraId="706759D0"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7B1EABA4" w14:textId="0E2043CE"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5.1</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3.4-18.8</w:t>
            </w:r>
            <w:r w:rsidR="00FA2DF9">
              <w:rPr>
                <w:rFonts w:ascii="Book Antiqua" w:hAnsi="Book Antiqua"/>
                <w:sz w:val="21"/>
                <w:szCs w:val="21"/>
              </w:rPr>
              <w:t>)</w:t>
            </w:r>
          </w:p>
        </w:tc>
        <w:tc>
          <w:tcPr>
            <w:tcW w:w="375" w:type="pct"/>
          </w:tcPr>
          <w:p w14:paraId="7141059A" w14:textId="6CC0668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5.1-20.5</w:t>
            </w:r>
            <w:r w:rsidR="00FA2DF9">
              <w:rPr>
                <w:rFonts w:ascii="Book Antiqua" w:hAnsi="Book Antiqua"/>
                <w:sz w:val="21"/>
                <w:szCs w:val="21"/>
              </w:rPr>
              <w:t>)</w:t>
            </w:r>
          </w:p>
        </w:tc>
        <w:tc>
          <w:tcPr>
            <w:tcW w:w="323" w:type="pct"/>
          </w:tcPr>
          <w:p w14:paraId="6680E51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0.06</w:t>
            </w:r>
          </w:p>
        </w:tc>
      </w:tr>
      <w:tr w:rsidR="00FA2DF9" w:rsidRPr="00F84ADB" w14:paraId="5B9B9682" w14:textId="77777777" w:rsidTr="00E84708">
        <w:trPr>
          <w:trHeight w:val="427"/>
          <w:jc w:val="center"/>
        </w:trPr>
        <w:tc>
          <w:tcPr>
            <w:tcW w:w="525" w:type="pct"/>
          </w:tcPr>
          <w:p w14:paraId="414EDB9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Triglyceride (mmol/L)</w:t>
            </w:r>
          </w:p>
        </w:tc>
        <w:tc>
          <w:tcPr>
            <w:tcW w:w="361" w:type="pct"/>
          </w:tcPr>
          <w:p w14:paraId="0949E913"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&lt; 1.7</w:t>
            </w:r>
          </w:p>
        </w:tc>
        <w:tc>
          <w:tcPr>
            <w:tcW w:w="379" w:type="pct"/>
          </w:tcPr>
          <w:p w14:paraId="723440CB" w14:textId="4738356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0.36-2.55</w:t>
            </w:r>
            <w:r w:rsidR="00FA2DF9">
              <w:rPr>
                <w:rFonts w:ascii="Book Antiqua" w:hAnsi="Book Antiqua"/>
                <w:sz w:val="21"/>
                <w:szCs w:val="21"/>
              </w:rPr>
              <w:t>)</w:t>
            </w:r>
          </w:p>
        </w:tc>
        <w:tc>
          <w:tcPr>
            <w:tcW w:w="96" w:type="pct"/>
          </w:tcPr>
          <w:p w14:paraId="59A6AF1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678134F1" w14:textId="491B1B3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0.69-2.55</w:t>
            </w:r>
            <w:r w:rsidR="00FA2DF9">
              <w:rPr>
                <w:rFonts w:ascii="Book Antiqua" w:hAnsi="Book Antiqua"/>
                <w:sz w:val="21"/>
                <w:szCs w:val="21"/>
              </w:rPr>
              <w:t>)</w:t>
            </w:r>
          </w:p>
        </w:tc>
        <w:tc>
          <w:tcPr>
            <w:tcW w:w="406" w:type="pct"/>
          </w:tcPr>
          <w:p w14:paraId="3A251AC9" w14:textId="0EC1455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0.36-1.54</w:t>
            </w:r>
            <w:r w:rsidR="00FA2DF9">
              <w:rPr>
                <w:rFonts w:ascii="Book Antiqua" w:hAnsi="Book Antiqua"/>
                <w:sz w:val="21"/>
                <w:szCs w:val="21"/>
              </w:rPr>
              <w:t>)</w:t>
            </w:r>
          </w:p>
        </w:tc>
        <w:tc>
          <w:tcPr>
            <w:tcW w:w="281" w:type="pct"/>
          </w:tcPr>
          <w:p w14:paraId="3C816A6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0.07</w:t>
            </w:r>
          </w:p>
        </w:tc>
        <w:tc>
          <w:tcPr>
            <w:tcW w:w="117" w:type="pct"/>
          </w:tcPr>
          <w:p w14:paraId="4BDC0C5F"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6FBA50AE" w14:textId="2B598A9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0.9</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0.64-2.55</w:t>
            </w:r>
            <w:r w:rsidR="00FA2DF9">
              <w:rPr>
                <w:rFonts w:ascii="Book Antiqua" w:hAnsi="Book Antiqua"/>
                <w:sz w:val="21"/>
                <w:szCs w:val="21"/>
              </w:rPr>
              <w:t>)</w:t>
            </w:r>
          </w:p>
        </w:tc>
        <w:tc>
          <w:tcPr>
            <w:tcW w:w="487" w:type="pct"/>
            <w:gridSpan w:val="2"/>
          </w:tcPr>
          <w:p w14:paraId="36C7E150" w14:textId="7FC2D05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0.36-2.35</w:t>
            </w:r>
            <w:r w:rsidR="00FA2DF9">
              <w:rPr>
                <w:rFonts w:ascii="Book Antiqua" w:hAnsi="Book Antiqua"/>
                <w:sz w:val="21"/>
                <w:szCs w:val="21"/>
              </w:rPr>
              <w:t>)</w:t>
            </w:r>
          </w:p>
        </w:tc>
        <w:tc>
          <w:tcPr>
            <w:tcW w:w="274" w:type="pct"/>
          </w:tcPr>
          <w:p w14:paraId="2D1B96AD"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0.79</w:t>
            </w:r>
          </w:p>
        </w:tc>
        <w:tc>
          <w:tcPr>
            <w:tcW w:w="129" w:type="pct"/>
          </w:tcPr>
          <w:p w14:paraId="167031CF"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78B02E9C" w14:textId="5A1E038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0.64-2.35</w:t>
            </w:r>
            <w:r w:rsidR="00FA2DF9">
              <w:rPr>
                <w:rFonts w:ascii="Book Antiqua" w:hAnsi="Book Antiqua"/>
                <w:sz w:val="21"/>
                <w:szCs w:val="21"/>
              </w:rPr>
              <w:t>)</w:t>
            </w:r>
          </w:p>
        </w:tc>
        <w:tc>
          <w:tcPr>
            <w:tcW w:w="375" w:type="pct"/>
          </w:tcPr>
          <w:p w14:paraId="054B3167" w14:textId="7182639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0.36-2.55</w:t>
            </w:r>
            <w:r w:rsidR="00FA2DF9">
              <w:rPr>
                <w:rFonts w:ascii="Book Antiqua" w:hAnsi="Book Antiqua"/>
                <w:sz w:val="21"/>
                <w:szCs w:val="21"/>
              </w:rPr>
              <w:t>)</w:t>
            </w:r>
          </w:p>
        </w:tc>
        <w:tc>
          <w:tcPr>
            <w:tcW w:w="323" w:type="pct"/>
          </w:tcPr>
          <w:p w14:paraId="30B2EF85"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0.15</w:t>
            </w:r>
          </w:p>
        </w:tc>
      </w:tr>
      <w:tr w:rsidR="00FA2DF9" w:rsidRPr="00F84ADB" w14:paraId="6EC4779E" w14:textId="77777777" w:rsidTr="00E84708">
        <w:trPr>
          <w:trHeight w:val="427"/>
          <w:jc w:val="center"/>
        </w:trPr>
        <w:tc>
          <w:tcPr>
            <w:tcW w:w="525" w:type="pct"/>
          </w:tcPr>
          <w:p w14:paraId="7AE9E738"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LDL (mmol/L)</w:t>
            </w:r>
          </w:p>
        </w:tc>
        <w:tc>
          <w:tcPr>
            <w:tcW w:w="361" w:type="pct"/>
          </w:tcPr>
          <w:p w14:paraId="7A58420E"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&lt; 3.4</w:t>
            </w:r>
          </w:p>
        </w:tc>
        <w:tc>
          <w:tcPr>
            <w:tcW w:w="379" w:type="pct"/>
          </w:tcPr>
          <w:p w14:paraId="23D9C96D" w14:textId="7732A29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1.7</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0.8-2.4</w:t>
            </w:r>
            <w:r w:rsidR="00FA2DF9">
              <w:rPr>
                <w:rFonts w:ascii="Book Antiqua" w:hAnsi="Book Antiqua"/>
                <w:sz w:val="21"/>
                <w:szCs w:val="21"/>
              </w:rPr>
              <w:t>)</w:t>
            </w:r>
          </w:p>
        </w:tc>
        <w:tc>
          <w:tcPr>
            <w:tcW w:w="96" w:type="pct"/>
          </w:tcPr>
          <w:p w14:paraId="75110E9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3AB6861A" w14:textId="6567809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1.4</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0.9-1.6</w:t>
            </w:r>
            <w:r w:rsidR="00FA2DF9">
              <w:rPr>
                <w:rFonts w:ascii="Book Antiqua" w:hAnsi="Book Antiqua"/>
                <w:sz w:val="21"/>
                <w:szCs w:val="21"/>
              </w:rPr>
              <w:t>)</w:t>
            </w:r>
          </w:p>
        </w:tc>
        <w:tc>
          <w:tcPr>
            <w:tcW w:w="406" w:type="pct"/>
          </w:tcPr>
          <w:p w14:paraId="4076BEAF" w14:textId="668CC4B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1.7</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0.8-2.4</w:t>
            </w:r>
            <w:r w:rsidR="00FA2DF9">
              <w:rPr>
                <w:rFonts w:ascii="Book Antiqua" w:hAnsi="Book Antiqua"/>
                <w:sz w:val="21"/>
                <w:szCs w:val="21"/>
              </w:rPr>
              <w:t>)</w:t>
            </w:r>
          </w:p>
        </w:tc>
        <w:tc>
          <w:tcPr>
            <w:tcW w:w="281" w:type="pct"/>
          </w:tcPr>
          <w:p w14:paraId="267E1525"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0.05</w:t>
            </w:r>
          </w:p>
        </w:tc>
        <w:tc>
          <w:tcPr>
            <w:tcW w:w="117" w:type="pct"/>
          </w:tcPr>
          <w:p w14:paraId="4DFDF08D"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48DEAF1D" w14:textId="440E25E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0.8-2.2</w:t>
            </w:r>
            <w:r w:rsidR="00FA2DF9">
              <w:rPr>
                <w:rFonts w:ascii="Book Antiqua" w:hAnsi="Book Antiqua"/>
                <w:sz w:val="21"/>
                <w:szCs w:val="21"/>
              </w:rPr>
              <w:t>)</w:t>
            </w:r>
          </w:p>
        </w:tc>
        <w:tc>
          <w:tcPr>
            <w:tcW w:w="487" w:type="pct"/>
            <w:gridSpan w:val="2"/>
          </w:tcPr>
          <w:p w14:paraId="2C0A6E79" w14:textId="40F2745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1.7</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0.9-2.4</w:t>
            </w:r>
            <w:r w:rsidR="00FA2DF9">
              <w:rPr>
                <w:rFonts w:ascii="Book Antiqua" w:hAnsi="Book Antiqua"/>
                <w:sz w:val="21"/>
                <w:szCs w:val="21"/>
              </w:rPr>
              <w:t>)</w:t>
            </w:r>
          </w:p>
        </w:tc>
        <w:tc>
          <w:tcPr>
            <w:tcW w:w="274" w:type="pct"/>
          </w:tcPr>
          <w:p w14:paraId="273CDACB"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0.53</w:t>
            </w:r>
          </w:p>
        </w:tc>
        <w:tc>
          <w:tcPr>
            <w:tcW w:w="129" w:type="pct"/>
          </w:tcPr>
          <w:p w14:paraId="64A2787B"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1DE52656" w14:textId="0BEBA90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1.7</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0.9-2.4</w:t>
            </w:r>
            <w:r w:rsidR="00FA2DF9">
              <w:rPr>
                <w:rFonts w:ascii="Book Antiqua" w:hAnsi="Book Antiqua"/>
                <w:sz w:val="21"/>
                <w:szCs w:val="21"/>
              </w:rPr>
              <w:t>)</w:t>
            </w:r>
          </w:p>
        </w:tc>
        <w:tc>
          <w:tcPr>
            <w:tcW w:w="375" w:type="pct"/>
          </w:tcPr>
          <w:p w14:paraId="445F6296" w14:textId="7BA1367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0.8-2.0</w:t>
            </w:r>
            <w:r w:rsidR="00FA2DF9">
              <w:rPr>
                <w:rFonts w:ascii="Book Antiqua" w:hAnsi="Book Antiqua"/>
                <w:sz w:val="21"/>
                <w:szCs w:val="21"/>
              </w:rPr>
              <w:t>)</w:t>
            </w:r>
          </w:p>
        </w:tc>
        <w:tc>
          <w:tcPr>
            <w:tcW w:w="323" w:type="pct"/>
          </w:tcPr>
          <w:p w14:paraId="1A55F5D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0.71</w:t>
            </w:r>
          </w:p>
        </w:tc>
      </w:tr>
      <w:tr w:rsidR="00FA2DF9" w:rsidRPr="00F84ADB" w14:paraId="7250F141" w14:textId="77777777" w:rsidTr="00E84708">
        <w:trPr>
          <w:trHeight w:val="427"/>
          <w:jc w:val="center"/>
        </w:trPr>
        <w:tc>
          <w:tcPr>
            <w:tcW w:w="525" w:type="pct"/>
            <w:tcBorders>
              <w:bottom w:val="single" w:sz="4" w:space="0" w:color="auto"/>
            </w:tcBorders>
          </w:tcPr>
          <w:p w14:paraId="022DCBAF"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HDL (mmol/L)</w:t>
            </w:r>
          </w:p>
        </w:tc>
        <w:tc>
          <w:tcPr>
            <w:tcW w:w="361" w:type="pct"/>
            <w:tcBorders>
              <w:bottom w:val="single" w:sz="4" w:space="0" w:color="auto"/>
            </w:tcBorders>
          </w:tcPr>
          <w:p w14:paraId="31EB9F9D"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&gt; 1.0</w:t>
            </w:r>
          </w:p>
        </w:tc>
        <w:tc>
          <w:tcPr>
            <w:tcW w:w="379" w:type="pct"/>
            <w:tcBorders>
              <w:bottom w:val="single" w:sz="4" w:space="0" w:color="auto"/>
            </w:tcBorders>
          </w:tcPr>
          <w:p w14:paraId="22EEA93C" w14:textId="0EF9259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1.03</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0.53-2.03</w:t>
            </w:r>
            <w:r w:rsidR="00FA2DF9">
              <w:rPr>
                <w:rFonts w:ascii="Book Antiqua" w:hAnsi="Book Antiqua"/>
                <w:sz w:val="21"/>
                <w:szCs w:val="21"/>
              </w:rPr>
              <w:t>)</w:t>
            </w:r>
          </w:p>
        </w:tc>
        <w:tc>
          <w:tcPr>
            <w:tcW w:w="96" w:type="pct"/>
            <w:tcBorders>
              <w:bottom w:val="single" w:sz="4" w:space="0" w:color="auto"/>
            </w:tcBorders>
          </w:tcPr>
          <w:p w14:paraId="38DF367E"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Borders>
              <w:bottom w:val="single" w:sz="4" w:space="0" w:color="auto"/>
            </w:tcBorders>
          </w:tcPr>
          <w:p w14:paraId="66EE94D1" w14:textId="0E9E7C4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0.84</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0.53-1.41</w:t>
            </w:r>
            <w:r w:rsidR="00FA2DF9">
              <w:rPr>
                <w:rFonts w:ascii="Book Antiqua" w:hAnsi="Book Antiqua"/>
                <w:sz w:val="21"/>
                <w:szCs w:val="21"/>
              </w:rPr>
              <w:t>)</w:t>
            </w:r>
          </w:p>
        </w:tc>
        <w:tc>
          <w:tcPr>
            <w:tcW w:w="406" w:type="pct"/>
            <w:tcBorders>
              <w:bottom w:val="single" w:sz="4" w:space="0" w:color="auto"/>
            </w:tcBorders>
          </w:tcPr>
          <w:p w14:paraId="6E556883" w14:textId="56FEEBE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1.09</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0.91-2.03</w:t>
            </w:r>
            <w:r w:rsidR="00FA2DF9">
              <w:rPr>
                <w:rFonts w:ascii="Book Antiqua" w:hAnsi="Book Antiqua"/>
                <w:sz w:val="21"/>
                <w:szCs w:val="21"/>
              </w:rPr>
              <w:t>)</w:t>
            </w:r>
          </w:p>
        </w:tc>
        <w:tc>
          <w:tcPr>
            <w:tcW w:w="281" w:type="pct"/>
            <w:tcBorders>
              <w:bottom w:val="single" w:sz="4" w:space="0" w:color="auto"/>
            </w:tcBorders>
          </w:tcPr>
          <w:p w14:paraId="5D975D9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0.02</w:t>
            </w:r>
          </w:p>
        </w:tc>
        <w:tc>
          <w:tcPr>
            <w:tcW w:w="117" w:type="pct"/>
            <w:tcBorders>
              <w:bottom w:val="single" w:sz="4" w:space="0" w:color="auto"/>
            </w:tcBorders>
          </w:tcPr>
          <w:p w14:paraId="12EDD780"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Borders>
              <w:bottom w:val="single" w:sz="4" w:space="0" w:color="auto"/>
            </w:tcBorders>
          </w:tcPr>
          <w:p w14:paraId="1182D384" w14:textId="07AA646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1.04</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0.86-2.03</w:t>
            </w:r>
            <w:r w:rsidR="00FA2DF9">
              <w:rPr>
                <w:rFonts w:ascii="Book Antiqua" w:hAnsi="Book Antiqua"/>
                <w:sz w:val="21"/>
                <w:szCs w:val="21"/>
              </w:rPr>
              <w:t>)</w:t>
            </w:r>
          </w:p>
        </w:tc>
        <w:tc>
          <w:tcPr>
            <w:tcW w:w="487" w:type="pct"/>
            <w:gridSpan w:val="2"/>
            <w:tcBorders>
              <w:bottom w:val="single" w:sz="4" w:space="0" w:color="auto"/>
            </w:tcBorders>
          </w:tcPr>
          <w:p w14:paraId="0E176031" w14:textId="1BE5893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0.98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0.53-1.54</w:t>
            </w:r>
            <w:r w:rsidR="00FA2DF9">
              <w:rPr>
                <w:rFonts w:ascii="Book Antiqua" w:hAnsi="Book Antiqua"/>
                <w:sz w:val="21"/>
                <w:szCs w:val="21"/>
              </w:rPr>
              <w:t>)</w:t>
            </w:r>
          </w:p>
        </w:tc>
        <w:tc>
          <w:tcPr>
            <w:tcW w:w="274" w:type="pct"/>
            <w:tcBorders>
              <w:bottom w:val="single" w:sz="4" w:space="0" w:color="auto"/>
            </w:tcBorders>
          </w:tcPr>
          <w:p w14:paraId="31D1F3E5"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0.31</w:t>
            </w:r>
          </w:p>
        </w:tc>
        <w:tc>
          <w:tcPr>
            <w:tcW w:w="129" w:type="pct"/>
            <w:tcBorders>
              <w:bottom w:val="single" w:sz="4" w:space="0" w:color="auto"/>
            </w:tcBorders>
          </w:tcPr>
          <w:p w14:paraId="5E866597"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Borders>
              <w:bottom w:val="single" w:sz="4" w:space="0" w:color="auto"/>
            </w:tcBorders>
          </w:tcPr>
          <w:p w14:paraId="09E3534F" w14:textId="406FE23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1.01</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0.53-2.03</w:t>
            </w:r>
            <w:r w:rsidR="00FA2DF9">
              <w:rPr>
                <w:rFonts w:ascii="Book Antiqua" w:hAnsi="Book Antiqua"/>
                <w:sz w:val="21"/>
                <w:szCs w:val="21"/>
              </w:rPr>
              <w:t>)</w:t>
            </w:r>
          </w:p>
        </w:tc>
        <w:tc>
          <w:tcPr>
            <w:tcW w:w="375" w:type="pct"/>
            <w:tcBorders>
              <w:bottom w:val="single" w:sz="4" w:space="0" w:color="auto"/>
            </w:tcBorders>
          </w:tcPr>
          <w:p w14:paraId="1CACF7FA" w14:textId="3233B51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0.84-1.53</w:t>
            </w:r>
            <w:r w:rsidR="00FA2DF9">
              <w:rPr>
                <w:rFonts w:ascii="Book Antiqua" w:hAnsi="Book Antiqua"/>
                <w:sz w:val="21"/>
                <w:szCs w:val="21"/>
              </w:rPr>
              <w:t>)</w:t>
            </w:r>
          </w:p>
        </w:tc>
        <w:tc>
          <w:tcPr>
            <w:tcW w:w="323" w:type="pct"/>
            <w:tcBorders>
              <w:bottom w:val="single" w:sz="4" w:space="0" w:color="auto"/>
            </w:tcBorders>
          </w:tcPr>
          <w:p w14:paraId="32B20405"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0.73</w:t>
            </w:r>
          </w:p>
        </w:tc>
      </w:tr>
    </w:tbl>
    <w:p w14:paraId="23EDE2E8" w14:textId="1B38131D" w:rsidR="001C1832" w:rsidRPr="00960999" w:rsidRDefault="001C1832" w:rsidP="001C1832">
      <w:pPr>
        <w:pStyle w:val="NormalWeb"/>
        <w:adjustRightInd w:val="0"/>
        <w:snapToGrid w:val="0"/>
        <w:spacing w:before="0" w:beforeAutospacing="0" w:after="0" w:afterAutospacing="0" w:line="360" w:lineRule="auto"/>
        <w:jc w:val="both"/>
        <w:rPr>
          <w:rFonts w:ascii="Book Antiqua" w:hAnsi="Book Antiqua"/>
        </w:rPr>
      </w:pPr>
      <w:r w:rsidRPr="003610D2">
        <w:rPr>
          <w:rFonts w:ascii="Book Antiqua" w:hAnsi="Book Antiqua"/>
        </w:rPr>
        <w:t xml:space="preserve">Data is stratified by steatosis </w:t>
      </w:r>
      <w:r>
        <w:rPr>
          <w:rFonts w:ascii="Book Antiqua" w:hAnsi="Book Antiqua"/>
        </w:rPr>
        <w:t>[</w:t>
      </w:r>
      <w:r>
        <w:rPr>
          <w:rFonts w:ascii="Book Antiqua" w:hAnsi="Book Antiqua"/>
          <w:color w:val="000000" w:themeColor="text1"/>
          <w:kern w:val="24"/>
        </w:rPr>
        <w:t>m</w:t>
      </w:r>
      <w:r w:rsidRPr="003610D2">
        <w:rPr>
          <w:rFonts w:ascii="Book Antiqua" w:hAnsi="Book Antiqua"/>
          <w:color w:val="000000" w:themeColor="text1"/>
          <w:kern w:val="24"/>
        </w:rPr>
        <w:t>agnetic resonance imaging</w:t>
      </w:r>
      <w:r w:rsidRPr="003610D2">
        <w:rPr>
          <w:rFonts w:ascii="Book Antiqua" w:hAnsi="Book Antiqua"/>
        </w:rPr>
        <w:t xml:space="preserve"> </w:t>
      </w:r>
      <w:r>
        <w:rPr>
          <w:rFonts w:ascii="Book Antiqua" w:hAnsi="Book Antiqua"/>
        </w:rPr>
        <w:t>(</w:t>
      </w:r>
      <w:r w:rsidRPr="003610D2">
        <w:rPr>
          <w:rFonts w:ascii="Book Antiqua" w:hAnsi="Book Antiqua"/>
        </w:rPr>
        <w:t>MRI</w:t>
      </w:r>
      <w:r>
        <w:rPr>
          <w:rFonts w:ascii="Book Antiqua" w:hAnsi="Book Antiqua"/>
        </w:rPr>
        <w:t>)</w:t>
      </w:r>
      <w:r w:rsidRPr="003610D2">
        <w:rPr>
          <w:rFonts w:ascii="Book Antiqua" w:hAnsi="Book Antiqua"/>
        </w:rPr>
        <w:t xml:space="preserve"> proton density fat fraction &gt;</w:t>
      </w:r>
      <w:r>
        <w:rPr>
          <w:rFonts w:ascii="Book Antiqua" w:hAnsi="Book Antiqua"/>
        </w:rPr>
        <w:t xml:space="preserve"> </w:t>
      </w:r>
      <w:r w:rsidRPr="003610D2">
        <w:rPr>
          <w:rFonts w:ascii="Book Antiqua" w:hAnsi="Book Antiqua"/>
        </w:rPr>
        <w:t>5%</w:t>
      </w:r>
      <w:r>
        <w:rPr>
          <w:rFonts w:ascii="Book Antiqua" w:hAnsi="Book Antiqua"/>
        </w:rPr>
        <w:t>]</w:t>
      </w:r>
      <w:r w:rsidRPr="003610D2">
        <w:rPr>
          <w:rFonts w:ascii="Book Antiqua" w:hAnsi="Book Antiqua"/>
        </w:rPr>
        <w:t xml:space="preserve"> or no steatosis (MRI proton density fat fraction &lt;</w:t>
      </w:r>
      <w:r>
        <w:rPr>
          <w:rFonts w:ascii="Book Antiqua" w:hAnsi="Book Antiqua"/>
        </w:rPr>
        <w:t xml:space="preserve"> </w:t>
      </w:r>
      <w:r w:rsidRPr="003610D2">
        <w:rPr>
          <w:rFonts w:ascii="Book Antiqua" w:hAnsi="Book Antiqua"/>
        </w:rPr>
        <w:t xml:space="preserve">5%), use of </w:t>
      </w:r>
      <w:r>
        <w:rPr>
          <w:rFonts w:ascii="Book Antiqua" w:hAnsi="Book Antiqua" w:cstheme="minorBidi"/>
          <w:color w:val="000000" w:themeColor="text1"/>
          <w:kern w:val="24"/>
        </w:rPr>
        <w:t>c</w:t>
      </w:r>
      <w:r w:rsidRPr="003610D2">
        <w:rPr>
          <w:rFonts w:ascii="Book Antiqua" w:hAnsi="Book Antiqua" w:cstheme="minorBidi"/>
          <w:color w:val="000000" w:themeColor="text1"/>
          <w:kern w:val="24"/>
        </w:rPr>
        <w:t>ystic fibrosis transmembrane conductance regulator</w:t>
      </w:r>
      <w:r w:rsidRPr="003610D2">
        <w:rPr>
          <w:rFonts w:ascii="Book Antiqua" w:hAnsi="Book Antiqua"/>
        </w:rPr>
        <w:t xml:space="preserve"> modulator lumacaftor/ivacaftor, and diabetes status. Data are presented as median and range.</w:t>
      </w:r>
      <w:r>
        <w:rPr>
          <w:rFonts w:ascii="Book Antiqua" w:hAnsi="Book Antiqua"/>
        </w:rPr>
        <w:t xml:space="preserve"> </w:t>
      </w:r>
      <w:r w:rsidRPr="003610D2">
        <w:rPr>
          <w:rFonts w:ascii="Book Antiqua" w:hAnsi="Book Antiqua" w:cstheme="minorBidi"/>
          <w:color w:val="000000" w:themeColor="text1"/>
          <w:kern w:val="24"/>
        </w:rPr>
        <w:t xml:space="preserve">To convert total bilirubin from </w:t>
      </w:r>
      <w:proofErr w:type="spellStart"/>
      <w:r w:rsidRPr="003610D2">
        <w:rPr>
          <w:rFonts w:ascii="Book Antiqua" w:hAnsi="Book Antiqua" w:cstheme="minorBidi"/>
          <w:color w:val="000000" w:themeColor="text1"/>
          <w:kern w:val="24"/>
        </w:rPr>
        <w:t>μmol</w:t>
      </w:r>
      <w:proofErr w:type="spellEnd"/>
      <w:r w:rsidRPr="003610D2">
        <w:rPr>
          <w:rFonts w:ascii="Book Antiqua" w:hAnsi="Book Antiqua" w:cstheme="minorBidi"/>
          <w:color w:val="000000" w:themeColor="text1"/>
          <w:kern w:val="24"/>
        </w:rPr>
        <w:t>/L to mg/dL multiply by 0.0585.</w:t>
      </w:r>
      <w:r>
        <w:rPr>
          <w:rFonts w:ascii="Book Antiqua" w:hAnsi="Book Antiqua" w:cstheme="minorBidi"/>
          <w:color w:val="000000" w:themeColor="text1"/>
          <w:kern w:val="24"/>
        </w:rPr>
        <w:t xml:space="preserve"> </w:t>
      </w:r>
      <w:r w:rsidRPr="003610D2">
        <w:rPr>
          <w:rFonts w:ascii="Book Antiqua" w:hAnsi="Book Antiqua" w:cstheme="minorBidi"/>
          <w:color w:val="000000" w:themeColor="text1"/>
          <w:kern w:val="24"/>
        </w:rPr>
        <w:t xml:space="preserve">To convert triglycerides from mmol/L to mg/dL multiply by 88.5. To convert </w:t>
      </w:r>
      <w:bookmarkStart w:id="263" w:name="OLE_LINK697"/>
      <w:bookmarkStart w:id="264" w:name="OLE_LINK698"/>
      <w:r w:rsidRPr="003610D2">
        <w:rPr>
          <w:rFonts w:ascii="Book Antiqua" w:hAnsi="Book Antiqua"/>
        </w:rPr>
        <w:t xml:space="preserve">low density </w:t>
      </w:r>
      <w:r w:rsidRPr="003610D2">
        <w:rPr>
          <w:rFonts w:ascii="Book Antiqua" w:hAnsi="Book Antiqua"/>
        </w:rPr>
        <w:lastRenderedPageBreak/>
        <w:t>lipoprotein</w:t>
      </w:r>
      <w:bookmarkEnd w:id="263"/>
      <w:bookmarkEnd w:id="264"/>
      <w:r w:rsidRPr="003610D2">
        <w:rPr>
          <w:rFonts w:ascii="Book Antiqua" w:hAnsi="Book Antiqua" w:cstheme="minorBidi"/>
          <w:color w:val="000000" w:themeColor="text1"/>
          <w:kern w:val="24"/>
        </w:rPr>
        <w:t xml:space="preserve"> from mmol/L to mg/dL multiply by 38.7. To convert </w:t>
      </w:r>
      <w:bookmarkStart w:id="265" w:name="OLE_LINK699"/>
      <w:bookmarkStart w:id="266" w:name="OLE_LINK700"/>
      <w:r>
        <w:rPr>
          <w:rFonts w:ascii="Book Antiqua" w:hAnsi="Book Antiqua"/>
        </w:rPr>
        <w:t>high</w:t>
      </w:r>
      <w:r w:rsidRPr="003610D2">
        <w:rPr>
          <w:rFonts w:ascii="Book Antiqua" w:hAnsi="Book Antiqua"/>
        </w:rPr>
        <w:t xml:space="preserve"> density lipoprotein</w:t>
      </w:r>
      <w:bookmarkEnd w:id="265"/>
      <w:bookmarkEnd w:id="266"/>
      <w:r w:rsidRPr="003610D2">
        <w:rPr>
          <w:rFonts w:ascii="Book Antiqua" w:hAnsi="Book Antiqua" w:cstheme="minorBidi"/>
          <w:color w:val="000000" w:themeColor="text1"/>
          <w:kern w:val="24"/>
        </w:rPr>
        <w:t xml:space="preserve"> from mmol/L to mg/dL multiply by 38.7.</w:t>
      </w:r>
      <w:r>
        <w:rPr>
          <w:rFonts w:ascii="Book Antiqua" w:hAnsi="Book Antiqua" w:cstheme="minorBidi"/>
          <w:color w:val="000000" w:themeColor="text1"/>
          <w:kern w:val="24"/>
        </w:rPr>
        <w:t xml:space="preserve"> </w:t>
      </w:r>
      <w:bookmarkStart w:id="267" w:name="OLE_LINK693"/>
      <w:bookmarkStart w:id="268" w:name="OLE_LINK694"/>
      <w:r w:rsidRPr="003610D2">
        <w:rPr>
          <w:rFonts w:ascii="Book Antiqua" w:hAnsi="Book Antiqua"/>
        </w:rPr>
        <w:t>CFRD</w:t>
      </w:r>
      <w:bookmarkEnd w:id="267"/>
      <w:bookmarkEnd w:id="268"/>
      <w:r w:rsidRPr="003610D2">
        <w:rPr>
          <w:rFonts w:ascii="Book Antiqua" w:hAnsi="Book Antiqua"/>
        </w:rPr>
        <w:t xml:space="preserve">: </w:t>
      </w:r>
      <w:r w:rsidR="00FA2DF9" w:rsidRPr="003610D2">
        <w:rPr>
          <w:rFonts w:ascii="Book Antiqua" w:hAnsi="Book Antiqua"/>
        </w:rPr>
        <w:t>C</w:t>
      </w:r>
      <w:r w:rsidRPr="003610D2">
        <w:rPr>
          <w:rFonts w:ascii="Book Antiqua" w:hAnsi="Book Antiqua"/>
        </w:rPr>
        <w:t>ystic fibrosis related diabetes</w:t>
      </w:r>
      <w:r>
        <w:rPr>
          <w:rFonts w:ascii="Book Antiqua" w:hAnsi="Book Antiqua"/>
        </w:rPr>
        <w:t xml:space="preserve">; </w:t>
      </w:r>
      <w:r w:rsidRPr="003610D2">
        <w:rPr>
          <w:rFonts w:ascii="Book Antiqua" w:hAnsi="Book Antiqua"/>
        </w:rPr>
        <w:t xml:space="preserve">NGT: </w:t>
      </w:r>
      <w:r>
        <w:rPr>
          <w:rFonts w:ascii="Book Antiqua" w:hAnsi="Book Antiqua"/>
        </w:rPr>
        <w:t>N</w:t>
      </w:r>
      <w:r w:rsidRPr="003610D2">
        <w:rPr>
          <w:rFonts w:ascii="Book Antiqua" w:hAnsi="Book Antiqua"/>
        </w:rPr>
        <w:t>ormal glucose tolerance</w:t>
      </w:r>
      <w:r>
        <w:rPr>
          <w:rFonts w:ascii="Book Antiqua" w:hAnsi="Book Antiqua"/>
        </w:rPr>
        <w:t xml:space="preserve">; </w:t>
      </w:r>
      <w:r w:rsidRPr="004C7928">
        <w:rPr>
          <w:rFonts w:ascii="Book Antiqua" w:hAnsi="Book Antiqua"/>
        </w:rPr>
        <w:t>AST:</w:t>
      </w:r>
      <w:r>
        <w:rPr>
          <w:rFonts w:ascii="Book Antiqua" w:hAnsi="Book Antiqua"/>
        </w:rPr>
        <w:t xml:space="preserve"> A</w:t>
      </w:r>
      <w:r w:rsidRPr="003610D2">
        <w:rPr>
          <w:rFonts w:ascii="Book Antiqua" w:hAnsi="Book Antiqua"/>
        </w:rPr>
        <w:t>spartate transaminase</w:t>
      </w:r>
      <w:r>
        <w:rPr>
          <w:rFonts w:ascii="Book Antiqua" w:hAnsi="Book Antiqua"/>
        </w:rPr>
        <w:t>;</w:t>
      </w:r>
      <w:r w:rsidRPr="003610D2">
        <w:rPr>
          <w:rFonts w:ascii="Book Antiqua" w:hAnsi="Book Antiqua"/>
        </w:rPr>
        <w:t xml:space="preserve"> </w:t>
      </w:r>
      <w:r w:rsidRPr="004C7928">
        <w:rPr>
          <w:rFonts w:ascii="Book Antiqua" w:hAnsi="Book Antiqua"/>
        </w:rPr>
        <w:t xml:space="preserve">ALT: </w:t>
      </w:r>
      <w:r>
        <w:rPr>
          <w:rFonts w:ascii="Book Antiqua" w:hAnsi="Book Antiqua"/>
        </w:rPr>
        <w:t>A</w:t>
      </w:r>
      <w:r w:rsidRPr="003610D2">
        <w:rPr>
          <w:rFonts w:ascii="Book Antiqua" w:hAnsi="Book Antiqua"/>
        </w:rPr>
        <w:t>lanine transaminase</w:t>
      </w:r>
      <w:r w:rsidRPr="004C7928">
        <w:rPr>
          <w:rFonts w:ascii="Book Antiqua" w:hAnsi="Book Antiqua"/>
        </w:rPr>
        <w:t xml:space="preserve">; GGT: </w:t>
      </w:r>
      <w:r w:rsidR="00FA2DF9" w:rsidRPr="003610D2">
        <w:rPr>
          <w:rFonts w:ascii="Book Antiqua" w:hAnsi="Book Antiqua"/>
        </w:rPr>
        <w:t>G</w:t>
      </w:r>
      <w:r w:rsidRPr="003610D2">
        <w:rPr>
          <w:rFonts w:ascii="Book Antiqua" w:hAnsi="Book Antiqua"/>
        </w:rPr>
        <w:t>amma-</w:t>
      </w:r>
      <w:proofErr w:type="spellStart"/>
      <w:r w:rsidRPr="003610D2">
        <w:rPr>
          <w:rFonts w:ascii="Book Antiqua" w:hAnsi="Book Antiqua"/>
        </w:rPr>
        <w:t>glutamyltransferase</w:t>
      </w:r>
      <w:proofErr w:type="spellEnd"/>
      <w:r>
        <w:rPr>
          <w:rFonts w:ascii="Book Antiqua" w:hAnsi="Book Antiqua"/>
        </w:rPr>
        <w:t>; LDL: L</w:t>
      </w:r>
      <w:r w:rsidRPr="003610D2">
        <w:rPr>
          <w:rFonts w:ascii="Book Antiqua" w:hAnsi="Book Antiqua"/>
        </w:rPr>
        <w:t>ow density lipoprotein</w:t>
      </w:r>
      <w:r>
        <w:rPr>
          <w:rFonts w:ascii="Book Antiqua" w:hAnsi="Book Antiqua"/>
        </w:rPr>
        <w:t>; HDL: High</w:t>
      </w:r>
      <w:r w:rsidRPr="003610D2">
        <w:rPr>
          <w:rFonts w:ascii="Book Antiqua" w:hAnsi="Book Antiqua"/>
        </w:rPr>
        <w:t xml:space="preserve"> density lipoprotein</w:t>
      </w:r>
      <w:r>
        <w:rPr>
          <w:rFonts w:ascii="Book Antiqua" w:hAnsi="Book Antiqua"/>
        </w:rPr>
        <w:t>; BMI: Body mass index.</w:t>
      </w:r>
    </w:p>
    <w:p w14:paraId="7D82C8D9" w14:textId="77777777" w:rsidR="00E84708" w:rsidRDefault="001C1832">
      <w:pPr>
        <w:rPr>
          <w:rFonts w:ascii="Book Antiqua" w:hAnsi="Book Antiqua"/>
          <w:sz w:val="24"/>
          <w:szCs w:val="24"/>
        </w:rPr>
        <w:sectPr w:rsidR="00E84708" w:rsidSect="00F84ADB">
          <w:headerReference w:type="default" r:id="rId12"/>
          <w:pgSz w:w="15840" w:h="12240" w:orient="landscape" w:code="1"/>
          <w:pgMar w:top="1440" w:right="1440" w:bottom="1440" w:left="1440" w:header="720" w:footer="720" w:gutter="0"/>
          <w:cols w:space="720"/>
          <w:docGrid w:linePitch="360"/>
        </w:sectPr>
      </w:pPr>
      <w:r>
        <w:rPr>
          <w:rFonts w:ascii="Book Antiqua" w:hAnsi="Book Antiqua"/>
          <w:sz w:val="24"/>
          <w:szCs w:val="24"/>
        </w:rPr>
        <w:br w:type="page"/>
      </w:r>
    </w:p>
    <w:p w14:paraId="257A515A" w14:textId="78063A7A" w:rsidR="00971A8C" w:rsidRPr="003610D2" w:rsidRDefault="00E82243"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lastRenderedPageBreak/>
        <w:t xml:space="preserve">Table </w:t>
      </w:r>
      <w:r w:rsidR="001C1832">
        <w:rPr>
          <w:rFonts w:ascii="Book Antiqua" w:hAnsi="Book Antiqua"/>
          <w:b/>
          <w:sz w:val="24"/>
          <w:szCs w:val="24"/>
        </w:rPr>
        <w:t>3</w:t>
      </w:r>
      <w:r w:rsidRPr="003610D2">
        <w:rPr>
          <w:rFonts w:ascii="Book Antiqua" w:hAnsi="Book Antiqua"/>
          <w:b/>
          <w:sz w:val="24"/>
          <w:szCs w:val="24"/>
        </w:rPr>
        <w:t xml:space="preserve"> M</w:t>
      </w:r>
      <w:r w:rsidR="004C7928" w:rsidRPr="004C7928">
        <w:rPr>
          <w:rFonts w:ascii="Book Antiqua" w:hAnsi="Book Antiqua"/>
          <w:b/>
          <w:bCs/>
          <w:color w:val="000000" w:themeColor="text1"/>
          <w:kern w:val="24"/>
          <w:sz w:val="24"/>
          <w:szCs w:val="24"/>
        </w:rPr>
        <w:t>agnetic resonance imaging</w:t>
      </w:r>
      <w:r w:rsidR="004C7928">
        <w:rPr>
          <w:rFonts w:ascii="Book Antiqua" w:hAnsi="Book Antiqua"/>
          <w:color w:val="000000" w:themeColor="text1"/>
          <w:kern w:val="24"/>
          <w:sz w:val="24"/>
          <w:szCs w:val="24"/>
        </w:rPr>
        <w:t xml:space="preserve"> </w:t>
      </w:r>
      <w:r w:rsidR="00AC05C8" w:rsidRPr="003610D2">
        <w:rPr>
          <w:rFonts w:ascii="Book Antiqua" w:hAnsi="Book Antiqua"/>
          <w:b/>
          <w:sz w:val="24"/>
          <w:szCs w:val="24"/>
        </w:rPr>
        <w:t>p</w:t>
      </w:r>
      <w:r w:rsidRPr="003610D2">
        <w:rPr>
          <w:rFonts w:ascii="Book Antiqua" w:hAnsi="Book Antiqua"/>
          <w:b/>
          <w:sz w:val="24"/>
          <w:szCs w:val="24"/>
        </w:rPr>
        <w:t xml:space="preserve">roton </w:t>
      </w:r>
      <w:r w:rsidR="00AC05C8" w:rsidRPr="003610D2">
        <w:rPr>
          <w:rFonts w:ascii="Book Antiqua" w:hAnsi="Book Antiqua"/>
          <w:b/>
          <w:sz w:val="24"/>
          <w:szCs w:val="24"/>
        </w:rPr>
        <w:t>d</w:t>
      </w:r>
      <w:r w:rsidR="002A4285" w:rsidRPr="003610D2">
        <w:rPr>
          <w:rFonts w:ascii="Book Antiqua" w:hAnsi="Book Antiqua"/>
          <w:b/>
          <w:sz w:val="24"/>
          <w:szCs w:val="24"/>
        </w:rPr>
        <w:t xml:space="preserve">ensity </w:t>
      </w:r>
      <w:r w:rsidR="00AC05C8" w:rsidRPr="003610D2">
        <w:rPr>
          <w:rFonts w:ascii="Book Antiqua" w:hAnsi="Book Antiqua"/>
          <w:b/>
          <w:sz w:val="24"/>
          <w:szCs w:val="24"/>
        </w:rPr>
        <w:t>f</w:t>
      </w:r>
      <w:r w:rsidR="002A4285" w:rsidRPr="003610D2">
        <w:rPr>
          <w:rFonts w:ascii="Book Antiqua" w:hAnsi="Book Antiqua"/>
          <w:b/>
          <w:sz w:val="24"/>
          <w:szCs w:val="24"/>
        </w:rPr>
        <w:t xml:space="preserve">at </w:t>
      </w:r>
      <w:r w:rsidR="00AC05C8" w:rsidRPr="003610D2">
        <w:rPr>
          <w:rFonts w:ascii="Book Antiqua" w:hAnsi="Book Antiqua"/>
          <w:b/>
          <w:sz w:val="24"/>
          <w:szCs w:val="24"/>
        </w:rPr>
        <w:t>f</w:t>
      </w:r>
      <w:r w:rsidR="002A4285" w:rsidRPr="003610D2">
        <w:rPr>
          <w:rFonts w:ascii="Book Antiqua" w:hAnsi="Book Antiqua"/>
          <w:b/>
          <w:sz w:val="24"/>
          <w:szCs w:val="24"/>
        </w:rPr>
        <w:t>raction and biochemistry for all subjects and stratified by m</w:t>
      </w:r>
      <w:r w:rsidRPr="003610D2">
        <w:rPr>
          <w:rFonts w:ascii="Book Antiqua" w:hAnsi="Book Antiqua"/>
          <w:b/>
          <w:sz w:val="24"/>
          <w:szCs w:val="24"/>
        </w:rPr>
        <w:t>odulator</w:t>
      </w:r>
      <w:r w:rsidR="0061603D" w:rsidRPr="003610D2">
        <w:rPr>
          <w:rFonts w:ascii="Book Antiqua" w:hAnsi="Book Antiqua"/>
          <w:b/>
          <w:sz w:val="24"/>
          <w:szCs w:val="24"/>
        </w:rPr>
        <w:t xml:space="preserve"> (lumacaftor/ivacaftor)</w:t>
      </w:r>
      <w:r w:rsidRPr="003610D2">
        <w:rPr>
          <w:rFonts w:ascii="Book Antiqua" w:hAnsi="Book Antiqua"/>
          <w:b/>
          <w:sz w:val="24"/>
          <w:szCs w:val="24"/>
        </w:rPr>
        <w:t xml:space="preserve"> </w:t>
      </w:r>
      <w:r w:rsidR="002A4285" w:rsidRPr="003610D2">
        <w:rPr>
          <w:rFonts w:ascii="Book Antiqua" w:hAnsi="Book Antiqua"/>
          <w:b/>
          <w:sz w:val="24"/>
          <w:szCs w:val="24"/>
        </w:rPr>
        <w:t>s</w:t>
      </w:r>
      <w:r w:rsidRPr="003610D2">
        <w:rPr>
          <w:rFonts w:ascii="Book Antiqua" w:hAnsi="Book Antiqua"/>
          <w:b/>
          <w:sz w:val="24"/>
          <w:szCs w:val="24"/>
        </w:rPr>
        <w:t>tatus</w:t>
      </w:r>
    </w:p>
    <w:tbl>
      <w:tblPr>
        <w:tblStyle w:val="ListTable1Light"/>
        <w:tblW w:w="9639" w:type="dxa"/>
        <w:tblLayout w:type="fixed"/>
        <w:tblLook w:val="04A0" w:firstRow="1" w:lastRow="0" w:firstColumn="1" w:lastColumn="0" w:noHBand="0" w:noVBand="1"/>
      </w:tblPr>
      <w:tblGrid>
        <w:gridCol w:w="1890"/>
        <w:gridCol w:w="1350"/>
        <w:gridCol w:w="1800"/>
        <w:gridCol w:w="1710"/>
        <w:gridCol w:w="1854"/>
        <w:gridCol w:w="1035"/>
      </w:tblGrid>
      <w:tr w:rsidR="00E82243" w:rsidRPr="003610D2" w14:paraId="39E6F1D1" w14:textId="77777777" w:rsidTr="00E84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tcBorders>
            <w:hideMark/>
          </w:tcPr>
          <w:p w14:paraId="184CCF87" w14:textId="77777777" w:rsidR="00E82243" w:rsidRPr="003610D2" w:rsidRDefault="00E82243" w:rsidP="00F61D5F">
            <w:pPr>
              <w:adjustRightInd w:val="0"/>
              <w:snapToGrid w:val="0"/>
              <w:spacing w:line="360" w:lineRule="auto"/>
              <w:jc w:val="both"/>
              <w:rPr>
                <w:rFonts w:ascii="Book Antiqua" w:eastAsia="Times New Roman" w:hAnsi="Book Antiqua" w:cs="Times New Roman"/>
                <w:sz w:val="24"/>
                <w:szCs w:val="24"/>
              </w:rPr>
            </w:pPr>
            <w:r w:rsidRPr="003610D2">
              <w:rPr>
                <w:rFonts w:ascii="Book Antiqua" w:eastAsia="Times New Roman" w:hAnsi="Book Antiqua" w:cs="Times New Roman"/>
                <w:sz w:val="24"/>
                <w:szCs w:val="24"/>
              </w:rPr>
              <w:t> </w:t>
            </w:r>
          </w:p>
        </w:tc>
        <w:tc>
          <w:tcPr>
            <w:tcW w:w="1350" w:type="dxa"/>
            <w:tcBorders>
              <w:top w:val="single" w:sz="4" w:space="0" w:color="auto"/>
            </w:tcBorders>
          </w:tcPr>
          <w:p w14:paraId="55C23EE4" w14:textId="5313C541" w:rsidR="00E82243" w:rsidRPr="003610D2" w:rsidRDefault="00971A8C"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Cs w:val="0"/>
                <w:sz w:val="24"/>
                <w:szCs w:val="24"/>
              </w:rPr>
            </w:pPr>
            <w:r w:rsidRPr="003610D2">
              <w:rPr>
                <w:rFonts w:ascii="Book Antiqua" w:eastAsia="Times New Roman" w:hAnsi="Book Antiqua" w:cs="Times New Roman"/>
                <w:sz w:val="24"/>
                <w:szCs w:val="24"/>
              </w:rPr>
              <w:t xml:space="preserve">Reference </w:t>
            </w:r>
            <w:r w:rsidR="004C7928">
              <w:rPr>
                <w:rFonts w:ascii="Book Antiqua" w:eastAsia="Times New Roman" w:hAnsi="Book Antiqua" w:cs="Times New Roman"/>
                <w:sz w:val="24"/>
                <w:szCs w:val="24"/>
              </w:rPr>
              <w:t>r</w:t>
            </w:r>
            <w:r w:rsidR="00E82243" w:rsidRPr="003610D2">
              <w:rPr>
                <w:rFonts w:ascii="Book Antiqua" w:eastAsia="Times New Roman" w:hAnsi="Book Antiqua" w:cs="Times New Roman"/>
                <w:sz w:val="24"/>
                <w:szCs w:val="24"/>
              </w:rPr>
              <w:t>ange</w:t>
            </w:r>
          </w:p>
        </w:tc>
        <w:tc>
          <w:tcPr>
            <w:tcW w:w="1800" w:type="dxa"/>
            <w:tcBorders>
              <w:top w:val="single" w:sz="4" w:space="0" w:color="auto"/>
            </w:tcBorders>
          </w:tcPr>
          <w:p w14:paraId="17F38A4C" w14:textId="0E73061D" w:rsidR="00E82243" w:rsidRPr="003610D2" w:rsidRDefault="00E82243"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rPr>
            </w:pPr>
            <w:r w:rsidRPr="003610D2">
              <w:rPr>
                <w:rFonts w:ascii="Book Antiqua" w:eastAsia="Times New Roman" w:hAnsi="Book Antiqua" w:cs="Times New Roman"/>
                <w:sz w:val="24"/>
                <w:szCs w:val="24"/>
              </w:rPr>
              <w:t xml:space="preserve">All </w:t>
            </w:r>
            <w:r w:rsidR="004C7928">
              <w:rPr>
                <w:rFonts w:ascii="Book Antiqua" w:eastAsia="Times New Roman" w:hAnsi="Book Antiqua" w:cs="Times New Roman"/>
                <w:sz w:val="24"/>
                <w:szCs w:val="24"/>
              </w:rPr>
              <w:t>s</w:t>
            </w:r>
            <w:r w:rsidRPr="003610D2">
              <w:rPr>
                <w:rFonts w:ascii="Book Antiqua" w:eastAsia="Times New Roman" w:hAnsi="Book Antiqua" w:cs="Times New Roman"/>
                <w:sz w:val="24"/>
                <w:szCs w:val="24"/>
              </w:rPr>
              <w:t>ubjects</w:t>
            </w:r>
          </w:p>
          <w:p w14:paraId="750D3470" w14:textId="66DFC75C" w:rsidR="00E82243"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rPr>
            </w:pPr>
            <w:r w:rsidRPr="004C7928">
              <w:rPr>
                <w:rFonts w:ascii="Book Antiqua" w:eastAsia="Times New Roman" w:hAnsi="Book Antiqua" w:cs="Times New Roman"/>
                <w:i/>
                <w:iCs/>
                <w:sz w:val="24"/>
                <w:szCs w:val="24"/>
              </w:rPr>
              <w:t>n</w:t>
            </w:r>
            <w:r w:rsidRPr="003610D2">
              <w:rPr>
                <w:rFonts w:ascii="Book Antiqua" w:eastAsia="Times New Roman" w:hAnsi="Book Antiqua" w:cs="Times New Roman"/>
                <w:sz w:val="24"/>
                <w:szCs w:val="24"/>
              </w:rPr>
              <w:t xml:space="preserve"> = </w:t>
            </w:r>
            <w:r w:rsidR="00E82243" w:rsidRPr="003610D2">
              <w:rPr>
                <w:rFonts w:ascii="Book Antiqua" w:eastAsia="Times New Roman" w:hAnsi="Book Antiqua" w:cs="Times New Roman"/>
                <w:sz w:val="24"/>
                <w:szCs w:val="24"/>
              </w:rPr>
              <w:t>20</w:t>
            </w:r>
          </w:p>
        </w:tc>
        <w:tc>
          <w:tcPr>
            <w:tcW w:w="1710" w:type="dxa"/>
            <w:tcBorders>
              <w:top w:val="single" w:sz="4" w:space="0" w:color="auto"/>
            </w:tcBorders>
            <w:hideMark/>
          </w:tcPr>
          <w:p w14:paraId="16A19AAF" w14:textId="388776F3" w:rsidR="00E82243" w:rsidRPr="003610D2" w:rsidRDefault="00E82243"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CFTR </w:t>
            </w:r>
            <w:r w:rsidR="004C7928">
              <w:rPr>
                <w:rFonts w:ascii="Book Antiqua" w:eastAsia="Times New Roman" w:hAnsi="Book Antiqua" w:cs="Times New Roman"/>
                <w:sz w:val="24"/>
                <w:szCs w:val="24"/>
              </w:rPr>
              <w:t>m</w:t>
            </w:r>
            <w:r w:rsidRPr="003610D2">
              <w:rPr>
                <w:rFonts w:ascii="Book Antiqua" w:eastAsia="Times New Roman" w:hAnsi="Book Antiqua" w:cs="Times New Roman"/>
                <w:sz w:val="24"/>
                <w:szCs w:val="24"/>
              </w:rPr>
              <w:t>odulator</w:t>
            </w:r>
          </w:p>
          <w:p w14:paraId="50B7F7ED" w14:textId="5FF58B15" w:rsidR="00E82243"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C7928">
              <w:rPr>
                <w:rFonts w:ascii="Book Antiqua" w:eastAsia="Times New Roman" w:hAnsi="Book Antiqua" w:cs="Times New Roman"/>
                <w:i/>
                <w:iCs/>
                <w:sz w:val="24"/>
                <w:szCs w:val="24"/>
              </w:rPr>
              <w:t>n</w:t>
            </w:r>
            <w:r w:rsidRPr="003610D2">
              <w:rPr>
                <w:rFonts w:ascii="Book Antiqua" w:eastAsia="Times New Roman" w:hAnsi="Book Antiqua" w:cs="Times New Roman"/>
                <w:sz w:val="24"/>
                <w:szCs w:val="24"/>
              </w:rPr>
              <w:t xml:space="preserve"> = </w:t>
            </w:r>
            <w:r w:rsidR="00E82243" w:rsidRPr="003610D2">
              <w:rPr>
                <w:rFonts w:ascii="Book Antiqua" w:eastAsia="Times New Roman" w:hAnsi="Book Antiqua" w:cs="Times New Roman"/>
                <w:sz w:val="24"/>
                <w:szCs w:val="24"/>
              </w:rPr>
              <w:t>9</w:t>
            </w:r>
          </w:p>
        </w:tc>
        <w:tc>
          <w:tcPr>
            <w:tcW w:w="1854" w:type="dxa"/>
            <w:tcBorders>
              <w:top w:val="single" w:sz="4" w:space="0" w:color="auto"/>
            </w:tcBorders>
            <w:hideMark/>
          </w:tcPr>
          <w:p w14:paraId="3CAF1C75" w14:textId="6C6028C4" w:rsidR="00E82243" w:rsidRPr="003610D2" w:rsidRDefault="00E82243"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No CFTR </w:t>
            </w:r>
            <w:r w:rsidR="004C7928">
              <w:rPr>
                <w:rFonts w:ascii="Book Antiqua" w:eastAsia="Times New Roman" w:hAnsi="Book Antiqua" w:cs="Times New Roman"/>
                <w:sz w:val="24"/>
                <w:szCs w:val="24"/>
              </w:rPr>
              <w:t>m</w:t>
            </w:r>
            <w:r w:rsidRPr="003610D2">
              <w:rPr>
                <w:rFonts w:ascii="Book Antiqua" w:eastAsia="Times New Roman" w:hAnsi="Book Antiqua" w:cs="Times New Roman"/>
                <w:sz w:val="24"/>
                <w:szCs w:val="24"/>
              </w:rPr>
              <w:t>odulator</w:t>
            </w:r>
          </w:p>
          <w:p w14:paraId="24E39AC8" w14:textId="27F487F1" w:rsidR="00E82243"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C7928">
              <w:rPr>
                <w:rFonts w:ascii="Book Antiqua" w:eastAsia="Times New Roman" w:hAnsi="Book Antiqua" w:cs="Times New Roman"/>
                <w:i/>
                <w:iCs/>
                <w:sz w:val="24"/>
                <w:szCs w:val="24"/>
              </w:rPr>
              <w:t xml:space="preserve">n </w:t>
            </w:r>
            <w:r w:rsidRPr="003610D2">
              <w:rPr>
                <w:rFonts w:ascii="Book Antiqua" w:eastAsia="Times New Roman" w:hAnsi="Book Antiqua" w:cs="Times New Roman"/>
                <w:sz w:val="24"/>
                <w:szCs w:val="24"/>
              </w:rPr>
              <w:t xml:space="preserve">= </w:t>
            </w:r>
            <w:r w:rsidR="00E82243" w:rsidRPr="003610D2">
              <w:rPr>
                <w:rFonts w:ascii="Book Antiqua" w:eastAsia="Times New Roman" w:hAnsi="Book Antiqua" w:cs="Times New Roman"/>
                <w:sz w:val="24"/>
                <w:szCs w:val="24"/>
              </w:rPr>
              <w:t>11</w:t>
            </w:r>
          </w:p>
        </w:tc>
        <w:tc>
          <w:tcPr>
            <w:tcW w:w="1035" w:type="dxa"/>
            <w:tcBorders>
              <w:top w:val="single" w:sz="4" w:space="0" w:color="auto"/>
            </w:tcBorders>
            <w:hideMark/>
          </w:tcPr>
          <w:p w14:paraId="4AB5C22C" w14:textId="63EEB4C5" w:rsidR="00E82243" w:rsidRPr="003610D2" w:rsidRDefault="004C7928"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C7928">
              <w:rPr>
                <w:rFonts w:ascii="Book Antiqua" w:eastAsia="Times New Roman" w:hAnsi="Book Antiqua" w:cs="Times New Roman"/>
                <w:i/>
                <w:iCs/>
                <w:sz w:val="24"/>
                <w:szCs w:val="24"/>
              </w:rPr>
              <w:t>P</w:t>
            </w:r>
            <w:r>
              <w:rPr>
                <w:rFonts w:ascii="Book Antiqua" w:eastAsia="Times New Roman" w:hAnsi="Book Antiqua" w:cs="Times New Roman"/>
                <w:sz w:val="24"/>
                <w:szCs w:val="24"/>
              </w:rPr>
              <w:t xml:space="preserve"> value</w:t>
            </w:r>
          </w:p>
        </w:tc>
      </w:tr>
      <w:tr w:rsidR="00E82243" w:rsidRPr="003610D2" w14:paraId="0CAE8416" w14:textId="77777777" w:rsidTr="00E84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CEEACA" w:themeFill="background1"/>
            <w:hideMark/>
          </w:tcPr>
          <w:p w14:paraId="6BD7C4FA"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PDFF (%)</w:t>
            </w:r>
          </w:p>
        </w:tc>
        <w:tc>
          <w:tcPr>
            <w:tcW w:w="1350" w:type="dxa"/>
            <w:shd w:val="clear" w:color="auto" w:fill="CEEACA" w:themeFill="background1"/>
          </w:tcPr>
          <w:p w14:paraId="4FAC93CB" w14:textId="5799E51F"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&lt;</w:t>
            </w:r>
            <w:r w:rsidR="004C7928">
              <w:rPr>
                <w:rFonts w:ascii="Book Antiqua" w:eastAsia="Times New Roman" w:hAnsi="Book Antiqua" w:cs="Times New Roman"/>
                <w:bCs/>
                <w:sz w:val="24"/>
                <w:szCs w:val="24"/>
              </w:rPr>
              <w:t xml:space="preserve"> </w:t>
            </w:r>
            <w:r w:rsidRPr="003610D2">
              <w:rPr>
                <w:rFonts w:ascii="Book Antiqua" w:eastAsia="Times New Roman" w:hAnsi="Book Antiqua" w:cs="Times New Roman"/>
                <w:bCs/>
                <w:sz w:val="24"/>
                <w:szCs w:val="24"/>
              </w:rPr>
              <w:t>5%</w:t>
            </w:r>
          </w:p>
        </w:tc>
        <w:tc>
          <w:tcPr>
            <w:tcW w:w="1800" w:type="dxa"/>
            <w:shd w:val="clear" w:color="auto" w:fill="CEEACA" w:themeFill="background1"/>
          </w:tcPr>
          <w:p w14:paraId="2AAEBF05"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3.0 (0.0-21.0)</w:t>
            </w:r>
          </w:p>
        </w:tc>
        <w:tc>
          <w:tcPr>
            <w:tcW w:w="1710" w:type="dxa"/>
            <w:shd w:val="clear" w:color="auto" w:fill="CEEACA" w:themeFill="background1"/>
          </w:tcPr>
          <w:p w14:paraId="0CE2E85A"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2.0 (0.0-6.4)</w:t>
            </w:r>
          </w:p>
        </w:tc>
        <w:tc>
          <w:tcPr>
            <w:tcW w:w="1854" w:type="dxa"/>
            <w:shd w:val="clear" w:color="auto" w:fill="CEEACA" w:themeFill="background1"/>
          </w:tcPr>
          <w:p w14:paraId="77F88DBF"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4.1 (2.7-21.0)</w:t>
            </w:r>
          </w:p>
        </w:tc>
        <w:tc>
          <w:tcPr>
            <w:tcW w:w="1035" w:type="dxa"/>
            <w:shd w:val="clear" w:color="auto" w:fill="CEEACA" w:themeFill="background1"/>
          </w:tcPr>
          <w:p w14:paraId="1562DC6A"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0.002</w:t>
            </w:r>
          </w:p>
        </w:tc>
      </w:tr>
      <w:tr w:rsidR="00E82243" w:rsidRPr="003610D2" w14:paraId="4E1484ED" w14:textId="77777777" w:rsidTr="00E84708">
        <w:tc>
          <w:tcPr>
            <w:cnfStyle w:val="001000000000" w:firstRow="0" w:lastRow="0" w:firstColumn="1" w:lastColumn="0" w:oddVBand="0" w:evenVBand="0" w:oddHBand="0" w:evenHBand="0" w:firstRowFirstColumn="0" w:firstRowLastColumn="0" w:lastRowFirstColumn="0" w:lastRowLastColumn="0"/>
            <w:tcW w:w="1890" w:type="dxa"/>
            <w:shd w:val="clear" w:color="auto" w:fill="CEEACA" w:themeFill="background1"/>
            <w:hideMark/>
          </w:tcPr>
          <w:p w14:paraId="1E0DEE9A"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HbA1C (%)</w:t>
            </w:r>
          </w:p>
        </w:tc>
        <w:tc>
          <w:tcPr>
            <w:tcW w:w="1350" w:type="dxa"/>
            <w:shd w:val="clear" w:color="auto" w:fill="CEEACA" w:themeFill="background1"/>
          </w:tcPr>
          <w:p w14:paraId="17873CAD" w14:textId="72275DE5"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&lt;</w:t>
            </w:r>
            <w:r w:rsidR="004C7928">
              <w:rPr>
                <w:rFonts w:ascii="Book Antiqua" w:eastAsia="Times New Roman" w:hAnsi="Book Antiqua" w:cs="Times New Roman"/>
                <w:sz w:val="24"/>
                <w:szCs w:val="24"/>
              </w:rPr>
              <w:t xml:space="preserve"> </w:t>
            </w:r>
            <w:r w:rsidRPr="003610D2">
              <w:rPr>
                <w:rFonts w:ascii="Book Antiqua" w:eastAsia="Times New Roman" w:hAnsi="Book Antiqua" w:cs="Times New Roman"/>
                <w:sz w:val="24"/>
                <w:szCs w:val="24"/>
              </w:rPr>
              <w:t>5.8%</w:t>
            </w:r>
          </w:p>
        </w:tc>
        <w:tc>
          <w:tcPr>
            <w:tcW w:w="1800" w:type="dxa"/>
            <w:shd w:val="clear" w:color="auto" w:fill="CEEACA" w:themeFill="background1"/>
          </w:tcPr>
          <w:p w14:paraId="3A2F6B33"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5.8 (5.2-8.2)</w:t>
            </w:r>
          </w:p>
        </w:tc>
        <w:tc>
          <w:tcPr>
            <w:tcW w:w="1710" w:type="dxa"/>
            <w:shd w:val="clear" w:color="auto" w:fill="CEEACA" w:themeFill="background1"/>
          </w:tcPr>
          <w:p w14:paraId="48305FC4"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6.3 (5.3-8.2)</w:t>
            </w:r>
          </w:p>
        </w:tc>
        <w:tc>
          <w:tcPr>
            <w:tcW w:w="1854" w:type="dxa"/>
            <w:shd w:val="clear" w:color="auto" w:fill="CEEACA" w:themeFill="background1"/>
          </w:tcPr>
          <w:p w14:paraId="02D6ACB0"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5.7 (5.2-7.4)</w:t>
            </w:r>
          </w:p>
        </w:tc>
        <w:tc>
          <w:tcPr>
            <w:tcW w:w="1035" w:type="dxa"/>
            <w:shd w:val="clear" w:color="auto" w:fill="CEEACA" w:themeFill="background1"/>
          </w:tcPr>
          <w:p w14:paraId="00AB7E2F"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0.21</w:t>
            </w:r>
          </w:p>
        </w:tc>
      </w:tr>
      <w:tr w:rsidR="00E82243" w:rsidRPr="003610D2" w14:paraId="18D4EAC5" w14:textId="77777777" w:rsidTr="00E84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CEEACA" w:themeFill="background1"/>
            <w:hideMark/>
          </w:tcPr>
          <w:p w14:paraId="043C5D40"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proofErr w:type="spellStart"/>
            <w:r w:rsidRPr="004C7928">
              <w:rPr>
                <w:rFonts w:ascii="Book Antiqua" w:eastAsia="Times New Roman" w:hAnsi="Book Antiqua" w:cs="Times New Roman"/>
                <w:b w:val="0"/>
                <w:bCs w:val="0"/>
                <w:sz w:val="24"/>
                <w:szCs w:val="24"/>
              </w:rPr>
              <w:t>Alk</w:t>
            </w:r>
            <w:proofErr w:type="spellEnd"/>
            <w:r w:rsidRPr="004C7928">
              <w:rPr>
                <w:rFonts w:ascii="Book Antiqua" w:eastAsia="Times New Roman" w:hAnsi="Book Antiqua" w:cs="Times New Roman"/>
                <w:b w:val="0"/>
                <w:bCs w:val="0"/>
                <w:sz w:val="24"/>
                <w:szCs w:val="24"/>
              </w:rPr>
              <w:t xml:space="preserve"> </w:t>
            </w:r>
            <w:proofErr w:type="spellStart"/>
            <w:r w:rsidRPr="004C7928">
              <w:rPr>
                <w:rFonts w:ascii="Book Antiqua" w:eastAsia="Times New Roman" w:hAnsi="Book Antiqua" w:cs="Times New Roman"/>
                <w:b w:val="0"/>
                <w:bCs w:val="0"/>
                <w:sz w:val="24"/>
                <w:szCs w:val="24"/>
              </w:rPr>
              <w:t>Phos</w:t>
            </w:r>
            <w:proofErr w:type="spellEnd"/>
            <w:r w:rsidRPr="004C7928">
              <w:rPr>
                <w:rFonts w:ascii="Book Antiqua" w:eastAsia="Times New Roman" w:hAnsi="Book Antiqua" w:cs="Times New Roman"/>
                <w:b w:val="0"/>
                <w:bCs w:val="0"/>
                <w:sz w:val="24"/>
                <w:szCs w:val="24"/>
              </w:rPr>
              <w:t xml:space="preserve"> (U/L)</w:t>
            </w:r>
          </w:p>
        </w:tc>
        <w:tc>
          <w:tcPr>
            <w:tcW w:w="1350" w:type="dxa"/>
            <w:shd w:val="clear" w:color="auto" w:fill="CEEACA" w:themeFill="background1"/>
          </w:tcPr>
          <w:p w14:paraId="1AD208DD" w14:textId="4D30E454" w:rsidR="00E82243" w:rsidRPr="004C7928" w:rsidRDefault="004C7928"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vertAlign w:val="superscript"/>
              </w:rPr>
            </w:pPr>
            <w:r>
              <w:rPr>
                <w:rFonts w:ascii="Book Antiqua" w:eastAsia="Times New Roman" w:hAnsi="Book Antiqua" w:cs="Times New Roman"/>
                <w:sz w:val="24"/>
                <w:szCs w:val="24"/>
                <w:vertAlign w:val="superscript"/>
              </w:rPr>
              <w:t>1</w:t>
            </w:r>
          </w:p>
        </w:tc>
        <w:tc>
          <w:tcPr>
            <w:tcW w:w="1800" w:type="dxa"/>
            <w:shd w:val="clear" w:color="auto" w:fill="CEEACA" w:themeFill="background1"/>
          </w:tcPr>
          <w:p w14:paraId="06AACB00"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110 (44-310)</w:t>
            </w:r>
          </w:p>
        </w:tc>
        <w:tc>
          <w:tcPr>
            <w:tcW w:w="1710" w:type="dxa"/>
            <w:shd w:val="clear" w:color="auto" w:fill="CEEACA" w:themeFill="background1"/>
          </w:tcPr>
          <w:p w14:paraId="613A61C4"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66 (44-178)</w:t>
            </w:r>
          </w:p>
        </w:tc>
        <w:tc>
          <w:tcPr>
            <w:tcW w:w="1854" w:type="dxa"/>
            <w:shd w:val="clear" w:color="auto" w:fill="CEEACA" w:themeFill="background1"/>
          </w:tcPr>
          <w:p w14:paraId="17C580D6"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155 (103-310)</w:t>
            </w:r>
          </w:p>
        </w:tc>
        <w:tc>
          <w:tcPr>
            <w:tcW w:w="1035" w:type="dxa"/>
            <w:shd w:val="clear" w:color="auto" w:fill="CEEACA" w:themeFill="background1"/>
          </w:tcPr>
          <w:p w14:paraId="0EEC430C"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0.01</w:t>
            </w:r>
          </w:p>
        </w:tc>
      </w:tr>
      <w:tr w:rsidR="00E82243" w:rsidRPr="003610D2" w14:paraId="40FB8482" w14:textId="77777777" w:rsidTr="00E84708">
        <w:tc>
          <w:tcPr>
            <w:cnfStyle w:val="001000000000" w:firstRow="0" w:lastRow="0" w:firstColumn="1" w:lastColumn="0" w:oddVBand="0" w:evenVBand="0" w:oddHBand="0" w:evenHBand="0" w:firstRowFirstColumn="0" w:firstRowLastColumn="0" w:lastRowFirstColumn="0" w:lastRowLastColumn="0"/>
            <w:tcW w:w="1890" w:type="dxa"/>
            <w:shd w:val="clear" w:color="auto" w:fill="CEEACA" w:themeFill="background1"/>
            <w:hideMark/>
          </w:tcPr>
          <w:p w14:paraId="3B3F3F04"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proofErr w:type="spellStart"/>
            <w:r w:rsidRPr="004C7928">
              <w:rPr>
                <w:rFonts w:ascii="Book Antiqua" w:eastAsia="Times New Roman" w:hAnsi="Book Antiqua" w:cs="Times New Roman"/>
                <w:b w:val="0"/>
                <w:bCs w:val="0"/>
                <w:sz w:val="24"/>
                <w:szCs w:val="24"/>
              </w:rPr>
              <w:t>Alk</w:t>
            </w:r>
            <w:proofErr w:type="spellEnd"/>
            <w:r w:rsidRPr="004C7928">
              <w:rPr>
                <w:rFonts w:ascii="Book Antiqua" w:eastAsia="Times New Roman" w:hAnsi="Book Antiqua" w:cs="Times New Roman"/>
                <w:b w:val="0"/>
                <w:bCs w:val="0"/>
                <w:sz w:val="24"/>
                <w:szCs w:val="24"/>
              </w:rPr>
              <w:t xml:space="preserve"> </w:t>
            </w:r>
            <w:proofErr w:type="spellStart"/>
            <w:r w:rsidRPr="004C7928">
              <w:rPr>
                <w:rFonts w:ascii="Book Antiqua" w:eastAsia="Times New Roman" w:hAnsi="Book Antiqua" w:cs="Times New Roman"/>
                <w:b w:val="0"/>
                <w:bCs w:val="0"/>
                <w:sz w:val="24"/>
                <w:szCs w:val="24"/>
              </w:rPr>
              <w:t>Phos</w:t>
            </w:r>
            <w:proofErr w:type="spellEnd"/>
            <w:r w:rsidRPr="004C7928">
              <w:rPr>
                <w:rFonts w:ascii="Book Antiqua" w:eastAsia="Times New Roman" w:hAnsi="Book Antiqua" w:cs="Times New Roman"/>
                <w:b w:val="0"/>
                <w:bCs w:val="0"/>
                <w:sz w:val="24"/>
                <w:szCs w:val="24"/>
              </w:rPr>
              <w:t xml:space="preserve"> (SD)</w:t>
            </w:r>
          </w:p>
        </w:tc>
        <w:tc>
          <w:tcPr>
            <w:tcW w:w="1350" w:type="dxa"/>
            <w:shd w:val="clear" w:color="auto" w:fill="CEEACA" w:themeFill="background1"/>
          </w:tcPr>
          <w:p w14:paraId="04613FD1"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-2.0-2.0</w:t>
            </w:r>
          </w:p>
        </w:tc>
        <w:tc>
          <w:tcPr>
            <w:tcW w:w="1800" w:type="dxa"/>
            <w:shd w:val="clear" w:color="auto" w:fill="CEEACA" w:themeFill="background1"/>
          </w:tcPr>
          <w:p w14:paraId="21D9F3B8"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1.2 (-1.5-4.8)</w:t>
            </w:r>
          </w:p>
        </w:tc>
        <w:tc>
          <w:tcPr>
            <w:tcW w:w="1710" w:type="dxa"/>
            <w:shd w:val="clear" w:color="auto" w:fill="CEEACA" w:themeFill="background1"/>
          </w:tcPr>
          <w:p w14:paraId="41679590"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-0.3 (-1.5-4.7)</w:t>
            </w:r>
          </w:p>
        </w:tc>
        <w:tc>
          <w:tcPr>
            <w:tcW w:w="1854" w:type="dxa"/>
            <w:shd w:val="clear" w:color="auto" w:fill="CEEACA" w:themeFill="background1"/>
          </w:tcPr>
          <w:p w14:paraId="3DE1863C"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1.8 (-0.6-4.8)</w:t>
            </w:r>
          </w:p>
        </w:tc>
        <w:tc>
          <w:tcPr>
            <w:tcW w:w="1035" w:type="dxa"/>
            <w:shd w:val="clear" w:color="auto" w:fill="CEEACA" w:themeFill="background1"/>
          </w:tcPr>
          <w:p w14:paraId="0FE78C3C"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0.07</w:t>
            </w:r>
          </w:p>
        </w:tc>
      </w:tr>
      <w:tr w:rsidR="00E82243" w:rsidRPr="003610D2" w14:paraId="5D4DA66C" w14:textId="77777777" w:rsidTr="00E84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CEEACA" w:themeFill="background1"/>
            <w:hideMark/>
          </w:tcPr>
          <w:p w14:paraId="0C17373C" w14:textId="681D62E8" w:rsidR="00E82243" w:rsidRPr="004C7928" w:rsidRDefault="0061603D" w:rsidP="00F61D5F">
            <w:pPr>
              <w:adjustRightInd w:val="0"/>
              <w:snapToGrid w:val="0"/>
              <w:spacing w:line="360" w:lineRule="auto"/>
              <w:jc w:val="both"/>
              <w:rPr>
                <w:rFonts w:ascii="Book Antiqua" w:eastAsia="Times New Roman" w:hAnsi="Book Antiqua" w:cs="Times New Roman"/>
                <w:b w:val="0"/>
                <w:bCs w:val="0"/>
                <w:sz w:val="24"/>
                <w:szCs w:val="24"/>
                <w:vertAlign w:val="superscript"/>
              </w:rPr>
            </w:pPr>
            <w:r w:rsidRPr="004C7928">
              <w:rPr>
                <w:rFonts w:ascii="Book Antiqua" w:eastAsia="Times New Roman" w:hAnsi="Book Antiqua" w:cs="Times New Roman"/>
                <w:b w:val="0"/>
                <w:bCs w:val="0"/>
                <w:sz w:val="24"/>
                <w:szCs w:val="24"/>
              </w:rPr>
              <w:t xml:space="preserve">Total bilirubin </w:t>
            </w:r>
            <w:r w:rsidR="00E82243" w:rsidRPr="004C7928">
              <w:rPr>
                <w:rFonts w:ascii="Book Antiqua" w:eastAsia="Times New Roman" w:hAnsi="Book Antiqua" w:cs="Times New Roman"/>
                <w:b w:val="0"/>
                <w:bCs w:val="0"/>
                <w:sz w:val="24"/>
                <w:szCs w:val="24"/>
              </w:rPr>
              <w:t>(µmol/L)</w:t>
            </w:r>
            <w:r w:rsidR="004C7928">
              <w:rPr>
                <w:rFonts w:ascii="Book Antiqua" w:eastAsia="Times New Roman" w:hAnsi="Book Antiqua" w:cs="Times New Roman"/>
                <w:b w:val="0"/>
                <w:bCs w:val="0"/>
                <w:sz w:val="24"/>
                <w:szCs w:val="24"/>
                <w:vertAlign w:val="superscript"/>
              </w:rPr>
              <w:t>2</w:t>
            </w:r>
          </w:p>
        </w:tc>
        <w:tc>
          <w:tcPr>
            <w:tcW w:w="1350" w:type="dxa"/>
            <w:shd w:val="clear" w:color="auto" w:fill="CEEACA" w:themeFill="background1"/>
          </w:tcPr>
          <w:p w14:paraId="71AEC1A0"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0-20.5</w:t>
            </w:r>
          </w:p>
        </w:tc>
        <w:tc>
          <w:tcPr>
            <w:tcW w:w="1800" w:type="dxa"/>
            <w:shd w:val="clear" w:color="auto" w:fill="CEEACA" w:themeFill="background1"/>
          </w:tcPr>
          <w:p w14:paraId="5847063E"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6.8 (3.4-20.5)</w:t>
            </w:r>
          </w:p>
        </w:tc>
        <w:tc>
          <w:tcPr>
            <w:tcW w:w="1710" w:type="dxa"/>
            <w:shd w:val="clear" w:color="auto" w:fill="CEEACA" w:themeFill="background1"/>
          </w:tcPr>
          <w:p w14:paraId="37C760C0"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5.1 (3.4-6.8)</w:t>
            </w:r>
          </w:p>
        </w:tc>
        <w:tc>
          <w:tcPr>
            <w:tcW w:w="1854" w:type="dxa"/>
            <w:shd w:val="clear" w:color="auto" w:fill="CEEACA" w:themeFill="background1"/>
          </w:tcPr>
          <w:p w14:paraId="76D772A0"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8.6 (3.4-20.5)</w:t>
            </w:r>
          </w:p>
        </w:tc>
        <w:tc>
          <w:tcPr>
            <w:tcW w:w="1035" w:type="dxa"/>
            <w:shd w:val="clear" w:color="auto" w:fill="CEEACA" w:themeFill="background1"/>
          </w:tcPr>
          <w:p w14:paraId="42554BE7"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0.003</w:t>
            </w:r>
          </w:p>
        </w:tc>
      </w:tr>
      <w:tr w:rsidR="00E82243" w:rsidRPr="003610D2" w14:paraId="045CC816" w14:textId="77777777" w:rsidTr="00E84708">
        <w:tc>
          <w:tcPr>
            <w:cnfStyle w:val="001000000000" w:firstRow="0" w:lastRow="0" w:firstColumn="1" w:lastColumn="0" w:oddVBand="0" w:evenVBand="0" w:oddHBand="0" w:evenHBand="0" w:firstRowFirstColumn="0" w:firstRowLastColumn="0" w:lastRowFirstColumn="0" w:lastRowLastColumn="0"/>
            <w:tcW w:w="1890" w:type="dxa"/>
            <w:shd w:val="clear" w:color="auto" w:fill="CEEACA" w:themeFill="background1"/>
            <w:hideMark/>
          </w:tcPr>
          <w:p w14:paraId="06F65E58"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AST (U/L)</w:t>
            </w:r>
          </w:p>
        </w:tc>
        <w:tc>
          <w:tcPr>
            <w:tcW w:w="1350" w:type="dxa"/>
            <w:shd w:val="clear" w:color="auto" w:fill="CEEACA" w:themeFill="background1"/>
          </w:tcPr>
          <w:p w14:paraId="348E1908"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9-39</w:t>
            </w:r>
          </w:p>
        </w:tc>
        <w:tc>
          <w:tcPr>
            <w:tcW w:w="1800" w:type="dxa"/>
            <w:shd w:val="clear" w:color="auto" w:fill="CEEACA" w:themeFill="background1"/>
          </w:tcPr>
          <w:p w14:paraId="4A631130"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23 (11-45)</w:t>
            </w:r>
          </w:p>
        </w:tc>
        <w:tc>
          <w:tcPr>
            <w:tcW w:w="1710" w:type="dxa"/>
            <w:shd w:val="clear" w:color="auto" w:fill="CEEACA" w:themeFill="background1"/>
          </w:tcPr>
          <w:p w14:paraId="55972AA3"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20 (11-42)</w:t>
            </w:r>
          </w:p>
        </w:tc>
        <w:tc>
          <w:tcPr>
            <w:tcW w:w="1854" w:type="dxa"/>
            <w:shd w:val="clear" w:color="auto" w:fill="CEEACA" w:themeFill="background1"/>
          </w:tcPr>
          <w:p w14:paraId="234BA501"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27 (11-45)</w:t>
            </w:r>
          </w:p>
        </w:tc>
        <w:tc>
          <w:tcPr>
            <w:tcW w:w="1035" w:type="dxa"/>
            <w:shd w:val="clear" w:color="auto" w:fill="CEEACA" w:themeFill="background1"/>
          </w:tcPr>
          <w:p w14:paraId="2805DF85"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0.39</w:t>
            </w:r>
          </w:p>
        </w:tc>
      </w:tr>
      <w:tr w:rsidR="00E82243" w:rsidRPr="003610D2" w14:paraId="5207CE0B" w14:textId="77777777" w:rsidTr="00E84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CEEACA" w:themeFill="background1"/>
            <w:hideMark/>
          </w:tcPr>
          <w:p w14:paraId="7674B481"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ALT (U/L)</w:t>
            </w:r>
          </w:p>
        </w:tc>
        <w:tc>
          <w:tcPr>
            <w:tcW w:w="1350" w:type="dxa"/>
            <w:shd w:val="clear" w:color="auto" w:fill="CEEACA" w:themeFill="background1"/>
          </w:tcPr>
          <w:p w14:paraId="763DA1C3"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10-52</w:t>
            </w:r>
          </w:p>
        </w:tc>
        <w:tc>
          <w:tcPr>
            <w:tcW w:w="1800" w:type="dxa"/>
            <w:shd w:val="clear" w:color="auto" w:fill="CEEACA" w:themeFill="background1"/>
          </w:tcPr>
          <w:p w14:paraId="35739B12"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22 (10-58)</w:t>
            </w:r>
          </w:p>
        </w:tc>
        <w:tc>
          <w:tcPr>
            <w:tcW w:w="1710" w:type="dxa"/>
            <w:shd w:val="clear" w:color="auto" w:fill="CEEACA" w:themeFill="background1"/>
          </w:tcPr>
          <w:p w14:paraId="2F10C44D"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18 (10-45)</w:t>
            </w:r>
          </w:p>
        </w:tc>
        <w:tc>
          <w:tcPr>
            <w:tcW w:w="1854" w:type="dxa"/>
            <w:shd w:val="clear" w:color="auto" w:fill="CEEACA" w:themeFill="background1"/>
          </w:tcPr>
          <w:p w14:paraId="314791BE"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29 (12-58)</w:t>
            </w:r>
          </w:p>
        </w:tc>
        <w:tc>
          <w:tcPr>
            <w:tcW w:w="1035" w:type="dxa"/>
            <w:shd w:val="clear" w:color="auto" w:fill="CEEACA" w:themeFill="background1"/>
          </w:tcPr>
          <w:p w14:paraId="21AF02B6"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0.19</w:t>
            </w:r>
          </w:p>
        </w:tc>
      </w:tr>
      <w:tr w:rsidR="00E82243" w:rsidRPr="003610D2" w14:paraId="1CE79303" w14:textId="77777777" w:rsidTr="00E84708">
        <w:tc>
          <w:tcPr>
            <w:cnfStyle w:val="001000000000" w:firstRow="0" w:lastRow="0" w:firstColumn="1" w:lastColumn="0" w:oddVBand="0" w:evenVBand="0" w:oddHBand="0" w:evenHBand="0" w:firstRowFirstColumn="0" w:firstRowLastColumn="0" w:lastRowFirstColumn="0" w:lastRowLastColumn="0"/>
            <w:tcW w:w="1890" w:type="dxa"/>
            <w:shd w:val="clear" w:color="auto" w:fill="CEEACA" w:themeFill="background1"/>
          </w:tcPr>
          <w:p w14:paraId="1078523E" w14:textId="2EE22490"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bookmarkStart w:id="269" w:name="OLE_LINK691"/>
            <w:bookmarkStart w:id="270" w:name="OLE_LINK692"/>
            <w:r w:rsidRPr="004C7928">
              <w:rPr>
                <w:rFonts w:ascii="Book Antiqua" w:eastAsia="Times New Roman" w:hAnsi="Book Antiqua" w:cs="Times New Roman"/>
                <w:b w:val="0"/>
                <w:bCs w:val="0"/>
                <w:sz w:val="24"/>
                <w:szCs w:val="24"/>
              </w:rPr>
              <w:t>GGT</w:t>
            </w:r>
            <w:bookmarkEnd w:id="269"/>
            <w:bookmarkEnd w:id="270"/>
            <w:r w:rsidRPr="004C7928">
              <w:rPr>
                <w:rFonts w:ascii="Book Antiqua" w:eastAsia="Times New Roman" w:hAnsi="Book Antiqua" w:cs="Times New Roman"/>
                <w:b w:val="0"/>
                <w:bCs w:val="0"/>
                <w:sz w:val="24"/>
                <w:szCs w:val="24"/>
              </w:rPr>
              <w:t xml:space="preserve"> (U/L)</w:t>
            </w:r>
          </w:p>
        </w:tc>
        <w:tc>
          <w:tcPr>
            <w:tcW w:w="1350" w:type="dxa"/>
            <w:shd w:val="clear" w:color="auto" w:fill="CEEACA" w:themeFill="background1"/>
          </w:tcPr>
          <w:p w14:paraId="72F7CA9E"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5-64</w:t>
            </w:r>
          </w:p>
        </w:tc>
        <w:tc>
          <w:tcPr>
            <w:tcW w:w="1800" w:type="dxa"/>
            <w:shd w:val="clear" w:color="auto" w:fill="CEEACA" w:themeFill="background1"/>
          </w:tcPr>
          <w:p w14:paraId="27251526"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14 (9-29)</w:t>
            </w:r>
          </w:p>
        </w:tc>
        <w:tc>
          <w:tcPr>
            <w:tcW w:w="1710" w:type="dxa"/>
            <w:shd w:val="clear" w:color="auto" w:fill="CEEACA" w:themeFill="background1"/>
          </w:tcPr>
          <w:p w14:paraId="54A90F1F"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12 (9-24)</w:t>
            </w:r>
          </w:p>
        </w:tc>
        <w:tc>
          <w:tcPr>
            <w:tcW w:w="1854" w:type="dxa"/>
            <w:shd w:val="clear" w:color="auto" w:fill="CEEACA" w:themeFill="background1"/>
          </w:tcPr>
          <w:p w14:paraId="74B5FA91"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19 (10-29)</w:t>
            </w:r>
          </w:p>
        </w:tc>
        <w:tc>
          <w:tcPr>
            <w:tcW w:w="1035" w:type="dxa"/>
            <w:shd w:val="clear" w:color="auto" w:fill="CEEACA" w:themeFill="background1"/>
          </w:tcPr>
          <w:p w14:paraId="045A7282"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0.07</w:t>
            </w:r>
          </w:p>
        </w:tc>
      </w:tr>
      <w:tr w:rsidR="00E82243" w:rsidRPr="003610D2" w14:paraId="1D08C163" w14:textId="77777777" w:rsidTr="00E84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shd w:val="clear" w:color="auto" w:fill="CEEACA" w:themeFill="background1"/>
            <w:hideMark/>
          </w:tcPr>
          <w:p w14:paraId="7AFF8CE3" w14:textId="663D4774"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vertAlign w:val="superscript"/>
              </w:rPr>
            </w:pPr>
            <w:r w:rsidRPr="004C7928">
              <w:rPr>
                <w:rFonts w:ascii="Book Antiqua" w:eastAsia="Times New Roman" w:hAnsi="Book Antiqua" w:cs="Times New Roman"/>
                <w:b w:val="0"/>
                <w:bCs w:val="0"/>
                <w:sz w:val="24"/>
                <w:szCs w:val="24"/>
              </w:rPr>
              <w:t>Triglyceride (mmol/L)</w:t>
            </w:r>
            <w:r w:rsidR="004C7928">
              <w:rPr>
                <w:rFonts w:ascii="Book Antiqua" w:eastAsia="Times New Roman" w:hAnsi="Book Antiqua" w:cs="Times New Roman"/>
                <w:b w:val="0"/>
                <w:bCs w:val="0"/>
                <w:sz w:val="24"/>
                <w:szCs w:val="24"/>
                <w:vertAlign w:val="superscript"/>
              </w:rPr>
              <w:t>3</w:t>
            </w:r>
          </w:p>
        </w:tc>
        <w:tc>
          <w:tcPr>
            <w:tcW w:w="1350" w:type="dxa"/>
            <w:tcBorders>
              <w:bottom w:val="single" w:sz="4" w:space="0" w:color="auto"/>
            </w:tcBorders>
            <w:shd w:val="clear" w:color="auto" w:fill="CEEACA" w:themeFill="background1"/>
          </w:tcPr>
          <w:p w14:paraId="38CCE683" w14:textId="1C368209"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&lt;</w:t>
            </w:r>
            <w:r w:rsidR="004C7928">
              <w:rPr>
                <w:rFonts w:ascii="Book Antiqua" w:eastAsia="Times New Roman" w:hAnsi="Book Antiqua" w:cs="Times New Roman"/>
                <w:sz w:val="24"/>
                <w:szCs w:val="24"/>
              </w:rPr>
              <w:t xml:space="preserve"> </w:t>
            </w:r>
            <w:r w:rsidRPr="003610D2">
              <w:rPr>
                <w:rFonts w:ascii="Book Antiqua" w:eastAsia="Times New Roman" w:hAnsi="Book Antiqua" w:cs="Times New Roman"/>
                <w:sz w:val="24"/>
                <w:szCs w:val="24"/>
              </w:rPr>
              <w:t>1.7</w:t>
            </w:r>
          </w:p>
        </w:tc>
        <w:tc>
          <w:tcPr>
            <w:tcW w:w="1800" w:type="dxa"/>
            <w:tcBorders>
              <w:bottom w:val="single" w:sz="4" w:space="0" w:color="auto"/>
            </w:tcBorders>
            <w:shd w:val="clear" w:color="auto" w:fill="CEEACA" w:themeFill="background1"/>
          </w:tcPr>
          <w:p w14:paraId="27B407C8"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1.02 (0.36-2.55)</w:t>
            </w:r>
          </w:p>
        </w:tc>
        <w:tc>
          <w:tcPr>
            <w:tcW w:w="1710" w:type="dxa"/>
            <w:tcBorders>
              <w:bottom w:val="single" w:sz="4" w:space="0" w:color="auto"/>
            </w:tcBorders>
            <w:shd w:val="clear" w:color="auto" w:fill="CEEACA" w:themeFill="background1"/>
          </w:tcPr>
          <w:p w14:paraId="409B557A"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0.9 (0.64-2.55)</w:t>
            </w:r>
          </w:p>
        </w:tc>
        <w:tc>
          <w:tcPr>
            <w:tcW w:w="1854" w:type="dxa"/>
            <w:tcBorders>
              <w:bottom w:val="single" w:sz="4" w:space="0" w:color="auto"/>
            </w:tcBorders>
            <w:shd w:val="clear" w:color="auto" w:fill="CEEACA" w:themeFill="background1"/>
          </w:tcPr>
          <w:p w14:paraId="222B10A6"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1.25 (0.36-2.35)</w:t>
            </w:r>
          </w:p>
        </w:tc>
        <w:tc>
          <w:tcPr>
            <w:tcW w:w="1035" w:type="dxa"/>
            <w:tcBorders>
              <w:bottom w:val="single" w:sz="4" w:space="0" w:color="auto"/>
            </w:tcBorders>
            <w:shd w:val="clear" w:color="auto" w:fill="CEEACA" w:themeFill="background1"/>
          </w:tcPr>
          <w:p w14:paraId="692A7649"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0.79</w:t>
            </w:r>
          </w:p>
        </w:tc>
      </w:tr>
    </w:tbl>
    <w:p w14:paraId="17EB9E7A" w14:textId="68F9727C" w:rsidR="0061603D" w:rsidRPr="003610D2" w:rsidRDefault="004C7928" w:rsidP="00F61D5F">
      <w:pPr>
        <w:pStyle w:val="NormalWeb"/>
        <w:adjustRightInd w:val="0"/>
        <w:snapToGrid w:val="0"/>
        <w:spacing w:before="0" w:beforeAutospacing="0" w:after="0" w:afterAutospacing="0" w:line="360" w:lineRule="auto"/>
        <w:jc w:val="both"/>
        <w:rPr>
          <w:rFonts w:ascii="Book Antiqua" w:hAnsi="Book Antiqua" w:cstheme="minorBidi"/>
          <w:color w:val="000000" w:themeColor="text1"/>
          <w:kern w:val="24"/>
        </w:rPr>
      </w:pPr>
      <w:r>
        <w:rPr>
          <w:rFonts w:ascii="Book Antiqua" w:hAnsi="Book Antiqua" w:cstheme="minorBidi"/>
          <w:color w:val="000000" w:themeColor="text1"/>
          <w:kern w:val="24"/>
          <w:vertAlign w:val="superscript"/>
        </w:rPr>
        <w:t>1</w:t>
      </w:r>
      <w:r>
        <w:rPr>
          <w:rFonts w:ascii="Book Antiqua" w:hAnsi="Book Antiqua" w:cstheme="minorBidi"/>
          <w:color w:val="000000" w:themeColor="text1"/>
          <w:kern w:val="24"/>
        </w:rPr>
        <w:t>R</w:t>
      </w:r>
      <w:r w:rsidRPr="003610D2">
        <w:rPr>
          <w:rFonts w:ascii="Book Antiqua" w:hAnsi="Book Antiqua" w:cstheme="minorBidi"/>
          <w:color w:val="000000" w:themeColor="text1"/>
          <w:kern w:val="24"/>
        </w:rPr>
        <w:t>eference range is age dependent</w:t>
      </w:r>
      <w:r w:rsidR="00E84708">
        <w:rPr>
          <w:rFonts w:ascii="Book Antiqua" w:hAnsi="Book Antiqua" w:cstheme="minorBidi"/>
          <w:color w:val="000000" w:themeColor="text1"/>
          <w:kern w:val="24"/>
        </w:rPr>
        <w:t>;</w:t>
      </w:r>
      <w:r>
        <w:rPr>
          <w:rFonts w:ascii="Book Antiqua" w:hAnsi="Book Antiqua" w:cstheme="minorBidi"/>
          <w:color w:val="000000" w:themeColor="text1"/>
          <w:kern w:val="24"/>
        </w:rPr>
        <w:t xml:space="preserve"> </w:t>
      </w:r>
      <w:r>
        <w:rPr>
          <w:rFonts w:ascii="Book Antiqua" w:hAnsi="Book Antiqua" w:cstheme="minorBidi"/>
          <w:color w:val="000000" w:themeColor="text1"/>
          <w:kern w:val="24"/>
          <w:vertAlign w:val="superscript"/>
        </w:rPr>
        <w:t>2</w:t>
      </w:r>
      <w:r w:rsidRPr="003610D2">
        <w:rPr>
          <w:rFonts w:ascii="Book Antiqua" w:hAnsi="Book Antiqua" w:cstheme="minorBidi"/>
          <w:color w:val="000000" w:themeColor="text1"/>
          <w:kern w:val="24"/>
        </w:rPr>
        <w:t xml:space="preserve">To convert from </w:t>
      </w:r>
      <w:proofErr w:type="spellStart"/>
      <w:r w:rsidRPr="003610D2">
        <w:rPr>
          <w:rFonts w:ascii="Book Antiqua" w:hAnsi="Book Antiqua" w:cstheme="minorBidi"/>
          <w:color w:val="000000" w:themeColor="text1"/>
          <w:kern w:val="24"/>
        </w:rPr>
        <w:t>μmol</w:t>
      </w:r>
      <w:proofErr w:type="spellEnd"/>
      <w:r w:rsidRPr="003610D2">
        <w:rPr>
          <w:rFonts w:ascii="Book Antiqua" w:hAnsi="Book Antiqua" w:cstheme="minorBidi"/>
          <w:color w:val="000000" w:themeColor="text1"/>
          <w:kern w:val="24"/>
        </w:rPr>
        <w:t>/L to mg/dL multiply by 0.0585</w:t>
      </w:r>
      <w:r w:rsidR="00E84708">
        <w:rPr>
          <w:rFonts w:ascii="Book Antiqua" w:hAnsi="Book Antiqua" w:cstheme="minorBidi"/>
          <w:color w:val="000000" w:themeColor="text1"/>
          <w:kern w:val="24"/>
        </w:rPr>
        <w:t>;</w:t>
      </w:r>
      <w:r>
        <w:rPr>
          <w:rFonts w:ascii="Book Antiqua" w:hAnsi="Book Antiqua" w:cstheme="minorBidi" w:hint="eastAsia"/>
          <w:color w:val="000000" w:themeColor="text1"/>
          <w:kern w:val="24"/>
        </w:rPr>
        <w:t xml:space="preserve"> </w:t>
      </w:r>
      <w:r>
        <w:rPr>
          <w:rFonts w:ascii="Book Antiqua" w:hAnsi="Book Antiqua" w:cstheme="minorBidi"/>
          <w:color w:val="000000" w:themeColor="text1"/>
          <w:kern w:val="24"/>
          <w:vertAlign w:val="superscript"/>
        </w:rPr>
        <w:t>3</w:t>
      </w:r>
      <w:r w:rsidRPr="003610D2">
        <w:rPr>
          <w:rFonts w:ascii="Book Antiqua" w:hAnsi="Book Antiqua" w:cstheme="minorBidi"/>
          <w:color w:val="000000" w:themeColor="text1"/>
          <w:kern w:val="24"/>
        </w:rPr>
        <w:t xml:space="preserve">To convert to mg/dL multiply by 88.5. </w:t>
      </w:r>
      <w:r w:rsidR="00CF4D9D" w:rsidRPr="003610D2">
        <w:rPr>
          <w:rFonts w:ascii="Book Antiqua" w:hAnsi="Book Antiqua" w:cstheme="minorBidi"/>
          <w:color w:val="000000" w:themeColor="text1"/>
          <w:kern w:val="24"/>
        </w:rPr>
        <w:t xml:space="preserve">Results of </w:t>
      </w:r>
      <w:r>
        <w:rPr>
          <w:rFonts w:ascii="Book Antiqua" w:hAnsi="Book Antiqua"/>
          <w:color w:val="000000" w:themeColor="text1"/>
          <w:kern w:val="24"/>
        </w:rPr>
        <w:t>m</w:t>
      </w:r>
      <w:r w:rsidRPr="003610D2">
        <w:rPr>
          <w:rFonts w:ascii="Book Antiqua" w:hAnsi="Book Antiqua"/>
          <w:color w:val="000000" w:themeColor="text1"/>
          <w:kern w:val="24"/>
        </w:rPr>
        <w:t>agnetic resonance imaging</w:t>
      </w:r>
      <w:r w:rsidR="00CF4D9D" w:rsidRPr="003610D2">
        <w:rPr>
          <w:rFonts w:ascii="Book Antiqua" w:hAnsi="Book Antiqua" w:cstheme="minorBidi"/>
          <w:color w:val="000000" w:themeColor="text1"/>
          <w:kern w:val="24"/>
        </w:rPr>
        <w:t xml:space="preserve"> </w:t>
      </w:r>
      <w:bookmarkStart w:id="271" w:name="OLE_LINK689"/>
      <w:bookmarkStart w:id="272" w:name="OLE_LINK690"/>
      <w:r w:rsidR="00CF4D9D" w:rsidRPr="003610D2">
        <w:rPr>
          <w:rFonts w:ascii="Book Antiqua" w:hAnsi="Book Antiqua" w:cstheme="minorBidi"/>
          <w:color w:val="000000" w:themeColor="text1"/>
          <w:kern w:val="24"/>
        </w:rPr>
        <w:t>proton density fat fraction</w:t>
      </w:r>
      <w:bookmarkEnd w:id="271"/>
      <w:bookmarkEnd w:id="272"/>
      <w:r w:rsidR="00CF4D9D" w:rsidRPr="003610D2">
        <w:rPr>
          <w:rFonts w:ascii="Book Antiqua" w:hAnsi="Book Antiqua" w:cstheme="minorBidi"/>
          <w:color w:val="000000" w:themeColor="text1"/>
          <w:kern w:val="24"/>
        </w:rPr>
        <w:t xml:space="preserve"> and key laboratory parameters for all subjects and stratified by </w:t>
      </w:r>
      <w:r>
        <w:rPr>
          <w:rFonts w:ascii="Book Antiqua" w:hAnsi="Book Antiqua" w:cstheme="minorBidi"/>
          <w:color w:val="000000" w:themeColor="text1"/>
          <w:kern w:val="24"/>
        </w:rPr>
        <w:t>c</w:t>
      </w:r>
      <w:r w:rsidRPr="003610D2">
        <w:rPr>
          <w:rFonts w:ascii="Book Antiqua" w:hAnsi="Book Antiqua" w:cstheme="minorBidi"/>
          <w:color w:val="000000" w:themeColor="text1"/>
          <w:kern w:val="24"/>
        </w:rPr>
        <w:t>ystic fibrosis transmembrane conductance regulator</w:t>
      </w:r>
      <w:r w:rsidR="00CF4D9D" w:rsidRPr="003610D2">
        <w:rPr>
          <w:rFonts w:ascii="Book Antiqua" w:hAnsi="Book Antiqua" w:cstheme="minorBidi"/>
          <w:color w:val="000000" w:themeColor="text1"/>
          <w:kern w:val="24"/>
        </w:rPr>
        <w:t xml:space="preserve"> modulator (</w:t>
      </w:r>
      <w:r w:rsidRPr="003610D2">
        <w:rPr>
          <w:rFonts w:ascii="Book Antiqua" w:hAnsi="Book Antiqua" w:cstheme="minorBidi"/>
          <w:color w:val="000000" w:themeColor="text1"/>
          <w:kern w:val="24"/>
        </w:rPr>
        <w:t>lumacaftor/ivacaftor</w:t>
      </w:r>
      <w:r w:rsidR="00CF4D9D" w:rsidRPr="003610D2">
        <w:rPr>
          <w:rFonts w:ascii="Book Antiqua" w:hAnsi="Book Antiqua" w:cstheme="minorBidi"/>
          <w:color w:val="000000" w:themeColor="text1"/>
          <w:kern w:val="24"/>
        </w:rPr>
        <w:t xml:space="preserve">) use. Data presented as median (range) or number (percent) as appropriate. </w:t>
      </w:r>
      <w:r w:rsidR="0061603D" w:rsidRPr="003610D2">
        <w:rPr>
          <w:rFonts w:ascii="Book Antiqua" w:hAnsi="Book Antiqua" w:cstheme="minorBidi"/>
          <w:color w:val="000000" w:themeColor="text1"/>
          <w:kern w:val="24"/>
        </w:rPr>
        <w:t xml:space="preserve">CFTR: </w:t>
      </w:r>
      <w:r>
        <w:rPr>
          <w:rFonts w:ascii="Book Antiqua" w:hAnsi="Book Antiqua" w:cstheme="minorBidi"/>
          <w:color w:val="000000" w:themeColor="text1"/>
          <w:kern w:val="24"/>
        </w:rPr>
        <w:t>C</w:t>
      </w:r>
      <w:r w:rsidR="0061603D" w:rsidRPr="003610D2">
        <w:rPr>
          <w:rFonts w:ascii="Book Antiqua" w:hAnsi="Book Antiqua" w:cstheme="minorBidi"/>
          <w:color w:val="000000" w:themeColor="text1"/>
          <w:kern w:val="24"/>
        </w:rPr>
        <w:t>ystic fibrosis transmembrane conductance regulator</w:t>
      </w:r>
      <w:r>
        <w:rPr>
          <w:rFonts w:ascii="Book Antiqua" w:hAnsi="Book Antiqua" w:cstheme="minorBidi"/>
          <w:color w:val="000000" w:themeColor="text1"/>
          <w:kern w:val="24"/>
        </w:rPr>
        <w:t>;</w:t>
      </w:r>
      <w:r w:rsidRPr="004C7928">
        <w:rPr>
          <w:rFonts w:ascii="Book Antiqua" w:hAnsi="Book Antiqua" w:cstheme="minorBidi"/>
          <w:color w:val="000000" w:themeColor="text1"/>
          <w:kern w:val="24"/>
        </w:rPr>
        <w:t xml:space="preserve"> </w:t>
      </w:r>
      <w:r w:rsidRPr="003610D2">
        <w:rPr>
          <w:rFonts w:ascii="Book Antiqua" w:hAnsi="Book Antiqua" w:cstheme="minorBidi"/>
          <w:color w:val="000000" w:themeColor="text1"/>
          <w:kern w:val="24"/>
        </w:rPr>
        <w:t>PDFF</w:t>
      </w:r>
      <w:r>
        <w:rPr>
          <w:rFonts w:ascii="Book Antiqua" w:hAnsi="Book Antiqua" w:cstheme="minorBidi"/>
          <w:color w:val="000000" w:themeColor="text1"/>
          <w:kern w:val="24"/>
        </w:rPr>
        <w:t>: P</w:t>
      </w:r>
      <w:r w:rsidRPr="003610D2">
        <w:rPr>
          <w:rFonts w:ascii="Book Antiqua" w:hAnsi="Book Antiqua" w:cstheme="minorBidi"/>
          <w:color w:val="000000" w:themeColor="text1"/>
          <w:kern w:val="24"/>
        </w:rPr>
        <w:t>roton density fat fraction</w:t>
      </w:r>
      <w:r>
        <w:rPr>
          <w:rFonts w:ascii="Book Antiqua" w:hAnsi="Book Antiqua" w:cstheme="minorBidi"/>
          <w:color w:val="000000" w:themeColor="text1"/>
          <w:kern w:val="24"/>
        </w:rPr>
        <w:t xml:space="preserve">; </w:t>
      </w:r>
      <w:r w:rsidRPr="004C7928">
        <w:rPr>
          <w:rFonts w:ascii="Book Antiqua" w:hAnsi="Book Antiqua"/>
        </w:rPr>
        <w:t>AST:</w:t>
      </w:r>
      <w:r>
        <w:rPr>
          <w:rFonts w:ascii="Book Antiqua" w:hAnsi="Book Antiqua"/>
        </w:rPr>
        <w:t xml:space="preserve"> A</w:t>
      </w:r>
      <w:r w:rsidRPr="003610D2">
        <w:rPr>
          <w:rFonts w:ascii="Book Antiqua" w:hAnsi="Book Antiqua"/>
        </w:rPr>
        <w:t>spartate transaminase</w:t>
      </w:r>
      <w:r>
        <w:rPr>
          <w:rFonts w:ascii="Book Antiqua" w:hAnsi="Book Antiqua"/>
        </w:rPr>
        <w:t>;</w:t>
      </w:r>
      <w:r w:rsidRPr="003610D2">
        <w:rPr>
          <w:rFonts w:ascii="Book Antiqua" w:hAnsi="Book Antiqua"/>
        </w:rPr>
        <w:t xml:space="preserve"> </w:t>
      </w:r>
      <w:r w:rsidRPr="004C7928">
        <w:rPr>
          <w:rFonts w:ascii="Book Antiqua" w:hAnsi="Book Antiqua"/>
        </w:rPr>
        <w:t xml:space="preserve">ALT: </w:t>
      </w:r>
      <w:r>
        <w:rPr>
          <w:rFonts w:ascii="Book Antiqua" w:hAnsi="Book Antiqua"/>
        </w:rPr>
        <w:t>A</w:t>
      </w:r>
      <w:r w:rsidRPr="003610D2">
        <w:rPr>
          <w:rFonts w:ascii="Book Antiqua" w:hAnsi="Book Antiqua"/>
        </w:rPr>
        <w:t>lanine transaminase</w:t>
      </w:r>
      <w:r w:rsidRPr="004C7928">
        <w:rPr>
          <w:rFonts w:ascii="Book Antiqua" w:hAnsi="Book Antiqua"/>
        </w:rPr>
        <w:t xml:space="preserve">; GGT: </w:t>
      </w:r>
      <w:r w:rsidR="00E84708" w:rsidRPr="003610D2">
        <w:rPr>
          <w:rFonts w:ascii="Book Antiqua" w:hAnsi="Book Antiqua"/>
        </w:rPr>
        <w:t>G</w:t>
      </w:r>
      <w:r w:rsidRPr="003610D2">
        <w:rPr>
          <w:rFonts w:ascii="Book Antiqua" w:hAnsi="Book Antiqua"/>
        </w:rPr>
        <w:t>amma-</w:t>
      </w:r>
      <w:proofErr w:type="spellStart"/>
      <w:r w:rsidRPr="003610D2">
        <w:rPr>
          <w:rFonts w:ascii="Book Antiqua" w:hAnsi="Book Antiqua"/>
        </w:rPr>
        <w:t>glutamyltransferase</w:t>
      </w:r>
      <w:proofErr w:type="spellEnd"/>
      <w:r w:rsidRPr="004C7928">
        <w:rPr>
          <w:rFonts w:ascii="Book Antiqua" w:hAnsi="Book Antiqua"/>
        </w:rPr>
        <w:t>.</w:t>
      </w:r>
    </w:p>
    <w:p w14:paraId="4F9A63A8" w14:textId="378185CE" w:rsidR="004C7928" w:rsidRDefault="004C7928">
      <w:pPr>
        <w:rPr>
          <w:rFonts w:ascii="Book Antiqua" w:hAnsi="Book Antiqua"/>
          <w:sz w:val="24"/>
          <w:szCs w:val="24"/>
          <w:u w:val="single"/>
        </w:rPr>
      </w:pPr>
    </w:p>
    <w:sectPr w:rsidR="004C7928" w:rsidSect="00E84708">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0031" w14:textId="77777777" w:rsidR="00516719" w:rsidRDefault="00516719" w:rsidP="006E6920">
      <w:pPr>
        <w:spacing w:after="0" w:line="240" w:lineRule="auto"/>
      </w:pPr>
      <w:r>
        <w:separator/>
      </w:r>
    </w:p>
  </w:endnote>
  <w:endnote w:type="continuationSeparator" w:id="0">
    <w:p w14:paraId="7984E7A4" w14:textId="77777777" w:rsidR="00516719" w:rsidRDefault="00516719" w:rsidP="006E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6D2B" w14:textId="77777777" w:rsidR="00516719" w:rsidRDefault="00516719" w:rsidP="006E6920">
      <w:pPr>
        <w:spacing w:after="0" w:line="240" w:lineRule="auto"/>
      </w:pPr>
      <w:r>
        <w:separator/>
      </w:r>
    </w:p>
  </w:footnote>
  <w:footnote w:type="continuationSeparator" w:id="0">
    <w:p w14:paraId="169423C0" w14:textId="77777777" w:rsidR="00516719" w:rsidRDefault="00516719" w:rsidP="006E6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A00F" w14:textId="4CFF696A" w:rsidR="004E06F0" w:rsidRDefault="004E06F0" w:rsidP="00446B47">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1764" w14:textId="77777777" w:rsidR="004E06F0" w:rsidRDefault="004E06F0" w:rsidP="00446B47">
    <w:pPr>
      <w:pStyle w:val="Header"/>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40B0" w14:textId="77777777" w:rsidR="004E06F0" w:rsidRDefault="004E06F0" w:rsidP="00446B47">
    <w:pPr>
      <w:pStyle w:val="Header"/>
      <w:tabs>
        <w:tab w:val="clear"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EED"/>
    <w:multiLevelType w:val="hybridMultilevel"/>
    <w:tmpl w:val="5656B69E"/>
    <w:lvl w:ilvl="0" w:tplc="616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29B6"/>
    <w:multiLevelType w:val="hybridMultilevel"/>
    <w:tmpl w:val="C1E04194"/>
    <w:lvl w:ilvl="0" w:tplc="4942C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2D0D"/>
    <w:multiLevelType w:val="hybridMultilevel"/>
    <w:tmpl w:val="671E8A68"/>
    <w:lvl w:ilvl="0" w:tplc="08D2C0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C2CD9"/>
    <w:multiLevelType w:val="hybridMultilevel"/>
    <w:tmpl w:val="CD56F968"/>
    <w:lvl w:ilvl="0" w:tplc="BA166F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0233B"/>
    <w:multiLevelType w:val="hybridMultilevel"/>
    <w:tmpl w:val="0E1E02BA"/>
    <w:lvl w:ilvl="0" w:tplc="2620E44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1141"/>
    <w:multiLevelType w:val="hybridMultilevel"/>
    <w:tmpl w:val="4D3C879E"/>
    <w:lvl w:ilvl="0" w:tplc="CD3AB91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D3C02"/>
    <w:multiLevelType w:val="hybridMultilevel"/>
    <w:tmpl w:val="788C1AC4"/>
    <w:lvl w:ilvl="0" w:tplc="803AB6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E64AC"/>
    <w:multiLevelType w:val="hybridMultilevel"/>
    <w:tmpl w:val="DC38D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B0AB0"/>
    <w:multiLevelType w:val="hybridMultilevel"/>
    <w:tmpl w:val="CBCE324A"/>
    <w:lvl w:ilvl="0" w:tplc="59AA3B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11113"/>
    <w:multiLevelType w:val="hybridMultilevel"/>
    <w:tmpl w:val="35CE6962"/>
    <w:lvl w:ilvl="0" w:tplc="AB1827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64109"/>
    <w:multiLevelType w:val="hybridMultilevel"/>
    <w:tmpl w:val="986847B0"/>
    <w:lvl w:ilvl="0" w:tplc="3C420A1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E4D57"/>
    <w:multiLevelType w:val="hybridMultilevel"/>
    <w:tmpl w:val="7B107916"/>
    <w:lvl w:ilvl="0" w:tplc="D56E561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F478F"/>
    <w:multiLevelType w:val="hybridMultilevel"/>
    <w:tmpl w:val="ECFAF140"/>
    <w:lvl w:ilvl="0" w:tplc="B8701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E6BF9"/>
    <w:multiLevelType w:val="hybridMultilevel"/>
    <w:tmpl w:val="CED8C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A41E7"/>
    <w:multiLevelType w:val="hybridMultilevel"/>
    <w:tmpl w:val="7100659C"/>
    <w:lvl w:ilvl="0" w:tplc="727687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F4AA1"/>
    <w:multiLevelType w:val="hybridMultilevel"/>
    <w:tmpl w:val="7F1A9294"/>
    <w:lvl w:ilvl="0" w:tplc="522CF9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F5B83"/>
    <w:multiLevelType w:val="hybridMultilevel"/>
    <w:tmpl w:val="0F88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0268"/>
    <w:multiLevelType w:val="hybridMultilevel"/>
    <w:tmpl w:val="3C087A40"/>
    <w:lvl w:ilvl="0" w:tplc="97145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436A4"/>
    <w:multiLevelType w:val="hybridMultilevel"/>
    <w:tmpl w:val="D0A26ACC"/>
    <w:lvl w:ilvl="0" w:tplc="047EA3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37B32"/>
    <w:multiLevelType w:val="hybridMultilevel"/>
    <w:tmpl w:val="1332D6DC"/>
    <w:lvl w:ilvl="0" w:tplc="DD28CA4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27CA"/>
    <w:multiLevelType w:val="hybridMultilevel"/>
    <w:tmpl w:val="A7109BBA"/>
    <w:lvl w:ilvl="0" w:tplc="629C8F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835C7"/>
    <w:multiLevelType w:val="hybridMultilevel"/>
    <w:tmpl w:val="914ED84C"/>
    <w:lvl w:ilvl="0" w:tplc="4BD0D4B4">
      <w:start w:val="1"/>
      <w:numFmt w:val="bullet"/>
      <w:lvlText w:val="-"/>
      <w:lvlJc w:val="left"/>
      <w:pPr>
        <w:ind w:left="720" w:hanging="360"/>
      </w:pPr>
      <w:rPr>
        <w:rFonts w:ascii="Book Antiqua" w:eastAsiaTheme="minorEastAsia"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95873"/>
    <w:multiLevelType w:val="hybridMultilevel"/>
    <w:tmpl w:val="571E8394"/>
    <w:lvl w:ilvl="0" w:tplc="CCDEE7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74521"/>
    <w:multiLevelType w:val="hybridMultilevel"/>
    <w:tmpl w:val="665666DA"/>
    <w:lvl w:ilvl="0" w:tplc="91726D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30311"/>
    <w:multiLevelType w:val="hybridMultilevel"/>
    <w:tmpl w:val="B908E0CA"/>
    <w:lvl w:ilvl="0" w:tplc="C5FE12D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03F9"/>
    <w:multiLevelType w:val="hybridMultilevel"/>
    <w:tmpl w:val="DC4E3950"/>
    <w:lvl w:ilvl="0" w:tplc="348C394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91D22"/>
    <w:multiLevelType w:val="hybridMultilevel"/>
    <w:tmpl w:val="F9BA05B4"/>
    <w:lvl w:ilvl="0" w:tplc="457070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241EC"/>
    <w:multiLevelType w:val="hybridMultilevel"/>
    <w:tmpl w:val="A7724E46"/>
    <w:lvl w:ilvl="0" w:tplc="10722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41621"/>
    <w:multiLevelType w:val="hybridMultilevel"/>
    <w:tmpl w:val="AB58C83E"/>
    <w:lvl w:ilvl="0" w:tplc="5890EA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856BD"/>
    <w:multiLevelType w:val="hybridMultilevel"/>
    <w:tmpl w:val="C84814AA"/>
    <w:lvl w:ilvl="0" w:tplc="F70EA03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80D90"/>
    <w:multiLevelType w:val="hybridMultilevel"/>
    <w:tmpl w:val="8F88FD9E"/>
    <w:lvl w:ilvl="0" w:tplc="051C5A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5434F"/>
    <w:multiLevelType w:val="hybridMultilevel"/>
    <w:tmpl w:val="05D653DC"/>
    <w:lvl w:ilvl="0" w:tplc="2D22CF3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4"/>
  </w:num>
  <w:num w:numId="4">
    <w:abstractNumId w:val="24"/>
  </w:num>
  <w:num w:numId="5">
    <w:abstractNumId w:val="10"/>
  </w:num>
  <w:num w:numId="6">
    <w:abstractNumId w:val="19"/>
  </w:num>
  <w:num w:numId="7">
    <w:abstractNumId w:val="5"/>
  </w:num>
  <w:num w:numId="8">
    <w:abstractNumId w:val="31"/>
  </w:num>
  <w:num w:numId="9">
    <w:abstractNumId w:val="11"/>
  </w:num>
  <w:num w:numId="10">
    <w:abstractNumId w:val="29"/>
  </w:num>
  <w:num w:numId="11">
    <w:abstractNumId w:val="22"/>
  </w:num>
  <w:num w:numId="12">
    <w:abstractNumId w:val="30"/>
  </w:num>
  <w:num w:numId="13">
    <w:abstractNumId w:val="3"/>
  </w:num>
  <w:num w:numId="14">
    <w:abstractNumId w:val="16"/>
  </w:num>
  <w:num w:numId="15">
    <w:abstractNumId w:val="6"/>
  </w:num>
  <w:num w:numId="16">
    <w:abstractNumId w:val="13"/>
  </w:num>
  <w:num w:numId="17">
    <w:abstractNumId w:val="8"/>
  </w:num>
  <w:num w:numId="18">
    <w:abstractNumId w:val="7"/>
  </w:num>
  <w:num w:numId="19">
    <w:abstractNumId w:val="27"/>
  </w:num>
  <w:num w:numId="20">
    <w:abstractNumId w:val="1"/>
  </w:num>
  <w:num w:numId="21">
    <w:abstractNumId w:val="25"/>
  </w:num>
  <w:num w:numId="22">
    <w:abstractNumId w:val="17"/>
  </w:num>
  <w:num w:numId="23">
    <w:abstractNumId w:val="9"/>
  </w:num>
  <w:num w:numId="24">
    <w:abstractNumId w:val="20"/>
  </w:num>
  <w:num w:numId="25">
    <w:abstractNumId w:val="23"/>
  </w:num>
  <w:num w:numId="26">
    <w:abstractNumId w:val="2"/>
  </w:num>
  <w:num w:numId="27">
    <w:abstractNumId w:val="28"/>
  </w:num>
  <w:num w:numId="28">
    <w:abstractNumId w:val="14"/>
  </w:num>
  <w:num w:numId="29">
    <w:abstractNumId w:val="12"/>
  </w:num>
  <w:num w:numId="30">
    <w:abstractNumId w:val="15"/>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30"/>
    <w:rsid w:val="00016830"/>
    <w:rsid w:val="00017000"/>
    <w:rsid w:val="00021F96"/>
    <w:rsid w:val="0002386E"/>
    <w:rsid w:val="000258A8"/>
    <w:rsid w:val="00025AB6"/>
    <w:rsid w:val="00026C8A"/>
    <w:rsid w:val="00031C19"/>
    <w:rsid w:val="0004475E"/>
    <w:rsid w:val="00045D3E"/>
    <w:rsid w:val="00045EAD"/>
    <w:rsid w:val="00046897"/>
    <w:rsid w:val="00055C77"/>
    <w:rsid w:val="00060E10"/>
    <w:rsid w:val="000614D3"/>
    <w:rsid w:val="000623DF"/>
    <w:rsid w:val="00063266"/>
    <w:rsid w:val="00063703"/>
    <w:rsid w:val="0006542D"/>
    <w:rsid w:val="0006661B"/>
    <w:rsid w:val="00072574"/>
    <w:rsid w:val="0007593F"/>
    <w:rsid w:val="000833B4"/>
    <w:rsid w:val="000874C6"/>
    <w:rsid w:val="00094D58"/>
    <w:rsid w:val="000A1EA8"/>
    <w:rsid w:val="000B070C"/>
    <w:rsid w:val="000B1404"/>
    <w:rsid w:val="000B1608"/>
    <w:rsid w:val="000B2DFF"/>
    <w:rsid w:val="000B31FB"/>
    <w:rsid w:val="000B6717"/>
    <w:rsid w:val="000C19F8"/>
    <w:rsid w:val="000C231A"/>
    <w:rsid w:val="000C395F"/>
    <w:rsid w:val="000C4A38"/>
    <w:rsid w:val="000C51E5"/>
    <w:rsid w:val="000C53D7"/>
    <w:rsid w:val="000D36CA"/>
    <w:rsid w:val="000E36A1"/>
    <w:rsid w:val="000F0D80"/>
    <w:rsid w:val="000F3B5A"/>
    <w:rsid w:val="000F7B6F"/>
    <w:rsid w:val="0010170C"/>
    <w:rsid w:val="00102925"/>
    <w:rsid w:val="00103029"/>
    <w:rsid w:val="001034E7"/>
    <w:rsid w:val="001043B6"/>
    <w:rsid w:val="001055FD"/>
    <w:rsid w:val="00105732"/>
    <w:rsid w:val="00126E09"/>
    <w:rsid w:val="0012790E"/>
    <w:rsid w:val="00132714"/>
    <w:rsid w:val="001378DB"/>
    <w:rsid w:val="00137AC2"/>
    <w:rsid w:val="00143E6C"/>
    <w:rsid w:val="00144766"/>
    <w:rsid w:val="0015028A"/>
    <w:rsid w:val="001510FA"/>
    <w:rsid w:val="0015572F"/>
    <w:rsid w:val="00166697"/>
    <w:rsid w:val="00170723"/>
    <w:rsid w:val="00171994"/>
    <w:rsid w:val="001764BD"/>
    <w:rsid w:val="00182B09"/>
    <w:rsid w:val="001842C4"/>
    <w:rsid w:val="00184572"/>
    <w:rsid w:val="001859B2"/>
    <w:rsid w:val="001862B8"/>
    <w:rsid w:val="00187276"/>
    <w:rsid w:val="0019112B"/>
    <w:rsid w:val="0019435C"/>
    <w:rsid w:val="001970A6"/>
    <w:rsid w:val="001B3DFE"/>
    <w:rsid w:val="001B47A0"/>
    <w:rsid w:val="001B5FA5"/>
    <w:rsid w:val="001C1641"/>
    <w:rsid w:val="001C1832"/>
    <w:rsid w:val="001C5D1B"/>
    <w:rsid w:val="001C6EE0"/>
    <w:rsid w:val="001D19BC"/>
    <w:rsid w:val="001E1A3D"/>
    <w:rsid w:val="001E4389"/>
    <w:rsid w:val="001E6C9B"/>
    <w:rsid w:val="001E7D5B"/>
    <w:rsid w:val="001F6913"/>
    <w:rsid w:val="00200A14"/>
    <w:rsid w:val="002014CB"/>
    <w:rsid w:val="00201796"/>
    <w:rsid w:val="0020298E"/>
    <w:rsid w:val="002029AD"/>
    <w:rsid w:val="00204FA7"/>
    <w:rsid w:val="0020605C"/>
    <w:rsid w:val="00212A93"/>
    <w:rsid w:val="00220DF0"/>
    <w:rsid w:val="00221E35"/>
    <w:rsid w:val="0022281D"/>
    <w:rsid w:val="002254FA"/>
    <w:rsid w:val="00226046"/>
    <w:rsid w:val="0022698C"/>
    <w:rsid w:val="00227205"/>
    <w:rsid w:val="0023324D"/>
    <w:rsid w:val="0023466A"/>
    <w:rsid w:val="00241658"/>
    <w:rsid w:val="00241A3B"/>
    <w:rsid w:val="00272A25"/>
    <w:rsid w:val="00274643"/>
    <w:rsid w:val="00276796"/>
    <w:rsid w:val="002817C9"/>
    <w:rsid w:val="00286017"/>
    <w:rsid w:val="002862E8"/>
    <w:rsid w:val="002865AB"/>
    <w:rsid w:val="002A4285"/>
    <w:rsid w:val="002A7634"/>
    <w:rsid w:val="002B0751"/>
    <w:rsid w:val="002B2B05"/>
    <w:rsid w:val="002B67BC"/>
    <w:rsid w:val="002C11EF"/>
    <w:rsid w:val="002C2E07"/>
    <w:rsid w:val="002C332D"/>
    <w:rsid w:val="002D2FFB"/>
    <w:rsid w:val="002D48F9"/>
    <w:rsid w:val="002D5A1A"/>
    <w:rsid w:val="002E5937"/>
    <w:rsid w:val="002E7A8B"/>
    <w:rsid w:val="002F0002"/>
    <w:rsid w:val="002F03DD"/>
    <w:rsid w:val="002F2AA0"/>
    <w:rsid w:val="002F5FDE"/>
    <w:rsid w:val="002F61C8"/>
    <w:rsid w:val="00303300"/>
    <w:rsid w:val="0030611B"/>
    <w:rsid w:val="00307D83"/>
    <w:rsid w:val="003132F1"/>
    <w:rsid w:val="00313900"/>
    <w:rsid w:val="0031574C"/>
    <w:rsid w:val="00321C3E"/>
    <w:rsid w:val="0032605E"/>
    <w:rsid w:val="00331E8F"/>
    <w:rsid w:val="0033265E"/>
    <w:rsid w:val="00332CE1"/>
    <w:rsid w:val="00332FD2"/>
    <w:rsid w:val="00333996"/>
    <w:rsid w:val="0033638D"/>
    <w:rsid w:val="003444FB"/>
    <w:rsid w:val="00344FE8"/>
    <w:rsid w:val="0035115D"/>
    <w:rsid w:val="00356087"/>
    <w:rsid w:val="0035741A"/>
    <w:rsid w:val="003610D2"/>
    <w:rsid w:val="003611AF"/>
    <w:rsid w:val="00362195"/>
    <w:rsid w:val="00366A0A"/>
    <w:rsid w:val="00367F6A"/>
    <w:rsid w:val="0037329E"/>
    <w:rsid w:val="003754F6"/>
    <w:rsid w:val="00375E6C"/>
    <w:rsid w:val="00382EED"/>
    <w:rsid w:val="00384166"/>
    <w:rsid w:val="00384A2D"/>
    <w:rsid w:val="00384E7F"/>
    <w:rsid w:val="00387E22"/>
    <w:rsid w:val="00390782"/>
    <w:rsid w:val="00393C53"/>
    <w:rsid w:val="00395C60"/>
    <w:rsid w:val="003A113A"/>
    <w:rsid w:val="003A1FD4"/>
    <w:rsid w:val="003A485F"/>
    <w:rsid w:val="003C0B0D"/>
    <w:rsid w:val="003C0D2F"/>
    <w:rsid w:val="003C0FB7"/>
    <w:rsid w:val="003C799E"/>
    <w:rsid w:val="003D1C34"/>
    <w:rsid w:val="003D5468"/>
    <w:rsid w:val="003D5D69"/>
    <w:rsid w:val="003D6762"/>
    <w:rsid w:val="003D68FC"/>
    <w:rsid w:val="003D741A"/>
    <w:rsid w:val="003D78D7"/>
    <w:rsid w:val="003E05B2"/>
    <w:rsid w:val="003E0F52"/>
    <w:rsid w:val="003E4D8A"/>
    <w:rsid w:val="003E673A"/>
    <w:rsid w:val="003E6C9A"/>
    <w:rsid w:val="003E75F8"/>
    <w:rsid w:val="003F1681"/>
    <w:rsid w:val="003F16F7"/>
    <w:rsid w:val="003F2A46"/>
    <w:rsid w:val="003F6B62"/>
    <w:rsid w:val="004012BC"/>
    <w:rsid w:val="004019A8"/>
    <w:rsid w:val="00402B81"/>
    <w:rsid w:val="00404C0C"/>
    <w:rsid w:val="00406D90"/>
    <w:rsid w:val="00410CCA"/>
    <w:rsid w:val="00412523"/>
    <w:rsid w:val="00413ED5"/>
    <w:rsid w:val="004142EB"/>
    <w:rsid w:val="004143A8"/>
    <w:rsid w:val="0042348C"/>
    <w:rsid w:val="0042396B"/>
    <w:rsid w:val="004271B1"/>
    <w:rsid w:val="00430212"/>
    <w:rsid w:val="00445AA9"/>
    <w:rsid w:val="00446B47"/>
    <w:rsid w:val="00450642"/>
    <w:rsid w:val="00453DFB"/>
    <w:rsid w:val="00455C31"/>
    <w:rsid w:val="00457995"/>
    <w:rsid w:val="00460CA3"/>
    <w:rsid w:val="00462229"/>
    <w:rsid w:val="00464234"/>
    <w:rsid w:val="00471016"/>
    <w:rsid w:val="00473ABB"/>
    <w:rsid w:val="0047722F"/>
    <w:rsid w:val="00480CC0"/>
    <w:rsid w:val="00486094"/>
    <w:rsid w:val="00495AA8"/>
    <w:rsid w:val="00495D49"/>
    <w:rsid w:val="004974D2"/>
    <w:rsid w:val="004A0D2B"/>
    <w:rsid w:val="004A2903"/>
    <w:rsid w:val="004A530E"/>
    <w:rsid w:val="004A5966"/>
    <w:rsid w:val="004B0AD1"/>
    <w:rsid w:val="004B1C38"/>
    <w:rsid w:val="004B39EB"/>
    <w:rsid w:val="004B42B3"/>
    <w:rsid w:val="004B5DAB"/>
    <w:rsid w:val="004B5DB6"/>
    <w:rsid w:val="004C0793"/>
    <w:rsid w:val="004C206A"/>
    <w:rsid w:val="004C2FDE"/>
    <w:rsid w:val="004C7928"/>
    <w:rsid w:val="004D1198"/>
    <w:rsid w:val="004D316C"/>
    <w:rsid w:val="004D4139"/>
    <w:rsid w:val="004D7B85"/>
    <w:rsid w:val="004E06F0"/>
    <w:rsid w:val="004E1591"/>
    <w:rsid w:val="004F79AC"/>
    <w:rsid w:val="00514B7D"/>
    <w:rsid w:val="00516719"/>
    <w:rsid w:val="00516A32"/>
    <w:rsid w:val="00516BC2"/>
    <w:rsid w:val="00520C06"/>
    <w:rsid w:val="005312C1"/>
    <w:rsid w:val="005319A1"/>
    <w:rsid w:val="00532859"/>
    <w:rsid w:val="00535B6A"/>
    <w:rsid w:val="0054426C"/>
    <w:rsid w:val="00544E67"/>
    <w:rsid w:val="005521AA"/>
    <w:rsid w:val="0055229B"/>
    <w:rsid w:val="0055322C"/>
    <w:rsid w:val="00553555"/>
    <w:rsid w:val="005569B4"/>
    <w:rsid w:val="0055754A"/>
    <w:rsid w:val="0056132A"/>
    <w:rsid w:val="0056255E"/>
    <w:rsid w:val="00562AB1"/>
    <w:rsid w:val="00563250"/>
    <w:rsid w:val="00567103"/>
    <w:rsid w:val="00570BBA"/>
    <w:rsid w:val="00574130"/>
    <w:rsid w:val="00574B2E"/>
    <w:rsid w:val="0058042A"/>
    <w:rsid w:val="00582B89"/>
    <w:rsid w:val="00584D1B"/>
    <w:rsid w:val="005857AE"/>
    <w:rsid w:val="00585FCE"/>
    <w:rsid w:val="00586896"/>
    <w:rsid w:val="00587C0A"/>
    <w:rsid w:val="00595674"/>
    <w:rsid w:val="00595D54"/>
    <w:rsid w:val="00595F02"/>
    <w:rsid w:val="00596146"/>
    <w:rsid w:val="005968F7"/>
    <w:rsid w:val="005A0A54"/>
    <w:rsid w:val="005A1B3C"/>
    <w:rsid w:val="005A499B"/>
    <w:rsid w:val="005B0A03"/>
    <w:rsid w:val="005B2361"/>
    <w:rsid w:val="005C2CF8"/>
    <w:rsid w:val="005C353C"/>
    <w:rsid w:val="005C60E4"/>
    <w:rsid w:val="005D0D0D"/>
    <w:rsid w:val="005D7391"/>
    <w:rsid w:val="005D748C"/>
    <w:rsid w:val="005E0EBE"/>
    <w:rsid w:val="005E1E37"/>
    <w:rsid w:val="005E1FB5"/>
    <w:rsid w:val="005E21E7"/>
    <w:rsid w:val="005E44AA"/>
    <w:rsid w:val="005E4D62"/>
    <w:rsid w:val="005E5D61"/>
    <w:rsid w:val="005F047C"/>
    <w:rsid w:val="005F24F9"/>
    <w:rsid w:val="0061179A"/>
    <w:rsid w:val="00611A2B"/>
    <w:rsid w:val="0061518E"/>
    <w:rsid w:val="0061603D"/>
    <w:rsid w:val="00616B45"/>
    <w:rsid w:val="00620DF1"/>
    <w:rsid w:val="00621A24"/>
    <w:rsid w:val="00632C99"/>
    <w:rsid w:val="00634709"/>
    <w:rsid w:val="00634F48"/>
    <w:rsid w:val="00636B57"/>
    <w:rsid w:val="0064010D"/>
    <w:rsid w:val="00642E4A"/>
    <w:rsid w:val="00647F4F"/>
    <w:rsid w:val="00652ED3"/>
    <w:rsid w:val="00656259"/>
    <w:rsid w:val="0065785C"/>
    <w:rsid w:val="00663D62"/>
    <w:rsid w:val="00675D6B"/>
    <w:rsid w:val="00681EBB"/>
    <w:rsid w:val="006824F5"/>
    <w:rsid w:val="00686B7A"/>
    <w:rsid w:val="00692E4C"/>
    <w:rsid w:val="00697130"/>
    <w:rsid w:val="006975D0"/>
    <w:rsid w:val="006A077D"/>
    <w:rsid w:val="006A1E0E"/>
    <w:rsid w:val="006A4390"/>
    <w:rsid w:val="006A51B9"/>
    <w:rsid w:val="006A52D5"/>
    <w:rsid w:val="006A75EA"/>
    <w:rsid w:val="006A7CE7"/>
    <w:rsid w:val="006A7FED"/>
    <w:rsid w:val="006B0EBF"/>
    <w:rsid w:val="006B3692"/>
    <w:rsid w:val="006B372A"/>
    <w:rsid w:val="006B68F7"/>
    <w:rsid w:val="006B7CC9"/>
    <w:rsid w:val="006C0194"/>
    <w:rsid w:val="006C2935"/>
    <w:rsid w:val="006D1F84"/>
    <w:rsid w:val="006D4BD1"/>
    <w:rsid w:val="006D5A1F"/>
    <w:rsid w:val="006D5C9C"/>
    <w:rsid w:val="006D5DF2"/>
    <w:rsid w:val="006E0C2B"/>
    <w:rsid w:val="006E21BA"/>
    <w:rsid w:val="006E239F"/>
    <w:rsid w:val="006E4828"/>
    <w:rsid w:val="006E5342"/>
    <w:rsid w:val="006E6920"/>
    <w:rsid w:val="006E6B93"/>
    <w:rsid w:val="006F04E5"/>
    <w:rsid w:val="006F0D38"/>
    <w:rsid w:val="006F2571"/>
    <w:rsid w:val="00702306"/>
    <w:rsid w:val="007045DA"/>
    <w:rsid w:val="00706D49"/>
    <w:rsid w:val="00707681"/>
    <w:rsid w:val="00714D23"/>
    <w:rsid w:val="0071618B"/>
    <w:rsid w:val="00720185"/>
    <w:rsid w:val="00722EF8"/>
    <w:rsid w:val="00723A44"/>
    <w:rsid w:val="00724B29"/>
    <w:rsid w:val="0072589B"/>
    <w:rsid w:val="007272F4"/>
    <w:rsid w:val="00731E86"/>
    <w:rsid w:val="007337A5"/>
    <w:rsid w:val="007337BE"/>
    <w:rsid w:val="0073400E"/>
    <w:rsid w:val="007343E8"/>
    <w:rsid w:val="00736162"/>
    <w:rsid w:val="0074088B"/>
    <w:rsid w:val="00744CAA"/>
    <w:rsid w:val="0075114F"/>
    <w:rsid w:val="0076175F"/>
    <w:rsid w:val="0076436F"/>
    <w:rsid w:val="007675B6"/>
    <w:rsid w:val="0077441C"/>
    <w:rsid w:val="00777662"/>
    <w:rsid w:val="00777F55"/>
    <w:rsid w:val="0078207A"/>
    <w:rsid w:val="00785AE1"/>
    <w:rsid w:val="007866C7"/>
    <w:rsid w:val="00786A5C"/>
    <w:rsid w:val="0079154E"/>
    <w:rsid w:val="007920D7"/>
    <w:rsid w:val="0079228F"/>
    <w:rsid w:val="00796095"/>
    <w:rsid w:val="0079794A"/>
    <w:rsid w:val="007A36C1"/>
    <w:rsid w:val="007A3D83"/>
    <w:rsid w:val="007A4FC9"/>
    <w:rsid w:val="007A52E1"/>
    <w:rsid w:val="007A5C3B"/>
    <w:rsid w:val="007A764C"/>
    <w:rsid w:val="007B04B5"/>
    <w:rsid w:val="007D50C6"/>
    <w:rsid w:val="007D5946"/>
    <w:rsid w:val="007D6643"/>
    <w:rsid w:val="007E69D9"/>
    <w:rsid w:val="007E7D38"/>
    <w:rsid w:val="00801635"/>
    <w:rsid w:val="008018C5"/>
    <w:rsid w:val="00812060"/>
    <w:rsid w:val="00812DBD"/>
    <w:rsid w:val="008171CF"/>
    <w:rsid w:val="00817688"/>
    <w:rsid w:val="00820D5B"/>
    <w:rsid w:val="008232E6"/>
    <w:rsid w:val="00824766"/>
    <w:rsid w:val="00824D7E"/>
    <w:rsid w:val="00825B58"/>
    <w:rsid w:val="008310B8"/>
    <w:rsid w:val="00831ED4"/>
    <w:rsid w:val="008345CB"/>
    <w:rsid w:val="00834922"/>
    <w:rsid w:val="00843EB7"/>
    <w:rsid w:val="0084425F"/>
    <w:rsid w:val="00846CC1"/>
    <w:rsid w:val="0085204E"/>
    <w:rsid w:val="0085294B"/>
    <w:rsid w:val="00853223"/>
    <w:rsid w:val="00855F32"/>
    <w:rsid w:val="00864E5C"/>
    <w:rsid w:val="00866209"/>
    <w:rsid w:val="00872CB7"/>
    <w:rsid w:val="008749AC"/>
    <w:rsid w:val="00875041"/>
    <w:rsid w:val="00875845"/>
    <w:rsid w:val="0088292F"/>
    <w:rsid w:val="008862FC"/>
    <w:rsid w:val="00887CE2"/>
    <w:rsid w:val="00893183"/>
    <w:rsid w:val="00895FF2"/>
    <w:rsid w:val="008A1E73"/>
    <w:rsid w:val="008A2C37"/>
    <w:rsid w:val="008A5AC2"/>
    <w:rsid w:val="008B13D4"/>
    <w:rsid w:val="008B4AE8"/>
    <w:rsid w:val="008C27CA"/>
    <w:rsid w:val="008C7303"/>
    <w:rsid w:val="008D2326"/>
    <w:rsid w:val="008D24A8"/>
    <w:rsid w:val="008D2CB0"/>
    <w:rsid w:val="008D5692"/>
    <w:rsid w:val="008D679E"/>
    <w:rsid w:val="008D772C"/>
    <w:rsid w:val="008E72E4"/>
    <w:rsid w:val="008E7DF2"/>
    <w:rsid w:val="008F1EAC"/>
    <w:rsid w:val="008F31A9"/>
    <w:rsid w:val="008F409C"/>
    <w:rsid w:val="008F55DC"/>
    <w:rsid w:val="008F6EC9"/>
    <w:rsid w:val="008F72B1"/>
    <w:rsid w:val="00902B81"/>
    <w:rsid w:val="00906482"/>
    <w:rsid w:val="00907973"/>
    <w:rsid w:val="00911CB9"/>
    <w:rsid w:val="00911F0B"/>
    <w:rsid w:val="009170A6"/>
    <w:rsid w:val="00917886"/>
    <w:rsid w:val="00917982"/>
    <w:rsid w:val="00931A89"/>
    <w:rsid w:val="0093351E"/>
    <w:rsid w:val="00933FE2"/>
    <w:rsid w:val="0093654D"/>
    <w:rsid w:val="00936B8E"/>
    <w:rsid w:val="00937F8A"/>
    <w:rsid w:val="0094013F"/>
    <w:rsid w:val="0094295E"/>
    <w:rsid w:val="0094344D"/>
    <w:rsid w:val="009458A5"/>
    <w:rsid w:val="009458CB"/>
    <w:rsid w:val="00947181"/>
    <w:rsid w:val="00947877"/>
    <w:rsid w:val="00951FC3"/>
    <w:rsid w:val="00952782"/>
    <w:rsid w:val="009532E2"/>
    <w:rsid w:val="0095491C"/>
    <w:rsid w:val="00955214"/>
    <w:rsid w:val="00960999"/>
    <w:rsid w:val="00961A97"/>
    <w:rsid w:val="00961E31"/>
    <w:rsid w:val="00964631"/>
    <w:rsid w:val="00971A8C"/>
    <w:rsid w:val="0097354C"/>
    <w:rsid w:val="00977639"/>
    <w:rsid w:val="00977D22"/>
    <w:rsid w:val="009850AE"/>
    <w:rsid w:val="0098522C"/>
    <w:rsid w:val="009871A2"/>
    <w:rsid w:val="009910D4"/>
    <w:rsid w:val="009937A8"/>
    <w:rsid w:val="00993A6F"/>
    <w:rsid w:val="00995768"/>
    <w:rsid w:val="009A1EB1"/>
    <w:rsid w:val="009A4464"/>
    <w:rsid w:val="009A44C1"/>
    <w:rsid w:val="009A5989"/>
    <w:rsid w:val="009B1F8D"/>
    <w:rsid w:val="009B40A0"/>
    <w:rsid w:val="009B5C2C"/>
    <w:rsid w:val="009B7D3C"/>
    <w:rsid w:val="009C0668"/>
    <w:rsid w:val="009C687E"/>
    <w:rsid w:val="009C6AAE"/>
    <w:rsid w:val="009D0DAC"/>
    <w:rsid w:val="009D57E2"/>
    <w:rsid w:val="009E12EC"/>
    <w:rsid w:val="009E1CCE"/>
    <w:rsid w:val="009E4477"/>
    <w:rsid w:val="009F1E0E"/>
    <w:rsid w:val="00A0009B"/>
    <w:rsid w:val="00A0489C"/>
    <w:rsid w:val="00A05122"/>
    <w:rsid w:val="00A05439"/>
    <w:rsid w:val="00A1001E"/>
    <w:rsid w:val="00A107AA"/>
    <w:rsid w:val="00A10BB3"/>
    <w:rsid w:val="00A119DE"/>
    <w:rsid w:val="00A130D0"/>
    <w:rsid w:val="00A27011"/>
    <w:rsid w:val="00A374E6"/>
    <w:rsid w:val="00A37B16"/>
    <w:rsid w:val="00A418DC"/>
    <w:rsid w:val="00A44537"/>
    <w:rsid w:val="00A459DA"/>
    <w:rsid w:val="00A465C1"/>
    <w:rsid w:val="00A51E09"/>
    <w:rsid w:val="00A52121"/>
    <w:rsid w:val="00A52B2A"/>
    <w:rsid w:val="00A535EC"/>
    <w:rsid w:val="00A63092"/>
    <w:rsid w:val="00A64008"/>
    <w:rsid w:val="00A665F4"/>
    <w:rsid w:val="00A77697"/>
    <w:rsid w:val="00A77E23"/>
    <w:rsid w:val="00A803D6"/>
    <w:rsid w:val="00A8309B"/>
    <w:rsid w:val="00A84D81"/>
    <w:rsid w:val="00A854F3"/>
    <w:rsid w:val="00A92360"/>
    <w:rsid w:val="00A92BD1"/>
    <w:rsid w:val="00A9649B"/>
    <w:rsid w:val="00AA1A4C"/>
    <w:rsid w:val="00AA31B0"/>
    <w:rsid w:val="00AA5029"/>
    <w:rsid w:val="00AA5A2D"/>
    <w:rsid w:val="00AB1DC5"/>
    <w:rsid w:val="00AB2CF6"/>
    <w:rsid w:val="00AB4141"/>
    <w:rsid w:val="00AB5D69"/>
    <w:rsid w:val="00AC05C8"/>
    <w:rsid w:val="00AC063F"/>
    <w:rsid w:val="00AC3816"/>
    <w:rsid w:val="00AC5F21"/>
    <w:rsid w:val="00AC6051"/>
    <w:rsid w:val="00AD2B4B"/>
    <w:rsid w:val="00AD39CF"/>
    <w:rsid w:val="00AD56AB"/>
    <w:rsid w:val="00AD6BA3"/>
    <w:rsid w:val="00AD7781"/>
    <w:rsid w:val="00AD7AC9"/>
    <w:rsid w:val="00AD7BCF"/>
    <w:rsid w:val="00AE0696"/>
    <w:rsid w:val="00AE553A"/>
    <w:rsid w:val="00AF0FFC"/>
    <w:rsid w:val="00AF23D8"/>
    <w:rsid w:val="00AF3FC3"/>
    <w:rsid w:val="00AF44E9"/>
    <w:rsid w:val="00B04C90"/>
    <w:rsid w:val="00B0780E"/>
    <w:rsid w:val="00B0791E"/>
    <w:rsid w:val="00B1122B"/>
    <w:rsid w:val="00B12460"/>
    <w:rsid w:val="00B129F8"/>
    <w:rsid w:val="00B12FE8"/>
    <w:rsid w:val="00B134E2"/>
    <w:rsid w:val="00B21A2D"/>
    <w:rsid w:val="00B229CB"/>
    <w:rsid w:val="00B23FD0"/>
    <w:rsid w:val="00B25305"/>
    <w:rsid w:val="00B333AA"/>
    <w:rsid w:val="00B341FC"/>
    <w:rsid w:val="00B3704E"/>
    <w:rsid w:val="00B42FCB"/>
    <w:rsid w:val="00B44CD2"/>
    <w:rsid w:val="00B5335C"/>
    <w:rsid w:val="00B54793"/>
    <w:rsid w:val="00B54A46"/>
    <w:rsid w:val="00B56733"/>
    <w:rsid w:val="00B63FEA"/>
    <w:rsid w:val="00B65756"/>
    <w:rsid w:val="00B673E4"/>
    <w:rsid w:val="00B6762E"/>
    <w:rsid w:val="00B73C2B"/>
    <w:rsid w:val="00B75F46"/>
    <w:rsid w:val="00B82B7E"/>
    <w:rsid w:val="00B83812"/>
    <w:rsid w:val="00B838CE"/>
    <w:rsid w:val="00B84EDB"/>
    <w:rsid w:val="00B85A07"/>
    <w:rsid w:val="00B91CD4"/>
    <w:rsid w:val="00B93051"/>
    <w:rsid w:val="00B96A7A"/>
    <w:rsid w:val="00B97B8B"/>
    <w:rsid w:val="00B97C31"/>
    <w:rsid w:val="00B97D19"/>
    <w:rsid w:val="00BA04F1"/>
    <w:rsid w:val="00BB0C61"/>
    <w:rsid w:val="00BB4ED2"/>
    <w:rsid w:val="00BC2913"/>
    <w:rsid w:val="00BC6A5F"/>
    <w:rsid w:val="00BC7571"/>
    <w:rsid w:val="00BD12B5"/>
    <w:rsid w:val="00BD18AD"/>
    <w:rsid w:val="00BD36C1"/>
    <w:rsid w:val="00BD5838"/>
    <w:rsid w:val="00BE33B8"/>
    <w:rsid w:val="00BE571A"/>
    <w:rsid w:val="00BE59D4"/>
    <w:rsid w:val="00BE6D5F"/>
    <w:rsid w:val="00BF1368"/>
    <w:rsid w:val="00BF1C7F"/>
    <w:rsid w:val="00BF4766"/>
    <w:rsid w:val="00BF4FF9"/>
    <w:rsid w:val="00C01F04"/>
    <w:rsid w:val="00C02E5D"/>
    <w:rsid w:val="00C0700C"/>
    <w:rsid w:val="00C10015"/>
    <w:rsid w:val="00C14295"/>
    <w:rsid w:val="00C14576"/>
    <w:rsid w:val="00C16F89"/>
    <w:rsid w:val="00C2328D"/>
    <w:rsid w:val="00C249DC"/>
    <w:rsid w:val="00C249E9"/>
    <w:rsid w:val="00C31DC7"/>
    <w:rsid w:val="00C33C30"/>
    <w:rsid w:val="00C3487B"/>
    <w:rsid w:val="00C422E7"/>
    <w:rsid w:val="00C45CCB"/>
    <w:rsid w:val="00C46C63"/>
    <w:rsid w:val="00C479D2"/>
    <w:rsid w:val="00C52E6A"/>
    <w:rsid w:val="00C54C39"/>
    <w:rsid w:val="00C569DB"/>
    <w:rsid w:val="00C56FDA"/>
    <w:rsid w:val="00C6191D"/>
    <w:rsid w:val="00C62F59"/>
    <w:rsid w:val="00C66C97"/>
    <w:rsid w:val="00C676FD"/>
    <w:rsid w:val="00C705DF"/>
    <w:rsid w:val="00C705F0"/>
    <w:rsid w:val="00C75EC8"/>
    <w:rsid w:val="00C8576B"/>
    <w:rsid w:val="00C92F7E"/>
    <w:rsid w:val="00C930BE"/>
    <w:rsid w:val="00CA0100"/>
    <w:rsid w:val="00CA0E84"/>
    <w:rsid w:val="00CA1A7B"/>
    <w:rsid w:val="00CA1C7C"/>
    <w:rsid w:val="00CA1E73"/>
    <w:rsid w:val="00CA4A86"/>
    <w:rsid w:val="00CA540A"/>
    <w:rsid w:val="00CA60BE"/>
    <w:rsid w:val="00CA7E15"/>
    <w:rsid w:val="00CB12F6"/>
    <w:rsid w:val="00CB142B"/>
    <w:rsid w:val="00CB7CA9"/>
    <w:rsid w:val="00CC1754"/>
    <w:rsid w:val="00CC41CD"/>
    <w:rsid w:val="00CC5F9E"/>
    <w:rsid w:val="00CD0F91"/>
    <w:rsid w:val="00CD3469"/>
    <w:rsid w:val="00CD403D"/>
    <w:rsid w:val="00CD4BF6"/>
    <w:rsid w:val="00CE6A25"/>
    <w:rsid w:val="00CF0996"/>
    <w:rsid w:val="00CF4D9D"/>
    <w:rsid w:val="00CF75FC"/>
    <w:rsid w:val="00D00816"/>
    <w:rsid w:val="00D019B4"/>
    <w:rsid w:val="00D0282C"/>
    <w:rsid w:val="00D03469"/>
    <w:rsid w:val="00D0404D"/>
    <w:rsid w:val="00D07CD1"/>
    <w:rsid w:val="00D07E2C"/>
    <w:rsid w:val="00D103CB"/>
    <w:rsid w:val="00D11540"/>
    <w:rsid w:val="00D11E57"/>
    <w:rsid w:val="00D158C4"/>
    <w:rsid w:val="00D1692B"/>
    <w:rsid w:val="00D27786"/>
    <w:rsid w:val="00D33396"/>
    <w:rsid w:val="00D3532F"/>
    <w:rsid w:val="00D3781F"/>
    <w:rsid w:val="00D41474"/>
    <w:rsid w:val="00D45E5D"/>
    <w:rsid w:val="00D555CF"/>
    <w:rsid w:val="00D56B12"/>
    <w:rsid w:val="00D56EE7"/>
    <w:rsid w:val="00D60734"/>
    <w:rsid w:val="00D62D9D"/>
    <w:rsid w:val="00D6344E"/>
    <w:rsid w:val="00D670F7"/>
    <w:rsid w:val="00D706DE"/>
    <w:rsid w:val="00D7298C"/>
    <w:rsid w:val="00D751A0"/>
    <w:rsid w:val="00D830FC"/>
    <w:rsid w:val="00D970B2"/>
    <w:rsid w:val="00DA0033"/>
    <w:rsid w:val="00DA6F5B"/>
    <w:rsid w:val="00DA730F"/>
    <w:rsid w:val="00DC0552"/>
    <w:rsid w:val="00DC7942"/>
    <w:rsid w:val="00DD00D1"/>
    <w:rsid w:val="00DD74B7"/>
    <w:rsid w:val="00DD7B94"/>
    <w:rsid w:val="00DE12F6"/>
    <w:rsid w:val="00DE286F"/>
    <w:rsid w:val="00DE46D1"/>
    <w:rsid w:val="00DE4F69"/>
    <w:rsid w:val="00DE5AC4"/>
    <w:rsid w:val="00DE7E40"/>
    <w:rsid w:val="00DF21E7"/>
    <w:rsid w:val="00DF3ECF"/>
    <w:rsid w:val="00DF496B"/>
    <w:rsid w:val="00E03515"/>
    <w:rsid w:val="00E0352D"/>
    <w:rsid w:val="00E13441"/>
    <w:rsid w:val="00E13EFD"/>
    <w:rsid w:val="00E17096"/>
    <w:rsid w:val="00E20240"/>
    <w:rsid w:val="00E20F0F"/>
    <w:rsid w:val="00E22762"/>
    <w:rsid w:val="00E259DA"/>
    <w:rsid w:val="00E276FA"/>
    <w:rsid w:val="00E27DE7"/>
    <w:rsid w:val="00E34336"/>
    <w:rsid w:val="00E42174"/>
    <w:rsid w:val="00E45815"/>
    <w:rsid w:val="00E471D9"/>
    <w:rsid w:val="00E520EF"/>
    <w:rsid w:val="00E5722F"/>
    <w:rsid w:val="00E5781D"/>
    <w:rsid w:val="00E619E7"/>
    <w:rsid w:val="00E62A6D"/>
    <w:rsid w:val="00E65517"/>
    <w:rsid w:val="00E6752B"/>
    <w:rsid w:val="00E72704"/>
    <w:rsid w:val="00E77BDE"/>
    <w:rsid w:val="00E82243"/>
    <w:rsid w:val="00E839FF"/>
    <w:rsid w:val="00E843CD"/>
    <w:rsid w:val="00E84708"/>
    <w:rsid w:val="00E857D5"/>
    <w:rsid w:val="00E9217D"/>
    <w:rsid w:val="00E97327"/>
    <w:rsid w:val="00E97360"/>
    <w:rsid w:val="00E976BB"/>
    <w:rsid w:val="00EA36E2"/>
    <w:rsid w:val="00EA3BA0"/>
    <w:rsid w:val="00EA5877"/>
    <w:rsid w:val="00EB3B9B"/>
    <w:rsid w:val="00EC1DA5"/>
    <w:rsid w:val="00EC375C"/>
    <w:rsid w:val="00EC3FAE"/>
    <w:rsid w:val="00EC43FC"/>
    <w:rsid w:val="00EC5F06"/>
    <w:rsid w:val="00ED5AE0"/>
    <w:rsid w:val="00EE1F88"/>
    <w:rsid w:val="00EE21F0"/>
    <w:rsid w:val="00EE75CF"/>
    <w:rsid w:val="00EF011E"/>
    <w:rsid w:val="00EF061F"/>
    <w:rsid w:val="00EF5D7D"/>
    <w:rsid w:val="00F03DEA"/>
    <w:rsid w:val="00F126DA"/>
    <w:rsid w:val="00F12BEE"/>
    <w:rsid w:val="00F14E26"/>
    <w:rsid w:val="00F14FDA"/>
    <w:rsid w:val="00F16DAD"/>
    <w:rsid w:val="00F20F7D"/>
    <w:rsid w:val="00F22744"/>
    <w:rsid w:val="00F24937"/>
    <w:rsid w:val="00F26571"/>
    <w:rsid w:val="00F354B9"/>
    <w:rsid w:val="00F354E1"/>
    <w:rsid w:val="00F45593"/>
    <w:rsid w:val="00F50A4B"/>
    <w:rsid w:val="00F51784"/>
    <w:rsid w:val="00F52D32"/>
    <w:rsid w:val="00F52E2C"/>
    <w:rsid w:val="00F53F01"/>
    <w:rsid w:val="00F550F3"/>
    <w:rsid w:val="00F55676"/>
    <w:rsid w:val="00F61D5F"/>
    <w:rsid w:val="00F64191"/>
    <w:rsid w:val="00F647D3"/>
    <w:rsid w:val="00F64D00"/>
    <w:rsid w:val="00F65E80"/>
    <w:rsid w:val="00F74CCF"/>
    <w:rsid w:val="00F77D98"/>
    <w:rsid w:val="00F8477D"/>
    <w:rsid w:val="00F84ADB"/>
    <w:rsid w:val="00F90749"/>
    <w:rsid w:val="00F90EBC"/>
    <w:rsid w:val="00F9254A"/>
    <w:rsid w:val="00F939DF"/>
    <w:rsid w:val="00F94F94"/>
    <w:rsid w:val="00F970CD"/>
    <w:rsid w:val="00FA0E55"/>
    <w:rsid w:val="00FA2DF9"/>
    <w:rsid w:val="00FA5773"/>
    <w:rsid w:val="00FB11A6"/>
    <w:rsid w:val="00FB4C5C"/>
    <w:rsid w:val="00FB5DE8"/>
    <w:rsid w:val="00FB7CBB"/>
    <w:rsid w:val="00FC1B4A"/>
    <w:rsid w:val="00FC535E"/>
    <w:rsid w:val="00FC619F"/>
    <w:rsid w:val="00FC69D2"/>
    <w:rsid w:val="00FD3CA0"/>
    <w:rsid w:val="00FD505F"/>
    <w:rsid w:val="00FD77F2"/>
    <w:rsid w:val="00FE34CD"/>
    <w:rsid w:val="00FF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E07C6"/>
  <w15:docId w15:val="{977F5AF4-CB38-4618-AE04-78EE5E92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9D2"/>
    <w:pPr>
      <w:ind w:left="720"/>
      <w:contextualSpacing/>
    </w:pPr>
  </w:style>
  <w:style w:type="paragraph" w:styleId="NormalWeb">
    <w:name w:val="Normal (Web)"/>
    <w:basedOn w:val="Normal"/>
    <w:uiPriority w:val="99"/>
    <w:unhideWhenUsed/>
    <w:rsid w:val="00843E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42D"/>
    <w:rPr>
      <w:color w:val="0563C1" w:themeColor="hyperlink"/>
      <w:u w:val="single"/>
    </w:rPr>
  </w:style>
  <w:style w:type="paragraph" w:styleId="BalloonText">
    <w:name w:val="Balloon Text"/>
    <w:basedOn w:val="Normal"/>
    <w:link w:val="BalloonTextChar"/>
    <w:uiPriority w:val="99"/>
    <w:semiHidden/>
    <w:unhideWhenUsed/>
    <w:rsid w:val="004D41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4139"/>
    <w:rPr>
      <w:rFonts w:ascii="Times New Roman" w:hAnsi="Times New Roman" w:cs="Times New Roman"/>
      <w:sz w:val="18"/>
      <w:szCs w:val="18"/>
    </w:rPr>
  </w:style>
  <w:style w:type="table" w:customStyle="1" w:styleId="GridTable1Light-Accent31">
    <w:name w:val="Grid Table 1 Light - Accent 31"/>
    <w:basedOn w:val="TableNormal"/>
    <w:uiPriority w:val="46"/>
    <w:rsid w:val="0007257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07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basedOn w:val="DefaultParagraphFont"/>
    <w:rsid w:val="00A10BB3"/>
    <w:rPr>
      <w:rFonts w:ascii="Calibri" w:hAnsi="Calibri" w:hint="default"/>
      <w:sz w:val="22"/>
      <w:szCs w:val="22"/>
    </w:rPr>
  </w:style>
  <w:style w:type="character" w:styleId="Strong">
    <w:name w:val="Strong"/>
    <w:basedOn w:val="DefaultParagraphFont"/>
    <w:uiPriority w:val="22"/>
    <w:qFormat/>
    <w:rsid w:val="00A107AA"/>
    <w:rPr>
      <w:b/>
      <w:bCs/>
    </w:rPr>
  </w:style>
  <w:style w:type="character" w:styleId="CommentReference">
    <w:name w:val="annotation reference"/>
    <w:basedOn w:val="DefaultParagraphFont"/>
    <w:uiPriority w:val="99"/>
    <w:semiHidden/>
    <w:unhideWhenUsed/>
    <w:rsid w:val="000874C6"/>
    <w:rPr>
      <w:sz w:val="16"/>
      <w:szCs w:val="16"/>
    </w:rPr>
  </w:style>
  <w:style w:type="paragraph" w:styleId="CommentText">
    <w:name w:val="annotation text"/>
    <w:basedOn w:val="Normal"/>
    <w:link w:val="CommentTextChar"/>
    <w:uiPriority w:val="99"/>
    <w:unhideWhenUsed/>
    <w:rsid w:val="000874C6"/>
    <w:pPr>
      <w:spacing w:line="240" w:lineRule="auto"/>
    </w:pPr>
    <w:rPr>
      <w:sz w:val="20"/>
      <w:szCs w:val="20"/>
    </w:rPr>
  </w:style>
  <w:style w:type="character" w:customStyle="1" w:styleId="CommentTextChar">
    <w:name w:val="Comment Text Char"/>
    <w:basedOn w:val="DefaultParagraphFont"/>
    <w:link w:val="CommentText"/>
    <w:uiPriority w:val="99"/>
    <w:rsid w:val="000874C6"/>
    <w:rPr>
      <w:sz w:val="20"/>
      <w:szCs w:val="20"/>
    </w:rPr>
  </w:style>
  <w:style w:type="paragraph" w:styleId="CommentSubject">
    <w:name w:val="annotation subject"/>
    <w:basedOn w:val="CommentText"/>
    <w:next w:val="CommentText"/>
    <w:link w:val="CommentSubjectChar"/>
    <w:uiPriority w:val="99"/>
    <w:semiHidden/>
    <w:unhideWhenUsed/>
    <w:rsid w:val="000874C6"/>
    <w:rPr>
      <w:b/>
      <w:bCs/>
    </w:rPr>
  </w:style>
  <w:style w:type="character" w:customStyle="1" w:styleId="CommentSubjectChar">
    <w:name w:val="Comment Subject Char"/>
    <w:basedOn w:val="CommentTextChar"/>
    <w:link w:val="CommentSubject"/>
    <w:uiPriority w:val="99"/>
    <w:semiHidden/>
    <w:rsid w:val="000874C6"/>
    <w:rPr>
      <w:b/>
      <w:bCs/>
      <w:sz w:val="20"/>
      <w:szCs w:val="20"/>
    </w:rPr>
  </w:style>
  <w:style w:type="paragraph" w:styleId="Revision">
    <w:name w:val="Revision"/>
    <w:hidden/>
    <w:uiPriority w:val="99"/>
    <w:semiHidden/>
    <w:rsid w:val="00B54A46"/>
    <w:pPr>
      <w:spacing w:after="0" w:line="240" w:lineRule="auto"/>
    </w:pPr>
  </w:style>
  <w:style w:type="table" w:customStyle="1" w:styleId="ListTable3-Accent31">
    <w:name w:val="List Table 3 - Accent 31"/>
    <w:basedOn w:val="TableNormal"/>
    <w:uiPriority w:val="48"/>
    <w:rsid w:val="0095491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CEEACA"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D158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CEEACA"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6">
    <w:name w:val="Grid Table 5 Dark Accent 6"/>
    <w:basedOn w:val="TableNormal"/>
    <w:uiPriority w:val="50"/>
    <w:rsid w:val="00D158C4"/>
    <w:pPr>
      <w:spacing w:after="0" w:line="240" w:lineRule="auto"/>
    </w:pPr>
    <w:tblPr>
      <w:tblStyleRowBandSize w:val="1"/>
      <w:tblStyleColBandSize w:val="1"/>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E2EFD9" w:themeFill="accent6"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70AD47" w:themeFill="accent6"/>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70AD47" w:themeFill="accent6"/>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70AD47" w:themeFill="accent6"/>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3">
    <w:name w:val="List Table 3"/>
    <w:basedOn w:val="TableNormal"/>
    <w:uiPriority w:val="48"/>
    <w:rsid w:val="005312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CEEACA"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5">
    <w:name w:val="Plain Table 5"/>
    <w:basedOn w:val="TableNormal"/>
    <w:uiPriority w:val="45"/>
    <w:rsid w:val="005312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EEACA" w:themeFill="background1"/>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312C1"/>
    <w:pPr>
      <w:spacing w:after="0" w:line="240" w:lineRule="auto"/>
    </w:pPr>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style>
  <w:style w:type="table" w:styleId="PlainTable1">
    <w:name w:val="Plain Table 1"/>
    <w:basedOn w:val="TableNormal"/>
    <w:uiPriority w:val="41"/>
    <w:rsid w:val="00384E7F"/>
    <w:pPr>
      <w:spacing w:after="0" w:line="240" w:lineRule="auto"/>
    </w:pPr>
    <w:tblPr>
      <w:tblStyleRowBandSize w:val="1"/>
      <w:tblStyleColBandSize w:val="1"/>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Light1">
    <w:name w:val="Table Grid Light1"/>
    <w:basedOn w:val="TableNormal"/>
    <w:uiPriority w:val="40"/>
    <w:rsid w:val="00652ED3"/>
    <w:pPr>
      <w:spacing w:after="0" w:line="240" w:lineRule="auto"/>
    </w:pPr>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style>
  <w:style w:type="paragraph" w:styleId="Header">
    <w:name w:val="header"/>
    <w:basedOn w:val="Normal"/>
    <w:link w:val="HeaderChar"/>
    <w:uiPriority w:val="99"/>
    <w:unhideWhenUsed/>
    <w:rsid w:val="006E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920"/>
  </w:style>
  <w:style w:type="paragraph" w:styleId="Footer">
    <w:name w:val="footer"/>
    <w:basedOn w:val="Normal"/>
    <w:link w:val="FooterChar"/>
    <w:uiPriority w:val="99"/>
    <w:unhideWhenUsed/>
    <w:rsid w:val="006E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920"/>
  </w:style>
  <w:style w:type="paragraph" w:styleId="HTMLPreformatted">
    <w:name w:val="HTML Preformatted"/>
    <w:basedOn w:val="Normal"/>
    <w:link w:val="HTMLPreformattedChar"/>
    <w:uiPriority w:val="99"/>
    <w:semiHidden/>
    <w:unhideWhenUsed/>
    <w:rsid w:val="00F6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647D3"/>
    <w:rPr>
      <w:rFonts w:ascii="Courier New" w:hAnsi="Courier New" w:cs="Courier New"/>
      <w:sz w:val="20"/>
      <w:szCs w:val="20"/>
    </w:rPr>
  </w:style>
  <w:style w:type="character" w:styleId="LineNumber">
    <w:name w:val="line number"/>
    <w:basedOn w:val="DefaultParagraphFont"/>
    <w:uiPriority w:val="99"/>
    <w:semiHidden/>
    <w:unhideWhenUsed/>
    <w:rsid w:val="00825B58"/>
  </w:style>
  <w:style w:type="table" w:styleId="ListTable6Colorful">
    <w:name w:val="List Table 6 Colorful"/>
    <w:basedOn w:val="TableNormal"/>
    <w:uiPriority w:val="51"/>
    <w:rsid w:val="00B129F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E822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
    <w:name w:val="正文1"/>
    <w:uiPriority w:val="99"/>
    <w:rsid w:val="002F03DD"/>
    <w:pPr>
      <w:spacing w:after="0" w:line="276" w:lineRule="auto"/>
    </w:pPr>
    <w:rPr>
      <w:rFonts w:ascii="Arial" w:eastAsia="SimSun" w:hAnsi="Arial" w:cs="Arial"/>
      <w:color w:val="000000"/>
      <w:szCs w:val="20"/>
      <w:lang w:val="pl-PL" w:eastAsia="pl-PL"/>
    </w:rPr>
  </w:style>
  <w:style w:type="paragraph" w:customStyle="1" w:styleId="p1">
    <w:name w:val="p1"/>
    <w:basedOn w:val="Normal"/>
    <w:rsid w:val="002F03DD"/>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409">
      <w:bodyDiv w:val="1"/>
      <w:marLeft w:val="0"/>
      <w:marRight w:val="0"/>
      <w:marTop w:val="0"/>
      <w:marBottom w:val="0"/>
      <w:divBdr>
        <w:top w:val="none" w:sz="0" w:space="0" w:color="auto"/>
        <w:left w:val="none" w:sz="0" w:space="0" w:color="auto"/>
        <w:bottom w:val="none" w:sz="0" w:space="0" w:color="auto"/>
        <w:right w:val="none" w:sz="0" w:space="0" w:color="auto"/>
      </w:divBdr>
    </w:div>
    <w:div w:id="28645990">
      <w:bodyDiv w:val="1"/>
      <w:marLeft w:val="0"/>
      <w:marRight w:val="0"/>
      <w:marTop w:val="0"/>
      <w:marBottom w:val="0"/>
      <w:divBdr>
        <w:top w:val="none" w:sz="0" w:space="0" w:color="auto"/>
        <w:left w:val="none" w:sz="0" w:space="0" w:color="auto"/>
        <w:bottom w:val="none" w:sz="0" w:space="0" w:color="auto"/>
        <w:right w:val="none" w:sz="0" w:space="0" w:color="auto"/>
      </w:divBdr>
    </w:div>
    <w:div w:id="148178749">
      <w:bodyDiv w:val="1"/>
      <w:marLeft w:val="0"/>
      <w:marRight w:val="0"/>
      <w:marTop w:val="0"/>
      <w:marBottom w:val="0"/>
      <w:divBdr>
        <w:top w:val="none" w:sz="0" w:space="0" w:color="auto"/>
        <w:left w:val="none" w:sz="0" w:space="0" w:color="auto"/>
        <w:bottom w:val="none" w:sz="0" w:space="0" w:color="auto"/>
        <w:right w:val="none" w:sz="0" w:space="0" w:color="auto"/>
      </w:divBdr>
      <w:divsChild>
        <w:div w:id="1960332023">
          <w:marLeft w:val="0"/>
          <w:marRight w:val="1"/>
          <w:marTop w:val="0"/>
          <w:marBottom w:val="0"/>
          <w:divBdr>
            <w:top w:val="none" w:sz="0" w:space="0" w:color="auto"/>
            <w:left w:val="none" w:sz="0" w:space="0" w:color="auto"/>
            <w:bottom w:val="none" w:sz="0" w:space="0" w:color="auto"/>
            <w:right w:val="none" w:sz="0" w:space="0" w:color="auto"/>
          </w:divBdr>
          <w:divsChild>
            <w:div w:id="854464737">
              <w:marLeft w:val="0"/>
              <w:marRight w:val="0"/>
              <w:marTop w:val="0"/>
              <w:marBottom w:val="0"/>
              <w:divBdr>
                <w:top w:val="none" w:sz="0" w:space="0" w:color="auto"/>
                <w:left w:val="none" w:sz="0" w:space="0" w:color="auto"/>
                <w:bottom w:val="none" w:sz="0" w:space="0" w:color="auto"/>
                <w:right w:val="none" w:sz="0" w:space="0" w:color="auto"/>
              </w:divBdr>
              <w:divsChild>
                <w:div w:id="976227006">
                  <w:marLeft w:val="0"/>
                  <w:marRight w:val="1"/>
                  <w:marTop w:val="0"/>
                  <w:marBottom w:val="0"/>
                  <w:divBdr>
                    <w:top w:val="none" w:sz="0" w:space="0" w:color="auto"/>
                    <w:left w:val="none" w:sz="0" w:space="0" w:color="auto"/>
                    <w:bottom w:val="none" w:sz="0" w:space="0" w:color="auto"/>
                    <w:right w:val="none" w:sz="0" w:space="0" w:color="auto"/>
                  </w:divBdr>
                  <w:divsChild>
                    <w:div w:id="2094664413">
                      <w:marLeft w:val="0"/>
                      <w:marRight w:val="0"/>
                      <w:marTop w:val="0"/>
                      <w:marBottom w:val="0"/>
                      <w:divBdr>
                        <w:top w:val="none" w:sz="0" w:space="0" w:color="auto"/>
                        <w:left w:val="none" w:sz="0" w:space="0" w:color="auto"/>
                        <w:bottom w:val="none" w:sz="0" w:space="0" w:color="auto"/>
                        <w:right w:val="none" w:sz="0" w:space="0" w:color="auto"/>
                      </w:divBdr>
                      <w:divsChild>
                        <w:div w:id="2137135669">
                          <w:marLeft w:val="0"/>
                          <w:marRight w:val="0"/>
                          <w:marTop w:val="0"/>
                          <w:marBottom w:val="0"/>
                          <w:divBdr>
                            <w:top w:val="none" w:sz="0" w:space="0" w:color="auto"/>
                            <w:left w:val="none" w:sz="0" w:space="0" w:color="auto"/>
                            <w:bottom w:val="none" w:sz="0" w:space="0" w:color="auto"/>
                            <w:right w:val="none" w:sz="0" w:space="0" w:color="auto"/>
                          </w:divBdr>
                          <w:divsChild>
                            <w:div w:id="597178932">
                              <w:marLeft w:val="0"/>
                              <w:marRight w:val="0"/>
                              <w:marTop w:val="120"/>
                              <w:marBottom w:val="360"/>
                              <w:divBdr>
                                <w:top w:val="none" w:sz="0" w:space="0" w:color="auto"/>
                                <w:left w:val="none" w:sz="0" w:space="0" w:color="auto"/>
                                <w:bottom w:val="none" w:sz="0" w:space="0" w:color="auto"/>
                                <w:right w:val="none" w:sz="0" w:space="0" w:color="auto"/>
                              </w:divBdr>
                              <w:divsChild>
                                <w:div w:id="306395601">
                                  <w:marLeft w:val="0"/>
                                  <w:marRight w:val="0"/>
                                  <w:marTop w:val="0"/>
                                  <w:marBottom w:val="0"/>
                                  <w:divBdr>
                                    <w:top w:val="none" w:sz="0" w:space="0" w:color="auto"/>
                                    <w:left w:val="none" w:sz="0" w:space="0" w:color="auto"/>
                                    <w:bottom w:val="none" w:sz="0" w:space="0" w:color="auto"/>
                                    <w:right w:val="none" w:sz="0" w:space="0" w:color="auto"/>
                                  </w:divBdr>
                                  <w:divsChild>
                                    <w:div w:id="15574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750473">
      <w:bodyDiv w:val="1"/>
      <w:marLeft w:val="0"/>
      <w:marRight w:val="0"/>
      <w:marTop w:val="0"/>
      <w:marBottom w:val="0"/>
      <w:divBdr>
        <w:top w:val="none" w:sz="0" w:space="0" w:color="auto"/>
        <w:left w:val="none" w:sz="0" w:space="0" w:color="auto"/>
        <w:bottom w:val="none" w:sz="0" w:space="0" w:color="auto"/>
        <w:right w:val="none" w:sz="0" w:space="0" w:color="auto"/>
      </w:divBdr>
    </w:div>
    <w:div w:id="370570949">
      <w:bodyDiv w:val="1"/>
      <w:marLeft w:val="0"/>
      <w:marRight w:val="0"/>
      <w:marTop w:val="0"/>
      <w:marBottom w:val="0"/>
      <w:divBdr>
        <w:top w:val="none" w:sz="0" w:space="0" w:color="auto"/>
        <w:left w:val="none" w:sz="0" w:space="0" w:color="auto"/>
        <w:bottom w:val="none" w:sz="0" w:space="0" w:color="auto"/>
        <w:right w:val="none" w:sz="0" w:space="0" w:color="auto"/>
      </w:divBdr>
    </w:div>
    <w:div w:id="456720535">
      <w:bodyDiv w:val="1"/>
      <w:marLeft w:val="0"/>
      <w:marRight w:val="0"/>
      <w:marTop w:val="0"/>
      <w:marBottom w:val="0"/>
      <w:divBdr>
        <w:top w:val="none" w:sz="0" w:space="0" w:color="auto"/>
        <w:left w:val="none" w:sz="0" w:space="0" w:color="auto"/>
        <w:bottom w:val="none" w:sz="0" w:space="0" w:color="auto"/>
        <w:right w:val="none" w:sz="0" w:space="0" w:color="auto"/>
      </w:divBdr>
    </w:div>
    <w:div w:id="612634424">
      <w:bodyDiv w:val="1"/>
      <w:marLeft w:val="0"/>
      <w:marRight w:val="0"/>
      <w:marTop w:val="0"/>
      <w:marBottom w:val="0"/>
      <w:divBdr>
        <w:top w:val="none" w:sz="0" w:space="0" w:color="auto"/>
        <w:left w:val="none" w:sz="0" w:space="0" w:color="auto"/>
        <w:bottom w:val="none" w:sz="0" w:space="0" w:color="auto"/>
        <w:right w:val="none" w:sz="0" w:space="0" w:color="auto"/>
      </w:divBdr>
    </w:div>
    <w:div w:id="644167860">
      <w:bodyDiv w:val="1"/>
      <w:marLeft w:val="0"/>
      <w:marRight w:val="0"/>
      <w:marTop w:val="0"/>
      <w:marBottom w:val="0"/>
      <w:divBdr>
        <w:top w:val="none" w:sz="0" w:space="0" w:color="auto"/>
        <w:left w:val="none" w:sz="0" w:space="0" w:color="auto"/>
        <w:bottom w:val="none" w:sz="0" w:space="0" w:color="auto"/>
        <w:right w:val="none" w:sz="0" w:space="0" w:color="auto"/>
      </w:divBdr>
    </w:div>
    <w:div w:id="708260707">
      <w:bodyDiv w:val="1"/>
      <w:marLeft w:val="0"/>
      <w:marRight w:val="0"/>
      <w:marTop w:val="0"/>
      <w:marBottom w:val="0"/>
      <w:divBdr>
        <w:top w:val="none" w:sz="0" w:space="0" w:color="auto"/>
        <w:left w:val="none" w:sz="0" w:space="0" w:color="auto"/>
        <w:bottom w:val="none" w:sz="0" w:space="0" w:color="auto"/>
        <w:right w:val="none" w:sz="0" w:space="0" w:color="auto"/>
      </w:divBdr>
    </w:div>
    <w:div w:id="796678793">
      <w:bodyDiv w:val="1"/>
      <w:marLeft w:val="0"/>
      <w:marRight w:val="0"/>
      <w:marTop w:val="0"/>
      <w:marBottom w:val="0"/>
      <w:divBdr>
        <w:top w:val="none" w:sz="0" w:space="0" w:color="auto"/>
        <w:left w:val="none" w:sz="0" w:space="0" w:color="auto"/>
        <w:bottom w:val="none" w:sz="0" w:space="0" w:color="auto"/>
        <w:right w:val="none" w:sz="0" w:space="0" w:color="auto"/>
      </w:divBdr>
    </w:div>
    <w:div w:id="812991957">
      <w:bodyDiv w:val="1"/>
      <w:marLeft w:val="0"/>
      <w:marRight w:val="0"/>
      <w:marTop w:val="0"/>
      <w:marBottom w:val="0"/>
      <w:divBdr>
        <w:top w:val="none" w:sz="0" w:space="0" w:color="auto"/>
        <w:left w:val="none" w:sz="0" w:space="0" w:color="auto"/>
        <w:bottom w:val="none" w:sz="0" w:space="0" w:color="auto"/>
        <w:right w:val="none" w:sz="0" w:space="0" w:color="auto"/>
      </w:divBdr>
    </w:div>
    <w:div w:id="871453425">
      <w:bodyDiv w:val="1"/>
      <w:marLeft w:val="0"/>
      <w:marRight w:val="0"/>
      <w:marTop w:val="0"/>
      <w:marBottom w:val="0"/>
      <w:divBdr>
        <w:top w:val="none" w:sz="0" w:space="0" w:color="auto"/>
        <w:left w:val="none" w:sz="0" w:space="0" w:color="auto"/>
        <w:bottom w:val="none" w:sz="0" w:space="0" w:color="auto"/>
        <w:right w:val="none" w:sz="0" w:space="0" w:color="auto"/>
      </w:divBdr>
    </w:div>
    <w:div w:id="1086995588">
      <w:bodyDiv w:val="1"/>
      <w:marLeft w:val="0"/>
      <w:marRight w:val="0"/>
      <w:marTop w:val="0"/>
      <w:marBottom w:val="0"/>
      <w:divBdr>
        <w:top w:val="none" w:sz="0" w:space="0" w:color="auto"/>
        <w:left w:val="none" w:sz="0" w:space="0" w:color="auto"/>
        <w:bottom w:val="none" w:sz="0" w:space="0" w:color="auto"/>
        <w:right w:val="none" w:sz="0" w:space="0" w:color="auto"/>
      </w:divBdr>
      <w:divsChild>
        <w:div w:id="153107802">
          <w:marLeft w:val="0"/>
          <w:marRight w:val="1"/>
          <w:marTop w:val="0"/>
          <w:marBottom w:val="0"/>
          <w:divBdr>
            <w:top w:val="none" w:sz="0" w:space="0" w:color="auto"/>
            <w:left w:val="none" w:sz="0" w:space="0" w:color="auto"/>
            <w:bottom w:val="none" w:sz="0" w:space="0" w:color="auto"/>
            <w:right w:val="none" w:sz="0" w:space="0" w:color="auto"/>
          </w:divBdr>
          <w:divsChild>
            <w:div w:id="841550702">
              <w:marLeft w:val="0"/>
              <w:marRight w:val="0"/>
              <w:marTop w:val="0"/>
              <w:marBottom w:val="0"/>
              <w:divBdr>
                <w:top w:val="none" w:sz="0" w:space="0" w:color="auto"/>
                <w:left w:val="none" w:sz="0" w:space="0" w:color="auto"/>
                <w:bottom w:val="none" w:sz="0" w:space="0" w:color="auto"/>
                <w:right w:val="none" w:sz="0" w:space="0" w:color="auto"/>
              </w:divBdr>
              <w:divsChild>
                <w:div w:id="447506884">
                  <w:marLeft w:val="0"/>
                  <w:marRight w:val="1"/>
                  <w:marTop w:val="0"/>
                  <w:marBottom w:val="0"/>
                  <w:divBdr>
                    <w:top w:val="none" w:sz="0" w:space="0" w:color="auto"/>
                    <w:left w:val="none" w:sz="0" w:space="0" w:color="auto"/>
                    <w:bottom w:val="none" w:sz="0" w:space="0" w:color="auto"/>
                    <w:right w:val="none" w:sz="0" w:space="0" w:color="auto"/>
                  </w:divBdr>
                  <w:divsChild>
                    <w:div w:id="1121916613">
                      <w:marLeft w:val="0"/>
                      <w:marRight w:val="0"/>
                      <w:marTop w:val="0"/>
                      <w:marBottom w:val="0"/>
                      <w:divBdr>
                        <w:top w:val="none" w:sz="0" w:space="0" w:color="auto"/>
                        <w:left w:val="none" w:sz="0" w:space="0" w:color="auto"/>
                        <w:bottom w:val="none" w:sz="0" w:space="0" w:color="auto"/>
                        <w:right w:val="none" w:sz="0" w:space="0" w:color="auto"/>
                      </w:divBdr>
                      <w:divsChild>
                        <w:div w:id="1426028938">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120"/>
                              <w:marBottom w:val="360"/>
                              <w:divBdr>
                                <w:top w:val="none" w:sz="0" w:space="0" w:color="auto"/>
                                <w:left w:val="none" w:sz="0" w:space="0" w:color="auto"/>
                                <w:bottom w:val="none" w:sz="0" w:space="0" w:color="auto"/>
                                <w:right w:val="none" w:sz="0" w:space="0" w:color="auto"/>
                              </w:divBdr>
                              <w:divsChild>
                                <w:div w:id="2089228434">
                                  <w:marLeft w:val="0"/>
                                  <w:marRight w:val="0"/>
                                  <w:marTop w:val="0"/>
                                  <w:marBottom w:val="0"/>
                                  <w:divBdr>
                                    <w:top w:val="none" w:sz="0" w:space="0" w:color="auto"/>
                                    <w:left w:val="none" w:sz="0" w:space="0" w:color="auto"/>
                                    <w:bottom w:val="none" w:sz="0" w:space="0" w:color="auto"/>
                                    <w:right w:val="none" w:sz="0" w:space="0" w:color="auto"/>
                                  </w:divBdr>
                                  <w:divsChild>
                                    <w:div w:id="1455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311437">
      <w:bodyDiv w:val="1"/>
      <w:marLeft w:val="0"/>
      <w:marRight w:val="0"/>
      <w:marTop w:val="0"/>
      <w:marBottom w:val="0"/>
      <w:divBdr>
        <w:top w:val="none" w:sz="0" w:space="0" w:color="auto"/>
        <w:left w:val="none" w:sz="0" w:space="0" w:color="auto"/>
        <w:bottom w:val="none" w:sz="0" w:space="0" w:color="auto"/>
        <w:right w:val="none" w:sz="0" w:space="0" w:color="auto"/>
      </w:divBdr>
    </w:div>
    <w:div w:id="1400054517">
      <w:bodyDiv w:val="1"/>
      <w:marLeft w:val="0"/>
      <w:marRight w:val="0"/>
      <w:marTop w:val="0"/>
      <w:marBottom w:val="0"/>
      <w:divBdr>
        <w:top w:val="none" w:sz="0" w:space="0" w:color="auto"/>
        <w:left w:val="none" w:sz="0" w:space="0" w:color="auto"/>
        <w:bottom w:val="none" w:sz="0" w:space="0" w:color="auto"/>
        <w:right w:val="none" w:sz="0" w:space="0" w:color="auto"/>
      </w:divBdr>
    </w:div>
    <w:div w:id="1585186884">
      <w:bodyDiv w:val="1"/>
      <w:marLeft w:val="0"/>
      <w:marRight w:val="0"/>
      <w:marTop w:val="0"/>
      <w:marBottom w:val="0"/>
      <w:divBdr>
        <w:top w:val="none" w:sz="0" w:space="0" w:color="auto"/>
        <w:left w:val="none" w:sz="0" w:space="0" w:color="auto"/>
        <w:bottom w:val="none" w:sz="0" w:space="0" w:color="auto"/>
        <w:right w:val="none" w:sz="0" w:space="0" w:color="auto"/>
      </w:divBdr>
      <w:divsChild>
        <w:div w:id="1922643497">
          <w:marLeft w:val="0"/>
          <w:marRight w:val="1"/>
          <w:marTop w:val="0"/>
          <w:marBottom w:val="0"/>
          <w:divBdr>
            <w:top w:val="none" w:sz="0" w:space="0" w:color="auto"/>
            <w:left w:val="none" w:sz="0" w:space="0" w:color="auto"/>
            <w:bottom w:val="none" w:sz="0" w:space="0" w:color="auto"/>
            <w:right w:val="none" w:sz="0" w:space="0" w:color="auto"/>
          </w:divBdr>
          <w:divsChild>
            <w:div w:id="1262372548">
              <w:marLeft w:val="0"/>
              <w:marRight w:val="0"/>
              <w:marTop w:val="0"/>
              <w:marBottom w:val="0"/>
              <w:divBdr>
                <w:top w:val="none" w:sz="0" w:space="0" w:color="auto"/>
                <w:left w:val="none" w:sz="0" w:space="0" w:color="auto"/>
                <w:bottom w:val="none" w:sz="0" w:space="0" w:color="auto"/>
                <w:right w:val="none" w:sz="0" w:space="0" w:color="auto"/>
              </w:divBdr>
              <w:divsChild>
                <w:div w:id="1238831037">
                  <w:marLeft w:val="0"/>
                  <w:marRight w:val="1"/>
                  <w:marTop w:val="0"/>
                  <w:marBottom w:val="0"/>
                  <w:divBdr>
                    <w:top w:val="none" w:sz="0" w:space="0" w:color="auto"/>
                    <w:left w:val="none" w:sz="0" w:space="0" w:color="auto"/>
                    <w:bottom w:val="none" w:sz="0" w:space="0" w:color="auto"/>
                    <w:right w:val="none" w:sz="0" w:space="0" w:color="auto"/>
                  </w:divBdr>
                  <w:divsChild>
                    <w:div w:id="1433671897">
                      <w:marLeft w:val="0"/>
                      <w:marRight w:val="0"/>
                      <w:marTop w:val="0"/>
                      <w:marBottom w:val="0"/>
                      <w:divBdr>
                        <w:top w:val="none" w:sz="0" w:space="0" w:color="auto"/>
                        <w:left w:val="none" w:sz="0" w:space="0" w:color="auto"/>
                        <w:bottom w:val="none" w:sz="0" w:space="0" w:color="auto"/>
                        <w:right w:val="none" w:sz="0" w:space="0" w:color="auto"/>
                      </w:divBdr>
                      <w:divsChild>
                        <w:div w:id="641538342">
                          <w:marLeft w:val="0"/>
                          <w:marRight w:val="0"/>
                          <w:marTop w:val="0"/>
                          <w:marBottom w:val="0"/>
                          <w:divBdr>
                            <w:top w:val="none" w:sz="0" w:space="0" w:color="auto"/>
                            <w:left w:val="none" w:sz="0" w:space="0" w:color="auto"/>
                            <w:bottom w:val="none" w:sz="0" w:space="0" w:color="auto"/>
                            <w:right w:val="none" w:sz="0" w:space="0" w:color="auto"/>
                          </w:divBdr>
                          <w:divsChild>
                            <w:div w:id="1737390536">
                              <w:marLeft w:val="0"/>
                              <w:marRight w:val="0"/>
                              <w:marTop w:val="120"/>
                              <w:marBottom w:val="360"/>
                              <w:divBdr>
                                <w:top w:val="none" w:sz="0" w:space="0" w:color="auto"/>
                                <w:left w:val="none" w:sz="0" w:space="0" w:color="auto"/>
                                <w:bottom w:val="none" w:sz="0" w:space="0" w:color="auto"/>
                                <w:right w:val="none" w:sz="0" w:space="0" w:color="auto"/>
                              </w:divBdr>
                              <w:divsChild>
                                <w:div w:id="776758919">
                                  <w:marLeft w:val="0"/>
                                  <w:marRight w:val="0"/>
                                  <w:marTop w:val="0"/>
                                  <w:marBottom w:val="0"/>
                                  <w:divBdr>
                                    <w:top w:val="none" w:sz="0" w:space="0" w:color="auto"/>
                                    <w:left w:val="none" w:sz="0" w:space="0" w:color="auto"/>
                                    <w:bottom w:val="none" w:sz="0" w:space="0" w:color="auto"/>
                                    <w:right w:val="none" w:sz="0" w:space="0" w:color="auto"/>
                                  </w:divBdr>
                                  <w:divsChild>
                                    <w:div w:id="6440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20705">
      <w:bodyDiv w:val="1"/>
      <w:marLeft w:val="0"/>
      <w:marRight w:val="0"/>
      <w:marTop w:val="0"/>
      <w:marBottom w:val="0"/>
      <w:divBdr>
        <w:top w:val="none" w:sz="0" w:space="0" w:color="auto"/>
        <w:left w:val="none" w:sz="0" w:space="0" w:color="auto"/>
        <w:bottom w:val="none" w:sz="0" w:space="0" w:color="auto"/>
        <w:right w:val="none" w:sz="0" w:space="0" w:color="auto"/>
      </w:divBdr>
    </w:div>
    <w:div w:id="1660768018">
      <w:bodyDiv w:val="1"/>
      <w:marLeft w:val="0"/>
      <w:marRight w:val="0"/>
      <w:marTop w:val="0"/>
      <w:marBottom w:val="0"/>
      <w:divBdr>
        <w:top w:val="none" w:sz="0" w:space="0" w:color="auto"/>
        <w:left w:val="none" w:sz="0" w:space="0" w:color="auto"/>
        <w:bottom w:val="none" w:sz="0" w:space="0" w:color="auto"/>
        <w:right w:val="none" w:sz="0" w:space="0" w:color="auto"/>
      </w:divBdr>
    </w:div>
    <w:div w:id="1744401916">
      <w:bodyDiv w:val="1"/>
      <w:marLeft w:val="0"/>
      <w:marRight w:val="0"/>
      <w:marTop w:val="0"/>
      <w:marBottom w:val="0"/>
      <w:divBdr>
        <w:top w:val="none" w:sz="0" w:space="0" w:color="auto"/>
        <w:left w:val="none" w:sz="0" w:space="0" w:color="auto"/>
        <w:bottom w:val="none" w:sz="0" w:space="0" w:color="auto"/>
        <w:right w:val="none" w:sz="0" w:space="0" w:color="auto"/>
      </w:divBdr>
      <w:divsChild>
        <w:div w:id="930433902">
          <w:marLeft w:val="0"/>
          <w:marRight w:val="0"/>
          <w:marTop w:val="0"/>
          <w:marBottom w:val="0"/>
          <w:divBdr>
            <w:top w:val="none" w:sz="0" w:space="0" w:color="auto"/>
            <w:left w:val="none" w:sz="0" w:space="0" w:color="auto"/>
            <w:bottom w:val="none" w:sz="0" w:space="0" w:color="auto"/>
            <w:right w:val="none" w:sz="0" w:space="0" w:color="auto"/>
          </w:divBdr>
          <w:divsChild>
            <w:div w:id="221403177">
              <w:marLeft w:val="0"/>
              <w:marRight w:val="0"/>
              <w:marTop w:val="0"/>
              <w:marBottom w:val="0"/>
              <w:divBdr>
                <w:top w:val="none" w:sz="0" w:space="0" w:color="auto"/>
                <w:left w:val="none" w:sz="0" w:space="0" w:color="auto"/>
                <w:bottom w:val="none" w:sz="0" w:space="0" w:color="auto"/>
                <w:right w:val="none" w:sz="0" w:space="0" w:color="auto"/>
              </w:divBdr>
              <w:divsChild>
                <w:div w:id="1738017303">
                  <w:marLeft w:val="0"/>
                  <w:marRight w:val="0"/>
                  <w:marTop w:val="0"/>
                  <w:marBottom w:val="0"/>
                  <w:divBdr>
                    <w:top w:val="none" w:sz="0" w:space="0" w:color="auto"/>
                    <w:left w:val="none" w:sz="0" w:space="0" w:color="auto"/>
                    <w:bottom w:val="none" w:sz="0" w:space="0" w:color="auto"/>
                    <w:right w:val="none" w:sz="0" w:space="0" w:color="auto"/>
                  </w:divBdr>
                  <w:divsChild>
                    <w:div w:id="808673549">
                      <w:marLeft w:val="0"/>
                      <w:marRight w:val="0"/>
                      <w:marTop w:val="0"/>
                      <w:marBottom w:val="0"/>
                      <w:divBdr>
                        <w:top w:val="none" w:sz="0" w:space="0" w:color="auto"/>
                        <w:left w:val="none" w:sz="0" w:space="0" w:color="auto"/>
                        <w:bottom w:val="none" w:sz="0" w:space="0" w:color="auto"/>
                        <w:right w:val="none" w:sz="0" w:space="0" w:color="auto"/>
                      </w:divBdr>
                      <w:divsChild>
                        <w:div w:id="1571386504">
                          <w:marLeft w:val="0"/>
                          <w:marRight w:val="0"/>
                          <w:marTop w:val="0"/>
                          <w:marBottom w:val="0"/>
                          <w:divBdr>
                            <w:top w:val="none" w:sz="0" w:space="0" w:color="auto"/>
                            <w:left w:val="none" w:sz="0" w:space="0" w:color="auto"/>
                            <w:bottom w:val="none" w:sz="0" w:space="0" w:color="auto"/>
                            <w:right w:val="none" w:sz="0" w:space="0" w:color="auto"/>
                          </w:divBdr>
                          <w:divsChild>
                            <w:div w:id="795832093">
                              <w:marLeft w:val="0"/>
                              <w:marRight w:val="0"/>
                              <w:marTop w:val="0"/>
                              <w:marBottom w:val="0"/>
                              <w:divBdr>
                                <w:top w:val="none" w:sz="0" w:space="0" w:color="auto"/>
                                <w:left w:val="none" w:sz="0" w:space="0" w:color="auto"/>
                                <w:bottom w:val="none" w:sz="0" w:space="0" w:color="auto"/>
                                <w:right w:val="none" w:sz="0" w:space="0" w:color="auto"/>
                              </w:divBdr>
                              <w:divsChild>
                                <w:div w:id="497379046">
                                  <w:marLeft w:val="0"/>
                                  <w:marRight w:val="0"/>
                                  <w:marTop w:val="0"/>
                                  <w:marBottom w:val="0"/>
                                  <w:divBdr>
                                    <w:top w:val="none" w:sz="0" w:space="0" w:color="auto"/>
                                    <w:left w:val="none" w:sz="0" w:space="0" w:color="auto"/>
                                    <w:bottom w:val="none" w:sz="0" w:space="0" w:color="auto"/>
                                    <w:right w:val="none" w:sz="0" w:space="0" w:color="auto"/>
                                  </w:divBdr>
                                  <w:divsChild>
                                    <w:div w:id="1344942721">
                                      <w:marLeft w:val="0"/>
                                      <w:marRight w:val="0"/>
                                      <w:marTop w:val="0"/>
                                      <w:marBottom w:val="0"/>
                                      <w:divBdr>
                                        <w:top w:val="none" w:sz="0" w:space="0" w:color="auto"/>
                                        <w:left w:val="none" w:sz="0" w:space="0" w:color="auto"/>
                                        <w:bottom w:val="none" w:sz="0" w:space="0" w:color="auto"/>
                                        <w:right w:val="none" w:sz="0" w:space="0" w:color="auto"/>
                                      </w:divBdr>
                                      <w:divsChild>
                                        <w:div w:id="958343500">
                                          <w:marLeft w:val="0"/>
                                          <w:marRight w:val="0"/>
                                          <w:marTop w:val="0"/>
                                          <w:marBottom w:val="0"/>
                                          <w:divBdr>
                                            <w:top w:val="none" w:sz="0" w:space="0" w:color="auto"/>
                                            <w:left w:val="none" w:sz="0" w:space="0" w:color="auto"/>
                                            <w:bottom w:val="none" w:sz="0" w:space="0" w:color="auto"/>
                                            <w:right w:val="none" w:sz="0" w:space="0" w:color="auto"/>
                                          </w:divBdr>
                                          <w:divsChild>
                                            <w:div w:id="2131509334">
                                              <w:marLeft w:val="0"/>
                                              <w:marRight w:val="0"/>
                                              <w:marTop w:val="0"/>
                                              <w:marBottom w:val="0"/>
                                              <w:divBdr>
                                                <w:top w:val="none" w:sz="0" w:space="0" w:color="auto"/>
                                                <w:left w:val="none" w:sz="0" w:space="0" w:color="auto"/>
                                                <w:bottom w:val="none" w:sz="0" w:space="0" w:color="auto"/>
                                                <w:right w:val="none" w:sz="0" w:space="0" w:color="auto"/>
                                              </w:divBdr>
                                              <w:divsChild>
                                                <w:div w:id="895091752">
                                                  <w:marLeft w:val="0"/>
                                                  <w:marRight w:val="0"/>
                                                  <w:marTop w:val="0"/>
                                                  <w:marBottom w:val="0"/>
                                                  <w:divBdr>
                                                    <w:top w:val="none" w:sz="0" w:space="0" w:color="auto"/>
                                                    <w:left w:val="none" w:sz="0" w:space="0" w:color="auto"/>
                                                    <w:bottom w:val="none" w:sz="0" w:space="0" w:color="auto"/>
                                                    <w:right w:val="none" w:sz="0" w:space="0" w:color="auto"/>
                                                  </w:divBdr>
                                                  <w:divsChild>
                                                    <w:div w:id="1572344771">
                                                      <w:marLeft w:val="0"/>
                                                      <w:marRight w:val="0"/>
                                                      <w:marTop w:val="0"/>
                                                      <w:marBottom w:val="0"/>
                                                      <w:divBdr>
                                                        <w:top w:val="single" w:sz="6" w:space="17" w:color="EAC3AF"/>
                                                        <w:left w:val="single" w:sz="6" w:space="17" w:color="EAC3AF"/>
                                                        <w:bottom w:val="single" w:sz="6" w:space="17" w:color="EAC3AF"/>
                                                        <w:right w:val="single" w:sz="6" w:space="17" w:color="EAC3AF"/>
                                                      </w:divBdr>
                                                      <w:divsChild>
                                                        <w:div w:id="1231161791">
                                                          <w:marLeft w:val="0"/>
                                                          <w:marRight w:val="0"/>
                                                          <w:marTop w:val="0"/>
                                                          <w:marBottom w:val="0"/>
                                                          <w:divBdr>
                                                            <w:top w:val="none" w:sz="0" w:space="0" w:color="auto"/>
                                                            <w:left w:val="none" w:sz="0" w:space="0" w:color="auto"/>
                                                            <w:bottom w:val="none" w:sz="0" w:space="0" w:color="auto"/>
                                                            <w:right w:val="none" w:sz="0" w:space="0" w:color="auto"/>
                                                          </w:divBdr>
                                                        </w:div>
                                                        <w:div w:id="14117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3843318">
      <w:bodyDiv w:val="1"/>
      <w:marLeft w:val="0"/>
      <w:marRight w:val="0"/>
      <w:marTop w:val="0"/>
      <w:marBottom w:val="0"/>
      <w:divBdr>
        <w:top w:val="none" w:sz="0" w:space="0" w:color="auto"/>
        <w:left w:val="none" w:sz="0" w:space="0" w:color="auto"/>
        <w:bottom w:val="none" w:sz="0" w:space="0" w:color="auto"/>
        <w:right w:val="none" w:sz="0" w:space="0" w:color="auto"/>
      </w:divBdr>
    </w:div>
    <w:div w:id="1850368954">
      <w:bodyDiv w:val="1"/>
      <w:marLeft w:val="0"/>
      <w:marRight w:val="0"/>
      <w:marTop w:val="0"/>
      <w:marBottom w:val="0"/>
      <w:divBdr>
        <w:top w:val="none" w:sz="0" w:space="0" w:color="auto"/>
        <w:left w:val="none" w:sz="0" w:space="0" w:color="auto"/>
        <w:bottom w:val="none" w:sz="0" w:space="0" w:color="auto"/>
        <w:right w:val="none" w:sz="0" w:space="0" w:color="auto"/>
      </w:divBdr>
    </w:div>
    <w:div w:id="1855419436">
      <w:bodyDiv w:val="1"/>
      <w:marLeft w:val="0"/>
      <w:marRight w:val="0"/>
      <w:marTop w:val="0"/>
      <w:marBottom w:val="0"/>
      <w:divBdr>
        <w:top w:val="none" w:sz="0" w:space="0" w:color="auto"/>
        <w:left w:val="none" w:sz="0" w:space="0" w:color="auto"/>
        <w:bottom w:val="none" w:sz="0" w:space="0" w:color="auto"/>
        <w:right w:val="none" w:sz="0" w:space="0" w:color="auto"/>
      </w:divBdr>
      <w:divsChild>
        <w:div w:id="496579373">
          <w:marLeft w:val="0"/>
          <w:marRight w:val="0"/>
          <w:marTop w:val="0"/>
          <w:marBottom w:val="0"/>
          <w:divBdr>
            <w:top w:val="none" w:sz="0" w:space="0" w:color="auto"/>
            <w:left w:val="none" w:sz="0" w:space="0" w:color="auto"/>
            <w:bottom w:val="none" w:sz="0" w:space="0" w:color="auto"/>
            <w:right w:val="none" w:sz="0" w:space="0" w:color="auto"/>
          </w:divBdr>
          <w:divsChild>
            <w:div w:id="1579629152">
              <w:marLeft w:val="0"/>
              <w:marRight w:val="0"/>
              <w:marTop w:val="0"/>
              <w:marBottom w:val="0"/>
              <w:divBdr>
                <w:top w:val="none" w:sz="0" w:space="0" w:color="auto"/>
                <w:left w:val="none" w:sz="0" w:space="0" w:color="auto"/>
                <w:bottom w:val="none" w:sz="0" w:space="0" w:color="auto"/>
                <w:right w:val="none" w:sz="0" w:space="0" w:color="auto"/>
              </w:divBdr>
              <w:divsChild>
                <w:div w:id="939066200">
                  <w:marLeft w:val="0"/>
                  <w:marRight w:val="0"/>
                  <w:marTop w:val="0"/>
                  <w:marBottom w:val="0"/>
                  <w:divBdr>
                    <w:top w:val="none" w:sz="0" w:space="0" w:color="auto"/>
                    <w:left w:val="none" w:sz="0" w:space="0" w:color="auto"/>
                    <w:bottom w:val="none" w:sz="0" w:space="0" w:color="auto"/>
                    <w:right w:val="none" w:sz="0" w:space="0" w:color="auto"/>
                  </w:divBdr>
                  <w:divsChild>
                    <w:div w:id="1874071891">
                      <w:marLeft w:val="0"/>
                      <w:marRight w:val="0"/>
                      <w:marTop w:val="0"/>
                      <w:marBottom w:val="0"/>
                      <w:divBdr>
                        <w:top w:val="none" w:sz="0" w:space="0" w:color="auto"/>
                        <w:left w:val="none" w:sz="0" w:space="0" w:color="auto"/>
                        <w:bottom w:val="none" w:sz="0" w:space="0" w:color="auto"/>
                        <w:right w:val="none" w:sz="0" w:space="0" w:color="auto"/>
                      </w:divBdr>
                      <w:divsChild>
                        <w:div w:id="939873566">
                          <w:marLeft w:val="0"/>
                          <w:marRight w:val="0"/>
                          <w:marTop w:val="0"/>
                          <w:marBottom w:val="0"/>
                          <w:divBdr>
                            <w:top w:val="none" w:sz="0" w:space="0" w:color="auto"/>
                            <w:left w:val="none" w:sz="0" w:space="0" w:color="auto"/>
                            <w:bottom w:val="none" w:sz="0" w:space="0" w:color="auto"/>
                            <w:right w:val="none" w:sz="0" w:space="0" w:color="auto"/>
                          </w:divBdr>
                          <w:divsChild>
                            <w:div w:id="1705594980">
                              <w:marLeft w:val="0"/>
                              <w:marRight w:val="0"/>
                              <w:marTop w:val="0"/>
                              <w:marBottom w:val="0"/>
                              <w:divBdr>
                                <w:top w:val="none" w:sz="0" w:space="0" w:color="auto"/>
                                <w:left w:val="none" w:sz="0" w:space="0" w:color="auto"/>
                                <w:bottom w:val="none" w:sz="0" w:space="0" w:color="auto"/>
                                <w:right w:val="none" w:sz="0" w:space="0" w:color="auto"/>
                              </w:divBdr>
                              <w:divsChild>
                                <w:div w:id="1059209400">
                                  <w:marLeft w:val="0"/>
                                  <w:marRight w:val="0"/>
                                  <w:marTop w:val="0"/>
                                  <w:marBottom w:val="0"/>
                                  <w:divBdr>
                                    <w:top w:val="none" w:sz="0" w:space="0" w:color="auto"/>
                                    <w:left w:val="none" w:sz="0" w:space="0" w:color="auto"/>
                                    <w:bottom w:val="none" w:sz="0" w:space="0" w:color="auto"/>
                                    <w:right w:val="none" w:sz="0" w:space="0" w:color="auto"/>
                                  </w:divBdr>
                                  <w:divsChild>
                                    <w:div w:id="737439390">
                                      <w:marLeft w:val="0"/>
                                      <w:marRight w:val="0"/>
                                      <w:marTop w:val="0"/>
                                      <w:marBottom w:val="0"/>
                                      <w:divBdr>
                                        <w:top w:val="none" w:sz="0" w:space="0" w:color="auto"/>
                                        <w:left w:val="none" w:sz="0" w:space="0" w:color="auto"/>
                                        <w:bottom w:val="none" w:sz="0" w:space="0" w:color="auto"/>
                                        <w:right w:val="none" w:sz="0" w:space="0" w:color="auto"/>
                                      </w:divBdr>
                                      <w:divsChild>
                                        <w:div w:id="614214186">
                                          <w:marLeft w:val="0"/>
                                          <w:marRight w:val="0"/>
                                          <w:marTop w:val="0"/>
                                          <w:marBottom w:val="0"/>
                                          <w:divBdr>
                                            <w:top w:val="none" w:sz="0" w:space="0" w:color="auto"/>
                                            <w:left w:val="none" w:sz="0" w:space="0" w:color="auto"/>
                                            <w:bottom w:val="none" w:sz="0" w:space="0" w:color="auto"/>
                                            <w:right w:val="none" w:sz="0" w:space="0" w:color="auto"/>
                                          </w:divBdr>
                                          <w:divsChild>
                                            <w:div w:id="886068698">
                                              <w:marLeft w:val="0"/>
                                              <w:marRight w:val="0"/>
                                              <w:marTop w:val="0"/>
                                              <w:marBottom w:val="0"/>
                                              <w:divBdr>
                                                <w:top w:val="none" w:sz="0" w:space="0" w:color="auto"/>
                                                <w:left w:val="none" w:sz="0" w:space="0" w:color="auto"/>
                                                <w:bottom w:val="none" w:sz="0" w:space="0" w:color="auto"/>
                                                <w:right w:val="none" w:sz="0" w:space="0" w:color="auto"/>
                                              </w:divBdr>
                                              <w:divsChild>
                                                <w:div w:id="1268611816">
                                                  <w:marLeft w:val="0"/>
                                                  <w:marRight w:val="0"/>
                                                  <w:marTop w:val="0"/>
                                                  <w:marBottom w:val="0"/>
                                                  <w:divBdr>
                                                    <w:top w:val="none" w:sz="0" w:space="0" w:color="auto"/>
                                                    <w:left w:val="none" w:sz="0" w:space="0" w:color="auto"/>
                                                    <w:bottom w:val="none" w:sz="0" w:space="0" w:color="auto"/>
                                                    <w:right w:val="none" w:sz="0" w:space="0" w:color="auto"/>
                                                  </w:divBdr>
                                                  <w:divsChild>
                                                    <w:div w:id="1160075799">
                                                      <w:marLeft w:val="0"/>
                                                      <w:marRight w:val="0"/>
                                                      <w:marTop w:val="0"/>
                                                      <w:marBottom w:val="0"/>
                                                      <w:divBdr>
                                                        <w:top w:val="single" w:sz="6" w:space="17" w:color="EAC3AF"/>
                                                        <w:left w:val="single" w:sz="6" w:space="17" w:color="EAC3AF"/>
                                                        <w:bottom w:val="single" w:sz="6" w:space="17" w:color="EAC3AF"/>
                                                        <w:right w:val="single" w:sz="6" w:space="17" w:color="EAC3AF"/>
                                                      </w:divBdr>
                                                      <w:divsChild>
                                                        <w:div w:id="644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749747">
      <w:bodyDiv w:val="1"/>
      <w:marLeft w:val="0"/>
      <w:marRight w:val="0"/>
      <w:marTop w:val="0"/>
      <w:marBottom w:val="0"/>
      <w:divBdr>
        <w:top w:val="none" w:sz="0" w:space="0" w:color="auto"/>
        <w:left w:val="none" w:sz="0" w:space="0" w:color="auto"/>
        <w:bottom w:val="none" w:sz="0" w:space="0" w:color="auto"/>
        <w:right w:val="none" w:sz="0" w:space="0" w:color="auto"/>
      </w:divBdr>
    </w:div>
    <w:div w:id="20546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713-89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2E51-E022-C044-A2F6-B544AB13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37738</Words>
  <Characters>215107</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252341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Kutney, Katherine</dc:creator>
  <cp:keywords/>
  <dc:description/>
  <cp:lastModifiedBy>Li Ma</cp:lastModifiedBy>
  <cp:revision>3</cp:revision>
  <cp:lastPrinted>2019-10-28T17:59:00Z</cp:lastPrinted>
  <dcterms:created xsi:type="dcterms:W3CDTF">2019-11-25T23:50:00Z</dcterms:created>
  <dcterms:modified xsi:type="dcterms:W3CDTF">2019-11-26T01:00:00Z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http://www.zotero.org/styles/vancouver-superscript-brackets-only-year</vt:lpwstr>
  </property>
  <property fmtid="{D5CDD505-2E9C-101B-9397-08002B2CF9AE}" pid="19" name="Mendeley Recent Style Name 8_1">
    <vt:lpwstr>Vancouver (superscript, brackets, only year in date)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122f5d9b-e8f0-3996-8693-6b4de6221ac3</vt:lpwstr>
  </property>
  <property fmtid="{D5CDD505-2E9C-101B-9397-08002B2CF9AE}" pid="24" name="Mendeley Citation Style_1">
    <vt:lpwstr>http://www.zotero.org/styles/world-journal-of-gastroenterology</vt:lpwstr>
  </property>
</Properties>
</file>